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宋体"/>
          <w:b/>
          <w:sz w:val="50"/>
          <w:szCs w:val="50"/>
        </w:rPr>
      </w:pPr>
      <w:r>
        <w:rPr>
          <w:rFonts w:hint="eastAsia" w:ascii="黑体" w:hAnsi="华文中宋" w:eastAsia="黑体"/>
          <w:b/>
          <w:sz w:val="50"/>
          <w:szCs w:val="50"/>
        </w:rPr>
        <w:t>朝天区“十三五”现代服务业发展规划</w:t>
      </w:r>
    </w:p>
    <w:p>
      <w:pPr>
        <w:spacing w:line="700" w:lineRule="exact"/>
        <w:jc w:val="center"/>
        <w:rPr>
          <w:rFonts w:ascii="黑体" w:hAnsi="华文中宋" w:eastAsia="黑体"/>
          <w:b/>
          <w:sz w:val="36"/>
          <w:szCs w:val="36"/>
        </w:rPr>
      </w:pPr>
    </w:p>
    <w:p>
      <w:pPr>
        <w:spacing w:line="700" w:lineRule="exact"/>
        <w:jc w:val="center"/>
        <w:rPr>
          <w:rFonts w:ascii="黑体" w:hAnsi="华文中宋" w:eastAsia="黑体"/>
          <w:b/>
          <w:sz w:val="36"/>
          <w:szCs w:val="36"/>
        </w:rPr>
      </w:pPr>
      <w:r>
        <w:rPr>
          <w:rFonts w:hint="eastAsia" w:ascii="黑体" w:hAnsi="华文中宋" w:eastAsia="黑体"/>
          <w:b/>
          <w:sz w:val="36"/>
          <w:szCs w:val="36"/>
        </w:rPr>
        <w:t>（</w:t>
      </w:r>
      <w:r>
        <w:rPr>
          <w:rFonts w:ascii="黑体" w:hAnsi="华文中宋" w:eastAsia="黑体"/>
          <w:b/>
          <w:sz w:val="36"/>
          <w:szCs w:val="36"/>
        </w:rPr>
        <w:t>2016—2020</w:t>
      </w:r>
      <w:r>
        <w:rPr>
          <w:rFonts w:hint="eastAsia" w:ascii="黑体" w:hAnsi="华文中宋" w:eastAsia="黑体"/>
          <w:b/>
          <w:sz w:val="36"/>
          <w:szCs w:val="36"/>
        </w:rPr>
        <w:t>）</w:t>
      </w:r>
    </w:p>
    <w:p>
      <w:pPr>
        <w:spacing w:line="500" w:lineRule="exact"/>
        <w:ind w:firstLine="3327" w:firstLineChars="1105"/>
        <w:rPr>
          <w:rFonts w:ascii="楷体_GB2312" w:hAnsi="华文中宋" w:eastAsia="楷体_GB2312"/>
          <w:b/>
          <w:sz w:val="30"/>
          <w:szCs w:val="30"/>
        </w:rPr>
      </w:pPr>
    </w:p>
    <w:p>
      <w:bookmarkStart w:id="7" w:name="_GoBack"/>
      <w:bookmarkEnd w:id="7"/>
    </w:p>
    <w:p/>
    <w:p/>
    <w:p/>
    <w:p/>
    <w:p/>
    <w:p/>
    <w:p/>
    <w:p/>
    <w:p/>
    <w:p/>
    <w:p/>
    <w:p/>
    <w:p/>
    <w:p/>
    <w:p/>
    <w:p/>
    <w:p/>
    <w:p/>
    <w:p/>
    <w:p/>
    <w:p/>
    <w:p/>
    <w:p/>
    <w:p/>
    <w:p/>
    <w:p/>
    <w:p/>
    <w:p/>
    <w:p>
      <w:pPr>
        <w:jc w:val="center"/>
        <w:rPr>
          <w:rFonts w:ascii="楷体_GB2312" w:hAnsi="华文中宋" w:eastAsia="楷体_GB2312"/>
          <w:b/>
          <w:sz w:val="44"/>
          <w:szCs w:val="44"/>
        </w:rPr>
      </w:pPr>
      <w:r>
        <w:rPr>
          <w:rFonts w:hint="eastAsia" w:ascii="楷体_GB2312" w:hAnsi="华文中宋" w:eastAsia="楷体_GB2312"/>
          <w:b/>
          <w:sz w:val="44"/>
          <w:szCs w:val="44"/>
        </w:rPr>
        <w:t>广元市朝天区商务局</w:t>
      </w:r>
    </w:p>
    <w:p>
      <w:pPr>
        <w:jc w:val="center"/>
      </w:pPr>
      <w:r>
        <w:rPr>
          <w:rFonts w:hint="eastAsia" w:ascii="楷体_GB2312" w:hAnsi="华文中宋" w:eastAsia="楷体_GB2312"/>
          <w:b/>
          <w:sz w:val="44"/>
          <w:szCs w:val="44"/>
        </w:rPr>
        <w:t>二</w:t>
      </w:r>
      <w:r>
        <w:rPr>
          <w:rFonts w:ascii="??_GB2312" w:hAnsi="??_GB2312" w:cs="??_GB2312"/>
          <w:b/>
          <w:sz w:val="44"/>
          <w:szCs w:val="44"/>
        </w:rPr>
        <w:t>Ο</w:t>
      </w:r>
      <w:r>
        <w:rPr>
          <w:rFonts w:hint="eastAsia" w:ascii="楷体_GB2312" w:hAnsi="华文中宋" w:eastAsia="楷体_GB2312"/>
          <w:b/>
          <w:sz w:val="44"/>
          <w:szCs w:val="44"/>
        </w:rPr>
        <w:t>一</w:t>
      </w:r>
      <w:r>
        <w:rPr>
          <w:rFonts w:hint="eastAsia" w:ascii="楷体_GB2312" w:hAnsi="华文中宋" w:eastAsia="楷体_GB2312"/>
          <w:b/>
          <w:sz w:val="44"/>
          <w:szCs w:val="44"/>
          <w:lang w:eastAsia="zh-CN"/>
        </w:rPr>
        <w:t>七</w:t>
      </w:r>
      <w:r>
        <w:rPr>
          <w:rFonts w:hint="eastAsia" w:ascii="楷体_GB2312" w:hAnsi="华文中宋" w:eastAsia="楷体_GB2312"/>
          <w:b/>
          <w:sz w:val="44"/>
          <w:szCs w:val="44"/>
        </w:rPr>
        <w:t>年</w:t>
      </w:r>
    </w:p>
    <w:p>
      <w:pPr>
        <w:tabs>
          <w:tab w:val="left" w:pos="793"/>
        </w:tabs>
        <w:jc w:val="left"/>
      </w:pPr>
    </w:p>
    <w:p>
      <w:pPr>
        <w:tabs>
          <w:tab w:val="left" w:pos="793"/>
        </w:tabs>
        <w:jc w:val="center"/>
        <w:rPr>
          <w:rFonts w:ascii="黑体" w:hAnsi="黑体" w:eastAsia="黑体" w:cs="黑体"/>
          <w:sz w:val="44"/>
          <w:szCs w:val="44"/>
        </w:rPr>
        <w:sectPr>
          <w:footerReference r:id="rId3" w:type="default"/>
          <w:pgSz w:w="11906" w:h="16838"/>
          <w:pgMar w:top="1440" w:right="1800" w:bottom="1440" w:left="1800" w:header="851" w:footer="992" w:gutter="0"/>
          <w:cols w:space="425" w:num="1"/>
          <w:docGrid w:type="lines" w:linePitch="312" w:charSpace="0"/>
        </w:sectPr>
      </w:pPr>
    </w:p>
    <w:p>
      <w:pPr>
        <w:tabs>
          <w:tab w:val="left" w:pos="793"/>
        </w:tabs>
        <w:jc w:val="center"/>
      </w:pPr>
      <w:r>
        <w:rPr>
          <w:rFonts w:hint="eastAsia" w:ascii="黑体" w:hAnsi="黑体" w:eastAsia="黑体" w:cs="黑体"/>
          <w:sz w:val="44"/>
          <w:szCs w:val="44"/>
        </w:rPr>
        <w:t>目</w:t>
      </w:r>
      <w:r>
        <w:rPr>
          <w:rFonts w:ascii="黑体" w:hAnsi="黑体" w:eastAsia="黑体" w:cs="黑体"/>
          <w:sz w:val="44"/>
          <w:szCs w:val="44"/>
        </w:rPr>
        <w:t xml:space="preserve">  </w:t>
      </w:r>
      <w:r>
        <w:rPr>
          <w:rFonts w:hint="eastAsia" w:ascii="黑体" w:hAnsi="黑体" w:eastAsia="黑体" w:cs="黑体"/>
          <w:sz w:val="44"/>
          <w:szCs w:val="44"/>
        </w:rPr>
        <w:t>录</w:t>
      </w:r>
    </w:p>
    <w:p>
      <w:pPr>
        <w:keepNext w:val="0"/>
        <w:keepLines w:val="0"/>
        <w:pageBreakBefore w:val="0"/>
        <w:widowControl w:val="0"/>
        <w:tabs>
          <w:tab w:val="left" w:pos="793"/>
        </w:tabs>
        <w:kinsoku/>
        <w:wordWrap/>
        <w:overflowPunct/>
        <w:topLinePunct w:val="0"/>
        <w:autoSpaceDE/>
        <w:autoSpaceDN/>
        <w:bidi w:val="0"/>
        <w:adjustRightInd/>
        <w:snapToGrid/>
        <w:spacing w:line="600" w:lineRule="exact"/>
        <w:ind w:left="0" w:leftChars="0" w:right="0" w:rightChars="0"/>
        <w:jc w:val="left"/>
        <w:textAlignment w:val="auto"/>
        <w:outlineLvl w:val="9"/>
        <w:rPr>
          <w:rFonts w:ascii="黑体" w:hAnsi="黑体" w:eastAsia="黑体" w:cs="黑体"/>
          <w:sz w:val="28"/>
          <w:szCs w:val="28"/>
        </w:rPr>
      </w:pPr>
      <w:r>
        <w:rPr>
          <w:rFonts w:hint="eastAsia" w:ascii="黑体" w:hAnsi="黑体" w:eastAsia="黑体" w:cs="黑体"/>
          <w:sz w:val="28"/>
          <w:szCs w:val="28"/>
        </w:rPr>
        <w:t>第一章</w:t>
      </w:r>
      <w:r>
        <w:rPr>
          <w:rFonts w:ascii="黑体" w:hAnsi="黑体" w:eastAsia="黑体" w:cs="黑体"/>
          <w:sz w:val="28"/>
          <w:szCs w:val="28"/>
        </w:rPr>
        <w:t xml:space="preserve">  </w:t>
      </w:r>
      <w:r>
        <w:rPr>
          <w:rFonts w:hint="eastAsia" w:ascii="黑体" w:hAnsi="黑体" w:eastAsia="黑体" w:cs="黑体"/>
          <w:sz w:val="28"/>
          <w:szCs w:val="28"/>
        </w:rPr>
        <w:t>前</w:t>
      </w:r>
      <w:r>
        <w:rPr>
          <w:rFonts w:ascii="黑体" w:hAnsi="黑体" w:eastAsia="黑体" w:cs="黑体"/>
          <w:sz w:val="28"/>
          <w:szCs w:val="28"/>
        </w:rPr>
        <w:t xml:space="preserve"> </w:t>
      </w:r>
      <w:r>
        <w:rPr>
          <w:rFonts w:hint="eastAsia" w:ascii="黑体" w:hAnsi="黑体" w:eastAsia="黑体" w:cs="黑体"/>
          <w:sz w:val="28"/>
          <w:szCs w:val="28"/>
        </w:rPr>
        <w:t>言</w:t>
      </w:r>
      <w:r>
        <w:rPr>
          <w:rFonts w:ascii="黑体" w:hAnsi="黑体" w:eastAsia="黑体" w:cs="黑体"/>
          <w:sz w:val="28"/>
          <w:szCs w:val="28"/>
        </w:rPr>
        <w:tab/>
      </w:r>
    </w:p>
    <w:p>
      <w:pPr>
        <w:keepNext w:val="0"/>
        <w:keepLines w:val="0"/>
        <w:pageBreakBefore w:val="0"/>
        <w:widowControl w:val="0"/>
        <w:tabs>
          <w:tab w:val="left" w:pos="793"/>
        </w:tabs>
        <w:kinsoku/>
        <w:wordWrap/>
        <w:overflowPunct/>
        <w:topLinePunct w:val="0"/>
        <w:autoSpaceDE/>
        <w:autoSpaceDN/>
        <w:bidi w:val="0"/>
        <w:adjustRightInd/>
        <w:snapToGrid/>
        <w:spacing w:line="600" w:lineRule="exact"/>
        <w:ind w:left="0" w:leftChars="0" w:right="0" w:rightChars="0"/>
        <w:jc w:val="left"/>
        <w:textAlignment w:val="auto"/>
        <w:outlineLvl w:val="9"/>
        <w:rPr>
          <w:rFonts w:ascii="宋体" w:cs="宋体"/>
          <w:sz w:val="28"/>
          <w:szCs w:val="28"/>
        </w:rPr>
      </w:pPr>
      <w:r>
        <w:rPr>
          <w:rFonts w:ascii="黑体" w:hAnsi="黑体" w:eastAsia="黑体" w:cs="黑体"/>
          <w:sz w:val="28"/>
          <w:szCs w:val="28"/>
        </w:rPr>
        <w:t xml:space="preserve">    </w:t>
      </w:r>
      <w:r>
        <w:rPr>
          <w:rFonts w:hint="eastAsia" w:ascii="宋体" w:hAnsi="宋体" w:cs="宋体"/>
          <w:sz w:val="28"/>
          <w:szCs w:val="28"/>
        </w:rPr>
        <w:t>第一节</w:t>
      </w:r>
      <w:r>
        <w:rPr>
          <w:rFonts w:ascii="宋体" w:hAnsi="宋体" w:cs="宋体"/>
          <w:sz w:val="28"/>
          <w:szCs w:val="28"/>
        </w:rPr>
        <w:t xml:space="preserve">  </w:t>
      </w:r>
      <w:r>
        <w:rPr>
          <w:rFonts w:hint="eastAsia" w:ascii="宋体" w:hAnsi="宋体" w:cs="宋体"/>
          <w:sz w:val="28"/>
          <w:szCs w:val="28"/>
        </w:rPr>
        <w:t>规划背景</w:t>
      </w:r>
      <w:r>
        <w:rPr>
          <w:rFonts w:ascii="宋体" w:cs="宋体"/>
          <w:sz w:val="28"/>
          <w:szCs w:val="28"/>
        </w:rPr>
        <w:tab/>
      </w:r>
    </w:p>
    <w:p>
      <w:pPr>
        <w:keepNext w:val="0"/>
        <w:keepLines w:val="0"/>
        <w:pageBreakBefore w:val="0"/>
        <w:widowControl w:val="0"/>
        <w:tabs>
          <w:tab w:val="left" w:pos="793"/>
        </w:tabs>
        <w:kinsoku/>
        <w:wordWrap/>
        <w:overflowPunct/>
        <w:topLinePunct w:val="0"/>
        <w:autoSpaceDE/>
        <w:autoSpaceDN/>
        <w:bidi w:val="0"/>
        <w:adjustRightInd/>
        <w:snapToGrid/>
        <w:spacing w:line="600" w:lineRule="exact"/>
        <w:ind w:left="0" w:leftChars="0" w:right="0" w:rightChars="0"/>
        <w:jc w:val="left"/>
        <w:textAlignment w:val="auto"/>
        <w:outlineLvl w:val="9"/>
        <w:rPr>
          <w:rFonts w:ascii="宋体" w:cs="宋体"/>
          <w:sz w:val="28"/>
          <w:szCs w:val="28"/>
        </w:rPr>
      </w:pPr>
      <w:r>
        <w:rPr>
          <w:rFonts w:ascii="宋体" w:hAnsi="宋体" w:cs="宋体"/>
          <w:sz w:val="28"/>
          <w:szCs w:val="28"/>
        </w:rPr>
        <w:t xml:space="preserve">    </w:t>
      </w:r>
      <w:r>
        <w:rPr>
          <w:rFonts w:hint="eastAsia" w:ascii="宋体" w:hAnsi="宋体" w:cs="宋体"/>
          <w:sz w:val="28"/>
          <w:szCs w:val="28"/>
        </w:rPr>
        <w:t>第二节</w:t>
      </w:r>
      <w:r>
        <w:rPr>
          <w:rFonts w:ascii="宋体" w:hAnsi="宋体" w:cs="宋体"/>
          <w:sz w:val="28"/>
          <w:szCs w:val="28"/>
        </w:rPr>
        <w:t xml:space="preserve">  </w:t>
      </w:r>
      <w:r>
        <w:rPr>
          <w:rFonts w:hint="eastAsia" w:ascii="宋体" w:hAnsi="宋体" w:cs="宋体"/>
          <w:sz w:val="28"/>
          <w:szCs w:val="28"/>
        </w:rPr>
        <w:t>编制依据</w:t>
      </w:r>
      <w:r>
        <w:rPr>
          <w:rFonts w:ascii="宋体" w:cs="宋体"/>
          <w:sz w:val="28"/>
          <w:szCs w:val="28"/>
        </w:rPr>
        <w:tab/>
      </w:r>
    </w:p>
    <w:p>
      <w:pPr>
        <w:keepNext w:val="0"/>
        <w:keepLines w:val="0"/>
        <w:pageBreakBefore w:val="0"/>
        <w:widowControl w:val="0"/>
        <w:tabs>
          <w:tab w:val="left" w:pos="793"/>
        </w:tabs>
        <w:kinsoku/>
        <w:wordWrap/>
        <w:overflowPunct/>
        <w:topLinePunct w:val="0"/>
        <w:autoSpaceDE/>
        <w:autoSpaceDN/>
        <w:bidi w:val="0"/>
        <w:adjustRightInd/>
        <w:snapToGrid/>
        <w:spacing w:line="600" w:lineRule="exact"/>
        <w:ind w:left="0" w:leftChars="0" w:right="0" w:rightChars="0"/>
        <w:jc w:val="left"/>
        <w:textAlignment w:val="auto"/>
        <w:outlineLvl w:val="9"/>
        <w:rPr>
          <w:rFonts w:ascii="黑体" w:hAnsi="黑体" w:eastAsia="黑体" w:cs="黑体"/>
          <w:sz w:val="28"/>
          <w:szCs w:val="28"/>
        </w:rPr>
      </w:pPr>
      <w:r>
        <w:rPr>
          <w:rFonts w:hint="eastAsia" w:ascii="黑体" w:hAnsi="黑体" w:eastAsia="黑体" w:cs="黑体"/>
          <w:sz w:val="28"/>
          <w:szCs w:val="28"/>
        </w:rPr>
        <w:t>第二章</w:t>
      </w:r>
      <w:r>
        <w:rPr>
          <w:rFonts w:ascii="黑体" w:hAnsi="黑体" w:eastAsia="黑体" w:cs="黑体"/>
          <w:sz w:val="28"/>
          <w:szCs w:val="28"/>
        </w:rPr>
        <w:t xml:space="preserve">  </w:t>
      </w:r>
      <w:r>
        <w:rPr>
          <w:rFonts w:hint="eastAsia" w:ascii="黑体" w:hAnsi="黑体" w:eastAsia="黑体" w:cs="黑体"/>
          <w:sz w:val="28"/>
          <w:szCs w:val="28"/>
        </w:rPr>
        <w:t>发展基础</w:t>
      </w:r>
      <w:r>
        <w:rPr>
          <w:rFonts w:ascii="黑体" w:hAnsi="黑体" w:eastAsia="黑体" w:cs="黑体"/>
          <w:sz w:val="28"/>
          <w:szCs w:val="28"/>
        </w:rPr>
        <w:tab/>
      </w:r>
    </w:p>
    <w:p>
      <w:pPr>
        <w:keepNext w:val="0"/>
        <w:keepLines w:val="0"/>
        <w:pageBreakBefore w:val="0"/>
        <w:widowControl w:val="0"/>
        <w:tabs>
          <w:tab w:val="left" w:pos="793"/>
        </w:tabs>
        <w:kinsoku/>
        <w:wordWrap/>
        <w:overflowPunct/>
        <w:topLinePunct w:val="0"/>
        <w:autoSpaceDE/>
        <w:autoSpaceDN/>
        <w:bidi w:val="0"/>
        <w:adjustRightInd/>
        <w:snapToGrid/>
        <w:spacing w:line="600" w:lineRule="exact"/>
        <w:ind w:left="0" w:leftChars="0" w:right="0" w:rightChars="0"/>
        <w:jc w:val="left"/>
        <w:textAlignment w:val="auto"/>
        <w:outlineLvl w:val="9"/>
        <w:rPr>
          <w:rFonts w:ascii="宋体" w:cs="宋体"/>
          <w:sz w:val="28"/>
          <w:szCs w:val="28"/>
        </w:rPr>
      </w:pPr>
      <w:r>
        <w:rPr>
          <w:rFonts w:ascii="黑体" w:hAnsi="黑体" w:eastAsia="黑体" w:cs="黑体"/>
          <w:sz w:val="28"/>
          <w:szCs w:val="28"/>
        </w:rPr>
        <w:t xml:space="preserve">    </w:t>
      </w:r>
      <w:r>
        <w:rPr>
          <w:rFonts w:hint="eastAsia" w:ascii="宋体" w:hAnsi="宋体" w:cs="宋体"/>
          <w:sz w:val="28"/>
          <w:szCs w:val="28"/>
        </w:rPr>
        <w:t>第一节</w:t>
      </w:r>
      <w:r>
        <w:rPr>
          <w:rFonts w:ascii="宋体" w:hAnsi="宋体" w:cs="宋体"/>
          <w:sz w:val="28"/>
          <w:szCs w:val="28"/>
        </w:rPr>
        <w:t xml:space="preserve">  </w:t>
      </w:r>
      <w:r>
        <w:rPr>
          <w:rFonts w:hint="eastAsia" w:ascii="宋体" w:hAnsi="宋体" w:cs="宋体"/>
          <w:sz w:val="28"/>
          <w:szCs w:val="28"/>
        </w:rPr>
        <w:t>发展现状</w:t>
      </w:r>
      <w:r>
        <w:rPr>
          <w:rFonts w:ascii="宋体" w:cs="宋体"/>
          <w:sz w:val="28"/>
          <w:szCs w:val="28"/>
        </w:rPr>
        <w:tab/>
      </w:r>
    </w:p>
    <w:p>
      <w:pPr>
        <w:keepNext w:val="0"/>
        <w:keepLines w:val="0"/>
        <w:pageBreakBefore w:val="0"/>
        <w:widowControl w:val="0"/>
        <w:tabs>
          <w:tab w:val="left" w:pos="793"/>
        </w:tabs>
        <w:kinsoku/>
        <w:wordWrap/>
        <w:overflowPunct/>
        <w:topLinePunct w:val="0"/>
        <w:autoSpaceDE/>
        <w:autoSpaceDN/>
        <w:bidi w:val="0"/>
        <w:adjustRightInd/>
        <w:snapToGrid/>
        <w:spacing w:line="600" w:lineRule="exact"/>
        <w:ind w:left="0" w:leftChars="0" w:right="0" w:rightChars="0"/>
        <w:jc w:val="left"/>
        <w:textAlignment w:val="auto"/>
        <w:outlineLvl w:val="9"/>
        <w:rPr>
          <w:rFonts w:ascii="宋体" w:cs="宋体"/>
          <w:sz w:val="28"/>
          <w:szCs w:val="28"/>
        </w:rPr>
      </w:pPr>
      <w:r>
        <w:rPr>
          <w:rFonts w:ascii="宋体" w:hAnsi="宋体" w:cs="宋体"/>
          <w:sz w:val="28"/>
          <w:szCs w:val="28"/>
        </w:rPr>
        <w:t xml:space="preserve">    </w:t>
      </w:r>
      <w:r>
        <w:rPr>
          <w:rFonts w:hint="eastAsia" w:ascii="宋体" w:hAnsi="宋体" w:cs="宋体"/>
          <w:sz w:val="28"/>
          <w:szCs w:val="28"/>
        </w:rPr>
        <w:t>第二节</w:t>
      </w:r>
      <w:r>
        <w:rPr>
          <w:rFonts w:ascii="宋体" w:hAnsi="宋体" w:cs="宋体"/>
          <w:sz w:val="28"/>
          <w:szCs w:val="28"/>
        </w:rPr>
        <w:t xml:space="preserve">  </w:t>
      </w:r>
      <w:r>
        <w:rPr>
          <w:rFonts w:hint="eastAsia" w:ascii="宋体" w:hAnsi="宋体" w:cs="宋体"/>
          <w:sz w:val="28"/>
          <w:szCs w:val="28"/>
        </w:rPr>
        <w:t>存在的主要问题</w:t>
      </w:r>
      <w:r>
        <w:rPr>
          <w:rFonts w:ascii="宋体" w:cs="宋体"/>
          <w:sz w:val="28"/>
          <w:szCs w:val="28"/>
        </w:rPr>
        <w:tab/>
      </w:r>
    </w:p>
    <w:p>
      <w:pPr>
        <w:keepNext w:val="0"/>
        <w:keepLines w:val="0"/>
        <w:pageBreakBefore w:val="0"/>
        <w:widowControl w:val="0"/>
        <w:tabs>
          <w:tab w:val="left" w:pos="793"/>
        </w:tabs>
        <w:kinsoku/>
        <w:wordWrap/>
        <w:overflowPunct/>
        <w:topLinePunct w:val="0"/>
        <w:autoSpaceDE/>
        <w:autoSpaceDN/>
        <w:bidi w:val="0"/>
        <w:adjustRightInd/>
        <w:snapToGrid/>
        <w:spacing w:line="600" w:lineRule="exact"/>
        <w:ind w:left="0" w:leftChars="0" w:right="0" w:rightChars="0"/>
        <w:jc w:val="left"/>
        <w:textAlignment w:val="auto"/>
        <w:outlineLvl w:val="9"/>
        <w:rPr>
          <w:rFonts w:ascii="宋体" w:cs="宋体"/>
          <w:sz w:val="28"/>
          <w:szCs w:val="28"/>
        </w:rPr>
      </w:pPr>
      <w:r>
        <w:rPr>
          <w:rFonts w:ascii="宋体" w:hAnsi="宋体" w:cs="宋体"/>
          <w:sz w:val="28"/>
          <w:szCs w:val="28"/>
        </w:rPr>
        <w:t xml:space="preserve">    </w:t>
      </w:r>
      <w:r>
        <w:rPr>
          <w:rFonts w:hint="eastAsia" w:ascii="宋体" w:hAnsi="宋体" w:cs="宋体"/>
          <w:sz w:val="28"/>
          <w:szCs w:val="28"/>
        </w:rPr>
        <w:t>第三节</w:t>
      </w:r>
      <w:r>
        <w:rPr>
          <w:rFonts w:ascii="宋体" w:hAnsi="宋体" w:cs="宋体"/>
          <w:sz w:val="28"/>
          <w:szCs w:val="28"/>
        </w:rPr>
        <w:t xml:space="preserve">  </w:t>
      </w:r>
      <w:r>
        <w:rPr>
          <w:rFonts w:hint="eastAsia" w:ascii="宋体" w:hAnsi="宋体" w:cs="宋体"/>
          <w:sz w:val="28"/>
          <w:szCs w:val="28"/>
        </w:rPr>
        <w:t>发展机遇</w:t>
      </w:r>
      <w:r>
        <w:rPr>
          <w:rFonts w:ascii="宋体" w:cs="宋体"/>
          <w:sz w:val="28"/>
          <w:szCs w:val="28"/>
        </w:rPr>
        <w:tab/>
      </w:r>
    </w:p>
    <w:p>
      <w:pPr>
        <w:keepNext w:val="0"/>
        <w:keepLines w:val="0"/>
        <w:pageBreakBefore w:val="0"/>
        <w:widowControl w:val="0"/>
        <w:tabs>
          <w:tab w:val="left" w:pos="793"/>
        </w:tabs>
        <w:kinsoku/>
        <w:wordWrap/>
        <w:overflowPunct/>
        <w:topLinePunct w:val="0"/>
        <w:autoSpaceDE/>
        <w:autoSpaceDN/>
        <w:bidi w:val="0"/>
        <w:adjustRightInd/>
        <w:snapToGrid/>
        <w:spacing w:line="600" w:lineRule="exact"/>
        <w:ind w:left="0" w:leftChars="0" w:right="0" w:rightChars="0"/>
        <w:jc w:val="left"/>
        <w:textAlignment w:val="auto"/>
        <w:outlineLvl w:val="9"/>
        <w:rPr>
          <w:rFonts w:ascii="黑体" w:hAnsi="黑体" w:eastAsia="黑体" w:cs="黑体"/>
          <w:sz w:val="28"/>
          <w:szCs w:val="28"/>
        </w:rPr>
      </w:pPr>
      <w:r>
        <w:rPr>
          <w:rFonts w:hint="eastAsia" w:ascii="黑体" w:hAnsi="黑体" w:eastAsia="黑体" w:cs="黑体"/>
          <w:sz w:val="28"/>
          <w:szCs w:val="28"/>
        </w:rPr>
        <w:t>第三章</w:t>
      </w:r>
      <w:r>
        <w:rPr>
          <w:rFonts w:ascii="黑体" w:hAnsi="黑体" w:eastAsia="黑体" w:cs="黑体"/>
          <w:sz w:val="28"/>
          <w:szCs w:val="28"/>
        </w:rPr>
        <w:t xml:space="preserve">  </w:t>
      </w:r>
      <w:r>
        <w:rPr>
          <w:rFonts w:hint="eastAsia" w:ascii="黑体" w:hAnsi="黑体" w:eastAsia="黑体" w:cs="黑体"/>
          <w:sz w:val="28"/>
          <w:szCs w:val="28"/>
        </w:rPr>
        <w:t>发展思路</w:t>
      </w:r>
      <w:r>
        <w:rPr>
          <w:rFonts w:ascii="黑体" w:hAnsi="黑体" w:eastAsia="黑体" w:cs="黑体"/>
          <w:sz w:val="28"/>
          <w:szCs w:val="28"/>
        </w:rPr>
        <w:tab/>
      </w:r>
    </w:p>
    <w:p>
      <w:pPr>
        <w:keepNext w:val="0"/>
        <w:keepLines w:val="0"/>
        <w:pageBreakBefore w:val="0"/>
        <w:widowControl w:val="0"/>
        <w:tabs>
          <w:tab w:val="left" w:pos="793"/>
        </w:tabs>
        <w:kinsoku/>
        <w:wordWrap/>
        <w:overflowPunct/>
        <w:topLinePunct w:val="0"/>
        <w:autoSpaceDE/>
        <w:autoSpaceDN/>
        <w:bidi w:val="0"/>
        <w:adjustRightInd/>
        <w:snapToGrid/>
        <w:spacing w:line="600" w:lineRule="exact"/>
        <w:ind w:left="0" w:leftChars="0" w:right="0" w:rightChars="0"/>
        <w:jc w:val="left"/>
        <w:textAlignment w:val="auto"/>
        <w:outlineLvl w:val="9"/>
        <w:rPr>
          <w:rFonts w:ascii="宋体" w:cs="宋体"/>
          <w:sz w:val="28"/>
          <w:szCs w:val="28"/>
        </w:rPr>
      </w:pPr>
      <w:r>
        <w:rPr>
          <w:rFonts w:ascii="黑体" w:hAnsi="黑体" w:eastAsia="黑体" w:cs="黑体"/>
          <w:sz w:val="28"/>
          <w:szCs w:val="28"/>
        </w:rPr>
        <w:t xml:space="preserve">    </w:t>
      </w:r>
      <w:r>
        <w:rPr>
          <w:rFonts w:hint="eastAsia" w:ascii="宋体" w:hAnsi="宋体" w:cs="宋体"/>
          <w:sz w:val="28"/>
          <w:szCs w:val="28"/>
        </w:rPr>
        <w:t>第一节</w:t>
      </w:r>
      <w:r>
        <w:rPr>
          <w:rFonts w:ascii="宋体" w:hAnsi="宋体" w:cs="宋体"/>
          <w:sz w:val="28"/>
          <w:szCs w:val="28"/>
        </w:rPr>
        <w:t xml:space="preserve">  </w:t>
      </w:r>
      <w:r>
        <w:rPr>
          <w:rFonts w:hint="eastAsia" w:ascii="宋体" w:hAnsi="宋体" w:cs="宋体"/>
          <w:sz w:val="28"/>
          <w:szCs w:val="28"/>
        </w:rPr>
        <w:t>指导思想</w:t>
      </w:r>
      <w:r>
        <w:rPr>
          <w:rFonts w:ascii="宋体" w:cs="宋体"/>
          <w:sz w:val="28"/>
          <w:szCs w:val="28"/>
        </w:rPr>
        <w:tab/>
      </w:r>
    </w:p>
    <w:p>
      <w:pPr>
        <w:keepNext w:val="0"/>
        <w:keepLines w:val="0"/>
        <w:pageBreakBefore w:val="0"/>
        <w:widowControl w:val="0"/>
        <w:tabs>
          <w:tab w:val="left" w:pos="793"/>
        </w:tabs>
        <w:kinsoku/>
        <w:wordWrap/>
        <w:overflowPunct/>
        <w:topLinePunct w:val="0"/>
        <w:autoSpaceDE/>
        <w:autoSpaceDN/>
        <w:bidi w:val="0"/>
        <w:adjustRightInd/>
        <w:snapToGrid/>
        <w:spacing w:line="600" w:lineRule="exact"/>
        <w:ind w:left="0" w:leftChars="0" w:right="0" w:rightChars="0"/>
        <w:jc w:val="left"/>
        <w:textAlignment w:val="auto"/>
        <w:outlineLvl w:val="9"/>
        <w:rPr>
          <w:rFonts w:ascii="宋体" w:cs="宋体"/>
          <w:sz w:val="28"/>
          <w:szCs w:val="28"/>
        </w:rPr>
      </w:pPr>
      <w:r>
        <w:rPr>
          <w:rFonts w:ascii="宋体" w:hAnsi="宋体" w:cs="宋体"/>
          <w:sz w:val="28"/>
          <w:szCs w:val="28"/>
        </w:rPr>
        <w:t xml:space="preserve">    </w:t>
      </w:r>
      <w:r>
        <w:rPr>
          <w:rFonts w:hint="eastAsia" w:ascii="宋体" w:hAnsi="宋体" w:cs="宋体"/>
          <w:sz w:val="28"/>
          <w:szCs w:val="28"/>
        </w:rPr>
        <w:t>第二节</w:t>
      </w:r>
      <w:r>
        <w:rPr>
          <w:rFonts w:ascii="宋体" w:hAnsi="宋体" w:cs="宋体"/>
          <w:sz w:val="28"/>
          <w:szCs w:val="28"/>
        </w:rPr>
        <w:t xml:space="preserve">  </w:t>
      </w:r>
      <w:r>
        <w:rPr>
          <w:rFonts w:hint="eastAsia" w:ascii="宋体" w:hAnsi="宋体" w:cs="宋体"/>
          <w:sz w:val="28"/>
          <w:szCs w:val="28"/>
        </w:rPr>
        <w:t>基本原则</w:t>
      </w:r>
      <w:r>
        <w:rPr>
          <w:rFonts w:ascii="宋体" w:cs="宋体"/>
          <w:sz w:val="28"/>
          <w:szCs w:val="28"/>
        </w:rPr>
        <w:tab/>
      </w:r>
    </w:p>
    <w:p>
      <w:pPr>
        <w:keepNext w:val="0"/>
        <w:keepLines w:val="0"/>
        <w:pageBreakBefore w:val="0"/>
        <w:widowControl w:val="0"/>
        <w:tabs>
          <w:tab w:val="left" w:pos="793"/>
        </w:tabs>
        <w:kinsoku/>
        <w:wordWrap/>
        <w:overflowPunct/>
        <w:topLinePunct w:val="0"/>
        <w:autoSpaceDE/>
        <w:autoSpaceDN/>
        <w:bidi w:val="0"/>
        <w:adjustRightInd/>
        <w:snapToGrid/>
        <w:spacing w:line="600" w:lineRule="exact"/>
        <w:ind w:left="0" w:leftChars="0" w:right="0" w:rightChars="0"/>
        <w:jc w:val="left"/>
        <w:textAlignment w:val="auto"/>
        <w:outlineLvl w:val="9"/>
        <w:rPr>
          <w:rFonts w:ascii="宋体" w:cs="宋体"/>
          <w:sz w:val="28"/>
          <w:szCs w:val="28"/>
        </w:rPr>
      </w:pPr>
      <w:r>
        <w:rPr>
          <w:rFonts w:ascii="宋体" w:hAnsi="宋体" w:cs="宋体"/>
          <w:sz w:val="28"/>
          <w:szCs w:val="28"/>
        </w:rPr>
        <w:t xml:space="preserve">    </w:t>
      </w:r>
      <w:r>
        <w:rPr>
          <w:rFonts w:hint="eastAsia" w:ascii="宋体" w:hAnsi="宋体" w:cs="宋体"/>
          <w:sz w:val="28"/>
          <w:szCs w:val="28"/>
        </w:rPr>
        <w:t>第三节</w:t>
      </w:r>
      <w:r>
        <w:rPr>
          <w:rFonts w:ascii="宋体" w:hAnsi="宋体" w:cs="宋体"/>
          <w:sz w:val="28"/>
          <w:szCs w:val="28"/>
        </w:rPr>
        <w:t xml:space="preserve">  </w:t>
      </w:r>
      <w:r>
        <w:rPr>
          <w:rFonts w:hint="eastAsia" w:ascii="宋体" w:hAnsi="宋体" w:cs="宋体"/>
          <w:sz w:val="28"/>
          <w:szCs w:val="28"/>
        </w:rPr>
        <w:t>发展目标</w:t>
      </w:r>
      <w:r>
        <w:rPr>
          <w:rFonts w:ascii="宋体" w:cs="宋体"/>
          <w:sz w:val="28"/>
          <w:szCs w:val="28"/>
        </w:rPr>
        <w:tab/>
      </w:r>
    </w:p>
    <w:p>
      <w:pPr>
        <w:keepNext w:val="0"/>
        <w:keepLines w:val="0"/>
        <w:pageBreakBefore w:val="0"/>
        <w:widowControl w:val="0"/>
        <w:tabs>
          <w:tab w:val="left" w:pos="793"/>
        </w:tabs>
        <w:kinsoku/>
        <w:wordWrap/>
        <w:overflowPunct/>
        <w:topLinePunct w:val="0"/>
        <w:autoSpaceDE/>
        <w:autoSpaceDN/>
        <w:bidi w:val="0"/>
        <w:adjustRightInd/>
        <w:snapToGrid/>
        <w:spacing w:line="600" w:lineRule="exact"/>
        <w:ind w:left="0" w:leftChars="0" w:right="0" w:rightChars="0"/>
        <w:jc w:val="left"/>
        <w:textAlignment w:val="auto"/>
        <w:outlineLvl w:val="9"/>
        <w:rPr>
          <w:rFonts w:ascii="黑体" w:hAnsi="黑体" w:eastAsia="黑体" w:cs="黑体"/>
          <w:sz w:val="28"/>
          <w:szCs w:val="28"/>
        </w:rPr>
      </w:pPr>
      <w:r>
        <w:rPr>
          <w:rFonts w:hint="eastAsia" w:ascii="黑体" w:hAnsi="黑体" w:eastAsia="黑体" w:cs="黑体"/>
          <w:sz w:val="28"/>
          <w:szCs w:val="28"/>
        </w:rPr>
        <w:t>第四章</w:t>
      </w:r>
      <w:r>
        <w:rPr>
          <w:rFonts w:ascii="黑体" w:hAnsi="黑体" w:eastAsia="黑体" w:cs="黑体"/>
          <w:sz w:val="28"/>
          <w:szCs w:val="28"/>
        </w:rPr>
        <w:t xml:space="preserve">  </w:t>
      </w:r>
      <w:r>
        <w:rPr>
          <w:rFonts w:hint="eastAsia" w:ascii="黑体" w:hAnsi="黑体" w:eastAsia="黑体" w:cs="黑体"/>
          <w:sz w:val="28"/>
          <w:szCs w:val="28"/>
        </w:rPr>
        <w:t>空间布局</w:t>
      </w:r>
      <w:r>
        <w:rPr>
          <w:rFonts w:ascii="黑体" w:hAnsi="黑体" w:eastAsia="黑体" w:cs="黑体"/>
          <w:sz w:val="28"/>
          <w:szCs w:val="28"/>
        </w:rPr>
        <w:tab/>
      </w:r>
    </w:p>
    <w:p>
      <w:pPr>
        <w:keepNext w:val="0"/>
        <w:keepLines w:val="0"/>
        <w:pageBreakBefore w:val="0"/>
        <w:widowControl w:val="0"/>
        <w:tabs>
          <w:tab w:val="left" w:pos="793"/>
        </w:tabs>
        <w:kinsoku/>
        <w:wordWrap/>
        <w:overflowPunct/>
        <w:topLinePunct w:val="0"/>
        <w:autoSpaceDE/>
        <w:autoSpaceDN/>
        <w:bidi w:val="0"/>
        <w:adjustRightInd/>
        <w:snapToGrid/>
        <w:spacing w:line="600" w:lineRule="exact"/>
        <w:ind w:left="0" w:leftChars="0" w:right="0" w:rightChars="0" w:firstLine="560"/>
        <w:jc w:val="left"/>
        <w:textAlignment w:val="auto"/>
        <w:outlineLvl w:val="9"/>
        <w:rPr>
          <w:rFonts w:ascii="宋体" w:cs="宋体"/>
          <w:sz w:val="28"/>
          <w:szCs w:val="28"/>
        </w:rPr>
      </w:pPr>
      <w:r>
        <w:rPr>
          <w:rFonts w:hint="eastAsia" w:ascii="宋体" w:hAnsi="宋体" w:cs="宋体"/>
          <w:sz w:val="28"/>
          <w:szCs w:val="28"/>
        </w:rPr>
        <w:t>第一节</w:t>
      </w:r>
      <w:r>
        <w:rPr>
          <w:rFonts w:ascii="宋体" w:hAnsi="宋体" w:cs="宋体"/>
          <w:sz w:val="28"/>
          <w:szCs w:val="28"/>
        </w:rPr>
        <w:t xml:space="preserve">  </w:t>
      </w:r>
      <w:r>
        <w:rPr>
          <w:rFonts w:hint="eastAsia" w:ascii="宋体" w:hAnsi="宋体" w:cs="宋体"/>
          <w:sz w:val="28"/>
          <w:szCs w:val="28"/>
        </w:rPr>
        <w:t>商贸集中区空间布局</w:t>
      </w:r>
    </w:p>
    <w:p>
      <w:pPr>
        <w:keepNext w:val="0"/>
        <w:keepLines w:val="0"/>
        <w:pageBreakBefore w:val="0"/>
        <w:widowControl w:val="0"/>
        <w:tabs>
          <w:tab w:val="left" w:pos="793"/>
        </w:tabs>
        <w:kinsoku/>
        <w:wordWrap/>
        <w:overflowPunct/>
        <w:topLinePunct w:val="0"/>
        <w:autoSpaceDE/>
        <w:autoSpaceDN/>
        <w:bidi w:val="0"/>
        <w:adjustRightInd/>
        <w:snapToGrid/>
        <w:spacing w:line="600" w:lineRule="exact"/>
        <w:ind w:left="0" w:leftChars="0" w:right="0" w:rightChars="0" w:firstLine="560"/>
        <w:jc w:val="left"/>
        <w:textAlignment w:val="auto"/>
        <w:outlineLvl w:val="9"/>
        <w:rPr>
          <w:rFonts w:ascii="宋体" w:cs="宋体"/>
          <w:sz w:val="28"/>
          <w:szCs w:val="28"/>
        </w:rPr>
      </w:pPr>
      <w:r>
        <w:rPr>
          <w:rFonts w:hint="eastAsia" w:ascii="宋体" w:hAnsi="宋体" w:cs="宋体"/>
          <w:sz w:val="28"/>
          <w:szCs w:val="28"/>
        </w:rPr>
        <w:t>第二节</w:t>
      </w:r>
      <w:r>
        <w:rPr>
          <w:rFonts w:ascii="宋体" w:hAnsi="宋体" w:cs="宋体"/>
          <w:sz w:val="28"/>
          <w:szCs w:val="28"/>
        </w:rPr>
        <w:t xml:space="preserve">  </w:t>
      </w:r>
      <w:r>
        <w:rPr>
          <w:rFonts w:hint="eastAsia" w:ascii="宋体" w:hAnsi="宋体" w:cs="宋体"/>
          <w:sz w:val="28"/>
          <w:szCs w:val="28"/>
        </w:rPr>
        <w:t>现代物流空间布局</w:t>
      </w:r>
      <w:r>
        <w:rPr>
          <w:rFonts w:ascii="宋体" w:cs="宋体"/>
          <w:sz w:val="28"/>
          <w:szCs w:val="28"/>
        </w:rPr>
        <w:tab/>
      </w:r>
    </w:p>
    <w:p>
      <w:pPr>
        <w:keepNext w:val="0"/>
        <w:keepLines w:val="0"/>
        <w:pageBreakBefore w:val="0"/>
        <w:widowControl w:val="0"/>
        <w:tabs>
          <w:tab w:val="left" w:pos="793"/>
        </w:tabs>
        <w:kinsoku/>
        <w:wordWrap/>
        <w:overflowPunct/>
        <w:topLinePunct w:val="0"/>
        <w:autoSpaceDE/>
        <w:autoSpaceDN/>
        <w:bidi w:val="0"/>
        <w:adjustRightInd/>
        <w:snapToGrid/>
        <w:spacing w:line="600" w:lineRule="exact"/>
        <w:ind w:left="0" w:leftChars="0" w:right="0" w:rightChars="0" w:firstLine="560"/>
        <w:jc w:val="left"/>
        <w:textAlignment w:val="auto"/>
        <w:outlineLvl w:val="9"/>
        <w:rPr>
          <w:rFonts w:ascii="宋体" w:cs="宋体"/>
          <w:sz w:val="28"/>
          <w:szCs w:val="28"/>
        </w:rPr>
      </w:pPr>
      <w:r>
        <w:rPr>
          <w:rFonts w:hint="eastAsia" w:ascii="宋体" w:hAnsi="宋体" w:cs="宋体"/>
          <w:sz w:val="28"/>
          <w:szCs w:val="28"/>
        </w:rPr>
        <w:t>第三节</w:t>
      </w:r>
      <w:r>
        <w:rPr>
          <w:rFonts w:ascii="宋体" w:hAnsi="宋体" w:cs="宋体"/>
          <w:sz w:val="28"/>
          <w:szCs w:val="28"/>
        </w:rPr>
        <w:t xml:space="preserve">  </w:t>
      </w:r>
      <w:r>
        <w:rPr>
          <w:rFonts w:hint="eastAsia" w:ascii="宋体" w:hAnsi="宋体" w:cs="宋体"/>
          <w:sz w:val="28"/>
          <w:szCs w:val="28"/>
        </w:rPr>
        <w:t>生态旅游空间布局</w:t>
      </w:r>
      <w:r>
        <w:rPr>
          <w:rFonts w:ascii="宋体" w:cs="宋体"/>
          <w:sz w:val="28"/>
          <w:szCs w:val="28"/>
        </w:rPr>
        <w:tab/>
      </w:r>
    </w:p>
    <w:p>
      <w:pPr>
        <w:keepNext w:val="0"/>
        <w:keepLines w:val="0"/>
        <w:pageBreakBefore w:val="0"/>
        <w:widowControl w:val="0"/>
        <w:tabs>
          <w:tab w:val="left" w:pos="793"/>
        </w:tabs>
        <w:kinsoku/>
        <w:wordWrap/>
        <w:overflowPunct/>
        <w:topLinePunct w:val="0"/>
        <w:autoSpaceDE/>
        <w:autoSpaceDN/>
        <w:bidi w:val="0"/>
        <w:adjustRightInd/>
        <w:snapToGrid/>
        <w:spacing w:line="600" w:lineRule="exact"/>
        <w:ind w:left="0" w:leftChars="0" w:right="0" w:rightChars="0" w:firstLine="560"/>
        <w:jc w:val="left"/>
        <w:textAlignment w:val="auto"/>
        <w:outlineLvl w:val="9"/>
        <w:rPr>
          <w:rFonts w:ascii="宋体" w:cs="宋体"/>
          <w:sz w:val="28"/>
          <w:szCs w:val="28"/>
        </w:rPr>
      </w:pPr>
      <w:r>
        <w:rPr>
          <w:rFonts w:hint="eastAsia" w:ascii="宋体" w:hAnsi="宋体" w:cs="宋体"/>
          <w:sz w:val="28"/>
          <w:szCs w:val="28"/>
        </w:rPr>
        <w:t>第四节</w:t>
      </w:r>
      <w:r>
        <w:rPr>
          <w:rFonts w:ascii="宋体" w:hAnsi="宋体" w:cs="宋体"/>
          <w:sz w:val="28"/>
          <w:szCs w:val="28"/>
        </w:rPr>
        <w:t xml:space="preserve">  </w:t>
      </w:r>
      <w:r>
        <w:rPr>
          <w:rFonts w:hint="eastAsia" w:ascii="宋体" w:hAnsi="宋体" w:cs="宋体"/>
          <w:sz w:val="28"/>
          <w:szCs w:val="28"/>
        </w:rPr>
        <w:t>重点乡镇发展空间布局</w:t>
      </w:r>
      <w:r>
        <w:rPr>
          <w:rFonts w:ascii="宋体" w:cs="宋体"/>
          <w:sz w:val="28"/>
          <w:szCs w:val="28"/>
        </w:rPr>
        <w:tab/>
      </w:r>
    </w:p>
    <w:p>
      <w:pPr>
        <w:keepNext w:val="0"/>
        <w:keepLines w:val="0"/>
        <w:pageBreakBefore w:val="0"/>
        <w:widowControl w:val="0"/>
        <w:tabs>
          <w:tab w:val="left" w:pos="793"/>
        </w:tabs>
        <w:kinsoku/>
        <w:wordWrap/>
        <w:overflowPunct/>
        <w:topLinePunct w:val="0"/>
        <w:autoSpaceDE/>
        <w:autoSpaceDN/>
        <w:bidi w:val="0"/>
        <w:adjustRightInd/>
        <w:snapToGrid/>
        <w:spacing w:line="600" w:lineRule="exact"/>
        <w:ind w:left="0" w:leftChars="0" w:right="0" w:rightChars="0"/>
        <w:jc w:val="left"/>
        <w:textAlignment w:val="auto"/>
        <w:outlineLvl w:val="9"/>
        <w:rPr>
          <w:rFonts w:ascii="黑体" w:hAnsi="黑体" w:eastAsia="黑体" w:cs="黑体"/>
          <w:sz w:val="28"/>
          <w:szCs w:val="28"/>
        </w:rPr>
      </w:pPr>
      <w:r>
        <w:rPr>
          <w:rFonts w:hint="eastAsia" w:ascii="黑体" w:hAnsi="黑体" w:eastAsia="黑体" w:cs="黑体"/>
          <w:sz w:val="28"/>
          <w:szCs w:val="28"/>
        </w:rPr>
        <w:t>第五章</w:t>
      </w:r>
      <w:r>
        <w:rPr>
          <w:rFonts w:ascii="黑体" w:hAnsi="黑体" w:eastAsia="黑体" w:cs="黑体"/>
          <w:sz w:val="28"/>
          <w:szCs w:val="28"/>
        </w:rPr>
        <w:t xml:space="preserve">  </w:t>
      </w:r>
      <w:r>
        <w:rPr>
          <w:rFonts w:hint="eastAsia" w:ascii="黑体" w:hAnsi="黑体" w:eastAsia="黑体" w:cs="黑体"/>
          <w:sz w:val="28"/>
          <w:szCs w:val="28"/>
        </w:rPr>
        <w:t>发展重点</w:t>
      </w:r>
      <w:r>
        <w:rPr>
          <w:rFonts w:ascii="黑体" w:hAnsi="黑体" w:eastAsia="黑体" w:cs="黑体"/>
          <w:sz w:val="28"/>
          <w:szCs w:val="28"/>
        </w:rPr>
        <w:tab/>
      </w:r>
    </w:p>
    <w:p>
      <w:pPr>
        <w:keepNext w:val="0"/>
        <w:keepLines w:val="0"/>
        <w:pageBreakBefore w:val="0"/>
        <w:widowControl w:val="0"/>
        <w:tabs>
          <w:tab w:val="left" w:pos="793"/>
        </w:tabs>
        <w:kinsoku/>
        <w:wordWrap/>
        <w:overflowPunct/>
        <w:topLinePunct w:val="0"/>
        <w:autoSpaceDE/>
        <w:autoSpaceDN/>
        <w:bidi w:val="0"/>
        <w:adjustRightInd/>
        <w:snapToGrid/>
        <w:spacing w:line="600" w:lineRule="exact"/>
        <w:ind w:left="0" w:leftChars="0" w:right="0" w:rightChars="0" w:firstLine="560"/>
        <w:jc w:val="left"/>
        <w:textAlignment w:val="auto"/>
        <w:outlineLvl w:val="9"/>
        <w:rPr>
          <w:rFonts w:ascii="宋体" w:cs="宋体"/>
          <w:sz w:val="28"/>
          <w:szCs w:val="28"/>
        </w:rPr>
      </w:pPr>
      <w:r>
        <w:rPr>
          <w:rFonts w:hint="eastAsia" w:ascii="宋体" w:hAnsi="宋体" w:cs="宋体"/>
          <w:sz w:val="28"/>
          <w:szCs w:val="28"/>
        </w:rPr>
        <w:t>第一节</w:t>
      </w:r>
      <w:r>
        <w:rPr>
          <w:rFonts w:ascii="宋体" w:hAnsi="宋体" w:cs="宋体"/>
          <w:sz w:val="28"/>
          <w:szCs w:val="28"/>
        </w:rPr>
        <w:t xml:space="preserve">  </w:t>
      </w:r>
      <w:r>
        <w:rPr>
          <w:rFonts w:hint="eastAsia" w:ascii="宋体" w:hAnsi="宋体" w:cs="宋体"/>
          <w:sz w:val="28"/>
          <w:szCs w:val="28"/>
        </w:rPr>
        <w:t>加快发展支柱服务业</w:t>
      </w:r>
      <w:r>
        <w:rPr>
          <w:rFonts w:ascii="宋体" w:cs="宋体"/>
          <w:sz w:val="28"/>
          <w:szCs w:val="28"/>
        </w:rPr>
        <w:tab/>
      </w:r>
    </w:p>
    <w:p>
      <w:pPr>
        <w:keepNext w:val="0"/>
        <w:keepLines w:val="0"/>
        <w:pageBreakBefore w:val="0"/>
        <w:widowControl w:val="0"/>
        <w:tabs>
          <w:tab w:val="left" w:pos="793"/>
        </w:tabs>
        <w:kinsoku/>
        <w:wordWrap/>
        <w:overflowPunct/>
        <w:topLinePunct w:val="0"/>
        <w:autoSpaceDE/>
        <w:autoSpaceDN/>
        <w:bidi w:val="0"/>
        <w:adjustRightInd/>
        <w:snapToGrid/>
        <w:spacing w:line="600" w:lineRule="exact"/>
        <w:ind w:left="0" w:leftChars="0" w:right="0" w:rightChars="0" w:firstLine="560"/>
        <w:jc w:val="left"/>
        <w:textAlignment w:val="auto"/>
        <w:outlineLvl w:val="9"/>
        <w:rPr>
          <w:rFonts w:ascii="宋体" w:cs="宋体"/>
          <w:sz w:val="28"/>
          <w:szCs w:val="28"/>
        </w:rPr>
      </w:pPr>
      <w:r>
        <w:rPr>
          <w:rFonts w:hint="eastAsia" w:ascii="宋体" w:hAnsi="宋体" w:cs="宋体"/>
          <w:sz w:val="28"/>
          <w:szCs w:val="28"/>
        </w:rPr>
        <w:t>第二节</w:t>
      </w:r>
      <w:r>
        <w:rPr>
          <w:rFonts w:ascii="宋体" w:hAnsi="宋体" w:cs="宋体"/>
          <w:sz w:val="28"/>
          <w:szCs w:val="28"/>
        </w:rPr>
        <w:t xml:space="preserve">  </w:t>
      </w:r>
      <w:r>
        <w:rPr>
          <w:rFonts w:hint="eastAsia" w:ascii="宋体" w:hAnsi="宋体" w:cs="宋体"/>
          <w:sz w:val="28"/>
          <w:szCs w:val="28"/>
        </w:rPr>
        <w:t>培育发展新兴服务业</w:t>
      </w:r>
      <w:r>
        <w:rPr>
          <w:rFonts w:ascii="宋体" w:cs="宋体"/>
          <w:sz w:val="28"/>
          <w:szCs w:val="28"/>
        </w:rPr>
        <w:tab/>
      </w:r>
    </w:p>
    <w:p>
      <w:pPr>
        <w:keepNext w:val="0"/>
        <w:keepLines w:val="0"/>
        <w:pageBreakBefore w:val="0"/>
        <w:widowControl w:val="0"/>
        <w:tabs>
          <w:tab w:val="left" w:pos="793"/>
        </w:tabs>
        <w:kinsoku/>
        <w:wordWrap/>
        <w:overflowPunct/>
        <w:topLinePunct w:val="0"/>
        <w:autoSpaceDE/>
        <w:autoSpaceDN/>
        <w:bidi w:val="0"/>
        <w:adjustRightInd/>
        <w:snapToGrid/>
        <w:spacing w:line="600" w:lineRule="exact"/>
        <w:ind w:left="0" w:leftChars="0" w:right="0" w:rightChars="0" w:firstLine="560"/>
        <w:jc w:val="left"/>
        <w:textAlignment w:val="auto"/>
        <w:outlineLvl w:val="9"/>
        <w:rPr>
          <w:rFonts w:ascii="宋体" w:cs="宋体"/>
          <w:sz w:val="28"/>
          <w:szCs w:val="28"/>
        </w:rPr>
      </w:pPr>
      <w:r>
        <w:rPr>
          <w:rFonts w:hint="eastAsia" w:ascii="宋体" w:hAnsi="宋体" w:cs="宋体"/>
          <w:sz w:val="28"/>
          <w:szCs w:val="28"/>
        </w:rPr>
        <w:t>第三节</w:t>
      </w:r>
      <w:r>
        <w:rPr>
          <w:rFonts w:ascii="宋体" w:hAnsi="宋体" w:cs="宋体"/>
          <w:sz w:val="28"/>
          <w:szCs w:val="28"/>
        </w:rPr>
        <w:t xml:space="preserve">  </w:t>
      </w:r>
      <w:r>
        <w:rPr>
          <w:rFonts w:hint="eastAsia" w:ascii="宋体" w:hAnsi="宋体" w:cs="宋体"/>
          <w:sz w:val="28"/>
          <w:szCs w:val="28"/>
        </w:rPr>
        <w:t>有序发展成长型服务业</w:t>
      </w:r>
      <w:r>
        <w:rPr>
          <w:rFonts w:ascii="宋体" w:cs="宋体"/>
          <w:sz w:val="28"/>
          <w:szCs w:val="28"/>
        </w:rPr>
        <w:tab/>
      </w:r>
    </w:p>
    <w:p>
      <w:pPr>
        <w:keepNext w:val="0"/>
        <w:keepLines w:val="0"/>
        <w:pageBreakBefore w:val="0"/>
        <w:widowControl w:val="0"/>
        <w:tabs>
          <w:tab w:val="left" w:pos="793"/>
        </w:tabs>
        <w:kinsoku/>
        <w:wordWrap/>
        <w:overflowPunct/>
        <w:topLinePunct w:val="0"/>
        <w:autoSpaceDE/>
        <w:autoSpaceDN/>
        <w:bidi w:val="0"/>
        <w:adjustRightInd/>
        <w:snapToGrid/>
        <w:spacing w:line="600" w:lineRule="exact"/>
        <w:ind w:left="0" w:leftChars="0" w:right="0" w:rightChars="0"/>
        <w:jc w:val="left"/>
        <w:textAlignment w:val="auto"/>
        <w:outlineLvl w:val="9"/>
        <w:rPr>
          <w:rFonts w:ascii="宋体" w:cs="宋体"/>
          <w:sz w:val="28"/>
          <w:szCs w:val="28"/>
        </w:rPr>
      </w:pPr>
      <w:r>
        <w:rPr>
          <w:rFonts w:hint="eastAsia" w:ascii="黑体" w:hAnsi="黑体" w:eastAsia="黑体" w:cs="黑体"/>
          <w:sz w:val="28"/>
          <w:szCs w:val="28"/>
        </w:rPr>
        <w:t>第六章</w:t>
      </w:r>
      <w:r>
        <w:rPr>
          <w:rFonts w:hint="eastAsia" w:ascii="黑体" w:hAnsi="黑体" w:eastAsia="黑体" w:cs="黑体"/>
          <w:sz w:val="28"/>
          <w:szCs w:val="28"/>
          <w:lang w:val="en-US" w:eastAsia="zh-CN"/>
        </w:rPr>
        <w:t xml:space="preserve">  节能环保</w:t>
      </w:r>
      <w:r>
        <w:rPr>
          <w:rFonts w:ascii="宋体" w:cs="宋体"/>
          <w:sz w:val="28"/>
          <w:szCs w:val="28"/>
        </w:rPr>
        <w:tab/>
      </w:r>
    </w:p>
    <w:p>
      <w:pPr>
        <w:keepNext w:val="0"/>
        <w:keepLines w:val="0"/>
        <w:pageBreakBefore w:val="0"/>
        <w:widowControl w:val="0"/>
        <w:tabs>
          <w:tab w:val="left" w:pos="793"/>
        </w:tabs>
        <w:kinsoku/>
        <w:wordWrap/>
        <w:overflowPunct/>
        <w:topLinePunct w:val="0"/>
        <w:autoSpaceDE/>
        <w:autoSpaceDN/>
        <w:bidi w:val="0"/>
        <w:adjustRightInd/>
        <w:snapToGrid/>
        <w:spacing w:line="600" w:lineRule="exact"/>
        <w:ind w:left="0" w:leftChars="0" w:right="0" w:rightChars="0"/>
        <w:jc w:val="left"/>
        <w:textAlignment w:val="auto"/>
        <w:outlineLvl w:val="9"/>
        <w:rPr>
          <w:rFonts w:ascii="黑体" w:hAnsi="黑体" w:eastAsia="黑体" w:cs="黑体"/>
          <w:sz w:val="28"/>
          <w:szCs w:val="28"/>
        </w:rPr>
      </w:pPr>
      <w:r>
        <w:rPr>
          <w:rFonts w:hint="eastAsia" w:ascii="黑体" w:hAnsi="黑体" w:eastAsia="黑体" w:cs="黑体"/>
          <w:sz w:val="28"/>
          <w:szCs w:val="28"/>
        </w:rPr>
        <w:t>第</w:t>
      </w:r>
      <w:r>
        <w:rPr>
          <w:rFonts w:hint="eastAsia" w:ascii="黑体" w:hAnsi="黑体" w:eastAsia="黑体" w:cs="黑体"/>
          <w:sz w:val="28"/>
          <w:szCs w:val="28"/>
          <w:lang w:eastAsia="zh-CN"/>
        </w:rPr>
        <w:t>七</w:t>
      </w:r>
      <w:r>
        <w:rPr>
          <w:rFonts w:hint="eastAsia" w:ascii="黑体" w:hAnsi="黑体" w:eastAsia="黑体" w:cs="黑体"/>
          <w:sz w:val="28"/>
          <w:szCs w:val="28"/>
        </w:rPr>
        <w:t>章</w:t>
      </w:r>
      <w:r>
        <w:rPr>
          <w:rFonts w:ascii="黑体" w:hAnsi="黑体" w:eastAsia="黑体" w:cs="黑体"/>
          <w:sz w:val="28"/>
          <w:szCs w:val="28"/>
        </w:rPr>
        <w:t xml:space="preserve">  </w:t>
      </w:r>
      <w:r>
        <w:rPr>
          <w:rFonts w:hint="eastAsia" w:ascii="黑体" w:hAnsi="黑体" w:eastAsia="黑体" w:cs="黑体"/>
          <w:sz w:val="28"/>
          <w:szCs w:val="28"/>
        </w:rPr>
        <w:t>保障措施</w:t>
      </w:r>
      <w:r>
        <w:rPr>
          <w:rFonts w:ascii="黑体" w:hAnsi="黑体" w:eastAsia="黑体" w:cs="黑体"/>
          <w:sz w:val="28"/>
          <w:szCs w:val="28"/>
        </w:rPr>
        <w:tab/>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宋体"/>
          <w:b/>
          <w:sz w:val="44"/>
          <w:szCs w:val="44"/>
        </w:rPr>
        <w:sectPr>
          <w:footerReference r:id="rId4" w:type="default"/>
          <w:pgSz w:w="11906" w:h="16838"/>
          <w:pgMar w:top="1440" w:right="1800" w:bottom="1440" w:left="1800" w:header="851" w:footer="992" w:gutter="0"/>
          <w:cols w:space="425" w:num="1"/>
          <w:docGrid w:type="lines" w:linePitch="312" w:charSpace="0"/>
        </w:sectPr>
      </w:pPr>
    </w:p>
    <w:p>
      <w:pPr>
        <w:jc w:val="center"/>
        <w:rPr>
          <w:rFonts w:ascii="宋体"/>
          <w:b/>
          <w:sz w:val="44"/>
          <w:szCs w:val="44"/>
        </w:rPr>
      </w:pPr>
      <w:r>
        <w:rPr>
          <w:rFonts w:hint="eastAsia" w:ascii="宋体"/>
          <w:b/>
          <w:sz w:val="44"/>
          <w:szCs w:val="44"/>
        </w:rPr>
        <w:t>朝天区“十三五”现代服务业发展规划</w:t>
      </w:r>
    </w:p>
    <w:p>
      <w:pPr>
        <w:pStyle w:val="2"/>
        <w:spacing w:beforeLines="100" w:afterLines="100" w:line="240" w:lineRule="auto"/>
        <w:jc w:val="center"/>
        <w:rPr>
          <w:rFonts w:ascii="黑体" w:eastAsia="黑体"/>
          <w:sz w:val="36"/>
          <w:szCs w:val="36"/>
        </w:rPr>
      </w:pPr>
      <w:bookmarkStart w:id="0" w:name="_Toc442107587"/>
      <w:r>
        <w:rPr>
          <w:rFonts w:hint="eastAsia" w:ascii="黑体" w:eastAsia="黑体"/>
          <w:sz w:val="36"/>
          <w:szCs w:val="36"/>
        </w:rPr>
        <w:t>第一章</w:t>
      </w:r>
      <w:r>
        <w:rPr>
          <w:rFonts w:ascii="黑体" w:eastAsia="黑体"/>
          <w:sz w:val="36"/>
          <w:szCs w:val="36"/>
        </w:rPr>
        <w:t xml:space="preserve">  </w:t>
      </w:r>
      <w:r>
        <w:rPr>
          <w:rFonts w:hint="eastAsia" w:ascii="黑体" w:eastAsia="黑体"/>
          <w:sz w:val="36"/>
          <w:szCs w:val="36"/>
        </w:rPr>
        <w:t>前</w:t>
      </w:r>
      <w:r>
        <w:rPr>
          <w:rFonts w:ascii="黑体" w:eastAsia="黑体"/>
          <w:sz w:val="36"/>
          <w:szCs w:val="36"/>
        </w:rPr>
        <w:t xml:space="preserve"> </w:t>
      </w:r>
      <w:r>
        <w:rPr>
          <w:rFonts w:hint="eastAsia" w:ascii="黑体" w:eastAsia="黑体"/>
          <w:sz w:val="36"/>
          <w:szCs w:val="36"/>
        </w:rPr>
        <w:t>言</w:t>
      </w:r>
      <w:bookmarkEnd w:id="0"/>
    </w:p>
    <w:p>
      <w:pPr>
        <w:pStyle w:val="3"/>
        <w:jc w:val="center"/>
        <w:rPr>
          <w:rFonts w:ascii="宋体" w:hAnsi="宋体" w:eastAsia="宋体" w:cs="宋体"/>
          <w:color w:val="333333"/>
          <w:kern w:val="0"/>
        </w:rPr>
      </w:pPr>
      <w:bookmarkStart w:id="1" w:name="_Toc442107588"/>
      <w:r>
        <w:rPr>
          <w:rFonts w:hint="eastAsia" w:ascii="宋体" w:hAnsi="宋体" w:eastAsia="宋体"/>
        </w:rPr>
        <w:t>第一节</w:t>
      </w:r>
      <w:r>
        <w:rPr>
          <w:rFonts w:ascii="宋体" w:hAnsi="宋体" w:eastAsia="宋体"/>
        </w:rPr>
        <w:t xml:space="preserve">  </w:t>
      </w:r>
      <w:r>
        <w:rPr>
          <w:rFonts w:hint="eastAsia" w:ascii="宋体" w:hAnsi="宋体" w:eastAsia="宋体"/>
        </w:rPr>
        <w:t>规划背景</w:t>
      </w:r>
      <w:bookmarkEnd w:id="1"/>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服务业是国民经济的重要组成部分，其涵盖面广、渗透力强，是当今经济发展中最具活力、增长最快的产业，其发展水平已经成为衡量国家和地区发展水平和现代化程度的重要标志。</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十三五”期间，是朝天区推进经济社会全面发展、加快实现全面小康的关键时期。大力发展服务业，是推动全区经济转型升级、加快发展的战略举措和重要抓手，是扩大就业、改善民生的内在要求，是实现贫困群众脱贫致富奔小康的重要产业支撑。</w:t>
      </w:r>
    </w:p>
    <w:p>
      <w:pPr>
        <w:spacing w:line="600" w:lineRule="exact"/>
        <w:ind w:firstLine="640" w:firstLineChars="200"/>
        <w:rPr>
          <w:rFonts w:ascii="仿宋" w:hAnsi="仿宋" w:eastAsia="仿宋" w:cs="仿宋"/>
          <w:sz w:val="32"/>
          <w:szCs w:val="32"/>
        </w:rPr>
      </w:pPr>
      <w:bookmarkStart w:id="2" w:name="_Toc442107590"/>
      <w:r>
        <w:rPr>
          <w:rFonts w:hint="eastAsia" w:ascii="仿宋" w:hAnsi="仿宋" w:eastAsia="仿宋" w:cs="仿宋"/>
          <w:sz w:val="32"/>
          <w:szCs w:val="32"/>
        </w:rPr>
        <w:t>《朝天区“十三五”现代服务业发展规划》是落实《朝天区国民经济和社会发展第十三个五年规划纲要》要求、指导朝天区现代服务业发展的总体部署，是编制服务业各领域专项规划（指导意见）和地方服务业发展规划的重要依据。</w:t>
      </w:r>
    </w:p>
    <w:p>
      <w:pPr>
        <w:pStyle w:val="3"/>
        <w:spacing w:line="600" w:lineRule="exact"/>
        <w:jc w:val="center"/>
        <w:rPr>
          <w:rFonts w:ascii="仿宋" w:hAnsi="仿宋" w:eastAsia="仿宋" w:cs="仿宋"/>
        </w:rPr>
      </w:pPr>
      <w:r>
        <w:rPr>
          <w:rFonts w:hint="eastAsia" w:ascii="仿宋" w:hAnsi="仿宋" w:eastAsia="仿宋" w:cs="仿宋"/>
        </w:rPr>
        <w:t>第二节</w:t>
      </w:r>
      <w:r>
        <w:rPr>
          <w:rFonts w:ascii="仿宋" w:hAnsi="仿宋" w:eastAsia="仿宋" w:cs="仿宋"/>
        </w:rPr>
        <w:t xml:space="preserve">  </w:t>
      </w:r>
      <w:r>
        <w:rPr>
          <w:rFonts w:hint="eastAsia" w:ascii="仿宋" w:hAnsi="仿宋" w:eastAsia="仿宋" w:cs="仿宋"/>
        </w:rPr>
        <w:t>编制依据</w:t>
      </w:r>
      <w:bookmarkEnd w:id="2"/>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中共中央《关于制定国民经济和社会发展第十三个五年规划的建议》</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《国家新型城镇化规划（</w:t>
      </w:r>
      <w:r>
        <w:rPr>
          <w:rFonts w:ascii="仿宋" w:hAnsi="仿宋" w:eastAsia="仿宋" w:cs="仿宋"/>
          <w:sz w:val="32"/>
          <w:szCs w:val="32"/>
        </w:rPr>
        <w:t>2014-2020</w:t>
      </w:r>
      <w:r>
        <w:rPr>
          <w:rFonts w:hint="eastAsia" w:ascii="仿宋" w:hAnsi="仿宋" w:eastAsia="仿宋" w:cs="仿宋"/>
          <w:sz w:val="32"/>
          <w:szCs w:val="32"/>
        </w:rPr>
        <w:t>年）》</w:t>
      </w:r>
    </w:p>
    <w:p>
      <w:pPr>
        <w:spacing w:line="600" w:lineRule="exact"/>
        <w:ind w:firstLine="640" w:firstLineChars="200"/>
        <w:rPr>
          <w:rFonts w:ascii="仿宋" w:hAnsi="仿宋" w:eastAsia="仿宋" w:cs="仿宋"/>
          <w:sz w:val="32"/>
          <w:szCs w:val="32"/>
        </w:rPr>
        <w:sectPr>
          <w:footerReference r:id="rId5" w:type="default"/>
          <w:pgSz w:w="11906" w:h="16838"/>
          <w:pgMar w:top="1440" w:right="1800" w:bottom="1440" w:left="1800" w:header="851" w:footer="992" w:gutter="0"/>
          <w:pgNumType w:start="1"/>
          <w:cols w:space="425" w:num="1"/>
          <w:docGrid w:type="lines" w:linePitch="312" w:charSpace="0"/>
        </w:sectPr>
      </w:pP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国务院《服务业发展“十三五”规划》</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《四川省主体功能区规划》</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《四川省人民政府关于加快发展服务业的若干意见》　　</w:t>
      </w:r>
      <w:r>
        <w:rPr>
          <w:rFonts w:ascii="仿宋" w:hAnsi="仿宋" w:eastAsia="仿宋" w:cs="仿宋"/>
          <w:sz w:val="32"/>
          <w:szCs w:val="32"/>
        </w:rPr>
        <w:t>(</w:t>
      </w:r>
      <w:r>
        <w:rPr>
          <w:rFonts w:hint="eastAsia" w:ascii="仿宋" w:hAnsi="仿宋" w:eastAsia="仿宋" w:cs="仿宋"/>
          <w:sz w:val="32"/>
          <w:szCs w:val="32"/>
        </w:rPr>
        <w:t>川府发</w:t>
      </w:r>
      <w:r>
        <w:rPr>
          <w:rFonts w:ascii="仿宋" w:hAnsi="仿宋" w:eastAsia="仿宋" w:cs="仿宋"/>
          <w:sz w:val="32"/>
          <w:szCs w:val="32"/>
        </w:rPr>
        <w:t>[2009]24</w:t>
      </w:r>
      <w:r>
        <w:rPr>
          <w:rFonts w:hint="eastAsia" w:ascii="仿宋" w:hAnsi="仿宋" w:eastAsia="仿宋" w:cs="仿宋"/>
          <w:sz w:val="32"/>
          <w:szCs w:val="32"/>
        </w:rPr>
        <w:t>号</w:t>
      </w:r>
      <w:r>
        <w:rPr>
          <w:rFonts w:ascii="仿宋" w:hAnsi="仿宋" w:eastAsia="仿宋" w:cs="仿宋"/>
          <w:sz w:val="32"/>
          <w:szCs w:val="32"/>
        </w:rPr>
        <w:t xml:space="preserve">) </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 xml:space="preserve">6. </w:t>
      </w:r>
      <w:r>
        <w:rPr>
          <w:rFonts w:hint="eastAsia" w:ascii="仿宋" w:hAnsi="仿宋" w:eastAsia="仿宋" w:cs="仿宋"/>
          <w:sz w:val="32"/>
          <w:szCs w:val="32"/>
        </w:rPr>
        <w:t>《四川省服务业“十三五”发展规划》</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《广元市国民经济和社会发展第十三个五年规划纲要》</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《广元市服务业“十三五”发展规划》</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9.</w:t>
      </w:r>
      <w:r>
        <w:rPr>
          <w:rFonts w:hint="eastAsia" w:ascii="仿宋" w:hAnsi="仿宋" w:eastAsia="仿宋" w:cs="仿宋"/>
          <w:sz w:val="32"/>
          <w:szCs w:val="32"/>
        </w:rPr>
        <w:t>《朝天区国民经济和社会发展第十三个五年规划纲要》</w:t>
      </w:r>
    </w:p>
    <w:p>
      <w:pPr>
        <w:pStyle w:val="2"/>
        <w:spacing w:beforeLines="50" w:afterLines="50" w:line="600" w:lineRule="exact"/>
        <w:jc w:val="center"/>
        <w:rPr>
          <w:rFonts w:ascii="黑体" w:hAnsi="黑体" w:eastAsia="黑体" w:cs="黑体"/>
          <w:b w:val="0"/>
          <w:bCs w:val="0"/>
          <w:sz w:val="36"/>
          <w:szCs w:val="36"/>
        </w:rPr>
      </w:pPr>
      <w:bookmarkStart w:id="3" w:name="_Toc442107591"/>
      <w:r>
        <w:rPr>
          <w:rFonts w:hint="eastAsia" w:ascii="黑体" w:hAnsi="黑体" w:eastAsia="黑体" w:cs="黑体"/>
          <w:b w:val="0"/>
          <w:bCs w:val="0"/>
          <w:sz w:val="36"/>
          <w:szCs w:val="36"/>
        </w:rPr>
        <w:t>第二章</w:t>
      </w:r>
      <w:r>
        <w:rPr>
          <w:rFonts w:ascii="黑体" w:hAnsi="黑体" w:eastAsia="黑体" w:cs="黑体"/>
          <w:b w:val="0"/>
          <w:bCs w:val="0"/>
          <w:sz w:val="36"/>
          <w:szCs w:val="36"/>
        </w:rPr>
        <w:t xml:space="preserve">  </w:t>
      </w:r>
      <w:r>
        <w:rPr>
          <w:rFonts w:hint="eastAsia" w:ascii="黑体" w:hAnsi="黑体" w:eastAsia="黑体" w:cs="黑体"/>
          <w:b w:val="0"/>
          <w:bCs w:val="0"/>
          <w:sz w:val="36"/>
          <w:szCs w:val="36"/>
        </w:rPr>
        <w:t>发展基础</w:t>
      </w:r>
      <w:bookmarkEnd w:id="3"/>
    </w:p>
    <w:p>
      <w:pPr>
        <w:pStyle w:val="3"/>
        <w:spacing w:line="600" w:lineRule="exact"/>
        <w:jc w:val="center"/>
        <w:rPr>
          <w:rFonts w:ascii="仿宋" w:hAnsi="仿宋" w:eastAsia="仿宋" w:cs="仿宋"/>
        </w:rPr>
      </w:pPr>
      <w:bookmarkStart w:id="4" w:name="_Toc442107592"/>
      <w:r>
        <w:rPr>
          <w:rFonts w:hint="eastAsia" w:ascii="仿宋" w:hAnsi="仿宋" w:eastAsia="仿宋" w:cs="仿宋"/>
        </w:rPr>
        <w:t>第一节</w:t>
      </w:r>
      <w:r>
        <w:rPr>
          <w:rFonts w:ascii="仿宋" w:hAnsi="仿宋" w:eastAsia="仿宋" w:cs="仿宋"/>
        </w:rPr>
        <w:t xml:space="preserve"> </w:t>
      </w:r>
      <w:r>
        <w:rPr>
          <w:rFonts w:hint="eastAsia" w:ascii="仿宋" w:hAnsi="仿宋" w:eastAsia="仿宋" w:cs="仿宋"/>
        </w:rPr>
        <w:t>发展现状</w:t>
      </w:r>
      <w:bookmarkEnd w:id="4"/>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一、总量规模不断扩大。</w:t>
      </w:r>
    </w:p>
    <w:p>
      <w:pPr>
        <w:spacing w:line="600" w:lineRule="exact"/>
        <w:ind w:firstLine="640" w:firstLineChars="200"/>
        <w:rPr>
          <w:rFonts w:ascii="仿宋" w:hAnsi="仿宋" w:eastAsia="仿宋" w:cs="仿宋"/>
          <w:color w:val="FF0000"/>
          <w:sz w:val="32"/>
          <w:szCs w:val="32"/>
        </w:rPr>
      </w:pPr>
      <w:r>
        <w:rPr>
          <w:rFonts w:hint="eastAsia" w:ascii="仿宋" w:hAnsi="仿宋" w:eastAsia="仿宋" w:cs="仿宋"/>
          <w:sz w:val="32"/>
          <w:szCs w:val="32"/>
        </w:rPr>
        <w:t>“十二五”以来我区服务业呈现平稳增长趋势，累计实现服务业增加值</w:t>
      </w:r>
      <w:r>
        <w:rPr>
          <w:rFonts w:ascii="仿宋" w:hAnsi="仿宋" w:eastAsia="仿宋" w:cs="仿宋"/>
          <w:sz w:val="32"/>
          <w:szCs w:val="32"/>
        </w:rPr>
        <w:t>41.96</w:t>
      </w:r>
      <w:r>
        <w:rPr>
          <w:rFonts w:hint="eastAsia" w:ascii="仿宋" w:hAnsi="仿宋" w:eastAsia="仿宋" w:cs="仿宋"/>
          <w:sz w:val="32"/>
          <w:szCs w:val="32"/>
        </w:rPr>
        <w:t>亿元，年均增长</w:t>
      </w:r>
      <w:r>
        <w:rPr>
          <w:rFonts w:ascii="仿宋" w:hAnsi="仿宋" w:eastAsia="仿宋" w:cs="仿宋"/>
          <w:sz w:val="32"/>
          <w:szCs w:val="32"/>
        </w:rPr>
        <w:t>9.8%</w:t>
      </w:r>
      <w:r>
        <w:rPr>
          <w:rFonts w:hint="eastAsia" w:ascii="仿宋" w:hAnsi="仿宋" w:eastAsia="仿宋" w:cs="仿宋"/>
          <w:sz w:val="32"/>
          <w:szCs w:val="32"/>
        </w:rPr>
        <w:t>。</w:t>
      </w:r>
      <w:r>
        <w:rPr>
          <w:rFonts w:ascii="仿宋" w:hAnsi="仿宋" w:eastAsia="仿宋" w:cs="仿宋"/>
          <w:sz w:val="32"/>
          <w:szCs w:val="32"/>
        </w:rPr>
        <w:t>2015</w:t>
      </w:r>
      <w:r>
        <w:rPr>
          <w:rFonts w:hint="eastAsia" w:ascii="仿宋" w:hAnsi="仿宋" w:eastAsia="仿宋" w:cs="仿宋"/>
          <w:sz w:val="32"/>
          <w:szCs w:val="32"/>
        </w:rPr>
        <w:t>年，我区实现服务业增加值</w:t>
      </w:r>
      <w:r>
        <w:rPr>
          <w:rFonts w:ascii="仿宋" w:hAnsi="仿宋" w:eastAsia="仿宋" w:cs="仿宋"/>
          <w:sz w:val="32"/>
          <w:szCs w:val="32"/>
        </w:rPr>
        <w:t>10.35</w:t>
      </w:r>
      <w:r>
        <w:rPr>
          <w:rFonts w:hint="eastAsia" w:ascii="仿宋" w:hAnsi="仿宋" w:eastAsia="仿宋" w:cs="仿宋"/>
          <w:sz w:val="32"/>
          <w:szCs w:val="32"/>
        </w:rPr>
        <w:t>亿元，同比增长</w:t>
      </w:r>
      <w:r>
        <w:rPr>
          <w:rFonts w:ascii="仿宋" w:hAnsi="仿宋" w:eastAsia="仿宋" w:cs="仿宋"/>
          <w:sz w:val="32"/>
          <w:szCs w:val="32"/>
        </w:rPr>
        <w:t>10.1%</w:t>
      </w:r>
      <w:r>
        <w:rPr>
          <w:rFonts w:hint="eastAsia" w:ascii="仿宋" w:hAnsi="仿宋" w:eastAsia="仿宋" w:cs="仿宋"/>
          <w:sz w:val="32"/>
          <w:szCs w:val="32"/>
        </w:rPr>
        <w:t>，服务业占</w:t>
      </w:r>
      <w:r>
        <w:rPr>
          <w:rFonts w:ascii="仿宋" w:hAnsi="仿宋" w:eastAsia="仿宋" w:cs="仿宋"/>
          <w:sz w:val="32"/>
          <w:szCs w:val="32"/>
        </w:rPr>
        <w:t>GDP</w:t>
      </w:r>
      <w:r>
        <w:rPr>
          <w:rFonts w:hint="eastAsia" w:ascii="仿宋" w:hAnsi="仿宋" w:eastAsia="仿宋" w:cs="仿宋"/>
          <w:sz w:val="32"/>
          <w:szCs w:val="32"/>
        </w:rPr>
        <w:t>的比重达到</w:t>
      </w:r>
      <w:r>
        <w:rPr>
          <w:rFonts w:ascii="仿宋" w:hAnsi="仿宋" w:eastAsia="仿宋" w:cs="仿宋"/>
          <w:sz w:val="32"/>
          <w:szCs w:val="32"/>
        </w:rPr>
        <w:t>28.5%</w:t>
      </w:r>
      <w:r>
        <w:rPr>
          <w:rFonts w:hint="eastAsia" w:ascii="仿宋" w:hAnsi="仿宋" w:eastAsia="仿宋" w:cs="仿宋"/>
          <w:sz w:val="32"/>
          <w:szCs w:val="32"/>
        </w:rPr>
        <w:t>，成为拉动我区经济增长的重要动力。</w:t>
      </w:r>
    </w:p>
    <w:p>
      <w:pPr>
        <w:spacing w:line="600" w:lineRule="exact"/>
        <w:ind w:firstLine="803" w:firstLineChars="250"/>
        <w:rPr>
          <w:rFonts w:ascii="仿宋" w:hAnsi="仿宋" w:eastAsia="仿宋" w:cs="仿宋"/>
          <w:b/>
          <w:bCs/>
          <w:sz w:val="32"/>
          <w:szCs w:val="32"/>
        </w:rPr>
      </w:pPr>
      <w:r>
        <w:rPr>
          <w:rFonts w:hint="eastAsia" w:ascii="仿宋" w:hAnsi="仿宋" w:eastAsia="仿宋" w:cs="仿宋"/>
          <w:b/>
          <w:bCs/>
          <w:sz w:val="32"/>
          <w:szCs w:val="32"/>
        </w:rPr>
        <w:t>表一：</w:t>
      </w:r>
      <w:r>
        <w:rPr>
          <w:rFonts w:ascii="仿宋" w:hAnsi="仿宋" w:eastAsia="仿宋" w:cs="仿宋"/>
          <w:b/>
          <w:bCs/>
          <w:sz w:val="32"/>
          <w:szCs w:val="32"/>
        </w:rPr>
        <w:t>2011</w:t>
      </w:r>
      <w:r>
        <w:rPr>
          <w:rFonts w:hint="eastAsia" w:ascii="仿宋" w:hAnsi="仿宋" w:eastAsia="仿宋" w:cs="仿宋"/>
          <w:b/>
          <w:bCs/>
          <w:sz w:val="32"/>
          <w:szCs w:val="32"/>
        </w:rPr>
        <w:t>年</w:t>
      </w:r>
      <w:r>
        <w:rPr>
          <w:rFonts w:ascii="仿宋" w:hAnsi="仿宋" w:eastAsia="仿宋" w:cs="仿宋"/>
          <w:b/>
          <w:bCs/>
          <w:sz w:val="32"/>
          <w:szCs w:val="32"/>
        </w:rPr>
        <w:t>-2015</w:t>
      </w:r>
      <w:r>
        <w:rPr>
          <w:rFonts w:hint="eastAsia" w:ascii="仿宋" w:hAnsi="仿宋" w:eastAsia="仿宋" w:cs="仿宋"/>
          <w:b/>
          <w:bCs/>
          <w:sz w:val="32"/>
          <w:szCs w:val="32"/>
        </w:rPr>
        <w:t>年朝天区服务业增加值及增幅</w:t>
      </w:r>
    </w:p>
    <w:tbl>
      <w:tblPr>
        <w:tblStyle w:val="9"/>
        <w:tblW w:w="9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3673"/>
        <w:gridCol w:w="2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spacing w:line="600" w:lineRule="exact"/>
              <w:ind w:firstLine="481" w:firstLineChars="200"/>
              <w:jc w:val="center"/>
              <w:rPr>
                <w:rFonts w:ascii="仿宋" w:hAnsi="仿宋" w:eastAsia="仿宋" w:cs="仿宋"/>
                <w:b/>
                <w:bCs/>
                <w:sz w:val="24"/>
                <w:szCs w:val="24"/>
              </w:rPr>
            </w:pPr>
            <w:r>
              <w:rPr>
                <w:rFonts w:hint="eastAsia" w:ascii="仿宋" w:hAnsi="仿宋" w:eastAsia="仿宋" w:cs="仿宋"/>
                <w:b/>
                <w:bCs/>
                <w:sz w:val="24"/>
                <w:szCs w:val="24"/>
              </w:rPr>
              <w:t>年份</w:t>
            </w:r>
          </w:p>
        </w:tc>
        <w:tc>
          <w:tcPr>
            <w:tcW w:w="3673" w:type="dxa"/>
          </w:tcPr>
          <w:p>
            <w:pPr>
              <w:spacing w:line="600" w:lineRule="exact"/>
              <w:ind w:firstLine="120" w:firstLineChars="50"/>
              <w:jc w:val="center"/>
              <w:rPr>
                <w:rFonts w:ascii="仿宋" w:hAnsi="仿宋" w:eastAsia="仿宋" w:cs="仿宋"/>
                <w:b/>
                <w:bCs/>
                <w:sz w:val="24"/>
                <w:szCs w:val="24"/>
              </w:rPr>
            </w:pPr>
            <w:r>
              <w:rPr>
                <w:rFonts w:hint="eastAsia" w:ascii="仿宋" w:hAnsi="仿宋" w:eastAsia="仿宋" w:cs="仿宋"/>
                <w:b/>
                <w:bCs/>
                <w:sz w:val="24"/>
                <w:szCs w:val="24"/>
              </w:rPr>
              <w:t>增加值（亿元）</w:t>
            </w:r>
          </w:p>
        </w:tc>
        <w:tc>
          <w:tcPr>
            <w:tcW w:w="2912" w:type="dxa"/>
          </w:tcPr>
          <w:p>
            <w:pPr>
              <w:spacing w:line="600" w:lineRule="exact"/>
              <w:ind w:firstLine="481" w:firstLineChars="200"/>
              <w:jc w:val="center"/>
              <w:rPr>
                <w:rFonts w:ascii="仿宋" w:hAnsi="仿宋" w:eastAsia="仿宋" w:cs="仿宋"/>
                <w:b/>
                <w:bCs/>
                <w:sz w:val="24"/>
                <w:szCs w:val="24"/>
              </w:rPr>
            </w:pPr>
            <w:r>
              <w:rPr>
                <w:rFonts w:hint="eastAsia" w:ascii="仿宋" w:hAnsi="仿宋" w:eastAsia="仿宋" w:cs="仿宋"/>
                <w:b/>
                <w:bCs/>
                <w:sz w:val="24"/>
                <w:szCs w:val="24"/>
              </w:rPr>
              <w:t>增幅（</w:t>
            </w:r>
            <w:r>
              <w:rPr>
                <w:rFonts w:ascii="仿宋" w:hAnsi="仿宋" w:eastAsia="仿宋" w:cs="仿宋"/>
                <w:b/>
                <w:bCs/>
                <w:sz w:val="24"/>
                <w:szCs w:val="24"/>
              </w:rPr>
              <w:t>%</w:t>
            </w:r>
            <w:r>
              <w:rPr>
                <w:rFonts w:hint="eastAsia" w:ascii="仿宋" w:hAnsi="仿宋" w:eastAsia="仿宋" w:cs="仿宋"/>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spacing w:line="600" w:lineRule="exact"/>
              <w:ind w:firstLine="480" w:firstLineChars="200"/>
              <w:jc w:val="center"/>
              <w:rPr>
                <w:rFonts w:ascii="仿宋" w:hAnsi="仿宋" w:eastAsia="仿宋" w:cs="仿宋"/>
                <w:sz w:val="24"/>
                <w:szCs w:val="24"/>
              </w:rPr>
            </w:pPr>
            <w:r>
              <w:rPr>
                <w:rFonts w:ascii="仿宋" w:hAnsi="仿宋" w:eastAsia="仿宋" w:cs="仿宋"/>
                <w:sz w:val="24"/>
                <w:szCs w:val="24"/>
              </w:rPr>
              <w:t>2011</w:t>
            </w:r>
          </w:p>
        </w:tc>
        <w:tc>
          <w:tcPr>
            <w:tcW w:w="3673" w:type="dxa"/>
          </w:tcPr>
          <w:p>
            <w:pPr>
              <w:spacing w:line="600" w:lineRule="exact"/>
              <w:ind w:firstLine="840" w:firstLineChars="350"/>
              <w:jc w:val="center"/>
              <w:rPr>
                <w:rFonts w:ascii="仿宋" w:hAnsi="仿宋" w:eastAsia="仿宋" w:cs="仿宋"/>
                <w:sz w:val="24"/>
                <w:szCs w:val="24"/>
              </w:rPr>
            </w:pPr>
            <w:r>
              <w:rPr>
                <w:rFonts w:ascii="仿宋" w:hAnsi="仿宋" w:eastAsia="仿宋" w:cs="仿宋"/>
                <w:sz w:val="24"/>
                <w:szCs w:val="24"/>
              </w:rPr>
              <w:t>6.59</w:t>
            </w:r>
          </w:p>
        </w:tc>
        <w:tc>
          <w:tcPr>
            <w:tcW w:w="2912" w:type="dxa"/>
          </w:tcPr>
          <w:p>
            <w:pPr>
              <w:spacing w:line="600" w:lineRule="exact"/>
              <w:jc w:val="center"/>
              <w:rPr>
                <w:rFonts w:ascii="仿宋" w:hAnsi="仿宋" w:eastAsia="仿宋" w:cs="仿宋"/>
                <w:sz w:val="24"/>
                <w:szCs w:val="24"/>
              </w:rPr>
            </w:pPr>
            <w:r>
              <w:rPr>
                <w:rFonts w:ascii="仿宋" w:hAnsi="仿宋" w:eastAsia="仿宋" w:cs="仿宋"/>
                <w:sz w:val="24"/>
                <w:szCs w:val="24"/>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spacing w:line="600" w:lineRule="exact"/>
              <w:ind w:firstLine="480" w:firstLineChars="200"/>
              <w:jc w:val="center"/>
              <w:rPr>
                <w:rFonts w:ascii="仿宋" w:hAnsi="仿宋" w:eastAsia="仿宋" w:cs="仿宋"/>
                <w:sz w:val="24"/>
                <w:szCs w:val="24"/>
              </w:rPr>
            </w:pPr>
            <w:r>
              <w:rPr>
                <w:rFonts w:ascii="仿宋" w:hAnsi="仿宋" w:eastAsia="仿宋" w:cs="仿宋"/>
                <w:sz w:val="24"/>
                <w:szCs w:val="24"/>
              </w:rPr>
              <w:t>2012</w:t>
            </w:r>
          </w:p>
        </w:tc>
        <w:tc>
          <w:tcPr>
            <w:tcW w:w="3673" w:type="dxa"/>
          </w:tcPr>
          <w:p>
            <w:pPr>
              <w:spacing w:line="600" w:lineRule="exact"/>
              <w:ind w:firstLine="840" w:firstLineChars="350"/>
              <w:jc w:val="center"/>
              <w:rPr>
                <w:rFonts w:ascii="仿宋" w:hAnsi="仿宋" w:eastAsia="仿宋" w:cs="仿宋"/>
                <w:sz w:val="24"/>
                <w:szCs w:val="24"/>
              </w:rPr>
            </w:pPr>
            <w:r>
              <w:rPr>
                <w:rFonts w:ascii="仿宋" w:hAnsi="仿宋" w:eastAsia="仿宋" w:cs="仿宋"/>
                <w:sz w:val="24"/>
                <w:szCs w:val="24"/>
              </w:rPr>
              <w:t>7.49</w:t>
            </w:r>
          </w:p>
        </w:tc>
        <w:tc>
          <w:tcPr>
            <w:tcW w:w="2912" w:type="dxa"/>
          </w:tcPr>
          <w:p>
            <w:pPr>
              <w:spacing w:line="600" w:lineRule="exact"/>
              <w:jc w:val="center"/>
              <w:rPr>
                <w:rFonts w:ascii="仿宋" w:hAnsi="仿宋" w:eastAsia="仿宋" w:cs="仿宋"/>
                <w:sz w:val="24"/>
                <w:szCs w:val="24"/>
              </w:rPr>
            </w:pPr>
            <w:r>
              <w:rPr>
                <w:rFonts w:ascii="仿宋" w:hAnsi="仿宋" w:eastAsia="仿宋" w:cs="仿宋"/>
                <w:sz w:val="24"/>
                <w:szCs w:val="24"/>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43" w:type="dxa"/>
          </w:tcPr>
          <w:p>
            <w:pPr>
              <w:spacing w:line="600" w:lineRule="exact"/>
              <w:ind w:firstLine="480" w:firstLineChars="200"/>
              <w:jc w:val="center"/>
              <w:rPr>
                <w:rFonts w:ascii="仿宋" w:hAnsi="仿宋" w:eastAsia="仿宋" w:cs="仿宋"/>
                <w:sz w:val="24"/>
                <w:szCs w:val="24"/>
              </w:rPr>
            </w:pPr>
            <w:r>
              <w:rPr>
                <w:rFonts w:ascii="仿宋" w:hAnsi="仿宋" w:eastAsia="仿宋" w:cs="仿宋"/>
                <w:sz w:val="24"/>
                <w:szCs w:val="24"/>
              </w:rPr>
              <w:t>2013</w:t>
            </w:r>
          </w:p>
        </w:tc>
        <w:tc>
          <w:tcPr>
            <w:tcW w:w="3673" w:type="dxa"/>
          </w:tcPr>
          <w:p>
            <w:pPr>
              <w:spacing w:line="600" w:lineRule="exact"/>
              <w:ind w:firstLine="840" w:firstLineChars="350"/>
              <w:jc w:val="center"/>
              <w:rPr>
                <w:rFonts w:ascii="仿宋" w:hAnsi="仿宋" w:eastAsia="仿宋" w:cs="仿宋"/>
                <w:sz w:val="24"/>
                <w:szCs w:val="24"/>
              </w:rPr>
            </w:pPr>
            <w:r>
              <w:rPr>
                <w:rFonts w:ascii="仿宋" w:hAnsi="仿宋" w:eastAsia="仿宋" w:cs="仿宋"/>
                <w:sz w:val="24"/>
                <w:szCs w:val="24"/>
              </w:rPr>
              <w:t>8.17</w:t>
            </w:r>
          </w:p>
        </w:tc>
        <w:tc>
          <w:tcPr>
            <w:tcW w:w="2912" w:type="dxa"/>
          </w:tcPr>
          <w:p>
            <w:pPr>
              <w:spacing w:line="600" w:lineRule="exact"/>
              <w:jc w:val="center"/>
              <w:rPr>
                <w:rFonts w:ascii="仿宋" w:hAnsi="仿宋" w:eastAsia="仿宋" w:cs="仿宋"/>
                <w:sz w:val="24"/>
                <w:szCs w:val="24"/>
              </w:rPr>
            </w:pPr>
            <w:r>
              <w:rPr>
                <w:rFonts w:ascii="仿宋" w:hAnsi="仿宋" w:eastAsia="仿宋" w:cs="仿宋"/>
                <w:sz w:val="24"/>
                <w:szCs w:val="24"/>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spacing w:line="600" w:lineRule="exact"/>
              <w:ind w:firstLine="480" w:firstLineChars="200"/>
              <w:jc w:val="center"/>
              <w:rPr>
                <w:rFonts w:ascii="仿宋" w:hAnsi="仿宋" w:eastAsia="仿宋" w:cs="仿宋"/>
                <w:sz w:val="24"/>
                <w:szCs w:val="24"/>
              </w:rPr>
            </w:pPr>
            <w:r>
              <w:rPr>
                <w:rFonts w:ascii="仿宋" w:hAnsi="仿宋" w:eastAsia="仿宋" w:cs="仿宋"/>
                <w:sz w:val="24"/>
                <w:szCs w:val="24"/>
              </w:rPr>
              <w:t>2014</w:t>
            </w:r>
          </w:p>
        </w:tc>
        <w:tc>
          <w:tcPr>
            <w:tcW w:w="3673" w:type="dxa"/>
          </w:tcPr>
          <w:p>
            <w:pPr>
              <w:spacing w:line="600" w:lineRule="exact"/>
              <w:ind w:firstLine="840" w:firstLineChars="350"/>
              <w:jc w:val="center"/>
              <w:rPr>
                <w:rFonts w:ascii="仿宋" w:hAnsi="仿宋" w:eastAsia="仿宋" w:cs="仿宋"/>
                <w:sz w:val="24"/>
                <w:szCs w:val="24"/>
              </w:rPr>
            </w:pPr>
            <w:r>
              <w:rPr>
                <w:rFonts w:ascii="仿宋" w:hAnsi="仿宋" w:eastAsia="仿宋" w:cs="仿宋"/>
                <w:sz w:val="24"/>
                <w:szCs w:val="24"/>
              </w:rPr>
              <w:t>9.36</w:t>
            </w:r>
          </w:p>
        </w:tc>
        <w:tc>
          <w:tcPr>
            <w:tcW w:w="2912" w:type="dxa"/>
          </w:tcPr>
          <w:p>
            <w:pPr>
              <w:spacing w:line="600" w:lineRule="exact"/>
              <w:jc w:val="center"/>
              <w:rPr>
                <w:rFonts w:ascii="仿宋" w:hAnsi="仿宋" w:eastAsia="仿宋" w:cs="仿宋"/>
                <w:sz w:val="24"/>
                <w:szCs w:val="24"/>
              </w:rPr>
            </w:pPr>
            <w:r>
              <w:rPr>
                <w:rFonts w:ascii="仿宋" w:hAnsi="仿宋" w:eastAsia="仿宋" w:cs="仿宋"/>
                <w:sz w:val="24"/>
                <w:szCs w:val="24"/>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spacing w:line="600" w:lineRule="exact"/>
              <w:ind w:firstLine="480" w:firstLineChars="200"/>
              <w:jc w:val="center"/>
              <w:rPr>
                <w:rFonts w:ascii="仿宋" w:hAnsi="仿宋" w:eastAsia="仿宋" w:cs="仿宋"/>
                <w:sz w:val="24"/>
                <w:szCs w:val="24"/>
              </w:rPr>
            </w:pPr>
            <w:r>
              <w:rPr>
                <w:rFonts w:ascii="仿宋" w:hAnsi="仿宋" w:eastAsia="仿宋" w:cs="仿宋"/>
                <w:sz w:val="24"/>
                <w:szCs w:val="24"/>
              </w:rPr>
              <w:t>2015</w:t>
            </w:r>
          </w:p>
        </w:tc>
        <w:tc>
          <w:tcPr>
            <w:tcW w:w="3673" w:type="dxa"/>
          </w:tcPr>
          <w:p>
            <w:pPr>
              <w:spacing w:line="600" w:lineRule="exact"/>
              <w:ind w:firstLine="840" w:firstLineChars="350"/>
              <w:jc w:val="center"/>
              <w:rPr>
                <w:rFonts w:ascii="仿宋" w:hAnsi="仿宋" w:eastAsia="仿宋" w:cs="仿宋"/>
                <w:sz w:val="24"/>
                <w:szCs w:val="24"/>
              </w:rPr>
            </w:pPr>
            <w:r>
              <w:rPr>
                <w:rFonts w:ascii="仿宋" w:hAnsi="仿宋" w:eastAsia="仿宋" w:cs="仿宋"/>
                <w:sz w:val="24"/>
                <w:szCs w:val="24"/>
              </w:rPr>
              <w:t>10.35</w:t>
            </w:r>
          </w:p>
        </w:tc>
        <w:tc>
          <w:tcPr>
            <w:tcW w:w="2912" w:type="dxa"/>
          </w:tcPr>
          <w:p>
            <w:pPr>
              <w:spacing w:line="600" w:lineRule="exact"/>
              <w:jc w:val="center"/>
              <w:rPr>
                <w:rFonts w:ascii="仿宋" w:hAnsi="仿宋" w:eastAsia="仿宋" w:cs="仿宋"/>
                <w:sz w:val="24"/>
                <w:szCs w:val="24"/>
              </w:rPr>
            </w:pPr>
            <w:r>
              <w:rPr>
                <w:rFonts w:ascii="仿宋" w:hAnsi="仿宋" w:eastAsia="仿宋" w:cs="仿宋"/>
                <w:sz w:val="24"/>
                <w:szCs w:val="24"/>
              </w:rPr>
              <w:t>10.1</w:t>
            </w:r>
          </w:p>
        </w:tc>
      </w:tr>
    </w:tbl>
    <w:p>
      <w:pPr>
        <w:spacing w:line="600" w:lineRule="exact"/>
        <w:rPr>
          <w:rFonts w:ascii="仿宋" w:hAnsi="仿宋" w:eastAsia="仿宋" w:cs="仿宋"/>
          <w:color w:val="FF0000"/>
          <w:sz w:val="32"/>
          <w:szCs w:val="32"/>
        </w:rPr>
      </w:pPr>
    </w:p>
    <w:p>
      <w:pPr>
        <w:numPr>
          <w:ilvl w:val="0"/>
          <w:numId w:val="1"/>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内部结构不断优化</w:t>
      </w:r>
    </w:p>
    <w:p>
      <w:pPr>
        <w:spacing w:line="600" w:lineRule="exact"/>
        <w:ind w:firstLine="640"/>
        <w:rPr>
          <w:rFonts w:ascii="仿宋" w:hAnsi="仿宋" w:eastAsia="仿宋" w:cs="仿宋"/>
          <w:color w:val="FF0000"/>
          <w:sz w:val="32"/>
          <w:szCs w:val="32"/>
        </w:rPr>
      </w:pPr>
      <w:r>
        <w:rPr>
          <w:rFonts w:hint="eastAsia" w:ascii="仿宋" w:hAnsi="仿宋" w:eastAsia="仿宋" w:cs="仿宋"/>
          <w:kern w:val="0"/>
          <w:sz w:val="32"/>
          <w:szCs w:val="32"/>
        </w:rPr>
        <w:t>“十二五“以来，朝天区服务业行业结构逐步优化，</w:t>
      </w:r>
      <w:r>
        <w:rPr>
          <w:rFonts w:hint="eastAsia" w:ascii="仿宋" w:hAnsi="仿宋" w:eastAsia="仿宋" w:cs="仿宋"/>
          <w:bCs/>
          <w:sz w:val="32"/>
          <w:szCs w:val="32"/>
        </w:rPr>
        <w:t>以交通运输、批发零售和住宿餐饮为主的传统服务业比重逐步下降；金融、房地产、信息技术、物流、电子商务等现代服务业发展迅速，比重明显上升。</w:t>
      </w:r>
      <w:r>
        <w:rPr>
          <w:rFonts w:ascii="仿宋" w:hAnsi="仿宋" w:eastAsia="仿宋" w:cs="仿宋"/>
          <w:bCs/>
          <w:sz w:val="32"/>
          <w:szCs w:val="32"/>
        </w:rPr>
        <w:t>2015</w:t>
      </w:r>
      <w:r>
        <w:rPr>
          <w:rFonts w:hint="eastAsia" w:ascii="仿宋" w:hAnsi="仿宋" w:eastAsia="仿宋" w:cs="仿宋"/>
          <w:bCs/>
          <w:sz w:val="32"/>
          <w:szCs w:val="32"/>
        </w:rPr>
        <w:t>年交通运输、仓储邮政、批发零售、住宿餐饮等传统服务业增加值占比</w:t>
      </w:r>
      <w:r>
        <w:rPr>
          <w:rFonts w:ascii="仿宋" w:hAnsi="仿宋" w:eastAsia="仿宋" w:cs="仿宋"/>
          <w:bCs/>
          <w:sz w:val="32"/>
          <w:szCs w:val="32"/>
        </w:rPr>
        <w:t>29.2%</w:t>
      </w:r>
      <w:r>
        <w:rPr>
          <w:rFonts w:hint="eastAsia" w:ascii="仿宋" w:hAnsi="仿宋" w:eastAsia="仿宋" w:cs="仿宋"/>
          <w:bCs/>
          <w:sz w:val="32"/>
          <w:szCs w:val="32"/>
        </w:rPr>
        <w:t>，金融、房地产等现代服务业增加值占比达到</w:t>
      </w:r>
      <w:r>
        <w:rPr>
          <w:rFonts w:ascii="仿宋" w:hAnsi="仿宋" w:eastAsia="仿宋" w:cs="仿宋"/>
          <w:bCs/>
          <w:sz w:val="32"/>
          <w:szCs w:val="32"/>
        </w:rPr>
        <w:t>11%</w:t>
      </w:r>
      <w:r>
        <w:rPr>
          <w:rFonts w:hint="eastAsia" w:ascii="仿宋" w:hAnsi="仿宋" w:eastAsia="仿宋" w:cs="仿宋"/>
          <w:bCs/>
          <w:sz w:val="32"/>
          <w:szCs w:val="32"/>
        </w:rPr>
        <w:t>。</w:t>
      </w:r>
      <w:r>
        <w:rPr>
          <w:rFonts w:ascii="仿宋" w:hAnsi="仿宋" w:eastAsia="仿宋" w:cs="仿宋"/>
          <w:bCs/>
          <w:sz w:val="32"/>
          <w:szCs w:val="32"/>
        </w:rPr>
        <w:t>2015</w:t>
      </w:r>
      <w:r>
        <w:rPr>
          <w:rFonts w:hint="eastAsia" w:ascii="仿宋" w:hAnsi="仿宋" w:eastAsia="仿宋" w:cs="仿宋"/>
          <w:bCs/>
          <w:sz w:val="32"/>
          <w:szCs w:val="32"/>
        </w:rPr>
        <w:t>年电商市场交易额实现</w:t>
      </w:r>
      <w:r>
        <w:rPr>
          <w:rFonts w:ascii="仿宋" w:hAnsi="仿宋" w:eastAsia="仿宋" w:cs="仿宋"/>
          <w:bCs/>
          <w:sz w:val="32"/>
          <w:szCs w:val="32"/>
        </w:rPr>
        <w:t>2000</w:t>
      </w:r>
      <w:r>
        <w:rPr>
          <w:rFonts w:hint="eastAsia" w:ascii="仿宋" w:hAnsi="仿宋" w:eastAsia="仿宋" w:cs="仿宋"/>
          <w:bCs/>
          <w:sz w:val="32"/>
          <w:szCs w:val="32"/>
        </w:rPr>
        <w:t>万元，同比增长</w:t>
      </w:r>
      <w:r>
        <w:rPr>
          <w:rFonts w:ascii="仿宋" w:hAnsi="仿宋" w:eastAsia="仿宋" w:cs="仿宋"/>
          <w:bCs/>
          <w:sz w:val="32"/>
          <w:szCs w:val="32"/>
        </w:rPr>
        <w:t>30%</w:t>
      </w:r>
      <w:r>
        <w:rPr>
          <w:rFonts w:hint="eastAsia" w:ascii="仿宋" w:hAnsi="仿宋" w:eastAsia="仿宋" w:cs="仿宋"/>
          <w:bCs/>
          <w:sz w:val="32"/>
          <w:szCs w:val="32"/>
        </w:rPr>
        <w:t>。</w:t>
      </w:r>
      <w:r>
        <w:rPr>
          <w:rFonts w:hint="eastAsia" w:ascii="仿宋" w:hAnsi="仿宋" w:eastAsia="仿宋" w:cs="仿宋"/>
          <w:sz w:val="32"/>
          <w:szCs w:val="32"/>
        </w:rPr>
        <w:t>旅游收入实现</w:t>
      </w:r>
      <w:r>
        <w:rPr>
          <w:rFonts w:ascii="仿宋" w:hAnsi="仿宋" w:eastAsia="仿宋" w:cs="仿宋"/>
          <w:sz w:val="32"/>
          <w:szCs w:val="32"/>
        </w:rPr>
        <w:t>21.09</w:t>
      </w:r>
      <w:r>
        <w:rPr>
          <w:rFonts w:hint="eastAsia" w:ascii="仿宋" w:hAnsi="仿宋" w:eastAsia="仿宋" w:cs="仿宋"/>
          <w:sz w:val="32"/>
          <w:szCs w:val="32"/>
        </w:rPr>
        <w:t>亿元，增长</w:t>
      </w:r>
      <w:r>
        <w:rPr>
          <w:rFonts w:ascii="仿宋" w:hAnsi="仿宋" w:eastAsia="仿宋" w:cs="仿宋"/>
          <w:sz w:val="32"/>
          <w:szCs w:val="32"/>
        </w:rPr>
        <w:t>25.06%</w:t>
      </w:r>
      <w:r>
        <w:rPr>
          <w:rFonts w:hint="eastAsia" w:ascii="仿宋" w:hAnsi="仿宋" w:eastAsia="仿宋" w:cs="仿宋"/>
          <w:sz w:val="32"/>
          <w:szCs w:val="32"/>
        </w:rPr>
        <w:t>。</w:t>
      </w:r>
      <w:r>
        <w:rPr>
          <w:rFonts w:hint="eastAsia" w:ascii="仿宋" w:hAnsi="仿宋" w:eastAsia="仿宋" w:cs="仿宋"/>
          <w:bCs/>
          <w:sz w:val="32"/>
          <w:szCs w:val="32"/>
        </w:rPr>
        <w:t>银行业金融机构各项存款余额</w:t>
      </w:r>
      <w:r>
        <w:rPr>
          <w:rFonts w:ascii="仿宋" w:hAnsi="仿宋" w:eastAsia="仿宋" w:cs="仿宋"/>
          <w:bCs/>
          <w:sz w:val="32"/>
          <w:szCs w:val="32"/>
        </w:rPr>
        <w:t>36</w:t>
      </w:r>
      <w:r>
        <w:rPr>
          <w:rFonts w:hint="eastAsia" w:ascii="仿宋" w:hAnsi="仿宋" w:eastAsia="仿宋" w:cs="仿宋"/>
          <w:bCs/>
          <w:sz w:val="32"/>
          <w:szCs w:val="32"/>
        </w:rPr>
        <w:t>亿元，增长</w:t>
      </w:r>
      <w:r>
        <w:rPr>
          <w:rFonts w:ascii="仿宋" w:hAnsi="仿宋" w:eastAsia="仿宋" w:cs="仿宋"/>
          <w:bCs/>
          <w:sz w:val="32"/>
          <w:szCs w:val="32"/>
        </w:rPr>
        <w:t>12.9%</w:t>
      </w:r>
      <w:r>
        <w:rPr>
          <w:rFonts w:hint="eastAsia" w:ascii="仿宋" w:hAnsi="仿宋" w:eastAsia="仿宋" w:cs="仿宋"/>
          <w:bCs/>
          <w:sz w:val="32"/>
          <w:szCs w:val="32"/>
        </w:rPr>
        <w:t>；各项贷款余额</w:t>
      </w:r>
      <w:r>
        <w:rPr>
          <w:rFonts w:ascii="仿宋" w:hAnsi="仿宋" w:eastAsia="仿宋" w:cs="仿宋"/>
          <w:bCs/>
          <w:sz w:val="32"/>
          <w:szCs w:val="32"/>
        </w:rPr>
        <w:t>27.1</w:t>
      </w:r>
      <w:r>
        <w:rPr>
          <w:rFonts w:hint="eastAsia" w:ascii="仿宋" w:hAnsi="仿宋" w:eastAsia="仿宋" w:cs="仿宋"/>
          <w:bCs/>
          <w:sz w:val="32"/>
          <w:szCs w:val="32"/>
        </w:rPr>
        <w:t>亿元，增长</w:t>
      </w:r>
      <w:r>
        <w:rPr>
          <w:rFonts w:ascii="仿宋" w:hAnsi="仿宋" w:eastAsia="仿宋" w:cs="仿宋"/>
          <w:bCs/>
          <w:sz w:val="32"/>
          <w:szCs w:val="32"/>
        </w:rPr>
        <w:t>28.7%</w:t>
      </w:r>
      <w:r>
        <w:rPr>
          <w:rFonts w:hint="eastAsia" w:ascii="仿宋" w:hAnsi="仿宋" w:eastAsia="仿宋" w:cs="仿宋"/>
          <w:bCs/>
          <w:sz w:val="32"/>
          <w:szCs w:val="32"/>
        </w:rPr>
        <w:t>。</w:t>
      </w:r>
    </w:p>
    <w:p>
      <w:pPr>
        <w:spacing w:line="600" w:lineRule="exact"/>
        <w:jc w:val="center"/>
        <w:rPr>
          <w:rFonts w:ascii="仿宋" w:hAnsi="仿宋" w:eastAsia="仿宋" w:cs="仿宋"/>
          <w:b/>
          <w:bCs/>
          <w:sz w:val="32"/>
          <w:szCs w:val="32"/>
        </w:rPr>
      </w:pPr>
      <w:r>
        <w:rPr>
          <w:rFonts w:hint="eastAsia" w:ascii="仿宋" w:hAnsi="仿宋" w:eastAsia="仿宋" w:cs="仿宋"/>
          <w:b/>
          <w:bCs/>
          <w:sz w:val="32"/>
          <w:szCs w:val="32"/>
        </w:rPr>
        <w:t>表二：</w:t>
      </w:r>
      <w:r>
        <w:rPr>
          <w:rFonts w:ascii="仿宋" w:hAnsi="仿宋" w:eastAsia="仿宋" w:cs="仿宋"/>
          <w:b/>
          <w:bCs/>
          <w:sz w:val="32"/>
          <w:szCs w:val="32"/>
        </w:rPr>
        <w:t>2015</w:t>
      </w:r>
      <w:r>
        <w:rPr>
          <w:rFonts w:hint="eastAsia" w:ascii="仿宋" w:hAnsi="仿宋" w:eastAsia="仿宋" w:cs="仿宋"/>
          <w:b/>
          <w:bCs/>
          <w:sz w:val="32"/>
          <w:szCs w:val="32"/>
        </w:rPr>
        <w:t>年全区服务业重点行业增加值</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2025"/>
        <w:gridCol w:w="1875"/>
        <w:gridCol w:w="2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404" w:type="dxa"/>
            <w:vAlign w:val="center"/>
          </w:tcPr>
          <w:p>
            <w:pPr>
              <w:spacing w:line="600" w:lineRule="exact"/>
              <w:jc w:val="center"/>
              <w:rPr>
                <w:rFonts w:ascii="仿宋" w:hAnsi="仿宋" w:eastAsia="仿宋" w:cs="仿宋"/>
                <w:b/>
                <w:bCs/>
                <w:sz w:val="24"/>
                <w:szCs w:val="24"/>
              </w:rPr>
            </w:pPr>
            <w:r>
              <w:rPr>
                <w:rFonts w:hint="eastAsia" w:ascii="仿宋" w:hAnsi="仿宋" w:eastAsia="仿宋" w:cs="仿宋"/>
                <w:b/>
                <w:bCs/>
                <w:sz w:val="24"/>
                <w:szCs w:val="24"/>
              </w:rPr>
              <w:t>行业类别</w:t>
            </w:r>
          </w:p>
        </w:tc>
        <w:tc>
          <w:tcPr>
            <w:tcW w:w="2025" w:type="dxa"/>
            <w:vAlign w:val="center"/>
          </w:tcPr>
          <w:p>
            <w:pPr>
              <w:spacing w:line="600" w:lineRule="exact"/>
              <w:jc w:val="center"/>
              <w:rPr>
                <w:rFonts w:ascii="仿宋" w:hAnsi="仿宋" w:eastAsia="仿宋" w:cs="仿宋"/>
                <w:b/>
                <w:bCs/>
                <w:sz w:val="24"/>
                <w:szCs w:val="24"/>
              </w:rPr>
            </w:pPr>
            <w:r>
              <w:rPr>
                <w:rFonts w:hint="eastAsia" w:ascii="仿宋" w:hAnsi="仿宋" w:eastAsia="仿宋" w:cs="仿宋"/>
                <w:b/>
                <w:bCs/>
                <w:sz w:val="24"/>
                <w:szCs w:val="24"/>
              </w:rPr>
              <w:t>增加值（亿元）</w:t>
            </w:r>
          </w:p>
        </w:tc>
        <w:tc>
          <w:tcPr>
            <w:tcW w:w="1875" w:type="dxa"/>
            <w:vAlign w:val="center"/>
          </w:tcPr>
          <w:p>
            <w:pPr>
              <w:spacing w:line="600" w:lineRule="exact"/>
              <w:jc w:val="center"/>
              <w:rPr>
                <w:rFonts w:ascii="仿宋" w:hAnsi="仿宋" w:eastAsia="仿宋" w:cs="仿宋"/>
                <w:b/>
                <w:bCs/>
                <w:sz w:val="24"/>
                <w:szCs w:val="24"/>
              </w:rPr>
            </w:pPr>
            <w:r>
              <w:rPr>
                <w:rFonts w:hint="eastAsia" w:ascii="仿宋" w:hAnsi="仿宋" w:eastAsia="仿宋" w:cs="仿宋"/>
                <w:b/>
                <w:bCs/>
                <w:sz w:val="24"/>
                <w:szCs w:val="24"/>
              </w:rPr>
              <w:t>增长（</w:t>
            </w:r>
            <w:r>
              <w:rPr>
                <w:rFonts w:ascii="仿宋" w:hAnsi="仿宋" w:eastAsia="仿宋" w:cs="仿宋"/>
                <w:b/>
                <w:bCs/>
                <w:sz w:val="24"/>
                <w:szCs w:val="24"/>
              </w:rPr>
              <w:t>%</w:t>
            </w:r>
            <w:r>
              <w:rPr>
                <w:rFonts w:hint="eastAsia" w:ascii="仿宋" w:hAnsi="仿宋" w:eastAsia="仿宋" w:cs="仿宋"/>
                <w:b/>
                <w:bCs/>
                <w:sz w:val="24"/>
                <w:szCs w:val="24"/>
              </w:rPr>
              <w:t>）</w:t>
            </w:r>
          </w:p>
        </w:tc>
        <w:tc>
          <w:tcPr>
            <w:tcW w:w="2218" w:type="dxa"/>
            <w:vAlign w:val="center"/>
          </w:tcPr>
          <w:p>
            <w:pPr>
              <w:spacing w:line="600" w:lineRule="exact"/>
              <w:jc w:val="center"/>
              <w:rPr>
                <w:rFonts w:ascii="仿宋" w:hAnsi="仿宋" w:eastAsia="仿宋" w:cs="仿宋"/>
                <w:b/>
                <w:bCs/>
                <w:color w:val="FF0000"/>
                <w:sz w:val="24"/>
                <w:szCs w:val="24"/>
              </w:rPr>
            </w:pPr>
            <w:r>
              <w:rPr>
                <w:rFonts w:hint="eastAsia" w:ascii="仿宋" w:hAnsi="仿宋" w:eastAsia="仿宋" w:cs="仿宋"/>
                <w:b/>
                <w:bCs/>
                <w:sz w:val="24"/>
                <w:szCs w:val="24"/>
              </w:rPr>
              <w:t>占比（</w:t>
            </w:r>
            <w:r>
              <w:rPr>
                <w:rFonts w:ascii="仿宋" w:hAnsi="仿宋" w:eastAsia="仿宋" w:cs="仿宋"/>
                <w:b/>
                <w:bCs/>
                <w:sz w:val="24"/>
                <w:szCs w:val="24"/>
              </w:rPr>
              <w:t>%</w:t>
            </w:r>
            <w:r>
              <w:rPr>
                <w:rFonts w:hint="eastAsia" w:ascii="仿宋" w:hAnsi="仿宋" w:eastAsia="仿宋" w:cs="仿宋"/>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404" w:type="dxa"/>
            <w:vAlign w:val="center"/>
          </w:tcPr>
          <w:p>
            <w:pPr>
              <w:spacing w:line="600" w:lineRule="exact"/>
              <w:jc w:val="center"/>
              <w:rPr>
                <w:rFonts w:ascii="仿宋" w:hAnsi="仿宋" w:eastAsia="仿宋" w:cs="仿宋"/>
                <w:sz w:val="24"/>
                <w:szCs w:val="24"/>
              </w:rPr>
            </w:pPr>
            <w:r>
              <w:rPr>
                <w:rFonts w:hint="eastAsia" w:ascii="仿宋" w:hAnsi="仿宋" w:eastAsia="仿宋" w:cs="仿宋"/>
                <w:sz w:val="24"/>
                <w:szCs w:val="24"/>
              </w:rPr>
              <w:t>服务业</w:t>
            </w:r>
          </w:p>
        </w:tc>
        <w:tc>
          <w:tcPr>
            <w:tcW w:w="2025" w:type="dxa"/>
            <w:vAlign w:val="center"/>
          </w:tcPr>
          <w:p>
            <w:pPr>
              <w:spacing w:line="600" w:lineRule="exact"/>
              <w:jc w:val="center"/>
              <w:rPr>
                <w:rFonts w:ascii="仿宋" w:hAnsi="仿宋" w:eastAsia="仿宋" w:cs="仿宋"/>
                <w:sz w:val="24"/>
                <w:szCs w:val="24"/>
              </w:rPr>
            </w:pPr>
            <w:r>
              <w:rPr>
                <w:rFonts w:ascii="仿宋" w:hAnsi="仿宋" w:eastAsia="仿宋" w:cs="仿宋"/>
                <w:sz w:val="24"/>
                <w:szCs w:val="24"/>
              </w:rPr>
              <w:t>10.35</w:t>
            </w:r>
          </w:p>
        </w:tc>
        <w:tc>
          <w:tcPr>
            <w:tcW w:w="1875" w:type="dxa"/>
            <w:vAlign w:val="center"/>
          </w:tcPr>
          <w:p>
            <w:pPr>
              <w:spacing w:line="600" w:lineRule="exact"/>
              <w:jc w:val="center"/>
              <w:rPr>
                <w:rFonts w:ascii="仿宋" w:hAnsi="仿宋" w:eastAsia="仿宋" w:cs="仿宋"/>
                <w:sz w:val="24"/>
                <w:szCs w:val="24"/>
              </w:rPr>
            </w:pPr>
            <w:r>
              <w:rPr>
                <w:rFonts w:ascii="仿宋" w:hAnsi="仿宋" w:eastAsia="仿宋" w:cs="仿宋"/>
                <w:sz w:val="24"/>
                <w:szCs w:val="24"/>
              </w:rPr>
              <w:t>10.1</w:t>
            </w:r>
          </w:p>
        </w:tc>
        <w:tc>
          <w:tcPr>
            <w:tcW w:w="2218" w:type="dxa"/>
            <w:vAlign w:val="center"/>
          </w:tcPr>
          <w:p>
            <w:pPr>
              <w:spacing w:line="600" w:lineRule="exact"/>
              <w:jc w:val="center"/>
              <w:rPr>
                <w:rFonts w:ascii="仿宋" w:hAnsi="仿宋" w:eastAsia="仿宋" w:cs="仿宋"/>
                <w:sz w:val="24"/>
                <w:szCs w:val="24"/>
              </w:rPr>
            </w:pPr>
            <w:r>
              <w:rPr>
                <w:rFonts w:ascii="仿宋" w:hAnsi="仿宋" w:eastAsia="仿宋" w:cs="仿宋"/>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404" w:type="dxa"/>
            <w:vAlign w:val="center"/>
          </w:tcPr>
          <w:p>
            <w:pPr>
              <w:spacing w:line="600" w:lineRule="exact"/>
              <w:jc w:val="left"/>
              <w:rPr>
                <w:rFonts w:ascii="仿宋" w:hAnsi="仿宋" w:eastAsia="仿宋" w:cs="仿宋"/>
                <w:sz w:val="24"/>
                <w:szCs w:val="24"/>
              </w:rPr>
            </w:pPr>
            <w:r>
              <w:rPr>
                <w:rFonts w:hint="eastAsia" w:ascii="仿宋" w:hAnsi="仿宋" w:eastAsia="仿宋" w:cs="仿宋"/>
                <w:sz w:val="24"/>
                <w:szCs w:val="24"/>
              </w:rPr>
              <w:t>其中：</w:t>
            </w:r>
            <w:r>
              <w:rPr>
                <w:rFonts w:ascii="仿宋" w:hAnsi="仿宋" w:eastAsia="仿宋" w:cs="仿宋"/>
                <w:sz w:val="24"/>
                <w:szCs w:val="24"/>
              </w:rPr>
              <w:t>1</w:t>
            </w:r>
            <w:r>
              <w:rPr>
                <w:rFonts w:hint="eastAsia" w:ascii="仿宋" w:hAnsi="仿宋" w:eastAsia="仿宋" w:cs="仿宋"/>
                <w:sz w:val="24"/>
                <w:szCs w:val="24"/>
              </w:rPr>
              <w:t>、交通运输、仓储和邮政业</w:t>
            </w:r>
          </w:p>
        </w:tc>
        <w:tc>
          <w:tcPr>
            <w:tcW w:w="2025" w:type="dxa"/>
            <w:vAlign w:val="center"/>
          </w:tcPr>
          <w:p>
            <w:pPr>
              <w:spacing w:line="600" w:lineRule="exact"/>
              <w:jc w:val="center"/>
              <w:rPr>
                <w:rFonts w:ascii="仿宋" w:hAnsi="仿宋" w:eastAsia="仿宋" w:cs="仿宋"/>
                <w:sz w:val="24"/>
                <w:szCs w:val="24"/>
              </w:rPr>
            </w:pPr>
            <w:r>
              <w:rPr>
                <w:rFonts w:ascii="仿宋" w:hAnsi="仿宋" w:eastAsia="仿宋" w:cs="仿宋"/>
                <w:sz w:val="24"/>
                <w:szCs w:val="24"/>
              </w:rPr>
              <w:t>1.27</w:t>
            </w:r>
          </w:p>
        </w:tc>
        <w:tc>
          <w:tcPr>
            <w:tcW w:w="1875" w:type="dxa"/>
            <w:vAlign w:val="center"/>
          </w:tcPr>
          <w:p>
            <w:pPr>
              <w:spacing w:line="600" w:lineRule="exact"/>
              <w:jc w:val="center"/>
              <w:rPr>
                <w:rFonts w:ascii="仿宋" w:hAnsi="仿宋" w:eastAsia="仿宋" w:cs="仿宋"/>
                <w:sz w:val="24"/>
                <w:szCs w:val="24"/>
              </w:rPr>
            </w:pPr>
            <w:r>
              <w:rPr>
                <w:rFonts w:ascii="仿宋" w:hAnsi="仿宋" w:eastAsia="仿宋" w:cs="仿宋"/>
                <w:sz w:val="24"/>
                <w:szCs w:val="24"/>
              </w:rPr>
              <w:t>6.8</w:t>
            </w:r>
          </w:p>
        </w:tc>
        <w:tc>
          <w:tcPr>
            <w:tcW w:w="2218" w:type="dxa"/>
            <w:vAlign w:val="center"/>
          </w:tcPr>
          <w:p>
            <w:pPr>
              <w:spacing w:line="600" w:lineRule="exact"/>
              <w:jc w:val="center"/>
              <w:rPr>
                <w:rFonts w:ascii="仿宋" w:hAnsi="仿宋" w:eastAsia="仿宋" w:cs="仿宋"/>
                <w:sz w:val="24"/>
                <w:szCs w:val="24"/>
              </w:rPr>
            </w:pPr>
            <w:r>
              <w:rPr>
                <w:rFonts w:ascii="仿宋" w:hAnsi="仿宋" w:eastAsia="仿宋" w:cs="仿宋"/>
                <w:sz w:val="24"/>
                <w:szCs w:val="24"/>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404" w:type="dxa"/>
            <w:vAlign w:val="center"/>
          </w:tcPr>
          <w:p>
            <w:pPr>
              <w:spacing w:line="600" w:lineRule="exact"/>
              <w:jc w:val="left"/>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、批发和零售业</w:t>
            </w:r>
          </w:p>
        </w:tc>
        <w:tc>
          <w:tcPr>
            <w:tcW w:w="2025" w:type="dxa"/>
            <w:vAlign w:val="center"/>
          </w:tcPr>
          <w:p>
            <w:pPr>
              <w:spacing w:line="600" w:lineRule="exact"/>
              <w:jc w:val="center"/>
              <w:rPr>
                <w:rFonts w:ascii="仿宋" w:hAnsi="仿宋" w:eastAsia="仿宋" w:cs="仿宋"/>
                <w:sz w:val="24"/>
                <w:szCs w:val="24"/>
              </w:rPr>
            </w:pPr>
            <w:r>
              <w:rPr>
                <w:rFonts w:ascii="仿宋" w:hAnsi="仿宋" w:eastAsia="仿宋" w:cs="仿宋"/>
                <w:sz w:val="24"/>
                <w:szCs w:val="24"/>
              </w:rPr>
              <w:t>1.19</w:t>
            </w:r>
          </w:p>
        </w:tc>
        <w:tc>
          <w:tcPr>
            <w:tcW w:w="1875" w:type="dxa"/>
            <w:vAlign w:val="center"/>
          </w:tcPr>
          <w:p>
            <w:pPr>
              <w:spacing w:line="600" w:lineRule="exact"/>
              <w:jc w:val="center"/>
              <w:rPr>
                <w:rFonts w:ascii="仿宋" w:hAnsi="仿宋" w:eastAsia="仿宋" w:cs="仿宋"/>
                <w:sz w:val="24"/>
                <w:szCs w:val="24"/>
              </w:rPr>
            </w:pPr>
            <w:r>
              <w:rPr>
                <w:rFonts w:ascii="仿宋" w:hAnsi="仿宋" w:eastAsia="仿宋" w:cs="仿宋"/>
                <w:sz w:val="24"/>
                <w:szCs w:val="24"/>
              </w:rPr>
              <w:t>8.7</w:t>
            </w:r>
          </w:p>
        </w:tc>
        <w:tc>
          <w:tcPr>
            <w:tcW w:w="2218" w:type="dxa"/>
            <w:vAlign w:val="center"/>
          </w:tcPr>
          <w:p>
            <w:pPr>
              <w:spacing w:line="600" w:lineRule="exact"/>
              <w:jc w:val="center"/>
              <w:rPr>
                <w:rFonts w:ascii="仿宋" w:hAnsi="仿宋" w:eastAsia="仿宋" w:cs="仿宋"/>
                <w:sz w:val="24"/>
                <w:szCs w:val="24"/>
              </w:rPr>
            </w:pPr>
            <w:r>
              <w:rPr>
                <w:rFonts w:ascii="仿宋" w:hAnsi="仿宋" w:eastAsia="仿宋" w:cs="仿宋"/>
                <w:sz w:val="24"/>
                <w:szCs w:val="24"/>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404" w:type="dxa"/>
            <w:vAlign w:val="center"/>
          </w:tcPr>
          <w:p>
            <w:pPr>
              <w:spacing w:line="600" w:lineRule="exact"/>
              <w:jc w:val="left"/>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、住宿和餐饮业</w:t>
            </w:r>
          </w:p>
        </w:tc>
        <w:tc>
          <w:tcPr>
            <w:tcW w:w="2025" w:type="dxa"/>
            <w:vAlign w:val="center"/>
          </w:tcPr>
          <w:p>
            <w:pPr>
              <w:spacing w:line="600" w:lineRule="exact"/>
              <w:jc w:val="center"/>
              <w:rPr>
                <w:rFonts w:ascii="仿宋" w:hAnsi="仿宋" w:eastAsia="仿宋" w:cs="仿宋"/>
                <w:sz w:val="24"/>
                <w:szCs w:val="24"/>
              </w:rPr>
            </w:pPr>
            <w:r>
              <w:rPr>
                <w:rFonts w:ascii="仿宋" w:hAnsi="仿宋" w:eastAsia="仿宋" w:cs="仿宋"/>
                <w:sz w:val="24"/>
                <w:szCs w:val="24"/>
              </w:rPr>
              <w:t>0.56</w:t>
            </w:r>
          </w:p>
        </w:tc>
        <w:tc>
          <w:tcPr>
            <w:tcW w:w="1875" w:type="dxa"/>
            <w:vAlign w:val="center"/>
          </w:tcPr>
          <w:p>
            <w:pPr>
              <w:spacing w:line="600" w:lineRule="exact"/>
              <w:jc w:val="center"/>
              <w:rPr>
                <w:rFonts w:ascii="仿宋" w:hAnsi="仿宋" w:eastAsia="仿宋" w:cs="仿宋"/>
                <w:sz w:val="24"/>
                <w:szCs w:val="24"/>
              </w:rPr>
            </w:pPr>
            <w:r>
              <w:rPr>
                <w:rFonts w:ascii="仿宋" w:hAnsi="仿宋" w:eastAsia="仿宋" w:cs="仿宋"/>
                <w:sz w:val="24"/>
                <w:szCs w:val="24"/>
              </w:rPr>
              <w:t>7.2</w:t>
            </w:r>
          </w:p>
        </w:tc>
        <w:tc>
          <w:tcPr>
            <w:tcW w:w="2218" w:type="dxa"/>
            <w:vAlign w:val="center"/>
          </w:tcPr>
          <w:p>
            <w:pPr>
              <w:spacing w:line="600" w:lineRule="exact"/>
              <w:jc w:val="center"/>
              <w:rPr>
                <w:rFonts w:ascii="仿宋" w:hAnsi="仿宋" w:eastAsia="仿宋" w:cs="仿宋"/>
                <w:sz w:val="24"/>
                <w:szCs w:val="24"/>
              </w:rPr>
            </w:pPr>
            <w:r>
              <w:rPr>
                <w:rFonts w:ascii="仿宋" w:hAnsi="仿宋" w:eastAsia="仿宋" w:cs="仿宋"/>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404" w:type="dxa"/>
            <w:vAlign w:val="center"/>
          </w:tcPr>
          <w:p>
            <w:pPr>
              <w:spacing w:line="600" w:lineRule="exact"/>
              <w:jc w:val="left"/>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、金融业</w:t>
            </w:r>
          </w:p>
        </w:tc>
        <w:tc>
          <w:tcPr>
            <w:tcW w:w="2025" w:type="dxa"/>
            <w:vAlign w:val="center"/>
          </w:tcPr>
          <w:p>
            <w:pPr>
              <w:spacing w:line="600" w:lineRule="exact"/>
              <w:jc w:val="center"/>
              <w:rPr>
                <w:rFonts w:ascii="仿宋" w:hAnsi="仿宋" w:eastAsia="仿宋" w:cs="仿宋"/>
                <w:sz w:val="24"/>
                <w:szCs w:val="24"/>
              </w:rPr>
            </w:pPr>
            <w:r>
              <w:rPr>
                <w:rFonts w:ascii="仿宋" w:hAnsi="仿宋" w:eastAsia="仿宋" w:cs="仿宋"/>
                <w:sz w:val="24"/>
                <w:szCs w:val="24"/>
              </w:rPr>
              <w:t>0.37</w:t>
            </w:r>
          </w:p>
        </w:tc>
        <w:tc>
          <w:tcPr>
            <w:tcW w:w="1875" w:type="dxa"/>
            <w:vAlign w:val="center"/>
          </w:tcPr>
          <w:p>
            <w:pPr>
              <w:spacing w:line="600" w:lineRule="exact"/>
              <w:jc w:val="center"/>
              <w:rPr>
                <w:rFonts w:ascii="仿宋" w:hAnsi="仿宋" w:eastAsia="仿宋" w:cs="仿宋"/>
                <w:sz w:val="24"/>
                <w:szCs w:val="24"/>
              </w:rPr>
            </w:pPr>
            <w:r>
              <w:rPr>
                <w:rFonts w:ascii="仿宋" w:hAnsi="仿宋" w:eastAsia="仿宋" w:cs="仿宋"/>
                <w:sz w:val="24"/>
                <w:szCs w:val="24"/>
              </w:rPr>
              <w:t>15.3</w:t>
            </w:r>
          </w:p>
        </w:tc>
        <w:tc>
          <w:tcPr>
            <w:tcW w:w="2218" w:type="dxa"/>
            <w:vAlign w:val="center"/>
          </w:tcPr>
          <w:p>
            <w:pPr>
              <w:spacing w:line="600" w:lineRule="exact"/>
              <w:jc w:val="center"/>
              <w:rPr>
                <w:rFonts w:ascii="仿宋" w:hAnsi="仿宋" w:eastAsia="仿宋" w:cs="仿宋"/>
                <w:sz w:val="24"/>
                <w:szCs w:val="24"/>
              </w:rPr>
            </w:pPr>
            <w:r>
              <w:rPr>
                <w:rFonts w:ascii="仿宋" w:hAnsi="仿宋" w:eastAsia="仿宋" w:cs="仿宋"/>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404" w:type="dxa"/>
            <w:vAlign w:val="center"/>
          </w:tcPr>
          <w:p>
            <w:pPr>
              <w:spacing w:line="600" w:lineRule="exact"/>
              <w:jc w:val="left"/>
              <w:rPr>
                <w:rFonts w:ascii="仿宋" w:hAnsi="仿宋" w:eastAsia="仿宋" w:cs="仿宋"/>
                <w:sz w:val="24"/>
                <w:szCs w:val="24"/>
              </w:rPr>
            </w:pPr>
            <w:r>
              <w:rPr>
                <w:rFonts w:ascii="仿宋" w:hAnsi="仿宋" w:eastAsia="仿宋" w:cs="仿宋"/>
                <w:sz w:val="24"/>
                <w:szCs w:val="24"/>
              </w:rPr>
              <w:t>5</w:t>
            </w:r>
            <w:r>
              <w:rPr>
                <w:rFonts w:hint="eastAsia" w:ascii="仿宋" w:hAnsi="仿宋" w:eastAsia="仿宋" w:cs="仿宋"/>
                <w:sz w:val="24"/>
                <w:szCs w:val="24"/>
              </w:rPr>
              <w:t>、房地产业</w:t>
            </w:r>
          </w:p>
        </w:tc>
        <w:tc>
          <w:tcPr>
            <w:tcW w:w="2025" w:type="dxa"/>
            <w:vAlign w:val="center"/>
          </w:tcPr>
          <w:p>
            <w:pPr>
              <w:spacing w:line="600" w:lineRule="exact"/>
              <w:jc w:val="center"/>
              <w:rPr>
                <w:rFonts w:ascii="仿宋" w:hAnsi="仿宋" w:eastAsia="仿宋" w:cs="仿宋"/>
                <w:sz w:val="24"/>
                <w:szCs w:val="24"/>
              </w:rPr>
            </w:pPr>
            <w:r>
              <w:rPr>
                <w:rFonts w:ascii="仿宋" w:hAnsi="仿宋" w:eastAsia="仿宋" w:cs="仿宋"/>
                <w:sz w:val="24"/>
                <w:szCs w:val="24"/>
              </w:rPr>
              <w:t>0.78</w:t>
            </w:r>
          </w:p>
        </w:tc>
        <w:tc>
          <w:tcPr>
            <w:tcW w:w="1875" w:type="dxa"/>
            <w:vAlign w:val="center"/>
          </w:tcPr>
          <w:p>
            <w:pPr>
              <w:spacing w:line="600" w:lineRule="exact"/>
              <w:jc w:val="center"/>
              <w:rPr>
                <w:rFonts w:ascii="仿宋" w:hAnsi="仿宋" w:eastAsia="仿宋" w:cs="仿宋"/>
                <w:sz w:val="24"/>
                <w:szCs w:val="24"/>
              </w:rPr>
            </w:pPr>
            <w:r>
              <w:rPr>
                <w:rFonts w:ascii="仿宋" w:hAnsi="仿宋" w:eastAsia="仿宋" w:cs="仿宋"/>
                <w:sz w:val="24"/>
                <w:szCs w:val="24"/>
              </w:rPr>
              <w:t>8.9</w:t>
            </w:r>
          </w:p>
        </w:tc>
        <w:tc>
          <w:tcPr>
            <w:tcW w:w="2218" w:type="dxa"/>
            <w:vAlign w:val="center"/>
          </w:tcPr>
          <w:p>
            <w:pPr>
              <w:spacing w:line="600" w:lineRule="exact"/>
              <w:jc w:val="center"/>
              <w:rPr>
                <w:rFonts w:ascii="仿宋" w:hAnsi="仿宋" w:eastAsia="仿宋" w:cs="仿宋"/>
                <w:sz w:val="24"/>
                <w:szCs w:val="24"/>
              </w:rPr>
            </w:pPr>
            <w:r>
              <w:rPr>
                <w:rFonts w:ascii="仿宋" w:hAnsi="仿宋" w:eastAsia="仿宋" w:cs="仿宋"/>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404" w:type="dxa"/>
            <w:vAlign w:val="center"/>
          </w:tcPr>
          <w:p>
            <w:pPr>
              <w:spacing w:line="600" w:lineRule="exact"/>
              <w:jc w:val="left"/>
              <w:rPr>
                <w:rFonts w:ascii="仿宋" w:hAnsi="仿宋" w:eastAsia="仿宋" w:cs="仿宋"/>
                <w:sz w:val="24"/>
                <w:szCs w:val="24"/>
              </w:rPr>
            </w:pPr>
            <w:r>
              <w:rPr>
                <w:rFonts w:ascii="仿宋" w:hAnsi="仿宋" w:eastAsia="仿宋" w:cs="仿宋"/>
                <w:sz w:val="24"/>
                <w:szCs w:val="24"/>
              </w:rPr>
              <w:t>6</w:t>
            </w:r>
            <w:r>
              <w:rPr>
                <w:rFonts w:hint="eastAsia" w:ascii="仿宋" w:hAnsi="仿宋" w:eastAsia="仿宋" w:cs="仿宋"/>
                <w:sz w:val="24"/>
                <w:szCs w:val="24"/>
              </w:rPr>
              <w:t>、其他服务业</w:t>
            </w:r>
          </w:p>
        </w:tc>
        <w:tc>
          <w:tcPr>
            <w:tcW w:w="2025" w:type="dxa"/>
            <w:vAlign w:val="center"/>
          </w:tcPr>
          <w:p>
            <w:pPr>
              <w:spacing w:line="600" w:lineRule="exact"/>
              <w:jc w:val="center"/>
              <w:rPr>
                <w:rFonts w:ascii="仿宋" w:hAnsi="仿宋" w:eastAsia="仿宋" w:cs="仿宋"/>
                <w:sz w:val="24"/>
                <w:szCs w:val="24"/>
              </w:rPr>
            </w:pPr>
            <w:r>
              <w:rPr>
                <w:rFonts w:ascii="仿宋" w:hAnsi="仿宋" w:eastAsia="仿宋" w:cs="仿宋"/>
                <w:sz w:val="24"/>
                <w:szCs w:val="24"/>
              </w:rPr>
              <w:t>6.06</w:t>
            </w:r>
          </w:p>
        </w:tc>
        <w:tc>
          <w:tcPr>
            <w:tcW w:w="1875" w:type="dxa"/>
            <w:vAlign w:val="center"/>
          </w:tcPr>
          <w:p>
            <w:pPr>
              <w:spacing w:line="600" w:lineRule="exact"/>
              <w:jc w:val="center"/>
              <w:rPr>
                <w:rFonts w:ascii="仿宋" w:hAnsi="仿宋" w:eastAsia="仿宋" w:cs="仿宋"/>
                <w:sz w:val="24"/>
                <w:szCs w:val="24"/>
              </w:rPr>
            </w:pPr>
            <w:r>
              <w:rPr>
                <w:rFonts w:ascii="仿宋" w:hAnsi="仿宋" w:eastAsia="仿宋" w:cs="仿宋"/>
                <w:sz w:val="24"/>
                <w:szCs w:val="24"/>
              </w:rPr>
              <w:t>11.5</w:t>
            </w:r>
          </w:p>
        </w:tc>
        <w:tc>
          <w:tcPr>
            <w:tcW w:w="2218" w:type="dxa"/>
            <w:vAlign w:val="center"/>
          </w:tcPr>
          <w:p>
            <w:pPr>
              <w:spacing w:line="600" w:lineRule="exact"/>
              <w:jc w:val="center"/>
              <w:rPr>
                <w:rFonts w:ascii="仿宋" w:hAnsi="仿宋" w:eastAsia="仿宋" w:cs="仿宋"/>
                <w:sz w:val="24"/>
                <w:szCs w:val="24"/>
              </w:rPr>
            </w:pPr>
            <w:r>
              <w:rPr>
                <w:rFonts w:ascii="仿宋" w:hAnsi="仿宋" w:eastAsia="仿宋" w:cs="仿宋"/>
                <w:sz w:val="24"/>
                <w:szCs w:val="24"/>
              </w:rPr>
              <w:t>59.8</w:t>
            </w:r>
          </w:p>
        </w:tc>
      </w:tr>
    </w:tbl>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r>
        <w:rPr>
          <w:rFonts w:ascii="仿宋" w:hAnsi="仿宋" w:eastAsia="仿宋" w:cs="仿宋"/>
          <w:sz w:val="32"/>
          <w:szCs w:val="32"/>
        </w:rPr>
        <w:t xml:space="preserve">  </w:t>
      </w:r>
      <w:r>
        <w:rPr>
          <w:rFonts w:ascii="黑体" w:hAnsi="黑体" w:eastAsia="黑体" w:cs="黑体"/>
          <w:sz w:val="32"/>
          <w:szCs w:val="32"/>
        </w:rPr>
        <w:t xml:space="preserve">  </w:t>
      </w:r>
      <w:r>
        <w:rPr>
          <w:rFonts w:hint="eastAsia" w:ascii="黑体" w:hAnsi="黑体" w:eastAsia="黑体" w:cs="黑体"/>
          <w:sz w:val="32"/>
          <w:szCs w:val="32"/>
        </w:rPr>
        <w:t>三、投资比重持续扩大</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二五”期间，全社会累计完成固定资产投资额162.12亿元，比“十一五”末增加90.13亿元，年均增长4.4%。其中服务业累计完成固定资产投资54.09亿元，占社会固定资产投资总额比重为33.4%。2015年，服务业完成投资14.3亿元，占全社会投资的比重达到39.8%。</w:t>
      </w:r>
    </w:p>
    <w:p>
      <w:pPr>
        <w:spacing w:line="600" w:lineRule="exact"/>
        <w:ind w:firstLine="642" w:firstLineChars="200"/>
        <w:rPr>
          <w:rFonts w:hint="eastAsia" w:ascii="仿宋" w:hAnsi="仿宋" w:eastAsia="仿宋" w:cs="仿宋"/>
          <w:b/>
          <w:bCs/>
          <w:sz w:val="32"/>
          <w:szCs w:val="32"/>
        </w:rPr>
      </w:pPr>
      <w:r>
        <w:rPr>
          <w:rFonts w:hint="eastAsia" w:ascii="仿宋" w:hAnsi="仿宋" w:eastAsia="仿宋" w:cs="仿宋"/>
          <w:b/>
          <w:bCs/>
          <w:sz w:val="32"/>
          <w:szCs w:val="32"/>
        </w:rPr>
        <w:t>表三：2011年-2015年朝天区服务业投资及比重</w:t>
      </w:r>
    </w:p>
    <w:tbl>
      <w:tblPr>
        <w:tblStyle w:val="9"/>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3175"/>
        <w:gridCol w:w="3167"/>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83" w:type="dxa"/>
            <w:vAlign w:val="center"/>
          </w:tcPr>
          <w:p>
            <w:pPr>
              <w:widowControl/>
              <w:spacing w:line="600" w:lineRule="exact"/>
              <w:jc w:val="center"/>
              <w:textAlignment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年</w:t>
            </w:r>
            <w:r>
              <w:rPr>
                <w:rFonts w:ascii="仿宋" w:hAnsi="仿宋" w:eastAsia="仿宋" w:cs="仿宋"/>
                <w:b/>
                <w:bCs/>
                <w:color w:val="000000"/>
                <w:kern w:val="0"/>
                <w:sz w:val="24"/>
                <w:szCs w:val="24"/>
              </w:rPr>
              <w:t xml:space="preserve">  </w:t>
            </w:r>
            <w:r>
              <w:rPr>
                <w:rFonts w:hint="eastAsia" w:ascii="仿宋" w:hAnsi="仿宋" w:eastAsia="仿宋" w:cs="仿宋"/>
                <w:b/>
                <w:bCs/>
                <w:color w:val="000000"/>
                <w:kern w:val="0"/>
                <w:sz w:val="24"/>
                <w:szCs w:val="24"/>
              </w:rPr>
              <w:t>份</w:t>
            </w:r>
          </w:p>
        </w:tc>
        <w:tc>
          <w:tcPr>
            <w:tcW w:w="3175" w:type="dxa"/>
            <w:vAlign w:val="center"/>
          </w:tcPr>
          <w:p>
            <w:pPr>
              <w:widowControl/>
              <w:spacing w:line="600" w:lineRule="exact"/>
              <w:jc w:val="center"/>
              <w:textAlignment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服务业固定资产投资</w:t>
            </w:r>
          </w:p>
          <w:p>
            <w:pPr>
              <w:widowControl/>
              <w:spacing w:line="600" w:lineRule="exact"/>
              <w:jc w:val="center"/>
              <w:textAlignment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（亿元）</w:t>
            </w:r>
          </w:p>
        </w:tc>
        <w:tc>
          <w:tcPr>
            <w:tcW w:w="3167" w:type="dxa"/>
            <w:vAlign w:val="center"/>
          </w:tcPr>
          <w:p>
            <w:pPr>
              <w:widowControl/>
              <w:spacing w:line="600" w:lineRule="exact"/>
              <w:jc w:val="center"/>
              <w:textAlignment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全社会固定资产投资</w:t>
            </w:r>
          </w:p>
          <w:p>
            <w:pPr>
              <w:widowControl/>
              <w:spacing w:line="600" w:lineRule="exact"/>
              <w:jc w:val="center"/>
              <w:textAlignment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（亿元）</w:t>
            </w:r>
          </w:p>
        </w:tc>
        <w:tc>
          <w:tcPr>
            <w:tcW w:w="1311" w:type="dxa"/>
            <w:vAlign w:val="center"/>
          </w:tcPr>
          <w:p>
            <w:pPr>
              <w:widowControl/>
              <w:spacing w:line="600" w:lineRule="exact"/>
              <w:jc w:val="center"/>
              <w:textAlignment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比</w:t>
            </w:r>
            <w:r>
              <w:rPr>
                <w:rFonts w:ascii="仿宋" w:hAnsi="仿宋" w:eastAsia="仿宋" w:cs="仿宋"/>
                <w:b/>
                <w:bCs/>
                <w:color w:val="000000"/>
                <w:kern w:val="0"/>
                <w:sz w:val="24"/>
                <w:szCs w:val="24"/>
              </w:rPr>
              <w:t xml:space="preserve">  </w:t>
            </w:r>
            <w:r>
              <w:rPr>
                <w:rFonts w:hint="eastAsia" w:ascii="仿宋" w:hAnsi="仿宋" w:eastAsia="仿宋" w:cs="仿宋"/>
                <w:b/>
                <w:bCs/>
                <w:color w:val="000000"/>
                <w:kern w:val="0"/>
                <w:sz w:val="24"/>
                <w:szCs w:val="24"/>
              </w:rPr>
              <w:t>重</w:t>
            </w:r>
          </w:p>
          <w:p>
            <w:pPr>
              <w:widowControl/>
              <w:spacing w:line="600" w:lineRule="exact"/>
              <w:jc w:val="center"/>
              <w:textAlignment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w:t>
            </w:r>
            <w:r>
              <w:rPr>
                <w:rFonts w:ascii="仿宋" w:hAnsi="仿宋" w:eastAsia="仿宋" w:cs="仿宋"/>
                <w:b/>
                <w:bCs/>
                <w:color w:val="000000"/>
                <w:kern w:val="0"/>
                <w:sz w:val="24"/>
                <w:szCs w:val="24"/>
              </w:rPr>
              <w:t>%</w:t>
            </w:r>
            <w:r>
              <w:rPr>
                <w:rFonts w:hint="eastAsia" w:ascii="仿宋" w:hAnsi="仿宋" w:eastAsia="仿宋" w:cs="仿宋"/>
                <w:b/>
                <w:bCs/>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3" w:type="dxa"/>
            <w:vAlign w:val="center"/>
          </w:tcPr>
          <w:p>
            <w:pPr>
              <w:widowControl/>
              <w:spacing w:line="600" w:lineRule="exact"/>
              <w:jc w:val="center"/>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2011</w:t>
            </w:r>
          </w:p>
        </w:tc>
        <w:tc>
          <w:tcPr>
            <w:tcW w:w="3175" w:type="dxa"/>
            <w:vAlign w:val="center"/>
          </w:tcPr>
          <w:p>
            <w:pPr>
              <w:widowControl/>
              <w:spacing w:line="600" w:lineRule="exact"/>
              <w:jc w:val="center"/>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6.59</w:t>
            </w:r>
          </w:p>
        </w:tc>
        <w:tc>
          <w:tcPr>
            <w:tcW w:w="3167" w:type="dxa"/>
            <w:vAlign w:val="center"/>
          </w:tcPr>
          <w:p>
            <w:pPr>
              <w:widowControl/>
              <w:spacing w:line="600" w:lineRule="exact"/>
              <w:jc w:val="center"/>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26.17</w:t>
            </w:r>
          </w:p>
        </w:tc>
        <w:tc>
          <w:tcPr>
            <w:tcW w:w="1311" w:type="dxa"/>
            <w:vAlign w:val="center"/>
          </w:tcPr>
          <w:p>
            <w:pPr>
              <w:widowControl/>
              <w:spacing w:line="600" w:lineRule="exact"/>
              <w:jc w:val="center"/>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383" w:type="dxa"/>
            <w:vAlign w:val="center"/>
          </w:tcPr>
          <w:p>
            <w:pPr>
              <w:widowControl/>
              <w:spacing w:line="600" w:lineRule="exact"/>
              <w:jc w:val="center"/>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2012</w:t>
            </w:r>
          </w:p>
        </w:tc>
        <w:tc>
          <w:tcPr>
            <w:tcW w:w="3175" w:type="dxa"/>
            <w:vAlign w:val="center"/>
          </w:tcPr>
          <w:p>
            <w:pPr>
              <w:widowControl/>
              <w:spacing w:line="600" w:lineRule="exact"/>
              <w:jc w:val="center"/>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9.34</w:t>
            </w:r>
          </w:p>
        </w:tc>
        <w:tc>
          <w:tcPr>
            <w:tcW w:w="3167" w:type="dxa"/>
            <w:vAlign w:val="center"/>
          </w:tcPr>
          <w:p>
            <w:pPr>
              <w:widowControl/>
              <w:spacing w:line="600" w:lineRule="exact"/>
              <w:jc w:val="center"/>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31.54</w:t>
            </w:r>
          </w:p>
        </w:tc>
        <w:tc>
          <w:tcPr>
            <w:tcW w:w="1311" w:type="dxa"/>
            <w:vAlign w:val="center"/>
          </w:tcPr>
          <w:p>
            <w:pPr>
              <w:widowControl/>
              <w:spacing w:line="600" w:lineRule="exact"/>
              <w:jc w:val="center"/>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383" w:type="dxa"/>
            <w:vAlign w:val="center"/>
          </w:tcPr>
          <w:p>
            <w:pPr>
              <w:widowControl/>
              <w:spacing w:line="600" w:lineRule="exact"/>
              <w:jc w:val="center"/>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2013</w:t>
            </w:r>
          </w:p>
        </w:tc>
        <w:tc>
          <w:tcPr>
            <w:tcW w:w="3175" w:type="dxa"/>
            <w:vAlign w:val="center"/>
          </w:tcPr>
          <w:p>
            <w:pPr>
              <w:widowControl/>
              <w:spacing w:line="600" w:lineRule="exact"/>
              <w:jc w:val="center"/>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11.19</w:t>
            </w:r>
          </w:p>
        </w:tc>
        <w:tc>
          <w:tcPr>
            <w:tcW w:w="3167" w:type="dxa"/>
            <w:vAlign w:val="center"/>
          </w:tcPr>
          <w:p>
            <w:pPr>
              <w:widowControl/>
              <w:spacing w:line="600" w:lineRule="exact"/>
              <w:jc w:val="center"/>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33.40</w:t>
            </w:r>
          </w:p>
        </w:tc>
        <w:tc>
          <w:tcPr>
            <w:tcW w:w="1311" w:type="dxa"/>
            <w:vAlign w:val="center"/>
          </w:tcPr>
          <w:p>
            <w:pPr>
              <w:widowControl/>
              <w:spacing w:line="600" w:lineRule="exact"/>
              <w:jc w:val="center"/>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383" w:type="dxa"/>
            <w:vAlign w:val="center"/>
          </w:tcPr>
          <w:p>
            <w:pPr>
              <w:widowControl/>
              <w:spacing w:line="600" w:lineRule="exact"/>
              <w:jc w:val="center"/>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2014</w:t>
            </w:r>
          </w:p>
        </w:tc>
        <w:tc>
          <w:tcPr>
            <w:tcW w:w="3175" w:type="dxa"/>
            <w:vAlign w:val="center"/>
          </w:tcPr>
          <w:p>
            <w:pPr>
              <w:widowControl/>
              <w:spacing w:line="600" w:lineRule="exact"/>
              <w:jc w:val="center"/>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12.67</w:t>
            </w:r>
          </w:p>
        </w:tc>
        <w:tc>
          <w:tcPr>
            <w:tcW w:w="3167" w:type="dxa"/>
            <w:vAlign w:val="center"/>
          </w:tcPr>
          <w:p>
            <w:pPr>
              <w:widowControl/>
              <w:spacing w:line="600" w:lineRule="exact"/>
              <w:jc w:val="center"/>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35.01</w:t>
            </w:r>
          </w:p>
        </w:tc>
        <w:tc>
          <w:tcPr>
            <w:tcW w:w="1311" w:type="dxa"/>
            <w:vAlign w:val="center"/>
          </w:tcPr>
          <w:p>
            <w:pPr>
              <w:widowControl/>
              <w:spacing w:line="600" w:lineRule="exact"/>
              <w:jc w:val="center"/>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383" w:type="dxa"/>
            <w:vAlign w:val="center"/>
          </w:tcPr>
          <w:p>
            <w:pPr>
              <w:widowControl/>
              <w:spacing w:line="600" w:lineRule="exact"/>
              <w:jc w:val="center"/>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2015</w:t>
            </w:r>
          </w:p>
        </w:tc>
        <w:tc>
          <w:tcPr>
            <w:tcW w:w="3175" w:type="dxa"/>
            <w:vAlign w:val="center"/>
          </w:tcPr>
          <w:p>
            <w:pPr>
              <w:widowControl/>
              <w:spacing w:line="600" w:lineRule="exact"/>
              <w:jc w:val="center"/>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14.30</w:t>
            </w:r>
          </w:p>
        </w:tc>
        <w:tc>
          <w:tcPr>
            <w:tcW w:w="3167" w:type="dxa"/>
            <w:vAlign w:val="center"/>
          </w:tcPr>
          <w:p>
            <w:pPr>
              <w:widowControl/>
              <w:spacing w:line="600" w:lineRule="exact"/>
              <w:jc w:val="center"/>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36.00</w:t>
            </w:r>
          </w:p>
        </w:tc>
        <w:tc>
          <w:tcPr>
            <w:tcW w:w="1311" w:type="dxa"/>
            <w:vAlign w:val="center"/>
          </w:tcPr>
          <w:p>
            <w:pPr>
              <w:widowControl/>
              <w:spacing w:line="600" w:lineRule="exact"/>
              <w:jc w:val="center"/>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39.8</w:t>
            </w:r>
          </w:p>
        </w:tc>
      </w:tr>
    </w:tbl>
    <w:p>
      <w:pPr>
        <w:tabs>
          <w:tab w:val="left" w:pos="643"/>
        </w:tabs>
        <w:spacing w:line="600" w:lineRule="exact"/>
        <w:rPr>
          <w:rFonts w:hint="eastAsia" w:ascii="仿宋" w:hAnsi="仿宋" w:eastAsia="仿宋" w:cs="仿宋"/>
          <w:sz w:val="32"/>
          <w:szCs w:val="32"/>
          <w:lang w:eastAsia="zh-CN"/>
        </w:rPr>
      </w:pPr>
    </w:p>
    <w:p>
      <w:pPr>
        <w:spacing w:line="600" w:lineRule="exact"/>
        <w:rPr>
          <w:rFonts w:ascii="仿宋" w:hAnsi="仿宋" w:eastAsia="仿宋" w:cs="仿宋"/>
          <w:sz w:val="32"/>
          <w:szCs w:val="32"/>
        </w:rPr>
      </w:pPr>
      <w:r>
        <w:rPr>
          <w:rFonts w:ascii="黑体" w:hAnsi="黑体" w:eastAsia="黑体" w:cs="黑体"/>
          <w:sz w:val="32"/>
          <w:szCs w:val="32"/>
        </w:rPr>
        <w:t xml:space="preserve">    </w:t>
      </w:r>
      <w:r>
        <w:rPr>
          <w:rFonts w:hint="eastAsia" w:ascii="黑体" w:hAnsi="黑体" w:eastAsia="黑体" w:cs="黑体"/>
          <w:sz w:val="32"/>
          <w:szCs w:val="32"/>
        </w:rPr>
        <w:t>四、发展贡献不断增强</w:t>
      </w:r>
    </w:p>
    <w:p>
      <w:pPr>
        <w:spacing w:line="600" w:lineRule="exact"/>
        <w:rPr>
          <w:rFonts w:ascii="仿宋" w:hAnsi="仿宋" w:eastAsia="仿宋" w:cs="仿宋"/>
          <w:sz w:val="32"/>
          <w:szCs w:val="32"/>
        </w:rPr>
      </w:pPr>
      <w:r>
        <w:rPr>
          <w:rFonts w:ascii="仿宋" w:hAnsi="仿宋" w:eastAsia="仿宋" w:cs="仿宋"/>
          <w:sz w:val="32"/>
          <w:szCs w:val="32"/>
        </w:rPr>
        <w:t xml:space="preserve">    2015</w:t>
      </w:r>
      <w:r>
        <w:rPr>
          <w:rFonts w:hint="eastAsia" w:ascii="仿宋" w:hAnsi="仿宋" w:eastAsia="仿宋" w:cs="仿宋"/>
          <w:sz w:val="32"/>
          <w:szCs w:val="32"/>
        </w:rPr>
        <w:t>年，全区服务业对经济增长的贡献率为</w:t>
      </w:r>
      <w:r>
        <w:rPr>
          <w:rFonts w:ascii="仿宋" w:hAnsi="仿宋" w:eastAsia="仿宋" w:cs="仿宋"/>
          <w:sz w:val="32"/>
          <w:szCs w:val="32"/>
        </w:rPr>
        <w:t>33%</w:t>
      </w:r>
      <w:r>
        <w:rPr>
          <w:rFonts w:hint="eastAsia" w:ascii="仿宋" w:hAnsi="仿宋" w:eastAsia="仿宋" w:cs="仿宋"/>
          <w:sz w:val="32"/>
          <w:szCs w:val="32"/>
        </w:rPr>
        <w:t>，拉动经济增长</w:t>
      </w:r>
      <w:r>
        <w:rPr>
          <w:rFonts w:ascii="仿宋" w:hAnsi="仿宋" w:eastAsia="仿宋" w:cs="仿宋"/>
          <w:sz w:val="32"/>
          <w:szCs w:val="32"/>
        </w:rPr>
        <w:t>2.9</w:t>
      </w:r>
      <w:r>
        <w:rPr>
          <w:rFonts w:hint="eastAsia" w:ascii="仿宋" w:hAnsi="仿宋" w:eastAsia="仿宋" w:cs="仿宋"/>
          <w:sz w:val="32"/>
          <w:szCs w:val="32"/>
        </w:rPr>
        <w:t>个百分点。全区服务业实现税收收入9672万元，占地方财税收入的34.7%。服务业从业人员达到</w:t>
      </w:r>
      <w:r>
        <w:rPr>
          <w:rFonts w:ascii="仿宋" w:hAnsi="仿宋" w:eastAsia="仿宋" w:cs="仿宋"/>
          <w:sz w:val="32"/>
          <w:szCs w:val="32"/>
        </w:rPr>
        <w:t>3.5</w:t>
      </w:r>
      <w:r>
        <w:rPr>
          <w:rFonts w:hint="eastAsia" w:ascii="仿宋" w:hAnsi="仿宋" w:eastAsia="仿宋" w:cs="仿宋"/>
          <w:sz w:val="32"/>
          <w:szCs w:val="32"/>
        </w:rPr>
        <w:t>万余人，服务业从业人员占全社会总从业人数的比重达到</w:t>
      </w:r>
      <w:r>
        <w:rPr>
          <w:rFonts w:ascii="仿宋" w:hAnsi="仿宋" w:eastAsia="仿宋" w:cs="仿宋"/>
          <w:sz w:val="32"/>
          <w:szCs w:val="32"/>
        </w:rPr>
        <w:t>25.1%</w:t>
      </w:r>
      <w:r>
        <w:rPr>
          <w:rFonts w:hint="eastAsia" w:ascii="仿宋" w:hAnsi="仿宋" w:eastAsia="仿宋" w:cs="仿宋"/>
          <w:sz w:val="32"/>
          <w:szCs w:val="32"/>
        </w:rPr>
        <w:t>。</w:t>
      </w:r>
    </w:p>
    <w:p>
      <w:pPr>
        <w:spacing w:line="600" w:lineRule="exact"/>
        <w:rPr>
          <w:rFonts w:ascii="仿宋" w:hAnsi="仿宋" w:eastAsia="仿宋" w:cs="仿宋"/>
          <w:sz w:val="32"/>
          <w:szCs w:val="32"/>
        </w:rPr>
      </w:pPr>
    </w:p>
    <w:p>
      <w:pPr>
        <w:spacing w:line="600" w:lineRule="exact"/>
        <w:jc w:val="left"/>
        <w:rPr>
          <w:rFonts w:ascii="仿宋" w:hAnsi="仿宋" w:eastAsia="仿宋" w:cs="仿宋"/>
          <w:sz w:val="32"/>
          <w:szCs w:val="32"/>
        </w:rPr>
      </w:pPr>
      <w:r>
        <w:drawing>
          <wp:anchor distT="0" distB="0" distL="114300" distR="114300" simplePos="0" relativeHeight="251658240" behindDoc="0" locked="0" layoutInCell="1" allowOverlap="1">
            <wp:simplePos x="0" y="0"/>
            <wp:positionH relativeFrom="column">
              <wp:posOffset>-152400</wp:posOffset>
            </wp:positionH>
            <wp:positionV relativeFrom="paragraph">
              <wp:posOffset>73025</wp:posOffset>
            </wp:positionV>
            <wp:extent cx="6004560" cy="3437890"/>
            <wp:effectExtent l="0" t="0" r="15240" b="10160"/>
            <wp:wrapTopAndBottom/>
            <wp:docPr id="1" name="图片 2"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true"/>
                    </pic:cNvPicPr>
                  </pic:nvPicPr>
                  <pic:blipFill>
                    <a:blip r:embed="rId8"/>
                    <a:stretch>
                      <a:fillRect/>
                    </a:stretch>
                  </pic:blipFill>
                  <pic:spPr>
                    <a:xfrm>
                      <a:off x="0" y="0"/>
                      <a:ext cx="6004560" cy="3437890"/>
                    </a:xfrm>
                    <a:prstGeom prst="rect">
                      <a:avLst/>
                    </a:prstGeom>
                    <a:noFill/>
                    <a:ln>
                      <a:noFill/>
                    </a:ln>
                  </pic:spPr>
                </pic:pic>
              </a:graphicData>
            </a:graphic>
          </wp:anchor>
        </w:drawing>
      </w:r>
    </w:p>
    <w:p>
      <w:pPr>
        <w:spacing w:line="600" w:lineRule="exact"/>
        <w:ind w:firstLine="640" w:firstLineChars="200"/>
        <w:jc w:val="center"/>
        <w:outlineLvl w:val="1"/>
        <w:rPr>
          <w:rFonts w:ascii="仿宋" w:hAnsi="仿宋" w:eastAsia="仿宋" w:cs="仿宋"/>
          <w:sz w:val="32"/>
          <w:szCs w:val="32"/>
        </w:rPr>
      </w:pPr>
    </w:p>
    <w:p>
      <w:pPr>
        <w:spacing w:line="600" w:lineRule="exact"/>
        <w:jc w:val="center"/>
        <w:rPr>
          <w:rFonts w:ascii="仿宋" w:hAnsi="仿宋" w:eastAsia="仿宋" w:cs="仿宋"/>
          <w:sz w:val="32"/>
          <w:szCs w:val="32"/>
        </w:rPr>
      </w:pPr>
      <w:bookmarkStart w:id="5" w:name="_Toc442107593"/>
      <w:r>
        <w:rPr>
          <w:rFonts w:hint="eastAsia" w:ascii="仿宋" w:hAnsi="仿宋" w:eastAsia="仿宋" w:cs="仿宋"/>
          <w:b/>
          <w:bCs/>
          <w:sz w:val="32"/>
          <w:szCs w:val="32"/>
        </w:rPr>
        <w:t>第二节</w:t>
      </w:r>
      <w:r>
        <w:rPr>
          <w:rFonts w:ascii="仿宋" w:hAnsi="仿宋" w:eastAsia="仿宋" w:cs="仿宋"/>
          <w:b/>
          <w:bCs/>
          <w:sz w:val="32"/>
          <w:szCs w:val="32"/>
        </w:rPr>
        <w:t xml:space="preserve">  </w:t>
      </w:r>
      <w:r>
        <w:rPr>
          <w:rFonts w:hint="eastAsia" w:ascii="仿宋" w:hAnsi="仿宋" w:eastAsia="仿宋" w:cs="仿宋"/>
          <w:b/>
          <w:bCs/>
          <w:sz w:val="32"/>
          <w:szCs w:val="32"/>
        </w:rPr>
        <w:t>存在的主要问题</w:t>
      </w:r>
      <w:bookmarkEnd w:id="5"/>
    </w:p>
    <w:p>
      <w:pPr>
        <w:spacing w:line="600" w:lineRule="exact"/>
        <w:ind w:left="420" w:leftChars="200"/>
        <w:rPr>
          <w:rFonts w:ascii="仿宋" w:hAnsi="仿宋" w:eastAsia="仿宋" w:cs="仿宋"/>
          <w:sz w:val="32"/>
          <w:szCs w:val="32"/>
        </w:rPr>
      </w:pPr>
      <w:r>
        <w:rPr>
          <w:rFonts w:hint="eastAsia" w:ascii="黑体" w:hAnsi="黑体" w:eastAsia="黑体" w:cs="黑体"/>
          <w:sz w:val="32"/>
          <w:szCs w:val="32"/>
        </w:rPr>
        <w:t>一、人口少、总量小，消费外流严重</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朝天属于老少边穷地区，常住人口</w:t>
      </w:r>
      <w:r>
        <w:rPr>
          <w:rFonts w:ascii="仿宋" w:hAnsi="仿宋" w:eastAsia="仿宋" w:cs="仿宋"/>
          <w:sz w:val="32"/>
          <w:szCs w:val="32"/>
        </w:rPr>
        <w:t>19.2</w:t>
      </w:r>
      <w:r>
        <w:rPr>
          <w:rFonts w:hint="eastAsia" w:ascii="仿宋" w:hAnsi="仿宋" w:eastAsia="仿宋" w:cs="仿宋"/>
          <w:sz w:val="32"/>
          <w:szCs w:val="32"/>
        </w:rPr>
        <w:t>万人，其中城镇人口</w:t>
      </w:r>
      <w:r>
        <w:rPr>
          <w:rFonts w:ascii="仿宋" w:hAnsi="仿宋" w:eastAsia="仿宋" w:cs="仿宋"/>
          <w:sz w:val="32"/>
          <w:szCs w:val="32"/>
        </w:rPr>
        <w:t>6.2</w:t>
      </w:r>
      <w:r>
        <w:rPr>
          <w:rFonts w:hint="eastAsia" w:ascii="仿宋" w:hAnsi="仿宋" w:eastAsia="仿宋" w:cs="仿宋"/>
          <w:sz w:val="32"/>
          <w:szCs w:val="32"/>
        </w:rPr>
        <w:t>万人。受住房、医疗、教育发展滞后等因素影响，且由于朝天区离广元城区较近，外出务工人员多等原因，全区消费外流现象严重，人气、商气严重不足，扩大社会消费难度大。</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二、内部结构不合理，新兴行业发展滞后</w:t>
      </w:r>
    </w:p>
    <w:p>
      <w:pPr>
        <w:spacing w:line="600" w:lineRule="exact"/>
        <w:ind w:firstLine="640" w:firstLineChars="200"/>
        <w:rPr>
          <w:rFonts w:ascii="仿宋" w:hAnsi="仿宋" w:eastAsia="仿宋" w:cs="仿宋"/>
          <w:sz w:val="32"/>
          <w:szCs w:val="32"/>
        </w:rPr>
      </w:pPr>
      <w:r>
        <w:rPr>
          <w:rFonts w:hint="eastAsia" w:ascii="仿宋" w:hAnsi="仿宋" w:eastAsia="仿宋" w:cs="仿宋"/>
          <w:bCs/>
          <w:sz w:val="32"/>
          <w:szCs w:val="32"/>
        </w:rPr>
        <w:t>全区传统服务业的占比虽然有所下降，但仍占到</w:t>
      </w:r>
      <w:r>
        <w:rPr>
          <w:rFonts w:ascii="仿宋" w:hAnsi="仿宋" w:eastAsia="仿宋" w:cs="仿宋"/>
          <w:bCs/>
          <w:sz w:val="32"/>
          <w:szCs w:val="32"/>
        </w:rPr>
        <w:t>60%</w:t>
      </w:r>
      <w:r>
        <w:rPr>
          <w:rFonts w:hint="eastAsia" w:ascii="仿宋" w:hAnsi="仿宋" w:eastAsia="仿宋" w:cs="仿宋"/>
          <w:bCs/>
          <w:sz w:val="32"/>
          <w:szCs w:val="32"/>
        </w:rPr>
        <w:t>以上。金融保险、文化旅游、科技信息、商务服务等现代服务业仅占</w:t>
      </w:r>
      <w:r>
        <w:rPr>
          <w:rFonts w:ascii="仿宋" w:hAnsi="仿宋" w:eastAsia="仿宋" w:cs="仿宋"/>
          <w:bCs/>
          <w:sz w:val="32"/>
          <w:szCs w:val="32"/>
        </w:rPr>
        <w:t>40%</w:t>
      </w:r>
      <w:r>
        <w:rPr>
          <w:rFonts w:hint="eastAsia" w:ascii="仿宋" w:hAnsi="仿宋" w:eastAsia="仿宋" w:cs="仿宋"/>
          <w:bCs/>
          <w:sz w:val="32"/>
          <w:szCs w:val="32"/>
        </w:rPr>
        <w:t>左右。信息传输、计算机服务和软件业、金融业、文化体育和娱乐业等新兴服务业虽然发展较快，但规模不大；信息中介、现代物流、法律服务、健康养老等现代服务业与先进地区相比还有较大的差距；旅游业深度开发的程度不够，行业竞争力不强。特别是为工业企业提供服务的生产性服务业基本空缺，行业关联度不高。服务业的优势行业不突出，大企业少。目前全区上限的商贸流通企业仅</w:t>
      </w:r>
      <w:r>
        <w:rPr>
          <w:rFonts w:ascii="仿宋" w:hAnsi="仿宋" w:eastAsia="仿宋" w:cs="仿宋"/>
          <w:bCs/>
          <w:sz w:val="32"/>
          <w:szCs w:val="32"/>
        </w:rPr>
        <w:t>40</w:t>
      </w:r>
      <w:r>
        <w:rPr>
          <w:rFonts w:hint="eastAsia" w:ascii="仿宋" w:hAnsi="仿宋" w:eastAsia="仿宋" w:cs="仿宋"/>
          <w:bCs/>
          <w:sz w:val="32"/>
          <w:szCs w:val="32"/>
        </w:rPr>
        <w:t>家，市场主体特别是竞争性领域的服务业缺乏龙头企业带动，竞争力不强。服务业发展面临“提质增效”的双重任务。</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三、大项目偏少，支撑服务业发展困难大</w:t>
      </w:r>
    </w:p>
    <w:p>
      <w:pPr>
        <w:spacing w:line="600" w:lineRule="exac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目前，全区服务业重大项目在项目总量和单体规模上还是偏小，缺少具有较强区域辐射性的消费性服务业项目，还不足以支撑全区服务业的持续快速增长，在发挥交通、区位、产业等优势，发展物流园区、专业市场等辐射更大区域的大项目上还需要进一步努力。</w:t>
      </w:r>
    </w:p>
    <w:p>
      <w:pPr>
        <w:spacing w:line="600" w:lineRule="exact"/>
        <w:rPr>
          <w:rFonts w:ascii="黑体" w:hAnsi="黑体" w:eastAsia="黑体" w:cs="黑体"/>
          <w:sz w:val="32"/>
          <w:szCs w:val="32"/>
        </w:rPr>
      </w:pPr>
      <w:r>
        <w:rPr>
          <w:rFonts w:ascii="仿宋" w:hAnsi="仿宋" w:eastAsia="仿宋" w:cs="仿宋"/>
          <w:sz w:val="32"/>
          <w:szCs w:val="32"/>
        </w:rPr>
        <w:t xml:space="preserve">    </w:t>
      </w:r>
      <w:r>
        <w:rPr>
          <w:rFonts w:hint="eastAsia" w:ascii="黑体" w:hAnsi="黑体" w:eastAsia="黑体" w:cs="黑体"/>
          <w:sz w:val="32"/>
          <w:szCs w:val="32"/>
        </w:rPr>
        <w:t>四、文化旅游产业优势转化不充分，对经济拉动作用不明显</w:t>
      </w:r>
    </w:p>
    <w:p>
      <w:pPr>
        <w:spacing w:line="600" w:lineRule="exac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朝天旅游资源丰富，古蜀道、三国等文化特色鲜明，“十二五”末我区共有明月峡、雪溪洞、水磨沟、曾家山</w:t>
      </w:r>
      <w:r>
        <w:rPr>
          <w:rFonts w:ascii="仿宋" w:hAnsi="仿宋" w:eastAsia="仿宋" w:cs="仿宋"/>
          <w:sz w:val="32"/>
          <w:szCs w:val="32"/>
        </w:rPr>
        <w:t>4</w:t>
      </w:r>
      <w:r>
        <w:rPr>
          <w:rFonts w:hint="eastAsia" w:ascii="仿宋" w:hAnsi="仿宋" w:eastAsia="仿宋" w:cs="仿宋"/>
          <w:sz w:val="32"/>
          <w:szCs w:val="32"/>
        </w:rPr>
        <w:t>个</w:t>
      </w:r>
      <w:r>
        <w:rPr>
          <w:rFonts w:ascii="仿宋" w:hAnsi="仿宋" w:eastAsia="仿宋" w:cs="仿宋"/>
          <w:sz w:val="32"/>
          <w:szCs w:val="32"/>
        </w:rPr>
        <w:t>4A</w:t>
      </w:r>
      <w:r>
        <w:rPr>
          <w:rFonts w:hint="eastAsia" w:ascii="仿宋" w:hAnsi="仿宋" w:eastAsia="仿宋" w:cs="仿宋"/>
          <w:sz w:val="32"/>
          <w:szCs w:val="32"/>
        </w:rPr>
        <w:t>级景区，但发挥效益却不高。主要原因还在于缺乏深度开发，吸引力不高，旅游附加值向上游延伸不足，“吃、住、行、游、购、娱”旅游体系有待进一步提升。旅游产业优势转化不充分，弱化了对经济的拉动作用。</w:t>
      </w:r>
      <w:r>
        <w:rPr>
          <w:rFonts w:ascii="仿宋" w:hAnsi="仿宋" w:eastAsia="仿宋" w:cs="仿宋"/>
          <w:sz w:val="32"/>
          <w:szCs w:val="32"/>
        </w:rPr>
        <w:t>2015</w:t>
      </w:r>
      <w:r>
        <w:rPr>
          <w:rFonts w:hint="eastAsia" w:ascii="仿宋" w:hAnsi="仿宋" w:eastAsia="仿宋" w:cs="仿宋"/>
          <w:sz w:val="32"/>
          <w:szCs w:val="32"/>
        </w:rPr>
        <w:t>年全区共接待游客</w:t>
      </w:r>
      <w:r>
        <w:rPr>
          <w:rFonts w:ascii="仿宋" w:hAnsi="仿宋" w:eastAsia="仿宋" w:cs="仿宋"/>
          <w:sz w:val="32"/>
          <w:szCs w:val="32"/>
        </w:rPr>
        <w:t>283</w:t>
      </w:r>
      <w:r>
        <w:rPr>
          <w:rFonts w:hint="eastAsia" w:ascii="仿宋" w:hAnsi="仿宋" w:eastAsia="仿宋" w:cs="仿宋"/>
          <w:sz w:val="32"/>
          <w:szCs w:val="32"/>
        </w:rPr>
        <w:t>万人次，仅占全市的</w:t>
      </w:r>
      <w:r>
        <w:rPr>
          <w:rFonts w:ascii="仿宋" w:hAnsi="仿宋" w:eastAsia="仿宋" w:cs="仿宋"/>
          <w:sz w:val="32"/>
          <w:szCs w:val="32"/>
        </w:rPr>
        <w:t>8.7%</w:t>
      </w:r>
      <w:r>
        <w:rPr>
          <w:rFonts w:hint="eastAsia" w:ascii="仿宋" w:hAnsi="仿宋" w:eastAsia="仿宋" w:cs="仿宋"/>
          <w:sz w:val="32"/>
          <w:szCs w:val="32"/>
        </w:rPr>
        <w:t>，旅游总收入</w:t>
      </w:r>
      <w:r>
        <w:rPr>
          <w:rFonts w:ascii="仿宋" w:hAnsi="仿宋" w:eastAsia="仿宋" w:cs="仿宋"/>
          <w:sz w:val="32"/>
          <w:szCs w:val="32"/>
        </w:rPr>
        <w:t>21.09</w:t>
      </w:r>
      <w:r>
        <w:rPr>
          <w:rFonts w:hint="eastAsia" w:ascii="仿宋" w:hAnsi="仿宋" w:eastAsia="仿宋" w:cs="仿宋"/>
          <w:sz w:val="32"/>
          <w:szCs w:val="32"/>
        </w:rPr>
        <w:t>亿元，仅占全市的</w:t>
      </w:r>
      <w:r>
        <w:rPr>
          <w:rFonts w:ascii="仿宋" w:hAnsi="仿宋" w:eastAsia="仿宋" w:cs="仿宋"/>
          <w:sz w:val="32"/>
          <w:szCs w:val="32"/>
        </w:rPr>
        <w:t>10.1%</w:t>
      </w:r>
      <w:r>
        <w:rPr>
          <w:rFonts w:hint="eastAsia" w:ascii="仿宋" w:hAnsi="仿宋" w:eastAsia="仿宋" w:cs="仿宋"/>
          <w:sz w:val="32"/>
          <w:szCs w:val="32"/>
        </w:rPr>
        <w:t>，与占全市</w:t>
      </w:r>
      <w:r>
        <w:rPr>
          <w:rFonts w:ascii="仿宋" w:hAnsi="仿宋" w:eastAsia="仿宋" w:cs="仿宋"/>
          <w:sz w:val="32"/>
          <w:szCs w:val="32"/>
        </w:rPr>
        <w:t>4A</w:t>
      </w:r>
      <w:r>
        <w:rPr>
          <w:rFonts w:hint="eastAsia" w:ascii="仿宋" w:hAnsi="仿宋" w:eastAsia="仿宋" w:cs="仿宋"/>
          <w:sz w:val="32"/>
          <w:szCs w:val="32"/>
        </w:rPr>
        <w:t>级景区</w:t>
      </w:r>
      <w:r>
        <w:rPr>
          <w:rFonts w:ascii="仿宋" w:hAnsi="仿宋" w:eastAsia="仿宋" w:cs="仿宋"/>
          <w:sz w:val="32"/>
          <w:szCs w:val="32"/>
        </w:rPr>
        <w:t>28.6%</w:t>
      </w:r>
      <w:r>
        <w:rPr>
          <w:rFonts w:hint="eastAsia" w:ascii="仿宋" w:hAnsi="仿宋" w:eastAsia="仿宋" w:cs="仿宋"/>
          <w:sz w:val="32"/>
          <w:szCs w:val="32"/>
        </w:rPr>
        <w:t>的旅游资源富集度极不相称。</w:t>
      </w:r>
    </w:p>
    <w:p>
      <w:pPr>
        <w:spacing w:line="600" w:lineRule="exact"/>
        <w:jc w:val="center"/>
        <w:rPr>
          <w:rFonts w:ascii="仿宋" w:hAnsi="仿宋" w:eastAsia="仿宋" w:cs="仿宋"/>
          <w:sz w:val="32"/>
          <w:szCs w:val="32"/>
        </w:rPr>
      </w:pPr>
      <w:r>
        <w:rPr>
          <w:rFonts w:hint="eastAsia" w:ascii="仿宋" w:hAnsi="仿宋" w:eastAsia="仿宋" w:cs="仿宋"/>
          <w:b/>
          <w:bCs/>
          <w:sz w:val="32"/>
          <w:szCs w:val="32"/>
        </w:rPr>
        <w:t>第三节</w:t>
      </w:r>
      <w:r>
        <w:rPr>
          <w:rFonts w:ascii="仿宋" w:hAnsi="仿宋" w:eastAsia="仿宋" w:cs="仿宋"/>
          <w:b/>
          <w:bCs/>
          <w:sz w:val="32"/>
          <w:szCs w:val="32"/>
        </w:rPr>
        <w:t xml:space="preserve">  </w:t>
      </w:r>
      <w:r>
        <w:rPr>
          <w:rFonts w:hint="eastAsia" w:ascii="仿宋" w:hAnsi="仿宋" w:eastAsia="仿宋" w:cs="仿宋"/>
          <w:b/>
          <w:bCs/>
          <w:sz w:val="32"/>
          <w:szCs w:val="32"/>
        </w:rPr>
        <w:t>发展机遇</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一、良好的区位优势</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我区地处川、陕、甘三省结合部，自古以来就是出入川陕的咽喉要道，素有“秦蜀重镇”、“川北门户”之称。高速公路连通川陕甘，宝成铁路复线、西成高铁纵贯全境，立体交通运输网络发达。良好的区位交通条件使我区成为川陕甘结合部重要的交通节点和商品集散地。随着四川开放型经济建设水平的进一步提高，将更加有利于以我区为支点促进川陕甘经济合作与交流。同时我区紧邻成渝经济区、成渝西“金三角”及成渝西昆菱形（钻石）经济圈，有利于接受成都、重庆、西安、昆明等西部特大城市的辐射带动。随着四川未来新建</w:t>
      </w:r>
      <w:r>
        <w:rPr>
          <w:rFonts w:ascii="仿宋" w:hAnsi="仿宋" w:eastAsia="仿宋" w:cs="仿宋"/>
          <w:sz w:val="32"/>
          <w:szCs w:val="32"/>
        </w:rPr>
        <w:t>10</w:t>
      </w:r>
      <w:r>
        <w:rPr>
          <w:rFonts w:hint="eastAsia" w:ascii="仿宋" w:hAnsi="仿宋" w:eastAsia="仿宋" w:cs="仿宋"/>
          <w:sz w:val="32"/>
          <w:szCs w:val="32"/>
        </w:rPr>
        <w:t>大高铁、</w:t>
      </w:r>
      <w:r>
        <w:rPr>
          <w:rFonts w:ascii="仿宋" w:hAnsi="仿宋" w:eastAsia="仿宋" w:cs="仿宋"/>
          <w:sz w:val="32"/>
          <w:szCs w:val="32"/>
        </w:rPr>
        <w:t>8</w:t>
      </w:r>
      <w:r>
        <w:rPr>
          <w:rFonts w:hint="eastAsia" w:ascii="仿宋" w:hAnsi="仿宋" w:eastAsia="仿宋" w:cs="仿宋"/>
          <w:sz w:val="32"/>
          <w:szCs w:val="32"/>
        </w:rPr>
        <w:t>条出川高速公路规划的实施以及国家对县区通用机场的规划布局，有望在更大力度上提升我区的区域竞争力。此外，随着广元市作为川北门户中心城市位置的加强，作为市辖区的朝天区，其发展空间必将得到拓展。</w:t>
      </w:r>
    </w:p>
    <w:p>
      <w:pPr>
        <w:spacing w:line="600" w:lineRule="exact"/>
        <w:ind w:firstLine="470" w:firstLineChars="147"/>
        <w:rPr>
          <w:rFonts w:ascii="黑体" w:hAnsi="黑体" w:eastAsia="黑体" w:cs="黑体"/>
          <w:sz w:val="32"/>
          <w:szCs w:val="32"/>
        </w:rPr>
      </w:pPr>
      <w:r>
        <w:rPr>
          <w:rFonts w:hint="eastAsia" w:ascii="黑体" w:hAnsi="黑体" w:eastAsia="黑体" w:cs="黑体"/>
          <w:sz w:val="32"/>
          <w:szCs w:val="32"/>
        </w:rPr>
        <w:t>二、叠加的政策优势</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十三五”仍处于新型工业化、城镇化建设快速发展时期，经济发展将保持高于全国平均发展速度。省委、省政府实施“三大发展战略”、推进“两个跨越”和支持川东北经济区、川陕革命老区振兴发展，特别是首次单列章节将扶贫开发作为全省“十三五”规划的重要任务，将进一步加大对“四大片区”的精准扶贫脱贫工作力度，对我区积极向上争取支持提供了难得的政策叠加机遇。</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三、丰富的资源优势</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生态、文化、医疗、旅游、物产等各类资源要素充沛，为我区文化旅游、康养等服务业的发展奠定了基础。生态环境优势突出，森林覆盖率高达45.6%，环境污染小；文化资源丰富，蜀道文化、三国文化等底蕴深厚,现有国家重点文物保护单位1个；医疗资源良好，主城区拥有医院3家，其中二甲、二乙医院各1家，各乡镇均设立了乡镇卫生院；旅游资源丰富，拥有国家AAAA级旅游景区4个；物产丰富，拥有国家地理标志保护产品朝天核桃、曾家山甘蓝、麻柳刺绣3个，辣椒、香菇、马铃薯等7个绿色食品A级认证。朝天一流的生态环境、特色的栈道文化旅游资源和丰富的物产资源为加快朝天区服务业发展提供了有力的资源保障。</w:t>
      </w:r>
    </w:p>
    <w:p>
      <w:pPr>
        <w:numPr>
          <w:ilvl w:val="0"/>
          <w:numId w:val="2"/>
        </w:numPr>
        <w:spacing w:line="600" w:lineRule="exact"/>
        <w:ind w:firstLine="568"/>
        <w:jc w:val="center"/>
        <w:rPr>
          <w:rFonts w:ascii="黑体" w:hAnsi="黑体" w:eastAsia="黑体" w:cs="黑体"/>
          <w:sz w:val="36"/>
          <w:szCs w:val="36"/>
        </w:rPr>
      </w:pPr>
      <w:r>
        <w:rPr>
          <w:rFonts w:ascii="黑体" w:hAnsi="黑体" w:eastAsia="黑体" w:cs="黑体"/>
          <w:sz w:val="36"/>
          <w:szCs w:val="36"/>
        </w:rPr>
        <w:t xml:space="preserve"> </w:t>
      </w:r>
      <w:r>
        <w:rPr>
          <w:rFonts w:hint="eastAsia" w:ascii="黑体" w:hAnsi="黑体" w:eastAsia="黑体" w:cs="黑体"/>
          <w:sz w:val="36"/>
          <w:szCs w:val="36"/>
        </w:rPr>
        <w:t>发展思路</w:t>
      </w:r>
    </w:p>
    <w:p>
      <w:pPr>
        <w:pStyle w:val="3"/>
        <w:numPr>
          <w:ilvl w:val="0"/>
          <w:numId w:val="3"/>
        </w:numPr>
        <w:spacing w:line="600" w:lineRule="exact"/>
        <w:jc w:val="center"/>
        <w:rPr>
          <w:rFonts w:ascii="仿宋" w:hAnsi="仿宋" w:eastAsia="仿宋" w:cs="仿宋"/>
        </w:rPr>
      </w:pPr>
      <w:bookmarkStart w:id="6" w:name="_Toc442107599"/>
      <w:r>
        <w:rPr>
          <w:rFonts w:ascii="仿宋" w:hAnsi="仿宋" w:eastAsia="仿宋" w:cs="仿宋"/>
        </w:rPr>
        <w:t xml:space="preserve"> </w:t>
      </w:r>
      <w:bookmarkEnd w:id="6"/>
      <w:r>
        <w:rPr>
          <w:rFonts w:hint="eastAsia" w:ascii="仿宋" w:hAnsi="仿宋" w:eastAsia="仿宋" w:cs="仿宋"/>
        </w:rPr>
        <w:t>指导思想</w:t>
      </w:r>
    </w:p>
    <w:p>
      <w:pPr>
        <w:spacing w:line="600" w:lineRule="exact"/>
        <w:ind w:firstLine="640" w:firstLineChars="200"/>
        <w:rPr>
          <w:rFonts w:ascii="仿宋" w:hAnsi="仿宋" w:eastAsia="仿宋" w:cs="仿宋"/>
          <w:bCs/>
          <w:sz w:val="32"/>
          <w:szCs w:val="32"/>
        </w:rPr>
      </w:pPr>
      <w:r>
        <w:rPr>
          <w:rFonts w:hint="eastAsia" w:ascii="仿宋" w:hAnsi="仿宋" w:eastAsia="仿宋" w:cs="仿宋"/>
          <w:color w:val="000000"/>
          <w:kern w:val="0"/>
          <w:sz w:val="32"/>
          <w:szCs w:val="32"/>
        </w:rPr>
        <w:t>深入贯彻习近平总书记系列重要讲话精神，紧紧围绕“四个全面”战略布局，以新型工业化为动力，以城市化为依托，以市场化为导向，以信息化为支撑，坚持集聚发展，实施项目带动，培育特色品牌，壮大发展优势强、效益高的特色服务业，优先发展科技含量高、关联带动强的生产服务业，积极发展市场前景广、消费潜力较大的消费服务业，着力发展群众关注度高、基础条件较好的公共服务业，努力构建知识密集、功能完善、辐射较强现代服务业发展新格局。</w:t>
      </w:r>
    </w:p>
    <w:p>
      <w:pPr>
        <w:spacing w:line="600" w:lineRule="exact"/>
        <w:rPr>
          <w:rFonts w:ascii="仿宋" w:hAnsi="仿宋" w:eastAsia="仿宋" w:cs="仿宋"/>
          <w:sz w:val="32"/>
          <w:szCs w:val="32"/>
        </w:rPr>
      </w:pPr>
    </w:p>
    <w:p>
      <w:pPr>
        <w:pStyle w:val="3"/>
        <w:numPr>
          <w:ilvl w:val="0"/>
          <w:numId w:val="3"/>
        </w:numPr>
        <w:spacing w:line="600" w:lineRule="exact"/>
        <w:jc w:val="center"/>
        <w:rPr>
          <w:rFonts w:ascii="仿宋" w:hAnsi="仿宋" w:eastAsia="仿宋" w:cs="仿宋"/>
        </w:rPr>
      </w:pPr>
      <w:r>
        <w:rPr>
          <w:rFonts w:ascii="仿宋" w:hAnsi="仿宋" w:eastAsia="仿宋" w:cs="仿宋"/>
        </w:rPr>
        <w:t xml:space="preserve"> </w:t>
      </w:r>
      <w:r>
        <w:rPr>
          <w:rFonts w:hint="eastAsia" w:ascii="仿宋" w:hAnsi="仿宋" w:eastAsia="仿宋" w:cs="仿宋"/>
        </w:rPr>
        <w:t>基本原则</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一、坚持融合发展</w:t>
      </w:r>
    </w:p>
    <w:p>
      <w:pPr>
        <w:spacing w:line="600" w:lineRule="exact"/>
        <w:ind w:firstLine="640" w:firstLineChars="200"/>
        <w:rPr>
          <w:rFonts w:ascii="仿宋" w:hAnsi="仿宋" w:eastAsia="仿宋" w:cs="仿宋"/>
          <w:sz w:val="32"/>
          <w:szCs w:val="32"/>
        </w:rPr>
      </w:pPr>
      <w:r>
        <w:rPr>
          <w:rFonts w:hint="eastAsia" w:ascii="仿宋" w:hAnsi="仿宋" w:eastAsia="仿宋" w:cs="仿宋"/>
          <w:bCs/>
          <w:sz w:val="32"/>
          <w:szCs w:val="32"/>
        </w:rPr>
        <w:t>以服务业为引领，</w:t>
      </w:r>
      <w:r>
        <w:rPr>
          <w:rFonts w:hint="eastAsia" w:ascii="仿宋" w:hAnsi="仿宋" w:eastAsia="仿宋" w:cs="仿宋"/>
          <w:sz w:val="32"/>
          <w:szCs w:val="32"/>
        </w:rPr>
        <w:t>坚持服务业与一、二产业联动和融合发展，不断提升服务业的服务和支撑能力，创造市场需求，拓展服务业发展空间，注重发挥服务业与先进制造业、现代农业的产业互动效应，促进制造业服务化，服务业实体化，加快生产性服务业发展，有效满足产业转型提升的需要，引导产业的互促融合发展。</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二、坚持集聚发展</w:t>
      </w:r>
    </w:p>
    <w:p>
      <w:pPr>
        <w:spacing w:line="600" w:lineRule="exact"/>
        <w:ind w:firstLine="640" w:firstLineChars="200"/>
        <w:rPr>
          <w:rFonts w:ascii="仿宋" w:hAnsi="仿宋" w:eastAsia="仿宋" w:cs="仿宋"/>
          <w:sz w:val="32"/>
          <w:szCs w:val="32"/>
        </w:rPr>
      </w:pPr>
      <w:r>
        <w:rPr>
          <w:rFonts w:hint="eastAsia" w:ascii="仿宋" w:hAnsi="仿宋" w:eastAsia="仿宋" w:cs="仿宋"/>
          <w:kern w:val="0"/>
          <w:sz w:val="32"/>
          <w:szCs w:val="32"/>
        </w:rPr>
        <w:t>把握新型工业化、信息化、城镇化、农业现代化发展趋势，放大区域资源优势和产业优势，</w:t>
      </w:r>
      <w:r>
        <w:rPr>
          <w:rFonts w:hint="eastAsia" w:ascii="仿宋" w:hAnsi="仿宋" w:eastAsia="仿宋" w:cs="仿宋"/>
          <w:sz w:val="32"/>
          <w:szCs w:val="32"/>
        </w:rPr>
        <w:t>根据全区各重点区域的发展特点，突出现代服务业集聚区建设，引导特色服务业行业集聚发展，形成布局合理、特色明显、优势突出、带动较强的服务业发展格局。同时，发挥中心镇在城镇服务业体系中的节点功能，推动城镇服务业和农村服务业集聚发展。</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三、坚持差异发展</w:t>
      </w:r>
    </w:p>
    <w:p>
      <w:pPr>
        <w:spacing w:line="600" w:lineRule="exact"/>
        <w:ind w:firstLine="640" w:firstLineChars="200"/>
        <w:rPr>
          <w:rFonts w:ascii="仿宋" w:hAnsi="仿宋" w:eastAsia="仿宋" w:cs="仿宋"/>
          <w:sz w:val="32"/>
          <w:szCs w:val="32"/>
        </w:rPr>
      </w:pPr>
      <w:r>
        <w:rPr>
          <w:rFonts w:hint="eastAsia" w:ascii="仿宋" w:hAnsi="仿宋" w:eastAsia="仿宋" w:cs="仿宋"/>
          <w:bCs/>
          <w:sz w:val="32"/>
          <w:szCs w:val="32"/>
        </w:rPr>
        <w:t>在统筹</w:t>
      </w:r>
      <w:r>
        <w:rPr>
          <w:rFonts w:hint="eastAsia" w:ascii="仿宋" w:hAnsi="仿宋" w:eastAsia="仿宋" w:cs="仿宋"/>
          <w:kern w:val="0"/>
          <w:sz w:val="32"/>
          <w:szCs w:val="32"/>
        </w:rPr>
        <w:t>推动生活性服务业与生产性服务业同步发展的同时，</w:t>
      </w:r>
      <w:r>
        <w:rPr>
          <w:rFonts w:hint="eastAsia" w:ascii="仿宋" w:hAnsi="仿宋" w:eastAsia="仿宋" w:cs="仿宋"/>
          <w:sz w:val="32"/>
          <w:szCs w:val="32"/>
        </w:rPr>
        <w:t>注重充分发挥区位、交通等比较优势，大力发展旅游、物流、现代商贸等重点优势行业，积极发展农村服务、康养服务等成长性行业。</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四、坚持开放发展</w:t>
      </w:r>
    </w:p>
    <w:p>
      <w:pPr>
        <w:spacing w:line="600" w:lineRule="exact"/>
        <w:ind w:firstLine="640" w:firstLineChars="200"/>
        <w:rPr>
          <w:rFonts w:ascii="仿宋" w:hAnsi="仿宋" w:eastAsia="仿宋" w:cs="仿宋"/>
          <w:bCs/>
          <w:sz w:val="32"/>
          <w:szCs w:val="32"/>
        </w:rPr>
      </w:pPr>
      <w:r>
        <w:rPr>
          <w:rFonts w:hint="eastAsia" w:ascii="仿宋" w:hAnsi="仿宋" w:eastAsia="仿宋" w:cs="仿宋"/>
          <w:bCs/>
          <w:sz w:val="32"/>
          <w:szCs w:val="32"/>
        </w:rPr>
        <w:t>充分发挥朝天区位优势，着力深化供给侧结构性改革，努力构建新供给形成新动力的良好环境和长效机制。紧紧抓住国际国内产业转移重要机遇，加快服务业对外开放步伐，加大服务业招商引资力度，加快引进优质的内外资服务业项目，加强与周边区域大城市的服务业合作与交流。</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五、坚持创新发展</w:t>
      </w:r>
    </w:p>
    <w:p>
      <w:pPr>
        <w:spacing w:line="600" w:lineRule="exact"/>
        <w:rPr>
          <w:rFonts w:ascii="仿宋" w:hAnsi="仿宋" w:eastAsia="仿宋" w:cs="仿宋"/>
          <w:sz w:val="32"/>
          <w:szCs w:val="32"/>
        </w:rPr>
      </w:pPr>
      <w:r>
        <w:rPr>
          <w:rFonts w:ascii="仿宋" w:hAnsi="仿宋" w:eastAsia="仿宋" w:cs="仿宋"/>
          <w:kern w:val="0"/>
          <w:sz w:val="32"/>
          <w:szCs w:val="32"/>
        </w:rPr>
        <w:t xml:space="preserve">   </w:t>
      </w:r>
      <w:r>
        <w:rPr>
          <w:rFonts w:hint="eastAsia" w:ascii="仿宋" w:hAnsi="仿宋" w:eastAsia="仿宋" w:cs="仿宋"/>
          <w:kern w:val="0"/>
          <w:sz w:val="32"/>
          <w:szCs w:val="32"/>
        </w:rPr>
        <w:t>以科技创新为核心引领全面创新，不断推进全区服务业发展中的理念创新、管理创新、体制机制创新和技术创新，培育形成更多新技术、新产业、新业态、新模式，增加优质新型服务产品和服务方式等有效供给，满足不同群体、不同产业不断升级的个性化、多样化消费需求。</w:t>
      </w:r>
    </w:p>
    <w:p>
      <w:pPr>
        <w:pStyle w:val="3"/>
        <w:numPr>
          <w:ilvl w:val="0"/>
          <w:numId w:val="3"/>
        </w:numPr>
        <w:spacing w:line="600" w:lineRule="exact"/>
        <w:jc w:val="center"/>
        <w:rPr>
          <w:rFonts w:ascii="仿宋" w:hAnsi="仿宋" w:eastAsia="仿宋" w:cs="仿宋"/>
        </w:rPr>
      </w:pPr>
      <w:r>
        <w:rPr>
          <w:rFonts w:hint="eastAsia" w:ascii="仿宋" w:hAnsi="仿宋" w:eastAsia="仿宋" w:cs="仿宋"/>
        </w:rPr>
        <w:t>发展目标</w:t>
      </w:r>
    </w:p>
    <w:p>
      <w:pPr>
        <w:spacing w:line="600" w:lineRule="exact"/>
        <w:ind w:firstLine="640" w:firstLineChars="200"/>
        <w:rPr>
          <w:rFonts w:ascii="仿宋" w:hAnsi="仿宋" w:eastAsia="仿宋" w:cs="仿宋"/>
          <w:bCs/>
          <w:sz w:val="32"/>
          <w:szCs w:val="32"/>
        </w:rPr>
      </w:pPr>
      <w:r>
        <w:rPr>
          <w:rFonts w:hint="eastAsia" w:ascii="仿宋" w:hAnsi="仿宋" w:eastAsia="仿宋" w:cs="仿宋"/>
          <w:bCs/>
          <w:sz w:val="32"/>
          <w:szCs w:val="32"/>
        </w:rPr>
        <w:t>按照“发展提速、比重提高、贡献增大”总体目标，加快构建以支柱服务业为主体、新兴服务业为引领、成长型服务业为动力，发展模式不断创新的服务业发展体系，努力打造“朝天服务”品牌。</w:t>
      </w:r>
    </w:p>
    <w:p>
      <w:pPr>
        <w:spacing w:line="600" w:lineRule="exact"/>
        <w:ind w:firstLine="642" w:firstLineChars="200"/>
        <w:rPr>
          <w:rFonts w:ascii="仿宋" w:hAnsi="仿宋" w:eastAsia="仿宋" w:cs="仿宋"/>
          <w:sz w:val="32"/>
          <w:szCs w:val="32"/>
        </w:rPr>
      </w:pPr>
      <w:r>
        <w:rPr>
          <w:rFonts w:ascii="仿宋" w:hAnsi="仿宋" w:eastAsia="仿宋" w:cs="仿宋"/>
          <w:b/>
          <w:bCs/>
          <w:sz w:val="32"/>
          <w:szCs w:val="32"/>
        </w:rPr>
        <w:t>1.</w:t>
      </w:r>
      <w:r>
        <w:rPr>
          <w:rFonts w:hint="eastAsia" w:ascii="仿宋" w:hAnsi="仿宋" w:eastAsia="仿宋" w:cs="仿宋"/>
          <w:b/>
          <w:bCs/>
          <w:sz w:val="32"/>
          <w:szCs w:val="32"/>
        </w:rPr>
        <w:t>总量目标。</w:t>
      </w:r>
      <w:r>
        <w:rPr>
          <w:rFonts w:hint="eastAsia" w:ascii="仿宋" w:hAnsi="仿宋" w:eastAsia="仿宋" w:cs="仿宋"/>
          <w:sz w:val="32"/>
          <w:szCs w:val="32"/>
        </w:rPr>
        <w:t>到</w:t>
      </w:r>
      <w:r>
        <w:rPr>
          <w:rFonts w:ascii="仿宋" w:hAnsi="仿宋" w:eastAsia="仿宋" w:cs="仿宋"/>
          <w:sz w:val="32"/>
          <w:szCs w:val="32"/>
        </w:rPr>
        <w:t>2020</w:t>
      </w:r>
      <w:r>
        <w:rPr>
          <w:rFonts w:hint="eastAsia" w:ascii="仿宋" w:hAnsi="仿宋" w:eastAsia="仿宋" w:cs="仿宋"/>
          <w:sz w:val="32"/>
          <w:szCs w:val="32"/>
        </w:rPr>
        <w:t>年，服务业增加值达到</w:t>
      </w:r>
      <w:r>
        <w:rPr>
          <w:rFonts w:ascii="仿宋" w:hAnsi="仿宋" w:eastAsia="仿宋" w:cs="仿宋"/>
          <w:sz w:val="32"/>
          <w:szCs w:val="32"/>
        </w:rPr>
        <w:t>19</w:t>
      </w:r>
      <w:r>
        <w:rPr>
          <w:rFonts w:hint="eastAsia" w:ascii="仿宋" w:hAnsi="仿宋" w:eastAsia="仿宋" w:cs="仿宋"/>
          <w:sz w:val="32"/>
          <w:szCs w:val="32"/>
        </w:rPr>
        <w:t>亿元，年均增长</w:t>
      </w:r>
      <w:r>
        <w:rPr>
          <w:rFonts w:ascii="仿宋" w:hAnsi="仿宋" w:eastAsia="仿宋" w:cs="仿宋"/>
          <w:sz w:val="32"/>
          <w:szCs w:val="32"/>
        </w:rPr>
        <w:t>10%</w:t>
      </w:r>
      <w:r>
        <w:rPr>
          <w:rFonts w:hint="eastAsia" w:ascii="仿宋" w:hAnsi="仿宋" w:eastAsia="仿宋" w:cs="仿宋"/>
          <w:sz w:val="32"/>
          <w:szCs w:val="32"/>
        </w:rPr>
        <w:t>；培育规模以上服务业企业</w:t>
      </w:r>
      <w:r>
        <w:rPr>
          <w:rFonts w:hint="eastAsia" w:ascii="仿宋" w:hAnsi="仿宋" w:eastAsia="仿宋" w:cs="仿宋"/>
          <w:sz w:val="32"/>
          <w:szCs w:val="32"/>
          <w:lang w:val="en-US" w:eastAsia="zh-CN"/>
        </w:rPr>
        <w:t>13</w:t>
      </w:r>
      <w:r>
        <w:rPr>
          <w:rFonts w:hint="eastAsia" w:ascii="仿宋" w:hAnsi="仿宋" w:eastAsia="仿宋" w:cs="仿宋"/>
          <w:sz w:val="32"/>
          <w:szCs w:val="32"/>
        </w:rPr>
        <w:t>家。</w:t>
      </w:r>
    </w:p>
    <w:p>
      <w:pPr>
        <w:spacing w:line="600" w:lineRule="exact"/>
        <w:ind w:firstLine="642" w:firstLineChars="200"/>
        <w:rPr>
          <w:rFonts w:ascii="仿宋" w:hAnsi="仿宋" w:eastAsia="仿宋" w:cs="仿宋"/>
          <w:sz w:val="32"/>
          <w:szCs w:val="32"/>
        </w:rPr>
      </w:pPr>
      <w:r>
        <w:rPr>
          <w:rFonts w:ascii="仿宋" w:hAnsi="仿宋" w:eastAsia="仿宋" w:cs="仿宋"/>
          <w:b/>
          <w:bCs/>
          <w:sz w:val="32"/>
          <w:szCs w:val="32"/>
        </w:rPr>
        <w:t>2.</w:t>
      </w:r>
      <w:r>
        <w:rPr>
          <w:rFonts w:hint="eastAsia" w:ascii="仿宋" w:hAnsi="仿宋" w:eastAsia="仿宋" w:cs="仿宋"/>
          <w:b/>
          <w:bCs/>
          <w:sz w:val="32"/>
          <w:szCs w:val="32"/>
        </w:rPr>
        <w:t>贡献目标。</w:t>
      </w:r>
      <w:r>
        <w:rPr>
          <w:rFonts w:hint="eastAsia" w:ascii="仿宋" w:hAnsi="仿宋" w:eastAsia="仿宋" w:cs="仿宋"/>
          <w:sz w:val="32"/>
          <w:szCs w:val="32"/>
        </w:rPr>
        <w:t>到</w:t>
      </w:r>
      <w:r>
        <w:rPr>
          <w:rFonts w:ascii="仿宋" w:hAnsi="仿宋" w:eastAsia="仿宋" w:cs="仿宋"/>
          <w:sz w:val="32"/>
          <w:szCs w:val="32"/>
        </w:rPr>
        <w:t>2020</w:t>
      </w:r>
      <w:r>
        <w:rPr>
          <w:rFonts w:hint="eastAsia" w:ascii="仿宋" w:hAnsi="仿宋" w:eastAsia="仿宋" w:cs="仿宋"/>
          <w:sz w:val="32"/>
          <w:szCs w:val="32"/>
        </w:rPr>
        <w:t>年，服务业增加值占</w:t>
      </w:r>
      <w:r>
        <w:rPr>
          <w:rFonts w:ascii="仿宋" w:hAnsi="仿宋" w:eastAsia="仿宋" w:cs="仿宋"/>
          <w:sz w:val="32"/>
          <w:szCs w:val="32"/>
        </w:rPr>
        <w:t>GDP</w:t>
      </w:r>
      <w:r>
        <w:rPr>
          <w:rFonts w:hint="eastAsia" w:ascii="仿宋" w:hAnsi="仿宋" w:eastAsia="仿宋" w:cs="仿宋"/>
          <w:sz w:val="32"/>
          <w:szCs w:val="32"/>
        </w:rPr>
        <w:t>比重达到</w:t>
      </w:r>
      <w:r>
        <w:rPr>
          <w:rFonts w:ascii="仿宋" w:hAnsi="仿宋" w:eastAsia="仿宋" w:cs="仿宋"/>
          <w:sz w:val="32"/>
          <w:szCs w:val="32"/>
        </w:rPr>
        <w:t>31%</w:t>
      </w:r>
      <w:r>
        <w:rPr>
          <w:rFonts w:hint="eastAsia" w:ascii="仿宋" w:hAnsi="仿宋" w:eastAsia="仿宋" w:cs="仿宋"/>
          <w:sz w:val="32"/>
          <w:szCs w:val="32"/>
        </w:rPr>
        <w:t>；服务业就业年均增长</w:t>
      </w:r>
      <w:r>
        <w:rPr>
          <w:rFonts w:ascii="仿宋" w:hAnsi="仿宋" w:eastAsia="仿宋" w:cs="仿宋"/>
          <w:sz w:val="32"/>
          <w:szCs w:val="32"/>
        </w:rPr>
        <w:t>6</w:t>
      </w:r>
      <w:r>
        <w:rPr>
          <w:rFonts w:hint="eastAsia" w:ascii="仿宋" w:hAnsi="仿宋" w:eastAsia="仿宋" w:cs="仿宋"/>
          <w:sz w:val="32"/>
          <w:szCs w:val="32"/>
        </w:rPr>
        <w:t>％，吸纳就业人口超过</w:t>
      </w:r>
      <w:r>
        <w:rPr>
          <w:rFonts w:ascii="仿宋" w:hAnsi="仿宋" w:eastAsia="仿宋" w:cs="仿宋"/>
          <w:sz w:val="32"/>
          <w:szCs w:val="32"/>
        </w:rPr>
        <w:t>4</w:t>
      </w:r>
      <w:r>
        <w:rPr>
          <w:rFonts w:hint="eastAsia" w:ascii="仿宋" w:hAnsi="仿宋" w:eastAsia="仿宋" w:cs="仿宋"/>
          <w:sz w:val="32"/>
          <w:szCs w:val="32"/>
        </w:rPr>
        <w:t>万人，占全社会从业人数的比重超过</w:t>
      </w:r>
      <w:r>
        <w:rPr>
          <w:rFonts w:ascii="仿宋" w:hAnsi="仿宋" w:eastAsia="仿宋" w:cs="仿宋"/>
          <w:sz w:val="32"/>
          <w:szCs w:val="32"/>
        </w:rPr>
        <w:t>30</w:t>
      </w:r>
      <w:r>
        <w:rPr>
          <w:rFonts w:hint="eastAsia" w:ascii="仿宋" w:hAnsi="仿宋" w:eastAsia="仿宋" w:cs="仿宋"/>
          <w:sz w:val="32"/>
          <w:szCs w:val="32"/>
        </w:rPr>
        <w:t>％。</w:t>
      </w:r>
    </w:p>
    <w:p>
      <w:pPr>
        <w:spacing w:line="600" w:lineRule="exact"/>
        <w:ind w:firstLine="640" w:firstLineChars="200"/>
        <w:rPr>
          <w:rFonts w:ascii="仿宋" w:hAnsi="仿宋" w:eastAsia="仿宋" w:cs="仿宋"/>
          <w:bCs/>
          <w:sz w:val="32"/>
          <w:szCs w:val="32"/>
        </w:rPr>
      </w:pPr>
      <w:r>
        <w:rPr>
          <w:rFonts w:ascii="黑体" w:hAnsi="黑体" w:eastAsia="黑体" w:cs="黑体"/>
          <w:sz w:val="32"/>
          <w:szCs w:val="32"/>
        </w:rPr>
        <w:t>3.</w:t>
      </w:r>
      <w:r>
        <w:rPr>
          <w:rFonts w:hint="eastAsia" w:ascii="黑体" w:hAnsi="黑体" w:eastAsia="黑体" w:cs="黑体"/>
          <w:sz w:val="32"/>
          <w:szCs w:val="32"/>
        </w:rPr>
        <w:t>投资目标。</w:t>
      </w:r>
      <w:r>
        <w:rPr>
          <w:rFonts w:hint="eastAsia" w:ascii="仿宋" w:hAnsi="仿宋" w:eastAsia="仿宋" w:cs="仿宋"/>
          <w:bCs/>
          <w:sz w:val="32"/>
          <w:szCs w:val="32"/>
        </w:rPr>
        <w:t>“十三五”期间，服务业累计完成投资</w:t>
      </w:r>
      <w:r>
        <w:rPr>
          <w:rFonts w:ascii="仿宋" w:hAnsi="仿宋" w:eastAsia="仿宋" w:cs="仿宋"/>
          <w:bCs/>
          <w:sz w:val="32"/>
          <w:szCs w:val="32"/>
        </w:rPr>
        <w:t>100</w:t>
      </w:r>
      <w:r>
        <w:rPr>
          <w:rFonts w:hint="eastAsia" w:ascii="仿宋" w:hAnsi="仿宋" w:eastAsia="仿宋" w:cs="仿宋"/>
          <w:bCs/>
          <w:sz w:val="32"/>
          <w:szCs w:val="32"/>
        </w:rPr>
        <w:t>亿元，占全区固定资产投资比重达到</w:t>
      </w:r>
      <w:r>
        <w:rPr>
          <w:rFonts w:ascii="仿宋" w:hAnsi="仿宋" w:eastAsia="仿宋" w:cs="仿宋"/>
          <w:bCs/>
          <w:sz w:val="32"/>
          <w:szCs w:val="32"/>
        </w:rPr>
        <w:t>35%</w:t>
      </w:r>
      <w:r>
        <w:rPr>
          <w:rFonts w:hint="eastAsia" w:ascii="仿宋" w:hAnsi="仿宋" w:eastAsia="仿宋" w:cs="仿宋"/>
          <w:bCs/>
          <w:sz w:val="32"/>
          <w:szCs w:val="32"/>
        </w:rPr>
        <w:t>以上。</w:t>
      </w:r>
    </w:p>
    <w:p>
      <w:pPr>
        <w:spacing w:line="600" w:lineRule="exact"/>
        <w:ind w:firstLine="640" w:firstLineChars="200"/>
        <w:rPr>
          <w:rFonts w:ascii="仿宋" w:hAnsi="仿宋" w:eastAsia="仿宋" w:cs="仿宋"/>
          <w:color w:val="FF0000"/>
          <w:sz w:val="32"/>
          <w:szCs w:val="32"/>
        </w:rPr>
      </w:pPr>
      <w:r>
        <w:rPr>
          <w:rFonts w:ascii="黑体" w:hAnsi="黑体" w:eastAsia="黑体" w:cs="黑体"/>
          <w:bCs/>
          <w:sz w:val="32"/>
          <w:szCs w:val="32"/>
        </w:rPr>
        <w:t>4</w:t>
      </w:r>
      <w:r>
        <w:rPr>
          <w:rFonts w:hint="eastAsia" w:ascii="黑体" w:hAnsi="黑体" w:eastAsia="黑体" w:cs="黑体"/>
          <w:bCs/>
          <w:sz w:val="32"/>
          <w:szCs w:val="32"/>
        </w:rPr>
        <w:t>、机制目标：</w:t>
      </w:r>
      <w:r>
        <w:rPr>
          <w:rFonts w:hint="eastAsia" w:ascii="仿宋" w:hAnsi="仿宋" w:eastAsia="仿宋" w:cs="仿宋"/>
          <w:bCs/>
          <w:sz w:val="32"/>
          <w:szCs w:val="32"/>
        </w:rPr>
        <w:t>基本形成与市场经济体制相适应的能满足城乡人民需要的市场体系、城乡一体化服务体系，现代服务业运行机制、管理体制和市场监管服务机制更加完善。</w:t>
      </w:r>
    </w:p>
    <w:p>
      <w:pPr>
        <w:spacing w:line="600" w:lineRule="exact"/>
        <w:jc w:val="center"/>
        <w:rPr>
          <w:rFonts w:ascii="仿宋" w:hAnsi="仿宋" w:eastAsia="仿宋" w:cs="仿宋"/>
          <w:bCs/>
          <w:sz w:val="32"/>
          <w:szCs w:val="32"/>
        </w:rPr>
      </w:pPr>
    </w:p>
    <w:p>
      <w:pPr>
        <w:spacing w:line="600" w:lineRule="exact"/>
        <w:jc w:val="center"/>
        <w:rPr>
          <w:rFonts w:ascii="仿宋" w:hAnsi="仿宋" w:eastAsia="仿宋" w:cs="仿宋"/>
          <w:b/>
          <w:sz w:val="32"/>
          <w:szCs w:val="32"/>
        </w:rPr>
      </w:pPr>
      <w:r>
        <w:rPr>
          <w:rFonts w:hint="eastAsia" w:ascii="仿宋" w:hAnsi="仿宋" w:eastAsia="仿宋" w:cs="仿宋"/>
          <w:b/>
          <w:sz w:val="32"/>
          <w:szCs w:val="32"/>
        </w:rPr>
        <w:t>“十三五”时期朝天区现代服务业发展主要指标</w:t>
      </w:r>
    </w:p>
    <w:tbl>
      <w:tblPr>
        <w:tblStyle w:val="9"/>
        <w:tblW w:w="8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740"/>
        <w:gridCol w:w="2620"/>
        <w:gridCol w:w="780"/>
        <w:gridCol w:w="999"/>
        <w:gridCol w:w="1067"/>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Align w:val="center"/>
          </w:tcPr>
          <w:p>
            <w:pPr>
              <w:spacing w:line="600" w:lineRule="exact"/>
              <w:jc w:val="center"/>
              <w:rPr>
                <w:rFonts w:ascii="仿宋" w:hAnsi="仿宋" w:eastAsia="仿宋" w:cs="仿宋"/>
                <w:b/>
                <w:bCs/>
                <w:color w:val="0000FF"/>
                <w:sz w:val="24"/>
                <w:szCs w:val="24"/>
              </w:rPr>
            </w:pPr>
            <w:r>
              <w:rPr>
                <w:rFonts w:hint="eastAsia" w:ascii="仿宋" w:hAnsi="仿宋" w:eastAsia="仿宋" w:cs="仿宋"/>
                <w:b/>
                <w:bCs/>
                <w:sz w:val="24"/>
                <w:szCs w:val="24"/>
              </w:rPr>
              <w:t>类型</w:t>
            </w:r>
          </w:p>
        </w:tc>
        <w:tc>
          <w:tcPr>
            <w:tcW w:w="740" w:type="dxa"/>
            <w:vAlign w:val="center"/>
          </w:tcPr>
          <w:p>
            <w:pPr>
              <w:spacing w:line="600" w:lineRule="exact"/>
              <w:jc w:val="center"/>
              <w:rPr>
                <w:rFonts w:ascii="仿宋" w:hAnsi="仿宋" w:eastAsia="仿宋" w:cs="仿宋"/>
                <w:b/>
                <w:bCs/>
                <w:color w:val="0000FF"/>
                <w:sz w:val="24"/>
                <w:szCs w:val="24"/>
              </w:rPr>
            </w:pPr>
            <w:r>
              <w:rPr>
                <w:rFonts w:hint="eastAsia" w:ascii="仿宋" w:hAnsi="仿宋" w:eastAsia="仿宋" w:cs="仿宋"/>
                <w:b/>
                <w:bCs/>
                <w:sz w:val="24"/>
                <w:szCs w:val="24"/>
              </w:rPr>
              <w:t>序号</w:t>
            </w:r>
          </w:p>
        </w:tc>
        <w:tc>
          <w:tcPr>
            <w:tcW w:w="2620" w:type="dxa"/>
            <w:vAlign w:val="center"/>
          </w:tcPr>
          <w:p>
            <w:pPr>
              <w:spacing w:line="600" w:lineRule="exact"/>
              <w:jc w:val="center"/>
              <w:rPr>
                <w:rFonts w:ascii="仿宋" w:hAnsi="仿宋" w:eastAsia="仿宋" w:cs="仿宋"/>
                <w:b/>
                <w:bCs/>
                <w:color w:val="0000FF"/>
                <w:sz w:val="24"/>
                <w:szCs w:val="24"/>
              </w:rPr>
            </w:pPr>
            <w:r>
              <w:rPr>
                <w:rFonts w:hint="eastAsia" w:ascii="仿宋" w:hAnsi="仿宋" w:eastAsia="仿宋" w:cs="仿宋"/>
                <w:b/>
                <w:bCs/>
                <w:sz w:val="24"/>
                <w:szCs w:val="24"/>
              </w:rPr>
              <w:t>指标名称</w:t>
            </w:r>
          </w:p>
        </w:tc>
        <w:tc>
          <w:tcPr>
            <w:tcW w:w="780" w:type="dxa"/>
            <w:vAlign w:val="center"/>
          </w:tcPr>
          <w:p>
            <w:pPr>
              <w:spacing w:line="600" w:lineRule="exact"/>
              <w:jc w:val="center"/>
              <w:rPr>
                <w:rFonts w:ascii="仿宋" w:hAnsi="仿宋" w:eastAsia="仿宋" w:cs="仿宋"/>
                <w:b/>
                <w:bCs/>
                <w:sz w:val="24"/>
                <w:szCs w:val="24"/>
              </w:rPr>
            </w:pPr>
            <w:r>
              <w:rPr>
                <w:rFonts w:hint="eastAsia" w:ascii="仿宋" w:hAnsi="仿宋" w:eastAsia="仿宋" w:cs="仿宋"/>
                <w:b/>
                <w:bCs/>
                <w:sz w:val="24"/>
                <w:szCs w:val="24"/>
              </w:rPr>
              <w:t>单位</w:t>
            </w:r>
          </w:p>
        </w:tc>
        <w:tc>
          <w:tcPr>
            <w:tcW w:w="999" w:type="dxa"/>
            <w:vAlign w:val="center"/>
          </w:tcPr>
          <w:p>
            <w:pPr>
              <w:spacing w:line="600" w:lineRule="exact"/>
              <w:jc w:val="center"/>
              <w:rPr>
                <w:rFonts w:ascii="仿宋" w:hAnsi="仿宋" w:eastAsia="仿宋" w:cs="仿宋"/>
                <w:b/>
                <w:bCs/>
                <w:color w:val="0000FF"/>
                <w:sz w:val="24"/>
                <w:szCs w:val="24"/>
              </w:rPr>
            </w:pPr>
            <w:r>
              <w:rPr>
                <w:rFonts w:ascii="仿宋" w:hAnsi="仿宋" w:eastAsia="仿宋" w:cs="仿宋"/>
                <w:b/>
                <w:bCs/>
                <w:sz w:val="24"/>
                <w:szCs w:val="24"/>
              </w:rPr>
              <w:t>2015</w:t>
            </w:r>
            <w:r>
              <w:rPr>
                <w:rFonts w:hint="eastAsia" w:ascii="仿宋" w:hAnsi="仿宋" w:eastAsia="仿宋" w:cs="仿宋"/>
                <w:b/>
                <w:bCs/>
                <w:sz w:val="24"/>
                <w:szCs w:val="24"/>
              </w:rPr>
              <w:t>年</w:t>
            </w:r>
          </w:p>
        </w:tc>
        <w:tc>
          <w:tcPr>
            <w:tcW w:w="1067" w:type="dxa"/>
            <w:vAlign w:val="center"/>
          </w:tcPr>
          <w:p>
            <w:pPr>
              <w:spacing w:line="600" w:lineRule="exact"/>
              <w:jc w:val="center"/>
              <w:rPr>
                <w:rFonts w:ascii="仿宋" w:hAnsi="仿宋" w:eastAsia="仿宋" w:cs="仿宋"/>
                <w:b/>
                <w:bCs/>
                <w:color w:val="0000FF"/>
                <w:sz w:val="24"/>
                <w:szCs w:val="24"/>
              </w:rPr>
            </w:pPr>
            <w:r>
              <w:rPr>
                <w:rFonts w:ascii="仿宋" w:hAnsi="仿宋" w:eastAsia="仿宋" w:cs="仿宋"/>
                <w:b/>
                <w:bCs/>
                <w:sz w:val="24"/>
                <w:szCs w:val="24"/>
              </w:rPr>
              <w:t>2020</w:t>
            </w:r>
            <w:r>
              <w:rPr>
                <w:rFonts w:hint="eastAsia" w:ascii="仿宋" w:hAnsi="仿宋" w:eastAsia="仿宋" w:cs="仿宋"/>
                <w:b/>
                <w:bCs/>
                <w:sz w:val="24"/>
                <w:szCs w:val="24"/>
              </w:rPr>
              <w:t>年</w:t>
            </w:r>
          </w:p>
        </w:tc>
        <w:tc>
          <w:tcPr>
            <w:tcW w:w="1245" w:type="dxa"/>
            <w:vAlign w:val="center"/>
          </w:tcPr>
          <w:p>
            <w:pPr>
              <w:spacing w:line="600" w:lineRule="exact"/>
              <w:jc w:val="center"/>
              <w:rPr>
                <w:rFonts w:ascii="仿宋" w:hAnsi="仿宋" w:eastAsia="仿宋" w:cs="仿宋"/>
                <w:b/>
                <w:bCs/>
                <w:sz w:val="24"/>
                <w:szCs w:val="24"/>
              </w:rPr>
            </w:pPr>
            <w:r>
              <w:rPr>
                <w:rFonts w:hint="eastAsia" w:ascii="仿宋" w:hAnsi="仿宋" w:eastAsia="仿宋" w:cs="仿宋"/>
                <w:b/>
                <w:bCs/>
                <w:sz w:val="24"/>
                <w:szCs w:val="24"/>
              </w:rPr>
              <w:t>年均增长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Merge w:val="restart"/>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总量目标</w:t>
            </w:r>
          </w:p>
        </w:tc>
        <w:tc>
          <w:tcPr>
            <w:tcW w:w="740"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1</w:t>
            </w:r>
          </w:p>
        </w:tc>
        <w:tc>
          <w:tcPr>
            <w:tcW w:w="2620" w:type="dxa"/>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服务业增加值</w:t>
            </w:r>
          </w:p>
        </w:tc>
        <w:tc>
          <w:tcPr>
            <w:tcW w:w="780" w:type="dxa"/>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亿元</w:t>
            </w:r>
          </w:p>
        </w:tc>
        <w:tc>
          <w:tcPr>
            <w:tcW w:w="999" w:type="dxa"/>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10.35</w:t>
            </w:r>
          </w:p>
        </w:tc>
        <w:tc>
          <w:tcPr>
            <w:tcW w:w="1067"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19</w:t>
            </w:r>
          </w:p>
        </w:tc>
        <w:tc>
          <w:tcPr>
            <w:tcW w:w="1245"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Merge w:val="continue"/>
            <w:vAlign w:val="center"/>
          </w:tcPr>
          <w:p>
            <w:pPr>
              <w:widowControl/>
              <w:spacing w:line="600" w:lineRule="exact"/>
              <w:jc w:val="center"/>
              <w:rPr>
                <w:rFonts w:ascii="仿宋" w:hAnsi="仿宋" w:eastAsia="仿宋" w:cs="仿宋"/>
                <w:kern w:val="0"/>
                <w:sz w:val="24"/>
                <w:szCs w:val="24"/>
              </w:rPr>
            </w:pPr>
          </w:p>
        </w:tc>
        <w:tc>
          <w:tcPr>
            <w:tcW w:w="740"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2</w:t>
            </w:r>
          </w:p>
        </w:tc>
        <w:tc>
          <w:tcPr>
            <w:tcW w:w="2620" w:type="dxa"/>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服务业增加值比重</w:t>
            </w:r>
          </w:p>
        </w:tc>
        <w:tc>
          <w:tcPr>
            <w:tcW w:w="780"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w:t>
            </w:r>
          </w:p>
        </w:tc>
        <w:tc>
          <w:tcPr>
            <w:tcW w:w="999" w:type="dxa"/>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28.5</w:t>
            </w:r>
          </w:p>
        </w:tc>
        <w:tc>
          <w:tcPr>
            <w:tcW w:w="1067"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31.7</w:t>
            </w:r>
          </w:p>
        </w:tc>
        <w:tc>
          <w:tcPr>
            <w:tcW w:w="1245"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2" w:type="dxa"/>
            <w:vMerge w:val="continue"/>
            <w:vAlign w:val="center"/>
          </w:tcPr>
          <w:p>
            <w:pPr>
              <w:widowControl/>
              <w:spacing w:line="600" w:lineRule="exact"/>
              <w:jc w:val="center"/>
              <w:rPr>
                <w:rFonts w:ascii="仿宋" w:hAnsi="仿宋" w:eastAsia="仿宋" w:cs="仿宋"/>
                <w:kern w:val="0"/>
                <w:sz w:val="24"/>
                <w:szCs w:val="24"/>
              </w:rPr>
            </w:pPr>
          </w:p>
        </w:tc>
        <w:tc>
          <w:tcPr>
            <w:tcW w:w="740"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3</w:t>
            </w:r>
          </w:p>
        </w:tc>
        <w:tc>
          <w:tcPr>
            <w:tcW w:w="2620" w:type="dxa"/>
            <w:vAlign w:val="center"/>
          </w:tcPr>
          <w:p>
            <w:pPr>
              <w:widowControl/>
              <w:spacing w:line="6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服务业税收占财政收入</w:t>
            </w:r>
          </w:p>
        </w:tc>
        <w:tc>
          <w:tcPr>
            <w:tcW w:w="780" w:type="dxa"/>
            <w:vAlign w:val="center"/>
          </w:tcPr>
          <w:p>
            <w:pPr>
              <w:widowControl/>
              <w:spacing w:line="6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999" w:type="dxa"/>
          </w:tcPr>
          <w:p>
            <w:pPr>
              <w:widowControl/>
              <w:spacing w:line="6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34.7</w:t>
            </w:r>
          </w:p>
        </w:tc>
        <w:tc>
          <w:tcPr>
            <w:tcW w:w="1067" w:type="dxa"/>
            <w:vAlign w:val="center"/>
          </w:tcPr>
          <w:p>
            <w:pPr>
              <w:widowControl/>
              <w:spacing w:line="6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35</w:t>
            </w:r>
          </w:p>
        </w:tc>
        <w:tc>
          <w:tcPr>
            <w:tcW w:w="1245"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Merge w:val="continue"/>
            <w:vAlign w:val="center"/>
          </w:tcPr>
          <w:p>
            <w:pPr>
              <w:widowControl/>
              <w:spacing w:line="600" w:lineRule="exact"/>
              <w:jc w:val="center"/>
              <w:rPr>
                <w:rFonts w:ascii="仿宋" w:hAnsi="仿宋" w:eastAsia="仿宋" w:cs="仿宋"/>
                <w:kern w:val="0"/>
                <w:sz w:val="24"/>
                <w:szCs w:val="24"/>
              </w:rPr>
            </w:pPr>
          </w:p>
        </w:tc>
        <w:tc>
          <w:tcPr>
            <w:tcW w:w="740"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4</w:t>
            </w:r>
          </w:p>
        </w:tc>
        <w:tc>
          <w:tcPr>
            <w:tcW w:w="2620" w:type="dxa"/>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服务业占全社会就业人数比重</w:t>
            </w:r>
          </w:p>
        </w:tc>
        <w:tc>
          <w:tcPr>
            <w:tcW w:w="780"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w:t>
            </w:r>
          </w:p>
        </w:tc>
        <w:tc>
          <w:tcPr>
            <w:tcW w:w="999"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25.1</w:t>
            </w:r>
          </w:p>
        </w:tc>
        <w:tc>
          <w:tcPr>
            <w:tcW w:w="1067"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30</w:t>
            </w:r>
          </w:p>
        </w:tc>
        <w:tc>
          <w:tcPr>
            <w:tcW w:w="1245"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Merge w:val="continue"/>
            <w:vAlign w:val="center"/>
          </w:tcPr>
          <w:p>
            <w:pPr>
              <w:widowControl/>
              <w:spacing w:line="600" w:lineRule="exact"/>
              <w:jc w:val="center"/>
              <w:rPr>
                <w:rFonts w:ascii="仿宋" w:hAnsi="仿宋" w:eastAsia="仿宋" w:cs="仿宋"/>
                <w:kern w:val="0"/>
                <w:sz w:val="24"/>
                <w:szCs w:val="24"/>
              </w:rPr>
            </w:pPr>
          </w:p>
        </w:tc>
        <w:tc>
          <w:tcPr>
            <w:tcW w:w="740"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5</w:t>
            </w:r>
          </w:p>
        </w:tc>
        <w:tc>
          <w:tcPr>
            <w:tcW w:w="2620" w:type="dxa"/>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规上服务业企业</w:t>
            </w:r>
          </w:p>
        </w:tc>
        <w:tc>
          <w:tcPr>
            <w:tcW w:w="780" w:type="dxa"/>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家</w:t>
            </w:r>
          </w:p>
        </w:tc>
        <w:tc>
          <w:tcPr>
            <w:tcW w:w="999"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3</w:t>
            </w:r>
          </w:p>
        </w:tc>
        <w:tc>
          <w:tcPr>
            <w:tcW w:w="1067" w:type="dxa"/>
            <w:vAlign w:val="center"/>
          </w:tcPr>
          <w:p>
            <w:pPr>
              <w:widowControl/>
              <w:spacing w:line="60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13</w:t>
            </w:r>
          </w:p>
        </w:tc>
        <w:tc>
          <w:tcPr>
            <w:tcW w:w="1245" w:type="dxa"/>
            <w:vAlign w:val="center"/>
          </w:tcPr>
          <w:p>
            <w:pPr>
              <w:widowControl/>
              <w:spacing w:line="6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Merge w:val="continue"/>
            <w:vAlign w:val="center"/>
          </w:tcPr>
          <w:p>
            <w:pPr>
              <w:widowControl/>
              <w:spacing w:line="600" w:lineRule="exact"/>
              <w:jc w:val="center"/>
              <w:rPr>
                <w:rFonts w:ascii="仿宋" w:hAnsi="仿宋" w:eastAsia="仿宋" w:cs="仿宋"/>
                <w:kern w:val="0"/>
                <w:sz w:val="24"/>
                <w:szCs w:val="24"/>
              </w:rPr>
            </w:pPr>
          </w:p>
        </w:tc>
        <w:tc>
          <w:tcPr>
            <w:tcW w:w="740"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6</w:t>
            </w:r>
          </w:p>
        </w:tc>
        <w:tc>
          <w:tcPr>
            <w:tcW w:w="2620" w:type="dxa"/>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服务业投资额</w:t>
            </w:r>
          </w:p>
        </w:tc>
        <w:tc>
          <w:tcPr>
            <w:tcW w:w="780" w:type="dxa"/>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亿元</w:t>
            </w:r>
          </w:p>
        </w:tc>
        <w:tc>
          <w:tcPr>
            <w:tcW w:w="999" w:type="dxa"/>
            <w:vAlign w:val="center"/>
          </w:tcPr>
          <w:p>
            <w:pPr>
              <w:widowControl/>
              <w:spacing w:line="600" w:lineRule="exact"/>
              <w:jc w:val="center"/>
              <w:rPr>
                <w:rFonts w:ascii="仿宋" w:hAnsi="仿宋" w:eastAsia="仿宋" w:cs="仿宋"/>
                <w:color w:val="FF0000"/>
                <w:kern w:val="0"/>
                <w:sz w:val="24"/>
                <w:szCs w:val="24"/>
              </w:rPr>
            </w:pPr>
            <w:r>
              <w:rPr>
                <w:rFonts w:ascii="仿宋" w:hAnsi="仿宋" w:eastAsia="仿宋" w:cs="仿宋"/>
                <w:kern w:val="0"/>
                <w:sz w:val="24"/>
                <w:szCs w:val="24"/>
              </w:rPr>
              <w:t>14.3</w:t>
            </w:r>
          </w:p>
        </w:tc>
        <w:tc>
          <w:tcPr>
            <w:tcW w:w="1067" w:type="dxa"/>
            <w:vAlign w:val="center"/>
          </w:tcPr>
          <w:p>
            <w:pPr>
              <w:widowControl/>
              <w:spacing w:line="6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25.3</w:t>
            </w:r>
          </w:p>
        </w:tc>
        <w:tc>
          <w:tcPr>
            <w:tcW w:w="1245" w:type="dxa"/>
            <w:vAlign w:val="center"/>
          </w:tcPr>
          <w:p>
            <w:pPr>
              <w:widowControl/>
              <w:spacing w:line="6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2" w:type="dxa"/>
            <w:vMerge w:val="restart"/>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重点行业发展目标</w:t>
            </w:r>
          </w:p>
        </w:tc>
        <w:tc>
          <w:tcPr>
            <w:tcW w:w="740"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7</w:t>
            </w:r>
          </w:p>
        </w:tc>
        <w:tc>
          <w:tcPr>
            <w:tcW w:w="2620" w:type="dxa"/>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休闲旅游总收入</w:t>
            </w:r>
          </w:p>
        </w:tc>
        <w:tc>
          <w:tcPr>
            <w:tcW w:w="780" w:type="dxa"/>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亿元</w:t>
            </w:r>
          </w:p>
        </w:tc>
        <w:tc>
          <w:tcPr>
            <w:tcW w:w="999"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21.09</w:t>
            </w:r>
          </w:p>
        </w:tc>
        <w:tc>
          <w:tcPr>
            <w:tcW w:w="1067" w:type="dxa"/>
            <w:vAlign w:val="center"/>
          </w:tcPr>
          <w:p>
            <w:pPr>
              <w:widowControl/>
              <w:spacing w:line="6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60</w:t>
            </w:r>
          </w:p>
        </w:tc>
        <w:tc>
          <w:tcPr>
            <w:tcW w:w="1245" w:type="dxa"/>
            <w:vAlign w:val="center"/>
          </w:tcPr>
          <w:p>
            <w:pPr>
              <w:widowControl/>
              <w:spacing w:line="6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Merge w:val="continue"/>
            <w:vAlign w:val="center"/>
          </w:tcPr>
          <w:p>
            <w:pPr>
              <w:widowControl/>
              <w:spacing w:line="600" w:lineRule="exact"/>
              <w:jc w:val="center"/>
              <w:rPr>
                <w:rFonts w:ascii="仿宋" w:hAnsi="仿宋" w:eastAsia="仿宋" w:cs="仿宋"/>
                <w:kern w:val="0"/>
                <w:sz w:val="24"/>
                <w:szCs w:val="24"/>
              </w:rPr>
            </w:pPr>
          </w:p>
        </w:tc>
        <w:tc>
          <w:tcPr>
            <w:tcW w:w="740"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8</w:t>
            </w:r>
          </w:p>
        </w:tc>
        <w:tc>
          <w:tcPr>
            <w:tcW w:w="2620" w:type="dxa"/>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社会物流总额</w:t>
            </w:r>
          </w:p>
        </w:tc>
        <w:tc>
          <w:tcPr>
            <w:tcW w:w="780" w:type="dxa"/>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亿元</w:t>
            </w:r>
          </w:p>
        </w:tc>
        <w:tc>
          <w:tcPr>
            <w:tcW w:w="999"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2.1</w:t>
            </w:r>
          </w:p>
        </w:tc>
        <w:tc>
          <w:tcPr>
            <w:tcW w:w="1067" w:type="dxa"/>
            <w:vAlign w:val="center"/>
          </w:tcPr>
          <w:p>
            <w:pPr>
              <w:widowControl/>
              <w:spacing w:line="6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5.2</w:t>
            </w:r>
          </w:p>
        </w:tc>
        <w:tc>
          <w:tcPr>
            <w:tcW w:w="1245" w:type="dxa"/>
            <w:vAlign w:val="center"/>
          </w:tcPr>
          <w:p>
            <w:pPr>
              <w:widowControl/>
              <w:spacing w:line="6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Merge w:val="continue"/>
            <w:vAlign w:val="center"/>
          </w:tcPr>
          <w:p>
            <w:pPr>
              <w:widowControl/>
              <w:spacing w:line="600" w:lineRule="exact"/>
              <w:jc w:val="center"/>
              <w:rPr>
                <w:rFonts w:ascii="仿宋" w:hAnsi="仿宋" w:eastAsia="仿宋" w:cs="仿宋"/>
                <w:kern w:val="0"/>
                <w:sz w:val="24"/>
                <w:szCs w:val="24"/>
              </w:rPr>
            </w:pPr>
          </w:p>
        </w:tc>
        <w:tc>
          <w:tcPr>
            <w:tcW w:w="740"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9</w:t>
            </w:r>
          </w:p>
        </w:tc>
        <w:tc>
          <w:tcPr>
            <w:tcW w:w="2620" w:type="dxa"/>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社会消费品零售总额</w:t>
            </w:r>
          </w:p>
        </w:tc>
        <w:tc>
          <w:tcPr>
            <w:tcW w:w="780" w:type="dxa"/>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亿元</w:t>
            </w:r>
          </w:p>
        </w:tc>
        <w:tc>
          <w:tcPr>
            <w:tcW w:w="999"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14.49</w:t>
            </w:r>
          </w:p>
        </w:tc>
        <w:tc>
          <w:tcPr>
            <w:tcW w:w="1067" w:type="dxa"/>
            <w:vAlign w:val="center"/>
          </w:tcPr>
          <w:p>
            <w:pPr>
              <w:widowControl/>
              <w:spacing w:line="600" w:lineRule="exac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25.37</w:t>
            </w:r>
          </w:p>
        </w:tc>
        <w:tc>
          <w:tcPr>
            <w:tcW w:w="1245" w:type="dxa"/>
            <w:vAlign w:val="center"/>
          </w:tcPr>
          <w:p>
            <w:pPr>
              <w:widowControl/>
              <w:spacing w:line="6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Merge w:val="continue"/>
            <w:vAlign w:val="center"/>
          </w:tcPr>
          <w:p>
            <w:pPr>
              <w:widowControl/>
              <w:spacing w:line="600" w:lineRule="exact"/>
              <w:jc w:val="center"/>
              <w:rPr>
                <w:rFonts w:ascii="仿宋" w:hAnsi="仿宋" w:eastAsia="仿宋" w:cs="仿宋"/>
                <w:kern w:val="0"/>
                <w:sz w:val="24"/>
                <w:szCs w:val="24"/>
              </w:rPr>
            </w:pPr>
          </w:p>
        </w:tc>
        <w:tc>
          <w:tcPr>
            <w:tcW w:w="740"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10</w:t>
            </w:r>
          </w:p>
        </w:tc>
        <w:tc>
          <w:tcPr>
            <w:tcW w:w="2620" w:type="dxa"/>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限上商贸企业</w:t>
            </w:r>
          </w:p>
        </w:tc>
        <w:tc>
          <w:tcPr>
            <w:tcW w:w="780" w:type="dxa"/>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家</w:t>
            </w:r>
          </w:p>
        </w:tc>
        <w:tc>
          <w:tcPr>
            <w:tcW w:w="999"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40</w:t>
            </w:r>
          </w:p>
        </w:tc>
        <w:tc>
          <w:tcPr>
            <w:tcW w:w="1067" w:type="dxa"/>
            <w:vAlign w:val="center"/>
          </w:tcPr>
          <w:p>
            <w:pPr>
              <w:widowControl/>
              <w:spacing w:line="600" w:lineRule="exac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50</w:t>
            </w:r>
          </w:p>
        </w:tc>
        <w:tc>
          <w:tcPr>
            <w:tcW w:w="1245" w:type="dxa"/>
            <w:vAlign w:val="center"/>
          </w:tcPr>
          <w:p>
            <w:pPr>
              <w:widowControl/>
              <w:spacing w:line="6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2" w:type="dxa"/>
            <w:vMerge w:val="continue"/>
            <w:vAlign w:val="center"/>
          </w:tcPr>
          <w:p>
            <w:pPr>
              <w:widowControl/>
              <w:spacing w:line="600" w:lineRule="exact"/>
              <w:jc w:val="center"/>
              <w:rPr>
                <w:rFonts w:ascii="仿宋" w:hAnsi="仿宋" w:eastAsia="仿宋" w:cs="仿宋"/>
                <w:kern w:val="0"/>
                <w:sz w:val="24"/>
                <w:szCs w:val="24"/>
              </w:rPr>
            </w:pPr>
          </w:p>
        </w:tc>
        <w:tc>
          <w:tcPr>
            <w:tcW w:w="740"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11</w:t>
            </w:r>
          </w:p>
        </w:tc>
        <w:tc>
          <w:tcPr>
            <w:tcW w:w="2620" w:type="dxa"/>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电子商务交易额</w:t>
            </w:r>
          </w:p>
        </w:tc>
        <w:tc>
          <w:tcPr>
            <w:tcW w:w="780" w:type="dxa"/>
            <w:vAlign w:val="center"/>
          </w:tcPr>
          <w:p>
            <w:pPr>
              <w:widowControl/>
              <w:spacing w:line="600" w:lineRule="exact"/>
              <w:jc w:val="center"/>
              <w:rPr>
                <w:rFonts w:ascii="仿宋" w:hAnsi="仿宋" w:eastAsia="仿宋" w:cs="仿宋"/>
                <w:kern w:val="0"/>
                <w:sz w:val="24"/>
                <w:szCs w:val="24"/>
              </w:rPr>
            </w:pPr>
            <w:r>
              <w:rPr>
                <w:rFonts w:hint="eastAsia" w:ascii="仿宋" w:hAnsi="仿宋" w:eastAsia="仿宋" w:cs="仿宋"/>
                <w:kern w:val="0"/>
                <w:sz w:val="24"/>
                <w:szCs w:val="24"/>
              </w:rPr>
              <w:t>亿元</w:t>
            </w:r>
          </w:p>
        </w:tc>
        <w:tc>
          <w:tcPr>
            <w:tcW w:w="999"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0.2</w:t>
            </w:r>
          </w:p>
        </w:tc>
        <w:tc>
          <w:tcPr>
            <w:tcW w:w="1067" w:type="dxa"/>
            <w:vAlign w:val="center"/>
          </w:tcPr>
          <w:p>
            <w:pPr>
              <w:widowControl/>
              <w:spacing w:line="600" w:lineRule="exact"/>
              <w:jc w:val="center"/>
              <w:rPr>
                <w:rFonts w:ascii="仿宋" w:hAnsi="仿宋" w:eastAsia="仿宋" w:cs="仿宋"/>
                <w:kern w:val="0"/>
                <w:sz w:val="24"/>
                <w:szCs w:val="24"/>
              </w:rPr>
            </w:pPr>
            <w:r>
              <w:rPr>
                <w:rFonts w:ascii="仿宋" w:hAnsi="仿宋" w:eastAsia="仿宋" w:cs="仿宋"/>
                <w:kern w:val="0"/>
                <w:sz w:val="24"/>
                <w:szCs w:val="24"/>
              </w:rPr>
              <w:t>10</w:t>
            </w:r>
          </w:p>
        </w:tc>
        <w:tc>
          <w:tcPr>
            <w:tcW w:w="1245" w:type="dxa"/>
            <w:vAlign w:val="center"/>
          </w:tcPr>
          <w:p>
            <w:pPr>
              <w:widowControl/>
              <w:spacing w:line="600" w:lineRule="exact"/>
              <w:jc w:val="center"/>
              <w:rPr>
                <w:rFonts w:ascii="仿宋" w:hAnsi="仿宋" w:eastAsia="仿宋" w:cs="仿宋"/>
                <w:color w:val="FF0000"/>
                <w:kern w:val="0"/>
                <w:sz w:val="24"/>
                <w:szCs w:val="24"/>
              </w:rPr>
            </w:pPr>
            <w:r>
              <w:rPr>
                <w:rFonts w:ascii="仿宋" w:hAnsi="仿宋" w:eastAsia="仿宋" w:cs="仿宋"/>
                <w:kern w:val="0"/>
                <w:sz w:val="24"/>
                <w:szCs w:val="24"/>
              </w:rPr>
              <w:t>——</w:t>
            </w:r>
          </w:p>
        </w:tc>
      </w:tr>
    </w:tbl>
    <w:p>
      <w:pPr>
        <w:spacing w:line="600" w:lineRule="exact"/>
        <w:rPr>
          <w:rFonts w:ascii="黑体" w:hAnsi="黑体" w:eastAsia="黑体" w:cs="黑体"/>
          <w:b/>
          <w:bCs/>
          <w:sz w:val="36"/>
          <w:szCs w:val="36"/>
        </w:rPr>
      </w:pPr>
    </w:p>
    <w:p>
      <w:pPr>
        <w:spacing w:line="600" w:lineRule="exact"/>
        <w:jc w:val="center"/>
        <w:rPr>
          <w:rFonts w:ascii="黑体" w:hAnsi="黑体" w:eastAsia="黑体" w:cs="黑体"/>
          <w:b/>
          <w:bCs/>
          <w:sz w:val="36"/>
          <w:szCs w:val="36"/>
        </w:rPr>
      </w:pPr>
      <w:r>
        <w:rPr>
          <w:rFonts w:hint="eastAsia" w:ascii="黑体" w:hAnsi="黑体" w:eastAsia="黑体" w:cs="黑体"/>
          <w:b/>
          <w:bCs/>
          <w:sz w:val="36"/>
          <w:szCs w:val="36"/>
        </w:rPr>
        <w:t>第四章</w:t>
      </w:r>
      <w:r>
        <w:rPr>
          <w:rFonts w:ascii="黑体" w:hAnsi="黑体" w:eastAsia="黑体" w:cs="黑体"/>
          <w:b/>
          <w:bCs/>
          <w:sz w:val="36"/>
          <w:szCs w:val="36"/>
        </w:rPr>
        <w:t xml:space="preserve"> </w:t>
      </w:r>
      <w:r>
        <w:rPr>
          <w:rFonts w:hint="eastAsia" w:ascii="黑体" w:hAnsi="黑体" w:eastAsia="黑体" w:cs="黑体"/>
          <w:b/>
          <w:bCs/>
          <w:sz w:val="36"/>
          <w:szCs w:val="36"/>
        </w:rPr>
        <w:t>空间布局</w:t>
      </w:r>
    </w:p>
    <w:p>
      <w:pPr>
        <w:spacing w:line="600" w:lineRule="exact"/>
        <w:jc w:val="center"/>
        <w:rPr>
          <w:rFonts w:ascii="仿宋" w:hAnsi="仿宋" w:eastAsia="仿宋" w:cs="仿宋"/>
          <w:b/>
          <w:bCs/>
          <w:sz w:val="32"/>
          <w:szCs w:val="32"/>
        </w:rPr>
      </w:pPr>
      <w:r>
        <w:rPr>
          <w:rFonts w:hint="eastAsia" w:ascii="仿宋" w:hAnsi="仿宋" w:eastAsia="仿宋" w:cs="仿宋"/>
          <w:b/>
          <w:bCs/>
          <w:sz w:val="32"/>
          <w:szCs w:val="32"/>
        </w:rPr>
        <w:t>第一节</w:t>
      </w:r>
      <w:r>
        <w:rPr>
          <w:rFonts w:ascii="仿宋" w:hAnsi="仿宋" w:eastAsia="仿宋" w:cs="仿宋"/>
          <w:b/>
          <w:bCs/>
          <w:sz w:val="32"/>
          <w:szCs w:val="32"/>
        </w:rPr>
        <w:t xml:space="preserve">  </w:t>
      </w:r>
      <w:r>
        <w:rPr>
          <w:rFonts w:hint="eastAsia" w:ascii="仿宋" w:hAnsi="仿宋" w:eastAsia="仿宋" w:cs="仿宋"/>
          <w:b/>
          <w:bCs/>
          <w:sz w:val="32"/>
          <w:szCs w:val="32"/>
        </w:rPr>
        <w:t>商贸集中区空间布局</w:t>
      </w:r>
      <w:r>
        <w:rPr>
          <w:rFonts w:ascii="仿宋" w:hAnsi="仿宋" w:eastAsia="仿宋" w:cs="仿宋"/>
          <w:b/>
          <w:bCs/>
          <w:sz w:val="32"/>
          <w:szCs w:val="32"/>
        </w:rPr>
        <w:tab/>
      </w:r>
    </w:p>
    <w:p>
      <w:pPr>
        <w:spacing w:line="600" w:lineRule="exact"/>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根据朝天区不同地区所处的发展阶段和全区资源禀赋状况，以生产性服务业与生活性服务业互动发展为前提，以服务业集聚发展为重点，培育形成“一心、两翼、三点、两轴”空间结构。构建层级结构分明、功能完整突出的商贸集中区空间布局主架构。</w:t>
      </w:r>
    </w:p>
    <w:p>
      <w:pPr>
        <w:spacing w:line="600" w:lineRule="exact"/>
        <w:ind w:firstLine="642" w:firstLineChars="200"/>
        <w:rPr>
          <w:rFonts w:ascii="仿宋" w:hAnsi="仿宋" w:eastAsia="仿宋" w:cs="仿宋"/>
          <w:color w:val="000000"/>
          <w:sz w:val="32"/>
          <w:szCs w:val="32"/>
          <w:shd w:val="clear" w:color="auto" w:fill="FFFFFF"/>
        </w:rPr>
      </w:pPr>
      <w:r>
        <w:rPr>
          <w:rFonts w:hint="eastAsia" w:ascii="仿宋" w:hAnsi="仿宋" w:eastAsia="仿宋" w:cs="仿宋"/>
          <w:b/>
          <w:color w:val="000000"/>
          <w:sz w:val="32"/>
          <w:szCs w:val="32"/>
          <w:shd w:val="clear" w:color="auto" w:fill="FFFFFF"/>
        </w:rPr>
        <w:t>“一心”：</w:t>
      </w:r>
      <w:r>
        <w:rPr>
          <w:rFonts w:hint="eastAsia" w:ascii="仿宋" w:hAnsi="仿宋" w:eastAsia="仿宋" w:cs="仿宋"/>
          <w:color w:val="000000"/>
          <w:sz w:val="32"/>
          <w:szCs w:val="32"/>
          <w:shd w:val="clear" w:color="auto" w:fill="FFFFFF"/>
        </w:rPr>
        <w:t>由大中坝、小中坝、草房沟、大巴口</w:t>
      </w:r>
      <w:r>
        <w:rPr>
          <w:rFonts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rPr>
        <w:t>仇坝共同构筑的朝天区商务中心；</w:t>
      </w:r>
    </w:p>
    <w:p>
      <w:pPr>
        <w:spacing w:line="600" w:lineRule="exact"/>
        <w:ind w:firstLine="642" w:firstLineChars="200"/>
        <w:rPr>
          <w:rFonts w:ascii="仿宋" w:hAnsi="仿宋" w:eastAsia="仿宋" w:cs="仿宋"/>
          <w:color w:val="000000"/>
          <w:sz w:val="32"/>
          <w:szCs w:val="32"/>
          <w:shd w:val="clear" w:color="auto" w:fill="FFFFFF"/>
        </w:rPr>
      </w:pPr>
      <w:r>
        <w:rPr>
          <w:rFonts w:hint="eastAsia" w:ascii="仿宋" w:hAnsi="仿宋" w:eastAsia="仿宋" w:cs="仿宋"/>
          <w:b/>
          <w:color w:val="000000"/>
          <w:sz w:val="32"/>
          <w:szCs w:val="32"/>
          <w:shd w:val="clear" w:color="auto" w:fill="FFFFFF"/>
        </w:rPr>
        <w:t>“两翼”：</w:t>
      </w:r>
      <w:r>
        <w:rPr>
          <w:rFonts w:hint="eastAsia" w:ascii="仿宋" w:hAnsi="仿宋" w:eastAsia="仿宋" w:cs="仿宋"/>
          <w:color w:val="000000"/>
          <w:sz w:val="32"/>
          <w:szCs w:val="32"/>
          <w:shd w:val="clear" w:color="auto" w:fill="FFFFFF"/>
        </w:rPr>
        <w:t>羊木组团综合商业中心、中子组团综合商业中心；</w:t>
      </w:r>
    </w:p>
    <w:p>
      <w:pPr>
        <w:spacing w:line="600" w:lineRule="exact"/>
        <w:ind w:firstLine="642" w:firstLineChars="200"/>
        <w:rPr>
          <w:rFonts w:ascii="仿宋" w:hAnsi="仿宋" w:eastAsia="仿宋" w:cs="仿宋"/>
          <w:color w:val="000000"/>
          <w:sz w:val="32"/>
          <w:szCs w:val="32"/>
          <w:shd w:val="clear" w:color="auto" w:fill="FFFFFF"/>
        </w:rPr>
      </w:pPr>
      <w:r>
        <w:rPr>
          <w:rFonts w:hint="eastAsia" w:ascii="仿宋" w:hAnsi="仿宋" w:eastAsia="仿宋" w:cs="仿宋"/>
          <w:b/>
          <w:color w:val="000000"/>
          <w:sz w:val="32"/>
          <w:szCs w:val="32"/>
          <w:shd w:val="clear" w:color="auto" w:fill="FFFFFF"/>
        </w:rPr>
        <w:t>“三点”：</w:t>
      </w:r>
      <w:r>
        <w:rPr>
          <w:rFonts w:hint="eastAsia" w:ascii="仿宋" w:hAnsi="仿宋" w:eastAsia="仿宋" w:cs="仿宋"/>
          <w:color w:val="000000"/>
          <w:sz w:val="32"/>
          <w:szCs w:val="32"/>
          <w:shd w:val="clear" w:color="auto" w:fill="FFFFFF"/>
        </w:rPr>
        <w:t>即曾家、沙河、大滩；</w:t>
      </w:r>
    </w:p>
    <w:p>
      <w:pPr>
        <w:spacing w:line="600" w:lineRule="exact"/>
        <w:ind w:firstLine="642" w:firstLineChars="200"/>
        <w:rPr>
          <w:rFonts w:ascii="仿宋" w:hAnsi="仿宋" w:eastAsia="仿宋" w:cs="仿宋"/>
          <w:b/>
          <w:bCs/>
          <w:sz w:val="32"/>
          <w:szCs w:val="32"/>
        </w:rPr>
      </w:pPr>
      <w:r>
        <w:rPr>
          <w:rFonts w:hint="eastAsia" w:ascii="仿宋" w:hAnsi="仿宋" w:eastAsia="仿宋" w:cs="仿宋"/>
          <w:b/>
          <w:color w:val="000000"/>
          <w:sz w:val="32"/>
          <w:szCs w:val="32"/>
          <w:shd w:val="clear" w:color="auto" w:fill="FFFFFF"/>
        </w:rPr>
        <w:t>“两轴”：</w:t>
      </w:r>
      <w:r>
        <w:rPr>
          <w:rFonts w:hint="eastAsia" w:ascii="仿宋" w:hAnsi="仿宋" w:eastAsia="仿宋" w:cs="仿宋"/>
          <w:color w:val="000000"/>
          <w:sz w:val="32"/>
          <w:szCs w:val="32"/>
          <w:shd w:val="clear" w:color="auto" w:fill="FFFFFF"/>
        </w:rPr>
        <w:t>广陕高速沿线综合商业发展轴、新农村生态旅游发展轴。</w:t>
      </w:r>
    </w:p>
    <w:p>
      <w:pPr>
        <w:numPr>
          <w:ilvl w:val="0"/>
          <w:numId w:val="4"/>
        </w:numPr>
        <w:spacing w:line="600" w:lineRule="exact"/>
        <w:jc w:val="center"/>
        <w:rPr>
          <w:rFonts w:ascii="仿宋" w:hAnsi="仿宋" w:eastAsia="仿宋" w:cs="仿宋"/>
          <w:b/>
          <w:bCs/>
          <w:sz w:val="32"/>
          <w:szCs w:val="32"/>
        </w:rPr>
      </w:pPr>
      <w:r>
        <w:rPr>
          <w:rFonts w:hint="eastAsia" w:ascii="仿宋" w:hAnsi="仿宋" w:eastAsia="仿宋" w:cs="仿宋"/>
          <w:b/>
          <w:bCs/>
          <w:sz w:val="32"/>
          <w:szCs w:val="32"/>
        </w:rPr>
        <w:t>现代物流空间布局</w:t>
      </w:r>
      <w:r>
        <w:rPr>
          <w:rFonts w:ascii="仿宋" w:hAnsi="仿宋" w:eastAsia="仿宋" w:cs="仿宋"/>
          <w:b/>
          <w:bCs/>
          <w:sz w:val="32"/>
          <w:szCs w:val="32"/>
        </w:rPr>
        <w:tab/>
      </w:r>
    </w:p>
    <w:p>
      <w:pPr>
        <w:spacing w:line="600" w:lineRule="exact"/>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按照“立足川陕、面向西部、辐射全国”的市场定位和解决农村物流“最后一公里”问题，规划形成“一港两园”和建立城乡物流体系的战略布局。</w:t>
      </w:r>
      <w:r>
        <w:rPr>
          <w:rFonts w:ascii="仿宋" w:hAnsi="仿宋" w:eastAsia="仿宋" w:cs="仿宋"/>
          <w:color w:val="000000"/>
          <w:sz w:val="32"/>
          <w:szCs w:val="32"/>
          <w:shd w:val="clear" w:color="auto" w:fill="FFFFFF"/>
        </w:rPr>
        <w:br w:type="textWrapping"/>
      </w:r>
      <w:r>
        <w:rPr>
          <w:rFonts w:ascii="仿宋" w:hAnsi="仿宋" w:eastAsia="仿宋" w:cs="仿宋"/>
          <w:color w:val="000000"/>
          <w:sz w:val="32"/>
          <w:szCs w:val="32"/>
          <w:shd w:val="clear" w:color="auto" w:fill="FFFFFF"/>
        </w:rPr>
        <w:t xml:space="preserve">    </w:t>
      </w:r>
      <w:r>
        <w:rPr>
          <w:rFonts w:hint="eastAsia" w:ascii="仿宋" w:hAnsi="仿宋" w:eastAsia="仿宋" w:cs="仿宋"/>
          <w:color w:val="000000"/>
          <w:sz w:val="32"/>
          <w:szCs w:val="32"/>
          <w:shd w:val="clear" w:color="auto" w:fill="FFFFFF"/>
        </w:rPr>
        <w:t>一港：七盘关公路物流港</w:t>
      </w:r>
      <w:r>
        <w:rPr>
          <w:rFonts w:ascii="仿宋" w:hAnsi="仿宋" w:eastAsia="仿宋" w:cs="仿宋"/>
          <w:color w:val="000000"/>
          <w:sz w:val="32"/>
          <w:szCs w:val="32"/>
          <w:shd w:val="clear" w:color="auto" w:fill="FFFFFF"/>
        </w:rPr>
        <w:t>;</w:t>
      </w:r>
      <w:r>
        <w:rPr>
          <w:rFonts w:ascii="仿宋" w:hAnsi="仿宋" w:eastAsia="仿宋" w:cs="仿宋"/>
          <w:color w:val="000000"/>
          <w:sz w:val="32"/>
          <w:szCs w:val="32"/>
          <w:shd w:val="clear" w:color="auto" w:fill="FFFFFF"/>
        </w:rPr>
        <w:br w:type="textWrapping"/>
      </w:r>
      <w:r>
        <w:rPr>
          <w:rFonts w:ascii="仿宋" w:hAnsi="仿宋" w:eastAsia="仿宋" w:cs="仿宋"/>
          <w:color w:val="000000"/>
          <w:sz w:val="32"/>
          <w:szCs w:val="32"/>
          <w:shd w:val="clear" w:color="auto" w:fill="FFFFFF"/>
        </w:rPr>
        <w:t xml:space="preserve">    </w:t>
      </w:r>
      <w:r>
        <w:rPr>
          <w:rFonts w:hint="eastAsia" w:ascii="仿宋" w:hAnsi="仿宋" w:eastAsia="仿宋" w:cs="仿宋"/>
          <w:color w:val="000000"/>
          <w:sz w:val="32"/>
          <w:szCs w:val="32"/>
          <w:shd w:val="clear" w:color="auto" w:fill="FFFFFF"/>
        </w:rPr>
        <w:t>两园：羊木</w:t>
      </w:r>
      <w:r>
        <w:rPr>
          <w:rFonts w:hint="eastAsia" w:ascii="仿宋" w:hAnsi="仿宋" w:eastAsia="仿宋" w:cs="仿宋"/>
          <w:color w:val="000000"/>
          <w:sz w:val="32"/>
          <w:szCs w:val="32"/>
          <w:shd w:val="clear" w:color="auto" w:fill="FFFFFF"/>
          <w:lang w:eastAsia="zh-CN"/>
        </w:rPr>
        <w:t>铁路</w:t>
      </w:r>
      <w:r>
        <w:rPr>
          <w:rFonts w:hint="eastAsia" w:ascii="仿宋" w:hAnsi="仿宋" w:eastAsia="仿宋" w:cs="仿宋"/>
          <w:color w:val="000000"/>
          <w:sz w:val="32"/>
          <w:szCs w:val="32"/>
          <w:shd w:val="clear" w:color="auto" w:fill="FFFFFF"/>
        </w:rPr>
        <w:t>物流园、大巴口物流园</w:t>
      </w:r>
      <w:r>
        <w:rPr>
          <w:rFonts w:ascii="仿宋" w:hAnsi="仿宋" w:eastAsia="仿宋" w:cs="仿宋"/>
          <w:color w:val="000000"/>
          <w:sz w:val="32"/>
          <w:szCs w:val="32"/>
          <w:shd w:val="clear" w:color="auto" w:fill="FFFFFF"/>
        </w:rPr>
        <w:t>;</w:t>
      </w:r>
      <w:r>
        <w:rPr>
          <w:rFonts w:ascii="仿宋" w:hAnsi="仿宋" w:eastAsia="仿宋" w:cs="仿宋"/>
          <w:color w:val="000000"/>
          <w:sz w:val="32"/>
          <w:szCs w:val="32"/>
          <w:shd w:val="clear" w:color="auto" w:fill="FFFFFF"/>
        </w:rPr>
        <w:br w:type="textWrapping"/>
      </w:r>
      <w:r>
        <w:rPr>
          <w:rFonts w:ascii="仿宋" w:hAnsi="仿宋" w:eastAsia="仿宋" w:cs="仿宋"/>
          <w:color w:val="000000"/>
          <w:sz w:val="32"/>
          <w:szCs w:val="32"/>
          <w:shd w:val="clear" w:color="auto" w:fill="FFFFFF"/>
        </w:rPr>
        <w:t xml:space="preserve">    </w:t>
      </w:r>
      <w:r>
        <w:rPr>
          <w:rFonts w:hint="eastAsia" w:ascii="仿宋" w:hAnsi="仿宋" w:eastAsia="仿宋" w:cs="仿宋"/>
          <w:color w:val="000000"/>
          <w:sz w:val="32"/>
          <w:szCs w:val="32"/>
          <w:shd w:val="clear" w:color="auto" w:fill="FFFFFF"/>
        </w:rPr>
        <w:t>城乡物流：以朝天城区为物流发展枢纽中心，在各乡镇设置物流配送中心，在各村（社区）设置物流配送点。</w:t>
      </w:r>
    </w:p>
    <w:p>
      <w:pPr>
        <w:numPr>
          <w:ilvl w:val="0"/>
          <w:numId w:val="4"/>
        </w:numPr>
        <w:spacing w:line="600" w:lineRule="exact"/>
        <w:jc w:val="center"/>
        <w:rPr>
          <w:rFonts w:ascii="仿宋" w:hAnsi="仿宋" w:eastAsia="仿宋" w:cs="仿宋"/>
          <w:b/>
          <w:bCs/>
          <w:sz w:val="32"/>
          <w:szCs w:val="32"/>
        </w:rPr>
      </w:pPr>
      <w:r>
        <w:rPr>
          <w:rFonts w:hint="eastAsia" w:ascii="仿宋" w:hAnsi="仿宋" w:eastAsia="仿宋" w:cs="仿宋"/>
          <w:b/>
          <w:bCs/>
          <w:sz w:val="32"/>
          <w:szCs w:val="32"/>
        </w:rPr>
        <w:t>生态旅游空间布局</w:t>
      </w:r>
      <w:r>
        <w:rPr>
          <w:rFonts w:ascii="仿宋" w:hAnsi="仿宋" w:eastAsia="仿宋" w:cs="仿宋"/>
          <w:b/>
          <w:bCs/>
          <w:sz w:val="32"/>
          <w:szCs w:val="32"/>
        </w:rPr>
        <w:tab/>
      </w:r>
    </w:p>
    <w:p>
      <w:pPr>
        <w:spacing w:line="600" w:lineRule="exact"/>
        <w:ind w:firstLine="640" w:firstLineChars="200"/>
        <w:rPr>
          <w:rFonts w:ascii="仿宋" w:hAnsi="仿宋" w:eastAsia="仿宋" w:cs="仿宋"/>
          <w:color w:val="000000"/>
          <w:kern w:val="0"/>
          <w:sz w:val="32"/>
          <w:szCs w:val="32"/>
        </w:rPr>
      </w:pPr>
      <w:r>
        <w:rPr>
          <w:rFonts w:hint="eastAsia" w:ascii="仿宋" w:hAnsi="仿宋" w:eastAsia="仿宋" w:cs="仿宋"/>
          <w:sz w:val="32"/>
          <w:szCs w:val="32"/>
        </w:rPr>
        <w:t>根据朝天区旅游资源分布特点、区位条件、以及市场发展需求，</w:t>
      </w:r>
      <w:r>
        <w:rPr>
          <w:rFonts w:hint="eastAsia" w:ascii="仿宋" w:hAnsi="仿宋" w:eastAsia="仿宋" w:cs="仿宋"/>
          <w:color w:val="000000"/>
          <w:kern w:val="0"/>
          <w:sz w:val="32"/>
          <w:szCs w:val="32"/>
        </w:rPr>
        <w:t>按照“一城一心一带三区”空间布局，形成自然与人文并重、以典型带动片区的全域旅游发展新格局。</w:t>
      </w:r>
    </w:p>
    <w:p>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 xml:space="preserve"> </w:t>
      </w:r>
      <w:r>
        <w:rPr>
          <w:rFonts w:hint="eastAsia" w:ascii="仿宋" w:hAnsi="仿宋" w:eastAsia="仿宋" w:cs="仿宋"/>
          <w:b/>
          <w:sz w:val="32"/>
          <w:szCs w:val="32"/>
        </w:rPr>
        <w:t>“一城”</w:t>
      </w:r>
      <w:r>
        <w:rPr>
          <w:rFonts w:hint="eastAsia" w:ascii="仿宋" w:hAnsi="仿宋" w:eastAsia="仿宋" w:cs="仿宋"/>
          <w:kern w:val="0"/>
          <w:sz w:val="32"/>
          <w:szCs w:val="32"/>
        </w:rPr>
        <w:t>：指以朝天城区、龙门阁、明月峡景区为依托，建设“景城一体”、“产城一体”、山水相融、文化浓郁的广元城市北部中心、川陕结合部生态山水园林城市和蜀道文化旅游城市。</w:t>
      </w:r>
    </w:p>
    <w:p>
      <w:pPr>
        <w:spacing w:line="600" w:lineRule="exact"/>
        <w:ind w:firstLine="642" w:firstLineChars="200"/>
        <w:rPr>
          <w:rFonts w:ascii="仿宋" w:hAnsi="仿宋" w:eastAsia="仿宋" w:cs="仿宋"/>
          <w:kern w:val="0"/>
          <w:sz w:val="32"/>
          <w:szCs w:val="32"/>
        </w:rPr>
      </w:pPr>
      <w:r>
        <w:rPr>
          <w:rFonts w:hint="eastAsia" w:ascii="仿宋" w:hAnsi="仿宋" w:eastAsia="仿宋" w:cs="仿宋"/>
          <w:b/>
          <w:sz w:val="32"/>
          <w:szCs w:val="32"/>
        </w:rPr>
        <w:t>“一心”：</w:t>
      </w:r>
      <w:r>
        <w:rPr>
          <w:rFonts w:hint="eastAsia" w:ascii="仿宋" w:hAnsi="仿宋" w:eastAsia="仿宋" w:cs="仿宋"/>
          <w:kern w:val="0"/>
          <w:sz w:val="32"/>
          <w:szCs w:val="32"/>
        </w:rPr>
        <w:t>指依托西成高铁、</w:t>
      </w:r>
      <w:r>
        <w:rPr>
          <w:rFonts w:ascii="仿宋" w:hAnsi="仿宋" w:eastAsia="仿宋" w:cs="仿宋"/>
          <w:kern w:val="0"/>
          <w:sz w:val="32"/>
          <w:szCs w:val="32"/>
        </w:rPr>
        <w:t>G5</w:t>
      </w:r>
      <w:r>
        <w:rPr>
          <w:rFonts w:hint="eastAsia" w:ascii="仿宋" w:hAnsi="仿宋" w:eastAsia="仿宋" w:cs="仿宋"/>
          <w:kern w:val="0"/>
          <w:sz w:val="32"/>
          <w:szCs w:val="32"/>
        </w:rPr>
        <w:t>高速和二专线等交通枢纽，以及中子由陕入川首镇的区位优势，打造辐射川陕的七盘关旅游综合集散中心。</w:t>
      </w:r>
      <w:r>
        <w:rPr>
          <w:rFonts w:ascii="仿宋" w:hAnsi="仿宋" w:eastAsia="仿宋" w:cs="仿宋"/>
          <w:kern w:val="0"/>
          <w:sz w:val="32"/>
          <w:szCs w:val="32"/>
        </w:rPr>
        <w:t xml:space="preserve"> </w:t>
      </w:r>
    </w:p>
    <w:p>
      <w:pPr>
        <w:spacing w:line="600" w:lineRule="exact"/>
        <w:ind w:firstLine="642" w:firstLineChars="200"/>
        <w:rPr>
          <w:rFonts w:ascii="仿宋" w:hAnsi="仿宋" w:eastAsia="仿宋" w:cs="仿宋"/>
          <w:kern w:val="0"/>
          <w:sz w:val="32"/>
          <w:szCs w:val="32"/>
        </w:rPr>
      </w:pPr>
      <w:r>
        <w:rPr>
          <w:rFonts w:hint="eastAsia" w:ascii="仿宋" w:hAnsi="仿宋" w:eastAsia="仿宋" w:cs="仿宋"/>
          <w:b/>
          <w:sz w:val="32"/>
          <w:szCs w:val="32"/>
        </w:rPr>
        <w:t>“一带”：</w:t>
      </w:r>
      <w:r>
        <w:rPr>
          <w:rFonts w:hint="eastAsia" w:ascii="仿宋" w:hAnsi="仿宋" w:eastAsia="仿宋" w:cs="仿宋"/>
          <w:kern w:val="0"/>
          <w:sz w:val="32"/>
          <w:szCs w:val="32"/>
        </w:rPr>
        <w:t>指沿嘉陵江和潜溪河形成的“丫”字形蜀道文化旅游经济带。</w:t>
      </w:r>
    </w:p>
    <w:p>
      <w:pPr>
        <w:spacing w:line="600" w:lineRule="exact"/>
        <w:ind w:firstLine="642" w:firstLineChars="200"/>
        <w:rPr>
          <w:rFonts w:ascii="仿宋" w:hAnsi="仿宋" w:eastAsia="仿宋" w:cs="仿宋"/>
          <w:b/>
          <w:bCs/>
          <w:sz w:val="32"/>
          <w:szCs w:val="32"/>
        </w:rPr>
      </w:pPr>
      <w:r>
        <w:rPr>
          <w:rFonts w:hint="eastAsia" w:ascii="仿宋" w:hAnsi="仿宋" w:eastAsia="仿宋" w:cs="仿宋"/>
          <w:b/>
          <w:sz w:val="32"/>
          <w:szCs w:val="32"/>
        </w:rPr>
        <w:t>“三区”：</w:t>
      </w:r>
      <w:r>
        <w:rPr>
          <w:rFonts w:hint="eastAsia" w:ascii="仿宋" w:hAnsi="仿宋" w:eastAsia="仿宋" w:cs="仿宋"/>
          <w:kern w:val="0"/>
          <w:sz w:val="32"/>
          <w:szCs w:val="32"/>
        </w:rPr>
        <w:t>指着力发展曾家山生态康养度假旅游区、秦巴大草甸山地户外运动旅游区和云雾山道教文化养生旅游区。</w:t>
      </w:r>
    </w:p>
    <w:p>
      <w:pPr>
        <w:numPr>
          <w:ilvl w:val="0"/>
          <w:numId w:val="4"/>
        </w:numPr>
        <w:spacing w:line="600" w:lineRule="exact"/>
        <w:jc w:val="center"/>
        <w:rPr>
          <w:rFonts w:ascii="仿宋" w:hAnsi="仿宋" w:eastAsia="仿宋" w:cs="仿宋"/>
          <w:b/>
          <w:bCs/>
          <w:sz w:val="32"/>
          <w:szCs w:val="32"/>
        </w:rPr>
      </w:pPr>
      <w:r>
        <w:rPr>
          <w:rFonts w:hint="eastAsia" w:ascii="仿宋" w:hAnsi="仿宋" w:eastAsia="仿宋" w:cs="仿宋"/>
          <w:b/>
          <w:bCs/>
          <w:sz w:val="32"/>
          <w:szCs w:val="32"/>
        </w:rPr>
        <w:t>重点乡镇发展空间布局</w:t>
      </w:r>
    </w:p>
    <w:p>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根据朝天区总体规划相关内容指引，同时考虑到朝天区的实际情况，对重点乡镇商业发展作如下规划：</w:t>
      </w:r>
    </w:p>
    <w:p>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朝天镇：以商贸物流、建材交易、农副产品交易为主的城镇，形朝天区商业中心；</w:t>
      </w:r>
    </w:p>
    <w:p>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中子镇：边贸发展的重要节点，入川第一镇，朝天工业重镇，以公路物流、农副产品交易为主，形成工业带动商业的发展模式；</w:t>
      </w:r>
    </w:p>
    <w:p>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曾家镇：形成以旅游商业服务、旅游产品贸易、农副产品交易为主的旅游服务商贸型城镇，配套特色商业街，以旅游文化产品、“曾家山菜系”为主的专业市场；</w:t>
      </w:r>
    </w:p>
    <w:p>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羊木镇：依托兰渝铁路，形成以</w:t>
      </w:r>
      <w:r>
        <w:rPr>
          <w:rFonts w:hint="eastAsia" w:ascii="仿宋" w:hAnsi="仿宋" w:eastAsia="仿宋" w:cs="仿宋"/>
          <w:kern w:val="0"/>
          <w:sz w:val="32"/>
          <w:szCs w:val="32"/>
          <w:lang w:eastAsia="zh-CN"/>
        </w:rPr>
        <w:t>铁路</w:t>
      </w:r>
      <w:r>
        <w:rPr>
          <w:rFonts w:hint="eastAsia" w:ascii="仿宋" w:hAnsi="仿宋" w:eastAsia="仿宋" w:cs="仿宋"/>
          <w:kern w:val="0"/>
          <w:sz w:val="32"/>
          <w:szCs w:val="32"/>
        </w:rPr>
        <w:t>物流、食用菌贸易为主的物流商贸城镇；</w:t>
      </w:r>
    </w:p>
    <w:p>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沙河镇：形成以乡村旅游、温泉开发、农副产品交易为主的休闲城镇；</w:t>
      </w:r>
    </w:p>
    <w:p>
      <w:pPr>
        <w:spacing w:line="600" w:lineRule="exact"/>
        <w:ind w:firstLine="640" w:firstLineChars="200"/>
        <w:rPr>
          <w:rFonts w:ascii="仿宋" w:hAnsi="仿宋" w:eastAsia="仿宋" w:cs="仿宋"/>
          <w:bCs/>
          <w:sz w:val="32"/>
          <w:szCs w:val="32"/>
        </w:rPr>
      </w:pPr>
      <w:r>
        <w:rPr>
          <w:rFonts w:hint="eastAsia" w:ascii="仿宋" w:hAnsi="仿宋" w:eastAsia="仿宋" w:cs="仿宋"/>
          <w:kern w:val="0"/>
          <w:sz w:val="32"/>
          <w:szCs w:val="32"/>
        </w:rPr>
        <w:t>大滩镇：形成以农副产品交易为主的商贸城镇。</w:t>
      </w:r>
    </w:p>
    <w:p>
      <w:pPr>
        <w:spacing w:line="600" w:lineRule="exact"/>
        <w:jc w:val="center"/>
        <w:rPr>
          <w:rFonts w:ascii="黑体" w:hAnsi="黑体" w:eastAsia="黑体" w:cs="黑体"/>
          <w:b/>
          <w:bCs/>
          <w:sz w:val="36"/>
          <w:szCs w:val="36"/>
        </w:rPr>
      </w:pPr>
      <w:r>
        <w:rPr>
          <w:rFonts w:hint="eastAsia" w:ascii="黑体" w:hAnsi="黑体" w:eastAsia="黑体" w:cs="黑体"/>
          <w:b/>
          <w:bCs/>
          <w:sz w:val="36"/>
          <w:szCs w:val="36"/>
        </w:rPr>
        <w:t>第五章</w:t>
      </w:r>
      <w:r>
        <w:rPr>
          <w:rFonts w:ascii="黑体" w:hAnsi="黑体" w:eastAsia="黑体" w:cs="黑体"/>
          <w:b/>
          <w:bCs/>
          <w:sz w:val="36"/>
          <w:szCs w:val="36"/>
        </w:rPr>
        <w:t xml:space="preserve"> </w:t>
      </w:r>
      <w:r>
        <w:rPr>
          <w:rFonts w:hint="eastAsia" w:ascii="黑体" w:hAnsi="黑体" w:eastAsia="黑体" w:cs="黑体"/>
          <w:b/>
          <w:bCs/>
          <w:sz w:val="36"/>
          <w:szCs w:val="36"/>
        </w:rPr>
        <w:t>发展重点</w:t>
      </w:r>
    </w:p>
    <w:p>
      <w:pPr>
        <w:spacing w:line="600" w:lineRule="exact"/>
        <w:jc w:val="center"/>
        <w:rPr>
          <w:rFonts w:ascii="仿宋" w:hAnsi="仿宋" w:eastAsia="仿宋" w:cs="仿宋"/>
          <w:b/>
          <w:bCs/>
          <w:sz w:val="32"/>
          <w:szCs w:val="32"/>
        </w:rPr>
      </w:pPr>
      <w:r>
        <w:rPr>
          <w:rFonts w:hint="eastAsia" w:ascii="仿宋" w:hAnsi="仿宋" w:eastAsia="仿宋" w:cs="仿宋"/>
          <w:b/>
          <w:bCs/>
          <w:sz w:val="32"/>
          <w:szCs w:val="32"/>
        </w:rPr>
        <w:t>第一节</w:t>
      </w:r>
      <w:r>
        <w:rPr>
          <w:rFonts w:ascii="仿宋" w:hAnsi="仿宋" w:eastAsia="仿宋" w:cs="仿宋"/>
          <w:b/>
          <w:bCs/>
          <w:sz w:val="32"/>
          <w:szCs w:val="32"/>
        </w:rPr>
        <w:t xml:space="preserve">  </w:t>
      </w:r>
      <w:r>
        <w:rPr>
          <w:rFonts w:hint="eastAsia" w:ascii="仿宋" w:hAnsi="仿宋" w:eastAsia="仿宋" w:cs="仿宋"/>
          <w:b/>
          <w:bCs/>
          <w:sz w:val="32"/>
          <w:szCs w:val="32"/>
        </w:rPr>
        <w:t>加快发展支柱服务业</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一、现代物流业</w:t>
      </w:r>
    </w:p>
    <w:p>
      <w:pPr>
        <w:spacing w:line="600" w:lineRule="exact"/>
        <w:ind w:firstLine="642" w:firstLineChars="200"/>
        <w:rPr>
          <w:rFonts w:ascii="仿宋" w:hAnsi="仿宋" w:eastAsia="仿宋" w:cs="仿宋"/>
          <w:b/>
          <w:sz w:val="32"/>
          <w:szCs w:val="32"/>
        </w:rPr>
      </w:pPr>
      <w:r>
        <w:rPr>
          <w:rFonts w:hint="eastAsia" w:ascii="仿宋" w:hAnsi="仿宋" w:eastAsia="仿宋" w:cs="仿宋"/>
          <w:b/>
          <w:color w:val="000000"/>
          <w:sz w:val="32"/>
          <w:szCs w:val="32"/>
          <w:shd w:val="clear" w:color="auto" w:fill="FFFFFF"/>
        </w:rPr>
        <w:t>发展目标：</w:t>
      </w:r>
      <w:r>
        <w:rPr>
          <w:rFonts w:hint="eastAsia" w:ascii="仿宋" w:hAnsi="仿宋" w:eastAsia="仿宋" w:cs="仿宋"/>
          <w:sz w:val="32"/>
          <w:szCs w:val="32"/>
        </w:rPr>
        <w:t>围绕全区产业发展，依托交通、产业集群和区位优势，强化基础设施建设，积极发展第三方物流业，形成布局合理、装备先进、运作规范的现代物流体系。“十三五”期间，力争投资额达</w:t>
      </w:r>
      <w:r>
        <w:rPr>
          <w:rFonts w:ascii="仿宋" w:hAnsi="仿宋" w:eastAsia="仿宋" w:cs="仿宋"/>
          <w:sz w:val="32"/>
          <w:szCs w:val="32"/>
        </w:rPr>
        <w:t>10</w:t>
      </w:r>
      <w:r>
        <w:rPr>
          <w:rFonts w:hint="eastAsia" w:ascii="仿宋" w:hAnsi="仿宋" w:eastAsia="仿宋" w:cs="仿宋"/>
          <w:sz w:val="32"/>
          <w:szCs w:val="32"/>
        </w:rPr>
        <w:t>亿元以上，全面推进七盘关公路物流港配套设施建设，基本建成羊木</w:t>
      </w:r>
      <w:r>
        <w:rPr>
          <w:rFonts w:hint="eastAsia" w:ascii="仿宋" w:hAnsi="仿宋" w:eastAsia="仿宋" w:cs="仿宋"/>
          <w:sz w:val="32"/>
          <w:szCs w:val="32"/>
          <w:lang w:eastAsia="zh-CN"/>
        </w:rPr>
        <w:t>铁路</w:t>
      </w:r>
      <w:r>
        <w:rPr>
          <w:rFonts w:hint="eastAsia" w:ascii="仿宋" w:hAnsi="仿宋" w:eastAsia="仿宋" w:cs="仿宋"/>
          <w:sz w:val="32"/>
          <w:szCs w:val="32"/>
        </w:rPr>
        <w:t>物流园，提升大巴口物流园。培育引进物流企业</w:t>
      </w:r>
      <w:r>
        <w:rPr>
          <w:rFonts w:ascii="仿宋" w:hAnsi="仿宋" w:eastAsia="仿宋" w:cs="仿宋"/>
          <w:sz w:val="32"/>
          <w:szCs w:val="32"/>
        </w:rPr>
        <w:t>5</w:t>
      </w:r>
      <w:r>
        <w:rPr>
          <w:rFonts w:hint="eastAsia" w:ascii="仿宋" w:hAnsi="仿宋" w:eastAsia="仿宋" w:cs="仿宋"/>
          <w:sz w:val="32"/>
          <w:szCs w:val="32"/>
        </w:rPr>
        <w:t>家以上，实现年营业额</w:t>
      </w:r>
      <w:r>
        <w:rPr>
          <w:rFonts w:ascii="仿宋" w:hAnsi="仿宋" w:eastAsia="仿宋" w:cs="仿宋"/>
          <w:sz w:val="32"/>
          <w:szCs w:val="32"/>
        </w:rPr>
        <w:t>5</w:t>
      </w:r>
      <w:r>
        <w:rPr>
          <w:rFonts w:hint="eastAsia" w:ascii="仿宋" w:hAnsi="仿宋" w:eastAsia="仿宋" w:cs="仿宋"/>
          <w:sz w:val="32"/>
          <w:szCs w:val="32"/>
        </w:rPr>
        <w:t>亿元以上，税收</w:t>
      </w:r>
      <w:r>
        <w:rPr>
          <w:rFonts w:ascii="仿宋" w:hAnsi="仿宋" w:eastAsia="仿宋" w:cs="仿宋"/>
          <w:sz w:val="32"/>
          <w:szCs w:val="32"/>
        </w:rPr>
        <w:t>2000</w:t>
      </w:r>
      <w:r>
        <w:rPr>
          <w:rFonts w:hint="eastAsia" w:ascii="仿宋" w:hAnsi="仿宋" w:eastAsia="仿宋" w:cs="仿宋"/>
          <w:sz w:val="32"/>
          <w:szCs w:val="32"/>
        </w:rPr>
        <w:t>万元以上</w:t>
      </w:r>
      <w:r>
        <w:rPr>
          <w:rFonts w:ascii="仿宋" w:hAnsi="仿宋" w:eastAsia="仿宋" w:cs="仿宋"/>
          <w:sz w:val="32"/>
          <w:szCs w:val="32"/>
        </w:rPr>
        <w:t>,</w:t>
      </w:r>
      <w:r>
        <w:rPr>
          <w:rFonts w:hint="eastAsia" w:ascii="仿宋" w:hAnsi="仿宋" w:eastAsia="仿宋" w:cs="仿宋"/>
          <w:sz w:val="32"/>
          <w:szCs w:val="32"/>
        </w:rPr>
        <w:t>解决就业</w:t>
      </w:r>
      <w:r>
        <w:rPr>
          <w:rFonts w:ascii="仿宋" w:hAnsi="仿宋" w:eastAsia="仿宋" w:cs="仿宋"/>
          <w:sz w:val="32"/>
          <w:szCs w:val="32"/>
        </w:rPr>
        <w:t>500</w:t>
      </w:r>
      <w:r>
        <w:rPr>
          <w:rFonts w:hint="eastAsia" w:ascii="仿宋" w:hAnsi="仿宋" w:eastAsia="仿宋" w:cs="仿宋"/>
          <w:sz w:val="32"/>
          <w:szCs w:val="32"/>
        </w:rPr>
        <w:t>人以上。</w:t>
      </w:r>
    </w:p>
    <w:p>
      <w:pPr>
        <w:spacing w:line="600" w:lineRule="exact"/>
        <w:ind w:firstLine="642" w:firstLineChars="200"/>
        <w:rPr>
          <w:rFonts w:hint="eastAsia" w:ascii="仿宋" w:hAnsi="仿宋" w:eastAsia="仿宋" w:cs="仿宋"/>
          <w:color w:val="000000"/>
          <w:sz w:val="32"/>
          <w:szCs w:val="32"/>
          <w:shd w:val="clear" w:color="auto" w:fill="FFFFFF"/>
        </w:rPr>
      </w:pPr>
      <w:r>
        <w:rPr>
          <w:rFonts w:hint="eastAsia" w:ascii="仿宋" w:hAnsi="仿宋" w:eastAsia="仿宋" w:cs="仿宋"/>
          <w:b/>
          <w:color w:val="000000"/>
          <w:sz w:val="32"/>
          <w:szCs w:val="32"/>
          <w:shd w:val="clear" w:color="auto" w:fill="FFFFFF"/>
        </w:rPr>
        <w:t>重点举措：</w:t>
      </w:r>
      <w:r>
        <w:rPr>
          <w:rFonts w:hint="eastAsia" w:ascii="楷体" w:hAnsi="楷体" w:eastAsia="楷体" w:cs="楷体"/>
          <w:sz w:val="32"/>
          <w:szCs w:val="32"/>
        </w:rPr>
        <w:t>加快建设物流园区。</w:t>
      </w:r>
      <w:r>
        <w:rPr>
          <w:rFonts w:hint="eastAsia" w:ascii="仿宋" w:hAnsi="仿宋" w:eastAsia="仿宋" w:cs="仿宋"/>
          <w:sz w:val="32"/>
          <w:szCs w:val="32"/>
        </w:rPr>
        <w:t>按照“立足川陕、面向西部、辐射全国”的市场定位，加快建设“一港两园”。七盘关公路物流港：抓住中国七盘关公路物流港列入《川东北经济区发展规划（</w:t>
      </w:r>
      <w:r>
        <w:rPr>
          <w:rFonts w:ascii="仿宋" w:hAnsi="仿宋" w:eastAsia="仿宋" w:cs="仿宋"/>
          <w:sz w:val="32"/>
          <w:szCs w:val="32"/>
        </w:rPr>
        <w:t>2014—2020</w:t>
      </w:r>
      <w:r>
        <w:rPr>
          <w:rFonts w:hint="eastAsia" w:ascii="仿宋" w:hAnsi="仿宋" w:eastAsia="仿宋" w:cs="仿宋"/>
          <w:sz w:val="32"/>
          <w:szCs w:val="32"/>
        </w:rPr>
        <w:t>年）》的契机，集中人力、财力、物力，加强基础设施建设，加大招商引资力度，加快推进七盘关物流港建设，打造成为推进区域物流产业升级的示范基地、连接川陕多省的公路物流集散中心、面向全国的智能物流信息服务平台，成为西南地区乃至全国公路物流港的重要组成部分</w:t>
      </w:r>
      <w:r>
        <w:rPr>
          <w:rFonts w:hint="eastAsia" w:ascii="仿宋" w:hAnsi="仿宋" w:eastAsia="仿宋" w:cs="仿宋"/>
          <w:color w:val="000000"/>
          <w:sz w:val="32"/>
          <w:szCs w:val="32"/>
          <w:shd w:val="clear" w:color="auto" w:fill="FFFFFF"/>
        </w:rPr>
        <w:t>。羊木铁路物流园：立足兰渝铁路入川第一站和西铁、成铁交界等优势，抓住将广元朝天国家石油储备基地项目列入国家西部大开发重点项目计划的契机，着力打造以铁路运输方式为主的物流园区建设。同时，围绕能源物流积极发展上下游产业链，培育新的经济增长点。大巴口物流园：加快推进物流企业仓储等配套设施建设，全面投入运营，打造成为建材能源基地型物流园区。</w:t>
      </w:r>
    </w:p>
    <w:p>
      <w:pPr>
        <w:spacing w:line="600" w:lineRule="exact"/>
        <w:ind w:firstLine="640" w:firstLineChars="200"/>
        <w:rPr>
          <w:rFonts w:ascii="仿宋" w:hAnsi="仿宋" w:eastAsia="仿宋" w:cs="仿宋"/>
          <w:color w:val="000000"/>
          <w:sz w:val="32"/>
          <w:szCs w:val="32"/>
          <w:shd w:val="clear" w:color="auto" w:fill="FFFFFF"/>
        </w:rPr>
      </w:pPr>
      <w:r>
        <w:rPr>
          <w:rFonts w:hint="eastAsia" w:ascii="楷体" w:hAnsi="楷体" w:eastAsia="楷体" w:cs="楷体"/>
          <w:color w:val="000000"/>
          <w:sz w:val="32"/>
          <w:szCs w:val="32"/>
          <w:shd w:val="clear" w:color="auto" w:fill="FFFFFF"/>
        </w:rPr>
        <w:t>大力发展第三方物流。</w:t>
      </w:r>
      <w:r>
        <w:rPr>
          <w:rFonts w:hint="eastAsia" w:ascii="仿宋" w:hAnsi="仿宋" w:eastAsia="仿宋" w:cs="仿宋"/>
          <w:color w:val="000000"/>
          <w:sz w:val="32"/>
          <w:szCs w:val="32"/>
          <w:shd w:val="clear" w:color="auto" w:fill="FFFFFF"/>
        </w:rPr>
        <w:t>整合</w:t>
      </w:r>
      <w:r>
        <w:rPr>
          <w:rFonts w:hint="eastAsia" w:ascii="仿宋" w:hAnsi="仿宋" w:eastAsia="仿宋" w:cs="仿宋"/>
          <w:bCs/>
          <w:sz w:val="32"/>
          <w:szCs w:val="32"/>
        </w:rPr>
        <w:t>中小物流企业资源，支持重点物流企业做大做强，引导传统运输、仓储企业向第三方物流企业转型，</w:t>
      </w:r>
      <w:r>
        <w:rPr>
          <w:rFonts w:hint="eastAsia" w:ascii="仿宋" w:hAnsi="仿宋" w:eastAsia="仿宋" w:cs="仿宋"/>
          <w:color w:val="000000"/>
          <w:sz w:val="32"/>
          <w:szCs w:val="32"/>
          <w:shd w:val="clear" w:color="auto" w:fill="FFFFFF"/>
        </w:rPr>
        <w:t>重点培育壮大</w:t>
      </w:r>
      <w:r>
        <w:rPr>
          <w:rFonts w:ascii="仿宋" w:hAnsi="仿宋" w:eastAsia="仿宋" w:cs="仿宋"/>
          <w:color w:val="000000"/>
          <w:sz w:val="32"/>
          <w:szCs w:val="32"/>
          <w:shd w:val="clear" w:color="auto" w:fill="FFFFFF"/>
        </w:rPr>
        <w:t>2</w:t>
      </w:r>
      <w:r>
        <w:rPr>
          <w:rFonts w:hint="eastAsia" w:ascii="仿宋" w:hAnsi="仿宋" w:eastAsia="仿宋" w:cs="仿宋"/>
          <w:color w:val="000000"/>
          <w:sz w:val="32"/>
          <w:szCs w:val="32"/>
          <w:shd w:val="clear" w:color="auto" w:fill="FFFFFF"/>
        </w:rPr>
        <w:t>家服务水平高、竞争能力强的专业物流企业，形成物流品牌。加快引进国内外知名第三方物流企业，引进</w:t>
      </w:r>
      <w:r>
        <w:rPr>
          <w:rFonts w:ascii="仿宋" w:hAnsi="仿宋" w:eastAsia="仿宋" w:cs="仿宋"/>
          <w:color w:val="000000"/>
          <w:sz w:val="32"/>
          <w:szCs w:val="32"/>
          <w:shd w:val="clear" w:color="auto" w:fill="FFFFFF"/>
        </w:rPr>
        <w:t>2</w:t>
      </w:r>
      <w:r>
        <w:rPr>
          <w:rFonts w:hint="eastAsia" w:ascii="仿宋" w:hAnsi="仿宋" w:eastAsia="仿宋" w:cs="仿宋"/>
          <w:color w:val="000000"/>
          <w:sz w:val="32"/>
          <w:szCs w:val="32"/>
          <w:shd w:val="clear" w:color="auto" w:fill="FFFFFF"/>
        </w:rPr>
        <w:t>家以上知名物流企业，</w:t>
      </w:r>
      <w:r>
        <w:rPr>
          <w:rFonts w:hint="eastAsia" w:ascii="仿宋" w:hAnsi="仿宋" w:eastAsia="仿宋" w:cs="仿宋"/>
          <w:bCs/>
          <w:sz w:val="32"/>
          <w:szCs w:val="32"/>
        </w:rPr>
        <w:t>大力推进传统的运输、仓储、货代企业实行功能整合和服务延伸，加快向现代物流企业转型。</w:t>
      </w:r>
      <w:r>
        <w:rPr>
          <w:rFonts w:hint="eastAsia" w:ascii="仿宋" w:hAnsi="仿宋" w:eastAsia="仿宋" w:cs="仿宋"/>
          <w:sz w:val="32"/>
          <w:szCs w:val="32"/>
        </w:rPr>
        <w:t>支持制造业企业发展物流业务，实现企业品牌的延伸，</w:t>
      </w:r>
      <w:r>
        <w:rPr>
          <w:rFonts w:hint="eastAsia" w:ascii="仿宋" w:hAnsi="仿宋" w:eastAsia="仿宋" w:cs="仿宋"/>
          <w:color w:val="000000"/>
          <w:sz w:val="32"/>
          <w:szCs w:val="32"/>
          <w:shd w:val="clear" w:color="auto" w:fill="FFFFFF"/>
        </w:rPr>
        <w:t>加快传统物流企业向现代物流企业转变。</w:t>
      </w:r>
    </w:p>
    <w:p>
      <w:pPr>
        <w:spacing w:line="600" w:lineRule="exact"/>
        <w:ind w:firstLine="640" w:firstLineChars="200"/>
        <w:rPr>
          <w:rFonts w:ascii="仿宋" w:hAnsi="仿宋" w:eastAsia="仿宋" w:cs="仿宋"/>
          <w:bCs/>
          <w:sz w:val="32"/>
          <w:szCs w:val="32"/>
        </w:rPr>
      </w:pPr>
      <w:r>
        <w:rPr>
          <w:rFonts w:hint="eastAsia" w:ascii="楷体" w:hAnsi="楷体" w:eastAsia="楷体" w:cs="楷体"/>
          <w:color w:val="000000"/>
          <w:sz w:val="32"/>
          <w:szCs w:val="32"/>
          <w:shd w:val="clear" w:color="auto" w:fill="FFFFFF"/>
        </w:rPr>
        <w:t>深入推进城乡配送服务。</w:t>
      </w:r>
      <w:r>
        <w:rPr>
          <w:rFonts w:hint="eastAsia" w:ascii="仿宋" w:hAnsi="仿宋" w:eastAsia="仿宋" w:cs="仿宋"/>
          <w:color w:val="000000"/>
          <w:sz w:val="32"/>
          <w:szCs w:val="32"/>
          <w:shd w:val="clear" w:color="auto" w:fill="FFFFFF"/>
        </w:rPr>
        <w:t>加快</w:t>
      </w:r>
      <w:r>
        <w:rPr>
          <w:rFonts w:hint="eastAsia" w:ascii="仿宋" w:hAnsi="仿宋" w:eastAsia="仿宋" w:cs="仿宋"/>
          <w:bCs/>
          <w:sz w:val="32"/>
          <w:szCs w:val="32"/>
        </w:rPr>
        <w:t>流通网络化、数字化和智能化建设，完善工业品下乡和农产品进城流通体系，加强城市配送、城际配送、农村配送的有效衔接，统筹规划“综合物流园区</w:t>
      </w:r>
      <w:r>
        <w:rPr>
          <w:rFonts w:ascii="仿宋" w:hAnsi="仿宋" w:eastAsia="仿宋" w:cs="仿宋"/>
          <w:bCs/>
          <w:sz w:val="32"/>
          <w:szCs w:val="32"/>
        </w:rPr>
        <w:t>+</w:t>
      </w:r>
      <w:r>
        <w:rPr>
          <w:rFonts w:hint="eastAsia" w:ascii="仿宋" w:hAnsi="仿宋" w:eastAsia="仿宋" w:cs="仿宋"/>
          <w:bCs/>
          <w:sz w:val="32"/>
          <w:szCs w:val="32"/>
        </w:rPr>
        <w:t>物流中心</w:t>
      </w:r>
      <w:r>
        <w:rPr>
          <w:rFonts w:ascii="仿宋" w:hAnsi="仿宋" w:eastAsia="仿宋" w:cs="仿宋"/>
          <w:bCs/>
          <w:sz w:val="32"/>
          <w:szCs w:val="32"/>
        </w:rPr>
        <w:t>+</w:t>
      </w:r>
      <w:r>
        <w:rPr>
          <w:rFonts w:hint="eastAsia" w:ascii="仿宋" w:hAnsi="仿宋" w:eastAsia="仿宋" w:cs="仿宋"/>
          <w:bCs/>
          <w:sz w:val="32"/>
          <w:szCs w:val="32"/>
        </w:rPr>
        <w:t>配送节点”三级配送节点，积极推进区、乡、村消费品和农资配送网络体系建设，促进农村地区商品的双向流通。引导规范快递市场健康发展，支持快递服务网络“向下”延伸，畅通城乡快递渠道。</w:t>
      </w:r>
    </w:p>
    <w:p>
      <w:pPr>
        <w:numPr>
          <w:ilvl w:val="0"/>
          <w:numId w:val="5"/>
        </w:numPr>
        <w:spacing w:line="600" w:lineRule="exact"/>
        <w:ind w:firstLine="640"/>
        <w:rPr>
          <w:rFonts w:ascii="黑体" w:hAnsi="黑体" w:eastAsia="黑体" w:cs="黑体"/>
          <w:sz w:val="32"/>
          <w:szCs w:val="32"/>
        </w:rPr>
      </w:pPr>
      <w:r>
        <w:rPr>
          <w:rFonts w:hint="eastAsia" w:ascii="黑体" w:hAnsi="黑体" w:eastAsia="黑体" w:cs="黑体"/>
          <w:sz w:val="32"/>
          <w:szCs w:val="32"/>
        </w:rPr>
        <w:t>生态旅游业</w:t>
      </w:r>
    </w:p>
    <w:p>
      <w:pPr>
        <w:spacing w:line="600" w:lineRule="exact"/>
        <w:ind w:firstLine="642" w:firstLineChars="200"/>
        <w:rPr>
          <w:rFonts w:ascii="仿宋" w:hAnsi="仿宋" w:eastAsia="仿宋" w:cs="仿宋"/>
          <w:kern w:val="0"/>
          <w:sz w:val="32"/>
          <w:szCs w:val="32"/>
        </w:rPr>
      </w:pPr>
      <w:r>
        <w:rPr>
          <w:rFonts w:hint="eastAsia" w:ascii="仿宋" w:hAnsi="仿宋" w:eastAsia="仿宋" w:cs="仿宋"/>
          <w:b/>
          <w:color w:val="000000"/>
          <w:sz w:val="32"/>
          <w:szCs w:val="32"/>
          <w:shd w:val="clear" w:color="auto" w:fill="FFFFFF"/>
        </w:rPr>
        <w:t>发展目标：</w:t>
      </w:r>
      <w:r>
        <w:rPr>
          <w:rFonts w:hint="eastAsia" w:ascii="仿宋" w:hAnsi="仿宋" w:eastAsia="仿宋" w:cs="仿宋"/>
          <w:sz w:val="32"/>
          <w:szCs w:val="32"/>
        </w:rPr>
        <w:t>以“全域旅游、提质增效”为核心，大力发展休闲度假、运动康养、乡村旅游，</w:t>
      </w:r>
      <w:r>
        <w:rPr>
          <w:rFonts w:hint="eastAsia" w:ascii="仿宋" w:hAnsi="仿宋" w:eastAsia="仿宋" w:cs="仿宋"/>
          <w:color w:val="000000"/>
          <w:kern w:val="0"/>
          <w:sz w:val="32"/>
          <w:szCs w:val="32"/>
        </w:rPr>
        <w:t>把朝天建成国家全域旅游示范区、国家康养旅游示范基地和国内知名旅游目的地。</w:t>
      </w:r>
      <w:r>
        <w:rPr>
          <w:rFonts w:hint="eastAsia" w:ascii="仿宋" w:hAnsi="仿宋" w:eastAsia="仿宋" w:cs="仿宋"/>
          <w:kern w:val="0"/>
          <w:sz w:val="32"/>
          <w:szCs w:val="32"/>
        </w:rPr>
        <w:t>到</w:t>
      </w:r>
      <w:r>
        <w:rPr>
          <w:rFonts w:ascii="仿宋" w:hAnsi="仿宋" w:eastAsia="仿宋" w:cs="仿宋"/>
          <w:kern w:val="0"/>
          <w:sz w:val="32"/>
          <w:szCs w:val="32"/>
        </w:rPr>
        <w:t>2020</w:t>
      </w:r>
      <w:r>
        <w:rPr>
          <w:rFonts w:hint="eastAsia" w:ascii="仿宋" w:hAnsi="仿宋" w:eastAsia="仿宋" w:cs="仿宋"/>
          <w:kern w:val="0"/>
          <w:sz w:val="32"/>
          <w:szCs w:val="32"/>
        </w:rPr>
        <w:t>年，旅游总收入突破</w:t>
      </w:r>
      <w:r>
        <w:rPr>
          <w:rFonts w:ascii="仿宋" w:hAnsi="仿宋" w:eastAsia="仿宋" w:cs="仿宋"/>
          <w:kern w:val="0"/>
          <w:sz w:val="32"/>
          <w:szCs w:val="32"/>
        </w:rPr>
        <w:t>60</w:t>
      </w:r>
      <w:r>
        <w:rPr>
          <w:rFonts w:hint="eastAsia" w:ascii="仿宋" w:hAnsi="仿宋" w:eastAsia="仿宋" w:cs="仿宋"/>
          <w:kern w:val="0"/>
          <w:sz w:val="32"/>
          <w:szCs w:val="32"/>
        </w:rPr>
        <w:t>亿元，年平均增速达到</w:t>
      </w:r>
      <w:r>
        <w:rPr>
          <w:rFonts w:ascii="仿宋" w:hAnsi="仿宋" w:eastAsia="仿宋" w:cs="仿宋"/>
          <w:kern w:val="0"/>
          <w:sz w:val="32"/>
          <w:szCs w:val="32"/>
        </w:rPr>
        <w:t>25%</w:t>
      </w:r>
      <w:r>
        <w:rPr>
          <w:rFonts w:hint="eastAsia" w:ascii="仿宋" w:hAnsi="仿宋" w:eastAsia="仿宋" w:cs="仿宋"/>
          <w:kern w:val="0"/>
          <w:sz w:val="32"/>
          <w:szCs w:val="32"/>
        </w:rPr>
        <w:t>，占全区</w:t>
      </w:r>
      <w:r>
        <w:rPr>
          <w:rFonts w:ascii="仿宋" w:hAnsi="仿宋" w:eastAsia="仿宋" w:cs="仿宋"/>
          <w:kern w:val="0"/>
          <w:sz w:val="32"/>
          <w:szCs w:val="32"/>
        </w:rPr>
        <w:t>GDP</w:t>
      </w:r>
      <w:r>
        <w:rPr>
          <w:rFonts w:hint="eastAsia" w:ascii="仿宋" w:hAnsi="仿宋" w:eastAsia="仿宋" w:cs="仿宋"/>
          <w:kern w:val="0"/>
          <w:sz w:val="32"/>
          <w:szCs w:val="32"/>
        </w:rPr>
        <w:t>的比重达到</w:t>
      </w:r>
      <w:r>
        <w:rPr>
          <w:rFonts w:ascii="仿宋" w:hAnsi="仿宋" w:eastAsia="仿宋" w:cs="仿宋"/>
          <w:kern w:val="0"/>
          <w:sz w:val="32"/>
          <w:szCs w:val="32"/>
        </w:rPr>
        <w:t>14%</w:t>
      </w:r>
      <w:r>
        <w:rPr>
          <w:rFonts w:hint="eastAsia" w:ascii="仿宋" w:hAnsi="仿宋" w:eastAsia="仿宋" w:cs="仿宋"/>
          <w:kern w:val="0"/>
          <w:sz w:val="32"/>
          <w:szCs w:val="32"/>
        </w:rPr>
        <w:t>；游客接待总量突破</w:t>
      </w:r>
      <w:r>
        <w:rPr>
          <w:rFonts w:ascii="仿宋" w:hAnsi="仿宋" w:eastAsia="仿宋" w:cs="仿宋"/>
          <w:kern w:val="0"/>
          <w:sz w:val="32"/>
          <w:szCs w:val="32"/>
        </w:rPr>
        <w:t>500</w:t>
      </w:r>
      <w:r>
        <w:rPr>
          <w:rFonts w:hint="eastAsia" w:ascii="仿宋" w:hAnsi="仿宋" w:eastAsia="仿宋" w:cs="仿宋"/>
          <w:kern w:val="0"/>
          <w:sz w:val="32"/>
          <w:szCs w:val="32"/>
        </w:rPr>
        <w:t>万人次，年均增速达到</w:t>
      </w:r>
      <w:r>
        <w:rPr>
          <w:rFonts w:ascii="仿宋" w:hAnsi="仿宋" w:eastAsia="仿宋" w:cs="仿宋"/>
          <w:kern w:val="0"/>
          <w:sz w:val="32"/>
          <w:szCs w:val="32"/>
        </w:rPr>
        <w:t>14%</w:t>
      </w:r>
      <w:r>
        <w:rPr>
          <w:rFonts w:hint="eastAsia" w:ascii="仿宋" w:hAnsi="仿宋" w:eastAsia="仿宋" w:cs="仿宋"/>
          <w:kern w:val="0"/>
          <w:sz w:val="32"/>
          <w:szCs w:val="32"/>
        </w:rPr>
        <w:t>。</w:t>
      </w:r>
    </w:p>
    <w:p>
      <w:pPr>
        <w:spacing w:line="600" w:lineRule="exact"/>
        <w:ind w:firstLine="642" w:firstLineChars="200"/>
        <w:rPr>
          <w:rFonts w:ascii="仿宋" w:hAnsi="仿宋" w:eastAsia="仿宋" w:cs="仿宋"/>
          <w:kern w:val="0"/>
          <w:sz w:val="32"/>
          <w:szCs w:val="32"/>
        </w:rPr>
      </w:pPr>
      <w:r>
        <w:rPr>
          <w:rFonts w:hint="eastAsia" w:ascii="仿宋" w:hAnsi="仿宋" w:eastAsia="仿宋" w:cs="仿宋"/>
          <w:b/>
          <w:bCs/>
          <w:kern w:val="0"/>
          <w:sz w:val="32"/>
          <w:szCs w:val="32"/>
        </w:rPr>
        <w:t>重点举措：</w:t>
      </w:r>
      <w:r>
        <w:rPr>
          <w:rFonts w:hint="eastAsia" w:ascii="楷体" w:hAnsi="楷体" w:eastAsia="楷体" w:cs="楷体"/>
          <w:sz w:val="32"/>
          <w:szCs w:val="32"/>
        </w:rPr>
        <w:t>拓展旅游发展空间。</w:t>
      </w:r>
      <w:r>
        <w:rPr>
          <w:rFonts w:hint="eastAsia" w:ascii="仿宋" w:hAnsi="仿宋" w:eastAsia="仿宋" w:cs="仿宋"/>
          <w:sz w:val="32"/>
          <w:szCs w:val="32"/>
        </w:rPr>
        <w:t>丰富</w:t>
      </w:r>
      <w:r>
        <w:rPr>
          <w:rFonts w:hint="eastAsia" w:ascii="仿宋" w:hAnsi="仿宋" w:eastAsia="仿宋" w:cs="仿宋"/>
          <w:kern w:val="0"/>
          <w:sz w:val="32"/>
          <w:szCs w:val="32"/>
        </w:rPr>
        <w:t>提升栈道文化产品，</w:t>
      </w:r>
      <w:r>
        <w:rPr>
          <w:rFonts w:hint="eastAsia" w:ascii="仿宋" w:hAnsi="仿宋" w:eastAsia="仿宋" w:cs="仿宋"/>
          <w:bCs/>
          <w:kern w:val="0"/>
          <w:sz w:val="32"/>
          <w:szCs w:val="32"/>
        </w:rPr>
        <w:t>将明月峡、</w:t>
      </w:r>
      <w:r>
        <w:rPr>
          <w:rFonts w:hint="eastAsia" w:ascii="仿宋" w:hAnsi="仿宋" w:eastAsia="仿宋" w:cs="仿宋"/>
          <w:kern w:val="0"/>
          <w:sz w:val="32"/>
          <w:szCs w:val="32"/>
        </w:rPr>
        <w:t>龙门阁（雪溪洞）纳入剑门蜀道积极申报世界自然文化双遗产，打造“栈道之都”创意文化产业园区。深度开发康养度假旅游产品。以曾家山“中国西部生态养生基地”品牌为基础，依托其独特的气候、丰富的中草药资源和农特产品资源，建设曾家山国家中医药健康旅游示范基地，以云雾山道教为基础打造宗教养生基地，积极开发洪督关、观音寺、小峨眉禅院、大安寺、金台观、水观音、云雾山等系列宗教康养旅游产品。大力发展冰雪运动旅游、山地户外运动旅游，水上运动旅游，健身养生旅游户外运动产品。</w:t>
      </w:r>
    </w:p>
    <w:p>
      <w:pPr>
        <w:spacing w:line="600" w:lineRule="exact"/>
        <w:ind w:firstLine="640" w:firstLineChars="200"/>
        <w:rPr>
          <w:rFonts w:ascii="仿宋" w:hAnsi="仿宋" w:eastAsia="仿宋" w:cs="仿宋"/>
          <w:b/>
          <w:bCs/>
          <w:color w:val="000000"/>
          <w:sz w:val="32"/>
          <w:szCs w:val="32"/>
          <w:shd w:val="clear" w:color="auto" w:fill="FFFFFF"/>
        </w:rPr>
      </w:pPr>
      <w:r>
        <w:rPr>
          <w:rFonts w:hint="eastAsia" w:ascii="楷体" w:hAnsi="楷体" w:eastAsia="楷体" w:cs="楷体"/>
          <w:kern w:val="0"/>
          <w:sz w:val="32"/>
          <w:szCs w:val="32"/>
        </w:rPr>
        <w:t>优化旅游服务体系。</w:t>
      </w:r>
      <w:r>
        <w:rPr>
          <w:rFonts w:hint="eastAsia" w:ascii="仿宋" w:hAnsi="仿宋" w:eastAsia="仿宋" w:cs="仿宋"/>
          <w:kern w:val="0"/>
          <w:sz w:val="32"/>
          <w:szCs w:val="32"/>
        </w:rPr>
        <w:t>加强</w:t>
      </w:r>
      <w:r>
        <w:rPr>
          <w:rFonts w:hint="eastAsia" w:ascii="仿宋" w:hAnsi="仿宋" w:eastAsia="仿宋" w:cs="仿宋"/>
          <w:bCs/>
          <w:sz w:val="32"/>
          <w:szCs w:val="32"/>
        </w:rPr>
        <w:t>旅游标准化建设，提升“吃、住、行，游、购、娱”旅游服务品质。加快建设旅游餐饮住宿服务体系，开发一批具有朝天特色的旅游商品，建设一批中高档旅游饭店、特色鲜明的旅游酒店，</w:t>
      </w:r>
      <w:r>
        <w:rPr>
          <w:rFonts w:hint="eastAsia" w:ascii="仿宋" w:hAnsi="仿宋" w:eastAsia="仿宋" w:cs="仿宋"/>
          <w:kern w:val="0"/>
          <w:sz w:val="32"/>
          <w:szCs w:val="32"/>
        </w:rPr>
        <w:t>完善旅游购物设施建设，</w:t>
      </w:r>
      <w:r>
        <w:rPr>
          <w:rFonts w:hint="eastAsia" w:ascii="仿宋" w:hAnsi="仿宋" w:eastAsia="仿宋" w:cs="仿宋"/>
          <w:sz w:val="32"/>
          <w:szCs w:val="32"/>
        </w:rPr>
        <w:t>构建朝天城区、特色乡镇、景区景点三级旅游商品销售网络，</w:t>
      </w:r>
      <w:r>
        <w:rPr>
          <w:rFonts w:hint="eastAsia" w:ascii="仿宋" w:hAnsi="仿宋" w:eastAsia="仿宋" w:cs="仿宋"/>
          <w:kern w:val="0"/>
          <w:sz w:val="32"/>
          <w:szCs w:val="32"/>
        </w:rPr>
        <w:t>提升旅游购物在旅游消费中的比重。</w:t>
      </w:r>
      <w:r>
        <w:rPr>
          <w:rFonts w:hint="eastAsia" w:ascii="仿宋" w:hAnsi="仿宋" w:eastAsia="仿宋" w:cs="仿宋"/>
          <w:bCs/>
          <w:sz w:val="32"/>
          <w:szCs w:val="32"/>
        </w:rPr>
        <w:t>发挥好特色“曾家山菜系”餐饮文化对旅游的拉动作用。加快智慧旅游体系建设，实现旅游管理、服务、营销的信息化，全面提高游客满意度。加快完善旅游咨询服务体系，形成线上线下结合，城镇、景区、通道覆盖的旅游咨询服务网络，提升旅游公共服务水平。推进配套旅游服务建设、优化旅游服务环境，着力把朝天打造成为</w:t>
      </w:r>
      <w:r>
        <w:rPr>
          <w:rFonts w:hint="eastAsia" w:ascii="仿宋" w:hAnsi="仿宋" w:eastAsia="仿宋" w:cs="仿宋"/>
          <w:color w:val="000000"/>
          <w:kern w:val="0"/>
          <w:sz w:val="32"/>
          <w:szCs w:val="32"/>
        </w:rPr>
        <w:t>国内知名旅游目的地。</w:t>
      </w:r>
    </w:p>
    <w:p>
      <w:pPr>
        <w:spacing w:line="600" w:lineRule="exact"/>
        <w:ind w:firstLine="640" w:firstLineChars="200"/>
        <w:rPr>
          <w:rFonts w:ascii="仿宋" w:hAnsi="仿宋" w:eastAsia="仿宋" w:cs="仿宋"/>
          <w:sz w:val="32"/>
          <w:szCs w:val="32"/>
        </w:rPr>
      </w:pPr>
      <w:r>
        <w:rPr>
          <w:rFonts w:hint="eastAsia" w:ascii="楷体" w:hAnsi="楷体" w:eastAsia="楷体" w:cs="楷体"/>
          <w:kern w:val="0"/>
          <w:sz w:val="32"/>
          <w:szCs w:val="32"/>
        </w:rPr>
        <w:t>强化智慧旅游营销。</w:t>
      </w:r>
      <w:r>
        <w:rPr>
          <w:rFonts w:hint="eastAsia" w:ascii="仿宋" w:hAnsi="仿宋" w:eastAsia="仿宋" w:cs="仿宋"/>
          <w:kern w:val="0"/>
          <w:sz w:val="32"/>
          <w:szCs w:val="32"/>
        </w:rPr>
        <w:t>建设应急指挥中心系统及平台，旅游资讯服务网上平台，建设智慧景区、智慧酒店、智慧美食、智慧自驾等，采用</w:t>
      </w:r>
      <w:r>
        <w:rPr>
          <w:rFonts w:ascii="仿宋" w:hAnsi="仿宋" w:eastAsia="仿宋" w:cs="仿宋"/>
          <w:kern w:val="0"/>
          <w:sz w:val="32"/>
          <w:szCs w:val="32"/>
        </w:rPr>
        <w:t>VR</w:t>
      </w:r>
      <w:r>
        <w:rPr>
          <w:rFonts w:hint="eastAsia" w:ascii="仿宋" w:hAnsi="仿宋" w:eastAsia="仿宋" w:cs="仿宋"/>
          <w:kern w:val="0"/>
          <w:sz w:val="32"/>
          <w:szCs w:val="32"/>
        </w:rPr>
        <w:t>新技术实现智慧体验旅游，为游客提供导航、导游、导览和导购等更便捷、智能化的旅游体验。建设旅游分销系统，实现线上线下智能检票、身份证和二维码等多种门票入园、实时查询统计游客数量、实时财务结算，达到智慧营销、智慧服务和智慧管理。组建旅游电商公司，整合旅游、商务、供销等资源和项目资金，组建国有控股、社会资金参股，专业化、市场化经营的混合所有制旅游电商公司，实现</w:t>
      </w:r>
      <w:r>
        <w:rPr>
          <w:rFonts w:ascii="仿宋" w:hAnsi="仿宋" w:eastAsia="仿宋" w:cs="仿宋"/>
          <w:sz w:val="32"/>
          <w:szCs w:val="32"/>
        </w:rPr>
        <w:t>B2B</w:t>
      </w:r>
      <w:r>
        <w:rPr>
          <w:rFonts w:hint="eastAsia" w:ascii="仿宋" w:hAnsi="仿宋" w:eastAsia="仿宋" w:cs="仿宋"/>
          <w:sz w:val="32"/>
          <w:szCs w:val="32"/>
        </w:rPr>
        <w:t>、</w:t>
      </w:r>
      <w:r>
        <w:rPr>
          <w:rFonts w:ascii="仿宋" w:hAnsi="仿宋" w:eastAsia="仿宋" w:cs="仿宋"/>
          <w:sz w:val="32"/>
          <w:szCs w:val="32"/>
        </w:rPr>
        <w:t>B2C</w:t>
      </w:r>
      <w:r>
        <w:rPr>
          <w:rFonts w:hint="eastAsia" w:ascii="仿宋" w:hAnsi="仿宋" w:eastAsia="仿宋" w:cs="仿宋"/>
          <w:sz w:val="32"/>
          <w:szCs w:val="32"/>
        </w:rPr>
        <w:t>、</w:t>
      </w:r>
      <w:r>
        <w:rPr>
          <w:rFonts w:ascii="仿宋" w:hAnsi="仿宋" w:eastAsia="仿宋" w:cs="仿宋"/>
          <w:sz w:val="32"/>
          <w:szCs w:val="32"/>
        </w:rPr>
        <w:t>C2B</w:t>
      </w:r>
      <w:r>
        <w:rPr>
          <w:rFonts w:hint="eastAsia" w:ascii="仿宋" w:hAnsi="仿宋" w:eastAsia="仿宋" w:cs="仿宋"/>
          <w:sz w:val="32"/>
          <w:szCs w:val="32"/>
        </w:rPr>
        <w:t>、</w:t>
      </w:r>
      <w:r>
        <w:rPr>
          <w:rFonts w:ascii="仿宋" w:hAnsi="仿宋" w:eastAsia="仿宋" w:cs="仿宋"/>
          <w:sz w:val="32"/>
          <w:szCs w:val="32"/>
        </w:rPr>
        <w:t>C2C</w:t>
      </w:r>
      <w:r>
        <w:rPr>
          <w:rFonts w:hint="eastAsia" w:ascii="仿宋" w:hAnsi="仿宋" w:eastAsia="仿宋" w:cs="仿宋"/>
          <w:sz w:val="32"/>
          <w:szCs w:val="32"/>
        </w:rPr>
        <w:t>等各类型旅游电子商务交易模式和</w:t>
      </w:r>
      <w:r>
        <w:rPr>
          <w:rFonts w:ascii="仿宋" w:hAnsi="仿宋" w:eastAsia="仿宋" w:cs="仿宋"/>
          <w:sz w:val="32"/>
          <w:szCs w:val="32"/>
        </w:rPr>
        <w:t>OTA</w:t>
      </w:r>
      <w:r>
        <w:rPr>
          <w:rFonts w:hint="eastAsia" w:ascii="仿宋" w:hAnsi="仿宋" w:eastAsia="仿宋" w:cs="仿宋"/>
          <w:sz w:val="32"/>
          <w:szCs w:val="32"/>
        </w:rPr>
        <w:t>、</w:t>
      </w:r>
      <w:r>
        <w:rPr>
          <w:rFonts w:ascii="仿宋" w:hAnsi="仿宋" w:eastAsia="仿宋" w:cs="仿宋"/>
          <w:sz w:val="32"/>
          <w:szCs w:val="32"/>
        </w:rPr>
        <w:t>O2O</w:t>
      </w:r>
      <w:r>
        <w:rPr>
          <w:rFonts w:hint="eastAsia" w:ascii="仿宋" w:hAnsi="仿宋" w:eastAsia="仿宋" w:cs="仿宋"/>
          <w:sz w:val="32"/>
          <w:szCs w:val="32"/>
        </w:rPr>
        <w:t>、</w:t>
      </w:r>
      <w:r>
        <w:rPr>
          <w:rFonts w:ascii="仿宋" w:hAnsi="仿宋" w:eastAsia="仿宋" w:cs="仿宋"/>
          <w:sz w:val="32"/>
          <w:szCs w:val="32"/>
        </w:rPr>
        <w:t>O2P</w:t>
      </w:r>
      <w:r>
        <w:rPr>
          <w:rFonts w:hint="eastAsia" w:ascii="仿宋" w:hAnsi="仿宋" w:eastAsia="仿宋" w:cs="仿宋"/>
          <w:sz w:val="32"/>
          <w:szCs w:val="32"/>
        </w:rPr>
        <w:t>等旅游营销模式提供平台。</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三、现代商贸业</w:t>
      </w:r>
    </w:p>
    <w:p>
      <w:pPr>
        <w:spacing w:line="600" w:lineRule="exact"/>
        <w:ind w:firstLine="642" w:firstLineChars="200"/>
        <w:rPr>
          <w:rFonts w:hint="eastAsia" w:ascii="仿宋" w:hAnsi="仿宋" w:eastAsia="仿宋" w:cs="仿宋"/>
          <w:bCs/>
          <w:sz w:val="32"/>
          <w:szCs w:val="32"/>
        </w:rPr>
      </w:pPr>
      <w:r>
        <w:rPr>
          <w:rFonts w:hint="eastAsia" w:ascii="仿宋" w:hAnsi="仿宋" w:eastAsia="仿宋" w:cs="仿宋"/>
          <w:b/>
          <w:bCs/>
          <w:sz w:val="32"/>
          <w:szCs w:val="32"/>
        </w:rPr>
        <w:t>发展目标：</w:t>
      </w:r>
      <w:r>
        <w:rPr>
          <w:rFonts w:hint="eastAsia" w:ascii="仿宋" w:hAnsi="仿宋" w:eastAsia="仿宋" w:cs="仿宋"/>
          <w:color w:val="000000"/>
          <w:sz w:val="32"/>
          <w:szCs w:val="32"/>
          <w:shd w:val="clear" w:color="auto" w:fill="FFFFFF"/>
        </w:rPr>
        <w:t>按照“保增长、惠民生、促发展”的工作要求，着力“抓重点、攻难点、树亮点、创特色”的工作思路，</w:t>
      </w:r>
      <w:r>
        <w:rPr>
          <w:rFonts w:hint="eastAsia" w:ascii="仿宋" w:hAnsi="仿宋" w:eastAsia="仿宋" w:cs="仿宋"/>
          <w:bCs/>
          <w:sz w:val="32"/>
          <w:szCs w:val="32"/>
        </w:rPr>
        <w:t>优化现代商贸业布局，推动城市商贸、休闲娱乐、餐饮住宿等优势和银行保险业、会展业等潜力生活性服务业向品牌化、高端化方向发展，</w:t>
      </w:r>
      <w:r>
        <w:rPr>
          <w:rFonts w:hint="eastAsia" w:ascii="仿宋" w:hAnsi="仿宋" w:eastAsia="仿宋" w:cs="仿宋"/>
          <w:color w:val="000000"/>
          <w:sz w:val="32"/>
          <w:szCs w:val="32"/>
          <w:shd w:val="clear" w:color="auto" w:fill="FFFFFF"/>
        </w:rPr>
        <w:t>到</w:t>
      </w:r>
      <w:r>
        <w:rPr>
          <w:rFonts w:ascii="仿宋" w:hAnsi="仿宋" w:eastAsia="仿宋" w:cs="仿宋"/>
          <w:color w:val="000000"/>
          <w:sz w:val="32"/>
          <w:szCs w:val="32"/>
          <w:shd w:val="clear" w:color="auto" w:fill="FFFFFF"/>
        </w:rPr>
        <w:t>2020</w:t>
      </w:r>
      <w:r>
        <w:rPr>
          <w:rFonts w:hint="eastAsia" w:ascii="仿宋" w:hAnsi="仿宋" w:eastAsia="仿宋" w:cs="仿宋"/>
          <w:color w:val="000000"/>
          <w:sz w:val="32"/>
          <w:szCs w:val="32"/>
          <w:shd w:val="clear" w:color="auto" w:fill="FFFFFF"/>
        </w:rPr>
        <w:t>年，全区社会消费品零售总额达</w:t>
      </w:r>
      <w:r>
        <w:rPr>
          <w:rFonts w:hint="eastAsia" w:ascii="仿宋" w:hAnsi="仿宋" w:eastAsia="仿宋" w:cs="仿宋"/>
          <w:bCs/>
          <w:sz w:val="32"/>
          <w:szCs w:val="32"/>
        </w:rPr>
        <w:t>到</w:t>
      </w:r>
      <w:r>
        <w:rPr>
          <w:rFonts w:hint="eastAsia" w:ascii="仿宋" w:hAnsi="仿宋" w:eastAsia="仿宋" w:cs="仿宋"/>
          <w:bCs/>
          <w:sz w:val="32"/>
          <w:szCs w:val="32"/>
          <w:lang w:val="en-US" w:eastAsia="zh-CN"/>
        </w:rPr>
        <w:t>25.37</w:t>
      </w:r>
      <w:r>
        <w:rPr>
          <w:rFonts w:hint="eastAsia" w:ascii="仿宋" w:hAnsi="仿宋" w:eastAsia="仿宋" w:cs="仿宋"/>
          <w:bCs/>
          <w:sz w:val="32"/>
          <w:szCs w:val="32"/>
        </w:rPr>
        <w:t>亿元，年均增长</w:t>
      </w:r>
      <w:r>
        <w:rPr>
          <w:rFonts w:hint="eastAsia" w:ascii="仿宋" w:hAnsi="仿宋" w:eastAsia="仿宋" w:cs="仿宋"/>
          <w:bCs/>
          <w:sz w:val="32"/>
          <w:szCs w:val="32"/>
          <w:lang w:val="en-US" w:eastAsia="zh-CN"/>
        </w:rPr>
        <w:t>12</w:t>
      </w:r>
      <w:r>
        <w:rPr>
          <w:rFonts w:hint="eastAsia" w:ascii="仿宋" w:hAnsi="仿宋" w:eastAsia="仿宋" w:cs="仿宋"/>
          <w:bCs/>
          <w:sz w:val="32"/>
          <w:szCs w:val="32"/>
        </w:rPr>
        <w:t>%。</w:t>
      </w:r>
    </w:p>
    <w:p>
      <w:pPr>
        <w:spacing w:line="600" w:lineRule="exact"/>
        <w:ind w:firstLine="642" w:firstLineChars="200"/>
        <w:rPr>
          <w:rFonts w:ascii="仿宋" w:hAnsi="仿宋" w:eastAsia="仿宋" w:cs="仿宋"/>
          <w:bCs/>
          <w:sz w:val="32"/>
          <w:szCs w:val="32"/>
        </w:rPr>
      </w:pPr>
      <w:r>
        <w:rPr>
          <w:rFonts w:hint="eastAsia" w:ascii="仿宋" w:hAnsi="仿宋" w:eastAsia="仿宋" w:cs="仿宋"/>
          <w:b/>
          <w:sz w:val="32"/>
          <w:szCs w:val="32"/>
        </w:rPr>
        <w:t>重点举措：</w:t>
      </w:r>
      <w:r>
        <w:rPr>
          <w:rFonts w:hint="eastAsia" w:ascii="楷体" w:hAnsi="楷体" w:eastAsia="楷体" w:cs="楷体"/>
          <w:bCs/>
          <w:sz w:val="32"/>
          <w:szCs w:val="32"/>
        </w:rPr>
        <w:t>完善城区商贸服务体系。</w:t>
      </w:r>
      <w:r>
        <w:rPr>
          <w:rFonts w:hint="eastAsia" w:ascii="仿宋" w:hAnsi="仿宋" w:eastAsia="仿宋" w:cs="仿宋"/>
          <w:bCs/>
          <w:sz w:val="32"/>
          <w:szCs w:val="32"/>
        </w:rPr>
        <w:t>坚持多层配置，远近结合、均衡推进，完善多层多级的商贸流通设施，构建高效便捷的生活服务网。加快推进大中坝商贸购物和休闲中心体系建设。打造培育特色鲜明、文化浓郁、商旅结合具有较高知名度的特色街区，扎实推进明月峡商贸中心建设。</w:t>
      </w:r>
    </w:p>
    <w:p>
      <w:pPr>
        <w:spacing w:line="600" w:lineRule="exact"/>
        <w:ind w:firstLine="640" w:firstLineChars="200"/>
        <w:rPr>
          <w:rFonts w:ascii="仿宋" w:hAnsi="仿宋" w:eastAsia="仿宋" w:cs="仿宋"/>
          <w:bCs/>
          <w:sz w:val="32"/>
          <w:szCs w:val="32"/>
        </w:rPr>
      </w:pPr>
      <w:r>
        <w:rPr>
          <w:rFonts w:hint="eastAsia" w:ascii="楷体" w:hAnsi="楷体" w:eastAsia="楷体" w:cs="楷体"/>
          <w:bCs/>
          <w:sz w:val="32"/>
          <w:szCs w:val="32"/>
        </w:rPr>
        <w:t>提升商贸流通服务体系。</w:t>
      </w:r>
      <w:r>
        <w:rPr>
          <w:rFonts w:hint="eastAsia" w:ascii="仿宋" w:hAnsi="仿宋" w:eastAsia="仿宋" w:cs="仿宋"/>
          <w:bCs/>
          <w:sz w:val="32"/>
          <w:szCs w:val="32"/>
        </w:rPr>
        <w:t>加大先进经营理念、流通技术、新兴业态的引进和推广，大力推进商业模式创新，积极推广专业市场、物流配送、电子商务、连锁经营等多元化、多层次的新型商业业态和经营模式。大力挖掘农村消费潜力，健全农村现代流通网路，鼓励支持大型商贸流通企业与农村合作组织、生产基地对接，建设农村消费品、农业生产资料、农产品流通网络；鼓励直供直销、网络销售等新型销售模式，推进商贸城乡统筹。</w:t>
      </w:r>
    </w:p>
    <w:p>
      <w:pPr>
        <w:spacing w:line="600" w:lineRule="exact"/>
        <w:ind w:firstLine="640" w:firstLineChars="200"/>
        <w:rPr>
          <w:rFonts w:ascii="仿宋" w:hAnsi="仿宋" w:eastAsia="仿宋" w:cs="仿宋"/>
          <w:bCs/>
          <w:spacing w:val="8"/>
          <w:sz w:val="32"/>
          <w:szCs w:val="32"/>
        </w:rPr>
      </w:pPr>
      <w:r>
        <w:rPr>
          <w:rFonts w:hint="eastAsia" w:ascii="楷体" w:hAnsi="楷体" w:eastAsia="楷体" w:cs="楷体"/>
          <w:bCs/>
          <w:sz w:val="32"/>
          <w:szCs w:val="32"/>
        </w:rPr>
        <w:t>优化商贸综合竞争力。</w:t>
      </w:r>
      <w:r>
        <w:rPr>
          <w:rFonts w:hint="eastAsia" w:ascii="仿宋" w:hAnsi="仿宋" w:eastAsia="仿宋" w:cs="仿宋"/>
          <w:bCs/>
          <w:sz w:val="32"/>
          <w:szCs w:val="32"/>
        </w:rPr>
        <w:t>培育龙头企业，进一步健全完善大企业培育机制，鼓励优势骨干商贸企业通过兼并重组、合资合作、特许经营等多种形式做大做强；鼓励支持中小商贸企业创新服务、特色经营，走“精、专、新、特”路子。实施商贸品牌战略，支持企业引进大品牌落户朝天</w:t>
      </w:r>
      <w:r>
        <w:rPr>
          <w:rFonts w:hint="eastAsia" w:ascii="仿宋" w:hAnsi="仿宋" w:eastAsia="仿宋" w:cs="仿宋"/>
          <w:bCs/>
          <w:spacing w:val="8"/>
          <w:sz w:val="32"/>
          <w:szCs w:val="32"/>
        </w:rPr>
        <w:t>，鼓励外来企业来朝开连锁店，扩大朝天商气、人气，努力将消费留在朝天，同时做大本土的品牌，吸引外来消费。</w:t>
      </w:r>
    </w:p>
    <w:p>
      <w:pPr>
        <w:numPr>
          <w:ilvl w:val="0"/>
          <w:numId w:val="6"/>
        </w:numPr>
        <w:spacing w:line="600" w:lineRule="exact"/>
        <w:ind w:firstLine="640"/>
        <w:rPr>
          <w:rFonts w:ascii="黑体" w:hAnsi="黑体" w:eastAsia="黑体" w:cs="黑体"/>
          <w:sz w:val="32"/>
          <w:szCs w:val="32"/>
        </w:rPr>
      </w:pPr>
      <w:r>
        <w:rPr>
          <w:rFonts w:hint="eastAsia" w:ascii="黑体" w:hAnsi="黑体" w:eastAsia="黑体" w:cs="黑体"/>
          <w:sz w:val="32"/>
          <w:szCs w:val="32"/>
        </w:rPr>
        <w:t>房地产业</w:t>
      </w:r>
    </w:p>
    <w:p>
      <w:pPr>
        <w:spacing w:line="600" w:lineRule="exact"/>
        <w:ind w:firstLine="642" w:firstLineChars="200"/>
        <w:rPr>
          <w:rFonts w:ascii="仿宋" w:hAnsi="仿宋" w:eastAsia="仿宋" w:cs="仿宋"/>
          <w:bCs/>
          <w:sz w:val="32"/>
          <w:szCs w:val="32"/>
        </w:rPr>
      </w:pPr>
      <w:r>
        <w:rPr>
          <w:rFonts w:hint="eastAsia" w:ascii="仿宋" w:hAnsi="仿宋" w:eastAsia="仿宋" w:cs="仿宋"/>
          <w:b/>
          <w:color w:val="000000"/>
          <w:sz w:val="32"/>
          <w:szCs w:val="32"/>
          <w:shd w:val="clear" w:color="auto" w:fill="FFFFFF"/>
        </w:rPr>
        <w:t>发展目标：</w:t>
      </w:r>
      <w:r>
        <w:rPr>
          <w:rFonts w:hint="eastAsia" w:ascii="仿宋" w:hAnsi="仿宋" w:eastAsia="仿宋" w:cs="仿宋"/>
          <w:sz w:val="32"/>
          <w:szCs w:val="32"/>
        </w:rPr>
        <w:t>健全房地产市场运行机制</w:t>
      </w:r>
      <w:r>
        <w:rPr>
          <w:rFonts w:ascii="仿宋" w:hAnsi="仿宋" w:eastAsia="仿宋" w:cs="仿宋"/>
          <w:sz w:val="32"/>
          <w:szCs w:val="32"/>
        </w:rPr>
        <w:t>,</w:t>
      </w:r>
      <w:r>
        <w:rPr>
          <w:rFonts w:hint="eastAsia" w:ascii="仿宋" w:hAnsi="仿宋" w:eastAsia="仿宋" w:cs="仿宋"/>
          <w:sz w:val="32"/>
          <w:szCs w:val="32"/>
        </w:rPr>
        <w:t>建立城镇住房供应保障</w:t>
      </w:r>
      <w:r>
        <w:rPr>
          <w:rFonts w:hint="eastAsia" w:ascii="仿宋" w:hAnsi="仿宋" w:eastAsia="仿宋" w:cs="仿宋"/>
          <w:bCs/>
          <w:sz w:val="32"/>
          <w:szCs w:val="32"/>
        </w:rPr>
        <w:t>体系。</w:t>
      </w:r>
      <w:r>
        <w:rPr>
          <w:rFonts w:hint="eastAsia" w:ascii="仿宋" w:hAnsi="仿宋" w:eastAsia="仿宋" w:cs="仿宋"/>
          <w:sz w:val="32"/>
          <w:szCs w:val="32"/>
        </w:rPr>
        <w:t>到</w:t>
      </w:r>
      <w:r>
        <w:rPr>
          <w:rFonts w:ascii="仿宋" w:hAnsi="仿宋" w:eastAsia="仿宋" w:cs="仿宋"/>
          <w:sz w:val="32"/>
          <w:szCs w:val="32"/>
        </w:rPr>
        <w:t>2020</w:t>
      </w:r>
      <w:r>
        <w:rPr>
          <w:rFonts w:hint="eastAsia" w:ascii="仿宋" w:hAnsi="仿宋" w:eastAsia="仿宋" w:cs="仿宋"/>
          <w:sz w:val="32"/>
          <w:szCs w:val="32"/>
        </w:rPr>
        <w:t>年，实现建筑业平均年产值</w:t>
      </w:r>
      <w:r>
        <w:rPr>
          <w:rFonts w:ascii="仿宋" w:hAnsi="仿宋" w:eastAsia="仿宋" w:cs="仿宋"/>
          <w:sz w:val="32"/>
          <w:szCs w:val="32"/>
        </w:rPr>
        <w:t>6.5</w:t>
      </w:r>
      <w:r>
        <w:rPr>
          <w:rFonts w:hint="eastAsia" w:ascii="仿宋" w:hAnsi="仿宋" w:eastAsia="仿宋" w:cs="仿宋"/>
          <w:sz w:val="32"/>
          <w:szCs w:val="32"/>
        </w:rPr>
        <w:t>亿元，年均增长</w:t>
      </w:r>
      <w:r>
        <w:rPr>
          <w:rFonts w:ascii="仿宋" w:hAnsi="仿宋" w:eastAsia="仿宋" w:cs="仿宋"/>
          <w:sz w:val="32"/>
          <w:szCs w:val="32"/>
        </w:rPr>
        <w:t>12%</w:t>
      </w:r>
      <w:r>
        <w:rPr>
          <w:rFonts w:hint="eastAsia" w:ascii="仿宋" w:hAnsi="仿宋" w:eastAsia="仿宋" w:cs="仿宋"/>
          <w:sz w:val="32"/>
          <w:szCs w:val="32"/>
        </w:rPr>
        <w:t>以上，建筑业增加值占全区</w:t>
      </w:r>
      <w:r>
        <w:rPr>
          <w:rFonts w:ascii="仿宋" w:hAnsi="仿宋" w:eastAsia="仿宋" w:cs="仿宋"/>
          <w:sz w:val="32"/>
          <w:szCs w:val="32"/>
        </w:rPr>
        <w:t>GDP</w:t>
      </w:r>
      <w:r>
        <w:rPr>
          <w:rFonts w:hint="eastAsia" w:ascii="仿宋" w:hAnsi="仿宋" w:eastAsia="仿宋" w:cs="仿宋"/>
          <w:sz w:val="32"/>
          <w:szCs w:val="32"/>
        </w:rPr>
        <w:t>比重达到</w:t>
      </w:r>
      <w:r>
        <w:rPr>
          <w:rFonts w:ascii="仿宋" w:hAnsi="仿宋" w:eastAsia="仿宋" w:cs="仿宋"/>
          <w:sz w:val="32"/>
          <w:szCs w:val="32"/>
        </w:rPr>
        <w:t>6%</w:t>
      </w:r>
      <w:r>
        <w:rPr>
          <w:rFonts w:hint="eastAsia" w:ascii="仿宋" w:hAnsi="仿宋" w:eastAsia="仿宋" w:cs="仿宋"/>
          <w:sz w:val="32"/>
          <w:szCs w:val="32"/>
        </w:rPr>
        <w:t>以上，城市建成区面积达到</w:t>
      </w:r>
      <w:r>
        <w:rPr>
          <w:rFonts w:ascii="仿宋" w:hAnsi="仿宋" w:eastAsia="仿宋" w:cs="仿宋"/>
          <w:sz w:val="32"/>
          <w:szCs w:val="32"/>
        </w:rPr>
        <w:t>10</w:t>
      </w:r>
      <w:r>
        <w:rPr>
          <w:rFonts w:hint="eastAsia" w:ascii="仿宋" w:hAnsi="仿宋" w:eastAsia="仿宋" w:cs="仿宋"/>
          <w:sz w:val="32"/>
          <w:szCs w:val="32"/>
        </w:rPr>
        <w:t>平方公里，城镇化率达到</w:t>
      </w:r>
      <w:r>
        <w:rPr>
          <w:rFonts w:ascii="仿宋" w:hAnsi="仿宋" w:eastAsia="仿宋" w:cs="仿宋"/>
          <w:sz w:val="32"/>
          <w:szCs w:val="32"/>
        </w:rPr>
        <w:t>40%</w:t>
      </w:r>
      <w:r>
        <w:rPr>
          <w:rFonts w:hint="eastAsia" w:ascii="仿宋" w:hAnsi="仿宋" w:eastAsia="仿宋" w:cs="仿宋"/>
          <w:sz w:val="32"/>
          <w:szCs w:val="32"/>
        </w:rPr>
        <w:t>，平均每年提升</w:t>
      </w:r>
      <w:r>
        <w:rPr>
          <w:rFonts w:ascii="仿宋" w:hAnsi="仿宋" w:eastAsia="仿宋" w:cs="仿宋"/>
          <w:sz w:val="32"/>
          <w:szCs w:val="32"/>
        </w:rPr>
        <w:t>1.5—2</w:t>
      </w:r>
      <w:r>
        <w:rPr>
          <w:rFonts w:hint="eastAsia" w:ascii="仿宋" w:hAnsi="仿宋" w:eastAsia="仿宋" w:cs="仿宋"/>
          <w:sz w:val="32"/>
          <w:szCs w:val="32"/>
        </w:rPr>
        <w:t>个百分点。</w:t>
      </w:r>
    </w:p>
    <w:p>
      <w:pPr>
        <w:spacing w:line="600" w:lineRule="exact"/>
        <w:ind w:firstLine="642" w:firstLineChars="200"/>
        <w:rPr>
          <w:rFonts w:ascii="仿宋" w:hAnsi="仿宋" w:eastAsia="仿宋" w:cs="仿宋"/>
          <w:color w:val="000000"/>
          <w:kern w:val="0"/>
          <w:sz w:val="32"/>
          <w:szCs w:val="32"/>
        </w:rPr>
      </w:pPr>
      <w:r>
        <w:rPr>
          <w:rFonts w:hint="eastAsia" w:ascii="仿宋" w:hAnsi="仿宋" w:eastAsia="仿宋" w:cs="仿宋"/>
          <w:b/>
          <w:sz w:val="32"/>
          <w:szCs w:val="32"/>
        </w:rPr>
        <w:t>重点举措：</w:t>
      </w:r>
      <w:r>
        <w:rPr>
          <w:rFonts w:hint="eastAsia" w:ascii="楷体" w:hAnsi="楷体" w:eastAsia="楷体" w:cs="楷体"/>
          <w:bCs/>
          <w:sz w:val="32"/>
          <w:szCs w:val="32"/>
        </w:rPr>
        <w:t>加强房地产业健康有序发展。</w:t>
      </w:r>
      <w:r>
        <w:rPr>
          <w:rFonts w:hint="eastAsia" w:ascii="仿宋" w:hAnsi="仿宋" w:eastAsia="仿宋" w:cs="仿宋"/>
          <w:color w:val="000000"/>
          <w:kern w:val="0"/>
          <w:sz w:val="32"/>
          <w:szCs w:val="32"/>
        </w:rPr>
        <w:t>稳步发展住宅地产市场，完善住宅供应结构，严格控制大户型商品房和高档商品房建设，增加保障性住房和普通商品住房有效供给。有序发展商业、工业和旅游地产，在中心城区加快发展商业地产项目，为现代高端商务和专业服务提供载体；引进专业性强的地产开发企业经营工业园区，提升工业地产开发经营水平。加快城镇棚户区、城中村和城镇危旧房改造。</w:t>
      </w:r>
      <w:r>
        <w:rPr>
          <w:rFonts w:ascii="仿宋" w:hAnsi="仿宋" w:eastAsia="仿宋" w:cs="仿宋"/>
          <w:color w:val="000000"/>
          <w:kern w:val="0"/>
          <w:sz w:val="32"/>
          <w:szCs w:val="32"/>
        </w:rPr>
        <w:t xml:space="preserve"> </w:t>
      </w:r>
    </w:p>
    <w:p>
      <w:pPr>
        <w:spacing w:line="600" w:lineRule="exact"/>
        <w:ind w:firstLine="640" w:firstLineChars="200"/>
        <w:rPr>
          <w:rFonts w:ascii="仿宋" w:hAnsi="仿宋" w:eastAsia="仿宋" w:cs="仿宋"/>
          <w:sz w:val="32"/>
          <w:szCs w:val="32"/>
        </w:rPr>
      </w:pPr>
      <w:r>
        <w:rPr>
          <w:rFonts w:hint="eastAsia" w:ascii="楷体" w:hAnsi="楷体" w:eastAsia="楷体" w:cs="楷体"/>
          <w:bCs/>
          <w:sz w:val="32"/>
          <w:szCs w:val="32"/>
        </w:rPr>
        <w:t>加大房地产市场监管力度。</w:t>
      </w:r>
      <w:r>
        <w:rPr>
          <w:rFonts w:hint="eastAsia" w:ascii="仿宋" w:hAnsi="仿宋" w:eastAsia="仿宋" w:cs="仿宋"/>
          <w:color w:val="000000"/>
          <w:kern w:val="0"/>
          <w:sz w:val="32"/>
          <w:szCs w:val="32"/>
        </w:rPr>
        <w:t>提高房地产中介服务水平，完善住房二、三级市场，培育住房租赁市场。加强房地产市场监管，规范房地产市场秩序，严格房地产市场准入，完善商品房预售制度，研究制定商品房预售资金监管办法。建设房地产市场信息系统，做好动态监测分析和信息披露。推动城市房屋征收拆迁法制化、规范化，严格执行征收拆迁审批程序，积极做好拆迁信访和社会稳定工作。</w:t>
      </w:r>
    </w:p>
    <w:p>
      <w:pPr>
        <w:spacing w:line="60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提高物业管理服务水平。扩大物业服务覆盖面，提高物业服务社会化程度和服务水平。以保基本、广覆盖、多层次、可持续的原则推行物业服务社会化步伐。改善物业服务市场环境，大力开展物业服务诚信和职业道德建设，建立良好的物业服务市场秩序。加强住宅专项维修资金管理，规范住房专项维修资金的归集、管理和使用，保障住房的维修和正常使用。鼓励物业管理企业加强专业人才培训和资质水平的提高，引导物业管理企业走专业化、法制化、品牌化发展之路，强化物业管理“以人为本”的理念，形成和谐的物业服务环境。</w:t>
      </w:r>
    </w:p>
    <w:p>
      <w:pPr>
        <w:numPr>
          <w:ilvl w:val="0"/>
          <w:numId w:val="7"/>
        </w:numPr>
        <w:tabs>
          <w:tab w:val="left" w:pos="793"/>
        </w:tabs>
        <w:spacing w:line="600" w:lineRule="exact"/>
        <w:ind w:firstLine="560"/>
        <w:jc w:val="center"/>
        <w:rPr>
          <w:rFonts w:ascii="仿宋" w:hAnsi="仿宋" w:eastAsia="仿宋" w:cs="仿宋"/>
          <w:b/>
          <w:bCs/>
          <w:sz w:val="32"/>
          <w:szCs w:val="32"/>
        </w:rPr>
      </w:pPr>
      <w:r>
        <w:rPr>
          <w:rFonts w:ascii="仿宋" w:hAnsi="仿宋" w:eastAsia="仿宋" w:cs="仿宋"/>
          <w:b/>
          <w:bCs/>
          <w:sz w:val="32"/>
          <w:szCs w:val="32"/>
        </w:rPr>
        <w:t xml:space="preserve"> </w:t>
      </w:r>
      <w:r>
        <w:rPr>
          <w:rFonts w:hint="eastAsia" w:ascii="仿宋" w:hAnsi="仿宋" w:eastAsia="仿宋" w:cs="仿宋"/>
          <w:b/>
          <w:bCs/>
          <w:sz w:val="32"/>
          <w:szCs w:val="32"/>
        </w:rPr>
        <w:t>培育发展新兴服务业</w:t>
      </w:r>
    </w:p>
    <w:p>
      <w:pPr>
        <w:tabs>
          <w:tab w:val="left" w:pos="793"/>
        </w:tabs>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一、电子商务业</w:t>
      </w:r>
    </w:p>
    <w:p>
      <w:pPr>
        <w:widowControl/>
        <w:adjustRightInd w:val="0"/>
        <w:snapToGrid w:val="0"/>
        <w:spacing w:line="600" w:lineRule="exact"/>
        <w:rPr>
          <w:rFonts w:ascii="仿宋" w:hAnsi="仿宋" w:eastAsia="仿宋" w:cs="仿宋"/>
          <w:color w:val="000000"/>
          <w:sz w:val="32"/>
          <w:szCs w:val="32"/>
          <w:shd w:val="clear" w:color="auto" w:fill="FFFFFF"/>
        </w:rPr>
      </w:pPr>
      <w:r>
        <w:rPr>
          <w:rFonts w:ascii="仿宋" w:hAnsi="仿宋" w:eastAsia="仿宋" w:cs="仿宋"/>
          <w:b/>
          <w:bCs/>
          <w:color w:val="000000"/>
          <w:sz w:val="32"/>
          <w:szCs w:val="32"/>
          <w:shd w:val="clear" w:color="auto" w:fill="FFFFFF"/>
        </w:rPr>
        <w:t xml:space="preserve">    </w:t>
      </w:r>
      <w:r>
        <w:rPr>
          <w:rFonts w:hint="eastAsia" w:ascii="仿宋" w:hAnsi="仿宋" w:eastAsia="仿宋" w:cs="仿宋"/>
          <w:b/>
          <w:bCs/>
          <w:color w:val="000000"/>
          <w:sz w:val="32"/>
          <w:szCs w:val="32"/>
          <w:shd w:val="clear" w:color="auto" w:fill="FFFFFF"/>
        </w:rPr>
        <w:t>发展目标：</w:t>
      </w:r>
      <w:r>
        <w:rPr>
          <w:rFonts w:hint="eastAsia" w:ascii="仿宋" w:hAnsi="仿宋" w:eastAsia="仿宋" w:cs="仿宋"/>
          <w:color w:val="000000"/>
          <w:sz w:val="32"/>
          <w:szCs w:val="32"/>
          <w:shd w:val="clear" w:color="auto" w:fill="FFFFFF"/>
        </w:rPr>
        <w:t>按照“打造培育一批”电商示范企业、示范村、示范户和示范基地，“规划建设一个”电商产业园的总体要求，到</w:t>
      </w:r>
      <w:r>
        <w:rPr>
          <w:rFonts w:ascii="仿宋" w:hAnsi="仿宋" w:eastAsia="仿宋" w:cs="仿宋"/>
          <w:color w:val="000000"/>
          <w:sz w:val="32"/>
          <w:szCs w:val="32"/>
          <w:shd w:val="clear" w:color="auto" w:fill="FFFFFF"/>
        </w:rPr>
        <w:t>2020</w:t>
      </w:r>
      <w:r>
        <w:rPr>
          <w:rFonts w:hint="eastAsia" w:ascii="仿宋" w:hAnsi="仿宋" w:eastAsia="仿宋" w:cs="仿宋"/>
          <w:color w:val="000000"/>
          <w:sz w:val="32"/>
          <w:szCs w:val="32"/>
          <w:shd w:val="clear" w:color="auto" w:fill="FFFFFF"/>
        </w:rPr>
        <w:t>年，全区</w:t>
      </w:r>
      <w:r>
        <w:rPr>
          <w:rFonts w:hint="eastAsia" w:ascii="仿宋" w:hAnsi="仿宋" w:eastAsia="仿宋" w:cs="仿宋"/>
          <w:color w:val="000000"/>
          <w:sz w:val="32"/>
          <w:szCs w:val="32"/>
          <w:shd w:val="clear" w:color="auto" w:fill="FFFFFF"/>
          <w:lang w:eastAsia="zh-CN"/>
        </w:rPr>
        <w:t>“四上”</w:t>
      </w:r>
      <w:r>
        <w:rPr>
          <w:rFonts w:hint="eastAsia" w:ascii="仿宋" w:hAnsi="仿宋" w:eastAsia="仿宋" w:cs="仿宋"/>
          <w:color w:val="000000"/>
          <w:sz w:val="32"/>
          <w:szCs w:val="32"/>
          <w:shd w:val="clear" w:color="auto" w:fill="FFFFFF"/>
        </w:rPr>
        <w:t>企业电子商务普及率达</w:t>
      </w:r>
      <w:r>
        <w:rPr>
          <w:rFonts w:ascii="仿宋" w:hAnsi="仿宋" w:eastAsia="仿宋" w:cs="仿宋"/>
          <w:color w:val="000000"/>
          <w:sz w:val="32"/>
          <w:szCs w:val="32"/>
          <w:shd w:val="clear" w:color="auto" w:fill="FFFFFF"/>
        </w:rPr>
        <w:t>70%</w:t>
      </w:r>
      <w:r>
        <w:rPr>
          <w:rFonts w:hint="eastAsia" w:ascii="仿宋" w:hAnsi="仿宋" w:eastAsia="仿宋" w:cs="仿宋"/>
          <w:color w:val="000000"/>
          <w:sz w:val="32"/>
          <w:szCs w:val="32"/>
          <w:shd w:val="clear" w:color="auto" w:fill="FFFFFF"/>
        </w:rPr>
        <w:t>以上，</w:t>
      </w:r>
      <w:r>
        <w:rPr>
          <w:rFonts w:hint="eastAsia" w:ascii="仿宋" w:hAnsi="仿宋" w:eastAsia="仿宋" w:cs="仿宋"/>
          <w:sz w:val="32"/>
          <w:szCs w:val="32"/>
        </w:rPr>
        <w:t>建成镇（乡）级电商服务站</w:t>
      </w:r>
      <w:r>
        <w:rPr>
          <w:rFonts w:ascii="仿宋" w:hAnsi="仿宋" w:eastAsia="仿宋" w:cs="仿宋"/>
          <w:sz w:val="32"/>
          <w:szCs w:val="32"/>
        </w:rPr>
        <w:t>15</w:t>
      </w:r>
      <w:r>
        <w:rPr>
          <w:rFonts w:hint="eastAsia" w:ascii="仿宋" w:hAnsi="仿宋" w:eastAsia="仿宋" w:cs="仿宋"/>
          <w:sz w:val="32"/>
          <w:szCs w:val="32"/>
        </w:rPr>
        <w:t>个，村级电商服务站</w:t>
      </w:r>
      <w:r>
        <w:rPr>
          <w:rFonts w:ascii="仿宋" w:hAnsi="仿宋" w:eastAsia="仿宋" w:cs="仿宋"/>
          <w:sz w:val="32"/>
          <w:szCs w:val="32"/>
        </w:rPr>
        <w:t>50</w:t>
      </w:r>
      <w:r>
        <w:rPr>
          <w:rFonts w:hint="eastAsia" w:ascii="仿宋" w:hAnsi="仿宋" w:eastAsia="仿宋" w:cs="仿宋"/>
          <w:sz w:val="32"/>
          <w:szCs w:val="32"/>
        </w:rPr>
        <w:t>个，</w:t>
      </w:r>
      <w:r>
        <w:rPr>
          <w:rFonts w:hint="eastAsia" w:ascii="仿宋" w:hAnsi="仿宋" w:eastAsia="仿宋" w:cs="仿宋"/>
          <w:color w:val="000000"/>
          <w:sz w:val="32"/>
          <w:szCs w:val="32"/>
          <w:shd w:val="clear" w:color="auto" w:fill="FFFFFF"/>
        </w:rPr>
        <w:t>企业和个体网店达</w:t>
      </w:r>
      <w:r>
        <w:rPr>
          <w:rFonts w:ascii="仿宋" w:hAnsi="仿宋" w:eastAsia="仿宋" w:cs="仿宋"/>
          <w:color w:val="000000"/>
          <w:sz w:val="32"/>
          <w:szCs w:val="32"/>
          <w:shd w:val="clear" w:color="auto" w:fill="FFFFFF"/>
        </w:rPr>
        <w:t>500</w:t>
      </w:r>
      <w:r>
        <w:rPr>
          <w:rFonts w:hint="eastAsia" w:ascii="仿宋" w:hAnsi="仿宋" w:eastAsia="仿宋" w:cs="仿宋"/>
          <w:color w:val="000000"/>
          <w:sz w:val="32"/>
          <w:szCs w:val="32"/>
          <w:shd w:val="clear" w:color="auto" w:fill="FFFFFF"/>
        </w:rPr>
        <w:t>家以上，</w:t>
      </w:r>
      <w:r>
        <w:rPr>
          <w:rFonts w:hint="eastAsia" w:ascii="仿宋" w:hAnsi="仿宋" w:eastAsia="仿宋" w:cs="仿宋"/>
          <w:sz w:val="32"/>
          <w:szCs w:val="32"/>
        </w:rPr>
        <w:t>新培育孵化电商主体</w:t>
      </w:r>
      <w:r>
        <w:rPr>
          <w:rFonts w:ascii="仿宋" w:hAnsi="仿宋" w:eastAsia="仿宋" w:cs="仿宋"/>
          <w:sz w:val="32"/>
          <w:szCs w:val="32"/>
        </w:rPr>
        <w:t>100</w:t>
      </w:r>
      <w:r>
        <w:rPr>
          <w:rFonts w:hint="eastAsia" w:ascii="仿宋" w:hAnsi="仿宋" w:eastAsia="仿宋" w:cs="仿宋"/>
          <w:sz w:val="32"/>
          <w:szCs w:val="32"/>
        </w:rPr>
        <w:t>家以上，</w:t>
      </w:r>
      <w:r>
        <w:rPr>
          <w:rFonts w:hint="eastAsia" w:ascii="仿宋" w:hAnsi="仿宋" w:eastAsia="仿宋" w:cs="仿宋"/>
          <w:color w:val="000000"/>
          <w:sz w:val="32"/>
          <w:szCs w:val="32"/>
          <w:shd w:val="clear" w:color="auto" w:fill="FFFFFF"/>
        </w:rPr>
        <w:t>其中龙头企业</w:t>
      </w:r>
      <w:r>
        <w:rPr>
          <w:rFonts w:ascii="仿宋" w:hAnsi="仿宋" w:eastAsia="仿宋" w:cs="仿宋"/>
          <w:color w:val="000000"/>
          <w:sz w:val="32"/>
          <w:szCs w:val="32"/>
          <w:shd w:val="clear" w:color="auto" w:fill="FFFFFF"/>
        </w:rPr>
        <w:t>10</w:t>
      </w:r>
      <w:r>
        <w:rPr>
          <w:rFonts w:hint="eastAsia" w:ascii="仿宋" w:hAnsi="仿宋" w:eastAsia="仿宋" w:cs="仿宋"/>
          <w:color w:val="000000"/>
          <w:sz w:val="32"/>
          <w:szCs w:val="32"/>
          <w:shd w:val="clear" w:color="auto" w:fill="FFFFFF"/>
        </w:rPr>
        <w:t>家以上，从业人员</w:t>
      </w:r>
      <w:r>
        <w:rPr>
          <w:rFonts w:ascii="仿宋" w:hAnsi="仿宋" w:eastAsia="仿宋" w:cs="仿宋"/>
          <w:color w:val="000000"/>
          <w:sz w:val="32"/>
          <w:szCs w:val="32"/>
          <w:shd w:val="clear" w:color="auto" w:fill="FFFFFF"/>
        </w:rPr>
        <w:t>1000</w:t>
      </w:r>
      <w:r>
        <w:rPr>
          <w:rFonts w:hint="eastAsia" w:ascii="仿宋" w:hAnsi="仿宋" w:eastAsia="仿宋" w:cs="仿宋"/>
          <w:color w:val="000000"/>
          <w:sz w:val="32"/>
          <w:szCs w:val="32"/>
          <w:shd w:val="clear" w:color="auto" w:fill="FFFFFF"/>
        </w:rPr>
        <w:t>人以上，电商营业额达到</w:t>
      </w:r>
      <w:r>
        <w:rPr>
          <w:rFonts w:ascii="仿宋" w:hAnsi="仿宋" w:eastAsia="仿宋" w:cs="仿宋"/>
          <w:color w:val="000000"/>
          <w:sz w:val="32"/>
          <w:szCs w:val="32"/>
          <w:shd w:val="clear" w:color="auto" w:fill="FFFFFF"/>
        </w:rPr>
        <w:t>10</w:t>
      </w:r>
      <w:r>
        <w:rPr>
          <w:rFonts w:hint="eastAsia" w:ascii="仿宋" w:hAnsi="仿宋" w:eastAsia="仿宋" w:cs="仿宋"/>
          <w:color w:val="000000"/>
          <w:sz w:val="32"/>
          <w:szCs w:val="32"/>
          <w:shd w:val="clear" w:color="auto" w:fill="FFFFFF"/>
        </w:rPr>
        <w:t>亿元以上。</w:t>
      </w:r>
    </w:p>
    <w:p>
      <w:pPr>
        <w:widowControl/>
        <w:adjustRightInd w:val="0"/>
        <w:snapToGrid w:val="0"/>
        <w:spacing w:line="600" w:lineRule="exact"/>
        <w:ind w:firstLine="642"/>
        <w:rPr>
          <w:rFonts w:ascii="楷体" w:hAnsi="楷体" w:eastAsia="楷体" w:cs="楷体"/>
          <w:color w:val="FF0000"/>
          <w:sz w:val="32"/>
          <w:szCs w:val="32"/>
        </w:rPr>
      </w:pPr>
      <w:r>
        <w:rPr>
          <w:rFonts w:hint="eastAsia" w:ascii="仿宋" w:hAnsi="仿宋" w:eastAsia="仿宋" w:cs="仿宋"/>
          <w:b/>
          <w:bCs/>
          <w:color w:val="000000"/>
          <w:sz w:val="32"/>
          <w:szCs w:val="32"/>
          <w:shd w:val="clear" w:color="auto" w:fill="FFFFFF"/>
        </w:rPr>
        <w:t>重点举措：</w:t>
      </w:r>
      <w:r>
        <w:rPr>
          <w:rFonts w:hint="eastAsia" w:ascii="楷体" w:hAnsi="楷体" w:eastAsia="楷体" w:cs="楷体"/>
          <w:sz w:val="32"/>
          <w:szCs w:val="32"/>
        </w:rPr>
        <w:t>推进电子商务平台建设。</w:t>
      </w:r>
      <w:r>
        <w:rPr>
          <w:rFonts w:hint="eastAsia" w:ascii="仿宋" w:hAnsi="仿宋" w:eastAsia="仿宋" w:cs="仿宋"/>
          <w:sz w:val="32"/>
          <w:szCs w:val="32"/>
        </w:rPr>
        <w:t>加快建设电商产业园，吸引电子商务企业及配套服务企业入驻，形成集贸易、孵化、物流、融资、培训、创意等多功能多业态于一体的功能聚集区，引领电商企业集聚化发展。</w:t>
      </w:r>
    </w:p>
    <w:p>
      <w:pPr>
        <w:widowControl/>
        <w:adjustRightInd w:val="0"/>
        <w:snapToGrid w:val="0"/>
        <w:spacing w:line="600" w:lineRule="exact"/>
        <w:ind w:firstLine="640"/>
        <w:rPr>
          <w:rFonts w:ascii="仿宋" w:hAnsi="仿宋" w:eastAsia="仿宋" w:cs="仿宋"/>
          <w:sz w:val="32"/>
          <w:szCs w:val="32"/>
        </w:rPr>
      </w:pPr>
      <w:r>
        <w:rPr>
          <w:rFonts w:hint="eastAsia" w:ascii="楷体" w:hAnsi="楷体" w:eastAsia="楷体" w:cs="楷体"/>
          <w:sz w:val="32"/>
          <w:szCs w:val="32"/>
        </w:rPr>
        <w:t>深入开展“互联网</w:t>
      </w:r>
      <w:r>
        <w:rPr>
          <w:rFonts w:ascii="楷体" w:hAnsi="楷体" w:eastAsia="楷体" w:cs="楷体"/>
          <w:sz w:val="32"/>
          <w:szCs w:val="32"/>
        </w:rPr>
        <w:t>+</w:t>
      </w:r>
      <w:r>
        <w:rPr>
          <w:rFonts w:hint="eastAsia" w:ascii="楷体" w:hAnsi="楷体" w:eastAsia="楷体" w:cs="楷体"/>
          <w:sz w:val="32"/>
          <w:szCs w:val="32"/>
        </w:rPr>
        <w:t>朝天</w:t>
      </w:r>
      <w:r>
        <w:rPr>
          <w:rFonts w:ascii="楷体" w:hAnsi="楷体" w:eastAsia="楷体" w:cs="楷体"/>
          <w:sz w:val="32"/>
          <w:szCs w:val="32"/>
        </w:rPr>
        <w:t>+N</w:t>
      </w:r>
      <w:r>
        <w:rPr>
          <w:rFonts w:hint="eastAsia" w:ascii="楷体" w:hAnsi="楷体" w:eastAsia="楷体" w:cs="楷体"/>
          <w:sz w:val="32"/>
          <w:szCs w:val="32"/>
        </w:rPr>
        <w:t>”行动计划。</w:t>
      </w:r>
      <w:r>
        <w:rPr>
          <w:rFonts w:hint="eastAsia" w:ascii="仿宋" w:hAnsi="仿宋" w:eastAsia="仿宋" w:cs="仿宋"/>
          <w:sz w:val="32"/>
          <w:szCs w:val="32"/>
        </w:rPr>
        <w:t>进一步增强对我区农业、工业和服务业的配套服务功能；促进电子商务与农业、工业、服务业、旅游业深度融合发展，初步形成产业政策清晰、配套体系健全、公共服务平台基本完备的电子商务发展格局。</w:t>
      </w:r>
    </w:p>
    <w:p>
      <w:pPr>
        <w:widowControl/>
        <w:adjustRightInd w:val="0"/>
        <w:snapToGrid w:val="0"/>
        <w:spacing w:line="600" w:lineRule="exact"/>
        <w:ind w:firstLine="640"/>
        <w:rPr>
          <w:rFonts w:ascii="仿宋" w:hAnsi="仿宋" w:eastAsia="仿宋" w:cs="仿宋"/>
          <w:sz w:val="32"/>
          <w:szCs w:val="32"/>
        </w:rPr>
      </w:pPr>
      <w:r>
        <w:rPr>
          <w:rFonts w:hint="eastAsia" w:ascii="楷体" w:hAnsi="楷体" w:eastAsia="楷体" w:cs="楷体"/>
          <w:sz w:val="32"/>
          <w:szCs w:val="32"/>
        </w:rPr>
        <w:t>大力招引电商龙头企业。</w:t>
      </w:r>
      <w:r>
        <w:rPr>
          <w:rFonts w:hint="eastAsia" w:ascii="仿宋" w:hAnsi="仿宋" w:eastAsia="仿宋" w:cs="仿宋"/>
          <w:sz w:val="32"/>
          <w:szCs w:val="32"/>
        </w:rPr>
        <w:t>充分利用朝天特有的交通、区位、资源优势，通过建好朝天电商产业园区等各种适合电子商务发展的有利条件，完善金融、物流、法律、信息网络等服务支撑体系，引进、培育一批具有影响力的电子商务交易平台和电商龙头企业，通过极化效应和扩散效应，形成比较优势的产业集群，发展总部经济。探索电子商务新型贸易和供应链模式，带动电商企业集聚化发展，引领传统企业转型升级，增强典型示范带动作用，从而迅速激活我区经济资源，加快区域产业结构优化升级，</w:t>
      </w:r>
    </w:p>
    <w:p>
      <w:pPr>
        <w:widowControl/>
        <w:adjustRightInd w:val="0"/>
        <w:snapToGrid w:val="0"/>
        <w:spacing w:line="600" w:lineRule="exact"/>
        <w:ind w:firstLine="640"/>
        <w:rPr>
          <w:rFonts w:ascii="仿宋" w:hAnsi="仿宋" w:eastAsia="仿宋" w:cs="仿宋"/>
          <w:sz w:val="32"/>
          <w:szCs w:val="32"/>
        </w:rPr>
      </w:pPr>
      <w:r>
        <w:rPr>
          <w:rFonts w:hint="eastAsia" w:ascii="楷体" w:hAnsi="楷体" w:eastAsia="楷体" w:cs="楷体"/>
          <w:sz w:val="32"/>
          <w:szCs w:val="32"/>
        </w:rPr>
        <w:t>加快发展农村电子商务。</w:t>
      </w:r>
      <w:r>
        <w:rPr>
          <w:rFonts w:hint="eastAsia" w:ascii="仿宋" w:hAnsi="仿宋" w:eastAsia="仿宋" w:cs="仿宋"/>
          <w:sz w:val="32"/>
          <w:szCs w:val="32"/>
        </w:rPr>
        <w:t>以建平台、拓窗口、增网络、促创业为重点，打造一批农产品电子商务服务平台，建设一批农村电商服务站点，培育一批农村电商带头人，依托农村电商发展带动农业产业基地建设。开拓农村电商消费市场、促进农特产品网络营销，构建电子商务、物流寄递、交通运输综合服务网络，完善面向农村的快递物流仓储配送体系，打造覆盖区、乡、村三位一体的农村电商快递综合平台，搭建“工业品下乡、农产品进城”双向流通网络。</w:t>
      </w:r>
    </w:p>
    <w:p>
      <w:pPr>
        <w:widowControl/>
        <w:adjustRightInd w:val="0"/>
        <w:snapToGrid w:val="0"/>
        <w:spacing w:line="600" w:lineRule="exact"/>
        <w:ind w:firstLine="640"/>
        <w:rPr>
          <w:rFonts w:ascii="仿宋" w:hAnsi="仿宋" w:eastAsia="仿宋" w:cs="仿宋"/>
          <w:sz w:val="32"/>
          <w:szCs w:val="32"/>
        </w:rPr>
      </w:pPr>
      <w:r>
        <w:rPr>
          <w:rFonts w:hint="eastAsia" w:ascii="楷体" w:hAnsi="楷体" w:eastAsia="楷体" w:cs="楷体"/>
          <w:sz w:val="32"/>
          <w:szCs w:val="32"/>
        </w:rPr>
        <w:t>提升移动电子商务发展水平。</w:t>
      </w:r>
      <w:r>
        <w:rPr>
          <w:rFonts w:hint="eastAsia" w:ascii="仿宋" w:hAnsi="仿宋" w:eastAsia="仿宋" w:cs="仿宋"/>
          <w:sz w:val="32"/>
          <w:szCs w:val="32"/>
        </w:rPr>
        <w:t>鼓励基础电信运营商、增值业务服务商、内容提供商和金融服务机构之间加强协作，拓展移动互联网</w:t>
      </w:r>
      <w:r>
        <w:rPr>
          <w:rFonts w:hint="eastAsia" w:ascii="仿宋" w:hAnsi="仿宋" w:eastAsia="仿宋" w:cs="仿宋"/>
          <w:kern w:val="0"/>
          <w:sz w:val="32"/>
          <w:szCs w:val="32"/>
        </w:rPr>
        <w:t>、物联网等新技术在电子商务中的应用，创新发展移动电子商务积极推进各领域的应用接入，提升电子商务终端服务能力。加快移动电子商务普及应用，加快推进移动商务进旅游、进农村、进社区，在智慧景区、公共交通、公用事业缴费、便民小额消费和移动农业电子商务等领域形成规模应用。</w:t>
      </w:r>
    </w:p>
    <w:p>
      <w:pPr>
        <w:tabs>
          <w:tab w:val="left" w:pos="793"/>
        </w:tabs>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二、现代金融业</w:t>
      </w:r>
    </w:p>
    <w:p>
      <w:pPr>
        <w:spacing w:line="600" w:lineRule="exact"/>
        <w:ind w:firstLine="642" w:firstLineChars="200"/>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发展目标：</w:t>
      </w:r>
      <w:r>
        <w:rPr>
          <w:rFonts w:hint="eastAsia" w:ascii="仿宋" w:hAnsi="仿宋" w:eastAsia="仿宋" w:cs="仿宋"/>
          <w:sz w:val="32"/>
          <w:szCs w:val="32"/>
        </w:rPr>
        <w:t>按照“一重四快、双基多元”的金融工作思路，坚持“稳健发展、服务全局、改革创新、再上台阶”的总体要求，推动全区金融业健康、快速、持续发展。争取到</w:t>
      </w:r>
      <w:r>
        <w:rPr>
          <w:rFonts w:ascii="仿宋" w:hAnsi="仿宋" w:eastAsia="仿宋" w:cs="仿宋"/>
          <w:sz w:val="32"/>
          <w:szCs w:val="32"/>
        </w:rPr>
        <w:t>2020</w:t>
      </w:r>
      <w:r>
        <w:rPr>
          <w:rFonts w:hint="eastAsia" w:ascii="仿宋" w:hAnsi="仿宋" w:eastAsia="仿宋" w:cs="仿宋"/>
          <w:sz w:val="32"/>
          <w:szCs w:val="32"/>
        </w:rPr>
        <w:t>年，基本实现金融总量翻一番，存贷款余额达到</w:t>
      </w:r>
      <w:r>
        <w:rPr>
          <w:rFonts w:ascii="仿宋" w:hAnsi="仿宋" w:eastAsia="仿宋" w:cs="仿宋"/>
          <w:sz w:val="32"/>
          <w:szCs w:val="32"/>
        </w:rPr>
        <w:t>126</w:t>
      </w:r>
      <w:r>
        <w:rPr>
          <w:rFonts w:hint="eastAsia" w:ascii="仿宋" w:hAnsi="仿宋" w:eastAsia="仿宋" w:cs="仿宋"/>
          <w:sz w:val="32"/>
          <w:szCs w:val="32"/>
        </w:rPr>
        <w:t>亿元，保费收入达到</w:t>
      </w:r>
      <w:r>
        <w:rPr>
          <w:rFonts w:ascii="仿宋" w:hAnsi="仿宋" w:eastAsia="仿宋" w:cs="仿宋"/>
          <w:sz w:val="32"/>
          <w:szCs w:val="32"/>
        </w:rPr>
        <w:t>1.6</w:t>
      </w:r>
      <w:r>
        <w:rPr>
          <w:rFonts w:hint="eastAsia" w:ascii="仿宋" w:hAnsi="仿宋" w:eastAsia="仿宋" w:cs="仿宋"/>
          <w:sz w:val="32"/>
          <w:szCs w:val="32"/>
        </w:rPr>
        <w:t>亿元，保险深度达到</w:t>
      </w:r>
      <w:r>
        <w:rPr>
          <w:rFonts w:ascii="仿宋" w:hAnsi="仿宋" w:eastAsia="仿宋" w:cs="仿宋"/>
          <w:sz w:val="32"/>
          <w:szCs w:val="32"/>
        </w:rPr>
        <w:t>2.7%</w:t>
      </w:r>
      <w:r>
        <w:rPr>
          <w:rFonts w:hint="eastAsia" w:ascii="仿宋" w:hAnsi="仿宋" w:eastAsia="仿宋" w:cs="仿宋"/>
          <w:sz w:val="32"/>
          <w:szCs w:val="32"/>
        </w:rPr>
        <w:t>、密度达到</w:t>
      </w:r>
      <w:r>
        <w:rPr>
          <w:rFonts w:ascii="仿宋" w:hAnsi="仿宋" w:eastAsia="仿宋" w:cs="仿宋"/>
          <w:sz w:val="32"/>
          <w:szCs w:val="32"/>
        </w:rPr>
        <w:t>780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人，担保余额达到</w:t>
      </w:r>
      <w:r>
        <w:rPr>
          <w:rFonts w:ascii="仿宋" w:hAnsi="仿宋" w:eastAsia="仿宋" w:cs="仿宋"/>
          <w:sz w:val="32"/>
          <w:szCs w:val="32"/>
        </w:rPr>
        <w:t>6</w:t>
      </w:r>
      <w:r>
        <w:rPr>
          <w:rFonts w:hint="eastAsia" w:ascii="仿宋" w:hAnsi="仿宋" w:eastAsia="仿宋" w:cs="仿宋"/>
          <w:sz w:val="32"/>
          <w:szCs w:val="32"/>
        </w:rPr>
        <w:t>亿元；现代金融服务体系相对完善；金融扶贫目标全面实现；金融改革创新全面推进；金融发展体制机制基本完备，全面建成金融生态环境示范区，金融业发展成为我区重要的服务支柱产业。</w:t>
      </w:r>
    </w:p>
    <w:p>
      <w:pPr>
        <w:spacing w:line="600" w:lineRule="exact"/>
        <w:rPr>
          <w:rFonts w:ascii="仿宋" w:hAnsi="仿宋" w:eastAsia="仿宋" w:cs="仿宋"/>
          <w:color w:val="000000"/>
          <w:sz w:val="32"/>
          <w:szCs w:val="32"/>
          <w:shd w:val="clear" w:color="auto" w:fill="FFFFFF"/>
        </w:rPr>
      </w:pPr>
      <w:r>
        <w:rPr>
          <w:rFonts w:ascii="仿宋" w:hAnsi="仿宋" w:eastAsia="仿宋" w:cs="仿宋"/>
          <w:b/>
          <w:bCs/>
          <w:color w:val="000000"/>
          <w:sz w:val="32"/>
          <w:szCs w:val="32"/>
          <w:shd w:val="clear" w:color="auto" w:fill="FFFFFF"/>
        </w:rPr>
        <w:t xml:space="preserve">    </w:t>
      </w:r>
      <w:r>
        <w:rPr>
          <w:rFonts w:hint="eastAsia" w:ascii="仿宋" w:hAnsi="仿宋" w:eastAsia="仿宋" w:cs="仿宋"/>
          <w:b/>
          <w:bCs/>
          <w:color w:val="000000"/>
          <w:sz w:val="32"/>
          <w:szCs w:val="32"/>
          <w:shd w:val="clear" w:color="auto" w:fill="FFFFFF"/>
        </w:rPr>
        <w:t>重点举措：</w:t>
      </w:r>
      <w:r>
        <w:rPr>
          <w:rFonts w:hint="eastAsia" w:ascii="楷体" w:hAnsi="楷体" w:eastAsia="楷体" w:cs="楷体"/>
          <w:color w:val="000000"/>
          <w:sz w:val="32"/>
          <w:szCs w:val="32"/>
          <w:shd w:val="clear" w:color="auto" w:fill="FFFFFF"/>
        </w:rPr>
        <w:t>完善金融服务体系。</w:t>
      </w:r>
      <w:r>
        <w:rPr>
          <w:rFonts w:hint="eastAsia" w:ascii="仿宋" w:hAnsi="仿宋" w:eastAsia="仿宋" w:cs="仿宋"/>
          <w:color w:val="000000"/>
          <w:sz w:val="32"/>
          <w:szCs w:val="32"/>
          <w:shd w:val="clear" w:color="auto" w:fill="FFFFFF"/>
        </w:rPr>
        <w:t>鼓励现有金融机构在各乡镇增设分支机构，以新农村综合体、工业园区为重点增设网点、延伸服务。大力引进证券、保险、期货等非银行金融机构，以及天使基金、创业基金、私募股权基金、并购基金等各类基金投资类组织。加快准金融机构（小额贷款公司、融资性担保公司等）发展步伐，不断提升现有准金融机构的综合实力、管理水平、抗风险能力。</w:t>
      </w:r>
    </w:p>
    <w:p>
      <w:pPr>
        <w:tabs>
          <w:tab w:val="left" w:pos="793"/>
        </w:tabs>
        <w:spacing w:line="600" w:lineRule="exact"/>
        <w:rPr>
          <w:rFonts w:ascii="仿宋" w:hAnsi="仿宋" w:eastAsia="仿宋" w:cs="仿宋"/>
          <w:b/>
          <w:bCs/>
          <w:color w:val="000000"/>
          <w:sz w:val="32"/>
          <w:szCs w:val="32"/>
          <w:shd w:val="clear" w:color="auto" w:fill="FFFFFF"/>
        </w:rPr>
      </w:pPr>
      <w:r>
        <w:rPr>
          <w:rFonts w:ascii="仿宋" w:hAnsi="仿宋" w:eastAsia="仿宋" w:cs="仿宋"/>
          <w:b/>
          <w:color w:val="000000"/>
          <w:sz w:val="32"/>
          <w:szCs w:val="32"/>
          <w:shd w:val="clear" w:color="auto" w:fill="FFFFFF"/>
        </w:rPr>
        <w:t xml:space="preserve">   </w:t>
      </w:r>
      <w:r>
        <w:rPr>
          <w:rFonts w:ascii="仿宋" w:hAnsi="仿宋" w:eastAsia="仿宋" w:cs="仿宋"/>
          <w:color w:val="000000"/>
          <w:sz w:val="32"/>
          <w:szCs w:val="32"/>
          <w:shd w:val="clear" w:color="auto" w:fill="FFFFFF"/>
        </w:rPr>
        <w:t xml:space="preserve"> </w:t>
      </w:r>
      <w:r>
        <w:rPr>
          <w:rFonts w:hint="eastAsia" w:ascii="楷体" w:hAnsi="楷体" w:eastAsia="楷体" w:cs="楷体"/>
          <w:color w:val="000000"/>
          <w:sz w:val="32"/>
          <w:szCs w:val="32"/>
          <w:shd w:val="clear" w:color="auto" w:fill="FFFFFF"/>
        </w:rPr>
        <w:t>优化小微企业金融服务。</w:t>
      </w:r>
      <w:r>
        <w:rPr>
          <w:rFonts w:hint="eastAsia" w:ascii="仿宋" w:hAnsi="仿宋" w:eastAsia="仿宋" w:cs="仿宋"/>
          <w:color w:val="000000"/>
          <w:sz w:val="32"/>
          <w:szCs w:val="32"/>
          <w:shd w:val="clear" w:color="auto" w:fill="FFFFFF"/>
        </w:rPr>
        <w:t>深入推进小微企业贷款机制建设，适度下放授信审批权限、提高不良贷款容忍度、完善尽职免责制度、合理定价为重点，在审贷、激励约束、风险定价等方面实现新突破。同时，加大对小微企业的信贷倾斜，确保小微企业贷款增速不低于平均贷款增速，贷款增量不低于上年。支持商业银行设立从事小微企业贷款的专营支行，实行循环授信业务制度，深入推进小微企业贷款专营体系建设，进一步加强对小微企业的金融服务。</w:t>
      </w:r>
    </w:p>
    <w:p>
      <w:pPr>
        <w:spacing w:line="600" w:lineRule="exact"/>
        <w:rPr>
          <w:rFonts w:ascii="仿宋" w:hAnsi="仿宋" w:eastAsia="仿宋" w:cs="仿宋"/>
          <w:b/>
          <w:bCs/>
          <w:color w:val="000000"/>
          <w:sz w:val="32"/>
          <w:szCs w:val="32"/>
          <w:shd w:val="clear" w:color="auto" w:fill="FFFFFF"/>
        </w:rPr>
      </w:pPr>
      <w:r>
        <w:rPr>
          <w:rFonts w:ascii="仿宋" w:hAnsi="仿宋" w:eastAsia="仿宋" w:cs="仿宋"/>
          <w:color w:val="000000"/>
          <w:sz w:val="32"/>
          <w:szCs w:val="32"/>
          <w:shd w:val="clear" w:color="auto" w:fill="FFFFFF"/>
        </w:rPr>
        <w:t xml:space="preserve">    </w:t>
      </w:r>
      <w:r>
        <w:rPr>
          <w:rFonts w:hint="eastAsia" w:ascii="楷体" w:hAnsi="楷体" w:eastAsia="楷体" w:cs="楷体"/>
          <w:color w:val="000000"/>
          <w:sz w:val="32"/>
          <w:szCs w:val="32"/>
          <w:shd w:val="clear" w:color="auto" w:fill="FFFFFF"/>
        </w:rPr>
        <w:t>创新金融产品和服务方式。</w:t>
      </w:r>
      <w:r>
        <w:rPr>
          <w:rFonts w:hint="eastAsia" w:ascii="仿宋" w:hAnsi="仿宋" w:eastAsia="仿宋" w:cs="仿宋"/>
          <w:color w:val="000000"/>
          <w:sz w:val="32"/>
          <w:szCs w:val="32"/>
          <w:shd w:val="clear" w:color="auto" w:fill="FFFFFF"/>
        </w:rPr>
        <w:t>推进金融产品创新，引导金融机构持续加大涉农信贷投入。改进金融服务方式，鼓励涉农金融机构进一步加大农村金融产品营销力度，扩大对农村地区的金融覆盖面。完善金融扶贫体系建设，细化金融扶贫方案，加大政策支持力度，综合运用贴息、税收等经济手段，鼓励引导金融机构在贫困地区延伸服务网点、加大信贷投放，打通农村金融“最后一公里”。推进农村产权融资，在林权抵押贷款试点的基础上，拓宽林业投融资渠道，逐步扩大林权抵押贷款，合理确定抵押物价值和抵押率。</w:t>
      </w:r>
    </w:p>
    <w:p>
      <w:pPr>
        <w:tabs>
          <w:tab w:val="left" w:pos="793"/>
        </w:tabs>
        <w:spacing w:line="600" w:lineRule="exact"/>
        <w:rPr>
          <w:rFonts w:ascii="仿宋" w:hAnsi="仿宋" w:eastAsia="仿宋" w:cs="仿宋"/>
          <w:sz w:val="32"/>
          <w:szCs w:val="32"/>
        </w:rPr>
      </w:pPr>
      <w:r>
        <w:rPr>
          <w:rFonts w:ascii="仿宋" w:hAnsi="仿宋" w:eastAsia="仿宋" w:cs="仿宋"/>
          <w:sz w:val="32"/>
          <w:szCs w:val="32"/>
        </w:rPr>
        <w:t xml:space="preserve">  </w:t>
      </w:r>
      <w:r>
        <w:rPr>
          <w:rFonts w:ascii="黑体" w:hAnsi="黑体" w:eastAsia="黑体" w:cs="黑体"/>
          <w:sz w:val="32"/>
          <w:szCs w:val="32"/>
        </w:rPr>
        <w:t xml:space="preserve">  </w:t>
      </w:r>
      <w:r>
        <w:rPr>
          <w:rFonts w:hint="eastAsia" w:ascii="黑体" w:hAnsi="黑体" w:eastAsia="黑体" w:cs="黑体"/>
          <w:sz w:val="32"/>
          <w:szCs w:val="32"/>
        </w:rPr>
        <w:t>三、信息服务业</w:t>
      </w:r>
    </w:p>
    <w:p>
      <w:pPr>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rPr>
        <w:t>发展目标：</w:t>
      </w:r>
      <w:r>
        <w:rPr>
          <w:rFonts w:hint="eastAsia" w:ascii="仿宋" w:hAnsi="仿宋" w:eastAsia="仿宋" w:cs="仿宋"/>
          <w:sz w:val="32"/>
          <w:szCs w:val="32"/>
        </w:rPr>
        <w:t>构建网络与信息安全保障体系，扩大信息网络覆盖范围，</w:t>
      </w:r>
      <w:r>
        <w:rPr>
          <w:rFonts w:hint="eastAsia" w:ascii="仿宋" w:hAnsi="仿宋" w:eastAsia="仿宋" w:cs="仿宋"/>
          <w:color w:val="000000"/>
          <w:kern w:val="0"/>
          <w:sz w:val="32"/>
          <w:szCs w:val="32"/>
        </w:rPr>
        <w:t>加快完善信息网络及平台，促进产业改造提升，</w:t>
      </w:r>
      <w:r>
        <w:rPr>
          <w:rFonts w:hint="eastAsia" w:ascii="仿宋" w:hAnsi="仿宋" w:eastAsia="仿宋" w:cs="仿宋"/>
          <w:sz w:val="32"/>
          <w:szCs w:val="32"/>
        </w:rPr>
        <w:t>构建“智慧朝天”。</w:t>
      </w:r>
    </w:p>
    <w:p>
      <w:pPr>
        <w:adjustRightInd w:val="0"/>
        <w:snapToGrid w:val="0"/>
        <w:spacing w:line="600" w:lineRule="exact"/>
        <w:ind w:firstLine="642" w:firstLineChars="200"/>
        <w:rPr>
          <w:rFonts w:ascii="仿宋" w:hAnsi="仿宋" w:eastAsia="仿宋" w:cs="仿宋"/>
          <w:bCs/>
          <w:kern w:val="0"/>
          <w:sz w:val="32"/>
          <w:szCs w:val="32"/>
        </w:rPr>
      </w:pPr>
      <w:r>
        <w:rPr>
          <w:rFonts w:hint="eastAsia" w:ascii="仿宋" w:hAnsi="仿宋" w:eastAsia="仿宋" w:cs="仿宋"/>
          <w:b/>
          <w:bCs/>
          <w:color w:val="000000"/>
          <w:sz w:val="32"/>
          <w:szCs w:val="32"/>
          <w:shd w:val="clear" w:color="auto" w:fill="FFFFFF"/>
        </w:rPr>
        <w:t>重点举措：</w:t>
      </w:r>
      <w:r>
        <w:rPr>
          <w:rFonts w:hint="eastAsia" w:ascii="楷体" w:hAnsi="楷体" w:eastAsia="楷体" w:cs="楷体"/>
          <w:bCs/>
          <w:kern w:val="0"/>
          <w:sz w:val="32"/>
          <w:szCs w:val="32"/>
        </w:rPr>
        <w:t>加快信息网络基础设施建设。</w:t>
      </w:r>
      <w:r>
        <w:rPr>
          <w:rFonts w:hint="eastAsia" w:ascii="仿宋" w:hAnsi="仿宋" w:eastAsia="仿宋" w:cs="仿宋"/>
          <w:bCs/>
          <w:kern w:val="0"/>
          <w:sz w:val="32"/>
          <w:szCs w:val="32"/>
        </w:rPr>
        <w:t>加快推进“宽带乡村”、“智慧朝天”基础设施建设，实现全区“光进铜退”、光纤网络全覆盖，建成互联互通、高速智能、稳定可靠的综合基础网络体系，为提供多业务接入和多业务服务奠定基础。</w:t>
      </w:r>
    </w:p>
    <w:p>
      <w:pPr>
        <w:adjustRightInd w:val="0"/>
        <w:snapToGrid w:val="0"/>
        <w:spacing w:line="600" w:lineRule="exact"/>
        <w:ind w:firstLine="640" w:firstLineChars="200"/>
        <w:rPr>
          <w:rFonts w:ascii="仿宋" w:hAnsi="仿宋" w:eastAsia="仿宋" w:cs="仿宋"/>
          <w:bCs/>
          <w:kern w:val="0"/>
          <w:sz w:val="32"/>
          <w:szCs w:val="32"/>
        </w:rPr>
      </w:pPr>
      <w:r>
        <w:rPr>
          <w:rFonts w:hint="eastAsia" w:ascii="楷体" w:hAnsi="楷体" w:eastAsia="楷体" w:cs="楷体"/>
          <w:bCs/>
          <w:kern w:val="0"/>
          <w:sz w:val="32"/>
          <w:szCs w:val="32"/>
        </w:rPr>
        <w:t>加强信息重点工程建设。</w:t>
      </w:r>
      <w:r>
        <w:rPr>
          <w:rFonts w:hint="eastAsia" w:ascii="仿宋" w:hAnsi="仿宋" w:eastAsia="仿宋" w:cs="仿宋"/>
          <w:bCs/>
          <w:kern w:val="0"/>
          <w:sz w:val="32"/>
          <w:szCs w:val="32"/>
        </w:rPr>
        <w:t>重点抓好政务信息服务工程、企业信息服务工程、社区信息服务工程、电子商务与现代物流建设工程。积极将信息技术引入商贸物流业、文化传媒业、信息服务业、旅游会展业、金融保险业、房地产业、科教卫生业、社区服务业、中介服务业等传统服务业，创新服务方式，拓宽服务领域，提高服务层次，提升传统服务业的信息化水平，实现服务提供自动化、管理网络化、决策智能化，以信息技术应用推动服务成本的降低和服务质量的提高。</w:t>
      </w:r>
    </w:p>
    <w:p>
      <w:pPr>
        <w:adjustRightInd w:val="0"/>
        <w:snapToGrid w:val="0"/>
        <w:spacing w:line="600" w:lineRule="exact"/>
        <w:ind w:firstLine="640" w:firstLineChars="200"/>
        <w:rPr>
          <w:rFonts w:ascii="仿宋" w:hAnsi="仿宋" w:eastAsia="仿宋" w:cs="仿宋"/>
          <w:sz w:val="32"/>
          <w:szCs w:val="32"/>
        </w:rPr>
      </w:pPr>
      <w:r>
        <w:rPr>
          <w:rFonts w:hint="eastAsia" w:ascii="楷体" w:hAnsi="楷体" w:eastAsia="楷体" w:cs="楷体"/>
          <w:bCs/>
          <w:kern w:val="0"/>
          <w:sz w:val="32"/>
          <w:szCs w:val="32"/>
        </w:rPr>
        <w:t>大力推进工业、农业和农村信息化</w:t>
      </w:r>
      <w:r>
        <w:rPr>
          <w:rFonts w:hint="eastAsia" w:ascii="仿宋" w:hAnsi="仿宋" w:eastAsia="仿宋" w:cs="仿宋"/>
          <w:bCs/>
          <w:kern w:val="0"/>
          <w:sz w:val="32"/>
          <w:szCs w:val="32"/>
        </w:rPr>
        <w:t>。围绕促进工业转型升级的要求，全方位、多层次推动信息技术在工业领域的覆盖渗透、应用集成和融合创新。围绕我区特色农业，加快建设农作物和农产品预测预警、农产品电子商务应用、农民专业合作社等信息系统，促进农业信息网络进村入户和农产品网上交易。</w:t>
      </w:r>
    </w:p>
    <w:p>
      <w:pPr>
        <w:tabs>
          <w:tab w:val="left" w:pos="793"/>
        </w:tabs>
        <w:spacing w:line="600" w:lineRule="exact"/>
        <w:rPr>
          <w:rFonts w:ascii="黑体" w:hAnsi="黑体" w:eastAsia="黑体" w:cs="黑体"/>
          <w:sz w:val="32"/>
          <w:szCs w:val="32"/>
        </w:rPr>
      </w:pPr>
      <w:r>
        <w:rPr>
          <w:rFonts w:ascii="仿宋" w:hAnsi="仿宋" w:eastAsia="仿宋" w:cs="仿宋"/>
          <w:sz w:val="32"/>
          <w:szCs w:val="32"/>
        </w:rPr>
        <w:t xml:space="preserve">   </w:t>
      </w:r>
      <w:r>
        <w:rPr>
          <w:rFonts w:ascii="黑体" w:hAnsi="黑体" w:eastAsia="黑体" w:cs="黑体"/>
          <w:sz w:val="32"/>
          <w:szCs w:val="32"/>
        </w:rPr>
        <w:t xml:space="preserve"> </w:t>
      </w:r>
      <w:r>
        <w:rPr>
          <w:rFonts w:hint="eastAsia" w:ascii="黑体" w:hAnsi="黑体" w:eastAsia="黑体" w:cs="黑体"/>
          <w:sz w:val="32"/>
          <w:szCs w:val="32"/>
        </w:rPr>
        <w:t>四、文化产业</w:t>
      </w:r>
    </w:p>
    <w:p>
      <w:pPr>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rPr>
        <w:t>发展目标：</w:t>
      </w:r>
      <w:r>
        <w:rPr>
          <w:rFonts w:hint="eastAsia" w:ascii="仿宋" w:hAnsi="仿宋" w:eastAsia="仿宋" w:cs="仿宋"/>
          <w:sz w:val="32"/>
          <w:szCs w:val="32"/>
        </w:rPr>
        <w:t>依托“栈道之都、养生天堂”城市文化品牌，充分发挥资源的潜力和优势，主动融入蜀汉三国文化旅游线和成德绵广文化产业带建设，到</w:t>
      </w:r>
      <w:r>
        <w:rPr>
          <w:rFonts w:ascii="仿宋" w:hAnsi="仿宋" w:eastAsia="仿宋" w:cs="仿宋"/>
          <w:sz w:val="32"/>
          <w:szCs w:val="32"/>
        </w:rPr>
        <w:t>2020</w:t>
      </w:r>
      <w:r>
        <w:rPr>
          <w:rFonts w:hint="eastAsia" w:ascii="仿宋" w:hAnsi="仿宋" w:eastAsia="仿宋" w:cs="仿宋"/>
          <w:sz w:val="32"/>
          <w:szCs w:val="32"/>
        </w:rPr>
        <w:t>年，实现文化产业总收入过亿元大关。</w:t>
      </w:r>
    </w:p>
    <w:p>
      <w:pPr>
        <w:spacing w:line="600" w:lineRule="exact"/>
        <w:ind w:firstLine="642" w:firstLineChars="200"/>
        <w:rPr>
          <w:rFonts w:ascii="仿宋" w:hAnsi="仿宋" w:eastAsia="仿宋" w:cs="仿宋"/>
          <w:sz w:val="32"/>
          <w:szCs w:val="32"/>
        </w:rPr>
      </w:pPr>
      <w:r>
        <w:rPr>
          <w:rFonts w:hint="eastAsia" w:ascii="仿宋" w:hAnsi="仿宋" w:eastAsia="仿宋" w:cs="仿宋"/>
          <w:b/>
          <w:bCs/>
          <w:color w:val="000000"/>
          <w:sz w:val="32"/>
          <w:szCs w:val="32"/>
          <w:shd w:val="clear" w:color="auto" w:fill="FFFFFF"/>
        </w:rPr>
        <w:t>重点举措：</w:t>
      </w:r>
      <w:r>
        <w:rPr>
          <w:rFonts w:hint="eastAsia" w:ascii="楷体" w:hAnsi="楷体" w:eastAsia="楷体" w:cs="楷体"/>
          <w:bCs/>
          <w:sz w:val="32"/>
          <w:szCs w:val="32"/>
        </w:rPr>
        <w:t>加快推进文化产业园建设。</w:t>
      </w:r>
      <w:r>
        <w:rPr>
          <w:rFonts w:hint="eastAsia" w:ascii="仿宋" w:hAnsi="仿宋" w:eastAsia="仿宋" w:cs="仿宋"/>
          <w:sz w:val="32"/>
          <w:szCs w:val="32"/>
        </w:rPr>
        <w:t>打造一批具有朝天特色的文化产品，建成具有明显优势的“五大”文化产业园区和示范基地，形成特色鲜明、优势明显、重点突出、实力较强的文化产业发展格局，做实做强五大文化产业，成功打造内容丰富、链条完整、发展成熟、市场稳定、效益明显的产业园区。</w:t>
      </w:r>
    </w:p>
    <w:p>
      <w:pPr>
        <w:spacing w:line="600" w:lineRule="exact"/>
        <w:ind w:firstLine="640" w:firstLineChars="200"/>
        <w:rPr>
          <w:rFonts w:ascii="仿宋" w:hAnsi="仿宋" w:eastAsia="仿宋" w:cs="仿宋"/>
          <w:bCs/>
          <w:sz w:val="32"/>
          <w:szCs w:val="32"/>
        </w:rPr>
      </w:pPr>
      <w:r>
        <w:rPr>
          <w:rFonts w:hint="eastAsia" w:ascii="楷体" w:hAnsi="楷体" w:eastAsia="楷体" w:cs="楷体"/>
          <w:bCs/>
          <w:sz w:val="32"/>
          <w:szCs w:val="32"/>
        </w:rPr>
        <w:t>扎实推进文化产业主体培育。</w:t>
      </w:r>
      <w:r>
        <w:rPr>
          <w:rFonts w:hint="eastAsia" w:ascii="仿宋" w:hAnsi="仿宋" w:eastAsia="仿宋" w:cs="仿宋"/>
          <w:sz w:val="32"/>
          <w:szCs w:val="32"/>
        </w:rPr>
        <w:t>努力发展一批具有较强竞争力的骨干文化企业，</w:t>
      </w:r>
      <w:r>
        <w:rPr>
          <w:rFonts w:hint="eastAsia" w:ascii="仿宋" w:hAnsi="仿宋" w:eastAsia="仿宋" w:cs="仿宋"/>
          <w:bCs/>
          <w:sz w:val="32"/>
          <w:szCs w:val="32"/>
        </w:rPr>
        <w:t>大力支持小微文化企业和民营文化企业发展，以文化产业转型升级为突破口，推进文化融合和特色文化产业发展为重点，形成龙头企业与中小微企业良性互动发展格局。</w:t>
      </w:r>
    </w:p>
    <w:p>
      <w:pPr>
        <w:spacing w:line="600" w:lineRule="exact"/>
        <w:ind w:firstLine="640" w:firstLineChars="200"/>
        <w:rPr>
          <w:rFonts w:ascii="仿宋" w:hAnsi="仿宋" w:eastAsia="仿宋" w:cs="仿宋"/>
          <w:sz w:val="32"/>
          <w:szCs w:val="32"/>
        </w:rPr>
      </w:pPr>
      <w:r>
        <w:rPr>
          <w:rFonts w:hint="eastAsia" w:ascii="楷体" w:hAnsi="楷体" w:eastAsia="楷体" w:cs="楷体"/>
          <w:bCs/>
          <w:sz w:val="32"/>
          <w:szCs w:val="32"/>
        </w:rPr>
        <w:t>积极推进“文化</w:t>
      </w:r>
      <w:r>
        <w:rPr>
          <w:rFonts w:ascii="楷体" w:hAnsi="楷体" w:eastAsia="楷体" w:cs="楷体"/>
          <w:bCs/>
          <w:sz w:val="32"/>
          <w:szCs w:val="32"/>
        </w:rPr>
        <w:t>+</w:t>
      </w:r>
      <w:r>
        <w:rPr>
          <w:rFonts w:hint="eastAsia" w:ascii="楷体" w:hAnsi="楷体" w:eastAsia="楷体" w:cs="楷体"/>
          <w:bCs/>
          <w:sz w:val="32"/>
          <w:szCs w:val="32"/>
        </w:rPr>
        <w:t>”与“互联网</w:t>
      </w:r>
      <w:r>
        <w:rPr>
          <w:rFonts w:ascii="楷体" w:hAnsi="楷体" w:eastAsia="楷体" w:cs="楷体"/>
          <w:bCs/>
          <w:sz w:val="32"/>
          <w:szCs w:val="32"/>
        </w:rPr>
        <w:t>+</w:t>
      </w:r>
      <w:r>
        <w:rPr>
          <w:rFonts w:hint="eastAsia" w:ascii="楷体" w:hAnsi="楷体" w:eastAsia="楷体" w:cs="楷体"/>
          <w:bCs/>
          <w:sz w:val="32"/>
          <w:szCs w:val="32"/>
        </w:rPr>
        <w:t>”融合发展。</w:t>
      </w:r>
      <w:r>
        <w:rPr>
          <w:rFonts w:hint="eastAsia" w:ascii="仿宋" w:hAnsi="仿宋" w:eastAsia="仿宋" w:cs="仿宋"/>
          <w:bCs/>
          <w:sz w:val="32"/>
          <w:szCs w:val="32"/>
        </w:rPr>
        <w:t>加快特色文化创意产品线上平台、新媒体传播平台、新型文化业态孵化器等“互联网十文化”项目建设，积极推动文化与建筑、信息、制造、旅游、商贸、教育、体育、金融等相关产业的深度融合，延伸产业链条。强化创意设计理念，丰富文化元素，完善人居环境相关规划建设，提升城乡居民宜居水平。</w:t>
      </w:r>
    </w:p>
    <w:p>
      <w:pPr>
        <w:tabs>
          <w:tab w:val="left" w:pos="793"/>
        </w:tabs>
        <w:spacing w:line="600" w:lineRule="exact"/>
        <w:rPr>
          <w:rFonts w:ascii="仿宋" w:hAnsi="仿宋" w:eastAsia="仿宋" w:cs="仿宋"/>
          <w:sz w:val="32"/>
          <w:szCs w:val="32"/>
        </w:rPr>
      </w:pPr>
      <w:r>
        <w:rPr>
          <w:rFonts w:ascii="仿宋" w:hAnsi="仿宋" w:eastAsia="仿宋" w:cs="仿宋"/>
          <w:sz w:val="32"/>
          <w:szCs w:val="32"/>
        </w:rPr>
        <w:t xml:space="preserve">  </w:t>
      </w:r>
      <w:r>
        <w:rPr>
          <w:rFonts w:ascii="黑体" w:hAnsi="黑体" w:eastAsia="黑体" w:cs="黑体"/>
          <w:sz w:val="32"/>
          <w:szCs w:val="32"/>
        </w:rPr>
        <w:t xml:space="preserve">  </w:t>
      </w:r>
      <w:r>
        <w:rPr>
          <w:rFonts w:hint="eastAsia" w:ascii="黑体" w:hAnsi="黑体" w:eastAsia="黑体" w:cs="黑体"/>
          <w:sz w:val="32"/>
          <w:szCs w:val="32"/>
        </w:rPr>
        <w:t>五、现代会展业</w:t>
      </w:r>
    </w:p>
    <w:p>
      <w:pPr>
        <w:tabs>
          <w:tab w:val="left" w:pos="793"/>
        </w:tabs>
        <w:spacing w:line="600" w:lineRule="exac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b/>
          <w:bCs/>
          <w:sz w:val="32"/>
          <w:szCs w:val="32"/>
        </w:rPr>
        <w:t>发展目标</w:t>
      </w:r>
      <w:r>
        <w:rPr>
          <w:rFonts w:hint="eastAsia" w:ascii="仿宋" w:hAnsi="仿宋" w:eastAsia="仿宋" w:cs="仿宋"/>
          <w:sz w:val="32"/>
          <w:szCs w:val="32"/>
        </w:rPr>
        <w:t>：发挥川陕甘三省结合部地理优势和三国文化、蜀道文化资源优势，加快政府主导型展会市场化进程，不断提升会展活动品牌化程度，努力构建川陕甘三省结合部会展中心城市。</w:t>
      </w:r>
    </w:p>
    <w:p>
      <w:pPr>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shd w:val="clear" w:color="auto" w:fill="FFFFFF"/>
        </w:rPr>
        <w:t>重点举措：</w:t>
      </w:r>
      <w:r>
        <w:rPr>
          <w:rFonts w:hint="eastAsia" w:ascii="楷体" w:hAnsi="楷体" w:eastAsia="楷体" w:cs="楷体"/>
          <w:bCs/>
          <w:sz w:val="32"/>
          <w:szCs w:val="32"/>
        </w:rPr>
        <w:t>大力发展会展经济。</w:t>
      </w:r>
      <w:r>
        <w:rPr>
          <w:rFonts w:hint="eastAsia" w:ascii="仿宋" w:hAnsi="仿宋" w:eastAsia="仿宋" w:cs="仿宋"/>
          <w:sz w:val="32"/>
          <w:szCs w:val="32"/>
        </w:rPr>
        <w:t>结合经济结构调整方向，针对目前基础较好、具有较大发展潜力的活动，围绕休闲旅游、养生题材等做大核桃文化节、曾家山避暑节、曾家山冰雪节等引领市场发展的特色专业会展，围绕会展产业链和产业集群的形成，大力发展宾馆酒店、旅游票务、餐饮等会展服务，加强会展相关行业的分工合作，形成行业配套、协作紧密、运行高效的会展服务体系，提供高品质、高规格、多样化、个性化会展服务，推动现代服务业快速发展。</w:t>
      </w:r>
    </w:p>
    <w:p>
      <w:pPr>
        <w:spacing w:line="600" w:lineRule="exact"/>
        <w:ind w:firstLine="640" w:firstLineChars="200"/>
        <w:rPr>
          <w:rFonts w:ascii="仿宋" w:hAnsi="仿宋" w:eastAsia="仿宋" w:cs="仿宋"/>
          <w:sz w:val="32"/>
          <w:szCs w:val="32"/>
        </w:rPr>
      </w:pPr>
      <w:r>
        <w:rPr>
          <w:rFonts w:hint="eastAsia" w:ascii="楷体" w:hAnsi="楷体" w:eastAsia="楷体" w:cs="楷体"/>
          <w:bCs/>
          <w:sz w:val="32"/>
          <w:szCs w:val="32"/>
        </w:rPr>
        <w:t>鼓励企业“走出去”。</w:t>
      </w:r>
      <w:r>
        <w:rPr>
          <w:rFonts w:hint="eastAsia" w:ascii="仿宋" w:hAnsi="仿宋" w:eastAsia="仿宋" w:cs="仿宋"/>
          <w:sz w:val="32"/>
          <w:szCs w:val="32"/>
        </w:rPr>
        <w:t>深入贯彻落实中央“一带一路”战略，积极引导、鼓励、帮助、服务企业，为各类企业“走出去”创造有利条件，搭建重要平台，提供有力支持。充分发挥行业龙头企业、“走出去”先行企业的引领示范作用，鼓励企业以产业联盟、项目合作等形式抱团出海、共同发展，不断提升我区对外开放的层次和水平，以开放升级助推发展升级。</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六、农村服务业</w:t>
      </w:r>
      <w:r>
        <w:rPr>
          <w:rFonts w:ascii="黑体" w:hAnsi="黑体" w:eastAsia="黑体" w:cs="黑体"/>
          <w:sz w:val="32"/>
          <w:szCs w:val="32"/>
        </w:rPr>
        <w:tab/>
      </w:r>
    </w:p>
    <w:p>
      <w:pPr>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rPr>
        <w:t>发展目标：</w:t>
      </w:r>
      <w:r>
        <w:rPr>
          <w:rFonts w:hint="eastAsia" w:ascii="仿宋" w:hAnsi="仿宋" w:eastAsia="仿宋" w:cs="仿宋"/>
          <w:kern w:val="0"/>
          <w:sz w:val="32"/>
          <w:szCs w:val="32"/>
        </w:rPr>
        <w:t>围绕农业产业服务需求，采用“政府推动、市场牵动、龙头带动”的手段，</w:t>
      </w:r>
      <w:r>
        <w:rPr>
          <w:rFonts w:hint="eastAsia" w:ascii="仿宋" w:hAnsi="仿宋" w:eastAsia="仿宋" w:cs="仿宋"/>
          <w:color w:val="000000"/>
          <w:kern w:val="0"/>
          <w:sz w:val="32"/>
          <w:szCs w:val="32"/>
        </w:rPr>
        <w:t>建立“公司＋专合组织十农户”服务模式，</w:t>
      </w:r>
      <w:r>
        <w:rPr>
          <w:rFonts w:hint="eastAsia" w:ascii="仿宋" w:hAnsi="仿宋" w:eastAsia="仿宋" w:cs="仿宋"/>
          <w:sz w:val="32"/>
          <w:szCs w:val="32"/>
        </w:rPr>
        <w:t>强化利益联结机制，形成龙头企业、专合组织、农民的产销联系机制和盈余返还机制。鼓励重点龙头企业和农民示范专合组织主动参与现代农业园区、产业基地建设。</w:t>
      </w:r>
    </w:p>
    <w:p>
      <w:pPr>
        <w:pStyle w:val="8"/>
        <w:wordWrap w:val="0"/>
        <w:spacing w:before="0" w:beforeAutospacing="0" w:after="0" w:afterAutospacing="0" w:line="600" w:lineRule="exact"/>
        <w:ind w:firstLine="642"/>
        <w:rPr>
          <w:rFonts w:ascii="仿宋" w:hAnsi="仿宋" w:eastAsia="仿宋" w:cs="仿宋"/>
          <w:sz w:val="32"/>
          <w:szCs w:val="32"/>
        </w:rPr>
      </w:pPr>
      <w:r>
        <w:rPr>
          <w:rFonts w:hint="eastAsia" w:ascii="仿宋" w:hAnsi="仿宋" w:eastAsia="仿宋" w:cs="仿宋"/>
          <w:b/>
          <w:bCs/>
          <w:color w:val="000000"/>
          <w:sz w:val="32"/>
          <w:szCs w:val="32"/>
          <w:shd w:val="clear" w:color="auto" w:fill="FFFFFF"/>
        </w:rPr>
        <w:t>重点举措：</w:t>
      </w:r>
      <w:r>
        <w:rPr>
          <w:rFonts w:hint="eastAsia" w:ascii="楷体" w:hAnsi="楷体" w:eastAsia="楷体" w:cs="楷体"/>
          <w:bCs/>
          <w:kern w:val="2"/>
          <w:sz w:val="32"/>
          <w:szCs w:val="32"/>
        </w:rPr>
        <w:t>建立农产品现代流通体系。</w:t>
      </w:r>
      <w:r>
        <w:rPr>
          <w:rFonts w:hint="eastAsia" w:ascii="仿宋" w:hAnsi="仿宋" w:eastAsia="仿宋" w:cs="仿宋"/>
          <w:sz w:val="32"/>
          <w:szCs w:val="32"/>
        </w:rPr>
        <w:t>发展农村物流配送，构建农村现代流通网络；发挥“大学生村官”和“贫困村第一书记”的力量，发展农村电子商务；推动教育培训业向农村延伸，为农民提供劳动技能培训和劳动力转移服务。</w:t>
      </w:r>
    </w:p>
    <w:p>
      <w:pPr>
        <w:pStyle w:val="8"/>
        <w:wordWrap w:val="0"/>
        <w:spacing w:before="0" w:beforeAutospacing="0" w:after="0" w:afterAutospacing="0" w:line="600" w:lineRule="exact"/>
        <w:ind w:firstLine="642"/>
        <w:rPr>
          <w:rFonts w:ascii="仿宋" w:hAnsi="仿宋" w:eastAsia="仿宋" w:cs="仿宋"/>
          <w:sz w:val="32"/>
          <w:szCs w:val="32"/>
        </w:rPr>
      </w:pPr>
      <w:r>
        <w:rPr>
          <w:rFonts w:hint="eastAsia" w:ascii="楷体" w:hAnsi="楷体" w:eastAsia="楷体" w:cs="楷体"/>
          <w:sz w:val="32"/>
          <w:szCs w:val="32"/>
        </w:rPr>
        <w:t>加快农业社会化服务体系建设。</w:t>
      </w:r>
      <w:r>
        <w:rPr>
          <w:rFonts w:hint="eastAsia" w:ascii="仿宋" w:hAnsi="仿宋" w:eastAsia="仿宋" w:cs="仿宋"/>
          <w:sz w:val="32"/>
          <w:szCs w:val="32"/>
        </w:rPr>
        <w:t>大力发展中介服务，重点围绕水果、蔬菜、农机和特色种养殖业，采取农民自办、经济技术部门牵头办、农民与农业企业联办等多种方式，组建专业合作社、专业协会、科技服务组织等中介服务组织，给农户提供产前信息、产中技术、产后销售服务，进一步提高农民的组织化程度和市场主体作用；加大品牌农业工作力度。</w:t>
      </w:r>
    </w:p>
    <w:p>
      <w:pPr>
        <w:pStyle w:val="8"/>
        <w:wordWrap w:val="0"/>
        <w:spacing w:before="0" w:beforeAutospacing="0" w:after="0" w:afterAutospacing="0" w:line="600" w:lineRule="exact"/>
        <w:ind w:firstLine="642"/>
        <w:rPr>
          <w:rFonts w:ascii="仿宋" w:hAnsi="仿宋" w:eastAsia="仿宋" w:cs="仿宋"/>
          <w:sz w:val="32"/>
          <w:szCs w:val="32"/>
        </w:rPr>
      </w:pPr>
      <w:r>
        <w:rPr>
          <w:rFonts w:hint="eastAsia" w:ascii="楷体" w:hAnsi="楷体" w:eastAsia="楷体" w:cs="楷体"/>
          <w:sz w:val="32"/>
          <w:szCs w:val="32"/>
        </w:rPr>
        <w:t>加强农产品质量监管工作。</w:t>
      </w:r>
      <w:r>
        <w:rPr>
          <w:rFonts w:hint="eastAsia" w:ascii="仿宋" w:hAnsi="仿宋" w:eastAsia="仿宋" w:cs="仿宋"/>
          <w:sz w:val="32"/>
          <w:szCs w:val="32"/>
        </w:rPr>
        <w:t>积极开展种子统供、重大病虫害统防统治等生产性服务体系建设和农产品检测与认证、植物保护等农业技术支持体系建设，建立健全农资配送和农药可追溯管理体制，提升全市农产品质量安全水平。加强农产品会展工作，着力培育区域公用品牌，推进农产品认证工作再上新台阶。</w:t>
      </w:r>
    </w:p>
    <w:p>
      <w:pPr>
        <w:pStyle w:val="8"/>
        <w:wordWrap w:val="0"/>
        <w:spacing w:before="0" w:beforeAutospacing="0" w:after="0" w:afterAutospacing="0" w:line="600" w:lineRule="exact"/>
        <w:ind w:firstLine="642"/>
        <w:rPr>
          <w:rFonts w:ascii="仿宋" w:hAnsi="仿宋" w:eastAsia="仿宋" w:cs="仿宋"/>
          <w:sz w:val="32"/>
          <w:szCs w:val="32"/>
        </w:rPr>
      </w:pPr>
      <w:r>
        <w:rPr>
          <w:rFonts w:hint="eastAsia" w:ascii="楷体" w:hAnsi="楷体" w:eastAsia="楷体" w:cs="楷体"/>
          <w:sz w:val="32"/>
          <w:szCs w:val="32"/>
        </w:rPr>
        <w:t>积极发展农村休闲旅游。</w:t>
      </w:r>
      <w:r>
        <w:rPr>
          <w:rFonts w:hint="eastAsia" w:ascii="仿宋" w:hAnsi="仿宋" w:eastAsia="仿宋" w:cs="仿宋"/>
          <w:sz w:val="32"/>
          <w:szCs w:val="32"/>
        </w:rPr>
        <w:t>将农村旅游业作为农村服务的的重点，立足朝天实际，科学规划化，打造一批精品旅游线路、旅游景点。以区域农业优势打造休闲采摘观光带，以区域旅游资源带动农家乐集中区，以龙头企业为主投资发展多种模式休闲观光园区。</w:t>
      </w:r>
    </w:p>
    <w:p>
      <w:pPr>
        <w:tabs>
          <w:tab w:val="left" w:pos="793"/>
        </w:tabs>
        <w:spacing w:line="600" w:lineRule="exact"/>
        <w:jc w:val="center"/>
        <w:rPr>
          <w:rFonts w:ascii="仿宋" w:hAnsi="仿宋" w:eastAsia="仿宋" w:cs="仿宋"/>
          <w:sz w:val="32"/>
          <w:szCs w:val="32"/>
        </w:rPr>
      </w:pPr>
      <w:r>
        <w:rPr>
          <w:rFonts w:hint="eastAsia" w:ascii="仿宋" w:hAnsi="仿宋" w:eastAsia="仿宋" w:cs="仿宋"/>
          <w:b/>
          <w:bCs/>
          <w:sz w:val="32"/>
          <w:szCs w:val="32"/>
        </w:rPr>
        <w:t>第三节</w:t>
      </w:r>
      <w:r>
        <w:rPr>
          <w:rFonts w:ascii="仿宋" w:hAnsi="仿宋" w:eastAsia="仿宋" w:cs="仿宋"/>
          <w:b/>
          <w:bCs/>
          <w:sz w:val="32"/>
          <w:szCs w:val="32"/>
        </w:rPr>
        <w:t xml:space="preserve">  </w:t>
      </w:r>
      <w:r>
        <w:rPr>
          <w:rFonts w:hint="eastAsia" w:ascii="仿宋" w:hAnsi="仿宋" w:eastAsia="仿宋" w:cs="仿宋"/>
          <w:b/>
          <w:bCs/>
          <w:sz w:val="32"/>
          <w:szCs w:val="32"/>
        </w:rPr>
        <w:t>有序发展成长型服务业</w:t>
      </w:r>
    </w:p>
    <w:p>
      <w:pPr>
        <w:tabs>
          <w:tab w:val="left" w:pos="793"/>
        </w:tabs>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一、养老服务业</w:t>
      </w:r>
    </w:p>
    <w:p>
      <w:pPr>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rPr>
        <w:t>发展目标：</w:t>
      </w:r>
      <w:r>
        <w:rPr>
          <w:rFonts w:hint="eastAsia" w:ascii="仿宋" w:hAnsi="仿宋" w:eastAsia="仿宋" w:cs="仿宋"/>
          <w:sz w:val="32"/>
          <w:szCs w:val="32"/>
        </w:rPr>
        <w:t>完善养老服务政策，形成以居家养老为基础、社区服务为依托、机构养老服务为补充，逐步形成“</w:t>
      </w:r>
      <w:r>
        <w:rPr>
          <w:rFonts w:ascii="仿宋" w:hAnsi="仿宋" w:eastAsia="仿宋" w:cs="仿宋"/>
          <w:sz w:val="32"/>
          <w:szCs w:val="32"/>
        </w:rPr>
        <w:t>9073</w:t>
      </w:r>
      <w:r>
        <w:rPr>
          <w:rFonts w:hint="eastAsia" w:ascii="仿宋" w:hAnsi="仿宋" w:eastAsia="仿宋" w:cs="仿宋"/>
          <w:sz w:val="32"/>
          <w:szCs w:val="32"/>
        </w:rPr>
        <w:t>”的养老格局（</w:t>
      </w:r>
      <w:r>
        <w:rPr>
          <w:rFonts w:ascii="仿宋" w:hAnsi="仿宋" w:eastAsia="仿宋" w:cs="仿宋"/>
          <w:sz w:val="32"/>
          <w:szCs w:val="32"/>
        </w:rPr>
        <w:t>90%</w:t>
      </w:r>
      <w:r>
        <w:rPr>
          <w:rFonts w:hint="eastAsia" w:ascii="仿宋" w:hAnsi="仿宋" w:eastAsia="仿宋" w:cs="仿宋"/>
          <w:sz w:val="32"/>
          <w:szCs w:val="32"/>
        </w:rPr>
        <w:t>的老人居家养老，</w:t>
      </w:r>
      <w:r>
        <w:rPr>
          <w:rFonts w:ascii="仿宋" w:hAnsi="仿宋" w:eastAsia="仿宋" w:cs="仿宋"/>
          <w:sz w:val="32"/>
          <w:szCs w:val="32"/>
        </w:rPr>
        <w:t>7%</w:t>
      </w:r>
      <w:r>
        <w:rPr>
          <w:rFonts w:hint="eastAsia" w:ascii="仿宋" w:hAnsi="仿宋" w:eastAsia="仿宋" w:cs="仿宋"/>
          <w:sz w:val="32"/>
          <w:szCs w:val="32"/>
        </w:rPr>
        <w:t>在社区养老，</w:t>
      </w:r>
      <w:r>
        <w:rPr>
          <w:rFonts w:ascii="仿宋" w:hAnsi="仿宋" w:eastAsia="仿宋" w:cs="仿宋"/>
          <w:sz w:val="32"/>
          <w:szCs w:val="32"/>
        </w:rPr>
        <w:t>3%</w:t>
      </w:r>
      <w:r>
        <w:rPr>
          <w:rFonts w:hint="eastAsia" w:ascii="仿宋" w:hAnsi="仿宋" w:eastAsia="仿宋" w:cs="仿宋"/>
          <w:sz w:val="32"/>
          <w:szCs w:val="32"/>
        </w:rPr>
        <w:t>在机构养老）。鼓励企事业单位利用闲置资源面向基层社区兴建社会福利服务设施。到</w:t>
      </w:r>
      <w:r>
        <w:rPr>
          <w:rFonts w:ascii="仿宋" w:hAnsi="仿宋" w:eastAsia="仿宋" w:cs="仿宋"/>
          <w:sz w:val="32"/>
          <w:szCs w:val="32"/>
        </w:rPr>
        <w:t>2020</w:t>
      </w:r>
      <w:r>
        <w:rPr>
          <w:rFonts w:hint="eastAsia" w:ascii="仿宋" w:hAnsi="仿宋" w:eastAsia="仿宋" w:cs="仿宋"/>
          <w:sz w:val="32"/>
          <w:szCs w:val="32"/>
        </w:rPr>
        <w:t>年末，实现机构养老床位总数翻一番，每千名户籍老人拥有机构养老床位</w:t>
      </w:r>
      <w:r>
        <w:rPr>
          <w:rFonts w:ascii="仿宋" w:hAnsi="仿宋" w:eastAsia="仿宋" w:cs="仿宋"/>
          <w:sz w:val="32"/>
          <w:szCs w:val="32"/>
        </w:rPr>
        <w:t>35</w:t>
      </w:r>
      <w:r>
        <w:rPr>
          <w:rFonts w:hint="eastAsia" w:ascii="仿宋" w:hAnsi="仿宋" w:eastAsia="仿宋" w:cs="仿宋"/>
          <w:sz w:val="32"/>
          <w:szCs w:val="32"/>
        </w:rPr>
        <w:t>张，基本形成结构优化、功能多样、布局合理、长期供养和短期入住相结合的养老服务网络。</w:t>
      </w:r>
    </w:p>
    <w:p>
      <w:pPr>
        <w:pStyle w:val="8"/>
        <w:spacing w:before="0" w:beforeAutospacing="0" w:after="0" w:afterAutospacing="0" w:line="600" w:lineRule="exact"/>
        <w:ind w:firstLine="640"/>
        <w:rPr>
          <w:rFonts w:ascii="仿宋" w:hAnsi="仿宋" w:eastAsia="仿宋" w:cs="仿宋"/>
          <w:kern w:val="2"/>
          <w:sz w:val="32"/>
          <w:szCs w:val="32"/>
        </w:rPr>
      </w:pPr>
      <w:r>
        <w:rPr>
          <w:rFonts w:hint="eastAsia" w:ascii="仿宋" w:hAnsi="仿宋" w:eastAsia="仿宋" w:cs="仿宋"/>
          <w:b/>
          <w:bCs/>
          <w:sz w:val="32"/>
          <w:szCs w:val="32"/>
        </w:rPr>
        <w:t>重点举措：</w:t>
      </w:r>
      <w:r>
        <w:rPr>
          <w:rFonts w:hint="eastAsia" w:ascii="楷体" w:hAnsi="楷体" w:eastAsia="楷体" w:cs="楷体"/>
          <w:kern w:val="2"/>
          <w:sz w:val="32"/>
          <w:szCs w:val="32"/>
        </w:rPr>
        <w:t>提升养老服务能力。</w:t>
      </w:r>
      <w:r>
        <w:rPr>
          <w:rFonts w:hint="eastAsia" w:ascii="仿宋" w:hAnsi="仿宋" w:eastAsia="仿宋" w:cs="仿宋"/>
          <w:kern w:val="2"/>
          <w:sz w:val="32"/>
          <w:szCs w:val="32"/>
        </w:rPr>
        <w:t>建立以企业和机构为主体、社区为纽带，满足各类老年人需求的居家养老服务网络。引入社会组织、家政、餐饮等企业，兴办或运营虚拟养老院、社区托老所、老年助餐点、日间照料中心、老年活动中心，为老年人提供价格合理的多样化产品和服务。</w:t>
      </w:r>
    </w:p>
    <w:p>
      <w:pPr>
        <w:pStyle w:val="8"/>
        <w:spacing w:before="0" w:beforeAutospacing="0" w:after="0" w:afterAutospacing="0" w:line="600" w:lineRule="exact"/>
        <w:ind w:firstLine="640"/>
        <w:rPr>
          <w:rFonts w:ascii="仿宋" w:hAnsi="仿宋" w:eastAsia="仿宋" w:cs="仿宋"/>
          <w:kern w:val="2"/>
          <w:sz w:val="32"/>
          <w:szCs w:val="32"/>
        </w:rPr>
      </w:pPr>
      <w:r>
        <w:rPr>
          <w:rFonts w:hint="eastAsia" w:ascii="楷体" w:hAnsi="楷体" w:eastAsia="楷体" w:cs="楷体"/>
          <w:kern w:val="2"/>
          <w:sz w:val="32"/>
          <w:szCs w:val="32"/>
        </w:rPr>
        <w:t>加快农村养老服务业发展。</w:t>
      </w:r>
      <w:r>
        <w:rPr>
          <w:rFonts w:hint="eastAsia" w:ascii="仿宋" w:hAnsi="仿宋" w:eastAsia="仿宋" w:cs="仿宋"/>
          <w:kern w:val="2"/>
          <w:sz w:val="32"/>
          <w:szCs w:val="32"/>
        </w:rPr>
        <w:t>按照城乡一体化要求，统筹推进农村养老服务业发展。充分利用农村闲置的学校、村“两委”用房、医院用房以及民房等资源，按照村办养老院、家办托老所等形式，推进农村“老年日间照料中心”、城市社区日间照料幸福工程建设。</w:t>
      </w:r>
    </w:p>
    <w:p>
      <w:pPr>
        <w:pStyle w:val="8"/>
        <w:spacing w:before="0" w:beforeAutospacing="0" w:after="0" w:afterAutospacing="0" w:line="600" w:lineRule="exact"/>
        <w:ind w:firstLine="640"/>
        <w:rPr>
          <w:rFonts w:ascii="仿宋" w:hAnsi="仿宋" w:eastAsia="仿宋" w:cs="仿宋"/>
          <w:kern w:val="2"/>
          <w:sz w:val="32"/>
          <w:szCs w:val="32"/>
        </w:rPr>
      </w:pPr>
      <w:r>
        <w:rPr>
          <w:rFonts w:hint="eastAsia" w:ascii="楷体" w:hAnsi="楷体" w:eastAsia="楷体" w:cs="楷体"/>
          <w:kern w:val="2"/>
          <w:sz w:val="32"/>
          <w:szCs w:val="32"/>
        </w:rPr>
        <w:t>发展养老新业态。</w:t>
      </w:r>
      <w:r>
        <w:rPr>
          <w:rFonts w:hint="eastAsia" w:ascii="仿宋" w:hAnsi="仿宋" w:eastAsia="仿宋" w:cs="仿宋"/>
          <w:kern w:val="2"/>
          <w:sz w:val="32"/>
          <w:szCs w:val="32"/>
        </w:rPr>
        <w:t>大力推进医疗</w:t>
      </w:r>
      <w:r>
        <w:rPr>
          <w:rFonts w:ascii="仿宋" w:hAnsi="仿宋" w:eastAsia="仿宋" w:cs="仿宋"/>
          <w:kern w:val="2"/>
          <w:sz w:val="32"/>
          <w:szCs w:val="32"/>
        </w:rPr>
        <w:t>+</w:t>
      </w:r>
      <w:r>
        <w:rPr>
          <w:rFonts w:hint="eastAsia" w:ascii="仿宋" w:hAnsi="仿宋" w:eastAsia="仿宋" w:cs="仿宋"/>
          <w:kern w:val="2"/>
          <w:sz w:val="32"/>
          <w:szCs w:val="32"/>
        </w:rPr>
        <w:t>保健</w:t>
      </w:r>
      <w:r>
        <w:rPr>
          <w:rFonts w:ascii="仿宋" w:hAnsi="仿宋" w:eastAsia="仿宋" w:cs="仿宋"/>
          <w:kern w:val="2"/>
          <w:sz w:val="32"/>
          <w:szCs w:val="32"/>
        </w:rPr>
        <w:t>+</w:t>
      </w:r>
      <w:r>
        <w:rPr>
          <w:rFonts w:hint="eastAsia" w:ascii="仿宋" w:hAnsi="仿宋" w:eastAsia="仿宋" w:cs="仿宋"/>
          <w:kern w:val="2"/>
          <w:sz w:val="32"/>
          <w:szCs w:val="32"/>
        </w:rPr>
        <w:t>养老产业模式，构建医疗护理、康复、健康管理、养生、餐饮服务链，发展宜居健康养老产业。</w:t>
      </w:r>
    </w:p>
    <w:p>
      <w:pPr>
        <w:pStyle w:val="8"/>
        <w:spacing w:before="0" w:beforeAutospacing="0" w:after="0" w:afterAutospacing="0" w:line="600" w:lineRule="exact"/>
        <w:ind w:firstLine="640"/>
        <w:rPr>
          <w:rFonts w:ascii="仿宋" w:hAnsi="仿宋" w:eastAsia="仿宋" w:cs="仿宋"/>
          <w:kern w:val="2"/>
          <w:sz w:val="32"/>
          <w:szCs w:val="32"/>
        </w:rPr>
      </w:pPr>
      <w:r>
        <w:rPr>
          <w:rFonts w:hint="eastAsia" w:ascii="楷体" w:hAnsi="楷体" w:eastAsia="楷体" w:cs="楷体"/>
          <w:kern w:val="2"/>
          <w:sz w:val="32"/>
          <w:szCs w:val="32"/>
        </w:rPr>
        <w:t>提高信息化水平。</w:t>
      </w:r>
      <w:r>
        <w:rPr>
          <w:rFonts w:hint="eastAsia" w:ascii="仿宋" w:hAnsi="仿宋" w:eastAsia="仿宋" w:cs="仿宋"/>
          <w:kern w:val="2"/>
          <w:sz w:val="32"/>
          <w:szCs w:val="32"/>
        </w:rPr>
        <w:t>充分利用信息手段和互联网技术，整合人口管理系统等信息资源，建立老年人基础数据库和养老服务需求评估系统，打造养老服务信息平台。</w:t>
      </w:r>
    </w:p>
    <w:p>
      <w:pPr>
        <w:pStyle w:val="8"/>
        <w:spacing w:before="0" w:beforeAutospacing="0" w:after="0" w:afterAutospacing="0" w:line="600" w:lineRule="exact"/>
        <w:ind w:firstLine="640"/>
        <w:rPr>
          <w:rFonts w:ascii="仿宋" w:hAnsi="仿宋" w:eastAsia="仿宋" w:cs="仿宋"/>
          <w:sz w:val="32"/>
          <w:szCs w:val="32"/>
        </w:rPr>
      </w:pPr>
      <w:r>
        <w:rPr>
          <w:rFonts w:hint="eastAsia" w:ascii="楷体" w:hAnsi="楷体" w:eastAsia="楷体" w:cs="楷体"/>
          <w:kern w:val="2"/>
          <w:sz w:val="32"/>
          <w:szCs w:val="32"/>
        </w:rPr>
        <w:t>促进产业集聚发展。</w:t>
      </w:r>
      <w:r>
        <w:rPr>
          <w:rFonts w:hint="eastAsia" w:ascii="仿宋" w:hAnsi="仿宋" w:eastAsia="仿宋" w:cs="仿宋"/>
          <w:kern w:val="2"/>
          <w:sz w:val="32"/>
          <w:szCs w:val="32"/>
        </w:rPr>
        <w:t>培育主业突出、服务功能完善的养老服务企业，扶持具有一定规模和品牌的企业采用连锁经营方式建设县（区）和乡镇（街道）老年服务中心。</w:t>
      </w:r>
    </w:p>
    <w:p>
      <w:pPr>
        <w:tabs>
          <w:tab w:val="left" w:pos="793"/>
        </w:tabs>
        <w:spacing w:line="6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二、教育与培训服务业</w:t>
      </w:r>
    </w:p>
    <w:p>
      <w:pPr>
        <w:spacing w:line="600" w:lineRule="exact"/>
        <w:rPr>
          <w:rFonts w:ascii="仿宋" w:hAnsi="仿宋" w:eastAsia="仿宋" w:cs="仿宋"/>
          <w:bCs/>
          <w:sz w:val="32"/>
          <w:szCs w:val="32"/>
        </w:rPr>
      </w:pPr>
      <w:r>
        <w:rPr>
          <w:rFonts w:ascii="仿宋" w:hAnsi="仿宋" w:eastAsia="仿宋" w:cs="仿宋"/>
          <w:sz w:val="32"/>
          <w:szCs w:val="32"/>
        </w:rPr>
        <w:t xml:space="preserve">   </w:t>
      </w:r>
      <w:r>
        <w:rPr>
          <w:rFonts w:ascii="仿宋" w:hAnsi="仿宋" w:eastAsia="仿宋" w:cs="仿宋"/>
          <w:b/>
          <w:bCs/>
          <w:sz w:val="32"/>
          <w:szCs w:val="32"/>
        </w:rPr>
        <w:t xml:space="preserve"> </w:t>
      </w:r>
      <w:r>
        <w:rPr>
          <w:rFonts w:hint="eastAsia" w:ascii="仿宋" w:hAnsi="仿宋" w:eastAsia="仿宋" w:cs="仿宋"/>
          <w:b/>
          <w:bCs/>
          <w:sz w:val="32"/>
          <w:szCs w:val="32"/>
        </w:rPr>
        <w:t>发展目标：</w:t>
      </w:r>
      <w:r>
        <w:rPr>
          <w:rFonts w:hint="eastAsia" w:ascii="仿宋" w:hAnsi="仿宋" w:eastAsia="仿宋" w:cs="仿宋"/>
          <w:bCs/>
          <w:sz w:val="32"/>
          <w:szCs w:val="32"/>
        </w:rPr>
        <w:t>全面实施素质教育，统筹城乡教育发展，充分发挥教育在全区经济、文化发展中的全局性、基础性、先导性功能，充分发挥职业教育资源，创新模式与方法，扩大职教规模，提升教育质量，打造以“电子商务、康养、旅游、护理、家政服务、建筑”等为重点的职教品牌。</w:t>
      </w:r>
    </w:p>
    <w:p>
      <w:pPr>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rPr>
        <w:t>重点举措：</w:t>
      </w:r>
      <w:r>
        <w:rPr>
          <w:rFonts w:hint="eastAsia" w:ascii="楷体" w:hAnsi="楷体" w:eastAsia="楷体" w:cs="楷体"/>
          <w:bCs/>
          <w:sz w:val="32"/>
          <w:szCs w:val="32"/>
        </w:rPr>
        <w:t>全面提升教育基础设施水平。</w:t>
      </w:r>
      <w:r>
        <w:rPr>
          <w:rFonts w:hint="eastAsia" w:ascii="仿宋" w:hAnsi="仿宋" w:eastAsia="仿宋" w:cs="仿宋"/>
          <w:sz w:val="32"/>
          <w:szCs w:val="32"/>
        </w:rPr>
        <w:t>统筹整合全面改善义务教育薄弱学校办学条件规划项目、农村中小学校舍维修改造工程、边远山区教师周转宿舍建设、秦巴山区精准扶贫项目等专项规划，结合朝天区义务教育均衡发展和义务教育学校标准化建设。积极推动引进民间资本，推动教育产业深度发展。</w:t>
      </w:r>
    </w:p>
    <w:p>
      <w:pPr>
        <w:spacing w:line="600" w:lineRule="exact"/>
        <w:rPr>
          <w:rFonts w:ascii="仿宋" w:hAnsi="仿宋" w:eastAsia="仿宋" w:cs="仿宋"/>
          <w:sz w:val="32"/>
          <w:szCs w:val="32"/>
        </w:rPr>
      </w:pPr>
      <w:r>
        <w:rPr>
          <w:rFonts w:ascii="仿宋" w:hAnsi="仿宋" w:eastAsia="仿宋" w:cs="仿宋"/>
          <w:sz w:val="32"/>
          <w:szCs w:val="32"/>
        </w:rPr>
        <w:t xml:space="preserve">    </w:t>
      </w:r>
      <w:r>
        <w:rPr>
          <w:rFonts w:hint="eastAsia" w:ascii="楷体" w:hAnsi="楷体" w:eastAsia="楷体" w:cs="楷体"/>
          <w:sz w:val="32"/>
          <w:szCs w:val="32"/>
        </w:rPr>
        <w:t>大力发展职业培训。</w:t>
      </w:r>
      <w:r>
        <w:rPr>
          <w:rFonts w:hint="eastAsia" w:ascii="仿宋" w:hAnsi="仿宋" w:eastAsia="仿宋" w:cs="仿宋"/>
          <w:sz w:val="32"/>
          <w:szCs w:val="32"/>
        </w:rPr>
        <w:t>建立覆盖对象广泛、培训形式多样、管理运作规范、保障措施健全的职业培训机制。发挥社会各类培训资源作用，加快培养高素质技能劳动者。大力开展电子商务、优质家政服务、护理等职业培训，社区健康、文化艺术等生活培训。依托政府、企业，完善公共实训基地建设与管理机制，完善政府购买社会培训成果机制。</w:t>
      </w:r>
    </w:p>
    <w:p>
      <w:pPr>
        <w:spacing w:line="600" w:lineRule="exact"/>
        <w:rPr>
          <w:rFonts w:ascii="仿宋" w:hAnsi="仿宋" w:eastAsia="仿宋" w:cs="仿宋"/>
          <w:bCs/>
          <w:sz w:val="32"/>
          <w:szCs w:val="32"/>
        </w:rPr>
      </w:pPr>
      <w:r>
        <w:rPr>
          <w:rFonts w:ascii="仿宋" w:hAnsi="仿宋" w:eastAsia="仿宋" w:cs="仿宋"/>
          <w:sz w:val="32"/>
          <w:szCs w:val="32"/>
        </w:rPr>
        <w:t xml:space="preserve">    </w:t>
      </w:r>
      <w:r>
        <w:rPr>
          <w:rFonts w:hint="eastAsia" w:ascii="楷体" w:hAnsi="楷体" w:eastAsia="楷体" w:cs="楷体"/>
          <w:sz w:val="32"/>
          <w:szCs w:val="32"/>
        </w:rPr>
        <w:t>完善发展继续教育。</w:t>
      </w:r>
      <w:r>
        <w:rPr>
          <w:rFonts w:hint="eastAsia" w:ascii="仿宋" w:hAnsi="仿宋" w:eastAsia="仿宋" w:cs="仿宋"/>
          <w:sz w:val="32"/>
          <w:szCs w:val="32"/>
        </w:rPr>
        <w:t>完善居民终身学习公共服务机构建设，搭建开放式终身教育网络学习和服务平台。有效整合各类学习资源，推动学校教育资源和社会教育资源双向开放，构建学历和非学历并举、职前职后贯通的继续教育体系。</w:t>
      </w:r>
    </w:p>
    <w:p>
      <w:pPr>
        <w:tabs>
          <w:tab w:val="left" w:pos="793"/>
        </w:tabs>
        <w:spacing w:line="6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三、体育服务业</w:t>
      </w:r>
    </w:p>
    <w:p>
      <w:pPr>
        <w:autoSpaceDE w:val="0"/>
        <w:autoSpaceDN w:val="0"/>
        <w:adjustRightInd w:val="0"/>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rPr>
        <w:t>发展目标</w:t>
      </w:r>
      <w:r>
        <w:rPr>
          <w:rFonts w:hint="eastAsia" w:ascii="仿宋" w:hAnsi="仿宋" w:eastAsia="仿宋" w:cs="仿宋"/>
          <w:sz w:val="32"/>
          <w:szCs w:val="32"/>
        </w:rPr>
        <w:t>：</w:t>
      </w:r>
      <w:r>
        <w:rPr>
          <w:rFonts w:hint="eastAsia" w:ascii="仿宋" w:hAnsi="仿宋" w:eastAsia="仿宋" w:cs="仿宋"/>
          <w:kern w:val="0"/>
          <w:sz w:val="32"/>
          <w:szCs w:val="32"/>
          <w:lang w:val="zh-CN"/>
        </w:rPr>
        <w:t>以大力实施全民健身战略，不断满足广大群众体育文化生活的需求为出发点，积极培育体育消费市场和体育市场主体，基本形成包括健身休闲、竞赛表演、体育培训、体育会展、体育传媒、体育场馆综合利用、体育旅游、体育服务等在内的体育产业体系，加快体育产业人才队伍建设，延伸体育产业链，支持优势骨干项目发展，创造特色体育产业品牌。</w:t>
      </w:r>
    </w:p>
    <w:p>
      <w:pPr>
        <w:tabs>
          <w:tab w:val="left" w:pos="793"/>
        </w:tabs>
        <w:spacing w:line="600" w:lineRule="exact"/>
        <w:ind w:firstLine="640"/>
        <w:rPr>
          <w:rFonts w:ascii="仿宋" w:hAnsi="仿宋" w:eastAsia="仿宋" w:cs="仿宋"/>
          <w:kern w:val="0"/>
          <w:sz w:val="32"/>
          <w:szCs w:val="32"/>
          <w:lang w:val="zh-CN"/>
        </w:rPr>
      </w:pPr>
      <w:r>
        <w:rPr>
          <w:rFonts w:hint="eastAsia" w:ascii="仿宋" w:hAnsi="仿宋" w:eastAsia="仿宋" w:cs="仿宋"/>
          <w:b/>
          <w:bCs/>
          <w:sz w:val="32"/>
          <w:szCs w:val="32"/>
        </w:rPr>
        <w:t>重点举措：</w:t>
      </w:r>
      <w:r>
        <w:rPr>
          <w:rFonts w:hint="eastAsia" w:ascii="楷体" w:hAnsi="楷体" w:eastAsia="楷体" w:cs="楷体"/>
          <w:kern w:val="0"/>
          <w:sz w:val="32"/>
          <w:szCs w:val="32"/>
          <w:lang w:val="zh-CN"/>
        </w:rPr>
        <w:t>抓好体育基础设施建设和对外开放。</w:t>
      </w:r>
      <w:r>
        <w:rPr>
          <w:rFonts w:hint="eastAsia" w:ascii="仿宋" w:hAnsi="仿宋" w:eastAsia="仿宋" w:cs="仿宋"/>
          <w:kern w:val="0"/>
          <w:sz w:val="32"/>
          <w:szCs w:val="32"/>
          <w:lang w:val="zh-CN"/>
        </w:rPr>
        <w:t>加大财政投入力度，引入社会资本投资建设体育场馆和健身设施。完善公共体育服务体系，促进公共体育设施免费或低收费向社会开放，推动学校体育场馆对外开放。鼓励体育场馆、体育组织等面向社会提供服务。对社会经营性体育设施实行规范有序开放。</w:t>
      </w:r>
    </w:p>
    <w:p>
      <w:pPr>
        <w:tabs>
          <w:tab w:val="left" w:pos="793"/>
        </w:tabs>
        <w:spacing w:line="600" w:lineRule="exact"/>
        <w:ind w:firstLine="640"/>
        <w:rPr>
          <w:rFonts w:ascii="仿宋" w:hAnsi="仿宋" w:eastAsia="仿宋" w:cs="仿宋"/>
          <w:bCs/>
          <w:sz w:val="32"/>
          <w:szCs w:val="32"/>
        </w:rPr>
      </w:pPr>
      <w:r>
        <w:rPr>
          <w:rFonts w:hint="eastAsia" w:ascii="楷体" w:hAnsi="楷体" w:eastAsia="楷体" w:cs="楷体"/>
          <w:kern w:val="0"/>
          <w:sz w:val="32"/>
          <w:szCs w:val="32"/>
          <w:lang w:val="zh-CN"/>
        </w:rPr>
        <w:t>大力发展体育旅游业。</w:t>
      </w:r>
      <w:r>
        <w:rPr>
          <w:rFonts w:hint="eastAsia" w:ascii="仿宋" w:hAnsi="仿宋" w:eastAsia="仿宋" w:cs="仿宋"/>
          <w:kern w:val="0"/>
          <w:sz w:val="32"/>
          <w:szCs w:val="32"/>
          <w:lang w:val="zh-CN"/>
        </w:rPr>
        <w:t>依托丰富的山水资源和旅游资源，发展体育旅游新业态，打造攀岩、徒步、探险，山地自行车，滑雪等特色户外运动项目，加快推进体旅深度融合，增强旅游的趣味性和参与性，扩大城市影响力。</w:t>
      </w:r>
    </w:p>
    <w:p>
      <w:pPr>
        <w:spacing w:line="600" w:lineRule="exact"/>
        <w:rPr>
          <w:rFonts w:ascii="仿宋" w:hAnsi="仿宋" w:eastAsia="仿宋" w:cs="仿宋"/>
          <w:sz w:val="32"/>
          <w:szCs w:val="32"/>
        </w:rPr>
      </w:pPr>
      <w:r>
        <w:rPr>
          <w:rFonts w:ascii="仿宋" w:hAnsi="仿宋" w:eastAsia="仿宋" w:cs="仿宋"/>
          <w:sz w:val="32"/>
          <w:szCs w:val="32"/>
        </w:rPr>
        <w:t xml:space="preserve">    </w:t>
      </w:r>
      <w:r>
        <w:rPr>
          <w:rFonts w:hint="eastAsia" w:ascii="黑体" w:hAnsi="黑体" w:eastAsia="黑体" w:cs="黑体"/>
          <w:sz w:val="32"/>
          <w:szCs w:val="32"/>
        </w:rPr>
        <w:t>四、餐饮服务业</w:t>
      </w:r>
    </w:p>
    <w:p>
      <w:pPr>
        <w:spacing w:line="600" w:lineRule="exact"/>
        <w:ind w:firstLine="642" w:firstLineChars="200"/>
        <w:rPr>
          <w:rFonts w:ascii="仿宋" w:hAnsi="仿宋" w:eastAsia="仿宋" w:cs="仿宋"/>
          <w:sz w:val="32"/>
          <w:szCs w:val="32"/>
        </w:rPr>
      </w:pPr>
      <w:r>
        <w:rPr>
          <w:rFonts w:hint="eastAsia" w:ascii="仿宋" w:hAnsi="仿宋" w:eastAsia="仿宋" w:cs="仿宋"/>
          <w:b/>
          <w:color w:val="000000"/>
          <w:sz w:val="32"/>
          <w:szCs w:val="32"/>
          <w:shd w:val="clear" w:color="auto" w:fill="FFFFFF"/>
        </w:rPr>
        <w:t>发展目标：</w:t>
      </w:r>
      <w:r>
        <w:rPr>
          <w:rFonts w:hint="eastAsia" w:ascii="仿宋" w:hAnsi="仿宋" w:eastAsia="仿宋" w:cs="仿宋"/>
          <w:sz w:val="32"/>
          <w:szCs w:val="32"/>
        </w:rPr>
        <w:t>大力发展特色餐饮业，打造“曾家山菜系”餐饮品牌，提升“曾家山菜系”特色餐饮店的规模和档次。到</w:t>
      </w:r>
      <w:r>
        <w:rPr>
          <w:rFonts w:ascii="仿宋" w:hAnsi="仿宋" w:eastAsia="仿宋" w:cs="仿宋"/>
          <w:sz w:val="32"/>
          <w:szCs w:val="32"/>
        </w:rPr>
        <w:t>2020</w:t>
      </w:r>
      <w:r>
        <w:rPr>
          <w:rFonts w:hint="eastAsia" w:ascii="仿宋" w:hAnsi="仿宋" w:eastAsia="仿宋" w:cs="仿宋"/>
          <w:sz w:val="32"/>
          <w:szCs w:val="32"/>
        </w:rPr>
        <w:t>年，餐饮业实现营业收入</w:t>
      </w:r>
      <w:r>
        <w:rPr>
          <w:rFonts w:ascii="仿宋" w:hAnsi="仿宋" w:eastAsia="仿宋" w:cs="仿宋"/>
          <w:sz w:val="32"/>
          <w:szCs w:val="32"/>
        </w:rPr>
        <w:t>4</w:t>
      </w:r>
      <w:r>
        <w:rPr>
          <w:rFonts w:hint="eastAsia" w:ascii="仿宋" w:hAnsi="仿宋" w:eastAsia="仿宋" w:cs="仿宋"/>
          <w:sz w:val="32"/>
          <w:szCs w:val="32"/>
        </w:rPr>
        <w:t>亿元</w:t>
      </w:r>
      <w:r>
        <w:rPr>
          <w:rFonts w:ascii="仿宋" w:hAnsi="仿宋" w:eastAsia="仿宋" w:cs="仿宋"/>
          <w:sz w:val="32"/>
          <w:szCs w:val="32"/>
        </w:rPr>
        <w:t>,</w:t>
      </w:r>
      <w:r>
        <w:rPr>
          <w:rFonts w:hint="eastAsia" w:ascii="仿宋" w:hAnsi="仿宋" w:eastAsia="仿宋" w:cs="仿宋"/>
          <w:sz w:val="32"/>
          <w:szCs w:val="32"/>
        </w:rPr>
        <w:t>占全社会消费</w:t>
      </w:r>
      <w:r>
        <w:rPr>
          <w:rFonts w:ascii="仿宋" w:hAnsi="仿宋" w:eastAsia="仿宋" w:cs="仿宋"/>
          <w:sz w:val="32"/>
          <w:szCs w:val="32"/>
        </w:rPr>
        <w:t>19%</w:t>
      </w:r>
      <w:r>
        <w:rPr>
          <w:rFonts w:hint="eastAsia" w:ascii="仿宋" w:hAnsi="仿宋" w:eastAsia="仿宋" w:cs="仿宋"/>
          <w:sz w:val="32"/>
          <w:szCs w:val="32"/>
        </w:rPr>
        <w:t>。</w:t>
      </w:r>
    </w:p>
    <w:p>
      <w:pPr>
        <w:spacing w:line="600" w:lineRule="exact"/>
        <w:ind w:firstLine="642" w:firstLineChars="200"/>
        <w:rPr>
          <w:rFonts w:ascii="仿宋" w:hAnsi="仿宋" w:eastAsia="仿宋" w:cs="仿宋"/>
          <w:sz w:val="32"/>
          <w:szCs w:val="32"/>
        </w:rPr>
      </w:pPr>
      <w:r>
        <w:rPr>
          <w:rFonts w:hint="eastAsia" w:ascii="仿宋" w:hAnsi="仿宋" w:eastAsia="仿宋" w:cs="仿宋"/>
          <w:b/>
          <w:color w:val="000000"/>
          <w:sz w:val="32"/>
          <w:szCs w:val="32"/>
          <w:shd w:val="clear" w:color="auto" w:fill="FFFFFF"/>
        </w:rPr>
        <w:t>重点举措：</w:t>
      </w:r>
      <w:r>
        <w:rPr>
          <w:rFonts w:hint="eastAsia" w:ascii="楷体" w:hAnsi="楷体" w:eastAsia="楷体" w:cs="楷体"/>
          <w:sz w:val="32"/>
          <w:szCs w:val="32"/>
        </w:rPr>
        <w:t>发展“曾家山菜系”餐饮品牌。</w:t>
      </w:r>
      <w:r>
        <w:rPr>
          <w:rFonts w:hint="eastAsia" w:ascii="仿宋" w:hAnsi="仿宋" w:eastAsia="仿宋" w:cs="仿宋"/>
          <w:sz w:val="32"/>
          <w:szCs w:val="32"/>
        </w:rPr>
        <w:t>弘扬曾家山菜文化，加大宣传、推介力度，提升品牌效应。进一步提高余师傅饭店、王家绣院酒店等“曾家山菜系”特色餐饮店规模和档次，加大花色品种开发力度，满足不同层次、不同口味消费者需求。</w:t>
      </w:r>
      <w:r>
        <w:rPr>
          <w:rFonts w:ascii="仿宋" w:hAnsi="仿宋" w:eastAsia="仿宋" w:cs="仿宋"/>
          <w:sz w:val="32"/>
          <w:szCs w:val="32"/>
        </w:rPr>
        <w:t xml:space="preserve">   </w:t>
      </w:r>
    </w:p>
    <w:p>
      <w:pPr>
        <w:spacing w:line="600" w:lineRule="exact"/>
        <w:ind w:firstLine="640" w:firstLineChars="200"/>
        <w:rPr>
          <w:rFonts w:ascii="仿宋" w:hAnsi="仿宋" w:eastAsia="仿宋" w:cs="仿宋"/>
          <w:sz w:val="32"/>
          <w:szCs w:val="32"/>
        </w:rPr>
      </w:pPr>
      <w:r>
        <w:rPr>
          <w:rFonts w:hint="eastAsia" w:ascii="楷体" w:hAnsi="楷体" w:eastAsia="楷体" w:cs="楷体"/>
          <w:sz w:val="32"/>
          <w:szCs w:val="32"/>
        </w:rPr>
        <w:t>加强重点培育。</w:t>
      </w:r>
      <w:r>
        <w:rPr>
          <w:rFonts w:hint="eastAsia" w:ascii="仿宋" w:hAnsi="仿宋" w:eastAsia="仿宋" w:cs="仿宋"/>
          <w:sz w:val="32"/>
          <w:szCs w:val="32"/>
        </w:rPr>
        <w:t>打造“曾家山菜系”体验店</w:t>
      </w:r>
      <w:r>
        <w:rPr>
          <w:rFonts w:ascii="仿宋" w:hAnsi="仿宋" w:eastAsia="仿宋" w:cs="仿宋"/>
          <w:sz w:val="32"/>
          <w:szCs w:val="32"/>
        </w:rPr>
        <w:t>5</w:t>
      </w:r>
      <w:r>
        <w:rPr>
          <w:rFonts w:hint="eastAsia" w:ascii="仿宋" w:hAnsi="仿宋" w:eastAsia="仿宋" w:cs="仿宋"/>
          <w:sz w:val="32"/>
          <w:szCs w:val="32"/>
        </w:rPr>
        <w:t>家，重点扶持</w:t>
      </w:r>
      <w:r>
        <w:rPr>
          <w:rFonts w:ascii="仿宋" w:hAnsi="仿宋" w:eastAsia="仿宋" w:cs="仿宋"/>
          <w:sz w:val="32"/>
          <w:szCs w:val="32"/>
        </w:rPr>
        <w:t>10</w:t>
      </w:r>
      <w:r>
        <w:rPr>
          <w:rFonts w:hint="eastAsia" w:ascii="仿宋" w:hAnsi="仿宋" w:eastAsia="仿宋" w:cs="仿宋"/>
          <w:sz w:val="32"/>
          <w:szCs w:val="32"/>
        </w:rPr>
        <w:t>家以“曾家山菜系”为主的餐饮龙头企业，其中年营业额</w:t>
      </w:r>
      <w:r>
        <w:rPr>
          <w:rFonts w:ascii="仿宋" w:hAnsi="仿宋" w:eastAsia="仿宋" w:cs="仿宋"/>
          <w:sz w:val="32"/>
          <w:szCs w:val="32"/>
        </w:rPr>
        <w:t>1000</w:t>
      </w:r>
      <w:r>
        <w:rPr>
          <w:rFonts w:hint="eastAsia" w:ascii="仿宋" w:hAnsi="仿宋" w:eastAsia="仿宋" w:cs="仿宋"/>
          <w:sz w:val="32"/>
          <w:szCs w:val="32"/>
        </w:rPr>
        <w:t>万元以上的</w:t>
      </w:r>
      <w:r>
        <w:rPr>
          <w:rFonts w:ascii="仿宋" w:hAnsi="仿宋" w:eastAsia="仿宋" w:cs="仿宋"/>
          <w:sz w:val="32"/>
          <w:szCs w:val="32"/>
        </w:rPr>
        <w:t>1—2</w:t>
      </w:r>
      <w:r>
        <w:rPr>
          <w:rFonts w:hint="eastAsia" w:ascii="仿宋" w:hAnsi="仿宋" w:eastAsia="仿宋" w:cs="仿宋"/>
          <w:sz w:val="32"/>
          <w:szCs w:val="32"/>
        </w:rPr>
        <w:t>家，年营业额</w:t>
      </w:r>
      <w:r>
        <w:rPr>
          <w:rFonts w:ascii="仿宋" w:hAnsi="仿宋" w:eastAsia="仿宋" w:cs="仿宋"/>
          <w:sz w:val="32"/>
          <w:szCs w:val="32"/>
        </w:rPr>
        <w:t>500</w:t>
      </w:r>
      <w:r>
        <w:rPr>
          <w:rFonts w:hint="eastAsia" w:ascii="仿宋" w:hAnsi="仿宋" w:eastAsia="仿宋" w:cs="仿宋"/>
          <w:sz w:val="32"/>
          <w:szCs w:val="32"/>
        </w:rPr>
        <w:t>万元以上的</w:t>
      </w:r>
      <w:r>
        <w:rPr>
          <w:rFonts w:ascii="仿宋" w:hAnsi="仿宋" w:eastAsia="仿宋" w:cs="仿宋"/>
          <w:sz w:val="32"/>
          <w:szCs w:val="32"/>
        </w:rPr>
        <w:t>5—7</w:t>
      </w:r>
      <w:r>
        <w:rPr>
          <w:rFonts w:hint="eastAsia" w:ascii="仿宋" w:hAnsi="仿宋" w:eastAsia="仿宋" w:cs="仿宋"/>
          <w:sz w:val="32"/>
          <w:szCs w:val="32"/>
        </w:rPr>
        <w:t>家，品牌餐饮营业额实现</w:t>
      </w:r>
      <w:r>
        <w:rPr>
          <w:rFonts w:ascii="仿宋" w:hAnsi="仿宋" w:eastAsia="仿宋" w:cs="仿宋"/>
          <w:sz w:val="32"/>
          <w:szCs w:val="32"/>
        </w:rPr>
        <w:t>2</w:t>
      </w:r>
      <w:r>
        <w:rPr>
          <w:rFonts w:hint="eastAsia" w:ascii="仿宋" w:hAnsi="仿宋" w:eastAsia="仿宋" w:cs="仿宋"/>
          <w:sz w:val="32"/>
          <w:szCs w:val="32"/>
        </w:rPr>
        <w:t>亿元以上。</w:t>
      </w:r>
    </w:p>
    <w:p>
      <w:pPr>
        <w:spacing w:line="60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加快餐饮服务标准建设。</w:t>
      </w:r>
      <w:r>
        <w:rPr>
          <w:rFonts w:hint="eastAsia" w:ascii="仿宋" w:hAnsi="仿宋" w:eastAsia="仿宋" w:cs="仿宋"/>
          <w:sz w:val="32"/>
          <w:szCs w:val="32"/>
        </w:rPr>
        <w:t>积极开展餐饮业评等、定级、授牌等活动，提升服务质量和管理水平。以名牌、老字号和大型企业为龙头，积极开展“标准化建设”，发展一批跨地区的品牌连锁企业，壮大产业规模。</w:t>
      </w:r>
    </w:p>
    <w:p>
      <w:pPr>
        <w:numPr>
          <w:ilvl w:val="0"/>
          <w:numId w:val="0"/>
        </w:numPr>
        <w:spacing w:line="600" w:lineRule="exact"/>
        <w:ind w:firstLine="2752" w:firstLineChars="800"/>
        <w:rPr>
          <w:rFonts w:hint="eastAsia" w:ascii="黑体" w:hAnsi="黑体" w:eastAsia="黑体" w:cs="黑体"/>
          <w:snapToGrid w:val="0"/>
          <w:spacing w:val="-8"/>
          <w:kern w:val="0"/>
          <w:sz w:val="36"/>
          <w:szCs w:val="36"/>
          <w:lang w:val="en-US" w:eastAsia="zh-CN"/>
        </w:rPr>
      </w:pPr>
      <w:r>
        <w:rPr>
          <w:rFonts w:hint="eastAsia" w:ascii="黑体" w:hAnsi="黑体" w:eastAsia="黑体" w:cs="黑体"/>
          <w:snapToGrid w:val="0"/>
          <w:spacing w:val="-8"/>
          <w:kern w:val="0"/>
          <w:sz w:val="36"/>
          <w:szCs w:val="36"/>
          <w:lang w:val="en-US" w:eastAsia="zh-CN"/>
        </w:rPr>
        <w:t>第六章  节能环保</w:t>
      </w:r>
    </w:p>
    <w:p>
      <w:pPr>
        <w:numPr>
          <w:ilvl w:val="0"/>
          <w:numId w:val="0"/>
        </w:numPr>
        <w:spacing w:line="6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一、建立节能环保服务体系。</w:t>
      </w:r>
    </w:p>
    <w:p>
      <w:pPr>
        <w:numPr>
          <w:ilvl w:val="0"/>
          <w:numId w:val="0"/>
        </w:num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力发展节能减排投融资、能源审计、清洁生产审核、工程咨询、节能环保产品认证、节能评估等第三方节能环保服务。规范引导建材、冶金、能源企业协同开展城市及产业废弃物的资源化处理，推动建立交易市场。结合改善环境质量和治理污染的需要，开展环保服务活动。发展系统设计、成套设备、工程施工、调试运行和维护管理等环保服务总承包。鼓励大型重点用能单位依托自身技术优势和管理经验，开展专业化节能环保服务。</w:t>
      </w:r>
    </w:p>
    <w:p>
      <w:pPr>
        <w:numPr>
          <w:ilvl w:val="0"/>
          <w:numId w:val="0"/>
        </w:numPr>
        <w:spacing w:line="6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二、创新节能环保服务模式。</w:t>
      </w:r>
    </w:p>
    <w:p>
      <w:pPr>
        <w:numPr>
          <w:ilvl w:val="0"/>
          <w:numId w:val="0"/>
        </w:num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推行合同能源管理、特许经营、环境污染第三方治理等节能环保服务新机制，推动节能环保设施建设和运营社会化、市场化、专业化服务体系建设。建立完善政府引导、社会参与的环保产业投融资机制。促进环保企业整合，发展环境工程总承包服务，培育环保龙头企业。推动环保关键技术、新材料、新产品及环境友好型产品的研发生产，提升技术水平和市场竞争力。</w:t>
      </w:r>
    </w:p>
    <w:p>
      <w:pPr>
        <w:numPr>
          <w:ilvl w:val="0"/>
          <w:numId w:val="0"/>
        </w:numPr>
        <w:spacing w:line="6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三、大力发展新型生态服务业。</w:t>
      </w:r>
    </w:p>
    <w:p>
      <w:pPr>
        <w:pStyle w:val="8"/>
        <w:widowControl w:val="0"/>
        <w:adjustRightInd w:val="0"/>
        <w:snapToGrid w:val="0"/>
        <w:spacing w:before="0" w:beforeAutospacing="0" w:after="0" w:afterAutospacing="0" w:line="536"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强对节能环保服务企业技术服务、项目管理等全面服务能力的建设和提升，推动从简单技术改造向“一条龙”节能管理和综合利用转变，加速培育带动性强、示范性好的龙头骨干企业。通过推广高效锅炉、扩大高效电动机应用和推动半导体照明产业化等途径，加快节能技术装备升级换代。发展资源循环利用技术装备，促进资源有效利用。</w:t>
      </w:r>
      <w:r>
        <w:rPr>
          <w:rFonts w:hint="eastAsia" w:ascii="仿宋_GB2312" w:hAnsi="Calibri" w:eastAsia="仿宋_GB2312" w:cs="仿宋_GB2312"/>
          <w:kern w:val="2"/>
          <w:sz w:val="32"/>
          <w:szCs w:val="32"/>
        </w:rPr>
        <w:t>充分发挥我区能源资源优势，促进产业结构优化升级，提高碳生产力，强化节能减排，提高新能源利用比重，大力发展新型生态服务业，促进低碳和谐发展，建成“生态、低碳、宜居”的新朝天。</w:t>
      </w:r>
    </w:p>
    <w:p>
      <w:pPr>
        <w:spacing w:line="600" w:lineRule="exact"/>
        <w:jc w:val="center"/>
        <w:rPr>
          <w:rFonts w:ascii="黑体" w:hAnsi="黑体" w:eastAsia="黑体" w:cs="黑体"/>
          <w:snapToGrid w:val="0"/>
          <w:spacing w:val="-8"/>
          <w:kern w:val="0"/>
          <w:sz w:val="36"/>
          <w:szCs w:val="36"/>
        </w:rPr>
      </w:pPr>
      <w:r>
        <w:rPr>
          <w:rFonts w:hint="eastAsia" w:ascii="黑体" w:hAnsi="黑体" w:eastAsia="黑体" w:cs="黑体"/>
          <w:snapToGrid w:val="0"/>
          <w:spacing w:val="-8"/>
          <w:kern w:val="0"/>
          <w:sz w:val="36"/>
          <w:szCs w:val="36"/>
        </w:rPr>
        <w:t>第</w:t>
      </w:r>
      <w:r>
        <w:rPr>
          <w:rFonts w:hint="eastAsia" w:ascii="黑体" w:hAnsi="黑体" w:eastAsia="黑体" w:cs="黑体"/>
          <w:snapToGrid w:val="0"/>
          <w:spacing w:val="-8"/>
          <w:kern w:val="0"/>
          <w:sz w:val="36"/>
          <w:szCs w:val="36"/>
          <w:lang w:eastAsia="zh-CN"/>
        </w:rPr>
        <w:t>七</w:t>
      </w:r>
      <w:r>
        <w:rPr>
          <w:rFonts w:hint="eastAsia" w:ascii="黑体" w:hAnsi="黑体" w:eastAsia="黑体" w:cs="黑体"/>
          <w:snapToGrid w:val="0"/>
          <w:spacing w:val="-8"/>
          <w:kern w:val="0"/>
          <w:sz w:val="36"/>
          <w:szCs w:val="36"/>
        </w:rPr>
        <w:t>章</w:t>
      </w:r>
      <w:r>
        <w:rPr>
          <w:rFonts w:ascii="黑体" w:hAnsi="黑体" w:eastAsia="黑体" w:cs="黑体"/>
          <w:snapToGrid w:val="0"/>
          <w:spacing w:val="-8"/>
          <w:kern w:val="0"/>
          <w:sz w:val="36"/>
          <w:szCs w:val="36"/>
        </w:rPr>
        <w:t xml:space="preserve">  </w:t>
      </w:r>
      <w:r>
        <w:rPr>
          <w:rFonts w:hint="eastAsia" w:ascii="黑体" w:hAnsi="黑体" w:eastAsia="黑体" w:cs="黑体"/>
          <w:snapToGrid w:val="0"/>
          <w:spacing w:val="-8"/>
          <w:kern w:val="0"/>
          <w:sz w:val="36"/>
          <w:szCs w:val="36"/>
        </w:rPr>
        <w:t>保障措施</w:t>
      </w:r>
    </w:p>
    <w:p>
      <w:pPr>
        <w:widowControl/>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一、强化组织领导</w:t>
      </w:r>
    </w:p>
    <w:p>
      <w:pPr>
        <w:spacing w:line="600" w:lineRule="exact"/>
        <w:ind w:firstLine="640" w:firstLineChars="200"/>
        <w:rPr>
          <w:rFonts w:ascii="仿宋" w:hAnsi="仿宋" w:eastAsia="仿宋" w:cs="仿宋"/>
          <w:bCs/>
          <w:sz w:val="32"/>
          <w:szCs w:val="32"/>
        </w:rPr>
      </w:pPr>
      <w:r>
        <w:rPr>
          <w:rFonts w:hint="eastAsia" w:ascii="仿宋" w:hAnsi="仿宋" w:eastAsia="仿宋" w:cs="仿宋"/>
          <w:bCs/>
          <w:sz w:val="32"/>
          <w:szCs w:val="32"/>
        </w:rPr>
        <w:t>强化区现代服务业发展领导小组及办公室的统筹协调作用，健全现代服务业发展联席会议制度和目标考核制度，形成统一领导、职责明确、分工合作、齐抓共管的工作格局。各乡镇、街道以及区级相关部门要加强对服务业发展工作的领导，建立完善相应的协调机制，推动本地区服务业加快转型发展。</w:t>
      </w:r>
    </w:p>
    <w:p>
      <w:pPr>
        <w:numPr>
          <w:ilvl w:val="0"/>
          <w:numId w:val="8"/>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加大政策扶持</w:t>
      </w:r>
    </w:p>
    <w:p>
      <w:pPr>
        <w:spacing w:line="600" w:lineRule="exac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认真贯彻执行国家、省、市关于加快发展服务业的政策规定，确保服务业在市场准入、税收优惠、规费减免、土地供给、财政支持、技术创新、就业等方面的政策得到有效落实。一是加大财政投入。区政府设立服务业发展基金，支持服务业的品牌建设、商贸物流体系建设、电子商务、城乡连锁经营等重点领域和重点服务业的基础设施给予扶持。二是鼓励和引导金融机构开发适应服务业需求的金融产品，增加对重点服务业企业的授信额度，主动提供优质服务，积极满足服务业企业的信贷需求。三是落实和完善服务业用电、用水等价格政策，对服务业企业的行政事业性收费一律按最低额度收取。四是国土部门要在土地利用总体规划修编中充分考虑服务业的发展需要，确保服务业用地指标增长比例与城市人口增加和城市规模扩张相适应。对省市区规划的重点项目和新兴服务业项目用地要予以重点倾斜，优先保障用地指标。</w:t>
      </w:r>
    </w:p>
    <w:p>
      <w:pPr>
        <w:numPr>
          <w:ilvl w:val="0"/>
          <w:numId w:val="8"/>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加强智力支撑</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sz w:val="32"/>
          <w:szCs w:val="32"/>
        </w:rPr>
        <w:t>建立完善的人才引进、激励和流动机制，鼓励引进具有服务业高级职称的专业技术人员、高级管理人员，并在子女上学、就业、就医、社保等方面提供便利。鼓励发展就业服务网站，加强农村剩余劳动力转移、城市下岗职工再就业、高校毕业生就业等服务体系建设，为加快服务业发展提供高素质的劳动力队伍</w:t>
      </w:r>
      <w:r>
        <w:rPr>
          <w:rFonts w:hint="eastAsia" w:ascii="仿宋" w:hAnsi="仿宋" w:eastAsia="仿宋" w:cs="仿宋"/>
          <w:kern w:val="0"/>
          <w:sz w:val="32"/>
          <w:szCs w:val="32"/>
        </w:rPr>
        <w:t>。加大继续教育力度，鼓励企业开展内部岗位培训，提高服务业从业人员素质。按照服务业发展需要，尽快完善职业资格和职称制度，积极开展评定工作，</w:t>
      </w:r>
      <w:r>
        <w:rPr>
          <w:rFonts w:hint="eastAsia" w:ascii="仿宋" w:hAnsi="仿宋" w:eastAsia="仿宋" w:cs="仿宋"/>
          <w:sz w:val="32"/>
          <w:szCs w:val="32"/>
        </w:rPr>
        <w:t>不断提高服务业从业人员整体素质。</w:t>
      </w:r>
    </w:p>
    <w:p>
      <w:pPr>
        <w:widowControl/>
        <w:numPr>
          <w:ilvl w:val="0"/>
          <w:numId w:val="8"/>
        </w:numPr>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优化发展环境。</w:t>
      </w:r>
    </w:p>
    <w:p>
      <w:pPr>
        <w:widowControl/>
        <w:spacing w:line="600" w:lineRule="exact"/>
        <w:ind w:firstLine="640"/>
        <w:jc w:val="left"/>
        <w:rPr>
          <w:rFonts w:hint="eastAsia" w:ascii="黑体" w:hAnsi="黑体" w:eastAsia="黑体" w:cs="黑体"/>
          <w:sz w:val="32"/>
          <w:szCs w:val="32"/>
          <w:lang w:val="en-US" w:eastAsia="zh-CN"/>
        </w:rPr>
      </w:pPr>
      <w:r>
        <w:rPr>
          <w:rFonts w:hint="eastAsia" w:ascii="仿宋" w:hAnsi="仿宋" w:eastAsia="仿宋" w:cs="仿宋"/>
          <w:sz w:val="32"/>
          <w:szCs w:val="32"/>
        </w:rPr>
        <w:t>简化审批手续，提高审批效率，</w:t>
      </w:r>
      <w:r>
        <w:rPr>
          <w:rFonts w:hint="eastAsia" w:ascii="仿宋" w:hAnsi="仿宋" w:eastAsia="仿宋" w:cs="仿宋"/>
          <w:kern w:val="0"/>
          <w:sz w:val="32"/>
          <w:szCs w:val="32"/>
        </w:rPr>
        <w:t>建立服务业项目落户的“绿色通道”。严厉查处乱收费、乱罚款、乱评比行为，切实减轻业主负担。整顿和规范服务业市场秩序，建立完善工商、质监、行业协会、消费者协会联动机制，坚决打击假冒伪劣、价格欺诈等违法行为，严厉查处不正当竞争行为。规范旅游、餐饮、商务中介、物业管理等领域的服务行为，提高服务质量。加快推进服务业信用信息共享体系建设，推动形成广泛的社会自律机制和信用评判制度，提高全民诚信意识。</w:t>
      </w: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monospace">
    <w:altName w:val="Mangal"/>
    <w:panose1 w:val="00000000000000000000"/>
    <w:charset w:val="00"/>
    <w:family w:val="auto"/>
    <w:pitch w:val="default"/>
    <w:sig w:usb0="00000000" w:usb1="00000000" w:usb2="00000000" w:usb3="00000000" w:csb0="00000001" w:csb1="00000000"/>
  </w:font>
  <w:font w:name="Cambria">
    <w:altName w:val="Noto Sans Syriac Eastern"/>
    <w:panose1 w:val="02040503050406030204"/>
    <w:charset w:val="00"/>
    <w:family w:val="roman"/>
    <w:pitch w:val="default"/>
    <w:sig w:usb0="00000000"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
    <w:altName w:val="宋体"/>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Mangal">
    <w:panose1 w:val="00000400000000000000"/>
    <w:charset w:val="00"/>
    <w:family w:val="auto"/>
    <w:pitch w:val="default"/>
    <w:sig w:usb0="00008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snapToGrid w:val="0"/>
                            <w:rPr>
                              <w:sz w:val="18"/>
                            </w:rPr>
                          </w:pPr>
                          <w:r>
                            <w:fldChar w:fldCharType="begin"/>
                          </w:r>
                          <w:r>
                            <w:instrText xml:space="preserve"> PAGE  \* MERGEFORMAT </w:instrText>
                          </w:r>
                          <w:r>
                            <w:fldChar w:fldCharType="separate"/>
                          </w:r>
                          <w:r>
                            <w:rPr>
                              <w:sz w:val="18"/>
                            </w:rPr>
                            <w:t>1</w:t>
                          </w:r>
                          <w:r>
                            <w:rPr>
                              <w:sz w:val="18"/>
                            </w:rPr>
                            <w:fldChar w:fldCharType="end"/>
                          </w:r>
                        </w:p>
                      </w:txbxContent>
                    </wps:txbx>
                    <wps:bodyPr wrap="none" lIns="0" tIns="0" rIns="0" bIns="0" upright="true">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NJWO7QAAAABQEAAA8AAAAAAAAAAQAgAAAAOAAAAGRycy9k&#10;b3ducmV2LnhtbFBLAQIUABQAAAAIAIdO4kBnzG8AuwEAAFoDAAAOAAAAAAAAAAEAIAAAADUBAABk&#10;cnMvZTJvRG9jLnhtbFBLBQYAAAAABgAGAFkBAABiBQ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1</w:t>
                    </w:r>
                    <w:r>
                      <w:rPr>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snapToGrid w:val="0"/>
                            <w:rPr>
                              <w:sz w:val="18"/>
                            </w:rPr>
                          </w:pPr>
                          <w:r>
                            <w:fldChar w:fldCharType="begin"/>
                          </w:r>
                          <w:r>
                            <w:instrText xml:space="preserve"> PAGE  \* MERGEFORMAT </w:instrText>
                          </w:r>
                          <w:r>
                            <w:fldChar w:fldCharType="separate"/>
                          </w:r>
                          <w:r>
                            <w:rPr>
                              <w:sz w:val="18"/>
                            </w:rPr>
                            <w:t>21</w:t>
                          </w:r>
                          <w:r>
                            <w:rPr>
                              <w:sz w:val="18"/>
                            </w:rPr>
                            <w:fldChar w:fldCharType="end"/>
                          </w:r>
                        </w:p>
                      </w:txbxContent>
                    </wps:txbx>
                    <wps:bodyPr wrap="none" lIns="0" tIns="0" rIns="0" bIns="0" upright="tru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NJWO7QAAAABQEAAA8AAAAAAAAAAQAgAAAAOAAAAGRycy9k&#10;b3ducmV2LnhtbFBLAQIUABQAAAAIAIdO4kA3lV03uwEAAFoDAAAOAAAAAAAAAAEAIAAAADUBAABk&#10;cnMvZTJvRG9jLnhtbFBLBQYAAAAABgAGAFkBAABiBQ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21</w:t>
                    </w:r>
                    <w:r>
                      <w:rPr>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65F5FB"/>
    <w:multiLevelType w:val="singleLevel"/>
    <w:tmpl w:val="5865F5FB"/>
    <w:lvl w:ilvl="0" w:tentative="0">
      <w:start w:val="2"/>
      <w:numFmt w:val="chineseCounting"/>
      <w:suff w:val="nothing"/>
      <w:lvlText w:val="%1、"/>
      <w:lvlJc w:val="left"/>
      <w:rPr>
        <w:rFonts w:cs="Times New Roman"/>
      </w:rPr>
    </w:lvl>
  </w:abstractNum>
  <w:abstractNum w:abstractNumId="1">
    <w:nsid w:val="58661848"/>
    <w:multiLevelType w:val="singleLevel"/>
    <w:tmpl w:val="58661848"/>
    <w:lvl w:ilvl="0" w:tentative="0">
      <w:start w:val="3"/>
      <w:numFmt w:val="chineseCounting"/>
      <w:suff w:val="space"/>
      <w:lvlText w:val="第%1章"/>
      <w:lvlJc w:val="left"/>
      <w:rPr>
        <w:rFonts w:cs="Times New Roman"/>
      </w:rPr>
    </w:lvl>
  </w:abstractNum>
  <w:abstractNum w:abstractNumId="2">
    <w:nsid w:val="58661CC8"/>
    <w:multiLevelType w:val="singleLevel"/>
    <w:tmpl w:val="58661CC8"/>
    <w:lvl w:ilvl="0" w:tentative="0">
      <w:start w:val="1"/>
      <w:numFmt w:val="chineseCounting"/>
      <w:suff w:val="space"/>
      <w:lvlText w:val="第%1节"/>
      <w:lvlJc w:val="left"/>
      <w:rPr>
        <w:rFonts w:cs="Times New Roman"/>
      </w:rPr>
    </w:lvl>
  </w:abstractNum>
  <w:abstractNum w:abstractNumId="3">
    <w:nsid w:val="5869DD06"/>
    <w:multiLevelType w:val="singleLevel"/>
    <w:tmpl w:val="5869DD06"/>
    <w:lvl w:ilvl="0" w:tentative="0">
      <w:start w:val="4"/>
      <w:numFmt w:val="chineseCounting"/>
      <w:suff w:val="nothing"/>
      <w:lvlText w:val="%1、"/>
      <w:lvlJc w:val="left"/>
      <w:rPr>
        <w:rFonts w:cs="Times New Roman"/>
      </w:rPr>
    </w:lvl>
  </w:abstractNum>
  <w:abstractNum w:abstractNumId="4">
    <w:nsid w:val="5869DD1F"/>
    <w:multiLevelType w:val="singleLevel"/>
    <w:tmpl w:val="5869DD1F"/>
    <w:lvl w:ilvl="0" w:tentative="0">
      <w:start w:val="2"/>
      <w:numFmt w:val="chineseCounting"/>
      <w:suff w:val="nothing"/>
      <w:lvlText w:val="%1、"/>
      <w:lvlJc w:val="left"/>
      <w:rPr>
        <w:rFonts w:cs="Times New Roman"/>
      </w:rPr>
    </w:lvl>
  </w:abstractNum>
  <w:abstractNum w:abstractNumId="5">
    <w:nsid w:val="586A21D9"/>
    <w:multiLevelType w:val="singleLevel"/>
    <w:tmpl w:val="586A21D9"/>
    <w:lvl w:ilvl="0" w:tentative="0">
      <w:start w:val="2"/>
      <w:numFmt w:val="chineseCounting"/>
      <w:suff w:val="space"/>
      <w:lvlText w:val="第%1节"/>
      <w:lvlJc w:val="left"/>
      <w:rPr>
        <w:rFonts w:cs="Times New Roman"/>
      </w:rPr>
    </w:lvl>
  </w:abstractNum>
  <w:abstractNum w:abstractNumId="6">
    <w:nsid w:val="586A3999"/>
    <w:multiLevelType w:val="singleLevel"/>
    <w:tmpl w:val="586A3999"/>
    <w:lvl w:ilvl="0" w:tentative="0">
      <w:start w:val="2"/>
      <w:numFmt w:val="chineseCounting"/>
      <w:suff w:val="nothing"/>
      <w:lvlText w:val="%1、"/>
      <w:lvlJc w:val="left"/>
      <w:rPr>
        <w:rFonts w:cs="Times New Roman"/>
      </w:rPr>
    </w:lvl>
  </w:abstractNum>
  <w:abstractNum w:abstractNumId="7">
    <w:nsid w:val="586B07B5"/>
    <w:multiLevelType w:val="singleLevel"/>
    <w:tmpl w:val="586B07B5"/>
    <w:lvl w:ilvl="0" w:tentative="0">
      <w:start w:val="2"/>
      <w:numFmt w:val="chineseCounting"/>
      <w:suff w:val="space"/>
      <w:lvlText w:val="第%1节"/>
      <w:lvlJc w:val="left"/>
      <w:rPr>
        <w:rFonts w:cs="Times New Roman"/>
      </w:rPr>
    </w:lvl>
  </w:abstractNum>
  <w:num w:numId="1">
    <w:abstractNumId w:val="0"/>
  </w:num>
  <w:num w:numId="2">
    <w:abstractNumId w:val="1"/>
  </w:num>
  <w:num w:numId="3">
    <w:abstractNumId w:val="2"/>
  </w:num>
  <w:num w:numId="4">
    <w:abstractNumId w:val="7"/>
  </w:num>
  <w:num w:numId="5">
    <w:abstractNumId w:val="4"/>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95012A"/>
    <w:rsid w:val="00034AB6"/>
    <w:rsid w:val="00116616"/>
    <w:rsid w:val="001637FE"/>
    <w:rsid w:val="001F4006"/>
    <w:rsid w:val="003A327B"/>
    <w:rsid w:val="005857D9"/>
    <w:rsid w:val="00585F5F"/>
    <w:rsid w:val="006B63B8"/>
    <w:rsid w:val="00842C39"/>
    <w:rsid w:val="008754EE"/>
    <w:rsid w:val="00A44223"/>
    <w:rsid w:val="00A853F3"/>
    <w:rsid w:val="00B9493E"/>
    <w:rsid w:val="00CB7F30"/>
    <w:rsid w:val="00D85F44"/>
    <w:rsid w:val="00E32151"/>
    <w:rsid w:val="00E74B56"/>
    <w:rsid w:val="019571A8"/>
    <w:rsid w:val="01987DAA"/>
    <w:rsid w:val="01AA0087"/>
    <w:rsid w:val="01CD2E65"/>
    <w:rsid w:val="022B1CEA"/>
    <w:rsid w:val="02D072A3"/>
    <w:rsid w:val="031C668A"/>
    <w:rsid w:val="032C1FC5"/>
    <w:rsid w:val="033E063E"/>
    <w:rsid w:val="035535B4"/>
    <w:rsid w:val="036B4D75"/>
    <w:rsid w:val="041D267A"/>
    <w:rsid w:val="044429C8"/>
    <w:rsid w:val="044E4383"/>
    <w:rsid w:val="0452261B"/>
    <w:rsid w:val="04C70510"/>
    <w:rsid w:val="04E544A5"/>
    <w:rsid w:val="050F172B"/>
    <w:rsid w:val="056A3635"/>
    <w:rsid w:val="05BA3B64"/>
    <w:rsid w:val="05FC026B"/>
    <w:rsid w:val="06717291"/>
    <w:rsid w:val="06947E25"/>
    <w:rsid w:val="06A41CD9"/>
    <w:rsid w:val="06AD2F0F"/>
    <w:rsid w:val="06B25977"/>
    <w:rsid w:val="06B3390E"/>
    <w:rsid w:val="06C06742"/>
    <w:rsid w:val="07646505"/>
    <w:rsid w:val="07A95E70"/>
    <w:rsid w:val="07BC1865"/>
    <w:rsid w:val="07DF7DBF"/>
    <w:rsid w:val="07F046F8"/>
    <w:rsid w:val="08461BC1"/>
    <w:rsid w:val="087035F2"/>
    <w:rsid w:val="089F4C95"/>
    <w:rsid w:val="08A52962"/>
    <w:rsid w:val="08B66B3A"/>
    <w:rsid w:val="08BB3DB9"/>
    <w:rsid w:val="08F95E13"/>
    <w:rsid w:val="092C0F9C"/>
    <w:rsid w:val="0967374F"/>
    <w:rsid w:val="097C43BA"/>
    <w:rsid w:val="0A0555D9"/>
    <w:rsid w:val="0A1F4A99"/>
    <w:rsid w:val="0A261525"/>
    <w:rsid w:val="0A377E93"/>
    <w:rsid w:val="0A4A7505"/>
    <w:rsid w:val="0A642373"/>
    <w:rsid w:val="0A7A26EE"/>
    <w:rsid w:val="0A9D331B"/>
    <w:rsid w:val="0B5F3726"/>
    <w:rsid w:val="0B610036"/>
    <w:rsid w:val="0BA871AF"/>
    <w:rsid w:val="0BB53998"/>
    <w:rsid w:val="0C076115"/>
    <w:rsid w:val="0C2C50C0"/>
    <w:rsid w:val="0C7E4987"/>
    <w:rsid w:val="0C8B7394"/>
    <w:rsid w:val="0CB91567"/>
    <w:rsid w:val="0D123664"/>
    <w:rsid w:val="0D442843"/>
    <w:rsid w:val="0DA14254"/>
    <w:rsid w:val="0DCD5E4F"/>
    <w:rsid w:val="0DD159E9"/>
    <w:rsid w:val="0DFA4D26"/>
    <w:rsid w:val="0E6367F6"/>
    <w:rsid w:val="0E8F5D83"/>
    <w:rsid w:val="0EBD1EA5"/>
    <w:rsid w:val="0F111E38"/>
    <w:rsid w:val="0F2779AD"/>
    <w:rsid w:val="0F30667E"/>
    <w:rsid w:val="0F5D2B05"/>
    <w:rsid w:val="0F5E425E"/>
    <w:rsid w:val="0FA9419B"/>
    <w:rsid w:val="100722D4"/>
    <w:rsid w:val="10267813"/>
    <w:rsid w:val="10313320"/>
    <w:rsid w:val="10573AE6"/>
    <w:rsid w:val="105C2439"/>
    <w:rsid w:val="10B85ABB"/>
    <w:rsid w:val="10D82DA0"/>
    <w:rsid w:val="110A5B56"/>
    <w:rsid w:val="11314C78"/>
    <w:rsid w:val="118C20AB"/>
    <w:rsid w:val="119A54BD"/>
    <w:rsid w:val="12020664"/>
    <w:rsid w:val="12253EFE"/>
    <w:rsid w:val="125420E5"/>
    <w:rsid w:val="12573C76"/>
    <w:rsid w:val="125914D6"/>
    <w:rsid w:val="127E4D4D"/>
    <w:rsid w:val="1284593F"/>
    <w:rsid w:val="12EC3198"/>
    <w:rsid w:val="12F2793F"/>
    <w:rsid w:val="13301419"/>
    <w:rsid w:val="134A2CAC"/>
    <w:rsid w:val="135D12DC"/>
    <w:rsid w:val="135D5141"/>
    <w:rsid w:val="14641A0B"/>
    <w:rsid w:val="14827608"/>
    <w:rsid w:val="14AB1CA9"/>
    <w:rsid w:val="14AE7D39"/>
    <w:rsid w:val="14E873CC"/>
    <w:rsid w:val="14FB5827"/>
    <w:rsid w:val="150A03A1"/>
    <w:rsid w:val="15146760"/>
    <w:rsid w:val="15531617"/>
    <w:rsid w:val="15A17D59"/>
    <w:rsid w:val="15A40897"/>
    <w:rsid w:val="15CD244B"/>
    <w:rsid w:val="15CE7C86"/>
    <w:rsid w:val="162460BD"/>
    <w:rsid w:val="162C5785"/>
    <w:rsid w:val="162D483F"/>
    <w:rsid w:val="1690489B"/>
    <w:rsid w:val="169744B2"/>
    <w:rsid w:val="16E326DA"/>
    <w:rsid w:val="170760B2"/>
    <w:rsid w:val="176449D2"/>
    <w:rsid w:val="17B96CD0"/>
    <w:rsid w:val="183212A6"/>
    <w:rsid w:val="183D5806"/>
    <w:rsid w:val="184D65E6"/>
    <w:rsid w:val="197D0BDB"/>
    <w:rsid w:val="19DA4CF2"/>
    <w:rsid w:val="19FE1510"/>
    <w:rsid w:val="1A1345BD"/>
    <w:rsid w:val="1A1B748F"/>
    <w:rsid w:val="1AAE3B86"/>
    <w:rsid w:val="1B1D4239"/>
    <w:rsid w:val="1B86033C"/>
    <w:rsid w:val="1B8926F7"/>
    <w:rsid w:val="1B95698C"/>
    <w:rsid w:val="1BA01369"/>
    <w:rsid w:val="1C0A6155"/>
    <w:rsid w:val="1C327564"/>
    <w:rsid w:val="1C7C52F4"/>
    <w:rsid w:val="1C7E5002"/>
    <w:rsid w:val="1CE6489A"/>
    <w:rsid w:val="1D2A59A1"/>
    <w:rsid w:val="1D3A1F91"/>
    <w:rsid w:val="1D5F0234"/>
    <w:rsid w:val="1D651B58"/>
    <w:rsid w:val="1DA16F5A"/>
    <w:rsid w:val="1DAA0195"/>
    <w:rsid w:val="1DD130AB"/>
    <w:rsid w:val="1DF86DE9"/>
    <w:rsid w:val="1E151589"/>
    <w:rsid w:val="1E383F4F"/>
    <w:rsid w:val="1E97675F"/>
    <w:rsid w:val="1EAD5196"/>
    <w:rsid w:val="1EEA0FB2"/>
    <w:rsid w:val="1F644DC3"/>
    <w:rsid w:val="1F717764"/>
    <w:rsid w:val="1FA72254"/>
    <w:rsid w:val="1FCF4DE2"/>
    <w:rsid w:val="20032536"/>
    <w:rsid w:val="20091510"/>
    <w:rsid w:val="20CE7A8C"/>
    <w:rsid w:val="20EF3926"/>
    <w:rsid w:val="2117381B"/>
    <w:rsid w:val="22115DD0"/>
    <w:rsid w:val="2215094E"/>
    <w:rsid w:val="22362B8C"/>
    <w:rsid w:val="226149AD"/>
    <w:rsid w:val="22675A55"/>
    <w:rsid w:val="2291622C"/>
    <w:rsid w:val="22AD421D"/>
    <w:rsid w:val="22B2177C"/>
    <w:rsid w:val="22ED5404"/>
    <w:rsid w:val="230D7854"/>
    <w:rsid w:val="241B4BAC"/>
    <w:rsid w:val="244E725D"/>
    <w:rsid w:val="24595CED"/>
    <w:rsid w:val="24805837"/>
    <w:rsid w:val="24A035B6"/>
    <w:rsid w:val="24AD6630"/>
    <w:rsid w:val="24BA2D16"/>
    <w:rsid w:val="24E97C0D"/>
    <w:rsid w:val="24F32AF0"/>
    <w:rsid w:val="25166FF0"/>
    <w:rsid w:val="252F74D3"/>
    <w:rsid w:val="2530361D"/>
    <w:rsid w:val="2554019D"/>
    <w:rsid w:val="25551073"/>
    <w:rsid w:val="25894E5E"/>
    <w:rsid w:val="25C00378"/>
    <w:rsid w:val="260700A5"/>
    <w:rsid w:val="2615576B"/>
    <w:rsid w:val="2640730F"/>
    <w:rsid w:val="264563C9"/>
    <w:rsid w:val="26732716"/>
    <w:rsid w:val="26747997"/>
    <w:rsid w:val="26894D7B"/>
    <w:rsid w:val="26F61E7F"/>
    <w:rsid w:val="27674538"/>
    <w:rsid w:val="277C44A0"/>
    <w:rsid w:val="27811DAD"/>
    <w:rsid w:val="282401DD"/>
    <w:rsid w:val="283B03EF"/>
    <w:rsid w:val="283D0EEF"/>
    <w:rsid w:val="286A7BE1"/>
    <w:rsid w:val="287C32C3"/>
    <w:rsid w:val="28952E38"/>
    <w:rsid w:val="28C973A0"/>
    <w:rsid w:val="28CA6505"/>
    <w:rsid w:val="295E2A00"/>
    <w:rsid w:val="29AF2DD1"/>
    <w:rsid w:val="29B5533C"/>
    <w:rsid w:val="2A2772F3"/>
    <w:rsid w:val="2A6E0A5E"/>
    <w:rsid w:val="2A7B3D3B"/>
    <w:rsid w:val="2A8864BF"/>
    <w:rsid w:val="2ADD06F5"/>
    <w:rsid w:val="2AF40722"/>
    <w:rsid w:val="2B21330E"/>
    <w:rsid w:val="2B691C55"/>
    <w:rsid w:val="2BCF340A"/>
    <w:rsid w:val="2C72415A"/>
    <w:rsid w:val="2CA20E53"/>
    <w:rsid w:val="2CB43FF6"/>
    <w:rsid w:val="2CC72AA9"/>
    <w:rsid w:val="2CFC13AA"/>
    <w:rsid w:val="2D5B2462"/>
    <w:rsid w:val="2D645169"/>
    <w:rsid w:val="2E5059F6"/>
    <w:rsid w:val="2E76521A"/>
    <w:rsid w:val="2EC26FBF"/>
    <w:rsid w:val="2EC47E13"/>
    <w:rsid w:val="2EDC6316"/>
    <w:rsid w:val="2EF17EC0"/>
    <w:rsid w:val="2EFB2906"/>
    <w:rsid w:val="2F053A6F"/>
    <w:rsid w:val="2F5E7A7A"/>
    <w:rsid w:val="2F9C039E"/>
    <w:rsid w:val="300F56A8"/>
    <w:rsid w:val="303A3AC5"/>
    <w:rsid w:val="305E437A"/>
    <w:rsid w:val="308858F3"/>
    <w:rsid w:val="30CE7D7C"/>
    <w:rsid w:val="30DD19BC"/>
    <w:rsid w:val="30E265DD"/>
    <w:rsid w:val="3104578E"/>
    <w:rsid w:val="310C58D1"/>
    <w:rsid w:val="31807416"/>
    <w:rsid w:val="3187524C"/>
    <w:rsid w:val="31986FFA"/>
    <w:rsid w:val="321A4B6B"/>
    <w:rsid w:val="32343CFF"/>
    <w:rsid w:val="327E1906"/>
    <w:rsid w:val="327F08B4"/>
    <w:rsid w:val="33385B90"/>
    <w:rsid w:val="333C35F1"/>
    <w:rsid w:val="33490838"/>
    <w:rsid w:val="33502713"/>
    <w:rsid w:val="335C3A02"/>
    <w:rsid w:val="335F67E9"/>
    <w:rsid w:val="336F4702"/>
    <w:rsid w:val="33800ED8"/>
    <w:rsid w:val="33DC23A0"/>
    <w:rsid w:val="340904BC"/>
    <w:rsid w:val="342418CB"/>
    <w:rsid w:val="343A79AA"/>
    <w:rsid w:val="347824C3"/>
    <w:rsid w:val="34866230"/>
    <w:rsid w:val="3500393D"/>
    <w:rsid w:val="351D5B5D"/>
    <w:rsid w:val="35340487"/>
    <w:rsid w:val="354A0B6D"/>
    <w:rsid w:val="354F4A5B"/>
    <w:rsid w:val="35B5230A"/>
    <w:rsid w:val="35EA1F11"/>
    <w:rsid w:val="35FD7A82"/>
    <w:rsid w:val="36090A23"/>
    <w:rsid w:val="367C5886"/>
    <w:rsid w:val="36862B94"/>
    <w:rsid w:val="369D66EE"/>
    <w:rsid w:val="36B3449B"/>
    <w:rsid w:val="36F24EE0"/>
    <w:rsid w:val="375062C5"/>
    <w:rsid w:val="375B0E88"/>
    <w:rsid w:val="376E26D9"/>
    <w:rsid w:val="37A77A7A"/>
    <w:rsid w:val="3835118D"/>
    <w:rsid w:val="383A2B99"/>
    <w:rsid w:val="384E5E63"/>
    <w:rsid w:val="387A20BA"/>
    <w:rsid w:val="388A1E23"/>
    <w:rsid w:val="38A9783B"/>
    <w:rsid w:val="38DA3928"/>
    <w:rsid w:val="3909431C"/>
    <w:rsid w:val="395262AF"/>
    <w:rsid w:val="3985364B"/>
    <w:rsid w:val="399C402A"/>
    <w:rsid w:val="39A96B23"/>
    <w:rsid w:val="39B6775B"/>
    <w:rsid w:val="39DC64F1"/>
    <w:rsid w:val="39E74D1A"/>
    <w:rsid w:val="39F86C8A"/>
    <w:rsid w:val="3A3120E3"/>
    <w:rsid w:val="3A441357"/>
    <w:rsid w:val="3A7A49A5"/>
    <w:rsid w:val="3AA17877"/>
    <w:rsid w:val="3AAB18C3"/>
    <w:rsid w:val="3AC9355B"/>
    <w:rsid w:val="3B466577"/>
    <w:rsid w:val="3B4E761C"/>
    <w:rsid w:val="3B742531"/>
    <w:rsid w:val="3B890DBC"/>
    <w:rsid w:val="3B8D695A"/>
    <w:rsid w:val="3B960244"/>
    <w:rsid w:val="3BAA651C"/>
    <w:rsid w:val="3C164165"/>
    <w:rsid w:val="3C2F3325"/>
    <w:rsid w:val="3C7557F8"/>
    <w:rsid w:val="3C934CB3"/>
    <w:rsid w:val="3CB33847"/>
    <w:rsid w:val="3CB5573F"/>
    <w:rsid w:val="3D003055"/>
    <w:rsid w:val="3D3021E9"/>
    <w:rsid w:val="3D337B46"/>
    <w:rsid w:val="3D8222B1"/>
    <w:rsid w:val="3D85278B"/>
    <w:rsid w:val="3DFE619D"/>
    <w:rsid w:val="3E172D69"/>
    <w:rsid w:val="3E3E7CFA"/>
    <w:rsid w:val="3E5F782F"/>
    <w:rsid w:val="3E8977CD"/>
    <w:rsid w:val="3E8F6A80"/>
    <w:rsid w:val="3EF83A35"/>
    <w:rsid w:val="3EFF3CF3"/>
    <w:rsid w:val="3F672602"/>
    <w:rsid w:val="3FA06DB4"/>
    <w:rsid w:val="3FB37E01"/>
    <w:rsid w:val="3FDB59BB"/>
    <w:rsid w:val="403E027B"/>
    <w:rsid w:val="40BC4223"/>
    <w:rsid w:val="40F11E96"/>
    <w:rsid w:val="40FE1FC6"/>
    <w:rsid w:val="414A359C"/>
    <w:rsid w:val="41CA35A9"/>
    <w:rsid w:val="42051E5B"/>
    <w:rsid w:val="425B1971"/>
    <w:rsid w:val="42BD186F"/>
    <w:rsid w:val="42CE4403"/>
    <w:rsid w:val="42D755EF"/>
    <w:rsid w:val="43120E37"/>
    <w:rsid w:val="4359076C"/>
    <w:rsid w:val="43DC198F"/>
    <w:rsid w:val="446E0144"/>
    <w:rsid w:val="44750732"/>
    <w:rsid w:val="44B969EC"/>
    <w:rsid w:val="453F7F1A"/>
    <w:rsid w:val="45487E32"/>
    <w:rsid w:val="455D72E5"/>
    <w:rsid w:val="45696EE2"/>
    <w:rsid w:val="459E4EF7"/>
    <w:rsid w:val="459F1C66"/>
    <w:rsid w:val="45BB21EF"/>
    <w:rsid w:val="45C8670A"/>
    <w:rsid w:val="46543022"/>
    <w:rsid w:val="46565319"/>
    <w:rsid w:val="466522DB"/>
    <w:rsid w:val="46757D8E"/>
    <w:rsid w:val="469A07BD"/>
    <w:rsid w:val="46D43E26"/>
    <w:rsid w:val="46E77865"/>
    <w:rsid w:val="471C58A7"/>
    <w:rsid w:val="47331300"/>
    <w:rsid w:val="47945DEE"/>
    <w:rsid w:val="479D4CED"/>
    <w:rsid w:val="47CB481A"/>
    <w:rsid w:val="486161DE"/>
    <w:rsid w:val="48782BCF"/>
    <w:rsid w:val="48963BDC"/>
    <w:rsid w:val="48C8023F"/>
    <w:rsid w:val="48CF187B"/>
    <w:rsid w:val="48D53BE3"/>
    <w:rsid w:val="48DF44E2"/>
    <w:rsid w:val="48DF5EE4"/>
    <w:rsid w:val="49320CE2"/>
    <w:rsid w:val="49867E71"/>
    <w:rsid w:val="498D287F"/>
    <w:rsid w:val="49926A25"/>
    <w:rsid w:val="49AB2453"/>
    <w:rsid w:val="49BC2E0A"/>
    <w:rsid w:val="4A04724E"/>
    <w:rsid w:val="4A064C5D"/>
    <w:rsid w:val="4A0A3AA9"/>
    <w:rsid w:val="4A100443"/>
    <w:rsid w:val="4A6B2B97"/>
    <w:rsid w:val="4A6B759F"/>
    <w:rsid w:val="4A7D46D4"/>
    <w:rsid w:val="4AD92B36"/>
    <w:rsid w:val="4B1716F5"/>
    <w:rsid w:val="4B5569B4"/>
    <w:rsid w:val="4BAF5772"/>
    <w:rsid w:val="4BB52B33"/>
    <w:rsid w:val="4BDC7EAE"/>
    <w:rsid w:val="4BDE5410"/>
    <w:rsid w:val="4C402A1C"/>
    <w:rsid w:val="4C4A199A"/>
    <w:rsid w:val="4C595F47"/>
    <w:rsid w:val="4C794283"/>
    <w:rsid w:val="4CC2279C"/>
    <w:rsid w:val="4CCB0B70"/>
    <w:rsid w:val="4CDC4D44"/>
    <w:rsid w:val="4D043740"/>
    <w:rsid w:val="4D091763"/>
    <w:rsid w:val="4D0A553A"/>
    <w:rsid w:val="4D664AA6"/>
    <w:rsid w:val="4DA50DB6"/>
    <w:rsid w:val="4DCD7430"/>
    <w:rsid w:val="4E034C98"/>
    <w:rsid w:val="4E1C2F77"/>
    <w:rsid w:val="4EE83DC1"/>
    <w:rsid w:val="4EF35C51"/>
    <w:rsid w:val="4F29572D"/>
    <w:rsid w:val="4F2B05FF"/>
    <w:rsid w:val="4F4B6F4D"/>
    <w:rsid w:val="4F6925FF"/>
    <w:rsid w:val="4F7208D0"/>
    <w:rsid w:val="4F7429AD"/>
    <w:rsid w:val="4FBA6C6B"/>
    <w:rsid w:val="4FC32DAD"/>
    <w:rsid w:val="4FCE0715"/>
    <w:rsid w:val="50136624"/>
    <w:rsid w:val="50314080"/>
    <w:rsid w:val="50440BC2"/>
    <w:rsid w:val="505F48F4"/>
    <w:rsid w:val="51164996"/>
    <w:rsid w:val="51766CF0"/>
    <w:rsid w:val="518D0438"/>
    <w:rsid w:val="518D7C12"/>
    <w:rsid w:val="51960EBB"/>
    <w:rsid w:val="51B07AE1"/>
    <w:rsid w:val="51FF6FDE"/>
    <w:rsid w:val="520C7FF7"/>
    <w:rsid w:val="52310515"/>
    <w:rsid w:val="52537CFF"/>
    <w:rsid w:val="52785958"/>
    <w:rsid w:val="52845D8F"/>
    <w:rsid w:val="52944339"/>
    <w:rsid w:val="52A41239"/>
    <w:rsid w:val="530F6F5E"/>
    <w:rsid w:val="53574631"/>
    <w:rsid w:val="53630B51"/>
    <w:rsid w:val="53790AE4"/>
    <w:rsid w:val="53B9311B"/>
    <w:rsid w:val="53BE272B"/>
    <w:rsid w:val="540C7410"/>
    <w:rsid w:val="54373C22"/>
    <w:rsid w:val="545149FD"/>
    <w:rsid w:val="54A424C3"/>
    <w:rsid w:val="54AF4326"/>
    <w:rsid w:val="55115D22"/>
    <w:rsid w:val="555139D4"/>
    <w:rsid w:val="567D459F"/>
    <w:rsid w:val="56981B3C"/>
    <w:rsid w:val="56C87888"/>
    <w:rsid w:val="56FD7B82"/>
    <w:rsid w:val="5723207F"/>
    <w:rsid w:val="573974E0"/>
    <w:rsid w:val="574B34F3"/>
    <w:rsid w:val="5795012A"/>
    <w:rsid w:val="57AB2328"/>
    <w:rsid w:val="57CA7227"/>
    <w:rsid w:val="5836525E"/>
    <w:rsid w:val="5843592B"/>
    <w:rsid w:val="58AA2160"/>
    <w:rsid w:val="58CC39D6"/>
    <w:rsid w:val="58D17F19"/>
    <w:rsid w:val="592F62FC"/>
    <w:rsid w:val="5958325F"/>
    <w:rsid w:val="59B65362"/>
    <w:rsid w:val="59F868BD"/>
    <w:rsid w:val="59FC78E0"/>
    <w:rsid w:val="5A537906"/>
    <w:rsid w:val="5A54415F"/>
    <w:rsid w:val="5A5D7207"/>
    <w:rsid w:val="5A9D784F"/>
    <w:rsid w:val="5AC9432B"/>
    <w:rsid w:val="5AF7027B"/>
    <w:rsid w:val="5B0A4A77"/>
    <w:rsid w:val="5B7C2593"/>
    <w:rsid w:val="5B8A6175"/>
    <w:rsid w:val="5BA80FA0"/>
    <w:rsid w:val="5BB312B6"/>
    <w:rsid w:val="5BC321A2"/>
    <w:rsid w:val="5BF16625"/>
    <w:rsid w:val="5C122055"/>
    <w:rsid w:val="5C8F051B"/>
    <w:rsid w:val="5C9C350B"/>
    <w:rsid w:val="5CAA6336"/>
    <w:rsid w:val="5CEC2A20"/>
    <w:rsid w:val="5D4135D0"/>
    <w:rsid w:val="5D73E494"/>
    <w:rsid w:val="5D7A087F"/>
    <w:rsid w:val="5D806E83"/>
    <w:rsid w:val="5DC5697E"/>
    <w:rsid w:val="5E0566C0"/>
    <w:rsid w:val="5E461B9A"/>
    <w:rsid w:val="5E561647"/>
    <w:rsid w:val="5E7C2DAC"/>
    <w:rsid w:val="5EB6482D"/>
    <w:rsid w:val="5EC767B5"/>
    <w:rsid w:val="5EDF4127"/>
    <w:rsid w:val="5F333712"/>
    <w:rsid w:val="5F63477E"/>
    <w:rsid w:val="5F661DDD"/>
    <w:rsid w:val="5F7DA10C"/>
    <w:rsid w:val="5F7F4AE9"/>
    <w:rsid w:val="5FB03714"/>
    <w:rsid w:val="5FFE1DEC"/>
    <w:rsid w:val="60023592"/>
    <w:rsid w:val="60033B4F"/>
    <w:rsid w:val="600E3FDF"/>
    <w:rsid w:val="60141B7E"/>
    <w:rsid w:val="6069651A"/>
    <w:rsid w:val="608427A9"/>
    <w:rsid w:val="60853654"/>
    <w:rsid w:val="60C1365C"/>
    <w:rsid w:val="60DA2772"/>
    <w:rsid w:val="60EF6378"/>
    <w:rsid w:val="612704D9"/>
    <w:rsid w:val="622A1E17"/>
    <w:rsid w:val="626822EF"/>
    <w:rsid w:val="62984AB5"/>
    <w:rsid w:val="62F94457"/>
    <w:rsid w:val="63010A19"/>
    <w:rsid w:val="630D1A6E"/>
    <w:rsid w:val="634424C2"/>
    <w:rsid w:val="63666C41"/>
    <w:rsid w:val="63C8597B"/>
    <w:rsid w:val="6412087F"/>
    <w:rsid w:val="648A7692"/>
    <w:rsid w:val="64D71558"/>
    <w:rsid w:val="64D92CED"/>
    <w:rsid w:val="651477FA"/>
    <w:rsid w:val="65162ADC"/>
    <w:rsid w:val="652B2C52"/>
    <w:rsid w:val="654F329C"/>
    <w:rsid w:val="65B921AD"/>
    <w:rsid w:val="65C02567"/>
    <w:rsid w:val="66151F4C"/>
    <w:rsid w:val="66265312"/>
    <w:rsid w:val="662C1D33"/>
    <w:rsid w:val="66316F31"/>
    <w:rsid w:val="669916E6"/>
    <w:rsid w:val="66C36F39"/>
    <w:rsid w:val="66DF183F"/>
    <w:rsid w:val="67056D8F"/>
    <w:rsid w:val="670F60DF"/>
    <w:rsid w:val="67873A4E"/>
    <w:rsid w:val="678E63DE"/>
    <w:rsid w:val="67BF6E67"/>
    <w:rsid w:val="67F72858"/>
    <w:rsid w:val="68963F80"/>
    <w:rsid w:val="68E07C2E"/>
    <w:rsid w:val="68F61FBD"/>
    <w:rsid w:val="690E38A3"/>
    <w:rsid w:val="69812053"/>
    <w:rsid w:val="6A1C6CD5"/>
    <w:rsid w:val="6A282F06"/>
    <w:rsid w:val="6A5120C0"/>
    <w:rsid w:val="6A624253"/>
    <w:rsid w:val="6A7650E7"/>
    <w:rsid w:val="6ADB7CB6"/>
    <w:rsid w:val="6AEE5DC7"/>
    <w:rsid w:val="6B153499"/>
    <w:rsid w:val="6B4509E3"/>
    <w:rsid w:val="6B593B01"/>
    <w:rsid w:val="6B780B7E"/>
    <w:rsid w:val="6BC6012D"/>
    <w:rsid w:val="6BE6493E"/>
    <w:rsid w:val="6BEA21A6"/>
    <w:rsid w:val="6BFF4D1D"/>
    <w:rsid w:val="6C010AE6"/>
    <w:rsid w:val="6C1F464D"/>
    <w:rsid w:val="6C280CA9"/>
    <w:rsid w:val="6C411075"/>
    <w:rsid w:val="6C590A87"/>
    <w:rsid w:val="6C61585A"/>
    <w:rsid w:val="6C88189D"/>
    <w:rsid w:val="6C913461"/>
    <w:rsid w:val="6DFA7D49"/>
    <w:rsid w:val="6E0E65D9"/>
    <w:rsid w:val="6E7B18D6"/>
    <w:rsid w:val="6EB03153"/>
    <w:rsid w:val="6ECD464E"/>
    <w:rsid w:val="6ED65E3C"/>
    <w:rsid w:val="6F416286"/>
    <w:rsid w:val="6F471293"/>
    <w:rsid w:val="6FB672C2"/>
    <w:rsid w:val="6FF04591"/>
    <w:rsid w:val="70363B68"/>
    <w:rsid w:val="70383871"/>
    <w:rsid w:val="70484134"/>
    <w:rsid w:val="70747AE2"/>
    <w:rsid w:val="70873D8C"/>
    <w:rsid w:val="70D3287D"/>
    <w:rsid w:val="714256B4"/>
    <w:rsid w:val="716E71D1"/>
    <w:rsid w:val="71B10029"/>
    <w:rsid w:val="71C301E6"/>
    <w:rsid w:val="71F43F22"/>
    <w:rsid w:val="720E2BE7"/>
    <w:rsid w:val="724F5D51"/>
    <w:rsid w:val="72D90891"/>
    <w:rsid w:val="72DF3140"/>
    <w:rsid w:val="7317347D"/>
    <w:rsid w:val="731D7416"/>
    <w:rsid w:val="73293667"/>
    <w:rsid w:val="73297D0A"/>
    <w:rsid w:val="74BB46F6"/>
    <w:rsid w:val="7500176A"/>
    <w:rsid w:val="754C791F"/>
    <w:rsid w:val="75A90755"/>
    <w:rsid w:val="75B061C1"/>
    <w:rsid w:val="762C7521"/>
    <w:rsid w:val="76844810"/>
    <w:rsid w:val="76A50A5E"/>
    <w:rsid w:val="76AA460C"/>
    <w:rsid w:val="76CD33BC"/>
    <w:rsid w:val="773A0EDB"/>
    <w:rsid w:val="77607361"/>
    <w:rsid w:val="779918A0"/>
    <w:rsid w:val="782E1B88"/>
    <w:rsid w:val="783B10BF"/>
    <w:rsid w:val="784911FF"/>
    <w:rsid w:val="78757E2C"/>
    <w:rsid w:val="78767CE0"/>
    <w:rsid w:val="789B1C76"/>
    <w:rsid w:val="78E570F5"/>
    <w:rsid w:val="790E69AB"/>
    <w:rsid w:val="792C0540"/>
    <w:rsid w:val="79385253"/>
    <w:rsid w:val="795D50C6"/>
    <w:rsid w:val="79683605"/>
    <w:rsid w:val="7969011F"/>
    <w:rsid w:val="797A4DA7"/>
    <w:rsid w:val="79A00E7A"/>
    <w:rsid w:val="79F855C6"/>
    <w:rsid w:val="7A416983"/>
    <w:rsid w:val="7A5F574F"/>
    <w:rsid w:val="7A8A54B1"/>
    <w:rsid w:val="7A90758E"/>
    <w:rsid w:val="7AFB19A4"/>
    <w:rsid w:val="7B091369"/>
    <w:rsid w:val="7B400626"/>
    <w:rsid w:val="7B4C15BE"/>
    <w:rsid w:val="7B5E55F2"/>
    <w:rsid w:val="7B732DC1"/>
    <w:rsid w:val="7B7B0F57"/>
    <w:rsid w:val="7BA92B3F"/>
    <w:rsid w:val="7C6967A8"/>
    <w:rsid w:val="7CBA2C1B"/>
    <w:rsid w:val="7CD50DE6"/>
    <w:rsid w:val="7CF0438C"/>
    <w:rsid w:val="7CF06DF9"/>
    <w:rsid w:val="7D4A0526"/>
    <w:rsid w:val="7D894390"/>
    <w:rsid w:val="7DFD727B"/>
    <w:rsid w:val="7E4A3190"/>
    <w:rsid w:val="7E8018EC"/>
    <w:rsid w:val="7E872FDE"/>
    <w:rsid w:val="7E9C6589"/>
    <w:rsid w:val="7E9D0491"/>
    <w:rsid w:val="7ED20336"/>
    <w:rsid w:val="7F21599B"/>
    <w:rsid w:val="7F7D63A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qFormat="1" w:unhideWhenUsed="0" w:uiPriority="99" w:semiHidden="0" w:name="HTML Variable"/>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link w:val="23"/>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99"/>
    <w:pPr>
      <w:keepNext/>
      <w:keepLines/>
      <w:spacing w:before="260" w:after="260" w:line="416" w:lineRule="auto"/>
      <w:outlineLvl w:val="1"/>
    </w:pPr>
    <w:rPr>
      <w:rFonts w:ascii="Arial" w:hAnsi="Arial" w:eastAsia="黑体" w:cs="Times New Roman"/>
      <w:b/>
      <w:bCs/>
      <w:sz w:val="32"/>
      <w:szCs w:val="32"/>
    </w:rPr>
  </w:style>
  <w:style w:type="character" w:default="1" w:styleId="11">
    <w:name w:val="Default Paragraph Font"/>
    <w:semiHidden/>
    <w:qFormat/>
    <w:uiPriority w:val="99"/>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footer"/>
    <w:basedOn w:val="1"/>
    <w:link w:val="25"/>
    <w:qFormat/>
    <w:uiPriority w:val="99"/>
    <w:pPr>
      <w:tabs>
        <w:tab w:val="center" w:pos="4153"/>
        <w:tab w:val="right" w:pos="8306"/>
      </w:tabs>
      <w:snapToGrid w:val="0"/>
      <w:jc w:val="left"/>
    </w:pPr>
    <w:rPr>
      <w:sz w:val="18"/>
      <w:szCs w:val="18"/>
    </w:rPr>
  </w:style>
  <w:style w:type="paragraph" w:styleId="5">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99"/>
  </w:style>
  <w:style w:type="paragraph" w:styleId="7">
    <w:name w:val="toc 2"/>
    <w:basedOn w:val="1"/>
    <w:next w:val="1"/>
    <w:qFormat/>
    <w:uiPriority w:val="99"/>
    <w:pPr>
      <w:ind w:left="420" w:leftChars="200"/>
    </w:p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99"/>
    <w:rPr>
      <w:rFonts w:cs="Times New Roman"/>
      <w:b/>
    </w:rPr>
  </w:style>
  <w:style w:type="character" w:styleId="13">
    <w:name w:val="page number"/>
    <w:basedOn w:val="11"/>
    <w:qFormat/>
    <w:uiPriority w:val="99"/>
    <w:rPr>
      <w:rFonts w:cs="Times New Roman"/>
    </w:rPr>
  </w:style>
  <w:style w:type="character" w:styleId="14">
    <w:name w:val="FollowedHyperlink"/>
    <w:basedOn w:val="11"/>
    <w:qFormat/>
    <w:uiPriority w:val="99"/>
    <w:rPr>
      <w:rFonts w:cs="Times New Roman"/>
      <w:color w:val="338DE6"/>
      <w:u w:val="none"/>
    </w:rPr>
  </w:style>
  <w:style w:type="character" w:styleId="15">
    <w:name w:val="Emphasis"/>
    <w:basedOn w:val="11"/>
    <w:qFormat/>
    <w:uiPriority w:val="99"/>
    <w:rPr>
      <w:rFonts w:cs="Times New Roman"/>
    </w:rPr>
  </w:style>
  <w:style w:type="character" w:styleId="16">
    <w:name w:val="HTML Definition"/>
    <w:basedOn w:val="11"/>
    <w:qFormat/>
    <w:uiPriority w:val="99"/>
    <w:rPr>
      <w:rFonts w:cs="Times New Roman"/>
    </w:rPr>
  </w:style>
  <w:style w:type="character" w:styleId="17">
    <w:name w:val="HTML Variable"/>
    <w:basedOn w:val="11"/>
    <w:qFormat/>
    <w:uiPriority w:val="99"/>
    <w:rPr>
      <w:rFonts w:cs="Times New Roman"/>
    </w:rPr>
  </w:style>
  <w:style w:type="character" w:styleId="18">
    <w:name w:val="Hyperlink"/>
    <w:basedOn w:val="11"/>
    <w:qFormat/>
    <w:uiPriority w:val="99"/>
    <w:rPr>
      <w:rFonts w:cs="Times New Roman"/>
      <w:color w:val="0000FF"/>
      <w:u w:val="single"/>
    </w:rPr>
  </w:style>
  <w:style w:type="character" w:styleId="19">
    <w:name w:val="HTML Code"/>
    <w:basedOn w:val="11"/>
    <w:qFormat/>
    <w:uiPriority w:val="99"/>
    <w:rPr>
      <w:rFonts w:ascii="monospace" w:hAnsi="monospace" w:cs="monospace"/>
      <w:sz w:val="21"/>
      <w:szCs w:val="21"/>
    </w:rPr>
  </w:style>
  <w:style w:type="character" w:styleId="20">
    <w:name w:val="HTML Cite"/>
    <w:basedOn w:val="11"/>
    <w:qFormat/>
    <w:uiPriority w:val="99"/>
    <w:rPr>
      <w:rFonts w:cs="Times New Roman"/>
    </w:rPr>
  </w:style>
  <w:style w:type="character" w:styleId="21">
    <w:name w:val="HTML Keyboard"/>
    <w:basedOn w:val="11"/>
    <w:qFormat/>
    <w:uiPriority w:val="99"/>
    <w:rPr>
      <w:rFonts w:ascii="monospace" w:hAnsi="monospace" w:cs="monospace"/>
      <w:sz w:val="21"/>
      <w:szCs w:val="21"/>
    </w:rPr>
  </w:style>
  <w:style w:type="character" w:styleId="22">
    <w:name w:val="HTML Sample"/>
    <w:basedOn w:val="11"/>
    <w:qFormat/>
    <w:uiPriority w:val="99"/>
    <w:rPr>
      <w:rFonts w:ascii="monospace" w:hAnsi="monospace" w:cs="monospace"/>
      <w:sz w:val="21"/>
      <w:szCs w:val="21"/>
    </w:rPr>
  </w:style>
  <w:style w:type="character" w:customStyle="1" w:styleId="23">
    <w:name w:val="Heading 1 Char"/>
    <w:basedOn w:val="11"/>
    <w:link w:val="2"/>
    <w:qFormat/>
    <w:locked/>
    <w:uiPriority w:val="99"/>
    <w:rPr>
      <w:rFonts w:ascii="Calibri" w:hAnsi="Calibri" w:cs="Arial"/>
      <w:b/>
      <w:bCs/>
      <w:kern w:val="44"/>
      <w:sz w:val="44"/>
      <w:szCs w:val="44"/>
    </w:rPr>
  </w:style>
  <w:style w:type="character" w:customStyle="1" w:styleId="24">
    <w:name w:val="Heading 2 Char"/>
    <w:basedOn w:val="11"/>
    <w:link w:val="3"/>
    <w:semiHidden/>
    <w:qFormat/>
    <w:locked/>
    <w:uiPriority w:val="99"/>
    <w:rPr>
      <w:rFonts w:ascii="Cambria" w:hAnsi="Cambria" w:eastAsia="宋体" w:cs="Times New Roman"/>
      <w:b/>
      <w:bCs/>
      <w:sz w:val="32"/>
      <w:szCs w:val="32"/>
    </w:rPr>
  </w:style>
  <w:style w:type="character" w:customStyle="1" w:styleId="25">
    <w:name w:val="Footer Char"/>
    <w:basedOn w:val="11"/>
    <w:link w:val="4"/>
    <w:semiHidden/>
    <w:qFormat/>
    <w:locked/>
    <w:uiPriority w:val="99"/>
    <w:rPr>
      <w:rFonts w:ascii="Calibri" w:hAnsi="Calibri" w:cs="Arial"/>
      <w:sz w:val="18"/>
      <w:szCs w:val="18"/>
    </w:rPr>
  </w:style>
  <w:style w:type="character" w:customStyle="1" w:styleId="26">
    <w:name w:val="Header Char"/>
    <w:basedOn w:val="11"/>
    <w:link w:val="5"/>
    <w:semiHidden/>
    <w:qFormat/>
    <w:locked/>
    <w:uiPriority w:val="99"/>
    <w:rPr>
      <w:rFonts w:ascii="Calibri" w:hAnsi="Calibri" w:cs="Arial"/>
      <w:sz w:val="18"/>
      <w:szCs w:val="18"/>
    </w:rPr>
  </w:style>
  <w:style w:type="character" w:customStyle="1" w:styleId="27">
    <w:name w:val="fontstrikethrough"/>
    <w:basedOn w:val="11"/>
    <w:qFormat/>
    <w:uiPriority w:val="99"/>
    <w:rPr>
      <w:rFonts w:cs="Times New Roman"/>
      <w:strike/>
    </w:rPr>
  </w:style>
  <w:style w:type="character" w:customStyle="1" w:styleId="28">
    <w:name w:val="fontborder"/>
    <w:basedOn w:val="11"/>
    <w:qFormat/>
    <w:uiPriority w:val="99"/>
    <w:rPr>
      <w:rFonts w:cs="Times New Roman"/>
      <w:bdr w:val="single" w:color="000000" w:sz="6" w:space="0"/>
    </w:rPr>
  </w:style>
  <w:style w:type="character" w:customStyle="1" w:styleId="29">
    <w:name w:val="cur"/>
    <w:basedOn w:val="11"/>
    <w:qFormat/>
    <w:uiPriority w:val="99"/>
    <w:rPr>
      <w:rFonts w:cs="Times New Roman"/>
      <w:color w:val="666666"/>
      <w:bdr w:val="single" w:color="CCD4E1" w:sz="6" w:space="0"/>
    </w:rPr>
  </w:style>
  <w:style w:type="character" w:customStyle="1" w:styleId="30">
    <w:name w:val="cur1"/>
    <w:basedOn w:val="11"/>
    <w:qFormat/>
    <w:uiPriority w:val="99"/>
    <w:rPr>
      <w:rFonts w:cs="Times New Roman"/>
      <w:color w:val="666666"/>
      <w:bdr w:val="single" w:color="CCD4E1" w:sz="6" w:space="0"/>
    </w:rPr>
  </w:style>
  <w:style w:type="character" w:customStyle="1" w:styleId="31">
    <w:name w:val="current-btn"/>
    <w:basedOn w:val="11"/>
    <w:qFormat/>
    <w:uiPriority w:val="99"/>
    <w:rPr>
      <w:rFonts w:cs="Times New Roman"/>
      <w:color w:val="000000"/>
      <w:bdr w:val="single" w:color="FFFFFF" w:sz="6" w:space="0"/>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35</Pages>
  <Words>2525</Words>
  <Characters>14394</Characters>
  <Lines>0</Lines>
  <Paragraphs>0</Paragraphs>
  <TotalTime>303</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2016-12-30T19:46:00Z</dcterms:created>
  <dc:creator>Administrator</dc:creator>
  <cp:lastModifiedBy>user</cp:lastModifiedBy>
  <cp:lastPrinted>2017-07-21T18:41:00Z</cp:lastPrinted>
  <dcterms:modified xsi:type="dcterms:W3CDTF">2021-11-25T14:38:59Z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