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06267"/>
      <w:bookmarkStart w:id="2" w:name="_Toc15396597"/>
      <w:bookmarkStart w:id="3" w:name="_Toc15377193"/>
      <w:bookmarkStart w:id="4" w:name="_Toc15396475"/>
      <w:bookmarkStart w:id="5" w:name="_Toc15378441"/>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bookmarkEnd w:id="1"/>
    <w:bookmarkEnd w:id="2"/>
    <w:bookmarkEnd w:id="3"/>
    <w:bookmarkEnd w:id="4"/>
    <w:bookmarkEnd w:id="5"/>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202</w:t>
      </w:r>
      <w:r>
        <w:rPr>
          <w:rFonts w:hint="eastAsia" w:ascii="黑体" w:hAnsi="黑体" w:eastAsia="黑体"/>
          <w:color w:val="000000"/>
          <w:sz w:val="72"/>
          <w:szCs w:val="72"/>
        </w:rPr>
        <w:t>1</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598"/>
      <w:bookmarkStart w:id="8" w:name="_Toc15377194"/>
      <w:bookmarkStart w:id="9" w:name="_Toc15396476"/>
      <w:bookmarkStart w:id="10" w:name="_Toc15378442"/>
      <w:r>
        <w:rPr>
          <w:rFonts w:hint="eastAsia" w:ascii="方正小标宋简体" w:hAnsi="宋体" w:eastAsia="方正小标宋简体"/>
          <w:color w:val="000000"/>
          <w:sz w:val="72"/>
          <w:szCs w:val="72"/>
        </w:rPr>
        <w:t>广元市朝天区</w:t>
      </w:r>
      <w:bookmarkStart w:id="11" w:name="_Toc15306268"/>
      <w:r>
        <w:rPr>
          <w:rFonts w:hint="eastAsia" w:ascii="方正小标宋简体" w:hAnsi="宋体" w:eastAsia="方正小标宋简体"/>
          <w:color w:val="000000"/>
          <w:sz w:val="72"/>
          <w:szCs w:val="72"/>
        </w:rPr>
        <w:t>委巡察办</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公开时间：2022年9月28日</w:t>
      </w:r>
    </w:p>
    <w:p/>
    <w:p>
      <w:pPr>
        <w:pStyle w:val="11"/>
        <w:adjustRightInd w:val="0"/>
        <w:snapToGrid w:val="0"/>
        <w:spacing w:before="0" w:line="440" w:lineRule="exact"/>
        <w:jc w:val="left"/>
        <w:rPr>
          <w:rFonts w:cstheme="minorBidi"/>
          <w:sz w:val="24"/>
          <w:szCs w:val="24"/>
        </w:rPr>
      </w:pPr>
      <w:r>
        <w:rPr>
          <w:rFonts w:hint="eastAsia"/>
          <w:sz w:val="24"/>
        </w:rPr>
        <w:t>第一部分部门概况                                       …………………4-6</w:t>
      </w:r>
    </w:p>
    <w:p>
      <w:pPr>
        <w:pStyle w:val="12"/>
        <w:adjustRightInd w:val="0"/>
        <w:snapToGrid w:val="0"/>
        <w:spacing w:line="440" w:lineRule="exact"/>
        <w:jc w:val="left"/>
        <w:rPr>
          <w:rFonts w:ascii="仿宋" w:hAnsi="仿宋" w:eastAsia="仿宋"/>
          <w:sz w:val="24"/>
        </w:rPr>
      </w:pPr>
      <w:r>
        <w:rPr>
          <w:rFonts w:hint="eastAsia"/>
          <w:sz w:val="24"/>
        </w:rPr>
        <w:t>一、基本职能及主要工作                              …………………4-6</w:t>
      </w:r>
    </w:p>
    <w:p>
      <w:pPr>
        <w:pStyle w:val="12"/>
        <w:adjustRightInd w:val="0"/>
        <w:snapToGrid w:val="0"/>
        <w:spacing w:line="440" w:lineRule="exact"/>
        <w:jc w:val="left"/>
        <w:rPr>
          <w:rFonts w:ascii="仿宋" w:hAnsi="仿宋" w:eastAsia="仿宋" w:cstheme="minorBidi"/>
          <w:sz w:val="24"/>
        </w:rPr>
      </w:pPr>
      <w:r>
        <w:rPr>
          <w:rFonts w:hint="eastAsia"/>
          <w:sz w:val="24"/>
        </w:rPr>
        <w:t>二、机构设置                                        …………………6</w:t>
      </w:r>
    </w:p>
    <w:p>
      <w:pPr>
        <w:pStyle w:val="11"/>
        <w:adjustRightInd w:val="0"/>
        <w:snapToGrid w:val="0"/>
        <w:spacing w:before="0" w:line="440" w:lineRule="exact"/>
        <w:jc w:val="left"/>
        <w:rPr>
          <w:sz w:val="24"/>
          <w:szCs w:val="24"/>
        </w:rPr>
      </w:pPr>
      <w:r>
        <w:rPr>
          <w:rFonts w:hint="eastAsia"/>
          <w:sz w:val="24"/>
        </w:rPr>
        <w:t>第二部分 2021年度部门决算情况说明                     …………………7-14</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                        …………………7</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                                …………………7</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                                …………………8</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                …………………8</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            …………………9-10</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        …………………10-11</w:t>
      </w:r>
    </w:p>
    <w:p>
      <w:pPr>
        <w:pStyle w:val="12"/>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            …………………11-12</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                  …………………12</w:t>
      </w:r>
    </w:p>
    <w:p>
      <w:pPr>
        <w:pStyle w:val="12"/>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九、国有资本经营预算支出决算情况说明                </w:t>
      </w:r>
      <w:r>
        <w:rPr>
          <w:rFonts w:hint="eastAsia"/>
          <w:sz w:val="24"/>
        </w:rPr>
        <w:t>…………………12</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6"/>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预算绩效管理情况</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 xml:space="preserve">                               </w:t>
      </w:r>
      <w:r>
        <w:rPr>
          <w:rFonts w:hint="eastAsia"/>
          <w:sz w:val="24"/>
        </w:rPr>
        <w:t>…………………13</w:t>
      </w:r>
    </w:p>
    <w:p>
      <w:pPr>
        <w:adjustRightInd w:val="0"/>
        <w:snapToGrid w:val="0"/>
        <w:spacing w:line="440" w:lineRule="exact"/>
        <w:ind w:firstLine="420" w:firstLineChars="175"/>
        <w:jc w:val="left"/>
        <w:rPr>
          <w:rFonts w:eastAsiaTheme="minorEastAsia"/>
        </w:rPr>
      </w:pPr>
      <w:r>
        <w:rPr>
          <w:rFonts w:hint="eastAsia" w:asciiTheme="minorEastAsia" w:hAnsiTheme="minorEastAsia" w:eastAsiaTheme="minorEastAsia" w:cstheme="minorEastAsia"/>
          <w:sz w:val="24"/>
        </w:rPr>
        <w:t xml:space="preserve">十一、其他重要事项的情况说明                        </w:t>
      </w:r>
      <w:r>
        <w:rPr>
          <w:rFonts w:hint="eastAsia"/>
          <w:sz w:val="24"/>
        </w:rPr>
        <w:t>…………………13-14</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第三部分名词解释                                       …………………15-</w:t>
      </w:r>
      <w:r>
        <w:rPr>
          <w:rFonts w:hint="eastAsia"/>
          <w:sz w:val="24"/>
          <w:lang w:val="en-US" w:eastAsia="zh-CN"/>
        </w:rPr>
        <w:t>16</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第四部分附件                                           …………………</w:t>
      </w:r>
      <w:r>
        <w:rPr>
          <w:rFonts w:hint="eastAsia"/>
          <w:sz w:val="24"/>
          <w:lang w:val="en-US" w:eastAsia="zh-CN"/>
        </w:rPr>
        <w:t>17</w:t>
      </w:r>
      <w:r>
        <w:rPr>
          <w:rFonts w:hint="eastAsia"/>
          <w:sz w:val="24"/>
        </w:rPr>
        <w:t>-</w:t>
      </w:r>
      <w:r>
        <w:rPr>
          <w:rFonts w:hint="eastAsia"/>
          <w:sz w:val="24"/>
          <w:lang w:val="en-US" w:eastAsia="zh-CN"/>
        </w:rPr>
        <w:t>29</w:t>
      </w:r>
    </w:p>
    <w:p>
      <w:pPr>
        <w:pStyle w:val="11"/>
        <w:adjustRightInd w:val="0"/>
        <w:snapToGrid w:val="0"/>
        <w:spacing w:before="0" w:line="440" w:lineRule="exact"/>
        <w:jc w:val="left"/>
        <w:rPr>
          <w:rFonts w:hint="default" w:eastAsia="仿宋" w:cstheme="minorBidi"/>
          <w:sz w:val="24"/>
          <w:szCs w:val="24"/>
          <w:lang w:val="en-US" w:eastAsia="zh-CN"/>
        </w:rPr>
      </w:pPr>
      <w:r>
        <w:rPr>
          <w:rFonts w:hint="eastAsia"/>
          <w:sz w:val="24"/>
        </w:rPr>
        <w:t>第五部分附表                                           …………………</w:t>
      </w:r>
      <w:r>
        <w:rPr>
          <w:rFonts w:hint="eastAsia"/>
          <w:sz w:val="24"/>
          <w:lang w:val="en-US" w:eastAsia="zh-CN"/>
        </w:rPr>
        <w:t>30</w:t>
      </w:r>
    </w:p>
    <w:p>
      <w:pPr>
        <w:pStyle w:val="12"/>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十、一般公共预算财政拨款“三公”经费支出决算表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十一、政府性基金预算财政拨款收入支出决算表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十二、政府性基金预算财政拨款“三公”经费支出决算表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十三、国有资本经营预算财政拨款收入支出决算表</w:t>
      </w:r>
    </w:p>
    <w:p>
      <w:pPr>
        <w:pStyle w:val="12"/>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十四、国有资本经营预算财政拨款支出决算表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请部门根据实际注明页码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rPr>
          <w:rStyle w:val="26"/>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bookmarkEnd w:id="16"/>
      <w:bookmarkEnd w:id="17"/>
    </w:p>
    <w:p>
      <w:pPr>
        <w:pStyle w:val="6"/>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区委巡察办承担《四川省（州）、县（市、区）党委巡察工作办法（试行）》规定的相关职责。区委巡察办是区委巡察工作领导小组日常办事机构，为区委工作部门，承担统筹协调、指导督导、服务保障职责，统筹、协调、指导巡察组工作，向区委和区委巡察工作领导小组负责并报告工作，区委巡察机构共设常规巡察组四个、巡察信息中心一个。</w:t>
      </w:r>
    </w:p>
    <w:p>
      <w:pPr>
        <w:pStyle w:val="6"/>
        <w:adjustRightInd w:val="0"/>
        <w:snapToGrid w:val="0"/>
        <w:spacing w:before="93" w:line="600" w:lineRule="exact"/>
        <w:ind w:firstLine="672" w:firstLineChars="210"/>
        <w:outlineLvl w:val="2"/>
        <w:rPr>
          <w:rFonts w:ascii="仿宋" w:hAnsi="仿宋" w:eastAsia="仿宋"/>
          <w:bCs/>
          <w:sz w:val="32"/>
          <w:szCs w:val="32"/>
        </w:rPr>
      </w:pPr>
      <w:bookmarkStart w:id="18" w:name="_Toc15377199"/>
      <w:bookmarkStart w:id="19" w:name="_Toc15378446"/>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18"/>
      <w:bookmarkEnd w:id="19"/>
    </w:p>
    <w:p>
      <w:pPr>
        <w:pStyle w:val="6"/>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2021年，在省委巡视办、市委巡察办的精心指导和区委及区委巡察工作领导小组的坚强领导下，区委巡察机构认真贯彻巡视工作方针，全面落实中央和省委、市委、区委巡察工作决策部署，鲜明“创品牌、争一流”工作导向，践行“四高四专”“四心四不”“四知四有”工作要求，队伍建设不断加强、巡察质效不断提升、各项工作有序推进，利剑作用充分彰显，为持续净化我区良好的政治生态，建设更高水平的生态文明繁荣和谐新朝天提供了坚强的政治保证。</w:t>
      </w:r>
    </w:p>
    <w:p>
      <w:pPr>
        <w:pStyle w:val="6"/>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一、2021年工作开展情况</w:t>
      </w:r>
    </w:p>
    <w:p>
      <w:pPr>
        <w:pStyle w:val="6"/>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一）围绕中心大局，坚守政治监督定位，精准落实政治巡察要求。朝天区委巡察机构坚持“抓标准化促巡察工作质效提升、抓规范化促特色品牌创建、抓专业化促干部能力提升”三大工作路径，精心谋划、高位推进全年各项工作。全面推进巡察“有形全覆盖”。今年1-4月，有序推进七届区委第九轮常规巡察工作，全面完成了七届区委巡察全覆盖目标任务，着力发现并推动解决全区被巡察党组织存在的突出问题1400余个，促进了全区经济社会各项工作健康有序发展。11月18日，全面启动了八届区委第一轮常规巡察工作，目前区委4个巡察组正有力有序有效推进相关工作。扎实推进巡察“有效全覆盖”。今年以来，根据中央、省委、市委相关巡视巡察部署要求，分别开展了疫情防控、森林防灭火、朝天区生态环境领域、朝天区粮食购销领域等4项专项巡察工作，就巡察发现的问题及时反馈、督促整改。按照省市巡察工作的统一部署，先后与市委巡察机构组建联动巡察组，以“回头看”的形式，联动开展了疫情防控、森林防灭火专项巡察和政法系统巡察“回头看”，达到了良好的巡察效果。为了充分检视全覆盖巡察成效，常规巡察结束后，针对今年换届的特殊情况，朝天巡察机构对前8轮已巡察的64个党组织全覆盖开展了巡察“回头看”，发现并推动解决问题169个。</w:t>
      </w:r>
    </w:p>
    <w:p>
      <w:pPr>
        <w:pStyle w:val="6"/>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二）狠抓巡察质效，强化制度建设体系，大力推进巡察机构和巡察工作规范化、标准化建设。着力建章立制，逗硬实施制度管理，确保各项工作规范严谨，有章可循。通过不断创新举措，健全了巡察工作系列运行规则。切实强化管理，规范了巡察机构工作运行体系。积极推进信息化建设，探索数字档案管理新模式，提高精准监督能力和标准化水平。</w:t>
      </w:r>
    </w:p>
    <w:p>
      <w:pPr>
        <w:pStyle w:val="6"/>
        <w:adjustRightInd w:val="0"/>
        <w:snapToGrid w:val="0"/>
        <w:spacing w:before="93" w:line="600" w:lineRule="exact"/>
        <w:ind w:firstLine="672" w:firstLineChars="210"/>
        <w:outlineLvl w:val="2"/>
        <w:rPr>
          <w:rFonts w:ascii="仿宋" w:hAnsi="仿宋" w:eastAsia="仿宋"/>
          <w:bCs/>
          <w:sz w:val="32"/>
          <w:szCs w:val="32"/>
        </w:rPr>
      </w:pPr>
      <w:r>
        <w:rPr>
          <w:rFonts w:hint="eastAsia" w:ascii="仿宋" w:hAnsi="仿宋" w:eastAsia="仿宋"/>
          <w:bCs/>
          <w:sz w:val="32"/>
          <w:szCs w:val="32"/>
        </w:rPr>
        <w:t>（三）着力自身建设，夯实工作保障基础，不断加强巡察机构建设和干部队伍培养。多措并举，强化干部提能培训，制定年度培训方案，实现培训常态化。深入开展作风纪律整顿工作，打造忠诚、干净的巡察干部队伍。紧紧围绕区委工作中心，扎实开展党史学习教育。强化舆论引导，注重宣传展示，树立巡察良好形象。</w:t>
      </w:r>
    </w:p>
    <w:p>
      <w:pPr>
        <w:pStyle w:val="4"/>
        <w:rPr>
          <w:rStyle w:val="26"/>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0"/>
      <w:bookmarkEnd w:id="21"/>
    </w:p>
    <w:p>
      <w:pPr>
        <w:pStyle w:val="6"/>
        <w:numPr>
          <w:ilvl w:val="0"/>
          <w:numId w:val="1"/>
        </w:numPr>
        <w:adjustRightInd w:val="0"/>
        <w:snapToGrid w:val="0"/>
        <w:spacing w:before="93" w:line="600" w:lineRule="exact"/>
        <w:outlineLvl w:val="2"/>
        <w:rPr>
          <w:rFonts w:ascii="仿宋" w:hAnsi="仿宋" w:eastAsia="仿宋"/>
          <w:sz w:val="32"/>
          <w:szCs w:val="32"/>
        </w:rPr>
      </w:pPr>
      <w:r>
        <w:rPr>
          <w:rFonts w:hint="eastAsia" w:ascii="仿宋" w:hAnsi="仿宋" w:eastAsia="仿宋"/>
          <w:sz w:val="32"/>
          <w:szCs w:val="32"/>
        </w:rPr>
        <w:t>区委巡察办属一级预算单位，总编制15名，其中行政编制10名，事业编制5名。2021年底实有在职人员总数15人，其中行政人员13人，事业人员2人。区委巡察办内设机构：区委第一巡察组、区委第二巡察组、区委第三巡察组、区委第四巡察组、综合室、巡察信息中心。</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22" w:name="_Toc15377204"/>
      <w:bookmarkStart w:id="23" w:name="_Toc15396602"/>
      <w:r>
        <w:rPr>
          <w:rFonts w:hint="eastAsia" w:ascii="黑体" w:hAnsi="黑体" w:eastAsia="黑体"/>
          <w:b w:val="0"/>
        </w:rPr>
        <w:t>第二部分 2021年度</w:t>
      </w:r>
      <w:r>
        <w:rPr>
          <w:rStyle w:val="25"/>
          <w:rFonts w:hint="eastAsia" w:ascii="黑体" w:hAnsi="黑体" w:eastAsia="黑体"/>
          <w:b w:val="0"/>
          <w:bCs/>
        </w:rPr>
        <w:t>部门决算情况说明</w:t>
      </w:r>
      <w:bookmarkEnd w:id="22"/>
      <w:bookmarkEnd w:id="23"/>
    </w:p>
    <w:p/>
    <w:p>
      <w:pPr>
        <w:pStyle w:val="24"/>
        <w:numPr>
          <w:ilvl w:val="0"/>
          <w:numId w:val="2"/>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2021年度收、支总计为523.48万元。与2020年相比，收、支总计增加109.19万元，增长26</w:t>
      </w:r>
      <w:r>
        <w:rPr>
          <w:rFonts w:ascii="仿宋" w:hAnsi="仿宋" w:eastAsia="仿宋"/>
          <w:sz w:val="32"/>
          <w:szCs w:val="32"/>
        </w:rPr>
        <w:t>%</w:t>
      </w:r>
      <w:r>
        <w:rPr>
          <w:rFonts w:hint="eastAsia" w:ascii="仿宋" w:hAnsi="仿宋" w:eastAsia="仿宋"/>
          <w:sz w:val="32"/>
          <w:szCs w:val="32"/>
        </w:rPr>
        <w:t>。主要变动原因是2021年度三人调进、二人调出，一人职务晋升到三级调研员；项目经费增加。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ind w:firstLine="640" w:firstLineChars="200"/>
        <w:jc w:val="left"/>
        <w:rPr>
          <w:rFonts w:ascii="仿宋_GB2312" w:eastAsia="仿宋_GB2312"/>
          <w:sz w:val="32"/>
          <w:szCs w:val="32"/>
        </w:rPr>
      </w:pPr>
      <w:r>
        <w:rPr>
          <w:rFonts w:hint="eastAsia" w:ascii="仿宋_GB2312" w:eastAsia="仿宋_GB2312"/>
          <w:sz w:val="32"/>
          <w:szCs w:val="32"/>
        </w:rPr>
        <w:drawing>
          <wp:inline distT="0" distB="0" distL="114300" distR="114300">
            <wp:extent cx="2304415" cy="2042160"/>
            <wp:effectExtent l="0" t="0" r="635" b="15240"/>
            <wp:docPr id="2" name="图片 2" descr="收支总计"/>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收支总计"/>
                    <pic:cNvPicPr>
                      <a:picLocks noChangeAspect="true"/>
                    </pic:cNvPicPr>
                  </pic:nvPicPr>
                  <pic:blipFill>
                    <a:blip r:embed="rId6"/>
                    <a:stretch>
                      <a:fillRect/>
                    </a:stretch>
                  </pic:blipFill>
                  <pic:spPr>
                    <a:xfrm>
                      <a:off x="0" y="0"/>
                      <a:ext cx="2304415" cy="2042160"/>
                    </a:xfrm>
                    <a:prstGeom prst="rect">
                      <a:avLst/>
                    </a:prstGeom>
                  </pic:spPr>
                </pic:pic>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21年本年收入合计261.74万元，其中：一般公共预算财政拨款收入261.74万元，占100</w:t>
      </w:r>
      <w:r>
        <w:rPr>
          <w:rFonts w:ascii="仿宋" w:hAnsi="仿宋" w:eastAsia="仿宋"/>
          <w:sz w:val="32"/>
          <w:szCs w:val="32"/>
        </w:rPr>
        <w:t>%</w:t>
      </w:r>
      <w:r>
        <w:rPr>
          <w:rFonts w:hint="eastAsia" w:ascii="仿宋" w:hAnsi="仿宋" w:eastAsia="仿宋"/>
          <w:sz w:val="32"/>
          <w:szCs w:val="32"/>
        </w:rPr>
        <w:t>。</w:t>
      </w:r>
    </w:p>
    <w:p>
      <w:pPr>
        <w:spacing w:line="600" w:lineRule="exact"/>
        <w:ind w:firstLine="642"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ind w:firstLine="640" w:firstLineChars="200"/>
        <w:rPr>
          <w:rFonts w:ascii="仿宋_GB2312" w:eastAsia="仿宋_GB2312"/>
          <w:sz w:val="32"/>
          <w:szCs w:val="32"/>
        </w:rPr>
      </w:pPr>
      <w:r>
        <w:rPr>
          <w:rFonts w:hint="eastAsia" w:ascii="仿宋_GB2312" w:eastAsia="仿宋_GB2312"/>
          <w:sz w:val="32"/>
          <w:szCs w:val="32"/>
        </w:rPr>
        <w:drawing>
          <wp:inline distT="0" distB="0" distL="114300" distR="114300">
            <wp:extent cx="2222500" cy="1861820"/>
            <wp:effectExtent l="0" t="0" r="6350" b="5080"/>
            <wp:docPr id="3" name="图片 3" descr="收入决算"/>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收入决算"/>
                    <pic:cNvPicPr>
                      <a:picLocks noChangeAspect="true"/>
                    </pic:cNvPicPr>
                  </pic:nvPicPr>
                  <pic:blipFill>
                    <a:blip r:embed="rId7"/>
                    <a:stretch>
                      <a:fillRect/>
                    </a:stretch>
                  </pic:blipFill>
                  <pic:spPr>
                    <a:xfrm>
                      <a:off x="0" y="0"/>
                      <a:ext cx="2222500" cy="1861820"/>
                    </a:xfrm>
                    <a:prstGeom prst="rect">
                      <a:avLst/>
                    </a:prstGeom>
                  </pic:spPr>
                </pic:pic>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21年本年支出合计261.74万元，其中：基本支出231.05万元，占89</w:t>
      </w:r>
      <w:r>
        <w:rPr>
          <w:rFonts w:ascii="仿宋" w:hAnsi="仿宋" w:eastAsia="仿宋"/>
          <w:sz w:val="32"/>
          <w:szCs w:val="32"/>
        </w:rPr>
        <w:t>%</w:t>
      </w:r>
      <w:r>
        <w:rPr>
          <w:rFonts w:hint="eastAsia" w:ascii="仿宋" w:hAnsi="仿宋" w:eastAsia="仿宋"/>
          <w:sz w:val="32"/>
          <w:szCs w:val="32"/>
        </w:rPr>
        <w:t>；项目支出30.69万元，占11</w:t>
      </w:r>
      <w:r>
        <w:rPr>
          <w:rFonts w:ascii="仿宋" w:hAnsi="仿宋" w:eastAsia="仿宋"/>
          <w:sz w:val="32"/>
          <w:szCs w:val="32"/>
        </w:rPr>
        <w:t>%</w:t>
      </w:r>
      <w:r>
        <w:rPr>
          <w:rFonts w:hint="eastAsia" w:ascii="仿宋" w:hAnsi="仿宋" w:eastAsia="仿宋"/>
          <w:sz w:val="32"/>
          <w:szCs w:val="32"/>
        </w:rPr>
        <w:t>。</w:t>
      </w:r>
    </w:p>
    <w:p>
      <w:pPr>
        <w:spacing w:line="600" w:lineRule="exact"/>
        <w:ind w:firstLine="642" w:firstLineChars="200"/>
        <w:outlineLvl w:val="1"/>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2"/>
        <w:ind w:left="840" w:hanging="420"/>
      </w:pPr>
    </w:p>
    <w:p>
      <w:pPr>
        <w:ind w:firstLine="640" w:firstLineChars="200"/>
        <w:rPr>
          <w:rFonts w:ascii="仿宋_GB2312" w:eastAsia="仿宋_GB2312"/>
          <w:sz w:val="32"/>
          <w:szCs w:val="32"/>
        </w:rPr>
      </w:pPr>
      <w:r>
        <w:rPr>
          <w:rFonts w:hint="eastAsia" w:ascii="仿宋_GB2312" w:eastAsia="仿宋_GB2312"/>
          <w:sz w:val="32"/>
          <w:szCs w:val="32"/>
        </w:rPr>
        <w:drawing>
          <wp:inline distT="0" distB="0" distL="114300" distR="114300">
            <wp:extent cx="2414270" cy="1852930"/>
            <wp:effectExtent l="0" t="0" r="5080" b="13970"/>
            <wp:docPr id="4" name="图片 4" descr="支出决算"/>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支出决算"/>
                    <pic:cNvPicPr>
                      <a:picLocks noChangeAspect="true"/>
                    </pic:cNvPicPr>
                  </pic:nvPicPr>
                  <pic:blipFill>
                    <a:blip r:embed="rId8"/>
                    <a:stretch>
                      <a:fillRect/>
                    </a:stretch>
                  </pic:blipFill>
                  <pic:spPr>
                    <a:xfrm>
                      <a:off x="0" y="0"/>
                      <a:ext cx="2414270" cy="1852930"/>
                    </a:xfrm>
                    <a:prstGeom prst="rect">
                      <a:avLst/>
                    </a:prstGeom>
                  </pic:spPr>
                </pic:pic>
              </a:graphicData>
            </a:graphic>
          </wp:inline>
        </w:drawing>
      </w: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sz w:val="32"/>
          <w:szCs w:val="32"/>
        </w:rPr>
      </w:pPr>
      <w:r>
        <w:rPr>
          <w:rFonts w:hint="eastAsia" w:ascii="仿宋" w:hAnsi="仿宋" w:eastAsia="仿宋"/>
          <w:sz w:val="32"/>
          <w:szCs w:val="32"/>
        </w:rPr>
        <w:t>2021年度财政拨款收、支总计为523.48万元。与2020年相比，财政拨款收入总计增加52.61万元、增长25%，财政拨款支出总计增加56.58万元，增长27%。主要变动原因是2021年度三人调进、二人调出，一人职务晋升到三级调研员；项目经费增加。</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ind w:firstLine="640"/>
        <w:rPr>
          <w:rFonts w:ascii="仿宋" w:hAnsi="仿宋" w:eastAsia="仿宋"/>
          <w:b/>
          <w:sz w:val="32"/>
          <w:szCs w:val="32"/>
        </w:rPr>
      </w:pPr>
      <w:r>
        <w:rPr>
          <w:rFonts w:hint="eastAsia" w:ascii="仿宋" w:hAnsi="仿宋" w:eastAsia="仿宋"/>
          <w:b/>
          <w:sz w:val="32"/>
          <w:szCs w:val="32"/>
        </w:rPr>
        <w:drawing>
          <wp:inline distT="0" distB="0" distL="114300" distR="114300">
            <wp:extent cx="3474720" cy="1944370"/>
            <wp:effectExtent l="0" t="0" r="11430" b="17780"/>
            <wp:docPr id="5" name="图片 5" descr="财政拨款收支总计"/>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财政拨款收支总计"/>
                    <pic:cNvPicPr>
                      <a:picLocks noChangeAspect="true"/>
                    </pic:cNvPicPr>
                  </pic:nvPicPr>
                  <pic:blipFill>
                    <a:blip r:embed="rId9"/>
                    <a:stretch>
                      <a:fillRect/>
                    </a:stretch>
                  </pic:blipFill>
                  <pic:spPr>
                    <a:xfrm>
                      <a:off x="0" y="0"/>
                      <a:ext cx="3474720" cy="1944370"/>
                    </a:xfrm>
                    <a:prstGeom prst="rect">
                      <a:avLst/>
                    </a:prstGeom>
                  </pic:spPr>
                </pic:pic>
              </a:graphicData>
            </a:graphic>
          </wp:inline>
        </w:drawing>
      </w: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21年一般公共预算财政拨款支出261.74万元，占本年支出合计的100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20年相比，一般公共预算财政拨款支出增加56.58万元，增长27</w:t>
      </w:r>
      <w:r>
        <w:rPr>
          <w:rFonts w:ascii="仿宋" w:hAnsi="仿宋" w:eastAsia="仿宋"/>
          <w:sz w:val="32"/>
          <w:szCs w:val="32"/>
        </w:rPr>
        <w:t>%</w:t>
      </w:r>
      <w:r>
        <w:rPr>
          <w:rFonts w:hint="eastAsia" w:ascii="仿宋" w:hAnsi="仿宋" w:eastAsia="仿宋"/>
          <w:sz w:val="32"/>
          <w:szCs w:val="32"/>
        </w:rPr>
        <w:t>。主要变动原因是2021年度三人调进、二人调出，一人职务晋升到三级调研员；项目经费增加。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ind w:firstLine="640" w:firstLineChars="200"/>
        <w:rPr>
          <w:rFonts w:ascii="仿宋" w:hAnsi="仿宋" w:eastAsia="仿宋"/>
          <w:sz w:val="32"/>
          <w:szCs w:val="32"/>
        </w:rPr>
      </w:pPr>
      <w:r>
        <w:rPr>
          <w:rFonts w:hint="eastAsia" w:ascii="仿宋" w:hAnsi="仿宋" w:eastAsia="仿宋"/>
          <w:sz w:val="32"/>
          <w:szCs w:val="32"/>
        </w:rPr>
        <w:drawing>
          <wp:inline distT="0" distB="0" distL="114300" distR="114300">
            <wp:extent cx="3474720" cy="2145665"/>
            <wp:effectExtent l="0" t="0" r="11430" b="6985"/>
            <wp:docPr id="6" name="图片 6" descr="一般公共支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一般公共支出"/>
                    <pic:cNvPicPr>
                      <a:picLocks noChangeAspect="true"/>
                    </pic:cNvPicPr>
                  </pic:nvPicPr>
                  <pic:blipFill>
                    <a:blip r:embed="rId10"/>
                    <a:stretch>
                      <a:fillRect/>
                    </a:stretch>
                  </pic:blipFill>
                  <pic:spPr>
                    <a:xfrm>
                      <a:off x="0" y="0"/>
                      <a:ext cx="3474720" cy="2145665"/>
                    </a:xfrm>
                    <a:prstGeom prst="rect">
                      <a:avLst/>
                    </a:prstGeom>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21年一般公共预算财政拨款支出261.74万元，主要用于以下方面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支出220.27万元，占85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支出21.47万元，占8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8.82万元，占3</w:t>
      </w:r>
      <w:r>
        <w:rPr>
          <w:rFonts w:ascii="仿宋" w:hAnsi="仿宋" w:eastAsia="仿宋"/>
          <w:sz w:val="32"/>
          <w:szCs w:val="32"/>
        </w:rPr>
        <w:t>%</w:t>
      </w:r>
      <w:r>
        <w:rPr>
          <w:rFonts w:hint="eastAsia" w:ascii="仿宋" w:hAnsi="仿宋" w:eastAsia="仿宋"/>
          <w:sz w:val="32"/>
          <w:szCs w:val="32"/>
        </w:rPr>
        <w:t>；住房保障支出11.19万元，占4</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ind w:firstLine="640" w:firstLineChars="200"/>
        <w:rPr>
          <w:rFonts w:ascii="仿宋" w:hAnsi="仿宋" w:eastAsia="仿宋"/>
          <w:sz w:val="32"/>
          <w:szCs w:val="32"/>
        </w:rPr>
      </w:pPr>
      <w:r>
        <w:rPr>
          <w:rFonts w:hint="eastAsia" w:ascii="仿宋" w:hAnsi="仿宋" w:eastAsia="仿宋"/>
          <w:sz w:val="32"/>
          <w:szCs w:val="32"/>
        </w:rPr>
        <w:drawing>
          <wp:inline distT="0" distB="0" distL="114300" distR="114300">
            <wp:extent cx="3822065" cy="1985010"/>
            <wp:effectExtent l="0" t="0" r="6985" b="15240"/>
            <wp:docPr id="7" name="图片 7" descr="一般公共斌装"/>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一般公共斌装"/>
                    <pic:cNvPicPr>
                      <a:picLocks noChangeAspect="true"/>
                    </pic:cNvPicPr>
                  </pic:nvPicPr>
                  <pic:blipFill>
                    <a:blip r:embed="rId11"/>
                    <a:stretch>
                      <a:fillRect/>
                    </a:stretch>
                  </pic:blipFill>
                  <pic:spPr>
                    <a:xfrm>
                      <a:off x="0" y="0"/>
                      <a:ext cx="3822065" cy="1985010"/>
                    </a:xfrm>
                    <a:prstGeom prst="rect">
                      <a:avLst/>
                    </a:prstGeom>
                  </pic:spPr>
                </pic:pic>
              </a:graphicData>
            </a:graphic>
          </wp:inline>
        </w:drawing>
      </w:r>
    </w:p>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2021年一般公共预算支出决算数为261.74万元，完成预算100%。其中：</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1.一般公共服务2011101: 支出决算为220.27万元，完成预算100%，决算数等于预算数。</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2.社会保障和就业2080505: 支出决算为21.47万元，完成预算100%，决算数等于预算数。</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3.卫生健康2101101：支出决算为8.82万元，完成预算100%，决算数等于预算数。</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4.住房保障支出2210201：支出决算为11.19万元，完成预算100%，决算数等于预算数。</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37" w:name="_Toc15396608"/>
      <w:bookmarkStart w:id="38"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7"/>
      <w:bookmarkEnd w:id="38"/>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21年一般公共预算财政拨款基本支出231.05万元，其中：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203.63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25.50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w:t>
      </w: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39" w:name="_Toc15396609"/>
      <w:bookmarkStart w:id="40"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9"/>
      <w:bookmarkEnd w:id="40"/>
    </w:p>
    <w:p>
      <w:pPr>
        <w:spacing w:line="600" w:lineRule="exact"/>
        <w:ind w:firstLine="640"/>
        <w:outlineLvl w:val="2"/>
        <w:rPr>
          <w:rFonts w:ascii="仿宋" w:hAnsi="仿宋" w:eastAsia="仿宋"/>
          <w:b/>
          <w:sz w:val="32"/>
          <w:szCs w:val="32"/>
        </w:rPr>
      </w:pPr>
      <w:bookmarkStart w:id="41" w:name="_Toc15377216"/>
      <w:r>
        <w:rPr>
          <w:rFonts w:hint="eastAsia" w:ascii="仿宋" w:hAnsi="仿宋" w:eastAsia="仿宋"/>
          <w:b/>
          <w:sz w:val="32"/>
          <w:szCs w:val="32"/>
        </w:rPr>
        <w:t>（一）“三公”经费财政拨款支出决算总体情况说明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21年“三公”经费财政拨款支出决算为0.97万元，完成预算100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w:t>
      </w:r>
    </w:p>
    <w:p>
      <w:pPr>
        <w:spacing w:line="600" w:lineRule="exact"/>
        <w:ind w:firstLine="640"/>
        <w:outlineLvl w:val="2"/>
        <w:rPr>
          <w:rFonts w:ascii="仿宋" w:hAnsi="仿宋" w:eastAsia="仿宋"/>
          <w:b/>
          <w:sz w:val="32"/>
          <w:szCs w:val="32"/>
        </w:rPr>
      </w:pPr>
      <w:bookmarkStart w:id="42" w:name="_Toc15377217"/>
      <w:r>
        <w:rPr>
          <w:rFonts w:hint="eastAsia" w:ascii="仿宋" w:hAnsi="仿宋" w:eastAsia="仿宋"/>
          <w:b/>
          <w:sz w:val="32"/>
          <w:szCs w:val="32"/>
        </w:rPr>
        <w:t>（二）“三公”经费财政拨款支出决算具体情况说明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21年“三公”经费财政拨款支出决算中，因公出国（境）费支出决算0万元，年初未安排预算；公务用车购置及运行维护费支出决算0万元，年初未安排预算；公务接待费支出决算0.97万元，占100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ind w:left="840" w:hanging="420"/>
      </w:pPr>
      <w:r>
        <w:rPr>
          <w:rFonts w:hint="eastAsia"/>
        </w:rPr>
        <w:drawing>
          <wp:inline distT="0" distB="0" distL="114300" distR="114300">
            <wp:extent cx="2926080" cy="1767840"/>
            <wp:effectExtent l="0" t="0" r="7620" b="3810"/>
            <wp:docPr id="8" name="图片 8" descr="三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三公"/>
                    <pic:cNvPicPr>
                      <a:picLocks noChangeAspect="true"/>
                    </pic:cNvPicPr>
                  </pic:nvPicPr>
                  <pic:blipFill>
                    <a:blip r:embed="rId12"/>
                    <a:stretch>
                      <a:fillRect/>
                    </a:stretch>
                  </pic:blipFill>
                  <pic:spPr>
                    <a:xfrm>
                      <a:off x="0" y="0"/>
                      <a:ext cx="2926080" cy="1767840"/>
                    </a:xfrm>
                    <a:prstGeom prst="rect">
                      <a:avLst/>
                    </a:prstGeom>
                  </pic:spPr>
                </pic:pic>
              </a:graphicData>
            </a:graphic>
          </wp:inline>
        </w:drawing>
      </w:r>
    </w:p>
    <w:p>
      <w:pPr>
        <w:spacing w:line="600" w:lineRule="exact"/>
        <w:ind w:firstLine="640"/>
        <w:rPr>
          <w:bCs/>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Fonts w:hint="eastAsia" w:ascii="仿宋" w:hAnsi="仿宋" w:eastAsia="仿宋"/>
          <w:sz w:val="32"/>
          <w:szCs w:val="32"/>
        </w:rPr>
        <w:t>年初未安排预算</w:t>
      </w:r>
      <w:r>
        <w:rPr>
          <w:rStyle w:val="15"/>
          <w:rFonts w:hint="eastAsia" w:ascii="仿宋" w:hAnsi="仿宋" w:eastAsia="仿宋"/>
          <w:b w:val="0"/>
          <w:bCs/>
          <w:sz w:val="32"/>
          <w:szCs w:val="32"/>
        </w:rPr>
        <w:t>。</w:t>
      </w:r>
      <w:r>
        <w:rPr>
          <w:rFonts w:hint="eastAsia" w:ascii="仿宋" w:hAnsi="仿宋" w:eastAsia="仿宋"/>
          <w:bCs/>
          <w:sz w:val="32"/>
          <w:szCs w:val="32"/>
        </w:rPr>
        <w:t>因公出国</w:t>
      </w:r>
      <w:r>
        <w:rPr>
          <w:rFonts w:hint="eastAsia" w:ascii="仿宋_GB2312" w:eastAsia="仿宋_GB2312"/>
          <w:bCs/>
          <w:sz w:val="32"/>
          <w:szCs w:val="32"/>
        </w:rPr>
        <w:t>（境）</w:t>
      </w:r>
      <w:r>
        <w:rPr>
          <w:rFonts w:hint="eastAsia" w:ascii="仿宋" w:hAnsi="仿宋" w:eastAsia="仿宋"/>
          <w:bCs/>
          <w:sz w:val="32"/>
          <w:szCs w:val="32"/>
        </w:rPr>
        <w:t>支出决算较2020年无变化。</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Fonts w:hint="eastAsia" w:ascii="仿宋" w:hAnsi="仿宋" w:eastAsia="仿宋"/>
          <w:sz w:val="32"/>
          <w:szCs w:val="32"/>
        </w:rPr>
        <w:t>年初未安排预算</w:t>
      </w:r>
      <w:r>
        <w:rPr>
          <w:rStyle w:val="15"/>
          <w:rFonts w:hint="eastAsia" w:ascii="仿宋" w:hAnsi="仿宋" w:eastAsia="仿宋"/>
          <w:b w:val="0"/>
          <w:bCs/>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0.97万元，</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20年减少0.03万元，下降3</w:t>
      </w:r>
      <w:r>
        <w:rPr>
          <w:rFonts w:ascii="仿宋_GB2312" w:eastAsia="仿宋_GB2312"/>
          <w:sz w:val="32"/>
          <w:szCs w:val="32"/>
        </w:rPr>
        <w:t>%</w:t>
      </w:r>
      <w:r>
        <w:rPr>
          <w:rFonts w:hint="eastAsia" w:ascii="仿宋_GB2312" w:eastAsia="仿宋_GB2312"/>
          <w:sz w:val="32"/>
          <w:szCs w:val="32"/>
        </w:rPr>
        <w:t>。主要原因是疫情期间，公务接待减少。其中：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0.97</w:t>
      </w:r>
      <w:r>
        <w:rPr>
          <w:rFonts w:hint="eastAsia" w:ascii="仿宋_GB2312" w:eastAsia="仿宋_GB2312"/>
          <w:sz w:val="32"/>
          <w:szCs w:val="32"/>
        </w:rPr>
        <w:t>万元，主要用于执行公务、开展业务活动开支的交通费、住宿费、用餐费等。国内公务接待15批次，125人次（不包括陪同人员），共计支出0.97万元，具体内容包括：1.上级巡视巡察机构对县区巡察工作督导检查0.4万元。2.青川县、昭化区、旺苍县、苍溪县巡察机构派人交流学习0.57万元。</w:t>
      </w:r>
    </w:p>
    <w:p>
      <w:pPr>
        <w:spacing w:line="600" w:lineRule="exact"/>
        <w:ind w:firstLine="640"/>
        <w:outlineLvl w:val="1"/>
        <w:rPr>
          <w:rStyle w:val="26"/>
          <w:rFonts w:ascii="黑体" w:hAnsi="黑体" w:eastAsia="黑体"/>
        </w:rPr>
      </w:pPr>
      <w:bookmarkStart w:id="43" w:name="_Toc15396610"/>
      <w:bookmarkStart w:id="44"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3"/>
      <w:bookmarkEnd w:id="4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pStyle w:val="6"/>
        <w:spacing w:before="93"/>
      </w:pPr>
    </w:p>
    <w:p>
      <w:pPr>
        <w:numPr>
          <w:ilvl w:val="0"/>
          <w:numId w:val="3"/>
        </w:numPr>
        <w:spacing w:line="600" w:lineRule="exact"/>
        <w:ind w:firstLine="640"/>
        <w:outlineLvl w:val="1"/>
        <w:rPr>
          <w:rStyle w:val="26"/>
          <w:rFonts w:ascii="黑体" w:hAnsi="黑体" w:eastAsia="黑体"/>
          <w:b w:val="0"/>
        </w:rPr>
      </w:pPr>
      <w:bookmarkStart w:id="45" w:name="_Toc15396611"/>
      <w:bookmarkStart w:id="46" w:name="_Toc15377219"/>
      <w:r>
        <w:rPr>
          <w:rStyle w:val="26"/>
          <w:rFonts w:hint="eastAsia" w:ascii="黑体" w:hAnsi="黑体" w:eastAsia="黑体"/>
          <w:b w:val="0"/>
        </w:rPr>
        <w:t>国有资本经营预算支出决算情况说明</w:t>
      </w:r>
      <w:bookmarkEnd w:id="45"/>
      <w:bookmarkEnd w:id="4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bookmarkStart w:id="47" w:name="_Toc15377221"/>
      <w:bookmarkStart w:id="48" w:name="_Toc15396612"/>
    </w:p>
    <w:p>
      <w:pPr>
        <w:pStyle w:val="6"/>
        <w:spacing w:before="93"/>
      </w:pPr>
    </w:p>
    <w:p>
      <w:pPr>
        <w:numPr>
          <w:ilvl w:val="0"/>
          <w:numId w:val="3"/>
        </w:numPr>
        <w:spacing w:line="600" w:lineRule="exact"/>
        <w:ind w:firstLine="640"/>
        <w:outlineLvl w:val="1"/>
        <w:rPr>
          <w:rStyle w:val="26"/>
          <w:rFonts w:ascii="黑体" w:hAnsi="黑体" w:eastAsia="黑体"/>
          <w:b w:val="0"/>
        </w:rPr>
      </w:pPr>
      <w:r>
        <w:rPr>
          <w:rStyle w:val="26"/>
          <w:rFonts w:hint="eastAsia" w:ascii="黑体" w:hAnsi="黑体" w:eastAsia="黑体"/>
          <w:b w:val="0"/>
        </w:rPr>
        <w:t>预算绩效管理情况</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涉密网络运行维护费项目（项目名称）等3个项目编制了绩效目标，预算执行过程中，选取3个项目开展绩效监控，年终执行完毕后，对3个项目开展了绩效自评。同时，本部门对2021年部门整体开展绩效自评，《2021年朝天区委巡察办部门整体绩效评价报告》见附件（第四部分）。</w:t>
      </w:r>
    </w:p>
    <w:p>
      <w:pPr>
        <w:pStyle w:val="6"/>
        <w:spacing w:before="93"/>
      </w:pPr>
    </w:p>
    <w:p>
      <w:pPr>
        <w:numPr>
          <w:ilvl w:val="0"/>
          <w:numId w:val="3"/>
        </w:numPr>
        <w:spacing w:line="600" w:lineRule="exact"/>
        <w:ind w:firstLine="640"/>
        <w:outlineLvl w:val="1"/>
        <w:rPr>
          <w:rStyle w:val="26"/>
          <w:rFonts w:ascii="黑体" w:hAnsi="黑体" w:eastAsia="黑体"/>
          <w:b w:val="0"/>
        </w:rPr>
      </w:pPr>
      <w:r>
        <w:rPr>
          <w:rStyle w:val="26"/>
          <w:rFonts w:hint="eastAsia" w:ascii="黑体" w:hAnsi="黑体" w:eastAsia="黑体"/>
          <w:b w:val="0"/>
        </w:rPr>
        <w:t>其他重要事项的情况说明</w:t>
      </w:r>
      <w:bookmarkEnd w:id="47"/>
      <w:bookmarkEnd w:id="48"/>
    </w:p>
    <w:p>
      <w:pPr>
        <w:spacing w:line="600" w:lineRule="exact"/>
        <w:ind w:firstLine="642" w:firstLineChars="200"/>
        <w:outlineLvl w:val="2"/>
        <w:rPr>
          <w:rFonts w:ascii="仿宋" w:hAnsi="仿宋" w:eastAsia="仿宋"/>
          <w:sz w:val="32"/>
          <w:szCs w:val="32"/>
        </w:rPr>
      </w:pPr>
      <w:bookmarkStart w:id="49" w:name="_Toc15377222"/>
      <w:r>
        <w:rPr>
          <w:rFonts w:hint="eastAsia" w:ascii="仿宋" w:hAnsi="仿宋" w:eastAsia="仿宋"/>
          <w:b/>
          <w:sz w:val="32"/>
          <w:szCs w:val="32"/>
        </w:rPr>
        <w:t>（一）机关运行经费支出情况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21年，区委巡察办机关运行经费支出56.19万元，比</w:t>
      </w:r>
      <w:r>
        <w:rPr>
          <w:rFonts w:ascii="仿宋_GB2312" w:eastAsia="仿宋_GB2312"/>
          <w:sz w:val="32"/>
          <w:szCs w:val="32"/>
        </w:rPr>
        <w:t>20</w:t>
      </w:r>
      <w:r>
        <w:rPr>
          <w:rFonts w:hint="eastAsia" w:ascii="仿宋_GB2312" w:eastAsia="仿宋_GB2312"/>
          <w:sz w:val="32"/>
          <w:szCs w:val="32"/>
        </w:rPr>
        <w:t>20年增加9.13万元，增长0.19</w:t>
      </w:r>
      <w:r>
        <w:rPr>
          <w:rFonts w:ascii="仿宋_GB2312" w:eastAsia="仿宋_GB2312"/>
          <w:sz w:val="32"/>
          <w:szCs w:val="32"/>
        </w:rPr>
        <w:t>%</w:t>
      </w:r>
      <w:r>
        <w:rPr>
          <w:rFonts w:hint="eastAsia" w:ascii="仿宋_GB2312" w:eastAsia="仿宋_GB2312"/>
          <w:sz w:val="32"/>
          <w:szCs w:val="32"/>
        </w:rPr>
        <w:t>。主要原因是人员增加，新增内设巡察信息中心，业务增加。</w:t>
      </w:r>
    </w:p>
    <w:p>
      <w:pPr>
        <w:spacing w:line="600" w:lineRule="exact"/>
        <w:ind w:firstLine="642" w:firstLineChars="200"/>
        <w:rPr>
          <w:rFonts w:ascii="仿宋" w:hAnsi="仿宋" w:eastAsia="仿宋" w:cs="仿宋"/>
          <w:b/>
          <w:sz w:val="32"/>
          <w:szCs w:val="32"/>
        </w:rPr>
      </w:pPr>
      <w:r>
        <w:rPr>
          <w:rFonts w:hint="eastAsia" w:ascii="仿宋" w:hAnsi="仿宋" w:eastAsia="仿宋" w:cs="仿宋"/>
          <w:b/>
          <w:sz w:val="32"/>
          <w:szCs w:val="32"/>
        </w:rPr>
        <w:t>（注：数据来源于财决附03表。）</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0" w:name="_Toc15377223"/>
      <w:r>
        <w:rPr>
          <w:rFonts w:hint="eastAsia" w:ascii="仿宋" w:hAnsi="仿宋" w:eastAsia="仿宋"/>
          <w:b/>
          <w:sz w:val="32"/>
          <w:szCs w:val="32"/>
        </w:rPr>
        <w:t>（二）政府采购支出情况</w:t>
      </w:r>
      <w:bookmarkEnd w:id="5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21年，区委巡察办政府采购支出总额0万元，其中：政府采购货物支出0万元、政府采购工程支出0万元、政府采购服务支出0万元。授予中小企业合同金额0万元，占政府采购支出总额的0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1" w:name="_Toc15377224"/>
      <w:r>
        <w:rPr>
          <w:rFonts w:hint="eastAsia" w:ascii="仿宋" w:hAnsi="仿宋" w:eastAsia="仿宋"/>
          <w:b/>
          <w:sz w:val="32"/>
          <w:szCs w:val="32"/>
        </w:rPr>
        <w:t>（三）国有资产占有使用情况</w:t>
      </w:r>
      <w:bookmarkEnd w:id="51"/>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日，区委巡察办共有车辆0辆，其中：主要领导干部用车0辆、机要通信用车0辆、应急保障用车0辆、其他用车0辆……其他用车主要是用于……单价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rPr>
          <w:rFonts w:ascii="仿宋_GB2312" w:hAnsi="仿宋_GB2312" w:eastAsia="仿宋_GB2312" w:cs="仿宋_GB2312"/>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表，按部门决算报表填报数据罗列车辆情况。）</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52" w:name="_Toc15377225"/>
      <w:bookmarkStart w:id="53" w:name="_Toc15396613"/>
      <w:r>
        <w:rPr>
          <w:rFonts w:hint="eastAsia" w:ascii="黑体" w:hAnsi="黑体" w:eastAsia="黑体"/>
          <w:sz w:val="44"/>
          <w:szCs w:val="44"/>
        </w:rPr>
        <w:t>名</w:t>
      </w:r>
      <w:r>
        <w:rPr>
          <w:rStyle w:val="25"/>
          <w:rFonts w:hint="eastAsia" w:ascii="黑体" w:hAnsi="黑体" w:eastAsia="黑体"/>
          <w:b w:val="0"/>
        </w:rPr>
        <w:t>词解释</w:t>
      </w:r>
      <w:bookmarkEnd w:id="52"/>
      <w:bookmarkEnd w:id="53"/>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val="en-US" w:eastAsia="zh-CN"/>
        </w:rPr>
        <w:t>20131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行政运行，反映行政单位的基本支出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val="en-US" w:eastAsia="zh-CN"/>
        </w:rPr>
        <w:t>20131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02</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一般行政管理事务，反映行政单位未单独设置项级科目的其他支出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val="en-US" w:eastAsia="zh-CN"/>
        </w:rPr>
        <w:t>20131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50</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事业运行，反映事业单位的基本支出，不包括行政单位（包括实行公务管理的事业单位）后勤服务中心、医务室等附属事业单位</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20805</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05</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机关事业单位基本养老保险缴费，反映机关事业单位实施养老保险制度由单位缴纳的基本养老保险费支出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20805</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06</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机关事业单位职业年金缴费，反映机关事业单位实施养老保险制度由单位实际缴纳的职业年金支出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医疗卫生与计划生育（类）</w:t>
      </w:r>
      <w:r>
        <w:rPr>
          <w:rFonts w:hint="eastAsia" w:ascii="仿宋_GB2312" w:eastAsia="仿宋_GB2312"/>
          <w:color w:val="auto"/>
          <w:sz w:val="32"/>
          <w:szCs w:val="32"/>
          <w:highlight w:val="none"/>
          <w:lang w:val="en-US" w:eastAsia="zh-CN"/>
        </w:rPr>
        <w:t>21011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val="en-US" w:eastAsia="zh-CN"/>
        </w:rPr>
        <w:t>行政单位医疗，反映财政部门的行政单位基本医疗保险缴费经费，未参加医疗保险的行政单位的公费医疗经费，按国家规定享受离休人员、红军老战士待遇人员的医疗经费</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olor w:val="auto"/>
          <w:sz w:val="32"/>
          <w:szCs w:val="32"/>
        </w:rPr>
      </w:pPr>
    </w:p>
    <w:p>
      <w:pPr>
        <w:spacing w:line="600" w:lineRule="exact"/>
        <w:jc w:val="center"/>
        <w:outlineLvl w:val="0"/>
        <w:rPr>
          <w:rStyle w:val="25"/>
          <w:rFonts w:ascii="黑体" w:hAnsi="黑体" w:eastAsia="黑体"/>
          <w:b w:val="0"/>
        </w:rPr>
      </w:pPr>
      <w:bookmarkStart w:id="54" w:name="_Toc15377226"/>
      <w:r>
        <w:rPr>
          <w:rFonts w:ascii="宋体"/>
          <w:b/>
          <w:sz w:val="44"/>
          <w:szCs w:val="44"/>
        </w:rPr>
        <w:br w:type="page"/>
      </w:r>
      <w:bookmarkStart w:id="55" w:name="_Toc15396614"/>
      <w:r>
        <w:rPr>
          <w:rFonts w:hint="eastAsia" w:ascii="黑体" w:hAnsi="黑体" w:eastAsia="黑体"/>
          <w:sz w:val="44"/>
          <w:szCs w:val="44"/>
        </w:rPr>
        <w:t>第</w:t>
      </w:r>
      <w:r>
        <w:rPr>
          <w:rStyle w:val="25"/>
          <w:rFonts w:hint="eastAsia" w:ascii="黑体" w:hAnsi="黑体" w:eastAsia="黑体"/>
          <w:b w:val="0"/>
        </w:rPr>
        <w:t>四部分 附件</w:t>
      </w:r>
      <w:bookmarkEnd w:id="55"/>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2021年朝天区委巡察办部门整体绩效评价报告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一、部门概况</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（一）基本情况</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1.主要职能</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（1）贯彻落实中央、省委、市委和区委有关决议、决定；</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（2）研究提出区委巡察工作规划、年度计划和阶段任务安排；</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（3）组织完成一届任期内区委巡察全覆盖任务；</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（4）研究提出每轮区委巡察对象建议名单，巡察组组长、副组长任选以及任务分工；</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（5）听取区委巡察组的巡察情况汇报；</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（6）研究区委巡察成果的运用，分类处置，提出相关意见、建议；</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（7）向区委报告巡察工作情况；</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（8）对区委巡察组进行管理和监督；</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（9）根据领导小组安排，领导小组成员参加区委巡察组的巡察进驻动员会和巡察情况反馈会；</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（10）研究处理巡察工作中的其他重要事项。</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2．机构及人员编制情况情况</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中共广元市朝天区委巡察工作领导小组办公室是行政单位，属一级预算单位。下设巡察信息中心，属独立编制机构。2021年年末实有工作人员15名。</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二、部门财政资金收支情况</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（一）部门财政资金收入情况。全年财政拨款收入179.30万元。其中：基本支出拨款155.30万元、项目支出拨款24.00万元。</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（二）部门财政资金支出情况。全年财政拨款支出179.30万元。</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三、部门整体预算绩效管理情况</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一）部门预算项目绩效管理。一是全面完成七届区委任期内巡察工作。截至目前，全年完成巡察党委（党组）70个；全力做好疫情防控工作。群众反映良好，营造了良好的社会政治生态，全面推进了从严治党，全力提高了群众满意度，让群众幸福指数不断提高，提升了获得感、幸福感。二是按预算完成各项支出，主要用于完成特定的行政工作任务和事业发展目标，用于专项业务工作的经费支出。在资金的使用过程中，我们严格按照相关财经法规、财务管理制度以及区委巡察办内部管理制度，严格按照区财政资金管理办法建帐，审核支出，开支范围和票据合法合规，确保资金合规使用。</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（二）结果应用情况。</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（1）我单位根据专项绩效评定指标对各项目量化评价，自评得分98分。</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（2）将项目支出后的实际状况与项目申报的绩效目标进行对比分析。按项目实际支出和项目申报绩效目标进行对比分析自评得分97分，所有项目均与批复下达相符。</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（三）自评质量。</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（1）报送时效。按财政部门预算编制要求按时报送至部门预算。</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（2）编制质量。部门预算编制完整无漏项，预算编制准确，基础信息和科目使用准确，编制规范，项目名称、绩效指标、项目内容说明等合符规范。</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四、自评结论及建议</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（一）自评结论。</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区委巡察办是区委巡察工作领导小组的日常办事机构，为区委工作部门，承担统筹协调、指导督导、服务保障职责，统筹、协调、指导巡察组工作，向区委和区委巡察工作领导小组负责并报告工作，全面完成七届区委任期内及八届区委第一轮巡察工作的目标任务。</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区委巡察办坚决贯彻落实中央关于建立巡察制度的决策部署，把中央、省委、市委和区委对巡察工作的原则性、概括性的规定具体化、程序化，与时俱进发现新情况、总结新经验、解决新问题，稳中求进推动了巡察制度在朝天落地生根、开花结果，推动新时代巡察工作高质量发展。</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（二）存在问题。</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一是巡察工作面广、量大，自身能力建设力度仍需进一步加大。二是巡察工作专业人员发展不平衡，资金还有所欠缺。</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（三）改进建议。</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一是我们将进一步完善资金的预算申报及使用管理办法，增强资金预算编制的科学性，使预算能够与实际工作任务相符，努力推动朝天巡察工作又好又快的发展。</w:t>
      </w:r>
    </w:p>
    <w:p>
      <w:pPr>
        <w:pStyle w:val="6"/>
        <w:spacing w:before="93"/>
        <w:rPr>
          <w:rFonts w:ascii="黑体" w:hAnsi="宋体" w:eastAsia="黑体" w:cs="宋体"/>
          <w:sz w:val="32"/>
          <w:szCs w:val="32"/>
          <w:shd w:val="clear" w:color="auto" w:fill="FFFFFF"/>
        </w:rPr>
      </w:pPr>
      <w:r>
        <w:rPr>
          <w:rFonts w:hint="eastAsia" w:ascii="黑体" w:hAnsi="宋体" w:eastAsia="黑体" w:cs="宋体"/>
          <w:sz w:val="32"/>
          <w:szCs w:val="32"/>
          <w:shd w:val="clear" w:color="auto" w:fill="FFFFFF"/>
        </w:rPr>
        <w:t>二是建议财政进一步加大对巡察工作业务经费的投入，以满足实际工作的需要。</w:t>
      </w:r>
    </w:p>
    <w:p>
      <w:pPr>
        <w:pStyle w:val="6"/>
        <w:spacing w:before="93"/>
        <w:rPr>
          <w:rFonts w:ascii="黑体" w:hAnsi="宋体" w:eastAsia="黑体" w:cs="宋体"/>
          <w:sz w:val="32"/>
          <w:szCs w:val="32"/>
          <w:shd w:val="clear" w:color="auto" w:fill="FFFFFF"/>
        </w:rPr>
      </w:pPr>
    </w:p>
    <w:p>
      <w:pPr>
        <w:pStyle w:val="6"/>
        <w:spacing w:before="93"/>
        <w:rPr>
          <w:rFonts w:ascii="黑体" w:hAnsi="宋体" w:eastAsia="黑体" w:cs="宋体"/>
          <w:sz w:val="32"/>
          <w:szCs w:val="32"/>
          <w:shd w:val="clear" w:color="auto" w:fill="FFFFFF"/>
        </w:rPr>
      </w:pPr>
    </w:p>
    <w:p>
      <w:pPr>
        <w:pStyle w:val="6"/>
        <w:spacing w:before="93"/>
        <w:rPr>
          <w:rFonts w:ascii="黑体" w:hAnsi="宋体" w:eastAsia="黑体" w:cs="宋体"/>
          <w:sz w:val="32"/>
          <w:szCs w:val="32"/>
          <w:shd w:val="clear" w:color="auto" w:fill="FFFFFF"/>
        </w:rPr>
      </w:pPr>
    </w:p>
    <w:p>
      <w:pPr>
        <w:pStyle w:val="6"/>
        <w:spacing w:before="93"/>
        <w:rPr>
          <w:rFonts w:ascii="黑体" w:hAnsi="宋体" w:eastAsia="黑体" w:cs="宋体"/>
          <w:sz w:val="32"/>
          <w:szCs w:val="32"/>
          <w:shd w:val="clear" w:color="auto" w:fill="FFFFFF"/>
        </w:rPr>
      </w:pPr>
    </w:p>
    <w:p>
      <w:pPr>
        <w:pStyle w:val="6"/>
        <w:spacing w:before="93"/>
        <w:rPr>
          <w:rFonts w:ascii="黑体" w:hAnsi="宋体" w:eastAsia="黑体" w:cs="宋体"/>
          <w:sz w:val="32"/>
          <w:szCs w:val="32"/>
          <w:shd w:val="clear" w:color="auto" w:fill="FFFFFF"/>
        </w:rPr>
      </w:pPr>
    </w:p>
    <w:p>
      <w:pPr>
        <w:pStyle w:val="6"/>
        <w:spacing w:before="93"/>
        <w:rPr>
          <w:rFonts w:ascii="黑体" w:hAnsi="宋体" w:eastAsia="黑体" w:cs="宋体"/>
          <w:sz w:val="32"/>
          <w:szCs w:val="32"/>
          <w:shd w:val="clear" w:color="auto" w:fill="FFFFFF"/>
        </w:rPr>
      </w:pPr>
    </w:p>
    <w:p>
      <w:pPr>
        <w:pStyle w:val="6"/>
        <w:spacing w:before="93"/>
        <w:rPr>
          <w:lang w:val="zh-CN"/>
        </w:rPr>
      </w:pPr>
    </w:p>
    <w:p>
      <w:pPr>
        <w:pStyle w:val="6"/>
        <w:tabs>
          <w:tab w:val="left" w:pos="7350"/>
        </w:tabs>
        <w:spacing w:before="93"/>
        <w:ind w:right="304" w:rightChars="145"/>
        <w:rPr>
          <w:lang w:val="zh-CN"/>
        </w:rPr>
      </w:pPr>
    </w:p>
    <w:p>
      <w:pPr>
        <w:pStyle w:val="6"/>
        <w:tabs>
          <w:tab w:val="left" w:pos="7350"/>
        </w:tabs>
        <w:spacing w:before="93"/>
        <w:ind w:right="304" w:rightChars="145"/>
        <w:rPr>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shd w:val="clear" w:color="auto" w:fill="FFFFFF"/>
          <w:lang w:val="zh-CN"/>
        </w:rPr>
      </w:pPr>
    </w:p>
    <w:p>
      <w:pPr>
        <w:pStyle w:val="2"/>
        <w:ind w:left="1060" w:hanging="640"/>
        <w:rPr>
          <w:rFonts w:ascii="仿宋_GB2312" w:hAnsi="宋体" w:eastAsia="仿宋_GB2312" w:cs="宋体"/>
          <w:kern w:val="0"/>
          <w:sz w:val="32"/>
          <w:szCs w:val="32"/>
          <w:shd w:val="clear" w:color="auto" w:fill="FFFFFF"/>
          <w:lang w:val="zh-CN"/>
        </w:rPr>
      </w:pPr>
    </w:p>
    <w:p>
      <w:pPr>
        <w:rPr>
          <w:lang w:val="zh-CN"/>
        </w:rPr>
      </w:pPr>
    </w:p>
    <w:p>
      <w:pPr>
        <w:widowControl/>
        <w:adjustRightInd w:val="0"/>
        <w:snapToGrid w:val="0"/>
        <w:spacing w:line="580" w:lineRule="exact"/>
        <w:contextualSpacing/>
        <w:jc w:val="left"/>
        <w:rPr>
          <w:rFonts w:ascii="仿宋_GB2312" w:hAnsi="宋体" w:eastAsia="仿宋_GB2312" w:cs="宋体"/>
          <w:kern w:val="0"/>
          <w:sz w:val="32"/>
          <w:szCs w:val="32"/>
          <w:shd w:val="clear" w:color="auto" w:fill="FFFFFF"/>
          <w:lang w:val="zh-CN"/>
        </w:rPr>
      </w:pPr>
    </w:p>
    <w:p>
      <w:pPr>
        <w:rPr>
          <w:rFonts w:eastAsia="仿宋_GB2312"/>
          <w:sz w:val="32"/>
        </w:rPr>
      </w:pPr>
      <w:r>
        <w:rPr>
          <w:rFonts w:hint="eastAsia" w:eastAsia="仿宋_GB2312"/>
          <w:sz w:val="32"/>
        </w:rPr>
        <w:t>附件一</w:t>
      </w:r>
    </w:p>
    <w:p>
      <w:pPr>
        <w:pStyle w:val="3"/>
        <w:spacing w:line="576" w:lineRule="exact"/>
        <w:jc w:val="center"/>
        <w:rPr>
          <w:rFonts w:ascii="方正小标宋简体" w:hAnsi="方正小标宋简体" w:eastAsia="方正小标宋简体" w:cs="方正小标宋简体"/>
          <w:spacing w:val="-20"/>
        </w:rPr>
      </w:pPr>
      <w:r>
        <w:rPr>
          <w:rFonts w:hint="eastAsia" w:ascii="方正小标宋简体" w:hAnsi="方正小标宋简体" w:eastAsia="方正小标宋简体" w:cs="方正小标宋简体"/>
          <w:spacing w:val="-20"/>
        </w:rPr>
        <w:t>中共广元市朝天区委巡察工作领导小组办公室</w:t>
      </w:r>
    </w:p>
    <w:p>
      <w:pPr>
        <w:pStyle w:val="3"/>
        <w:spacing w:line="576" w:lineRule="exact"/>
        <w:ind w:firstLine="883" w:firstLineChars="200"/>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关于疫情防控项目支出绩效评价报告</w:t>
      </w:r>
    </w:p>
    <w:p>
      <w:pPr>
        <w:tabs>
          <w:tab w:val="left" w:pos="681"/>
        </w:tabs>
        <w:spacing w:line="576" w:lineRule="exact"/>
        <w:ind w:firstLine="640" w:firstLineChars="20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_GB2312" w:hAnsi="??_GB2312" w:eastAsia="Times New Roman" w:cs="??_GB2312"/>
          <w:sz w:val="32"/>
          <w:szCs w:val="32"/>
        </w:rPr>
      </w:pPr>
      <w:r>
        <w:rPr>
          <w:rFonts w:hint="eastAsia" w:ascii="宋体" w:hAnsi="宋体" w:cs="宋体"/>
          <w:sz w:val="32"/>
          <w:szCs w:val="32"/>
        </w:rPr>
        <w:t>保障中共广元市朝天区委巡察工作领导小组办公室（以下简称区委巡察办）的疫情防控工作中办公用品、值班人员餐费、物资、出车、电话信息费用、疫情防控宣教、媒体宣传等支出需要，杜绝出现因资金保障不到位，而影响疫情防控工作的正常开展。保障全体干部职工的身体健康和生命安全，全面做好疫情防控重点工作，广泛开展健康教育、提醒、提示，积极引导全体职工切实加强个人防护，增强防范意识，坚决控制疫情的传播、蔓延。</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二、项目实施及管理情况</w:t>
      </w:r>
    </w:p>
    <w:p>
      <w:pPr>
        <w:autoSpaceDE w:val="0"/>
        <w:spacing w:line="540" w:lineRule="exact"/>
        <w:ind w:firstLine="616" w:firstLineChars="200"/>
        <w:rPr>
          <w:rFonts w:ascii="??_GB2312" w:hAnsi="??_GB2312" w:eastAsia="Times New Roman" w:cs="??_GB2312"/>
          <w:bCs/>
          <w:spacing w:val="-6"/>
          <w:sz w:val="32"/>
          <w:szCs w:val="32"/>
        </w:rPr>
      </w:pPr>
      <w:r>
        <w:rPr>
          <w:rFonts w:ascii="??_GB2312" w:hAnsi="??_GB2312" w:eastAsia="Times New Roman" w:cs="??_GB2312"/>
          <w:bCs/>
          <w:spacing w:val="-6"/>
          <w:sz w:val="32"/>
          <w:szCs w:val="32"/>
        </w:rPr>
        <w:t>1.</w:t>
      </w:r>
      <w:r>
        <w:rPr>
          <w:rFonts w:hint="eastAsia" w:ascii="宋体" w:hAnsi="宋体" w:cs="宋体"/>
          <w:bCs/>
          <w:spacing w:val="-6"/>
          <w:sz w:val="32"/>
          <w:szCs w:val="32"/>
        </w:rPr>
        <w:t>资金计划及到位。</w:t>
      </w:r>
      <w:r>
        <w:rPr>
          <w:rFonts w:ascii="??_GB2312" w:hAnsi="??_GB2312" w:eastAsia="Times New Roman" w:cs="??_GB2312"/>
          <w:bCs/>
          <w:spacing w:val="-6"/>
          <w:sz w:val="32"/>
          <w:szCs w:val="32"/>
        </w:rPr>
        <w:t>2021</w:t>
      </w:r>
      <w:r>
        <w:rPr>
          <w:rFonts w:hint="eastAsia" w:ascii="宋体" w:hAnsi="宋体" w:cs="宋体"/>
          <w:bCs/>
          <w:spacing w:val="-6"/>
          <w:sz w:val="32"/>
          <w:szCs w:val="32"/>
        </w:rPr>
        <w:t>年疫情防控工作经费预算</w:t>
      </w:r>
      <w:r>
        <w:rPr>
          <w:rFonts w:ascii="??_GB2312" w:hAnsi="??_GB2312" w:eastAsia="Times New Roman" w:cs="??_GB2312"/>
          <w:bCs/>
          <w:spacing w:val="-6"/>
          <w:sz w:val="32"/>
          <w:szCs w:val="32"/>
        </w:rPr>
        <w:t>10.00</w:t>
      </w:r>
      <w:r>
        <w:rPr>
          <w:rFonts w:hint="eastAsia" w:ascii="宋体" w:hAnsi="宋体" w:cs="宋体"/>
          <w:bCs/>
          <w:spacing w:val="-6"/>
          <w:sz w:val="32"/>
          <w:szCs w:val="32"/>
        </w:rPr>
        <w:t>万元，实际到位资金</w:t>
      </w:r>
      <w:r>
        <w:rPr>
          <w:rFonts w:ascii="??_GB2312" w:hAnsi="??_GB2312" w:eastAsia="Times New Roman" w:cs="??_GB2312"/>
          <w:bCs/>
          <w:spacing w:val="-6"/>
          <w:sz w:val="32"/>
          <w:szCs w:val="32"/>
        </w:rPr>
        <w:t>10.00</w:t>
      </w:r>
      <w:r>
        <w:rPr>
          <w:rFonts w:hint="eastAsia" w:ascii="宋体" w:hAnsi="宋体" w:cs="宋体"/>
          <w:bCs/>
          <w:spacing w:val="-6"/>
          <w:sz w:val="32"/>
          <w:szCs w:val="32"/>
        </w:rPr>
        <w:t>万元，到位率</w:t>
      </w:r>
      <w:r>
        <w:rPr>
          <w:rFonts w:ascii="??_GB2312" w:hAnsi="??_GB2312" w:eastAsia="Times New Roman" w:cs="??_GB2312"/>
          <w:bCs/>
          <w:spacing w:val="-6"/>
          <w:sz w:val="32"/>
          <w:szCs w:val="32"/>
        </w:rPr>
        <w:t>100%</w:t>
      </w:r>
      <w:r>
        <w:rPr>
          <w:rFonts w:hint="eastAsia" w:ascii="宋体" w:hAnsi="宋体" w:cs="宋体"/>
          <w:bCs/>
          <w:spacing w:val="-6"/>
          <w:sz w:val="32"/>
          <w:szCs w:val="32"/>
        </w:rPr>
        <w:t>，到位资金及时。</w:t>
      </w:r>
    </w:p>
    <w:p>
      <w:pPr>
        <w:autoSpaceDE w:val="0"/>
        <w:spacing w:line="540" w:lineRule="exact"/>
        <w:ind w:firstLine="616" w:firstLineChars="200"/>
        <w:rPr>
          <w:rFonts w:ascii="??_GB2312" w:hAnsi="??_GB2312" w:eastAsia="Times New Roman" w:cs="??_GB2312"/>
          <w:bCs/>
          <w:spacing w:val="-6"/>
          <w:sz w:val="32"/>
          <w:szCs w:val="32"/>
        </w:rPr>
      </w:pPr>
      <w:r>
        <w:rPr>
          <w:rFonts w:ascii="??_GB2312" w:hAnsi="??_GB2312" w:eastAsia="Times New Roman" w:cs="??_GB2312"/>
          <w:bCs/>
          <w:spacing w:val="-6"/>
          <w:sz w:val="32"/>
          <w:szCs w:val="32"/>
        </w:rPr>
        <w:t>2.</w:t>
      </w:r>
      <w:r>
        <w:rPr>
          <w:rFonts w:hint="eastAsia" w:ascii="宋体" w:hAnsi="宋体" w:cs="宋体"/>
          <w:bCs/>
          <w:spacing w:val="-6"/>
          <w:sz w:val="32"/>
          <w:szCs w:val="32"/>
        </w:rPr>
        <w:t>资金使用。</w:t>
      </w:r>
      <w:r>
        <w:rPr>
          <w:rFonts w:ascii="??_GB2312" w:hAnsi="??_GB2312" w:eastAsia="Times New Roman" w:cs="??_GB2312"/>
          <w:bCs/>
          <w:spacing w:val="-6"/>
          <w:sz w:val="32"/>
          <w:szCs w:val="32"/>
        </w:rPr>
        <w:t>2021</w:t>
      </w:r>
      <w:r>
        <w:rPr>
          <w:rFonts w:hint="eastAsia" w:ascii="宋体" w:hAnsi="宋体" w:cs="宋体"/>
          <w:bCs/>
          <w:spacing w:val="-6"/>
          <w:sz w:val="32"/>
          <w:szCs w:val="32"/>
        </w:rPr>
        <w:t>年全年支出疫情防控工作经费</w:t>
      </w:r>
      <w:r>
        <w:rPr>
          <w:rFonts w:ascii="??_GB2312" w:hAnsi="??_GB2312" w:eastAsia="Times New Roman" w:cs="??_GB2312"/>
          <w:bCs/>
          <w:spacing w:val="-6"/>
          <w:sz w:val="32"/>
          <w:szCs w:val="32"/>
        </w:rPr>
        <w:t>10.00</w:t>
      </w:r>
      <w:r>
        <w:rPr>
          <w:rFonts w:hint="eastAsia" w:ascii="宋体" w:hAnsi="宋体" w:cs="宋体"/>
          <w:bCs/>
          <w:spacing w:val="-6"/>
          <w:sz w:val="32"/>
          <w:szCs w:val="32"/>
        </w:rPr>
        <w:t>万元，主要用于项目办公费、项目宣传、资料印刷、劳务费及差旅费等支出。资料印刷等支出都严格按照要求，进行了价格比选，差旅费等费用均按区人民政府标准执行，所有支出均合规合法，资金支付与预算相符，且支出均衡，没有超标准支出的现象。</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（二）项目财务管理情况</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1.依法设立会计机构，分设了出纳。</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2.内部管理制度。内部财务管理制度健全，主要建立了《货币资金管理制度》、《岗位责任书》、《财务费用审批制度》、《会计档案管理制度》、《资产管理制度》等。</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3.会计核算。依法建账，使用政府财务会计制度，建立了《总账》、《现金日记账》、《银行存款日记账》以及相应的《明细账》，使用合法、内容真实、要素齐全并经审核的原始单据作为编制记账凭证依据，正确核算收支、往来款项及各项资产。</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（三）项目组织实施情况</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1.制定疫情防控工作方案。根据当前国内疫情发展情势，为贯彻落实中央、省、市和区政府有关部门关于做好新型冠状病毒感染的肺炎疫情防控工作要求，贯彻落实“预防为主、安全第一”的方针，进一步加强新型冠状病毒的防控工作，全面加强对疫情防控工作的组织领导，积极应对当前的防疫情势变化，明确本单位防控职责，切实保障职工生命安全和身体健康，保障本单位正常运行。</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2.制定分工分组方案。</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组长：乔发东，具体负责防控工作协调、物资供给。</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副组长：向荣财，负责疫情防控具体事务安排及落实。</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联络员：易丹，负责疫情防控工作的报告、登记、统计、日报等工作。</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组员：全体干部职工，负责疫情防控工作的落实</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三、项目绩效情况</w:t>
      </w:r>
      <w:r>
        <w:rPr>
          <w:rFonts w:ascii="黑体" w:hAnsi="黑体" w:eastAsia="黑体"/>
          <w:spacing w:val="-6"/>
          <w:sz w:val="32"/>
          <w:szCs w:val="32"/>
        </w:rPr>
        <w:tab/>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（一）项目完成情况</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2021年，区委巡察办按疫情防控有关部门的要求，积极完成落实疫情防控相关事宜，并节假日、周末安排专员对所负责的小区进行值班值守。在值班期间，未出现任何异样状况发生。</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（二）项目效益情况</w:t>
      </w:r>
    </w:p>
    <w:p>
      <w:pPr>
        <w:autoSpaceDE w:val="0"/>
        <w:spacing w:line="540" w:lineRule="exact"/>
        <w:ind w:firstLine="616" w:firstLineChars="200"/>
        <w:rPr>
          <w:rFonts w:ascii="??_GB2312" w:eastAsia="Times New Roman"/>
          <w:spacing w:val="-6"/>
          <w:sz w:val="32"/>
          <w:szCs w:val="32"/>
        </w:rPr>
      </w:pPr>
      <w:r>
        <w:rPr>
          <w:rFonts w:ascii="??_GB2312" w:eastAsia="Times New Roman"/>
          <w:spacing w:val="-6"/>
          <w:sz w:val="32"/>
          <w:szCs w:val="32"/>
        </w:rPr>
        <w:t>全体干部职工及所负责小区居民，对我单位的疫情防控工作表示满意。</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四、问题及建议</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（一）存在的问题。</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无存在的问题。</w:t>
      </w:r>
    </w:p>
    <w:p>
      <w:pPr>
        <w:autoSpaceDE w:val="0"/>
        <w:spacing w:line="540" w:lineRule="exact"/>
        <w:ind w:firstLine="616" w:firstLineChars="200"/>
        <w:rPr>
          <w:rFonts w:ascii="楷体_GB2312" w:eastAsia="楷体_GB2312"/>
          <w:bCs/>
          <w:spacing w:val="-6"/>
          <w:sz w:val="32"/>
          <w:szCs w:val="32"/>
        </w:rPr>
      </w:pPr>
      <w:r>
        <w:rPr>
          <w:rFonts w:hint="eastAsia" w:ascii="楷体_GB2312" w:eastAsia="楷体_GB2312"/>
          <w:bCs/>
          <w:spacing w:val="-6"/>
          <w:sz w:val="32"/>
          <w:szCs w:val="32"/>
        </w:rPr>
        <w:t>（二）相关建议。</w:t>
      </w:r>
    </w:p>
    <w:p>
      <w:pPr>
        <w:pStyle w:val="2"/>
        <w:ind w:left="1036" w:hanging="616"/>
        <w:rPr>
          <w:rFonts w:hint="eastAsia" w:ascii="楷体_GB2312" w:eastAsia="楷体_GB2312"/>
          <w:bCs/>
          <w:spacing w:val="-6"/>
          <w:sz w:val="32"/>
          <w:szCs w:val="32"/>
        </w:rPr>
      </w:pPr>
      <w:r>
        <w:rPr>
          <w:rFonts w:hint="eastAsia" w:ascii="楷体_GB2312" w:eastAsia="楷体_GB2312"/>
          <w:bCs/>
          <w:spacing w:val="-6"/>
          <w:sz w:val="32"/>
          <w:szCs w:val="32"/>
        </w:rPr>
        <w:t>无相关建议。</w:t>
      </w: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tbl>
      <w:tblPr>
        <w:tblStyle w:val="13"/>
        <w:tblW w:w="9285" w:type="dxa"/>
        <w:tblInd w:w="93" w:type="dxa"/>
        <w:tblLayout w:type="autofit"/>
        <w:tblCellMar>
          <w:top w:w="0" w:type="dxa"/>
          <w:left w:w="108" w:type="dxa"/>
          <w:bottom w:w="0" w:type="dxa"/>
          <w:right w:w="108" w:type="dxa"/>
        </w:tblCellMar>
      </w:tblPr>
      <w:tblGrid>
        <w:gridCol w:w="675"/>
        <w:gridCol w:w="1080"/>
        <w:gridCol w:w="1410"/>
        <w:gridCol w:w="1800"/>
        <w:gridCol w:w="1335"/>
        <w:gridCol w:w="1695"/>
        <w:gridCol w:w="1290"/>
      </w:tblGrid>
      <w:tr>
        <w:tblPrEx>
          <w:tblCellMar>
            <w:top w:w="0" w:type="dxa"/>
            <w:left w:w="108" w:type="dxa"/>
            <w:bottom w:w="0" w:type="dxa"/>
            <w:right w:w="108" w:type="dxa"/>
          </w:tblCellMar>
        </w:tblPrEx>
        <w:trPr>
          <w:trHeight w:val="450" w:hRule="atLeast"/>
        </w:trPr>
        <w:tc>
          <w:tcPr>
            <w:tcW w:w="9285" w:type="dxa"/>
            <w:gridSpan w:val="7"/>
            <w:tcBorders>
              <w:top w:val="nil"/>
              <w:left w:val="nil"/>
              <w:bottom w:val="nil"/>
              <w:right w:val="nil"/>
            </w:tcBorders>
            <w:shd w:val="clear" w:color="auto" w:fill="auto"/>
            <w:vAlign w:val="center"/>
          </w:tcPr>
          <w:p>
            <w:pPr>
              <w:widowControl/>
              <w:jc w:val="center"/>
              <w:textAlignment w:val="center"/>
              <w:rPr>
                <w:rFonts w:ascii="方正大标宋简体" w:hAnsi="方正大标宋简体" w:eastAsia="方正大标宋简体" w:cs="方正大标宋简体"/>
                <w:color w:val="000000"/>
                <w:sz w:val="36"/>
                <w:szCs w:val="36"/>
              </w:rPr>
            </w:pPr>
            <w:r>
              <w:rPr>
                <w:rFonts w:ascii="方正大标宋简体" w:hAnsi="方正大标宋简体" w:eastAsia="方正大标宋简体" w:cs="方正大标宋简体"/>
                <w:color w:val="000000"/>
                <w:kern w:val="0"/>
                <w:sz w:val="36"/>
                <w:szCs w:val="36"/>
              </w:rPr>
              <w:t>部门预算项目支出绩效目标自评表</w:t>
            </w:r>
          </w:p>
        </w:tc>
      </w:tr>
      <w:tr>
        <w:tblPrEx>
          <w:tblCellMar>
            <w:top w:w="0" w:type="dxa"/>
            <w:left w:w="108" w:type="dxa"/>
            <w:bottom w:w="0" w:type="dxa"/>
            <w:right w:w="108" w:type="dxa"/>
          </w:tblCellMar>
        </w:tblPrEx>
        <w:trPr>
          <w:trHeight w:val="270" w:hRule="atLeast"/>
        </w:trPr>
        <w:tc>
          <w:tcPr>
            <w:tcW w:w="9285" w:type="dxa"/>
            <w:gridSpan w:val="7"/>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（2021年度）</w:t>
            </w:r>
          </w:p>
        </w:tc>
      </w:tr>
      <w:tr>
        <w:tblPrEx>
          <w:tblCellMar>
            <w:top w:w="0" w:type="dxa"/>
            <w:left w:w="108" w:type="dxa"/>
            <w:bottom w:w="0" w:type="dxa"/>
            <w:right w:w="108" w:type="dxa"/>
          </w:tblCellMar>
        </w:tblPrEx>
        <w:trPr>
          <w:trHeight w:val="270" w:hRule="atLeast"/>
        </w:trPr>
        <w:tc>
          <w:tcPr>
            <w:tcW w:w="9285" w:type="dxa"/>
            <w:gridSpan w:val="7"/>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部门（单位）盖章：中共广元市朝天区委巡察工作领导小组办公室</w:t>
            </w:r>
          </w:p>
        </w:tc>
      </w:tr>
      <w:tr>
        <w:tblPrEx>
          <w:tblCellMar>
            <w:top w:w="0" w:type="dxa"/>
            <w:left w:w="108" w:type="dxa"/>
            <w:bottom w:w="0" w:type="dxa"/>
            <w:right w:w="108" w:type="dxa"/>
          </w:tblCellMar>
        </w:tblPrEx>
        <w:trPr>
          <w:trHeight w:val="36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项目支出名称</w:t>
            </w:r>
          </w:p>
        </w:tc>
        <w:tc>
          <w:tcPr>
            <w:tcW w:w="75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疫情防控工作经费</w:t>
            </w:r>
          </w:p>
        </w:tc>
      </w:tr>
      <w:tr>
        <w:tblPrEx>
          <w:tblCellMar>
            <w:top w:w="0" w:type="dxa"/>
            <w:left w:w="108" w:type="dxa"/>
            <w:bottom w:w="0" w:type="dxa"/>
            <w:right w:w="108" w:type="dxa"/>
          </w:tblCellMar>
        </w:tblPrEx>
        <w:trPr>
          <w:trHeight w:val="360" w:hRule="atLeast"/>
        </w:trPr>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预算单位</w:t>
            </w:r>
          </w:p>
        </w:tc>
        <w:tc>
          <w:tcPr>
            <w:tcW w:w="75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中共广元市朝天区委巡察工作领导小组办公室</w:t>
            </w:r>
          </w:p>
        </w:tc>
      </w:tr>
      <w:tr>
        <w:tblPrEx>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预算执行情况</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全年预算数（万元） </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10.00 </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全年执行数（万元）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10.00 </w:t>
            </w:r>
          </w:p>
        </w:tc>
      </w:tr>
      <w:tr>
        <w:tblPrEx>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其中：一般公共预算</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10.00 </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其中：一般公共预算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10.00 </w:t>
            </w:r>
          </w:p>
        </w:tc>
      </w:tr>
      <w:tr>
        <w:tblPrEx>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国有资本经营预算</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国有资本经营预算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社会保险基金预算</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社会保险基金预算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目标完成情况</w:t>
            </w:r>
          </w:p>
        </w:tc>
        <w:tc>
          <w:tcPr>
            <w:tcW w:w="56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全年预期目标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trHeight w:val="72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625"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保障巡察机构工作人员稳定，确保巡察工作正常开展。</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 xml:space="preserve">           保障巡察机构工作人员稳定，确保巡察工作正常开展。                                                                                                </w:t>
            </w:r>
          </w:p>
        </w:tc>
      </w:tr>
      <w:tr>
        <w:tblPrEx>
          <w:tblCellMar>
            <w:top w:w="0" w:type="dxa"/>
            <w:left w:w="108" w:type="dxa"/>
            <w:bottom w:w="0" w:type="dxa"/>
            <w:right w:w="108" w:type="dxa"/>
          </w:tblCellMar>
        </w:tblPrEx>
        <w:trPr>
          <w:trHeight w:val="69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全年预期指标值                        （包含数字及文字描述）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全年实际完成指标值                           （包含数字及文字描述）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巡察工作人员数量</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≥22人</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≥22人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资金使用合规率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800"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完成时效</w:t>
            </w:r>
          </w:p>
        </w:tc>
        <w:tc>
          <w:tcPr>
            <w:tcW w:w="1335"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2021年12月31日前</w:t>
            </w:r>
          </w:p>
        </w:tc>
        <w:tc>
          <w:tcPr>
            <w:tcW w:w="1695" w:type="dxa"/>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2021年12月31日前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≤10万元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2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保障全体干部职工的身体健康和生命安全。全面做好疫情防控重点工作，广泛开展健康教育、提醒、提示，积极引导全体职工切实加强个人防护，增强防范意识，坚决控制疫情的传播、蔓延。</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保障</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保障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服务对象满意度</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bl>
    <w:p>
      <w:pPr>
        <w:widowControl/>
        <w:adjustRightInd w:val="0"/>
        <w:snapToGrid w:val="0"/>
        <w:spacing w:line="580" w:lineRule="exact"/>
        <w:contextualSpacing/>
        <w:jc w:val="left"/>
        <w:rPr>
          <w:rFonts w:ascii="仿宋_GB2312" w:hAnsi="宋体" w:eastAsia="仿宋_GB2312" w:cs="宋体"/>
          <w:kern w:val="0"/>
          <w:sz w:val="32"/>
          <w:szCs w:val="32"/>
          <w:shd w:val="clear" w:color="auto" w:fill="FFFFFF"/>
          <w:lang w:val="zh-CN"/>
        </w:rPr>
      </w:pPr>
    </w:p>
    <w:p>
      <w:pPr>
        <w:pStyle w:val="2"/>
        <w:ind w:left="1060" w:hanging="640"/>
        <w:rPr>
          <w:rFonts w:eastAsia="仿宋_GB2312"/>
        </w:rPr>
      </w:pPr>
      <w:r>
        <w:rPr>
          <w:rFonts w:hint="eastAsia" w:ascii="仿宋_GB2312" w:hAnsi="宋体" w:eastAsia="仿宋_GB2312" w:cs="宋体"/>
          <w:kern w:val="0"/>
          <w:sz w:val="32"/>
          <w:szCs w:val="32"/>
          <w:shd w:val="clear" w:color="auto" w:fill="FFFFFF"/>
        </w:rPr>
        <w:t>附件二</w:t>
      </w:r>
    </w:p>
    <w:p>
      <w:pPr>
        <w:pStyle w:val="3"/>
        <w:spacing w:line="576" w:lineRule="exact"/>
        <w:jc w:val="center"/>
        <w:rPr>
          <w:rFonts w:ascii="方正小标宋简体" w:hAnsi="方正小标宋简体" w:eastAsia="方正小标宋简体" w:cs="方正小标宋简体"/>
          <w:spacing w:val="-20"/>
        </w:rPr>
      </w:pPr>
      <w:r>
        <w:rPr>
          <w:rFonts w:hint="eastAsia" w:ascii="方正小标宋简体" w:hAnsi="方正小标宋简体" w:eastAsia="方正小标宋简体" w:cs="方正小标宋简体"/>
          <w:spacing w:val="-20"/>
        </w:rPr>
        <w:t>中共广元市朝天区委巡察工作领导小组办公室</w:t>
      </w:r>
    </w:p>
    <w:p>
      <w:pPr>
        <w:pStyle w:val="3"/>
        <w:spacing w:line="576" w:lineRule="exact"/>
        <w:ind w:firstLine="883" w:firstLineChars="200"/>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关于巡察工作项目支出绩效评价报告</w:t>
      </w:r>
    </w:p>
    <w:p>
      <w:pPr>
        <w:tabs>
          <w:tab w:val="left" w:pos="681"/>
        </w:tabs>
        <w:spacing w:line="576" w:lineRule="exact"/>
        <w:ind w:firstLine="640" w:firstLineChars="200"/>
        <w:rPr>
          <w:rFonts w:ascii="黑体" w:hAnsi="黑体" w:eastAsia="黑体"/>
          <w:sz w:val="32"/>
          <w:szCs w:val="32"/>
        </w:rPr>
      </w:pPr>
      <w:r>
        <w:rPr>
          <w:rFonts w:hint="eastAsia" w:ascii="黑体" w:hAnsi="黑体" w:eastAsia="黑体"/>
          <w:sz w:val="32"/>
          <w:szCs w:val="32"/>
        </w:rPr>
        <w:t>一、项目概况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为规范中共广元市朝天区委巡察工作领导小组办公室（以下简称区委巡察办）工作，根据《中</w:t>
      </w:r>
      <w:r>
        <w:rPr>
          <w:rFonts w:hint="eastAsia" w:ascii="仿宋_GB2312" w:hAnsi="仿宋_GB2312" w:eastAsia="仿宋_GB2312" w:cs="仿宋_GB2312"/>
          <w:sz w:val="32"/>
          <w:szCs w:val="32"/>
          <w:lang w:eastAsia="zh-CN"/>
        </w:rPr>
        <w:t>国</w:t>
      </w:r>
      <w:bookmarkStart w:id="70" w:name="_GoBack"/>
      <w:bookmarkEnd w:id="70"/>
      <w:r>
        <w:rPr>
          <w:rFonts w:hint="eastAsia" w:ascii="仿宋_GB2312" w:hAnsi="仿宋_GB2312" w:eastAsia="仿宋_GB2312" w:cs="仿宋_GB2312"/>
          <w:sz w:val="32"/>
          <w:szCs w:val="32"/>
        </w:rPr>
        <w:t>共产党巡视工作条例》、中共中央办公厅《关于市县党委建立巡察制度的意见》和《四川省市（州）县（市、区）党委巡察工作办法》、区委《关于全面开展巡察工作的实施意见》等党内法规制度规定，结合我区实际，制定本规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区委巡察办是区委巡察工作领导小组的日常办事机构，为区委工作部门，承担统筹协调、指导督导、服务保障等职责，统筹、协调、指导巡察组工作，向区委和区委巡察工作领导小组负责并报告工作。</w:t>
      </w:r>
    </w:p>
    <w:p>
      <w:pPr>
        <w:autoSpaceDE w:val="0"/>
        <w:spacing w:line="540" w:lineRule="exact"/>
        <w:ind w:firstLine="616" w:firstLineChars="200"/>
        <w:rPr>
          <w:rFonts w:ascii="仿宋_GB2312" w:eastAsia="仿宋_GB2312"/>
          <w:spacing w:val="-6"/>
          <w:sz w:val="32"/>
          <w:szCs w:val="32"/>
        </w:rPr>
      </w:pP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二、项目实施及管理情况</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1.资金计划及到位。2021年巡察工作经费预算12.00万元，实际到位资金12.00万元，到位率100%，到位资金及时。</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2.资金使用。2021年全年支出巡察工作经费12.00万元，主要用于项目办公费、项目宣传、教材及资料印刷、耗材购置、劳务费及差旅费等支出。教材及资料印刷、耗材购置等支出都严格按照要求，进行了价格比选，差旅费等费用均按区人民政府标准执行，所有支出均合规合法，资金支付与预算相符，且支出均衡，没有超标准支出的现象。</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（二）项目财务管理情况</w:t>
      </w:r>
    </w:p>
    <w:p>
      <w:pPr>
        <w:autoSpaceDE w:val="0"/>
        <w:spacing w:line="540" w:lineRule="exact"/>
        <w:ind w:firstLine="616" w:firstLineChars="200"/>
        <w:rPr>
          <w:rFonts w:ascii="仿宋_GB2312" w:eastAsia="仿宋_GB2312"/>
          <w:spacing w:val="-6"/>
          <w:sz w:val="32"/>
          <w:szCs w:val="32"/>
        </w:rPr>
      </w:pPr>
      <w:r>
        <w:rPr>
          <w:rFonts w:ascii="仿宋_GB2312" w:eastAsia="仿宋_GB2312"/>
          <w:spacing w:val="-6"/>
          <w:sz w:val="32"/>
          <w:szCs w:val="32"/>
        </w:rPr>
        <w:t>1.</w:t>
      </w:r>
      <w:r>
        <w:rPr>
          <w:rFonts w:hint="eastAsia" w:ascii="仿宋_GB2312" w:eastAsia="仿宋_GB2312"/>
          <w:spacing w:val="-6"/>
          <w:sz w:val="32"/>
          <w:szCs w:val="32"/>
        </w:rPr>
        <w:t>依法设立会计机构，分设了出纳。</w:t>
      </w:r>
    </w:p>
    <w:p>
      <w:pPr>
        <w:autoSpaceDE w:val="0"/>
        <w:spacing w:line="540" w:lineRule="exact"/>
        <w:ind w:firstLine="616" w:firstLineChars="200"/>
        <w:rPr>
          <w:rFonts w:ascii="仿宋_GB2312" w:eastAsia="仿宋_GB2312"/>
          <w:spacing w:val="-6"/>
          <w:sz w:val="32"/>
          <w:szCs w:val="32"/>
        </w:rPr>
      </w:pPr>
      <w:r>
        <w:rPr>
          <w:rFonts w:ascii="仿宋_GB2312" w:eastAsia="仿宋_GB2312"/>
          <w:spacing w:val="-6"/>
          <w:sz w:val="32"/>
          <w:szCs w:val="32"/>
        </w:rPr>
        <w:t>2.</w:t>
      </w:r>
      <w:r>
        <w:rPr>
          <w:rFonts w:hint="eastAsia" w:ascii="仿宋_GB2312" w:eastAsia="仿宋_GB2312"/>
          <w:spacing w:val="-6"/>
          <w:sz w:val="32"/>
          <w:szCs w:val="32"/>
        </w:rPr>
        <w:t>内部管理制度。内部财务管理制度健全，主要建立了《货币资金管理制度》、《岗位责任书》、《财务费用审批制度》、《会计档案管理制度》、《资产管理制度》等。</w:t>
      </w:r>
    </w:p>
    <w:p>
      <w:pPr>
        <w:autoSpaceDE w:val="0"/>
        <w:spacing w:line="540" w:lineRule="exact"/>
        <w:ind w:firstLine="616" w:firstLineChars="200"/>
        <w:rPr>
          <w:rFonts w:ascii="仿宋_GB2312" w:eastAsia="仿宋_GB2312"/>
          <w:spacing w:val="-6"/>
          <w:sz w:val="32"/>
          <w:szCs w:val="32"/>
        </w:rPr>
      </w:pPr>
      <w:r>
        <w:rPr>
          <w:rFonts w:ascii="仿宋_GB2312" w:eastAsia="仿宋_GB2312"/>
          <w:spacing w:val="-6"/>
          <w:sz w:val="32"/>
          <w:szCs w:val="32"/>
        </w:rPr>
        <w:t>3.</w:t>
      </w:r>
      <w:r>
        <w:rPr>
          <w:rFonts w:hint="eastAsia" w:ascii="仿宋_GB2312" w:eastAsia="仿宋_GB2312"/>
          <w:spacing w:val="-6"/>
          <w:sz w:val="32"/>
          <w:szCs w:val="32"/>
        </w:rPr>
        <w:t>会计核算。依法建账，使用政府财务会计制度，建立了《总账》、《现金日记账》、《银行存款日记账》以及相应的《明细账》，使用合法、内容真实、要素齐全并经审核的原始单据作为编制记账凭证依据，正确核算收支、往来款项及各项资产。</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（三）项目组织实施情况</w:t>
      </w:r>
    </w:p>
    <w:p>
      <w:pPr>
        <w:autoSpaceDE w:val="0"/>
        <w:spacing w:line="540" w:lineRule="exact"/>
        <w:ind w:firstLine="616" w:firstLineChars="200"/>
        <w:rPr>
          <w:rFonts w:ascii="仿宋_GB2312" w:eastAsia="仿宋_GB2312"/>
          <w:spacing w:val="-6"/>
          <w:sz w:val="32"/>
          <w:szCs w:val="32"/>
        </w:rPr>
      </w:pPr>
      <w:r>
        <w:rPr>
          <w:rFonts w:ascii="仿宋_GB2312" w:eastAsia="仿宋_GB2312"/>
          <w:spacing w:val="-6"/>
          <w:sz w:val="32"/>
          <w:szCs w:val="32"/>
        </w:rPr>
        <w:t>1.</w:t>
      </w:r>
      <w:r>
        <w:rPr>
          <w:rFonts w:hint="eastAsia" w:ascii="仿宋_GB2312" w:eastAsia="仿宋_GB2312"/>
          <w:spacing w:val="-6"/>
          <w:sz w:val="32"/>
          <w:szCs w:val="32"/>
        </w:rPr>
        <w:t>制定巡察工作方案。区委巡察办根据巡察工作五年规划和年度巡察工作计划及阶段性任务安排，研究制定《七届区委“回头看</w:t>
      </w:r>
      <w:r>
        <w:rPr>
          <w:rFonts w:ascii="仿宋_GB2312" w:eastAsia="仿宋_GB2312"/>
          <w:spacing w:val="-6"/>
          <w:sz w:val="32"/>
          <w:szCs w:val="32"/>
        </w:rPr>
        <w:t>”</w:t>
      </w:r>
      <w:r>
        <w:rPr>
          <w:rFonts w:hint="eastAsia" w:ascii="仿宋_GB2312" w:eastAsia="仿宋_GB2312"/>
          <w:spacing w:val="-6"/>
          <w:sz w:val="32"/>
          <w:szCs w:val="32"/>
        </w:rPr>
        <w:t>专项巡察工作方案》、《八届区委第一轮巡察工作方案》，</w:t>
      </w:r>
      <w:r>
        <w:rPr>
          <w:rFonts w:ascii="仿宋_GB2312" w:eastAsia="仿宋_GB2312"/>
          <w:spacing w:val="-6"/>
          <w:sz w:val="32"/>
          <w:szCs w:val="32"/>
        </w:rPr>
        <w:t>26</w:t>
      </w:r>
      <w:r>
        <w:rPr>
          <w:rFonts w:hint="eastAsia" w:ascii="仿宋_GB2312" w:eastAsia="仿宋_GB2312"/>
          <w:spacing w:val="-6"/>
          <w:sz w:val="32"/>
          <w:szCs w:val="32"/>
        </w:rPr>
        <w:t>个拟巡察对象、巡察内容、巡察方式、时间安排、人员需求及抽调方式、召开动员部署会等工作建议，报区委巡察工作领导小组（以下简称“领导小组”）审批。</w:t>
      </w:r>
    </w:p>
    <w:p>
      <w:pPr>
        <w:autoSpaceDE w:val="0"/>
        <w:spacing w:line="540" w:lineRule="exact"/>
        <w:ind w:firstLine="616" w:firstLineChars="200"/>
        <w:rPr>
          <w:rFonts w:ascii="仿宋_GB2312" w:eastAsia="仿宋_GB2312"/>
          <w:spacing w:val="-6"/>
          <w:sz w:val="32"/>
          <w:szCs w:val="32"/>
        </w:rPr>
      </w:pPr>
      <w:r>
        <w:rPr>
          <w:rFonts w:ascii="仿宋_GB2312" w:eastAsia="仿宋_GB2312"/>
          <w:spacing w:val="-6"/>
          <w:sz w:val="32"/>
          <w:szCs w:val="32"/>
        </w:rPr>
        <w:t>2.</w:t>
      </w:r>
      <w:r>
        <w:rPr>
          <w:rFonts w:hint="eastAsia" w:ascii="仿宋_GB2312" w:eastAsia="仿宋_GB2312"/>
          <w:spacing w:val="-6"/>
          <w:sz w:val="32"/>
          <w:szCs w:val="32"/>
        </w:rPr>
        <w:t>召开巡察工作联席会议。从成员单位中收集拟被巡察对象在党风廉政建设、行政效能测评、政风行风评议、选人用人工作、信访投诉举报、工程项目建设、“三公”经费管理等方面的相关信息资料，并按年度顺序分类归纳整理，一个被巡察党组织形成一套资料。巡察工作动员部署会后，巡察办按程序分送相应区委巡察组（以下简称“巡察组”）。</w:t>
      </w:r>
    </w:p>
    <w:p>
      <w:pPr>
        <w:autoSpaceDE w:val="0"/>
        <w:spacing w:line="540" w:lineRule="exact"/>
        <w:ind w:firstLine="616" w:firstLineChars="200"/>
        <w:rPr>
          <w:rFonts w:ascii="仿宋_GB2312" w:eastAsia="仿宋_GB2312"/>
          <w:spacing w:val="-6"/>
          <w:sz w:val="32"/>
          <w:szCs w:val="32"/>
        </w:rPr>
      </w:pPr>
      <w:r>
        <w:rPr>
          <w:rFonts w:ascii="仿宋_GB2312" w:eastAsia="仿宋_GB2312"/>
          <w:spacing w:val="-6"/>
          <w:sz w:val="32"/>
          <w:szCs w:val="32"/>
        </w:rPr>
        <w:t>3.</w:t>
      </w:r>
      <w:r>
        <w:rPr>
          <w:rFonts w:hint="eastAsia" w:ascii="仿宋_GB2312" w:eastAsia="仿宋_GB2312"/>
          <w:spacing w:val="-6"/>
          <w:sz w:val="32"/>
          <w:szCs w:val="32"/>
        </w:rPr>
        <w:t>抽调巡察工作人员。根据领导小组审批的巡察工作方案和每轮巡察任务实际，由巡察办统筹协调，按照巡察工作人员模块化配置需要，商请有关部门抽调纪检、组工、财会、审计和项目管理等人员参加巡察工作。</w:t>
      </w:r>
    </w:p>
    <w:p>
      <w:pPr>
        <w:autoSpaceDE w:val="0"/>
        <w:spacing w:line="540" w:lineRule="exact"/>
        <w:ind w:firstLine="616" w:firstLineChars="200"/>
        <w:rPr>
          <w:rFonts w:ascii="仿宋_GB2312" w:eastAsia="仿宋_GB2312"/>
          <w:spacing w:val="-6"/>
          <w:sz w:val="32"/>
          <w:szCs w:val="32"/>
        </w:rPr>
      </w:pPr>
      <w:r>
        <w:rPr>
          <w:rFonts w:ascii="仿宋_GB2312" w:eastAsia="仿宋_GB2312"/>
          <w:spacing w:val="-6"/>
          <w:sz w:val="32"/>
          <w:szCs w:val="32"/>
        </w:rPr>
        <w:t>4.</w:t>
      </w:r>
      <w:r>
        <w:rPr>
          <w:rFonts w:hint="eastAsia" w:ascii="仿宋_GB2312" w:eastAsia="仿宋_GB2312"/>
          <w:spacing w:val="-6"/>
          <w:sz w:val="32"/>
          <w:szCs w:val="32"/>
        </w:rPr>
        <w:t>申报回避事项，签订纪律承诺书。巡察办制定《巡察工作公务回避申请表》《巡察工作纪律承诺书》，组织巡察组全体巡察工作人员申报回避事项，主要包括巡察干部及其配偶、直系亲属在被巡察单位任职或工作情况，以及巡察干部本人认为需要申报回避的其他事项，同时签订巡察工作纪律承诺书。</w:t>
      </w:r>
    </w:p>
    <w:p>
      <w:pPr>
        <w:autoSpaceDE w:val="0"/>
        <w:spacing w:line="540" w:lineRule="exact"/>
        <w:ind w:firstLine="616" w:firstLineChars="200"/>
        <w:rPr>
          <w:rFonts w:ascii="仿宋_GB2312" w:eastAsia="仿宋_GB2312"/>
          <w:spacing w:val="-6"/>
          <w:sz w:val="32"/>
          <w:szCs w:val="32"/>
        </w:rPr>
      </w:pPr>
      <w:r>
        <w:rPr>
          <w:rFonts w:ascii="仿宋_GB2312" w:eastAsia="仿宋_GB2312"/>
          <w:spacing w:val="-6"/>
          <w:sz w:val="32"/>
          <w:szCs w:val="32"/>
        </w:rPr>
        <w:t>5.</w:t>
      </w:r>
      <w:r>
        <w:rPr>
          <w:rFonts w:hint="eastAsia" w:ascii="仿宋_GB2312" w:eastAsia="仿宋_GB2312"/>
          <w:spacing w:val="-6"/>
          <w:sz w:val="32"/>
          <w:szCs w:val="32"/>
        </w:rPr>
        <w:t>制定分工分组方案。巡察办按照“一次一授权”“三个不同定”（巡察组组长不固定、巡察单位不固定、巡察组与巡察对象关系不固定）要求，结合巡察工作人员的回避情况及年龄、性别、学历、专长等特点，制定巡察组组长、副组长授权任职及巡察组巡察任务分工和人员分组的方案，报领导小组领导审批。</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三、项目绩效情况</w:t>
      </w:r>
      <w:r>
        <w:rPr>
          <w:rFonts w:ascii="黑体" w:hAnsi="黑体" w:eastAsia="黑体"/>
          <w:spacing w:val="-6"/>
          <w:sz w:val="32"/>
          <w:szCs w:val="32"/>
        </w:rPr>
        <w:tab/>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（一）项目完成情况</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1.目标任务量完成情况。202</w:t>
      </w:r>
      <w:r>
        <w:rPr>
          <w:rFonts w:ascii="??_GB2312"/>
          <w:bCs/>
          <w:spacing w:val="-6"/>
          <w:sz w:val="32"/>
          <w:szCs w:val="32"/>
        </w:rPr>
        <w:t>1</w:t>
      </w:r>
      <w:r>
        <w:rPr>
          <w:rFonts w:ascii="??_GB2312" w:eastAsia="Times New Roman"/>
          <w:bCs/>
          <w:spacing w:val="-6"/>
          <w:sz w:val="32"/>
          <w:szCs w:val="32"/>
        </w:rPr>
        <w:t>年度共完成巡察党委（党组）</w:t>
      </w:r>
      <w:r>
        <w:rPr>
          <w:rFonts w:ascii="??_GB2312"/>
          <w:bCs/>
          <w:spacing w:val="-6"/>
          <w:sz w:val="32"/>
          <w:szCs w:val="32"/>
        </w:rPr>
        <w:t>70</w:t>
      </w:r>
      <w:r>
        <w:rPr>
          <w:rFonts w:ascii="??_GB2312" w:eastAsia="Times New Roman"/>
          <w:bCs/>
          <w:spacing w:val="-6"/>
          <w:sz w:val="32"/>
          <w:szCs w:val="32"/>
        </w:rPr>
        <w:t>个。</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 xml:space="preserve">2.目标质量完成情况。保障巡察机构工作正常运转，营造风清气正的良好政治生态环境，全面推进从严治党。 </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3.目标进度完成情况。全面完成七届区委任期内巡察工作。（二）项目效益情况</w:t>
      </w:r>
    </w:p>
    <w:p>
      <w:pPr>
        <w:autoSpaceDE w:val="0"/>
        <w:spacing w:line="540" w:lineRule="exact"/>
        <w:ind w:firstLine="616" w:firstLineChars="200"/>
        <w:rPr>
          <w:rFonts w:ascii="??_GB2312" w:hAnsi="??_GB2312" w:cs="??_GB2312"/>
          <w:spacing w:val="-6"/>
          <w:sz w:val="32"/>
          <w:szCs w:val="32"/>
        </w:rPr>
      </w:pPr>
      <w:r>
        <w:rPr>
          <w:rFonts w:hint="eastAsia" w:ascii="宋体" w:hAnsi="宋体" w:cs="宋体"/>
          <w:spacing w:val="-6"/>
          <w:sz w:val="32"/>
          <w:szCs w:val="32"/>
        </w:rPr>
        <w:t>将领导小组审定的巡察机构纪律作风综合评估结果作为巡察干部日常监督管理、评先评优和抽调、挂职干部考核鉴定的重要依据。</w:t>
      </w:r>
    </w:p>
    <w:p>
      <w:pPr>
        <w:autoSpaceDE w:val="0"/>
        <w:spacing w:line="540" w:lineRule="exact"/>
        <w:ind w:firstLine="616" w:firstLineChars="200"/>
        <w:rPr>
          <w:rFonts w:ascii="黑体" w:hAnsi="黑体" w:eastAsia="黑体"/>
          <w:spacing w:val="-6"/>
          <w:sz w:val="32"/>
          <w:szCs w:val="32"/>
        </w:rPr>
      </w:pPr>
      <w:r>
        <w:rPr>
          <w:rFonts w:hint="eastAsia" w:ascii="黑体" w:hAnsi="黑体" w:eastAsia="黑体"/>
          <w:spacing w:val="-6"/>
          <w:sz w:val="32"/>
          <w:szCs w:val="32"/>
        </w:rPr>
        <w:t>四、问题及建议</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（一）存在的问题。</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无存在的问题。</w:t>
      </w:r>
    </w:p>
    <w:p>
      <w:pPr>
        <w:autoSpaceDE w:val="0"/>
        <w:spacing w:line="540" w:lineRule="exact"/>
        <w:ind w:firstLine="616" w:firstLineChars="200"/>
        <w:rPr>
          <w:rFonts w:ascii="??_GB2312" w:eastAsia="Times New Roman"/>
          <w:bCs/>
          <w:spacing w:val="-6"/>
          <w:sz w:val="32"/>
          <w:szCs w:val="32"/>
        </w:rPr>
      </w:pPr>
      <w:r>
        <w:rPr>
          <w:rFonts w:ascii="??_GB2312" w:eastAsia="Times New Roman"/>
          <w:bCs/>
          <w:spacing w:val="-6"/>
          <w:sz w:val="32"/>
          <w:szCs w:val="32"/>
        </w:rPr>
        <w:t>（二）相关建议。</w:t>
      </w:r>
    </w:p>
    <w:p>
      <w:pPr>
        <w:spacing w:line="580" w:lineRule="exact"/>
        <w:ind w:firstLine="616" w:firstLineChars="200"/>
        <w:rPr>
          <w:rStyle w:val="25"/>
          <w:rFonts w:ascii="黑体" w:hAnsi="黑体" w:eastAsia="黑体"/>
          <w:b w:val="0"/>
        </w:rPr>
      </w:pPr>
      <w:r>
        <w:rPr>
          <w:rFonts w:ascii="??_GB2312" w:eastAsia="Times New Roman"/>
          <w:bCs/>
          <w:spacing w:val="-6"/>
          <w:sz w:val="32"/>
          <w:szCs w:val="32"/>
        </w:rPr>
        <w:t>要继续从严监督管理，严格按照巡察程序办事，建立完善巡察人才库，建立培训考核制度和激励约束机制，培养骨干力量，增强队伍生机活力。加强机构规范化建设，适应巡察工作新形势新任务，加强巡察机构组织队伍建设。</w:t>
      </w:r>
    </w:p>
    <w:tbl>
      <w:tblPr>
        <w:tblStyle w:val="13"/>
        <w:tblW w:w="10397" w:type="dxa"/>
        <w:tblInd w:w="93" w:type="dxa"/>
        <w:tblLayout w:type="fixed"/>
        <w:tblCellMar>
          <w:top w:w="0" w:type="dxa"/>
          <w:left w:w="108" w:type="dxa"/>
          <w:bottom w:w="0" w:type="dxa"/>
          <w:right w:w="108" w:type="dxa"/>
        </w:tblCellMar>
      </w:tblPr>
      <w:tblGrid>
        <w:gridCol w:w="680"/>
        <w:gridCol w:w="1080"/>
        <w:gridCol w:w="1413"/>
        <w:gridCol w:w="1800"/>
        <w:gridCol w:w="810"/>
        <w:gridCol w:w="2533"/>
        <w:gridCol w:w="2081"/>
      </w:tblGrid>
      <w:tr>
        <w:tblPrEx>
          <w:tblCellMar>
            <w:top w:w="0" w:type="dxa"/>
            <w:left w:w="108" w:type="dxa"/>
            <w:bottom w:w="0" w:type="dxa"/>
            <w:right w:w="108" w:type="dxa"/>
          </w:tblCellMar>
        </w:tblPrEx>
        <w:trPr>
          <w:trHeight w:val="375" w:hRule="atLeast"/>
        </w:trPr>
        <w:tc>
          <w:tcPr>
            <w:tcW w:w="10397" w:type="dxa"/>
            <w:gridSpan w:val="7"/>
            <w:tcBorders>
              <w:top w:val="nil"/>
              <w:left w:val="nil"/>
              <w:bottom w:val="nil"/>
              <w:right w:val="nil"/>
            </w:tcBorders>
            <w:shd w:val="clear" w:color="auto" w:fill="auto"/>
            <w:noWrap/>
            <w:vAlign w:val="center"/>
          </w:tcPr>
          <w:p>
            <w:pPr>
              <w:widowControl/>
              <w:jc w:val="left"/>
              <w:textAlignment w:val="center"/>
              <w:rPr>
                <w:rFonts w:hint="eastAsia" w:ascii="黑体" w:hAnsi="宋体" w:eastAsia="黑体" w:cs="黑体"/>
                <w:color w:val="000000"/>
                <w:sz w:val="28"/>
                <w:szCs w:val="28"/>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pPr>
              <w:rPr>
                <w:rFonts w:hint="eastAsia"/>
              </w:rPr>
            </w:pPr>
          </w:p>
          <w:p>
            <w:pPr>
              <w:pStyle w:val="2"/>
              <w:ind w:left="840" w:hanging="420"/>
              <w:rPr>
                <w:rFonts w:hint="eastAsia"/>
              </w:rPr>
            </w:pPr>
          </w:p>
          <w:p/>
        </w:tc>
      </w:tr>
      <w:tr>
        <w:tblPrEx>
          <w:tblCellMar>
            <w:top w:w="0" w:type="dxa"/>
            <w:left w:w="108" w:type="dxa"/>
            <w:bottom w:w="0" w:type="dxa"/>
            <w:right w:w="108" w:type="dxa"/>
          </w:tblCellMar>
        </w:tblPrEx>
        <w:trPr>
          <w:trHeight w:val="456" w:hRule="atLeast"/>
        </w:trPr>
        <w:tc>
          <w:tcPr>
            <w:tcW w:w="10397" w:type="dxa"/>
            <w:gridSpan w:val="7"/>
            <w:tcBorders>
              <w:top w:val="nil"/>
              <w:left w:val="nil"/>
              <w:bottom w:val="nil"/>
              <w:right w:val="nil"/>
            </w:tcBorders>
            <w:shd w:val="clear" w:color="auto" w:fill="auto"/>
            <w:vAlign w:val="center"/>
          </w:tcPr>
          <w:p>
            <w:pPr>
              <w:widowControl/>
              <w:jc w:val="center"/>
              <w:textAlignment w:val="center"/>
              <w:rPr>
                <w:rFonts w:ascii="方正大标宋简体" w:hAnsi="方正大标宋简体" w:eastAsia="方正大标宋简体" w:cs="方正大标宋简体"/>
                <w:color w:val="000000"/>
                <w:sz w:val="36"/>
                <w:szCs w:val="36"/>
              </w:rPr>
            </w:pPr>
            <w:r>
              <w:rPr>
                <w:rFonts w:ascii="方正大标宋简体" w:hAnsi="方正大标宋简体" w:eastAsia="方正大标宋简体" w:cs="方正大标宋简体"/>
                <w:color w:val="000000"/>
                <w:kern w:val="0"/>
                <w:sz w:val="36"/>
                <w:szCs w:val="36"/>
              </w:rPr>
              <w:t>部门预算项目支出绩效目标自评表</w:t>
            </w:r>
          </w:p>
        </w:tc>
      </w:tr>
      <w:tr>
        <w:tblPrEx>
          <w:tblCellMar>
            <w:top w:w="0" w:type="dxa"/>
            <w:left w:w="108" w:type="dxa"/>
            <w:bottom w:w="0" w:type="dxa"/>
            <w:right w:w="108" w:type="dxa"/>
          </w:tblCellMar>
        </w:tblPrEx>
        <w:trPr>
          <w:trHeight w:val="288" w:hRule="atLeast"/>
        </w:trPr>
        <w:tc>
          <w:tcPr>
            <w:tcW w:w="10397" w:type="dxa"/>
            <w:gridSpan w:val="7"/>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（2021年度）</w:t>
            </w:r>
          </w:p>
        </w:tc>
      </w:tr>
      <w:tr>
        <w:tblPrEx>
          <w:tblCellMar>
            <w:top w:w="0" w:type="dxa"/>
            <w:left w:w="108" w:type="dxa"/>
            <w:bottom w:w="0" w:type="dxa"/>
            <w:right w:w="108" w:type="dxa"/>
          </w:tblCellMar>
        </w:tblPrEx>
        <w:trPr>
          <w:trHeight w:val="270" w:hRule="atLeast"/>
        </w:trPr>
        <w:tc>
          <w:tcPr>
            <w:tcW w:w="10397" w:type="dxa"/>
            <w:gridSpan w:val="7"/>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部门（单位）盖章：中共广元市朝天区委巡察工作领导小组办公室</w:t>
            </w:r>
          </w:p>
        </w:tc>
      </w:tr>
      <w:tr>
        <w:tblPrEx>
          <w:tblCellMar>
            <w:top w:w="0" w:type="dxa"/>
            <w:left w:w="108" w:type="dxa"/>
            <w:bottom w:w="0" w:type="dxa"/>
            <w:right w:w="108" w:type="dxa"/>
          </w:tblCellMar>
        </w:tblPrEx>
        <w:trPr>
          <w:trHeight w:val="360" w:hRule="atLeast"/>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项目支出名称</w:t>
            </w:r>
          </w:p>
        </w:tc>
        <w:tc>
          <w:tcPr>
            <w:tcW w:w="86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巡察业务工作经费</w:t>
            </w:r>
          </w:p>
        </w:tc>
      </w:tr>
      <w:tr>
        <w:tblPrEx>
          <w:tblCellMar>
            <w:top w:w="0" w:type="dxa"/>
            <w:left w:w="108" w:type="dxa"/>
            <w:bottom w:w="0" w:type="dxa"/>
            <w:right w:w="108" w:type="dxa"/>
          </w:tblCellMar>
        </w:tblPrEx>
        <w:trPr>
          <w:trHeight w:val="360" w:hRule="atLeast"/>
        </w:trPr>
        <w:tc>
          <w:tcPr>
            <w:tcW w:w="1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预算单位</w:t>
            </w:r>
          </w:p>
        </w:tc>
        <w:tc>
          <w:tcPr>
            <w:tcW w:w="86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565" w:rightChars="269"/>
              <w:jc w:val="center"/>
              <w:textAlignment w:val="center"/>
              <w:rPr>
                <w:rFonts w:ascii="宋体" w:hAnsi="宋体" w:cs="宋体"/>
                <w:color w:val="000000"/>
                <w:sz w:val="18"/>
                <w:szCs w:val="18"/>
              </w:rPr>
            </w:pPr>
            <w:r>
              <w:rPr>
                <w:rFonts w:hint="eastAsia" w:ascii="宋体" w:hAnsi="宋体" w:cs="宋体"/>
                <w:color w:val="000000"/>
                <w:kern w:val="0"/>
                <w:sz w:val="18"/>
                <w:szCs w:val="18"/>
              </w:rPr>
              <w:t>中共广元市朝天区委巡察工作领导小组办公室</w:t>
            </w:r>
          </w:p>
        </w:tc>
      </w:tr>
      <w:tr>
        <w:tblPrEx>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预算执行情况</w:t>
            </w: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全年预算数（万元） </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12.00 </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 xml:space="preserve"> 全年执行数（万元）</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12.00 </w:t>
            </w: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其中：一般公共预算</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12.00 </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其中：一般公共预算</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12.00 </w:t>
            </w: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国有资本经营预算</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国有资本经营预算</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社会保险基金预算</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社会保险基金预算</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4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 xml:space="preserve">       其他资金</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72"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目标完成情况</w:t>
            </w:r>
          </w:p>
        </w:tc>
        <w:tc>
          <w:tcPr>
            <w:tcW w:w="51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全年预期目标</w:t>
            </w:r>
          </w:p>
        </w:tc>
        <w:tc>
          <w:tcPr>
            <w:tcW w:w="4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trHeight w:val="90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03"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目标1：保障巡察机构工作人员稳定，确保巡察工作正常开展。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目标2：确保巡察工作正常运转，按期完成七届区委任期内所有巡察工作及八届区委第一轮巡察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目标3：完成上级下达的专项巡察任务，保障巡察机构工作正常运转，营造风清气正的良好社会政治生态，全面推进从严治党。</w:t>
            </w:r>
          </w:p>
        </w:tc>
        <w:tc>
          <w:tcPr>
            <w:tcW w:w="461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 xml:space="preserve">           目标1：保障巡察机构工作人员稳定，确保巡察工作正常开展。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目标2：确保巡察工作正常运转，按期完成七届区委任期内“回头看”专项巡察及八届区委第一轮常规巡察。</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目标3：完成上级下达的专项巡察任务，保障巡察机构工作正常运转，营造风清气正的良好社会政治生态，全面推进从严治党。                                                                                                </w:t>
            </w:r>
          </w:p>
        </w:tc>
      </w:tr>
      <w:tr>
        <w:tblPrEx>
          <w:tblCellMar>
            <w:top w:w="0" w:type="dxa"/>
            <w:left w:w="108" w:type="dxa"/>
            <w:bottom w:w="0" w:type="dxa"/>
            <w:right w:w="108" w:type="dxa"/>
          </w:tblCellMar>
        </w:tblPrEx>
        <w:trPr>
          <w:trHeight w:val="576"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年度绩效指标完成情况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全年预期指标值                        （包含数字及文字描述）</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全年实际完成指标值                           （包含数字及文字描述）</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巡察单位数量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≥70个</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70个</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资金使用合规率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完成时效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2021年12月31日前</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2021年12月31日前</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巡察工作成本</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≤12万元</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12万元</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保障巡察机构工作正常运转，营造风清气正的良好社会政治生态，全面推进从严治党。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保障</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保障</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群众对巡察工作满意度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2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bl>
    <w:p>
      <w:pPr>
        <w:widowControl/>
        <w:jc w:val="left"/>
        <w:rPr>
          <w:rStyle w:val="25"/>
          <w:rFonts w:ascii="黑体" w:hAnsi="黑体" w:eastAsia="黑体"/>
          <w:b w:val="0"/>
        </w:rPr>
      </w:pPr>
    </w:p>
    <w:p>
      <w:pPr>
        <w:spacing w:line="600" w:lineRule="exact"/>
        <w:jc w:val="center"/>
        <w:outlineLvl w:val="0"/>
        <w:rPr>
          <w:rFonts w:ascii="仿宋" w:hAnsi="仿宋" w:eastAsia="仿宋"/>
        </w:rPr>
      </w:pPr>
      <w:bookmarkStart w:id="56" w:name="_Toc15396618"/>
      <w:r>
        <w:rPr>
          <w:rFonts w:hint="eastAsia" w:ascii="黑体" w:hAnsi="黑体" w:eastAsia="黑体"/>
          <w:sz w:val="44"/>
          <w:szCs w:val="44"/>
        </w:rPr>
        <w:t>第</w:t>
      </w:r>
      <w:r>
        <w:rPr>
          <w:rStyle w:val="25"/>
          <w:rFonts w:hint="eastAsia" w:ascii="黑体" w:hAnsi="黑体" w:eastAsia="黑体"/>
          <w:b w:val="0"/>
        </w:rPr>
        <w:t>五部分 附表</w:t>
      </w:r>
      <w:bookmarkEnd w:id="54"/>
      <w:bookmarkEnd w:id="56"/>
      <w:bookmarkStart w:id="57"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7"/>
    </w:p>
    <w:p>
      <w:pPr>
        <w:pStyle w:val="4"/>
        <w:rPr>
          <w:rFonts w:ascii="仿宋" w:hAnsi="仿宋" w:eastAsia="仿宋"/>
        </w:rPr>
      </w:pPr>
      <w:bookmarkStart w:id="58" w:name="_Toc15396620"/>
      <w:r>
        <w:rPr>
          <w:rFonts w:hint="eastAsia" w:ascii="仿宋" w:hAnsi="仿宋" w:eastAsia="仿宋"/>
          <w:b w:val="0"/>
        </w:rPr>
        <w:t>二、收</w:t>
      </w:r>
      <w:r>
        <w:rPr>
          <w:rStyle w:val="26"/>
          <w:rFonts w:hint="eastAsia" w:ascii="仿宋" w:hAnsi="仿宋" w:eastAsia="仿宋"/>
          <w:b w:val="0"/>
          <w:bCs w:val="0"/>
        </w:rPr>
        <w:t>入决算表</w:t>
      </w:r>
      <w:bookmarkEnd w:id="58"/>
    </w:p>
    <w:p>
      <w:pPr>
        <w:pStyle w:val="4"/>
        <w:rPr>
          <w:rFonts w:ascii="仿宋" w:hAnsi="仿宋" w:eastAsia="仿宋"/>
        </w:rPr>
      </w:pPr>
      <w:bookmarkStart w:id="59"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9"/>
    </w:p>
    <w:p>
      <w:pPr>
        <w:pStyle w:val="4"/>
        <w:rPr>
          <w:rFonts w:ascii="仿宋" w:hAnsi="仿宋" w:eastAsia="仿宋"/>
          <w:b w:val="0"/>
        </w:rPr>
      </w:pPr>
      <w:bookmarkStart w:id="60"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0"/>
    </w:p>
    <w:p>
      <w:pPr>
        <w:pStyle w:val="4"/>
        <w:rPr>
          <w:rStyle w:val="26"/>
          <w:rFonts w:ascii="仿宋" w:hAnsi="仿宋" w:eastAsia="仿宋"/>
          <w:b w:val="0"/>
          <w:bCs w:val="0"/>
        </w:rPr>
      </w:pPr>
      <w:bookmarkStart w:id="61"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1"/>
      <w:bookmarkStart w:id="62"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2"/>
    </w:p>
    <w:p>
      <w:pPr>
        <w:pStyle w:val="4"/>
        <w:rPr>
          <w:rFonts w:ascii="仿宋" w:hAnsi="仿宋" w:eastAsia="仿宋"/>
        </w:rPr>
      </w:pPr>
      <w:bookmarkStart w:id="63"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3"/>
    </w:p>
    <w:p>
      <w:pPr>
        <w:pStyle w:val="4"/>
        <w:rPr>
          <w:rFonts w:ascii="仿宋" w:hAnsi="仿宋" w:eastAsia="仿宋"/>
        </w:rPr>
      </w:pPr>
      <w:bookmarkStart w:id="64"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4"/>
    </w:p>
    <w:p>
      <w:pPr>
        <w:pStyle w:val="4"/>
        <w:rPr>
          <w:rFonts w:ascii="仿宋" w:hAnsi="仿宋" w:eastAsia="仿宋"/>
        </w:rPr>
      </w:pPr>
      <w:bookmarkStart w:id="65"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5"/>
    </w:p>
    <w:p>
      <w:pPr>
        <w:pStyle w:val="4"/>
        <w:rPr>
          <w:rFonts w:ascii="仿宋" w:hAnsi="仿宋" w:eastAsia="仿宋"/>
        </w:rPr>
      </w:pPr>
      <w:bookmarkStart w:id="66"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6"/>
    </w:p>
    <w:p>
      <w:pPr>
        <w:pStyle w:val="4"/>
        <w:rPr>
          <w:rFonts w:ascii="仿宋" w:hAnsi="仿宋" w:eastAsia="仿宋"/>
        </w:rPr>
      </w:pPr>
      <w:bookmarkStart w:id="67"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7"/>
    </w:p>
    <w:p>
      <w:pPr>
        <w:pStyle w:val="4"/>
        <w:rPr>
          <w:rFonts w:ascii="仿宋" w:hAnsi="仿宋" w:eastAsia="仿宋"/>
        </w:rPr>
      </w:pPr>
      <w:bookmarkStart w:id="68"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8"/>
    </w:p>
    <w:p>
      <w:pPr>
        <w:pStyle w:val="4"/>
        <w:rPr>
          <w:rStyle w:val="26"/>
          <w:rFonts w:ascii="仿宋" w:hAnsi="仿宋" w:eastAsia="仿宋"/>
          <w:b w:val="0"/>
          <w:bCs w:val="0"/>
        </w:rPr>
      </w:pPr>
      <w:bookmarkStart w:id="69"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9"/>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98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ViOWMyYTMxNjNkZThjMGUwMzg3MmIyZDEyMTI5Y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5F669B"/>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548"/>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0358"/>
    <w:rsid w:val="00A91760"/>
    <w:rsid w:val="00A93B00"/>
    <w:rsid w:val="00A93C21"/>
    <w:rsid w:val="00AB64C9"/>
    <w:rsid w:val="00AC3C6A"/>
    <w:rsid w:val="00AC53D7"/>
    <w:rsid w:val="00AD01D2"/>
    <w:rsid w:val="00AD5620"/>
    <w:rsid w:val="00AD5CB3"/>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D96A97"/>
    <w:rsid w:val="04EB7950"/>
    <w:rsid w:val="066E0107"/>
    <w:rsid w:val="07996F6E"/>
    <w:rsid w:val="0A2032A3"/>
    <w:rsid w:val="101860EC"/>
    <w:rsid w:val="10C055FF"/>
    <w:rsid w:val="118107EC"/>
    <w:rsid w:val="12557610"/>
    <w:rsid w:val="13D50BC4"/>
    <w:rsid w:val="16BB723D"/>
    <w:rsid w:val="1BE8440E"/>
    <w:rsid w:val="1D155CEE"/>
    <w:rsid w:val="23860B96"/>
    <w:rsid w:val="240371BF"/>
    <w:rsid w:val="29FD04D3"/>
    <w:rsid w:val="2C8A61B5"/>
    <w:rsid w:val="2DF04E50"/>
    <w:rsid w:val="319F7F4E"/>
    <w:rsid w:val="359F7AA1"/>
    <w:rsid w:val="36AA5135"/>
    <w:rsid w:val="37E16F03"/>
    <w:rsid w:val="3D98207C"/>
    <w:rsid w:val="44E268DA"/>
    <w:rsid w:val="4A627F82"/>
    <w:rsid w:val="4B4F25DA"/>
    <w:rsid w:val="4BE068DB"/>
    <w:rsid w:val="4D577224"/>
    <w:rsid w:val="4EAB630A"/>
    <w:rsid w:val="4ECE2238"/>
    <w:rsid w:val="575C4964"/>
    <w:rsid w:val="5AF92295"/>
    <w:rsid w:val="5CD71FC4"/>
    <w:rsid w:val="66376316"/>
    <w:rsid w:val="6B5011F0"/>
    <w:rsid w:val="6C4A05C8"/>
    <w:rsid w:val="6D0F6795"/>
    <w:rsid w:val="6E7E3605"/>
    <w:rsid w:val="6FA06B69"/>
    <w:rsid w:val="6FF5CC65"/>
    <w:rsid w:val="715C0E4B"/>
    <w:rsid w:val="72734D90"/>
    <w:rsid w:val="73AD73D5"/>
    <w:rsid w:val="73B6EB34"/>
    <w:rsid w:val="79EE5BA4"/>
    <w:rsid w:val="7A894339"/>
    <w:rsid w:val="7EEF11D3"/>
    <w:rsid w:val="7FA30C79"/>
    <w:rsid w:val="7FC96657"/>
    <w:rsid w:val="B7FDED19"/>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11350</Words>
  <Characters>12005</Characters>
  <Lines>18</Lines>
  <Paragraphs>27</Paragraphs>
  <TotalTime>2</TotalTime>
  <ScaleCrop>false</ScaleCrop>
  <LinksUpToDate>false</LinksUpToDate>
  <CharactersWithSpaces>12945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2022-09-22T10:54:00Z</cp:lastPrinted>
  <dcterms:modified xsi:type="dcterms:W3CDTF">2022-10-18T17:28:11Z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714FE5F758C94DDD949497857A60A624</vt:lpwstr>
  </property>
</Properties>
</file>