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朝天区水磨沟镇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11</w:t>
      </w:r>
      <w:bookmarkStart w:id="20" w:name="_GoBack"/>
      <w:bookmarkEnd w:id="20"/>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水磨沟镇人民政府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水磨沟镇人民政府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both"/>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水磨沟镇人民政府</w:t>
            </w:r>
          </w:p>
        </w:tc>
        <w:tc>
          <w:tcPr>
            <w:tcW w:w="1800" w:type="dxa"/>
            <w:vAlign w:val="center"/>
          </w:tcPr>
          <w:p>
            <w:pPr>
              <w:jc w:val="both"/>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p>
            <w:pPr>
              <w:jc w:val="both"/>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jc w:val="center"/>
              <w:rPr>
                <w:rFonts w:hint="eastAsia" w:ascii="仿宋_GB2312" w:hAnsi="仿宋_GB2312" w:eastAsia="仿宋_GB2312" w:cs="仿宋_GB2312"/>
                <w:bCs/>
                <w:color w:val="auto"/>
                <w:sz w:val="24"/>
                <w:szCs w:val="24"/>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根据水磨沟镇困难群众临时救助实施细则的通知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水磨沟镇人民政府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便民服务中心</w:t>
            </w: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jc w:val="both"/>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便民服务中心</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jc w:val="left"/>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便民服务中心</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jc w:val="left"/>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便民服务中心</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水磨沟镇人民政府</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jc w:val="left"/>
              <w:rPr>
                <w:rFonts w:hint="eastAsia" w:ascii="仿宋_GB2312" w:hAnsi="仿宋_GB2312" w:eastAsia="仿宋_GB2312" w:cs="仿宋_GB2312"/>
                <w:color w:val="auto"/>
                <w:sz w:val="24"/>
                <w:szCs w:val="24"/>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便民服务中心</w:t>
            </w: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246"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 xml:space="preserve"> </w:t>
            </w: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便民服务中心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水磨沟镇人民政府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水磨沟镇人民政府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eastAsia="zh-CN"/>
              </w:rPr>
              <w:t>便民服务中心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08397807500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6C75E70"/>
    <w:rsid w:val="077F6D90"/>
    <w:rsid w:val="0872408A"/>
    <w:rsid w:val="09E82BFE"/>
    <w:rsid w:val="0A773AA0"/>
    <w:rsid w:val="0AE562A3"/>
    <w:rsid w:val="0BD672FD"/>
    <w:rsid w:val="0CA24A03"/>
    <w:rsid w:val="0EF272D6"/>
    <w:rsid w:val="0FEF6BDF"/>
    <w:rsid w:val="10F51F65"/>
    <w:rsid w:val="114875E1"/>
    <w:rsid w:val="119D7928"/>
    <w:rsid w:val="1246606B"/>
    <w:rsid w:val="164E0CC3"/>
    <w:rsid w:val="17977D9A"/>
    <w:rsid w:val="19684CC1"/>
    <w:rsid w:val="1B777ECA"/>
    <w:rsid w:val="1D1D387A"/>
    <w:rsid w:val="1E7769E3"/>
    <w:rsid w:val="22436110"/>
    <w:rsid w:val="23300063"/>
    <w:rsid w:val="2492207B"/>
    <w:rsid w:val="2ACC21F5"/>
    <w:rsid w:val="2D8E231A"/>
    <w:rsid w:val="2DA61BA5"/>
    <w:rsid w:val="2F4F0435"/>
    <w:rsid w:val="32111337"/>
    <w:rsid w:val="363970E8"/>
    <w:rsid w:val="38345799"/>
    <w:rsid w:val="38632173"/>
    <w:rsid w:val="38746C80"/>
    <w:rsid w:val="3DA340AD"/>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5265525"/>
    <w:rsid w:val="670F3391"/>
    <w:rsid w:val="6754691A"/>
    <w:rsid w:val="679A4EB9"/>
    <w:rsid w:val="68FB4111"/>
    <w:rsid w:val="69837D68"/>
    <w:rsid w:val="6AD20069"/>
    <w:rsid w:val="6CBD30CE"/>
    <w:rsid w:val="6E712785"/>
    <w:rsid w:val="6EC53796"/>
    <w:rsid w:val="6F121541"/>
    <w:rsid w:val="6F2F6FE1"/>
    <w:rsid w:val="74A41B92"/>
    <w:rsid w:val="753D2069"/>
    <w:rsid w:val="75AA6588"/>
    <w:rsid w:val="76680A50"/>
    <w:rsid w:val="77917FAD"/>
    <w:rsid w:val="780C775B"/>
    <w:rsid w:val="79060D5B"/>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2020-07-07T15:05:00Z</dcterms:created>
  <dc:creator>超超</dc:creator>
  <cp:lastModifiedBy>user</cp:lastModifiedBy>
  <dcterms:modified xsi:type="dcterms:W3CDTF">2022-12-14T15:42:36Z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