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center"/>
        <w:rPr>
          <w:rFonts w:eastAsia="仿宋_GB2312"/>
          <w:color w:val="auto"/>
          <w:sz w:val="40"/>
          <w:szCs w:val="48"/>
        </w:rPr>
      </w:pPr>
    </w:p>
    <w:p>
      <w:pPr>
        <w:topLinePunct/>
        <w:jc w:val="center"/>
        <w:rPr>
          <w:rFonts w:eastAsia="仿宋_GB2312"/>
          <w:color w:val="auto"/>
          <w:sz w:val="40"/>
          <w:szCs w:val="48"/>
        </w:rPr>
      </w:pPr>
    </w:p>
    <w:p>
      <w:pPr>
        <w:topLinePunct/>
        <w:jc w:val="center"/>
        <w:rPr>
          <w:rFonts w:eastAsia="仿宋_GB2312"/>
          <w:color w:val="auto"/>
          <w:sz w:val="40"/>
          <w:szCs w:val="48"/>
        </w:rPr>
      </w:pPr>
    </w:p>
    <w:p>
      <w:pPr>
        <w:topLinePunct/>
        <w:jc w:val="center"/>
        <w:rPr>
          <w:rFonts w:eastAsia="仿宋_GB2312"/>
          <w:color w:val="auto"/>
          <w:sz w:val="40"/>
          <w:szCs w:val="48"/>
        </w:rPr>
      </w:pPr>
    </w:p>
    <w:p>
      <w:pPr>
        <w:jc w:val="center"/>
        <w:rPr>
          <w:rFonts w:ascii="Arial Unicode MS" w:hAnsi="Arial Unicode MS" w:eastAsia="Arial Unicode MS" w:cs="Arial Unicode MS"/>
          <w:b/>
          <w:bCs/>
          <w:color w:val="auto"/>
          <w:sz w:val="48"/>
          <w:szCs w:val="56"/>
        </w:rPr>
      </w:pPr>
      <w:r>
        <w:rPr>
          <w:rFonts w:hint="eastAsia" w:ascii="Arial Unicode MS" w:hAnsi="Arial Unicode MS" w:eastAsia="Arial Unicode MS" w:cs="Arial Unicode MS"/>
          <w:b/>
          <w:bCs/>
          <w:color w:val="auto"/>
          <w:sz w:val="48"/>
          <w:szCs w:val="56"/>
        </w:rPr>
        <w:t>朝天区“十四五”生态环境保护规划</w:t>
      </w:r>
    </w:p>
    <w:p>
      <w:pPr>
        <w:tabs>
          <w:tab w:val="left" w:pos="7133"/>
        </w:tabs>
        <w:topLinePunct/>
        <w:rPr>
          <w:rFonts w:hint="eastAsia" w:eastAsia="Arial Unicode MS"/>
          <w:b/>
          <w:bCs/>
          <w:color w:val="auto"/>
          <w:sz w:val="48"/>
          <w:szCs w:val="56"/>
          <w:lang w:eastAsia="zh-CN"/>
        </w:rPr>
      </w:pPr>
      <w:r>
        <w:rPr>
          <w:rFonts w:hint="eastAsia" w:eastAsia="Arial Unicode MS"/>
          <w:b/>
          <w:bCs/>
          <w:color w:val="auto"/>
          <w:sz w:val="48"/>
          <w:szCs w:val="56"/>
          <w:lang w:eastAsia="zh-CN"/>
        </w:rPr>
        <w:tab/>
      </w:r>
    </w:p>
    <w:p>
      <w:pPr>
        <w:pStyle w:val="16"/>
        <w:topLinePunct/>
        <w:ind w:left="1384" w:hanging="964"/>
        <w:rPr>
          <w:rFonts w:eastAsia="Arial Unicode MS"/>
          <w:b/>
          <w:bCs/>
          <w:color w:val="auto"/>
          <w:sz w:val="48"/>
          <w:szCs w:val="56"/>
        </w:rPr>
      </w:pPr>
    </w:p>
    <w:p>
      <w:pPr>
        <w:topLinePunct/>
        <w:rPr>
          <w:rFonts w:eastAsia="Arial Unicode MS"/>
          <w:b/>
          <w:bCs/>
          <w:color w:val="auto"/>
          <w:sz w:val="48"/>
          <w:szCs w:val="56"/>
        </w:rPr>
      </w:pPr>
    </w:p>
    <w:p>
      <w:pPr>
        <w:pStyle w:val="16"/>
        <w:topLinePunct/>
        <w:ind w:left="1384" w:hanging="964"/>
        <w:rPr>
          <w:rFonts w:eastAsia="Arial Unicode MS"/>
          <w:b/>
          <w:bCs/>
          <w:color w:val="auto"/>
          <w:sz w:val="48"/>
          <w:szCs w:val="56"/>
        </w:rPr>
      </w:pPr>
    </w:p>
    <w:p>
      <w:pPr>
        <w:pStyle w:val="9"/>
        <w:topLinePunct/>
        <w:rPr>
          <w:color w:val="auto"/>
        </w:rPr>
      </w:pPr>
    </w:p>
    <w:p>
      <w:pPr>
        <w:pStyle w:val="9"/>
        <w:topLinePunct/>
        <w:rPr>
          <w:color w:val="auto"/>
        </w:rPr>
      </w:pPr>
    </w:p>
    <w:p>
      <w:pPr>
        <w:pStyle w:val="9"/>
        <w:topLinePunct/>
        <w:rPr>
          <w:color w:val="auto"/>
        </w:rPr>
      </w:pPr>
    </w:p>
    <w:p>
      <w:pPr>
        <w:pStyle w:val="9"/>
        <w:topLinePunct/>
        <w:rPr>
          <w:color w:val="auto"/>
        </w:rPr>
      </w:pPr>
    </w:p>
    <w:p>
      <w:pPr>
        <w:pStyle w:val="9"/>
        <w:topLinePunct/>
        <w:rPr>
          <w:color w:val="auto"/>
        </w:rPr>
      </w:pPr>
    </w:p>
    <w:p>
      <w:pPr>
        <w:pStyle w:val="9"/>
        <w:topLinePunct/>
        <w:rPr>
          <w:color w:val="auto"/>
        </w:rPr>
      </w:pPr>
    </w:p>
    <w:p>
      <w:pPr>
        <w:pStyle w:val="9"/>
        <w:topLinePunct/>
        <w:rPr>
          <w:color w:val="auto"/>
        </w:rPr>
      </w:pPr>
    </w:p>
    <w:p>
      <w:pPr>
        <w:pStyle w:val="9"/>
        <w:topLinePunct/>
        <w:rPr>
          <w:color w:val="auto"/>
        </w:rPr>
      </w:pPr>
    </w:p>
    <w:p>
      <w:pPr>
        <w:pStyle w:val="9"/>
        <w:topLinePunct/>
        <w:rPr>
          <w:color w:val="auto"/>
        </w:rPr>
      </w:pPr>
    </w:p>
    <w:p>
      <w:pPr>
        <w:widowControl/>
        <w:spacing w:line="560" w:lineRule="exact"/>
        <w:ind w:firstLine="640" w:firstLineChars="200"/>
        <w:jc w:val="center"/>
        <w:rPr>
          <w:rFonts w:eastAsia="黑体"/>
          <w:color w:val="auto"/>
          <w:sz w:val="32"/>
          <w:szCs w:val="32"/>
        </w:rPr>
      </w:pPr>
      <w:r>
        <w:rPr>
          <w:rFonts w:hint="eastAsia" w:eastAsia="黑体"/>
          <w:color w:val="auto"/>
          <w:sz w:val="32"/>
          <w:szCs w:val="32"/>
        </w:rPr>
        <w:t>朝天区人民政府</w:t>
      </w:r>
    </w:p>
    <w:p>
      <w:pPr>
        <w:widowControl/>
        <w:spacing w:line="560" w:lineRule="exact"/>
        <w:ind w:firstLine="640" w:firstLineChars="200"/>
        <w:jc w:val="center"/>
        <w:rPr>
          <w:rFonts w:eastAsia="黑体"/>
          <w:color w:val="auto"/>
          <w:sz w:val="32"/>
          <w:szCs w:val="32"/>
        </w:rPr>
      </w:pPr>
      <w:r>
        <w:rPr>
          <w:rFonts w:eastAsia="黑体"/>
          <w:color w:val="auto"/>
          <w:sz w:val="32"/>
          <w:szCs w:val="32"/>
        </w:rPr>
        <w:t>202</w:t>
      </w:r>
      <w:r>
        <w:rPr>
          <w:rFonts w:hint="eastAsia" w:eastAsia="黑体"/>
          <w:color w:val="auto"/>
          <w:sz w:val="32"/>
          <w:szCs w:val="32"/>
          <w:lang w:val="en-US" w:eastAsia="zh-CN"/>
        </w:rPr>
        <w:t>3</w:t>
      </w:r>
      <w:r>
        <w:rPr>
          <w:rFonts w:eastAsia="黑体"/>
          <w:color w:val="auto"/>
          <w:sz w:val="32"/>
          <w:szCs w:val="32"/>
        </w:rPr>
        <w:t>年</w:t>
      </w:r>
      <w:r>
        <w:rPr>
          <w:rFonts w:hint="eastAsia" w:eastAsia="黑体"/>
          <w:color w:val="auto"/>
          <w:sz w:val="32"/>
          <w:szCs w:val="32"/>
          <w:lang w:val="en-US" w:eastAsia="zh-CN"/>
        </w:rPr>
        <w:t>2</w:t>
      </w:r>
      <w:r>
        <w:rPr>
          <w:rFonts w:hint="eastAsia" w:eastAsia="黑体"/>
          <w:color w:val="auto"/>
          <w:sz w:val="32"/>
          <w:szCs w:val="32"/>
        </w:rPr>
        <w:t>月</w:t>
      </w:r>
      <w:bookmarkStart w:id="113" w:name="_GoBack"/>
      <w:bookmarkEnd w:id="113"/>
    </w:p>
    <w:sdt>
      <w:sdtPr>
        <w:rPr>
          <w:rFonts w:eastAsia="黑体"/>
          <w:b/>
          <w:color w:val="auto"/>
          <w:kern w:val="44"/>
          <w:sz w:val="32"/>
        </w:rPr>
        <w:id w:val="147477394"/>
        <w:docPartObj>
          <w:docPartGallery w:val="Table of Contents"/>
          <w:docPartUnique/>
        </w:docPartObj>
      </w:sdtPr>
      <w:sdtEndPr>
        <w:rPr>
          <w:rFonts w:eastAsia="黑体"/>
          <w:b w:val="0"/>
          <w:color w:val="auto"/>
          <w:kern w:val="44"/>
          <w:sz w:val="36"/>
        </w:rPr>
      </w:sdtEndPr>
      <w:sdtContent>
        <w:p>
          <w:pPr>
            <w:topLinePunct/>
            <w:jc w:val="center"/>
            <w:rPr>
              <w:rFonts w:ascii="宋体" w:hAnsi="宋体"/>
              <w:b/>
              <w:color w:val="auto"/>
            </w:rPr>
            <w:sectPr>
              <w:headerReference r:id="rId3" w:type="default"/>
              <w:footerReference r:id="rId4" w:type="default"/>
              <w:footerReference r:id="rId5" w:type="even"/>
              <w:pgSz w:w="11906" w:h="16838"/>
              <w:pgMar w:top="2098" w:right="1588" w:bottom="1247" w:left="1588" w:header="851" w:footer="992" w:gutter="0"/>
              <w:cols w:space="425" w:num="1"/>
              <w:titlePg/>
              <w:docGrid w:type="lines" w:linePitch="312" w:charSpace="0"/>
            </w:sectPr>
          </w:pPr>
          <w:bookmarkStart w:id="0" w:name="_Toc16186"/>
        </w:p>
        <w:p>
          <w:pPr>
            <w:pStyle w:val="48"/>
            <w:ind w:firstLine="420"/>
            <w:jc w:val="center"/>
            <w:rPr>
              <w:rFonts w:ascii="Times New Roman" w:hAnsi="Times New Roman" w:eastAsia="黑体" w:cs="Times New Roman"/>
              <w:color w:val="auto"/>
            </w:rPr>
          </w:pPr>
          <w:r>
            <w:rPr>
              <w:rFonts w:hint="eastAsia" w:ascii="Times New Roman" w:hAnsi="Times New Roman" w:eastAsia="黑体" w:cs="Times New Roman"/>
              <w:color w:val="auto"/>
            </w:rPr>
            <w:t>目</w:t>
          </w:r>
          <w:r>
            <w:rPr>
              <w:rFonts w:ascii="Times New Roman" w:hAnsi="Times New Roman" w:eastAsia="黑体" w:cs="Times New Roman"/>
              <w:color w:val="auto"/>
            </w:rPr>
            <w:t xml:space="preserve"> </w:t>
          </w:r>
          <w:r>
            <w:rPr>
              <w:rFonts w:hint="eastAsia" w:ascii="Times New Roman" w:hAnsi="Times New Roman" w:eastAsia="黑体" w:cs="Times New Roman"/>
              <w:color w:val="auto"/>
            </w:rPr>
            <w:t>录</w:t>
          </w:r>
        </w:p>
        <w:p>
          <w:pPr>
            <w:pStyle w:val="15"/>
            <w:tabs>
              <w:tab w:val="right" w:leader="dot" w:pos="8730"/>
            </w:tabs>
            <w:spacing w:line="560" w:lineRule="exact"/>
            <w:rPr>
              <w:rFonts w:eastAsia="仿宋_GB2312"/>
              <w:b/>
              <w:color w:val="auto"/>
              <w:sz w:val="28"/>
              <w:szCs w:val="28"/>
            </w:rPr>
          </w:pPr>
          <w:r>
            <w:rPr>
              <w:rFonts w:eastAsia="仿宋_GB2312"/>
              <w:color w:val="auto"/>
              <w:sz w:val="28"/>
              <w:szCs w:val="28"/>
            </w:rPr>
            <w:fldChar w:fldCharType="begin"/>
          </w:r>
          <w:r>
            <w:rPr>
              <w:rFonts w:eastAsia="仿宋_GB2312"/>
              <w:color w:val="auto"/>
              <w:sz w:val="28"/>
              <w:szCs w:val="28"/>
            </w:rPr>
            <w:instrText xml:space="preserve">TOC \o "1-2" \h \u </w:instrText>
          </w:r>
          <w:r>
            <w:rPr>
              <w:rFonts w:eastAsia="仿宋_GB2312"/>
              <w:color w:val="auto"/>
              <w:sz w:val="28"/>
              <w:szCs w:val="28"/>
            </w:rPr>
            <w:fldChar w:fldCharType="separate"/>
          </w:r>
          <w:r>
            <w:rPr>
              <w:color w:val="auto"/>
            </w:rPr>
            <w:fldChar w:fldCharType="begin"/>
          </w:r>
          <w:r>
            <w:rPr>
              <w:color w:val="auto"/>
            </w:rPr>
            <w:instrText xml:space="preserve"> HYPERLINK \l "_Toc11949" </w:instrText>
          </w:r>
          <w:r>
            <w:rPr>
              <w:color w:val="auto"/>
            </w:rPr>
            <w:fldChar w:fldCharType="separate"/>
          </w:r>
          <w:r>
            <w:rPr>
              <w:rFonts w:hint="eastAsia" w:eastAsia="仿宋_GB2312"/>
              <w:b/>
              <w:color w:val="auto"/>
              <w:sz w:val="28"/>
              <w:szCs w:val="28"/>
            </w:rPr>
            <w:t>前</w:t>
          </w:r>
          <w:r>
            <w:rPr>
              <w:rFonts w:eastAsia="仿宋_GB2312"/>
              <w:b/>
              <w:color w:val="auto"/>
              <w:sz w:val="28"/>
              <w:szCs w:val="28"/>
            </w:rPr>
            <w:t xml:space="preserve">  </w:t>
          </w:r>
          <w:r>
            <w:rPr>
              <w:rFonts w:hint="eastAsia" w:eastAsia="仿宋_GB2312"/>
              <w:b/>
              <w:color w:val="auto"/>
              <w:sz w:val="28"/>
              <w:szCs w:val="28"/>
            </w:rPr>
            <w:t>言</w:t>
          </w:r>
          <w:r>
            <w:rPr>
              <w:rFonts w:eastAsia="仿宋_GB2312"/>
              <w:b/>
              <w:color w:val="auto"/>
              <w:sz w:val="28"/>
              <w:szCs w:val="28"/>
            </w:rPr>
            <w:tab/>
          </w:r>
          <w:r>
            <w:rPr>
              <w:rFonts w:eastAsia="仿宋_GB2312"/>
              <w:b/>
              <w:color w:val="auto"/>
              <w:sz w:val="28"/>
              <w:szCs w:val="28"/>
            </w:rPr>
            <w:fldChar w:fldCharType="begin"/>
          </w:r>
          <w:r>
            <w:rPr>
              <w:rFonts w:eastAsia="仿宋_GB2312"/>
              <w:b/>
              <w:color w:val="auto"/>
              <w:sz w:val="28"/>
              <w:szCs w:val="28"/>
            </w:rPr>
            <w:instrText xml:space="preserve"> PAGEREF _Toc11949 \h </w:instrText>
          </w:r>
          <w:r>
            <w:rPr>
              <w:rFonts w:eastAsia="仿宋_GB2312"/>
              <w:b/>
              <w:color w:val="auto"/>
              <w:sz w:val="28"/>
              <w:szCs w:val="28"/>
            </w:rPr>
            <w:fldChar w:fldCharType="separate"/>
          </w:r>
          <w:r>
            <w:rPr>
              <w:rFonts w:eastAsia="仿宋_GB2312"/>
              <w:b/>
              <w:color w:val="auto"/>
              <w:sz w:val="28"/>
              <w:szCs w:val="28"/>
            </w:rPr>
            <w:t>1</w:t>
          </w:r>
          <w:r>
            <w:rPr>
              <w:rFonts w:eastAsia="仿宋_GB2312"/>
              <w:b/>
              <w:color w:val="auto"/>
              <w:sz w:val="28"/>
              <w:szCs w:val="28"/>
            </w:rPr>
            <w:fldChar w:fldCharType="end"/>
          </w:r>
          <w:r>
            <w:rPr>
              <w:rFonts w:eastAsia="仿宋_GB2312"/>
              <w:b/>
              <w:color w:val="auto"/>
              <w:sz w:val="28"/>
              <w:szCs w:val="28"/>
            </w:rPr>
            <w:fldChar w:fldCharType="end"/>
          </w:r>
        </w:p>
        <w:p>
          <w:pPr>
            <w:pStyle w:val="15"/>
            <w:tabs>
              <w:tab w:val="right" w:leader="dot" w:pos="8730"/>
            </w:tabs>
            <w:spacing w:line="560" w:lineRule="exact"/>
            <w:rPr>
              <w:rFonts w:eastAsia="仿宋_GB2312"/>
              <w:b/>
              <w:color w:val="auto"/>
              <w:sz w:val="28"/>
              <w:szCs w:val="28"/>
            </w:rPr>
          </w:pPr>
          <w:r>
            <w:rPr>
              <w:color w:val="auto"/>
            </w:rPr>
            <w:fldChar w:fldCharType="begin"/>
          </w:r>
          <w:r>
            <w:rPr>
              <w:color w:val="auto"/>
            </w:rPr>
            <w:instrText xml:space="preserve"> HYPERLINK \l "_Toc21393" </w:instrText>
          </w:r>
          <w:r>
            <w:rPr>
              <w:color w:val="auto"/>
            </w:rPr>
            <w:fldChar w:fldCharType="separate"/>
          </w:r>
          <w:r>
            <w:rPr>
              <w:rFonts w:hint="eastAsia" w:eastAsia="仿宋_GB2312"/>
              <w:b/>
              <w:color w:val="auto"/>
              <w:sz w:val="28"/>
              <w:szCs w:val="28"/>
            </w:rPr>
            <w:t>一、背景与形势</w:t>
          </w:r>
          <w:r>
            <w:rPr>
              <w:rFonts w:eastAsia="仿宋_GB2312"/>
              <w:b/>
              <w:color w:val="auto"/>
              <w:sz w:val="28"/>
              <w:szCs w:val="28"/>
            </w:rPr>
            <w:tab/>
          </w:r>
          <w:r>
            <w:rPr>
              <w:rFonts w:eastAsia="仿宋_GB2312"/>
              <w:b/>
              <w:color w:val="auto"/>
              <w:sz w:val="28"/>
              <w:szCs w:val="28"/>
            </w:rPr>
            <w:fldChar w:fldCharType="begin"/>
          </w:r>
          <w:r>
            <w:rPr>
              <w:rFonts w:eastAsia="仿宋_GB2312"/>
              <w:b/>
              <w:color w:val="auto"/>
              <w:sz w:val="28"/>
              <w:szCs w:val="28"/>
            </w:rPr>
            <w:instrText xml:space="preserve"> PAGEREF _Toc21393 \h </w:instrText>
          </w:r>
          <w:r>
            <w:rPr>
              <w:rFonts w:eastAsia="仿宋_GB2312"/>
              <w:b/>
              <w:color w:val="auto"/>
              <w:sz w:val="28"/>
              <w:szCs w:val="28"/>
            </w:rPr>
            <w:fldChar w:fldCharType="separate"/>
          </w:r>
          <w:r>
            <w:rPr>
              <w:rFonts w:eastAsia="仿宋_GB2312"/>
              <w:b/>
              <w:color w:val="auto"/>
              <w:sz w:val="28"/>
              <w:szCs w:val="28"/>
            </w:rPr>
            <w:t>2</w:t>
          </w:r>
          <w:r>
            <w:rPr>
              <w:rFonts w:eastAsia="仿宋_GB2312"/>
              <w:b/>
              <w:color w:val="auto"/>
              <w:sz w:val="28"/>
              <w:szCs w:val="28"/>
            </w:rPr>
            <w:fldChar w:fldCharType="end"/>
          </w:r>
          <w:r>
            <w:rPr>
              <w:rFonts w:eastAsia="仿宋_GB2312"/>
              <w:b/>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"_Toc31231" </w:instrText>
          </w:r>
          <w:r>
            <w:rPr>
              <w:color w:val="auto"/>
            </w:rPr>
            <w:fldChar w:fldCharType="separate"/>
          </w:r>
          <w:r>
            <w:rPr>
              <w:rFonts w:hint="eastAsia" w:eastAsia="仿宋_GB2312"/>
              <w:color w:val="auto"/>
              <w:sz w:val="28"/>
              <w:szCs w:val="28"/>
            </w:rPr>
            <w:t>（一）“十三五”工作及成效</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_Toc31231 \h </w:instrText>
          </w:r>
          <w:r>
            <w:rPr>
              <w:rFonts w:eastAsia="仿宋_GB2312"/>
              <w:color w:val="auto"/>
              <w:sz w:val="28"/>
              <w:szCs w:val="28"/>
            </w:rPr>
            <w:fldChar w:fldCharType="separate"/>
          </w:r>
          <w:r>
            <w:rPr>
              <w:rFonts w:eastAsia="仿宋_GB2312"/>
              <w:color w:val="auto"/>
              <w:sz w:val="28"/>
              <w:szCs w:val="28"/>
            </w:rPr>
            <w:t>2</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"_Toc8147" </w:instrText>
          </w:r>
          <w:r>
            <w:rPr>
              <w:color w:val="auto"/>
            </w:rPr>
            <w:fldChar w:fldCharType="separate"/>
          </w:r>
          <w:r>
            <w:rPr>
              <w:rFonts w:hint="eastAsia" w:eastAsia="仿宋_GB2312"/>
              <w:color w:val="auto"/>
              <w:sz w:val="28"/>
              <w:szCs w:val="28"/>
            </w:rPr>
            <w:t>（二）“十四五”生态环境保护形势</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_Toc8147 \h </w:instrText>
          </w:r>
          <w:r>
            <w:rPr>
              <w:rFonts w:eastAsia="仿宋_GB2312"/>
              <w:color w:val="auto"/>
              <w:sz w:val="28"/>
              <w:szCs w:val="28"/>
            </w:rPr>
            <w:fldChar w:fldCharType="separate"/>
          </w:r>
          <w:r>
            <w:rPr>
              <w:rFonts w:eastAsia="仿宋_GB2312"/>
              <w:color w:val="auto"/>
              <w:sz w:val="28"/>
              <w:szCs w:val="28"/>
            </w:rPr>
            <w:t>4</w:t>
          </w:r>
          <w:r>
            <w:rPr>
              <w:rFonts w:eastAsia="仿宋_GB2312"/>
              <w:color w:val="auto"/>
              <w:sz w:val="28"/>
              <w:szCs w:val="28"/>
            </w:rPr>
            <w:fldChar w:fldCharType="end"/>
          </w:r>
          <w:r>
            <w:rPr>
              <w:rFonts w:eastAsia="仿宋_GB2312"/>
              <w:color w:val="auto"/>
              <w:sz w:val="28"/>
              <w:szCs w:val="28"/>
            </w:rPr>
            <w:fldChar w:fldCharType="end"/>
          </w:r>
        </w:p>
        <w:p>
          <w:pPr>
            <w:pStyle w:val="15"/>
            <w:tabs>
              <w:tab w:val="right" w:leader="dot" w:pos="8730"/>
            </w:tabs>
            <w:spacing w:line="560" w:lineRule="exact"/>
            <w:rPr>
              <w:rFonts w:eastAsia="仿宋_GB2312"/>
              <w:b/>
              <w:color w:val="auto"/>
              <w:sz w:val="28"/>
              <w:szCs w:val="28"/>
            </w:rPr>
          </w:pPr>
          <w:r>
            <w:rPr>
              <w:color w:val="auto"/>
            </w:rPr>
            <w:fldChar w:fldCharType="begin"/>
          </w:r>
          <w:r>
            <w:rPr>
              <w:color w:val="auto"/>
            </w:rPr>
            <w:instrText xml:space="preserve"> HYPERLINK \l "_Toc6573" </w:instrText>
          </w:r>
          <w:r>
            <w:rPr>
              <w:color w:val="auto"/>
            </w:rPr>
            <w:fldChar w:fldCharType="separate"/>
          </w:r>
          <w:r>
            <w:rPr>
              <w:rFonts w:hint="eastAsia" w:eastAsia="仿宋_GB2312"/>
              <w:b/>
              <w:color w:val="auto"/>
              <w:sz w:val="28"/>
              <w:szCs w:val="28"/>
            </w:rPr>
            <w:t>二、总体要求</w:t>
          </w:r>
          <w:r>
            <w:rPr>
              <w:rFonts w:eastAsia="仿宋_GB2312"/>
              <w:b/>
              <w:color w:val="auto"/>
              <w:sz w:val="28"/>
              <w:szCs w:val="28"/>
            </w:rPr>
            <w:tab/>
          </w:r>
          <w:r>
            <w:rPr>
              <w:rFonts w:eastAsia="仿宋_GB2312"/>
              <w:b/>
              <w:color w:val="auto"/>
              <w:sz w:val="28"/>
              <w:szCs w:val="28"/>
            </w:rPr>
            <w:fldChar w:fldCharType="begin"/>
          </w:r>
          <w:r>
            <w:rPr>
              <w:rFonts w:eastAsia="仿宋_GB2312"/>
              <w:b/>
              <w:color w:val="auto"/>
              <w:sz w:val="28"/>
              <w:szCs w:val="28"/>
            </w:rPr>
            <w:instrText xml:space="preserve"> PAGEREF _Toc6573 \h </w:instrText>
          </w:r>
          <w:r>
            <w:rPr>
              <w:rFonts w:eastAsia="仿宋_GB2312"/>
              <w:b/>
              <w:color w:val="auto"/>
              <w:sz w:val="28"/>
              <w:szCs w:val="28"/>
            </w:rPr>
            <w:fldChar w:fldCharType="separate"/>
          </w:r>
          <w:r>
            <w:rPr>
              <w:rFonts w:eastAsia="仿宋_GB2312"/>
              <w:b/>
              <w:color w:val="auto"/>
              <w:sz w:val="28"/>
              <w:szCs w:val="28"/>
            </w:rPr>
            <w:t>6</w:t>
          </w:r>
          <w:r>
            <w:rPr>
              <w:rFonts w:eastAsia="仿宋_GB2312"/>
              <w:b/>
              <w:color w:val="auto"/>
              <w:sz w:val="28"/>
              <w:szCs w:val="28"/>
            </w:rPr>
            <w:fldChar w:fldCharType="end"/>
          </w:r>
          <w:r>
            <w:rPr>
              <w:rFonts w:eastAsia="仿宋_GB2312"/>
              <w:b/>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"_Toc1548" </w:instrText>
          </w:r>
          <w:r>
            <w:rPr>
              <w:color w:val="auto"/>
            </w:rPr>
            <w:fldChar w:fldCharType="separate"/>
          </w:r>
          <w:r>
            <w:rPr>
              <w:rFonts w:hint="eastAsia" w:eastAsia="仿宋_GB2312"/>
              <w:color w:val="auto"/>
              <w:sz w:val="28"/>
              <w:szCs w:val="28"/>
            </w:rPr>
            <w:t>（一）指导思想</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_Toc1548 \h </w:instrText>
          </w:r>
          <w:r>
            <w:rPr>
              <w:rFonts w:eastAsia="仿宋_GB2312"/>
              <w:color w:val="auto"/>
              <w:sz w:val="28"/>
              <w:szCs w:val="28"/>
            </w:rPr>
            <w:fldChar w:fldCharType="separate"/>
          </w:r>
          <w:r>
            <w:rPr>
              <w:rFonts w:eastAsia="仿宋_GB2312"/>
              <w:color w:val="auto"/>
              <w:sz w:val="28"/>
              <w:szCs w:val="28"/>
            </w:rPr>
            <w:t>6</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"_Toc8024" </w:instrText>
          </w:r>
          <w:r>
            <w:rPr>
              <w:color w:val="auto"/>
            </w:rPr>
            <w:fldChar w:fldCharType="separate"/>
          </w:r>
          <w:r>
            <w:rPr>
              <w:rFonts w:hint="eastAsia" w:eastAsia="仿宋_GB2312"/>
              <w:color w:val="auto"/>
              <w:sz w:val="28"/>
              <w:szCs w:val="28"/>
            </w:rPr>
            <w:t>（二）基本原则</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_Toc8024 \h </w:instrText>
          </w:r>
          <w:r>
            <w:rPr>
              <w:rFonts w:eastAsia="仿宋_GB2312"/>
              <w:color w:val="auto"/>
              <w:sz w:val="28"/>
              <w:szCs w:val="28"/>
            </w:rPr>
            <w:fldChar w:fldCharType="separate"/>
          </w:r>
          <w:r>
            <w:rPr>
              <w:rFonts w:eastAsia="仿宋_GB2312"/>
              <w:color w:val="auto"/>
              <w:sz w:val="28"/>
              <w:szCs w:val="28"/>
            </w:rPr>
            <w:t>7</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"_Toc13229" </w:instrText>
          </w:r>
          <w:r>
            <w:rPr>
              <w:color w:val="auto"/>
            </w:rPr>
            <w:fldChar w:fldCharType="separate"/>
          </w:r>
          <w:r>
            <w:rPr>
              <w:rFonts w:hint="eastAsia" w:eastAsia="仿宋_GB2312"/>
              <w:color w:val="auto"/>
              <w:sz w:val="28"/>
              <w:szCs w:val="28"/>
            </w:rPr>
            <w:t>（三）规划目标</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_Toc13229 \h </w:instrText>
          </w:r>
          <w:r>
            <w:rPr>
              <w:rFonts w:eastAsia="仿宋_GB2312"/>
              <w:color w:val="auto"/>
              <w:sz w:val="28"/>
              <w:szCs w:val="28"/>
            </w:rPr>
            <w:fldChar w:fldCharType="separate"/>
          </w:r>
          <w:r>
            <w:rPr>
              <w:rFonts w:eastAsia="仿宋_GB2312"/>
              <w:color w:val="auto"/>
              <w:sz w:val="28"/>
              <w:szCs w:val="28"/>
            </w:rPr>
            <w:t>8</w:t>
          </w:r>
          <w:r>
            <w:rPr>
              <w:rFonts w:eastAsia="仿宋_GB2312"/>
              <w:color w:val="auto"/>
              <w:sz w:val="28"/>
              <w:szCs w:val="28"/>
            </w:rPr>
            <w:fldChar w:fldCharType="end"/>
          </w:r>
          <w:r>
            <w:rPr>
              <w:rFonts w:eastAsia="仿宋_GB2312"/>
              <w:color w:val="auto"/>
              <w:sz w:val="28"/>
              <w:szCs w:val="28"/>
            </w:rPr>
            <w:fldChar w:fldCharType="end"/>
          </w:r>
        </w:p>
        <w:p>
          <w:pPr>
            <w:pStyle w:val="15"/>
            <w:tabs>
              <w:tab w:val="right" w:leader="dot" w:pos="8730"/>
            </w:tabs>
            <w:spacing w:line="560" w:lineRule="exact"/>
            <w:rPr>
              <w:rFonts w:eastAsia="仿宋_GB2312"/>
              <w:b/>
              <w:color w:val="auto"/>
              <w:sz w:val="28"/>
              <w:szCs w:val="28"/>
            </w:rPr>
          </w:pPr>
          <w:r>
            <w:rPr>
              <w:color w:val="auto"/>
            </w:rPr>
            <w:fldChar w:fldCharType="begin"/>
          </w:r>
          <w:r>
            <w:rPr>
              <w:color w:val="auto"/>
            </w:rPr>
            <w:instrText xml:space="preserve"> HYPERLINK \l "_Toc9142" </w:instrText>
          </w:r>
          <w:r>
            <w:rPr>
              <w:color w:val="auto"/>
            </w:rPr>
            <w:fldChar w:fldCharType="separate"/>
          </w:r>
          <w:r>
            <w:rPr>
              <w:rFonts w:hint="eastAsia" w:eastAsia="仿宋_GB2312"/>
              <w:b/>
              <w:color w:val="auto"/>
              <w:sz w:val="28"/>
              <w:szCs w:val="28"/>
            </w:rPr>
            <w:t>三、规划任务</w:t>
          </w:r>
          <w:r>
            <w:rPr>
              <w:rFonts w:eastAsia="仿宋_GB2312"/>
              <w:b/>
              <w:color w:val="auto"/>
              <w:sz w:val="28"/>
              <w:szCs w:val="28"/>
            </w:rPr>
            <w:tab/>
          </w:r>
          <w:r>
            <w:rPr>
              <w:rFonts w:eastAsia="仿宋_GB2312"/>
              <w:b/>
              <w:color w:val="auto"/>
              <w:sz w:val="28"/>
              <w:szCs w:val="28"/>
            </w:rPr>
            <w:fldChar w:fldCharType="begin"/>
          </w:r>
          <w:r>
            <w:rPr>
              <w:rFonts w:eastAsia="仿宋_GB2312"/>
              <w:b/>
              <w:color w:val="auto"/>
              <w:sz w:val="28"/>
              <w:szCs w:val="28"/>
            </w:rPr>
            <w:instrText xml:space="preserve"> PAGEREF _Toc9142 \h </w:instrText>
          </w:r>
          <w:r>
            <w:rPr>
              <w:rFonts w:eastAsia="仿宋_GB2312"/>
              <w:b/>
              <w:color w:val="auto"/>
              <w:sz w:val="28"/>
              <w:szCs w:val="28"/>
            </w:rPr>
            <w:fldChar w:fldCharType="separate"/>
          </w:r>
          <w:r>
            <w:rPr>
              <w:rFonts w:eastAsia="仿宋_GB2312"/>
              <w:b/>
              <w:color w:val="auto"/>
              <w:sz w:val="28"/>
              <w:szCs w:val="28"/>
            </w:rPr>
            <w:t>9</w:t>
          </w:r>
          <w:r>
            <w:rPr>
              <w:rFonts w:eastAsia="仿宋_GB2312"/>
              <w:b/>
              <w:color w:val="auto"/>
              <w:sz w:val="28"/>
              <w:szCs w:val="28"/>
            </w:rPr>
            <w:fldChar w:fldCharType="end"/>
          </w:r>
          <w:r>
            <w:rPr>
              <w:rFonts w:eastAsia="仿宋_GB2312"/>
              <w:b/>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"_Toc9072" </w:instrText>
          </w:r>
          <w:r>
            <w:rPr>
              <w:color w:val="auto"/>
            </w:rPr>
            <w:fldChar w:fldCharType="separate"/>
          </w:r>
          <w:r>
            <w:rPr>
              <w:rFonts w:hint="eastAsia" w:eastAsia="仿宋_GB2312"/>
              <w:color w:val="auto"/>
              <w:sz w:val="28"/>
              <w:szCs w:val="28"/>
            </w:rPr>
            <w:t>（一）大力实施“绿色牵动”发展</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_Toc9072 \h </w:instrText>
          </w:r>
          <w:r>
            <w:rPr>
              <w:rFonts w:eastAsia="仿宋_GB2312"/>
              <w:color w:val="auto"/>
              <w:sz w:val="28"/>
              <w:szCs w:val="28"/>
            </w:rPr>
            <w:fldChar w:fldCharType="separate"/>
          </w:r>
          <w:r>
            <w:rPr>
              <w:rFonts w:eastAsia="仿宋_GB2312"/>
              <w:color w:val="auto"/>
              <w:sz w:val="28"/>
              <w:szCs w:val="28"/>
            </w:rPr>
            <w:t>9</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"_Toc28658" </w:instrText>
          </w:r>
          <w:r>
            <w:rPr>
              <w:color w:val="auto"/>
            </w:rPr>
            <w:fldChar w:fldCharType="separate"/>
          </w:r>
          <w:r>
            <w:rPr>
              <w:rFonts w:hint="eastAsia" w:eastAsia="仿宋_GB2312"/>
              <w:color w:val="auto"/>
              <w:sz w:val="28"/>
              <w:szCs w:val="28"/>
            </w:rPr>
            <w:t>（二）建好嘉陵江上游生态屏障</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_Toc28658 \h </w:instrText>
          </w:r>
          <w:r>
            <w:rPr>
              <w:rFonts w:eastAsia="仿宋_GB2312"/>
              <w:color w:val="auto"/>
              <w:sz w:val="28"/>
              <w:szCs w:val="28"/>
            </w:rPr>
            <w:fldChar w:fldCharType="separate"/>
          </w:r>
          <w:r>
            <w:rPr>
              <w:rFonts w:eastAsia="仿宋_GB2312"/>
              <w:color w:val="auto"/>
              <w:sz w:val="28"/>
              <w:szCs w:val="28"/>
            </w:rPr>
            <w:t>16</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"_Toc13768" </w:instrText>
          </w:r>
          <w:r>
            <w:rPr>
              <w:color w:val="auto"/>
            </w:rPr>
            <w:fldChar w:fldCharType="separate"/>
          </w:r>
          <w:r>
            <w:rPr>
              <w:rFonts w:hint="eastAsia" w:eastAsia="仿宋_GB2312"/>
              <w:color w:val="auto"/>
              <w:sz w:val="28"/>
              <w:szCs w:val="28"/>
            </w:rPr>
            <w:t>（三）深入打好污染防治攻坚战</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_Toc13768 \h </w:instrText>
          </w:r>
          <w:r>
            <w:rPr>
              <w:rFonts w:eastAsia="仿宋_GB2312"/>
              <w:color w:val="auto"/>
              <w:sz w:val="28"/>
              <w:szCs w:val="28"/>
            </w:rPr>
            <w:fldChar w:fldCharType="separate"/>
          </w:r>
          <w:r>
            <w:rPr>
              <w:rFonts w:eastAsia="仿宋_GB2312"/>
              <w:color w:val="auto"/>
              <w:sz w:val="28"/>
              <w:szCs w:val="28"/>
            </w:rPr>
            <w:t>19</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"_Toc30430" </w:instrText>
          </w:r>
          <w:r>
            <w:rPr>
              <w:color w:val="auto"/>
            </w:rPr>
            <w:fldChar w:fldCharType="separate"/>
          </w:r>
          <w:r>
            <w:rPr>
              <w:rFonts w:hint="eastAsia" w:eastAsia="仿宋_GB2312"/>
              <w:color w:val="auto"/>
              <w:sz w:val="28"/>
              <w:szCs w:val="28"/>
            </w:rPr>
            <w:t>（四）建设优美幸福乡村</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_Toc30430 \h </w:instrText>
          </w:r>
          <w:r>
            <w:rPr>
              <w:rFonts w:eastAsia="仿宋_GB2312"/>
              <w:color w:val="auto"/>
              <w:sz w:val="28"/>
              <w:szCs w:val="28"/>
            </w:rPr>
            <w:fldChar w:fldCharType="separate"/>
          </w:r>
          <w:r>
            <w:rPr>
              <w:rFonts w:eastAsia="仿宋_GB2312"/>
              <w:color w:val="auto"/>
              <w:sz w:val="28"/>
              <w:szCs w:val="28"/>
            </w:rPr>
            <w:t>26</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"_Toc32197" </w:instrText>
          </w:r>
          <w:r>
            <w:rPr>
              <w:color w:val="auto"/>
            </w:rPr>
            <w:fldChar w:fldCharType="separate"/>
          </w:r>
          <w:r>
            <w:rPr>
              <w:rFonts w:hint="eastAsia" w:eastAsia="仿宋_GB2312"/>
              <w:color w:val="auto"/>
              <w:sz w:val="28"/>
              <w:szCs w:val="28"/>
            </w:rPr>
            <w:t>（五）加强环境风险防范与化解</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_Toc32197 \h </w:instrText>
          </w:r>
          <w:r>
            <w:rPr>
              <w:rFonts w:eastAsia="仿宋_GB2312"/>
              <w:color w:val="auto"/>
              <w:sz w:val="28"/>
              <w:szCs w:val="28"/>
            </w:rPr>
            <w:fldChar w:fldCharType="separate"/>
          </w:r>
          <w:r>
            <w:rPr>
              <w:rFonts w:eastAsia="仿宋_GB2312"/>
              <w:color w:val="auto"/>
              <w:sz w:val="28"/>
              <w:szCs w:val="28"/>
            </w:rPr>
            <w:t>29</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"_Toc17606" </w:instrText>
          </w:r>
          <w:r>
            <w:rPr>
              <w:color w:val="auto"/>
            </w:rPr>
            <w:fldChar w:fldCharType="separate"/>
          </w:r>
          <w:r>
            <w:rPr>
              <w:rFonts w:hint="eastAsia" w:eastAsia="仿宋_GB2312"/>
              <w:color w:val="auto"/>
              <w:sz w:val="28"/>
              <w:szCs w:val="28"/>
            </w:rPr>
            <w:t>（六）推进治理能力现代化</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_Toc17606 \h </w:instrText>
          </w:r>
          <w:r>
            <w:rPr>
              <w:rFonts w:eastAsia="仿宋_GB2312"/>
              <w:color w:val="auto"/>
              <w:sz w:val="28"/>
              <w:szCs w:val="28"/>
            </w:rPr>
            <w:fldChar w:fldCharType="separate"/>
          </w:r>
          <w:r>
            <w:rPr>
              <w:rFonts w:eastAsia="仿宋_GB2312"/>
              <w:color w:val="auto"/>
              <w:sz w:val="28"/>
              <w:szCs w:val="28"/>
            </w:rPr>
            <w:t>32</w:t>
          </w:r>
          <w:r>
            <w:rPr>
              <w:rFonts w:eastAsia="仿宋_GB2312"/>
              <w:color w:val="auto"/>
              <w:sz w:val="28"/>
              <w:szCs w:val="28"/>
            </w:rPr>
            <w:fldChar w:fldCharType="end"/>
          </w:r>
          <w:r>
            <w:rPr>
              <w:rFonts w:eastAsia="仿宋_GB2312"/>
              <w:color w:val="auto"/>
              <w:sz w:val="28"/>
              <w:szCs w:val="28"/>
            </w:rPr>
            <w:fldChar w:fldCharType="end"/>
          </w:r>
        </w:p>
        <w:p>
          <w:pPr>
            <w:pStyle w:val="15"/>
            <w:tabs>
              <w:tab w:val="right" w:leader="dot" w:pos="8730"/>
            </w:tabs>
            <w:spacing w:line="560" w:lineRule="exact"/>
            <w:rPr>
              <w:rFonts w:eastAsia="仿宋_GB2312"/>
              <w:b/>
              <w:color w:val="auto"/>
              <w:sz w:val="28"/>
              <w:szCs w:val="28"/>
            </w:rPr>
          </w:pPr>
          <w:r>
            <w:rPr>
              <w:color w:val="auto"/>
            </w:rPr>
            <w:fldChar w:fldCharType="begin"/>
          </w:r>
          <w:r>
            <w:rPr>
              <w:color w:val="auto"/>
            </w:rPr>
            <w:instrText xml:space="preserve"> HYPERLINK \l "_Toc28178" </w:instrText>
          </w:r>
          <w:r>
            <w:rPr>
              <w:color w:val="auto"/>
            </w:rPr>
            <w:fldChar w:fldCharType="separate"/>
          </w:r>
          <w:r>
            <w:rPr>
              <w:rFonts w:hint="eastAsia" w:eastAsia="仿宋_GB2312"/>
              <w:b/>
              <w:color w:val="auto"/>
              <w:sz w:val="28"/>
              <w:szCs w:val="28"/>
            </w:rPr>
            <w:t>四、规划重点工程</w:t>
          </w:r>
          <w:r>
            <w:rPr>
              <w:rFonts w:eastAsia="仿宋_GB2312"/>
              <w:b/>
              <w:color w:val="auto"/>
              <w:sz w:val="28"/>
              <w:szCs w:val="28"/>
            </w:rPr>
            <w:tab/>
          </w:r>
          <w:r>
            <w:rPr>
              <w:rFonts w:eastAsia="仿宋_GB2312"/>
              <w:b/>
              <w:color w:val="auto"/>
              <w:sz w:val="28"/>
              <w:szCs w:val="28"/>
            </w:rPr>
            <w:fldChar w:fldCharType="begin"/>
          </w:r>
          <w:r>
            <w:rPr>
              <w:rFonts w:eastAsia="仿宋_GB2312"/>
              <w:b/>
              <w:color w:val="auto"/>
              <w:sz w:val="28"/>
              <w:szCs w:val="28"/>
            </w:rPr>
            <w:instrText xml:space="preserve"> PAGEREF _Toc28178 \h </w:instrText>
          </w:r>
          <w:r>
            <w:rPr>
              <w:rFonts w:eastAsia="仿宋_GB2312"/>
              <w:b/>
              <w:color w:val="auto"/>
              <w:sz w:val="28"/>
              <w:szCs w:val="28"/>
            </w:rPr>
            <w:fldChar w:fldCharType="separate"/>
          </w:r>
          <w:r>
            <w:rPr>
              <w:rFonts w:eastAsia="仿宋_GB2312"/>
              <w:b/>
              <w:color w:val="auto"/>
              <w:sz w:val="28"/>
              <w:szCs w:val="28"/>
            </w:rPr>
            <w:t>34</w:t>
          </w:r>
          <w:r>
            <w:rPr>
              <w:rFonts w:eastAsia="仿宋_GB2312"/>
              <w:b/>
              <w:color w:val="auto"/>
              <w:sz w:val="28"/>
              <w:szCs w:val="28"/>
            </w:rPr>
            <w:fldChar w:fldCharType="end"/>
          </w:r>
          <w:r>
            <w:rPr>
              <w:rFonts w:eastAsia="仿宋_GB2312"/>
              <w:b/>
              <w:color w:val="auto"/>
              <w:sz w:val="28"/>
              <w:szCs w:val="28"/>
            </w:rPr>
            <w:fldChar w:fldCharType="end"/>
          </w:r>
        </w:p>
        <w:p>
          <w:pPr>
            <w:pStyle w:val="15"/>
            <w:tabs>
              <w:tab w:val="right" w:leader="dot" w:pos="8730"/>
            </w:tabs>
            <w:spacing w:line="560" w:lineRule="exact"/>
            <w:rPr>
              <w:rFonts w:eastAsia="仿宋_GB2312"/>
              <w:b/>
              <w:color w:val="auto"/>
              <w:sz w:val="28"/>
              <w:szCs w:val="28"/>
            </w:rPr>
          </w:pPr>
          <w:r>
            <w:rPr>
              <w:color w:val="auto"/>
            </w:rPr>
            <w:fldChar w:fldCharType="begin"/>
          </w:r>
          <w:r>
            <w:rPr>
              <w:color w:val="auto"/>
            </w:rPr>
            <w:instrText xml:space="preserve"> HYPERLINK \l "_Toc753" </w:instrText>
          </w:r>
          <w:r>
            <w:rPr>
              <w:color w:val="auto"/>
            </w:rPr>
            <w:fldChar w:fldCharType="separate"/>
          </w:r>
          <w:r>
            <w:rPr>
              <w:rFonts w:hint="eastAsia" w:eastAsia="仿宋_GB2312"/>
              <w:b/>
              <w:color w:val="auto"/>
              <w:sz w:val="28"/>
              <w:szCs w:val="28"/>
            </w:rPr>
            <w:t>五、保障措施</w:t>
          </w:r>
          <w:r>
            <w:rPr>
              <w:rFonts w:eastAsia="仿宋_GB2312"/>
              <w:b/>
              <w:color w:val="auto"/>
              <w:sz w:val="28"/>
              <w:szCs w:val="28"/>
            </w:rPr>
            <w:tab/>
          </w:r>
          <w:r>
            <w:rPr>
              <w:rFonts w:eastAsia="仿宋_GB2312"/>
              <w:b/>
              <w:color w:val="auto"/>
              <w:sz w:val="28"/>
              <w:szCs w:val="28"/>
            </w:rPr>
            <w:fldChar w:fldCharType="begin"/>
          </w:r>
          <w:r>
            <w:rPr>
              <w:rFonts w:eastAsia="仿宋_GB2312"/>
              <w:b/>
              <w:color w:val="auto"/>
              <w:sz w:val="28"/>
              <w:szCs w:val="28"/>
            </w:rPr>
            <w:instrText xml:space="preserve"> PAGEREF _Toc753 \h </w:instrText>
          </w:r>
          <w:r>
            <w:rPr>
              <w:rFonts w:eastAsia="仿宋_GB2312"/>
              <w:b/>
              <w:color w:val="auto"/>
              <w:sz w:val="28"/>
              <w:szCs w:val="28"/>
            </w:rPr>
            <w:fldChar w:fldCharType="separate"/>
          </w:r>
          <w:r>
            <w:rPr>
              <w:rFonts w:eastAsia="仿宋_GB2312"/>
              <w:b/>
              <w:color w:val="auto"/>
              <w:sz w:val="28"/>
              <w:szCs w:val="28"/>
            </w:rPr>
            <w:t>38</w:t>
          </w:r>
          <w:r>
            <w:rPr>
              <w:rFonts w:eastAsia="仿宋_GB2312"/>
              <w:b/>
              <w:color w:val="auto"/>
              <w:sz w:val="28"/>
              <w:szCs w:val="28"/>
            </w:rPr>
            <w:fldChar w:fldCharType="end"/>
          </w:r>
          <w:r>
            <w:rPr>
              <w:rFonts w:eastAsia="仿宋_GB2312"/>
              <w:b/>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"_Toc12030" </w:instrText>
          </w:r>
          <w:r>
            <w:rPr>
              <w:color w:val="auto"/>
            </w:rPr>
            <w:fldChar w:fldCharType="separate"/>
          </w:r>
          <w:r>
            <w:rPr>
              <w:rFonts w:hint="eastAsia" w:eastAsia="仿宋_GB2312"/>
              <w:color w:val="auto"/>
              <w:sz w:val="28"/>
              <w:szCs w:val="28"/>
            </w:rPr>
            <w:t>（一）加强组织领导</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_Toc12030 \h </w:instrText>
          </w:r>
          <w:r>
            <w:rPr>
              <w:rFonts w:eastAsia="仿宋_GB2312"/>
              <w:color w:val="auto"/>
              <w:sz w:val="28"/>
              <w:szCs w:val="28"/>
            </w:rPr>
            <w:fldChar w:fldCharType="separate"/>
          </w:r>
          <w:r>
            <w:rPr>
              <w:rFonts w:eastAsia="仿宋_GB2312"/>
              <w:color w:val="auto"/>
              <w:sz w:val="28"/>
              <w:szCs w:val="28"/>
            </w:rPr>
            <w:t>38</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"_Toc21518" </w:instrText>
          </w:r>
          <w:r>
            <w:rPr>
              <w:color w:val="auto"/>
            </w:rPr>
            <w:fldChar w:fldCharType="separate"/>
          </w:r>
          <w:r>
            <w:rPr>
              <w:rFonts w:hint="eastAsia" w:eastAsia="仿宋_GB2312"/>
              <w:color w:val="auto"/>
              <w:sz w:val="28"/>
              <w:szCs w:val="28"/>
            </w:rPr>
            <w:t>（二）严格评估考核</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_Toc21518 \h </w:instrText>
          </w:r>
          <w:r>
            <w:rPr>
              <w:rFonts w:eastAsia="仿宋_GB2312"/>
              <w:color w:val="auto"/>
              <w:sz w:val="28"/>
              <w:szCs w:val="28"/>
            </w:rPr>
            <w:fldChar w:fldCharType="separate"/>
          </w:r>
          <w:r>
            <w:rPr>
              <w:rFonts w:eastAsia="仿宋_GB2312"/>
              <w:color w:val="auto"/>
              <w:sz w:val="28"/>
              <w:szCs w:val="28"/>
            </w:rPr>
            <w:t>38</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"_Toc28074" </w:instrText>
          </w:r>
          <w:r>
            <w:rPr>
              <w:color w:val="auto"/>
            </w:rPr>
            <w:fldChar w:fldCharType="separate"/>
          </w:r>
          <w:r>
            <w:rPr>
              <w:rFonts w:hint="eastAsia" w:eastAsia="仿宋_GB2312"/>
              <w:color w:val="auto"/>
              <w:sz w:val="28"/>
              <w:szCs w:val="28"/>
            </w:rPr>
            <w:t>（三）加大资金投入</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_Toc28074 \h </w:instrText>
          </w:r>
          <w:r>
            <w:rPr>
              <w:rFonts w:eastAsia="仿宋_GB2312"/>
              <w:color w:val="auto"/>
              <w:sz w:val="28"/>
              <w:szCs w:val="28"/>
            </w:rPr>
            <w:fldChar w:fldCharType="separate"/>
          </w:r>
          <w:r>
            <w:rPr>
              <w:rFonts w:eastAsia="仿宋_GB2312"/>
              <w:color w:val="auto"/>
              <w:sz w:val="28"/>
              <w:szCs w:val="28"/>
            </w:rPr>
            <w:t>38</w:t>
          </w:r>
          <w:r>
            <w:rPr>
              <w:rFonts w:eastAsia="仿宋_GB2312"/>
              <w:color w:val="auto"/>
              <w:sz w:val="28"/>
              <w:szCs w:val="28"/>
            </w:rPr>
            <w:fldChar w:fldCharType="end"/>
          </w:r>
          <w:r>
            <w:rPr>
              <w:rFonts w:eastAsia="仿宋_GB2312"/>
              <w:color w:val="auto"/>
              <w:sz w:val="28"/>
              <w:szCs w:val="28"/>
            </w:rPr>
            <w:fldChar w:fldCharType="end"/>
          </w:r>
        </w:p>
        <w:p>
          <w:pPr>
            <w:pStyle w:val="17"/>
            <w:tabs>
              <w:tab w:val="right" w:leader="dot" w:pos="8730"/>
            </w:tabs>
            <w:spacing w:line="560" w:lineRule="exact"/>
            <w:rPr>
              <w:rFonts w:eastAsia="仿宋_GB2312"/>
              <w:color w:val="auto"/>
              <w:sz w:val="28"/>
              <w:szCs w:val="28"/>
            </w:rPr>
          </w:pPr>
          <w:r>
            <w:rPr>
              <w:color w:val="auto"/>
            </w:rPr>
            <w:fldChar w:fldCharType="begin"/>
          </w:r>
          <w:r>
            <w:rPr>
              <w:color w:val="auto"/>
            </w:rPr>
            <w:instrText xml:space="preserve"> HYPERLINK \l "_Toc14622" </w:instrText>
          </w:r>
          <w:r>
            <w:rPr>
              <w:color w:val="auto"/>
            </w:rPr>
            <w:fldChar w:fldCharType="separate"/>
          </w:r>
          <w:r>
            <w:rPr>
              <w:rFonts w:hint="eastAsia" w:eastAsia="仿宋_GB2312"/>
              <w:color w:val="auto"/>
              <w:sz w:val="28"/>
              <w:szCs w:val="28"/>
            </w:rPr>
            <w:t>（四）动员社会参与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_Toc14622 \h </w:instrText>
          </w:r>
          <w:r>
            <w:rPr>
              <w:rFonts w:eastAsia="仿宋_GB2312"/>
              <w:color w:val="auto"/>
              <w:sz w:val="28"/>
              <w:szCs w:val="28"/>
            </w:rPr>
            <w:fldChar w:fldCharType="separate"/>
          </w:r>
          <w:r>
            <w:rPr>
              <w:rFonts w:eastAsia="仿宋_GB2312"/>
              <w:color w:val="auto"/>
              <w:sz w:val="28"/>
              <w:szCs w:val="28"/>
            </w:rPr>
            <w:t>39</w:t>
          </w:r>
          <w:r>
            <w:rPr>
              <w:rFonts w:eastAsia="仿宋_GB2312"/>
              <w:color w:val="auto"/>
              <w:sz w:val="28"/>
              <w:szCs w:val="28"/>
            </w:rPr>
            <w:fldChar w:fldCharType="end"/>
          </w:r>
          <w:r>
            <w:rPr>
              <w:rFonts w:eastAsia="仿宋_GB2312"/>
              <w:color w:val="auto"/>
              <w:sz w:val="28"/>
              <w:szCs w:val="28"/>
            </w:rPr>
            <w:fldChar w:fldCharType="end"/>
          </w:r>
        </w:p>
        <w:p>
          <w:pPr>
            <w:pStyle w:val="3"/>
            <w:topLinePunct/>
            <w:spacing w:line="560" w:lineRule="exact"/>
            <w:ind w:left="11" w:hanging="11"/>
            <w:jc w:val="center"/>
            <w:rPr>
              <w:rFonts w:ascii="黑体" w:hAnsi="黑体" w:cs="黑体"/>
              <w:color w:val="auto"/>
              <w:sz w:val="28"/>
              <w:szCs w:val="28"/>
            </w:rPr>
            <w:sectPr>
              <w:pgSz w:w="11906" w:h="16838"/>
              <w:pgMar w:top="2098" w:right="1588" w:bottom="1247" w:left="1588" w:header="851" w:footer="992" w:gutter="0"/>
              <w:pgNumType w:fmt="upperRoman" w:start="1"/>
              <w:cols w:space="425" w:num="1"/>
              <w:docGrid w:type="lines" w:linePitch="312" w:charSpace="0"/>
            </w:sectPr>
          </w:pPr>
          <w:r>
            <w:rPr>
              <w:rFonts w:eastAsia="仿宋_GB2312"/>
              <w:color w:val="auto"/>
              <w:sz w:val="28"/>
              <w:szCs w:val="28"/>
            </w:rPr>
            <w:fldChar w:fldCharType="end"/>
          </w:r>
        </w:p>
      </w:sdtContent>
    </w:sdt>
    <w:p>
      <w:pPr>
        <w:pStyle w:val="3"/>
        <w:jc w:val="center"/>
        <w:rPr>
          <w:rFonts w:ascii="黑体" w:hAnsi="黑体"/>
          <w:color w:val="auto"/>
          <w:lang w:val="zh-CN"/>
        </w:rPr>
      </w:pPr>
      <w:bookmarkStart w:id="1" w:name="_Toc92470642"/>
      <w:bookmarkStart w:id="2" w:name="_Toc11949"/>
      <w:r>
        <w:rPr>
          <w:rFonts w:hint="eastAsia" w:ascii="黑体" w:hAnsi="黑体" w:cs="仿宋_GB2312"/>
          <w:color w:val="auto"/>
          <w:sz w:val="44"/>
          <w:szCs w:val="24"/>
        </w:rPr>
        <w:t>前</w:t>
      </w:r>
      <w:r>
        <w:rPr>
          <w:rFonts w:ascii="黑体" w:hAnsi="黑体" w:cs="仿宋_GB2312"/>
          <w:color w:val="auto"/>
          <w:sz w:val="44"/>
          <w:szCs w:val="24"/>
        </w:rPr>
        <w:t xml:space="preserve">  </w:t>
      </w:r>
      <w:r>
        <w:rPr>
          <w:rFonts w:hint="eastAsia" w:ascii="黑体" w:hAnsi="黑体" w:cs="仿宋_GB2312"/>
          <w:color w:val="auto"/>
          <w:sz w:val="44"/>
          <w:szCs w:val="24"/>
        </w:rPr>
        <w:t>言</w:t>
      </w:r>
      <w:bookmarkEnd w:id="0"/>
      <w:bookmarkEnd w:id="1"/>
      <w:bookmarkEnd w:id="2"/>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十三五”期间，朝天区以习近平生态文明思想为指导，始终坚持“绿水青山就是金山银山”发展理念，不断完善政府统筹、部门监管、企业治理、社会监督的多元治理格局，推动实施生态环境治理和修复工程，坚决打好污染防治攻坚战，生态环境质量明显改善，嘉陵江上游生态屏障得以巩固，人居环境不断优化改善，美丽朝天建设取得明显进展。</w:t>
      </w:r>
    </w:p>
    <w:p>
      <w:pPr>
        <w:pStyle w:val="20"/>
        <w:adjustRightInd w:val="0"/>
        <w:snapToGrid w:val="0"/>
        <w:spacing w:after="0" w:line="560" w:lineRule="exact"/>
        <w:ind w:left="0" w:leftChars="0" w:firstLine="560"/>
        <w:rPr>
          <w:rFonts w:eastAsia="仿宋_GB2312"/>
          <w:color w:val="auto"/>
          <w:sz w:val="32"/>
          <w:szCs w:val="32"/>
          <w:lang w:val="zh-CN"/>
        </w:rPr>
      </w:pPr>
      <w:r>
        <w:rPr>
          <w:rFonts w:hint="eastAsia" w:eastAsia="仿宋_GB2312" w:cs="仿宋_GB2312"/>
          <w:color w:val="auto"/>
          <w:sz w:val="28"/>
          <w:szCs w:val="28"/>
          <w:lang w:val="zh-CN"/>
        </w:rPr>
        <w:t>“十四五”时期既是中国经济社会发展第十四个五年规划期，又是污染防治攻坚战取得阶段性胜利、继续推进美丽中国建设的关键期。朝天区将继续坚持绿色发展理念，自觉把经济社会发展同生态文明建设统筹起来，努力实现环境效益、经济效益和社会效益多赢。以习近平新时代中国特色社会主义思想为指导，全面贯彻落实习近平总书记关于建设美丽中国、四川省委省政府关于建设美丽四川的战略部署，坚持新发展理念，深入践行“绿水青山就是金山银山”，统筹山水林田湖草沙一体化保护和生态修复，统筹考虑生态系统完整性、地理单元连续性和经济社会发展可持续性，全面总结朝天区“十三五”生态环境保护成效，立足朝天区发展新阶段和生态环境保护新要求，明确“十四五”生态环境保护奋斗目标和重点任务，到2025年，初步建成资源节约型、环境友好型社会，生态环境质量持续改善，基本形成绿色、循环、低碳发展方式，为筑牢嘉陵江上游生态屏障，建设美丽广元贡献朝天力量。</w:t>
      </w:r>
      <w:r>
        <w:rPr>
          <w:rFonts w:eastAsia="仿宋_GB2312"/>
          <w:color w:val="auto"/>
          <w:sz w:val="32"/>
          <w:szCs w:val="32"/>
          <w:lang w:val="zh-CN"/>
        </w:rPr>
        <w:br w:type="page"/>
      </w:r>
    </w:p>
    <w:p>
      <w:pPr>
        <w:spacing w:line="600" w:lineRule="exact"/>
        <w:outlineLvl w:val="0"/>
        <w:rPr>
          <w:rFonts w:ascii="仿宋_GB2312" w:hAnsi="仿宋_GB2312" w:eastAsia="仿宋_GB2312" w:cs="仿宋_GB2312"/>
          <w:b/>
          <w:bCs/>
          <w:color w:val="auto"/>
          <w:sz w:val="32"/>
          <w:szCs w:val="32"/>
        </w:rPr>
      </w:pPr>
      <w:bookmarkStart w:id="3" w:name="_Toc21393"/>
      <w:bookmarkStart w:id="4" w:name="_Toc92470643"/>
      <w:bookmarkStart w:id="5" w:name="_Toc20831"/>
      <w:bookmarkStart w:id="6" w:name="_Toc3049"/>
      <w:r>
        <w:rPr>
          <w:rFonts w:hint="eastAsia" w:ascii="仿宋_GB2312" w:hAnsi="仿宋_GB2312" w:eastAsia="仿宋_GB2312" w:cs="仿宋_GB2312"/>
          <w:b/>
          <w:bCs/>
          <w:color w:val="auto"/>
          <w:sz w:val="32"/>
          <w:szCs w:val="32"/>
        </w:rPr>
        <w:t>一、背景与形势</w:t>
      </w:r>
      <w:bookmarkEnd w:id="3"/>
      <w:bookmarkEnd w:id="4"/>
      <w:bookmarkEnd w:id="5"/>
      <w:bookmarkEnd w:id="6"/>
    </w:p>
    <w:p>
      <w:pPr>
        <w:spacing w:line="600" w:lineRule="exact"/>
        <w:outlineLvl w:val="1"/>
        <w:rPr>
          <w:rFonts w:ascii="仿宋_GB2312" w:hAnsi="仿宋_GB2312" w:eastAsia="仿宋_GB2312" w:cs="仿宋_GB2312"/>
          <w:b/>
          <w:bCs/>
          <w:color w:val="auto"/>
          <w:sz w:val="32"/>
          <w:szCs w:val="32"/>
        </w:rPr>
      </w:pPr>
      <w:bookmarkStart w:id="7" w:name="_Toc13513"/>
      <w:bookmarkStart w:id="8" w:name="_Toc17633"/>
      <w:bookmarkStart w:id="9" w:name="_Toc31231"/>
      <w:bookmarkStart w:id="10" w:name="_Toc92470644"/>
      <w:r>
        <w:rPr>
          <w:rFonts w:hint="eastAsia" w:ascii="仿宋_GB2312" w:hAnsi="仿宋_GB2312" w:eastAsia="仿宋_GB2312" w:cs="仿宋_GB2312"/>
          <w:b/>
          <w:bCs/>
          <w:color w:val="auto"/>
          <w:sz w:val="32"/>
          <w:szCs w:val="32"/>
        </w:rPr>
        <w:t>（一）</w:t>
      </w:r>
      <w:bookmarkEnd w:id="7"/>
      <w:bookmarkEnd w:id="8"/>
      <w:r>
        <w:rPr>
          <w:rFonts w:hint="eastAsia" w:ascii="仿宋_GB2312" w:hAnsi="仿宋_GB2312" w:eastAsia="仿宋_GB2312" w:cs="仿宋_GB2312"/>
          <w:b/>
          <w:bCs/>
          <w:color w:val="auto"/>
          <w:sz w:val="32"/>
          <w:szCs w:val="32"/>
        </w:rPr>
        <w:t>“十三五”工作及成效</w:t>
      </w:r>
      <w:bookmarkEnd w:id="9"/>
      <w:bookmarkEnd w:id="10"/>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ascii="Calibri" w:hAnsi="Calibri" w:eastAsia="Calibri" w:cs="Calibri"/>
          <w:b/>
          <w:bCs/>
          <w:color w:val="auto"/>
          <w:sz w:val="28"/>
          <w:szCs w:val="28"/>
          <w:lang w:val="zh-CN"/>
        </w:rPr>
        <w:t>1</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生态环境明显改善</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环境质量方面。</w:t>
      </w:r>
      <w:r>
        <w:rPr>
          <w:rFonts w:hint="eastAsia" w:eastAsia="仿宋_GB2312" w:cs="仿宋_GB2312"/>
          <w:color w:val="auto"/>
          <w:sz w:val="28"/>
          <w:szCs w:val="28"/>
          <w:lang w:val="zh-CN"/>
        </w:rPr>
        <w:t>“十三五”期间，环境空气质量显著改善，中心城区环境空气质量优良天数比例为97.8%，累计提高5.6个百分点；PM</w:t>
      </w:r>
      <w:r>
        <w:rPr>
          <w:rFonts w:hint="eastAsia" w:eastAsia="仿宋_GB2312" w:cs="仿宋_GB2312"/>
          <w:color w:val="auto"/>
          <w:sz w:val="28"/>
          <w:szCs w:val="28"/>
          <w:vertAlign w:val="subscript"/>
          <w:lang w:val="zh-CN"/>
        </w:rPr>
        <w:t>2.5</w:t>
      </w:r>
      <w:r>
        <w:rPr>
          <w:rFonts w:hint="eastAsia" w:eastAsia="仿宋_GB2312" w:cs="仿宋_GB2312"/>
          <w:color w:val="auto"/>
          <w:sz w:val="28"/>
          <w:szCs w:val="28"/>
          <w:lang w:val="zh-CN"/>
        </w:rPr>
        <w:t>年均浓度为17微克每立方米，累计下降55.3%。水环境质量持续改善，嘉陵江流域（朝天段）水环境质量优良（达到或优于I</w:t>
      </w:r>
      <w:r>
        <w:rPr>
          <w:rFonts w:eastAsia="仿宋_GB2312" w:cs="仿宋_GB2312"/>
          <w:color w:val="auto"/>
          <w:sz w:val="28"/>
          <w:szCs w:val="28"/>
          <w:lang w:val="zh-CN"/>
        </w:rPr>
        <w:t>II</w:t>
      </w:r>
      <w:r>
        <w:rPr>
          <w:rFonts w:hint="eastAsia" w:eastAsia="仿宋_GB2312" w:cs="仿宋_GB2312"/>
          <w:color w:val="auto"/>
          <w:sz w:val="28"/>
          <w:szCs w:val="28"/>
          <w:lang w:val="zh-CN"/>
        </w:rPr>
        <w:t>类）比例保持1</w:t>
      </w:r>
      <w:r>
        <w:rPr>
          <w:rFonts w:eastAsia="仿宋_GB2312" w:cs="仿宋_GB2312"/>
          <w:color w:val="auto"/>
          <w:sz w:val="28"/>
          <w:szCs w:val="28"/>
          <w:lang w:val="zh-CN"/>
        </w:rPr>
        <w:t>00</w:t>
      </w:r>
      <w:r>
        <w:rPr>
          <w:rFonts w:hint="eastAsia" w:eastAsia="仿宋_GB2312" w:cs="仿宋_GB2312"/>
          <w:color w:val="auto"/>
          <w:sz w:val="28"/>
          <w:szCs w:val="28"/>
          <w:lang w:val="zh-CN"/>
        </w:rPr>
        <w:t>%，嘉陵江八庙沟断面稳定保持Ⅱ类水，完成全区1</w:t>
      </w:r>
      <w:r>
        <w:rPr>
          <w:rFonts w:eastAsia="仿宋_GB2312" w:cs="仿宋_GB2312"/>
          <w:color w:val="auto"/>
          <w:sz w:val="28"/>
          <w:szCs w:val="28"/>
          <w:lang w:val="zh-CN"/>
        </w:rPr>
        <w:t>2</w:t>
      </w:r>
      <w:r>
        <w:rPr>
          <w:rFonts w:hint="eastAsia" w:eastAsia="仿宋_GB2312" w:cs="仿宋_GB2312"/>
          <w:color w:val="auto"/>
          <w:sz w:val="28"/>
          <w:szCs w:val="28"/>
          <w:lang w:val="zh-CN"/>
        </w:rPr>
        <w:t>条主要河流断面水质监测，均达到地表水I</w:t>
      </w:r>
      <w:r>
        <w:rPr>
          <w:rFonts w:eastAsia="仿宋_GB2312" w:cs="仿宋_GB2312"/>
          <w:color w:val="auto"/>
          <w:sz w:val="28"/>
          <w:szCs w:val="28"/>
          <w:lang w:val="zh-CN"/>
        </w:rPr>
        <w:t>II</w:t>
      </w:r>
      <w:r>
        <w:rPr>
          <w:rFonts w:hint="eastAsia" w:eastAsia="仿宋_GB2312" w:cs="仿宋_GB2312"/>
          <w:color w:val="auto"/>
          <w:sz w:val="28"/>
          <w:szCs w:val="28"/>
          <w:lang w:val="zh-CN"/>
        </w:rPr>
        <w:t>类及以上标准。中心城区和12个乡镇的集中式饮用水水源地水质达标率</w:t>
      </w:r>
      <w:r>
        <w:rPr>
          <w:rFonts w:eastAsia="仿宋_GB2312" w:cs="仿宋_GB2312"/>
          <w:color w:val="auto"/>
          <w:sz w:val="28"/>
          <w:szCs w:val="28"/>
          <w:lang w:val="zh-CN"/>
        </w:rPr>
        <w:t>100%</w:t>
      </w:r>
      <w:r>
        <w:rPr>
          <w:rFonts w:hint="eastAsia" w:eastAsia="仿宋_GB2312" w:cs="仿宋_GB2312"/>
          <w:color w:val="auto"/>
          <w:sz w:val="28"/>
          <w:szCs w:val="28"/>
          <w:lang w:val="zh-CN"/>
        </w:rPr>
        <w:t>。土壤环境质量总体稳定。开展朝天城区</w:t>
      </w:r>
      <w:r>
        <w:rPr>
          <w:rFonts w:eastAsia="仿宋_GB2312" w:cs="仿宋_GB2312"/>
          <w:color w:val="auto"/>
          <w:sz w:val="28"/>
          <w:szCs w:val="28"/>
          <w:lang w:val="zh-CN"/>
        </w:rPr>
        <w:t>54</w:t>
      </w:r>
      <w:r>
        <w:rPr>
          <w:rFonts w:hint="eastAsia" w:eastAsia="仿宋_GB2312" w:cs="仿宋_GB2312"/>
          <w:color w:val="auto"/>
          <w:sz w:val="28"/>
          <w:szCs w:val="28"/>
          <w:lang w:val="zh-CN"/>
        </w:rPr>
        <w:t>个区域环境噪声点位、</w:t>
      </w:r>
      <w:r>
        <w:rPr>
          <w:rFonts w:eastAsia="仿宋_GB2312" w:cs="仿宋_GB2312"/>
          <w:color w:val="auto"/>
          <w:sz w:val="28"/>
          <w:szCs w:val="28"/>
          <w:lang w:val="zh-CN"/>
        </w:rPr>
        <w:t>5</w:t>
      </w:r>
      <w:r>
        <w:rPr>
          <w:rFonts w:hint="eastAsia" w:eastAsia="仿宋_GB2312" w:cs="仿宋_GB2312"/>
          <w:color w:val="auto"/>
          <w:sz w:val="28"/>
          <w:szCs w:val="28"/>
          <w:lang w:val="zh-CN"/>
        </w:rPr>
        <w:t>个交通干线噪声监测点位监测，全区声环境质量稳定达标。</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生态建设方面。</w:t>
      </w:r>
      <w:r>
        <w:rPr>
          <w:rFonts w:hint="eastAsia" w:eastAsia="仿宋_GB2312" w:cs="仿宋_GB2312"/>
          <w:color w:val="auto"/>
          <w:sz w:val="28"/>
          <w:szCs w:val="28"/>
          <w:lang w:val="zh-CN"/>
        </w:rPr>
        <w:t>全区严守生态保护红线，深入实施生态空间用途管制、总量管控和环境准入制度，确保生态空间性质不变、面积不减、功能不降，持续筑牢嘉陵江上游生态屏障。持续开展工程造林，每年聘请护林员</w:t>
      </w:r>
      <w:r>
        <w:rPr>
          <w:rFonts w:eastAsia="仿宋_GB2312" w:cs="仿宋_GB2312"/>
          <w:strike w:val="0"/>
          <w:color w:val="auto"/>
          <w:sz w:val="28"/>
          <w:szCs w:val="28"/>
        </w:rPr>
        <w:t>530</w:t>
      </w:r>
      <w:r>
        <w:rPr>
          <w:rFonts w:hint="eastAsia" w:eastAsia="仿宋_GB2312" w:cs="仿宋_GB2312"/>
          <w:color w:val="auto"/>
          <w:sz w:val="28"/>
          <w:szCs w:val="28"/>
          <w:lang w:val="zh-CN"/>
        </w:rPr>
        <w:t>人，累计完成营造林15万亩，全区森林覆盖率达65.9%，</w:t>
      </w:r>
      <w:r>
        <w:rPr>
          <w:rFonts w:eastAsia="仿宋_GB2312" w:cs="仿宋_GB2312"/>
          <w:color w:val="auto"/>
          <w:sz w:val="28"/>
          <w:szCs w:val="28"/>
          <w:lang w:val="zh-CN"/>
        </w:rPr>
        <w:t>累计提高6.5个百分点</w:t>
      </w:r>
      <w:r>
        <w:rPr>
          <w:rFonts w:hint="eastAsia" w:eastAsia="仿宋_GB2312" w:cs="仿宋_GB2312"/>
          <w:color w:val="auto"/>
          <w:sz w:val="28"/>
          <w:szCs w:val="28"/>
          <w:lang w:val="zh-CN"/>
        </w:rPr>
        <w:t>，累计减少水土流失30%以上。建立水磨沟自然保护区、四川嘉陵江源湿地自然保护区等4个自然保护地，10余种珍贵树种、500余种野生动物得到有效保护。</w:t>
      </w:r>
    </w:p>
    <w:p>
      <w:pPr>
        <w:pStyle w:val="20"/>
        <w:adjustRightInd w:val="0"/>
        <w:snapToGrid w:val="0"/>
        <w:spacing w:after="0" w:line="560" w:lineRule="exact"/>
        <w:ind w:left="0" w:leftChars="0" w:firstLine="562"/>
        <w:rPr>
          <w:rFonts w:eastAsia="仿宋_GB2312" w:cs="仿宋_GB2312"/>
          <w:b/>
          <w:bCs/>
          <w:color w:val="auto"/>
          <w:sz w:val="28"/>
          <w:szCs w:val="28"/>
          <w:lang w:val="zh-CN"/>
        </w:rPr>
      </w:pPr>
      <w:bookmarkStart w:id="11" w:name="_Toc2029"/>
      <w:r>
        <w:rPr>
          <w:rFonts w:eastAsia="仿宋_GB2312" w:cs="仿宋_GB2312"/>
          <w:b/>
          <w:bCs/>
          <w:color w:val="auto"/>
          <w:sz w:val="28"/>
          <w:szCs w:val="28"/>
          <w:lang w:val="zh-CN"/>
        </w:rPr>
        <w:t>2</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污染防治</w:t>
      </w:r>
      <w:bookmarkEnd w:id="11"/>
      <w:r>
        <w:rPr>
          <w:rFonts w:hint="eastAsia" w:eastAsia="仿宋_GB2312" w:cs="仿宋_GB2312"/>
          <w:b/>
          <w:bCs/>
          <w:color w:val="auto"/>
          <w:sz w:val="28"/>
          <w:szCs w:val="28"/>
          <w:lang w:val="zh-CN"/>
        </w:rPr>
        <w:t>攻坚战深入推进</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蓝天保卫战方面。</w:t>
      </w:r>
      <w:r>
        <w:rPr>
          <w:rFonts w:hint="eastAsia" w:eastAsia="仿宋_GB2312" w:cs="仿宋_GB2312"/>
          <w:color w:val="auto"/>
          <w:sz w:val="28"/>
          <w:szCs w:val="28"/>
          <w:lang w:val="zh-CN"/>
        </w:rPr>
        <w:t>制定《朝天区大气污染防治专项行动实施方案》《朝天区重污染天气应急预案》，建立大气污染防治工作联席会议制度和部门协同联动机制，推进重大减排工程，实施区域联防联控，积极应对污染天气。“十三五”期间，完成海螺水泥烟气深度治理，关停整治“散乱污”工业企业30家，淘汰10蒸吨以下燃煤小锅炉28台，完成加油站油气回收治理14家，淘汰黄标车、老旧车共28辆。累计削减二氧化硫501.215吨、氮氧化物3178.278吨、挥发性有机物59.82吨。</w:t>
      </w:r>
    </w:p>
    <w:p>
      <w:pPr>
        <w:pStyle w:val="20"/>
        <w:adjustRightInd w:val="0"/>
        <w:snapToGrid w:val="0"/>
        <w:spacing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碧水保卫战方面。</w:t>
      </w:r>
      <w:r>
        <w:rPr>
          <w:rFonts w:hint="eastAsia" w:eastAsia="仿宋_GB2312" w:cs="仿宋_GB2312"/>
          <w:color w:val="auto"/>
          <w:sz w:val="28"/>
          <w:szCs w:val="28"/>
          <w:lang w:val="zh-CN"/>
        </w:rPr>
        <w:t>认真落实河长制，深入实施嘉陵江、白龙江流域污染综合治理。建成城区、乡镇和工业园区等污水处理厂（站）</w:t>
      </w:r>
      <w:r>
        <w:rPr>
          <w:rFonts w:eastAsia="仿宋_GB2312" w:cs="仿宋_GB2312"/>
          <w:color w:val="auto"/>
          <w:sz w:val="28"/>
          <w:szCs w:val="28"/>
          <w:lang w:val="zh-CN"/>
        </w:rPr>
        <w:t>17</w:t>
      </w:r>
      <w:r>
        <w:rPr>
          <w:rFonts w:hint="eastAsia" w:eastAsia="仿宋_GB2312" w:cs="仿宋_GB2312"/>
          <w:color w:val="auto"/>
          <w:sz w:val="28"/>
          <w:szCs w:val="28"/>
          <w:lang w:val="zh-CN"/>
        </w:rPr>
        <w:t>座，污水处理能力达</w:t>
      </w:r>
      <w:r>
        <w:rPr>
          <w:rFonts w:eastAsia="仿宋_GB2312" w:cs="仿宋_GB2312"/>
          <w:color w:val="auto"/>
          <w:sz w:val="28"/>
          <w:szCs w:val="28"/>
          <w:lang w:val="zh-CN"/>
        </w:rPr>
        <w:t>9800</w:t>
      </w:r>
      <w:r>
        <w:rPr>
          <w:rFonts w:hint="eastAsia" w:eastAsia="仿宋_GB2312" w:cs="仿宋_GB2312"/>
          <w:color w:val="auto"/>
          <w:sz w:val="28"/>
          <w:szCs w:val="28"/>
          <w:lang w:val="zh-CN"/>
        </w:rPr>
        <w:t>吨</w:t>
      </w:r>
      <w:r>
        <w:rPr>
          <w:rFonts w:eastAsia="仿宋_GB2312" w:cs="仿宋_GB2312"/>
          <w:color w:val="auto"/>
          <w:sz w:val="28"/>
          <w:szCs w:val="28"/>
          <w:lang w:val="zh-CN"/>
        </w:rPr>
        <w:t>/</w:t>
      </w:r>
      <w:r>
        <w:rPr>
          <w:rFonts w:hint="eastAsia" w:eastAsia="仿宋_GB2312" w:cs="仿宋_GB2312"/>
          <w:color w:val="auto"/>
          <w:sz w:val="28"/>
          <w:szCs w:val="28"/>
          <w:lang w:val="zh-CN"/>
        </w:rPr>
        <w:t>天。累计削减化学需氧量912.88吨、氨氮117.84吨。编制《广元市朝天区畜禽养殖禁养区划定方案》，全区划定</w:t>
      </w:r>
      <w:r>
        <w:rPr>
          <w:rFonts w:eastAsia="仿宋_GB2312" w:cs="仿宋_GB2312"/>
          <w:color w:val="auto"/>
          <w:sz w:val="28"/>
          <w:szCs w:val="28"/>
          <w:lang w:val="zh-CN"/>
        </w:rPr>
        <w:t>92</w:t>
      </w:r>
      <w:r>
        <w:rPr>
          <w:rFonts w:hint="eastAsia" w:eastAsia="仿宋_GB2312" w:cs="仿宋_GB2312"/>
          <w:color w:val="auto"/>
          <w:sz w:val="28"/>
          <w:szCs w:val="28"/>
          <w:lang w:val="zh-CN"/>
        </w:rPr>
        <w:t>个禁养区，依法关闭、搬迁、整治畜禽养殖场（户）</w:t>
      </w:r>
      <w:r>
        <w:rPr>
          <w:rFonts w:eastAsia="仿宋_GB2312" w:cs="仿宋_GB2312"/>
          <w:color w:val="auto"/>
          <w:sz w:val="28"/>
          <w:szCs w:val="28"/>
          <w:lang w:val="zh-CN"/>
        </w:rPr>
        <w:t>341</w:t>
      </w:r>
      <w:r>
        <w:rPr>
          <w:rFonts w:hint="eastAsia" w:eastAsia="仿宋_GB2312" w:cs="仿宋_GB2312"/>
          <w:color w:val="auto"/>
          <w:sz w:val="28"/>
          <w:szCs w:val="28"/>
          <w:lang w:val="zh-CN"/>
        </w:rPr>
        <w:t>家。大力实施畜禽养殖场（小区）养殖废水治理、粪便综合利用等项目，全区规模化畜禽养殖场（小区）废弃物综合利用处置率达</w:t>
      </w:r>
      <w:r>
        <w:rPr>
          <w:rFonts w:eastAsia="仿宋_GB2312" w:cs="仿宋_GB2312"/>
          <w:color w:val="auto"/>
          <w:sz w:val="28"/>
          <w:szCs w:val="28"/>
          <w:lang w:val="zh-CN"/>
        </w:rPr>
        <w:t>80%</w:t>
      </w:r>
      <w:r>
        <w:rPr>
          <w:rFonts w:hint="eastAsia" w:eastAsia="仿宋_GB2312" w:cs="仿宋_GB2312"/>
          <w:color w:val="auto"/>
          <w:sz w:val="28"/>
          <w:szCs w:val="28"/>
          <w:lang w:val="zh-CN"/>
        </w:rPr>
        <w:t>。建成容量50立方以上的污水集中收储处理池、处理站（点）27个，农村生活污水有效处理的行政村占比达36.4%。累计实施农村水环境综合整治项目21个，完成关口煤矿涌水治理试点项目。完成11个乡镇集中式饮用水水源地保护区规范化建设，定期开展水质监测，饮用水水源地水质全面达标。</w:t>
      </w:r>
    </w:p>
    <w:p>
      <w:pPr>
        <w:pStyle w:val="20"/>
        <w:adjustRightInd w:val="0"/>
        <w:snapToGrid w:val="0"/>
        <w:spacing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净土保卫战方面。</w:t>
      </w:r>
      <w:r>
        <w:rPr>
          <w:rFonts w:hint="eastAsia" w:eastAsia="仿宋_GB2312" w:cs="仿宋_GB2312"/>
          <w:color w:val="auto"/>
          <w:sz w:val="28"/>
          <w:szCs w:val="28"/>
          <w:lang w:val="zh-CN"/>
        </w:rPr>
        <w:t>编制《朝天区土壤污染治理与修复规划》《朝天区耕地土壤环境质量类别划定方案》，严格</w:t>
      </w:r>
      <w:bookmarkStart w:id="12" w:name="_Hlk81574013"/>
      <w:r>
        <w:rPr>
          <w:rFonts w:hint="eastAsia" w:eastAsia="仿宋_GB2312" w:cs="仿宋_GB2312"/>
          <w:color w:val="auto"/>
          <w:sz w:val="28"/>
          <w:szCs w:val="28"/>
          <w:lang w:val="zh-CN"/>
        </w:rPr>
        <w:t>管控农用地和城区建设用地土壤环境风险，实施平溪乡土壤污染治理修复项目、曾家山遗留场地及周边农用土壤污染防治项目、汪家乡煤矸石堆场及周边农用地污染治理与修复项目，全区土壤环境质量总体稳定</w:t>
      </w:r>
      <w:bookmarkEnd w:id="12"/>
      <w:r>
        <w:rPr>
          <w:rFonts w:hint="eastAsia" w:eastAsia="仿宋_GB2312" w:cs="仿宋_GB2312"/>
          <w:color w:val="auto"/>
          <w:sz w:val="28"/>
          <w:szCs w:val="28"/>
          <w:lang w:val="zh-CN"/>
        </w:rPr>
        <w:t>，实施宏术矿业尾矿专项整治工程。建立全区医疗废物集中暂存管理制度，建立收集点17个，辖区内危险废物依法安全处置率</w:t>
      </w:r>
      <w:r>
        <w:rPr>
          <w:rFonts w:eastAsia="仿宋_GB2312" w:cs="仿宋_GB2312"/>
          <w:color w:val="auto"/>
          <w:sz w:val="28"/>
          <w:szCs w:val="28"/>
          <w:lang w:val="zh-CN"/>
        </w:rPr>
        <w:t>100%</w:t>
      </w:r>
      <w:r>
        <w:rPr>
          <w:rFonts w:hint="eastAsia" w:eastAsia="仿宋_GB2312" w:cs="仿宋_GB2312"/>
          <w:color w:val="auto"/>
          <w:sz w:val="28"/>
          <w:szCs w:val="28"/>
          <w:lang w:val="zh-CN"/>
        </w:rPr>
        <w:t>。探索推行农村生活垃圾“户分类、村收集、镇（乡）运输、区（市）处理”模式，新建乡镇生活垃圾中转站23座，对14个非正规垃圾堆放点封场整治，全区生活垃圾集中清运至广元市城市生活垃圾焚烧发电厂进行资源化利用，农村生活垃圾无害化处理率达87%以上。</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eastAsia="仿宋_GB2312" w:cs="仿宋_GB2312"/>
          <w:b/>
          <w:bCs/>
          <w:color w:val="auto"/>
          <w:sz w:val="28"/>
          <w:szCs w:val="28"/>
          <w:lang w:val="zh-CN"/>
        </w:rPr>
        <w:t>3</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环境监管和应急能力明显提升</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环境监管方面。</w:t>
      </w:r>
      <w:r>
        <w:rPr>
          <w:rFonts w:hint="eastAsia" w:eastAsia="仿宋_GB2312" w:cs="仿宋_GB2312"/>
          <w:color w:val="auto"/>
          <w:sz w:val="28"/>
          <w:szCs w:val="28"/>
          <w:lang w:val="zh-CN"/>
        </w:rPr>
        <w:t>健全网格化环境监管体系，全面推行“双随机一公开”执法制度，实现重点污染源监管全覆盖。大力开展环保专项行动，立案查处环境违法行为98起，共处罚金621万元，受理各类信访投诉案件187件，办结率100%。完成环保违法违规建设项目清理整顿工作，清理整顿环保违法违规建设项目</w:t>
      </w:r>
      <w:r>
        <w:rPr>
          <w:rFonts w:eastAsia="仿宋_GB2312" w:cs="仿宋_GB2312"/>
          <w:color w:val="auto"/>
          <w:sz w:val="28"/>
          <w:szCs w:val="28"/>
          <w:lang w:val="zh-CN"/>
        </w:rPr>
        <w:t>30</w:t>
      </w:r>
      <w:r>
        <w:rPr>
          <w:rFonts w:hint="eastAsia" w:eastAsia="仿宋_GB2312" w:cs="仿宋_GB2312"/>
          <w:color w:val="auto"/>
          <w:sz w:val="28"/>
          <w:szCs w:val="28"/>
          <w:lang w:val="zh-CN"/>
        </w:rPr>
        <w:t>个。强化核与辐射管理，全区</w:t>
      </w:r>
      <w:r>
        <w:rPr>
          <w:rFonts w:eastAsia="仿宋_GB2312" w:cs="仿宋_GB2312"/>
          <w:color w:val="auto"/>
          <w:sz w:val="28"/>
          <w:szCs w:val="28"/>
          <w:lang w:val="zh-CN"/>
        </w:rPr>
        <w:t>31</w:t>
      </w:r>
      <w:r>
        <w:rPr>
          <w:rFonts w:hint="eastAsia" w:eastAsia="仿宋_GB2312" w:cs="仿宋_GB2312"/>
          <w:color w:val="auto"/>
          <w:sz w:val="28"/>
          <w:szCs w:val="28"/>
          <w:lang w:val="zh-CN"/>
        </w:rPr>
        <w:t>家医疗卫生机构射线装置等全部安全运行。</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环境应急方面。</w:t>
      </w:r>
      <w:r>
        <w:rPr>
          <w:rFonts w:hint="eastAsia" w:eastAsia="仿宋_GB2312" w:cs="仿宋_GB2312"/>
          <w:color w:val="auto"/>
          <w:sz w:val="28"/>
          <w:szCs w:val="28"/>
          <w:lang w:val="zh-CN"/>
        </w:rPr>
        <w:t>修订《朝天区突发环境事件应急预案》，构建潜溪河突发水污染事件预测预警模型，科学、有效应对处置潜溪河突发水污染事件。完成环境应急预案备案100家次。建立川陕应急联动工作机制，联合妥善处置陕西宁强柴油泄漏污染事件等环境突发事件10余起。</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eastAsia="仿宋_GB2312" w:cs="仿宋_GB2312"/>
          <w:b/>
          <w:bCs/>
          <w:color w:val="auto"/>
          <w:sz w:val="28"/>
          <w:szCs w:val="28"/>
          <w:lang w:val="zh-CN"/>
        </w:rPr>
        <w:t>4</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生态环境保护机制不断健全</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全区严格实行环境保护“党政同责、一岗双责”和“一票否决”制度，成立朝天区生态环境保护委员会、朝天区污染防治攻坚战领导小组，乡镇和区级部门环境保护目标考核分值占比提升至13</w:t>
      </w:r>
      <w:r>
        <w:rPr>
          <w:rFonts w:eastAsia="仿宋_GB2312" w:cs="仿宋_GB2312"/>
          <w:color w:val="auto"/>
          <w:sz w:val="28"/>
          <w:szCs w:val="28"/>
          <w:lang w:val="zh-CN"/>
        </w:rPr>
        <w:t>%</w:t>
      </w:r>
      <w:r>
        <w:rPr>
          <w:rFonts w:hint="eastAsia" w:eastAsia="仿宋_GB2312" w:cs="仿宋_GB2312"/>
          <w:color w:val="auto"/>
          <w:sz w:val="28"/>
          <w:szCs w:val="28"/>
          <w:lang w:val="zh-CN"/>
        </w:rPr>
        <w:t>，推行领导干部自然资源资产责任审计，进一步压紧压实生态环境保护责任，推动实施生态环境治理和修复工程，生态环境和人居环境不断改善。</w:t>
      </w:r>
    </w:p>
    <w:p>
      <w:pPr>
        <w:spacing w:line="600" w:lineRule="exact"/>
        <w:outlineLvl w:val="1"/>
        <w:rPr>
          <w:rFonts w:ascii="仿宋_GB2312" w:hAnsi="仿宋_GB2312" w:eastAsia="仿宋_GB2312" w:cs="仿宋_GB2312"/>
          <w:b/>
          <w:bCs/>
          <w:color w:val="auto"/>
          <w:sz w:val="32"/>
          <w:szCs w:val="32"/>
        </w:rPr>
      </w:pPr>
      <w:bookmarkStart w:id="13" w:name="_Toc8147"/>
      <w:bookmarkStart w:id="14" w:name="_Toc28190"/>
      <w:bookmarkStart w:id="15" w:name="_Toc55896615"/>
      <w:bookmarkStart w:id="16" w:name="_Toc3403"/>
      <w:bookmarkStart w:id="17" w:name="_Toc92470645"/>
      <w:r>
        <w:rPr>
          <w:rFonts w:hint="eastAsia" w:ascii="仿宋_GB2312" w:hAnsi="仿宋_GB2312" w:eastAsia="仿宋_GB2312" w:cs="仿宋_GB2312"/>
          <w:b/>
          <w:bCs/>
          <w:color w:val="auto"/>
          <w:sz w:val="32"/>
          <w:szCs w:val="32"/>
        </w:rPr>
        <w:t>（二）“十四五”生态环境保护形势</w:t>
      </w:r>
      <w:bookmarkEnd w:id="13"/>
      <w:bookmarkEnd w:id="14"/>
      <w:bookmarkEnd w:id="15"/>
      <w:bookmarkEnd w:id="16"/>
      <w:bookmarkEnd w:id="17"/>
    </w:p>
    <w:p>
      <w:pPr>
        <w:pStyle w:val="20"/>
        <w:adjustRightInd w:val="0"/>
        <w:snapToGrid w:val="0"/>
        <w:spacing w:after="0" w:line="560" w:lineRule="exact"/>
        <w:ind w:left="0" w:leftChars="0" w:firstLine="562"/>
        <w:rPr>
          <w:rFonts w:eastAsia="仿宋_GB2312" w:cs="仿宋_GB2312"/>
          <w:b/>
          <w:bCs/>
          <w:color w:val="auto"/>
          <w:sz w:val="28"/>
          <w:szCs w:val="28"/>
          <w:lang w:val="zh-CN"/>
        </w:rPr>
      </w:pPr>
      <w:bookmarkStart w:id="18" w:name="_Toc21761"/>
      <w:r>
        <w:rPr>
          <w:rFonts w:hint="eastAsia" w:eastAsia="仿宋_GB2312" w:cs="仿宋_GB2312"/>
          <w:b/>
          <w:bCs/>
          <w:color w:val="auto"/>
          <w:sz w:val="28"/>
          <w:szCs w:val="28"/>
          <w:lang w:val="zh-CN"/>
        </w:rPr>
        <w:t>1</w:t>
      </w:r>
      <w:bookmarkStart w:id="19" w:name="_Toc73459763"/>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存在的问题</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绿色低碳发展</w:t>
      </w:r>
      <w:bookmarkEnd w:id="19"/>
      <w:r>
        <w:rPr>
          <w:rFonts w:hint="eastAsia" w:eastAsia="仿宋_GB2312" w:cs="仿宋_GB2312"/>
          <w:b/>
          <w:bCs/>
          <w:color w:val="auto"/>
          <w:sz w:val="28"/>
          <w:szCs w:val="28"/>
          <w:lang w:val="zh-CN"/>
        </w:rPr>
        <w:t>任重道远。</w:t>
      </w:r>
      <w:r>
        <w:rPr>
          <w:rFonts w:hint="eastAsia" w:eastAsia="仿宋_GB2312" w:cs="仿宋_GB2312"/>
          <w:color w:val="auto"/>
          <w:sz w:val="28"/>
          <w:szCs w:val="28"/>
          <w:lang w:val="zh-CN"/>
        </w:rPr>
        <w:t>朝天区发展不平衡不充分的基本区情没有根本改变，产业结构不优，二产占比达到5</w:t>
      </w:r>
      <w:r>
        <w:rPr>
          <w:rFonts w:eastAsia="仿宋_GB2312" w:cs="仿宋_GB2312"/>
          <w:color w:val="auto"/>
          <w:sz w:val="28"/>
          <w:szCs w:val="28"/>
          <w:lang w:val="zh-CN"/>
        </w:rPr>
        <w:t>1.7</w:t>
      </w:r>
      <w:r>
        <w:rPr>
          <w:rFonts w:hint="eastAsia" w:eastAsia="仿宋_GB2312" w:cs="仿宋_GB2312"/>
          <w:color w:val="auto"/>
          <w:sz w:val="28"/>
          <w:szCs w:val="28"/>
          <w:lang w:val="zh-CN"/>
        </w:rPr>
        <w:t>%，超过全市平均水平1</w:t>
      </w:r>
      <w:r>
        <w:rPr>
          <w:rFonts w:eastAsia="仿宋_GB2312" w:cs="仿宋_GB2312"/>
          <w:color w:val="auto"/>
          <w:sz w:val="28"/>
          <w:szCs w:val="28"/>
          <w:lang w:val="zh-CN"/>
        </w:rPr>
        <w:t>2.7</w:t>
      </w:r>
      <w:r>
        <w:rPr>
          <w:rFonts w:hint="eastAsia" w:eastAsia="仿宋_GB2312" w:cs="仿宋_GB2312"/>
          <w:color w:val="auto"/>
          <w:sz w:val="28"/>
          <w:szCs w:val="28"/>
          <w:lang w:val="zh-CN"/>
        </w:rPr>
        <w:t>个百分点；城镇化进程相对滞后，全区常住人口城镇化率低于全市平均水平6</w:t>
      </w:r>
      <w:r>
        <w:rPr>
          <w:rFonts w:eastAsia="仿宋_GB2312" w:cs="仿宋_GB2312"/>
          <w:color w:val="auto"/>
          <w:sz w:val="28"/>
          <w:szCs w:val="28"/>
          <w:lang w:val="zh-CN"/>
        </w:rPr>
        <w:t>.2</w:t>
      </w:r>
      <w:r>
        <w:rPr>
          <w:rFonts w:hint="eastAsia" w:eastAsia="仿宋_GB2312" w:cs="仿宋_GB2312"/>
          <w:color w:val="auto"/>
          <w:sz w:val="28"/>
          <w:szCs w:val="28"/>
          <w:lang w:val="zh-CN"/>
        </w:rPr>
        <w:t>个百分点。“十四五”时期，朝天区加快建设广元城市北部新城，力争经济总量突破100亿大关，全区脱贫攻坚任务完成后又将快速转入城镇化转型发展期，城乡环保基础设施历史欠账多，又不断增加新的压力，经济社会发展和生态环境保护协调发展的矛盾突出。</w:t>
      </w:r>
    </w:p>
    <w:bookmarkEnd w:id="18"/>
    <w:p>
      <w:pPr>
        <w:pStyle w:val="20"/>
        <w:adjustRightInd w:val="0"/>
        <w:snapToGrid w:val="0"/>
        <w:spacing w:after="0" w:line="560" w:lineRule="exact"/>
        <w:ind w:left="0" w:leftChars="0" w:firstLine="562"/>
        <w:rPr>
          <w:rFonts w:eastAsia="仿宋_GB2312" w:cs="仿宋_GB2312"/>
          <w:color w:val="auto"/>
          <w:sz w:val="28"/>
          <w:szCs w:val="28"/>
          <w:lang w:val="zh-CN"/>
        </w:rPr>
      </w:pPr>
      <w:bookmarkStart w:id="20" w:name="_Toc23245"/>
      <w:r>
        <w:rPr>
          <w:rFonts w:hint="eastAsia" w:eastAsia="仿宋_GB2312" w:cs="仿宋_GB2312"/>
          <w:b/>
          <w:bCs/>
          <w:color w:val="auto"/>
          <w:sz w:val="28"/>
          <w:szCs w:val="28"/>
          <w:lang w:val="zh-CN"/>
        </w:rPr>
        <w:t>环保基础设施建设短板突出。</w:t>
      </w:r>
      <w:r>
        <w:rPr>
          <w:rFonts w:hint="eastAsia" w:eastAsia="仿宋_GB2312" w:cs="仿宋_GB2312"/>
          <w:color w:val="auto"/>
          <w:sz w:val="28"/>
          <w:szCs w:val="28"/>
          <w:lang w:val="zh-CN"/>
        </w:rPr>
        <w:t>全区污水处理设施依然欠缺，1</w:t>
      </w:r>
      <w:r>
        <w:rPr>
          <w:rFonts w:eastAsia="仿宋_GB2312" w:cs="仿宋_GB2312"/>
          <w:color w:val="auto"/>
          <w:sz w:val="28"/>
          <w:szCs w:val="28"/>
          <w:lang w:val="zh-CN"/>
        </w:rPr>
        <w:t>2</w:t>
      </w:r>
      <w:r>
        <w:rPr>
          <w:rFonts w:hint="eastAsia" w:eastAsia="仿宋_GB2312" w:cs="仿宋_GB2312"/>
          <w:color w:val="auto"/>
          <w:sz w:val="28"/>
          <w:szCs w:val="28"/>
          <w:lang w:val="zh-CN"/>
        </w:rPr>
        <w:t>个乡镇中仍有4个乡镇无污水处理设施，2</w:t>
      </w:r>
      <w:r>
        <w:rPr>
          <w:rFonts w:eastAsia="仿宋_GB2312" w:cs="仿宋_GB2312"/>
          <w:color w:val="auto"/>
          <w:sz w:val="28"/>
          <w:szCs w:val="28"/>
          <w:lang w:val="zh-CN"/>
        </w:rPr>
        <w:t>14</w:t>
      </w:r>
      <w:r>
        <w:rPr>
          <w:rFonts w:hint="eastAsia" w:eastAsia="仿宋_GB2312" w:cs="仿宋_GB2312"/>
          <w:color w:val="auto"/>
          <w:sz w:val="28"/>
          <w:szCs w:val="28"/>
          <w:lang w:val="zh-CN"/>
        </w:rPr>
        <w:t>个行政村中有近6</w:t>
      </w:r>
      <w:r>
        <w:rPr>
          <w:rFonts w:eastAsia="仿宋_GB2312" w:cs="仿宋_GB2312"/>
          <w:color w:val="auto"/>
          <w:sz w:val="28"/>
          <w:szCs w:val="28"/>
          <w:lang w:val="zh-CN"/>
        </w:rPr>
        <w:t>0</w:t>
      </w:r>
      <w:r>
        <w:rPr>
          <w:rFonts w:hint="eastAsia" w:eastAsia="仿宋_GB2312" w:cs="仿宋_GB2312"/>
          <w:color w:val="auto"/>
          <w:sz w:val="28"/>
          <w:szCs w:val="28"/>
          <w:lang w:val="zh-CN"/>
        </w:rPr>
        <w:t>%左右的行政村生活污水未得到有效治理。已建成的</w:t>
      </w:r>
      <w:r>
        <w:rPr>
          <w:rFonts w:eastAsia="仿宋_GB2312" w:cs="仿宋_GB2312"/>
          <w:color w:val="auto"/>
          <w:sz w:val="28"/>
          <w:szCs w:val="28"/>
          <w:lang w:val="zh-CN"/>
        </w:rPr>
        <w:t>污水处理</w:t>
      </w:r>
      <w:r>
        <w:rPr>
          <w:rFonts w:hint="eastAsia" w:eastAsia="仿宋_GB2312" w:cs="仿宋_GB2312"/>
          <w:color w:val="auto"/>
          <w:sz w:val="28"/>
          <w:szCs w:val="28"/>
          <w:lang w:val="zh-CN"/>
        </w:rPr>
        <w:t>设施</w:t>
      </w:r>
      <w:r>
        <w:rPr>
          <w:rFonts w:eastAsia="仿宋_GB2312" w:cs="仿宋_GB2312"/>
          <w:color w:val="auto"/>
          <w:sz w:val="28"/>
          <w:szCs w:val="28"/>
          <w:lang w:val="zh-CN"/>
        </w:rPr>
        <w:t>配套管网不完善、雨污分流不彻底、污水收集率低</w:t>
      </w:r>
      <w:r>
        <w:rPr>
          <w:rFonts w:hint="eastAsia" w:eastAsia="仿宋_GB2312" w:cs="仿宋_GB2312"/>
          <w:color w:val="auto"/>
          <w:sz w:val="28"/>
          <w:szCs w:val="28"/>
          <w:lang w:val="zh-CN"/>
        </w:rPr>
        <w:t>、运行管理不规范。规模以下</w:t>
      </w:r>
      <w:r>
        <w:rPr>
          <w:rFonts w:eastAsia="仿宋_GB2312" w:cs="仿宋_GB2312"/>
          <w:color w:val="auto"/>
          <w:sz w:val="28"/>
          <w:szCs w:val="28"/>
          <w:lang w:val="zh-CN"/>
        </w:rPr>
        <w:t>畜禽</w:t>
      </w:r>
      <w:r>
        <w:rPr>
          <w:rFonts w:hint="eastAsia" w:eastAsia="仿宋_GB2312" w:cs="仿宋_GB2312"/>
          <w:color w:val="auto"/>
          <w:sz w:val="28"/>
          <w:szCs w:val="28"/>
          <w:lang w:val="zh-CN"/>
        </w:rPr>
        <w:t>养殖</w:t>
      </w:r>
      <w:r>
        <w:rPr>
          <w:rFonts w:eastAsia="仿宋_GB2312" w:cs="仿宋_GB2312"/>
          <w:color w:val="auto"/>
          <w:sz w:val="28"/>
          <w:szCs w:val="28"/>
          <w:lang w:val="zh-CN"/>
        </w:rPr>
        <w:t>粪便综合利用率较低。农村集中式饮用水水源</w:t>
      </w:r>
      <w:r>
        <w:rPr>
          <w:rFonts w:hint="eastAsia" w:eastAsia="仿宋_GB2312" w:cs="仿宋_GB2312"/>
          <w:color w:val="auto"/>
          <w:sz w:val="28"/>
          <w:szCs w:val="28"/>
          <w:lang w:val="zh-CN"/>
        </w:rPr>
        <w:t>大多</w:t>
      </w:r>
      <w:r>
        <w:rPr>
          <w:rFonts w:eastAsia="仿宋_GB2312" w:cs="仿宋_GB2312"/>
          <w:color w:val="auto"/>
          <w:sz w:val="28"/>
          <w:szCs w:val="28"/>
          <w:lang w:val="zh-CN"/>
        </w:rPr>
        <w:t>为就地溪沟、塘堰和浅层井，饮用水水量水质保障</w:t>
      </w:r>
      <w:r>
        <w:rPr>
          <w:rFonts w:hint="eastAsia" w:eastAsia="仿宋_GB2312" w:cs="仿宋_GB2312"/>
          <w:color w:val="auto"/>
          <w:sz w:val="28"/>
          <w:szCs w:val="28"/>
          <w:lang w:val="zh-CN"/>
        </w:rPr>
        <w:t>难度较大</w:t>
      </w:r>
      <w:r>
        <w:rPr>
          <w:rFonts w:eastAsia="仿宋_GB2312" w:cs="仿宋_GB2312"/>
          <w:color w:val="auto"/>
          <w:sz w:val="28"/>
          <w:szCs w:val="28"/>
          <w:lang w:val="zh-CN"/>
        </w:rPr>
        <w:t>。</w:t>
      </w:r>
      <w:r>
        <w:rPr>
          <w:rFonts w:hint="eastAsia" w:eastAsia="仿宋_GB2312" w:cs="仿宋_GB2312"/>
          <w:color w:val="auto"/>
          <w:sz w:val="28"/>
          <w:szCs w:val="28"/>
          <w:lang w:val="zh-CN"/>
        </w:rPr>
        <w:t>乡镇、农村</w:t>
      </w:r>
      <w:r>
        <w:rPr>
          <w:rFonts w:eastAsia="仿宋_GB2312" w:cs="仿宋_GB2312"/>
          <w:color w:val="auto"/>
          <w:sz w:val="28"/>
          <w:szCs w:val="28"/>
          <w:lang w:val="zh-CN"/>
        </w:rPr>
        <w:t>生活垃圾</w:t>
      </w:r>
      <w:r>
        <w:rPr>
          <w:rFonts w:hint="eastAsia" w:eastAsia="仿宋_GB2312" w:cs="仿宋_GB2312"/>
          <w:color w:val="auto"/>
          <w:sz w:val="28"/>
          <w:szCs w:val="28"/>
          <w:lang w:val="zh-CN"/>
        </w:rPr>
        <w:t>收集</w:t>
      </w:r>
      <w:r>
        <w:rPr>
          <w:rFonts w:eastAsia="仿宋_GB2312" w:cs="仿宋_GB2312"/>
          <w:color w:val="auto"/>
          <w:sz w:val="28"/>
          <w:szCs w:val="28"/>
          <w:lang w:val="zh-CN"/>
        </w:rPr>
        <w:t>处理</w:t>
      </w:r>
      <w:r>
        <w:rPr>
          <w:rFonts w:hint="eastAsia" w:eastAsia="仿宋_GB2312" w:cs="仿宋_GB2312"/>
          <w:color w:val="auto"/>
          <w:sz w:val="28"/>
          <w:szCs w:val="28"/>
          <w:lang w:val="zh-CN"/>
        </w:rPr>
        <w:t>实施还</w:t>
      </w:r>
      <w:r>
        <w:rPr>
          <w:rFonts w:eastAsia="仿宋_GB2312" w:cs="仿宋_GB2312"/>
          <w:color w:val="auto"/>
          <w:sz w:val="28"/>
          <w:szCs w:val="28"/>
          <w:lang w:val="zh-CN"/>
        </w:rPr>
        <w:t>不完善</w:t>
      </w:r>
      <w:r>
        <w:rPr>
          <w:rFonts w:hint="eastAsia" w:eastAsia="仿宋_GB2312" w:cs="仿宋_GB2312"/>
          <w:color w:val="auto"/>
          <w:sz w:val="28"/>
          <w:szCs w:val="28"/>
          <w:lang w:val="zh-CN"/>
        </w:rPr>
        <w:t>。</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环境质量巩固改善压力较大。</w:t>
      </w:r>
      <w:r>
        <w:rPr>
          <w:rFonts w:hint="eastAsia" w:eastAsia="仿宋_GB2312" w:cs="仿宋_GB2312"/>
          <w:color w:val="auto"/>
          <w:sz w:val="28"/>
          <w:szCs w:val="28"/>
          <w:lang w:val="zh-CN"/>
        </w:rPr>
        <w:t>全区P</w:t>
      </w:r>
      <w:r>
        <w:rPr>
          <w:rFonts w:eastAsia="仿宋_GB2312" w:cs="仿宋_GB2312"/>
          <w:color w:val="auto"/>
          <w:sz w:val="28"/>
          <w:szCs w:val="28"/>
          <w:lang w:val="zh-CN"/>
        </w:rPr>
        <w:t>M</w:t>
      </w:r>
      <w:r>
        <w:rPr>
          <w:rFonts w:eastAsia="仿宋_GB2312" w:cs="仿宋_GB2312"/>
          <w:color w:val="auto"/>
          <w:sz w:val="28"/>
          <w:szCs w:val="28"/>
          <w:vertAlign w:val="subscript"/>
          <w:lang w:val="zh-CN"/>
        </w:rPr>
        <w:t>2.5</w:t>
      </w:r>
      <w:r>
        <w:rPr>
          <w:rFonts w:hint="eastAsia" w:eastAsia="仿宋_GB2312" w:cs="仿宋_GB2312"/>
          <w:color w:val="auto"/>
          <w:sz w:val="28"/>
          <w:szCs w:val="28"/>
          <w:lang w:val="zh-CN"/>
        </w:rPr>
        <w:t>浓度和优良天数率处于较优水平，</w:t>
      </w:r>
      <w:r>
        <w:rPr>
          <w:rFonts w:eastAsia="仿宋_GB2312" w:cs="仿宋_GB2312"/>
          <w:color w:val="auto"/>
          <w:sz w:val="28"/>
          <w:szCs w:val="28"/>
          <w:lang w:val="zh-CN"/>
        </w:rPr>
        <w:t>臭氧</w:t>
      </w:r>
      <w:r>
        <w:rPr>
          <w:rFonts w:hint="eastAsia" w:eastAsia="仿宋_GB2312" w:cs="仿宋_GB2312"/>
          <w:color w:val="auto"/>
          <w:sz w:val="28"/>
          <w:szCs w:val="28"/>
          <w:lang w:val="zh-CN"/>
        </w:rPr>
        <w:t>浓度</w:t>
      </w:r>
      <w:r>
        <w:rPr>
          <w:rFonts w:eastAsia="仿宋_GB2312" w:cs="仿宋_GB2312"/>
          <w:color w:val="auto"/>
          <w:sz w:val="28"/>
          <w:szCs w:val="28"/>
          <w:lang w:val="zh-CN"/>
        </w:rPr>
        <w:t>波动上升，</w:t>
      </w:r>
      <w:r>
        <w:rPr>
          <w:rFonts w:hint="eastAsia" w:eastAsia="仿宋_GB2312" w:cs="仿宋_GB2312"/>
          <w:color w:val="auto"/>
          <w:sz w:val="28"/>
          <w:szCs w:val="28"/>
          <w:lang w:val="zh-CN"/>
        </w:rPr>
        <w:t>臭氧已经成为制约朝天区空气质量优良天数率提升的首要因素，空气质量巩固改善压力较大。2</w:t>
      </w:r>
      <w:r>
        <w:rPr>
          <w:rFonts w:eastAsia="仿宋_GB2312" w:cs="仿宋_GB2312"/>
          <w:color w:val="auto"/>
          <w:sz w:val="28"/>
          <w:szCs w:val="28"/>
          <w:lang w:val="zh-CN"/>
        </w:rPr>
        <w:t>0</w:t>
      </w:r>
      <w:r>
        <w:rPr>
          <w:rFonts w:hint="eastAsia" w:eastAsia="仿宋_GB2312" w:cs="仿宋_GB2312"/>
          <w:color w:val="auto"/>
          <w:sz w:val="28"/>
          <w:szCs w:val="28"/>
          <w:lang w:val="zh-CN"/>
        </w:rPr>
        <w:t>余处历史遗留矿井涌水亟需治理，</w:t>
      </w:r>
      <w:r>
        <w:rPr>
          <w:rFonts w:eastAsia="仿宋_GB2312" w:cs="仿宋_GB2312"/>
          <w:color w:val="auto"/>
          <w:sz w:val="28"/>
          <w:szCs w:val="28"/>
          <w:lang w:val="zh-CN"/>
        </w:rPr>
        <w:t>化肥、农药的过量施用造成农田径流污染和土壤污染</w:t>
      </w:r>
      <w:r>
        <w:rPr>
          <w:rFonts w:hint="eastAsia" w:eastAsia="仿宋_GB2312" w:cs="仿宋_GB2312"/>
          <w:color w:val="auto"/>
          <w:sz w:val="28"/>
          <w:szCs w:val="28"/>
          <w:lang w:val="zh-CN"/>
        </w:rPr>
        <w:t>，工业固体废弃物堆存场所环境整治任务重，对土壤和水环境造成较大威胁。土壤环境形势依然严峻，耕地受污染（主要是重金属镉超标）情况较重。区域环境噪声和道路交通噪声在达标范围内波动。</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环境应急管控形势严峻。</w:t>
      </w:r>
      <w:r>
        <w:rPr>
          <w:rFonts w:hint="eastAsia" w:eastAsia="仿宋_GB2312" w:cs="仿宋_GB2312"/>
          <w:color w:val="auto"/>
          <w:sz w:val="28"/>
          <w:szCs w:val="28"/>
          <w:lang w:val="zh-CN"/>
        </w:rPr>
        <w:t>朝天区地处川甘陕三省结合部，交通网络纵横交错，每天约有上千辆危化品运输车辆穿境而过，环境风险较大。嘉陵江入川段跨区域跨流域突发环境事件、交通事故引发的次生环境污染事件时有发生，应急处突任务繁重。全区环保队伍和环境监管能力规范化建设还需加强，环境应急响应与处置能力不足，核与辐射安全监管能力薄弱。</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eastAsia="仿宋_GB2312" w:cs="仿宋_GB2312"/>
          <w:b/>
          <w:bCs/>
          <w:color w:val="auto"/>
          <w:sz w:val="28"/>
          <w:szCs w:val="28"/>
          <w:lang w:val="zh-CN"/>
        </w:rPr>
        <w:t>2</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面临的机遇</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十四五”时期，朝天区生态环境持续改善面临诸多机遇和条件。习近平生态文明思想深入人心，“绿水青山就是金山银山”的理念在全社会牢固树立，生态环境保护战略地位进一步加强。“一带一路”建设、长江经济带发展、新时代西部大开发、成渝地区双城经济圈建设、新时代支持革命老区振兴发展、乡村振兴等国家战略深入实施，将为朝天区经济社会全面绿色低碳发展提供坚实基础，注入强劲动力。全省“一干多支、五区协同”“四向拓展、全域开放”新态势加快形成，广元市深入实施“三个一、三个三”兴广战略，加快建设川陕结合部现代化中心城市、中国生态康养旅游名市，打造重要门户枢纽和区域经济发展高地等战略目标，有利于朝天突出优势特色，有效整合资源禀赋，更好地实现区域经济高质量发展和生态环境高水平保护的统筹协调，必将推动朝天区生态环境改善迈入新的更好阶段。</w:t>
      </w:r>
    </w:p>
    <w:bookmarkEnd w:id="20"/>
    <w:p>
      <w:pPr>
        <w:spacing w:line="600" w:lineRule="exact"/>
        <w:outlineLvl w:val="0"/>
        <w:rPr>
          <w:rFonts w:ascii="仿宋_GB2312" w:hAnsi="仿宋_GB2312" w:eastAsia="仿宋_GB2312" w:cs="仿宋_GB2312"/>
          <w:b/>
          <w:bCs/>
          <w:color w:val="auto"/>
          <w:sz w:val="32"/>
          <w:szCs w:val="32"/>
        </w:rPr>
      </w:pPr>
      <w:bookmarkStart w:id="21" w:name="_Toc22836"/>
      <w:bookmarkStart w:id="22" w:name="_Toc32639"/>
      <w:bookmarkStart w:id="23" w:name="_Toc92470646"/>
      <w:bookmarkStart w:id="24" w:name="_Toc6573"/>
      <w:r>
        <w:rPr>
          <w:rFonts w:hint="eastAsia" w:ascii="仿宋_GB2312" w:hAnsi="仿宋_GB2312" w:eastAsia="仿宋_GB2312" w:cs="仿宋_GB2312"/>
          <w:b/>
          <w:bCs/>
          <w:color w:val="auto"/>
          <w:sz w:val="32"/>
          <w:szCs w:val="32"/>
        </w:rPr>
        <w:t>二、总体要求</w:t>
      </w:r>
      <w:bookmarkEnd w:id="21"/>
      <w:bookmarkEnd w:id="22"/>
      <w:bookmarkEnd w:id="23"/>
      <w:bookmarkEnd w:id="24"/>
    </w:p>
    <w:p>
      <w:pPr>
        <w:spacing w:line="600" w:lineRule="exact"/>
        <w:outlineLvl w:val="1"/>
        <w:rPr>
          <w:rFonts w:ascii="仿宋_GB2312" w:hAnsi="仿宋_GB2312" w:eastAsia="仿宋_GB2312" w:cs="仿宋_GB2312"/>
          <w:b/>
          <w:bCs/>
          <w:color w:val="auto"/>
          <w:sz w:val="32"/>
          <w:szCs w:val="32"/>
        </w:rPr>
      </w:pPr>
      <w:bookmarkStart w:id="25" w:name="_Toc23787"/>
      <w:bookmarkStart w:id="26" w:name="_Toc92470647"/>
      <w:bookmarkStart w:id="27" w:name="_Toc1548"/>
      <w:bookmarkStart w:id="28" w:name="_Toc13689"/>
      <w:r>
        <w:rPr>
          <w:rFonts w:hint="eastAsia" w:ascii="仿宋_GB2312" w:hAnsi="仿宋_GB2312" w:eastAsia="仿宋_GB2312" w:cs="仿宋_GB2312"/>
          <w:b/>
          <w:bCs/>
          <w:color w:val="auto"/>
          <w:sz w:val="32"/>
          <w:szCs w:val="32"/>
        </w:rPr>
        <w:t>（一）指导思想</w:t>
      </w:r>
      <w:bookmarkEnd w:id="25"/>
      <w:bookmarkEnd w:id="26"/>
      <w:bookmarkEnd w:id="27"/>
      <w:bookmarkEnd w:id="28"/>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以习近平新时代中国特色社会主义思想为指导，全面贯彻党的十九大和十九届历次全会精神，深入贯彻习近平生态文明思想和习近平总书记对四川工作系列重要指示精神，全面落实省委十一届八次、九次、十次全会精神，立足新发展阶段，完整、准确、全面贯彻新发展理念，融入新发展格局，突出共同富裕这个新的时代课题，坚持稳中求进工作总基调，深入践行“绿水青山就是金山银山”，按照统筹山水林田湖草沙一体化保护和修复理念，统筹考虑生态系统完整性、地理单元连续性和经济社会发展可持续性，对生态保护和修复作出系统规划，积极推动生态价值</w:t>
      </w:r>
      <w:r>
        <w:rPr>
          <w:rFonts w:eastAsia="仿宋_GB2312" w:cs="仿宋_GB2312"/>
          <w:color w:val="auto"/>
          <w:sz w:val="28"/>
          <w:szCs w:val="28"/>
          <w:lang w:val="zh-CN"/>
        </w:rPr>
        <w:t>转化，</w:t>
      </w:r>
      <w:r>
        <w:rPr>
          <w:rFonts w:hint="eastAsia" w:eastAsia="仿宋_GB2312" w:cs="仿宋_GB2312"/>
          <w:color w:val="auto"/>
          <w:sz w:val="28"/>
          <w:szCs w:val="28"/>
          <w:lang w:val="zh-CN"/>
        </w:rPr>
        <w:t>以协同推进生态环境高水平保护和经济高质量发展为主线，以构建现代生态环境治理体系和治理能力现代化为支撑，坚持精准治污、科学治污、依法治污，推动形成绿色发展方式和生活方式，建设广元北向开放的绿色桥头堡，建设川陕交界区域重要的生态康养目的地，努力建成人与自然和谐共生的美丽朝天，绘就“绿染青山织锦绣，富美朝天入画来”和美共生朝天画卷。</w:t>
      </w:r>
    </w:p>
    <w:p>
      <w:pPr>
        <w:spacing w:line="600" w:lineRule="exact"/>
        <w:outlineLvl w:val="1"/>
        <w:rPr>
          <w:rFonts w:ascii="仿宋_GB2312" w:hAnsi="仿宋_GB2312" w:eastAsia="仿宋_GB2312" w:cs="仿宋_GB2312"/>
          <w:b/>
          <w:bCs/>
          <w:color w:val="auto"/>
          <w:sz w:val="32"/>
          <w:szCs w:val="32"/>
        </w:rPr>
      </w:pPr>
      <w:bookmarkStart w:id="29" w:name="_Toc32342"/>
      <w:bookmarkStart w:id="30" w:name="_Toc8024"/>
      <w:bookmarkStart w:id="31" w:name="_Toc55896620"/>
      <w:bookmarkStart w:id="32" w:name="_Toc18317"/>
      <w:bookmarkStart w:id="33" w:name="_Toc92470648"/>
      <w:r>
        <w:rPr>
          <w:rFonts w:hint="eastAsia" w:ascii="仿宋_GB2312" w:hAnsi="仿宋_GB2312" w:eastAsia="仿宋_GB2312" w:cs="仿宋_GB2312"/>
          <w:b/>
          <w:bCs/>
          <w:color w:val="auto"/>
          <w:sz w:val="32"/>
          <w:szCs w:val="32"/>
        </w:rPr>
        <w:t>（二）基本原则</w:t>
      </w:r>
      <w:bookmarkEnd w:id="29"/>
      <w:bookmarkEnd w:id="30"/>
      <w:bookmarkEnd w:id="31"/>
      <w:bookmarkEnd w:id="32"/>
      <w:bookmarkEnd w:id="33"/>
    </w:p>
    <w:p>
      <w:pPr>
        <w:pStyle w:val="20"/>
        <w:adjustRightInd w:val="0"/>
        <w:snapToGrid w:val="0"/>
        <w:spacing w:after="0" w:line="560" w:lineRule="exact"/>
        <w:ind w:left="0" w:leftChars="0" w:firstLine="562"/>
        <w:rPr>
          <w:rFonts w:eastAsia="仿宋_GB2312" w:cs="仿宋_GB2312"/>
          <w:color w:val="auto"/>
          <w:sz w:val="28"/>
          <w:szCs w:val="28"/>
          <w:lang w:val="zh-CN"/>
        </w:rPr>
      </w:pPr>
      <w:bookmarkStart w:id="34" w:name="_Hlk58319008"/>
      <w:r>
        <w:rPr>
          <w:rFonts w:hint="eastAsia" w:eastAsia="仿宋_GB2312" w:cs="仿宋_GB2312"/>
          <w:b/>
          <w:bCs/>
          <w:color w:val="auto"/>
          <w:sz w:val="28"/>
          <w:szCs w:val="28"/>
          <w:lang w:val="zh-CN"/>
        </w:rPr>
        <w:t>绿色优先，低碳发展。</w:t>
      </w:r>
      <w:r>
        <w:rPr>
          <w:rFonts w:hint="eastAsia" w:eastAsia="仿宋_GB2312" w:cs="仿宋_GB2312"/>
          <w:color w:val="auto"/>
          <w:sz w:val="28"/>
          <w:szCs w:val="28"/>
          <w:lang w:val="zh-CN"/>
        </w:rPr>
        <w:t>坚持“绿水青山就是金山银山”发展理念，以资源环境承载力为先决条件，以实现碳达峰碳中和为引领，推动生产生活方式绿色低碳转型，助推经济社会发展高质量发展。</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以人为本，环保惠民。</w:t>
      </w:r>
      <w:r>
        <w:rPr>
          <w:rFonts w:hint="eastAsia" w:eastAsia="仿宋_GB2312" w:cs="仿宋_GB2312"/>
          <w:color w:val="auto"/>
          <w:sz w:val="28"/>
          <w:szCs w:val="28"/>
          <w:lang w:val="zh-CN"/>
        </w:rPr>
        <w:t>加快解决人民群众和社会各界高度关注的突出生态环境问题，全力改善区域生态环境质量，不断增强人民群众对美丽朝天的获得感和幸福感。</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统筹协调，系统保护。</w:t>
      </w:r>
      <w:r>
        <w:rPr>
          <w:rFonts w:hint="eastAsia" w:eastAsia="仿宋_GB2312" w:cs="仿宋_GB2312"/>
          <w:color w:val="auto"/>
          <w:sz w:val="28"/>
          <w:szCs w:val="28"/>
          <w:lang w:val="zh-CN"/>
        </w:rPr>
        <w:t>坚持山水林田湖草沙系统治理，统筹区域和城乡协调发展、资源开发与生态环境保护，优化区域经济发展空间布局，协同治理工业、交通、农业、生活等环境污染，系统开展生态建设，有效提升环境质量。</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深化改革，创新机制。</w:t>
      </w:r>
      <w:r>
        <w:rPr>
          <w:rFonts w:hint="eastAsia" w:eastAsia="仿宋_GB2312" w:cs="仿宋_GB2312"/>
          <w:color w:val="auto"/>
          <w:sz w:val="28"/>
          <w:szCs w:val="28"/>
          <w:lang w:val="zh-CN"/>
        </w:rPr>
        <w:t>持续深化生态文明体制改革创新，进一步完善生态环境保护体制机制，建立系统完善、适应生态文明的现代化生态环境保护治理体系。</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政府主导，全民参与。</w:t>
      </w:r>
      <w:r>
        <w:rPr>
          <w:rFonts w:hint="eastAsia" w:eastAsia="仿宋_GB2312" w:cs="仿宋_GB2312"/>
          <w:color w:val="auto"/>
          <w:sz w:val="28"/>
          <w:szCs w:val="28"/>
          <w:lang w:val="zh-CN"/>
        </w:rPr>
        <w:t>坚持完善政府主导、部门监管、企业治理、公众参与多元共治体系，强化激励约束考核，积极发挥市场优化配置效能，推动形成大环保格局。</w:t>
      </w:r>
    </w:p>
    <w:bookmarkEnd w:id="34"/>
    <w:p>
      <w:pPr>
        <w:spacing w:line="600" w:lineRule="exact"/>
        <w:outlineLvl w:val="1"/>
        <w:rPr>
          <w:color w:val="auto"/>
        </w:rPr>
      </w:pPr>
      <w:bookmarkStart w:id="35" w:name="_Toc23377"/>
      <w:bookmarkStart w:id="36" w:name="_Toc92470649"/>
      <w:bookmarkStart w:id="37" w:name="_Toc13229"/>
      <w:r>
        <w:rPr>
          <w:rFonts w:hint="eastAsia" w:ascii="仿宋_GB2312" w:hAnsi="仿宋_GB2312" w:eastAsia="仿宋_GB2312" w:cs="仿宋_GB2312"/>
          <w:b/>
          <w:bCs/>
          <w:color w:val="auto"/>
          <w:sz w:val="32"/>
          <w:szCs w:val="32"/>
        </w:rPr>
        <w:t>（三）规划目标</w:t>
      </w:r>
      <w:bookmarkEnd w:id="35"/>
      <w:bookmarkEnd w:id="36"/>
      <w:bookmarkEnd w:id="37"/>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eastAsia="仿宋_GB2312" w:cs="仿宋_GB2312"/>
          <w:color w:val="auto"/>
          <w:sz w:val="28"/>
          <w:szCs w:val="28"/>
          <w:lang w:val="zh-CN"/>
        </w:rPr>
        <w:t>到2025年，</w:t>
      </w:r>
      <w:r>
        <w:rPr>
          <w:rFonts w:hint="eastAsia" w:eastAsia="仿宋_GB2312" w:cs="仿宋_GB2312"/>
          <w:color w:val="auto"/>
          <w:sz w:val="28"/>
          <w:szCs w:val="28"/>
          <w:lang w:val="zh-CN"/>
        </w:rPr>
        <w:t>全区主要污染物排放总量持续减少，生态环境质量持续改善，</w:t>
      </w:r>
      <w:r>
        <w:rPr>
          <w:rFonts w:eastAsia="仿宋_GB2312" w:cs="仿宋_GB2312"/>
          <w:color w:val="auto"/>
          <w:sz w:val="28"/>
          <w:szCs w:val="28"/>
          <w:lang w:val="zh-CN"/>
        </w:rPr>
        <w:t>嘉陵江上游生态屏障</w:t>
      </w:r>
      <w:r>
        <w:rPr>
          <w:rFonts w:hint="eastAsia" w:eastAsia="仿宋_GB2312" w:cs="仿宋_GB2312"/>
          <w:color w:val="auto"/>
          <w:sz w:val="28"/>
          <w:szCs w:val="28"/>
          <w:lang w:val="zh-CN"/>
        </w:rPr>
        <w:t>进一步筑牢，</w:t>
      </w:r>
      <w:r>
        <w:rPr>
          <w:rFonts w:eastAsia="仿宋_GB2312" w:cs="仿宋_GB2312"/>
          <w:color w:val="auto"/>
          <w:sz w:val="28"/>
          <w:szCs w:val="28"/>
          <w:lang w:val="zh-CN"/>
        </w:rPr>
        <w:t>生态空间格局不断优化。环境治理取得显著成果，大气、水</w:t>
      </w:r>
      <w:r>
        <w:rPr>
          <w:rFonts w:hint="eastAsia" w:eastAsia="仿宋_GB2312" w:cs="仿宋_GB2312"/>
          <w:color w:val="auto"/>
          <w:sz w:val="28"/>
          <w:szCs w:val="28"/>
          <w:lang w:val="zh-CN"/>
        </w:rPr>
        <w:t>环境</w:t>
      </w:r>
      <w:r>
        <w:rPr>
          <w:rFonts w:eastAsia="仿宋_GB2312" w:cs="仿宋_GB2312"/>
          <w:color w:val="auto"/>
          <w:sz w:val="28"/>
          <w:szCs w:val="28"/>
          <w:lang w:val="zh-CN"/>
        </w:rPr>
        <w:t>质量继续保持优良水平</w:t>
      </w:r>
      <w:r>
        <w:rPr>
          <w:rFonts w:hint="eastAsia" w:eastAsia="仿宋_GB2312" w:cs="仿宋_GB2312"/>
          <w:color w:val="auto"/>
          <w:sz w:val="28"/>
          <w:szCs w:val="28"/>
          <w:lang w:val="zh-CN"/>
        </w:rPr>
        <w:t>，土壤环境保持稳定，声环境质量稳定达标</w:t>
      </w:r>
      <w:r>
        <w:rPr>
          <w:rFonts w:eastAsia="仿宋_GB2312" w:cs="仿宋_GB2312"/>
          <w:color w:val="auto"/>
          <w:sz w:val="28"/>
          <w:szCs w:val="28"/>
          <w:lang w:val="zh-CN"/>
        </w:rPr>
        <w:t>。</w:t>
      </w:r>
      <w:r>
        <w:rPr>
          <w:rFonts w:hint="eastAsia" w:eastAsia="仿宋_GB2312" w:cs="仿宋_GB2312"/>
          <w:color w:val="auto"/>
          <w:sz w:val="28"/>
          <w:szCs w:val="28"/>
          <w:lang w:val="zh-CN"/>
        </w:rPr>
        <w:t>能源资源配置更加合理、利用</w:t>
      </w:r>
      <w:r>
        <w:rPr>
          <w:rFonts w:eastAsia="仿宋_GB2312" w:cs="仿宋_GB2312"/>
          <w:color w:val="auto"/>
          <w:sz w:val="28"/>
          <w:szCs w:val="28"/>
          <w:lang w:val="zh-CN"/>
        </w:rPr>
        <w:t>效率明显提高，单位产出能耗、水耗、用地和二氧化碳排放得到有效控制，</w:t>
      </w:r>
      <w:r>
        <w:rPr>
          <w:rFonts w:hint="eastAsia" w:eastAsia="仿宋_GB2312" w:cs="仿宋_GB2312"/>
          <w:color w:val="auto"/>
          <w:sz w:val="28"/>
          <w:szCs w:val="28"/>
          <w:lang w:val="zh-CN"/>
        </w:rPr>
        <w:t>绿色低碳生产生活方式</w:t>
      </w:r>
      <w:r>
        <w:rPr>
          <w:rFonts w:eastAsia="仿宋_GB2312" w:cs="仿宋_GB2312"/>
          <w:color w:val="auto"/>
          <w:sz w:val="28"/>
          <w:szCs w:val="28"/>
          <w:lang w:val="zh-CN"/>
        </w:rPr>
        <w:t>加快形成</w:t>
      </w:r>
      <w:r>
        <w:rPr>
          <w:rFonts w:hint="eastAsia" w:eastAsia="仿宋_GB2312" w:cs="仿宋_GB2312"/>
          <w:color w:val="auto"/>
          <w:sz w:val="28"/>
          <w:szCs w:val="28"/>
          <w:lang w:val="zh-CN"/>
        </w:rPr>
        <w:t>，城乡人居环境明显改善，美丽朝天建设取得更大进展。</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展望2035年，广泛形成绿色生产生活方式，碳排放达峰后稳中有降，生态经济体量大幅提升，生态环境质量根本改善，美丽朝天基本建成，基本实现人与自然和谐共生的现代化。</w:t>
      </w:r>
    </w:p>
    <w:p>
      <w:pPr>
        <w:topLinePunct/>
        <w:spacing w:line="600" w:lineRule="exact"/>
        <w:ind w:firstLine="482" w:firstLineChars="200"/>
        <w:jc w:val="center"/>
        <w:rPr>
          <w:rFonts w:eastAsia="仿宋_GB2312"/>
          <w:color w:val="auto"/>
          <w:sz w:val="24"/>
          <w:szCs w:val="24"/>
        </w:rPr>
      </w:pPr>
      <w:r>
        <w:rPr>
          <w:rFonts w:eastAsia="黑体"/>
          <w:b/>
          <w:bCs/>
          <w:color w:val="auto"/>
          <w:sz w:val="24"/>
          <w:szCs w:val="24"/>
        </w:rPr>
        <w:t>表</w:t>
      </w:r>
      <w:r>
        <w:rPr>
          <w:rFonts w:hint="eastAsia" w:eastAsia="黑体"/>
          <w:b/>
          <w:bCs/>
          <w:color w:val="auto"/>
          <w:sz w:val="24"/>
          <w:szCs w:val="24"/>
        </w:rPr>
        <w:t>1</w:t>
      </w:r>
      <w:r>
        <w:rPr>
          <w:rFonts w:eastAsia="黑体"/>
          <w:b/>
          <w:bCs/>
          <w:color w:val="auto"/>
          <w:sz w:val="24"/>
          <w:szCs w:val="24"/>
        </w:rPr>
        <w:t xml:space="preserve">  </w:t>
      </w:r>
      <w:r>
        <w:rPr>
          <w:rFonts w:hint="eastAsia" w:eastAsia="黑体"/>
          <w:b/>
          <w:bCs/>
          <w:color w:val="auto"/>
          <w:sz w:val="24"/>
          <w:szCs w:val="24"/>
        </w:rPr>
        <w:t>朝天区</w:t>
      </w:r>
      <w:r>
        <w:rPr>
          <w:rFonts w:eastAsia="黑体"/>
          <w:b/>
          <w:bCs/>
          <w:color w:val="auto"/>
          <w:sz w:val="24"/>
          <w:szCs w:val="24"/>
        </w:rPr>
        <w:t>“十四五”生态环境</w:t>
      </w:r>
      <w:r>
        <w:rPr>
          <w:rFonts w:hint="eastAsia" w:eastAsia="黑体"/>
          <w:b/>
          <w:bCs/>
          <w:color w:val="auto"/>
          <w:sz w:val="24"/>
          <w:szCs w:val="24"/>
        </w:rPr>
        <w:t>保护</w:t>
      </w:r>
      <w:r>
        <w:rPr>
          <w:rFonts w:eastAsia="黑体"/>
          <w:b/>
          <w:bCs/>
          <w:color w:val="auto"/>
          <w:sz w:val="24"/>
          <w:szCs w:val="24"/>
        </w:rPr>
        <w:t>规划指标体系</w:t>
      </w:r>
    </w:p>
    <w:tbl>
      <w:tblPr>
        <w:tblStyle w:val="21"/>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3570"/>
        <w:gridCol w:w="1246"/>
        <w:gridCol w:w="1915"/>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4371" w:type="dxa"/>
            <w:gridSpan w:val="2"/>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指标</w:t>
            </w:r>
          </w:p>
        </w:tc>
        <w:tc>
          <w:tcPr>
            <w:tcW w:w="1246" w:type="dxa"/>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2020年</w:t>
            </w:r>
          </w:p>
        </w:tc>
        <w:tc>
          <w:tcPr>
            <w:tcW w:w="1915" w:type="dxa"/>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2025年</w:t>
            </w:r>
          </w:p>
        </w:tc>
        <w:tc>
          <w:tcPr>
            <w:tcW w:w="1142" w:type="dxa"/>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restart"/>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空气</w:t>
            </w:r>
          </w:p>
          <w:p>
            <w:pPr>
              <w:topLinePunct/>
              <w:adjustRightInd w:val="0"/>
              <w:snapToGrid w:val="0"/>
              <w:spacing w:line="300" w:lineRule="exact"/>
              <w:jc w:val="center"/>
              <w:rPr>
                <w:rFonts w:eastAsia="仿宋_GB2312"/>
                <w:b/>
                <w:color w:val="auto"/>
                <w:szCs w:val="21"/>
              </w:rPr>
            </w:pPr>
            <w:r>
              <w:rPr>
                <w:rFonts w:eastAsia="仿宋_GB2312"/>
                <w:b/>
                <w:color w:val="auto"/>
                <w:szCs w:val="21"/>
              </w:rPr>
              <w:t>质量</w:t>
            </w: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城区</w:t>
            </w:r>
            <w:r>
              <w:rPr>
                <w:rFonts w:eastAsia="仿宋_GB2312"/>
                <w:color w:val="auto"/>
                <w:szCs w:val="21"/>
              </w:rPr>
              <w:t>空气质量优良天数</w:t>
            </w:r>
            <w:r>
              <w:rPr>
                <w:rFonts w:hint="eastAsia" w:eastAsia="仿宋_GB2312"/>
                <w:color w:val="auto"/>
                <w:szCs w:val="21"/>
              </w:rPr>
              <w:t>比率</w:t>
            </w:r>
            <w:r>
              <w:rPr>
                <w:rFonts w:eastAsia="仿宋_GB2312"/>
                <w:color w:val="auto"/>
                <w:szCs w:val="21"/>
              </w:rPr>
              <w:t>（%）</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97.8</w:t>
            </w:r>
          </w:p>
        </w:tc>
        <w:tc>
          <w:tcPr>
            <w:tcW w:w="1915"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w:t>
            </w:r>
            <w:r>
              <w:rPr>
                <w:rFonts w:hint="eastAsia" w:eastAsia="仿宋_GB2312"/>
                <w:color w:val="auto"/>
                <w:szCs w:val="21"/>
              </w:rPr>
              <w:t>9</w:t>
            </w:r>
            <w:r>
              <w:rPr>
                <w:rFonts w:eastAsia="仿宋_GB2312"/>
                <w:color w:val="auto"/>
                <w:szCs w:val="21"/>
              </w:rPr>
              <w:t>7</w:t>
            </w:r>
            <w:r>
              <w:rPr>
                <w:rFonts w:hint="eastAsia" w:eastAsia="仿宋_GB2312"/>
                <w:color w:val="auto"/>
                <w:szCs w:val="21"/>
              </w:rPr>
              <w:t>.0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城区</w:t>
            </w:r>
            <w:r>
              <w:rPr>
                <w:rFonts w:eastAsia="仿宋_GB2312"/>
                <w:color w:val="auto"/>
                <w:szCs w:val="21"/>
              </w:rPr>
              <w:t>细颗粒物（PM</w:t>
            </w:r>
            <w:r>
              <w:rPr>
                <w:rFonts w:eastAsia="仿宋_GB2312"/>
                <w:color w:val="auto"/>
                <w:szCs w:val="21"/>
                <w:vertAlign w:val="subscript"/>
              </w:rPr>
              <w:t>2.5</w:t>
            </w:r>
            <w:r>
              <w:rPr>
                <w:rFonts w:eastAsia="仿宋_GB2312"/>
                <w:color w:val="auto"/>
                <w:szCs w:val="21"/>
              </w:rPr>
              <w:t>）浓度( μg/m</w:t>
            </w:r>
            <w:r>
              <w:rPr>
                <w:rFonts w:eastAsia="仿宋_GB2312"/>
                <w:color w:val="auto"/>
                <w:szCs w:val="21"/>
                <w:vertAlign w:val="superscript"/>
              </w:rPr>
              <w:t>3</w:t>
            </w:r>
            <w:r>
              <w:rPr>
                <w:rFonts w:eastAsia="仿宋_GB2312"/>
                <w:color w:val="auto"/>
                <w:szCs w:val="21"/>
              </w:rPr>
              <w:t xml:space="preserve"> )</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17</w:t>
            </w:r>
          </w:p>
        </w:tc>
        <w:tc>
          <w:tcPr>
            <w:tcW w:w="1915"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≤18</w:t>
            </w:r>
          </w:p>
        </w:tc>
        <w:tc>
          <w:tcPr>
            <w:tcW w:w="1142" w:type="dxa"/>
            <w:vAlign w:val="center"/>
          </w:tcPr>
          <w:p>
            <w:pPr>
              <w:topLinePunct/>
              <w:autoSpaceDE w:val="0"/>
              <w:autoSpaceDN w:val="0"/>
              <w:adjustRightInd w:val="0"/>
              <w:spacing w:line="300" w:lineRule="exact"/>
              <w:jc w:val="center"/>
              <w:rPr>
                <w:rFonts w:eastAsia="仿宋_GB2312"/>
                <w:color w:val="auto"/>
                <w:szCs w:val="21"/>
              </w:rPr>
            </w:pPr>
            <w:r>
              <w:rPr>
                <w:rFonts w:eastAsia="仿宋_GB2312"/>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重污染天数比率（%）</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0</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0</w:t>
            </w:r>
          </w:p>
        </w:tc>
        <w:tc>
          <w:tcPr>
            <w:tcW w:w="1142" w:type="dxa"/>
            <w:vAlign w:val="center"/>
          </w:tcPr>
          <w:p>
            <w:pPr>
              <w:topLinePunct/>
              <w:autoSpaceDE w:val="0"/>
              <w:autoSpaceDN w:val="0"/>
              <w:adjustRightInd w:val="0"/>
              <w:spacing w:line="300" w:lineRule="exact"/>
              <w:jc w:val="center"/>
              <w:rPr>
                <w:rFonts w:eastAsia="仿宋_GB2312"/>
                <w:color w:val="auto"/>
                <w:kern w:val="0"/>
                <w:szCs w:val="21"/>
              </w:rPr>
            </w:pPr>
            <w:r>
              <w:rPr>
                <w:rFonts w:hint="eastAsia" w:eastAsia="仿宋_GB2312"/>
                <w:color w:val="auto"/>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restart"/>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水环境质量</w:t>
            </w: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国省考断面达到或好于</w:t>
            </w:r>
            <w:r>
              <w:rPr>
                <w:rFonts w:eastAsia="仿宋_GB2312"/>
                <w:color w:val="auto"/>
                <w:szCs w:val="21"/>
              </w:rPr>
              <w:t>Ⅲ类水体比例（%）</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100</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100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县级集中式饮用水水源水质量达标率（%）</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w:t>
            </w:r>
            <w:r>
              <w:rPr>
                <w:rFonts w:eastAsia="仿宋_GB2312"/>
                <w:color w:val="auto"/>
                <w:szCs w:val="21"/>
              </w:rPr>
              <w:t>00</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w:t>
            </w:r>
            <w:r>
              <w:rPr>
                <w:rFonts w:eastAsia="仿宋_GB2312"/>
                <w:color w:val="auto"/>
                <w:szCs w:val="21"/>
              </w:rPr>
              <w:t>00</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乡镇集中式饮用水水源水质量达标率（%）</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不降低</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地表水质量</w:t>
            </w:r>
            <w:r>
              <w:rPr>
                <w:rFonts w:eastAsia="仿宋_GB2312"/>
                <w:color w:val="auto"/>
                <w:szCs w:val="21"/>
              </w:rPr>
              <w:t>劣 V 类水体比例（%）</w:t>
            </w:r>
          </w:p>
        </w:tc>
        <w:tc>
          <w:tcPr>
            <w:tcW w:w="1246"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0</w:t>
            </w:r>
          </w:p>
        </w:tc>
        <w:tc>
          <w:tcPr>
            <w:tcW w:w="1915"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地下水质量</w:t>
            </w:r>
            <w:r>
              <w:rPr>
                <w:rFonts w:eastAsia="仿宋_GB2312"/>
                <w:color w:val="auto"/>
                <w:szCs w:val="21"/>
              </w:rPr>
              <w:t>劣 V 类水体比例（%）</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0</w:t>
            </w:r>
          </w:p>
        </w:tc>
        <w:tc>
          <w:tcPr>
            <w:tcW w:w="1915"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县级城市黑臭水体比例（%）</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基本消除</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行政村农村生活污水有效治理比例（%）</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≥8</w:t>
            </w:r>
            <w:r>
              <w:rPr>
                <w:rFonts w:eastAsia="仿宋_GB2312"/>
                <w:color w:val="auto"/>
                <w:szCs w:val="21"/>
              </w:rPr>
              <w:t>0</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restart"/>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土壤环境质量</w:t>
            </w:r>
            <w:r>
              <w:rPr>
                <w:rFonts w:hint="eastAsia" w:eastAsia="仿宋_GB2312"/>
                <w:b/>
                <w:color w:val="auto"/>
                <w:szCs w:val="21"/>
              </w:rPr>
              <w:t>与固体废弃物</w:t>
            </w: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一般工业固废利用处置率（%）</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完成广元市下达目标</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eastAsia="仿宋_GB2312"/>
                <w:color w:val="auto"/>
                <w:szCs w:val="21"/>
              </w:rPr>
              <w:t>受污染耕地安全利用率（%）</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w:t>
            </w:r>
            <w:r>
              <w:rPr>
                <w:rFonts w:eastAsia="仿宋_GB2312"/>
                <w:color w:val="auto"/>
                <w:szCs w:val="21"/>
              </w:rPr>
              <w:t>00</w:t>
            </w:r>
          </w:p>
        </w:tc>
        <w:tc>
          <w:tcPr>
            <w:tcW w:w="1915"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100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重点建设用地安全利用</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有效保障</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restart"/>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主要污染物</w:t>
            </w:r>
            <w:r>
              <w:rPr>
                <w:rFonts w:hint="eastAsia" w:eastAsia="仿宋_GB2312"/>
                <w:b/>
                <w:color w:val="auto"/>
                <w:szCs w:val="21"/>
              </w:rPr>
              <w:t>重点工程减排量</w:t>
            </w:r>
          </w:p>
        </w:tc>
        <w:tc>
          <w:tcPr>
            <w:tcW w:w="3570" w:type="dxa"/>
          </w:tcPr>
          <w:p>
            <w:pPr>
              <w:topLinePunct/>
              <w:adjustRightInd w:val="0"/>
              <w:snapToGrid w:val="0"/>
              <w:spacing w:line="300" w:lineRule="exact"/>
              <w:jc w:val="left"/>
              <w:rPr>
                <w:rFonts w:eastAsia="仿宋_GB2312"/>
                <w:color w:val="auto"/>
                <w:szCs w:val="21"/>
              </w:rPr>
            </w:pPr>
            <w:r>
              <w:rPr>
                <w:rFonts w:hint="eastAsia" w:eastAsia="仿宋_GB2312"/>
                <w:color w:val="auto"/>
                <w:szCs w:val="21"/>
              </w:rPr>
              <w:t>化学需氧量（吨）</w:t>
            </w:r>
          </w:p>
        </w:tc>
        <w:tc>
          <w:tcPr>
            <w:tcW w:w="1246" w:type="dxa"/>
            <w:vAlign w:val="center"/>
          </w:tcPr>
          <w:p>
            <w:pPr>
              <w:topLinePunct/>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7</w:t>
            </w:r>
            <w:r>
              <w:rPr>
                <w:rFonts w:eastAsia="仿宋_GB2312"/>
                <w:color w:val="auto"/>
                <w:szCs w:val="21"/>
              </w:rPr>
              <w:t>50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tcPr>
          <w:p>
            <w:pPr>
              <w:topLinePunct/>
              <w:adjustRightInd w:val="0"/>
              <w:snapToGrid w:val="0"/>
              <w:spacing w:line="300" w:lineRule="exact"/>
              <w:jc w:val="center"/>
              <w:rPr>
                <w:rFonts w:eastAsia="仿宋_GB2312"/>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氨氮（吨）</w:t>
            </w:r>
          </w:p>
        </w:tc>
        <w:tc>
          <w:tcPr>
            <w:tcW w:w="1246"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4</w:t>
            </w:r>
            <w:r>
              <w:rPr>
                <w:rFonts w:eastAsia="仿宋_GB2312"/>
                <w:color w:val="auto"/>
                <w:szCs w:val="21"/>
              </w:rPr>
              <w:t>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tcPr>
          <w:p>
            <w:pPr>
              <w:topLinePunct/>
              <w:snapToGrid w:val="0"/>
              <w:spacing w:line="300" w:lineRule="exact"/>
              <w:jc w:val="left"/>
              <w:rPr>
                <w:color w:val="auto"/>
                <w:kern w:val="0"/>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氮氧化物（吨）</w:t>
            </w:r>
          </w:p>
        </w:tc>
        <w:tc>
          <w:tcPr>
            <w:tcW w:w="1246"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5</w:t>
            </w:r>
            <w:r>
              <w:rPr>
                <w:rFonts w:eastAsia="仿宋_GB2312"/>
                <w:color w:val="auto"/>
                <w:szCs w:val="21"/>
              </w:rPr>
              <w:t>50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tcPr>
          <w:p>
            <w:pPr>
              <w:topLinePunct/>
              <w:snapToGrid w:val="0"/>
              <w:spacing w:line="300" w:lineRule="exact"/>
              <w:jc w:val="left"/>
              <w:rPr>
                <w:color w:val="auto"/>
                <w:kern w:val="0"/>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挥发性有机物（吨）</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3</w:t>
            </w:r>
            <w:r>
              <w:rPr>
                <w:rFonts w:eastAsia="仿宋_GB2312"/>
                <w:color w:val="auto"/>
                <w:szCs w:val="21"/>
              </w:rPr>
              <w:t>0</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restart"/>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生态保护质量</w:t>
            </w:r>
          </w:p>
        </w:tc>
        <w:tc>
          <w:tcPr>
            <w:tcW w:w="3570" w:type="dxa"/>
            <w:vAlign w:val="center"/>
          </w:tcPr>
          <w:p>
            <w:pPr>
              <w:topLinePunct/>
              <w:adjustRightInd w:val="0"/>
              <w:snapToGrid w:val="0"/>
              <w:spacing w:line="300" w:lineRule="exact"/>
              <w:rPr>
                <w:rFonts w:eastAsia="仿宋_GB2312"/>
                <w:color w:val="auto"/>
                <w:szCs w:val="21"/>
              </w:rPr>
            </w:pPr>
            <w:r>
              <w:rPr>
                <w:rFonts w:eastAsia="仿宋_GB2312"/>
                <w:color w:val="auto"/>
                <w:szCs w:val="21"/>
              </w:rPr>
              <w:t>森林覆盖率（%）</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65.9</w:t>
            </w:r>
          </w:p>
        </w:tc>
        <w:tc>
          <w:tcPr>
            <w:tcW w:w="1915" w:type="dxa"/>
            <w:vAlign w:val="center"/>
          </w:tcPr>
          <w:p>
            <w:pPr>
              <w:topLinePunct/>
              <w:adjustRightInd w:val="0"/>
              <w:snapToGrid w:val="0"/>
              <w:spacing w:line="300" w:lineRule="exact"/>
              <w:jc w:val="center"/>
              <w:rPr>
                <w:rFonts w:hint="default" w:eastAsia="仿宋_GB2312"/>
                <w:color w:val="auto"/>
                <w:szCs w:val="21"/>
                <w:lang w:val="en-US" w:eastAsia="zh-CN"/>
              </w:rPr>
            </w:pPr>
            <w:r>
              <w:rPr>
                <w:rFonts w:hint="eastAsia" w:eastAsia="仿宋_GB2312"/>
                <w:color w:val="auto"/>
                <w:szCs w:val="21"/>
                <w:lang w:eastAsia="zh-CN"/>
              </w:rPr>
              <w:t>6</w:t>
            </w:r>
            <w:r>
              <w:rPr>
                <w:rFonts w:hint="eastAsia" w:eastAsia="仿宋_GB2312"/>
                <w:color w:val="auto"/>
                <w:szCs w:val="21"/>
                <w:lang w:val="en-US" w:eastAsia="zh-CN"/>
              </w:rPr>
              <w:t>6.03</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生态质量指数（E</w:t>
            </w:r>
            <w:r>
              <w:rPr>
                <w:rFonts w:eastAsia="仿宋_GB2312"/>
                <w:color w:val="auto"/>
                <w:szCs w:val="21"/>
              </w:rPr>
              <w:t>QI</w:t>
            </w:r>
            <w:r>
              <w:rPr>
                <w:rFonts w:hint="eastAsia" w:eastAsia="仿宋_GB2312"/>
                <w:color w:val="auto"/>
                <w:szCs w:val="21"/>
              </w:rPr>
              <w:t>）</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稳中向好</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eastAsia="仿宋_GB2312"/>
                <w:color w:val="auto"/>
                <w:szCs w:val="21"/>
              </w:rPr>
              <w:t>生态保护红线面积</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面积不减少、功能不降低、性质不改变</w:t>
            </w:r>
          </w:p>
        </w:tc>
        <w:tc>
          <w:tcPr>
            <w:tcW w:w="1142" w:type="dxa"/>
            <w:vAlign w:val="center"/>
          </w:tcPr>
          <w:p>
            <w:pPr>
              <w:topLinePunct/>
              <w:adjustRightInd w:val="0"/>
              <w:snapToGrid w:val="0"/>
              <w:spacing w:line="300" w:lineRule="exact"/>
              <w:jc w:val="center"/>
              <w:rPr>
                <w:rFonts w:eastAsia="仿宋_GB2312"/>
                <w:color w:val="auto"/>
                <w:szCs w:val="21"/>
              </w:rPr>
            </w:pPr>
            <w:r>
              <w:rPr>
                <w:rFonts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restart"/>
            <w:vAlign w:val="center"/>
          </w:tcPr>
          <w:p>
            <w:pPr>
              <w:topLinePunct/>
              <w:adjustRightInd w:val="0"/>
              <w:snapToGrid w:val="0"/>
              <w:spacing w:line="300" w:lineRule="exact"/>
              <w:jc w:val="center"/>
              <w:rPr>
                <w:rFonts w:eastAsia="仿宋_GB2312"/>
                <w:b/>
                <w:color w:val="auto"/>
                <w:szCs w:val="21"/>
              </w:rPr>
            </w:pPr>
            <w:r>
              <w:rPr>
                <w:rFonts w:eastAsia="仿宋_GB2312"/>
                <w:b/>
                <w:color w:val="auto"/>
                <w:szCs w:val="21"/>
              </w:rPr>
              <w:t>高质量发展</w:t>
            </w: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单位地区</w:t>
            </w:r>
            <w:r>
              <w:rPr>
                <w:rFonts w:eastAsia="仿宋_GB2312"/>
                <w:color w:val="auto"/>
                <w:szCs w:val="21"/>
              </w:rPr>
              <w:t>生产总值</w:t>
            </w:r>
            <w:r>
              <w:rPr>
                <w:rFonts w:hint="eastAsia" w:eastAsia="仿宋_GB2312"/>
                <w:color w:val="auto"/>
                <w:szCs w:val="21"/>
              </w:rPr>
              <w:t>能源消耗降低（%）</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完成广元市下达目标</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非化石能源占能源消费总量比重（%）</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6</w:t>
            </w:r>
            <w:r>
              <w:rPr>
                <w:rFonts w:eastAsia="仿宋_GB2312"/>
                <w:color w:val="auto"/>
                <w:szCs w:val="21"/>
              </w:rPr>
              <w:t>0</w:t>
            </w:r>
            <w:r>
              <w:rPr>
                <w:rFonts w:hint="eastAsia" w:eastAsia="仿宋_GB2312"/>
                <w:color w:val="auto"/>
                <w:szCs w:val="21"/>
              </w:rPr>
              <w:t>左右</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单位地区</w:t>
            </w:r>
            <w:r>
              <w:rPr>
                <w:rFonts w:eastAsia="仿宋_GB2312"/>
                <w:color w:val="auto"/>
                <w:szCs w:val="21"/>
              </w:rPr>
              <w:t>生产总值</w:t>
            </w:r>
            <w:r>
              <w:rPr>
                <w:rFonts w:hint="eastAsia" w:eastAsia="仿宋_GB2312"/>
                <w:color w:val="auto"/>
                <w:szCs w:val="21"/>
              </w:rPr>
              <w:t>二氧化碳排放降低（%）</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完成广元市下达目标</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restart"/>
            <w:vAlign w:val="center"/>
          </w:tcPr>
          <w:p>
            <w:pPr>
              <w:topLinePunct/>
              <w:adjustRightInd w:val="0"/>
              <w:snapToGrid w:val="0"/>
              <w:spacing w:line="300" w:lineRule="exact"/>
              <w:jc w:val="center"/>
              <w:rPr>
                <w:rFonts w:eastAsia="仿宋_GB2312"/>
                <w:b/>
                <w:color w:val="auto"/>
                <w:szCs w:val="21"/>
              </w:rPr>
            </w:pPr>
            <w:r>
              <w:rPr>
                <w:rFonts w:hint="eastAsia" w:eastAsia="仿宋_GB2312"/>
                <w:b/>
                <w:color w:val="auto"/>
                <w:szCs w:val="21"/>
              </w:rPr>
              <w:t>高品质宜居地建设</w:t>
            </w:r>
          </w:p>
        </w:tc>
        <w:tc>
          <w:tcPr>
            <w:tcW w:w="3570" w:type="dxa"/>
            <w:vAlign w:val="center"/>
          </w:tcPr>
          <w:p>
            <w:pPr>
              <w:topLinePunct/>
              <w:adjustRightInd w:val="0"/>
              <w:snapToGrid w:val="0"/>
              <w:spacing w:line="300" w:lineRule="exact"/>
              <w:rPr>
                <w:rFonts w:eastAsia="仿宋_GB2312"/>
                <w:color w:val="auto"/>
                <w:szCs w:val="21"/>
              </w:rPr>
            </w:pPr>
            <w:r>
              <w:rPr>
                <w:rFonts w:eastAsia="仿宋_GB2312"/>
                <w:color w:val="auto"/>
                <w:szCs w:val="21"/>
              </w:rPr>
              <w:t>建成区绿</w:t>
            </w:r>
            <w:r>
              <w:rPr>
                <w:rFonts w:hint="eastAsia" w:eastAsia="仿宋_GB2312"/>
                <w:color w:val="auto"/>
                <w:szCs w:val="21"/>
              </w:rPr>
              <w:t>地</w:t>
            </w:r>
            <w:r>
              <w:rPr>
                <w:rFonts w:eastAsia="仿宋_GB2312"/>
                <w:color w:val="auto"/>
                <w:szCs w:val="21"/>
              </w:rPr>
              <w:t>率（</w:t>
            </w:r>
            <w:r>
              <w:rPr>
                <w:rFonts w:hint="eastAsia" w:eastAsia="仿宋_GB2312"/>
                <w:color w:val="auto"/>
                <w:szCs w:val="21"/>
              </w:rPr>
              <w:t xml:space="preserve"> </w:t>
            </w:r>
            <w:r>
              <w:rPr>
                <w:rFonts w:eastAsia="仿宋_GB2312"/>
                <w:color w:val="auto"/>
                <w:szCs w:val="21"/>
              </w:rPr>
              <w:t>%</w:t>
            </w:r>
            <w:r>
              <w:rPr>
                <w:rFonts w:hint="eastAsia" w:eastAsia="仿宋_GB2312"/>
                <w:color w:val="auto"/>
                <w:szCs w:val="21"/>
              </w:rPr>
              <w:t xml:space="preserve"> </w:t>
            </w:r>
            <w:r>
              <w:rPr>
                <w:rFonts w:eastAsia="仿宋_GB2312"/>
                <w:color w:val="auto"/>
                <w:szCs w:val="21"/>
              </w:rPr>
              <w:t>）</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完成广元市下达目标</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eastAsia="仿宋_GB2312"/>
                <w:color w:val="auto"/>
                <w:szCs w:val="21"/>
              </w:rPr>
              <w:t>人均</w:t>
            </w:r>
            <w:r>
              <w:rPr>
                <w:rFonts w:hint="eastAsia" w:eastAsia="仿宋_GB2312"/>
                <w:color w:val="auto"/>
                <w:szCs w:val="21"/>
              </w:rPr>
              <w:t>公园</w:t>
            </w:r>
            <w:r>
              <w:rPr>
                <w:rFonts w:eastAsia="仿宋_GB2312"/>
                <w:color w:val="auto"/>
                <w:szCs w:val="21"/>
              </w:rPr>
              <w:t>绿地面积</w:t>
            </w:r>
            <w:r>
              <w:rPr>
                <w:rFonts w:hint="eastAsia" w:eastAsia="仿宋_GB2312"/>
                <w:color w:val="auto"/>
                <w:szCs w:val="21"/>
              </w:rPr>
              <w:t>（平方米）</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完成广元市下达目标</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eastAsia="仿宋_GB2312"/>
                <w:color w:val="auto"/>
                <w:szCs w:val="21"/>
              </w:rPr>
              <w:t>城市绿道建设</w:t>
            </w:r>
            <w:r>
              <w:rPr>
                <w:rFonts w:hint="eastAsia" w:eastAsia="仿宋_GB2312"/>
                <w:color w:val="auto"/>
                <w:szCs w:val="21"/>
              </w:rPr>
              <w:t>（公里）</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完成广元市下达目标</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县级城市</w:t>
            </w:r>
            <w:r>
              <w:rPr>
                <w:rFonts w:eastAsia="仿宋_GB2312"/>
                <w:color w:val="auto"/>
                <w:szCs w:val="21"/>
              </w:rPr>
              <w:t>生活污水处理率（%）</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w:t>
            </w:r>
            <w:r>
              <w:rPr>
                <w:rFonts w:eastAsia="仿宋_GB2312"/>
                <w:color w:val="auto"/>
                <w:szCs w:val="21"/>
              </w:rPr>
              <w:t>00</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城镇</w:t>
            </w:r>
            <w:r>
              <w:rPr>
                <w:rFonts w:eastAsia="仿宋_GB2312"/>
                <w:color w:val="auto"/>
                <w:szCs w:val="21"/>
              </w:rPr>
              <w:t>生活垃圾</w:t>
            </w:r>
            <w:r>
              <w:rPr>
                <w:rFonts w:hint="eastAsia" w:eastAsia="仿宋_GB2312"/>
                <w:color w:val="auto"/>
                <w:szCs w:val="21"/>
              </w:rPr>
              <w:t>无害化</w:t>
            </w:r>
            <w:r>
              <w:rPr>
                <w:rFonts w:eastAsia="仿宋_GB2312"/>
                <w:color w:val="auto"/>
                <w:szCs w:val="21"/>
              </w:rPr>
              <w:t>处理率（%）</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100</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bookmarkStart w:id="38" w:name="_Hlk82074851"/>
            <w:r>
              <w:rPr>
                <w:rFonts w:hint="eastAsia" w:eastAsia="仿宋_GB2312"/>
                <w:color w:val="auto"/>
                <w:szCs w:val="21"/>
              </w:rPr>
              <w:t>农村卫生厕所普及率</w:t>
            </w:r>
            <w:bookmarkEnd w:id="38"/>
            <w:r>
              <w:rPr>
                <w:rFonts w:eastAsia="仿宋_GB2312"/>
                <w:color w:val="auto"/>
                <w:szCs w:val="21"/>
              </w:rPr>
              <w:t>（%）</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9</w:t>
            </w:r>
            <w:r>
              <w:rPr>
                <w:rFonts w:eastAsia="仿宋_GB2312"/>
                <w:color w:val="auto"/>
                <w:szCs w:val="21"/>
              </w:rPr>
              <w:t>5</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bookmarkStart w:id="39" w:name="_Hlk82074883"/>
            <w:r>
              <w:rPr>
                <w:rFonts w:hint="eastAsia" w:eastAsia="仿宋_GB2312"/>
                <w:color w:val="auto"/>
                <w:szCs w:val="21"/>
              </w:rPr>
              <w:t>畜禽粪污综合利用率</w:t>
            </w:r>
            <w:bookmarkEnd w:id="39"/>
            <w:r>
              <w:rPr>
                <w:rFonts w:eastAsia="仿宋_GB2312"/>
                <w:color w:val="auto"/>
                <w:szCs w:val="21"/>
              </w:rPr>
              <w:t>（%）</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＞9</w:t>
            </w:r>
            <w:r>
              <w:rPr>
                <w:rFonts w:eastAsia="仿宋_GB2312"/>
                <w:color w:val="auto"/>
                <w:szCs w:val="21"/>
              </w:rPr>
              <w:t>0</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jc w:val="center"/>
              <w:rPr>
                <w:rFonts w:eastAsia="仿宋_GB2312"/>
                <w:b/>
                <w:color w:val="auto"/>
                <w:szCs w:val="21"/>
              </w:rPr>
            </w:pPr>
          </w:p>
        </w:tc>
        <w:tc>
          <w:tcPr>
            <w:tcW w:w="3570" w:type="dxa"/>
            <w:vAlign w:val="center"/>
          </w:tcPr>
          <w:p>
            <w:pPr>
              <w:topLinePunct/>
              <w:adjustRightInd w:val="0"/>
              <w:snapToGrid w:val="0"/>
              <w:spacing w:line="300" w:lineRule="exact"/>
              <w:rPr>
                <w:rFonts w:eastAsia="仿宋_GB2312"/>
                <w:color w:val="auto"/>
                <w:szCs w:val="21"/>
              </w:rPr>
            </w:pPr>
            <w:r>
              <w:rPr>
                <w:rFonts w:hint="eastAsia" w:eastAsia="仿宋_GB2312"/>
                <w:color w:val="auto"/>
                <w:szCs w:val="21"/>
              </w:rPr>
              <w:t>秸秆综合利用率</w:t>
            </w:r>
            <w:r>
              <w:rPr>
                <w:rFonts w:eastAsia="仿宋_GB2312"/>
                <w:color w:val="auto"/>
                <w:szCs w:val="21"/>
              </w:rPr>
              <w:t>（%）</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≥92</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restart"/>
            <w:vAlign w:val="center"/>
          </w:tcPr>
          <w:p>
            <w:pPr>
              <w:topLinePunct/>
              <w:adjustRightInd w:val="0"/>
              <w:snapToGrid w:val="0"/>
              <w:spacing w:line="300" w:lineRule="exact"/>
              <w:jc w:val="center"/>
              <w:rPr>
                <w:rFonts w:eastAsia="仿宋_GB2312"/>
                <w:color w:val="auto"/>
                <w:szCs w:val="21"/>
              </w:rPr>
            </w:pPr>
            <w:r>
              <w:rPr>
                <w:rFonts w:hint="eastAsia" w:eastAsia="仿宋_GB2312"/>
                <w:b/>
                <w:color w:val="auto"/>
                <w:szCs w:val="21"/>
              </w:rPr>
              <w:t>环境风险</w:t>
            </w:r>
          </w:p>
        </w:tc>
        <w:tc>
          <w:tcPr>
            <w:tcW w:w="3570" w:type="dxa"/>
            <w:vAlign w:val="center"/>
          </w:tcPr>
          <w:p>
            <w:pPr>
              <w:topLinePunct/>
              <w:adjustRightInd w:val="0"/>
              <w:snapToGrid w:val="0"/>
              <w:spacing w:line="300" w:lineRule="exact"/>
              <w:rPr>
                <w:rFonts w:eastAsia="仿宋_GB2312"/>
                <w:color w:val="auto"/>
                <w:szCs w:val="21"/>
              </w:rPr>
            </w:pPr>
            <w:bookmarkStart w:id="40" w:name="_Hlk82075421"/>
            <w:r>
              <w:rPr>
                <w:rFonts w:eastAsia="仿宋_GB2312"/>
                <w:color w:val="auto"/>
                <w:szCs w:val="21"/>
              </w:rPr>
              <w:t>辖区内五年期突发环境事件</w:t>
            </w:r>
            <w:bookmarkEnd w:id="40"/>
            <w:r>
              <w:rPr>
                <w:rFonts w:eastAsia="仿宋_GB2312"/>
                <w:color w:val="auto"/>
                <w:szCs w:val="21"/>
              </w:rPr>
              <w:t>下降（%）</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不增长</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rPr>
                <w:rFonts w:eastAsia="仿宋_GB2312"/>
                <w:color w:val="auto"/>
                <w:szCs w:val="21"/>
              </w:rPr>
            </w:pPr>
          </w:p>
        </w:tc>
        <w:tc>
          <w:tcPr>
            <w:tcW w:w="3570" w:type="dxa"/>
            <w:vAlign w:val="center"/>
          </w:tcPr>
          <w:p>
            <w:pPr>
              <w:topLinePunct/>
              <w:adjustRightInd w:val="0"/>
              <w:snapToGrid w:val="0"/>
              <w:spacing w:line="300" w:lineRule="exact"/>
              <w:rPr>
                <w:rFonts w:eastAsia="仿宋_GB2312"/>
                <w:color w:val="auto"/>
                <w:szCs w:val="21"/>
              </w:rPr>
            </w:pPr>
            <w:bookmarkStart w:id="41" w:name="_Hlk82075437"/>
            <w:r>
              <w:rPr>
                <w:rFonts w:eastAsia="仿宋_GB2312"/>
                <w:color w:val="auto"/>
                <w:szCs w:val="21"/>
              </w:rPr>
              <w:t>五年内放射源辐射事故年发生率</w:t>
            </w:r>
            <w:bookmarkEnd w:id="41"/>
            <w:r>
              <w:rPr>
                <w:rFonts w:hint="eastAsia" w:eastAsia="仿宋_GB2312"/>
                <w:color w:val="auto"/>
                <w:szCs w:val="21"/>
              </w:rPr>
              <w:t>（%）</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零增长</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1" w:type="dxa"/>
            <w:vMerge w:val="continue"/>
            <w:vAlign w:val="center"/>
          </w:tcPr>
          <w:p>
            <w:pPr>
              <w:topLinePunct/>
              <w:adjustRightInd w:val="0"/>
              <w:snapToGrid w:val="0"/>
              <w:spacing w:line="300" w:lineRule="exact"/>
              <w:rPr>
                <w:rFonts w:eastAsia="仿宋_GB2312"/>
                <w:color w:val="auto"/>
                <w:szCs w:val="21"/>
              </w:rPr>
            </w:pPr>
          </w:p>
        </w:tc>
        <w:tc>
          <w:tcPr>
            <w:tcW w:w="3570" w:type="dxa"/>
            <w:vAlign w:val="center"/>
          </w:tcPr>
          <w:p>
            <w:pPr>
              <w:topLinePunct/>
              <w:adjustRightInd w:val="0"/>
              <w:snapToGrid w:val="0"/>
              <w:spacing w:line="300" w:lineRule="exact"/>
              <w:rPr>
                <w:rFonts w:eastAsia="仿宋_GB2312"/>
                <w:color w:val="auto"/>
                <w:szCs w:val="21"/>
              </w:rPr>
            </w:pPr>
            <w:bookmarkStart w:id="42" w:name="_Hlk82075451"/>
            <w:r>
              <w:rPr>
                <w:rFonts w:eastAsia="仿宋_GB2312"/>
                <w:color w:val="auto"/>
                <w:szCs w:val="21"/>
              </w:rPr>
              <w:t>废旧（退役）放射源安全收贮率</w:t>
            </w:r>
            <w:bookmarkEnd w:id="42"/>
            <w:r>
              <w:rPr>
                <w:rFonts w:eastAsia="仿宋_GB2312"/>
                <w:color w:val="auto"/>
                <w:szCs w:val="21"/>
              </w:rPr>
              <w:t>（%）</w:t>
            </w:r>
          </w:p>
        </w:tc>
        <w:tc>
          <w:tcPr>
            <w:tcW w:w="1246"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w:t>
            </w:r>
          </w:p>
        </w:tc>
        <w:tc>
          <w:tcPr>
            <w:tcW w:w="1915"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100</w:t>
            </w:r>
          </w:p>
        </w:tc>
        <w:tc>
          <w:tcPr>
            <w:tcW w:w="1142" w:type="dxa"/>
            <w:vAlign w:val="center"/>
          </w:tcPr>
          <w:p>
            <w:pPr>
              <w:topLinePunct/>
              <w:adjustRightInd w:val="0"/>
              <w:snapToGrid w:val="0"/>
              <w:spacing w:line="300" w:lineRule="exact"/>
              <w:jc w:val="center"/>
              <w:rPr>
                <w:rFonts w:eastAsia="仿宋_GB2312"/>
                <w:color w:val="auto"/>
                <w:szCs w:val="21"/>
              </w:rPr>
            </w:pPr>
            <w:r>
              <w:rPr>
                <w:rFonts w:hint="eastAsia" w:eastAsia="仿宋_GB2312"/>
                <w:color w:val="auto"/>
                <w:szCs w:val="21"/>
              </w:rPr>
              <w:t>预期性</w:t>
            </w:r>
          </w:p>
        </w:tc>
      </w:tr>
    </w:tbl>
    <w:p>
      <w:pPr>
        <w:spacing w:line="600" w:lineRule="exact"/>
        <w:outlineLvl w:val="0"/>
        <w:rPr>
          <w:rFonts w:ascii="仿宋_GB2312" w:hAnsi="仿宋_GB2312" w:eastAsia="仿宋_GB2312" w:cs="仿宋_GB2312"/>
          <w:b/>
          <w:bCs/>
          <w:color w:val="auto"/>
          <w:sz w:val="32"/>
          <w:szCs w:val="32"/>
        </w:rPr>
      </w:pPr>
      <w:bookmarkStart w:id="43" w:name="_Toc92470650"/>
      <w:bookmarkStart w:id="44" w:name="_Toc30065"/>
      <w:bookmarkStart w:id="45" w:name="_Toc31647"/>
      <w:bookmarkStart w:id="46" w:name="_Toc9142"/>
      <w:r>
        <w:rPr>
          <w:rFonts w:hint="eastAsia" w:ascii="仿宋_GB2312" w:hAnsi="仿宋_GB2312" w:eastAsia="仿宋_GB2312" w:cs="仿宋_GB2312"/>
          <w:b/>
          <w:bCs/>
          <w:color w:val="auto"/>
          <w:sz w:val="32"/>
          <w:szCs w:val="32"/>
        </w:rPr>
        <w:t>三、规划任务</w:t>
      </w:r>
      <w:bookmarkEnd w:id="43"/>
      <w:bookmarkEnd w:id="44"/>
      <w:bookmarkEnd w:id="45"/>
      <w:bookmarkEnd w:id="46"/>
    </w:p>
    <w:p>
      <w:pPr>
        <w:spacing w:line="600" w:lineRule="exact"/>
        <w:outlineLvl w:val="1"/>
        <w:rPr>
          <w:color w:val="auto"/>
        </w:rPr>
      </w:pPr>
      <w:bookmarkStart w:id="47" w:name="_Toc92470651"/>
      <w:bookmarkStart w:id="48" w:name="_Toc3493"/>
      <w:bookmarkStart w:id="49" w:name="_Toc9072"/>
      <w:r>
        <w:rPr>
          <w:rFonts w:hint="eastAsia" w:ascii="仿宋_GB2312" w:hAnsi="仿宋_GB2312" w:eastAsia="仿宋_GB2312" w:cs="仿宋_GB2312"/>
          <w:b/>
          <w:bCs/>
          <w:color w:val="auto"/>
          <w:sz w:val="32"/>
          <w:szCs w:val="32"/>
        </w:rPr>
        <w:t>（一）大力实施“绿色牵动”发展</w:t>
      </w:r>
      <w:bookmarkEnd w:id="47"/>
      <w:bookmarkEnd w:id="48"/>
      <w:bookmarkEnd w:id="49"/>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eastAsia="仿宋_GB2312" w:cs="仿宋_GB2312"/>
          <w:color w:val="auto"/>
          <w:sz w:val="28"/>
          <w:szCs w:val="28"/>
          <w:lang w:val="zh-CN"/>
        </w:rPr>
        <w:t>坚持“保护空间严格管控、发展空间高效利用”的原则，持续优化总体空间格局、产业发展格局、资源节约格局、绿色交通格局，充分发挥生态环境保护的引导、优化和促进作用，推动形成绿色</w:t>
      </w:r>
      <w:r>
        <w:rPr>
          <w:rFonts w:hint="eastAsia" w:eastAsia="仿宋_GB2312" w:cs="仿宋_GB2312"/>
          <w:color w:val="auto"/>
          <w:sz w:val="28"/>
          <w:szCs w:val="28"/>
          <w:lang w:val="zh-CN"/>
        </w:rPr>
        <w:t>低碳</w:t>
      </w:r>
      <w:r>
        <w:rPr>
          <w:rFonts w:eastAsia="仿宋_GB2312" w:cs="仿宋_GB2312"/>
          <w:color w:val="auto"/>
          <w:sz w:val="28"/>
          <w:szCs w:val="28"/>
          <w:lang w:val="zh-CN"/>
        </w:rPr>
        <w:t>生产生活方式，以生态环境高水平保护推动经济高质量发展。</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1</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统筹优化空间发展格局</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eastAsia="仿宋_GB2312" w:cs="仿宋_GB2312"/>
          <w:b/>
          <w:bCs/>
          <w:color w:val="auto"/>
          <w:sz w:val="28"/>
          <w:szCs w:val="28"/>
          <w:lang w:val="zh-CN"/>
        </w:rPr>
        <w:t>强化环境</w:t>
      </w:r>
      <w:r>
        <w:rPr>
          <w:rFonts w:hint="eastAsia" w:eastAsia="仿宋_GB2312" w:cs="仿宋_GB2312"/>
          <w:b/>
          <w:bCs/>
          <w:color w:val="auto"/>
          <w:sz w:val="28"/>
          <w:szCs w:val="28"/>
          <w:lang w:val="zh-CN"/>
        </w:rPr>
        <w:t>分区管控</w:t>
      </w:r>
      <w:r>
        <w:rPr>
          <w:rFonts w:eastAsia="仿宋_GB2312" w:cs="仿宋_GB2312"/>
          <w:b/>
          <w:bCs/>
          <w:color w:val="auto"/>
          <w:sz w:val="28"/>
          <w:szCs w:val="28"/>
          <w:lang w:val="zh-CN"/>
        </w:rPr>
        <w:t>。</w:t>
      </w:r>
      <w:r>
        <w:rPr>
          <w:rFonts w:hint="eastAsia" w:eastAsia="仿宋_GB2312" w:cs="仿宋_GB2312"/>
          <w:color w:val="auto"/>
          <w:sz w:val="28"/>
          <w:szCs w:val="28"/>
          <w:lang w:val="zh-CN"/>
        </w:rPr>
        <w:t>严格落实广元市</w:t>
      </w:r>
      <w:r>
        <w:rPr>
          <w:rFonts w:eastAsia="仿宋_GB2312" w:cs="仿宋_GB2312"/>
          <w:color w:val="auto"/>
          <w:sz w:val="28"/>
          <w:szCs w:val="28"/>
          <w:lang w:val="zh-CN"/>
        </w:rPr>
        <w:t>“三线一单”成果应用</w:t>
      </w:r>
      <w:r>
        <w:rPr>
          <w:rFonts w:hint="eastAsia" w:eastAsia="仿宋_GB2312" w:cs="仿宋_GB2312"/>
          <w:color w:val="auto"/>
          <w:sz w:val="28"/>
          <w:szCs w:val="28"/>
          <w:lang w:val="zh-CN"/>
        </w:rPr>
        <w:t>要求</w:t>
      </w:r>
      <w:r>
        <w:rPr>
          <w:rFonts w:eastAsia="仿宋_GB2312" w:cs="仿宋_GB2312"/>
          <w:color w:val="auto"/>
          <w:sz w:val="28"/>
          <w:szCs w:val="28"/>
          <w:lang w:val="zh-CN"/>
        </w:rPr>
        <w:t>，</w:t>
      </w:r>
      <w:r>
        <w:rPr>
          <w:rFonts w:hint="eastAsia" w:eastAsia="仿宋_GB2312" w:cs="仿宋_GB2312"/>
          <w:color w:val="auto"/>
          <w:sz w:val="28"/>
          <w:szCs w:val="28"/>
          <w:lang w:val="zh-CN"/>
        </w:rPr>
        <w:t>严格管控2个优先保护单元、4个重点管控单元和1个一般管控单元。优先保护单元以生态环境保护优先为原则，严格执行相关法律法规要求，严守生态环境质量底线，确保生态环境功能不降低，重点加强四川水磨沟省级自然保护区、剑门蜀道国家级风景名胜区、四川省曾家山鸳鸯池森林公园、朝天区潜溪河龙洞背饮用水水源地、四川嘉陵江源湿地市级自然保护区、四川朝天省级地质公园、朝天区安乐河饮用水水源地等的生态保护和修复。重点管控单元制定差别化的生态环境准入要求，重点加强四川省广元朝天经济开发区、仇坝工业园区污染治理。一般管控单元执行区域生态环境保护的基本要求，重点加强农业、生活等领域污染治理。到</w:t>
      </w:r>
      <w:r>
        <w:rPr>
          <w:rFonts w:eastAsia="仿宋_GB2312" w:cs="仿宋_GB2312"/>
          <w:color w:val="auto"/>
          <w:sz w:val="28"/>
          <w:szCs w:val="28"/>
          <w:lang w:val="zh-CN"/>
        </w:rPr>
        <w:t>2025年，建立较为完善的生态环境分区管控体系和数据应用</w:t>
      </w:r>
      <w:r>
        <w:rPr>
          <w:rFonts w:hint="eastAsia" w:eastAsia="仿宋_GB2312" w:cs="仿宋_GB2312"/>
          <w:color w:val="auto"/>
          <w:sz w:val="28"/>
          <w:szCs w:val="28"/>
          <w:lang w:val="zh-CN"/>
        </w:rPr>
        <w:t>场景</w:t>
      </w:r>
      <w:r>
        <w:rPr>
          <w:rFonts w:eastAsia="仿宋_GB2312" w:cs="仿宋_GB2312"/>
          <w:color w:val="auto"/>
          <w:sz w:val="28"/>
          <w:szCs w:val="28"/>
          <w:lang w:val="zh-CN"/>
        </w:rPr>
        <w:t>。</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优化国土空间绿色开发。</w:t>
      </w:r>
      <w:r>
        <w:rPr>
          <w:rFonts w:hint="eastAsia" w:eastAsia="仿宋_GB2312" w:cs="仿宋_GB2312"/>
          <w:color w:val="auto"/>
          <w:sz w:val="28"/>
          <w:szCs w:val="28"/>
          <w:lang w:val="zh-CN"/>
        </w:rPr>
        <w:t>严格划定实施生态保护红线、永久基本农田和城镇开发边界，统筹优化布局生产、生活、生态空间，以水磨沟、鸳鸯池、嘉陵江源三大自然保护地位为主体，构建嘉陵江流域生态走廊和秦巴山区重大生态屏障。深化拓展“一心三副、四区协同”发展布局，坚持主城区核心引领，支持中子镇、羊木镇、曾家镇县域经济副中心建设，优化布局朝天产城融合发展片区、中子工贸旅融合片区、曾家山旅游度假片区、羊木坝贸工农融合发展片区，推动区域特色化、绿色化、低碳化发展。</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2</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持续优化调整产业结构</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eastAsia="仿宋_GB2312" w:cs="仿宋_GB2312"/>
          <w:b/>
          <w:bCs/>
          <w:color w:val="auto"/>
          <w:sz w:val="28"/>
          <w:szCs w:val="28"/>
          <w:lang w:val="zh-CN"/>
        </w:rPr>
        <w:t>加快淘汰落后产业。</w:t>
      </w:r>
      <w:r>
        <w:rPr>
          <w:rFonts w:hint="eastAsia" w:eastAsia="仿宋_GB2312" w:cs="仿宋_GB2312"/>
          <w:color w:val="auto"/>
          <w:sz w:val="28"/>
          <w:szCs w:val="28"/>
          <w:lang w:val="zh-CN"/>
        </w:rPr>
        <w:t>严格落实《产业结构调整指导目录》要求，制定淘汰落后产能年度工作计划，严格执行质量、环保、能耗、安全等法规标准，以水泥、冶炼、砖瓦等为重点行业</w:t>
      </w:r>
      <w:r>
        <w:rPr>
          <w:rFonts w:eastAsia="仿宋_GB2312" w:cs="仿宋_GB2312"/>
          <w:color w:val="auto"/>
          <w:sz w:val="28"/>
          <w:szCs w:val="28"/>
          <w:lang w:val="zh-CN"/>
        </w:rPr>
        <w:t>，排查达不到能耗标准和不符合产业政策的落后产能及其工艺技术装备，“发现一起、淘汰一起”</w:t>
      </w:r>
      <w:r>
        <w:rPr>
          <w:rFonts w:hint="eastAsia" w:eastAsia="仿宋_GB2312" w:cs="仿宋_GB2312"/>
          <w:color w:val="auto"/>
          <w:sz w:val="28"/>
          <w:szCs w:val="28"/>
          <w:lang w:val="zh-CN"/>
        </w:rPr>
        <w:t>，推动重污染企业搬迁入园或依法关闭。以城市建成区及周边、重点园区附近为重点，持续开展“散乱污”企业清理整治，实现动态“清零”。</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推进工业绿色化改造</w:t>
      </w:r>
      <w:r>
        <w:rPr>
          <w:rFonts w:eastAsia="仿宋_GB2312" w:cs="仿宋_GB2312"/>
          <w:b/>
          <w:bCs/>
          <w:color w:val="auto"/>
          <w:sz w:val="28"/>
          <w:szCs w:val="28"/>
          <w:lang w:val="zh-CN"/>
        </w:rPr>
        <w:t>。</w:t>
      </w:r>
      <w:r>
        <w:rPr>
          <w:rFonts w:hint="eastAsia" w:eastAsia="仿宋_GB2312" w:cs="仿宋_GB2312"/>
          <w:color w:val="auto"/>
          <w:sz w:val="28"/>
          <w:szCs w:val="28"/>
          <w:lang w:val="zh-CN"/>
        </w:rPr>
        <w:t>以塑品制造、清洁能源、生物医药、有色金属、新基建配套制造等产业为重点，编制实施“一厂一策”，加快推进企业绿色化改造，加大绿色原辅材料推广力度，禁止建设生产和使用高</w:t>
      </w:r>
      <w:r>
        <w:rPr>
          <w:rFonts w:eastAsia="仿宋_GB2312" w:cs="仿宋_GB2312"/>
          <w:color w:val="auto"/>
          <w:sz w:val="28"/>
          <w:szCs w:val="28"/>
          <w:lang w:val="zh-CN"/>
        </w:rPr>
        <w:t xml:space="preserve">VOCs </w:t>
      </w:r>
      <w:r>
        <w:rPr>
          <w:rFonts w:hint="eastAsia" w:eastAsia="仿宋_GB2312" w:cs="仿宋_GB2312"/>
          <w:color w:val="auto"/>
          <w:sz w:val="28"/>
          <w:szCs w:val="28"/>
          <w:lang w:val="zh-CN"/>
        </w:rPr>
        <w:t>含量的溶剂型涂料、油墨、胶粘剂等项目，全面推广高效节能节水环保技术和装备，推动创建一批绿色工厂、绿色企业。加快推进建材产业、农产品及食品饮料加工产业集群发展，编制实施“一园一策”，推动园区基础设施绿色化改造，加强园区生态景观建设，探索“绿岛”等环境治理模式，鼓励建设园区共享的环保公共基础设施或集中工艺设施，打造绿色园区和产业集群，推动制造业绿色化高质量发展。</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加快发展绿色生态农业</w:t>
      </w:r>
      <w:r>
        <w:rPr>
          <w:rFonts w:eastAsia="仿宋_GB2312" w:cs="仿宋_GB2312"/>
          <w:b/>
          <w:bCs/>
          <w:color w:val="auto"/>
          <w:sz w:val="28"/>
          <w:szCs w:val="28"/>
          <w:lang w:val="zh-CN"/>
        </w:rPr>
        <w:t>。</w:t>
      </w:r>
      <w:r>
        <w:rPr>
          <w:rFonts w:hint="eastAsia" w:eastAsia="仿宋_GB2312" w:cs="仿宋_GB2312"/>
          <w:color w:val="auto"/>
          <w:sz w:val="28"/>
          <w:szCs w:val="28"/>
          <w:lang w:val="zh-CN"/>
        </w:rPr>
        <w:t>构建绿色、现代、高效的农业投入、生产方式和循环体系，依托朝天区蔬菜现代农业园区，巩固国家绿色食品原料（蔬菜）标准化生产基地创建成果，加强核桃、蔬菜、畜牧、食用菌、蚕桑等农业特色产业绿色化发展，推广使用节水灌溉技术，推进化肥农药减量化行动，禁止生产、销售、使用国家明令禁止或者不符合强制性国家标准的农膜，鼓励和支持生产、使用全生物降解农膜。推广水产健康养殖模式。鼓励引导发展高标准规模化生态养殖。加快推进绿色种养循环农业。</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着力发展生态康养旅游。</w:t>
      </w:r>
      <w:r>
        <w:rPr>
          <w:rFonts w:hint="eastAsia" w:eastAsia="仿宋_GB2312" w:cs="仿宋_GB2312"/>
          <w:color w:val="auto"/>
          <w:sz w:val="28"/>
          <w:szCs w:val="28"/>
          <w:lang w:val="zh-CN"/>
        </w:rPr>
        <w:t>坚持走生态优先、绿色发展之路，深入挖掘优质生态康养旅游资源，加强开发建设中的保护工作，加快推进荣乐养生谷、原乡、云顶滑雪小镇、吊滩河“康养溪谷”、鸳鸯池森林康养中心、航空旅游基地等康养度假项目建设，不断丰富新业态、新场景、新产品，着力打造高品质生态康养旅游目的地。推动生态资源的资产化品牌化，促进生态资源资产化运营，加强景区、旅游设施生活污水、垃圾处理处置，促进绿色低碳与生态旅游的协调发展。</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3</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打造资源能源节约体系</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推进能源结构优化调整。</w:t>
      </w:r>
      <w:r>
        <w:rPr>
          <w:rFonts w:hint="eastAsia" w:eastAsia="仿宋_GB2312" w:cs="仿宋_GB2312"/>
          <w:color w:val="auto"/>
          <w:sz w:val="28"/>
          <w:szCs w:val="28"/>
          <w:lang w:val="zh-CN"/>
        </w:rPr>
        <w:t>深入实施能耗总量和强度“双控”制度，进一步降低煤炭消耗量，稳步提高非化石能源消费占比。有序推进太阳能、风能开发利用，加快建设八庙沟水电站。加强电力基础设施建设，优化和完善2</w:t>
      </w:r>
      <w:r>
        <w:rPr>
          <w:rFonts w:eastAsia="仿宋_GB2312" w:cs="仿宋_GB2312"/>
          <w:color w:val="auto"/>
          <w:sz w:val="28"/>
          <w:szCs w:val="28"/>
          <w:lang w:val="zh-CN"/>
        </w:rPr>
        <w:t>20</w:t>
      </w:r>
      <w:r>
        <w:rPr>
          <w:rFonts w:hint="eastAsia" w:eastAsia="仿宋_GB2312" w:cs="仿宋_GB2312"/>
          <w:color w:val="auto"/>
          <w:sz w:val="28"/>
          <w:szCs w:val="28"/>
          <w:lang w:val="zh-CN"/>
        </w:rPr>
        <w:t>千伏及以下电网。加快“气化朝天”工程建设，实施羊木镇、沙河镇、大滩镇、云雾山镇、水磨沟镇等乡镇天然气输配工程，建设C</w:t>
      </w:r>
      <w:r>
        <w:rPr>
          <w:rFonts w:eastAsia="仿宋_GB2312" w:cs="仿宋_GB2312"/>
          <w:color w:val="auto"/>
          <w:sz w:val="28"/>
          <w:szCs w:val="28"/>
          <w:lang w:val="zh-CN"/>
        </w:rPr>
        <w:t>NG</w:t>
      </w:r>
      <w:r>
        <w:rPr>
          <w:rFonts w:hint="eastAsia" w:eastAsia="仿宋_GB2312" w:cs="仿宋_GB2312"/>
          <w:color w:val="auto"/>
          <w:sz w:val="28"/>
          <w:szCs w:val="28"/>
          <w:lang w:val="zh-CN"/>
        </w:rPr>
        <w:t>、L</w:t>
      </w:r>
      <w:r>
        <w:rPr>
          <w:rFonts w:eastAsia="仿宋_GB2312" w:cs="仿宋_GB2312"/>
          <w:color w:val="auto"/>
          <w:sz w:val="28"/>
          <w:szCs w:val="28"/>
          <w:lang w:val="zh-CN"/>
        </w:rPr>
        <w:t>NG</w:t>
      </w:r>
      <w:r>
        <w:rPr>
          <w:rFonts w:hint="eastAsia" w:eastAsia="仿宋_GB2312" w:cs="仿宋_GB2312"/>
          <w:color w:val="auto"/>
          <w:sz w:val="28"/>
          <w:szCs w:val="28"/>
          <w:lang w:val="zh-CN"/>
        </w:rPr>
        <w:t>加气站。全面推进工业、建筑、交通运输等重点领域节能，严格新建、改建项目节能评估审查。化工、建材等传统制造业全面实施企业节能工程。</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加强水资源节约管理。</w:t>
      </w:r>
      <w:r>
        <w:rPr>
          <w:rFonts w:hint="eastAsia" w:eastAsia="仿宋_GB2312" w:cs="仿宋_GB2312"/>
          <w:color w:val="auto"/>
          <w:sz w:val="28"/>
          <w:szCs w:val="28"/>
          <w:lang w:val="zh-CN"/>
        </w:rPr>
        <w:t>大力实施“节水优先”战略，继续实行最严格的水资源管理制度，严控用水“总量+强度”双控机制，加快推进节水型朝天建设。摸清全区高耗水行业企业分布情况，实施用水定额管理，高耗水、高污染行业实施取水量和排污总量协同控制措施，鼓励其他行业企业用水效率向行业先进水平靠齐。强化非常规水资源利用，探索和培育再生水利用市场，示范再生水回用实施模式、价格机制，推进再生水、雨水用于工业园区、城市绿化和清洗杂用、生态环境补水等。强化农业节水，推广使用节水灌溉技术。到2025年，万元地区生产总值用水量降低20%，规模以上工业用水重复利用率达到95%以上，万元工业增加值用水量降低22%。</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推进园区循环化改造。</w:t>
      </w:r>
      <w:r>
        <w:rPr>
          <w:rFonts w:hint="eastAsia" w:eastAsia="仿宋_GB2312" w:cs="仿宋_GB2312"/>
          <w:color w:val="auto"/>
          <w:sz w:val="28"/>
          <w:szCs w:val="28"/>
          <w:lang w:val="zh-CN"/>
        </w:rPr>
        <w:t>加快朝天省级循环化改造试点园区建设，推进资源循环利用基地建设和园区循环化改造，围绕广元朝天经济技术开发区和仇坝工业园区产业特点，实现企业内部与企业之间、园区内部与园区之间的循环链接。加强统一规划、合理布局、规范建设，增强再生资源回收、集散和加工处理能力，推进废弃物生态化处理和生产资料资源化利用。开展农作物秸秆全域综合利用。</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4</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发展绿色低碳交通体系</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加快交通运输方式绿色化</w:t>
      </w:r>
      <w:r>
        <w:rPr>
          <w:rFonts w:eastAsia="仿宋_GB2312" w:cs="仿宋_GB2312"/>
          <w:b/>
          <w:bCs/>
          <w:color w:val="auto"/>
          <w:sz w:val="28"/>
          <w:szCs w:val="28"/>
          <w:lang w:val="zh-CN"/>
        </w:rPr>
        <w:t>。</w:t>
      </w:r>
      <w:r>
        <w:rPr>
          <w:rFonts w:hint="eastAsia" w:eastAsia="仿宋_GB2312" w:cs="仿宋_GB2312"/>
          <w:color w:val="auto"/>
          <w:sz w:val="28"/>
          <w:szCs w:val="28"/>
          <w:lang w:val="zh-CN"/>
        </w:rPr>
        <w:t>实施全过程环境管理，将生态环境保护理念贯穿于交通基础设施规划、设计、施工、运营、养护和管理全过程。依托</w:t>
      </w:r>
      <w:r>
        <w:rPr>
          <w:rFonts w:eastAsia="仿宋_GB2312" w:cs="仿宋_GB2312"/>
          <w:color w:val="auto"/>
          <w:sz w:val="28"/>
          <w:szCs w:val="28"/>
          <w:lang w:val="zh-CN"/>
        </w:rPr>
        <w:t>四川北向东出</w:t>
      </w:r>
      <w:r>
        <w:rPr>
          <w:rFonts w:hint="eastAsia" w:eastAsia="仿宋_GB2312" w:cs="仿宋_GB2312"/>
          <w:color w:val="auto"/>
          <w:sz w:val="28"/>
          <w:szCs w:val="28"/>
          <w:lang w:val="zh-CN"/>
        </w:rPr>
        <w:t>综合交通</w:t>
      </w:r>
      <w:r>
        <w:rPr>
          <w:rFonts w:eastAsia="仿宋_GB2312" w:cs="仿宋_GB2312"/>
          <w:color w:val="auto"/>
          <w:sz w:val="28"/>
          <w:szCs w:val="28"/>
          <w:lang w:val="zh-CN"/>
        </w:rPr>
        <w:t>枢纽</w:t>
      </w:r>
      <w:r>
        <w:rPr>
          <w:rFonts w:hint="eastAsia" w:eastAsia="仿宋_GB2312" w:cs="仿宋_GB2312"/>
          <w:color w:val="auto"/>
          <w:sz w:val="28"/>
          <w:szCs w:val="28"/>
          <w:lang w:val="zh-CN"/>
        </w:rPr>
        <w:t>建设，</w:t>
      </w:r>
      <w:r>
        <w:rPr>
          <w:rFonts w:eastAsia="仿宋_GB2312" w:cs="仿宋_GB2312"/>
          <w:color w:val="auto"/>
          <w:sz w:val="28"/>
          <w:szCs w:val="28"/>
          <w:lang w:val="zh-CN"/>
        </w:rPr>
        <w:t>推进运输方式绿色转型，</w:t>
      </w:r>
      <w:r>
        <w:rPr>
          <w:rFonts w:hint="eastAsia" w:eastAsia="仿宋_GB2312" w:cs="仿宋_GB2312"/>
          <w:color w:val="auto"/>
          <w:sz w:val="28"/>
          <w:szCs w:val="28"/>
          <w:lang w:val="zh-CN"/>
        </w:rPr>
        <w:t>加快推进铁路、公路等交通基础设施互联互通，畅通成渝地区与关中天水经济区的交通走廊。统筹利用综合运输通道线位资源及运输枢纽资源，鼓励公路、铁路共用通道。</w:t>
      </w:r>
      <w:r>
        <w:rPr>
          <w:rFonts w:eastAsia="仿宋_GB2312" w:cs="仿宋_GB2312"/>
          <w:color w:val="auto"/>
          <w:sz w:val="28"/>
          <w:szCs w:val="28"/>
          <w:lang w:val="zh-CN"/>
        </w:rPr>
        <w:t>建设城市绿色物流体系，支持利用城市现有铁路、物流货场转型升级为城市配送中心。</w:t>
      </w:r>
      <w:r>
        <w:rPr>
          <w:rFonts w:hint="eastAsia" w:eastAsia="仿宋_GB2312" w:cs="仿宋_GB2312"/>
          <w:color w:val="auto"/>
          <w:sz w:val="28"/>
          <w:szCs w:val="28"/>
          <w:lang w:val="zh-CN"/>
        </w:rPr>
        <w:t>完善朝天中心城区慢行交通系统建设。</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推进绿色运载工具。</w:t>
      </w:r>
      <w:r>
        <w:rPr>
          <w:rFonts w:hint="eastAsia" w:eastAsia="仿宋_GB2312" w:cs="仿宋_GB2312"/>
          <w:color w:val="auto"/>
          <w:sz w:val="28"/>
          <w:szCs w:val="28"/>
          <w:lang w:val="zh-CN"/>
        </w:rPr>
        <w:t>强化环境准入，推进机动车、船舶及油品标准升级，加快更新老旧和高能耗、高排放车辆，推广应用高效、节能、环保的车辆装备。推进机动车、船舶及油品标准升级，加快更新老旧和高能耗、高排放车辆，推广应用高效、节能、环保的车辆装备。在公共停车区、居住小区推进电动汽车充换电基础设施建设，加大新能源和清洁能源车辆在城市公交、出租汽车、城市配送、邮政快递、铁路货场、重点区域等领域应用，到2025年，城市建成区出租车、物流车、网约车新能源车替代率不低于80%，公交车全部替代为新能源汽车。</w:t>
      </w:r>
    </w:p>
    <w:p>
      <w:pPr>
        <w:pStyle w:val="20"/>
        <w:adjustRightInd w:val="0"/>
        <w:snapToGrid w:val="0"/>
        <w:spacing w:after="0" w:line="560" w:lineRule="exact"/>
        <w:ind w:left="0" w:leftChars="0" w:firstLine="562"/>
        <w:rPr>
          <w:rFonts w:eastAsia="仿宋_GB2312" w:cs="仿宋_GB2312"/>
          <w:b/>
          <w:bCs/>
          <w:color w:val="auto"/>
          <w:sz w:val="28"/>
          <w:szCs w:val="28"/>
          <w:lang w:val="zh-CN"/>
        </w:rPr>
      </w:pPr>
      <w:bookmarkStart w:id="50" w:name="_Toc27614"/>
      <w:bookmarkStart w:id="51" w:name="_Toc3274"/>
      <w:bookmarkStart w:id="52" w:name="_Toc87601064"/>
      <w:bookmarkStart w:id="53" w:name="_Toc85701983"/>
      <w:r>
        <w:rPr>
          <w:rFonts w:hint="eastAsia" w:eastAsia="仿宋_GB2312" w:cs="仿宋_GB2312"/>
          <w:b/>
          <w:bCs/>
          <w:color w:val="auto"/>
          <w:sz w:val="28"/>
          <w:szCs w:val="28"/>
          <w:lang w:val="zh-CN"/>
        </w:rPr>
        <w:t>5</w:t>
      </w:r>
      <w:bookmarkEnd w:id="50"/>
      <w:bookmarkEnd w:id="51"/>
      <w:bookmarkEnd w:id="52"/>
      <w:bookmarkEnd w:id="53"/>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积极应对气候变化</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启动实施二氧化碳排放达峰行动。</w:t>
      </w:r>
      <w:r>
        <w:rPr>
          <w:rFonts w:hint="eastAsia" w:eastAsia="仿宋_GB2312" w:cs="仿宋_GB2312"/>
          <w:color w:val="auto"/>
          <w:sz w:val="28"/>
          <w:szCs w:val="28"/>
          <w:lang w:val="zh-CN"/>
        </w:rPr>
        <w:t>积极配合推进国家低碳试点城市和气候适应型试点城市建设，启动二氧化碳排放达峰行动，动态开展化石能源消费、二氧化碳排放趋势分析，常态化编制县级温室气体清单和能源平衡表，落实二氧化碳排放强度目标责任考核机制。综合考量城市战略定位、发展水平以及清洁能源优势，因地制宜探索低碳转型路径，有序推进二氧化碳排放达峰。</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增强自然空间碳汇功能。</w:t>
      </w:r>
      <w:r>
        <w:rPr>
          <w:rFonts w:hint="eastAsia" w:eastAsia="仿宋_GB2312" w:cs="仿宋_GB2312"/>
          <w:color w:val="auto"/>
          <w:sz w:val="28"/>
          <w:szCs w:val="28"/>
          <w:lang w:val="zh-CN"/>
        </w:rPr>
        <w:t>开展林草碳汇发展潜力评价，摸清区域林草碳汇资源本底，科学评价林草碳汇发展潜力，建立森林、草地、湿地等碳库动态数据库。加强林草碳汇项目管理，建设林草碳汇项目库，推动林草碳汇、可再生能源等碳减排量项目化开发和市场化消纳，促进林草碳汇交易，推动林草碳汇等碳资产向世界大学生运动会等大型赛事活动提供碳减排指标。</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有序适应气候变化影响。</w:t>
      </w:r>
      <w:r>
        <w:rPr>
          <w:rFonts w:hint="eastAsia" w:eastAsia="仿宋_GB2312" w:cs="仿宋_GB2312"/>
          <w:color w:val="auto"/>
          <w:sz w:val="28"/>
          <w:szCs w:val="28"/>
          <w:lang w:val="zh-CN"/>
        </w:rPr>
        <w:t>协力推进国家气候适应型试点城市建设，进一步提高水利、交通运输、能源等重点设施适应气候变化能力，加强气候变化风险及极端气候事件预警预报，健全防灾减灾管理体系，积极应对热岛效应和城市内涝等。积极引入国家级智库，围绕水资源、农业、林业、生态系统、重大工程、防灾减灾、人体健康等重点领域培育应对气候变化和低碳发展研究基地，加强气候适应型城市多目标协同模式与路径研究。</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6</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推广绿色低碳生活方式</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倡导绿色生活理念。</w:t>
      </w:r>
      <w:r>
        <w:rPr>
          <w:rFonts w:eastAsia="仿宋_GB2312" w:cs="仿宋_GB2312"/>
          <w:color w:val="auto"/>
          <w:sz w:val="28"/>
          <w:szCs w:val="28"/>
          <w:lang w:val="zh-CN"/>
        </w:rPr>
        <w:t>实施</w:t>
      </w:r>
      <w:r>
        <w:rPr>
          <w:rFonts w:hint="eastAsia" w:eastAsia="仿宋_GB2312" w:cs="仿宋_GB2312"/>
          <w:color w:val="auto"/>
          <w:sz w:val="28"/>
          <w:szCs w:val="28"/>
          <w:lang w:val="zh-CN"/>
        </w:rPr>
        <w:t>“</w:t>
      </w:r>
      <w:r>
        <w:rPr>
          <w:rFonts w:eastAsia="仿宋_GB2312" w:cs="仿宋_GB2312"/>
          <w:color w:val="auto"/>
          <w:sz w:val="28"/>
          <w:szCs w:val="28"/>
          <w:lang w:val="zh-CN"/>
        </w:rPr>
        <w:t>绿色+</w:t>
      </w:r>
      <w:r>
        <w:rPr>
          <w:rFonts w:hint="eastAsia" w:eastAsia="仿宋_GB2312" w:cs="仿宋_GB2312"/>
          <w:color w:val="auto"/>
          <w:sz w:val="28"/>
          <w:szCs w:val="28"/>
          <w:lang w:val="zh-CN"/>
        </w:rPr>
        <w:t>”</w:t>
      </w:r>
      <w:r>
        <w:rPr>
          <w:rFonts w:eastAsia="仿宋_GB2312" w:cs="仿宋_GB2312"/>
          <w:color w:val="auto"/>
          <w:sz w:val="28"/>
          <w:szCs w:val="28"/>
          <w:lang w:val="zh-CN"/>
        </w:rPr>
        <w:t>行动，推进绿色发展理念进机关、进学校、进企业、进社区、进农村。</w:t>
      </w:r>
      <w:r>
        <w:rPr>
          <w:rFonts w:hint="eastAsia" w:eastAsia="仿宋_GB2312" w:cs="仿宋_GB2312"/>
          <w:color w:val="auto"/>
          <w:sz w:val="28"/>
          <w:szCs w:val="28"/>
          <w:lang w:val="zh-CN"/>
        </w:rPr>
        <w:t>倡导绿色出行，实施重点景区旅游公交优先战略。</w:t>
      </w:r>
      <w:r>
        <w:rPr>
          <w:rFonts w:eastAsia="仿宋_GB2312" w:cs="仿宋_GB2312"/>
          <w:color w:val="auto"/>
          <w:sz w:val="28"/>
          <w:szCs w:val="28"/>
          <w:lang w:val="zh-CN"/>
        </w:rPr>
        <w:t>大力推行绿色消费，倡导文明、理性、节约的消费观和生活理念，</w:t>
      </w:r>
      <w:r>
        <w:rPr>
          <w:rFonts w:hint="eastAsia" w:eastAsia="仿宋_GB2312" w:cs="仿宋_GB2312"/>
          <w:color w:val="auto"/>
          <w:sz w:val="28"/>
          <w:szCs w:val="28"/>
          <w:lang w:val="zh-CN"/>
        </w:rPr>
        <w:t>引导消费者购买有能效、水效标识的节能环保产品</w:t>
      </w:r>
      <w:r>
        <w:rPr>
          <w:rFonts w:eastAsia="仿宋_GB2312" w:cs="仿宋_GB2312"/>
          <w:color w:val="auto"/>
          <w:sz w:val="28"/>
          <w:szCs w:val="28"/>
          <w:lang w:val="zh-CN"/>
        </w:rPr>
        <w:t>。推行光盘行动，鼓励餐厅使用可降解的打包盒</w:t>
      </w:r>
      <w:r>
        <w:rPr>
          <w:rFonts w:hint="eastAsia" w:eastAsia="仿宋_GB2312" w:cs="仿宋_GB2312"/>
          <w:color w:val="auto"/>
          <w:sz w:val="28"/>
          <w:szCs w:val="28"/>
          <w:lang w:val="zh-CN"/>
        </w:rPr>
        <w:t>，在餐厅、酒店、商店等</w:t>
      </w:r>
      <w:r>
        <w:rPr>
          <w:rFonts w:eastAsia="仿宋_GB2312" w:cs="仿宋_GB2312"/>
          <w:color w:val="auto"/>
          <w:sz w:val="28"/>
          <w:szCs w:val="28"/>
          <w:lang w:val="zh-CN"/>
        </w:rPr>
        <w:t>限制一次性用具的使用</w:t>
      </w:r>
      <w:r>
        <w:rPr>
          <w:rFonts w:hint="eastAsia" w:eastAsia="仿宋_GB2312" w:cs="仿宋_GB2312"/>
          <w:color w:val="auto"/>
          <w:sz w:val="28"/>
          <w:szCs w:val="28"/>
          <w:lang w:val="zh-CN"/>
        </w:rPr>
        <w:t>。</w:t>
      </w:r>
      <w:r>
        <w:rPr>
          <w:rFonts w:eastAsia="仿宋_GB2312" w:cs="仿宋_GB2312"/>
          <w:color w:val="auto"/>
          <w:sz w:val="28"/>
          <w:szCs w:val="28"/>
          <w:lang w:val="zh-CN"/>
        </w:rPr>
        <w:t>强化资源回收意识，自觉进行垃圾分类。</w:t>
      </w:r>
      <w:r>
        <w:rPr>
          <w:rFonts w:hint="eastAsia" w:eastAsia="仿宋_GB2312" w:cs="仿宋_GB2312"/>
          <w:color w:val="auto"/>
          <w:sz w:val="28"/>
          <w:szCs w:val="28"/>
          <w:lang w:val="zh-CN"/>
        </w:rPr>
        <w:t>大力开展世界环境日、全国节能宣传周、全国低碳日等主题宣传活动，引导公众参与生态建设，构建全民参与的绿色行动体系。强化生态环保教育，全面提升社会生态文明素质，推动低碳社会建设。</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eastAsia="仿宋_GB2312" w:cs="仿宋_GB2312"/>
          <w:b/>
          <w:bCs/>
          <w:color w:val="auto"/>
          <w:sz w:val="28"/>
          <w:szCs w:val="28"/>
          <w:lang w:val="zh-CN"/>
        </w:rPr>
        <w:t>完善绿色消费政策。</w:t>
      </w:r>
      <w:r>
        <w:rPr>
          <w:rFonts w:hint="eastAsia" w:eastAsia="仿宋_GB2312" w:cs="仿宋_GB2312"/>
          <w:color w:val="auto"/>
          <w:sz w:val="28"/>
          <w:szCs w:val="28"/>
          <w:lang w:val="zh-CN"/>
        </w:rPr>
        <w:t>严格执行政府对节能环保产品的优先采购和强制采购制度，扩大政府绿色采购范围，提高政府绿色采购规模。</w:t>
      </w:r>
      <w:r>
        <w:rPr>
          <w:rFonts w:eastAsia="仿宋_GB2312" w:cs="仿宋_GB2312"/>
          <w:color w:val="auto"/>
          <w:sz w:val="28"/>
          <w:szCs w:val="28"/>
          <w:lang w:val="zh-CN"/>
        </w:rPr>
        <w:t>构建社区居民全面参与生活环境保护的社会行动体系。</w:t>
      </w:r>
      <w:r>
        <w:rPr>
          <w:rFonts w:hint="eastAsia" w:eastAsia="仿宋_GB2312" w:cs="仿宋_GB2312"/>
          <w:color w:val="auto"/>
          <w:sz w:val="28"/>
          <w:szCs w:val="28"/>
          <w:lang w:val="zh-CN"/>
        </w:rPr>
        <w:t>试点执行</w:t>
      </w:r>
      <w:r>
        <w:rPr>
          <w:rFonts w:eastAsia="仿宋_GB2312" w:cs="仿宋_GB2312"/>
          <w:color w:val="auto"/>
          <w:sz w:val="28"/>
          <w:szCs w:val="28"/>
          <w:lang w:val="zh-CN"/>
        </w:rPr>
        <w:t>绿色消费财税鼓励政策，鼓励绿色产品消费。</w:t>
      </w:r>
      <w:r>
        <w:rPr>
          <w:rFonts w:hint="eastAsia" w:eastAsia="仿宋_GB2312" w:cs="仿宋_GB2312"/>
          <w:color w:val="auto"/>
          <w:sz w:val="28"/>
          <w:szCs w:val="28"/>
          <w:lang w:val="zh-CN"/>
        </w:rPr>
        <w:t>宣传推广</w:t>
      </w:r>
      <w:r>
        <w:rPr>
          <w:rFonts w:eastAsia="仿宋_GB2312" w:cs="仿宋_GB2312"/>
          <w:color w:val="auto"/>
          <w:sz w:val="28"/>
          <w:szCs w:val="28"/>
          <w:lang w:val="zh-CN"/>
        </w:rPr>
        <w:t>绿色产品标准体系，提升绿色产品标识公众认可度。推广环境标志产品、有机产品等绿色产品，营造公平竞争的绿色产品市场环境。</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推进配套绿色生活设施建设。</w:t>
      </w:r>
      <w:r>
        <w:rPr>
          <w:rFonts w:eastAsia="仿宋_GB2312" w:cs="仿宋_GB2312"/>
          <w:color w:val="auto"/>
          <w:sz w:val="28"/>
          <w:szCs w:val="28"/>
          <w:lang w:val="zh-CN"/>
        </w:rPr>
        <w:t>探索建立布局合理、管理规范的废旧物品回收设施体系。公共场所普及节能型电器及节水型器具，城市道路、广场、公园等地夜间采用节能</w:t>
      </w:r>
      <w:r>
        <w:rPr>
          <w:rFonts w:hint="eastAsia" w:eastAsia="仿宋_GB2312" w:cs="仿宋_GB2312"/>
          <w:color w:val="auto"/>
          <w:sz w:val="28"/>
          <w:szCs w:val="28"/>
          <w:lang w:val="zh-CN"/>
        </w:rPr>
        <w:t>或太阳能</w:t>
      </w:r>
      <w:r>
        <w:rPr>
          <w:rFonts w:eastAsia="仿宋_GB2312" w:cs="仿宋_GB2312"/>
          <w:color w:val="auto"/>
          <w:sz w:val="28"/>
          <w:szCs w:val="28"/>
          <w:lang w:val="zh-CN"/>
        </w:rPr>
        <w:t>灯具照明。鼓励建立绿色批发市场、绿色商超、绿色电商等绿色流通主体，支持商场、超市在显著位置开设绿色产品销售专区。</w:t>
      </w:r>
    </w:p>
    <w:tbl>
      <w:tblPr>
        <w:tblStyle w:val="21"/>
        <w:tblpPr w:leftFromText="180" w:rightFromText="180" w:vertAnchor="text" w:horzAnchor="margin" w:tblpY="6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8946" w:type="dxa"/>
            <w:shd w:val="clear" w:color="auto" w:fill="BFBFBF"/>
            <w:vAlign w:val="center"/>
          </w:tcPr>
          <w:p>
            <w:pPr>
              <w:adjustRightInd w:val="0"/>
              <w:snapToGrid w:val="0"/>
              <w:ind w:firstLine="560" w:firstLineChars="200"/>
              <w:jc w:val="center"/>
              <w:rPr>
                <w:b/>
                <w:color w:val="auto"/>
                <w:sz w:val="28"/>
                <w:szCs w:val="28"/>
              </w:rPr>
            </w:pPr>
            <w:r>
              <w:rPr>
                <w:rFonts w:hint="eastAsia" w:ascii="黑体" w:hAnsi="黑体" w:eastAsia="黑体" w:cs="黑体"/>
                <w:color w:val="auto"/>
                <w:sz w:val="28"/>
                <w:szCs w:val="28"/>
              </w:rPr>
              <w:t>专栏一</w:t>
            </w:r>
            <w:r>
              <w:rPr>
                <w:rFonts w:ascii="黑体" w:hAnsi="黑体" w:eastAsia="黑体" w:cs="黑体"/>
                <w:color w:val="auto"/>
                <w:sz w:val="28"/>
                <w:szCs w:val="28"/>
              </w:rPr>
              <w:t xml:space="preserve"> </w:t>
            </w:r>
            <w:r>
              <w:rPr>
                <w:rFonts w:hint="eastAsia" w:ascii="黑体" w:hAnsi="黑体" w:eastAsia="黑体" w:cs="黑体"/>
                <w:color w:val="auto"/>
                <w:sz w:val="28"/>
                <w:szCs w:val="28"/>
              </w:rPr>
              <w:t>绿色发展重点任务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46" w:type="dxa"/>
          </w:tcPr>
          <w:p>
            <w:pPr>
              <w:ind w:firstLine="482" w:firstLineChars="200"/>
              <w:rPr>
                <w:rFonts w:eastAsia="楷体"/>
                <w:bCs/>
                <w:color w:val="auto"/>
                <w:sz w:val="24"/>
                <w:szCs w:val="24"/>
              </w:rPr>
            </w:pPr>
            <w:r>
              <w:rPr>
                <w:rFonts w:hint="eastAsia" w:eastAsia="楷体"/>
                <w:b/>
                <w:color w:val="auto"/>
                <w:sz w:val="24"/>
                <w:szCs w:val="24"/>
              </w:rPr>
              <w:t>（一）推进工业绿色化改造。</w:t>
            </w:r>
            <w:r>
              <w:rPr>
                <w:rFonts w:hint="eastAsia" w:eastAsia="楷体"/>
                <w:bCs/>
                <w:color w:val="auto"/>
                <w:sz w:val="24"/>
                <w:szCs w:val="24"/>
              </w:rPr>
              <w:t>编制实施“一园一策”“一厂一策”，推动创建一批绿色工厂、绿色企业、绿色园区。鼓励建设园区共享的环保公共基础设施或集中工艺设施。</w:t>
            </w:r>
          </w:p>
          <w:p>
            <w:pPr>
              <w:ind w:firstLine="482" w:firstLineChars="200"/>
              <w:rPr>
                <w:rFonts w:eastAsia="楷体"/>
                <w:bCs/>
                <w:color w:val="auto"/>
                <w:sz w:val="24"/>
                <w:szCs w:val="24"/>
              </w:rPr>
            </w:pPr>
            <w:r>
              <w:rPr>
                <w:rFonts w:hint="eastAsia" w:eastAsia="楷体"/>
                <w:b/>
                <w:color w:val="auto"/>
                <w:sz w:val="24"/>
                <w:szCs w:val="24"/>
              </w:rPr>
              <w:t>（二）加快发展绿色生态农业。</w:t>
            </w:r>
            <w:r>
              <w:rPr>
                <w:rFonts w:hint="eastAsia" w:eastAsia="楷体"/>
                <w:bCs/>
                <w:color w:val="auto"/>
                <w:sz w:val="24"/>
                <w:szCs w:val="24"/>
              </w:rPr>
              <w:t>加强核桃、蔬菜、畜牧、食用菌、蚕桑等农业特色产业绿色化发展，推广使用节水灌溉技术，推进化肥农药减量化行动。</w:t>
            </w:r>
          </w:p>
          <w:p>
            <w:pPr>
              <w:ind w:firstLine="482" w:firstLineChars="200"/>
              <w:rPr>
                <w:rFonts w:eastAsia="楷体"/>
                <w:bCs/>
                <w:color w:val="auto"/>
                <w:sz w:val="24"/>
                <w:szCs w:val="24"/>
              </w:rPr>
            </w:pPr>
            <w:r>
              <w:rPr>
                <w:rFonts w:hint="eastAsia" w:eastAsia="楷体"/>
                <w:b/>
                <w:color w:val="auto"/>
                <w:sz w:val="24"/>
                <w:szCs w:val="24"/>
              </w:rPr>
              <w:t>（三）着力发展生态康养旅游。</w:t>
            </w:r>
            <w:r>
              <w:rPr>
                <w:rFonts w:hint="eastAsia" w:eastAsia="楷体"/>
                <w:bCs/>
                <w:color w:val="auto"/>
                <w:sz w:val="24"/>
                <w:szCs w:val="24"/>
              </w:rPr>
              <w:t>加快推进荣乐养生谷、原乡、云顶滑雪小镇、吊滩河“康养溪谷”、鸳鸯池森林康养中心、航空旅游基地等康养度假项目建设，着力打造高品质生态康养旅游目的地。</w:t>
            </w:r>
          </w:p>
          <w:p>
            <w:pPr>
              <w:ind w:firstLine="482" w:firstLineChars="200"/>
              <w:rPr>
                <w:rFonts w:eastAsia="楷体"/>
                <w:bCs/>
                <w:color w:val="auto"/>
                <w:sz w:val="24"/>
                <w:szCs w:val="24"/>
              </w:rPr>
            </w:pPr>
            <w:r>
              <w:rPr>
                <w:rFonts w:hint="eastAsia" w:eastAsia="楷体"/>
                <w:b/>
                <w:color w:val="auto"/>
                <w:sz w:val="24"/>
                <w:szCs w:val="24"/>
              </w:rPr>
              <w:t>（四）能源结构调整。</w:t>
            </w:r>
            <w:r>
              <w:rPr>
                <w:rFonts w:hint="eastAsia" w:eastAsia="楷体"/>
                <w:bCs/>
                <w:color w:val="auto"/>
                <w:sz w:val="24"/>
                <w:szCs w:val="24"/>
              </w:rPr>
              <w:t>推进煤改气、煤改电等替代工程。试点编制全区能源平衡表。</w:t>
            </w:r>
          </w:p>
          <w:p>
            <w:pPr>
              <w:ind w:firstLine="482" w:firstLineChars="200"/>
              <w:rPr>
                <w:rFonts w:eastAsia="楷体"/>
                <w:bCs/>
                <w:color w:val="auto"/>
                <w:sz w:val="24"/>
                <w:szCs w:val="24"/>
              </w:rPr>
            </w:pPr>
            <w:r>
              <w:rPr>
                <w:rFonts w:hint="eastAsia" w:eastAsia="楷体"/>
                <w:b/>
                <w:color w:val="auto"/>
                <w:sz w:val="24"/>
                <w:szCs w:val="24"/>
              </w:rPr>
              <w:t>（五）绿色低碳交通。</w:t>
            </w:r>
            <w:r>
              <w:rPr>
                <w:rFonts w:hint="eastAsia" w:eastAsia="楷体"/>
                <w:bCs/>
                <w:color w:val="auto"/>
                <w:sz w:val="24"/>
                <w:szCs w:val="24"/>
              </w:rPr>
              <w:t>加快更新老旧和高能耗、高排放车辆，加快推进城市交通、物流车辆新能源化。</w:t>
            </w:r>
          </w:p>
          <w:p>
            <w:pPr>
              <w:ind w:firstLine="482" w:firstLineChars="200"/>
              <w:rPr>
                <w:color w:val="auto"/>
              </w:rPr>
            </w:pPr>
            <w:r>
              <w:rPr>
                <w:rFonts w:hint="eastAsia" w:eastAsia="楷体"/>
                <w:b/>
                <w:color w:val="auto"/>
                <w:sz w:val="24"/>
                <w:szCs w:val="24"/>
              </w:rPr>
              <w:t>（六）积极应对气候变化。</w:t>
            </w:r>
            <w:r>
              <w:rPr>
                <w:rFonts w:hint="eastAsia" w:eastAsia="楷体"/>
                <w:bCs/>
                <w:color w:val="auto"/>
                <w:sz w:val="24"/>
                <w:szCs w:val="24"/>
              </w:rPr>
              <w:t>启动二氧化碳排放达峰行动，常态化编制县级温室气体清单和能源平衡表。</w:t>
            </w:r>
          </w:p>
        </w:tc>
      </w:tr>
    </w:tbl>
    <w:p>
      <w:pPr>
        <w:spacing w:line="600" w:lineRule="exact"/>
        <w:outlineLvl w:val="1"/>
        <w:rPr>
          <w:rFonts w:ascii="仿宋_GB2312" w:hAnsi="仿宋_GB2312" w:eastAsia="仿宋_GB2312" w:cs="仿宋_GB2312"/>
          <w:b/>
          <w:bCs/>
          <w:color w:val="auto"/>
          <w:sz w:val="32"/>
          <w:szCs w:val="32"/>
        </w:rPr>
      </w:pPr>
      <w:bookmarkStart w:id="54" w:name="_Toc28658"/>
      <w:bookmarkStart w:id="55" w:name="_Toc92470652"/>
      <w:bookmarkStart w:id="56" w:name="_Toc7301"/>
      <w:r>
        <w:rPr>
          <w:rFonts w:hint="eastAsia" w:ascii="仿宋_GB2312" w:hAnsi="仿宋_GB2312" w:eastAsia="仿宋_GB2312" w:cs="仿宋_GB2312"/>
          <w:b/>
          <w:bCs/>
          <w:color w:val="auto"/>
          <w:sz w:val="32"/>
          <w:szCs w:val="32"/>
        </w:rPr>
        <w:t>（二）建好嘉陵江上游生态屏障</w:t>
      </w:r>
      <w:bookmarkEnd w:id="54"/>
      <w:bookmarkEnd w:id="55"/>
      <w:bookmarkEnd w:id="56"/>
    </w:p>
    <w:p>
      <w:pPr>
        <w:pStyle w:val="20"/>
        <w:adjustRightInd w:val="0"/>
        <w:snapToGrid w:val="0"/>
        <w:spacing w:after="0" w:line="560" w:lineRule="exact"/>
        <w:ind w:left="0" w:leftChars="0" w:firstLine="562"/>
        <w:rPr>
          <w:rFonts w:eastAsia="仿宋_GB2312" w:cs="仿宋_GB2312"/>
          <w:b/>
          <w:bCs/>
          <w:color w:val="auto"/>
          <w:sz w:val="28"/>
          <w:szCs w:val="28"/>
          <w:lang w:val="zh-CN"/>
        </w:rPr>
      </w:pPr>
      <w:bookmarkStart w:id="57" w:name="_Toc53493608"/>
      <w:r>
        <w:rPr>
          <w:rFonts w:hint="eastAsia" w:eastAsia="仿宋_GB2312" w:cs="仿宋_GB2312"/>
          <w:b/>
          <w:bCs/>
          <w:color w:val="auto"/>
          <w:sz w:val="28"/>
          <w:szCs w:val="28"/>
          <w:lang w:val="zh-CN"/>
        </w:rPr>
        <w:t>1</w:t>
      </w:r>
      <w:bookmarkEnd w:id="57"/>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构建生态安全格局</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筑牢嘉陵江上游生态屏障。</w:t>
      </w:r>
      <w:r>
        <w:rPr>
          <w:rFonts w:hint="eastAsia" w:eastAsia="仿宋_GB2312" w:cs="仿宋_GB2312"/>
          <w:color w:val="auto"/>
          <w:sz w:val="28"/>
          <w:szCs w:val="28"/>
          <w:lang w:val="zh-CN"/>
        </w:rPr>
        <w:t>统筹推进水污染治理、水生态修复、水资源保护“三水共治”，协同推进生态修复、资源保护、污染治理，推动实施嘉陵江上游山水林田湖草生态保护修复工程、秦巴山脉生态系统保护、嘉陵江生态廊道系统建设等工程。实施森林修复重大工程，开展重点工程、生态廊道营造林加强沿江森林保护，恢复岸线生态功能，构建结构合理、功能稳定的沿江、沿河生态系统，保护生态岸线，增加城市群生态连通性，提</w:t>
      </w:r>
      <w:r>
        <w:rPr>
          <w:rFonts w:eastAsia="仿宋_GB2312" w:cs="仿宋_GB2312"/>
          <w:color w:val="auto"/>
          <w:sz w:val="28"/>
          <w:szCs w:val="28"/>
          <w:lang w:val="zh-CN"/>
        </w:rPr>
        <w:t>高绿色廊道的生态稳定性、景观特色性和功能完善性</w:t>
      </w:r>
      <w:r>
        <w:rPr>
          <w:rFonts w:hint="eastAsia" w:eastAsia="仿宋_GB2312" w:cs="仿宋_GB2312"/>
          <w:color w:val="auto"/>
          <w:sz w:val="28"/>
          <w:szCs w:val="28"/>
          <w:lang w:val="zh-CN"/>
        </w:rPr>
        <w:t>。</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加强自然保护地保护。</w:t>
      </w:r>
      <w:r>
        <w:rPr>
          <w:rFonts w:hint="eastAsia" w:eastAsia="仿宋_GB2312" w:cs="仿宋_GB2312"/>
          <w:color w:val="auto"/>
          <w:sz w:val="28"/>
          <w:szCs w:val="28"/>
          <w:lang w:val="zh-CN"/>
        </w:rPr>
        <w:t>完成自然保护地整合归并优化，积极构建以自然保护区、各类自然公园为主体的自然保护地体系。以水磨沟省级自然保护区、剑门蜀道国家级风景名胜区、四川省曾家山鸳鸯池森林公园、四川嘉陵江源湿地市级自然保护区、四川朝天省级地质公园等重要生态保护区为重点，实行自然保护地统一管理、分区管控，有序退出自然保护地内探矿采矿、水电开发、工业建设等项目。大力推进镇（村）自然保护地融合发展，打造智慧自然公园，创新自然保护地生态价值实现机制，多方位促进自然保护地融合发展。</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2</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加强重要生态系统保护和修复</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保护森林生态系统。</w:t>
      </w:r>
      <w:r>
        <w:rPr>
          <w:rFonts w:hint="eastAsia" w:eastAsia="仿宋_GB2312" w:cs="仿宋_GB2312"/>
          <w:color w:val="auto"/>
          <w:sz w:val="28"/>
          <w:szCs w:val="28"/>
          <w:lang w:val="zh-CN"/>
        </w:rPr>
        <w:t>以“生态环境更加优美”作为森林生态建设和保护的重要目标，巩固提升森林改善生态环境、抵御自然灾害的生态功能。持续推进国家级公益林、省级公益林全面保护，整体推进林业重点生态工程建设，积极争取国家林业项目。推行林长制，协同实施“两岸青山·千里林带”工程，深入开展大规模国土绿化，实施国家天保工程、退耕还林工程和地方各大林业重点工程项目，巩固退耕还林成果。大力开展公益林建设和天然林抚育更新，有序开展森林质量精准提升，共建秦岭</w:t>
      </w:r>
      <w:r>
        <w:rPr>
          <w:rFonts w:eastAsia="仿宋_GB2312" w:cs="仿宋_GB2312"/>
          <w:color w:val="auto"/>
          <w:sz w:val="28"/>
          <w:szCs w:val="28"/>
          <w:lang w:val="zh-CN"/>
        </w:rPr>
        <w:t>-</w:t>
      </w:r>
      <w:r>
        <w:rPr>
          <w:rFonts w:hint="eastAsia" w:eastAsia="仿宋_GB2312" w:cs="仿宋_GB2312"/>
          <w:color w:val="auto"/>
          <w:sz w:val="28"/>
          <w:szCs w:val="28"/>
          <w:lang w:val="zh-CN"/>
        </w:rPr>
        <w:t>大巴山生态功能屏障。</w:t>
      </w:r>
    </w:p>
    <w:p>
      <w:pPr>
        <w:pStyle w:val="20"/>
        <w:adjustRightInd w:val="0"/>
        <w:snapToGrid w:val="0"/>
        <w:spacing w:after="0" w:line="560" w:lineRule="exact"/>
        <w:ind w:left="0" w:leftChars="0" w:firstLine="562"/>
        <w:rPr>
          <w:rFonts w:eastAsia="仿宋_GB2312" w:cs="仿宋_GB2312"/>
          <w:color w:val="auto"/>
          <w:sz w:val="28"/>
          <w:szCs w:val="28"/>
          <w:lang w:val="zh-CN"/>
        </w:rPr>
      </w:pPr>
      <w:bookmarkStart w:id="58" w:name="_Toc52203268"/>
      <w:r>
        <w:rPr>
          <w:rFonts w:hint="eastAsia" w:eastAsia="仿宋_GB2312" w:cs="仿宋_GB2312"/>
          <w:b/>
          <w:bCs/>
          <w:color w:val="auto"/>
          <w:sz w:val="28"/>
          <w:szCs w:val="28"/>
          <w:lang w:val="zh-CN"/>
        </w:rPr>
        <w:t>加大重点区域生态治理与修复</w:t>
      </w:r>
      <w:bookmarkEnd w:id="58"/>
      <w:r>
        <w:rPr>
          <w:rFonts w:hint="eastAsia" w:eastAsia="仿宋_GB2312" w:cs="仿宋_GB2312"/>
          <w:b/>
          <w:bCs/>
          <w:color w:val="auto"/>
          <w:sz w:val="28"/>
          <w:szCs w:val="28"/>
          <w:lang w:val="zh-CN"/>
        </w:rPr>
        <w:t>。</w:t>
      </w:r>
      <w:r>
        <w:rPr>
          <w:rFonts w:hint="eastAsia" w:eastAsia="仿宋_GB2312" w:cs="仿宋_GB2312"/>
          <w:color w:val="auto"/>
          <w:sz w:val="28"/>
          <w:szCs w:val="28"/>
          <w:lang w:val="zh-CN"/>
        </w:rPr>
        <w:t>落实国家水土保持重点建设工程，以嘉陵江上游国家级水土流失重点预防区（朝天区）为重点，开展山水田林路综合治理，加强坡耕地综合整治，因地制宜配套生产便道和水系，大力发展经果林，全面提升秦岭山系森林、嘉陵江水系等自然生态系统的稳定性和生态服务功能。完善“谁破坏谁治理、谁受益谁补偿”责任机制，同步推进道路、水电、建筑等工程创面植被恢复。</w:t>
      </w:r>
    </w:p>
    <w:p>
      <w:pPr>
        <w:pStyle w:val="20"/>
        <w:adjustRightInd w:val="0"/>
        <w:snapToGrid w:val="0"/>
        <w:spacing w:after="0" w:line="560" w:lineRule="exact"/>
        <w:ind w:left="0" w:leftChars="0" w:firstLine="562"/>
        <w:rPr>
          <w:rFonts w:eastAsia="仿宋_GB2312" w:cs="仿宋_GB2312"/>
          <w:b/>
          <w:bCs/>
          <w:color w:val="auto"/>
          <w:sz w:val="28"/>
          <w:szCs w:val="28"/>
          <w:lang w:val="zh-CN"/>
        </w:rPr>
      </w:pPr>
      <w:bookmarkStart w:id="59" w:name="_Toc53493610"/>
      <w:r>
        <w:rPr>
          <w:rFonts w:hint="eastAsia" w:eastAsia="仿宋_GB2312" w:cs="仿宋_GB2312"/>
          <w:b/>
          <w:bCs/>
          <w:color w:val="auto"/>
          <w:sz w:val="28"/>
          <w:szCs w:val="28"/>
          <w:lang w:val="zh-CN"/>
        </w:rPr>
        <w:t>3</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加强生物多样性保护</w:t>
      </w:r>
      <w:bookmarkEnd w:id="59"/>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开展生物多样性调查和评估。</w:t>
      </w:r>
      <w:r>
        <w:rPr>
          <w:rFonts w:hint="eastAsia" w:eastAsia="仿宋_GB2312" w:cs="仿宋_GB2312"/>
          <w:color w:val="auto"/>
          <w:sz w:val="28"/>
          <w:szCs w:val="28"/>
          <w:lang w:val="zh-CN"/>
        </w:rPr>
        <w:t>加强生物多样性基础监测调查，动态掌握生物多样性动态变化趋势，协同构建秦巴生物多样性生态功能区。制定古树名木保护相关计划，充分利用好朝天区古树名木资源普查成果，严格保护好古湖名木的原生地生长环境，设立保护标志，完善保护设施。大力发展使用乡土树种及乡土植物，编制切合实际的乡土树种运用指南，促进乡土树种产业化发展。</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实施濒危野生动植物适应性保护。</w:t>
      </w:r>
      <w:r>
        <w:rPr>
          <w:rFonts w:hint="eastAsia" w:eastAsia="仿宋_GB2312" w:cs="仿宋_GB2312"/>
          <w:color w:val="auto"/>
          <w:sz w:val="28"/>
          <w:szCs w:val="28"/>
          <w:lang w:val="zh-CN"/>
        </w:rPr>
        <w:t>实施国家级野生动物保护工程，加强珍稀树种拯救性保护，严厉打击乱捕滥猎和损毁野生动物栖息地等违法活动。严格落实长江十年禁渔计划，加快推进嘉陵江流域全流域禁捕，改善和修复水生生物生存环境，强化重要珍稀濒危物种的就地、迁地保护和人工繁育基地建设。推进水磨沟自然保护区建设标准化、管理信息化。推动乡镇（街道）农业综合服务中心（林业站）、区野生动植物保护管理站、区森林警察大队等设施设备提档升级，加强对野生动物集群活动区的野外巡护。</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加强生物安全和入侵物种防治。</w:t>
      </w:r>
      <w:r>
        <w:rPr>
          <w:rFonts w:hint="eastAsia" w:eastAsia="仿宋_GB2312" w:cs="仿宋_GB2312"/>
          <w:color w:val="auto"/>
          <w:sz w:val="28"/>
          <w:szCs w:val="28"/>
          <w:lang w:val="zh-CN"/>
        </w:rPr>
        <w:t>加强对外来物种入侵的防范和应对，研究制定主要外来入侵物种名录，以福寿螺等外来物种为重点，开展对外来入侵物种的调查、监测、预警、控制、评估、清除以及生态修复等工作。制定外来入侵物种防治措施和应急管理工作机制，预防和控制外来物种入侵，维护区域生物安全。强化重点保护野生动植物及其制品的进出口管理，进一步规范野生动植物繁育利用，有效防范物种资源丧失和外来有害物种入侵。</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4</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大力推动生态文化建设</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加强生态文化体系建设。</w:t>
      </w:r>
      <w:r>
        <w:rPr>
          <w:rFonts w:hint="eastAsia" w:eastAsia="仿宋_GB2312" w:cs="仿宋_GB2312"/>
          <w:color w:val="auto"/>
          <w:sz w:val="28"/>
          <w:szCs w:val="28"/>
          <w:lang w:val="zh-CN"/>
        </w:rPr>
        <w:t>建设生态文化传播平台，打造文学艺术、公益广告等生态文化产品，挖掘、宣传生态环保先进典型，传递环保主旋律和正能量。拓宽生态文明社会化宣传教育渠道，依托报刊、广播、电视等传统媒体和微博、微信、微电影等互联网新媒体，不断创新生态文明宣传教育形式。加强生态环保教育，试点推进生态环境教育进中小学课堂。全面推进城市全域增绿、重点补绿、身边添绿，加快城市绿道、城市公园、花园街区建设。</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大力推动生态经济发展。</w:t>
      </w:r>
      <w:r>
        <w:rPr>
          <w:rFonts w:eastAsia="仿宋_GB2312" w:cs="仿宋_GB2312"/>
          <w:color w:val="auto"/>
          <w:sz w:val="28"/>
          <w:szCs w:val="28"/>
          <w:lang w:val="zh-CN"/>
        </w:rPr>
        <w:t>从</w:t>
      </w:r>
      <w:r>
        <w:rPr>
          <w:rFonts w:hint="eastAsia" w:eastAsia="仿宋_GB2312" w:cs="仿宋_GB2312"/>
          <w:color w:val="auto"/>
          <w:sz w:val="28"/>
          <w:szCs w:val="28"/>
          <w:lang w:val="zh-CN"/>
        </w:rPr>
        <w:t>“</w:t>
      </w:r>
      <w:r>
        <w:rPr>
          <w:rFonts w:eastAsia="仿宋_GB2312" w:cs="仿宋_GB2312"/>
          <w:color w:val="auto"/>
          <w:sz w:val="28"/>
          <w:szCs w:val="28"/>
          <w:lang w:val="zh-CN"/>
        </w:rPr>
        <w:t>生态＋</w:t>
      </w:r>
      <w:r>
        <w:rPr>
          <w:rFonts w:hint="eastAsia" w:eastAsia="仿宋_GB2312" w:cs="仿宋_GB2312"/>
          <w:color w:val="auto"/>
          <w:sz w:val="28"/>
          <w:szCs w:val="28"/>
          <w:lang w:val="zh-CN"/>
        </w:rPr>
        <w:t>”</w:t>
      </w:r>
      <w:r>
        <w:rPr>
          <w:rFonts w:eastAsia="仿宋_GB2312" w:cs="仿宋_GB2312"/>
          <w:color w:val="auto"/>
          <w:sz w:val="28"/>
          <w:szCs w:val="28"/>
          <w:lang w:val="zh-CN"/>
        </w:rPr>
        <w:t>与</w:t>
      </w:r>
      <w:r>
        <w:rPr>
          <w:rFonts w:hint="eastAsia" w:eastAsia="仿宋_GB2312" w:cs="仿宋_GB2312"/>
          <w:color w:val="auto"/>
          <w:sz w:val="28"/>
          <w:szCs w:val="28"/>
          <w:lang w:val="zh-CN"/>
        </w:rPr>
        <w:t>“</w:t>
      </w:r>
      <w:r>
        <w:rPr>
          <w:rFonts w:eastAsia="仿宋_GB2312" w:cs="仿宋_GB2312"/>
          <w:color w:val="auto"/>
          <w:sz w:val="28"/>
          <w:szCs w:val="28"/>
          <w:lang w:val="zh-CN"/>
        </w:rPr>
        <w:t>＋生态</w:t>
      </w:r>
      <w:r>
        <w:rPr>
          <w:rFonts w:hint="eastAsia" w:eastAsia="仿宋_GB2312" w:cs="仿宋_GB2312"/>
          <w:color w:val="auto"/>
          <w:sz w:val="28"/>
          <w:szCs w:val="28"/>
          <w:lang w:val="zh-CN"/>
        </w:rPr>
        <w:t>”</w:t>
      </w:r>
      <w:r>
        <w:rPr>
          <w:rFonts w:eastAsia="仿宋_GB2312" w:cs="仿宋_GB2312"/>
          <w:color w:val="auto"/>
          <w:sz w:val="28"/>
          <w:szCs w:val="28"/>
          <w:lang w:val="zh-CN"/>
        </w:rPr>
        <w:t>两个维度，构建发展活力足、竞争能力强、特色鲜明的生态产业体系，以良好的生态环境拉动经济的高质量发展。提高城市生态环境水平以及生态服务功能，吸引产业、商业、住宅、饮食等项目落户，实现</w:t>
      </w:r>
      <w:r>
        <w:rPr>
          <w:rFonts w:hint="eastAsia" w:eastAsia="仿宋_GB2312" w:cs="仿宋_GB2312"/>
          <w:color w:val="auto"/>
          <w:sz w:val="28"/>
          <w:szCs w:val="28"/>
          <w:lang w:val="zh-CN"/>
        </w:rPr>
        <w:t>“</w:t>
      </w:r>
      <w:r>
        <w:rPr>
          <w:rFonts w:eastAsia="仿宋_GB2312" w:cs="仿宋_GB2312"/>
          <w:color w:val="auto"/>
          <w:sz w:val="28"/>
          <w:szCs w:val="28"/>
          <w:lang w:val="zh-CN"/>
        </w:rPr>
        <w:t>价值共创</w:t>
      </w:r>
      <w:r>
        <w:rPr>
          <w:rFonts w:hint="eastAsia" w:eastAsia="仿宋_GB2312" w:cs="仿宋_GB2312"/>
          <w:color w:val="auto"/>
          <w:sz w:val="28"/>
          <w:szCs w:val="28"/>
          <w:lang w:val="zh-CN"/>
        </w:rPr>
        <w:t>”</w:t>
      </w:r>
      <w:r>
        <w:rPr>
          <w:rFonts w:eastAsia="仿宋_GB2312" w:cs="仿宋_GB2312"/>
          <w:color w:val="auto"/>
          <w:sz w:val="28"/>
          <w:szCs w:val="28"/>
          <w:lang w:val="zh-CN"/>
        </w:rPr>
        <w:t>。引导乡村生态旅游规范发展，推进生态旅游沿线及周边环境基础设施建设与环境整治，促进生态资源与旅游、文化、康养等产业融合。</w:t>
      </w:r>
      <w:r>
        <w:rPr>
          <w:rFonts w:hint="eastAsia" w:eastAsia="仿宋_GB2312" w:cs="仿宋_GB2312"/>
          <w:color w:val="auto"/>
          <w:sz w:val="28"/>
          <w:szCs w:val="28"/>
          <w:lang w:val="zh-CN"/>
        </w:rPr>
        <w:t>加快培育具有地方特色的生态产品品牌，提升产品生态溢价。</w:t>
      </w:r>
      <w:r>
        <w:rPr>
          <w:rFonts w:eastAsia="仿宋_GB2312" w:cs="仿宋_GB2312"/>
          <w:color w:val="auto"/>
          <w:sz w:val="28"/>
          <w:szCs w:val="28"/>
          <w:lang w:val="zh-CN"/>
        </w:rPr>
        <w:t>试点实施森林碳汇产业与脱贫技术集成示范项目。探索开展生态产品价值核算，建立政府主导、企业和社会各界参与、可持续的城乡生态产品价值实现机制。</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加快国家生态文明建设示范县创建。</w:t>
      </w:r>
      <w:r>
        <w:rPr>
          <w:rFonts w:hint="eastAsia" w:eastAsia="仿宋_GB2312" w:cs="仿宋_GB2312"/>
          <w:color w:val="auto"/>
          <w:sz w:val="28"/>
          <w:szCs w:val="28"/>
          <w:lang w:val="zh-CN"/>
        </w:rPr>
        <w:t>以生态文明建设示范县创建为引领，科</w:t>
      </w:r>
      <w:r>
        <w:rPr>
          <w:rFonts w:eastAsia="仿宋_GB2312" w:cs="仿宋_GB2312"/>
          <w:color w:val="auto"/>
          <w:sz w:val="28"/>
          <w:szCs w:val="28"/>
          <w:lang w:val="zh-CN"/>
        </w:rPr>
        <w:t>学规划生态制度、生态安全、生态空间、生态经济、生态生活、生态文化六大体系的建设。</w:t>
      </w:r>
      <w:r>
        <w:rPr>
          <w:rFonts w:hint="eastAsia" w:eastAsia="仿宋_GB2312" w:cs="仿宋_GB2312"/>
          <w:color w:val="auto"/>
          <w:sz w:val="28"/>
          <w:szCs w:val="28"/>
          <w:lang w:val="zh-CN"/>
        </w:rPr>
        <w:t>持续推进城乡绿化建设，加强绿化成果的保护和管理。</w:t>
      </w:r>
      <w:r>
        <w:rPr>
          <w:rFonts w:eastAsia="仿宋_GB2312" w:cs="仿宋_GB2312"/>
          <w:color w:val="auto"/>
          <w:sz w:val="28"/>
          <w:szCs w:val="28"/>
          <w:lang w:val="zh-CN"/>
        </w:rPr>
        <w:t>建立定期督导工作机制，及时纠偏纠错、适时提醒警告，规范示范建设有序推进。健全公众参与机制，引导和支持公众自觉参与生态文明建设活动。</w:t>
      </w:r>
      <w:r>
        <w:rPr>
          <w:rFonts w:hint="eastAsia" w:eastAsia="仿宋_GB2312" w:cs="仿宋_GB2312"/>
          <w:color w:val="auto"/>
          <w:sz w:val="28"/>
          <w:szCs w:val="28"/>
          <w:lang w:val="zh-CN"/>
        </w:rPr>
        <w:t>深入探索“两山”转化、生态示范创建的经验模式，聚焦乡镇、村、小流域等基本单元的“两山”转化行动实践，加快建设践行“绿水青山就是金山银山”理念示范区。</w:t>
      </w:r>
    </w:p>
    <w:tbl>
      <w:tblPr>
        <w:tblStyle w:val="21"/>
        <w:tblpPr w:leftFromText="180" w:rightFromText="180" w:vertAnchor="text" w:horzAnchor="margin" w:tblpY="6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946" w:type="dxa"/>
            <w:shd w:val="clear" w:color="auto" w:fill="BFBFBF"/>
            <w:vAlign w:val="center"/>
          </w:tcPr>
          <w:p>
            <w:pPr>
              <w:adjustRightInd w:val="0"/>
              <w:snapToGrid w:val="0"/>
              <w:ind w:firstLine="560" w:firstLineChars="200"/>
              <w:jc w:val="center"/>
              <w:rPr>
                <w:b/>
                <w:color w:val="auto"/>
                <w:sz w:val="28"/>
                <w:szCs w:val="28"/>
              </w:rPr>
            </w:pPr>
            <w:r>
              <w:rPr>
                <w:rFonts w:hint="eastAsia" w:ascii="黑体" w:hAnsi="黑体" w:eastAsia="黑体" w:cs="黑体"/>
                <w:color w:val="auto"/>
                <w:sz w:val="28"/>
                <w:szCs w:val="28"/>
              </w:rPr>
              <w:t>专栏二</w:t>
            </w:r>
            <w:r>
              <w:rPr>
                <w:rFonts w:ascii="黑体" w:hAnsi="黑体" w:eastAsia="黑体" w:cs="黑体"/>
                <w:color w:val="auto"/>
                <w:sz w:val="28"/>
                <w:szCs w:val="28"/>
              </w:rPr>
              <w:t xml:space="preserve">  生态保护修复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ind w:firstLine="482" w:firstLineChars="200"/>
              <w:rPr>
                <w:rFonts w:eastAsia="楷体"/>
                <w:bCs/>
                <w:color w:val="auto"/>
                <w:sz w:val="24"/>
                <w:szCs w:val="24"/>
              </w:rPr>
            </w:pPr>
            <w:r>
              <w:rPr>
                <w:rFonts w:hint="eastAsia" w:eastAsia="楷体"/>
                <w:b/>
                <w:color w:val="auto"/>
                <w:sz w:val="24"/>
                <w:szCs w:val="24"/>
              </w:rPr>
              <w:t>（一）强化生态系统功能。</w:t>
            </w:r>
            <w:r>
              <w:rPr>
                <w:rFonts w:hint="eastAsia" w:eastAsia="楷体"/>
                <w:bCs/>
                <w:color w:val="auto"/>
                <w:sz w:val="24"/>
                <w:szCs w:val="24"/>
              </w:rPr>
              <w:t>提升秦岭山系森林、嘉陵江水系等自然生态系统的稳定性和生态服务功能。加大水磨沟省级自然保护区管理力度。全面推进地质灾害综合治理。实施“两岸青山·千里林带”工程。共建秦岭-大巴山生态功能屏障。</w:t>
            </w:r>
          </w:p>
          <w:p>
            <w:pPr>
              <w:ind w:firstLine="482" w:firstLineChars="200"/>
              <w:rPr>
                <w:rFonts w:eastAsia="楷体"/>
                <w:bCs/>
                <w:color w:val="auto"/>
                <w:sz w:val="24"/>
                <w:szCs w:val="24"/>
              </w:rPr>
            </w:pPr>
            <w:r>
              <w:rPr>
                <w:rFonts w:hint="eastAsia" w:eastAsia="楷体"/>
                <w:b/>
                <w:color w:val="auto"/>
                <w:sz w:val="24"/>
                <w:szCs w:val="24"/>
              </w:rPr>
              <w:t>（二）生物多样性保护。</w:t>
            </w:r>
            <w:r>
              <w:rPr>
                <w:rFonts w:hint="eastAsia" w:eastAsia="楷体"/>
                <w:bCs/>
                <w:color w:val="auto"/>
                <w:sz w:val="24"/>
                <w:szCs w:val="24"/>
              </w:rPr>
              <w:t>实施国家级野生动物保护工程，加强珍稀树种拯救性保护，生物多样性资源本底调查和评估。</w:t>
            </w:r>
          </w:p>
          <w:p>
            <w:pPr>
              <w:ind w:firstLine="482" w:firstLineChars="200"/>
              <w:rPr>
                <w:color w:val="auto"/>
                <w:lang w:val="zh-CN"/>
              </w:rPr>
            </w:pPr>
            <w:r>
              <w:rPr>
                <w:rFonts w:hint="eastAsia" w:eastAsia="楷体"/>
                <w:b/>
                <w:color w:val="auto"/>
                <w:sz w:val="24"/>
                <w:szCs w:val="24"/>
              </w:rPr>
              <w:t>（三）加强生态示范创建。</w:t>
            </w:r>
            <w:r>
              <w:rPr>
                <w:rFonts w:hint="eastAsia" w:eastAsia="楷体"/>
                <w:bCs/>
                <w:color w:val="auto"/>
                <w:sz w:val="24"/>
                <w:szCs w:val="24"/>
              </w:rPr>
              <w:t>生态文明建设示范县、“两山基地”、“美丽四川”示范建设。</w:t>
            </w:r>
          </w:p>
        </w:tc>
      </w:tr>
    </w:tbl>
    <w:p>
      <w:pPr>
        <w:spacing w:line="600" w:lineRule="exact"/>
        <w:outlineLvl w:val="1"/>
        <w:rPr>
          <w:rFonts w:ascii="仿宋_GB2312" w:hAnsi="仿宋_GB2312" w:eastAsia="仿宋_GB2312" w:cs="仿宋_GB2312"/>
          <w:b/>
          <w:bCs/>
          <w:color w:val="auto"/>
          <w:sz w:val="32"/>
          <w:szCs w:val="32"/>
        </w:rPr>
      </w:pPr>
      <w:bookmarkStart w:id="60" w:name="_Toc28667"/>
      <w:bookmarkStart w:id="61" w:name="_Toc92470653"/>
      <w:bookmarkStart w:id="62" w:name="_Toc13768"/>
      <w:r>
        <w:rPr>
          <w:rFonts w:hint="eastAsia" w:ascii="仿宋_GB2312" w:hAnsi="仿宋_GB2312" w:eastAsia="仿宋_GB2312" w:cs="仿宋_GB2312"/>
          <w:b/>
          <w:bCs/>
          <w:color w:val="auto"/>
          <w:sz w:val="32"/>
          <w:szCs w:val="32"/>
        </w:rPr>
        <w:t>（三）</w:t>
      </w:r>
      <w:bookmarkEnd w:id="60"/>
      <w:r>
        <w:rPr>
          <w:rFonts w:hint="eastAsia" w:ascii="仿宋_GB2312" w:hAnsi="仿宋_GB2312" w:eastAsia="仿宋_GB2312" w:cs="仿宋_GB2312"/>
          <w:b/>
          <w:bCs/>
          <w:color w:val="auto"/>
          <w:sz w:val="32"/>
          <w:szCs w:val="32"/>
        </w:rPr>
        <w:t>深入打好污染防治攻坚战</w:t>
      </w:r>
      <w:bookmarkEnd w:id="61"/>
      <w:bookmarkEnd w:id="62"/>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1</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深入打好蓝天保卫战</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加强空气质量动态管理。</w:t>
      </w:r>
      <w:r>
        <w:rPr>
          <w:rFonts w:hint="eastAsia" w:eastAsia="仿宋_GB2312" w:cs="仿宋_GB2312"/>
          <w:color w:val="auto"/>
          <w:sz w:val="28"/>
          <w:szCs w:val="28"/>
          <w:lang w:val="zh-CN"/>
        </w:rPr>
        <w:t>制定新一轮朝天区深入打好蓝天保卫战行动方案。春夏季重点治理臭氧污染，秋冬季重点治理细颗粒物污染，强化城区“治尘”、工业“治污”、全域“治烟”、机动车“治排”以及协同“共治”。以轻微污染天气为重点，加强大气环境质量监测与污染源监控联动，实现污染成因快速识别及污染源精准管控。</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深入推进重点行业企业治理。</w:t>
      </w:r>
      <w:r>
        <w:rPr>
          <w:rFonts w:hint="eastAsia" w:eastAsia="仿宋_GB2312" w:cs="仿宋_GB2312"/>
          <w:color w:val="auto"/>
          <w:sz w:val="28"/>
          <w:szCs w:val="28"/>
          <w:lang w:val="zh-CN"/>
        </w:rPr>
        <w:t>推动重点行业实施超低排放改造或深度治理，完成广元海螺水泥有限责任公司超低排放改造，水泥熟料窑改造后氮氧化物排放浓度不高于100毫克/立方米，全面加强运行监管，确保按照超低排放限值运行。全面淘汰1</w:t>
      </w:r>
      <w:r>
        <w:rPr>
          <w:rFonts w:eastAsia="仿宋_GB2312" w:cs="仿宋_GB2312"/>
          <w:color w:val="auto"/>
          <w:sz w:val="28"/>
          <w:szCs w:val="28"/>
          <w:lang w:val="zh-CN"/>
        </w:rPr>
        <w:t>0</w:t>
      </w:r>
      <w:r>
        <w:rPr>
          <w:rFonts w:hint="eastAsia" w:eastAsia="仿宋_GB2312" w:cs="仿宋_GB2312"/>
          <w:color w:val="auto"/>
          <w:sz w:val="28"/>
          <w:szCs w:val="28"/>
          <w:lang w:val="zh-CN"/>
        </w:rPr>
        <w:t>蒸吨/小时以下燃煤锅炉，推动县级城市建成区淘汰35蒸吨/小时以下的燃煤锅炉。县级城市建成区原则上不再新建3</w:t>
      </w:r>
      <w:r>
        <w:rPr>
          <w:rFonts w:eastAsia="仿宋_GB2312" w:cs="仿宋_GB2312"/>
          <w:color w:val="auto"/>
          <w:sz w:val="28"/>
          <w:szCs w:val="28"/>
          <w:lang w:val="zh-CN"/>
        </w:rPr>
        <w:t>5</w:t>
      </w:r>
      <w:r>
        <w:rPr>
          <w:rFonts w:hint="eastAsia" w:eastAsia="仿宋_GB2312" w:cs="仿宋_GB2312"/>
          <w:color w:val="auto"/>
          <w:sz w:val="28"/>
          <w:szCs w:val="28"/>
          <w:lang w:val="zh-CN"/>
        </w:rPr>
        <w:t>蒸吨/小时以下的燃煤锅炉，完成65蒸吨及以上燃煤锅炉（含电力）超低排放改造，推动燃气锅炉低氮燃烧改造。加强砖瓦行业轮窑生产线淘汰和烟气深度治理，推动商品混凝土加工行业企业深度治理改造，创建绩效引领性企业，加强砂石厂密闭生产和运输改造。强化无组织排放控制。</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加强VOCs综合整治。</w:t>
      </w:r>
      <w:r>
        <w:rPr>
          <w:rFonts w:hint="eastAsia" w:eastAsia="仿宋_GB2312" w:cs="仿宋_GB2312"/>
          <w:color w:val="auto"/>
          <w:sz w:val="28"/>
          <w:szCs w:val="28"/>
          <w:lang w:val="zh-CN"/>
        </w:rPr>
        <w:t>以生物制药、家具、油品储存与运输、建筑涂料、汽修等为重点领域，新建项目实施VOCs排放总量控制和倍量替代制度。推动低无V</w:t>
      </w:r>
      <w:r>
        <w:rPr>
          <w:rFonts w:eastAsia="仿宋_GB2312" w:cs="仿宋_GB2312"/>
          <w:color w:val="auto"/>
          <w:sz w:val="28"/>
          <w:szCs w:val="28"/>
          <w:lang w:val="zh-CN"/>
        </w:rPr>
        <w:t>OCs</w:t>
      </w:r>
      <w:r>
        <w:rPr>
          <w:rFonts w:hint="eastAsia" w:eastAsia="仿宋_GB2312" w:cs="仿宋_GB2312"/>
          <w:color w:val="auto"/>
          <w:sz w:val="28"/>
          <w:szCs w:val="28"/>
          <w:lang w:val="zh-CN"/>
        </w:rPr>
        <w:t>原辅材料替代，室外构筑物防护和道路交通标志替代率1</w:t>
      </w:r>
      <w:r>
        <w:rPr>
          <w:rFonts w:eastAsia="仿宋_GB2312" w:cs="仿宋_GB2312"/>
          <w:color w:val="auto"/>
          <w:sz w:val="28"/>
          <w:szCs w:val="28"/>
          <w:lang w:val="zh-CN"/>
        </w:rPr>
        <w:t>00</w:t>
      </w:r>
      <w:r>
        <w:rPr>
          <w:rFonts w:hint="eastAsia" w:eastAsia="仿宋_GB2312" w:cs="仿宋_GB2312"/>
          <w:color w:val="auto"/>
          <w:sz w:val="28"/>
          <w:szCs w:val="28"/>
          <w:lang w:val="zh-CN"/>
        </w:rPr>
        <w:t>%；木质家具制造、钢结构制造替代率30%以上。塑料软包装印刷、印铁制罐、平版纸包装印刷替代率分别达到30%、80%、90%以上。推广使用水基、本体型等低VOCs含量胶粘剂，塑料软包装印刷替代率达到75%，家具制造替代率1</w:t>
      </w:r>
      <w:r>
        <w:rPr>
          <w:rFonts w:eastAsia="仿宋_GB2312" w:cs="仿宋_GB2312"/>
          <w:color w:val="auto"/>
          <w:sz w:val="28"/>
          <w:szCs w:val="28"/>
          <w:lang w:val="zh-CN"/>
        </w:rPr>
        <w:t>00</w:t>
      </w:r>
      <w:r>
        <w:rPr>
          <w:rFonts w:hint="eastAsia" w:eastAsia="仿宋_GB2312" w:cs="仿宋_GB2312"/>
          <w:color w:val="auto"/>
          <w:sz w:val="28"/>
          <w:szCs w:val="28"/>
          <w:lang w:val="zh-CN"/>
        </w:rPr>
        <w:t>%。开展现有企业VOCs废气收集率、治理设施同步运行率和去除率的排查，实施分类整治</w:t>
      </w:r>
      <w:bookmarkStart w:id="63" w:name="_Hlk62483542"/>
      <w:r>
        <w:rPr>
          <w:rFonts w:hint="eastAsia" w:eastAsia="仿宋_GB2312" w:cs="仿宋_GB2312"/>
          <w:color w:val="auto"/>
          <w:sz w:val="28"/>
          <w:szCs w:val="28"/>
          <w:lang w:val="zh-CN"/>
        </w:rPr>
        <w:t>，全面提升治理设施“三率”</w:t>
      </w:r>
      <w:bookmarkEnd w:id="63"/>
      <w:r>
        <w:rPr>
          <w:rFonts w:hint="eastAsia" w:eastAsia="仿宋_GB2312" w:cs="仿宋_GB2312"/>
          <w:color w:val="auto"/>
          <w:sz w:val="28"/>
          <w:szCs w:val="28"/>
          <w:lang w:val="zh-CN"/>
        </w:rPr>
        <w:t>。取消非必要的旁路，加强非正常工况废气排放控制。推进重点企业、园区VOCs排放在线监测建设，加强生活源VOCs污染控制。</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推进移动源污染防治。</w:t>
      </w:r>
      <w:r>
        <w:rPr>
          <w:rFonts w:hint="eastAsia" w:eastAsia="仿宋_GB2312" w:cs="仿宋_GB2312"/>
          <w:color w:val="auto"/>
          <w:sz w:val="28"/>
          <w:szCs w:val="28"/>
          <w:lang w:val="zh-CN"/>
        </w:rPr>
        <w:t>严格执行机动车排放检验与维护(I/M)制度，加强路检抽查、黑烟车抓拍、入户抽测，严查超标车辆。优化城市建成区黑烟车禁行区域，优化重型柴油货车绕城通道，提升城市交通绿色畅通能力。加强柴油货车远程在线监控能力建设，实时监控柴油车活动水平和排放状况，加强对柴油货车运营公司监督管理，2025年底前，基本淘汰国三及以下柴油货车。开展非道路移动机械尾气排放整治工作，强化非道路移动机械申报登记监管和尾气监测处罚机制建设，基本淘汰国一及以下排放标准或使用15年以上的工程机械。</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加强面源污染防治。</w:t>
      </w:r>
      <w:r>
        <w:rPr>
          <w:rFonts w:hint="eastAsia" w:eastAsia="仿宋_GB2312" w:cs="仿宋_GB2312"/>
          <w:color w:val="auto"/>
          <w:sz w:val="28"/>
          <w:szCs w:val="28"/>
          <w:lang w:val="zh-CN"/>
        </w:rPr>
        <w:t>积极开展“绿色工地”示范创建。城市建成区施工工地安装扬尘在线监测监控设备，严格落实施各项防尘措施。推行城市道路清扫标准化作业，提高城市道路机械化清扫率和洒水保洁水平，到2025年，城市建成区道路机械化清扫率达到70%。大中型餐饮项目安装油烟在线自动监控设施，督促餐饮单位每季度对油烟净化设施进行维护保养。推进秸秆资源化利用，全面推广秸秆还田、制肥、饲料化、能源化利用等措施，到2025年，全区秸秆综合利用率达到92%。完善县—乡—村-组四级秸秆禁烧责任体系，强化农作物秸秆等生物质露天焚烧管控。深化测土施肥技术，提高化肥利用率，减少农业氨排放。</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全面开展协同治气。</w:t>
      </w:r>
      <w:r>
        <w:rPr>
          <w:rFonts w:hint="eastAsia" w:eastAsia="仿宋_GB2312" w:cs="仿宋_GB2312"/>
          <w:color w:val="auto"/>
          <w:sz w:val="28"/>
          <w:szCs w:val="28"/>
          <w:lang w:val="zh-CN"/>
        </w:rPr>
        <w:t>加强PM</w:t>
      </w:r>
      <w:r>
        <w:rPr>
          <w:rFonts w:hint="eastAsia" w:eastAsia="仿宋_GB2312" w:cs="仿宋_GB2312"/>
          <w:color w:val="auto"/>
          <w:sz w:val="28"/>
          <w:szCs w:val="28"/>
          <w:vertAlign w:val="subscript"/>
          <w:lang w:val="zh-CN"/>
        </w:rPr>
        <w:t>2.5</w:t>
      </w:r>
      <w:r>
        <w:rPr>
          <w:rFonts w:hint="eastAsia" w:eastAsia="仿宋_GB2312" w:cs="仿宋_GB2312"/>
          <w:color w:val="auto"/>
          <w:sz w:val="28"/>
          <w:szCs w:val="28"/>
          <w:lang w:val="zh-CN"/>
        </w:rPr>
        <w:t>和臭氧协同、NOx和VOCs协同、大气污染物和温室气体协同控制，协同治理有毒有害气体和消耗臭氧层物质控制。加强与毗邻的区县的联防联控，积极应对污染天气，推动实现区域空气质量整体改善。</w:t>
      </w:r>
    </w:p>
    <w:tbl>
      <w:tblPr>
        <w:tblStyle w:val="21"/>
        <w:tblpPr w:leftFromText="180" w:rightFromText="180" w:vertAnchor="text" w:horzAnchor="margin" w:tblpY="6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946" w:type="dxa"/>
            <w:shd w:val="clear" w:color="auto" w:fill="BFBFBF"/>
            <w:vAlign w:val="center"/>
          </w:tcPr>
          <w:p>
            <w:pPr>
              <w:adjustRightInd w:val="0"/>
              <w:snapToGrid w:val="0"/>
              <w:jc w:val="center"/>
              <w:rPr>
                <w:b/>
                <w:color w:val="auto"/>
                <w:sz w:val="28"/>
                <w:szCs w:val="28"/>
              </w:rPr>
            </w:pPr>
            <w:r>
              <w:rPr>
                <w:rFonts w:hint="eastAsia" w:ascii="黑体" w:hAnsi="黑体" w:eastAsia="黑体" w:cs="黑体"/>
                <w:color w:val="auto"/>
                <w:sz w:val="28"/>
                <w:szCs w:val="28"/>
              </w:rPr>
              <w:t>专栏三</w:t>
            </w:r>
            <w:r>
              <w:rPr>
                <w:rFonts w:ascii="黑体" w:hAnsi="黑体" w:eastAsia="黑体" w:cs="黑体"/>
                <w:color w:val="auto"/>
                <w:sz w:val="28"/>
                <w:szCs w:val="28"/>
              </w:rPr>
              <w:t xml:space="preserve">  大气污染防治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rPr>
                <w:rFonts w:eastAsia="楷体"/>
                <w:bCs/>
                <w:color w:val="auto"/>
                <w:sz w:val="24"/>
                <w:szCs w:val="24"/>
              </w:rPr>
            </w:pPr>
            <w:r>
              <w:rPr>
                <w:rFonts w:hint="eastAsia" w:eastAsia="楷体"/>
                <w:b/>
                <w:color w:val="auto"/>
                <w:sz w:val="24"/>
                <w:szCs w:val="24"/>
              </w:rPr>
              <w:t>（一）空气质量达标管理。</w:t>
            </w:r>
            <w:r>
              <w:rPr>
                <w:rFonts w:hint="eastAsia" w:eastAsia="楷体"/>
                <w:bCs/>
                <w:color w:val="auto"/>
                <w:sz w:val="24"/>
                <w:szCs w:val="24"/>
              </w:rPr>
              <w:t>制定新一轮朝天区深入打好蓝天保卫战行动方案，编制空气质量持续改善行动计划。动态更新大气污染源排放清单，加强污染源解析。</w:t>
            </w:r>
          </w:p>
          <w:p>
            <w:pPr>
              <w:rPr>
                <w:rFonts w:eastAsia="楷体"/>
                <w:bCs/>
                <w:color w:val="auto"/>
                <w:sz w:val="24"/>
                <w:szCs w:val="24"/>
              </w:rPr>
            </w:pPr>
            <w:r>
              <w:rPr>
                <w:rFonts w:hint="eastAsia" w:eastAsia="楷体"/>
                <w:b/>
                <w:color w:val="auto"/>
                <w:sz w:val="24"/>
                <w:szCs w:val="24"/>
              </w:rPr>
              <w:t>（二）重点行业污染治理。</w:t>
            </w:r>
            <w:r>
              <w:rPr>
                <w:rFonts w:hint="eastAsia" w:eastAsia="楷体"/>
                <w:bCs/>
                <w:color w:val="auto"/>
                <w:sz w:val="24"/>
                <w:szCs w:val="24"/>
              </w:rPr>
              <w:t>水泥等重点行业超低排放改造或深度治理。淘汰燃煤小锅炉。</w:t>
            </w:r>
            <w:r>
              <w:rPr>
                <w:rFonts w:eastAsia="楷体"/>
                <w:bCs/>
                <w:color w:val="auto"/>
                <w:sz w:val="24"/>
                <w:szCs w:val="24"/>
              </w:rPr>
              <w:t>燃气锅炉低氮燃烧改造。砖瓦行业轮窑生产线淘汰和烟气深度治理，商品混凝土加工行业企业深度治理改造。</w:t>
            </w:r>
          </w:p>
          <w:p>
            <w:pPr>
              <w:rPr>
                <w:rFonts w:eastAsia="楷体"/>
                <w:bCs/>
                <w:color w:val="auto"/>
                <w:sz w:val="24"/>
                <w:szCs w:val="24"/>
              </w:rPr>
            </w:pPr>
            <w:r>
              <w:rPr>
                <w:rFonts w:hint="eastAsia" w:eastAsia="楷体"/>
                <w:b/>
                <w:color w:val="auto"/>
                <w:sz w:val="24"/>
                <w:szCs w:val="24"/>
              </w:rPr>
              <w:t>（三）加强</w:t>
            </w:r>
            <w:r>
              <w:rPr>
                <w:rFonts w:eastAsia="楷体"/>
                <w:b/>
                <w:color w:val="auto"/>
                <w:sz w:val="24"/>
                <w:szCs w:val="24"/>
              </w:rPr>
              <w:t>VOCs治理。</w:t>
            </w:r>
            <w:r>
              <w:rPr>
                <w:rFonts w:hint="eastAsia" w:eastAsia="楷体"/>
                <w:bCs/>
                <w:color w:val="auto"/>
                <w:sz w:val="24"/>
                <w:szCs w:val="24"/>
              </w:rPr>
              <w:t>加强源头替代，开展“三率”综合整治。</w:t>
            </w:r>
          </w:p>
          <w:p>
            <w:pPr>
              <w:rPr>
                <w:rFonts w:eastAsia="楷体"/>
                <w:bCs/>
                <w:color w:val="auto"/>
                <w:sz w:val="24"/>
                <w:szCs w:val="24"/>
              </w:rPr>
            </w:pPr>
            <w:r>
              <w:rPr>
                <w:rFonts w:hint="eastAsia" w:eastAsia="楷体"/>
                <w:b/>
                <w:color w:val="auto"/>
                <w:sz w:val="24"/>
                <w:szCs w:val="24"/>
              </w:rPr>
              <w:t>（四）移动源污染防治。</w:t>
            </w:r>
            <w:r>
              <w:rPr>
                <w:rFonts w:hint="eastAsia" w:eastAsia="楷体"/>
                <w:bCs/>
                <w:color w:val="auto"/>
                <w:sz w:val="24"/>
                <w:szCs w:val="24"/>
              </w:rPr>
              <w:t>加强路检和抽测，加强柴油货车运营公司管理，加强非道路移动机械污染防治。</w:t>
            </w:r>
          </w:p>
          <w:p>
            <w:pPr>
              <w:rPr>
                <w:rFonts w:eastAsia="仿宋_GB2312"/>
                <w:color w:val="auto"/>
                <w:sz w:val="24"/>
              </w:rPr>
            </w:pPr>
            <w:r>
              <w:rPr>
                <w:rFonts w:hint="eastAsia" w:eastAsia="楷体"/>
                <w:b/>
                <w:color w:val="auto"/>
                <w:sz w:val="24"/>
                <w:szCs w:val="24"/>
              </w:rPr>
              <w:t>（五）面源污染防治。</w:t>
            </w:r>
            <w:r>
              <w:rPr>
                <w:rFonts w:hint="eastAsia" w:eastAsia="楷体"/>
                <w:bCs/>
                <w:color w:val="auto"/>
                <w:sz w:val="24"/>
                <w:szCs w:val="24"/>
              </w:rPr>
              <w:t>“绿色工地”示范创建，机械化道路清扫，秸秆综合利用，餐饮油烟防治。</w:t>
            </w:r>
          </w:p>
        </w:tc>
      </w:tr>
    </w:tbl>
    <w:p>
      <w:pPr>
        <w:pStyle w:val="2"/>
        <w:rPr>
          <w:rFonts w:eastAsia="仿宋_GB2312" w:cs="仿宋_GB2312"/>
          <w:b/>
          <w:bCs/>
          <w:color w:val="auto"/>
          <w:sz w:val="28"/>
          <w:szCs w:val="28"/>
          <w:lang w:val="zh-CN"/>
        </w:rPr>
      </w:pPr>
      <w:bookmarkStart w:id="64" w:name="_Toc1036"/>
      <w:r>
        <w:rPr>
          <w:color w:val="auto"/>
          <w:lang w:val="zh-CN"/>
        </w:rPr>
        <w:br w:type="page"/>
      </w:r>
      <w:r>
        <w:rPr>
          <w:rFonts w:hint="eastAsia" w:eastAsia="仿宋_GB2312" w:cs="仿宋_GB2312"/>
          <w:b/>
          <w:bCs/>
          <w:color w:val="auto"/>
          <w:sz w:val="28"/>
          <w:szCs w:val="28"/>
          <w:lang w:val="zh-CN"/>
        </w:rPr>
        <w:t>2</w:t>
      </w:r>
      <w:r>
        <w:rPr>
          <w:rFonts w:hint="eastAsia" w:ascii="微软雅黑" w:hAnsi="微软雅黑" w:eastAsia="微软雅黑" w:cs="微软雅黑"/>
          <w:b/>
          <w:bCs/>
          <w:color w:val="auto"/>
          <w:sz w:val="28"/>
          <w:szCs w:val="28"/>
          <w:lang w:val="zh-CN"/>
        </w:rPr>
        <w:t>．</w:t>
      </w:r>
      <w:bookmarkEnd w:id="64"/>
      <w:r>
        <w:rPr>
          <w:rFonts w:hint="eastAsia" w:eastAsia="仿宋_GB2312" w:cs="仿宋_GB2312"/>
          <w:b/>
          <w:bCs/>
          <w:color w:val="auto"/>
          <w:sz w:val="28"/>
          <w:szCs w:val="28"/>
          <w:lang w:val="zh-CN"/>
        </w:rPr>
        <w:t>深入打好碧水保卫战</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推进水资源保护。</w:t>
      </w:r>
      <w:r>
        <w:rPr>
          <w:rFonts w:hint="eastAsia" w:eastAsia="仿宋_GB2312" w:cs="仿宋_GB2312"/>
          <w:color w:val="auto"/>
          <w:sz w:val="28"/>
          <w:szCs w:val="28"/>
          <w:lang w:val="zh-CN"/>
        </w:rPr>
        <w:t>实行水资源消耗总量和强度“双控”。严格控制取用水总量，统筹生活、生态环境、工业、农业用水需求，优先满足城乡生活用水，保障基本生态用水。全面落实最严格水资源管理制度，严把“三条红线”控制目标，严格执行广元市下达的用水总量分解控制目标。严格建设项目水资源论证，加强取水许可管理。加强工业节水减排，提高工业重复用水利用率和中水回用水平。</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加强饮用水源地保护。</w:t>
      </w:r>
      <w:r>
        <w:rPr>
          <w:rFonts w:hint="eastAsia" w:eastAsia="仿宋_GB2312" w:cs="仿宋_GB2312"/>
          <w:color w:val="auto"/>
          <w:sz w:val="28"/>
          <w:szCs w:val="28"/>
          <w:lang w:val="zh-CN"/>
        </w:rPr>
        <w:t>重点加强潜溪河（龙洞背水厂）、安乐河（大中坝水厂）县级饮用水水源地保护，提升饮用水水源地水质监测和预警能力，开展集中式饮用水水源监测和环境状况调查评估，定期向社会公开饮水安全状况。加快城镇应急备用水源建设。完成2</w:t>
      </w:r>
      <w:r>
        <w:rPr>
          <w:rFonts w:eastAsia="仿宋_GB2312" w:cs="仿宋_GB2312"/>
          <w:color w:val="auto"/>
          <w:sz w:val="28"/>
          <w:szCs w:val="28"/>
          <w:lang w:val="zh-CN"/>
        </w:rPr>
        <w:t>2</w:t>
      </w:r>
      <w:r>
        <w:rPr>
          <w:rFonts w:hint="eastAsia" w:eastAsia="仿宋_GB2312" w:cs="仿宋_GB2312"/>
          <w:color w:val="auto"/>
          <w:sz w:val="28"/>
          <w:szCs w:val="28"/>
          <w:lang w:val="zh-CN"/>
        </w:rPr>
        <w:t xml:space="preserve">个乡镇集中式饮用水源保护区规范化整治，完成水源地标志标牌、隔离防护等基础设施建设。全面清理整改乡镇及以下饮用水源环境问题，深化面源污染防治。提高“千吨万人”乡镇及以下集中式饮用水水源地风险防范能力。完善乡镇及以下集中式饮用水水源名录和档案管理。 </w:t>
      </w:r>
    </w:p>
    <w:p>
      <w:pPr>
        <w:pStyle w:val="20"/>
        <w:adjustRightInd w:val="0"/>
        <w:snapToGrid w:val="0"/>
        <w:spacing w:after="0" w:line="560" w:lineRule="exact"/>
        <w:ind w:left="0" w:leftChars="0" w:firstLine="562"/>
        <w:rPr>
          <w:rFonts w:eastAsia="仿宋_GB2312" w:cs="仿宋_GB2312"/>
          <w:color w:val="auto"/>
          <w:spacing w:val="-6"/>
          <w:sz w:val="28"/>
          <w:szCs w:val="28"/>
          <w:lang w:val="zh-CN"/>
        </w:rPr>
      </w:pPr>
      <w:r>
        <w:rPr>
          <w:rFonts w:hint="eastAsia" w:eastAsia="仿宋_GB2312" w:cs="仿宋_GB2312"/>
          <w:b/>
          <w:bCs/>
          <w:color w:val="auto"/>
          <w:spacing w:val="-6"/>
          <w:sz w:val="28"/>
          <w:szCs w:val="28"/>
          <w:lang w:val="zh-CN"/>
        </w:rPr>
        <w:t>强化水污染治理。</w:t>
      </w:r>
      <w:r>
        <w:rPr>
          <w:rFonts w:hint="eastAsia" w:eastAsia="仿宋_GB2312" w:cs="仿宋_GB2312"/>
          <w:color w:val="auto"/>
          <w:spacing w:val="-6"/>
          <w:sz w:val="28"/>
          <w:szCs w:val="28"/>
          <w:lang w:val="zh-CN"/>
        </w:rPr>
        <w:t>加强嘉陵江、羊木河、安乐河、潜溪河、青边河、鱼洞河等流域源头的良好水体保护。加快实施“清水绿岸”治理提升工程，实施嘉陵江（朝天段）潜溪河、广坪河、东沟河、清边河流域环境污染综合治理，开展流域入河排污口整治工程。开展城区污水处理厂提标升级改造，推进污水处理厂尾水深度处理及再生水循环利用，提升朝天经济开发区、仇坝工业园区等园区污水治理能力。</w:t>
      </w:r>
      <w:r>
        <w:rPr>
          <w:rFonts w:hint="eastAsia" w:ascii="Times New Roman" w:hAnsi="Times New Roman" w:eastAsia="仿宋_GB2312" w:cs="仿宋_GB2312"/>
          <w:color w:val="auto"/>
          <w:spacing w:val="-6"/>
          <w:sz w:val="28"/>
          <w:szCs w:val="28"/>
          <w:lang w:val="zh-CN"/>
        </w:rPr>
        <w:t>到2023年底，所有建制镇实现污水处理设施全覆盖并稳定运行、达标排放。</w:t>
      </w:r>
      <w:r>
        <w:rPr>
          <w:rFonts w:hint="eastAsia" w:eastAsia="仿宋_GB2312" w:cs="仿宋_GB2312"/>
          <w:color w:val="auto"/>
          <w:spacing w:val="-6"/>
          <w:sz w:val="28"/>
          <w:szCs w:val="28"/>
          <w:lang w:val="zh-CN"/>
        </w:rPr>
        <w:t>到2025年底，县级城镇生活污水处理率达到</w:t>
      </w:r>
      <w:r>
        <w:rPr>
          <w:rFonts w:hint="eastAsia" w:eastAsia="仿宋_GB2312" w:cs="仿宋_GB2312"/>
          <w:color w:val="auto"/>
          <w:spacing w:val="-6"/>
          <w:sz w:val="28"/>
          <w:szCs w:val="28"/>
          <w:lang w:val="en-US" w:eastAsia="zh-CN"/>
        </w:rPr>
        <w:t>95</w:t>
      </w:r>
      <w:r>
        <w:rPr>
          <w:rFonts w:hint="eastAsia" w:eastAsia="仿宋_GB2312" w:cs="仿宋_GB2312"/>
          <w:color w:val="auto"/>
          <w:spacing w:val="-6"/>
          <w:sz w:val="28"/>
          <w:szCs w:val="28"/>
          <w:lang w:val="zh-CN"/>
        </w:rPr>
        <w:t>%以上。县级城市建成区黑臭水体基本消除。</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开展水生态修复。</w:t>
      </w:r>
      <w:r>
        <w:rPr>
          <w:rFonts w:hint="eastAsia" w:eastAsia="仿宋_GB2312" w:cs="仿宋_GB2312"/>
          <w:color w:val="auto"/>
          <w:sz w:val="28"/>
          <w:szCs w:val="28"/>
          <w:lang w:val="zh-CN"/>
        </w:rPr>
        <w:t>严格落实长江“十年禁渔”要求，严厉打击违法捕渔行为。开展水生态修复、缓冲带和湿地修复，流域湿地生态修复、河口生境修复项目、入河排污口综合整治等工程，修复河道水生态，维持河道生物多样性，配合开展嘉陵江水生生物完整性评价。重点对朝天区18家矿企矿井涌水进行修复治理，全面完成境内矿企涌水污染治理。开展水生态调查与评估、监测与保护。</w:t>
      </w:r>
    </w:p>
    <w:p>
      <w:pPr>
        <w:pStyle w:val="20"/>
        <w:adjustRightInd w:val="0"/>
        <w:snapToGrid w:val="0"/>
        <w:spacing w:after="0" w:line="560" w:lineRule="exact"/>
        <w:ind w:left="0" w:leftChars="0" w:firstLine="562"/>
        <w:rPr>
          <w:rFonts w:eastAsia="仿宋_GB2312" w:cs="仿宋_GB2312"/>
          <w:color w:val="auto"/>
          <w:sz w:val="28"/>
          <w:szCs w:val="28"/>
          <w:lang w:val="zh-CN"/>
        </w:rPr>
      </w:pPr>
      <w:bookmarkStart w:id="65" w:name="_Toc82850831"/>
      <w:bookmarkStart w:id="66" w:name="_Toc50365245"/>
      <w:r>
        <w:rPr>
          <w:rFonts w:hint="eastAsia" w:eastAsia="仿宋_GB2312" w:cs="仿宋_GB2312"/>
          <w:b/>
          <w:bCs/>
          <w:color w:val="auto"/>
          <w:sz w:val="28"/>
          <w:szCs w:val="28"/>
          <w:lang w:val="zh-CN"/>
        </w:rPr>
        <w:t>深化地下水污染防治</w:t>
      </w:r>
      <w:bookmarkEnd w:id="65"/>
      <w:bookmarkEnd w:id="66"/>
      <w:r>
        <w:rPr>
          <w:rFonts w:hint="eastAsia" w:eastAsia="仿宋_GB2312" w:cs="仿宋_GB2312"/>
          <w:b/>
          <w:bCs/>
          <w:color w:val="auto"/>
          <w:sz w:val="28"/>
          <w:szCs w:val="28"/>
          <w:lang w:val="zh-CN"/>
        </w:rPr>
        <w:t>。</w:t>
      </w:r>
      <w:r>
        <w:rPr>
          <w:rFonts w:hint="eastAsia" w:eastAsia="仿宋_GB2312" w:cs="仿宋_GB2312"/>
          <w:color w:val="auto"/>
          <w:sz w:val="28"/>
          <w:szCs w:val="28"/>
          <w:lang w:val="zh-CN"/>
        </w:rPr>
        <w:t>全面开展地下水环境状况调查评估。重点对垃圾填埋场、加油站、尾矿库、危险废物处置场、化工园区和化工项目等地下水重点污染源及周边地下水环境风险隐患开展调查评估。围绕集中式地下水型饮用水水源和地下水污染源布设水环境监测点位，摸清地下水污染分布及环境风险情况。加强地表水、地下水污染协同防治，强化土壤、地下水污染协同防治，加强区域与场地地下水污染协同防治。</w:t>
      </w:r>
      <w:r>
        <w:rPr>
          <w:rFonts w:eastAsia="仿宋_GB2312" w:cs="仿宋_GB2312"/>
          <w:color w:val="auto"/>
          <w:sz w:val="28"/>
          <w:szCs w:val="28"/>
          <w:lang w:val="zh-CN"/>
        </w:rPr>
        <w:t>在工业</w:t>
      </w:r>
      <w:r>
        <w:rPr>
          <w:rFonts w:hint="eastAsia" w:eastAsia="仿宋_GB2312" w:cs="仿宋_GB2312"/>
          <w:color w:val="auto"/>
          <w:sz w:val="28"/>
          <w:szCs w:val="28"/>
          <w:lang w:val="zh-CN"/>
        </w:rPr>
        <w:t>园</w:t>
      </w:r>
      <w:r>
        <w:rPr>
          <w:rFonts w:eastAsia="仿宋_GB2312" w:cs="仿宋_GB2312"/>
          <w:color w:val="auto"/>
          <w:sz w:val="28"/>
          <w:szCs w:val="28"/>
          <w:lang w:val="zh-CN"/>
        </w:rPr>
        <w:t>区、矿山开采区及油库等区域，</w:t>
      </w:r>
      <w:r>
        <w:rPr>
          <w:rFonts w:hint="eastAsia" w:eastAsia="仿宋_GB2312" w:cs="仿宋_GB2312"/>
          <w:color w:val="auto"/>
          <w:sz w:val="28"/>
          <w:szCs w:val="28"/>
          <w:lang w:val="zh-CN"/>
        </w:rPr>
        <w:t>试点开展地下水污染修复工作。</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加强流域联防联控。</w:t>
      </w:r>
      <w:r>
        <w:rPr>
          <w:rFonts w:hint="eastAsia" w:eastAsia="仿宋_GB2312" w:cs="仿宋_GB2312"/>
          <w:color w:val="auto"/>
          <w:sz w:val="28"/>
          <w:szCs w:val="28"/>
          <w:lang w:val="zh-CN"/>
        </w:rPr>
        <w:t>落实嘉陵江川陕甘跨界流域环境保护合作协议，协同推进产业绿色发展和排放标准升级，编制应急预案，储备应急物资，建设应急指挥系统，联合开展应急防控演练，提升应急防控能力。建设区域联防联控环境应急信息化平台，强化信息共享会商和应急协作，积极预防和科学应对各类突发环境事件。</w:t>
      </w:r>
    </w:p>
    <w:tbl>
      <w:tblPr>
        <w:tblStyle w:val="21"/>
        <w:tblpPr w:leftFromText="180" w:rightFromText="180" w:vertAnchor="text" w:horzAnchor="margin" w:tblpY="6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946" w:type="dxa"/>
            <w:shd w:val="clear" w:color="auto" w:fill="BFBFBF"/>
            <w:vAlign w:val="center"/>
          </w:tcPr>
          <w:p>
            <w:pPr>
              <w:adjustRightInd w:val="0"/>
              <w:snapToGrid w:val="0"/>
              <w:ind w:firstLine="560" w:firstLineChars="200"/>
              <w:jc w:val="center"/>
              <w:rPr>
                <w:b/>
                <w:color w:val="auto"/>
                <w:sz w:val="28"/>
                <w:szCs w:val="28"/>
              </w:rPr>
            </w:pPr>
            <w:r>
              <w:rPr>
                <w:rFonts w:hint="eastAsia" w:ascii="黑体" w:hAnsi="黑体" w:eastAsia="黑体" w:cs="黑体"/>
                <w:color w:val="auto"/>
                <w:sz w:val="28"/>
                <w:szCs w:val="28"/>
              </w:rPr>
              <w:t>专栏四</w:t>
            </w:r>
            <w:r>
              <w:rPr>
                <w:rFonts w:ascii="黑体" w:hAnsi="黑体" w:eastAsia="黑体" w:cs="黑体"/>
                <w:color w:val="auto"/>
                <w:sz w:val="28"/>
                <w:szCs w:val="28"/>
              </w:rPr>
              <w:t xml:space="preserve">  水污染防治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ind w:firstLine="482" w:firstLineChars="200"/>
              <w:rPr>
                <w:rFonts w:eastAsia="楷体"/>
                <w:bCs/>
                <w:color w:val="auto"/>
                <w:sz w:val="24"/>
                <w:szCs w:val="24"/>
              </w:rPr>
            </w:pPr>
            <w:r>
              <w:rPr>
                <w:rFonts w:hint="eastAsia" w:eastAsia="楷体"/>
                <w:b/>
                <w:color w:val="auto"/>
                <w:sz w:val="24"/>
                <w:szCs w:val="24"/>
              </w:rPr>
              <w:t>（一）饮用水源保护。</w:t>
            </w:r>
            <w:r>
              <w:rPr>
                <w:rFonts w:hint="eastAsia" w:eastAsia="楷体"/>
                <w:bCs/>
                <w:color w:val="auto"/>
                <w:sz w:val="24"/>
                <w:szCs w:val="24"/>
              </w:rPr>
              <w:t>潜溪河（龙洞背水厂）、安乐河（大中坝水厂）县级饮用水水源地以及</w:t>
            </w:r>
            <w:r>
              <w:rPr>
                <w:rFonts w:eastAsia="楷体"/>
                <w:bCs/>
                <w:color w:val="auto"/>
                <w:sz w:val="24"/>
                <w:szCs w:val="24"/>
              </w:rPr>
              <w:t>22个乡镇级集中式饮用水</w:t>
            </w:r>
            <w:r>
              <w:rPr>
                <w:rFonts w:hint="eastAsia" w:eastAsia="楷体"/>
                <w:bCs/>
                <w:color w:val="auto"/>
                <w:sz w:val="24"/>
                <w:szCs w:val="24"/>
              </w:rPr>
              <w:t>水</w:t>
            </w:r>
            <w:r>
              <w:rPr>
                <w:rFonts w:eastAsia="楷体"/>
                <w:bCs/>
                <w:color w:val="auto"/>
                <w:sz w:val="24"/>
                <w:szCs w:val="24"/>
              </w:rPr>
              <w:t>源地</w:t>
            </w:r>
            <w:r>
              <w:rPr>
                <w:rFonts w:hint="eastAsia" w:eastAsia="楷体"/>
                <w:bCs/>
                <w:color w:val="auto"/>
                <w:sz w:val="24"/>
                <w:szCs w:val="24"/>
              </w:rPr>
              <w:t>保护和建设。</w:t>
            </w:r>
          </w:p>
          <w:p>
            <w:pPr>
              <w:ind w:firstLine="482" w:firstLineChars="200"/>
              <w:rPr>
                <w:rFonts w:eastAsia="楷体"/>
                <w:bCs/>
                <w:color w:val="auto"/>
                <w:sz w:val="24"/>
                <w:szCs w:val="24"/>
              </w:rPr>
            </w:pPr>
            <w:r>
              <w:rPr>
                <w:rFonts w:hint="eastAsia" w:eastAsia="楷体"/>
                <w:b/>
                <w:color w:val="auto"/>
                <w:sz w:val="24"/>
                <w:szCs w:val="24"/>
              </w:rPr>
              <w:t>（二）水污染治理。</w:t>
            </w:r>
            <w:r>
              <w:rPr>
                <w:rFonts w:hint="eastAsia" w:eastAsia="楷体"/>
                <w:bCs/>
                <w:color w:val="auto"/>
                <w:sz w:val="24"/>
                <w:szCs w:val="24"/>
              </w:rPr>
              <w:t>嘉陵江、羊木河、安乐河、潜溪河、青边河、鱼洞河等流域源头良好水体保护，朝天经济开发区、仇坝工业园区污水治理，“清水绿岸”治理工程，黑臭水体综合整治。</w:t>
            </w:r>
          </w:p>
          <w:p>
            <w:pPr>
              <w:ind w:firstLine="482" w:firstLineChars="200"/>
              <w:rPr>
                <w:rFonts w:eastAsia="楷体"/>
                <w:bCs/>
                <w:color w:val="auto"/>
                <w:sz w:val="24"/>
                <w:szCs w:val="24"/>
              </w:rPr>
            </w:pPr>
            <w:r>
              <w:rPr>
                <w:rFonts w:hint="eastAsia" w:eastAsia="楷体"/>
                <w:b/>
                <w:color w:val="auto"/>
                <w:sz w:val="24"/>
                <w:szCs w:val="24"/>
              </w:rPr>
              <w:t>（三）水生态修复。</w:t>
            </w:r>
            <w:r>
              <w:rPr>
                <w:rFonts w:hint="eastAsia" w:eastAsia="楷体"/>
                <w:bCs/>
                <w:color w:val="auto"/>
                <w:sz w:val="24"/>
                <w:szCs w:val="24"/>
              </w:rPr>
              <w:t>嘉陵江等落实长江“十年禁渔”政策，矿企矿井涌水进行修复治理。</w:t>
            </w:r>
          </w:p>
          <w:p>
            <w:pPr>
              <w:ind w:firstLine="482" w:firstLineChars="200"/>
              <w:rPr>
                <w:rFonts w:eastAsia="楷体"/>
                <w:bCs/>
                <w:color w:val="auto"/>
                <w:sz w:val="24"/>
                <w:szCs w:val="24"/>
              </w:rPr>
            </w:pPr>
            <w:r>
              <w:rPr>
                <w:rFonts w:hint="eastAsia" w:eastAsia="楷体"/>
                <w:b/>
                <w:color w:val="auto"/>
                <w:sz w:val="24"/>
                <w:szCs w:val="24"/>
              </w:rPr>
              <w:t>（四）流域联防联控。</w:t>
            </w:r>
            <w:r>
              <w:rPr>
                <w:rFonts w:hint="eastAsia" w:eastAsia="楷体"/>
                <w:bCs/>
                <w:color w:val="auto"/>
                <w:sz w:val="24"/>
                <w:szCs w:val="24"/>
              </w:rPr>
              <w:t>建设区域联防联控环境应急信息化平台。</w:t>
            </w:r>
          </w:p>
        </w:tc>
      </w:tr>
    </w:tbl>
    <w:p>
      <w:pPr>
        <w:pStyle w:val="2"/>
        <w:rPr>
          <w:rFonts w:eastAsia="仿宋_GB2312" w:cs="仿宋_GB2312"/>
          <w:b/>
          <w:bCs/>
          <w:color w:val="auto"/>
          <w:sz w:val="28"/>
          <w:szCs w:val="28"/>
          <w:lang w:val="zh-CN"/>
        </w:rPr>
      </w:pPr>
      <w:bookmarkStart w:id="67" w:name="_Toc12395"/>
      <w:r>
        <w:rPr>
          <w:color w:val="auto"/>
          <w:lang w:val="zh-CN"/>
        </w:rPr>
        <w:br w:type="page"/>
      </w:r>
      <w:r>
        <w:rPr>
          <w:rFonts w:hint="eastAsia" w:eastAsia="仿宋_GB2312" w:cs="仿宋_GB2312"/>
          <w:b/>
          <w:bCs/>
          <w:color w:val="auto"/>
          <w:sz w:val="28"/>
          <w:szCs w:val="28"/>
          <w:lang w:val="zh-CN"/>
        </w:rPr>
        <w:t>3</w:t>
      </w:r>
      <w:r>
        <w:rPr>
          <w:rFonts w:hint="eastAsia" w:ascii="微软雅黑" w:hAnsi="微软雅黑" w:eastAsia="微软雅黑" w:cs="微软雅黑"/>
          <w:b/>
          <w:bCs/>
          <w:color w:val="auto"/>
          <w:sz w:val="28"/>
          <w:szCs w:val="28"/>
          <w:lang w:val="zh-CN"/>
        </w:rPr>
        <w:t>．</w:t>
      </w:r>
      <w:r>
        <w:rPr>
          <w:rFonts w:hint="eastAsia" w:ascii="Calibri" w:hAnsi="Calibri" w:eastAsia="仿宋_GB2312" w:cs="Calibri"/>
          <w:b/>
          <w:bCs/>
          <w:color w:val="auto"/>
          <w:sz w:val="28"/>
          <w:szCs w:val="28"/>
          <w:lang w:val="zh-CN"/>
        </w:rPr>
        <w:t>扎实推进土壤与固废</w:t>
      </w:r>
      <w:r>
        <w:rPr>
          <w:rFonts w:hint="eastAsia" w:eastAsia="仿宋_GB2312" w:cs="仿宋_GB2312"/>
          <w:b/>
          <w:bCs/>
          <w:color w:val="auto"/>
          <w:sz w:val="28"/>
          <w:szCs w:val="28"/>
          <w:lang w:val="zh-CN"/>
        </w:rPr>
        <w:t>污染防治行动</w:t>
      </w:r>
      <w:bookmarkEnd w:id="67"/>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深入排查土壤风险隐患。</w:t>
      </w:r>
      <w:r>
        <w:rPr>
          <w:rFonts w:hint="eastAsia" w:eastAsia="仿宋_GB2312" w:cs="仿宋_GB2312"/>
          <w:color w:val="auto"/>
          <w:sz w:val="28"/>
          <w:szCs w:val="28"/>
          <w:lang w:val="zh-CN"/>
        </w:rPr>
        <w:t>根据农用地土壤污染状况详查结果，优化调整土壤环境质量类别划定，逐步推进园地、草地等其他农用地土壤环境质量类别划定。开展受污染耕地加密调查和风险评估。深入推进工业园区、油库、加油站、废弃矿山及尾矿库、集中式饮用水水源地、垃圾填埋场和焚烧厂等重点区域土壤调查评估，建立土壤污染风险源清单。对已开发利用为住宅、公共管理与公共服务用地的地块进行摸底调查，对污染地块采取有效措施，确保人居环境安全。</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强化土壤分区管控。</w:t>
      </w:r>
      <w:r>
        <w:rPr>
          <w:rFonts w:hint="eastAsia" w:eastAsia="仿宋_GB2312" w:cs="仿宋_GB2312"/>
          <w:color w:val="auto"/>
          <w:sz w:val="28"/>
          <w:szCs w:val="28"/>
          <w:lang w:val="zh-CN"/>
        </w:rPr>
        <w:t>制定实施受污染耕地安全利用方案。对纳入建设用地土壤污染风险管控和修复名录中的地块，严格实施风险管控或治理修复措施。加强重点行业企业、固体废物和矿山、尾矿库等工业污染源监管。推进化肥农药减量增效，围绕化肥使用量零增长目标。加大农药包装、农膜废弃物回收处置力度。强化畜禽养殖项目建设的环境管理环节，完善设施建设与运行管理体系。开展典型企业用地及其周边土壤污染状况调查，对超标地块开展详细调查和风险评估，对纳入建设用地风险管控和修复名录的地块严格实施风险管控及治理修复。加强未利用地环境监管，对未利用地拟开垦为耕地或建设用地的地块进行土壤污染状况调查，确认符合用地功能要求后开发利用。</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加强矿山及尾矿库调查与修复。</w:t>
      </w:r>
      <w:r>
        <w:rPr>
          <w:rFonts w:hint="eastAsia" w:eastAsia="仿宋_GB2312" w:cs="仿宋_GB2312"/>
          <w:color w:val="auto"/>
          <w:sz w:val="28"/>
          <w:szCs w:val="28"/>
          <w:lang w:val="zh-CN"/>
        </w:rPr>
        <w:t>加强废弃矿山综合整治和生态修复。开展矿区无序堆存的历史遗留废物排查和矿山、尾矿库及周边土壤环境质量调查，加快历史遗留矿山和尾矿库治理与生态恢复，加大闭坑矿山、政策性关闭矿山和国有老矿山历史遗留地质环境问题的治理力度，启动朝天区两河口乡废弃煤矿及周边农用地土壤污染防治项目，加快推进曾家山遗留场地详细调查、风险评估及治理修复。</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加大重金属污染防治力度。</w:t>
      </w:r>
      <w:r>
        <w:rPr>
          <w:rFonts w:hint="eastAsia" w:eastAsia="仿宋_GB2312" w:cs="仿宋_GB2312"/>
          <w:color w:val="auto"/>
          <w:sz w:val="28"/>
          <w:szCs w:val="28"/>
          <w:lang w:val="zh-CN"/>
        </w:rPr>
        <w:t>加强重金属污染源头预防控制。排查发现的历史遗留重金属污染和重金属风险隐患，摸清污染分布、污染问题严重程度和风险水平。强化重点区域分类防控。按照“退出一批、提升一批、控制一批”的思路，深入实施重金属污染分区防控，严格涉重金属行业和园区环境准入条件，加快推进环境敏感区和城市建成区涉重金属企业搬迁或关闭。</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eastAsia="仿宋_GB2312" w:cs="仿宋_GB2312"/>
          <w:b/>
          <w:bCs/>
          <w:color w:val="auto"/>
          <w:sz w:val="28"/>
          <w:szCs w:val="28"/>
          <w:lang w:val="zh-CN"/>
        </w:rPr>
        <w:t>提高</w:t>
      </w:r>
      <w:r>
        <w:rPr>
          <w:rFonts w:hint="eastAsia" w:eastAsia="仿宋_GB2312" w:cs="仿宋_GB2312"/>
          <w:b/>
          <w:bCs/>
          <w:color w:val="auto"/>
          <w:sz w:val="28"/>
          <w:szCs w:val="28"/>
          <w:lang w:val="zh-CN"/>
        </w:rPr>
        <w:t>工业固废</w:t>
      </w:r>
      <w:r>
        <w:rPr>
          <w:rFonts w:eastAsia="仿宋_GB2312" w:cs="仿宋_GB2312"/>
          <w:b/>
          <w:bCs/>
          <w:color w:val="auto"/>
          <w:sz w:val="28"/>
          <w:szCs w:val="28"/>
          <w:lang w:val="zh-CN"/>
        </w:rPr>
        <w:t>综合利用水平。</w:t>
      </w:r>
      <w:r>
        <w:rPr>
          <w:rFonts w:eastAsia="仿宋_GB2312" w:cs="仿宋_GB2312"/>
          <w:color w:val="auto"/>
          <w:sz w:val="28"/>
          <w:szCs w:val="28"/>
          <w:lang w:val="zh-CN"/>
        </w:rPr>
        <w:t>推广应用工业固废综合利用先进适用技术装备，提升工业固体废物综合利用水平，提高资源利用效率，推进工业绿色发展。拓宽大宗工业固废综合利用渠道，</w:t>
      </w:r>
      <w:r>
        <w:rPr>
          <w:rFonts w:hint="eastAsia" w:eastAsia="仿宋_GB2312" w:cs="仿宋_GB2312"/>
          <w:color w:val="auto"/>
          <w:sz w:val="28"/>
          <w:szCs w:val="28"/>
          <w:lang w:val="zh-CN"/>
        </w:rPr>
        <w:t>健全固体废物分类回收利用体系，培育一批高水平的资源回收处理和再生利用产业，形成再生资源回收、加工、利用的产业链条，</w:t>
      </w:r>
      <w:r>
        <w:rPr>
          <w:rFonts w:eastAsia="仿宋_GB2312" w:cs="仿宋_GB2312"/>
          <w:color w:val="auto"/>
          <w:sz w:val="28"/>
          <w:szCs w:val="28"/>
          <w:lang w:val="zh-CN"/>
        </w:rPr>
        <w:t>逐步形成</w:t>
      </w:r>
      <w:r>
        <w:rPr>
          <w:rFonts w:hint="eastAsia" w:eastAsia="仿宋_GB2312" w:cs="仿宋_GB2312"/>
          <w:color w:val="auto"/>
          <w:sz w:val="28"/>
          <w:szCs w:val="28"/>
          <w:lang w:val="zh-CN"/>
        </w:rPr>
        <w:t>“</w:t>
      </w:r>
      <w:r>
        <w:rPr>
          <w:rFonts w:eastAsia="仿宋_GB2312" w:cs="仿宋_GB2312"/>
          <w:color w:val="auto"/>
          <w:sz w:val="28"/>
          <w:szCs w:val="28"/>
          <w:lang w:val="zh-CN"/>
        </w:rPr>
        <w:t>市场调控、区域协调、资源共享</w:t>
      </w:r>
      <w:r>
        <w:rPr>
          <w:rFonts w:hint="eastAsia" w:eastAsia="仿宋_GB2312" w:cs="仿宋_GB2312"/>
          <w:color w:val="auto"/>
          <w:sz w:val="28"/>
          <w:szCs w:val="28"/>
          <w:lang w:val="zh-CN"/>
        </w:rPr>
        <w:t>”</w:t>
      </w:r>
      <w:r>
        <w:rPr>
          <w:rFonts w:eastAsia="仿宋_GB2312" w:cs="仿宋_GB2312"/>
          <w:color w:val="auto"/>
          <w:sz w:val="28"/>
          <w:szCs w:val="28"/>
          <w:lang w:val="zh-CN"/>
        </w:rPr>
        <w:t>的综合利用格局。推进生活垃圾中有害垃圾的分类收集与利用处置，促进餐厨垃圾资源化利用，实现污泥无害化、资源化处置。</w:t>
      </w:r>
      <w:r>
        <w:rPr>
          <w:rFonts w:hint="eastAsia" w:eastAsia="仿宋_GB2312" w:cs="仿宋_GB2312"/>
          <w:color w:val="auto"/>
          <w:sz w:val="28"/>
          <w:szCs w:val="28"/>
          <w:lang w:val="zh-CN"/>
        </w:rPr>
        <w:t>完善危险废物分类回收利用体系，提高危险废物的资源化综合利用率。</w:t>
      </w:r>
    </w:p>
    <w:p>
      <w:pPr>
        <w:spacing w:line="600" w:lineRule="exact"/>
        <w:outlineLvl w:val="1"/>
        <w:rPr>
          <w:rFonts w:ascii="仿宋_GB2312" w:hAnsi="仿宋_GB2312" w:eastAsia="仿宋_GB2312" w:cs="仿宋_GB2312"/>
          <w:b/>
          <w:bCs/>
          <w:color w:val="auto"/>
          <w:sz w:val="32"/>
          <w:szCs w:val="32"/>
        </w:rPr>
      </w:pPr>
      <w:bookmarkStart w:id="68" w:name="_Toc30430"/>
      <w:bookmarkStart w:id="69" w:name="_Toc92470654"/>
      <w:bookmarkStart w:id="70" w:name="_Toc4359"/>
      <w:bookmarkStart w:id="71" w:name="_Toc31172"/>
      <w:r>
        <w:rPr>
          <w:rFonts w:hint="eastAsia" w:ascii="仿宋_GB2312" w:hAnsi="仿宋_GB2312" w:eastAsia="仿宋_GB2312" w:cs="仿宋_GB2312"/>
          <w:b/>
          <w:bCs/>
          <w:color w:val="auto"/>
          <w:sz w:val="32"/>
          <w:szCs w:val="32"/>
        </w:rPr>
        <w:t>（四）建设优美幸福乡村</w:t>
      </w:r>
      <w:bookmarkEnd w:id="68"/>
      <w:bookmarkEnd w:id="69"/>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1</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加大农村污水治理力度</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按照统一规划、统一建设、统一运维的原则，因地制宜选择工程措施与生态措施相结合、集中治理与分散治理相结合的治理模式，加快推进全区农村生活污水治理。推动农村厕所革命与生活污水治理有效衔接，分类推进农村无害化卫生厕所新（改）建，到</w:t>
      </w:r>
      <w:r>
        <w:rPr>
          <w:rFonts w:eastAsia="仿宋_GB2312" w:cs="仿宋_GB2312"/>
          <w:color w:val="auto"/>
          <w:sz w:val="28"/>
          <w:szCs w:val="28"/>
          <w:lang w:val="zh-CN"/>
        </w:rPr>
        <w:t>2025</w:t>
      </w:r>
      <w:r>
        <w:rPr>
          <w:rFonts w:hint="eastAsia" w:eastAsia="仿宋_GB2312" w:cs="仿宋_GB2312"/>
          <w:color w:val="auto"/>
          <w:sz w:val="28"/>
          <w:szCs w:val="28"/>
          <w:lang w:val="zh-CN"/>
        </w:rPr>
        <w:t>年，全区生活污水得到有效治理的行政村比例达到</w:t>
      </w:r>
      <w:r>
        <w:rPr>
          <w:rFonts w:eastAsia="仿宋_GB2312" w:cs="仿宋_GB2312"/>
          <w:color w:val="auto"/>
          <w:sz w:val="28"/>
          <w:szCs w:val="28"/>
          <w:lang w:val="zh-CN"/>
        </w:rPr>
        <w:t>80%</w:t>
      </w:r>
      <w:r>
        <w:rPr>
          <w:rFonts w:hint="eastAsia" w:eastAsia="仿宋_GB2312" w:cs="仿宋_GB2312"/>
          <w:color w:val="auto"/>
          <w:sz w:val="28"/>
          <w:szCs w:val="28"/>
          <w:lang w:val="zh-CN"/>
        </w:rPr>
        <w:t>以上，新（改）建农村公厕</w:t>
      </w:r>
      <w:r>
        <w:rPr>
          <w:rFonts w:eastAsia="仿宋_GB2312" w:cs="仿宋_GB2312"/>
          <w:color w:val="auto"/>
          <w:sz w:val="28"/>
          <w:szCs w:val="28"/>
          <w:lang w:val="zh-CN"/>
        </w:rPr>
        <w:t>15</w:t>
      </w:r>
      <w:r>
        <w:rPr>
          <w:rFonts w:hint="eastAsia" w:eastAsia="仿宋_GB2312" w:cs="仿宋_GB2312"/>
          <w:color w:val="auto"/>
          <w:sz w:val="28"/>
          <w:szCs w:val="28"/>
          <w:lang w:val="zh-CN"/>
        </w:rPr>
        <w:t>座、乡村旅游点厕所</w:t>
      </w:r>
      <w:r>
        <w:rPr>
          <w:rFonts w:eastAsia="仿宋_GB2312" w:cs="仿宋_GB2312"/>
          <w:color w:val="auto"/>
          <w:sz w:val="28"/>
          <w:szCs w:val="28"/>
          <w:lang w:val="zh-CN"/>
        </w:rPr>
        <w:t>8</w:t>
      </w:r>
      <w:r>
        <w:rPr>
          <w:rFonts w:hint="eastAsia" w:eastAsia="仿宋_GB2312" w:cs="仿宋_GB2312"/>
          <w:color w:val="auto"/>
          <w:sz w:val="28"/>
          <w:szCs w:val="28"/>
          <w:lang w:val="zh-CN"/>
        </w:rPr>
        <w:t>座、无害化户用卫生厕所1</w:t>
      </w:r>
      <w:r>
        <w:rPr>
          <w:rFonts w:eastAsia="仿宋_GB2312" w:cs="仿宋_GB2312"/>
          <w:color w:val="auto"/>
          <w:sz w:val="28"/>
          <w:szCs w:val="28"/>
          <w:lang w:val="zh-CN"/>
        </w:rPr>
        <w:t>.</w:t>
      </w:r>
      <w:r>
        <w:rPr>
          <w:rFonts w:hint="eastAsia" w:eastAsia="仿宋_GB2312" w:cs="仿宋_GB2312"/>
          <w:color w:val="auto"/>
          <w:sz w:val="28"/>
          <w:szCs w:val="28"/>
          <w:lang w:val="zh-CN"/>
        </w:rPr>
        <w:t>5万户，新建农村“厕所革命”整村进示范村3</w:t>
      </w:r>
      <w:r>
        <w:rPr>
          <w:rFonts w:eastAsia="仿宋_GB2312" w:cs="仿宋_GB2312"/>
          <w:color w:val="auto"/>
          <w:sz w:val="28"/>
          <w:szCs w:val="28"/>
          <w:lang w:val="zh-CN"/>
        </w:rPr>
        <w:t>0</w:t>
      </w:r>
      <w:r>
        <w:rPr>
          <w:rFonts w:hint="eastAsia" w:eastAsia="仿宋_GB2312" w:cs="仿宋_GB2312"/>
          <w:color w:val="auto"/>
          <w:sz w:val="28"/>
          <w:szCs w:val="28"/>
          <w:lang w:val="zh-CN"/>
        </w:rPr>
        <w:t>个，全区农村户用卫生厕所普及率达到1</w:t>
      </w:r>
      <w:r>
        <w:rPr>
          <w:rFonts w:eastAsia="仿宋_GB2312" w:cs="仿宋_GB2312"/>
          <w:color w:val="auto"/>
          <w:sz w:val="28"/>
          <w:szCs w:val="28"/>
          <w:lang w:val="zh-CN"/>
        </w:rPr>
        <w:t>00</w:t>
      </w:r>
      <w:r>
        <w:rPr>
          <w:rFonts w:hint="eastAsia" w:eastAsia="仿宋_GB2312" w:cs="仿宋_GB2312"/>
          <w:color w:val="auto"/>
          <w:sz w:val="28"/>
          <w:szCs w:val="28"/>
          <w:lang w:val="zh-CN"/>
        </w:rPr>
        <w:t>%，无害化卫生厕所达到9</w:t>
      </w:r>
      <w:r>
        <w:rPr>
          <w:rFonts w:eastAsia="仿宋_GB2312" w:cs="仿宋_GB2312"/>
          <w:color w:val="auto"/>
          <w:sz w:val="28"/>
          <w:szCs w:val="28"/>
          <w:lang w:val="zh-CN"/>
        </w:rPr>
        <w:t>0</w:t>
      </w:r>
      <w:r>
        <w:rPr>
          <w:rFonts w:hint="eastAsia" w:eastAsia="仿宋_GB2312" w:cs="仿宋_GB2312"/>
          <w:color w:val="auto"/>
          <w:sz w:val="28"/>
          <w:szCs w:val="28"/>
          <w:lang w:val="zh-CN"/>
        </w:rPr>
        <w:t>%以上。</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2</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开展农村黑臭水体清理整治</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开展黑臭水体再排查，及时公布黑臭水体名称、责任人及达标期限，采取控源截污、节水减排、内源治理、生态修复、垃圾清理、底泥疏浚等综合性措施，以房前屋后、河塘沟渠为重点，清捡漂浮垃圾，实施清淤疏浚，实现村内库塘渠水质功能性达标。到2025年，农村黑臭水体基本消除。</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3</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提升农村饮水安全保障水平</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完善农村水利基础设施建设，通过工程改造、升级、配套、联网等方式，提高农村饮水安全保障程度和质量。加强农村区域供水设施建设和农村饮用水水源保护，开展农村分散式饮用水水源地隔离防护设施建设。优化整合农村饮用水水源地，按照城乡供水一体化要求，加快推进村村通自来水工程，提高农村饮水安全保障能力。建立乡镇集中式饮用水水源保护区水源地定期监测制度，进一步提高农村饮用水源保护应急能力。</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4</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深入推进畜禽养殖污染治理</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构建种养循环发展机制，扶持中小规模养殖场（户）配备畜禽养殖粪便污水收集池和雨污分流设施。深入实施养殖禁养区划定和清拆工作，全面推广应用“益生菌＋”、发酵床等生态养殖模式，不能做到不直排粪污或污水达标排放的养殖场在限定期限内整改或关停。探索引入粪肥收集施用第三方服务模式。建设区域性粪污集中处理中心，改造升级2</w:t>
      </w:r>
      <w:r>
        <w:rPr>
          <w:rFonts w:eastAsia="仿宋_GB2312" w:cs="仿宋_GB2312"/>
          <w:color w:val="auto"/>
          <w:sz w:val="28"/>
          <w:szCs w:val="28"/>
          <w:lang w:val="zh-CN"/>
        </w:rPr>
        <w:t>11</w:t>
      </w:r>
      <w:r>
        <w:rPr>
          <w:rFonts w:hint="eastAsia" w:eastAsia="仿宋_GB2312" w:cs="仿宋_GB2312"/>
          <w:color w:val="auto"/>
          <w:sz w:val="28"/>
          <w:szCs w:val="28"/>
          <w:lang w:val="zh-CN"/>
        </w:rPr>
        <w:t>家规模畜禽养殖场畜禽粪污处理利用设施。</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5</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强化种植业面源污染防治</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加强种植污染管控，大力发展高效生态农业，加强农业面源污染防治。推广测土配方施肥，鼓励使用经无害化处理的有机肥或有机无机复混肥。联合实施化肥、农药使用量负增长行动，推进生物肥料替代化肥。引导和鼓励农民使用高效、低毒、低残留农药，研发推广病虫草害综合防治、生物防治和精准施药等技术，降低农药使用量。推进农作物秸秆资源化利用，因地制宜采取与现行耕作制度相配套的粉碎还田、沤肥还田、过腹还田等秸秆还田技术和方法。到2025年，废弃农膜回收率达到90%以上，秸秆综合利用率达到</w:t>
      </w:r>
      <w:r>
        <w:rPr>
          <w:rFonts w:eastAsia="仿宋_GB2312" w:cs="仿宋_GB2312"/>
          <w:color w:val="auto"/>
          <w:sz w:val="28"/>
          <w:szCs w:val="28"/>
          <w:lang w:val="zh-CN"/>
        </w:rPr>
        <w:t>92%</w:t>
      </w:r>
      <w:r>
        <w:rPr>
          <w:rFonts w:hint="eastAsia" w:eastAsia="仿宋_GB2312" w:cs="仿宋_GB2312"/>
          <w:color w:val="auto"/>
          <w:sz w:val="28"/>
          <w:szCs w:val="28"/>
          <w:lang w:val="zh-CN"/>
        </w:rPr>
        <w:t>以上。</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6</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加强农村生活垃圾无害化处理</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按照“户分类、村收集、镇（乡）转运、区处理”的农村生活垃圾无害化处理模式，加强农村生活垃圾收运设施建设力度。强化生活垃圾收集站点及垃圾桶等环卫设施的管理和维护。持续开展非正规垃圾堆放点整治工作。积极实行垃圾分类，推动农村垃圾就地减量资源化，加快全国农村生活垃圾分类及资源化利用示范县建设。到2025年，全区1</w:t>
      </w:r>
      <w:r>
        <w:rPr>
          <w:rFonts w:eastAsia="仿宋_GB2312" w:cs="仿宋_GB2312"/>
          <w:color w:val="auto"/>
          <w:sz w:val="28"/>
          <w:szCs w:val="28"/>
          <w:lang w:val="zh-CN"/>
        </w:rPr>
        <w:t>00</w:t>
      </w:r>
      <w:r>
        <w:rPr>
          <w:rFonts w:hint="eastAsia" w:eastAsia="仿宋_GB2312" w:cs="仿宋_GB2312"/>
          <w:color w:val="auto"/>
          <w:sz w:val="28"/>
          <w:szCs w:val="28"/>
          <w:lang w:val="zh-CN"/>
        </w:rPr>
        <w:t>%的行政村生活垃圾的得到有效处理，</w:t>
      </w:r>
      <w:r>
        <w:rPr>
          <w:rFonts w:eastAsia="仿宋_GB2312" w:cs="仿宋_GB2312"/>
          <w:color w:val="auto"/>
          <w:sz w:val="28"/>
          <w:szCs w:val="28"/>
          <w:lang w:val="zh-CN"/>
        </w:rPr>
        <w:t>6</w:t>
      </w:r>
      <w:r>
        <w:rPr>
          <w:rFonts w:hint="eastAsia" w:eastAsia="仿宋_GB2312" w:cs="仿宋_GB2312"/>
          <w:color w:val="auto"/>
          <w:sz w:val="28"/>
          <w:szCs w:val="28"/>
          <w:lang w:val="zh-CN"/>
        </w:rPr>
        <w:t>0%以上行政村推广生活垃圾分类处理措施。县城生活垃圾无害化处理率保持在100%，城市生活垃圾回收利用率达到40%以上。</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eastAsia="仿宋_GB2312" w:cs="仿宋_GB2312"/>
          <w:b/>
          <w:bCs/>
          <w:color w:val="auto"/>
          <w:sz w:val="28"/>
          <w:szCs w:val="28"/>
          <w:lang w:val="zh-CN"/>
        </w:rPr>
        <w:t>7</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实施宁静朝天工程</w:t>
      </w:r>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编制噪声污染防治实施方案，推广先进防噪治噪模式和技术。适时开展声环境功能区划评估调整，适度扩大城市建成区机动车禁鸣区域。加强工业和施工噪声监测和执法，严查超标行为。推进交通干线噪声治理工程，合理控制国道108线、京昆高速沿线、宝成线、西成高铁两侧与周边敏感建筑物防护距离。城市建成区及重要敏感节点实施噪声防治升级改造。加强对餐饮业、娱乐业、商业等噪声污染源控制管理，合理规划广场舞区域和时间，推动农村传统节假日烟花爆竹燃放噪声管控。</w:t>
      </w:r>
    </w:p>
    <w:p>
      <w:pPr>
        <w:spacing w:line="600" w:lineRule="exact"/>
        <w:outlineLvl w:val="1"/>
        <w:rPr>
          <w:color w:val="auto"/>
        </w:rPr>
      </w:pPr>
      <w:bookmarkStart w:id="72" w:name="_Toc32197"/>
      <w:bookmarkStart w:id="73" w:name="_Toc92470655"/>
      <w:r>
        <w:rPr>
          <w:rFonts w:hint="eastAsia" w:ascii="仿宋_GB2312" w:hAnsi="仿宋_GB2312" w:eastAsia="仿宋_GB2312" w:cs="仿宋_GB2312"/>
          <w:b/>
          <w:bCs/>
          <w:color w:val="auto"/>
          <w:sz w:val="32"/>
          <w:szCs w:val="32"/>
        </w:rPr>
        <w:t>（五）加强环境风险防范与化解</w:t>
      </w:r>
      <w:bookmarkEnd w:id="70"/>
      <w:bookmarkEnd w:id="72"/>
      <w:bookmarkEnd w:id="73"/>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围绕筑牢嘉陵江生态屏障的战略目的，坚持以守住环境安全为底线，严格管控化学品、核、辐射三个领域，强化流域、区域、行业、园区、企业五个层面的风险管控，逐步提升应急监测预警能力、应急联动能力、应急储备能力、应急处置能力四项应急体系建设，抓实抓细抓好各项工作，切实保证环境安全。</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1</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强化环境风险防范</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实施环境风险分类管理。</w:t>
      </w:r>
      <w:r>
        <w:rPr>
          <w:rFonts w:hint="eastAsia" w:eastAsia="仿宋_GB2312" w:cs="仿宋_GB2312"/>
          <w:color w:val="auto"/>
          <w:sz w:val="28"/>
          <w:szCs w:val="28"/>
          <w:lang w:val="zh-CN"/>
        </w:rPr>
        <w:t>建设并动态更新朝天区环境风险源信息数据库，实行风险源清单管理。重点加强重金属、化学品、放射性、危险废物、持久性有机物等相关行业的环境风险分级分类管理，实现各类重大环境风险源的识别、评估、监控、处置等全过程动态管理。</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规范环境风险日常管理。</w:t>
      </w:r>
      <w:r>
        <w:rPr>
          <w:rFonts w:hint="eastAsia" w:eastAsia="仿宋_GB2312" w:cs="仿宋_GB2312"/>
          <w:color w:val="auto"/>
          <w:sz w:val="28"/>
          <w:szCs w:val="28"/>
          <w:lang w:val="zh-CN"/>
        </w:rPr>
        <w:t>加强污染源环境风险隐患排查，认真落实对企业环境风险隐患排查情况定期巡查监督，督促落实企业主体责任，健全环境应急体系和环境风险防范措施，建设环保应急处置设施，提高环境污染事故应急反应能力。规范企业日常环境管理，提高企业污染隐患和环境风险防范意识，督促企业建立污染物产生、排放详细台帐，及时报告企业生产状况变化情况。对发现的重大环境风险隐患实行公告，强化公众对企业环境风险防范的知情权和参与权，全面提升环境风险的社会监督。</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强化流域、区域环境风险防控。</w:t>
      </w:r>
      <w:r>
        <w:rPr>
          <w:rFonts w:eastAsia="仿宋_GB2312" w:cs="仿宋_GB2312"/>
          <w:color w:val="auto"/>
          <w:sz w:val="28"/>
          <w:szCs w:val="28"/>
          <w:lang w:val="zh-CN"/>
        </w:rPr>
        <w:t>强化规划统筹编制，将危险化学品生产、使用、储存企业布局纳入区域发展规划、土地利用总体规划和城乡规划中统筹安排。摸清环境风险底数，</w:t>
      </w:r>
      <w:r>
        <w:rPr>
          <w:rFonts w:hint="eastAsia" w:eastAsia="仿宋_GB2312" w:cs="仿宋_GB2312"/>
          <w:color w:val="auto"/>
          <w:sz w:val="28"/>
          <w:szCs w:val="28"/>
          <w:lang w:val="zh-CN"/>
        </w:rPr>
        <w:t>开展</w:t>
      </w:r>
      <w:r>
        <w:rPr>
          <w:rFonts w:eastAsia="仿宋_GB2312" w:cs="仿宋_GB2312"/>
          <w:color w:val="auto"/>
          <w:sz w:val="28"/>
          <w:szCs w:val="28"/>
          <w:lang w:val="zh-CN"/>
        </w:rPr>
        <w:t>流域</w:t>
      </w:r>
      <w:r>
        <w:rPr>
          <w:rFonts w:hint="eastAsia" w:eastAsia="仿宋_GB2312" w:cs="仿宋_GB2312"/>
          <w:color w:val="auto"/>
          <w:sz w:val="28"/>
          <w:szCs w:val="28"/>
          <w:lang w:val="zh-CN"/>
        </w:rPr>
        <w:t>、区域</w:t>
      </w:r>
      <w:r>
        <w:rPr>
          <w:rFonts w:eastAsia="仿宋_GB2312" w:cs="仿宋_GB2312"/>
          <w:color w:val="auto"/>
          <w:sz w:val="28"/>
          <w:szCs w:val="28"/>
          <w:lang w:val="zh-CN"/>
        </w:rPr>
        <w:t>环境风险评估，分析交通运输事故次生突发环境事件风险空间分布特征、污染物、诱因、污染途径及影响。联合开展流域、区域环境应急措施评估。</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2</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完善应急管理体系</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提升环境应急管理能力。</w:t>
      </w:r>
      <w:r>
        <w:rPr>
          <w:rFonts w:hint="eastAsia" w:eastAsia="仿宋_GB2312" w:cs="仿宋_GB2312"/>
          <w:color w:val="auto"/>
          <w:sz w:val="28"/>
          <w:szCs w:val="28"/>
          <w:lang w:val="zh-CN"/>
        </w:rPr>
        <w:t>推进成立环境应急管理专职机构，建立和完善环境应急管理机制。加强企业突发环境事件应急预案管理，强化技术性指导，落实环境风险企业“一源一事一案”制度，敦促企业按行业分年度完善企业备案、提升预案质量、加大企业应急演练频次。健全环境风险源、敏感目标、环境应急能力及环境应急预案等数据库，建立健全突发环境事件应急指挥决策支持系统。</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提升环境应急监测能力。</w:t>
      </w:r>
      <w:r>
        <w:rPr>
          <w:rFonts w:hint="eastAsia" w:eastAsia="仿宋_GB2312" w:cs="仿宋_GB2312"/>
          <w:color w:val="auto"/>
          <w:sz w:val="28"/>
          <w:szCs w:val="28"/>
          <w:lang w:val="zh-CN"/>
        </w:rPr>
        <w:t>充实便携式环境预警应急设备和应急监测车辆的配备，完善移动应急监测网络，提高应急监测快速响应能力。强化环境应急监测预警工作的常态化管理，加大对港口危险品码头等重大风险源的监测预警。到2025年，县级环境应急标准化建设全面达标，环境应急机构建设管理趋于完善。</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提升环境应急储备能力。</w:t>
      </w:r>
      <w:r>
        <w:rPr>
          <w:rFonts w:hint="eastAsia" w:eastAsia="仿宋_GB2312" w:cs="仿宋_GB2312"/>
          <w:color w:val="auto"/>
          <w:sz w:val="28"/>
          <w:szCs w:val="28"/>
          <w:lang w:val="zh-CN"/>
        </w:rPr>
        <w:t>加强区级环境应急物资储备建设，结合辖区内环境应急资源调查情况，建立应急物资储存、补充、更新、轮换、调运等管理机制。实行物资储备信息动态化管理，掌握常用应急处置物资“谁在生产、在哪生产、产能情况”信息，形成应急处置物资持续应急供应能力。</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提升环境应急响应能力。</w:t>
      </w:r>
      <w:r>
        <w:rPr>
          <w:rFonts w:hint="eastAsia" w:eastAsia="仿宋_GB2312" w:cs="仿宋_GB2312"/>
          <w:color w:val="auto"/>
          <w:sz w:val="28"/>
          <w:szCs w:val="28"/>
          <w:lang w:val="zh-CN"/>
        </w:rPr>
        <w:t>强化部门应急联动，增强生态环境、水利、交通、应急管理等相关职能部门环境应急联动能力，强化应急演练。强化流域风险联防联控，开展流域风险防控跨区联动和突发环境事件应急联动。以嘉陵江流域相关地区（广元市、汉中市、陇南市）突发环境事件的联防联控工作为基础，深入推进同域共责、协调协同、信息共享、有序有效的突发环境事件应急联动工作机制，落实长效协作机制。加强突发环境事件检测，确保突发环境事件检测的及时性、可靠性、真实性。</w:t>
      </w:r>
    </w:p>
    <w:p>
      <w:pPr>
        <w:pStyle w:val="20"/>
        <w:adjustRightInd w:val="0"/>
        <w:snapToGrid w:val="0"/>
        <w:spacing w:after="0" w:line="560" w:lineRule="exact"/>
        <w:ind w:left="0" w:leftChars="0" w:firstLine="562"/>
        <w:rPr>
          <w:rFonts w:eastAsia="仿宋_GB2312" w:cs="仿宋_GB2312"/>
          <w:b/>
          <w:bCs/>
          <w:color w:val="auto"/>
          <w:sz w:val="28"/>
          <w:szCs w:val="28"/>
          <w:lang w:val="zh-CN"/>
        </w:rPr>
      </w:pPr>
      <w:r>
        <w:rPr>
          <w:rFonts w:hint="eastAsia" w:eastAsia="仿宋_GB2312" w:cs="仿宋_GB2312"/>
          <w:b/>
          <w:bCs/>
          <w:color w:val="auto"/>
          <w:sz w:val="28"/>
          <w:szCs w:val="28"/>
          <w:lang w:val="zh-CN"/>
        </w:rPr>
        <w:t>3</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提高化学品管理和处置水平</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全面开展化学品行业风险评估。</w:t>
      </w:r>
      <w:r>
        <w:rPr>
          <w:rFonts w:hint="eastAsia" w:eastAsia="仿宋_GB2312" w:cs="仿宋_GB2312"/>
          <w:color w:val="auto"/>
          <w:sz w:val="28"/>
          <w:szCs w:val="28"/>
          <w:lang w:val="zh-CN"/>
        </w:rPr>
        <w:t>开展现有化学物质危害初步筛查、使用情况调查及监控评估，以重点管理危险化学品和持久性有机污染物为重点，将化学品环境风险评估作为化学品建设项目环境影响评价的重要内容，逐步推动高毒性、难降解、高环境危害和高环境风险化学品的限制淘汰和环境风险防控。落实危险化学品企业环境安全主体责任，制定环境安全隐患排查制度，强化自查自纠，建立环境风险隐患排查整改台帐。对在生产、使用、消费过程中污染风险高的新化学物质，禁止其规模化生产和市场流通。</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加强危险化学品运输安全管控。</w:t>
      </w:r>
      <w:r>
        <w:rPr>
          <w:rFonts w:hint="eastAsia" w:eastAsia="仿宋_GB2312" w:cs="仿宋_GB2312"/>
          <w:color w:val="auto"/>
          <w:sz w:val="28"/>
          <w:szCs w:val="28"/>
          <w:lang w:val="zh-CN"/>
        </w:rPr>
        <w:t>健全危险化学品运输安全监管责任体系，严格按照国家有关法律、法规和强制性国家标准等规定的危险货物包装、装卸、运输和管理要求，落实各部门、各企业和单位的责任，提高危险化学品（危险货物）运输企业准入门槛，督促危险化学品储存、经营企业建立装货前运输车辆、人员、罐体及单据等查验制度，严把装卸关，切实防范危险化学品转运泄露事故。</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强化污泥安全处理处置。</w:t>
      </w:r>
      <w:r>
        <w:rPr>
          <w:rFonts w:hint="eastAsia" w:eastAsia="仿宋_GB2312" w:cs="仿宋_GB2312"/>
          <w:color w:val="auto"/>
          <w:sz w:val="28"/>
          <w:szCs w:val="28"/>
          <w:lang w:val="zh-CN"/>
        </w:rPr>
        <w:t>加快污泥处理处置设施建设和达标改造，建制镇污水处理设施产生的污泥原则上应纳入城市集中无害化处置范围，因地制宜推进偏远乡镇级污泥处理处置设施建设。加强污泥产生源的监督管理，强化污水处理厂对污泥处理的主体责任，对污泥产生、运输、贮存、处理和处置实施全过程管理。强化污泥堆放点整治，依法取缔非法堆放点。到2</w:t>
      </w:r>
      <w:r>
        <w:rPr>
          <w:rFonts w:eastAsia="仿宋_GB2312" w:cs="仿宋_GB2312"/>
          <w:color w:val="auto"/>
          <w:sz w:val="28"/>
          <w:szCs w:val="28"/>
          <w:lang w:val="zh-CN"/>
        </w:rPr>
        <w:t>025</w:t>
      </w:r>
      <w:r>
        <w:rPr>
          <w:rFonts w:hint="eastAsia" w:eastAsia="仿宋_GB2312" w:cs="仿宋_GB2312"/>
          <w:color w:val="auto"/>
          <w:sz w:val="28"/>
          <w:szCs w:val="28"/>
          <w:lang w:val="zh-CN"/>
        </w:rPr>
        <w:t>年，全区城市污泥无害化处置率达7</w:t>
      </w:r>
      <w:r>
        <w:rPr>
          <w:rFonts w:eastAsia="仿宋_GB2312" w:cs="仿宋_GB2312"/>
          <w:color w:val="auto"/>
          <w:sz w:val="28"/>
          <w:szCs w:val="28"/>
          <w:lang w:val="zh-CN"/>
        </w:rPr>
        <w:t>0</w:t>
      </w:r>
      <w:r>
        <w:rPr>
          <w:rFonts w:hint="eastAsia" w:eastAsia="仿宋_GB2312" w:cs="仿宋_GB2312"/>
          <w:color w:val="auto"/>
          <w:sz w:val="28"/>
          <w:szCs w:val="28"/>
          <w:lang w:val="zh-CN"/>
        </w:rPr>
        <w:t>%。</w:t>
      </w:r>
    </w:p>
    <w:tbl>
      <w:tblPr>
        <w:tblStyle w:val="21"/>
        <w:tblpPr w:leftFromText="180" w:rightFromText="180" w:vertAnchor="text" w:horzAnchor="margin" w:tblpY="6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946" w:type="dxa"/>
            <w:shd w:val="clear" w:color="auto" w:fill="BFBFBF"/>
            <w:vAlign w:val="center"/>
          </w:tcPr>
          <w:p>
            <w:pPr>
              <w:adjustRightInd w:val="0"/>
              <w:snapToGrid w:val="0"/>
              <w:ind w:firstLine="560" w:firstLineChars="200"/>
              <w:jc w:val="center"/>
              <w:rPr>
                <w:b/>
                <w:color w:val="auto"/>
                <w:sz w:val="28"/>
                <w:szCs w:val="28"/>
              </w:rPr>
            </w:pPr>
            <w:r>
              <w:rPr>
                <w:rFonts w:hint="eastAsia" w:ascii="黑体" w:hAnsi="黑体" w:eastAsia="黑体" w:cs="黑体"/>
                <w:color w:val="auto"/>
                <w:sz w:val="28"/>
                <w:szCs w:val="28"/>
              </w:rPr>
              <w:t>专栏七</w:t>
            </w:r>
            <w:r>
              <w:rPr>
                <w:rFonts w:ascii="黑体" w:hAnsi="黑体" w:eastAsia="黑体" w:cs="黑体"/>
                <w:color w:val="auto"/>
                <w:sz w:val="28"/>
                <w:szCs w:val="28"/>
              </w:rPr>
              <w:t xml:space="preserve">  环境应急与风险防范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ind w:firstLine="482" w:firstLineChars="200"/>
              <w:rPr>
                <w:rFonts w:eastAsia="楷体"/>
                <w:bCs/>
                <w:color w:val="auto"/>
                <w:sz w:val="24"/>
                <w:szCs w:val="24"/>
              </w:rPr>
            </w:pPr>
            <w:r>
              <w:rPr>
                <w:rFonts w:hint="eastAsia" w:eastAsia="楷体"/>
                <w:b/>
                <w:color w:val="auto"/>
                <w:sz w:val="24"/>
                <w:szCs w:val="24"/>
              </w:rPr>
              <w:t>（一）环境风险分类管理。</w:t>
            </w:r>
            <w:r>
              <w:rPr>
                <w:rFonts w:hint="eastAsia" w:eastAsia="楷体"/>
                <w:bCs/>
                <w:color w:val="auto"/>
                <w:sz w:val="24"/>
                <w:szCs w:val="24"/>
              </w:rPr>
              <w:t>朝天区环境风险源信息数据库，实行风险源清单管理。</w:t>
            </w:r>
          </w:p>
          <w:p>
            <w:pPr>
              <w:ind w:firstLine="482" w:firstLineChars="200"/>
              <w:rPr>
                <w:rFonts w:eastAsia="楷体"/>
                <w:bCs/>
                <w:color w:val="auto"/>
                <w:sz w:val="24"/>
                <w:szCs w:val="24"/>
              </w:rPr>
            </w:pPr>
            <w:r>
              <w:rPr>
                <w:rFonts w:hint="eastAsia" w:eastAsia="楷体"/>
                <w:b/>
                <w:color w:val="auto"/>
                <w:sz w:val="24"/>
                <w:szCs w:val="24"/>
              </w:rPr>
              <w:t>（二）规范环境风险日常管理。</w:t>
            </w:r>
            <w:r>
              <w:rPr>
                <w:rFonts w:hint="eastAsia" w:eastAsia="楷体"/>
                <w:bCs/>
                <w:color w:val="auto"/>
                <w:sz w:val="24"/>
                <w:szCs w:val="24"/>
              </w:rPr>
              <w:t>定期巡查监督。</w:t>
            </w:r>
          </w:p>
          <w:p>
            <w:pPr>
              <w:ind w:firstLine="482" w:firstLineChars="200"/>
              <w:rPr>
                <w:rFonts w:eastAsia="楷体"/>
                <w:bCs/>
                <w:color w:val="auto"/>
                <w:sz w:val="24"/>
                <w:szCs w:val="24"/>
              </w:rPr>
            </w:pPr>
            <w:r>
              <w:rPr>
                <w:rFonts w:hint="eastAsia" w:eastAsia="楷体"/>
                <w:b/>
                <w:color w:val="auto"/>
                <w:sz w:val="24"/>
                <w:szCs w:val="24"/>
              </w:rPr>
              <w:t>（三）完善应急管理体系。</w:t>
            </w:r>
            <w:r>
              <w:rPr>
                <w:rFonts w:hint="eastAsia" w:eastAsia="楷体"/>
                <w:bCs/>
                <w:color w:val="auto"/>
                <w:sz w:val="24"/>
                <w:szCs w:val="24"/>
              </w:rPr>
              <w:t>环境应急管理、物质储备、响应机制。</w:t>
            </w:r>
          </w:p>
          <w:p>
            <w:pPr>
              <w:ind w:firstLine="482" w:firstLineChars="200"/>
              <w:rPr>
                <w:b/>
                <w:color w:val="auto"/>
              </w:rPr>
            </w:pPr>
            <w:r>
              <w:rPr>
                <w:rFonts w:hint="eastAsia" w:eastAsia="楷体"/>
                <w:b/>
                <w:color w:val="auto"/>
                <w:sz w:val="24"/>
                <w:szCs w:val="24"/>
              </w:rPr>
              <w:t>（四）化学品管理与处置。</w:t>
            </w:r>
            <w:r>
              <w:rPr>
                <w:rFonts w:hint="eastAsia" w:eastAsia="楷体"/>
                <w:bCs/>
                <w:color w:val="auto"/>
                <w:sz w:val="24"/>
                <w:szCs w:val="24"/>
              </w:rPr>
              <w:t>风险评估，运输安全管控。</w:t>
            </w:r>
          </w:p>
        </w:tc>
      </w:tr>
      <w:bookmarkEnd w:id="71"/>
    </w:tbl>
    <w:p>
      <w:pPr>
        <w:spacing w:line="600" w:lineRule="exact"/>
        <w:outlineLvl w:val="1"/>
        <w:rPr>
          <w:rFonts w:ascii="仿宋_GB2312" w:hAnsi="仿宋_GB2312" w:eastAsia="仿宋_GB2312" w:cs="仿宋_GB2312"/>
          <w:b/>
          <w:bCs/>
          <w:color w:val="auto"/>
          <w:sz w:val="32"/>
          <w:szCs w:val="32"/>
        </w:rPr>
      </w:pPr>
      <w:bookmarkStart w:id="74" w:name="_Toc5968"/>
      <w:bookmarkStart w:id="75" w:name="_Toc92470656"/>
      <w:bookmarkStart w:id="76" w:name="_Toc17606"/>
      <w:r>
        <w:rPr>
          <w:rFonts w:hint="eastAsia" w:ascii="仿宋_GB2312" w:hAnsi="仿宋_GB2312" w:eastAsia="仿宋_GB2312" w:cs="仿宋_GB2312"/>
          <w:b/>
          <w:bCs/>
          <w:color w:val="auto"/>
          <w:sz w:val="32"/>
          <w:szCs w:val="32"/>
        </w:rPr>
        <w:t>（六）</w:t>
      </w:r>
      <w:bookmarkEnd w:id="74"/>
      <w:r>
        <w:rPr>
          <w:rFonts w:hint="eastAsia" w:ascii="仿宋_GB2312" w:hAnsi="仿宋_GB2312" w:eastAsia="仿宋_GB2312" w:cs="仿宋_GB2312"/>
          <w:b/>
          <w:bCs/>
          <w:color w:val="auto"/>
          <w:sz w:val="32"/>
          <w:szCs w:val="32"/>
        </w:rPr>
        <w:t>推进治理能力现代化</w:t>
      </w:r>
      <w:bookmarkEnd w:id="75"/>
      <w:bookmarkEnd w:id="76"/>
    </w:p>
    <w:p>
      <w:pPr>
        <w:pStyle w:val="20"/>
        <w:adjustRightInd w:val="0"/>
        <w:snapToGrid w:val="0"/>
        <w:spacing w:after="0" w:line="560" w:lineRule="exact"/>
        <w:ind w:left="0" w:leftChars="0" w:firstLine="562"/>
        <w:rPr>
          <w:rFonts w:eastAsia="仿宋_GB2312" w:cs="仿宋_GB2312"/>
          <w:b/>
          <w:bCs/>
          <w:color w:val="auto"/>
          <w:sz w:val="28"/>
          <w:szCs w:val="28"/>
          <w:lang w:val="zh-CN"/>
        </w:rPr>
      </w:pPr>
      <w:bookmarkStart w:id="77" w:name="_Toc73459804"/>
      <w:r>
        <w:rPr>
          <w:rFonts w:hint="eastAsia" w:eastAsia="仿宋_GB2312" w:cs="仿宋_GB2312"/>
          <w:b/>
          <w:bCs/>
          <w:color w:val="auto"/>
          <w:sz w:val="28"/>
          <w:szCs w:val="28"/>
          <w:lang w:val="zh-CN"/>
        </w:rPr>
        <w:t>1</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建设现代化环境治理体系</w:t>
      </w:r>
      <w:bookmarkEnd w:id="77"/>
    </w:p>
    <w:p>
      <w:pPr>
        <w:pStyle w:val="20"/>
        <w:adjustRightInd w:val="0"/>
        <w:snapToGrid w:val="0"/>
        <w:spacing w:after="0" w:line="560" w:lineRule="exact"/>
        <w:ind w:left="0" w:leftChars="0" w:firstLine="562"/>
        <w:rPr>
          <w:rFonts w:eastAsia="仿宋_GB2312" w:cs="仿宋_GB2312"/>
          <w:color w:val="auto"/>
          <w:sz w:val="28"/>
          <w:szCs w:val="28"/>
          <w:lang w:val="zh-CN"/>
        </w:rPr>
      </w:pPr>
      <w:bookmarkStart w:id="78" w:name="_Toc55896667"/>
      <w:r>
        <w:rPr>
          <w:rFonts w:hint="eastAsia" w:eastAsia="仿宋_GB2312" w:cs="仿宋_GB2312"/>
          <w:b/>
          <w:bCs/>
          <w:color w:val="auto"/>
          <w:sz w:val="28"/>
          <w:szCs w:val="28"/>
          <w:lang w:val="zh-CN"/>
        </w:rPr>
        <w:t>构建城乡一体化环保格局。</w:t>
      </w:r>
      <w:r>
        <w:rPr>
          <w:rFonts w:hint="eastAsia" w:eastAsia="仿宋_GB2312" w:cs="仿宋_GB2312"/>
          <w:color w:val="auto"/>
          <w:sz w:val="28"/>
          <w:szCs w:val="28"/>
          <w:lang w:val="zh-CN"/>
        </w:rPr>
        <w:t>推进乡镇生态环境保护机构和能力建设。统筹城乡环境监测预警和执法监督体系建设，增强基层环境监测监察执法力量，构建乡镇环境监测监察网络，探索构建城乡一体化生态环境保护新格局，提高农村环境监管智慧化水平。</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完善考核督导机制。</w:t>
      </w:r>
      <w:r>
        <w:rPr>
          <w:rFonts w:hint="eastAsia" w:eastAsia="仿宋_GB2312" w:cs="仿宋_GB2312"/>
          <w:color w:val="auto"/>
          <w:sz w:val="28"/>
          <w:szCs w:val="28"/>
          <w:lang w:val="zh-CN"/>
        </w:rPr>
        <w:t>健全朝天区生态环境保护委员会工作机制，统筹协调生态环境保护重大问题。制定实施朝天区生态环境保护责任清单，细化明确生态环境保护工作责任。完善生态文明建设目标评价考核体系，组织开展污染防治攻坚战成效考核。强化考核结果应用，建立生态环境保护考核评价结果部门衔接机制。建立环保督察反馈问题整改督导机制，严格落实生态环境保护督察问题整改。</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推动企业主动治污。</w:t>
      </w:r>
      <w:r>
        <w:rPr>
          <w:rFonts w:hint="eastAsia" w:eastAsia="仿宋_GB2312" w:cs="仿宋_GB2312"/>
          <w:color w:val="auto"/>
          <w:sz w:val="28"/>
          <w:szCs w:val="28"/>
          <w:lang w:val="zh-CN"/>
        </w:rPr>
        <w:t>严格落实排污许可制度，推动排污单位按证排污、持证排污，实现固定污染源排污许可全覆盖，强化排污许可事中事后管理。加大清洁生产推行力度，持续推进强制性清洁生产审核。强化企业环保自律，指导企业建立环保内控制度，推动重点排污企业安装使用监测设备并确保正常运行。规范企业环境信息公开工作，推动企业公开环境治理信息并接受社会监督。</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推动全民共建共治。</w:t>
      </w:r>
      <w:r>
        <w:rPr>
          <w:rFonts w:hint="eastAsia" w:eastAsia="仿宋_GB2312" w:cs="仿宋_GB2312"/>
          <w:color w:val="auto"/>
          <w:sz w:val="28"/>
          <w:szCs w:val="28"/>
          <w:lang w:val="zh-CN"/>
        </w:rPr>
        <w:t>加强政府环境信息公开，通过朝天区政府公众信息网依法公开环境质量、环境监测、突发环境事件、环境行政许可及处罚等信息。健全公众参与监督机制，对环境立法、执行、重大生态环境保护决策以及环保焦点事件实行公众听证制度。鼓励公众监督和举报环境污染行为，支持环保社会组织和环保志愿者开展社会监督活动，开展多种形式的宣传科普和教育培训。</w:t>
      </w:r>
    </w:p>
    <w:p>
      <w:pPr>
        <w:pStyle w:val="20"/>
        <w:adjustRightInd w:val="0"/>
        <w:snapToGrid w:val="0"/>
        <w:spacing w:after="0" w:line="560" w:lineRule="exact"/>
        <w:ind w:left="0" w:leftChars="0" w:firstLine="562"/>
        <w:rPr>
          <w:rFonts w:eastAsia="仿宋_GB2312" w:cs="仿宋_GB2312"/>
          <w:b/>
          <w:bCs/>
          <w:color w:val="auto"/>
          <w:sz w:val="28"/>
          <w:szCs w:val="28"/>
          <w:lang w:val="zh-CN"/>
        </w:rPr>
      </w:pPr>
      <w:bookmarkStart w:id="79" w:name="_Toc73459805"/>
      <w:r>
        <w:rPr>
          <w:rFonts w:hint="eastAsia" w:eastAsia="仿宋_GB2312" w:cs="仿宋_GB2312"/>
          <w:b/>
          <w:bCs/>
          <w:color w:val="auto"/>
          <w:sz w:val="28"/>
          <w:szCs w:val="28"/>
          <w:lang w:val="zh-CN"/>
        </w:rPr>
        <w:t>2</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多元化环境治理手段</w:t>
      </w:r>
      <w:bookmarkEnd w:id="78"/>
      <w:bookmarkEnd w:id="79"/>
    </w:p>
    <w:p>
      <w:pPr>
        <w:pStyle w:val="20"/>
        <w:adjustRightInd w:val="0"/>
        <w:snapToGrid w:val="0"/>
        <w:spacing w:after="0" w:line="560" w:lineRule="exact"/>
        <w:ind w:left="0" w:leftChars="0" w:firstLine="562"/>
        <w:rPr>
          <w:rFonts w:eastAsia="仿宋_GB2312" w:cs="仿宋_GB2312"/>
          <w:color w:val="auto"/>
          <w:sz w:val="28"/>
          <w:szCs w:val="28"/>
          <w:lang w:val="zh-CN"/>
        </w:rPr>
      </w:pPr>
      <w:bookmarkStart w:id="80" w:name="_Toc55896668"/>
      <w:r>
        <w:rPr>
          <w:rFonts w:hint="eastAsia" w:eastAsia="仿宋_GB2312" w:cs="仿宋_GB2312"/>
          <w:b/>
          <w:bCs/>
          <w:color w:val="auto"/>
          <w:sz w:val="28"/>
          <w:szCs w:val="28"/>
          <w:lang w:val="zh-CN"/>
        </w:rPr>
        <w:t>完善监管执法体制机制。</w:t>
      </w:r>
      <w:r>
        <w:rPr>
          <w:rFonts w:hint="eastAsia" w:eastAsia="仿宋_GB2312" w:cs="仿宋_GB2312"/>
          <w:color w:val="auto"/>
          <w:sz w:val="28"/>
          <w:szCs w:val="28"/>
          <w:lang w:val="zh-CN"/>
        </w:rPr>
        <w:t>推动环境监管服务向乡镇一级延伸。全面提升全区环境监测机构的标准化建设水平。严格落实“双随机、一公开”环境监管模式。建立生态环境舆情定期研判机制。创新环境治理模式，推行环境污染第三方治理。开展小城镇环境综合治理托管服务试点，实行按效付费。</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eastAsia="仿宋_GB2312" w:cs="仿宋_GB2312"/>
          <w:b/>
          <w:bCs/>
          <w:color w:val="auto"/>
          <w:sz w:val="28"/>
          <w:szCs w:val="28"/>
          <w:lang w:val="zh-CN"/>
        </w:rPr>
        <w:t>加快推动环境信用建设。</w:t>
      </w:r>
      <w:r>
        <w:rPr>
          <w:rFonts w:hint="eastAsia" w:eastAsia="仿宋_GB2312" w:cs="仿宋_GB2312"/>
          <w:color w:val="auto"/>
          <w:sz w:val="28"/>
          <w:szCs w:val="28"/>
          <w:lang w:val="zh-CN"/>
        </w:rPr>
        <w:t>加强政务诚信建设，将各级党委政府公职人员在环境保护工作中因违法违规、失信违约等信息纳入政务失信记录，并归集至相关信用信息共享平台依法依规公开。健全企业信用建设，将环境违法企业依法依规纳入失信联合惩戒对象名单，将环境信用作为企业信贷、发行绿色债券的基础条件。</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eastAsia="仿宋_GB2312" w:cs="仿宋_GB2312"/>
          <w:b/>
          <w:bCs/>
          <w:color w:val="auto"/>
          <w:sz w:val="28"/>
          <w:szCs w:val="28"/>
          <w:lang w:val="zh-CN"/>
        </w:rPr>
        <w:t>加大财税金融政策支持力度。</w:t>
      </w:r>
      <w:r>
        <w:rPr>
          <w:rFonts w:hint="eastAsia" w:eastAsia="仿宋_GB2312" w:cs="仿宋_GB2312"/>
          <w:color w:val="auto"/>
          <w:sz w:val="28"/>
          <w:szCs w:val="28"/>
          <w:lang w:val="zh-CN"/>
        </w:rPr>
        <w:t>区</w:t>
      </w:r>
      <w:r>
        <w:rPr>
          <w:rFonts w:eastAsia="仿宋_GB2312" w:cs="仿宋_GB2312"/>
          <w:color w:val="auto"/>
          <w:sz w:val="28"/>
          <w:szCs w:val="28"/>
          <w:lang w:val="zh-CN"/>
        </w:rPr>
        <w:t>级财政</w:t>
      </w:r>
      <w:r>
        <w:rPr>
          <w:rFonts w:hint="eastAsia" w:eastAsia="仿宋_GB2312" w:cs="仿宋_GB2312"/>
          <w:color w:val="auto"/>
          <w:sz w:val="28"/>
          <w:szCs w:val="28"/>
          <w:lang w:val="zh-CN"/>
        </w:rPr>
        <w:t>根据事权财权划分</w:t>
      </w:r>
      <w:r>
        <w:rPr>
          <w:rFonts w:eastAsia="仿宋_GB2312" w:cs="仿宋_GB2312"/>
          <w:color w:val="auto"/>
          <w:sz w:val="28"/>
          <w:szCs w:val="28"/>
          <w:lang w:val="zh-CN"/>
        </w:rPr>
        <w:t>承担生态环境方面的支出责任</w:t>
      </w:r>
      <w:r>
        <w:rPr>
          <w:rFonts w:hint="eastAsia" w:eastAsia="仿宋_GB2312" w:cs="仿宋_GB2312"/>
          <w:color w:val="auto"/>
          <w:sz w:val="28"/>
          <w:szCs w:val="28"/>
          <w:lang w:val="zh-CN"/>
        </w:rPr>
        <w:t>。加强生态环境项目包装，整合各层面、渠道的专项资金。开展生态综合补偿试点。推动环境风险高、环境污染事件较为集中的企业投保环境污染强制责任保险。创新绿色金融产品和服务，大力发展绿色信贷，鼓励符合条件的企业发行绿色债券。</w:t>
      </w:r>
    </w:p>
    <w:p>
      <w:pPr>
        <w:pStyle w:val="20"/>
        <w:adjustRightInd w:val="0"/>
        <w:snapToGrid w:val="0"/>
        <w:spacing w:after="0" w:line="560" w:lineRule="exact"/>
        <w:ind w:left="0" w:leftChars="0" w:firstLine="562"/>
        <w:rPr>
          <w:rFonts w:eastAsia="仿宋_GB2312" w:cs="仿宋_GB2312"/>
          <w:b/>
          <w:bCs/>
          <w:color w:val="auto"/>
          <w:sz w:val="28"/>
          <w:szCs w:val="28"/>
          <w:lang w:val="zh-CN"/>
        </w:rPr>
      </w:pPr>
      <w:bookmarkStart w:id="81" w:name="_Toc73459806"/>
      <w:r>
        <w:rPr>
          <w:rFonts w:hint="eastAsia" w:eastAsia="仿宋_GB2312" w:cs="仿宋_GB2312"/>
          <w:b/>
          <w:bCs/>
          <w:color w:val="auto"/>
          <w:sz w:val="28"/>
          <w:szCs w:val="28"/>
          <w:lang w:val="zh-CN"/>
        </w:rPr>
        <w:t>3</w:t>
      </w:r>
      <w:r>
        <w:rPr>
          <w:rFonts w:hint="eastAsia" w:ascii="微软雅黑" w:hAnsi="微软雅黑" w:eastAsia="微软雅黑" w:cs="微软雅黑"/>
          <w:b/>
          <w:bCs/>
          <w:color w:val="auto"/>
          <w:sz w:val="28"/>
          <w:szCs w:val="28"/>
          <w:lang w:val="zh-CN"/>
        </w:rPr>
        <w:t>．</w:t>
      </w:r>
      <w:r>
        <w:rPr>
          <w:rFonts w:hint="eastAsia" w:eastAsia="仿宋_GB2312" w:cs="仿宋_GB2312"/>
          <w:b/>
          <w:bCs/>
          <w:color w:val="auto"/>
          <w:sz w:val="28"/>
          <w:szCs w:val="28"/>
          <w:lang w:val="zh-CN"/>
        </w:rPr>
        <w:t>推动环境治理能力现代化建设</w:t>
      </w:r>
      <w:bookmarkEnd w:id="81"/>
    </w:p>
    <w:bookmarkEnd w:id="80"/>
    <w:p>
      <w:pPr>
        <w:pStyle w:val="20"/>
        <w:adjustRightInd w:val="0"/>
        <w:snapToGrid w:val="0"/>
        <w:spacing w:after="0" w:line="560" w:lineRule="exact"/>
        <w:ind w:left="0" w:leftChars="0" w:firstLine="562"/>
        <w:rPr>
          <w:rFonts w:eastAsia="仿宋_GB2312" w:cs="仿宋_GB2312"/>
          <w:color w:val="auto"/>
          <w:sz w:val="28"/>
          <w:szCs w:val="28"/>
          <w:lang w:val="zh-CN"/>
        </w:rPr>
      </w:pPr>
      <w:bookmarkStart w:id="82" w:name="_Toc55896669"/>
      <w:r>
        <w:rPr>
          <w:rFonts w:hint="eastAsia" w:eastAsia="仿宋_GB2312" w:cs="仿宋_GB2312"/>
          <w:b/>
          <w:bCs/>
          <w:color w:val="auto"/>
          <w:sz w:val="28"/>
          <w:szCs w:val="28"/>
          <w:lang w:val="zh-CN"/>
        </w:rPr>
        <w:t>加强能力建设。</w:t>
      </w:r>
      <w:r>
        <w:rPr>
          <w:rFonts w:hint="eastAsia" w:eastAsia="仿宋_GB2312" w:cs="仿宋_GB2312"/>
          <w:color w:val="auto"/>
          <w:sz w:val="28"/>
          <w:szCs w:val="28"/>
          <w:lang w:val="zh-CN"/>
        </w:rPr>
        <w:t>加强环境宣教机构规范化建设，加强宣教专（兼）职人员配备，强化区级环境宣教机构办公、摄像器材等宣教必要设备配置，积极推动新媒体参与生态环境保护宣传教育。</w:t>
      </w:r>
      <w:bookmarkEnd w:id="82"/>
      <w:r>
        <w:rPr>
          <w:rFonts w:hint="eastAsia" w:eastAsia="仿宋_GB2312" w:cs="仿宋_GB2312"/>
          <w:color w:val="auto"/>
          <w:sz w:val="28"/>
          <w:szCs w:val="28"/>
          <w:lang w:val="zh-CN"/>
        </w:rPr>
        <w:t>加强生态环境监测网络建设。加强农业水环境、产业转移园区、重大风险源下游等环境敏感断面监测，完善空气质量监测，构建土壤环境质量监测网络，推动各级各类生态环境监测数据系统互联共享。</w:t>
      </w:r>
    </w:p>
    <w:p>
      <w:pPr>
        <w:pStyle w:val="20"/>
        <w:adjustRightInd w:val="0"/>
        <w:snapToGrid w:val="0"/>
        <w:spacing w:after="0" w:line="560" w:lineRule="exact"/>
        <w:ind w:left="0" w:leftChars="0" w:firstLine="562"/>
        <w:rPr>
          <w:rFonts w:eastAsia="仿宋_GB2312" w:cs="仿宋_GB2312"/>
          <w:color w:val="auto"/>
          <w:sz w:val="28"/>
          <w:szCs w:val="28"/>
          <w:lang w:val="zh-CN"/>
        </w:rPr>
      </w:pPr>
      <w:r>
        <w:rPr>
          <w:rFonts w:hint="eastAsia" w:eastAsia="仿宋_GB2312" w:cs="仿宋_GB2312"/>
          <w:b/>
          <w:bCs/>
          <w:color w:val="auto"/>
          <w:sz w:val="28"/>
          <w:szCs w:val="28"/>
          <w:lang w:val="zh-CN"/>
        </w:rPr>
        <w:t>提高环保智慧化水平。</w:t>
      </w:r>
      <w:r>
        <w:rPr>
          <w:rFonts w:hint="eastAsia" w:eastAsia="仿宋_GB2312" w:cs="仿宋_GB2312"/>
          <w:color w:val="auto"/>
          <w:sz w:val="28"/>
          <w:szCs w:val="28"/>
          <w:lang w:val="zh-CN"/>
        </w:rPr>
        <w:t>加快5G、物联网、大数据、云计算等新型信息化技术在环境质量、重点污染源、生态状况自动监测的广泛应用，提高环境形势智能分析能力。运用无人机等科技手段开展非现场执法检查。加大全区污染源在线监测、视频监控和用电监控系统的建设力度，逐步实现环境监管企业的全覆盖。</w:t>
      </w:r>
    </w:p>
    <w:p>
      <w:pPr>
        <w:spacing w:line="600" w:lineRule="exact"/>
        <w:outlineLvl w:val="0"/>
        <w:rPr>
          <w:rFonts w:ascii="仿宋_GB2312" w:hAnsi="仿宋_GB2312" w:eastAsia="仿宋_GB2312" w:cs="仿宋_GB2312"/>
          <w:b/>
          <w:bCs/>
          <w:color w:val="auto"/>
          <w:sz w:val="32"/>
          <w:szCs w:val="32"/>
        </w:rPr>
      </w:pPr>
      <w:bookmarkStart w:id="83" w:name="_Toc92470657"/>
      <w:bookmarkStart w:id="84" w:name="_Toc28178"/>
      <w:bookmarkStart w:id="85" w:name="_Toc0"/>
      <w:bookmarkStart w:id="86" w:name="_Toc24447"/>
      <w:bookmarkStart w:id="87" w:name="_Toc55896671"/>
      <w:r>
        <w:rPr>
          <w:rFonts w:hint="eastAsia" w:ascii="仿宋_GB2312" w:hAnsi="仿宋_GB2312" w:eastAsia="仿宋_GB2312" w:cs="仿宋_GB2312"/>
          <w:b/>
          <w:bCs/>
          <w:color w:val="auto"/>
          <w:sz w:val="32"/>
          <w:szCs w:val="32"/>
        </w:rPr>
        <w:t>四、规划重点工程</w:t>
      </w:r>
      <w:bookmarkEnd w:id="83"/>
      <w:bookmarkEnd w:id="84"/>
      <w:bookmarkEnd w:id="85"/>
      <w:bookmarkEnd w:id="86"/>
      <w:bookmarkEnd w:id="87"/>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为推动朝天区生态环境保护规划各项目标任务落实，规划实施蓝天、碧水、净土、美丽乡村、绿色低碳发展、生态保护与修复、环境风险防范能力提升、基础能力建设提升等八大类工程，具体工程在相应五年生态环境保护规划中予以明确。建立重点项目库，强化项目实施绩效管理，保障生态环境保护任务切实落地。</w:t>
      </w:r>
    </w:p>
    <w:p>
      <w:pPr>
        <w:pStyle w:val="9"/>
        <w:spacing w:after="0" w:line="600" w:lineRule="exact"/>
        <w:rPr>
          <w:color w:val="auto"/>
          <w:lang w:val="zh-CN"/>
        </w:rPr>
      </w:pPr>
    </w:p>
    <w:p>
      <w:pPr>
        <w:pStyle w:val="9"/>
        <w:spacing w:after="0" w:line="600" w:lineRule="exact"/>
        <w:rPr>
          <w:color w:val="auto"/>
          <w:lang w:val="zh-CN"/>
        </w:rPr>
        <w:sectPr>
          <w:footerReference r:id="rId6" w:type="default"/>
          <w:pgSz w:w="11906" w:h="16838"/>
          <w:pgMar w:top="2098" w:right="1588" w:bottom="1247" w:left="1588" w:header="851" w:footer="992" w:gutter="0"/>
          <w:pgNumType w:start="1"/>
          <w:cols w:space="425" w:num="1"/>
          <w:docGrid w:type="lines" w:linePitch="312" w:charSpace="0"/>
        </w:sectPr>
      </w:pPr>
    </w:p>
    <w:p>
      <w:pPr>
        <w:spacing w:line="600" w:lineRule="exact"/>
        <w:jc w:val="center"/>
        <w:rPr>
          <w:rFonts w:eastAsia="Arial Unicode MS"/>
          <w:color w:val="auto"/>
        </w:rPr>
      </w:pPr>
      <w:r>
        <w:rPr>
          <w:rFonts w:hint="eastAsia" w:eastAsia="Arial Unicode MS"/>
          <w:color w:val="auto"/>
          <w:kern w:val="0"/>
          <w:sz w:val="44"/>
          <w:szCs w:val="44"/>
        </w:rPr>
        <w:t>朝天区“十四五”生态环境保护重大项目清单</w:t>
      </w:r>
    </w:p>
    <w:tbl>
      <w:tblPr>
        <w:tblStyle w:val="21"/>
        <w:tblW w:w="13965" w:type="dxa"/>
        <w:tblInd w:w="93" w:type="dxa"/>
        <w:tblLayout w:type="fixed"/>
        <w:tblCellMar>
          <w:top w:w="0" w:type="dxa"/>
          <w:left w:w="28" w:type="dxa"/>
          <w:bottom w:w="0" w:type="dxa"/>
          <w:right w:w="28" w:type="dxa"/>
        </w:tblCellMar>
      </w:tblPr>
      <w:tblGrid>
        <w:gridCol w:w="575"/>
        <w:gridCol w:w="707"/>
        <w:gridCol w:w="895"/>
        <w:gridCol w:w="1478"/>
        <w:gridCol w:w="2574"/>
        <w:gridCol w:w="4715"/>
        <w:gridCol w:w="949"/>
        <w:gridCol w:w="1035"/>
        <w:gridCol w:w="1037"/>
      </w:tblGrid>
      <w:tr>
        <w:tblPrEx>
          <w:tblCellMar>
            <w:top w:w="0" w:type="dxa"/>
            <w:left w:w="28" w:type="dxa"/>
            <w:bottom w:w="0" w:type="dxa"/>
            <w:right w:w="28" w:type="dxa"/>
          </w:tblCellMar>
        </w:tblPrEx>
        <w:trPr>
          <w:tblHead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b/>
                <w:bCs/>
                <w:color w:val="auto"/>
                <w:szCs w:val="21"/>
              </w:rPr>
            </w:pPr>
            <w:r>
              <w:rPr>
                <w:rFonts w:eastAsia="仿宋_GB2312"/>
                <w:b/>
                <w:bCs/>
                <w:color w:val="auto"/>
                <w:kern w:val="0"/>
                <w:szCs w:val="21"/>
              </w:rPr>
              <w:t>项目类型</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b/>
                <w:bCs/>
                <w:color w:val="auto"/>
                <w:szCs w:val="21"/>
              </w:rPr>
            </w:pPr>
            <w:r>
              <w:rPr>
                <w:rFonts w:eastAsia="仿宋_GB2312"/>
                <w:b/>
                <w:bCs/>
                <w:color w:val="auto"/>
                <w:kern w:val="0"/>
                <w:szCs w:val="21"/>
              </w:rPr>
              <w:t>区县</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b/>
                <w:bCs/>
                <w:color w:val="auto"/>
                <w:szCs w:val="21"/>
              </w:rPr>
            </w:pPr>
            <w:r>
              <w:rPr>
                <w:rFonts w:eastAsia="仿宋_GB2312"/>
                <w:b/>
                <w:bCs/>
                <w:color w:val="auto"/>
                <w:kern w:val="0"/>
                <w:szCs w:val="21"/>
              </w:rPr>
              <w:t>责任单位</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b/>
                <w:bCs/>
                <w:color w:val="auto"/>
                <w:szCs w:val="21"/>
              </w:rPr>
            </w:pPr>
            <w:r>
              <w:rPr>
                <w:rFonts w:eastAsia="仿宋_GB2312"/>
                <w:b/>
                <w:bCs/>
                <w:color w:val="auto"/>
                <w:kern w:val="0"/>
                <w:szCs w:val="21"/>
              </w:rPr>
              <w:t>行业主管部门</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b/>
                <w:bCs/>
                <w:color w:val="auto"/>
                <w:szCs w:val="21"/>
              </w:rPr>
            </w:pPr>
            <w:r>
              <w:rPr>
                <w:rFonts w:eastAsia="仿宋_GB2312"/>
                <w:b/>
                <w:bCs/>
                <w:color w:val="auto"/>
                <w:kern w:val="0"/>
                <w:szCs w:val="21"/>
              </w:rPr>
              <w:t>项目名称</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b/>
                <w:bCs/>
                <w:color w:val="auto"/>
                <w:szCs w:val="21"/>
              </w:rPr>
            </w:pPr>
            <w:r>
              <w:rPr>
                <w:rFonts w:eastAsia="仿宋_GB2312"/>
                <w:b/>
                <w:bCs/>
                <w:color w:val="auto"/>
                <w:kern w:val="0"/>
                <w:szCs w:val="21"/>
              </w:rPr>
              <w:t>项目建设规模与内容</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b/>
                <w:bCs/>
                <w:color w:val="auto"/>
                <w:kern w:val="0"/>
                <w:szCs w:val="21"/>
              </w:rPr>
            </w:pPr>
            <w:r>
              <w:rPr>
                <w:rFonts w:eastAsia="仿宋_GB2312"/>
                <w:b/>
                <w:bCs/>
                <w:color w:val="auto"/>
                <w:kern w:val="0"/>
                <w:szCs w:val="21"/>
              </w:rPr>
              <w:t>总投资</w:t>
            </w:r>
          </w:p>
          <w:p>
            <w:pPr>
              <w:topLinePunct/>
              <w:spacing w:line="290" w:lineRule="exact"/>
              <w:jc w:val="left"/>
              <w:textAlignment w:val="center"/>
              <w:rPr>
                <w:rFonts w:eastAsia="仿宋_GB2312"/>
                <w:b/>
                <w:bCs/>
                <w:color w:val="auto"/>
                <w:szCs w:val="21"/>
              </w:rPr>
            </w:pPr>
            <w:r>
              <w:rPr>
                <w:rFonts w:eastAsia="仿宋_GB2312"/>
                <w:b/>
                <w:bCs/>
                <w:color w:val="auto"/>
                <w:kern w:val="0"/>
                <w:szCs w:val="21"/>
              </w:rPr>
              <w:t>（万元）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b/>
                <w:bCs/>
                <w:color w:val="auto"/>
                <w:szCs w:val="21"/>
              </w:rPr>
            </w:pPr>
            <w:r>
              <w:rPr>
                <w:rFonts w:eastAsia="仿宋_GB2312"/>
                <w:b/>
                <w:bCs/>
                <w:color w:val="auto"/>
                <w:kern w:val="0"/>
                <w:szCs w:val="21"/>
              </w:rPr>
              <w:t>计划向上申请资金（万元）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b/>
                <w:bCs/>
                <w:color w:val="auto"/>
                <w:szCs w:val="21"/>
              </w:rPr>
            </w:pPr>
            <w:r>
              <w:rPr>
                <w:rFonts w:eastAsia="仿宋_GB2312"/>
                <w:b/>
                <w:bCs/>
                <w:color w:val="auto"/>
                <w:kern w:val="0"/>
                <w:szCs w:val="21"/>
              </w:rPr>
              <w:t>计划建设时间</w:t>
            </w:r>
          </w:p>
        </w:tc>
      </w:tr>
      <w:tr>
        <w:tblPrEx>
          <w:tblCellMar>
            <w:top w:w="0" w:type="dxa"/>
            <w:left w:w="28" w:type="dxa"/>
            <w:bottom w:w="0" w:type="dxa"/>
            <w:right w:w="28" w:type="dxa"/>
          </w:tblCellMar>
        </w:tblPrEx>
        <w:trPr>
          <w:trHeight w:val="600"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水污染防治</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textAlignment w:val="center"/>
              <w:rPr>
                <w:rFonts w:eastAsia="仿宋_GB2312"/>
                <w:color w:val="auto"/>
                <w:szCs w:val="21"/>
              </w:rPr>
            </w:pPr>
            <w:r>
              <w:rPr>
                <w:rFonts w:eastAsia="仿宋_GB2312"/>
                <w:color w:val="auto"/>
                <w:kern w:val="0"/>
                <w:szCs w:val="21"/>
              </w:rPr>
              <w:t>朝天区</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textAlignment w:val="center"/>
              <w:rPr>
                <w:rFonts w:eastAsia="仿宋_GB2312"/>
                <w:color w:val="auto"/>
                <w:szCs w:val="21"/>
              </w:rPr>
            </w:pPr>
            <w:r>
              <w:rPr>
                <w:rFonts w:eastAsia="仿宋_GB2312"/>
                <w:color w:val="auto"/>
                <w:kern w:val="0"/>
                <w:szCs w:val="21"/>
              </w:rPr>
              <w:t>广元市朝天生态环境局</w:t>
            </w:r>
          </w:p>
        </w:tc>
        <w:tc>
          <w:tcPr>
            <w:tcW w:w="2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textAlignment w:val="center"/>
              <w:rPr>
                <w:rFonts w:eastAsia="仿宋_GB2312"/>
                <w:color w:val="auto"/>
                <w:szCs w:val="21"/>
              </w:rPr>
            </w:pPr>
            <w:r>
              <w:rPr>
                <w:rFonts w:eastAsia="仿宋_GB2312"/>
                <w:color w:val="auto"/>
                <w:kern w:val="0"/>
                <w:szCs w:val="21"/>
              </w:rPr>
              <w:t>广元市嘉陵江（朝天段）潜溪河、广坪河、东沟河、清边河流域环境污染综合治理项目</w:t>
            </w:r>
          </w:p>
        </w:tc>
        <w:tc>
          <w:tcPr>
            <w:tcW w:w="4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1.建设水源涵养林、生态沟渠和地表径流净化湿地。</w:t>
            </w:r>
            <w:r>
              <w:rPr>
                <w:rStyle w:val="40"/>
                <w:rFonts w:hint="default" w:ascii="Times New Roman" w:hAnsi="Times New Roman" w:eastAsia="仿宋_GB2312" w:cs="Times New Roman"/>
                <w:color w:val="auto"/>
                <w:sz w:val="21"/>
                <w:szCs w:val="21"/>
              </w:rPr>
              <w:t>2.在流域内开展入河排污口现状调查。3. 生态修复工程：在流域内建设表流人工湿地、河岸缓冲带、生态浮岛等。</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38000</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22800</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2021-2023</w:t>
            </w:r>
          </w:p>
        </w:tc>
      </w:tr>
      <w:tr>
        <w:tblPrEx>
          <w:tblCellMar>
            <w:top w:w="0" w:type="dxa"/>
            <w:left w:w="28" w:type="dxa"/>
            <w:bottom w:w="0" w:type="dxa"/>
            <w:right w:w="28" w:type="dxa"/>
          </w:tblCellMar>
        </w:tblPrEx>
        <w:trPr>
          <w:trHeight w:val="600"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rPr>
                <w:rFonts w:eastAsia="仿宋_GB2312"/>
                <w:color w:val="auto"/>
                <w:szCs w:val="21"/>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rPr>
                <w:rFonts w:eastAsia="仿宋_GB2312"/>
                <w:color w:val="auto"/>
                <w:szCs w:val="21"/>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rPr>
                <w:rFonts w:eastAsia="仿宋_GB2312"/>
                <w:color w:val="auto"/>
                <w:szCs w:val="21"/>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rPr>
                <w:rFonts w:eastAsia="仿宋_GB2312"/>
                <w:color w:val="auto"/>
                <w:szCs w:val="21"/>
              </w:rPr>
            </w:pPr>
          </w:p>
        </w:tc>
        <w:tc>
          <w:tcPr>
            <w:tcW w:w="2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rPr>
                <w:rFonts w:eastAsia="仿宋_GB2312"/>
                <w:color w:val="auto"/>
                <w:szCs w:val="21"/>
              </w:rPr>
            </w:pPr>
          </w:p>
        </w:tc>
        <w:tc>
          <w:tcPr>
            <w:tcW w:w="4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rPr>
                <w:rFonts w:eastAsia="仿宋_GB2312"/>
                <w:color w:val="auto"/>
                <w:szCs w:val="21"/>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rPr>
                <w:rFonts w:eastAsia="仿宋_GB2312"/>
                <w:color w:val="auto"/>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rPr>
                <w:rFonts w:eastAsia="仿宋_GB2312"/>
                <w:color w:val="auto"/>
                <w:szCs w:val="21"/>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rPr>
                <w:rFonts w:eastAsia="仿宋_GB2312"/>
                <w:color w:val="auto"/>
                <w:szCs w:val="21"/>
              </w:rPr>
            </w:pPr>
          </w:p>
        </w:tc>
      </w:tr>
      <w:tr>
        <w:tblPrEx>
          <w:tblCellMar>
            <w:top w:w="0" w:type="dxa"/>
            <w:left w:w="28" w:type="dxa"/>
            <w:bottom w:w="0" w:type="dxa"/>
            <w:right w:w="28" w:type="dxa"/>
          </w:tblCellMar>
        </w:tblPrEx>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rPr>
                <w:rFonts w:eastAsia="仿宋_GB2312"/>
                <w:color w:val="auto"/>
                <w:szCs w:val="21"/>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入河排污口规范化整治</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全区入河排污口规范化整治，实施监测点位设置和监测，标志牌设立、计量和视频监控系统构建，新建设截污管网。</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10000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rPr>
                <w:rFonts w:eastAsia="仿宋_GB2312"/>
                <w:color w:val="auto"/>
                <w:szCs w:val="21"/>
              </w:rPr>
            </w:pPr>
            <w:r>
              <w:rPr>
                <w:rFonts w:hint="eastAsia" w:eastAsia="仿宋_GB2312"/>
                <w:color w:val="auto"/>
                <w:szCs w:val="21"/>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2021-2022</w:t>
            </w:r>
          </w:p>
        </w:tc>
      </w:tr>
      <w:tr>
        <w:tblPrEx>
          <w:tblCellMar>
            <w:top w:w="0" w:type="dxa"/>
            <w:left w:w="28" w:type="dxa"/>
            <w:bottom w:w="0" w:type="dxa"/>
            <w:right w:w="28" w:type="dxa"/>
          </w:tblCellMar>
        </w:tblPrEx>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地下水污染防治</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广元市朝天区关口煤矿矿井地下水涌水污染防治项目</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1.开展水文地质调查工作，通过水文地质测绘、水文地质钻孔及水文地质试验等工作，查清场地水文地质条件。2.取样检测后分析场地特征污染物，明确场地地下水污染物种类、污染程度及污染范围等信息。3.在掌握场地地下水污染情况的基础上，开展水环境风险和健康风险评估工作，同时确定修复目标值。</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2991.66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1500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2021-2022</w:t>
            </w:r>
          </w:p>
        </w:tc>
      </w:tr>
      <w:tr>
        <w:tblPrEx>
          <w:tblCellMar>
            <w:top w:w="0" w:type="dxa"/>
            <w:left w:w="28" w:type="dxa"/>
            <w:bottom w:w="0" w:type="dxa"/>
            <w:right w:w="28" w:type="dxa"/>
          </w:tblCellMar>
        </w:tblPrEx>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rPr>
                <w:rFonts w:eastAsia="仿宋_GB2312"/>
                <w:color w:val="auto"/>
                <w:szCs w:val="21"/>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朝天区矿山涌水修复治理工程</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拟采取“能疏则疏，疏堵结合，末端治理，风险管控”的原则，在开展水文地质调查的基础上，坚持“一矿一策”的基本思路，采用主动治理方法对广元市朝天区矿井涌水进行修复治理。</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7200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5000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2021-2022</w:t>
            </w:r>
          </w:p>
        </w:tc>
      </w:tr>
      <w:tr>
        <w:tblPrEx>
          <w:tblCellMar>
            <w:top w:w="0" w:type="dxa"/>
            <w:left w:w="28" w:type="dxa"/>
            <w:bottom w:w="0" w:type="dxa"/>
            <w:right w:w="28" w:type="dxa"/>
          </w:tblCellMar>
        </w:tblPrEx>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农村污染防治</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广元市朝天区第二批农村环境综合整治</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农村生活垃圾污染治理工程。完善农村垃圾收集，建设中转站4个，增设垃圾中转压缩车辆2辆，垃圾桶30</w:t>
            </w:r>
            <w:r>
              <w:rPr>
                <w:rFonts w:hint="eastAsia" w:eastAsia="仿宋_GB2312"/>
                <w:color w:val="auto"/>
                <w:kern w:val="0"/>
                <w:szCs w:val="21"/>
              </w:rPr>
              <w:t>0</w:t>
            </w:r>
            <w:r>
              <w:rPr>
                <w:rFonts w:eastAsia="仿宋_GB2312"/>
                <w:color w:val="auto"/>
                <w:kern w:val="0"/>
                <w:szCs w:val="21"/>
              </w:rPr>
              <w:t>0个，垃圾分类收运点</w:t>
            </w:r>
            <w:r>
              <w:rPr>
                <w:rFonts w:hint="eastAsia" w:eastAsia="仿宋_GB2312"/>
                <w:color w:val="auto"/>
                <w:kern w:val="0"/>
                <w:szCs w:val="21"/>
              </w:rPr>
              <w:t>100</w:t>
            </w:r>
            <w:r>
              <w:rPr>
                <w:rFonts w:eastAsia="仿宋_GB2312"/>
                <w:color w:val="auto"/>
                <w:kern w:val="0"/>
                <w:szCs w:val="21"/>
              </w:rPr>
              <w:t>0座，小型垃圾收集车辆20辆。农村畜禽养殖污染治理工程。完善项目实施区域非规模化畜禽养殖污染治理，新建沼气池1378m</w:t>
            </w:r>
            <w:r>
              <w:rPr>
                <w:rFonts w:eastAsia="仿宋_GB2312"/>
                <w:color w:val="auto"/>
                <w:kern w:val="0"/>
                <w:szCs w:val="21"/>
                <w:vertAlign w:val="superscript"/>
              </w:rPr>
              <w:t>3</w:t>
            </w:r>
            <w:r>
              <w:rPr>
                <w:rFonts w:eastAsia="仿宋_GB2312"/>
                <w:color w:val="auto"/>
                <w:kern w:val="0"/>
                <w:szCs w:val="21"/>
              </w:rPr>
              <w:t>，新增田间沼液池2375m</w:t>
            </w:r>
            <w:r>
              <w:rPr>
                <w:rFonts w:eastAsia="仿宋_GB2312"/>
                <w:color w:val="auto"/>
                <w:kern w:val="0"/>
                <w:szCs w:val="21"/>
                <w:vertAlign w:val="superscript"/>
              </w:rPr>
              <w:t>3</w:t>
            </w:r>
            <w:r>
              <w:rPr>
                <w:rFonts w:eastAsia="仿宋_GB2312"/>
                <w:color w:val="auto"/>
                <w:kern w:val="0"/>
                <w:szCs w:val="21"/>
              </w:rPr>
              <w:t>，堆肥池990m</w:t>
            </w:r>
            <w:r>
              <w:rPr>
                <w:rFonts w:eastAsia="仿宋_GB2312"/>
                <w:color w:val="auto"/>
                <w:kern w:val="0"/>
                <w:szCs w:val="21"/>
                <w:vertAlign w:val="superscript"/>
              </w:rPr>
              <w:t>3</w:t>
            </w:r>
            <w:r>
              <w:rPr>
                <w:rFonts w:eastAsia="仿宋_GB2312"/>
                <w:color w:val="auto"/>
                <w:kern w:val="0"/>
                <w:szCs w:val="21"/>
              </w:rPr>
              <w:t>，配套泵、废水管、施肥管设备21套。</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4800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4000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2021-2022</w:t>
            </w:r>
          </w:p>
        </w:tc>
      </w:tr>
      <w:tr>
        <w:tblPrEx>
          <w:tblCellMar>
            <w:top w:w="0" w:type="dxa"/>
            <w:left w:w="28" w:type="dxa"/>
            <w:bottom w:w="0" w:type="dxa"/>
            <w:right w:w="28" w:type="dxa"/>
          </w:tblCellMar>
        </w:tblPrEx>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rPr>
                <w:rFonts w:eastAsia="仿宋_GB2312"/>
                <w:color w:val="auto"/>
                <w:szCs w:val="21"/>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广元市朝天区第三批农村环境综合整治项目</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新增垃圾处理设施200座，购置垃圾桶500个；对100户非规模畜禽养殖户建设沼气池等污染防治设施。</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3500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3000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2021-2022</w:t>
            </w:r>
          </w:p>
        </w:tc>
      </w:tr>
      <w:tr>
        <w:tblPrEx>
          <w:tblCellMar>
            <w:top w:w="0" w:type="dxa"/>
            <w:left w:w="28" w:type="dxa"/>
            <w:bottom w:w="0" w:type="dxa"/>
            <w:right w:w="28" w:type="dxa"/>
          </w:tblCellMar>
        </w:tblPrEx>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rPr>
                <w:rFonts w:eastAsia="仿宋_GB2312"/>
                <w:color w:val="auto"/>
                <w:szCs w:val="21"/>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opLinePunct/>
              <w:spacing w:line="280" w:lineRule="exact"/>
              <w:textAlignment w:val="center"/>
              <w:rPr>
                <w:rFonts w:eastAsia="仿宋_GB2312"/>
                <w:color w:val="auto"/>
                <w:szCs w:val="21"/>
              </w:rPr>
            </w:pPr>
            <w:r>
              <w:rPr>
                <w:rFonts w:eastAsia="仿宋_GB2312"/>
                <w:color w:val="auto"/>
                <w:kern w:val="0"/>
                <w:szCs w:val="21"/>
              </w:rPr>
              <w:t>朝天区农村水环境污染防治项目</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新建麻柳乡、临溪乡等农村聚集点生活污水处理设施及配套管网设施</w:t>
            </w:r>
            <w:r>
              <w:rPr>
                <w:rFonts w:hint="eastAsia" w:eastAsia="仿宋_GB2312"/>
                <w:color w:val="auto"/>
                <w:kern w:val="0"/>
                <w:szCs w:val="21"/>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20000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rPr>
                <w:rFonts w:eastAsia="仿宋_GB2312"/>
                <w:color w:val="auto"/>
                <w:szCs w:val="21"/>
              </w:rPr>
            </w:pPr>
            <w:r>
              <w:rPr>
                <w:rFonts w:hint="eastAsia" w:eastAsia="仿宋_GB2312"/>
                <w:color w:val="auto"/>
                <w:szCs w:val="21"/>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2021-2025</w:t>
            </w:r>
          </w:p>
        </w:tc>
      </w:tr>
      <w:tr>
        <w:tblPrEx>
          <w:tblCellMar>
            <w:top w:w="0" w:type="dxa"/>
            <w:left w:w="28" w:type="dxa"/>
            <w:bottom w:w="0" w:type="dxa"/>
            <w:right w:w="28" w:type="dxa"/>
          </w:tblCellMar>
        </w:tblPrEx>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rPr>
                <w:rFonts w:eastAsia="仿宋_GB2312"/>
                <w:color w:val="auto"/>
                <w:szCs w:val="21"/>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广元市朝天区集中式饮用水源保护区风险源应急防护项目</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安装视频监控设备31套，建立应急物资储备库，建设监控平台及软件开发等配套设施1套。</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1477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1200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2021-2022</w:t>
            </w:r>
          </w:p>
        </w:tc>
      </w:tr>
      <w:tr>
        <w:tblPrEx>
          <w:tblCellMar>
            <w:top w:w="0" w:type="dxa"/>
            <w:left w:w="28" w:type="dxa"/>
            <w:bottom w:w="0" w:type="dxa"/>
            <w:right w:w="28" w:type="dxa"/>
          </w:tblCellMar>
        </w:tblPrEx>
        <w:tc>
          <w:tcPr>
            <w:tcW w:w="575" w:type="dxa"/>
            <w:vMerge w:val="restart"/>
            <w:tcBorders>
              <w:top w:val="single" w:color="000000" w:sz="4" w:space="0"/>
              <w:left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大气污染防治</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广元海螺水泥1#窑头、窑尾及2#窑头电收尘改袋收尘项目</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对1#窑头窑尾和2# 窑头电收尘进行技改，将电收尘为袋收尘，对其系统除锈、防腐、堵漏；全部使用高强度袋笼及10mg以下耐高温覆膜滤袋，确保排放口粉尘排放浓度＜10mg/Nm</w:t>
            </w:r>
            <w:r>
              <w:rPr>
                <w:rStyle w:val="41"/>
                <w:rFonts w:hint="default" w:ascii="Times New Roman" w:hAnsi="Times New Roman" w:eastAsia="仿宋_GB2312" w:cs="Times New Roman"/>
                <w:color w:val="auto"/>
                <w:sz w:val="21"/>
                <w:szCs w:val="21"/>
              </w:rPr>
              <w:t>³。</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4685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937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2021-2022</w:t>
            </w:r>
          </w:p>
        </w:tc>
      </w:tr>
      <w:tr>
        <w:tblPrEx>
          <w:tblCellMar>
            <w:top w:w="0" w:type="dxa"/>
            <w:left w:w="28" w:type="dxa"/>
            <w:bottom w:w="0" w:type="dxa"/>
            <w:right w:w="28" w:type="dxa"/>
          </w:tblCellMar>
        </w:tblPrEx>
        <w:tc>
          <w:tcPr>
            <w:tcW w:w="575" w:type="dxa"/>
            <w:vMerge w:val="continue"/>
            <w:tcBorders>
              <w:left w:val="single" w:color="000000" w:sz="4" w:space="0"/>
              <w:bottom w:val="single" w:color="000000" w:sz="4" w:space="0"/>
              <w:right w:val="single" w:color="000000" w:sz="4" w:space="0"/>
            </w:tcBorders>
            <w:shd w:val="clear" w:color="auto" w:fill="auto"/>
            <w:vAlign w:val="center"/>
          </w:tcPr>
          <w:p>
            <w:pPr>
              <w:topLinePunct/>
              <w:spacing w:line="280" w:lineRule="exact"/>
              <w:rPr>
                <w:rFonts w:eastAsia="仿宋_GB2312"/>
                <w:color w:val="auto"/>
                <w:szCs w:val="21"/>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朝天区大气环境智能监管能力建设</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在重点区域、重要交通道路节点等建设黑烟车抓拍系统、秸杆禁烧监控系统、空气质量监测微站。</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1000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rPr>
                <w:rFonts w:eastAsia="仿宋_GB2312"/>
                <w:color w:val="auto"/>
                <w:szCs w:val="21"/>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rPr>
                <w:rFonts w:eastAsia="仿宋_GB2312"/>
                <w:color w:val="auto"/>
                <w:szCs w:val="21"/>
              </w:rPr>
            </w:pPr>
          </w:p>
        </w:tc>
      </w:tr>
      <w:tr>
        <w:tblPrEx>
          <w:tblCellMar>
            <w:top w:w="0" w:type="dxa"/>
            <w:left w:w="28" w:type="dxa"/>
            <w:bottom w:w="0" w:type="dxa"/>
            <w:right w:w="28" w:type="dxa"/>
          </w:tblCellMar>
        </w:tblPrEx>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土壤污染防治</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opLinePunct/>
              <w:spacing w:line="280" w:lineRule="exact"/>
              <w:textAlignment w:val="center"/>
              <w:rPr>
                <w:rFonts w:eastAsia="仿宋_GB2312"/>
                <w:color w:val="auto"/>
                <w:szCs w:val="21"/>
              </w:rPr>
            </w:pPr>
            <w:r>
              <w:rPr>
                <w:rFonts w:eastAsia="仿宋_GB2312"/>
                <w:color w:val="auto"/>
                <w:kern w:val="0"/>
                <w:szCs w:val="21"/>
              </w:rPr>
              <w:t>广元市朝天区受污染农用地土壤调查项目</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在全省农用地土壤污染状况详查成果共享的基础上，筛选农用地土壤安全利用类和严格管控类区域集面较大大滩镇（含原文安乡）1个乡镇，农用地面积约18632.3亩，开展受污染耕地污染源调查，包括污染源数据、农用化学物质施用、灌溉水源和地球化学背景值等，明确污染源特征，识别土壤环境中重金属的主要来源，指导制定农用地土壤污染源头管控精细化目标，有针对性提出重金属污染源防控对策与措施。</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389.2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textAlignment w:val="center"/>
              <w:rPr>
                <w:rFonts w:eastAsia="仿宋_GB2312"/>
                <w:color w:val="auto"/>
                <w:szCs w:val="21"/>
              </w:rPr>
            </w:pPr>
            <w:r>
              <w:rPr>
                <w:rFonts w:eastAsia="仿宋_GB2312"/>
                <w:color w:val="auto"/>
                <w:kern w:val="0"/>
                <w:szCs w:val="21"/>
              </w:rPr>
              <w:t>389.2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2021-2022</w:t>
            </w:r>
          </w:p>
        </w:tc>
      </w:tr>
      <w:tr>
        <w:tblPrEx>
          <w:tblCellMar>
            <w:top w:w="0" w:type="dxa"/>
            <w:left w:w="28" w:type="dxa"/>
            <w:bottom w:w="0" w:type="dxa"/>
            <w:right w:w="28" w:type="dxa"/>
          </w:tblCellMar>
        </w:tblPrEx>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rPr>
                <w:rFonts w:eastAsia="仿宋_GB2312"/>
                <w:color w:val="auto"/>
                <w:szCs w:val="21"/>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曾家镇</w:t>
            </w:r>
            <w:r>
              <w:rPr>
                <w:rFonts w:hint="eastAsia" w:eastAsia="仿宋_GB2312"/>
                <w:color w:val="auto"/>
                <w:kern w:val="0"/>
                <w:szCs w:val="21"/>
              </w:rPr>
              <w:t>、李家镇、两河口镇、麻柳乡关停矿山周边受污染农用地调查</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rPr>
                <w:rFonts w:eastAsia="仿宋_GB2312"/>
                <w:color w:val="auto"/>
                <w:szCs w:val="21"/>
              </w:rPr>
            </w:pPr>
            <w:r>
              <w:rPr>
                <w:rFonts w:hint="eastAsia" w:eastAsia="仿宋_GB2312"/>
                <w:color w:val="auto"/>
                <w:kern w:val="0"/>
                <w:szCs w:val="21"/>
              </w:rPr>
              <w:t>开展</w:t>
            </w:r>
            <w:r>
              <w:rPr>
                <w:rFonts w:eastAsia="仿宋_GB2312"/>
                <w:color w:val="auto"/>
                <w:kern w:val="0"/>
                <w:szCs w:val="21"/>
              </w:rPr>
              <w:t>曾家镇</w:t>
            </w:r>
            <w:r>
              <w:rPr>
                <w:rFonts w:hint="eastAsia" w:eastAsia="仿宋_GB2312"/>
                <w:color w:val="auto"/>
                <w:kern w:val="0"/>
                <w:szCs w:val="21"/>
              </w:rPr>
              <w:t>、李家镇、两河口镇、麻柳乡关停矿山周边受污染农用地调查。</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rPr>
                <w:rFonts w:eastAsia="仿宋_GB2312"/>
                <w:color w:val="auto"/>
                <w:szCs w:val="21"/>
                <w:highlight w:val="yellow"/>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center"/>
              <w:rPr>
                <w:rFonts w:eastAsia="仿宋_GB2312"/>
                <w:color w:val="auto"/>
                <w:szCs w:val="21"/>
                <w:highlight w:val="yellow"/>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80" w:lineRule="exact"/>
              <w:jc w:val="left"/>
              <w:textAlignment w:val="center"/>
              <w:rPr>
                <w:rFonts w:eastAsia="仿宋_GB2312"/>
                <w:color w:val="auto"/>
                <w:szCs w:val="21"/>
              </w:rPr>
            </w:pPr>
            <w:r>
              <w:rPr>
                <w:rFonts w:eastAsia="仿宋_GB2312"/>
                <w:color w:val="auto"/>
                <w:kern w:val="0"/>
                <w:szCs w:val="21"/>
              </w:rPr>
              <w:t>2021-202</w:t>
            </w:r>
            <w:r>
              <w:rPr>
                <w:rFonts w:hint="eastAsia" w:eastAsia="仿宋_GB2312"/>
                <w:color w:val="auto"/>
                <w:kern w:val="0"/>
                <w:szCs w:val="21"/>
              </w:rPr>
              <w:t>4</w:t>
            </w:r>
          </w:p>
        </w:tc>
      </w:tr>
      <w:tr>
        <w:tblPrEx>
          <w:tblCellMar>
            <w:top w:w="0" w:type="dxa"/>
            <w:left w:w="28" w:type="dxa"/>
            <w:bottom w:w="0" w:type="dxa"/>
            <w:right w:w="28" w:type="dxa"/>
          </w:tblCellMar>
        </w:tblPrEx>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环境应急能力建设</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朝天区人民政府</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广元市朝天生态环境局</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朝天区区域环境风险防控及应急能力建设项目</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环境应急物资库建设、开展嘉陵江流域朝天段环境风险评估、环境风险监测预警平台建设、环境应急救援队伍建设</w:t>
            </w:r>
            <w:r>
              <w:rPr>
                <w:rFonts w:hint="eastAsia" w:eastAsia="仿宋_GB2312"/>
                <w:color w:val="auto"/>
                <w:kern w:val="0"/>
                <w:szCs w:val="21"/>
              </w:rPr>
              <w:t>。</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12000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center"/>
              <w:textAlignment w:val="center"/>
              <w:rPr>
                <w:rFonts w:eastAsia="仿宋_GB2312"/>
                <w:color w:val="auto"/>
                <w:szCs w:val="21"/>
              </w:rPr>
            </w:pPr>
            <w:r>
              <w:rPr>
                <w:rFonts w:eastAsia="仿宋_GB2312"/>
                <w:color w:val="auto"/>
                <w:kern w:val="0"/>
                <w:szCs w:val="21"/>
              </w:rPr>
              <w:t>8000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topLinePunct/>
              <w:spacing w:line="290" w:lineRule="exact"/>
              <w:jc w:val="left"/>
              <w:textAlignment w:val="center"/>
              <w:rPr>
                <w:rFonts w:eastAsia="仿宋_GB2312"/>
                <w:color w:val="auto"/>
                <w:szCs w:val="21"/>
              </w:rPr>
            </w:pPr>
            <w:r>
              <w:rPr>
                <w:rFonts w:eastAsia="仿宋_GB2312"/>
                <w:color w:val="auto"/>
                <w:kern w:val="0"/>
                <w:szCs w:val="21"/>
              </w:rPr>
              <w:t>2021-2024</w:t>
            </w:r>
          </w:p>
        </w:tc>
      </w:tr>
    </w:tbl>
    <w:p>
      <w:pPr>
        <w:pStyle w:val="9"/>
        <w:topLinePunct/>
        <w:spacing w:after="0" w:line="600" w:lineRule="exact"/>
        <w:rPr>
          <w:rFonts w:eastAsia="仿宋_GB2312"/>
          <w:bCs/>
          <w:color w:val="auto"/>
          <w:sz w:val="32"/>
          <w:szCs w:val="32"/>
          <w:lang w:val="zh-CN"/>
        </w:rPr>
      </w:pPr>
    </w:p>
    <w:p>
      <w:pPr>
        <w:pStyle w:val="9"/>
        <w:topLinePunct/>
        <w:spacing w:after="0" w:line="600" w:lineRule="exact"/>
        <w:rPr>
          <w:rFonts w:eastAsia="仿宋_GB2312"/>
          <w:bCs/>
          <w:color w:val="auto"/>
          <w:sz w:val="32"/>
          <w:szCs w:val="32"/>
          <w:lang w:val="zh-CN"/>
        </w:rPr>
        <w:sectPr>
          <w:pgSz w:w="16838" w:h="11906" w:orient="landscape"/>
          <w:pgMar w:top="1418" w:right="1418" w:bottom="1418" w:left="1418" w:header="851" w:footer="992" w:gutter="0"/>
          <w:cols w:space="425" w:num="1"/>
          <w:docGrid w:type="lines" w:linePitch="312" w:charSpace="0"/>
        </w:sectPr>
      </w:pPr>
    </w:p>
    <w:p>
      <w:pPr>
        <w:spacing w:line="600" w:lineRule="exact"/>
        <w:outlineLvl w:val="0"/>
        <w:rPr>
          <w:rFonts w:ascii="仿宋_GB2312" w:hAnsi="仿宋_GB2312" w:eastAsia="仿宋_GB2312" w:cs="仿宋_GB2312"/>
          <w:b/>
          <w:bCs/>
          <w:color w:val="auto"/>
          <w:sz w:val="32"/>
          <w:szCs w:val="32"/>
        </w:rPr>
      </w:pPr>
      <w:bookmarkStart w:id="88" w:name="_Toc55896680"/>
      <w:bookmarkStart w:id="89" w:name="_Toc92470658"/>
      <w:bookmarkStart w:id="90" w:name="_Toc17400"/>
      <w:bookmarkStart w:id="91" w:name="_Toc753"/>
      <w:r>
        <w:rPr>
          <w:rFonts w:hint="eastAsia" w:ascii="仿宋_GB2312" w:hAnsi="仿宋_GB2312" w:eastAsia="仿宋_GB2312" w:cs="仿宋_GB2312"/>
          <w:b/>
          <w:bCs/>
          <w:color w:val="auto"/>
          <w:sz w:val="32"/>
          <w:szCs w:val="32"/>
        </w:rPr>
        <w:t>五、保障措施</w:t>
      </w:r>
      <w:bookmarkEnd w:id="88"/>
      <w:bookmarkEnd w:id="89"/>
      <w:bookmarkEnd w:id="90"/>
      <w:bookmarkEnd w:id="91"/>
    </w:p>
    <w:p>
      <w:pPr>
        <w:spacing w:line="600" w:lineRule="exact"/>
        <w:outlineLvl w:val="1"/>
        <w:rPr>
          <w:rFonts w:ascii="仿宋_GB2312" w:hAnsi="仿宋_GB2312" w:eastAsia="仿宋_GB2312" w:cs="仿宋_GB2312"/>
          <w:b/>
          <w:bCs/>
          <w:color w:val="auto"/>
          <w:sz w:val="32"/>
          <w:szCs w:val="32"/>
        </w:rPr>
      </w:pPr>
      <w:bookmarkStart w:id="92" w:name="_Toc12030"/>
      <w:bookmarkStart w:id="93" w:name="_Toc55896681"/>
      <w:bookmarkStart w:id="94" w:name="_Toc5494"/>
      <w:bookmarkStart w:id="95" w:name="_Toc25897"/>
      <w:bookmarkStart w:id="96" w:name="_Toc92470659"/>
      <w:r>
        <w:rPr>
          <w:rFonts w:hint="eastAsia" w:ascii="仿宋_GB2312" w:hAnsi="仿宋_GB2312" w:eastAsia="仿宋_GB2312" w:cs="仿宋_GB2312"/>
          <w:b/>
          <w:bCs/>
          <w:color w:val="auto"/>
          <w:sz w:val="32"/>
          <w:szCs w:val="32"/>
        </w:rPr>
        <w:t>（一）加强组织领导</w:t>
      </w:r>
      <w:bookmarkEnd w:id="92"/>
      <w:bookmarkEnd w:id="93"/>
      <w:bookmarkEnd w:id="94"/>
      <w:bookmarkEnd w:id="95"/>
      <w:bookmarkEnd w:id="96"/>
    </w:p>
    <w:p>
      <w:pPr>
        <w:pStyle w:val="20"/>
        <w:adjustRightInd w:val="0"/>
        <w:snapToGrid w:val="0"/>
        <w:spacing w:after="0" w:line="560" w:lineRule="exact"/>
        <w:ind w:left="0" w:leftChars="0" w:firstLine="560"/>
        <w:rPr>
          <w:rFonts w:eastAsia="仿宋_GB2312" w:cs="仿宋_GB2312"/>
          <w:color w:val="auto"/>
          <w:sz w:val="28"/>
          <w:szCs w:val="28"/>
          <w:lang w:val="zh-CN"/>
        </w:rPr>
      </w:pPr>
      <w:bookmarkStart w:id="97" w:name="_Toc55896682"/>
      <w:r>
        <w:rPr>
          <w:rFonts w:hint="eastAsia" w:eastAsia="仿宋_GB2312" w:cs="仿宋_GB2312"/>
          <w:color w:val="auto"/>
          <w:sz w:val="28"/>
          <w:szCs w:val="28"/>
          <w:lang w:val="zh-CN"/>
        </w:rPr>
        <w:t>朝天区人民政府是规划实施的主体，应切实加强规划实施的组织领导，坚持“一把手”亲自抓、负总责，做到责任到位、措施到位、投入到位。进一步健全和完善“党委领导、政府负责、人大监督、生态环境部门统一监管、部门分工协作”的政府环保工作机制，积极采取强有力措施，大力推进规划的实施。有关部门要切实履行职责，加大工作力度，加强沟通协调，加强部门合作，共同高效、协同、有序地推进规划的实施。科学制定年度实施计划，将规划任务目标分解落实到年度计划中，落实到具体的负责部门和责任人。</w:t>
      </w:r>
    </w:p>
    <w:p>
      <w:pPr>
        <w:spacing w:line="600" w:lineRule="exact"/>
        <w:outlineLvl w:val="1"/>
        <w:rPr>
          <w:rFonts w:ascii="仿宋_GB2312" w:hAnsi="仿宋_GB2312" w:eastAsia="仿宋_GB2312" w:cs="仿宋_GB2312"/>
          <w:b/>
          <w:bCs/>
          <w:color w:val="auto"/>
          <w:sz w:val="32"/>
          <w:szCs w:val="32"/>
        </w:rPr>
      </w:pPr>
      <w:bookmarkStart w:id="98" w:name="_Toc3107"/>
      <w:bookmarkStart w:id="99" w:name="_Toc10156"/>
      <w:bookmarkStart w:id="100" w:name="_Toc21518"/>
      <w:bookmarkStart w:id="101" w:name="_Toc92470660"/>
      <w:r>
        <w:rPr>
          <w:rFonts w:hint="eastAsia" w:ascii="仿宋_GB2312" w:hAnsi="仿宋_GB2312" w:eastAsia="仿宋_GB2312" w:cs="仿宋_GB2312"/>
          <w:b/>
          <w:bCs/>
          <w:color w:val="auto"/>
          <w:sz w:val="32"/>
          <w:szCs w:val="32"/>
        </w:rPr>
        <w:t>（二）严格评估考核</w:t>
      </w:r>
      <w:bookmarkEnd w:id="97"/>
      <w:bookmarkEnd w:id="98"/>
      <w:bookmarkEnd w:id="99"/>
      <w:bookmarkEnd w:id="100"/>
      <w:bookmarkEnd w:id="101"/>
    </w:p>
    <w:p>
      <w:pPr>
        <w:pStyle w:val="20"/>
        <w:adjustRightInd w:val="0"/>
        <w:snapToGrid w:val="0"/>
        <w:spacing w:after="0" w:line="560" w:lineRule="exact"/>
        <w:ind w:left="0" w:leftChars="0" w:firstLine="560"/>
        <w:rPr>
          <w:rFonts w:eastAsia="仿宋_GB2312" w:cs="仿宋_GB2312"/>
          <w:color w:val="auto"/>
          <w:sz w:val="28"/>
          <w:szCs w:val="28"/>
          <w:lang w:val="zh-CN"/>
        </w:rPr>
      </w:pPr>
      <w:bookmarkStart w:id="102" w:name="_Toc55896683"/>
      <w:r>
        <w:rPr>
          <w:rFonts w:hint="eastAsia" w:eastAsia="仿宋_GB2312" w:cs="仿宋_GB2312"/>
          <w:color w:val="auto"/>
          <w:sz w:val="28"/>
          <w:szCs w:val="28"/>
          <w:lang w:val="zh-CN"/>
        </w:rPr>
        <w:t>完善生态环境保护目标责任制，把规划主要任务和目标完成情况作为评价和考核各级领导班子和干部政绩的重要内容。通过强化规划实施的人大监督、行政监督和公众监督，加强对规划实施情况的全方位监督检查，确保规划确定的各项任务和措施得到落实。对因决策失误、未正确履行职责、监管工作不到位等，造成环境质量明显恶化、生态破坏严重、人民群众利益受到侵害等严重后果的，依法追究有关领导和部门及有关人员的责任。</w:t>
      </w:r>
    </w:p>
    <w:bookmarkEnd w:id="102"/>
    <w:p>
      <w:pPr>
        <w:spacing w:line="600" w:lineRule="exact"/>
        <w:outlineLvl w:val="1"/>
        <w:rPr>
          <w:rFonts w:ascii="仿宋_GB2312" w:hAnsi="仿宋_GB2312" w:eastAsia="仿宋_GB2312" w:cs="仿宋_GB2312"/>
          <w:b/>
          <w:bCs/>
          <w:color w:val="auto"/>
          <w:sz w:val="32"/>
          <w:szCs w:val="32"/>
        </w:rPr>
      </w:pPr>
      <w:bookmarkStart w:id="103" w:name="_Toc55896684"/>
      <w:bookmarkStart w:id="104" w:name="_Toc3524"/>
      <w:bookmarkStart w:id="105" w:name="_Toc92470661"/>
      <w:bookmarkStart w:id="106" w:name="_Toc4775"/>
      <w:bookmarkStart w:id="107" w:name="_Toc28074"/>
      <w:r>
        <w:rPr>
          <w:rFonts w:hint="eastAsia" w:ascii="仿宋_GB2312" w:hAnsi="仿宋_GB2312" w:eastAsia="仿宋_GB2312" w:cs="仿宋_GB2312"/>
          <w:b/>
          <w:bCs/>
          <w:color w:val="auto"/>
          <w:sz w:val="32"/>
          <w:szCs w:val="32"/>
        </w:rPr>
        <w:t>（三）加大资金投入</w:t>
      </w:r>
      <w:bookmarkEnd w:id="103"/>
      <w:bookmarkEnd w:id="104"/>
      <w:bookmarkEnd w:id="105"/>
      <w:bookmarkEnd w:id="106"/>
      <w:bookmarkEnd w:id="107"/>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区财政部门要根据《生态环境领域中央与地方财政事权和支出责任划分改革方案》将本规划中资金投入列入本级财政支出的内容，进一步加大财政基本建设投资向环保项目倾斜的力度，加强环境污染防治和生态保护项目、环保基础设施和监管体系建设，同时积极争取国家、省、市生态环境保护治理专项资金。加强对财政投入生态环境保护专项资金的监督管理，实行绩效考核，提高资金使用效益。完善多元化的环保投融资机制，促使企业自筹资金开展污染治理，鼓励社会资本参与生活污水、生活垃圾处理等基础设施的建设和运营，通过特许经营、购买服务、股权合作等方式，建立政府与社会资本利益共享、风险分担、长期合作关系，鼓励金融机构对民间资本参与的生态环保项目提供融资支持，完善政府、企业、社会多元化环保投融资机制。</w:t>
      </w:r>
      <w:bookmarkStart w:id="108" w:name="_Toc55896685"/>
    </w:p>
    <w:p>
      <w:pPr>
        <w:spacing w:line="600" w:lineRule="exact"/>
        <w:outlineLvl w:val="1"/>
        <w:rPr>
          <w:rFonts w:ascii="仿宋_GB2312" w:hAnsi="仿宋_GB2312" w:eastAsia="仿宋_GB2312" w:cs="仿宋_GB2312"/>
          <w:b/>
          <w:bCs/>
          <w:color w:val="auto"/>
          <w:sz w:val="32"/>
          <w:szCs w:val="32"/>
        </w:rPr>
      </w:pPr>
      <w:bookmarkStart w:id="109" w:name="_Toc3029"/>
      <w:bookmarkStart w:id="110" w:name="_Toc14622"/>
      <w:bookmarkStart w:id="111" w:name="_Toc30564"/>
      <w:bookmarkStart w:id="112" w:name="_Toc92470662"/>
      <w:r>
        <w:rPr>
          <w:rFonts w:hint="eastAsia" w:ascii="仿宋_GB2312" w:hAnsi="仿宋_GB2312" w:eastAsia="仿宋_GB2312" w:cs="仿宋_GB2312"/>
          <w:b/>
          <w:bCs/>
          <w:color w:val="auto"/>
          <w:sz w:val="32"/>
          <w:szCs w:val="32"/>
        </w:rPr>
        <w:t>（四）动员社会参与</w:t>
      </w:r>
      <w:bookmarkEnd w:id="108"/>
      <w:bookmarkEnd w:id="109"/>
      <w:bookmarkEnd w:id="110"/>
      <w:bookmarkEnd w:id="111"/>
      <w:bookmarkEnd w:id="112"/>
    </w:p>
    <w:p>
      <w:pPr>
        <w:pStyle w:val="20"/>
        <w:adjustRightInd w:val="0"/>
        <w:snapToGrid w:val="0"/>
        <w:spacing w:after="0" w:line="560" w:lineRule="exact"/>
        <w:ind w:left="0" w:leftChars="0" w:firstLine="560"/>
        <w:rPr>
          <w:rFonts w:eastAsia="仿宋_GB2312" w:cs="仿宋_GB2312"/>
          <w:color w:val="auto"/>
          <w:sz w:val="28"/>
          <w:szCs w:val="28"/>
          <w:lang w:val="zh-CN"/>
        </w:rPr>
      </w:pPr>
      <w:r>
        <w:rPr>
          <w:rFonts w:hint="eastAsia" w:eastAsia="仿宋_GB2312" w:cs="仿宋_GB2312"/>
          <w:color w:val="auto"/>
          <w:sz w:val="28"/>
          <w:szCs w:val="28"/>
          <w:lang w:val="zh-CN"/>
        </w:rPr>
        <w:t>加强环境宣传教育，把节约文化、环境到的纳入社会运行的公序良俗，倡导文明、理性、节约的消费观念和生活理念，推动生产生活方式绿色化，推进生态、文化和旅游融合发展。强化社会舆论监督，充分发挥媒体监督作用，引导全社会积极关注和参与生态环境保护。建立公众参与环境决策的有效渠道和合理机制，健全环境保护网络举报平台和举报制度，鼓励公众对政府环保工作、企业排污行为进行监督。</w:t>
      </w:r>
    </w:p>
    <w:sectPr>
      <w:pgSz w:w="11906" w:h="16838"/>
      <w:pgMar w:top="2098" w:right="1588"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9991A7-07D0-43A0-94F2-7839189B29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A4E91F1-9A78-4584-8F39-06BF73F9D057}"/>
  </w:font>
  <w:font w:name="仿宋_GB2312">
    <w:panose1 w:val="02010609030101010101"/>
    <w:charset w:val="86"/>
    <w:family w:val="auto"/>
    <w:pitch w:val="default"/>
    <w:sig w:usb0="00000001" w:usb1="080E0000" w:usb2="00000000" w:usb3="00000000" w:csb0="00040000" w:csb1="00000000"/>
    <w:embedRegular r:id="rId3" w:fontKey="{AE1322E3-3706-4457-A017-92C48B3307B2}"/>
  </w:font>
  <w:font w:name="楷体_GB2312">
    <w:panose1 w:val="02010609030101010101"/>
    <w:charset w:val="86"/>
    <w:family w:val="modern"/>
    <w:pitch w:val="default"/>
    <w:sig w:usb0="00000001" w:usb1="080E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embedRegular r:id="rId4" w:fontKey="{0A4FAAAC-22F3-4817-A03F-5D70D3103569}"/>
  </w:font>
  <w:font w:name="微软雅黑">
    <w:panose1 w:val="020B0503020204020204"/>
    <w:charset w:val="86"/>
    <w:family w:val="swiss"/>
    <w:pitch w:val="default"/>
    <w:sig w:usb0="80000287" w:usb1="280F3C52" w:usb2="00000016" w:usb3="00000000" w:csb0="0004001F" w:csb1="00000000"/>
    <w:embedRegular r:id="rId5" w:fontKey="{F24F2922-E300-4906-BBAD-DDCE8BD483AC}"/>
  </w:font>
  <w:font w:name="楷体">
    <w:panose1 w:val="02010609060101010101"/>
    <w:charset w:val="86"/>
    <w:family w:val="modern"/>
    <w:pitch w:val="default"/>
    <w:sig w:usb0="800002BF" w:usb1="38CF7CFA" w:usb2="00000016" w:usb3="00000000" w:csb0="00040001" w:csb1="00000000"/>
    <w:embedRegular r:id="rId6" w:fontKey="{C176506D-07B1-41FC-AF75-01AA4BA795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534468055"/>
    </w:sdtPr>
    <w:sdtEndPr>
      <w:rPr>
        <w:sz w:val="28"/>
        <w:szCs w:val="28"/>
      </w:rPr>
    </w:sdtEndPr>
    <w:sdtContent>
      <w:p>
        <w:pPr>
          <w:pStyle w:val="1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I</w:t>
        </w:r>
        <w:r>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8494852"/>
    </w:sdtPr>
    <w:sdtEndPr>
      <w:rPr>
        <w:rFonts w:ascii="宋体" w:hAnsi="宋体"/>
        <w:sz w:val="28"/>
        <w:szCs w:val="28"/>
      </w:rPr>
    </w:sdtEndPr>
    <w:sdtContent>
      <w:p>
        <w:pPr>
          <w:pStyle w:val="13"/>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244557"/>
    </w:sdtPr>
    <w:sdtEndPr>
      <w:rPr>
        <w:rFonts w:ascii="宋体" w:hAnsi="宋体"/>
        <w:sz w:val="28"/>
        <w:szCs w:val="28"/>
      </w:rPr>
    </w:sdtEndPr>
    <w:sdtContent>
      <w:p>
        <w:pPr>
          <w:pStyle w:val="13"/>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isplayBackgroundShape w:val="1"/>
  <w:embedTrueTypeFonts/>
  <w:saveSubsetFonts/>
  <w:bordersDoNotSurroundHeader w:val="1"/>
  <w:bordersDoNotSurroundFooter w:val="1"/>
  <w:trackRevisions w:val="1"/>
  <w:documentProtection w:enforcement="0"/>
  <w:defaultTabStop w:val="420"/>
  <w:evenAndOddHeaders w:val="1"/>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UwMLO0NLQ0NLewMDVQ0lEKTi0uzszPAykwrAUAx6k17CwAAAA="/>
    <w:docVar w:name="commondata" w:val="eyJoZGlkIjoiZWQ4N2Q1ZGIxODJhZTBmMmNkYTNjZjIyNmUxNmY1NzYifQ=="/>
  </w:docVars>
  <w:rsids>
    <w:rsidRoot w:val="00D27A09"/>
    <w:rsid w:val="00002173"/>
    <w:rsid w:val="000028B5"/>
    <w:rsid w:val="0000344C"/>
    <w:rsid w:val="00016023"/>
    <w:rsid w:val="00027335"/>
    <w:rsid w:val="0003061D"/>
    <w:rsid w:val="000351CA"/>
    <w:rsid w:val="000447CF"/>
    <w:rsid w:val="00047E85"/>
    <w:rsid w:val="00051C92"/>
    <w:rsid w:val="000537D5"/>
    <w:rsid w:val="0007654E"/>
    <w:rsid w:val="00077573"/>
    <w:rsid w:val="00082AB4"/>
    <w:rsid w:val="0008735D"/>
    <w:rsid w:val="00087B02"/>
    <w:rsid w:val="00096ECB"/>
    <w:rsid w:val="000A20FD"/>
    <w:rsid w:val="000A2825"/>
    <w:rsid w:val="000B4505"/>
    <w:rsid w:val="000D0455"/>
    <w:rsid w:val="000D4B4E"/>
    <w:rsid w:val="000F4D2A"/>
    <w:rsid w:val="001011B6"/>
    <w:rsid w:val="00116790"/>
    <w:rsid w:val="00123C7A"/>
    <w:rsid w:val="00125ED4"/>
    <w:rsid w:val="001261E4"/>
    <w:rsid w:val="001310AF"/>
    <w:rsid w:val="0013353D"/>
    <w:rsid w:val="00143A71"/>
    <w:rsid w:val="001466DE"/>
    <w:rsid w:val="00147B9C"/>
    <w:rsid w:val="001515CB"/>
    <w:rsid w:val="00151CCC"/>
    <w:rsid w:val="00153687"/>
    <w:rsid w:val="0016183D"/>
    <w:rsid w:val="0016243F"/>
    <w:rsid w:val="00162EF2"/>
    <w:rsid w:val="0017020E"/>
    <w:rsid w:val="001719A5"/>
    <w:rsid w:val="00171E34"/>
    <w:rsid w:val="00174119"/>
    <w:rsid w:val="00184D9B"/>
    <w:rsid w:val="001A234B"/>
    <w:rsid w:val="001B497C"/>
    <w:rsid w:val="001C2622"/>
    <w:rsid w:val="001C29BE"/>
    <w:rsid w:val="001C5FD3"/>
    <w:rsid w:val="001D6F65"/>
    <w:rsid w:val="001E0F21"/>
    <w:rsid w:val="001E447C"/>
    <w:rsid w:val="001F281C"/>
    <w:rsid w:val="00205639"/>
    <w:rsid w:val="00206DB1"/>
    <w:rsid w:val="002117DB"/>
    <w:rsid w:val="00214133"/>
    <w:rsid w:val="00216299"/>
    <w:rsid w:val="00221294"/>
    <w:rsid w:val="002232B1"/>
    <w:rsid w:val="002239E3"/>
    <w:rsid w:val="00226142"/>
    <w:rsid w:val="00230294"/>
    <w:rsid w:val="002348E2"/>
    <w:rsid w:val="00234D44"/>
    <w:rsid w:val="002459DB"/>
    <w:rsid w:val="00247C28"/>
    <w:rsid w:val="002542D7"/>
    <w:rsid w:val="00257F5B"/>
    <w:rsid w:val="00261591"/>
    <w:rsid w:val="002630AD"/>
    <w:rsid w:val="00276D1E"/>
    <w:rsid w:val="0027797C"/>
    <w:rsid w:val="002817DC"/>
    <w:rsid w:val="002858CE"/>
    <w:rsid w:val="002A0993"/>
    <w:rsid w:val="002A5DC2"/>
    <w:rsid w:val="002A7700"/>
    <w:rsid w:val="002B2176"/>
    <w:rsid w:val="002B2286"/>
    <w:rsid w:val="002C661B"/>
    <w:rsid w:val="002E7CED"/>
    <w:rsid w:val="002F0884"/>
    <w:rsid w:val="002F6A33"/>
    <w:rsid w:val="002F7F9A"/>
    <w:rsid w:val="00301C9C"/>
    <w:rsid w:val="0030219B"/>
    <w:rsid w:val="0031446C"/>
    <w:rsid w:val="00317CAC"/>
    <w:rsid w:val="00321D99"/>
    <w:rsid w:val="00325590"/>
    <w:rsid w:val="00330293"/>
    <w:rsid w:val="00330B29"/>
    <w:rsid w:val="003313F3"/>
    <w:rsid w:val="003330FE"/>
    <w:rsid w:val="00333428"/>
    <w:rsid w:val="003351F2"/>
    <w:rsid w:val="00340A10"/>
    <w:rsid w:val="003458D0"/>
    <w:rsid w:val="00350BCF"/>
    <w:rsid w:val="003531BB"/>
    <w:rsid w:val="0035353D"/>
    <w:rsid w:val="00354E4F"/>
    <w:rsid w:val="00356C17"/>
    <w:rsid w:val="0036738F"/>
    <w:rsid w:val="00374E71"/>
    <w:rsid w:val="00380981"/>
    <w:rsid w:val="00380C6D"/>
    <w:rsid w:val="00382EEF"/>
    <w:rsid w:val="0038371A"/>
    <w:rsid w:val="003877FA"/>
    <w:rsid w:val="003971D5"/>
    <w:rsid w:val="003A0A82"/>
    <w:rsid w:val="003A1350"/>
    <w:rsid w:val="003B75F0"/>
    <w:rsid w:val="003D13C5"/>
    <w:rsid w:val="003D47DA"/>
    <w:rsid w:val="003D6D35"/>
    <w:rsid w:val="003E0A19"/>
    <w:rsid w:val="003E2485"/>
    <w:rsid w:val="003F03B5"/>
    <w:rsid w:val="003F0CB7"/>
    <w:rsid w:val="004011A7"/>
    <w:rsid w:val="004100F2"/>
    <w:rsid w:val="00414CD7"/>
    <w:rsid w:val="00415D0E"/>
    <w:rsid w:val="00425249"/>
    <w:rsid w:val="004306C1"/>
    <w:rsid w:val="00434BA6"/>
    <w:rsid w:val="00435D5A"/>
    <w:rsid w:val="004419C8"/>
    <w:rsid w:val="004419D2"/>
    <w:rsid w:val="0044695D"/>
    <w:rsid w:val="00463DDC"/>
    <w:rsid w:val="00467AC5"/>
    <w:rsid w:val="00471C99"/>
    <w:rsid w:val="004727ED"/>
    <w:rsid w:val="004825BE"/>
    <w:rsid w:val="004B0B99"/>
    <w:rsid w:val="004B231F"/>
    <w:rsid w:val="004B4A81"/>
    <w:rsid w:val="004B663B"/>
    <w:rsid w:val="004C391F"/>
    <w:rsid w:val="004E601D"/>
    <w:rsid w:val="004F57B8"/>
    <w:rsid w:val="00506A53"/>
    <w:rsid w:val="005175A9"/>
    <w:rsid w:val="00524DF5"/>
    <w:rsid w:val="00537D22"/>
    <w:rsid w:val="00547B42"/>
    <w:rsid w:val="0055020E"/>
    <w:rsid w:val="00551789"/>
    <w:rsid w:val="00567CB4"/>
    <w:rsid w:val="0058029D"/>
    <w:rsid w:val="00586F3E"/>
    <w:rsid w:val="00590C07"/>
    <w:rsid w:val="00593BD2"/>
    <w:rsid w:val="005948B0"/>
    <w:rsid w:val="005A4F44"/>
    <w:rsid w:val="005A6F76"/>
    <w:rsid w:val="005B14A5"/>
    <w:rsid w:val="005B2691"/>
    <w:rsid w:val="005B7779"/>
    <w:rsid w:val="005D26AC"/>
    <w:rsid w:val="005D5942"/>
    <w:rsid w:val="005E3158"/>
    <w:rsid w:val="005E522D"/>
    <w:rsid w:val="005F3271"/>
    <w:rsid w:val="005F379B"/>
    <w:rsid w:val="006077CF"/>
    <w:rsid w:val="00607A7E"/>
    <w:rsid w:val="0062508F"/>
    <w:rsid w:val="00626A4A"/>
    <w:rsid w:val="00645060"/>
    <w:rsid w:val="00651E11"/>
    <w:rsid w:val="00654B67"/>
    <w:rsid w:val="006746C9"/>
    <w:rsid w:val="00677E2B"/>
    <w:rsid w:val="006A15E2"/>
    <w:rsid w:val="006A235F"/>
    <w:rsid w:val="006A2ECC"/>
    <w:rsid w:val="006C4EB1"/>
    <w:rsid w:val="006D0365"/>
    <w:rsid w:val="006D70CD"/>
    <w:rsid w:val="006E1A80"/>
    <w:rsid w:val="006F698B"/>
    <w:rsid w:val="00714536"/>
    <w:rsid w:val="00715B64"/>
    <w:rsid w:val="00715E8D"/>
    <w:rsid w:val="00720115"/>
    <w:rsid w:val="00720294"/>
    <w:rsid w:val="00721AA1"/>
    <w:rsid w:val="00745815"/>
    <w:rsid w:val="00745CD6"/>
    <w:rsid w:val="00746935"/>
    <w:rsid w:val="00754DB3"/>
    <w:rsid w:val="007575E6"/>
    <w:rsid w:val="00762FEF"/>
    <w:rsid w:val="007669BD"/>
    <w:rsid w:val="00775968"/>
    <w:rsid w:val="007832B7"/>
    <w:rsid w:val="00790D05"/>
    <w:rsid w:val="00792EAD"/>
    <w:rsid w:val="0079348A"/>
    <w:rsid w:val="007A03C9"/>
    <w:rsid w:val="007A06EC"/>
    <w:rsid w:val="007A60DF"/>
    <w:rsid w:val="007A73EC"/>
    <w:rsid w:val="007B235A"/>
    <w:rsid w:val="007C3C20"/>
    <w:rsid w:val="007C4E18"/>
    <w:rsid w:val="007F6387"/>
    <w:rsid w:val="008060DC"/>
    <w:rsid w:val="0080720A"/>
    <w:rsid w:val="00817769"/>
    <w:rsid w:val="00820889"/>
    <w:rsid w:val="00821ADD"/>
    <w:rsid w:val="00826509"/>
    <w:rsid w:val="00834B76"/>
    <w:rsid w:val="008513EB"/>
    <w:rsid w:val="008672E7"/>
    <w:rsid w:val="00876C37"/>
    <w:rsid w:val="0087763E"/>
    <w:rsid w:val="00891B6A"/>
    <w:rsid w:val="008A2390"/>
    <w:rsid w:val="008A7C87"/>
    <w:rsid w:val="008D5871"/>
    <w:rsid w:val="008E362E"/>
    <w:rsid w:val="008E4098"/>
    <w:rsid w:val="008E625F"/>
    <w:rsid w:val="008F3E00"/>
    <w:rsid w:val="008F6B5D"/>
    <w:rsid w:val="009008D0"/>
    <w:rsid w:val="009058A3"/>
    <w:rsid w:val="00907E96"/>
    <w:rsid w:val="00925AB6"/>
    <w:rsid w:val="00936067"/>
    <w:rsid w:val="00940A8C"/>
    <w:rsid w:val="0095329A"/>
    <w:rsid w:val="00953FA1"/>
    <w:rsid w:val="009716A1"/>
    <w:rsid w:val="00981F01"/>
    <w:rsid w:val="009854BE"/>
    <w:rsid w:val="00986174"/>
    <w:rsid w:val="00991E73"/>
    <w:rsid w:val="0099559A"/>
    <w:rsid w:val="009A7AF2"/>
    <w:rsid w:val="009B4FF6"/>
    <w:rsid w:val="009B75F9"/>
    <w:rsid w:val="009C1F02"/>
    <w:rsid w:val="009C5609"/>
    <w:rsid w:val="009C61C6"/>
    <w:rsid w:val="009D1424"/>
    <w:rsid w:val="009E0B2C"/>
    <w:rsid w:val="009E2F44"/>
    <w:rsid w:val="009E5483"/>
    <w:rsid w:val="009F10EC"/>
    <w:rsid w:val="009F1ECA"/>
    <w:rsid w:val="009F5AF4"/>
    <w:rsid w:val="009F6849"/>
    <w:rsid w:val="00A035AE"/>
    <w:rsid w:val="00A11472"/>
    <w:rsid w:val="00A12A89"/>
    <w:rsid w:val="00A17A81"/>
    <w:rsid w:val="00A3239C"/>
    <w:rsid w:val="00A343D4"/>
    <w:rsid w:val="00A6198C"/>
    <w:rsid w:val="00A7452C"/>
    <w:rsid w:val="00A817B8"/>
    <w:rsid w:val="00A846A6"/>
    <w:rsid w:val="00A87BAE"/>
    <w:rsid w:val="00A90496"/>
    <w:rsid w:val="00A954D1"/>
    <w:rsid w:val="00A967C0"/>
    <w:rsid w:val="00AB75EA"/>
    <w:rsid w:val="00AF1472"/>
    <w:rsid w:val="00AF4699"/>
    <w:rsid w:val="00B133C9"/>
    <w:rsid w:val="00B227CF"/>
    <w:rsid w:val="00B257E1"/>
    <w:rsid w:val="00B404C5"/>
    <w:rsid w:val="00B41BB2"/>
    <w:rsid w:val="00B469A4"/>
    <w:rsid w:val="00B510E4"/>
    <w:rsid w:val="00B5177C"/>
    <w:rsid w:val="00B62744"/>
    <w:rsid w:val="00B96AE7"/>
    <w:rsid w:val="00B97502"/>
    <w:rsid w:val="00BA2C3A"/>
    <w:rsid w:val="00BA79FD"/>
    <w:rsid w:val="00BC5DEC"/>
    <w:rsid w:val="00BE3522"/>
    <w:rsid w:val="00BE56ED"/>
    <w:rsid w:val="00BF03C8"/>
    <w:rsid w:val="00BF143D"/>
    <w:rsid w:val="00C025A6"/>
    <w:rsid w:val="00C04560"/>
    <w:rsid w:val="00C123E5"/>
    <w:rsid w:val="00C2636D"/>
    <w:rsid w:val="00C307B2"/>
    <w:rsid w:val="00C322F5"/>
    <w:rsid w:val="00C341CF"/>
    <w:rsid w:val="00C36EBF"/>
    <w:rsid w:val="00C50DB9"/>
    <w:rsid w:val="00C61E81"/>
    <w:rsid w:val="00C62F4F"/>
    <w:rsid w:val="00C73F03"/>
    <w:rsid w:val="00C76208"/>
    <w:rsid w:val="00C76FBA"/>
    <w:rsid w:val="00C775ED"/>
    <w:rsid w:val="00C80026"/>
    <w:rsid w:val="00C979C8"/>
    <w:rsid w:val="00CA0F24"/>
    <w:rsid w:val="00CA7E45"/>
    <w:rsid w:val="00CB5323"/>
    <w:rsid w:val="00CB7EEA"/>
    <w:rsid w:val="00CC17D3"/>
    <w:rsid w:val="00CD7D2A"/>
    <w:rsid w:val="00CE1276"/>
    <w:rsid w:val="00CE2402"/>
    <w:rsid w:val="00CF4924"/>
    <w:rsid w:val="00D04F0B"/>
    <w:rsid w:val="00D1076A"/>
    <w:rsid w:val="00D14C21"/>
    <w:rsid w:val="00D1721D"/>
    <w:rsid w:val="00D27A09"/>
    <w:rsid w:val="00D337F1"/>
    <w:rsid w:val="00D34DBA"/>
    <w:rsid w:val="00D37A4D"/>
    <w:rsid w:val="00D42FBB"/>
    <w:rsid w:val="00D454C5"/>
    <w:rsid w:val="00D47D8D"/>
    <w:rsid w:val="00D50CFC"/>
    <w:rsid w:val="00D56F49"/>
    <w:rsid w:val="00D60D5D"/>
    <w:rsid w:val="00D614D9"/>
    <w:rsid w:val="00D62E69"/>
    <w:rsid w:val="00D65FD6"/>
    <w:rsid w:val="00D725FC"/>
    <w:rsid w:val="00D737E3"/>
    <w:rsid w:val="00D744E9"/>
    <w:rsid w:val="00D77A54"/>
    <w:rsid w:val="00D9058B"/>
    <w:rsid w:val="00D91573"/>
    <w:rsid w:val="00D91699"/>
    <w:rsid w:val="00D91A2F"/>
    <w:rsid w:val="00D91FBA"/>
    <w:rsid w:val="00DA427B"/>
    <w:rsid w:val="00DA5C56"/>
    <w:rsid w:val="00DB2A83"/>
    <w:rsid w:val="00DC61F2"/>
    <w:rsid w:val="00DC7E78"/>
    <w:rsid w:val="00DD3540"/>
    <w:rsid w:val="00DE3B42"/>
    <w:rsid w:val="00DE5000"/>
    <w:rsid w:val="00DE77D9"/>
    <w:rsid w:val="00DF788D"/>
    <w:rsid w:val="00E1310C"/>
    <w:rsid w:val="00E13CEB"/>
    <w:rsid w:val="00E16D3C"/>
    <w:rsid w:val="00E2543C"/>
    <w:rsid w:val="00E25A98"/>
    <w:rsid w:val="00E25D6C"/>
    <w:rsid w:val="00E25D8F"/>
    <w:rsid w:val="00E47FDE"/>
    <w:rsid w:val="00E50656"/>
    <w:rsid w:val="00E52115"/>
    <w:rsid w:val="00E52638"/>
    <w:rsid w:val="00E54C56"/>
    <w:rsid w:val="00E61FE2"/>
    <w:rsid w:val="00E622C6"/>
    <w:rsid w:val="00E6520E"/>
    <w:rsid w:val="00E92E06"/>
    <w:rsid w:val="00E94FB1"/>
    <w:rsid w:val="00E97A1B"/>
    <w:rsid w:val="00EB0CDA"/>
    <w:rsid w:val="00EC0749"/>
    <w:rsid w:val="00EC0EB7"/>
    <w:rsid w:val="00EC519D"/>
    <w:rsid w:val="00ED31C4"/>
    <w:rsid w:val="00ED3219"/>
    <w:rsid w:val="00EE1829"/>
    <w:rsid w:val="00EE19E7"/>
    <w:rsid w:val="00EE6562"/>
    <w:rsid w:val="00F01231"/>
    <w:rsid w:val="00F0603D"/>
    <w:rsid w:val="00F10A66"/>
    <w:rsid w:val="00F26E58"/>
    <w:rsid w:val="00F32A21"/>
    <w:rsid w:val="00F3550D"/>
    <w:rsid w:val="00F35E31"/>
    <w:rsid w:val="00F364DB"/>
    <w:rsid w:val="00F44083"/>
    <w:rsid w:val="00F46B6B"/>
    <w:rsid w:val="00F4726C"/>
    <w:rsid w:val="00F52844"/>
    <w:rsid w:val="00F52C57"/>
    <w:rsid w:val="00F558B0"/>
    <w:rsid w:val="00F60E00"/>
    <w:rsid w:val="00F62A6E"/>
    <w:rsid w:val="00F70390"/>
    <w:rsid w:val="00F71BDC"/>
    <w:rsid w:val="00F72668"/>
    <w:rsid w:val="00F728B2"/>
    <w:rsid w:val="00F73A0C"/>
    <w:rsid w:val="00F95039"/>
    <w:rsid w:val="00F9722B"/>
    <w:rsid w:val="00FA4CEF"/>
    <w:rsid w:val="00FB3225"/>
    <w:rsid w:val="00FB3863"/>
    <w:rsid w:val="00FB56E9"/>
    <w:rsid w:val="00FC3DA1"/>
    <w:rsid w:val="00FD77D5"/>
    <w:rsid w:val="00FE70B1"/>
    <w:rsid w:val="00FF1F72"/>
    <w:rsid w:val="00FF653A"/>
    <w:rsid w:val="01443437"/>
    <w:rsid w:val="01485DE5"/>
    <w:rsid w:val="01CF5ECA"/>
    <w:rsid w:val="01D93080"/>
    <w:rsid w:val="02353515"/>
    <w:rsid w:val="026D00B9"/>
    <w:rsid w:val="02874572"/>
    <w:rsid w:val="02E221F0"/>
    <w:rsid w:val="031D414D"/>
    <w:rsid w:val="03745AA8"/>
    <w:rsid w:val="04375C3F"/>
    <w:rsid w:val="048940EF"/>
    <w:rsid w:val="0504738D"/>
    <w:rsid w:val="055F075D"/>
    <w:rsid w:val="058E7285"/>
    <w:rsid w:val="059C2123"/>
    <w:rsid w:val="05E10FF4"/>
    <w:rsid w:val="05FC72BC"/>
    <w:rsid w:val="060147F7"/>
    <w:rsid w:val="060A24B1"/>
    <w:rsid w:val="061C08EE"/>
    <w:rsid w:val="06AC22FE"/>
    <w:rsid w:val="07080CAC"/>
    <w:rsid w:val="0725246B"/>
    <w:rsid w:val="07283879"/>
    <w:rsid w:val="07414DDA"/>
    <w:rsid w:val="079C4EE9"/>
    <w:rsid w:val="07C936F8"/>
    <w:rsid w:val="08A44E72"/>
    <w:rsid w:val="08A6286E"/>
    <w:rsid w:val="09121C75"/>
    <w:rsid w:val="0942593A"/>
    <w:rsid w:val="096D7111"/>
    <w:rsid w:val="096F1562"/>
    <w:rsid w:val="09806303"/>
    <w:rsid w:val="09C12D7B"/>
    <w:rsid w:val="0A8D600A"/>
    <w:rsid w:val="0ADD732A"/>
    <w:rsid w:val="0AED7885"/>
    <w:rsid w:val="0B0541EC"/>
    <w:rsid w:val="0B4E7187"/>
    <w:rsid w:val="0B8535E4"/>
    <w:rsid w:val="0B8E4F05"/>
    <w:rsid w:val="0B986B16"/>
    <w:rsid w:val="0BBD73B6"/>
    <w:rsid w:val="0C141FBB"/>
    <w:rsid w:val="0C9F6739"/>
    <w:rsid w:val="0CA32502"/>
    <w:rsid w:val="0D471E9B"/>
    <w:rsid w:val="0D755E13"/>
    <w:rsid w:val="0D7B319E"/>
    <w:rsid w:val="0D8B5D13"/>
    <w:rsid w:val="0DE11548"/>
    <w:rsid w:val="0E484532"/>
    <w:rsid w:val="0E685579"/>
    <w:rsid w:val="0E947E13"/>
    <w:rsid w:val="0ED867BF"/>
    <w:rsid w:val="0EF8347B"/>
    <w:rsid w:val="0F412D9C"/>
    <w:rsid w:val="0F423F37"/>
    <w:rsid w:val="0F542F6A"/>
    <w:rsid w:val="10105A10"/>
    <w:rsid w:val="10331A1B"/>
    <w:rsid w:val="10451D7A"/>
    <w:rsid w:val="10463279"/>
    <w:rsid w:val="107B448C"/>
    <w:rsid w:val="1110732B"/>
    <w:rsid w:val="112B5553"/>
    <w:rsid w:val="11561F63"/>
    <w:rsid w:val="11F64393"/>
    <w:rsid w:val="124577D6"/>
    <w:rsid w:val="127C08E4"/>
    <w:rsid w:val="12B07E44"/>
    <w:rsid w:val="131D1EE9"/>
    <w:rsid w:val="13431499"/>
    <w:rsid w:val="136575C2"/>
    <w:rsid w:val="13A57994"/>
    <w:rsid w:val="140B7B92"/>
    <w:rsid w:val="14127F33"/>
    <w:rsid w:val="141A52E2"/>
    <w:rsid w:val="142D74B3"/>
    <w:rsid w:val="14E67AB2"/>
    <w:rsid w:val="15430FDB"/>
    <w:rsid w:val="1591544B"/>
    <w:rsid w:val="15C129AC"/>
    <w:rsid w:val="15C57558"/>
    <w:rsid w:val="15DA4621"/>
    <w:rsid w:val="1645420F"/>
    <w:rsid w:val="16AF788E"/>
    <w:rsid w:val="16D67C45"/>
    <w:rsid w:val="16FF1D36"/>
    <w:rsid w:val="17014C57"/>
    <w:rsid w:val="172D3F02"/>
    <w:rsid w:val="17635CAB"/>
    <w:rsid w:val="177C4E94"/>
    <w:rsid w:val="178C0DB7"/>
    <w:rsid w:val="17A812F1"/>
    <w:rsid w:val="18360F0B"/>
    <w:rsid w:val="186C1089"/>
    <w:rsid w:val="18923A54"/>
    <w:rsid w:val="18AD67BD"/>
    <w:rsid w:val="18E72480"/>
    <w:rsid w:val="18FE592D"/>
    <w:rsid w:val="1913650D"/>
    <w:rsid w:val="193C7D27"/>
    <w:rsid w:val="1988370D"/>
    <w:rsid w:val="1A132E9F"/>
    <w:rsid w:val="1A3E2BF7"/>
    <w:rsid w:val="1A4D1F7F"/>
    <w:rsid w:val="1A925B93"/>
    <w:rsid w:val="1AAE7B1F"/>
    <w:rsid w:val="1AF60C41"/>
    <w:rsid w:val="1B054EDB"/>
    <w:rsid w:val="1B902051"/>
    <w:rsid w:val="1C7073D7"/>
    <w:rsid w:val="1D28585C"/>
    <w:rsid w:val="1D3F12D2"/>
    <w:rsid w:val="1D6C2B5A"/>
    <w:rsid w:val="1DBB3F3C"/>
    <w:rsid w:val="1DDD1B98"/>
    <w:rsid w:val="1DE10654"/>
    <w:rsid w:val="1DFB5247"/>
    <w:rsid w:val="1E1549F5"/>
    <w:rsid w:val="1E201C21"/>
    <w:rsid w:val="1EB86DAE"/>
    <w:rsid w:val="1ECA5B1C"/>
    <w:rsid w:val="1ED32C26"/>
    <w:rsid w:val="1F247840"/>
    <w:rsid w:val="1FB80452"/>
    <w:rsid w:val="1FDF5766"/>
    <w:rsid w:val="200817AA"/>
    <w:rsid w:val="201A04C6"/>
    <w:rsid w:val="20C4170E"/>
    <w:rsid w:val="20DF47A5"/>
    <w:rsid w:val="211D27A7"/>
    <w:rsid w:val="21296EED"/>
    <w:rsid w:val="214576DE"/>
    <w:rsid w:val="21B43F17"/>
    <w:rsid w:val="21C20ECC"/>
    <w:rsid w:val="2248569A"/>
    <w:rsid w:val="22562672"/>
    <w:rsid w:val="22C8305E"/>
    <w:rsid w:val="238A4530"/>
    <w:rsid w:val="23994CE5"/>
    <w:rsid w:val="23D33E9B"/>
    <w:rsid w:val="23D447B3"/>
    <w:rsid w:val="241B686F"/>
    <w:rsid w:val="242730AE"/>
    <w:rsid w:val="2434768D"/>
    <w:rsid w:val="2460799C"/>
    <w:rsid w:val="24941921"/>
    <w:rsid w:val="24B05BFA"/>
    <w:rsid w:val="24EA7C0B"/>
    <w:rsid w:val="25020CD9"/>
    <w:rsid w:val="250373E7"/>
    <w:rsid w:val="25100EBB"/>
    <w:rsid w:val="25FD57FF"/>
    <w:rsid w:val="26390217"/>
    <w:rsid w:val="264C75DF"/>
    <w:rsid w:val="26766038"/>
    <w:rsid w:val="26AE6AD3"/>
    <w:rsid w:val="274E1A03"/>
    <w:rsid w:val="27A82121"/>
    <w:rsid w:val="27DE0747"/>
    <w:rsid w:val="286A0697"/>
    <w:rsid w:val="288C2C3C"/>
    <w:rsid w:val="28AF567C"/>
    <w:rsid w:val="29080BAE"/>
    <w:rsid w:val="294334F0"/>
    <w:rsid w:val="29662C7D"/>
    <w:rsid w:val="29AC3B46"/>
    <w:rsid w:val="29D77DBC"/>
    <w:rsid w:val="2A18352A"/>
    <w:rsid w:val="2A64446F"/>
    <w:rsid w:val="2A8E1238"/>
    <w:rsid w:val="2B093A63"/>
    <w:rsid w:val="2B3D786F"/>
    <w:rsid w:val="2B99625C"/>
    <w:rsid w:val="2BB55E7A"/>
    <w:rsid w:val="2C2C65C8"/>
    <w:rsid w:val="2CC96C52"/>
    <w:rsid w:val="2CF16C19"/>
    <w:rsid w:val="2D267EC5"/>
    <w:rsid w:val="2D946427"/>
    <w:rsid w:val="2E2F3F2B"/>
    <w:rsid w:val="2E3F221F"/>
    <w:rsid w:val="2F084DD5"/>
    <w:rsid w:val="2F0E5281"/>
    <w:rsid w:val="2FC46152"/>
    <w:rsid w:val="2FDB04E9"/>
    <w:rsid w:val="30056332"/>
    <w:rsid w:val="301919A5"/>
    <w:rsid w:val="302C5100"/>
    <w:rsid w:val="305108FA"/>
    <w:rsid w:val="30725CBE"/>
    <w:rsid w:val="30C3776A"/>
    <w:rsid w:val="30E34607"/>
    <w:rsid w:val="311730EF"/>
    <w:rsid w:val="316B0AEA"/>
    <w:rsid w:val="316B19DD"/>
    <w:rsid w:val="31732D45"/>
    <w:rsid w:val="323C33EC"/>
    <w:rsid w:val="32557660"/>
    <w:rsid w:val="325D13CB"/>
    <w:rsid w:val="328F3DC8"/>
    <w:rsid w:val="329F1C81"/>
    <w:rsid w:val="32CA4009"/>
    <w:rsid w:val="333A337F"/>
    <w:rsid w:val="343C15F8"/>
    <w:rsid w:val="34713626"/>
    <w:rsid w:val="347461B4"/>
    <w:rsid w:val="347F530A"/>
    <w:rsid w:val="3496066C"/>
    <w:rsid w:val="34AF3E29"/>
    <w:rsid w:val="34E54642"/>
    <w:rsid w:val="35001241"/>
    <w:rsid w:val="353824AE"/>
    <w:rsid w:val="35396AD8"/>
    <w:rsid w:val="35C078D8"/>
    <w:rsid w:val="35E44C6A"/>
    <w:rsid w:val="360D0E17"/>
    <w:rsid w:val="36407D5D"/>
    <w:rsid w:val="366731B9"/>
    <w:rsid w:val="36D15B68"/>
    <w:rsid w:val="376F7FC2"/>
    <w:rsid w:val="377B31C4"/>
    <w:rsid w:val="37B93858"/>
    <w:rsid w:val="37C80CF1"/>
    <w:rsid w:val="38013A9F"/>
    <w:rsid w:val="382329A8"/>
    <w:rsid w:val="38236762"/>
    <w:rsid w:val="383B1E74"/>
    <w:rsid w:val="38446225"/>
    <w:rsid w:val="384F5110"/>
    <w:rsid w:val="398C3D40"/>
    <w:rsid w:val="39AB593F"/>
    <w:rsid w:val="39D121EC"/>
    <w:rsid w:val="39FE0BC3"/>
    <w:rsid w:val="3A2835D1"/>
    <w:rsid w:val="3A393F4B"/>
    <w:rsid w:val="3A433127"/>
    <w:rsid w:val="3A5D41AB"/>
    <w:rsid w:val="3ACE65D5"/>
    <w:rsid w:val="3AFB674A"/>
    <w:rsid w:val="3B287558"/>
    <w:rsid w:val="3B3A712E"/>
    <w:rsid w:val="3C600FC7"/>
    <w:rsid w:val="3D3F1C09"/>
    <w:rsid w:val="3D426133"/>
    <w:rsid w:val="3DA37171"/>
    <w:rsid w:val="3DAC2FDE"/>
    <w:rsid w:val="3E1D35A1"/>
    <w:rsid w:val="3E7D1418"/>
    <w:rsid w:val="3E7D7812"/>
    <w:rsid w:val="3E7F1B0C"/>
    <w:rsid w:val="3EA458B7"/>
    <w:rsid w:val="3EC63222"/>
    <w:rsid w:val="3ED770DB"/>
    <w:rsid w:val="3F03771A"/>
    <w:rsid w:val="3F633B61"/>
    <w:rsid w:val="3FF814EB"/>
    <w:rsid w:val="4011114C"/>
    <w:rsid w:val="401240FE"/>
    <w:rsid w:val="406931AE"/>
    <w:rsid w:val="410912CE"/>
    <w:rsid w:val="41337B09"/>
    <w:rsid w:val="41432F4E"/>
    <w:rsid w:val="416A5279"/>
    <w:rsid w:val="425A564F"/>
    <w:rsid w:val="427E5F3C"/>
    <w:rsid w:val="42CA3899"/>
    <w:rsid w:val="42FB455A"/>
    <w:rsid w:val="430427C9"/>
    <w:rsid w:val="432F3C81"/>
    <w:rsid w:val="435B329D"/>
    <w:rsid w:val="43752BBF"/>
    <w:rsid w:val="439A145F"/>
    <w:rsid w:val="43B7586C"/>
    <w:rsid w:val="43CA4D42"/>
    <w:rsid w:val="44A348A2"/>
    <w:rsid w:val="44FC7BBB"/>
    <w:rsid w:val="452B54EC"/>
    <w:rsid w:val="4558201F"/>
    <w:rsid w:val="457E6A6E"/>
    <w:rsid w:val="45AF2F1A"/>
    <w:rsid w:val="46994901"/>
    <w:rsid w:val="469E0E01"/>
    <w:rsid w:val="46BD67DF"/>
    <w:rsid w:val="470E0A27"/>
    <w:rsid w:val="4776587D"/>
    <w:rsid w:val="480279D6"/>
    <w:rsid w:val="48821232"/>
    <w:rsid w:val="48D759C0"/>
    <w:rsid w:val="4939285D"/>
    <w:rsid w:val="496725B9"/>
    <w:rsid w:val="498A31BD"/>
    <w:rsid w:val="49E16903"/>
    <w:rsid w:val="4A223A8C"/>
    <w:rsid w:val="4A475B96"/>
    <w:rsid w:val="4A517C5C"/>
    <w:rsid w:val="4AEF2943"/>
    <w:rsid w:val="4B1C6D40"/>
    <w:rsid w:val="4B2F0821"/>
    <w:rsid w:val="4B65205C"/>
    <w:rsid w:val="4B90541B"/>
    <w:rsid w:val="4C113B0F"/>
    <w:rsid w:val="4C3D0D64"/>
    <w:rsid w:val="4CDE10DC"/>
    <w:rsid w:val="4CED4B9F"/>
    <w:rsid w:val="4D1D74A5"/>
    <w:rsid w:val="4DE34C26"/>
    <w:rsid w:val="4E7B5C9B"/>
    <w:rsid w:val="4EFC74A7"/>
    <w:rsid w:val="4F0242B5"/>
    <w:rsid w:val="4F0D6780"/>
    <w:rsid w:val="4F347DF5"/>
    <w:rsid w:val="4FF334FA"/>
    <w:rsid w:val="502229BB"/>
    <w:rsid w:val="503F2828"/>
    <w:rsid w:val="50831CE5"/>
    <w:rsid w:val="5109209A"/>
    <w:rsid w:val="515A5ADE"/>
    <w:rsid w:val="517D7BDD"/>
    <w:rsid w:val="51AB688A"/>
    <w:rsid w:val="52261327"/>
    <w:rsid w:val="52A72FDF"/>
    <w:rsid w:val="52AE4D13"/>
    <w:rsid w:val="53291AE9"/>
    <w:rsid w:val="535070F1"/>
    <w:rsid w:val="538671A4"/>
    <w:rsid w:val="53934723"/>
    <w:rsid w:val="53DF042C"/>
    <w:rsid w:val="53EA5D64"/>
    <w:rsid w:val="540474BE"/>
    <w:rsid w:val="54403EB4"/>
    <w:rsid w:val="5459597F"/>
    <w:rsid w:val="54BD5D46"/>
    <w:rsid w:val="54DF1722"/>
    <w:rsid w:val="54E114DA"/>
    <w:rsid w:val="551E201C"/>
    <w:rsid w:val="55321A13"/>
    <w:rsid w:val="554609C8"/>
    <w:rsid w:val="554B46A4"/>
    <w:rsid w:val="55580145"/>
    <w:rsid w:val="55606AAB"/>
    <w:rsid w:val="55F62753"/>
    <w:rsid w:val="562609E9"/>
    <w:rsid w:val="56420650"/>
    <w:rsid w:val="5651264E"/>
    <w:rsid w:val="56570A01"/>
    <w:rsid w:val="56E3593C"/>
    <w:rsid w:val="574B0E3B"/>
    <w:rsid w:val="57735668"/>
    <w:rsid w:val="57767668"/>
    <w:rsid w:val="57785832"/>
    <w:rsid w:val="57C47B03"/>
    <w:rsid w:val="57EC0C16"/>
    <w:rsid w:val="58A3123B"/>
    <w:rsid w:val="59A01B18"/>
    <w:rsid w:val="5A091C98"/>
    <w:rsid w:val="5A8718A0"/>
    <w:rsid w:val="5A905843"/>
    <w:rsid w:val="5B1801E2"/>
    <w:rsid w:val="5B2F096B"/>
    <w:rsid w:val="5B3C36AA"/>
    <w:rsid w:val="5B4645B7"/>
    <w:rsid w:val="5B505920"/>
    <w:rsid w:val="5C436257"/>
    <w:rsid w:val="5C5E244A"/>
    <w:rsid w:val="5CA319F4"/>
    <w:rsid w:val="5CD13E5D"/>
    <w:rsid w:val="5CF00B4A"/>
    <w:rsid w:val="5D0703CB"/>
    <w:rsid w:val="5D0A6BD7"/>
    <w:rsid w:val="5D482E58"/>
    <w:rsid w:val="5DA40B9E"/>
    <w:rsid w:val="5E1A2FAC"/>
    <w:rsid w:val="5E684493"/>
    <w:rsid w:val="5E9024D5"/>
    <w:rsid w:val="5EEA1B4E"/>
    <w:rsid w:val="5F14670B"/>
    <w:rsid w:val="5F2719A2"/>
    <w:rsid w:val="5F2773BA"/>
    <w:rsid w:val="5F4C27A4"/>
    <w:rsid w:val="5FD77842"/>
    <w:rsid w:val="5FD968BA"/>
    <w:rsid w:val="60C723DD"/>
    <w:rsid w:val="61277C58"/>
    <w:rsid w:val="613607E6"/>
    <w:rsid w:val="61434E9F"/>
    <w:rsid w:val="621A559D"/>
    <w:rsid w:val="6240532A"/>
    <w:rsid w:val="628406C9"/>
    <w:rsid w:val="631750AC"/>
    <w:rsid w:val="633430A7"/>
    <w:rsid w:val="635F2A61"/>
    <w:rsid w:val="636151E4"/>
    <w:rsid w:val="64633293"/>
    <w:rsid w:val="64DB3BB5"/>
    <w:rsid w:val="64DD35AE"/>
    <w:rsid w:val="65662EB2"/>
    <w:rsid w:val="65961489"/>
    <w:rsid w:val="65FD113B"/>
    <w:rsid w:val="66601464"/>
    <w:rsid w:val="66CA2BB6"/>
    <w:rsid w:val="674F583C"/>
    <w:rsid w:val="67BA3E23"/>
    <w:rsid w:val="67D36E52"/>
    <w:rsid w:val="68240F51"/>
    <w:rsid w:val="68720E35"/>
    <w:rsid w:val="6894180F"/>
    <w:rsid w:val="68947EC8"/>
    <w:rsid w:val="68EB42C3"/>
    <w:rsid w:val="69213CE4"/>
    <w:rsid w:val="69A8688C"/>
    <w:rsid w:val="69B539F4"/>
    <w:rsid w:val="69EF3149"/>
    <w:rsid w:val="6A2D57E4"/>
    <w:rsid w:val="6A395993"/>
    <w:rsid w:val="6A751F20"/>
    <w:rsid w:val="6AA7610F"/>
    <w:rsid w:val="6AC829A7"/>
    <w:rsid w:val="6B273C3C"/>
    <w:rsid w:val="6B635940"/>
    <w:rsid w:val="6BAA37F4"/>
    <w:rsid w:val="6BCC6F47"/>
    <w:rsid w:val="6BFC788A"/>
    <w:rsid w:val="6C1420DA"/>
    <w:rsid w:val="6D121E36"/>
    <w:rsid w:val="6D1D30FE"/>
    <w:rsid w:val="6D500AB3"/>
    <w:rsid w:val="6E021118"/>
    <w:rsid w:val="6E4D51A3"/>
    <w:rsid w:val="6E6C11B9"/>
    <w:rsid w:val="6E9351A6"/>
    <w:rsid w:val="6EB527B5"/>
    <w:rsid w:val="6EDF3DB4"/>
    <w:rsid w:val="6F1133D5"/>
    <w:rsid w:val="6F356D9E"/>
    <w:rsid w:val="6F4A55A2"/>
    <w:rsid w:val="6F6E1EC5"/>
    <w:rsid w:val="6F994D79"/>
    <w:rsid w:val="6F9E52C2"/>
    <w:rsid w:val="6FB151EE"/>
    <w:rsid w:val="70196A4B"/>
    <w:rsid w:val="70244F41"/>
    <w:rsid w:val="706E7C35"/>
    <w:rsid w:val="70AA58A2"/>
    <w:rsid w:val="70B93074"/>
    <w:rsid w:val="7185157C"/>
    <w:rsid w:val="72390005"/>
    <w:rsid w:val="72951493"/>
    <w:rsid w:val="73056DCA"/>
    <w:rsid w:val="738C79F4"/>
    <w:rsid w:val="74404E5F"/>
    <w:rsid w:val="748566CC"/>
    <w:rsid w:val="74A84EAF"/>
    <w:rsid w:val="74DA29B1"/>
    <w:rsid w:val="75194B3B"/>
    <w:rsid w:val="752A632C"/>
    <w:rsid w:val="758B391D"/>
    <w:rsid w:val="758F068D"/>
    <w:rsid w:val="762533A8"/>
    <w:rsid w:val="76912567"/>
    <w:rsid w:val="76BC78EA"/>
    <w:rsid w:val="76D57DDF"/>
    <w:rsid w:val="76F75B14"/>
    <w:rsid w:val="77391977"/>
    <w:rsid w:val="777543E2"/>
    <w:rsid w:val="77AB67D3"/>
    <w:rsid w:val="77B02B7D"/>
    <w:rsid w:val="77CE6187"/>
    <w:rsid w:val="77F72095"/>
    <w:rsid w:val="78015F99"/>
    <w:rsid w:val="782F167F"/>
    <w:rsid w:val="78744A4D"/>
    <w:rsid w:val="789F780C"/>
    <w:rsid w:val="78F74E7C"/>
    <w:rsid w:val="78FD611E"/>
    <w:rsid w:val="791F49B3"/>
    <w:rsid w:val="794046EF"/>
    <w:rsid w:val="79703FC9"/>
    <w:rsid w:val="7A044128"/>
    <w:rsid w:val="7A6C2E61"/>
    <w:rsid w:val="7A8C5B8B"/>
    <w:rsid w:val="7ABF4997"/>
    <w:rsid w:val="7AEE3043"/>
    <w:rsid w:val="7B210ED7"/>
    <w:rsid w:val="7B5216E8"/>
    <w:rsid w:val="7BD54429"/>
    <w:rsid w:val="7BEF095C"/>
    <w:rsid w:val="7C24440B"/>
    <w:rsid w:val="7C5609D6"/>
    <w:rsid w:val="7C6C65D6"/>
    <w:rsid w:val="7CFB5956"/>
    <w:rsid w:val="7D081389"/>
    <w:rsid w:val="7D0F6325"/>
    <w:rsid w:val="7D1179BE"/>
    <w:rsid w:val="7D395058"/>
    <w:rsid w:val="7DA33F62"/>
    <w:rsid w:val="7EBF402B"/>
    <w:rsid w:val="7EF3553C"/>
    <w:rsid w:val="7F0F5DF0"/>
    <w:rsid w:val="7F60583C"/>
    <w:rsid w:val="7F7056C7"/>
    <w:rsid w:val="7F732796"/>
    <w:rsid w:val="7F7E86B6"/>
    <w:rsid w:val="7FA2165C"/>
    <w:rsid w:val="7FD02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9"/>
    <w:qFormat/>
    <w:uiPriority w:val="9"/>
    <w:pPr>
      <w:keepNext/>
      <w:keepLines/>
      <w:snapToGrid w:val="0"/>
      <w:spacing w:line="600" w:lineRule="exact"/>
      <w:outlineLvl w:val="0"/>
    </w:pPr>
    <w:rPr>
      <w:rFonts w:eastAsia="黑体"/>
      <w:kern w:val="44"/>
      <w:sz w:val="36"/>
    </w:rPr>
  </w:style>
  <w:style w:type="paragraph" w:styleId="4">
    <w:name w:val="heading 2"/>
    <w:basedOn w:val="1"/>
    <w:next w:val="1"/>
    <w:link w:val="50"/>
    <w:qFormat/>
    <w:uiPriority w:val="9"/>
    <w:pPr>
      <w:keepNext/>
      <w:keepLines/>
      <w:topLinePunct/>
      <w:spacing w:line="600" w:lineRule="exact"/>
      <w:outlineLvl w:val="1"/>
    </w:pPr>
    <w:rPr>
      <w:rFonts w:eastAsia="楷体_GB2312" w:cs="等线 Light"/>
      <w:b/>
      <w:bCs/>
      <w:sz w:val="32"/>
    </w:rPr>
  </w:style>
  <w:style w:type="paragraph" w:styleId="5">
    <w:name w:val="heading 3"/>
    <w:basedOn w:val="1"/>
    <w:next w:val="1"/>
    <w:unhideWhenUsed/>
    <w:qFormat/>
    <w:uiPriority w:val="0"/>
    <w:pPr>
      <w:keepNext/>
      <w:keepLines/>
      <w:spacing w:before="140" w:after="140" w:line="416" w:lineRule="auto"/>
      <w:outlineLvl w:val="2"/>
    </w:pPr>
    <w:rPr>
      <w:b/>
      <w:bCs/>
      <w:sz w:val="28"/>
      <w:szCs w:val="32"/>
    </w:rPr>
  </w:style>
  <w:style w:type="paragraph" w:styleId="6">
    <w:name w:val="heading 4"/>
    <w:basedOn w:val="1"/>
    <w:next w:val="1"/>
    <w:qFormat/>
    <w:uiPriority w:val="9"/>
    <w:pPr>
      <w:spacing w:line="600" w:lineRule="exact"/>
      <w:outlineLvl w:val="3"/>
    </w:pPr>
    <w:rPr>
      <w:rFonts w:eastAsia="仿宋"/>
      <w:b/>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7">
    <w:name w:val="Document Map"/>
    <w:basedOn w:val="1"/>
    <w:link w:val="53"/>
    <w:semiHidden/>
    <w:unhideWhenUsed/>
    <w:qFormat/>
    <w:uiPriority w:val="99"/>
    <w:rPr>
      <w:rFonts w:ascii="宋体"/>
      <w:sz w:val="18"/>
      <w:szCs w:val="18"/>
    </w:rPr>
  </w:style>
  <w:style w:type="paragraph" w:styleId="8">
    <w:name w:val="annotation text"/>
    <w:basedOn w:val="1"/>
    <w:link w:val="43"/>
    <w:semiHidden/>
    <w:unhideWhenUsed/>
    <w:qFormat/>
    <w:uiPriority w:val="99"/>
    <w:pPr>
      <w:jc w:val="left"/>
    </w:pPr>
  </w:style>
  <w:style w:type="paragraph" w:styleId="9">
    <w:name w:val="Body Text"/>
    <w:basedOn w:val="1"/>
    <w:link w:val="31"/>
    <w:unhideWhenUsed/>
    <w:qFormat/>
    <w:uiPriority w:val="99"/>
    <w:pPr>
      <w:spacing w:after="120"/>
    </w:pPr>
  </w:style>
  <w:style w:type="paragraph" w:styleId="10">
    <w:name w:val="Body Text Indent"/>
    <w:basedOn w:val="1"/>
    <w:link w:val="27"/>
    <w:semiHidden/>
    <w:unhideWhenUsed/>
    <w:qFormat/>
    <w:uiPriority w:val="99"/>
    <w:pPr>
      <w:spacing w:after="120"/>
      <w:ind w:left="420" w:leftChars="200"/>
    </w:pPr>
  </w:style>
  <w:style w:type="paragraph" w:styleId="11">
    <w:name w:val="toc 3"/>
    <w:basedOn w:val="1"/>
    <w:next w:val="1"/>
    <w:semiHidden/>
    <w:unhideWhenUsed/>
    <w:qFormat/>
    <w:uiPriority w:val="39"/>
    <w:pPr>
      <w:ind w:left="840" w:leftChars="400"/>
    </w:pPr>
  </w:style>
  <w:style w:type="paragraph" w:styleId="12">
    <w:name w:val="Balloon Text"/>
    <w:basedOn w:val="1"/>
    <w:link w:val="51"/>
    <w:semiHidden/>
    <w:unhideWhenUsed/>
    <w:qFormat/>
    <w:uiPriority w:val="99"/>
    <w:rPr>
      <w:sz w:val="18"/>
      <w:szCs w:val="18"/>
    </w:rPr>
  </w:style>
  <w:style w:type="paragraph" w:styleId="13">
    <w:name w:val="footer"/>
    <w:basedOn w:val="1"/>
    <w:next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able of figures"/>
    <w:basedOn w:val="1"/>
    <w:next w:val="1"/>
    <w:unhideWhenUsed/>
    <w:qFormat/>
    <w:uiPriority w:val="0"/>
    <w:pPr>
      <w:ind w:left="200" w:leftChars="200" w:hanging="200" w:hangingChars="200"/>
    </w:pPr>
  </w:style>
  <w:style w:type="paragraph" w:styleId="17">
    <w:name w:val="toc 2"/>
    <w:basedOn w:val="1"/>
    <w:next w:val="1"/>
    <w:unhideWhenUsed/>
    <w:qFormat/>
    <w:uiPriority w:val="39"/>
    <w:pPr>
      <w:ind w:left="420" w:leftChars="200"/>
    </w:pPr>
  </w:style>
  <w:style w:type="paragraph" w:styleId="18">
    <w:name w:val="Normal (Web)"/>
    <w:basedOn w:val="1"/>
    <w:semiHidden/>
    <w:unhideWhenUsed/>
    <w:qFormat/>
    <w:uiPriority w:val="99"/>
    <w:pPr>
      <w:spacing w:beforeAutospacing="1" w:afterAutospacing="1"/>
      <w:jc w:val="left"/>
    </w:pPr>
    <w:rPr>
      <w:kern w:val="0"/>
      <w:sz w:val="24"/>
    </w:rPr>
  </w:style>
  <w:style w:type="paragraph" w:styleId="19">
    <w:name w:val="annotation subject"/>
    <w:basedOn w:val="8"/>
    <w:next w:val="8"/>
    <w:link w:val="44"/>
    <w:semiHidden/>
    <w:unhideWhenUsed/>
    <w:qFormat/>
    <w:uiPriority w:val="99"/>
    <w:rPr>
      <w:b/>
      <w:bCs/>
    </w:rPr>
  </w:style>
  <w:style w:type="paragraph" w:styleId="20">
    <w:name w:val="Body Text First Indent 2"/>
    <w:basedOn w:val="10"/>
    <w:link w:val="28"/>
    <w:unhideWhenUsed/>
    <w:qFormat/>
    <w:uiPriority w:val="99"/>
    <w:pPr>
      <w:ind w:firstLine="420" w:firstLineChars="200"/>
    </w:p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paragraph" w:customStyle="1" w:styleId="26">
    <w:name w:val="Default"/>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27">
    <w:name w:val="正文文本缩进 Char"/>
    <w:basedOn w:val="23"/>
    <w:link w:val="10"/>
    <w:semiHidden/>
    <w:qFormat/>
    <w:uiPriority w:val="99"/>
    <w:rPr>
      <w:rFonts w:ascii="Times New Roman" w:hAnsi="Times New Roman" w:eastAsia="宋体" w:cs="Times New Roman"/>
      <w:szCs w:val="20"/>
    </w:rPr>
  </w:style>
  <w:style w:type="character" w:customStyle="1" w:styleId="28">
    <w:name w:val="正文首行缩进 2 Char"/>
    <w:basedOn w:val="27"/>
    <w:link w:val="20"/>
    <w:qFormat/>
    <w:uiPriority w:val="99"/>
    <w:rPr>
      <w:rFonts w:ascii="Times New Roman" w:hAnsi="Times New Roman" w:eastAsia="宋体" w:cs="Times New Roman"/>
      <w:szCs w:val="20"/>
    </w:rPr>
  </w:style>
  <w:style w:type="character" w:customStyle="1" w:styleId="29">
    <w:name w:val="页眉 Char"/>
    <w:basedOn w:val="23"/>
    <w:link w:val="14"/>
    <w:qFormat/>
    <w:uiPriority w:val="99"/>
    <w:rPr>
      <w:kern w:val="2"/>
      <w:sz w:val="18"/>
      <w:szCs w:val="18"/>
    </w:rPr>
  </w:style>
  <w:style w:type="character" w:customStyle="1" w:styleId="30">
    <w:name w:val="页脚 Char"/>
    <w:basedOn w:val="23"/>
    <w:link w:val="13"/>
    <w:qFormat/>
    <w:uiPriority w:val="99"/>
    <w:rPr>
      <w:kern w:val="2"/>
      <w:sz w:val="18"/>
      <w:szCs w:val="18"/>
    </w:rPr>
  </w:style>
  <w:style w:type="character" w:customStyle="1" w:styleId="31">
    <w:name w:val="正文文本 Char"/>
    <w:basedOn w:val="23"/>
    <w:link w:val="9"/>
    <w:qFormat/>
    <w:uiPriority w:val="99"/>
    <w:rPr>
      <w:kern w:val="2"/>
      <w:sz w:val="21"/>
    </w:rPr>
  </w:style>
  <w:style w:type="character" w:customStyle="1" w:styleId="32">
    <w:name w:val="NormalCharacter"/>
    <w:qFormat/>
    <w:uiPriority w:val="99"/>
  </w:style>
  <w:style w:type="paragraph" w:customStyle="1" w:styleId="33">
    <w:name w:val="Body text|2"/>
    <w:basedOn w:val="1"/>
    <w:qFormat/>
    <w:uiPriority w:val="0"/>
    <w:pPr>
      <w:spacing w:after="200" w:line="574" w:lineRule="exact"/>
      <w:ind w:left="1050" w:firstLine="620"/>
    </w:pPr>
    <w:rPr>
      <w:rFonts w:ascii="Calibri" w:hAnsi="Calibri"/>
      <w:sz w:val="32"/>
      <w:szCs w:val="32"/>
    </w:rPr>
  </w:style>
  <w:style w:type="paragraph" w:customStyle="1" w:styleId="34">
    <w:name w:val="标准文字"/>
    <w:basedOn w:val="1"/>
    <w:qFormat/>
    <w:uiPriority w:val="0"/>
    <w:pPr>
      <w:overflowPunct w:val="0"/>
      <w:ind w:firstLine="640" w:firstLineChars="200"/>
    </w:pPr>
    <w:rPr>
      <w:sz w:val="32"/>
      <w:szCs w:val="32"/>
    </w:rPr>
  </w:style>
  <w:style w:type="paragraph" w:customStyle="1" w:styleId="35">
    <w:name w:val="ZG 正文"/>
    <w:basedOn w:val="1"/>
    <w:qFormat/>
    <w:uiPriority w:val="0"/>
    <w:pPr>
      <w:spacing w:line="600" w:lineRule="exact"/>
      <w:ind w:firstLine="200" w:firstLineChars="200"/>
    </w:pPr>
    <w:rPr>
      <w:rFonts w:eastAsia="仿宋_GB2312"/>
      <w:sz w:val="32"/>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8">
    <w:name w:val="a广元表格"/>
    <w:basedOn w:val="1"/>
    <w:qFormat/>
    <w:uiPriority w:val="0"/>
    <w:pPr>
      <w:widowControl/>
      <w:overflowPunct w:val="0"/>
      <w:topLinePunct/>
      <w:jc w:val="center"/>
    </w:pPr>
    <w:rPr>
      <w:rFonts w:eastAsia="仿宋_GB2312"/>
      <w:kern w:val="0"/>
      <w:szCs w:val="18"/>
    </w:rPr>
  </w:style>
  <w:style w:type="character" w:customStyle="1" w:styleId="39">
    <w:name w:val="font41"/>
    <w:basedOn w:val="23"/>
    <w:qFormat/>
    <w:uiPriority w:val="0"/>
    <w:rPr>
      <w:rFonts w:hint="eastAsia" w:ascii="仿宋" w:hAnsi="仿宋" w:eastAsia="仿宋" w:cs="仿宋"/>
      <w:b/>
      <w:bCs/>
      <w:color w:val="FF0000"/>
      <w:sz w:val="24"/>
      <w:szCs w:val="24"/>
      <w:u w:val="none"/>
    </w:rPr>
  </w:style>
  <w:style w:type="character" w:customStyle="1" w:styleId="40">
    <w:name w:val="font71"/>
    <w:basedOn w:val="23"/>
    <w:qFormat/>
    <w:uiPriority w:val="0"/>
    <w:rPr>
      <w:rFonts w:hint="eastAsia" w:ascii="仿宋" w:hAnsi="仿宋" w:eastAsia="仿宋" w:cs="仿宋"/>
      <w:color w:val="000000"/>
      <w:sz w:val="24"/>
      <w:szCs w:val="24"/>
      <w:u w:val="none"/>
    </w:rPr>
  </w:style>
  <w:style w:type="character" w:customStyle="1" w:styleId="41">
    <w:name w:val="font61"/>
    <w:basedOn w:val="23"/>
    <w:qFormat/>
    <w:uiPriority w:val="0"/>
    <w:rPr>
      <w:rFonts w:hint="eastAsia" w:ascii="宋体" w:hAnsi="宋体" w:eastAsia="宋体" w:cs="宋体"/>
      <w:color w:val="FF0000"/>
      <w:sz w:val="24"/>
      <w:szCs w:val="24"/>
      <w:u w:val="none"/>
    </w:rPr>
  </w:style>
  <w:style w:type="paragraph" w:customStyle="1" w:styleId="42">
    <w:name w:val="Char"/>
    <w:basedOn w:val="1"/>
    <w:qFormat/>
    <w:uiPriority w:val="0"/>
  </w:style>
  <w:style w:type="character" w:customStyle="1" w:styleId="43">
    <w:name w:val="批注文字 Char"/>
    <w:basedOn w:val="23"/>
    <w:link w:val="8"/>
    <w:semiHidden/>
    <w:qFormat/>
    <w:uiPriority w:val="99"/>
    <w:rPr>
      <w:kern w:val="2"/>
      <w:sz w:val="21"/>
    </w:rPr>
  </w:style>
  <w:style w:type="character" w:customStyle="1" w:styleId="44">
    <w:name w:val="批注主题 Char"/>
    <w:basedOn w:val="43"/>
    <w:link w:val="19"/>
    <w:semiHidden/>
    <w:qFormat/>
    <w:uiPriority w:val="99"/>
    <w:rPr>
      <w:b/>
      <w:bCs/>
      <w:kern w:val="2"/>
      <w:sz w:val="21"/>
    </w:rPr>
  </w:style>
  <w:style w:type="paragraph" w:customStyle="1" w:styleId="45">
    <w:name w:val="修订1"/>
    <w:hidden/>
    <w:semiHidden/>
    <w:qFormat/>
    <w:uiPriority w:val="99"/>
    <w:rPr>
      <w:rFonts w:ascii="Times New Roman" w:hAnsi="Times New Roman" w:eastAsia="宋体" w:cs="Times New Roman"/>
      <w:kern w:val="2"/>
      <w:sz w:val="21"/>
      <w:lang w:val="en-US" w:eastAsia="zh-CN" w:bidi="ar-SA"/>
    </w:rPr>
  </w:style>
  <w:style w:type="paragraph" w:customStyle="1" w:styleId="46">
    <w:name w:val="修订2"/>
    <w:hidden/>
    <w:semiHidden/>
    <w:qFormat/>
    <w:uiPriority w:val="99"/>
    <w:rPr>
      <w:rFonts w:ascii="Times New Roman" w:hAnsi="Times New Roman" w:eastAsia="宋体" w:cs="Times New Roman"/>
      <w:kern w:val="2"/>
      <w:sz w:val="21"/>
      <w:lang w:val="en-US" w:eastAsia="zh-CN" w:bidi="ar-SA"/>
    </w:rPr>
  </w:style>
  <w:style w:type="paragraph" w:styleId="47">
    <w:name w:val="List Paragraph"/>
    <w:basedOn w:val="1"/>
    <w:qFormat/>
    <w:uiPriority w:val="99"/>
    <w:pPr>
      <w:ind w:firstLine="420" w:firstLineChars="200"/>
    </w:pPr>
  </w:style>
  <w:style w:type="paragraph" w:customStyle="1" w:styleId="48">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
      <w:color w:val="376092" w:themeColor="accent1" w:themeShade="BF"/>
      <w:kern w:val="0"/>
      <w:szCs w:val="32"/>
    </w:rPr>
  </w:style>
  <w:style w:type="character" w:customStyle="1" w:styleId="49">
    <w:name w:val="标题 1 Char"/>
    <w:basedOn w:val="23"/>
    <w:link w:val="3"/>
    <w:qFormat/>
    <w:uiPriority w:val="9"/>
    <w:rPr>
      <w:rFonts w:eastAsia="黑体"/>
      <w:kern w:val="44"/>
      <w:sz w:val="36"/>
    </w:rPr>
  </w:style>
  <w:style w:type="character" w:customStyle="1" w:styleId="50">
    <w:name w:val="标题 2 Char"/>
    <w:basedOn w:val="23"/>
    <w:link w:val="4"/>
    <w:qFormat/>
    <w:uiPriority w:val="9"/>
    <w:rPr>
      <w:rFonts w:eastAsia="楷体_GB2312" w:cs="等线 Light"/>
      <w:b/>
      <w:bCs/>
      <w:kern w:val="2"/>
      <w:sz w:val="32"/>
    </w:rPr>
  </w:style>
  <w:style w:type="character" w:customStyle="1" w:styleId="51">
    <w:name w:val="批注框文本 Char"/>
    <w:basedOn w:val="23"/>
    <w:link w:val="12"/>
    <w:semiHidden/>
    <w:qFormat/>
    <w:uiPriority w:val="99"/>
    <w:rPr>
      <w:kern w:val="2"/>
      <w:sz w:val="18"/>
      <w:szCs w:val="18"/>
    </w:rPr>
  </w:style>
  <w:style w:type="paragraph" w:customStyle="1" w:styleId="52">
    <w:name w:val="修订3"/>
    <w:hidden/>
    <w:semiHidden/>
    <w:qFormat/>
    <w:uiPriority w:val="99"/>
    <w:rPr>
      <w:rFonts w:ascii="Times New Roman" w:hAnsi="Times New Roman" w:eastAsia="宋体" w:cs="Times New Roman"/>
      <w:kern w:val="2"/>
      <w:sz w:val="21"/>
      <w:lang w:val="en-US" w:eastAsia="zh-CN" w:bidi="ar-SA"/>
    </w:rPr>
  </w:style>
  <w:style w:type="character" w:customStyle="1" w:styleId="53">
    <w:name w:val="文档结构图 Char"/>
    <w:basedOn w:val="23"/>
    <w:link w:val="7"/>
    <w:semiHidden/>
    <w:qFormat/>
    <w:uiPriority w:val="99"/>
    <w:rPr>
      <w:rFonts w:ascii="宋体"/>
      <w:kern w:val="2"/>
      <w:sz w:val="18"/>
      <w:szCs w:val="18"/>
    </w:rPr>
  </w:style>
  <w:style w:type="paragraph" w:customStyle="1" w:styleId="54">
    <w:name w:val="修订4"/>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43</Pages>
  <Words>24120</Words>
  <Characters>24723</Characters>
  <Lines>188</Lines>
  <Paragraphs>53</Paragraphs>
  <TotalTime>11</TotalTime>
  <ScaleCrop>false</ScaleCrop>
  <LinksUpToDate>false</LinksUpToDate>
  <CharactersWithSpaces>24814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2022-04-21T17:45:00Z</dcterms:created>
  <dc:creator>weiyajun</dc:creator>
  <cp:lastModifiedBy></cp:lastModifiedBy>
  <cp:lastPrinted>2023-02-16T02:20:47Z</cp:lastPrinted>
  <dcterms:modified xsi:type="dcterms:W3CDTF">2023-02-16T02:20:52Z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C894F33D4665481088B21ABBF41E8853</vt:lpwstr>
  </property>
</Properties>
</file>