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中子镇基层</w:t>
      </w:r>
      <w:r>
        <w:rPr>
          <w:rFonts w:hint="eastAsia" w:ascii="方正小标宋简体" w:hAnsi="方正小标宋简体" w:eastAsia="方正小标宋简体" w:cs="方正小标宋简体"/>
          <w:color w:val="auto"/>
          <w:spacing w:val="20"/>
          <w:sz w:val="80"/>
          <w:szCs w:val="80"/>
        </w:rPr>
        <w:t>政务公开标准目录</w:t>
      </w:r>
      <w:bookmarkStart w:id="21" w:name="_GoBack"/>
      <w:bookmarkEnd w:id="21"/>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11"/>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2023</w:t>
      </w:r>
      <w:r>
        <w:rPr>
          <w:rFonts w:ascii="Times New Roman" w:hAnsi="华文中宋" w:eastAsia="华文中宋"/>
          <w:color w:val="auto"/>
          <w:sz w:val="48"/>
          <w:szCs w:val="48"/>
        </w:rPr>
        <w:t>年</w:t>
      </w:r>
      <w:r>
        <w:rPr>
          <w:rFonts w:hint="eastAsia" w:ascii="Times New Roman" w:hAnsi="华文中宋" w:eastAsia="华文中宋"/>
          <w:color w:val="auto"/>
          <w:sz w:val="48"/>
          <w:szCs w:val="48"/>
          <w:lang w:val="en-US" w:eastAsia="zh-CN"/>
        </w:rPr>
        <w:t>6</w:t>
      </w:r>
      <w:r>
        <w:rPr>
          <w:rFonts w:ascii="Times New Roman" w:hAnsi="华文中宋" w:eastAsia="华文中宋"/>
          <w:color w:val="auto"/>
          <w:sz w:val="48"/>
          <w:szCs w:val="48"/>
        </w:rPr>
        <w:t>月</w:t>
      </w:r>
    </w:p>
    <w:p>
      <w:pPr>
        <w:rPr>
          <w:rFonts w:hint="eastAsia"/>
          <w:color w:val="auto"/>
        </w:rPr>
      </w:pPr>
    </w:p>
    <w:p>
      <w:pPr>
        <w:pStyle w:val="5"/>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Style w:val="11"/>
          <w:rFonts w:hint="eastAsia" w:ascii="仿宋_GB2312" w:hAnsi="仿宋_GB2312" w:eastAsia="仿宋_GB2312" w:cs="仿宋_GB2312"/>
          <w:color w:val="auto"/>
          <w:sz w:val="28"/>
          <w:szCs w:val="28"/>
        </w:rPr>
        <w:instrText xml:space="preserve"> TOC \o "1-3" \h \z \u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_Toc30082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（一）重大建设项目领域基层政务公开标准目录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_Toc6151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二</w:t>
      </w:r>
      <w:r>
        <w:rPr>
          <w:rFonts w:hint="eastAsia" w:ascii="仿宋_GB2312" w:hAnsi="仿宋_GB2312" w:eastAsia="仿宋_GB2312" w:cs="仿宋_GB2312"/>
          <w:bCs w:val="0"/>
          <w:sz w:val="28"/>
          <w:szCs w:val="28"/>
        </w:rPr>
        <w:t>）社会救助领域基层政务公开标准目录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_Toc6151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_Toc4761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三</w:t>
      </w:r>
      <w:r>
        <w:rPr>
          <w:rFonts w:hint="eastAsia" w:ascii="仿宋_GB2312" w:hAnsi="仿宋_GB2312" w:eastAsia="仿宋_GB2312" w:cs="仿宋_GB2312"/>
          <w:bCs w:val="0"/>
          <w:sz w:val="28"/>
          <w:szCs w:val="28"/>
        </w:rPr>
        <w:t>）养老服务领域基层政务公开标准目录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_Toc4761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_Toc4465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四</w:t>
      </w:r>
      <w:r>
        <w:rPr>
          <w:rFonts w:hint="eastAsia" w:ascii="仿宋_GB2312" w:hAnsi="仿宋_GB2312" w:eastAsia="仿宋_GB2312" w:cs="仿宋_GB2312"/>
          <w:bCs w:val="0"/>
          <w:sz w:val="28"/>
          <w:szCs w:val="28"/>
        </w:rPr>
        <w:t>）公共法律服务领域基层政务公开标准目录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_Toc19055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五</w:t>
      </w:r>
      <w:r>
        <w:rPr>
          <w:rFonts w:hint="eastAsia" w:ascii="仿宋_GB2312" w:hAnsi="仿宋_GB2312" w:eastAsia="仿宋_GB2312" w:cs="仿宋_GB2312"/>
          <w:bCs w:val="0"/>
          <w:sz w:val="28"/>
          <w:szCs w:val="28"/>
        </w:rPr>
        <w:t>）财政预决算领域基层政务公开标准目录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_Toc19055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_Toc15192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六</w:t>
      </w:r>
      <w:r>
        <w:rPr>
          <w:rFonts w:hint="eastAsia" w:ascii="仿宋_GB2312" w:hAnsi="仿宋_GB2312" w:eastAsia="仿宋_GB2312" w:cs="仿宋_GB2312"/>
          <w:bCs w:val="0"/>
          <w:sz w:val="28"/>
          <w:szCs w:val="28"/>
        </w:rPr>
        <w:t>）就业领域基层政务公开标准目录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_Toc8099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七</w:t>
      </w:r>
      <w:r>
        <w:rPr>
          <w:rFonts w:hint="eastAsia" w:ascii="仿宋_GB2312" w:hAnsi="仿宋_GB2312" w:eastAsia="仿宋_GB2312" w:cs="仿宋_GB2312"/>
          <w:bCs w:val="0"/>
          <w:sz w:val="28"/>
          <w:szCs w:val="28"/>
        </w:rPr>
        <w:t>）社会保险领域基层政务公开标准目录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_Toc28059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八</w:t>
      </w:r>
      <w:r>
        <w:rPr>
          <w:rFonts w:hint="eastAsia" w:ascii="仿宋_GB2312" w:hAnsi="仿宋_GB2312" w:eastAsia="仿宋_GB2312" w:cs="仿宋_GB2312"/>
          <w:bCs w:val="0"/>
          <w:sz w:val="28"/>
          <w:szCs w:val="28"/>
        </w:rPr>
        <w:t>）生态环境领域基层政务公开标准目录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_Toc29525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九</w:t>
      </w:r>
      <w:r>
        <w:rPr>
          <w:rFonts w:hint="eastAsia" w:ascii="仿宋_GB2312" w:hAnsi="仿宋_GB2312" w:eastAsia="仿宋_GB2312" w:cs="仿宋_GB2312"/>
          <w:bCs w:val="0"/>
          <w:sz w:val="28"/>
          <w:szCs w:val="28"/>
        </w:rPr>
        <w:t>）国有土地上房屋征收与补偿领域基层政务公开标准目录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_Toc29525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_Toc12981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（十）农村危房改造领域基层政务公开标准目录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_Toc12981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_Toc25759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eastAsia="zh-CN"/>
        </w:rPr>
        <w:t>十</w:t>
      </w:r>
      <w:r>
        <w:rPr>
          <w:rFonts w:hint="eastAsia" w:ascii="仿宋_GB2312" w:hAnsi="仿宋_GB2312" w:eastAsia="仿宋_GB2312" w:cs="仿宋_GB2312"/>
          <w:bCs w:val="0"/>
          <w:sz w:val="28"/>
          <w:szCs w:val="28"/>
          <w:lang w:val="en-US" w:eastAsia="zh-CN"/>
        </w:rPr>
        <w:t>一</w:t>
      </w:r>
      <w:r>
        <w:rPr>
          <w:rFonts w:hint="eastAsia" w:ascii="仿宋_GB2312" w:hAnsi="仿宋_GB2312" w:eastAsia="仿宋_GB2312" w:cs="仿宋_GB2312"/>
          <w:bCs w:val="0"/>
          <w:sz w:val="28"/>
          <w:szCs w:val="28"/>
        </w:rPr>
        <w:t>）涉农补贴领域基层政务公开标准目录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_Toc25759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_Toc6580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eastAsia="zh-CN"/>
        </w:rPr>
        <w:t>十</w:t>
      </w:r>
      <w:r>
        <w:rPr>
          <w:rFonts w:hint="eastAsia" w:ascii="仿宋_GB2312" w:hAnsi="仿宋_GB2312" w:eastAsia="仿宋_GB2312" w:cs="仿宋_GB2312"/>
          <w:bCs w:val="0"/>
          <w:sz w:val="28"/>
          <w:szCs w:val="28"/>
          <w:lang w:val="en-US" w:eastAsia="zh-CN"/>
        </w:rPr>
        <w:t>二</w:t>
      </w:r>
      <w:r>
        <w:rPr>
          <w:rFonts w:hint="eastAsia" w:ascii="仿宋_GB2312" w:hAnsi="仿宋_GB2312" w:eastAsia="仿宋_GB2312" w:cs="仿宋_GB2312"/>
          <w:bCs w:val="0"/>
          <w:sz w:val="28"/>
          <w:szCs w:val="28"/>
        </w:rPr>
        <w:t>）公共文化服务领域基层政务公开标准目录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_Toc6580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_Toc2350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w:t>
      </w:r>
      <w:r>
        <w:rPr>
          <w:rFonts w:hint="eastAsia" w:ascii="仿宋_GB2312" w:hAnsi="仿宋_GB2312" w:eastAsia="仿宋_GB2312" w:cs="仿宋_GB2312"/>
          <w:bCs w:val="0"/>
          <w:sz w:val="28"/>
          <w:szCs w:val="28"/>
          <w:lang w:val="en-US" w:eastAsia="zh-CN"/>
        </w:rPr>
        <w:t>三</w:t>
      </w:r>
      <w:r>
        <w:rPr>
          <w:rFonts w:hint="eastAsia" w:ascii="仿宋_GB2312" w:hAnsi="仿宋_GB2312" w:eastAsia="仿宋_GB2312" w:cs="仿宋_GB2312"/>
          <w:bCs w:val="0"/>
          <w:sz w:val="28"/>
          <w:szCs w:val="28"/>
        </w:rPr>
        <w:t>）卫生健康领域基层政务公开标准目录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eastAsia="zh-CN"/>
        </w:rPr>
        <w:t>十</w:t>
      </w:r>
      <w:r>
        <w:rPr>
          <w:rFonts w:hint="eastAsia" w:ascii="仿宋_GB2312" w:hAnsi="仿宋_GB2312" w:eastAsia="仿宋_GB2312" w:cs="仿宋_GB2312"/>
          <w:bCs w:val="0"/>
          <w:sz w:val="28"/>
          <w:szCs w:val="28"/>
          <w:lang w:val="en-US" w:eastAsia="zh-CN"/>
        </w:rPr>
        <w:t>四</w:t>
      </w:r>
      <w:r>
        <w:rPr>
          <w:rFonts w:hint="eastAsia" w:ascii="仿宋_GB2312" w:hAnsi="仿宋_GB2312" w:eastAsia="仿宋_GB2312" w:cs="仿宋_GB2312"/>
          <w:bCs w:val="0"/>
          <w:sz w:val="28"/>
          <w:szCs w:val="28"/>
        </w:rPr>
        <w:t>）安全生产领域基层政务公开标准目录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_Toc12141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eastAsia="zh-CN"/>
        </w:rPr>
        <w:t>十</w:t>
      </w:r>
      <w:r>
        <w:rPr>
          <w:rFonts w:hint="eastAsia" w:ascii="仿宋_GB2312" w:hAnsi="仿宋_GB2312" w:eastAsia="仿宋_GB2312" w:cs="仿宋_GB2312"/>
          <w:bCs w:val="0"/>
          <w:sz w:val="28"/>
          <w:szCs w:val="28"/>
          <w:lang w:val="en-US" w:eastAsia="zh-CN"/>
        </w:rPr>
        <w:t>五</w:t>
      </w:r>
      <w:r>
        <w:rPr>
          <w:rFonts w:hint="eastAsia" w:ascii="仿宋_GB2312" w:hAnsi="仿宋_GB2312" w:eastAsia="仿宋_GB2312" w:cs="仿宋_GB2312"/>
          <w:bCs w:val="0"/>
          <w:sz w:val="28"/>
          <w:szCs w:val="28"/>
        </w:rPr>
        <w:t>）救灾生产领域基层政务公开标准目录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_Toc12141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_Toc26722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十六</w:t>
      </w:r>
      <w:r>
        <w:rPr>
          <w:rFonts w:hint="eastAsia" w:ascii="仿宋_GB2312" w:hAnsi="仿宋_GB2312" w:eastAsia="仿宋_GB2312" w:cs="仿宋_GB2312"/>
          <w:bCs w:val="0"/>
          <w:sz w:val="28"/>
          <w:szCs w:val="28"/>
        </w:rPr>
        <w:t>）乡村振兴领域基层政务公开标准目录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_Toc7955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lang w:eastAsia="zh-CN"/>
        </w:rPr>
        <w:t>（十</w:t>
      </w:r>
      <w:r>
        <w:rPr>
          <w:rFonts w:hint="eastAsia" w:ascii="仿宋_GB2312" w:hAnsi="仿宋_GB2312" w:eastAsia="仿宋_GB2312" w:cs="仿宋_GB2312"/>
          <w:bCs w:val="0"/>
          <w:sz w:val="28"/>
          <w:szCs w:val="28"/>
          <w:lang w:val="en-US" w:eastAsia="zh-CN"/>
        </w:rPr>
        <w:t>七</w:t>
      </w:r>
      <w:r>
        <w:rPr>
          <w:rFonts w:hint="eastAsia" w:ascii="仿宋_GB2312" w:hAnsi="仿宋_GB2312" w:eastAsia="仿宋_GB2312" w:cs="仿宋_GB2312"/>
          <w:bCs w:val="0"/>
          <w:sz w:val="28"/>
          <w:szCs w:val="28"/>
          <w:lang w:eastAsia="zh-CN"/>
        </w:rPr>
        <w:t>）</w:t>
      </w:r>
      <w:r>
        <w:rPr>
          <w:rFonts w:hint="eastAsia" w:ascii="仿宋_GB2312" w:hAnsi="仿宋_GB2312" w:eastAsia="仿宋_GB2312" w:cs="仿宋_GB2312"/>
          <w:bCs w:val="0"/>
          <w:sz w:val="28"/>
          <w:szCs w:val="28"/>
        </w:rPr>
        <w:t>义务教育领域基层政务公开标准目录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_Toc7955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十八</w:t>
      </w:r>
      <w:r>
        <w:rPr>
          <w:rFonts w:hint="eastAsia" w:ascii="仿宋_GB2312" w:hAnsi="仿宋_GB2312" w:eastAsia="仿宋_GB2312" w:cs="仿宋_GB2312"/>
          <w:bCs w:val="0"/>
          <w:sz w:val="28"/>
          <w:szCs w:val="28"/>
        </w:rPr>
        <w:t>）市政服务领域基层政务公开标准目录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_Toc13077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十九</w:t>
      </w:r>
      <w:r>
        <w:rPr>
          <w:rFonts w:hint="eastAsia" w:ascii="仿宋_GB2312" w:hAnsi="仿宋_GB2312" w:eastAsia="仿宋_GB2312" w:cs="仿宋_GB2312"/>
          <w:bCs w:val="0"/>
          <w:sz w:val="28"/>
          <w:szCs w:val="28"/>
        </w:rPr>
        <w:t>）食品药品监督领域基层政务公开标准目录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_Toc21990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二十</w:t>
      </w:r>
      <w:r>
        <w:rPr>
          <w:rFonts w:hint="eastAsia" w:ascii="仿宋_GB2312" w:hAnsi="仿宋_GB2312" w:eastAsia="仿宋_GB2312" w:cs="仿宋_GB2312"/>
          <w:bCs w:val="0"/>
          <w:sz w:val="28"/>
          <w:szCs w:val="28"/>
        </w:rPr>
        <w:t>）自然资源领域基层政务公开标准目录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_Toc21990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344"/>
          <w:tab w:val="clear" w:pos="14760"/>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_Toc16466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（二十</w:t>
      </w:r>
      <w:r>
        <w:rPr>
          <w:rFonts w:hint="eastAsia" w:ascii="仿宋_GB2312" w:hAnsi="仿宋_GB2312" w:eastAsia="仿宋_GB2312" w:cs="仿宋_GB2312"/>
          <w:bCs w:val="0"/>
          <w:sz w:val="28"/>
          <w:szCs w:val="28"/>
          <w:lang w:val="en-US" w:eastAsia="zh-CN"/>
        </w:rPr>
        <w:t>一</w:t>
      </w:r>
      <w:r>
        <w:rPr>
          <w:rFonts w:hint="eastAsia" w:ascii="仿宋_GB2312" w:hAnsi="仿宋_GB2312" w:eastAsia="仿宋_GB2312" w:cs="仿宋_GB2312"/>
          <w:bCs w:val="0"/>
          <w:sz w:val="28"/>
          <w:szCs w:val="28"/>
        </w:rPr>
        <w:t>）户籍管理领域基层政务公开标准目录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_Toc16466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14280"/>
          <w:tab w:val="clear" w:pos="14760"/>
        </w:tabs>
        <w:rPr>
          <w:rStyle w:val="11"/>
          <w:rFonts w:hint="default"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fldChar w:fldCharType="end"/>
      </w:r>
    </w:p>
    <w:p>
      <w:pPr>
        <w:jc w:val="center"/>
        <w:rPr>
          <w:rStyle w:val="11"/>
          <w:rFonts w:hint="eastAsia" w:ascii="黑体" w:hAnsi="方正小标宋_GBK" w:eastAsia="黑体"/>
          <w:color w:val="auto"/>
          <w:sz w:val="30"/>
          <w:szCs w:val="30"/>
        </w:rPr>
      </w:pPr>
    </w:p>
    <w:p>
      <w:pPr>
        <w:pStyle w:val="2"/>
        <w:rPr>
          <w:rStyle w:val="11"/>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3008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7"/>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政府网站</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政府网站</w:t>
            </w:r>
          </w:p>
          <w:p>
            <w:pPr>
              <w:jc w:val="both"/>
              <w:rPr>
                <w:rFonts w:hint="eastAsia" w:ascii="仿宋_GB2312" w:hAnsi="仿宋_GB2312" w:eastAsia="仿宋_GB2312" w:cs="仿宋_GB2312"/>
                <w:color w:val="auto"/>
                <w:sz w:val="24"/>
                <w:szCs w:val="24"/>
                <w:shd w:val="clear" w:color="auto" w:fill="auto"/>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政府网站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6151"/>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二</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1"/>
    </w:p>
    <w:tbl>
      <w:tblPr>
        <w:tblStyle w:val="7"/>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根据中子镇困难群众临时救助实施细则的通知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2" w:name="_Toc4761"/>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2"/>
    </w:p>
    <w:tbl>
      <w:tblPr>
        <w:tblStyle w:val="7"/>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3" w:name="_Toc4465"/>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四</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3"/>
    </w:p>
    <w:tbl>
      <w:tblPr>
        <w:tblStyle w:val="7"/>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9055"/>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4"/>
    </w:p>
    <w:tbl>
      <w:tblPr>
        <w:tblStyle w:val="7"/>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1519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六</w:t>
      </w:r>
      <w:r>
        <w:rPr>
          <w:rFonts w:hint="eastAsia" w:ascii="方正小标宋简体" w:hAnsi="方正小标宋简体" w:eastAsia="方正小标宋简体" w:cs="方正小标宋简体"/>
          <w:b w:val="0"/>
          <w:bCs w:val="0"/>
          <w:color w:val="auto"/>
          <w:sz w:val="44"/>
          <w:szCs w:val="44"/>
        </w:rPr>
        <w:t>）就业领域基层政务公开标准目录</w:t>
      </w:r>
      <w:bookmarkEnd w:id="5"/>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中子镇人民政府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6" w:name="_Toc809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七</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6"/>
    </w:p>
    <w:tbl>
      <w:tblPr>
        <w:tblStyle w:val="7"/>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2805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八</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7"/>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7"/>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620"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便民</w:t>
            </w:r>
            <w:r>
              <w:rPr>
                <w:rFonts w:hint="eastAsia" w:ascii="仿宋_GB2312" w:hAnsi="仿宋_GB2312" w:eastAsia="仿宋_GB2312" w:cs="仿宋_GB2312"/>
                <w:color w:val="000000"/>
                <w:sz w:val="24"/>
                <w:szCs w:val="24"/>
              </w:rPr>
              <w:t>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8" w:name="_Toc29525"/>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九</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8"/>
    </w:p>
    <w:p>
      <w:pPr>
        <w:rPr>
          <w:rFonts w:hint="default"/>
          <w:color w:val="auto"/>
          <w:lang w:val="en-US" w:eastAsia="zh-CN"/>
        </w:rPr>
      </w:pPr>
    </w:p>
    <w:tbl>
      <w:tblPr>
        <w:tblStyle w:val="7"/>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12981"/>
      <w:r>
        <w:rPr>
          <w:rFonts w:hint="eastAsia" w:ascii="方正小标宋简体" w:hAnsi="方正小标宋简体" w:eastAsia="方正小标宋简体" w:cs="方正小标宋简体"/>
          <w:b w:val="0"/>
          <w:bCs w:val="0"/>
          <w:color w:val="auto"/>
          <w:sz w:val="44"/>
          <w:szCs w:val="44"/>
        </w:rPr>
        <w:t>（十）农村危房改造领域基层政务公开标准目录</w:t>
      </w:r>
      <w:bookmarkEnd w:id="9"/>
    </w:p>
    <w:p>
      <w:pPr>
        <w:rPr>
          <w:rFonts w:hint="eastAsia"/>
          <w:color w:val="auto"/>
          <w:lang w:eastAsia="zh-CN"/>
        </w:rPr>
      </w:pPr>
    </w:p>
    <w:tbl>
      <w:tblPr>
        <w:tblStyle w:val="7"/>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p>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p>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p>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p>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p>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0" w:name="_Toc2575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一</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0"/>
    </w:p>
    <w:tbl>
      <w:tblPr>
        <w:tblStyle w:val="7"/>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1" w:name="_Toc658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二</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1"/>
    </w:p>
    <w:tbl>
      <w:tblPr>
        <w:tblStyle w:val="7"/>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widowControl/>
              <w:jc w:val="both"/>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政务公开栏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widowControl/>
              <w:jc w:val="both"/>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政务公开栏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2" w:name="_Toc2350"/>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2"/>
    </w:p>
    <w:tbl>
      <w:tblPr>
        <w:tblStyle w:val="7"/>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中子镇人民政府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《中华人民共和国人口与计划生育法》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中子镇人民政府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25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四</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3"/>
    </w:p>
    <w:tbl>
      <w:tblPr>
        <w:tblStyle w:val="7"/>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restart"/>
            <w:vAlign w:val="center"/>
          </w:tcPr>
          <w:p>
            <w:pPr>
              <w:widowControl/>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政务公开栏</w:t>
            </w:r>
          </w:p>
          <w:p>
            <w:pPr>
              <w:widowControl/>
              <w:jc w:val="both"/>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000000"/>
                <w:sz w:val="24"/>
                <w:szCs w:val="24"/>
                <w:lang w:val="en-US" w:eastAsia="zh-CN"/>
              </w:rPr>
              <w:t>政务公开栏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000000"/>
                <w:sz w:val="24"/>
                <w:szCs w:val="24"/>
                <w:lang w:val="en-US" w:eastAsia="zh-CN"/>
              </w:rPr>
              <w:t>政务公开栏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4" w:name="_Toc12141"/>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4"/>
    </w:p>
    <w:tbl>
      <w:tblPr>
        <w:tblStyle w:val="7"/>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sz w:val="24"/>
                <w:szCs w:val="24"/>
                <w:lang w:val="en-US" w:eastAsia="zh-CN"/>
              </w:rPr>
              <w:t>政务公开栏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lang w:val="en-US" w:eastAsia="zh-CN"/>
              </w:rPr>
              <w:t>便民服务中心</w:t>
            </w:r>
            <w:r>
              <w:rPr>
                <w:rFonts w:hint="default" w:ascii="仿宋_GB2312" w:hAnsi="仿宋_GB2312" w:eastAsia="仿宋_GB2312" w:cs="仿宋_GB2312"/>
                <w:bCs/>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lang w:val="en-US" w:eastAsia="zh-CN"/>
              </w:rPr>
              <w:t>政务/村务公开栏（电子屏）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便民服务中心</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政务/村务公开栏（电子屏）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便民服务中心</w:t>
            </w:r>
            <w:r>
              <w:rPr>
                <w:rFonts w:hint="default" w:ascii="仿宋_GB2312" w:hAnsi="仿宋_GB2312" w:eastAsia="仿宋_GB2312" w:cs="仿宋_GB2312"/>
                <w:bCs/>
                <w:color w:val="auto"/>
                <w:sz w:val="24"/>
                <w:szCs w:val="24"/>
                <w:lang w:eastAsia="zh-CN"/>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政务/村务公开栏（电子屏）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政务/村务公开栏（电子屏）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政务/村务公开栏（电子屏）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5" w:name="_Toc2672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十六</w:t>
      </w:r>
      <w:r>
        <w:rPr>
          <w:rFonts w:hint="eastAsia" w:ascii="方正小标宋简体" w:hAnsi="方正小标宋简体" w:eastAsia="方正小标宋简体" w:cs="方正小标宋简体"/>
          <w:b w:val="0"/>
          <w:bCs w:val="0"/>
          <w:color w:val="auto"/>
          <w:sz w:val="44"/>
          <w:szCs w:val="44"/>
        </w:rPr>
        <w:t>）乡村振兴领域基层政务公开标准目录</w:t>
      </w:r>
      <w:bookmarkEnd w:id="15"/>
    </w:p>
    <w:tbl>
      <w:tblPr>
        <w:tblStyle w:val="7"/>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r>
              <w:rPr>
                <w:rFonts w:hint="eastAsia" w:ascii="仿宋_GB2312" w:hAnsi="仿宋_GB2312" w:eastAsia="仿宋_GB2312" w:cs="仿宋_GB2312"/>
                <w:color w:val="auto"/>
                <w:sz w:val="24"/>
                <w:szCs w:val="24"/>
                <w:lang w:val="en-US" w:eastAsia="zh-CN"/>
              </w:rPr>
              <w:t>法</w:t>
            </w:r>
            <w:r>
              <w:rPr>
                <w:rFonts w:hint="eastAsia" w:ascii="仿宋_GB2312" w:hAnsi="仿宋_GB2312" w:eastAsia="仿宋_GB2312" w:cs="仿宋_GB2312"/>
                <w:color w:val="auto"/>
                <w:sz w:val="24"/>
                <w:szCs w:val="24"/>
              </w:rPr>
              <w:t>规、规章</w:t>
            </w:r>
          </w:p>
        </w:tc>
        <w:tc>
          <w:tcPr>
            <w:tcW w:w="2541" w:type="dxa"/>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·中央及地方政府涉及乡村振兴领域的行政法规</w:t>
            </w:r>
          </w:p>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·中央及地方政府涉及乡村振兴领域的规章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政府网站</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·各级政府及部门涉及乡村振兴领域的规范性文件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政府网站</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·涉及乡村振兴领域其他政策文件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lang w:val="en-US" w:eastAsia="zh-CN"/>
              </w:rPr>
              <w:t>政务/村务公开栏（电子屏）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监测</w:t>
            </w:r>
            <w:r>
              <w:rPr>
                <w:rFonts w:hint="eastAsia" w:ascii="仿宋_GB2312" w:hAnsi="仿宋_GB2312" w:eastAsia="仿宋_GB2312" w:cs="仿宋_GB2312"/>
                <w:color w:val="auto"/>
                <w:sz w:val="24"/>
                <w:szCs w:val="24"/>
                <w:lang w:val="en-US" w:eastAsia="zh-CN"/>
              </w:rPr>
              <w:t>人口</w:t>
            </w:r>
            <w:r>
              <w:rPr>
                <w:rFonts w:hint="eastAsia" w:ascii="仿宋_GB2312" w:hAnsi="仿宋_GB2312" w:eastAsia="仿宋_GB2312" w:cs="仿宋_GB2312"/>
                <w:color w:val="auto"/>
                <w:sz w:val="24"/>
                <w:szCs w:val="24"/>
              </w:rPr>
              <w:t>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监测对象</w:t>
            </w:r>
            <w:r>
              <w:rPr>
                <w:rFonts w:hint="eastAsia" w:ascii="仿宋_GB2312" w:hAnsi="仿宋_GB2312" w:eastAsia="仿宋_GB2312" w:cs="仿宋_GB2312"/>
                <w:color w:val="auto"/>
                <w:sz w:val="24"/>
                <w:szCs w:val="24"/>
                <w:lang w:val="en-US" w:eastAsia="zh-CN"/>
              </w:rPr>
              <w:t>人口</w:t>
            </w:r>
            <w:r>
              <w:rPr>
                <w:rFonts w:hint="eastAsia" w:ascii="仿宋_GB2312" w:hAnsi="仿宋_GB2312" w:eastAsia="仿宋_GB2312" w:cs="仿宋_GB2312"/>
                <w:color w:val="auto"/>
                <w:sz w:val="24"/>
                <w:szCs w:val="24"/>
              </w:rPr>
              <w:t>识别</w:t>
            </w:r>
          </w:p>
        </w:tc>
        <w:tc>
          <w:tcPr>
            <w:tcW w:w="2541" w:type="dxa"/>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·识别标准（国定标准、省定标准）</w:t>
            </w:r>
          </w:p>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·识别结果(监测户名单、数量)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《中央农村工作领导小组关于健全防止返贫动态监测和帮扶机制的指导意见》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lang w:val="en-US" w:eastAsia="zh-CN"/>
              </w:rPr>
              <w:t>政务/村务公开栏（电子屏）</w:t>
            </w:r>
            <w:r>
              <w:rPr>
                <w:rFonts w:hint="eastAsia" w:ascii="仿宋_GB2312" w:hAnsi="仿宋_GB2312" w:eastAsia="仿宋_GB2312" w:cs="仿宋_GB2312"/>
                <w:color w:val="auto"/>
                <w:sz w:val="24"/>
                <w:szCs w:val="24"/>
              </w:rPr>
              <w:t xml:space="preserve">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restart"/>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乡村振兴资金</w:t>
            </w:r>
          </w:p>
          <w:p>
            <w:pPr>
              <w:widowControl/>
              <w:jc w:val="center"/>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年度计划</w:t>
            </w:r>
          </w:p>
        </w:tc>
        <w:tc>
          <w:tcPr>
            <w:tcW w:w="2541" w:type="dxa"/>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·计划安排情况（资金计划批复文件）</w:t>
            </w:r>
          </w:p>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·计划完成情况（项目建设完成、资金使用、绩效目标实现情况等）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信息形成（变更）10个工作日内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Merge w:val="continue"/>
            <w:vAlign w:val="center"/>
          </w:tcPr>
          <w:p>
            <w:pPr>
              <w:widowControl/>
              <w:jc w:val="center"/>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小额信贷</w:t>
            </w:r>
          </w:p>
        </w:tc>
        <w:tc>
          <w:tcPr>
            <w:tcW w:w="2541" w:type="dxa"/>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·小额信贷的贷款对象、用途、额度、期限、利率等情况</w:t>
            </w:r>
          </w:p>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·享受扶贫贴息贷款的企业、专业合作社等经营主体的名称、贷款额度、期限、贴息规模和带农增收机制等情况</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每年底前集中公布1次当年情况</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continue"/>
            <w:vAlign w:val="center"/>
          </w:tcPr>
          <w:p>
            <w:pPr>
              <w:widowControl/>
              <w:jc w:val="center"/>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Align w:val="center"/>
          </w:tcPr>
          <w:p>
            <w:pPr>
              <w:widowControl/>
              <w:jc w:val="left"/>
              <w:rPr>
                <w:rFonts w:hint="default"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乡村振兴项目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项目实施</w:t>
            </w:r>
          </w:p>
        </w:tc>
        <w:tc>
          <w:tcPr>
            <w:tcW w:w="2541" w:type="dxa"/>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bidi="ar"/>
              </w:rPr>
              <w:t>·乡村振兴项目实施后情况（包括资金使用、项目实施结果、检查验收结果、绩效目标实现情况等）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监督电话（0839-12317）</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left"/>
        <w:rPr>
          <w:rFonts w:hint="eastAsia" w:ascii="Times New Roman" w:hAnsi="Times New Roman" w:eastAsia="方正小标宋_GBK"/>
          <w:color w:val="auto"/>
          <w:sz w:val="28"/>
          <w:szCs w:val="28"/>
        </w:rPr>
      </w:pPr>
    </w:p>
    <w:p>
      <w:pPr>
        <w:pStyle w:val="2"/>
        <w:numPr>
          <w:ilvl w:val="0"/>
          <w:numId w:val="0"/>
        </w:numPr>
        <w:spacing w:before="0" w:after="0" w:line="240" w:lineRule="auto"/>
        <w:jc w:val="center"/>
        <w:rPr>
          <w:color w:val="auto"/>
        </w:rPr>
      </w:pPr>
      <w:bookmarkStart w:id="16" w:name="_Toc7955"/>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lang w:val="en-US" w:eastAsia="zh-CN"/>
        </w:rPr>
        <w:t>七</w:t>
      </w:r>
      <w:r>
        <w:rPr>
          <w:rFonts w:hint="eastAsia" w:ascii="方正小标宋简体" w:hAnsi="方正小标宋简体" w:eastAsia="方正小标宋简体" w:cs="方正小标宋简体"/>
          <w:b w:val="0"/>
          <w:bCs w:val="0"/>
          <w:color w:val="auto"/>
          <w:lang w:eastAsia="zh-CN"/>
        </w:rPr>
        <w:t>）</w:t>
      </w:r>
      <w:r>
        <w:rPr>
          <w:rFonts w:hint="eastAsia" w:ascii="方正小标宋简体" w:hAnsi="方正小标宋简体" w:eastAsia="方正小标宋简体" w:cs="方正小标宋简体"/>
          <w:b w:val="0"/>
          <w:bCs w:val="0"/>
          <w:color w:val="auto"/>
        </w:rPr>
        <w:t>义务教育领域基层政务公开标准目录</w:t>
      </w:r>
      <w:bookmarkEnd w:id="16"/>
    </w:p>
    <w:tbl>
      <w:tblPr>
        <w:tblStyle w:val="7"/>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widowControl/>
              <w:jc w:val="center"/>
              <w:rPr>
                <w:rFonts w:hint="eastAsia" w:ascii="Times New Roman" w:hAnsi="Times New Roman" w:eastAsia="宋体"/>
                <w:color w:val="auto"/>
                <w:sz w:val="20"/>
                <w:szCs w:val="20"/>
                <w:lang w:val="en-US" w:eastAsia="zh-CN"/>
              </w:rPr>
            </w:pPr>
            <w:r>
              <w:rPr>
                <w:rFonts w:hint="eastAsia" w:ascii="仿宋_GB2312" w:hAnsi="仿宋_GB2312" w:eastAsia="仿宋_GB2312" w:cs="仿宋_GB2312"/>
                <w:color w:val="auto"/>
                <w:sz w:val="24"/>
                <w:szCs w:val="24"/>
                <w:lang w:val="en-US" w:eastAsia="zh-CN"/>
              </w:rPr>
              <w:t>1</w:t>
            </w: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both"/>
              <w:rPr>
                <w:rFonts w:ascii="仿宋_GB2312" w:eastAsia="仿宋_GB2312" w:cs="仿宋_GB2312"/>
                <w:color w:val="auto"/>
                <w:sz w:val="24"/>
                <w:szCs w:val="24"/>
                <w:lang w:bidi="ar"/>
              </w:rPr>
            </w:pPr>
            <w:r>
              <w:rPr>
                <w:rFonts w:hint="eastAsia" w:ascii="仿宋_GB2312" w:eastAsia="仿宋_GB2312" w:cs="仿宋_GB2312"/>
                <w:color w:val="auto"/>
                <w:sz w:val="24"/>
                <w:szCs w:val="24"/>
                <w:lang w:val="en-US" w:eastAsia="zh-CN" w:bidi="ar"/>
              </w:rPr>
              <w:t>中子镇</w:t>
            </w: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bookmarkStart w:id="17" w:name="_Toc3012"/>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val="en-US" w:eastAsia="zh-CN"/>
        </w:rPr>
        <w:t>十八</w:t>
      </w:r>
      <w:r>
        <w:rPr>
          <w:rFonts w:hint="eastAsia" w:ascii="方正小标宋简体" w:hAnsi="方正小标宋简体" w:eastAsia="方正小标宋简体" w:cs="方正小标宋简体"/>
          <w:b w:val="0"/>
          <w:bCs w:val="0"/>
          <w:color w:val="auto"/>
        </w:rPr>
        <w:t>）市政服务领域基层政务公开标准目录</w:t>
      </w:r>
      <w:bookmarkEnd w:id="17"/>
    </w:p>
    <w:tbl>
      <w:tblPr>
        <w:tblStyle w:val="7"/>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941"/>
        <w:gridCol w:w="1608"/>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141"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9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3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4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608"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214"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5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4"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447"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9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3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4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08"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53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社</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会</w:t>
            </w:r>
          </w:p>
        </w:tc>
        <w:tc>
          <w:tcPr>
            <w:tcW w:w="68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8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1</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燃气管理</w:t>
            </w:r>
          </w:p>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瓶装燃气、管道燃气服务企业名单、联系人、咨询电话等。</w:t>
            </w:r>
          </w:p>
        </w:tc>
        <w:tc>
          <w:tcPr>
            <w:tcW w:w="2332" w:type="dxa"/>
            <w:vMerge w:val="restart"/>
            <w:shd w:val="clear" w:color="auto" w:fill="auto"/>
            <w:vAlign w:val="center"/>
          </w:tcPr>
          <w:p>
            <w:pPr>
              <w:spacing w:line="24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p>
            <w:pPr>
              <w:spacing w:line="240" w:lineRule="exact"/>
              <w:rPr>
                <w:rFonts w:ascii="Times New Roman" w:hAnsi="Times New Roman" w:eastAsia="仿宋_GB2312"/>
                <w:color w:val="auto"/>
                <w:sz w:val="22"/>
              </w:rPr>
            </w:pPr>
          </w:p>
        </w:tc>
        <w:tc>
          <w:tcPr>
            <w:tcW w:w="1645"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p>
            <w:pPr>
              <w:spacing w:line="240" w:lineRule="exact"/>
              <w:jc w:val="center"/>
              <w:rPr>
                <w:rFonts w:ascii="Times New Roman" w:hAnsi="Times New Roman" w:eastAsia="仿宋_GB2312"/>
                <w:color w:val="auto"/>
                <w:sz w:val="22"/>
              </w:rPr>
            </w:pP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val="en-US" w:eastAsia="zh-CN"/>
              </w:rPr>
              <w:t>中子</w:t>
            </w:r>
            <w:r>
              <w:rPr>
                <w:rFonts w:hint="eastAsia" w:ascii="Times New Roman" w:hAnsi="Times New Roman" w:eastAsia="仿宋_GB2312"/>
                <w:color w:val="auto"/>
                <w:sz w:val="22"/>
              </w:rPr>
              <w:t>镇人民政府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2</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燃气收费标准及依据</w:t>
            </w:r>
            <w:r>
              <w:rPr>
                <w:rFonts w:hint="eastAsia" w:ascii="Times New Roman" w:hAnsi="Times New Roman" w:eastAsia="仿宋_GB2312"/>
                <w:color w:val="auto"/>
                <w:sz w:val="22"/>
              </w:rPr>
              <w:t>，</w:t>
            </w:r>
            <w:r>
              <w:rPr>
                <w:rFonts w:ascii="Times New Roman" w:hAnsi="Times New Roman" w:eastAsia="仿宋_GB2312"/>
                <w:color w:val="auto"/>
                <w:sz w:val="22"/>
              </w:rPr>
              <w:t>停气通知</w:t>
            </w:r>
            <w:r>
              <w:rPr>
                <w:rFonts w:hint="eastAsia" w:ascii="Times New Roman" w:hAnsi="Times New Roman" w:eastAsia="仿宋_GB2312"/>
                <w:color w:val="auto"/>
                <w:sz w:val="22"/>
              </w:rPr>
              <w:t>等。</w:t>
            </w:r>
          </w:p>
        </w:tc>
        <w:tc>
          <w:tcPr>
            <w:tcW w:w="2332" w:type="dxa"/>
            <w:vMerge w:val="continue"/>
            <w:shd w:val="clear" w:color="auto" w:fill="auto"/>
            <w:vAlign w:val="center"/>
          </w:tcPr>
          <w:p>
            <w:pPr>
              <w:spacing w:line="240" w:lineRule="exact"/>
              <w:rPr>
                <w:rFonts w:ascii="Times New Roman" w:hAnsi="Times New Roman" w:eastAsia="仿宋_GB2312"/>
                <w:color w:val="auto"/>
                <w:sz w:val="22"/>
              </w:rPr>
            </w:pPr>
          </w:p>
        </w:tc>
        <w:tc>
          <w:tcPr>
            <w:tcW w:w="1645"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天然气用户新（扩）装业务办理。</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val="en-US" w:eastAsia="zh-CN"/>
              </w:rPr>
              <w:t>中子</w:t>
            </w:r>
            <w:r>
              <w:rPr>
                <w:rFonts w:hint="eastAsia" w:ascii="Times New Roman" w:hAnsi="Times New Roman" w:eastAsia="仿宋_GB2312"/>
                <w:color w:val="auto"/>
                <w:sz w:val="22"/>
              </w:rPr>
              <w:t>镇人民政府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4</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瓶装燃气经营企业申请燃气经营许可证核发。</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 xml:space="preserve"> 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5</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燃气经营者改动市政燃气设施审批。</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bl>
    <w:p>
      <w:pPr>
        <w:rPr>
          <w:color w:val="auto"/>
        </w:rPr>
      </w:pPr>
    </w:p>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bookmarkStart w:id="18" w:name="_Toc1307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val="en-US" w:eastAsia="zh-CN"/>
        </w:rPr>
        <w:t>十九</w:t>
      </w:r>
      <w:r>
        <w:rPr>
          <w:rFonts w:hint="eastAsia" w:ascii="方正小标宋简体" w:hAnsi="方正小标宋简体" w:eastAsia="方正小标宋简体" w:cs="方正小标宋简体"/>
          <w:b w:val="0"/>
          <w:bCs w:val="0"/>
          <w:color w:val="auto"/>
        </w:rPr>
        <w:t>）食品药品监督领域基层政务公开标准目录</w:t>
      </w:r>
      <w:bookmarkEnd w:id="18"/>
    </w:p>
    <w:tbl>
      <w:tblPr>
        <w:tblStyle w:val="7"/>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val="en-US" w:eastAsia="zh-CN"/>
              </w:rPr>
              <w:t>中子</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val="en-US" w:eastAsia="zh-CN"/>
              </w:rPr>
              <w:t>中子</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val="en-US" w:eastAsia="zh-CN"/>
              </w:rPr>
              <w:t>中子</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pStyle w:val="2"/>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bookmarkStart w:id="19" w:name="_Toc21990"/>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val="en-US" w:eastAsia="zh-CN"/>
        </w:rPr>
        <w:t>二十</w:t>
      </w:r>
      <w:r>
        <w:rPr>
          <w:rFonts w:hint="eastAsia" w:ascii="方正小标宋简体" w:hAnsi="方正小标宋简体" w:eastAsia="方正小标宋简体" w:cs="方正小标宋简体"/>
          <w:b w:val="0"/>
          <w:bCs w:val="0"/>
          <w:color w:val="auto"/>
        </w:rPr>
        <w:t>）自然资源领域基层政务公开标准目录</w:t>
      </w:r>
      <w:bookmarkEnd w:id="19"/>
    </w:p>
    <w:tbl>
      <w:tblPr>
        <w:tblStyle w:val="7"/>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宋体" w:hAnsi="宋体" w:cs="宋体"/>
                <w:color w:val="auto"/>
                <w:spacing w:val="1"/>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Pr>
        <w:rPr>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bookmarkStart w:id="20" w:name="_Toc16466"/>
      <w:r>
        <w:rPr>
          <w:rFonts w:hint="eastAsia" w:ascii="方正小标宋简体" w:hAnsi="方正小标宋简体" w:eastAsia="方正小标宋简体" w:cs="方正小标宋简体"/>
          <w:b w:val="0"/>
          <w:bCs w:val="0"/>
          <w:color w:val="auto"/>
        </w:rPr>
        <w:t>（二十</w:t>
      </w:r>
      <w:r>
        <w:rPr>
          <w:rFonts w:hint="eastAsia" w:ascii="方正小标宋简体" w:hAnsi="方正小标宋简体" w:eastAsia="方正小标宋简体" w:cs="方正小标宋简体"/>
          <w:b w:val="0"/>
          <w:bCs w:val="0"/>
          <w:color w:val="auto"/>
          <w:lang w:val="en-US" w:eastAsia="zh-CN"/>
        </w:rPr>
        <w:t>一</w:t>
      </w:r>
      <w:r>
        <w:rPr>
          <w:rFonts w:hint="eastAsia" w:ascii="方正小标宋简体" w:hAnsi="方正小标宋简体" w:eastAsia="方正小标宋简体" w:cs="方正小标宋简体"/>
          <w:b w:val="0"/>
          <w:bCs w:val="0"/>
          <w:color w:val="auto"/>
        </w:rPr>
        <w:t>）户籍管理领域基层政务公开标准目录</w:t>
      </w:r>
      <w:bookmarkEnd w:id="20"/>
    </w:p>
    <w:tbl>
      <w:tblPr>
        <w:tblStyle w:val="7"/>
        <w:tblpPr w:leftFromText="180" w:rightFromText="180" w:vertAnchor="text" w:horzAnchor="page" w:tblpX="1390" w:tblpY="68"/>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Merge w:val="restart"/>
            <w:vAlign w:val="center"/>
          </w:tcPr>
          <w:p>
            <w:pPr>
              <w:widowControl/>
              <w:spacing w:line="240" w:lineRule="atLeast"/>
              <w:jc w:val="center"/>
              <w:rPr>
                <w:rFonts w:ascii="Times New Roman" w:hAnsi="Times New Roman"/>
                <w:color w:val="auto"/>
                <w:kern w:val="0"/>
                <w:sz w:val="22"/>
              </w:rPr>
            </w:pPr>
            <w:r>
              <w:rPr>
                <w:rFonts w:ascii="Times New Roman" w:hAnsi="宋体"/>
                <w:color w:val="auto"/>
                <w:kern w:val="0"/>
                <w:sz w:val="22"/>
              </w:rPr>
              <w:t>序号</w:t>
            </w:r>
          </w:p>
        </w:tc>
        <w:tc>
          <w:tcPr>
            <w:tcW w:w="1789"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413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24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6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34"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34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70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61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51" w:type="dxa"/>
            <w:vMerge w:val="continue"/>
            <w:vAlign w:val="center"/>
          </w:tcPr>
          <w:p>
            <w:pPr>
              <w:widowControl/>
              <w:spacing w:line="240" w:lineRule="atLeast"/>
              <w:jc w:val="left"/>
              <w:rPr>
                <w:rFonts w:ascii="Times New Roman" w:hAnsi="Times New Roman"/>
                <w:color w:val="auto"/>
                <w:kern w:val="0"/>
                <w:sz w:val="22"/>
              </w:rPr>
            </w:pPr>
          </w:p>
        </w:tc>
        <w:tc>
          <w:tcPr>
            <w:tcW w:w="88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4136" w:type="dxa"/>
            <w:vMerge w:val="continue"/>
            <w:vAlign w:val="center"/>
          </w:tcPr>
          <w:p>
            <w:pPr>
              <w:widowControl/>
              <w:spacing w:line="240" w:lineRule="atLeast"/>
              <w:rPr>
                <w:rFonts w:ascii="黑体" w:hAnsi="宋体" w:eastAsia="黑体" w:cs="宋体"/>
                <w:color w:val="auto"/>
                <w:kern w:val="0"/>
                <w:sz w:val="22"/>
              </w:rPr>
            </w:pPr>
          </w:p>
        </w:tc>
        <w:tc>
          <w:tcPr>
            <w:tcW w:w="1245" w:type="dxa"/>
            <w:vMerge w:val="continue"/>
            <w:vAlign w:val="center"/>
          </w:tcPr>
          <w:p>
            <w:pPr>
              <w:widowControl/>
              <w:spacing w:line="240" w:lineRule="atLeast"/>
              <w:jc w:val="left"/>
              <w:rPr>
                <w:rFonts w:ascii="黑体" w:hAnsi="宋体" w:eastAsia="黑体" w:cs="宋体"/>
                <w:color w:val="auto"/>
                <w:kern w:val="0"/>
                <w:sz w:val="22"/>
              </w:rPr>
            </w:pPr>
          </w:p>
        </w:tc>
        <w:tc>
          <w:tcPr>
            <w:tcW w:w="1065" w:type="dxa"/>
            <w:vMerge w:val="continue"/>
            <w:vAlign w:val="center"/>
          </w:tcPr>
          <w:p>
            <w:pPr>
              <w:widowControl/>
              <w:spacing w:line="240" w:lineRule="atLeast"/>
              <w:jc w:val="left"/>
              <w:rPr>
                <w:rFonts w:ascii="黑体" w:hAnsi="宋体" w:eastAsia="黑体" w:cs="宋体"/>
                <w:color w:val="auto"/>
                <w:kern w:val="0"/>
                <w:sz w:val="22"/>
              </w:rPr>
            </w:pPr>
          </w:p>
        </w:tc>
        <w:tc>
          <w:tcPr>
            <w:tcW w:w="934" w:type="dxa"/>
            <w:vMerge w:val="continue"/>
            <w:vAlign w:val="center"/>
          </w:tcPr>
          <w:p>
            <w:pPr>
              <w:widowControl/>
              <w:spacing w:line="240" w:lineRule="atLeast"/>
              <w:jc w:val="left"/>
              <w:rPr>
                <w:rFonts w:ascii="黑体" w:hAnsi="宋体" w:eastAsia="黑体" w:cs="宋体"/>
                <w:color w:val="auto"/>
                <w:kern w:val="0"/>
                <w:sz w:val="22"/>
              </w:rPr>
            </w:pPr>
          </w:p>
        </w:tc>
        <w:tc>
          <w:tcPr>
            <w:tcW w:w="1346" w:type="dxa"/>
            <w:vMerge w:val="continue"/>
            <w:vAlign w:val="center"/>
          </w:tcPr>
          <w:p>
            <w:pPr>
              <w:widowControl/>
              <w:spacing w:line="240" w:lineRule="atLeast"/>
              <w:jc w:val="left"/>
              <w:rPr>
                <w:rFonts w:ascii="黑体" w:hAnsi="宋体" w:eastAsia="黑体" w:cs="宋体"/>
                <w:color w:val="auto"/>
                <w:kern w:val="0"/>
                <w:sz w:val="22"/>
              </w:rPr>
            </w:pPr>
          </w:p>
        </w:tc>
        <w:tc>
          <w:tcPr>
            <w:tcW w:w="994"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1062"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bl>
    <w:tbl>
      <w:tblPr>
        <w:tblStyle w:val="7"/>
        <w:tblpPr w:leftFromText="180" w:rightFromText="180" w:vertAnchor="text" w:horzAnchor="page" w:tblpX="1606" w:tblpY="1409"/>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w:t>
            </w:r>
          </w:p>
        </w:tc>
        <w:tc>
          <w:tcPr>
            <w:tcW w:w="889"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900"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4136" w:type="dxa"/>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办理条件：年</w:t>
            </w:r>
            <w:r>
              <w:rPr>
                <w:rFonts w:hint="eastAsia" w:ascii="宋体" w:hAnsi="宋体" w:cs="宋体"/>
                <w:color w:val="auto"/>
                <w:szCs w:val="21"/>
              </w:rPr>
              <w:t>≦</w:t>
            </w:r>
            <w:r>
              <w:rPr>
                <w:rFonts w:hint="eastAsia" w:ascii="仿宋" w:hAnsi="仿宋" w:eastAsia="仿宋" w:cs="仿宋"/>
                <w:color w:val="auto"/>
                <w:szCs w:val="21"/>
              </w:rPr>
              <w:t>1周岁公民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出生医学证明及计划生育证明（国内出生入户登记需提供此材料）</w:t>
            </w:r>
            <w:r>
              <w:rPr>
                <w:rFonts w:hint="eastAsia" w:ascii="仿宋" w:hAnsi="仿宋" w:eastAsia="仿宋" w:cs="仿宋"/>
                <w:color w:val="auto"/>
                <w:szCs w:val="21"/>
              </w:rPr>
              <w:t>2、</w:t>
            </w:r>
            <w:r>
              <w:rPr>
                <w:rFonts w:hint="eastAsia" w:ascii="仿宋" w:hAnsi="仿宋" w:eastAsia="仿宋" w:cs="仿宋"/>
                <w:color w:val="auto"/>
                <w:szCs w:val="21"/>
                <w:shd w:val="clear" w:color="auto" w:fill="FFFFFF"/>
              </w:rPr>
              <w:t>卫计部门出具的出生证明（无出生医学证明的国内出生入户登记需提供此材料）3、亲子亲缘鉴定书（无出生医学证明的国内出生入户登记需提供此材料）4、申明及父母双方身份证（选取父母姓氏之外的出生登记需提供此材料）5、民族确认书（父母民族不一致的出生登记需提供此材料）6、现役军人身份证件以及其子女祖父母或外祖父母户口簿（父母均为现役军人申报出生户口登记需提供此材料）7、居民户口簿（办理户口登记、项目变更、注销需提供此材料）8、司法翻译件、父(母)及子女回国(境)使用的中国护照或者中华人民共和国旅行证（国外出生的中国婴幼儿申报户口登记需提供此材料）9、父母双方结婚证 10、卫生部门化验后出具的新生儿血型单 注：以上所需资料均需原件。</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宋体" w:hAnsi="宋体" w:eastAsia="宋体" w:cs="宋体"/>
                <w:color w:val="auto"/>
                <w:spacing w:val="1"/>
                <w:kern w:val="2"/>
                <w:sz w:val="21"/>
                <w:szCs w:val="21"/>
                <w:lang w:val="en-US" w:eastAsia="zh-CN" w:bidi="ar-SA"/>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w:t>
            </w:r>
          </w:p>
          <w:p>
            <w:pPr>
              <w:widowControl/>
              <w:spacing w:line="360" w:lineRule="exact"/>
              <w:jc w:val="center"/>
              <w:textAlignment w:val="center"/>
              <w:rPr>
                <w:rFonts w:ascii="仿宋" w:hAnsi="仿宋" w:eastAsia="仿宋" w:cs="仿宋"/>
                <w:color w:val="auto"/>
                <w:sz w:val="18"/>
                <w:szCs w:val="18"/>
              </w:rPr>
            </w:pP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注销登记</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死亡注销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死亡证明、死亡公民居民户口簿和居民身份证、申报义务人身份证（申报死亡注销户口需提供此材料）2</w:t>
            </w:r>
            <w:r>
              <w:rPr>
                <w:rFonts w:hint="eastAsia" w:ascii="仿宋" w:hAnsi="仿宋" w:eastAsia="仿宋" w:cs="仿宋"/>
                <w:color w:val="auto"/>
                <w:szCs w:val="21"/>
              </w:rPr>
              <w:t>、</w:t>
            </w:r>
            <w:r>
              <w:rPr>
                <w:rFonts w:hint="eastAsia" w:ascii="仿宋" w:hAnsi="仿宋" w:eastAsia="仿宋" w:cs="仿宋"/>
                <w:color w:val="auto"/>
                <w:szCs w:val="21"/>
                <w:shd w:val="clear" w:color="auto" w:fill="FFFFFF"/>
              </w:rPr>
              <w:t>人民法院死刑判决书或宣告死亡判决书、被执行死刑或者宣告死亡公民居民户口簿和居民身份证、申报义务人身份证（执行死刑或宣告死亡注销户口的申报义务人需提供此材料）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宋体" w:hAnsi="宋体" w:eastAsia="宋体" w:cs="宋体"/>
                <w:color w:val="auto"/>
                <w:spacing w:val="1"/>
                <w:kern w:val="2"/>
                <w:sz w:val="21"/>
                <w:szCs w:val="21"/>
                <w:lang w:val="en-US" w:eastAsia="zh-CN" w:bidi="ar-SA"/>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服现役注销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入伍通知书及本人户口簿（申报参军注销户口需提供此材料）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：不收费</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宋体" w:hAnsi="宋体" w:eastAsia="宋体" w:cs="宋体"/>
                <w:color w:val="auto"/>
                <w:spacing w:val="1"/>
                <w:kern w:val="2"/>
                <w:sz w:val="21"/>
                <w:szCs w:val="21"/>
                <w:lang w:val="en-US" w:eastAsia="zh-CN" w:bidi="ar-SA"/>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1"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889"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迁移登记</w:t>
            </w:r>
          </w:p>
        </w:tc>
        <w:tc>
          <w:tcPr>
            <w:tcW w:w="900"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迁出、迁入登记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办理条件：公民离开户口登记地到另一居住地实际长期居住，符合户口迁移政策，申请材料真实齐全且合法有效</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spacing w:line="360" w:lineRule="exact"/>
              <w:rPr>
                <w:rFonts w:ascii="仿宋" w:hAnsi="仿宋" w:eastAsia="仿宋" w:cs="仿宋"/>
                <w:color w:val="auto"/>
                <w:szCs w:val="21"/>
              </w:rPr>
            </w:pPr>
            <w:r>
              <w:rPr>
                <w:rFonts w:hint="eastAsia" w:ascii="仿宋" w:hAnsi="仿宋" w:eastAsia="仿宋" w:cs="仿宋"/>
                <w:color w:val="auto"/>
                <w:szCs w:val="21"/>
              </w:rPr>
              <w:t>所需材料：1、申请人居民身份证（交复印件）2、房屋产权证（房屋所有权人申请入户提供）3、结婚证（夫妻投靠入户提供）4、直系亲属关系证明（直系亲属投靠入户提供）5、录取新生名册（新生录取迁入提供）6、录取通知书（录取新生提供）7、户口迁移证（录取新生或已经在原籍地办理（高校毕业生入户提供）8、报到证（高校毕业生提供）9、毕业证（高校毕业生入户提供）10、接收单位证明（高校毕业生入户提供11、住宅房屋租赁合同（务工经商入户申请人提供）12、学校证明（在校生入户提供）13、集体户首页（入人才中心集体户、公共集体户、单位集体户申人提供）14、各市（州）人民政府结合本地实际要求提交的其他材料15、准迁证（需要办理户口迁移证的申请人提供）</w:t>
            </w:r>
          </w:p>
          <w:p>
            <w:pPr>
              <w:spacing w:line="360" w:lineRule="exact"/>
              <w:rPr>
                <w:rFonts w:ascii="仿宋" w:hAnsi="仿宋" w:eastAsia="仿宋" w:cs="仿宋"/>
                <w:color w:val="auto"/>
                <w:szCs w:val="21"/>
              </w:rPr>
            </w:pPr>
            <w:r>
              <w:rPr>
                <w:rFonts w:hint="eastAsia" w:ascii="仿宋" w:hAnsi="仿宋" w:eastAsia="仿宋" w:cs="仿宋"/>
                <w:color w:val="auto"/>
                <w:szCs w:val="21"/>
              </w:rPr>
              <w:t>办理时限：0个工作日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spacing w:line="360" w:lineRule="exact"/>
              <w:ind w:firstLine="420" w:firstLineChars="200"/>
              <w:rPr>
                <w:rFonts w:ascii="仿宋" w:hAnsi="仿宋" w:eastAsia="仿宋" w:cs="仿宋"/>
                <w:color w:val="auto"/>
                <w:szCs w:val="21"/>
              </w:rPr>
            </w:pPr>
            <w:r>
              <w:rPr>
                <w:rFonts w:hint="eastAsia" w:ascii="仿宋" w:hAnsi="仿宋" w:eastAsia="仿宋" w:cs="仿宋"/>
                <w:color w:val="auto"/>
                <w:szCs w:val="21"/>
              </w:rPr>
              <w:t>《户口登记条例》、《中华人民共和国政府信息公开条例》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4"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5</w:t>
            </w:r>
          </w:p>
        </w:tc>
        <w:tc>
          <w:tcPr>
            <w:tcW w:w="889" w:type="dxa"/>
            <w:vMerge w:val="restart"/>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户口登记项目变更更正</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姓名变更、更正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办理条件：1、父母离婚、再婚的未成年子女2、依法被收养或者收养关系变更的3、姓名或姓名的谐音违背公序良俗的4、名字中含有冷僻字5、户口登记机关认定可以变更的其他情形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姓名变更申请及本人户口簿（变更户口登记姓名需提供此材料）2、居民户口簿（办理户口登记、项目变更、注销需提供此材料）3、出生医学证明及计划生育证明（国内出生入户登记需提供此材料）4、卫计部门出具的出生证明（无出生医学证明的国内出生入户登记需提供此材料）5、亲子亲缘鉴定书（无出生医学证明的国内出生入户登记需提供此材料）6、收养登记证（父母信息明确时办理收养入户的需提供此材料）7、申明及父母双方身份证复印件（选取父母姓氏之外的出生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性别变更、更正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办理条件：实施变性手术的公民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性别鉴定证明和公证部门出具的公证书,或者司法鉴定部门出具的证明以及本人户口簿（户口性别变更登记需提供此材料）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《公安部关于公民手术变性后变更户口登记性别项目有关问题的批复》、《政府信息公开条例》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7</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民族成份变更、更正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办理条件：符合《中国公民民族成份登记管理办法》（国家民宗委、公安部[2015]2号令，民族成份必须以国家正式认定的民族族称为准，任何人不得以国家未确定的族称作为自己的民族成份</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更改民族成份证明书及本人户口簿（变更民族成份户口登记需提供此材料）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《中国公民民族成份登记管理办法》、《政府信息公开条例》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7"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8</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暂住登记及居住证管理</w:t>
            </w:r>
          </w:p>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numPr>
                <w:ilvl w:val="0"/>
                <w:numId w:val="1"/>
              </w:numPr>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9</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所需材料： </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1、</w:t>
            </w: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10</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 w:val="18"/>
                <w:szCs w:val="18"/>
              </w:rPr>
            </w:pPr>
            <w:r>
              <w:rPr>
                <w:rFonts w:hint="eastAsia" w:ascii="仿宋" w:hAnsi="仿宋" w:eastAsia="仿宋" w:cs="仿宋"/>
                <w:color w:val="auto"/>
                <w:szCs w:val="21"/>
              </w:rPr>
              <w:t xml:space="preserve">收费依据及标准 ：不收费   </w:t>
            </w:r>
            <w:r>
              <w:rPr>
                <w:rFonts w:hint="eastAsia" w:ascii="仿宋" w:hAnsi="仿宋" w:eastAsia="仿宋" w:cs="仿宋"/>
                <w:color w:val="auto"/>
                <w:sz w:val="18"/>
                <w:szCs w:val="18"/>
              </w:rPr>
              <w:t xml:space="preserve">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11</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居住证签注</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12</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居民身份管理</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、不收费（首次领居民身份证）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14</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临时居民身份证申领、换领、补领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《居民户口簿》或 《常住人口登记表》（集体户）原件、居民身份证原件（换证人员）</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：国家发展改革委、财政部关于居民身份证收费标准及有关问题的通知》（发改价格[2003]2322号）规定每证10元</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p>
            <w:pPr>
              <w:pStyle w:val="3"/>
              <w:rPr>
                <w:color w:val="auto"/>
              </w:rPr>
            </w:pP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15</w:t>
            </w:r>
          </w:p>
        </w:tc>
        <w:tc>
          <w:tcPr>
            <w:tcW w:w="889" w:type="dxa"/>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异地申请换、补领居民身份证</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办理条件：在我省合法稳定就业、就学、居住的外省籍居民，申请换领、补领居民身份证，由其常住户口所在地公安机关委托我省居住地公安机关受理居民身份证。 </w:t>
            </w:r>
            <w:r>
              <w:rPr>
                <w:rFonts w:hint="eastAsia" w:ascii="仿宋" w:hAnsi="仿宋" w:eastAsia="仿宋" w:cs="仿宋"/>
                <w:color w:val="auto"/>
                <w:szCs w:val="21"/>
              </w:rPr>
              <w:cr/>
            </w:r>
            <w:r>
              <w:rPr>
                <w:rFonts w:hint="eastAsia" w:ascii="仿宋" w:hAnsi="仿宋" w:eastAsia="仿宋" w:cs="仿宋"/>
                <w:color w:val="auto"/>
                <w:szCs w:val="21"/>
              </w:rPr>
              <w:t>未满十六周岁的公民，由监护人代为申请领取居民身份证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办理了居住证的，持居住证办理。申请换领证件的除提供以上相应材料外，还需提供原居民身份证2、在四川省警务综合平台（一标三实模块）登记为实有人口的，持本人《居民户口簿》或居民身份证办理。申请换领证件的除提供以上相应材料外，还需提供原居民身份证3就业、就学、居住证明。申请换领证件的除提供以上相应材料外，还需提供原居民身份证4、人像信息辅助证明5、人像信息辅助证明</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：国家发展改革委、财政部关于居民身份证收费标准及有关问题的通知》（发改价格[2003]2322号）规定每证20元（换领）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每证40元（损坏、丢失补领）</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《居民身份证法》、《公安部关于印发&lt;关于建立居民身份证异地受理挂失申报和丢失招领制度的意见&gt;的通知》、《政府信息公开条例》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 w:val="24"/>
                <w:szCs w:val="24"/>
                <w:lang w:val="en-US" w:eastAsia="zh-CN"/>
              </w:rPr>
              <w:t>中子镇</w:t>
            </w:r>
            <w:r>
              <w:rPr>
                <w:rFonts w:hint="eastAsia" w:ascii="仿宋" w:hAnsi="仿宋" w:eastAsia="仿宋" w:cs="仿宋"/>
                <w:color w:val="auto"/>
                <w:sz w:val="24"/>
                <w:szCs w:val="24"/>
              </w:rPr>
              <w:t>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bl>
    <w:p>
      <w:pPr>
        <w:jc w:val="left"/>
        <w:rPr>
          <w:rFonts w:hint="eastAsia" w:ascii="Times New Roman" w:hAnsi="Times New Roman" w:eastAsia="方正小标宋_GBK"/>
          <w:color w:val="auto"/>
          <w:sz w:val="28"/>
          <w:szCs w:val="28"/>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Fonts w:hint="eastAsia"/>
      </w:rPr>
    </w:pPr>
  </w:p>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28AB7"/>
    <w:multiLevelType w:val="singleLevel"/>
    <w:tmpl w:val="A8528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OTc4NWYwMTM1NjRkNDI3MzA4YTU2NDczZGJlN2QifQ=="/>
  </w:docVars>
  <w:rsids>
    <w:rsidRoot w:val="17977D9A"/>
    <w:rsid w:val="00E344E1"/>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22436110"/>
    <w:rsid w:val="23300063"/>
    <w:rsid w:val="2492207B"/>
    <w:rsid w:val="26950DE3"/>
    <w:rsid w:val="2A0329D0"/>
    <w:rsid w:val="2ACC21F5"/>
    <w:rsid w:val="2D8E231A"/>
    <w:rsid w:val="2DA61BA5"/>
    <w:rsid w:val="2F4F0435"/>
    <w:rsid w:val="308B1089"/>
    <w:rsid w:val="32111337"/>
    <w:rsid w:val="363970E8"/>
    <w:rsid w:val="38345799"/>
    <w:rsid w:val="38632173"/>
    <w:rsid w:val="38746C80"/>
    <w:rsid w:val="3DA340AD"/>
    <w:rsid w:val="3F0B5072"/>
    <w:rsid w:val="414333D5"/>
    <w:rsid w:val="439F71AD"/>
    <w:rsid w:val="45CF48FD"/>
    <w:rsid w:val="47065415"/>
    <w:rsid w:val="49952D5B"/>
    <w:rsid w:val="4BBE2018"/>
    <w:rsid w:val="4CA25630"/>
    <w:rsid w:val="4D2B30E6"/>
    <w:rsid w:val="4D7649CB"/>
    <w:rsid w:val="51D94C86"/>
    <w:rsid w:val="56E939BD"/>
    <w:rsid w:val="57C47717"/>
    <w:rsid w:val="58B77EC9"/>
    <w:rsid w:val="58EB61BE"/>
    <w:rsid w:val="59091929"/>
    <w:rsid w:val="5CC94030"/>
    <w:rsid w:val="5EB727AE"/>
    <w:rsid w:val="5F457392"/>
    <w:rsid w:val="60DC2575"/>
    <w:rsid w:val="623A5FD8"/>
    <w:rsid w:val="6435414E"/>
    <w:rsid w:val="645026DE"/>
    <w:rsid w:val="646F3FAB"/>
    <w:rsid w:val="670F3391"/>
    <w:rsid w:val="6754691A"/>
    <w:rsid w:val="68FB4111"/>
    <w:rsid w:val="69837D68"/>
    <w:rsid w:val="69997E70"/>
    <w:rsid w:val="6AD20069"/>
    <w:rsid w:val="6CBD30CE"/>
    <w:rsid w:val="6E712785"/>
    <w:rsid w:val="6EC53796"/>
    <w:rsid w:val="6F121541"/>
    <w:rsid w:val="6F2F6FE1"/>
    <w:rsid w:val="6FCB8244"/>
    <w:rsid w:val="72004CEA"/>
    <w:rsid w:val="74A41B92"/>
    <w:rsid w:val="753D2069"/>
    <w:rsid w:val="75AA6588"/>
    <w:rsid w:val="77917FAD"/>
    <w:rsid w:val="780C775B"/>
    <w:rsid w:val="79060D5B"/>
    <w:rsid w:val="79C028D6"/>
    <w:rsid w:val="7BFF125C"/>
    <w:rsid w:val="7C826819"/>
    <w:rsid w:val="7F4A6A57"/>
    <w:rsid w:val="7FBB4177"/>
    <w:rsid w:val="F87F1845"/>
    <w:rsid w:val="FF79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21103</Words>
  <Characters>21394</Characters>
  <Lines>0</Lines>
  <Paragraphs>0</Paragraphs>
  <TotalTime>4</TotalTime>
  <ScaleCrop>false</ScaleCrop>
  <LinksUpToDate>false</LinksUpToDate>
  <CharactersWithSpaces>22510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2020-07-08T15:05:00Z</dcterms:created>
  <dc:creator>超超</dc:creator>
  <cp:lastModifiedBy>user</cp:lastModifiedBy>
  <cp:lastPrinted>2023-05-11T00:23:00Z</cp:lastPrinted>
  <dcterms:modified xsi:type="dcterms:W3CDTF">2023-08-01T11:04:51Z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30A12ABEC74149FA98BFA4DEC9E08202_12</vt:lpwstr>
  </property>
</Properties>
</file>