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8441"/>
      <w:bookmarkStart w:id="1" w:name="_Toc15377193"/>
      <w:bookmarkStart w:id="2" w:name="_Toc15377425"/>
      <w:bookmarkStart w:id="3" w:name="_Toc15396475"/>
      <w:bookmarkStart w:id="4" w:name="_Toc15396597"/>
      <w:bookmarkStart w:id="5" w:name="_Toc15306267"/>
      <w:bookmarkStart w:id="71" w:name="_GoBack"/>
      <w:bookmarkEnd w:id="71"/>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ascii="方正小标宋简体" w:hAnsi="方正小标宋简体" w:eastAsia="方正小标宋简体" w:cs="方正小标宋简体"/>
          <w:sz w:val="72"/>
          <w:szCs w:val="72"/>
        </w:rPr>
        <w:t>2021</w:t>
      </w:r>
      <w:r>
        <w:rPr>
          <w:rFonts w:hint="eastAsia" w:ascii="方正小标宋简体" w:hAnsi="方正小标宋简体" w:eastAsia="方正小标宋简体" w:cs="方正小标宋简体"/>
          <w:sz w:val="72"/>
          <w:szCs w:val="72"/>
        </w:rPr>
        <w:t>年度</w:t>
      </w:r>
      <w:bookmarkEnd w:id="0"/>
      <w:bookmarkEnd w:id="1"/>
      <w:bookmarkEnd w:id="2"/>
      <w:bookmarkEnd w:id="3"/>
      <w:bookmarkEnd w:id="4"/>
      <w:bookmarkEnd w:id="5"/>
      <w:bookmarkStart w:id="6" w:name="_Toc15396598"/>
      <w:bookmarkStart w:id="7" w:name="_Toc15306268"/>
      <w:bookmarkStart w:id="8" w:name="_Toc15377426"/>
      <w:bookmarkStart w:id="9" w:name="_Toc15396476"/>
      <w:bookmarkStart w:id="10" w:name="_Toc15377194"/>
      <w:bookmarkStart w:id="11" w:name="_Toc15378442"/>
      <w:r>
        <w:rPr>
          <w:rFonts w:hint="eastAsia" w:ascii="方正小标宋简体" w:hAnsi="方正小标宋简体" w:eastAsia="方正小标宋简体" w:cs="方正小标宋简体"/>
          <w:sz w:val="72"/>
          <w:szCs w:val="72"/>
        </w:rPr>
        <w:t>广元市朝天区直属机关党建事务中心部门决算</w:t>
      </w:r>
      <w:bookmarkEnd w:id="6"/>
      <w:bookmarkEnd w:id="7"/>
      <w:bookmarkEnd w:id="8"/>
      <w:bookmarkEnd w:id="9"/>
      <w:bookmarkEnd w:id="10"/>
      <w:bookmarkEnd w:id="11"/>
    </w:p>
    <w:p>
      <w:pPr>
        <w:adjustRightInd w:val="0"/>
        <w:snapToGrid w:val="0"/>
        <w:spacing w:line="360" w:lineRule="auto"/>
        <w:outlineLvl w:val="0"/>
        <w:rPr>
          <w:rFonts w:ascii="方正小标宋简体" w:hAnsi="宋体" w:eastAsia="方正小标宋简体"/>
          <w:sz w:val="52"/>
          <w:szCs w:val="52"/>
        </w:rPr>
      </w:pP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sz w:val="28"/>
          <w:szCs w:val="28"/>
        </w:rPr>
      </w:pPr>
    </w:p>
    <w:p>
      <w:pPr>
        <w:pStyle w:val="10"/>
      </w:pPr>
      <w:r>
        <w:rPr>
          <w:rFonts w:hint="eastAsia"/>
        </w:rPr>
        <w:t>公开时间：</w:t>
      </w:r>
      <w:r>
        <w:t>2022</w:t>
      </w:r>
      <w:r>
        <w:rPr>
          <w:rFonts w:hint="eastAsia"/>
        </w:rPr>
        <w:t>年</w:t>
      </w:r>
      <w:r>
        <w:t xml:space="preserve"> </w:t>
      </w:r>
      <w:r>
        <w:rPr>
          <w:rFonts w:hint="eastAsia"/>
        </w:rPr>
        <w:t>9月28日</w:t>
      </w:r>
    </w:p>
    <w:p/>
    <w:p>
      <w:pPr>
        <w:pStyle w:val="10"/>
        <w:adjustRightInd w:val="0"/>
        <w:snapToGrid w:val="0"/>
        <w:spacing w:before="0" w:line="440" w:lineRule="exact"/>
        <w:jc w:val="left"/>
        <w:rPr>
          <w:sz w:val="24"/>
          <w:szCs w:val="24"/>
        </w:rPr>
      </w:pPr>
      <w:r>
        <w:rPr>
          <w:rFonts w:hint="eastAsia"/>
          <w:sz w:val="24"/>
        </w:rPr>
        <w:t>第一部分</w:t>
      </w:r>
      <w:r>
        <w:rPr>
          <w:sz w:val="24"/>
        </w:rPr>
        <w:t xml:space="preserve"> </w:t>
      </w:r>
      <w:r>
        <w:rPr>
          <w:rFonts w:hint="eastAsia"/>
          <w:sz w:val="24"/>
        </w:rPr>
        <w:t>部门概况</w:t>
      </w:r>
    </w:p>
    <w:p>
      <w:pPr>
        <w:pStyle w:val="12"/>
        <w:adjustRightInd w:val="0"/>
        <w:snapToGrid w:val="0"/>
        <w:spacing w:line="440" w:lineRule="exact"/>
        <w:jc w:val="left"/>
        <w:rPr>
          <w:rFonts w:ascii="仿宋" w:hAnsi="仿宋" w:eastAsia="仿宋"/>
          <w:sz w:val="24"/>
        </w:rPr>
      </w:pPr>
      <w:r>
        <w:rPr>
          <w:rFonts w:hint="eastAsia"/>
          <w:sz w:val="24"/>
        </w:rPr>
        <w:t>一、基本职能及主要工作</w:t>
      </w:r>
    </w:p>
    <w:p>
      <w:pPr>
        <w:pStyle w:val="12"/>
        <w:adjustRightInd w:val="0"/>
        <w:snapToGrid w:val="0"/>
        <w:spacing w:line="440" w:lineRule="exact"/>
        <w:jc w:val="left"/>
        <w:rPr>
          <w:rFonts w:ascii="仿宋" w:hAnsi="仿宋" w:eastAsia="仿宋"/>
          <w:sz w:val="24"/>
        </w:rPr>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w:t>
      </w:r>
      <w:r>
        <w:rPr>
          <w:sz w:val="24"/>
        </w:rPr>
        <w:t xml:space="preserve"> 2021</w:t>
      </w:r>
      <w:r>
        <w:rPr>
          <w:rFonts w:hint="eastAsia"/>
          <w:sz w:val="24"/>
        </w:rPr>
        <w:t>年度部门决算情况说明</w:t>
      </w:r>
    </w:p>
    <w:p>
      <w:pPr>
        <w:pStyle w:val="12"/>
        <w:adjustRightInd w:val="0"/>
        <w:snapToGrid w:val="0"/>
        <w:spacing w:line="440" w:lineRule="exact"/>
        <w:jc w:val="left"/>
        <w:rPr>
          <w:rFonts w:ascii="仿宋" w:hAnsi="仿宋" w:eastAsia="仿宋"/>
          <w:sz w:val="24"/>
        </w:rPr>
      </w:pPr>
      <w:r>
        <w:rPr>
          <w:rFonts w:hint="eastAsia"/>
          <w:sz w:val="24"/>
        </w:rPr>
        <w:t>一、收入支出决算总体情况说明</w:t>
      </w:r>
    </w:p>
    <w:p>
      <w:pPr>
        <w:pStyle w:val="12"/>
        <w:adjustRightInd w:val="0"/>
        <w:snapToGrid w:val="0"/>
        <w:spacing w:line="440" w:lineRule="exact"/>
        <w:jc w:val="left"/>
        <w:rPr>
          <w:rFonts w:ascii="仿宋" w:hAnsi="仿宋" w:eastAsia="仿宋"/>
          <w:sz w:val="24"/>
        </w:rPr>
      </w:pPr>
      <w:r>
        <w:rPr>
          <w:rFonts w:hint="eastAsia"/>
          <w:sz w:val="24"/>
        </w:rPr>
        <w:t>二、收入决算情况说明</w:t>
      </w:r>
    </w:p>
    <w:p>
      <w:pPr>
        <w:pStyle w:val="12"/>
        <w:adjustRightInd w:val="0"/>
        <w:snapToGrid w:val="0"/>
        <w:spacing w:line="440" w:lineRule="exact"/>
        <w:jc w:val="left"/>
        <w:rPr>
          <w:rFonts w:ascii="仿宋" w:hAnsi="仿宋" w:eastAsia="仿宋"/>
          <w:sz w:val="24"/>
        </w:rPr>
      </w:pPr>
      <w:r>
        <w:rPr>
          <w:rFonts w:hint="eastAsia"/>
          <w:sz w:val="24"/>
        </w:rPr>
        <w:t>三、支出决算情况说明</w:t>
      </w:r>
    </w:p>
    <w:p>
      <w:pPr>
        <w:pStyle w:val="12"/>
        <w:adjustRightInd w:val="0"/>
        <w:snapToGrid w:val="0"/>
        <w:spacing w:line="440" w:lineRule="exact"/>
        <w:jc w:val="left"/>
        <w:rPr>
          <w:rFonts w:ascii="仿宋" w:hAnsi="仿宋" w:eastAsia="仿宋"/>
          <w:sz w:val="24"/>
        </w:rPr>
      </w:pPr>
      <w:r>
        <w:rPr>
          <w:rFonts w:hint="eastAsia"/>
          <w:sz w:val="24"/>
        </w:rPr>
        <w:t>四、财政拨款收入支出决算总体情况说明</w:t>
      </w:r>
    </w:p>
    <w:p>
      <w:pPr>
        <w:pStyle w:val="12"/>
        <w:adjustRightInd w:val="0"/>
        <w:snapToGrid w:val="0"/>
        <w:spacing w:line="440" w:lineRule="exact"/>
        <w:jc w:val="left"/>
        <w:rPr>
          <w:rFonts w:ascii="仿宋" w:hAnsi="仿宋" w:eastAsia="仿宋"/>
          <w:sz w:val="24"/>
        </w:rPr>
      </w:pPr>
      <w:r>
        <w:rPr>
          <w:rFonts w:hint="eastAsia"/>
          <w:sz w:val="24"/>
        </w:rPr>
        <w:t>五、一般公共预算财政拨款支出决算情况说明</w:t>
      </w:r>
    </w:p>
    <w:p>
      <w:pPr>
        <w:pStyle w:val="12"/>
        <w:adjustRightInd w:val="0"/>
        <w:snapToGrid w:val="0"/>
        <w:spacing w:line="440" w:lineRule="exact"/>
        <w:jc w:val="left"/>
        <w:rPr>
          <w:rFonts w:ascii="仿宋" w:hAnsi="仿宋" w:eastAsia="仿宋"/>
          <w:sz w:val="24"/>
        </w:rPr>
      </w:pPr>
      <w:r>
        <w:rPr>
          <w:rFonts w:hint="eastAsia"/>
          <w:sz w:val="24"/>
        </w:rPr>
        <w:t>六、一般公共预算财政拨款基本支出决算情况说明</w:t>
      </w:r>
    </w:p>
    <w:p>
      <w:pPr>
        <w:pStyle w:val="12"/>
        <w:adjustRightInd w:val="0"/>
        <w:snapToGrid w:val="0"/>
        <w:spacing w:line="440" w:lineRule="exact"/>
        <w:jc w:val="left"/>
        <w:rPr>
          <w:rFonts w:ascii="仿宋" w:hAnsi="仿宋" w:eastAsia="仿宋"/>
          <w:sz w:val="24"/>
        </w:rPr>
      </w:pPr>
      <w:r>
        <w:rPr>
          <w:rFonts w:hint="eastAsia"/>
          <w:sz w:val="24"/>
        </w:rPr>
        <w:t>七、“三公”经费财政拨款支出决算情况说明</w:t>
      </w:r>
    </w:p>
    <w:p>
      <w:pPr>
        <w:pStyle w:val="12"/>
        <w:adjustRightInd w:val="0"/>
        <w:snapToGrid w:val="0"/>
        <w:spacing w:line="440" w:lineRule="exact"/>
        <w:jc w:val="left"/>
        <w:rPr>
          <w:rFonts w:ascii="仿宋" w:hAnsi="仿宋" w:eastAsia="仿宋"/>
          <w:sz w:val="24"/>
        </w:rPr>
      </w:pPr>
      <w:r>
        <w:rPr>
          <w:rFonts w:hint="eastAsia"/>
          <w:sz w:val="24"/>
        </w:rPr>
        <w:t>八、政府性基金预算支出决算情况说明</w:t>
      </w:r>
    </w:p>
    <w:p>
      <w:pPr>
        <w:pStyle w:val="12"/>
        <w:adjustRightInd w:val="0"/>
        <w:snapToGrid w:val="0"/>
        <w:spacing w:line="440" w:lineRule="exact"/>
        <w:ind w:leftChars="0"/>
        <w:jc w:val="left"/>
        <w:rPr>
          <w:rFonts w:ascii="宋体" w:cs="宋体"/>
          <w:sz w:val="24"/>
        </w:rPr>
      </w:pPr>
      <w:r>
        <w:rPr>
          <w:rFonts w:hint="eastAsia" w:ascii="宋体" w:hAnsi="宋体" w:cs="宋体"/>
          <w:sz w:val="24"/>
        </w:rPr>
        <w:t>九、国有资本经营预算支出决算情况说明</w:t>
      </w:r>
    </w:p>
    <w:p>
      <w:pPr>
        <w:adjustRightInd w:val="0"/>
        <w:snapToGrid w:val="0"/>
        <w:spacing w:line="440" w:lineRule="exact"/>
        <w:ind w:firstLine="420" w:firstLineChars="175"/>
        <w:jc w:val="left"/>
        <w:rPr>
          <w:rFonts w:ascii="宋体" w:cs="宋体"/>
          <w:sz w:val="24"/>
        </w:rPr>
      </w:pPr>
      <w:r>
        <w:rPr>
          <w:rStyle w:val="17"/>
          <w:rFonts w:hint="eastAsia" w:ascii="宋体" w:hAnsi="宋体" w:cs="宋体"/>
          <w:color w:val="auto"/>
          <w:sz w:val="24"/>
          <w:u w:val="none"/>
        </w:rPr>
        <w:t>十、</w:t>
      </w:r>
      <w:r>
        <w:rPr>
          <w:rFonts w:hint="eastAsia" w:ascii="宋体" w:hAnsi="宋体" w:cs="宋体"/>
          <w:sz w:val="24"/>
        </w:rPr>
        <w:t>其他重要事项的情况说明</w:t>
      </w:r>
      <w:r>
        <w:rPr>
          <w:rFonts w:ascii="宋体" w:cs="宋体"/>
          <w:sz w:val="24"/>
        </w:rPr>
        <w:tab/>
      </w:r>
    </w:p>
    <w:p>
      <w:pPr>
        <w:pStyle w:val="10"/>
        <w:adjustRightInd w:val="0"/>
        <w:snapToGrid w:val="0"/>
        <w:spacing w:before="0" w:line="440" w:lineRule="exact"/>
        <w:jc w:val="left"/>
        <w:rPr>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sz w:val="24"/>
          <w:szCs w:val="24"/>
        </w:rPr>
      </w:pPr>
      <w:r>
        <w:rPr>
          <w:rFonts w:hint="eastAsia"/>
          <w:sz w:val="24"/>
        </w:rPr>
        <w:t>第四部分</w:t>
      </w:r>
      <w:r>
        <w:rPr>
          <w:sz w:val="24"/>
        </w:rPr>
        <w:t xml:space="preserve"> </w:t>
      </w:r>
      <w:r>
        <w:rPr>
          <w:rFonts w:hint="eastAsia"/>
          <w:sz w:val="24"/>
        </w:rPr>
        <w:t>附件</w:t>
      </w:r>
    </w:p>
    <w:p>
      <w:pPr>
        <w:pStyle w:val="10"/>
        <w:adjustRightInd w:val="0"/>
        <w:snapToGrid w:val="0"/>
        <w:spacing w:before="0" w:line="440" w:lineRule="exact"/>
        <w:jc w:val="left"/>
        <w:rPr>
          <w:sz w:val="24"/>
          <w:szCs w:val="24"/>
        </w:rPr>
      </w:pPr>
      <w:r>
        <w:rPr>
          <w:rFonts w:hint="eastAsia"/>
          <w:sz w:val="24"/>
        </w:rPr>
        <w:t>第五部分</w:t>
      </w:r>
      <w:r>
        <w:rPr>
          <w:sz w:val="24"/>
        </w:rPr>
        <w:t xml:space="preserve"> </w:t>
      </w:r>
      <w:r>
        <w:rPr>
          <w:rFonts w:hint="eastAsia"/>
          <w:sz w:val="24"/>
        </w:rPr>
        <w:t>附表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一、</w:t>
      </w:r>
      <w:r>
        <w:rPr>
          <w:rFonts w:hint="eastAsia"/>
          <w:sz w:val="24"/>
        </w:rPr>
        <w:t>收入支出决算总表</w:t>
      </w:r>
    </w:p>
    <w:p>
      <w:pPr>
        <w:pStyle w:val="12"/>
        <w:adjustRightInd w:val="0"/>
        <w:snapToGrid w:val="0"/>
        <w:spacing w:line="440" w:lineRule="exact"/>
        <w:jc w:val="left"/>
        <w:rPr>
          <w:rFonts w:ascii="宋体" w:cs="宋体"/>
          <w:sz w:val="24"/>
        </w:rPr>
      </w:pPr>
      <w:r>
        <w:rPr>
          <w:rFonts w:hint="eastAsia" w:ascii="宋体" w:hAnsi="宋体" w:cs="宋体"/>
          <w:sz w:val="24"/>
        </w:rPr>
        <w:t>二、收入决算表</w:t>
      </w:r>
    </w:p>
    <w:p>
      <w:pPr>
        <w:pStyle w:val="12"/>
        <w:adjustRightInd w:val="0"/>
        <w:snapToGrid w:val="0"/>
        <w:spacing w:line="440" w:lineRule="exact"/>
        <w:jc w:val="left"/>
        <w:rPr>
          <w:rFonts w:ascii="宋体" w:cs="宋体"/>
          <w:sz w:val="24"/>
        </w:rPr>
      </w:pPr>
      <w:r>
        <w:rPr>
          <w:rFonts w:hint="eastAsia" w:ascii="宋体" w:hAnsi="宋体" w:cs="宋体"/>
          <w:sz w:val="24"/>
        </w:rPr>
        <w:t>三、支出决算表</w:t>
      </w:r>
    </w:p>
    <w:p>
      <w:pPr>
        <w:pStyle w:val="12"/>
        <w:adjustRightInd w:val="0"/>
        <w:snapToGrid w:val="0"/>
        <w:spacing w:line="440" w:lineRule="exact"/>
        <w:jc w:val="left"/>
        <w:rPr>
          <w:rFonts w:ascii="宋体" w:cs="宋体"/>
          <w:sz w:val="24"/>
        </w:rPr>
      </w:pPr>
      <w:r>
        <w:rPr>
          <w:rFonts w:hint="eastAsia" w:ascii="宋体" w:hAnsi="宋体" w:cs="宋体"/>
          <w:sz w:val="24"/>
        </w:rPr>
        <w:t>四、财政拨款收入支出决算总表</w:t>
      </w:r>
    </w:p>
    <w:p>
      <w:pPr>
        <w:pStyle w:val="12"/>
        <w:adjustRightInd w:val="0"/>
        <w:snapToGrid w:val="0"/>
        <w:spacing w:line="440" w:lineRule="exact"/>
        <w:jc w:val="left"/>
        <w:rPr>
          <w:rFonts w:ascii="宋体" w:cs="宋体"/>
          <w:sz w:val="24"/>
        </w:rPr>
      </w:pPr>
      <w:r>
        <w:rPr>
          <w:rFonts w:hint="eastAsia" w:ascii="宋体" w:hAnsi="宋体" w:cs="宋体"/>
          <w:sz w:val="24"/>
        </w:rPr>
        <w:t>五、财政拨款支出决算明细表</w:t>
      </w:r>
    </w:p>
    <w:p>
      <w:pPr>
        <w:pStyle w:val="12"/>
        <w:adjustRightInd w:val="0"/>
        <w:snapToGrid w:val="0"/>
        <w:spacing w:line="440" w:lineRule="exact"/>
        <w:jc w:val="left"/>
        <w:rPr>
          <w:rFonts w:ascii="宋体" w:cs="宋体"/>
          <w:sz w:val="24"/>
        </w:rPr>
      </w:pPr>
      <w:r>
        <w:rPr>
          <w:rFonts w:hint="eastAsia" w:ascii="宋体" w:hAnsi="宋体" w:cs="宋体"/>
          <w:sz w:val="24"/>
        </w:rPr>
        <w:t>六、一般公共预算财政拨款支出决算表</w:t>
      </w:r>
    </w:p>
    <w:p>
      <w:pPr>
        <w:pStyle w:val="12"/>
        <w:adjustRightInd w:val="0"/>
        <w:snapToGrid w:val="0"/>
        <w:spacing w:line="440" w:lineRule="exact"/>
        <w:jc w:val="left"/>
        <w:rPr>
          <w:rFonts w:ascii="宋体" w:cs="宋体"/>
          <w:sz w:val="24"/>
        </w:rPr>
      </w:pPr>
      <w:r>
        <w:rPr>
          <w:rFonts w:hint="eastAsia" w:ascii="宋体" w:hAnsi="宋体" w:cs="宋体"/>
          <w:sz w:val="24"/>
        </w:rPr>
        <w:t>七、一般公共预算财政拨款支出决算明细表</w:t>
      </w:r>
    </w:p>
    <w:p>
      <w:pPr>
        <w:pStyle w:val="12"/>
        <w:adjustRightInd w:val="0"/>
        <w:snapToGrid w:val="0"/>
        <w:spacing w:line="440" w:lineRule="exact"/>
        <w:jc w:val="left"/>
        <w:rPr>
          <w:rFonts w:ascii="宋体" w:cs="宋体"/>
          <w:sz w:val="24"/>
        </w:rPr>
      </w:pPr>
      <w:r>
        <w:rPr>
          <w:rFonts w:hint="eastAsia" w:ascii="宋体" w:hAnsi="宋体" w:cs="宋体"/>
          <w:sz w:val="24"/>
        </w:rPr>
        <w:t>八、一般公共预算财政拨款基本支出决算表</w:t>
      </w:r>
    </w:p>
    <w:p>
      <w:pPr>
        <w:pStyle w:val="12"/>
        <w:adjustRightInd w:val="0"/>
        <w:snapToGrid w:val="0"/>
        <w:spacing w:line="440" w:lineRule="exact"/>
        <w:jc w:val="left"/>
        <w:rPr>
          <w:rFonts w:ascii="宋体" w:cs="宋体"/>
          <w:sz w:val="24"/>
        </w:rPr>
      </w:pPr>
      <w:r>
        <w:rPr>
          <w:rFonts w:hint="eastAsia" w:ascii="宋体" w:hAnsi="宋体" w:cs="宋体"/>
          <w:sz w:val="24"/>
        </w:rPr>
        <w:t>九、一般公共预算财政拨款项目支出决算表</w:t>
      </w:r>
    </w:p>
    <w:p>
      <w:pPr>
        <w:pStyle w:val="12"/>
        <w:adjustRightInd w:val="0"/>
        <w:snapToGrid w:val="0"/>
        <w:spacing w:line="440" w:lineRule="exact"/>
        <w:jc w:val="left"/>
        <w:rPr>
          <w:rFonts w:ascii="宋体" w:cs="宋体"/>
          <w:sz w:val="24"/>
        </w:rPr>
      </w:pPr>
      <w:r>
        <w:rPr>
          <w:rFonts w:hint="eastAsia" w:ascii="宋体" w:hAnsi="宋体" w:cs="宋体"/>
          <w:sz w:val="24"/>
        </w:rPr>
        <w:t>十、一般公共预算财政拨款“三公”经费支出决算表</w:t>
      </w:r>
    </w:p>
    <w:p>
      <w:pPr>
        <w:pStyle w:val="12"/>
        <w:adjustRightInd w:val="0"/>
        <w:snapToGrid w:val="0"/>
        <w:spacing w:line="440" w:lineRule="exact"/>
        <w:jc w:val="left"/>
        <w:rPr>
          <w:rFonts w:ascii="宋体" w:cs="宋体"/>
          <w:sz w:val="24"/>
        </w:rPr>
      </w:pPr>
      <w:r>
        <w:rPr>
          <w:rFonts w:hint="eastAsia" w:ascii="宋体" w:hAnsi="宋体" w:cs="宋体"/>
          <w:sz w:val="24"/>
        </w:rPr>
        <w:t>十一、政府性基金预算财政拨款收入支出决算表</w:t>
      </w:r>
    </w:p>
    <w:p>
      <w:pPr>
        <w:pStyle w:val="12"/>
        <w:adjustRightInd w:val="0"/>
        <w:snapToGrid w:val="0"/>
        <w:spacing w:line="440" w:lineRule="exact"/>
        <w:jc w:val="left"/>
        <w:rPr>
          <w:rFonts w:ascii="宋体" w:cs="宋体"/>
          <w:sz w:val="24"/>
        </w:rPr>
      </w:pPr>
      <w:r>
        <w:rPr>
          <w:rFonts w:hint="eastAsia" w:ascii="宋体" w:hAnsi="宋体" w:cs="宋体"/>
          <w:sz w:val="24"/>
        </w:rPr>
        <w:t>十二、政府性基金预算财政拨款“三公”经费支出决算表</w:t>
      </w:r>
    </w:p>
    <w:p>
      <w:pPr>
        <w:pStyle w:val="12"/>
        <w:adjustRightInd w:val="0"/>
        <w:snapToGrid w:val="0"/>
        <w:spacing w:line="440" w:lineRule="exact"/>
        <w:jc w:val="left"/>
        <w:rPr>
          <w:rFonts w:ascii="宋体" w:cs="宋体"/>
          <w:sz w:val="24"/>
        </w:rPr>
      </w:pPr>
      <w:r>
        <w:rPr>
          <w:rFonts w:hint="eastAsia" w:ascii="宋体" w:hAnsi="宋体" w:cs="宋体"/>
          <w:sz w:val="24"/>
        </w:rPr>
        <w:t>十三、国有资本经营预算财政拨款收入支出决算表</w:t>
      </w:r>
    </w:p>
    <w:p>
      <w:pPr>
        <w:pStyle w:val="12"/>
        <w:adjustRightInd w:val="0"/>
        <w:snapToGrid w:val="0"/>
        <w:spacing w:line="440" w:lineRule="exact"/>
        <w:jc w:val="left"/>
        <w:rPr>
          <w:rFonts w:ascii="宋体" w:cs="宋体"/>
          <w:sz w:val="24"/>
        </w:rPr>
      </w:pPr>
      <w:r>
        <w:rPr>
          <w:rFonts w:hint="eastAsia" w:ascii="宋体" w:hAnsi="宋体" w:cs="宋体"/>
          <w:sz w:val="24"/>
        </w:rPr>
        <w:t>十四、国有资本经营预算财政拨款支出决算表</w:t>
      </w:r>
    </w:p>
    <w:p>
      <w:pPr>
        <w:widowControl/>
        <w:adjustRightInd w:val="0"/>
        <w:snapToGrid w:val="0"/>
        <w:spacing w:line="440" w:lineRule="exact"/>
        <w:ind w:firstLine="1650" w:firstLineChars="550"/>
        <w:jc w:val="left"/>
        <w:rPr>
          <w:rFonts w:ascii="仿宋" w:hAnsi="仿宋" w:eastAsia="仿宋"/>
          <w:sz w:val="30"/>
          <w:szCs w:val="30"/>
        </w:rPr>
      </w:pPr>
      <w:r>
        <w:rPr>
          <w:rFonts w:ascii="仿宋" w:hAnsi="仿宋" w:eastAsia="仿宋"/>
          <w:sz w:val="30"/>
          <w:szCs w:val="30"/>
        </w:rPr>
        <w:t>(</w:t>
      </w:r>
      <w:r>
        <w:rPr>
          <w:rFonts w:hint="eastAsia" w:ascii="仿宋" w:hAnsi="仿宋" w:eastAsia="仿宋"/>
          <w:color w:val="FF0000"/>
          <w:sz w:val="30"/>
          <w:szCs w:val="30"/>
        </w:rPr>
        <w:t>注：请部门根据实际注明页码</w:t>
      </w:r>
      <w:r>
        <w:rPr>
          <w:rFonts w:ascii="仿宋" w:hAnsi="仿宋" w:eastAsia="仿宋"/>
          <w:sz w:val="30"/>
          <w:szCs w:val="30"/>
        </w:rPr>
        <w:t>)</w:t>
      </w:r>
    </w:p>
    <w:p>
      <w:pPr>
        <w:widowControl/>
        <w:spacing w:line="440" w:lineRule="exact"/>
        <w:jc w:val="center"/>
        <w:rPr>
          <w:rStyle w:val="18"/>
          <w:rFonts w:ascii="黑体" w:hAnsi="黑体" w:eastAsia="黑体"/>
          <w:bCs w:val="0"/>
        </w:rPr>
      </w:pPr>
      <w:bookmarkStart w:id="12" w:name="_Toc15377196"/>
      <w:bookmarkStart w:id="13" w:name="_Toc15396599"/>
      <w:r>
        <w:rPr>
          <w:rFonts w:ascii="仿宋" w:hAnsi="仿宋" w:eastAsia="仿宋"/>
          <w:b/>
          <w:sz w:val="24"/>
        </w:rPr>
        <w:br w:type="page"/>
      </w:r>
      <w:r>
        <w:rPr>
          <w:rFonts w:hint="eastAsia" w:ascii="黑体" w:hAnsi="黑体" w:eastAsia="黑体"/>
          <w:sz w:val="44"/>
          <w:szCs w:val="44"/>
        </w:rPr>
        <w:t>第一部分</w:t>
      </w:r>
      <w:r>
        <w:rPr>
          <w:rFonts w:ascii="黑体" w:hAnsi="黑体" w:eastAsia="黑体"/>
        </w:rPr>
        <w:t xml:space="preserve"> </w:t>
      </w:r>
      <w:r>
        <w:rPr>
          <w:rStyle w:val="18"/>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4"/>
        <w:rPr>
          <w:rFonts w:ascii="仿宋" w:hAnsi="仿宋" w:eastAsia="仿宋"/>
        </w:rPr>
      </w:pPr>
      <w:bookmarkStart w:id="14" w:name="_Toc15396600"/>
      <w:bookmarkStart w:id="15" w:name="_Toc15377197"/>
      <w:r>
        <w:rPr>
          <w:rFonts w:hint="eastAsia" w:ascii="黑体" w:hAnsi="黑体" w:eastAsia="黑体"/>
          <w:b w:val="0"/>
        </w:rPr>
        <w:t>一、基</w:t>
      </w:r>
      <w:r>
        <w:rPr>
          <w:rStyle w:val="19"/>
          <w:rFonts w:hint="eastAsia" w:ascii="黑体" w:hAnsi="黑体" w:eastAsia="黑体"/>
          <w:b w:val="0"/>
          <w:bCs w:val="0"/>
        </w:rPr>
        <w:t>本职能及主要工作</w:t>
      </w:r>
      <w:bookmarkEnd w:id="14"/>
      <w:bookmarkEnd w:id="15"/>
    </w:p>
    <w:p>
      <w:pPr>
        <w:spacing w:line="540" w:lineRule="exact"/>
        <w:ind w:firstLine="642" w:firstLineChars="200"/>
        <w:rPr>
          <w:rFonts w:ascii="仿宋_GB2312" w:eastAsia="仿宋_GB2312"/>
          <w:sz w:val="32"/>
          <w:szCs w:val="32"/>
        </w:rPr>
      </w:pPr>
      <w:r>
        <w:rPr>
          <w:rFonts w:hint="eastAsia" w:ascii="楷体_GB2312" w:hAnsi="楷体_GB2312" w:eastAsia="楷体_GB2312" w:cs="楷体_GB2312"/>
          <w:b/>
          <w:bCs/>
          <w:sz w:val="32"/>
          <w:szCs w:val="32"/>
        </w:rPr>
        <w:t>(一)主要职能：</w:t>
      </w:r>
      <w:r>
        <w:rPr>
          <w:rFonts w:hint="eastAsia" w:ascii="楷体_GB2312" w:hAnsi="楷体_GB2312" w:eastAsia="楷体_GB2312" w:cs="楷体_GB2312"/>
          <w:bCs/>
          <w:sz w:val="32"/>
          <w:szCs w:val="32"/>
        </w:rPr>
        <w:t>朝天</w:t>
      </w:r>
      <w:r>
        <w:rPr>
          <w:rFonts w:hint="eastAsia" w:ascii="仿宋_GB2312" w:hAnsi="楷体_GB2312" w:eastAsia="仿宋_GB2312" w:cs="楷体_GB2312"/>
          <w:bCs/>
          <w:sz w:val="32"/>
          <w:szCs w:val="32"/>
        </w:rPr>
        <w:t>区直属机关党建事务中心是区委直属的正科级参公事业单位，</w:t>
      </w:r>
      <w:r>
        <w:rPr>
          <w:rFonts w:hint="eastAsia" w:ascii="仿宋_GB2312" w:eastAsia="仿宋_GB2312"/>
          <w:sz w:val="32"/>
          <w:szCs w:val="32"/>
        </w:rPr>
        <w:t>共有编制数7个（主任1名、副主任2名、参公编制2名、事业编制2名），内设办公室、党建指导督查股和干部驻村协调办公室，主要工作职能是督促指导区级部门单位机关党建、统筹干部驻村帮扶和完成区委交办的其他工作事项。</w:t>
      </w:r>
    </w:p>
    <w:p>
      <w:pPr>
        <w:spacing w:line="540" w:lineRule="exact"/>
        <w:ind w:firstLine="642" w:firstLineChars="200"/>
        <w:rPr>
          <w:rFonts w:ascii="楷体_GB2312" w:hAnsi="楷体_GB2312" w:eastAsia="楷体_GB2312" w:cs="楷体_GB2312"/>
          <w:bCs/>
          <w:sz w:val="32"/>
          <w:szCs w:val="32"/>
        </w:rPr>
      </w:pPr>
      <w:r>
        <w:rPr>
          <w:rFonts w:hint="eastAsia" w:ascii="楷体_GB2312" w:hAnsi="楷体_GB2312" w:eastAsia="楷体_GB2312" w:cs="楷体_GB2312"/>
          <w:b/>
          <w:bCs/>
          <w:sz w:val="32"/>
          <w:szCs w:val="32"/>
        </w:rPr>
        <w:t>主要工作：</w:t>
      </w:r>
      <w:r>
        <w:rPr>
          <w:rFonts w:hint="eastAsia" w:ascii="仿宋_GB2312" w:hAnsi="仿宋" w:eastAsia="仿宋_GB2312"/>
          <w:sz w:val="32"/>
          <w:szCs w:val="32"/>
        </w:rPr>
        <w:t>机关党的建设、干部驻村帮扶、党政机关企事业单位和公职人员疫情防控等工作。</w:t>
      </w:r>
    </w:p>
    <w:p>
      <w:pPr>
        <w:pStyle w:val="2"/>
        <w:adjustRightInd w:val="0"/>
        <w:snapToGrid w:val="0"/>
        <w:spacing w:before="93" w:line="600" w:lineRule="exact"/>
        <w:ind w:firstLine="642" w:firstLineChars="200"/>
        <w:outlineLvl w:val="2"/>
        <w:rPr>
          <w:rFonts w:ascii="楷体_GB2312" w:hAnsi="楷体_GB2312" w:eastAsia="楷体_GB2312" w:cs="楷体_GB2312"/>
          <w:b/>
          <w:sz w:val="32"/>
          <w:szCs w:val="32"/>
        </w:rPr>
      </w:pPr>
      <w:bookmarkStart w:id="16" w:name="_Toc15377199"/>
      <w:bookmarkStart w:id="17" w:name="_Toc15378446"/>
      <w:r>
        <w:rPr>
          <w:rFonts w:hint="eastAsia" w:ascii="楷体_GB2312" w:hAnsi="楷体_GB2312" w:eastAsia="楷体_GB2312" w:cs="楷体_GB2312"/>
          <w:b/>
          <w:sz w:val="32"/>
          <w:szCs w:val="32"/>
        </w:rPr>
        <w:t>（二）2021年重点工作完成情况。</w:t>
      </w:r>
      <w:bookmarkEnd w:id="16"/>
      <w:bookmarkEnd w:id="17"/>
    </w:p>
    <w:p>
      <w:pPr>
        <w:spacing w:line="576" w:lineRule="exact"/>
        <w:ind w:firstLine="640" w:firstLineChars="200"/>
        <w:rPr>
          <w:rFonts w:ascii="楷体_GB2312" w:eastAsia="楷体_GB2312"/>
          <w:bCs/>
          <w:sz w:val="32"/>
          <w:szCs w:val="32"/>
        </w:rPr>
      </w:pPr>
      <w:r>
        <w:rPr>
          <w:rFonts w:hint="eastAsia" w:ascii="楷体_GB2312" w:eastAsia="楷体_GB2312"/>
          <w:bCs/>
          <w:sz w:val="32"/>
          <w:szCs w:val="32"/>
        </w:rPr>
        <w:t>1.机关党建工作</w:t>
      </w:r>
    </w:p>
    <w:p>
      <w:pPr>
        <w:spacing w:line="576" w:lineRule="exact"/>
        <w:ind w:firstLine="640"/>
        <w:rPr>
          <w:rFonts w:ascii="仿宋_GB2312" w:eastAsia="仿宋_GB2312"/>
          <w:sz w:val="32"/>
          <w:szCs w:val="32"/>
        </w:rPr>
      </w:pPr>
      <w:r>
        <w:rPr>
          <w:rFonts w:hint="eastAsia" w:ascii="楷体_GB2312" w:eastAsia="楷体_GB2312"/>
          <w:bCs/>
          <w:sz w:val="32"/>
          <w:szCs w:val="32"/>
        </w:rPr>
        <w:t>①.聚焦“三大体系”，全面提高机关党建质量和水平</w:t>
      </w:r>
      <w:r>
        <w:rPr>
          <w:rFonts w:hint="eastAsia" w:ascii="仿宋_GB2312" w:eastAsia="仿宋_GB2312"/>
          <w:sz w:val="32"/>
          <w:szCs w:val="32"/>
        </w:rPr>
        <w:t>。以</w:t>
      </w:r>
      <w:r>
        <w:rPr>
          <w:rFonts w:hint="eastAsia" w:ascii="仿宋_GB2312" w:eastAsia="仿宋_GB2312"/>
          <w:sz w:val="32"/>
          <w:szCs w:val="32"/>
          <w:lang w:eastAsia="zh-CN"/>
        </w:rPr>
        <w:t>《中国共产党章程》</w:t>
      </w:r>
      <w:r>
        <w:rPr>
          <w:rFonts w:hint="eastAsia" w:ascii="仿宋_GB2312" w:eastAsia="仿宋_GB2312"/>
          <w:sz w:val="32"/>
          <w:szCs w:val="32"/>
        </w:rPr>
        <w:t>及党内法规条例为遵循，认真贯彻落实习近平总书记有关机关党建工作的重要讲话精神和省委、市委、区委机关党的建设工作会议要求，持续完善和坚持运行抓机关党建“三大体系”，有效提升机关党建质量水平。</w:t>
      </w:r>
      <w:r>
        <w:rPr>
          <w:rFonts w:hint="eastAsia" w:ascii="仿宋_GB2312" w:eastAsia="仿宋_GB2312"/>
          <w:b/>
          <w:sz w:val="32"/>
          <w:szCs w:val="32"/>
        </w:rPr>
        <w:t>一是以执行“三张清单”为抓手</w:t>
      </w:r>
      <w:r>
        <w:rPr>
          <w:rFonts w:hint="eastAsia" w:ascii="仿宋_GB2312" w:eastAsia="仿宋_GB2312"/>
          <w:sz w:val="32"/>
          <w:szCs w:val="32"/>
        </w:rPr>
        <w:t>，通过制定党组（党委）及书记、机关党委及书记、机关基层党支部及书记抓建责任清单、任务清单、问题清单，推动形成区直机关工委统一领导、单位党组（党委）直接抓建、基层党组织具体抓落实的工作格局，建立健全了抓机关党建责任体系。</w:t>
      </w:r>
      <w:r>
        <w:rPr>
          <w:rFonts w:hint="eastAsia" w:ascii="仿宋_GB2312" w:eastAsia="仿宋_GB2312"/>
          <w:b/>
          <w:sz w:val="32"/>
          <w:szCs w:val="32"/>
        </w:rPr>
        <w:t>二是以推进标准化规范化建设为抓手</w:t>
      </w:r>
      <w:r>
        <w:rPr>
          <w:rFonts w:hint="eastAsia" w:ascii="仿宋_GB2312" w:eastAsia="仿宋_GB2312"/>
          <w:sz w:val="32"/>
          <w:szCs w:val="32"/>
        </w:rPr>
        <w:t>，在“</w:t>
      </w:r>
      <w:r>
        <w:rPr>
          <w:rFonts w:ascii="仿宋_GB2312" w:eastAsia="仿宋_GB2312"/>
          <w:sz w:val="32"/>
          <w:szCs w:val="32"/>
        </w:rPr>
        <w:t>组织健全、活动经常、队伍过硬、保障到位、作用突出</w:t>
      </w:r>
      <w:r>
        <w:rPr>
          <w:rFonts w:hint="eastAsia" w:ascii="仿宋_GB2312" w:eastAsia="仿宋_GB2312"/>
          <w:sz w:val="32"/>
          <w:szCs w:val="32"/>
        </w:rPr>
        <w:t>”5个方面明要求、定标准、抓规范，建成</w:t>
      </w:r>
      <w:r>
        <w:rPr>
          <w:rFonts w:ascii="仿宋_GB2312" w:eastAsia="仿宋_GB2312"/>
          <w:sz w:val="32"/>
          <w:szCs w:val="32"/>
        </w:rPr>
        <w:t>机关党建示范单位15个，标准化规范化先进基层党组织37个，</w:t>
      </w:r>
      <w:r>
        <w:rPr>
          <w:rFonts w:hint="eastAsia" w:ascii="仿宋_GB2312" w:eastAsia="仿宋_GB2312"/>
          <w:sz w:val="32"/>
          <w:szCs w:val="32"/>
        </w:rPr>
        <w:t>正在推进建设20个，深化巩固了抓机关党建工作体系。</w:t>
      </w:r>
      <w:r>
        <w:rPr>
          <w:rFonts w:hint="eastAsia" w:ascii="仿宋_GB2312" w:eastAsia="仿宋_GB2312"/>
          <w:b/>
          <w:sz w:val="32"/>
          <w:szCs w:val="32"/>
        </w:rPr>
        <w:t>三是以严实“红色星期五”主题党日活动为抓手</w:t>
      </w:r>
      <w:r>
        <w:rPr>
          <w:rFonts w:hint="eastAsia" w:ascii="仿宋_GB2312" w:eastAsia="仿宋_GB2312"/>
          <w:sz w:val="32"/>
          <w:szCs w:val="32"/>
        </w:rPr>
        <w:t>，推动“三会一课”、党员领导干部参加双重组织生活、党员教育管理等基本制度落地落实，培育树牢了抓机关党建任务体系。工作相关信息在四川机关党建网刊发10余篇，形成的《朝天区聚焦责任落实全力推进区直机关基层党组织标准化规范化建设》工作经验受到时任市委常委、市委组织部部长许国斌好评和签批推广。</w:t>
      </w:r>
    </w:p>
    <w:p>
      <w:pPr>
        <w:spacing w:line="480" w:lineRule="auto"/>
        <w:ind w:firstLine="640"/>
        <w:rPr>
          <w:rFonts w:ascii="仿宋_GB2312" w:eastAsia="仿宋_GB2312"/>
          <w:sz w:val="32"/>
          <w:szCs w:val="32"/>
        </w:rPr>
      </w:pPr>
      <w:r>
        <w:rPr>
          <w:rFonts w:hint="eastAsia" w:ascii="楷体_GB2312" w:eastAsia="楷体_GB2312"/>
          <w:bCs/>
          <w:sz w:val="32"/>
          <w:szCs w:val="32"/>
        </w:rPr>
        <w:t>②.坚持“四个突出”，全力加强基层党组织建设。</w:t>
      </w:r>
      <w:r>
        <w:rPr>
          <w:rFonts w:hint="eastAsia" w:ascii="仿宋_GB2312" w:eastAsia="仿宋_GB2312"/>
          <w:b/>
          <w:sz w:val="32"/>
          <w:szCs w:val="32"/>
        </w:rPr>
        <w:t>一是突出政治引领，</w:t>
      </w:r>
      <w:r>
        <w:rPr>
          <w:rFonts w:hint="eastAsia" w:ascii="仿宋_GB2312" w:eastAsia="仿宋_GB2312"/>
          <w:sz w:val="32"/>
          <w:szCs w:val="32"/>
        </w:rPr>
        <w:t>把习近平新时代中国特色社会主义思想的学习贯彻贯穿全年工作始终，以日常提示、专题提示等方式督促指导区直机关基层党组织深入学习习近平新时代中国特色社会主义思想、习近平总书记重要讲话精神和指示批示精神等，引导机关党员干部树牢“四个意识”坚定“四个自信”做到“两个维护”。</w:t>
      </w:r>
      <w:r>
        <w:rPr>
          <w:rFonts w:hint="eastAsia" w:ascii="仿宋_GB2312" w:eastAsia="仿宋_GB2312"/>
          <w:b/>
          <w:sz w:val="32"/>
          <w:szCs w:val="32"/>
        </w:rPr>
        <w:t>二是突出组织领导</w:t>
      </w:r>
      <w:r>
        <w:rPr>
          <w:rFonts w:hint="eastAsia" w:ascii="仿宋_GB2312" w:eastAsia="仿宋_GB2312"/>
          <w:sz w:val="32"/>
          <w:szCs w:val="32"/>
        </w:rPr>
        <w:t>，印发《2021年度朝天区直机关机关党建工作要点》《关于加强朝天区直机关部门机关党委自身建设的意见》《关于做好2021年指导发展党员工作的通知》等文件，开展区直机关基层党组织书记抓党建述职及“一述三评”等工作，结合日常工作指导、现场督查等加强对区直机关基层党组织建设的工作领导。</w:t>
      </w:r>
      <w:r>
        <w:rPr>
          <w:rFonts w:hint="eastAsia" w:ascii="仿宋_GB2312" w:eastAsia="仿宋_GB2312"/>
          <w:b/>
          <w:sz w:val="32"/>
          <w:szCs w:val="32"/>
        </w:rPr>
        <w:t>三是突出组织建设，</w:t>
      </w:r>
      <w:r>
        <w:rPr>
          <w:rFonts w:hint="eastAsia" w:ascii="仿宋_GB2312" w:eastAsia="仿宋_GB2312"/>
          <w:sz w:val="32"/>
          <w:szCs w:val="32"/>
        </w:rPr>
        <w:t>指导区税务局机关党委等4个机关党委新调整设置所属党支部，审批新成立区人防办党支部等3个党组织，指导区林业局党支部等20余个党组织进行改选，对区直机关66个一级党组织换届情况进行摸底，提示提醒乡村振兴局党支部等按期换届，加强了组织体系建设。</w:t>
      </w:r>
      <w:r>
        <w:rPr>
          <w:rFonts w:hint="eastAsia" w:ascii="仿宋_GB2312" w:eastAsia="仿宋_GB2312"/>
          <w:b/>
          <w:sz w:val="32"/>
          <w:szCs w:val="32"/>
        </w:rPr>
        <w:t>四是突出示范引领，</w:t>
      </w:r>
      <w:r>
        <w:rPr>
          <w:rFonts w:hint="eastAsia" w:ascii="仿宋_GB2312" w:eastAsia="仿宋_GB2312"/>
          <w:sz w:val="32"/>
          <w:szCs w:val="32"/>
        </w:rPr>
        <w:t>召开朝天区直机关党的建设工作会议暨标准化规范化建设总结大会、区直机关基层党组织标准化规范化建设工作推进会，通过对先进授牌表扬、对后进下任务、组织区级部门单位党组（党委）书记和党组织书记现场观摩学习等，激励区直机关基层党组织奋勇争先，推动基层党组织全面进步、全面过硬。</w:t>
      </w:r>
    </w:p>
    <w:p>
      <w:pPr>
        <w:spacing w:line="576" w:lineRule="exact"/>
        <w:ind w:firstLine="640" w:firstLineChars="200"/>
      </w:pPr>
      <w:r>
        <w:rPr>
          <w:rFonts w:hint="eastAsia" w:ascii="楷体_GB2312" w:eastAsia="楷体_GB2312"/>
          <w:bCs/>
          <w:sz w:val="32"/>
          <w:szCs w:val="32"/>
        </w:rPr>
        <w:t>③.做好“五项工作”，全方位履行抓党建职能。</w:t>
      </w:r>
      <w:r>
        <w:rPr>
          <w:rFonts w:hint="eastAsia" w:ascii="仿宋_GB2312" w:eastAsia="仿宋_GB2312"/>
          <w:b/>
          <w:sz w:val="32"/>
          <w:szCs w:val="32"/>
        </w:rPr>
        <w:t>一是督促指导区直机关党史学习教育走深走实。</w:t>
      </w:r>
      <w:r>
        <w:rPr>
          <w:rFonts w:hint="eastAsia" w:ascii="仿宋_GB2312" w:eastAsia="仿宋_GB2312"/>
          <w:sz w:val="32"/>
          <w:szCs w:val="32"/>
        </w:rPr>
        <w:t>通过每月工作提示和日常检查指导等方式引导区直机关以理论学习中心组学习、“三会一课”学习、党史知识线上答题学习和主题党日活动现场教学及各类知识竞赛等方式推进学习内容学深悟透。同时，督促区直机关扎实开展“我为群众办实事”实践活动，党员干部主动认领和解决群众“急难愁盼”的具体问题，建立台账、销号落实，有效推进区直机关党史学习教育走深走实。</w:t>
      </w:r>
      <w:r>
        <w:rPr>
          <w:rFonts w:hint="eastAsia" w:ascii="仿宋_GB2312" w:hAnsi="仿宋_GB2312" w:eastAsia="仿宋_GB2312" w:cs="仿宋_GB2312"/>
          <w:b/>
          <w:sz w:val="32"/>
          <w:szCs w:val="32"/>
        </w:rPr>
        <w:t>二是开展庆祝中国共产党成立100周年系列活动。</w:t>
      </w:r>
      <w:r>
        <w:rPr>
          <w:rFonts w:hint="eastAsia" w:ascii="仿宋_GB2312" w:hAnsi="仿宋_GB2312" w:eastAsia="仿宋_GB2312" w:cs="仿宋_GB2312"/>
          <w:sz w:val="32"/>
          <w:szCs w:val="32"/>
        </w:rPr>
        <w:t>做好省委和市委、区委“两优一先”表彰的推选工作，工委评选表彰优秀共产党员23人、优秀党务工作者7人、先进基层党组织14个；做好老党员、困难党员、优秀党员和党务工作者代表的关怀慰问，工委摸排慰问困难党员10人，减免困难党员党费3人，发放光荣在党50年纪念章53枚；指导各级党组织以知识竞赛、演讲比赛、专题党课、走访慰问、表彰（表扬）等方式开展庆祝活动，浓厚庆祝氛围；</w:t>
      </w:r>
      <w:r>
        <w:rPr>
          <w:rFonts w:hint="eastAsia" w:ascii="仿宋_GB2312" w:eastAsia="仿宋_GB2312"/>
          <w:sz w:val="32"/>
          <w:szCs w:val="32"/>
        </w:rPr>
        <w:t>督促机关党员干部每日参与</w:t>
      </w:r>
      <w:r>
        <w:rPr>
          <w:rFonts w:hint="eastAsia" w:ascii="仿宋_GB2312" w:hAnsi="仿宋_GB2312" w:eastAsia="仿宋_GB2312" w:cs="仿宋_GB2312"/>
          <w:sz w:val="32"/>
          <w:szCs w:val="32"/>
        </w:rPr>
        <w:t>“请回答1921—2021”党史知识答题四川挑战赛，1名党员入围全省预决赛；引导区直机关收听收看七一勋章颁授仪式和中国共产党建党100周年庆祝大会，专题组织学习研讨习近平总书记在两次活动上的讲话精神，讴歌党的百年历程，坚定感党恩、听党话、跟党走。</w:t>
      </w:r>
      <w:r>
        <w:rPr>
          <w:rFonts w:hint="eastAsia" w:ascii="仿宋_GB2312" w:eastAsia="仿宋_GB2312"/>
          <w:b/>
          <w:sz w:val="32"/>
          <w:szCs w:val="32"/>
        </w:rPr>
        <w:t>三是做好区第八次党代会代表推荐选举工作。</w:t>
      </w:r>
      <w:r>
        <w:rPr>
          <w:rFonts w:hint="eastAsia" w:ascii="仿宋_GB2312" w:eastAsia="仿宋_GB2312"/>
          <w:sz w:val="32"/>
          <w:szCs w:val="32"/>
        </w:rPr>
        <w:t>按照区直机关基层党组织和党员全覆盖推选原则，在区直机关基层党组织（含区经开区党工委、市曾家山景区党工委）中广泛进行推选，严格程序先后确定推荐人选137人、候选人初步人选考察对象114人、考察公示后确定初步人选113人、候选人预备人选89人、组织召开区直机关党员代表会议选举产生正式代表74人。同时，按照要求做好区直机关出席市第八次党代会代表的推选工作。</w:t>
      </w:r>
      <w:r>
        <w:rPr>
          <w:rFonts w:hint="eastAsia" w:ascii="仿宋_GB2312" w:eastAsia="仿宋_GB2312"/>
          <w:b/>
          <w:sz w:val="32"/>
          <w:szCs w:val="32"/>
        </w:rPr>
        <w:t>四是组织机关党员干部进社区进小区（楼栋）进商业场所开展疫情防控工作</w:t>
      </w:r>
      <w:r>
        <w:rPr>
          <w:rFonts w:hint="eastAsia" w:ascii="仿宋_GB2312" w:eastAsia="仿宋_GB2312"/>
          <w:sz w:val="32"/>
          <w:szCs w:val="32"/>
        </w:rPr>
        <w:t>，召集朝天镇、社区、市场监督管理局、住建局、商务局等有关单位和行业部门相关负责人，结合党员“双报到”，建立区级部门单位负责老旧楼栋、物业小区、商业场所疫情防控的责任体系，压实“四方责任”，充分发挥区直机关基层党组织和党员干部在疫情防控工作中的战斗堡垒和先锋模范作用。</w:t>
      </w:r>
      <w:r>
        <w:rPr>
          <w:rFonts w:hint="eastAsia" w:ascii="仿宋_GB2312" w:eastAsia="仿宋_GB2312"/>
          <w:b/>
          <w:sz w:val="32"/>
          <w:szCs w:val="32"/>
        </w:rPr>
        <w:t>五做实机关党建日常工作，</w:t>
      </w:r>
      <w:r>
        <w:rPr>
          <w:rFonts w:hint="eastAsia" w:ascii="仿宋_GB2312" w:eastAsia="仿宋_GB2312"/>
          <w:sz w:val="32"/>
          <w:szCs w:val="32"/>
        </w:rPr>
        <w:t>持续运行“机关党建每月重点工作提示”，指导区直机关基层党组织有序推进党史学习教育，扎实开展“红色星期五”主题党日活动，创新开展党员志愿服务、党员过政治生日等；举办入党积极分子和拟发展对象培训班1期，预备党员培训班1期，协助举办新任基层党组织书记、新发展党员和优秀党员示范培训班3期，组织区直机关党务干部赴成都培训提能；本年度新发展预备党员53人、预备党员转正45人、确定入党积极分子81人；转接党员党组织关系218人；完成全年党费核算收缴和做好半年党统、年度党统等日常工作。</w:t>
      </w:r>
    </w:p>
    <w:p>
      <w:pPr>
        <w:spacing w:line="576" w:lineRule="exact"/>
        <w:ind w:firstLine="640" w:firstLineChars="200"/>
        <w:rPr>
          <w:rFonts w:ascii="黑体" w:hAnsi="黑体" w:eastAsia="黑体" w:cs="黑体"/>
          <w:sz w:val="32"/>
          <w:szCs w:val="32"/>
        </w:rPr>
      </w:pPr>
      <w:r>
        <w:rPr>
          <w:rFonts w:hint="eastAsia" w:ascii="楷体_GB2312" w:hAnsi="楷体_GB2312" w:eastAsia="楷体_GB2312" w:cs="楷体_GB2312"/>
          <w:sz w:val="32"/>
          <w:szCs w:val="32"/>
        </w:rPr>
        <w:t>2.干部驻村帮扶工作</w:t>
      </w:r>
    </w:p>
    <w:p>
      <w:pPr>
        <w:spacing w:line="576" w:lineRule="exact"/>
        <w:ind w:firstLine="640"/>
        <w:rPr>
          <w:rFonts w:ascii="仿宋_GB2312" w:hAnsi="仿宋_GB2312" w:eastAsia="仿宋_GB2312" w:cs="仿宋_GB2312"/>
          <w:sz w:val="32"/>
          <w:szCs w:val="32"/>
        </w:rPr>
      </w:pPr>
      <w:r>
        <w:rPr>
          <w:rFonts w:hint="eastAsia" w:ascii="楷体_GB2312" w:hAnsi="楷体_GB2312" w:eastAsia="楷体_GB2312" w:cs="楷体_GB2312"/>
          <w:bCs/>
          <w:sz w:val="32"/>
          <w:szCs w:val="32"/>
        </w:rPr>
        <w:t>①.全面落实脱贫攻坚激励关怀机制。</w:t>
      </w:r>
      <w:r>
        <w:rPr>
          <w:rFonts w:hint="eastAsia" w:ascii="仿宋_GB2312" w:hAnsi="仿宋_GB2312" w:eastAsia="仿宋_GB2312" w:cs="仿宋_GB2312"/>
          <w:sz w:val="32"/>
          <w:szCs w:val="32"/>
        </w:rPr>
        <w:t>对省级表彰表扬或连续两年年度考核“优秀”的脱贫攻坚帮扶干部提拔重用晋级晋升情况进行摸排并建立台账。自脱贫攻坚工作以来，共提拔重用脱贫攻坚一线干部7人。</w:t>
      </w:r>
    </w:p>
    <w:p>
      <w:pPr>
        <w:spacing w:line="576" w:lineRule="exact"/>
        <w:ind w:firstLine="640"/>
        <w:rPr>
          <w:rFonts w:ascii="仿宋_GB2312" w:hAnsi="仿宋_GB2312" w:eastAsia="仿宋_GB2312" w:cs="仿宋_GB2312"/>
          <w:sz w:val="32"/>
          <w:szCs w:val="32"/>
        </w:rPr>
      </w:pPr>
      <w:r>
        <w:rPr>
          <w:rFonts w:hint="eastAsia" w:ascii="楷体_GB2312" w:hAnsi="楷体_GB2312" w:eastAsia="楷体_GB2312" w:cs="楷体_GB2312"/>
          <w:bCs/>
          <w:sz w:val="32"/>
          <w:szCs w:val="32"/>
        </w:rPr>
        <w:t>②.调整优化部门（单位）帮村结对关系。</w:t>
      </w:r>
      <w:r>
        <w:rPr>
          <w:rFonts w:hint="eastAsia" w:ascii="仿宋_GB2312" w:hAnsi="仿宋_GB2312" w:eastAsia="仿宋_GB2312" w:cs="仿宋_GB2312"/>
          <w:sz w:val="32"/>
          <w:szCs w:val="32"/>
        </w:rPr>
        <w:t>按照“保持脱贫攻坚期间帮扶单位与帮扶村结对关系总体不变的原则”，通过深入调研、与区级部门单位主要领导谈心谈话、加强与省市有关部门对接等，对全区128个行政村和社区结对帮村关系进行了优化调整并全面完成脱贫村驻村工作队轮换，同时适时开展工作督查，为巩固脱贫攻坚成果与乡村振兴有效衔接夯实基础。</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③.</w:t>
      </w:r>
      <w:r>
        <w:rPr>
          <w:rFonts w:hint="eastAsia" w:ascii="楷体_GB2312" w:hAnsi="楷体_GB2312" w:eastAsia="楷体_GB2312" w:cs="楷体_GB2312"/>
          <w:bCs/>
          <w:sz w:val="32"/>
          <w:szCs w:val="32"/>
        </w:rPr>
        <w:t>开展了“暖冬行动”帮扶活动。</w:t>
      </w:r>
      <w:r>
        <w:rPr>
          <w:rFonts w:hint="eastAsia" w:ascii="仿宋_GB2312" w:hAnsi="仿宋_GB2312" w:eastAsia="仿宋_GB2312" w:cs="仿宋_GB2312"/>
          <w:sz w:val="32"/>
          <w:szCs w:val="32"/>
        </w:rPr>
        <w:t>根据市驻村办《关于开展“暖冬行动”帮扶活动的通知》精神，所有帮扶力量在2月底前全覆盖开展一次入户宣讲、走访慰问等活动。</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④.</w:t>
      </w:r>
      <w:r>
        <w:rPr>
          <w:rFonts w:hint="eastAsia" w:ascii="楷体_GB2312" w:hAnsi="楷体_GB2312" w:eastAsia="楷体_GB2312" w:cs="楷体_GB2312"/>
          <w:bCs/>
          <w:sz w:val="32"/>
          <w:szCs w:val="32"/>
        </w:rPr>
        <w:t>持续开展“以购代扶”活动。</w:t>
      </w:r>
      <w:r>
        <w:rPr>
          <w:rFonts w:hint="eastAsia" w:ascii="仿宋_GB2312" w:hAnsi="仿宋_GB2312" w:eastAsia="仿宋_GB2312" w:cs="仿宋_GB2312"/>
          <w:sz w:val="32"/>
          <w:szCs w:val="32"/>
        </w:rPr>
        <w:t>印发了《关于进一步在驻村帮扶工作中深化“以购代扶”活动的通知》，进一步明确了责任和任务，全年累计完成343万余元。</w:t>
      </w:r>
    </w:p>
    <w:p>
      <w:pPr>
        <w:spacing w:line="576" w:lineRule="exact"/>
        <w:ind w:firstLine="640"/>
        <w:rPr>
          <w:rFonts w:ascii="仿宋_GB2312" w:hAnsi="仿宋_GB2312" w:eastAsia="仿宋_GB2312" w:cs="仿宋_GB2312"/>
          <w:sz w:val="32"/>
          <w:szCs w:val="32"/>
        </w:rPr>
      </w:pPr>
      <w:r>
        <w:rPr>
          <w:rFonts w:hint="eastAsia" w:ascii="楷体_GB2312" w:hAnsi="楷体_GB2312" w:eastAsia="楷体_GB2312" w:cs="楷体_GB2312"/>
          <w:bCs/>
          <w:sz w:val="32"/>
          <w:szCs w:val="32"/>
        </w:rPr>
        <w:t>⑤.做好巩固脱贫成果后评估工作。</w:t>
      </w:r>
      <w:r>
        <w:rPr>
          <w:rFonts w:hint="eastAsia" w:ascii="仿宋_GB2312" w:hAnsi="仿宋_GB2312" w:eastAsia="仿宋_GB2312" w:cs="仿宋_GB2312"/>
          <w:sz w:val="32"/>
          <w:szCs w:val="32"/>
        </w:rPr>
        <w:t>根据工作安排，协助区委组织部、区乡村振兴局顺利通过巩固脱贫成果后评估。负责指导省直部门通过定点帮扶考核。</w:t>
      </w:r>
    </w:p>
    <w:p>
      <w:pPr>
        <w:spacing w:line="576" w:lineRule="exact"/>
        <w:ind w:firstLine="640"/>
        <w:rPr>
          <w:rFonts w:ascii="仿宋_GB2312" w:hAnsi="仿宋_GB2312" w:eastAsia="仿宋_GB2312" w:cs="仿宋_GB2312"/>
          <w:sz w:val="32"/>
          <w:szCs w:val="32"/>
        </w:rPr>
      </w:pPr>
      <w:r>
        <w:rPr>
          <w:rFonts w:hint="eastAsia" w:ascii="楷体_GB2312" w:hAnsi="楷体_GB2312" w:eastAsia="楷体_GB2312" w:cs="楷体_GB2312"/>
          <w:bCs/>
          <w:sz w:val="32"/>
          <w:szCs w:val="32"/>
        </w:rPr>
        <w:t>⑥.加强驻村帮扶工作宣传。</w:t>
      </w:r>
      <w:r>
        <w:rPr>
          <w:rFonts w:hint="eastAsia" w:ascii="仿宋_GB2312" w:hAnsi="仿宋_GB2312" w:eastAsia="仿宋_GB2312" w:cs="仿宋_GB2312"/>
          <w:sz w:val="32"/>
          <w:szCs w:val="32"/>
        </w:rPr>
        <w:t>积极推荐帮扶力量先进典型，向省委政府推荐市区级先进帮扶单位2个，省、区级优秀驻村工作队员2人。撰写的《脱贫一线践初心——广元朝天区推进脱贫攻坚驻村帮扶工作回眸》被人民论坛、今日头条、省直机关党建网等多家媒体宣传报道。</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3.重点工作进机关</w:t>
      </w:r>
    </w:p>
    <w:p>
      <w:pPr>
        <w:pStyle w:val="2"/>
        <w:spacing w:before="93" w:line="576" w:lineRule="exact"/>
        <w:ind w:firstLine="640" w:firstLineChars="200"/>
        <w:contextualSpacing/>
        <w:rPr>
          <w:rFonts w:hAnsi="仿宋_GB2312" w:cs="仿宋_GB2312"/>
          <w:bCs/>
          <w:kern w:val="2"/>
          <w:sz w:val="32"/>
          <w:szCs w:val="32"/>
        </w:rPr>
      </w:pPr>
      <w:r>
        <w:rPr>
          <w:rFonts w:hint="eastAsia" w:ascii="楷体_GB2312" w:hAnsi="楷体_GB2312" w:eastAsia="楷体_GB2312" w:cs="楷体_GB2312"/>
          <w:bCs/>
          <w:kern w:val="2"/>
          <w:sz w:val="32"/>
          <w:szCs w:val="32"/>
        </w:rPr>
        <w:t>①.新冠肺炎疫情防控工作。</w:t>
      </w:r>
      <w:r>
        <w:rPr>
          <w:rFonts w:hint="eastAsia" w:hAnsi="仿宋_GB2312" w:cs="仿宋_GB2312"/>
          <w:kern w:val="2"/>
          <w:sz w:val="32"/>
          <w:szCs w:val="32"/>
        </w:rPr>
        <w:t>一是明确责任体系，通过会议、文件、工作提示、督查等压紧压实抓疫情防控部门党组（党委）书记主体责任、分管领导直接责任、网格员（具体工作人员）具体责任。同时将老旧楼栋、物业小区、商业场所疫情防控职责明确到具体部门单位，从严落实各级疫情防控文件和相关会议要求。二是管好工作平台，从严管理朝天公职人员疫情防控工作QQ群、微信群，实时清理群成员，保障线上指挥顺畅。分口召开防疫推进会，督促乡镇、部门单位分管领导和责任干部在群内有令即知，线下有令必行。三是抓好人员排查管控，24小时动态跟进全国疫情形势、排查范围和管控措施并及时运用平台传达指令，从严落实境外、全国中高风险和疫情发生地返朝公职人员“全域全覆盖排查零报告+常态化新增日报告”制度，建立出市人员台账、返朝人员台账等，做到收集信息底数清，排查的人员不脱管、不漏管。四是强化督导检查，定期督查部门单位落实防控“五有”、干部日常健康监测、查验通行等常态化防疫措施，抽查部门单位干部职工出市报备、返朝核酸检测、中高风险和重点关注区日报表报送等，牢牢守好办公场所防疫底线。五是全面推进疫苗接种应接尽接</w:t>
      </w:r>
      <w:r>
        <w:rPr>
          <w:rFonts w:hint="eastAsia" w:hAnsi="仿宋_GB2312" w:cs="仿宋_GB2312"/>
          <w:bCs/>
          <w:kern w:val="2"/>
          <w:sz w:val="32"/>
          <w:szCs w:val="32"/>
        </w:rPr>
        <w:t>，通过集中组织、提示提醒、抽查部门接种台账、开展疫苗接种攻坚行动等措施，中心城区党政机关共2944人接种新冠疫苗，加强针接种有序推进。六是组织大规模核酸检测，根据要求，干部分片包口组织区级部门单位全体干部职工有序核酸检测，时刻做好组织大规模核酸检测的准备。</w:t>
      </w:r>
    </w:p>
    <w:p>
      <w:pPr>
        <w:pStyle w:val="2"/>
        <w:spacing w:before="93" w:line="576" w:lineRule="exact"/>
        <w:ind w:firstLine="640" w:firstLineChars="200"/>
        <w:contextualSpacing/>
        <w:rPr>
          <w:rFonts w:hAnsi="仿宋_GB2312" w:cs="仿宋_GB2312"/>
          <w:kern w:val="2"/>
          <w:sz w:val="32"/>
          <w:szCs w:val="32"/>
        </w:rPr>
      </w:pPr>
      <w:r>
        <w:rPr>
          <w:rFonts w:hint="eastAsia" w:ascii="楷体_GB2312" w:hAnsi="楷体_GB2312" w:eastAsia="楷体_GB2312" w:cs="楷体_GB2312"/>
          <w:bCs/>
          <w:kern w:val="2"/>
          <w:sz w:val="32"/>
          <w:szCs w:val="32"/>
        </w:rPr>
        <w:t>②.全国卫生城市验收和文明城市创建。</w:t>
      </w:r>
      <w:r>
        <w:rPr>
          <w:rFonts w:hint="eastAsia" w:hAnsi="仿宋_GB2312" w:cs="仿宋_GB2312"/>
          <w:bCs/>
          <w:kern w:val="2"/>
          <w:sz w:val="32"/>
          <w:szCs w:val="32"/>
        </w:rPr>
        <w:t>充分发挥干部分片包口的督促指导作用，分口组织开展志愿服务活动，为顺利通过全国卫生城市验收，建设干净城市提供保障。召集朝天镇、区综合行政执法局、社区等单位重新调整和明确城区8大片区的划分、片区责任单位的落实等，建立职责清晰、任务明确的工作体系，为创建第七届全国文明城市做好准备。</w:t>
      </w:r>
    </w:p>
    <w:p>
      <w:pPr>
        <w:spacing w:line="576"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③.服务中心大局推动区委各项工作落实落地。</w:t>
      </w:r>
      <w:r>
        <w:rPr>
          <w:rFonts w:hint="eastAsia" w:ascii="仿宋_GB2312" w:eastAsia="仿宋_GB2312" w:cs="宋体"/>
          <w:b/>
          <w:bCs/>
          <w:sz w:val="32"/>
          <w:szCs w:val="32"/>
        </w:rPr>
        <w:t>一是</w:t>
      </w:r>
      <w:r>
        <w:rPr>
          <w:rFonts w:hint="eastAsia" w:ascii="仿宋_GB2312" w:eastAsia="仿宋_GB2312" w:cs="宋体"/>
          <w:bCs/>
          <w:sz w:val="32"/>
          <w:szCs w:val="32"/>
        </w:rPr>
        <w:t>做好朝天区朝天镇人大换届选举工作，</w:t>
      </w:r>
      <w:r>
        <w:rPr>
          <w:rFonts w:hint="eastAsia" w:ascii="仿宋_GB2312" w:eastAsia="仿宋_GB2312"/>
          <w:sz w:val="32"/>
          <w:szCs w:val="32"/>
        </w:rPr>
        <w:t>通过召开培训会、组织人员选举等顺利完成换届选举。</w:t>
      </w:r>
      <w:r>
        <w:rPr>
          <w:rFonts w:hint="eastAsia" w:ascii="仿宋_GB2312" w:eastAsia="仿宋_GB2312" w:cs="宋体"/>
          <w:b/>
          <w:bCs/>
          <w:sz w:val="32"/>
          <w:szCs w:val="32"/>
        </w:rPr>
        <w:t>二是</w:t>
      </w:r>
      <w:r>
        <w:rPr>
          <w:rFonts w:hint="eastAsia" w:ascii="仿宋_GB2312" w:eastAsia="仿宋_GB2312"/>
          <w:sz w:val="32"/>
          <w:szCs w:val="32"/>
        </w:rPr>
        <w:t>完成“首届广元市道德模范”候选人推荐。根据《关于做好“首届广元市道德模范”候选人推荐工作的通知》要求，牵头从区级部门单位中拟推荐候选人8名。</w:t>
      </w:r>
      <w:r>
        <w:rPr>
          <w:rFonts w:hint="eastAsia" w:ascii="仿宋_GB2312" w:hAnsi="仿宋_GB2312" w:eastAsia="仿宋_GB2312" w:cs="仿宋_GB2312"/>
          <w:b/>
          <w:sz w:val="32"/>
          <w:szCs w:val="32"/>
        </w:rPr>
        <w:t>三是</w:t>
      </w:r>
      <w:r>
        <w:rPr>
          <w:rFonts w:hint="eastAsia" w:ascii="仿宋_GB2312" w:eastAsia="仿宋_GB2312"/>
          <w:sz w:val="32"/>
          <w:szCs w:val="32"/>
        </w:rPr>
        <w:t>组织开展无偿献血活动。</w:t>
      </w:r>
      <w:r>
        <w:rPr>
          <w:rFonts w:hint="eastAsia" w:ascii="仿宋_GB2312" w:hAnsi="仿宋_GB2312" w:eastAsia="仿宋_GB2312" w:cs="仿宋_GB2312"/>
          <w:sz w:val="32"/>
          <w:szCs w:val="32"/>
        </w:rPr>
        <w:t>根据《关于开展2021年上半年无偿献血活动的通知》要求，组织党员干部200余人无偿献血。</w:t>
      </w:r>
      <w:r>
        <w:rPr>
          <w:rFonts w:hint="eastAsia" w:ascii="仿宋_GB2312" w:hAnsi="仿宋_GB2312" w:eastAsia="仿宋_GB2312" w:cs="仿宋_GB2312"/>
          <w:b/>
          <w:sz w:val="32"/>
          <w:szCs w:val="32"/>
        </w:rPr>
        <w:t>四是</w:t>
      </w:r>
      <w:r>
        <w:rPr>
          <w:rFonts w:hint="eastAsia" w:ascii="仿宋_GB2312" w:hAnsi="仿宋_GB2312" w:eastAsia="仿宋_GB2312" w:cs="仿宋_GB2312"/>
          <w:sz w:val="32"/>
          <w:szCs w:val="32"/>
        </w:rPr>
        <w:t>围绕“机构健全、制度完善、设施齐备、宣传有力、成效显著”的要求，组织区直机关基层党组织和引导广大党员干部推进生活垃圾分类，努力营造生活垃圾分类社会文明新风尚氛围。</w:t>
      </w:r>
      <w:r>
        <w:rPr>
          <w:rFonts w:hint="eastAsia" w:ascii="仿宋_GB2312" w:hAnsi="仿宋_GB2312" w:eastAsia="仿宋_GB2312" w:cs="仿宋_GB2312"/>
          <w:b/>
          <w:sz w:val="32"/>
          <w:szCs w:val="32"/>
        </w:rPr>
        <w:t>五是</w:t>
      </w:r>
      <w:r>
        <w:rPr>
          <w:rFonts w:hint="eastAsia" w:ascii="仿宋_GB2312" w:hAnsi="仿宋_GB2312" w:eastAsia="仿宋_GB2312" w:cs="仿宋_GB2312"/>
          <w:sz w:val="32"/>
          <w:szCs w:val="32"/>
        </w:rPr>
        <w:t>协助做好天府旅游名县创建等工作。</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4.统筹抓实自身建设</w:t>
      </w:r>
    </w:p>
    <w:p>
      <w:pPr>
        <w:pStyle w:val="13"/>
        <w:shd w:val="clear" w:color="auto" w:fill="FFFFFF"/>
        <w:spacing w:before="0" w:beforeAutospacing="0" w:after="0" w:afterAutospacing="0" w:line="576" w:lineRule="exact"/>
        <w:ind w:firstLine="640" w:firstLineChars="200"/>
        <w:jc w:val="both"/>
        <w:rPr>
          <w:rFonts w:ascii="仿宋_GB2312" w:eastAsia="仿宋_GB2312"/>
          <w:sz w:val="32"/>
          <w:szCs w:val="32"/>
        </w:rPr>
      </w:pPr>
      <w:r>
        <w:rPr>
          <w:rFonts w:hint="eastAsia" w:ascii="楷体_GB2312" w:hAnsi="楷体_GB2312" w:eastAsia="楷体_GB2312" w:cs="楷体_GB2312"/>
          <w:kern w:val="2"/>
          <w:sz w:val="32"/>
          <w:szCs w:val="32"/>
        </w:rPr>
        <w:t>①.开展党史学习教育，坚定理想信念。</w:t>
      </w:r>
      <w:r>
        <w:rPr>
          <w:rFonts w:hint="eastAsia" w:ascii="仿宋_GB2312" w:eastAsia="仿宋_GB2312"/>
          <w:b/>
          <w:sz w:val="32"/>
          <w:szCs w:val="32"/>
        </w:rPr>
        <w:t>一是</w:t>
      </w:r>
      <w:r>
        <w:rPr>
          <w:rFonts w:hint="eastAsia" w:ascii="仿宋_GB2312" w:eastAsia="仿宋_GB2312"/>
          <w:sz w:val="32"/>
          <w:szCs w:val="32"/>
        </w:rPr>
        <w:t>成立以主要负责人为组长的党史学习教育领导小组，召开专题会议研究贯彻</w:t>
      </w:r>
      <w:r>
        <w:rPr>
          <w:rFonts w:ascii="仿宋_GB2312" w:eastAsia="仿宋_GB2312"/>
          <w:sz w:val="32"/>
          <w:szCs w:val="32"/>
        </w:rPr>
        <w:t>《关于在全党开展党史学习教育的通知》</w:t>
      </w:r>
      <w:r>
        <w:rPr>
          <w:rFonts w:hint="eastAsia" w:ascii="仿宋_GB2312" w:eastAsia="仿宋_GB2312"/>
          <w:sz w:val="32"/>
          <w:szCs w:val="32"/>
        </w:rPr>
        <w:t>并制定落实方案。</w:t>
      </w:r>
      <w:r>
        <w:rPr>
          <w:rFonts w:hint="eastAsia" w:ascii="仿宋_GB2312" w:eastAsia="仿宋_GB2312"/>
          <w:b/>
          <w:sz w:val="32"/>
          <w:szCs w:val="32"/>
        </w:rPr>
        <w:t>二是</w:t>
      </w:r>
      <w:r>
        <w:rPr>
          <w:rFonts w:hint="eastAsia" w:ascii="仿宋_GB2312" w:eastAsia="仿宋_GB2312"/>
          <w:sz w:val="32"/>
          <w:szCs w:val="32"/>
        </w:rPr>
        <w:t>以理论学习中心组学习、“三会一课”学习、会前学习等集中学习研讨、个人自学和深入</w:t>
      </w:r>
      <w:r>
        <w:rPr>
          <w:rFonts w:hint="eastAsia" w:ascii="仿宋_GB2312" w:hAnsi="仿宋_GB2312" w:eastAsia="仿宋_GB2312" w:cs="仿宋_GB2312"/>
          <w:sz w:val="32"/>
          <w:szCs w:val="32"/>
        </w:rPr>
        <w:t>区内外</w:t>
      </w:r>
      <w:r>
        <w:rPr>
          <w:rFonts w:hint="eastAsia" w:ascii="仿宋_GB2312" w:hAnsi="SourceHanSansCN" w:eastAsia="仿宋_GB2312"/>
          <w:sz w:val="32"/>
          <w:szCs w:val="32"/>
        </w:rPr>
        <w:t>红色教育基地现场教学</w:t>
      </w:r>
      <w:r>
        <w:rPr>
          <w:rFonts w:hint="eastAsia" w:ascii="仿宋_GB2312" w:eastAsia="仿宋_GB2312"/>
          <w:sz w:val="32"/>
          <w:szCs w:val="32"/>
        </w:rPr>
        <w:t>相结合的方式确保学深悟透，同时扎实开展党的4个历史时期专题学习，完成学史知纪明法等平台线上学习并通过在线测试，召开专题组织生活会，进一步坚定理想信念，锤炼党性修养。</w:t>
      </w:r>
      <w:r>
        <w:rPr>
          <w:rFonts w:hint="eastAsia" w:ascii="仿宋_GB2312" w:eastAsia="仿宋_GB2312"/>
          <w:b/>
          <w:sz w:val="32"/>
          <w:szCs w:val="32"/>
        </w:rPr>
        <w:t>三是</w:t>
      </w:r>
      <w:r>
        <w:rPr>
          <w:rFonts w:hint="eastAsia" w:ascii="仿宋_GB2312" w:eastAsia="仿宋_GB2312"/>
          <w:sz w:val="32"/>
          <w:szCs w:val="32"/>
        </w:rPr>
        <w:t>扎实开展“我为群众办实事”实践活动，调研查找和梳理解决群众急难愁盼事项10余件，有效促进为民服务，形成理论学习成果在中国网刊发，相关经验信息多次被区委党史学习教育办公室刊发并推市委党史学习教育办公室采用。</w:t>
      </w:r>
    </w:p>
    <w:p>
      <w:pPr>
        <w:pStyle w:val="13"/>
        <w:shd w:val="clear" w:color="auto" w:fill="FFFFFF"/>
        <w:spacing w:before="0" w:beforeAutospacing="0" w:after="0" w:afterAutospacing="0" w:line="576" w:lineRule="exact"/>
        <w:ind w:firstLine="640" w:firstLineChars="200"/>
        <w:jc w:val="both"/>
        <w:rPr>
          <w:rFonts w:ascii="仿宋_GB2312" w:eastAsia="仿宋_GB2312"/>
          <w:sz w:val="32"/>
          <w:szCs w:val="32"/>
        </w:rPr>
      </w:pPr>
      <w:r>
        <w:rPr>
          <w:rFonts w:hint="eastAsia" w:ascii="楷体_GB2312" w:hAnsi="楷体_GB2312" w:eastAsia="楷体_GB2312" w:cs="楷体_GB2312"/>
          <w:kern w:val="2"/>
          <w:sz w:val="32"/>
          <w:szCs w:val="32"/>
        </w:rPr>
        <w:t>②.强化纪律建设，树牢廉洁意识。</w:t>
      </w:r>
      <w:r>
        <w:rPr>
          <w:rFonts w:hint="eastAsia" w:ascii="仿宋_GB2312" w:eastAsia="仿宋_GB2312"/>
          <w:sz w:val="32"/>
          <w:szCs w:val="32"/>
        </w:rPr>
        <w:t>坚持“一把手”推进，干部全覆盖参与，扎实推进干部纪律作风整顿有力有序有效开展。</w:t>
      </w:r>
      <w:r>
        <w:rPr>
          <w:rFonts w:hint="eastAsia" w:ascii="仿宋_GB2312" w:eastAsia="仿宋_GB2312"/>
          <w:b/>
          <w:bCs/>
          <w:sz w:val="32"/>
          <w:szCs w:val="32"/>
        </w:rPr>
        <w:t>一是</w:t>
      </w:r>
      <w:r>
        <w:rPr>
          <w:rFonts w:hint="eastAsia" w:ascii="仿宋_GB2312" w:eastAsia="仿宋_GB2312"/>
          <w:sz w:val="32"/>
          <w:szCs w:val="32"/>
        </w:rPr>
        <w:t>强化领导讲学、集中研学、干部自学，领会作风整顿的意义、步骤和目标，进一步提升整顿思想自觉。</w:t>
      </w:r>
      <w:r>
        <w:rPr>
          <w:rFonts w:hint="eastAsia" w:ascii="仿宋_GB2312" w:eastAsia="仿宋_GB2312"/>
          <w:b/>
          <w:sz w:val="32"/>
          <w:szCs w:val="32"/>
        </w:rPr>
        <w:t>二是</w:t>
      </w:r>
      <w:r>
        <w:rPr>
          <w:rFonts w:hint="eastAsia" w:ascii="仿宋_GB2312" w:eastAsia="仿宋_GB2312"/>
          <w:sz w:val="32"/>
          <w:szCs w:val="32"/>
        </w:rPr>
        <w:t>做实干部自查、同事互查、领导点查，集中审查，对照12个方面高质量查摆6类29条问题。</w:t>
      </w:r>
      <w:r>
        <w:rPr>
          <w:rFonts w:hint="eastAsia" w:ascii="仿宋_GB2312" w:eastAsia="仿宋_GB2312"/>
          <w:b/>
          <w:sz w:val="32"/>
          <w:szCs w:val="32"/>
        </w:rPr>
        <w:t>三是</w:t>
      </w:r>
      <w:r>
        <w:rPr>
          <w:rFonts w:hint="eastAsia" w:ascii="仿宋_GB2312" w:eastAsia="仿宋_GB2312"/>
          <w:sz w:val="32"/>
          <w:szCs w:val="32"/>
        </w:rPr>
        <w:t>从严清单销号治、落实制度治、班子督促治，严肃问题整改，促使所有问题全部清零。</w:t>
      </w:r>
      <w:r>
        <w:rPr>
          <w:rFonts w:hint="eastAsia" w:ascii="仿宋_GB2312" w:eastAsia="仿宋_GB2312"/>
          <w:b/>
          <w:bCs/>
          <w:sz w:val="32"/>
          <w:szCs w:val="32"/>
        </w:rPr>
        <w:t>四是</w:t>
      </w:r>
      <w:r>
        <w:rPr>
          <w:rFonts w:hint="eastAsia" w:ascii="仿宋_GB2312" w:eastAsia="仿宋_GB2312"/>
          <w:sz w:val="32"/>
          <w:szCs w:val="32"/>
        </w:rPr>
        <w:t>严格按照党风廉政建设责任制要求</w:t>
      </w:r>
      <w:r>
        <w:rPr>
          <w:rFonts w:hint="eastAsia" w:ascii="仿宋_GB2312" w:hAnsi="仿宋" w:eastAsia="仿宋_GB2312"/>
          <w:bCs/>
          <w:sz w:val="32"/>
          <w:szCs w:val="32"/>
        </w:rPr>
        <w:t>，制定年度全面从严治党“三张清单”，全面落实党组（党委）主体责任，分管领导“一岗双责”。</w:t>
      </w:r>
      <w:r>
        <w:rPr>
          <w:rFonts w:hint="eastAsia" w:ascii="仿宋_GB2312" w:hAnsi="仿宋" w:eastAsia="仿宋_GB2312"/>
          <w:b/>
          <w:bCs/>
          <w:sz w:val="32"/>
          <w:szCs w:val="32"/>
        </w:rPr>
        <w:t>五是</w:t>
      </w:r>
      <w:r>
        <w:rPr>
          <w:rFonts w:hint="eastAsia" w:ascii="仿宋_GB2312" w:hAnsi="仿宋" w:eastAsia="仿宋_GB2312"/>
          <w:bCs/>
          <w:sz w:val="32"/>
          <w:szCs w:val="32"/>
        </w:rPr>
        <w:t>开展典型案例警示教育活动，做好</w:t>
      </w:r>
      <w:r>
        <w:rPr>
          <w:rFonts w:ascii="仿宋_GB2312" w:eastAsia="仿宋_GB2312"/>
          <w:sz w:val="32"/>
          <w:szCs w:val="32"/>
        </w:rPr>
        <w:t>警示警醒暨谈心谈</w:t>
      </w:r>
      <w:r>
        <w:rPr>
          <w:rFonts w:hint="eastAsia" w:ascii="仿宋_GB2312" w:eastAsia="仿宋_GB2312"/>
          <w:sz w:val="32"/>
          <w:szCs w:val="32"/>
        </w:rPr>
        <w:t>话工作，进一步敲警钟、筑防线。相关做法多次在清风明月廉韵朝天微信公众号、朝天门户网、区干部纪律作风整顿工作简报刊发。</w:t>
      </w:r>
    </w:p>
    <w:p>
      <w:pPr>
        <w:pStyle w:val="13"/>
        <w:shd w:val="clear" w:color="auto" w:fill="FFFFFF"/>
        <w:spacing w:before="0" w:beforeAutospacing="0" w:after="0" w:afterAutospacing="0" w:line="576" w:lineRule="exact"/>
        <w:ind w:firstLine="640" w:firstLineChars="200"/>
        <w:jc w:val="both"/>
        <w:rPr>
          <w:rFonts w:ascii="仿宋_GB2312" w:hAnsi="仿宋_GB2312" w:eastAsia="仿宋_GB2312" w:cs="仿宋_GB2312"/>
          <w:bCs/>
          <w:sz w:val="32"/>
          <w:szCs w:val="32"/>
        </w:rPr>
      </w:pPr>
      <w:r>
        <w:rPr>
          <w:rFonts w:hint="eastAsia" w:ascii="楷体_GB2312" w:hAnsi="楷体_GB2312" w:eastAsia="楷体_GB2312" w:cs="楷体_GB2312"/>
          <w:kern w:val="2"/>
          <w:sz w:val="32"/>
          <w:szCs w:val="32"/>
        </w:rPr>
        <w:t>③.狠抓意识形态，保障阵地安全。</w:t>
      </w:r>
      <w:r>
        <w:rPr>
          <w:rFonts w:hint="eastAsia" w:ascii="仿宋_GB2312" w:eastAsia="仿宋_GB2312"/>
          <w:sz w:val="32"/>
          <w:szCs w:val="32"/>
        </w:rPr>
        <w:t>始</w:t>
      </w:r>
      <w:r>
        <w:rPr>
          <w:rFonts w:hint="eastAsia" w:ascii="仿宋_GB2312" w:hAnsi="仿宋_GB2312" w:eastAsia="仿宋_GB2312" w:cs="仿宋_GB2312"/>
          <w:bCs/>
          <w:sz w:val="32"/>
          <w:szCs w:val="32"/>
        </w:rPr>
        <w:t>终将宣传思想、意识形态工作作为中心工作的重要内容，坚持以上率下、防治结合，牢牢守住意识形态“主阵地”。</w:t>
      </w:r>
      <w:r>
        <w:rPr>
          <w:rFonts w:hint="eastAsia" w:ascii="仿宋_GB2312" w:hAnsi="仿宋_GB2312" w:eastAsia="仿宋_GB2312" w:cs="仿宋_GB2312"/>
          <w:b/>
          <w:bCs/>
          <w:sz w:val="32"/>
          <w:szCs w:val="32"/>
        </w:rPr>
        <w:t>一是</w:t>
      </w:r>
      <w:r>
        <w:rPr>
          <w:rFonts w:hint="eastAsia" w:ascii="仿宋_GB2312" w:hAnsi="仿宋_GB2312" w:eastAsia="仿宋_GB2312" w:cs="仿宋_GB2312"/>
          <w:spacing w:val="-6"/>
          <w:sz w:val="32"/>
          <w:szCs w:val="32"/>
        </w:rPr>
        <w:t>实行“一把手”负总责、分管领导直接负责、党员干部具体落实，构建</w:t>
      </w:r>
      <w:r>
        <w:rPr>
          <w:rFonts w:hint="eastAsia" w:ascii="仿宋_GB2312" w:hAnsi="仿宋_GB2312" w:eastAsia="仿宋_GB2312" w:cs="仿宋_GB2312"/>
          <w:sz w:val="32"/>
          <w:szCs w:val="32"/>
        </w:rPr>
        <w:t>确保意识形态领域安全</w:t>
      </w:r>
      <w:r>
        <w:rPr>
          <w:rFonts w:hint="eastAsia" w:ascii="仿宋_GB2312" w:hAnsi="仿宋_GB2312" w:eastAsia="仿宋_GB2312" w:cs="仿宋_GB2312"/>
          <w:spacing w:val="-6"/>
          <w:sz w:val="32"/>
          <w:szCs w:val="32"/>
        </w:rPr>
        <w:t>的责</w:t>
      </w:r>
      <w:r>
        <w:rPr>
          <w:rFonts w:hint="eastAsia" w:ascii="仿宋_GB2312" w:hAnsi="仿宋_GB2312" w:eastAsia="仿宋_GB2312" w:cs="仿宋_GB2312"/>
          <w:sz w:val="32"/>
          <w:szCs w:val="32"/>
        </w:rPr>
        <w:t>任体系。</w:t>
      </w:r>
      <w:r>
        <w:rPr>
          <w:rFonts w:hint="eastAsia" w:ascii="仿宋_GB2312" w:hAnsi="仿宋_GB2312" w:eastAsia="仿宋_GB2312" w:cs="仿宋_GB2312"/>
          <w:b/>
          <w:sz w:val="32"/>
          <w:szCs w:val="32"/>
        </w:rPr>
        <w:t>二是</w:t>
      </w:r>
      <w:r>
        <w:rPr>
          <w:rFonts w:hint="eastAsia" w:ascii="仿宋_GB2312" w:hAnsi="仿宋_GB2312" w:eastAsia="仿宋_GB2312" w:cs="仿宋_GB2312"/>
          <w:bCs/>
          <w:sz w:val="32"/>
          <w:szCs w:val="32"/>
        </w:rPr>
        <w:t>召开意识形态工作专题分析研判会4次、专题</w:t>
      </w:r>
      <w:r>
        <w:rPr>
          <w:rFonts w:hint="eastAsia" w:ascii="仿宋_GB2312" w:hAnsi="仿宋_GB2312" w:eastAsia="仿宋_GB2312" w:cs="仿宋_GB2312"/>
          <w:sz w:val="32"/>
          <w:szCs w:val="32"/>
        </w:rPr>
        <w:t>理论学习中心组学习6次，充分发挥“学习强国”平台效能，引导党员干部自觉抵制不良言论，筑牢思想根基</w:t>
      </w:r>
      <w:r>
        <w:rPr>
          <w:rFonts w:hint="eastAsia" w:ascii="仿宋_GB2312" w:hAnsi="仿宋_GB2312" w:eastAsia="仿宋_GB2312" w:cs="仿宋_GB2312"/>
          <w:bCs/>
          <w:sz w:val="32"/>
          <w:szCs w:val="32"/>
        </w:rPr>
        <w:t>。</w:t>
      </w:r>
      <w:r>
        <w:rPr>
          <w:rFonts w:hint="eastAsia" w:ascii="仿宋_GB2312" w:eastAsia="仿宋_GB2312"/>
          <w:b/>
          <w:sz w:val="32"/>
          <w:szCs w:val="32"/>
        </w:rPr>
        <w:t>三是</w:t>
      </w:r>
      <w:r>
        <w:rPr>
          <w:rFonts w:hint="eastAsia" w:ascii="仿宋_GB2312" w:eastAsia="仿宋_GB2312"/>
          <w:sz w:val="32"/>
          <w:szCs w:val="32"/>
        </w:rPr>
        <w:t>完善舆情应对处置机制和网络舆情转办落实制度，严管单位QQ、微信等工作群和干部职工个人网络平台，全年未发生网络舆情事件。</w:t>
      </w:r>
    </w:p>
    <w:p>
      <w:pPr>
        <w:pStyle w:val="13"/>
        <w:shd w:val="clear" w:color="auto" w:fill="FFFFFF"/>
        <w:spacing w:before="0" w:beforeAutospacing="0" w:after="0" w:afterAutospacing="0" w:line="576" w:lineRule="exact"/>
        <w:ind w:firstLine="640" w:firstLineChars="200"/>
        <w:jc w:val="both"/>
        <w:rPr>
          <w:rFonts w:ascii="仿宋_GB2312" w:eastAsia="仿宋_GB2312"/>
          <w:b/>
          <w:sz w:val="32"/>
          <w:szCs w:val="32"/>
        </w:rPr>
      </w:pPr>
      <w:r>
        <w:rPr>
          <w:rFonts w:hint="eastAsia" w:ascii="楷体_GB2312" w:hAnsi="楷体_GB2312" w:eastAsia="楷体_GB2312" w:cs="楷体_GB2312"/>
          <w:kern w:val="2"/>
          <w:sz w:val="32"/>
          <w:szCs w:val="32"/>
        </w:rPr>
        <w:t>④.做好档案工作，抓好日常事务</w:t>
      </w:r>
      <w:r>
        <w:rPr>
          <w:rFonts w:hint="eastAsia" w:ascii="仿宋_GB2312" w:eastAsia="仿宋_GB2312"/>
          <w:sz w:val="32"/>
          <w:szCs w:val="32"/>
          <w:shd w:val="clear" w:color="auto" w:fill="FFFFFF"/>
        </w:rPr>
        <w:t>。专人负责做好档案工作标准化、规范化、科学化管理。</w:t>
      </w:r>
      <w:r>
        <w:rPr>
          <w:rFonts w:hint="eastAsia" w:ascii="仿宋_GB2312" w:eastAsia="仿宋_GB2312"/>
          <w:b/>
          <w:sz w:val="32"/>
          <w:szCs w:val="32"/>
          <w:shd w:val="clear" w:color="auto" w:fill="FFFFFF"/>
        </w:rPr>
        <w:t>一是</w:t>
      </w:r>
      <w:r>
        <w:rPr>
          <w:rFonts w:hint="eastAsia" w:ascii="仿宋_GB2312" w:eastAsia="仿宋_GB2312"/>
          <w:sz w:val="32"/>
          <w:szCs w:val="32"/>
          <w:shd w:val="clear" w:color="auto" w:fill="FFFFFF"/>
        </w:rPr>
        <w:t>对驻村帮扶工作档案、中心近10年工作档案资料等全面整理归档。</w:t>
      </w:r>
      <w:r>
        <w:rPr>
          <w:rFonts w:hint="eastAsia" w:ascii="仿宋_GB2312" w:eastAsia="仿宋_GB2312"/>
          <w:b/>
          <w:sz w:val="32"/>
          <w:szCs w:val="32"/>
          <w:shd w:val="clear" w:color="auto" w:fill="FFFFFF"/>
        </w:rPr>
        <w:t>二是</w:t>
      </w:r>
      <w:r>
        <w:rPr>
          <w:rFonts w:hint="eastAsia" w:ascii="仿宋_GB2312" w:eastAsia="仿宋_GB2312"/>
          <w:sz w:val="32"/>
          <w:szCs w:val="32"/>
          <w:shd w:val="clear" w:color="auto" w:fill="FFFFFF"/>
        </w:rPr>
        <w:t>全面清理完善单位干部人事档案。</w:t>
      </w:r>
      <w:r>
        <w:rPr>
          <w:rFonts w:hint="eastAsia" w:ascii="仿宋_GB2312" w:eastAsia="仿宋_GB2312"/>
          <w:b/>
          <w:sz w:val="32"/>
          <w:szCs w:val="32"/>
          <w:shd w:val="clear" w:color="auto" w:fill="FFFFFF"/>
        </w:rPr>
        <w:t>三是</w:t>
      </w:r>
      <w:r>
        <w:rPr>
          <w:rFonts w:hint="eastAsia" w:ascii="仿宋_GB2312" w:eastAsia="仿宋_GB2312"/>
          <w:sz w:val="32"/>
          <w:szCs w:val="32"/>
          <w:shd w:val="clear" w:color="auto" w:fill="FFFFFF"/>
        </w:rPr>
        <w:t>按照“机构清、编制清、领导职数清、实有人员清”的要求做好第二次全区机构编制核查工作。</w:t>
      </w:r>
      <w:r>
        <w:rPr>
          <w:rFonts w:hint="eastAsia" w:ascii="仿宋_GB2312" w:eastAsia="仿宋_GB2312"/>
          <w:b/>
          <w:sz w:val="32"/>
          <w:szCs w:val="32"/>
          <w:shd w:val="clear" w:color="auto" w:fill="FFFFFF"/>
        </w:rPr>
        <w:t>四是</w:t>
      </w:r>
      <w:r>
        <w:rPr>
          <w:rFonts w:hint="eastAsia" w:ascii="仿宋_GB2312" w:eastAsia="仿宋_GB2312"/>
          <w:sz w:val="32"/>
          <w:szCs w:val="32"/>
          <w:shd w:val="clear" w:color="auto" w:fill="FFFFFF"/>
        </w:rPr>
        <w:t>加强对单位党支部工作的抓建，有效发挥支部战斗堡垒和党员先锋模范作用。</w:t>
      </w:r>
      <w:r>
        <w:rPr>
          <w:rFonts w:hint="eastAsia" w:ascii="仿宋_GB2312" w:eastAsia="仿宋_GB2312"/>
          <w:b/>
          <w:sz w:val="32"/>
          <w:szCs w:val="32"/>
          <w:shd w:val="clear" w:color="auto" w:fill="FFFFFF"/>
        </w:rPr>
        <w:t>五是</w:t>
      </w:r>
      <w:r>
        <w:rPr>
          <w:rFonts w:hint="eastAsia" w:ascii="仿宋_GB2312" w:eastAsia="仿宋_GB2312"/>
          <w:sz w:val="32"/>
          <w:szCs w:val="32"/>
          <w:shd w:val="clear" w:color="auto" w:fill="FFFFFF"/>
        </w:rPr>
        <w:t>做好与中子镇旭光村的结对帮扶，改善村容村貌、指导工作落实，顺利通过脱贫成果后评估。</w:t>
      </w:r>
      <w:r>
        <w:rPr>
          <w:rFonts w:hint="eastAsia" w:ascii="仿宋_GB2312" w:eastAsia="仿宋_GB2312"/>
          <w:b/>
          <w:sz w:val="32"/>
          <w:szCs w:val="32"/>
          <w:shd w:val="clear" w:color="auto" w:fill="FFFFFF"/>
        </w:rPr>
        <w:t>六是</w:t>
      </w:r>
      <w:r>
        <w:rPr>
          <w:rFonts w:hint="eastAsia" w:ascii="仿宋_GB2312" w:eastAsia="仿宋_GB2312"/>
          <w:sz w:val="32"/>
          <w:szCs w:val="32"/>
          <w:shd w:val="clear" w:color="auto" w:fill="FFFFFF"/>
        </w:rPr>
        <w:t>做好保密工作、</w:t>
      </w:r>
      <w:r>
        <w:rPr>
          <w:rFonts w:hint="eastAsia" w:ascii="仿宋_GB2312" w:hAnsi="仿宋_GB2312" w:eastAsia="仿宋_GB2312" w:cs="仿宋_GB2312"/>
          <w:bCs/>
          <w:sz w:val="32"/>
          <w:szCs w:val="32"/>
        </w:rPr>
        <w:t>依法治区、应急管理、深化改革、综治维稳、安全生产、低碳节能、统计、群团、体育、</w:t>
      </w:r>
      <w:r>
        <w:rPr>
          <w:rFonts w:hint="eastAsia" w:ascii="仿宋_GB2312" w:eastAsia="仿宋_GB2312"/>
          <w:sz w:val="32"/>
          <w:szCs w:val="32"/>
          <w:shd w:val="clear" w:color="auto" w:fill="FFFFFF"/>
        </w:rPr>
        <w:t>垃圾分类、公务员年报</w:t>
      </w:r>
      <w:r>
        <w:rPr>
          <w:rFonts w:hint="eastAsia" w:ascii="仿宋_GB2312" w:hAnsi="仿宋_GB2312" w:eastAsia="仿宋_GB2312" w:cs="仿宋_GB2312"/>
          <w:bCs/>
          <w:sz w:val="32"/>
          <w:szCs w:val="32"/>
        </w:rPr>
        <w:t>等工作。</w:t>
      </w:r>
      <w:r>
        <w:rPr>
          <w:rFonts w:hint="eastAsia" w:ascii="仿宋_GB2312" w:hAnsi="仿宋_GB2312" w:eastAsia="仿宋_GB2312" w:cs="仿宋_GB2312"/>
          <w:b/>
          <w:bCs/>
          <w:sz w:val="32"/>
          <w:szCs w:val="32"/>
        </w:rPr>
        <w:t>七是</w:t>
      </w:r>
      <w:r>
        <w:rPr>
          <w:rFonts w:hint="eastAsia" w:ascii="仿宋_GB2312" w:hAnsi="仿宋_GB2312" w:eastAsia="仿宋_GB2312" w:cs="仿宋_GB2312"/>
          <w:bCs/>
          <w:sz w:val="32"/>
          <w:szCs w:val="32"/>
        </w:rPr>
        <w:t>完成区委、区政府交办的工作任务</w:t>
      </w:r>
      <w:r>
        <w:rPr>
          <w:rFonts w:hint="eastAsia" w:ascii="仿宋_GB2312" w:eastAsia="仿宋_GB2312"/>
          <w:b/>
          <w:sz w:val="32"/>
          <w:szCs w:val="32"/>
        </w:rPr>
        <w:t>。</w:t>
      </w:r>
    </w:p>
    <w:p>
      <w:pPr>
        <w:pStyle w:val="4"/>
        <w:rPr>
          <w:rStyle w:val="19"/>
          <w:b w:val="0"/>
          <w:bCs w:val="0"/>
        </w:rPr>
      </w:pPr>
      <w:bookmarkStart w:id="18" w:name="_Toc15377200"/>
      <w:bookmarkStart w:id="19" w:name="_Toc15396601"/>
      <w:r>
        <w:rPr>
          <w:rFonts w:hint="eastAsia" w:ascii="黑体" w:eastAsia="黑体"/>
          <w:b w:val="0"/>
        </w:rPr>
        <w:t>二、</w:t>
      </w:r>
      <w:r>
        <w:rPr>
          <w:rFonts w:hint="eastAsia" w:ascii="黑体" w:hAnsi="黑体" w:eastAsia="黑体"/>
          <w:b w:val="0"/>
        </w:rPr>
        <w:t>机</w:t>
      </w:r>
      <w:r>
        <w:rPr>
          <w:rStyle w:val="19"/>
          <w:rFonts w:hint="eastAsia" w:ascii="黑体" w:hAnsi="黑体" w:eastAsia="黑体"/>
          <w:b w:val="0"/>
          <w:bCs w:val="0"/>
        </w:rPr>
        <w:t>构设置</w:t>
      </w:r>
      <w:bookmarkEnd w:id="18"/>
      <w:bookmarkEnd w:id="19"/>
    </w:p>
    <w:p>
      <w:pPr>
        <w:pStyle w:val="2"/>
        <w:adjustRightInd w:val="0"/>
        <w:snapToGrid w:val="0"/>
        <w:spacing w:before="93" w:line="600" w:lineRule="exact"/>
        <w:ind w:firstLine="1120" w:firstLineChars="350"/>
        <w:rPr>
          <w:rFonts w:ascii="仿宋" w:hAnsi="仿宋" w:eastAsia="仿宋"/>
          <w:sz w:val="32"/>
          <w:szCs w:val="32"/>
        </w:rPr>
      </w:pPr>
      <w:r>
        <w:rPr>
          <w:rFonts w:hint="eastAsia" w:ascii="仿宋" w:hAnsi="仿宋" w:eastAsia="仿宋"/>
          <w:sz w:val="32"/>
          <w:szCs w:val="32"/>
        </w:rPr>
        <w:t>区直属机关党建事务中心无下属二级单位。</w:t>
      </w:r>
    </w:p>
    <w:p>
      <w:pPr>
        <w:widowControl/>
        <w:jc w:val="left"/>
        <w:rPr>
          <w:rFonts w:ascii="仿宋" w:hAnsi="仿宋" w:eastAsia="仿宋"/>
          <w:kern w:val="0"/>
          <w:sz w:val="32"/>
          <w:szCs w:val="32"/>
        </w:rPr>
      </w:pPr>
    </w:p>
    <w:p>
      <w:pPr>
        <w:pStyle w:val="3"/>
        <w:ind w:right="440"/>
        <w:rPr>
          <w:rFonts w:ascii="黑体" w:hAnsi="黑体" w:eastAsia="黑体"/>
          <w:b w:val="0"/>
        </w:rPr>
      </w:pPr>
      <w:bookmarkStart w:id="20" w:name="_Toc15377204"/>
      <w:bookmarkStart w:id="21" w:name="_Toc15396602"/>
    </w:p>
    <w:p>
      <w:pPr>
        <w:rPr>
          <w:rFonts w:ascii="黑体" w:hAnsi="黑体" w:eastAsia="黑体"/>
        </w:rPr>
      </w:pPr>
    </w:p>
    <w:p>
      <w:pPr>
        <w:pStyle w:val="2"/>
        <w:spacing w:before="93"/>
        <w:rPr>
          <w:rFonts w:ascii="黑体" w:hAnsi="黑体" w:eastAsia="黑体"/>
        </w:rPr>
      </w:pPr>
    </w:p>
    <w:p>
      <w:pPr>
        <w:pStyle w:val="2"/>
        <w:spacing w:before="93"/>
        <w:rPr>
          <w:rFonts w:ascii="黑体" w:hAnsi="黑体" w:eastAsia="黑体"/>
        </w:rPr>
      </w:pPr>
    </w:p>
    <w:p>
      <w:pPr>
        <w:pStyle w:val="2"/>
        <w:spacing w:before="93"/>
        <w:rPr>
          <w:rFonts w:ascii="黑体" w:hAnsi="黑体" w:eastAsia="黑体"/>
        </w:rPr>
      </w:pPr>
    </w:p>
    <w:p>
      <w:pPr>
        <w:pStyle w:val="2"/>
        <w:spacing w:before="93"/>
        <w:rPr>
          <w:rFonts w:ascii="黑体" w:hAnsi="黑体" w:eastAsia="黑体"/>
        </w:rPr>
      </w:pPr>
    </w:p>
    <w:p>
      <w:pPr>
        <w:pStyle w:val="2"/>
        <w:spacing w:before="93"/>
        <w:rPr>
          <w:rFonts w:ascii="黑体" w:hAnsi="黑体" w:eastAsia="黑体"/>
        </w:rPr>
      </w:pPr>
    </w:p>
    <w:p>
      <w:pPr>
        <w:pStyle w:val="2"/>
        <w:spacing w:before="93"/>
        <w:rPr>
          <w:rFonts w:ascii="黑体" w:hAnsi="黑体" w:eastAsia="黑体"/>
        </w:rPr>
      </w:pPr>
    </w:p>
    <w:p>
      <w:pPr>
        <w:pStyle w:val="2"/>
        <w:spacing w:before="93"/>
        <w:rPr>
          <w:rFonts w:ascii="黑体" w:hAnsi="黑体" w:eastAsia="黑体"/>
        </w:rPr>
      </w:pPr>
    </w:p>
    <w:p>
      <w:pPr>
        <w:pStyle w:val="2"/>
        <w:spacing w:before="93"/>
        <w:rPr>
          <w:rFonts w:ascii="黑体" w:hAnsi="黑体" w:eastAsia="黑体"/>
        </w:rPr>
      </w:pPr>
    </w:p>
    <w:p>
      <w:pPr>
        <w:pStyle w:val="2"/>
        <w:spacing w:before="93"/>
        <w:rPr>
          <w:rFonts w:ascii="黑体" w:hAnsi="黑体" w:eastAsia="黑体"/>
        </w:rPr>
      </w:pPr>
    </w:p>
    <w:p>
      <w:pPr>
        <w:pStyle w:val="3"/>
        <w:ind w:right="440" w:firstLine="440" w:firstLineChars="100"/>
        <w:rPr>
          <w:rStyle w:val="18"/>
          <w:rFonts w:ascii="黑体" w:hAnsi="黑体" w:eastAsia="黑体"/>
          <w:b w:val="0"/>
          <w:bCs/>
        </w:rPr>
      </w:pPr>
      <w:r>
        <w:rPr>
          <w:rFonts w:hint="eastAsia" w:ascii="黑体" w:hAnsi="黑体" w:eastAsia="黑体"/>
          <w:b w:val="0"/>
        </w:rPr>
        <w:t>第二部分</w:t>
      </w:r>
      <w:r>
        <w:rPr>
          <w:rFonts w:ascii="黑体" w:hAnsi="黑体" w:eastAsia="黑体"/>
          <w:b w:val="0"/>
        </w:rPr>
        <w:t xml:space="preserve"> 2021</w:t>
      </w:r>
      <w:r>
        <w:rPr>
          <w:rFonts w:hint="eastAsia" w:ascii="黑体" w:hAnsi="黑体" w:eastAsia="黑体"/>
          <w:b w:val="0"/>
        </w:rPr>
        <w:t>年度</w:t>
      </w:r>
      <w:r>
        <w:rPr>
          <w:rStyle w:val="18"/>
          <w:rFonts w:hint="eastAsia" w:ascii="黑体" w:hAnsi="黑体" w:eastAsia="黑体"/>
          <w:b w:val="0"/>
          <w:bCs/>
        </w:rPr>
        <w:t>部门决算情况说明</w:t>
      </w:r>
      <w:bookmarkEnd w:id="20"/>
      <w:bookmarkEnd w:id="21"/>
    </w:p>
    <w:p/>
    <w:p>
      <w:pPr>
        <w:pStyle w:val="29"/>
        <w:numPr>
          <w:ilvl w:val="0"/>
          <w:numId w:val="1"/>
        </w:numPr>
        <w:spacing w:line="600" w:lineRule="exact"/>
        <w:ind w:firstLineChars="0"/>
        <w:outlineLvl w:val="1"/>
        <w:rPr>
          <w:rStyle w:val="19"/>
          <w:rFonts w:ascii="黑体" w:hAnsi="黑体" w:eastAsia="黑体"/>
          <w:b w:val="0"/>
        </w:rPr>
      </w:pPr>
      <w:bookmarkStart w:id="22" w:name="_Toc15396603"/>
      <w:bookmarkStart w:id="23" w:name="_Toc15377205"/>
      <w:r>
        <w:rPr>
          <w:rFonts w:hint="eastAsia" w:ascii="黑体" w:hAnsi="黑体" w:eastAsia="黑体"/>
          <w:sz w:val="32"/>
          <w:szCs w:val="32"/>
        </w:rPr>
        <w:t>收</w:t>
      </w:r>
      <w:r>
        <w:rPr>
          <w:rStyle w:val="19"/>
          <w:rFonts w:hint="eastAsia" w:ascii="黑体" w:hAnsi="黑体" w:eastAsia="黑体"/>
          <w:b w:val="0"/>
        </w:rPr>
        <w:t>入支出决算总体情况说明</w:t>
      </w:r>
      <w:bookmarkEnd w:id="22"/>
      <w:bookmarkEnd w:id="23"/>
    </w:p>
    <w:p>
      <w:pPr>
        <w:spacing w:line="600" w:lineRule="exact"/>
        <w:ind w:firstLine="640" w:firstLineChars="200"/>
        <w:rPr>
          <w:rFonts w:ascii="仿宋" w:hAnsi="仿宋" w:eastAsia="仿宋"/>
          <w:color w:val="000000"/>
          <w:sz w:val="32"/>
          <w:szCs w:val="32"/>
        </w:rPr>
      </w:pPr>
      <w:r>
        <w:rPr>
          <w:rFonts w:ascii="仿宋" w:hAnsi="仿宋" w:eastAsia="仿宋"/>
          <w:sz w:val="32"/>
          <w:szCs w:val="32"/>
        </w:rPr>
        <w:t>2021</w:t>
      </w:r>
      <w:r>
        <w:rPr>
          <w:rFonts w:hint="eastAsia" w:ascii="仿宋" w:hAnsi="仿宋" w:eastAsia="仿宋"/>
          <w:sz w:val="32"/>
          <w:szCs w:val="32"/>
        </w:rPr>
        <w:t>年度收、支总计137.58万元。与</w:t>
      </w:r>
      <w:r>
        <w:rPr>
          <w:rFonts w:ascii="仿宋" w:hAnsi="仿宋" w:eastAsia="仿宋"/>
          <w:sz w:val="32"/>
          <w:szCs w:val="32"/>
        </w:rPr>
        <w:t>2020</w:t>
      </w:r>
      <w:r>
        <w:rPr>
          <w:rFonts w:hint="eastAsia" w:ascii="仿宋" w:hAnsi="仿宋" w:eastAsia="仿宋"/>
          <w:sz w:val="32"/>
          <w:szCs w:val="32"/>
        </w:rPr>
        <w:t>年相比，收、支总计各增加11.8万元，增长9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olor w:val="000000"/>
          <w:sz w:val="32"/>
          <w:szCs w:val="32"/>
        </w:rPr>
        <w:t>主要变动原因是项目增加、工资普调等。</w:t>
      </w:r>
    </w:p>
    <w:p>
      <w:pPr>
        <w:pStyle w:val="2"/>
        <w:spacing w:before="93"/>
        <w:rPr>
          <w:rFonts w:ascii="仿宋" w:hAnsi="仿宋" w:eastAsia="仿宋"/>
          <w:sz w:val="32"/>
          <w:szCs w:val="32"/>
        </w:rPr>
      </w:pPr>
      <w:r>
        <w:pict>
          <v:shape id="_x0000_i1025" o:spt="75" type="#_x0000_t75" style="height:243pt;width:411pt;" filled="f" o:preferrelative="t" stroked="f" coordsize="21600,21600">
            <v:path/>
            <v:fill on="f" focussize="0,0"/>
            <v:stroke on="f"/>
            <v:imagedata r:id="rId6" o:title=""/>
            <o:lock v:ext="edit" aspectratio="t"/>
            <w10:wrap type="none"/>
            <w10:anchorlock/>
          </v:shape>
        </w:pict>
      </w:r>
    </w:p>
    <w:p>
      <w:pPr>
        <w:spacing w:line="600" w:lineRule="exact"/>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9"/>
        <w:numPr>
          <w:ilvl w:val="0"/>
          <w:numId w:val="1"/>
        </w:numPr>
        <w:spacing w:line="600" w:lineRule="exact"/>
        <w:ind w:firstLineChars="0"/>
        <w:outlineLvl w:val="1"/>
        <w:rPr>
          <w:rStyle w:val="19"/>
          <w:rFonts w:ascii="黑体" w:hAnsi="黑体" w:eastAsia="黑体"/>
          <w:b w:val="0"/>
        </w:rPr>
      </w:pPr>
      <w:bookmarkStart w:id="24" w:name="_Toc15377206"/>
      <w:bookmarkStart w:id="25" w:name="_Toc15396604"/>
      <w:r>
        <w:rPr>
          <w:rFonts w:hint="eastAsia" w:ascii="黑体" w:hAnsi="黑体" w:eastAsia="黑体"/>
          <w:sz w:val="32"/>
          <w:szCs w:val="32"/>
        </w:rPr>
        <w:t>收</w:t>
      </w:r>
      <w:r>
        <w:rPr>
          <w:rStyle w:val="19"/>
          <w:rFonts w:hint="eastAsia" w:ascii="黑体" w:hAnsi="黑体" w:eastAsia="黑体"/>
          <w:b w:val="0"/>
        </w:rPr>
        <w:t>入决算情况说明</w:t>
      </w:r>
      <w:bookmarkEnd w:id="24"/>
      <w:bookmarkEnd w:id="25"/>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年本年收入合计137.58万元，其中：一般公共预算财政拨款收入137.58万元，占100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p>
    <w:p>
      <w:pPr>
        <w:pStyle w:val="2"/>
        <w:spacing w:before="93"/>
      </w:pPr>
    </w:p>
    <w:p>
      <w:pPr>
        <w:pStyle w:val="2"/>
        <w:spacing w:before="93"/>
        <w:rPr>
          <w:rFonts w:ascii="仿宋" w:hAnsi="仿宋" w:eastAsia="仿宋"/>
          <w:color w:val="FF0000"/>
          <w:sz w:val="32"/>
          <w:szCs w:val="32"/>
        </w:rPr>
      </w:pPr>
      <w:r>
        <w:pict>
          <v:shape id="_x0000_i1026" o:spt="75" type="#_x0000_t75" style="height:171pt;width:362.25pt;" filled="f" o:preferrelative="t" stroked="f" coordsize="21600,21600">
            <v:path/>
            <v:fill on="f" focussize="0,0"/>
            <v:stroke on="f" joinstyle="miter"/>
            <v:imagedata r:id="rId7" o:title=""/>
            <o:lock v:ext="edit" aspectratio="t"/>
            <w10:wrap type="none"/>
            <w10:anchorlock/>
          </v:shape>
        </w:pict>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2</w:t>
      </w:r>
      <w:r>
        <w:rPr>
          <w:rFonts w:hint="eastAsia" w:ascii="仿宋" w:hAnsi="仿宋" w:eastAsia="仿宋"/>
          <w:sz w:val="32"/>
          <w:szCs w:val="32"/>
        </w:rPr>
        <w:t>：收入决算结构图）（饼状图）</w:t>
      </w:r>
    </w:p>
    <w:p>
      <w:pPr>
        <w:pStyle w:val="29"/>
        <w:numPr>
          <w:ilvl w:val="0"/>
          <w:numId w:val="1"/>
        </w:numPr>
        <w:spacing w:line="600" w:lineRule="exact"/>
        <w:ind w:firstLineChars="0"/>
        <w:outlineLvl w:val="1"/>
        <w:rPr>
          <w:rStyle w:val="19"/>
          <w:rFonts w:ascii="黑体" w:hAnsi="黑体" w:eastAsia="黑体"/>
          <w:b w:val="0"/>
        </w:rPr>
      </w:pPr>
      <w:bookmarkStart w:id="26" w:name="_Toc15396605"/>
      <w:bookmarkStart w:id="27" w:name="_Toc15377207"/>
      <w:r>
        <w:rPr>
          <w:rFonts w:hint="eastAsia" w:ascii="黑体" w:hAnsi="黑体" w:eastAsia="黑体"/>
          <w:sz w:val="32"/>
          <w:szCs w:val="32"/>
        </w:rPr>
        <w:t>支</w:t>
      </w:r>
      <w:r>
        <w:rPr>
          <w:rStyle w:val="19"/>
          <w:rFonts w:hint="eastAsia" w:ascii="黑体" w:hAnsi="黑体" w:eastAsia="黑体"/>
          <w:b w:val="0"/>
        </w:rPr>
        <w:t>出决算情况说明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年本年支出合计137.58万元，其中：基本支出106.31万元，占77</w:t>
      </w:r>
      <w:r>
        <w:rPr>
          <w:rFonts w:ascii="仿宋" w:hAnsi="仿宋" w:eastAsia="仿宋"/>
          <w:sz w:val="32"/>
          <w:szCs w:val="32"/>
        </w:rPr>
        <w:t>%</w:t>
      </w:r>
      <w:r>
        <w:rPr>
          <w:rFonts w:hint="eastAsia" w:ascii="仿宋" w:hAnsi="仿宋" w:eastAsia="仿宋"/>
          <w:sz w:val="32"/>
          <w:szCs w:val="32"/>
        </w:rPr>
        <w:t>；项目支出31.27万元，占23</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ind w:firstLine="641"/>
        <w:rPr>
          <w:rFonts w:ascii="仿宋" w:hAnsi="仿宋" w:eastAsia="仿宋"/>
          <w:sz w:val="32"/>
          <w:szCs w:val="32"/>
          <w:shd w:val="pct10" w:color="auto" w:fill="FFFFFF"/>
        </w:rPr>
      </w:pPr>
      <w:r>
        <w:pict>
          <v:shape id="_x0000_i1027" o:spt="75" type="#_x0000_t75" style="height:170.25pt;width:362.25pt;" filled="f" o:preferrelative="t" stroked="f" coordsize="21600,21600">
            <v:path/>
            <v:fill on="f" focussize="0,0"/>
            <v:stroke on="f" joinstyle="miter"/>
            <v:imagedata r:id="rId8" o:title=""/>
            <o:lock v:ext="edit" aspectratio="t"/>
            <w10:wrap type="none"/>
            <w10:anchorlock/>
          </v:shape>
        </w:pict>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3</w:t>
      </w:r>
      <w:r>
        <w:rPr>
          <w:rFonts w:hint="eastAsia" w:ascii="仿宋" w:hAnsi="仿宋" w:eastAsia="仿宋"/>
          <w:sz w:val="32"/>
          <w:szCs w:val="32"/>
        </w:rPr>
        <w:t>：支出决算结构图）（饼状图）</w:t>
      </w:r>
    </w:p>
    <w:p>
      <w:pPr>
        <w:spacing w:line="600" w:lineRule="exact"/>
        <w:ind w:firstLine="640" w:firstLineChars="200"/>
        <w:outlineLvl w:val="1"/>
        <w:rPr>
          <w:rStyle w:val="19"/>
          <w:rFonts w:ascii="黑体" w:hAnsi="黑体" w:eastAsia="黑体"/>
          <w:b w:val="0"/>
        </w:rPr>
      </w:pPr>
      <w:bookmarkStart w:id="28" w:name="_Toc15377208"/>
      <w:bookmarkStart w:id="29" w:name="_Toc15396606"/>
      <w:r>
        <w:rPr>
          <w:rFonts w:hint="eastAsia" w:ascii="黑体" w:hAnsi="黑体" w:eastAsia="黑体"/>
          <w:sz w:val="32"/>
          <w:szCs w:val="32"/>
        </w:rPr>
        <w:t>四、财</w:t>
      </w:r>
      <w:r>
        <w:rPr>
          <w:rStyle w:val="19"/>
          <w:rFonts w:hint="eastAsia" w:ascii="黑体" w:hAnsi="黑体" w:eastAsia="黑体"/>
          <w:b w:val="0"/>
        </w:rPr>
        <w:t>政拨款收入支出决算总体情况说明</w:t>
      </w:r>
      <w:bookmarkEnd w:id="28"/>
      <w:bookmarkEnd w:id="29"/>
    </w:p>
    <w:p>
      <w:pPr>
        <w:spacing w:line="600" w:lineRule="exact"/>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年财政拨款收、支总计137.58万元。与</w:t>
      </w:r>
      <w:r>
        <w:rPr>
          <w:rFonts w:ascii="仿宋" w:hAnsi="仿宋" w:eastAsia="仿宋"/>
          <w:sz w:val="32"/>
          <w:szCs w:val="32"/>
        </w:rPr>
        <w:t>2020</w:t>
      </w:r>
      <w:r>
        <w:rPr>
          <w:rFonts w:hint="eastAsia" w:ascii="仿宋" w:hAnsi="仿宋" w:eastAsia="仿宋"/>
          <w:sz w:val="32"/>
          <w:szCs w:val="32"/>
        </w:rPr>
        <w:t>年相比，财政拨款收、支总计各增加11.8万元，增长9</w:t>
      </w:r>
      <w:r>
        <w:rPr>
          <w:rFonts w:ascii="仿宋" w:hAnsi="仿宋" w:eastAsia="仿宋"/>
          <w:sz w:val="32"/>
          <w:szCs w:val="32"/>
        </w:rPr>
        <w:t>%</w:t>
      </w:r>
      <w:r>
        <w:rPr>
          <w:rFonts w:hint="eastAsia" w:ascii="仿宋" w:hAnsi="仿宋" w:eastAsia="仿宋"/>
          <w:sz w:val="32"/>
          <w:szCs w:val="32"/>
        </w:rPr>
        <w:t>。主要变动原因是人员工资</w:t>
      </w:r>
      <w:r>
        <w:rPr>
          <w:rFonts w:hint="eastAsia" w:ascii="仿宋" w:hAnsi="仿宋" w:eastAsia="仿宋"/>
          <w:sz w:val="32"/>
          <w:szCs w:val="32"/>
          <w:lang w:eastAsia="zh-CN"/>
        </w:rPr>
        <w:t>普调</w:t>
      </w:r>
      <w:r>
        <w:rPr>
          <w:rFonts w:hint="eastAsia" w:ascii="仿宋" w:hAnsi="仿宋" w:eastAsia="仿宋"/>
          <w:sz w:val="32"/>
          <w:szCs w:val="32"/>
        </w:rPr>
        <w:t>，项目增加。</w:t>
      </w:r>
    </w:p>
    <w:p>
      <w:pPr>
        <w:rPr>
          <w:rFonts w:ascii="仿宋" w:hAnsi="仿宋" w:eastAsia="仿宋"/>
          <w:sz w:val="32"/>
          <w:szCs w:val="32"/>
        </w:rPr>
      </w:pPr>
      <w:r>
        <w:pict>
          <v:shape id="_x0000_i1028" o:spt="75" type="#_x0000_t75" style="height:205.5pt;width:414.75pt;" filled="f" o:preferrelative="t" stroked="f" coordsize="21600,21600">
            <v:path/>
            <v:fill on="f" focussize="0,0"/>
            <v:stroke on="f" joinstyle="miter"/>
            <v:imagedata r:id="rId9" o:title=""/>
            <o:lock v:ext="edit" aspectratio="t"/>
            <w10:wrap type="none"/>
            <w10:anchorlock/>
          </v:shape>
        </w:pic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4</w:t>
      </w:r>
      <w:r>
        <w:rPr>
          <w:rFonts w:hint="eastAsia" w:ascii="仿宋" w:hAnsi="仿宋" w:eastAsia="仿宋"/>
          <w:sz w:val="32"/>
          <w:szCs w:val="32"/>
        </w:rPr>
        <w:t>：财政拨款收、支决算总计变动情况）（柱状图）</w:t>
      </w:r>
    </w:p>
    <w:p>
      <w:pPr>
        <w:spacing w:line="600" w:lineRule="exact"/>
        <w:ind w:firstLine="960" w:firstLineChars="300"/>
        <w:outlineLvl w:val="1"/>
        <w:rPr>
          <w:rStyle w:val="19"/>
          <w:rFonts w:ascii="黑体" w:hAnsi="黑体" w:eastAsia="黑体"/>
          <w:b w:val="0"/>
        </w:rPr>
      </w:pPr>
      <w:bookmarkStart w:id="30" w:name="_Toc15396607"/>
      <w:bookmarkStart w:id="31" w:name="_Toc15377209"/>
      <w:r>
        <w:rPr>
          <w:rFonts w:hint="eastAsia" w:ascii="黑体" w:hAnsi="黑体" w:eastAsia="黑体"/>
          <w:sz w:val="32"/>
          <w:szCs w:val="32"/>
        </w:rPr>
        <w:t>五、</w:t>
      </w:r>
      <w:r>
        <w:rPr>
          <w:rFonts w:hint="eastAsia" w:ascii="黑体" w:hAnsi="黑体" w:eastAsia="黑体"/>
          <w:b/>
          <w:sz w:val="32"/>
          <w:szCs w:val="32"/>
        </w:rPr>
        <w:t>一</w:t>
      </w:r>
      <w:r>
        <w:rPr>
          <w:rStyle w:val="19"/>
          <w:rFonts w:hint="eastAsia" w:ascii="黑体" w:hAnsi="黑体" w:eastAsia="黑体"/>
          <w:b w:val="0"/>
        </w:rPr>
        <w:t>般公共预算财政拨款支出决算情况说明</w:t>
      </w:r>
      <w:bookmarkEnd w:id="30"/>
      <w:bookmarkEnd w:id="31"/>
    </w:p>
    <w:p>
      <w:pPr>
        <w:spacing w:line="600" w:lineRule="exact"/>
        <w:ind w:firstLine="642" w:firstLineChars="200"/>
        <w:outlineLvl w:val="2"/>
        <w:rPr>
          <w:rFonts w:ascii="仿宋" w:hAnsi="仿宋" w:eastAsia="仿宋"/>
          <w:b/>
          <w:sz w:val="32"/>
          <w:szCs w:val="32"/>
        </w:rPr>
      </w:pPr>
      <w:bookmarkStart w:id="32" w:name="_Toc15377210"/>
      <w:r>
        <w:rPr>
          <w:rFonts w:hint="eastAsia" w:ascii="仿宋" w:hAnsi="仿宋" w:eastAsia="仿宋"/>
          <w:b/>
          <w:sz w:val="32"/>
          <w:szCs w:val="32"/>
        </w:rPr>
        <w:t>（一）一般公共预算财政拨款支出决算总体情况</w:t>
      </w:r>
      <w:bookmarkEnd w:id="32"/>
    </w:p>
    <w:p>
      <w:pPr>
        <w:spacing w:line="600" w:lineRule="exact"/>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年一般公共预算财政拨款支出137.58万元，占本年支出合计的100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2020</w:t>
      </w:r>
      <w:r>
        <w:rPr>
          <w:rFonts w:hint="eastAsia" w:ascii="仿宋" w:hAnsi="仿宋" w:eastAsia="仿宋"/>
          <w:sz w:val="32"/>
          <w:szCs w:val="32"/>
        </w:rPr>
        <w:t>年相比，一般公共预算财政拨款支出增加11.8万元，增长9</w:t>
      </w:r>
      <w:r>
        <w:rPr>
          <w:rFonts w:ascii="仿宋" w:hAnsi="仿宋" w:eastAsia="仿宋"/>
          <w:sz w:val="32"/>
          <w:szCs w:val="32"/>
        </w:rPr>
        <w:t>%</w:t>
      </w:r>
      <w:r>
        <w:rPr>
          <w:rFonts w:hint="eastAsia" w:ascii="仿宋" w:hAnsi="仿宋" w:eastAsia="仿宋"/>
          <w:sz w:val="32"/>
          <w:szCs w:val="32"/>
        </w:rPr>
        <w:t>。主要变动原因是人员工资</w:t>
      </w:r>
      <w:r>
        <w:rPr>
          <w:rFonts w:hint="eastAsia" w:ascii="仿宋" w:hAnsi="仿宋" w:eastAsia="仿宋"/>
          <w:sz w:val="32"/>
          <w:szCs w:val="32"/>
          <w:lang w:eastAsia="zh-CN"/>
        </w:rPr>
        <w:t>普调</w:t>
      </w:r>
      <w:r>
        <w:rPr>
          <w:rFonts w:hint="eastAsia" w:ascii="仿宋" w:hAnsi="仿宋" w:eastAsia="仿宋"/>
          <w:sz w:val="32"/>
          <w:szCs w:val="32"/>
        </w:rPr>
        <w:t>，项目增加。</w:t>
      </w:r>
    </w:p>
    <w:p>
      <w:pPr>
        <w:ind w:firstLine="420" w:firstLineChars="200"/>
      </w:pPr>
      <w:r>
        <w:pict>
          <v:shape id="_x0000_i1029" o:spt="75" type="#_x0000_t75" style="height:158.25pt;width:397.5pt;" filled="f" o:preferrelative="t" stroked="f" coordsize="21600,21600">
            <v:path/>
            <v:fill on="f" focussize="0,0"/>
            <v:stroke on="f" joinstyle="miter"/>
            <v:imagedata r:id="rId10" o:title=""/>
            <o:lock v:ext="edit" aspectratio="t"/>
            <w10:wrap type="none"/>
            <w10:anchorlock/>
          </v:shape>
        </w:pict>
      </w:r>
    </w:p>
    <w:p>
      <w:pP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5</w:t>
      </w:r>
      <w:r>
        <w:rPr>
          <w:rFonts w:hint="eastAsia" w:ascii="仿宋" w:hAnsi="仿宋" w:eastAsia="仿宋"/>
          <w:sz w:val="32"/>
          <w:szCs w:val="32"/>
        </w:rPr>
        <w:t>：一般公共预算财政拨款支出决算变动情况（柱状图）</w:t>
      </w:r>
    </w:p>
    <w:p>
      <w:pPr>
        <w:spacing w:line="600" w:lineRule="exact"/>
        <w:ind w:firstLine="642" w:firstLineChars="200"/>
        <w:outlineLvl w:val="2"/>
        <w:rPr>
          <w:rFonts w:ascii="仿宋" w:hAnsi="仿宋" w:eastAsia="仿宋"/>
          <w:b/>
          <w:sz w:val="32"/>
          <w:szCs w:val="32"/>
        </w:rPr>
      </w:pPr>
      <w:bookmarkStart w:id="33" w:name="_Toc15377211"/>
      <w:r>
        <w:rPr>
          <w:rFonts w:hint="eastAsia" w:ascii="仿宋" w:hAnsi="仿宋" w:eastAsia="仿宋"/>
          <w:b/>
          <w:sz w:val="32"/>
          <w:szCs w:val="32"/>
        </w:rPr>
        <w:t>（二）一般公共预算财政拨款支出决算结构情况</w:t>
      </w:r>
      <w:bookmarkEnd w:id="33"/>
    </w:p>
    <w:p>
      <w:pPr>
        <w:spacing w:line="600" w:lineRule="exact"/>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年一般公共预算财政拨款支出137.58万元，主要用于以下方面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支出115.45万元，占84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占0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支出8.72万元，占6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w:t>
      </w:r>
      <w:r>
        <w:rPr>
          <w:rFonts w:hint="eastAsia" w:ascii="仿宋" w:hAnsi="仿宋" w:eastAsia="仿宋"/>
          <w:b/>
          <w:sz w:val="32"/>
          <w:szCs w:val="32"/>
        </w:rPr>
        <w:t>（类）</w:t>
      </w:r>
      <w:r>
        <w:rPr>
          <w:rFonts w:hint="eastAsia" w:ascii="仿宋" w:hAnsi="仿宋" w:eastAsia="仿宋"/>
          <w:sz w:val="32"/>
          <w:szCs w:val="32"/>
        </w:rPr>
        <w:t>支出4.57万元，占3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w:t>
      </w:r>
      <w:r>
        <w:rPr>
          <w:rFonts w:hint="eastAsia" w:ascii="仿宋" w:hAnsi="仿宋" w:eastAsia="仿宋"/>
          <w:b/>
          <w:sz w:val="32"/>
          <w:szCs w:val="32"/>
        </w:rPr>
        <w:t>（类）</w:t>
      </w:r>
      <w:r>
        <w:rPr>
          <w:rFonts w:hint="eastAsia" w:ascii="仿宋" w:hAnsi="仿宋" w:eastAsia="仿宋"/>
          <w:sz w:val="32"/>
          <w:szCs w:val="32"/>
        </w:rPr>
        <w:t>支出8.84万元，占7</w:t>
      </w:r>
      <w:r>
        <w:rPr>
          <w:rFonts w:ascii="仿宋" w:hAnsi="仿宋" w:eastAsia="仿宋"/>
          <w:sz w:val="32"/>
          <w:szCs w:val="32"/>
        </w:rPr>
        <w:t>%</w:t>
      </w:r>
      <w:r>
        <w:rPr>
          <w:rFonts w:hint="eastAsia" w:ascii="仿宋" w:hAnsi="仿宋" w:eastAsia="仿宋"/>
          <w:sz w:val="32"/>
          <w:szCs w:val="32"/>
        </w:rPr>
        <w:t>。</w:t>
      </w:r>
    </w:p>
    <w:p>
      <w:pPr>
        <w:ind w:firstLine="641"/>
        <w:rPr>
          <w:rFonts w:ascii="仿宋" w:hAnsi="仿宋" w:eastAsia="仿宋"/>
          <w:sz w:val="32"/>
          <w:szCs w:val="32"/>
        </w:rPr>
      </w:pPr>
      <w:r>
        <w:pict>
          <v:shape id="_x0000_i1030" o:spt="75" type="#_x0000_t75" style="height:173.25pt;width:362.25pt;" filled="f" o:preferrelative="t" stroked="f" coordsize="21600,21600">
            <v:path/>
            <v:fill on="f" focussize="0,0"/>
            <v:stroke on="f" joinstyle="miter"/>
            <v:imagedata r:id="rId11" o:title=""/>
            <o:lock v:ext="edit" aspectratio="t"/>
            <w10:wrap type="none"/>
            <w10:anchorlock/>
          </v:shape>
        </w:pic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6</w:t>
      </w:r>
      <w:r>
        <w:rPr>
          <w:rFonts w:hint="eastAsia" w:ascii="仿宋" w:hAnsi="仿宋" w:eastAsia="仿宋"/>
          <w:sz w:val="32"/>
          <w:szCs w:val="32"/>
        </w:rPr>
        <w:t>：一般公共预算财政拨款支出决算结构）（饼状图）</w:t>
      </w:r>
    </w:p>
    <w:p>
      <w:pPr>
        <w:spacing w:line="600" w:lineRule="exact"/>
        <w:ind w:firstLine="642" w:firstLineChars="200"/>
        <w:outlineLvl w:val="2"/>
        <w:rPr>
          <w:rFonts w:ascii="仿宋" w:hAnsi="仿宋" w:eastAsia="仿宋"/>
          <w:b/>
          <w:sz w:val="32"/>
          <w:szCs w:val="32"/>
        </w:rPr>
      </w:pPr>
      <w:bookmarkStart w:id="34" w:name="_Toc15377212"/>
      <w:r>
        <w:rPr>
          <w:rFonts w:hint="eastAsia" w:ascii="仿宋" w:hAnsi="仿宋" w:eastAsia="仿宋"/>
          <w:b/>
          <w:sz w:val="32"/>
          <w:szCs w:val="32"/>
        </w:rPr>
        <w:t>（三）一般公共预算财政拨款支出决算具体情况</w:t>
      </w:r>
      <w:bookmarkEnd w:id="34"/>
    </w:p>
    <w:p>
      <w:pPr>
        <w:spacing w:line="600" w:lineRule="exact"/>
        <w:ind w:firstLine="642" w:firstLineChars="200"/>
        <w:outlineLvl w:val="2"/>
        <w:rPr>
          <w:rFonts w:ascii="仿宋" w:hAnsi="仿宋" w:eastAsia="仿宋"/>
          <w:sz w:val="32"/>
          <w:szCs w:val="32"/>
        </w:rPr>
      </w:pPr>
      <w:bookmarkStart w:id="35" w:name="_Toc15377213"/>
      <w:bookmarkStart w:id="36" w:name="_Toc15377444"/>
      <w:bookmarkStart w:id="37" w:name="_Toc15378460"/>
      <w:r>
        <w:rPr>
          <w:rFonts w:ascii="仿宋" w:hAnsi="仿宋" w:eastAsia="仿宋"/>
          <w:b/>
          <w:sz w:val="32"/>
          <w:szCs w:val="32"/>
        </w:rPr>
        <w:t>2021</w:t>
      </w:r>
      <w:r>
        <w:rPr>
          <w:rFonts w:hint="eastAsia" w:ascii="仿宋" w:hAnsi="仿宋" w:eastAsia="仿宋"/>
          <w:b/>
          <w:sz w:val="32"/>
          <w:szCs w:val="32"/>
        </w:rPr>
        <w:t>年一般公共预算支出决算数为137.58万元</w:t>
      </w:r>
      <w:r>
        <w:rPr>
          <w:rFonts w:hint="eastAsia" w:ascii="仿宋" w:hAnsi="仿宋" w:eastAsia="仿宋"/>
          <w:sz w:val="32"/>
          <w:szCs w:val="32"/>
        </w:rPr>
        <w:t>，</w:t>
      </w:r>
      <w:r>
        <w:rPr>
          <w:rStyle w:val="16"/>
          <w:rFonts w:hint="eastAsia" w:ascii="仿宋" w:hAnsi="仿宋" w:eastAsia="仿宋"/>
          <w:bCs/>
          <w:sz w:val="32"/>
          <w:szCs w:val="32"/>
        </w:rPr>
        <w:t>完成预算100</w:t>
      </w:r>
      <w:r>
        <w:rPr>
          <w:rStyle w:val="16"/>
          <w:rFonts w:ascii="仿宋" w:hAnsi="仿宋" w:eastAsia="仿宋"/>
          <w:bCs/>
          <w:sz w:val="32"/>
          <w:szCs w:val="32"/>
        </w:rPr>
        <w:t>%</w:t>
      </w:r>
      <w:r>
        <w:rPr>
          <w:rStyle w:val="16"/>
          <w:rFonts w:hint="eastAsia" w:ascii="仿宋" w:hAnsi="仿宋" w:eastAsia="仿宋"/>
          <w:bCs/>
          <w:sz w:val="32"/>
          <w:szCs w:val="32"/>
        </w:rPr>
        <w:t>。其中：</w:t>
      </w:r>
      <w:bookmarkEnd w:id="35"/>
      <w:bookmarkEnd w:id="36"/>
      <w:bookmarkEnd w:id="37"/>
    </w:p>
    <w:p>
      <w:pPr>
        <w:spacing w:line="600" w:lineRule="exact"/>
        <w:ind w:firstLine="642" w:firstLineChars="200"/>
        <w:rPr>
          <w:rFonts w:ascii="仿宋" w:hAnsi="仿宋" w:eastAsia="仿宋"/>
          <w:b/>
          <w:sz w:val="32"/>
          <w:szCs w:val="32"/>
        </w:rPr>
      </w:pPr>
      <w:r>
        <w:rPr>
          <w:rStyle w:val="16"/>
          <w:rFonts w:ascii="仿宋" w:hAnsi="仿宋" w:eastAsia="仿宋"/>
          <w:bCs/>
          <w:sz w:val="32"/>
          <w:szCs w:val="32"/>
        </w:rPr>
        <w:t>1</w:t>
      </w:r>
      <w:r>
        <w:rPr>
          <w:rFonts w:hint="eastAsia" w:ascii="仿宋_GB2312" w:hAnsi="宋体" w:eastAsia="仿宋_GB2312"/>
          <w:sz w:val="32"/>
          <w:szCs w:val="32"/>
          <w:lang w:val="zh-CN"/>
        </w:rPr>
        <w:t>．</w:t>
      </w:r>
      <w:r>
        <w:rPr>
          <w:rStyle w:val="16"/>
          <w:rFonts w:hint="eastAsia" w:ascii="仿宋" w:hAnsi="仿宋" w:eastAsia="仿宋"/>
          <w:bCs/>
          <w:sz w:val="32"/>
          <w:szCs w:val="32"/>
        </w:rPr>
        <w:t>一般公共服务（类）20131（款）01（项）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支出决算为84.18万元，完成预算100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，决算数等于预算数。</w:t>
      </w:r>
    </w:p>
    <w:p>
      <w:pPr>
        <w:spacing w:line="600" w:lineRule="exact"/>
        <w:ind w:firstLine="642" w:firstLineChars="200"/>
        <w:rPr>
          <w:rFonts w:ascii="仿宋" w:hAnsi="仿宋" w:eastAsia="仿宋"/>
          <w:b/>
          <w:sz w:val="32"/>
          <w:szCs w:val="32"/>
        </w:rPr>
      </w:pPr>
      <w:r>
        <w:rPr>
          <w:rStyle w:val="16"/>
          <w:rFonts w:hint="eastAsia" w:ascii="仿宋" w:hAnsi="仿宋" w:eastAsia="仿宋"/>
          <w:bCs/>
          <w:sz w:val="32"/>
          <w:szCs w:val="32"/>
        </w:rPr>
        <w:t>2</w:t>
      </w:r>
      <w:r>
        <w:rPr>
          <w:rFonts w:hint="eastAsia" w:ascii="仿宋_GB2312" w:hAnsi="宋体" w:eastAsia="仿宋_GB2312"/>
          <w:sz w:val="32"/>
          <w:szCs w:val="32"/>
          <w:lang w:val="zh-CN"/>
        </w:rPr>
        <w:t>．</w:t>
      </w:r>
      <w:r>
        <w:rPr>
          <w:rStyle w:val="16"/>
          <w:rFonts w:hint="eastAsia" w:ascii="仿宋" w:hAnsi="仿宋" w:eastAsia="仿宋"/>
          <w:bCs/>
          <w:sz w:val="32"/>
          <w:szCs w:val="32"/>
        </w:rPr>
        <w:t>一般公共服务（类）20131（款）02（项）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支出决算为31.27万元，完成预算100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，决算数等于预算数。</w:t>
      </w:r>
    </w:p>
    <w:p>
      <w:pPr>
        <w:spacing w:line="600" w:lineRule="exact"/>
        <w:ind w:firstLine="642" w:firstLineChars="200"/>
        <w:rPr>
          <w:rFonts w:ascii="仿宋" w:hAnsi="仿宋" w:eastAsia="仿宋"/>
          <w:b/>
          <w:sz w:val="32"/>
          <w:szCs w:val="32"/>
        </w:rPr>
      </w:pPr>
      <w:r>
        <w:rPr>
          <w:rStyle w:val="16"/>
          <w:rFonts w:hint="eastAsia" w:ascii="仿宋" w:hAnsi="仿宋" w:eastAsia="仿宋"/>
          <w:bCs/>
          <w:sz w:val="32"/>
          <w:szCs w:val="32"/>
        </w:rPr>
        <w:t>3</w:t>
      </w:r>
      <w:r>
        <w:rPr>
          <w:rFonts w:hint="eastAsia" w:ascii="仿宋_GB2312" w:hAnsi="宋体" w:eastAsia="仿宋_GB2312"/>
          <w:sz w:val="32"/>
          <w:szCs w:val="32"/>
          <w:lang w:val="zh-CN"/>
        </w:rPr>
        <w:t>．</w:t>
      </w:r>
      <w:r>
        <w:rPr>
          <w:rStyle w:val="16"/>
          <w:rFonts w:hint="eastAsia" w:ascii="仿宋" w:hAnsi="仿宋" w:eastAsia="仿宋"/>
          <w:bCs/>
          <w:sz w:val="32"/>
          <w:szCs w:val="32"/>
        </w:rPr>
        <w:t>社会保障和就业（类）20805（款）05（项）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支出决算为8.72万元，完成预算100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，决算数等于预算数。</w:t>
      </w:r>
    </w:p>
    <w:p>
      <w:pPr>
        <w:spacing w:line="600" w:lineRule="exact"/>
        <w:ind w:firstLine="642" w:firstLineChars="200"/>
        <w:rPr>
          <w:rStyle w:val="16"/>
          <w:rFonts w:ascii="仿宋" w:hAnsi="仿宋" w:eastAsia="仿宋"/>
          <w:b w:val="0"/>
          <w:bCs/>
          <w:sz w:val="32"/>
          <w:szCs w:val="32"/>
        </w:rPr>
      </w:pPr>
      <w:r>
        <w:rPr>
          <w:rStyle w:val="16"/>
          <w:rFonts w:hint="eastAsia" w:ascii="仿宋" w:hAnsi="仿宋" w:eastAsia="仿宋"/>
          <w:bCs/>
          <w:sz w:val="32"/>
          <w:szCs w:val="32"/>
        </w:rPr>
        <w:t>4</w:t>
      </w:r>
      <w:r>
        <w:rPr>
          <w:rFonts w:hint="eastAsia" w:ascii="仿宋_GB2312" w:hAnsi="宋体" w:eastAsia="仿宋_GB2312"/>
          <w:sz w:val="32"/>
          <w:szCs w:val="32"/>
          <w:lang w:val="zh-CN"/>
        </w:rPr>
        <w:t>．</w:t>
      </w:r>
      <w:r>
        <w:rPr>
          <w:rFonts w:hint="eastAsia" w:ascii="仿宋" w:hAnsi="仿宋" w:eastAsia="仿宋"/>
          <w:b/>
          <w:bCs/>
          <w:sz w:val="32"/>
          <w:szCs w:val="32"/>
        </w:rPr>
        <w:t>卫生健康</w:t>
      </w:r>
      <w:r>
        <w:rPr>
          <w:rStyle w:val="16"/>
          <w:rFonts w:hint="eastAsia" w:ascii="仿宋" w:hAnsi="仿宋" w:eastAsia="仿宋"/>
          <w:bCs/>
          <w:sz w:val="32"/>
          <w:szCs w:val="32"/>
        </w:rPr>
        <w:t>（类）21011（款）01（项）</w:t>
      </w:r>
      <w:r>
        <w:rPr>
          <w:rStyle w:val="16"/>
          <w:rFonts w:ascii="仿宋" w:hAnsi="仿宋" w:eastAsia="仿宋"/>
          <w:bCs/>
          <w:sz w:val="32"/>
          <w:szCs w:val="32"/>
        </w:rPr>
        <w:t>:</w:t>
      </w:r>
      <w:r>
        <w:rPr>
          <w:rStyle w:val="16"/>
          <w:rFonts w:hint="eastAsia" w:ascii="仿宋" w:hAnsi="仿宋" w:eastAsia="仿宋"/>
          <w:b w:val="0"/>
          <w:bCs/>
          <w:sz w:val="32"/>
          <w:szCs w:val="32"/>
        </w:rPr>
        <w:t>支出决算为4.57万元，完成预算100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，决算数等于预算数。</w:t>
      </w:r>
    </w:p>
    <w:p>
      <w:pPr>
        <w:spacing w:line="600" w:lineRule="exact"/>
        <w:ind w:firstLine="642" w:firstLineChars="200"/>
        <w:rPr>
          <w:rStyle w:val="16"/>
          <w:rFonts w:ascii="仿宋" w:hAnsi="仿宋" w:eastAsia="仿宋"/>
          <w:b w:val="0"/>
          <w:bCs/>
          <w:sz w:val="32"/>
          <w:szCs w:val="32"/>
        </w:rPr>
      </w:pPr>
      <w:r>
        <w:rPr>
          <w:rStyle w:val="16"/>
          <w:rFonts w:hint="eastAsia" w:ascii="仿宋" w:hAnsi="仿宋" w:eastAsia="仿宋"/>
          <w:sz w:val="32"/>
          <w:szCs w:val="32"/>
        </w:rPr>
        <w:t>5.住房保障（类）22102</w:t>
      </w:r>
      <w:r>
        <w:rPr>
          <w:rStyle w:val="16"/>
          <w:rFonts w:hint="eastAsia" w:ascii="仿宋" w:hAnsi="仿宋" w:eastAsia="仿宋"/>
          <w:bCs/>
          <w:sz w:val="32"/>
          <w:szCs w:val="32"/>
        </w:rPr>
        <w:t>（款）01（项）：</w:t>
      </w:r>
      <w:r>
        <w:rPr>
          <w:rStyle w:val="16"/>
          <w:rFonts w:hint="eastAsia" w:ascii="仿宋" w:hAnsi="仿宋" w:eastAsia="仿宋"/>
          <w:b w:val="0"/>
          <w:bCs/>
          <w:sz w:val="32"/>
          <w:szCs w:val="32"/>
        </w:rPr>
        <w:t>出决算为8.84万元，完成预算100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，决算数等于预算数。</w:t>
      </w:r>
    </w:p>
    <w:p>
      <w:pPr>
        <w:tabs>
          <w:tab w:val="right" w:pos="8306"/>
        </w:tabs>
        <w:spacing w:line="600" w:lineRule="exact"/>
        <w:ind w:firstLine="640" w:firstLineChars="200"/>
        <w:outlineLvl w:val="1"/>
        <w:rPr>
          <w:rStyle w:val="19"/>
        </w:rPr>
      </w:pPr>
      <w:bookmarkStart w:id="38" w:name="_Toc15377214"/>
      <w:bookmarkStart w:id="39"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19"/>
          <w:rFonts w:hint="eastAsia" w:ascii="黑体" w:hAnsi="黑体" w:eastAsia="黑体"/>
          <w:b w:val="0"/>
        </w:rPr>
        <w:t>般公共预算财政拨款基本支出决算情况说明</w:t>
      </w:r>
      <w:bookmarkEnd w:id="38"/>
      <w:bookmarkEnd w:id="39"/>
      <w:r>
        <w:rPr>
          <w:rStyle w:val="19"/>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年一般公共预算财政拨款基本支出106.31万元，其中：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color w:val="000000"/>
          <w:sz w:val="32"/>
          <w:szCs w:val="32"/>
        </w:rPr>
        <w:t>98.31</w:t>
      </w:r>
      <w:r>
        <w:rPr>
          <w:rFonts w:hint="eastAsia" w:ascii="仿宋" w:hAnsi="仿宋" w:eastAsia="仿宋"/>
          <w:sz w:val="32"/>
          <w:szCs w:val="32"/>
        </w:rPr>
        <w:t>万元，主要包括：基本工资、津贴补贴、奖金、绩效工资、机关事业单位基本养老保险缴费、职工基本医疗保险缴费、其他工资福利支出、奖励金、住房公积金、其他对个人和家庭的补助支出等。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公用经费8万元，主要包括：办公费、印刷费、水费、电费、邮电费、物业管理费、差旅费、维修（护）费、会议费、公务接待费、其他交通费等。</w:t>
      </w:r>
    </w:p>
    <w:p>
      <w:pPr>
        <w:spacing w:line="600" w:lineRule="exact"/>
        <w:ind w:firstLine="640"/>
        <w:outlineLvl w:val="1"/>
        <w:rPr>
          <w:rStyle w:val="19"/>
          <w:rFonts w:ascii="黑体" w:hAnsi="黑体" w:eastAsia="黑体"/>
          <w:b w:val="0"/>
        </w:rPr>
      </w:pPr>
      <w:bookmarkStart w:id="40" w:name="_Toc15396609"/>
      <w:bookmarkStart w:id="41" w:name="_Toc15377215"/>
      <w:r>
        <w:rPr>
          <w:rFonts w:hint="eastAsia" w:ascii="黑体" w:eastAsia="黑体"/>
          <w:sz w:val="32"/>
          <w:szCs w:val="32"/>
        </w:rPr>
        <w:t>七、</w:t>
      </w:r>
      <w:r>
        <w:rPr>
          <w:rStyle w:val="19"/>
          <w:rFonts w:hint="eastAsia" w:ascii="黑体" w:hAnsi="黑体" w:eastAsia="黑体"/>
        </w:rPr>
        <w:t>“</w:t>
      </w:r>
      <w:r>
        <w:rPr>
          <w:rStyle w:val="19"/>
          <w:rFonts w:hint="eastAsia" w:ascii="黑体" w:hAnsi="黑体" w:eastAsia="黑体"/>
          <w:b w:val="0"/>
        </w:rPr>
        <w:t>三公”经费财政拨款支出决算情况说明</w:t>
      </w:r>
      <w:bookmarkEnd w:id="40"/>
      <w:bookmarkEnd w:id="41"/>
    </w:p>
    <w:p>
      <w:pPr>
        <w:spacing w:line="600" w:lineRule="exact"/>
        <w:ind w:firstLine="640"/>
        <w:outlineLvl w:val="2"/>
        <w:rPr>
          <w:rFonts w:ascii="仿宋" w:hAnsi="仿宋" w:eastAsia="仿宋"/>
          <w:b/>
          <w:sz w:val="32"/>
          <w:szCs w:val="32"/>
        </w:rPr>
      </w:pPr>
      <w:bookmarkStart w:id="42" w:name="_Toc15377216"/>
      <w:r>
        <w:rPr>
          <w:rFonts w:hint="eastAsia" w:ascii="仿宋" w:hAnsi="仿宋" w:eastAsia="仿宋"/>
          <w:b/>
          <w:sz w:val="32"/>
          <w:szCs w:val="32"/>
        </w:rPr>
        <w:t>（一）“三公”经费财政拨款支出决算总体情况说明</w:t>
      </w:r>
      <w:bookmarkEnd w:id="42"/>
    </w:p>
    <w:p>
      <w:pPr>
        <w:spacing w:line="600" w:lineRule="exact"/>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年“三公”经费财政拨款支出决算为0.26万元，完成预算100</w:t>
      </w:r>
      <w:r>
        <w:rPr>
          <w:rFonts w:ascii="仿宋" w:hAnsi="仿宋" w:eastAsia="仿宋"/>
          <w:sz w:val="32"/>
          <w:szCs w:val="32"/>
        </w:rPr>
        <w:t>%</w:t>
      </w:r>
      <w:r>
        <w:rPr>
          <w:rFonts w:hint="eastAsia" w:ascii="仿宋" w:hAnsi="仿宋" w:eastAsia="仿宋"/>
          <w:sz w:val="32"/>
          <w:szCs w:val="32"/>
        </w:rPr>
        <w:t>，决算数等于预算数。</w:t>
      </w:r>
    </w:p>
    <w:p>
      <w:pPr>
        <w:spacing w:line="600" w:lineRule="exact"/>
        <w:ind w:firstLine="640"/>
        <w:rPr>
          <w:rFonts w:ascii="仿宋" w:hAnsi="仿宋" w:eastAsia="仿宋"/>
          <w:b/>
          <w:sz w:val="32"/>
          <w:szCs w:val="32"/>
        </w:rPr>
      </w:pPr>
      <w:r>
        <w:rPr>
          <w:rFonts w:hint="eastAsia" w:ascii="仿宋" w:hAnsi="仿宋" w:eastAsia="仿宋"/>
          <w:b/>
          <w:sz w:val="32"/>
          <w:szCs w:val="32"/>
        </w:rPr>
        <w:t>（注：上述“预算”口径为调整预算数。）</w:t>
      </w:r>
    </w:p>
    <w:p>
      <w:pPr>
        <w:spacing w:line="600" w:lineRule="exact"/>
        <w:ind w:firstLine="640"/>
        <w:outlineLvl w:val="2"/>
        <w:rPr>
          <w:rFonts w:ascii="仿宋" w:hAnsi="仿宋" w:eastAsia="仿宋"/>
          <w:b/>
          <w:sz w:val="32"/>
          <w:szCs w:val="32"/>
        </w:rPr>
      </w:pPr>
      <w:bookmarkStart w:id="43" w:name="_Toc15377217"/>
      <w:r>
        <w:rPr>
          <w:rFonts w:hint="eastAsia" w:ascii="仿宋" w:hAnsi="仿宋" w:eastAsia="仿宋"/>
          <w:b/>
          <w:sz w:val="32"/>
          <w:szCs w:val="32"/>
        </w:rPr>
        <w:t>（二）“三公”经费财政拨款支出决算具体情况说明</w:t>
      </w:r>
      <w:bookmarkEnd w:id="43"/>
    </w:p>
    <w:p>
      <w:pPr>
        <w:spacing w:line="600" w:lineRule="exact"/>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；公务接待费支出决算0.26万元，占100</w:t>
      </w:r>
      <w:r>
        <w:rPr>
          <w:rFonts w:ascii="仿宋" w:hAnsi="仿宋" w:eastAsia="仿宋"/>
          <w:sz w:val="32"/>
          <w:szCs w:val="32"/>
        </w:rPr>
        <w:t>%</w:t>
      </w:r>
      <w:r>
        <w:rPr>
          <w:rFonts w:hint="eastAsia" w:ascii="仿宋" w:hAnsi="仿宋" w:eastAsia="仿宋"/>
          <w:sz w:val="32"/>
          <w:szCs w:val="32"/>
        </w:rPr>
        <w:t>。具体情况如下：</w:t>
      </w:r>
    </w:p>
    <w:p>
      <w:pPr>
        <w:pStyle w:val="2"/>
        <w:spacing w:before="93"/>
      </w:pPr>
      <w:r>
        <w:pict>
          <v:shape id="_x0000_i1031" o:spt="75" type="#_x0000_t75" style="height:167.25pt;width:389.25pt;" filled="f" o:preferrelative="t" stroked="f" coordsize="21600,21600">
            <v:path/>
            <v:fill on="f" focussize="0,0"/>
            <v:stroke on="f" joinstyle="miter"/>
            <v:imagedata r:id="rId12" o:title=""/>
            <o:lock v:ext="edit" aspectratio="t"/>
            <w10:wrap type="none"/>
            <w10:anchorlock/>
          </v:shape>
        </w:pict>
      </w:r>
    </w:p>
    <w:p>
      <w:pPr>
        <w:spacing w:line="600" w:lineRule="exact"/>
        <w:ind w:firstLine="64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7</w:t>
      </w:r>
      <w:r>
        <w:rPr>
          <w:rFonts w:hint="eastAsia" w:ascii="仿宋" w:hAnsi="仿宋" w:eastAsia="仿宋"/>
          <w:sz w:val="32"/>
          <w:szCs w:val="32"/>
        </w:rPr>
        <w:t>：“三公”经费财政拨款支出结构）（饼状图）</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hAnsi="宋体" w:eastAsia="仿宋_GB2312"/>
          <w:sz w:val="32"/>
          <w:szCs w:val="32"/>
          <w:lang w:val="zh-CN"/>
        </w:rPr>
        <w:t>．</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6"/>
          <w:rFonts w:hint="eastAsia" w:ascii="仿宋" w:hAnsi="仿宋" w:eastAsia="仿宋"/>
          <w:b w:val="0"/>
          <w:bCs/>
          <w:sz w:val="32"/>
          <w:szCs w:val="32"/>
        </w:rPr>
        <w:t>完成预算0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2020</w:t>
      </w:r>
      <w:r>
        <w:rPr>
          <w:rFonts w:hint="eastAsia" w:ascii="仿宋_GB2312" w:eastAsia="仿宋_GB2312"/>
          <w:sz w:val="32"/>
          <w:szCs w:val="32"/>
        </w:rPr>
        <w:t>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hAnsi="宋体" w:eastAsia="仿宋_GB2312"/>
          <w:sz w:val="32"/>
          <w:szCs w:val="32"/>
          <w:lang w:val="zh-CN"/>
        </w:rPr>
        <w:t>．</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Fonts w:ascii="仿宋_GB2312" w:eastAsia="仿宋_GB2312"/>
          <w:sz w:val="32"/>
          <w:szCs w:val="32"/>
        </w:rPr>
        <w:t>,</w:t>
      </w:r>
      <w:r>
        <w:rPr>
          <w:rStyle w:val="16"/>
          <w:rFonts w:hint="eastAsia" w:ascii="仿宋" w:hAnsi="仿宋" w:eastAsia="仿宋"/>
          <w:b w:val="0"/>
          <w:bCs/>
          <w:sz w:val="32"/>
          <w:szCs w:val="32"/>
        </w:rPr>
        <w:t>完成预算0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2020</w:t>
      </w:r>
      <w:r>
        <w:rPr>
          <w:rFonts w:hint="eastAsia" w:ascii="仿宋_GB2312" w:eastAsia="仿宋_GB2312"/>
          <w:sz w:val="32"/>
          <w:szCs w:val="32"/>
        </w:rPr>
        <w:t>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0万元。全年按规定更新购置公务用车0辆，其中：轿车0辆、金额0万元，越野车0辆、金额0万元，载客汽车0辆、金额0万元，主要用于…。截至</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hAnsi="宋体" w:eastAsia="仿宋_GB2312"/>
          <w:sz w:val="32"/>
          <w:szCs w:val="32"/>
          <w:lang w:val="zh-CN"/>
        </w:rPr>
        <w:t>．</w:t>
      </w:r>
      <w:r>
        <w:rPr>
          <w:rFonts w:hint="eastAsia" w:ascii="仿宋_GB2312" w:eastAsia="仿宋_GB2312"/>
          <w:b/>
          <w:sz w:val="32"/>
          <w:szCs w:val="32"/>
        </w:rPr>
        <w:t>公务接待费支出</w:t>
      </w:r>
      <w:r>
        <w:rPr>
          <w:rFonts w:hint="eastAsia" w:ascii="仿宋_GB2312" w:eastAsia="仿宋_GB2312"/>
          <w:sz w:val="32"/>
          <w:szCs w:val="32"/>
        </w:rPr>
        <w:t>0.26万元，</w:t>
      </w:r>
      <w:r>
        <w:rPr>
          <w:rStyle w:val="16"/>
          <w:rFonts w:hint="eastAsia" w:ascii="仿宋" w:hAnsi="仿宋" w:eastAsia="仿宋"/>
          <w:b w:val="0"/>
          <w:bCs/>
          <w:sz w:val="32"/>
          <w:szCs w:val="32"/>
        </w:rPr>
        <w:t>完成预算100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2020</w:t>
      </w:r>
      <w:r>
        <w:rPr>
          <w:rFonts w:hint="eastAsia" w:ascii="仿宋_GB2312" w:eastAsia="仿宋_GB2312"/>
          <w:sz w:val="32"/>
          <w:szCs w:val="32"/>
        </w:rPr>
        <w:t>年减少0.01万元，下降3.7</w:t>
      </w:r>
      <w:r>
        <w:rPr>
          <w:rFonts w:ascii="仿宋_GB2312" w:eastAsia="仿宋_GB2312"/>
          <w:sz w:val="32"/>
          <w:szCs w:val="32"/>
        </w:rPr>
        <w:t>%</w:t>
      </w:r>
      <w:r>
        <w:rPr>
          <w:rFonts w:hint="eastAsia" w:ascii="仿宋_GB2312" w:eastAsia="仿宋_GB2312"/>
          <w:sz w:val="32"/>
          <w:szCs w:val="32"/>
        </w:rPr>
        <w:t>。主要原因是按照“中央八项规定”严格控制。其中：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国内公务接待支出0.26</w:t>
      </w:r>
      <w:r>
        <w:rPr>
          <w:rFonts w:hint="eastAsia" w:ascii="仿宋_GB2312" w:eastAsia="仿宋_GB2312"/>
          <w:sz w:val="32"/>
          <w:szCs w:val="32"/>
        </w:rPr>
        <w:t>万元，主要用于执行公务、开展业务活动开支的交通费、住宿费、用餐费等。国内公务接待11批次，50人次（不包括陪同人员），共计支出0.26万元。具体内容包括：用于定点帮扶。</w:t>
      </w:r>
    </w:p>
    <w:p>
      <w:pPr>
        <w:spacing w:line="600" w:lineRule="exact"/>
        <w:ind w:firstLine="642"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p>
    <w:p>
      <w:pPr>
        <w:spacing w:line="600" w:lineRule="exact"/>
        <w:ind w:firstLine="640" w:firstLineChars="200"/>
        <w:outlineLvl w:val="1"/>
        <w:rPr>
          <w:rStyle w:val="19"/>
          <w:rFonts w:ascii="黑体" w:hAnsi="黑体" w:eastAsia="黑体"/>
        </w:rPr>
      </w:pPr>
      <w:bookmarkStart w:id="44" w:name="_Toc15396610"/>
      <w:bookmarkStart w:id="45" w:name="_Toc15377218"/>
      <w:r>
        <w:rPr>
          <w:rFonts w:hint="eastAsia" w:ascii="黑体" w:eastAsia="黑体"/>
          <w:sz w:val="32"/>
          <w:szCs w:val="32"/>
        </w:rPr>
        <w:t>八、</w:t>
      </w:r>
      <w:r>
        <w:rPr>
          <w:rStyle w:val="19"/>
          <w:rFonts w:hint="eastAsia" w:ascii="黑体" w:hAnsi="黑体" w:eastAsia="黑体"/>
          <w:b w:val="0"/>
        </w:rPr>
        <w:t>政府性基金预算支出决算情况说明</w:t>
      </w:r>
      <w:bookmarkEnd w:id="44"/>
      <w:bookmarkEnd w:id="45"/>
    </w:p>
    <w:p>
      <w:pPr>
        <w:spacing w:line="600" w:lineRule="exact"/>
        <w:ind w:firstLine="64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年政府性基金预算财政拨款支出0万元。</w:t>
      </w:r>
    </w:p>
    <w:p>
      <w:pPr>
        <w:numPr>
          <w:ilvl w:val="0"/>
          <w:numId w:val="2"/>
        </w:numPr>
        <w:spacing w:line="600" w:lineRule="exact"/>
        <w:ind w:firstLine="640"/>
        <w:outlineLvl w:val="1"/>
        <w:rPr>
          <w:rStyle w:val="19"/>
          <w:rFonts w:ascii="黑体" w:hAnsi="黑体" w:eastAsia="黑体"/>
          <w:b w:val="0"/>
        </w:rPr>
      </w:pPr>
      <w:bookmarkStart w:id="46" w:name="_Toc15377219"/>
      <w:bookmarkStart w:id="47" w:name="_Toc15396611"/>
      <w:r>
        <w:rPr>
          <w:rStyle w:val="19"/>
          <w:rFonts w:hint="eastAsia" w:ascii="黑体" w:hAnsi="黑体" w:eastAsia="黑体"/>
          <w:b w:val="0"/>
        </w:rPr>
        <w:t>国有资本经营预算支出决算情况说明</w:t>
      </w:r>
      <w:bookmarkEnd w:id="46"/>
      <w:bookmarkEnd w:id="47"/>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2021</w:t>
      </w:r>
      <w:r>
        <w:rPr>
          <w:rFonts w:hint="eastAsia" w:ascii="仿宋_GB2312" w:eastAsia="仿宋_GB2312"/>
          <w:sz w:val="32"/>
          <w:szCs w:val="32"/>
        </w:rPr>
        <w:t>年国有资本经营预算财政拨款支出0万元。</w:t>
      </w:r>
    </w:p>
    <w:p>
      <w:pPr>
        <w:numPr>
          <w:ilvl w:val="0"/>
          <w:numId w:val="2"/>
        </w:numPr>
        <w:spacing w:line="600" w:lineRule="exact"/>
        <w:ind w:firstLine="640"/>
        <w:outlineLvl w:val="1"/>
        <w:rPr>
          <w:rStyle w:val="19"/>
          <w:rFonts w:ascii="黑体" w:hAnsi="黑体" w:eastAsia="黑体"/>
          <w:b w:val="0"/>
        </w:rPr>
      </w:pPr>
      <w:bookmarkStart w:id="48" w:name="_Toc15377221"/>
      <w:bookmarkStart w:id="49" w:name="_Toc15396612"/>
      <w:r>
        <w:rPr>
          <w:rStyle w:val="19"/>
          <w:rFonts w:hint="eastAsia" w:ascii="黑体" w:hAnsi="黑体" w:eastAsia="黑体"/>
          <w:b w:val="0"/>
        </w:rPr>
        <w:t>其他重要事项的情况说明</w:t>
      </w:r>
      <w:bookmarkEnd w:id="48"/>
      <w:bookmarkEnd w:id="49"/>
    </w:p>
    <w:p>
      <w:pPr>
        <w:spacing w:line="600" w:lineRule="exact"/>
        <w:ind w:firstLine="642" w:firstLineChars="200"/>
        <w:outlineLvl w:val="2"/>
        <w:rPr>
          <w:rFonts w:ascii="仿宋" w:hAnsi="仿宋" w:eastAsia="仿宋"/>
          <w:sz w:val="32"/>
          <w:szCs w:val="32"/>
        </w:rPr>
      </w:pPr>
      <w:bookmarkStart w:id="50" w:name="_Toc15377222"/>
      <w:r>
        <w:rPr>
          <w:rFonts w:hint="eastAsia" w:ascii="仿宋" w:hAnsi="仿宋" w:eastAsia="仿宋"/>
          <w:b/>
          <w:sz w:val="32"/>
          <w:szCs w:val="32"/>
        </w:rPr>
        <w:t>（一）机关运行经费支出情况</w:t>
      </w:r>
      <w:bookmarkEnd w:id="50"/>
    </w:p>
    <w:p>
      <w:pPr>
        <w:spacing w:line="600" w:lineRule="exact"/>
        <w:ind w:firstLine="640" w:firstLineChars="200"/>
        <w:rPr>
          <w:rFonts w:ascii="仿宋" w:hAnsi="仿宋" w:eastAsia="仿宋"/>
          <w:b/>
          <w:sz w:val="32"/>
          <w:szCs w:val="32"/>
        </w:rPr>
      </w:pPr>
      <w:r>
        <w:rPr>
          <w:rFonts w:ascii="仿宋_GB2312" w:eastAsia="仿宋_GB2312"/>
          <w:sz w:val="32"/>
          <w:szCs w:val="32"/>
        </w:rPr>
        <w:t>2021</w:t>
      </w:r>
      <w:r>
        <w:rPr>
          <w:rFonts w:hint="eastAsia" w:ascii="仿宋_GB2312" w:eastAsia="仿宋_GB2312"/>
          <w:sz w:val="32"/>
          <w:szCs w:val="32"/>
        </w:rPr>
        <w:t>年，区直机关党建事务中心机关运行经费支出8万元，比</w:t>
      </w:r>
      <w:r>
        <w:rPr>
          <w:rFonts w:ascii="仿宋_GB2312" w:eastAsia="仿宋_GB2312"/>
          <w:sz w:val="32"/>
          <w:szCs w:val="32"/>
        </w:rPr>
        <w:t>2020</w:t>
      </w:r>
      <w:r>
        <w:rPr>
          <w:rFonts w:hint="eastAsia" w:ascii="仿宋_GB2312" w:eastAsia="仿宋_GB2312"/>
          <w:sz w:val="32"/>
          <w:szCs w:val="32"/>
        </w:rPr>
        <w:t>年减少2.22万元，下降28</w:t>
      </w:r>
      <w:r>
        <w:rPr>
          <w:rFonts w:ascii="仿宋_GB2312" w:eastAsia="仿宋_GB2312"/>
          <w:sz w:val="32"/>
          <w:szCs w:val="32"/>
        </w:rPr>
        <w:t>%</w:t>
      </w:r>
      <w:r>
        <w:rPr>
          <w:rFonts w:hint="eastAsia" w:ascii="仿宋_GB2312" w:eastAsia="仿宋_GB2312"/>
          <w:sz w:val="32"/>
          <w:szCs w:val="32"/>
        </w:rPr>
        <w:t>（或与</w:t>
      </w:r>
      <w:r>
        <w:rPr>
          <w:rFonts w:ascii="仿宋_GB2312" w:eastAsia="仿宋_GB2312"/>
          <w:sz w:val="32"/>
          <w:szCs w:val="32"/>
        </w:rPr>
        <w:t>2020</w:t>
      </w:r>
      <w:r>
        <w:rPr>
          <w:rFonts w:hint="eastAsia" w:ascii="仿宋_GB2312" w:eastAsia="仿宋_GB2312"/>
          <w:sz w:val="32"/>
          <w:szCs w:val="32"/>
        </w:rPr>
        <w:t>年决算数持平）。主要原因是把车补误填入项目。</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1" w:name="_Toc15377223"/>
      <w:r>
        <w:rPr>
          <w:rFonts w:hint="eastAsia" w:ascii="仿宋" w:hAnsi="仿宋" w:eastAsia="仿宋"/>
          <w:b/>
          <w:sz w:val="32"/>
          <w:szCs w:val="32"/>
        </w:rPr>
        <w:t>（二）政府采购支出情况</w:t>
      </w:r>
      <w:bookmarkEnd w:id="51"/>
    </w:p>
    <w:p>
      <w:pPr>
        <w:spacing w:line="600" w:lineRule="exact"/>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年，区直机关党建事务中心政府采购支出总额0万元。其中：政府采购货物支出0万元、政府采购工程支出0万元、政府采购服务支出0万元。主要用于</w:t>
      </w:r>
      <w:r>
        <w:rPr>
          <w:rFonts w:ascii="仿宋_GB2312" w:eastAsia="仿宋_GB2312"/>
          <w:sz w:val="32"/>
          <w:szCs w:val="32"/>
        </w:rPr>
        <w:t>…</w:t>
      </w:r>
      <w:r>
        <w:rPr>
          <w:rFonts w:hint="eastAsia" w:ascii="仿宋_GB2312" w:eastAsia="仿宋_GB2312"/>
          <w:sz w:val="32"/>
          <w:szCs w:val="32"/>
        </w:rPr>
        <w:t>（具体工作）。授予中小企业合同金额0万元，占政府采购支出总额的0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2" w:name="_Toc15377224"/>
      <w:r>
        <w:rPr>
          <w:rFonts w:hint="eastAsia" w:ascii="仿宋" w:hAnsi="仿宋" w:eastAsia="仿宋"/>
          <w:b/>
          <w:sz w:val="32"/>
          <w:szCs w:val="32"/>
        </w:rPr>
        <w:t>（三）国有资产占有使用情况</w:t>
      </w:r>
      <w:bookmarkEnd w:id="52"/>
    </w:p>
    <w:p>
      <w:pPr>
        <w:autoSpaceDE w:val="0"/>
        <w:autoSpaceDN w:val="0"/>
        <w:adjustRightInd w:val="0"/>
        <w:spacing w:line="600" w:lineRule="exact"/>
        <w:ind w:firstLine="640" w:firstLineChars="200"/>
        <w:jc w:val="left"/>
        <w:rPr>
          <w:rFonts w:ascii="仿宋" w:hAnsi="仿宋" w:eastAsia="仿宋"/>
          <w:b/>
          <w:sz w:val="32"/>
          <w:szCs w:val="32"/>
        </w:rPr>
      </w:pPr>
      <w:r>
        <w:rPr>
          <w:rFonts w:hint="eastAsia" w:ascii="仿宋_GB2312" w:eastAsia="仿宋_GB2312"/>
          <w:sz w:val="32"/>
          <w:szCs w:val="32"/>
        </w:rPr>
        <w:t>截至</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日，区直机关党建事务中心共有车辆0辆。其中：主要领导干部用车0辆、机要通信用车0辆、应急保障用车0辆、其他用车0辆，其他用车主要是用于……单价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eastAsia="仿宋_GB2312"/>
          <w:b/>
          <w:sz w:val="32"/>
          <w:szCs w:val="32"/>
        </w:rPr>
      </w:pPr>
      <w:r>
        <w:rPr>
          <w:rFonts w:hint="eastAsia" w:ascii="仿宋_GB2312" w:hAnsi="仿宋_GB2312" w:eastAsia="仿宋_GB2312" w:cs="仿宋_GB2312"/>
          <w:sz w:val="32"/>
          <w:szCs w:val="32"/>
        </w:rPr>
        <w:t>根据预算绩效管理要求，本部门在</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预算编制阶段，组织对驻村帮扶、机关党建、疫情防控项目（项目名称）等3个项目开展了预算事前绩效评估，对3个项目编制了绩效目标，预算执行过程中，选取3个项目开展绩效监控，年终执行完毕后，对3个项目开展了绩效自评。同时，本部门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年部门整体开展绩效自评，《</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年区直机关党建事务中心部门整体绩效评价报告》见附件（第四部分）。</w:t>
      </w:r>
    </w:p>
    <w:p>
      <w:pPr>
        <w:numPr>
          <w:ilvl w:val="0"/>
          <w:numId w:val="3"/>
        </w:numPr>
        <w:spacing w:line="600" w:lineRule="exact"/>
        <w:ind w:firstLine="660" w:firstLineChars="150"/>
        <w:jc w:val="center"/>
        <w:outlineLvl w:val="0"/>
        <w:rPr>
          <w:rStyle w:val="18"/>
          <w:rFonts w:ascii="黑体" w:hAnsi="黑体" w:eastAsia="黑体"/>
          <w:b w:val="0"/>
        </w:rPr>
      </w:pPr>
      <w:bookmarkStart w:id="53" w:name="_Toc15396613"/>
      <w:bookmarkStart w:id="54" w:name="_Toc15377225"/>
      <w:r>
        <w:rPr>
          <w:rFonts w:hint="eastAsia" w:ascii="黑体" w:hAnsi="黑体" w:eastAsia="黑体"/>
          <w:sz w:val="44"/>
          <w:szCs w:val="44"/>
        </w:rPr>
        <w:t>名</w:t>
      </w:r>
      <w:r>
        <w:rPr>
          <w:rStyle w:val="18"/>
          <w:rFonts w:hint="eastAsia" w:ascii="黑体" w:hAnsi="黑体" w:eastAsia="黑体"/>
          <w:b w:val="0"/>
        </w:rPr>
        <w:t>词解释</w:t>
      </w:r>
      <w:bookmarkEnd w:id="53"/>
      <w:bookmarkEnd w:id="54"/>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财政拨款收入：指单位从同级财政部门取得的财政预算资金。</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事业收入：指事业单位开展专业业务活动及辅助活动取得的收入。如…（二级预算单位事业收入情况）等。</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8"/>
        <w:spacing w:line="560" w:lineRule="exact"/>
        <w:ind w:left="319" w:leftChars="152" w:firstLine="320" w:firstLineChars="100"/>
        <w:rPr>
          <w:rFonts w:ascii="仿宋_GB2312" w:eastAsia="仿宋_GB2312"/>
          <w:color w:val="auto"/>
          <w:sz w:val="32"/>
          <w:szCs w:val="32"/>
        </w:rPr>
      </w:pPr>
      <w:r>
        <w:rPr>
          <w:rFonts w:ascii="仿宋_GB2312" w:eastAsia="仿宋_GB2312"/>
          <w:color w:val="auto"/>
          <w:sz w:val="32"/>
          <w:szCs w:val="32"/>
        </w:rPr>
        <w:t>8</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hAnsi="宋体" w:eastAsia="仿宋_GB2312"/>
          <w:sz w:val="32"/>
          <w:szCs w:val="32"/>
          <w:lang w:val="zh-CN"/>
        </w:rPr>
        <w:t>．</w:t>
      </w:r>
      <w:r>
        <w:rPr>
          <w:rFonts w:hint="eastAsia" w:ascii="仿宋_GB2312" w:eastAsia="仿宋_GB2312"/>
          <w:sz w:val="32"/>
          <w:szCs w:val="32"/>
        </w:rPr>
        <w:t>一般公共服务（类）20131（款）01（项）：指行政运行。</w:t>
      </w:r>
    </w:p>
    <w:p>
      <w:pPr>
        <w:ind w:firstLine="640" w:firstLineChars="200"/>
        <w:rPr>
          <w:rFonts w:ascii="仿宋_GB2312" w:eastAsia="仿宋_GB2312"/>
          <w:sz w:val="32"/>
          <w:szCs w:val="32"/>
        </w:rPr>
      </w:pPr>
      <w:r>
        <w:rPr>
          <w:rFonts w:ascii="仿宋_GB2312" w:eastAsia="仿宋_GB2312"/>
          <w:sz w:val="32"/>
          <w:szCs w:val="32"/>
        </w:rPr>
        <w:t>10</w:t>
      </w:r>
      <w:r>
        <w:rPr>
          <w:rFonts w:hint="eastAsia" w:ascii="仿宋_GB2312" w:hAnsi="宋体" w:eastAsia="仿宋_GB2312"/>
          <w:sz w:val="32"/>
          <w:szCs w:val="32"/>
          <w:lang w:val="zh-CN"/>
        </w:rPr>
        <w:t>．</w:t>
      </w:r>
      <w:r>
        <w:rPr>
          <w:rFonts w:hint="eastAsia" w:ascii="仿宋_GB2312" w:eastAsia="仿宋_GB2312"/>
          <w:sz w:val="32"/>
          <w:szCs w:val="32"/>
        </w:rPr>
        <w:t>一般公共服务（类）20131（款）02（项）：一般行政管理事务。</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1</w:t>
      </w:r>
      <w:r>
        <w:rPr>
          <w:rFonts w:hint="eastAsia" w:ascii="仿宋_GB2312" w:hAnsi="宋体" w:eastAsia="仿宋_GB2312"/>
          <w:sz w:val="32"/>
          <w:szCs w:val="32"/>
          <w:lang w:val="zh-CN"/>
        </w:rPr>
        <w:t>．</w:t>
      </w:r>
      <w:r>
        <w:rPr>
          <w:rFonts w:hint="eastAsia" w:ascii="仿宋_GB2312" w:eastAsia="仿宋_GB2312"/>
          <w:sz w:val="32"/>
          <w:szCs w:val="32"/>
        </w:rPr>
        <w:t>社会保障和就业（类）20805（款）05（项）：指机关事业单位基本养老保险缴费。</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2</w:t>
      </w:r>
      <w:r>
        <w:rPr>
          <w:rFonts w:hint="eastAsia" w:ascii="仿宋_GB2312" w:hAnsi="宋体" w:eastAsia="仿宋_GB2312"/>
          <w:sz w:val="32"/>
          <w:szCs w:val="32"/>
          <w:lang w:val="zh-CN"/>
        </w:rPr>
        <w:t>．</w:t>
      </w:r>
      <w:r>
        <w:rPr>
          <w:rFonts w:hint="eastAsia" w:ascii="仿宋_GB2312" w:eastAsia="仿宋_GB2312"/>
          <w:sz w:val="32"/>
          <w:szCs w:val="32"/>
        </w:rPr>
        <w:t>医疗卫生与计划生育（类）21011（款）01（项）：指行政单位医疗保险。</w:t>
      </w:r>
    </w:p>
    <w:p>
      <w:pPr>
        <w:ind w:firstLine="640" w:firstLineChars="200"/>
        <w:rPr>
          <w:rFonts w:ascii="仿宋_GB2312" w:eastAsia="仿宋_GB2312"/>
          <w:sz w:val="32"/>
          <w:szCs w:val="32"/>
        </w:rPr>
      </w:pPr>
      <w:r>
        <w:rPr>
          <w:rFonts w:hint="eastAsia" w:ascii="仿宋_GB2312" w:eastAsia="仿宋_GB2312"/>
          <w:sz w:val="32"/>
          <w:szCs w:val="32"/>
        </w:rPr>
        <w:t>13</w:t>
      </w:r>
      <w:r>
        <w:rPr>
          <w:rFonts w:hint="eastAsia" w:ascii="仿宋_GB2312" w:hAnsi="宋体" w:eastAsia="仿宋_GB2312"/>
          <w:sz w:val="32"/>
          <w:szCs w:val="32"/>
          <w:lang w:val="zh-CN"/>
        </w:rPr>
        <w:t>．</w:t>
      </w:r>
      <w:r>
        <w:rPr>
          <w:rFonts w:hint="eastAsia" w:ascii="仿宋_GB2312" w:eastAsia="仿宋_GB2312"/>
          <w:sz w:val="32"/>
          <w:szCs w:val="32"/>
        </w:rPr>
        <w:t>住房保障（类）22102（款）01（项）：指住房公积金。</w:t>
      </w:r>
    </w:p>
    <w:p>
      <w:pPr>
        <w:spacing w:line="600" w:lineRule="exact"/>
        <w:ind w:firstLine="640"/>
        <w:rPr>
          <w:rFonts w:ascii="仿宋" w:hAnsi="仿宋" w:eastAsia="仿宋"/>
          <w:b/>
          <w:sz w:val="32"/>
          <w:szCs w:val="32"/>
        </w:rPr>
      </w:pPr>
      <w:r>
        <w:rPr>
          <w:rFonts w:hint="eastAsia" w:ascii="仿宋" w:hAnsi="仿宋" w:eastAsia="仿宋"/>
          <w:b/>
          <w:sz w:val="32"/>
          <w:szCs w:val="32"/>
        </w:rPr>
        <w:t>（解释本部门决算报表中涉及的全部功能分类科目至项级，不涉及的科目请自行删除。请参照《</w:t>
      </w:r>
      <w:r>
        <w:rPr>
          <w:rFonts w:ascii="仿宋" w:hAnsi="仿宋" w:eastAsia="仿宋"/>
          <w:b/>
          <w:sz w:val="32"/>
          <w:szCs w:val="32"/>
        </w:rPr>
        <w:t>2021</w:t>
      </w:r>
      <w:r>
        <w:rPr>
          <w:rFonts w:hint="eastAsia" w:ascii="仿宋" w:hAnsi="仿宋" w:eastAsia="仿宋"/>
          <w:b/>
          <w:sz w:val="32"/>
          <w:szCs w:val="32"/>
        </w:rPr>
        <w:t>年政府收支分类科目》增减内容。）</w:t>
      </w:r>
    </w:p>
    <w:p>
      <w:pPr>
        <w:ind w:firstLine="640" w:firstLineChars="200"/>
        <w:rPr>
          <w:rFonts w:ascii="仿宋_GB2312" w:eastAsia="仿宋_GB2312"/>
          <w:sz w:val="32"/>
          <w:szCs w:val="32"/>
        </w:rPr>
      </w:pPr>
      <w:r>
        <w:rPr>
          <w:rFonts w:hint="eastAsia" w:ascii="仿宋_GB2312" w:eastAsia="仿宋_GB2312"/>
          <w:sz w:val="32"/>
          <w:szCs w:val="32"/>
        </w:rPr>
        <w:t>14</w:t>
      </w:r>
      <w:r>
        <w:rPr>
          <w:rFonts w:hint="eastAsia" w:ascii="仿宋_GB2312" w:hAnsi="宋体" w:eastAsia="仿宋_GB2312"/>
          <w:sz w:val="32"/>
          <w:szCs w:val="32"/>
          <w:lang w:val="zh-CN"/>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15</w:t>
      </w:r>
      <w:r>
        <w:rPr>
          <w:rFonts w:hint="eastAsia" w:ascii="仿宋_GB2312" w:hAnsi="宋体" w:eastAsia="仿宋_GB2312"/>
          <w:sz w:val="32"/>
          <w:szCs w:val="32"/>
          <w:lang w:val="zh-CN"/>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16</w:t>
      </w:r>
      <w:r>
        <w:rPr>
          <w:rFonts w:hint="eastAsia" w:ascii="仿宋_GB2312" w:hAnsi="宋体" w:eastAsia="仿宋_GB2312"/>
          <w:sz w:val="32"/>
          <w:szCs w:val="32"/>
          <w:lang w:val="zh-CN"/>
        </w:rPr>
        <w:t>．</w:t>
      </w:r>
      <w:r>
        <w:rPr>
          <w:rFonts w:hint="eastAsia" w:ascii="仿宋_GB2312" w:eastAsia="仿宋_GB2312"/>
          <w:sz w:val="32"/>
          <w:szCs w:val="32"/>
        </w:rPr>
        <w:t>经营支出：指事业单位在专业业务活动及其辅助活动之外开展非独立核算经营活动发生的支出。</w:t>
      </w:r>
    </w:p>
    <w:p>
      <w:pPr>
        <w:pStyle w:val="28"/>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17</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640" w:firstLineChars="200"/>
        <w:rPr>
          <w:rFonts w:ascii="仿宋_GB2312" w:eastAsia="仿宋_GB2312" w:cs="黑体"/>
          <w:color w:val="auto"/>
          <w:sz w:val="32"/>
          <w:szCs w:val="32"/>
        </w:rPr>
      </w:pPr>
      <w:r>
        <w:rPr>
          <w:rFonts w:hint="eastAsia" w:ascii="仿宋_GB2312" w:hAnsi="宋体" w:eastAsia="仿宋_GB2312" w:cs="Times New Roman"/>
          <w:color w:val="auto"/>
          <w:kern w:val="2"/>
          <w:sz w:val="32"/>
          <w:szCs w:val="32"/>
        </w:rPr>
        <w:t>18</w:t>
      </w:r>
      <w:r>
        <w:rPr>
          <w:rFonts w:hint="eastAsia" w:ascii="仿宋_GB2312" w:hAnsi="宋体" w:eastAsia="仿宋_GB2312" w:cs="Times New Roman"/>
          <w:color w:val="auto"/>
          <w:sz w:val="32"/>
          <w:szCs w:val="32"/>
          <w:lang w:val="zh-CN"/>
        </w:rPr>
        <w:t>．</w:t>
      </w:r>
      <w:r>
        <w:rPr>
          <w:rFonts w:hint="eastAsia" w:ascii="仿宋_GB2312" w:hAnsi="宋体" w:eastAsia="仿宋_GB2312" w:cs="Times New Roman"/>
          <w:color w:val="auto"/>
          <w:kern w:val="2"/>
          <w:sz w:val="32"/>
          <w:szCs w:val="32"/>
          <w:lang w:val="zh-CN"/>
        </w:rPr>
        <w:t>机</w:t>
      </w:r>
      <w:r>
        <w:rPr>
          <w:rFonts w:hint="eastAsia" w:ascii="仿宋_GB2312" w:eastAsia="仿宋_GB2312"/>
          <w:color w:val="auto"/>
          <w:sz w:val="32"/>
          <w:szCs w:val="32"/>
        </w:rPr>
        <w:t>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2" w:firstLineChars="200"/>
        <w:rPr>
          <w:rFonts w:ascii="仿宋" w:hAnsi="仿宋" w:eastAsia="仿宋"/>
          <w:b/>
          <w:sz w:val="32"/>
          <w:szCs w:val="32"/>
        </w:rPr>
      </w:pPr>
      <w:r>
        <w:rPr>
          <w:rFonts w:hint="eastAsia" w:ascii="仿宋" w:hAnsi="仿宋" w:eastAsia="仿宋"/>
          <w:b/>
          <w:sz w:val="32"/>
          <w:szCs w:val="32"/>
        </w:rPr>
        <w:t>（名词解释部分请根据各部门实际列支情况罗列，并根据本部门职责职能增减名词解释内容。）</w:t>
      </w:r>
    </w:p>
    <w:p>
      <w:pPr>
        <w:spacing w:line="600" w:lineRule="exact"/>
        <w:jc w:val="center"/>
        <w:outlineLvl w:val="0"/>
        <w:rPr>
          <w:rFonts w:hint="eastAsia" w:ascii="黑体" w:hAnsi="黑体" w:eastAsia="黑体"/>
          <w:sz w:val="44"/>
          <w:szCs w:val="44"/>
        </w:rPr>
      </w:pPr>
      <w:bookmarkStart w:id="55" w:name="_Toc15396614"/>
      <w:bookmarkStart w:id="56" w:name="_Toc15377226"/>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Style w:val="18"/>
          <w:rFonts w:ascii="黑体" w:hAnsi="黑体" w:eastAsia="黑体"/>
          <w:b w:val="0"/>
        </w:rPr>
      </w:pPr>
      <w:r>
        <w:rPr>
          <w:rFonts w:hint="eastAsia" w:ascii="黑体" w:hAnsi="黑体" w:eastAsia="黑体"/>
          <w:sz w:val="44"/>
          <w:szCs w:val="44"/>
        </w:rPr>
        <w:t>第</w:t>
      </w:r>
      <w:r>
        <w:rPr>
          <w:rStyle w:val="18"/>
          <w:rFonts w:hint="eastAsia" w:ascii="黑体" w:hAnsi="黑体" w:eastAsia="黑体"/>
          <w:b w:val="0"/>
        </w:rPr>
        <w:t>四部分</w:t>
      </w:r>
      <w:r>
        <w:rPr>
          <w:rStyle w:val="18"/>
          <w:rFonts w:ascii="黑体" w:hAnsi="黑体" w:eastAsia="黑体"/>
          <w:b w:val="0"/>
        </w:rPr>
        <w:t xml:space="preserve"> </w:t>
      </w:r>
      <w:r>
        <w:rPr>
          <w:rStyle w:val="18"/>
          <w:rFonts w:hint="eastAsia" w:ascii="黑体" w:hAnsi="黑体" w:eastAsia="黑体"/>
          <w:b w:val="0"/>
        </w:rPr>
        <w:t>附件</w:t>
      </w:r>
      <w:bookmarkEnd w:id="55"/>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spacing w:line="572" w:lineRule="exact"/>
        <w:jc w:val="center"/>
        <w:rPr>
          <w:rFonts w:ascii="方正小标宋简体" w:hAnsi="宋体" w:eastAsia="方正小标宋简体"/>
          <w:kern w:val="0"/>
          <w:sz w:val="40"/>
          <w:szCs w:val="44"/>
          <w:lang w:val="zh-CN"/>
        </w:rPr>
      </w:pPr>
      <w:r>
        <w:rPr>
          <w:rFonts w:ascii="方正小标宋简体" w:hAnsi="宋体" w:eastAsia="方正小标宋简体"/>
          <w:kern w:val="0"/>
          <w:sz w:val="40"/>
          <w:szCs w:val="44"/>
        </w:rPr>
        <w:t>2021</w:t>
      </w:r>
      <w:r>
        <w:rPr>
          <w:rFonts w:hint="eastAsia" w:ascii="方正小标宋简体" w:hAnsi="宋体" w:eastAsia="方正小标宋简体"/>
          <w:kern w:val="0"/>
          <w:sz w:val="40"/>
          <w:szCs w:val="44"/>
        </w:rPr>
        <w:t>年区直属机关党建事务中心部门整体绩效评价报告</w:t>
      </w:r>
    </w:p>
    <w:p>
      <w:pPr>
        <w:widowControl/>
        <w:adjustRightInd w:val="0"/>
        <w:snapToGrid w:val="0"/>
        <w:spacing w:line="572" w:lineRule="exact"/>
        <w:ind w:firstLine="480" w:firstLineChars="200"/>
        <w:contextualSpacing/>
        <w:jc w:val="left"/>
        <w:rPr>
          <w:rFonts w:ascii="黑体" w:hAnsi="宋体" w:eastAsia="黑体" w:cs="宋体"/>
          <w:kern w:val="0"/>
          <w:sz w:val="24"/>
          <w:szCs w:val="32"/>
          <w:shd w:val="clear" w:color="auto" w:fill="FFFFFF"/>
        </w:rPr>
      </w:pP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rPr>
        <w:t>一、</w:t>
      </w:r>
      <w:r>
        <w:rPr>
          <w:rFonts w:hint="eastAsia" w:ascii="黑体" w:hAnsi="宋体" w:eastAsia="黑体" w:cs="宋体"/>
          <w:kern w:val="0"/>
          <w:sz w:val="32"/>
          <w:szCs w:val="32"/>
          <w:shd w:val="clear" w:color="auto" w:fill="FFFFFF"/>
          <w:lang w:val="zh-CN"/>
        </w:rPr>
        <w:t>部门（单位）概况</w:t>
      </w:r>
    </w:p>
    <w:p>
      <w:pPr>
        <w:spacing w:line="580" w:lineRule="exact"/>
        <w:ind w:firstLine="642" w:firstLineChars="200"/>
        <w:rPr>
          <w:rFonts w:ascii="仿宋" w:hAnsi="仿宋" w:eastAsia="仿宋" w:cs="仿宋_GB2312"/>
          <w:sz w:val="32"/>
          <w:szCs w:val="32"/>
        </w:rPr>
      </w:pPr>
      <w:r>
        <w:rPr>
          <w:rFonts w:hint="eastAsia" w:ascii="仿宋_GB2312" w:hAnsi="宋体" w:eastAsia="仿宋_GB2312" w:cs="宋体"/>
          <w:b/>
          <w:bCs/>
          <w:kern w:val="0"/>
          <w:sz w:val="32"/>
          <w:szCs w:val="32"/>
          <w:shd w:val="clear" w:color="auto" w:fill="FFFFFF"/>
          <w:lang w:val="zh-CN"/>
        </w:rPr>
        <w:t>（一）机构组成。</w:t>
      </w:r>
      <w:r>
        <w:rPr>
          <w:rFonts w:hint="eastAsia" w:ascii="仿宋" w:hAnsi="仿宋" w:eastAsia="仿宋" w:cs="仿宋_GB2312"/>
          <w:sz w:val="32"/>
          <w:szCs w:val="32"/>
        </w:rPr>
        <w:t>我中心设有办公室、机关党建指导督查股、区驻村帮扶协调小组办公室。</w:t>
      </w:r>
    </w:p>
    <w:p>
      <w:pPr>
        <w:spacing w:line="560" w:lineRule="exact"/>
        <w:ind w:firstLine="642" w:firstLineChars="200"/>
        <w:rPr>
          <w:rFonts w:ascii="仿宋_GB2312" w:hAnsi="宋体" w:eastAsia="仿宋_GB2312" w:cs="宋体"/>
          <w:b/>
          <w:bCs/>
          <w:kern w:val="0"/>
          <w:sz w:val="32"/>
          <w:szCs w:val="32"/>
          <w:shd w:val="clear" w:color="auto" w:fill="FFFFFF"/>
          <w:lang w:val="zh-CN"/>
        </w:rPr>
      </w:pPr>
      <w:r>
        <w:rPr>
          <w:rFonts w:hint="eastAsia" w:ascii="仿宋_GB2312" w:hAnsi="宋体" w:eastAsia="仿宋_GB2312" w:cs="宋体"/>
          <w:b/>
          <w:bCs/>
          <w:kern w:val="0"/>
          <w:sz w:val="32"/>
          <w:szCs w:val="32"/>
          <w:shd w:val="clear" w:color="auto" w:fill="FFFFFF"/>
          <w:lang w:val="zh-CN"/>
        </w:rPr>
        <w:t>（二）机构职能。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1.督促区直机关、区属企事业单位基层党组织对区委决议、决定和重要工作部署的贯彻落实。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2.分类指导区直机关、区属企事业单位基层党组织抓好党的政治、思想、组织、作风及制度建设；指导区直机关党员干部职工的政治理论学习，会同有关部门组织开展党员干部培训。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3.督促指导区直机关、区属企事业单位基层党组织学习贯彻执行《中国共产党章程》《</w:t>
      </w:r>
      <w:r>
        <w:rPr>
          <w:rFonts w:hint="eastAsia" w:ascii="仿宋_GB2312" w:hAnsi="仿宋_GB2312" w:eastAsia="仿宋_GB2312" w:cs="仿宋_GB2312"/>
          <w:sz w:val="32"/>
          <w:szCs w:val="32"/>
          <w:lang w:eastAsia="zh-CN"/>
        </w:rPr>
        <w:t>中国共产党党和国家机关基层组织工作条例</w:t>
      </w:r>
      <w:r>
        <w:rPr>
          <w:rFonts w:hint="eastAsia" w:ascii="仿宋_GB2312" w:hAnsi="仿宋_GB2312" w:eastAsia="仿宋_GB2312" w:cs="仿宋_GB2312"/>
          <w:sz w:val="32"/>
          <w:szCs w:val="32"/>
        </w:rPr>
        <w:t>》等党内规章制度。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4.做好区直机关党员的教育引导、党内统计、组织关系接转、党费收缴、党员志愿服务、党内表彰激励关怀等日常事务工作。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5.协助区委相关部门做好区直机关、区属企事业单位基层党组织党建业务指导、党组（党委）书记抓党建工作述职等;配合做好区直属基层党组织及党员的考核、评先、评优及表彰工作。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6.统筹做好干部帮扶工作协调、服务、考核。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7.完成区委交办的其他任务。</w:t>
      </w:r>
    </w:p>
    <w:p>
      <w:pPr>
        <w:spacing w:line="560" w:lineRule="exact"/>
        <w:ind w:firstLine="642" w:firstLineChars="200"/>
        <w:rPr>
          <w:rFonts w:ascii="仿宋" w:hAnsi="仿宋" w:eastAsia="仿宋" w:cs="仿宋_GB2312"/>
          <w:sz w:val="32"/>
          <w:szCs w:val="32"/>
        </w:rPr>
      </w:pPr>
      <w:r>
        <w:rPr>
          <w:rFonts w:hint="eastAsia" w:ascii="仿宋_GB2312" w:hAnsi="宋体" w:eastAsia="仿宋_GB2312" w:cs="宋体"/>
          <w:b/>
          <w:bCs/>
          <w:kern w:val="0"/>
          <w:sz w:val="32"/>
          <w:szCs w:val="32"/>
          <w:shd w:val="clear" w:color="auto" w:fill="FFFFFF"/>
          <w:lang w:val="zh-CN"/>
        </w:rPr>
        <w:t>（三）人员概况。</w:t>
      </w:r>
      <w:r>
        <w:rPr>
          <w:rFonts w:hint="eastAsia" w:ascii="仿宋" w:hAnsi="仿宋" w:eastAsia="仿宋" w:cs="仿宋_GB2312"/>
          <w:sz w:val="32"/>
          <w:szCs w:val="32"/>
        </w:rPr>
        <w:t>我中心编制人数8人，其中公务员5人，事业干部2人，行政工勤人员1人，志愿者1人。</w:t>
      </w:r>
    </w:p>
    <w:p>
      <w:pPr>
        <w:widowControl/>
        <w:adjustRightInd w:val="0"/>
        <w:snapToGrid w:val="0"/>
        <w:spacing w:line="572" w:lineRule="exact"/>
        <w:ind w:firstLine="960" w:firstLineChars="3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二、部门财政资金收支情况</w:t>
      </w:r>
    </w:p>
    <w:p>
      <w:pPr>
        <w:spacing w:line="580" w:lineRule="exact"/>
        <w:ind w:firstLine="640" w:firstLineChars="200"/>
        <w:rPr>
          <w:rFonts w:ascii="仿宋" w:hAnsi="仿宋" w:eastAsia="仿宋" w:cs="仿宋_GB2312"/>
          <w:sz w:val="32"/>
          <w:szCs w:val="32"/>
        </w:rPr>
      </w:pPr>
      <w:r>
        <w:rPr>
          <w:rFonts w:hint="eastAsia" w:ascii="仿宋_GB2312" w:hAnsi="宋体" w:eastAsia="仿宋_GB2312" w:cs="宋体"/>
          <w:kern w:val="0"/>
          <w:sz w:val="32"/>
          <w:szCs w:val="32"/>
          <w:shd w:val="clear" w:color="auto" w:fill="FFFFFF"/>
          <w:lang w:val="zh-CN"/>
        </w:rPr>
        <w:t>（一）部门财政资金收入情况。</w:t>
      </w:r>
      <w:r>
        <w:rPr>
          <w:rFonts w:hint="eastAsia" w:ascii="仿宋" w:hAnsi="仿宋" w:eastAsia="仿宋" w:cs="仿宋_GB2312"/>
          <w:sz w:val="32"/>
          <w:szCs w:val="32"/>
        </w:rPr>
        <w:t>2021年区直属机关党建事务中心本年收入</w:t>
      </w:r>
      <w:r>
        <w:rPr>
          <w:rFonts w:hint="eastAsia" w:ascii="仿宋" w:hAnsi="仿宋" w:eastAsia="仿宋"/>
          <w:bCs/>
          <w:sz w:val="32"/>
          <w:szCs w:val="32"/>
        </w:rPr>
        <w:t>137.58</w:t>
      </w:r>
      <w:r>
        <w:rPr>
          <w:rFonts w:hint="eastAsia" w:ascii="仿宋" w:hAnsi="仿宋" w:eastAsia="仿宋" w:cs="仿宋_GB2312"/>
          <w:sz w:val="32"/>
          <w:szCs w:val="32"/>
        </w:rPr>
        <w:t>万元，其中财政拨款收入</w:t>
      </w:r>
      <w:r>
        <w:rPr>
          <w:rFonts w:hint="eastAsia" w:ascii="仿宋" w:hAnsi="仿宋" w:eastAsia="仿宋"/>
          <w:bCs/>
          <w:sz w:val="32"/>
          <w:szCs w:val="32"/>
        </w:rPr>
        <w:t>137.58</w:t>
      </w:r>
      <w:r>
        <w:rPr>
          <w:rFonts w:hint="eastAsia" w:ascii="仿宋" w:hAnsi="仿宋" w:eastAsia="仿宋" w:cs="仿宋_GB2312"/>
          <w:sz w:val="32"/>
          <w:szCs w:val="32"/>
        </w:rPr>
        <w:t>万元。</w:t>
      </w:r>
    </w:p>
    <w:p>
      <w:pPr>
        <w:spacing w:line="580" w:lineRule="exact"/>
        <w:rPr>
          <w:rFonts w:ascii="仿宋" w:hAnsi="仿宋" w:eastAsia="仿宋" w:cs="仿宋_GB2312"/>
          <w:sz w:val="32"/>
          <w:szCs w:val="32"/>
        </w:rPr>
      </w:pPr>
      <w:r>
        <w:rPr>
          <w:rFonts w:hint="eastAsia" w:ascii="仿宋_GB2312" w:hAnsi="宋体" w:eastAsia="仿宋_GB2312" w:cs="宋体"/>
          <w:kern w:val="0"/>
          <w:sz w:val="32"/>
          <w:szCs w:val="32"/>
          <w:shd w:val="clear" w:color="auto" w:fill="FFFFFF"/>
          <w:lang w:val="zh-CN"/>
        </w:rPr>
        <w:t>（二）部门财政资金支出情况。</w:t>
      </w:r>
      <w:r>
        <w:rPr>
          <w:rFonts w:hint="eastAsia" w:ascii="仿宋" w:hAnsi="仿宋" w:eastAsia="仿宋" w:cs="仿宋_GB2312"/>
          <w:sz w:val="32"/>
          <w:szCs w:val="32"/>
        </w:rPr>
        <w:t>本年支出合计</w:t>
      </w:r>
      <w:r>
        <w:rPr>
          <w:rFonts w:hint="eastAsia" w:ascii="仿宋" w:hAnsi="仿宋" w:eastAsia="仿宋"/>
          <w:bCs/>
          <w:sz w:val="32"/>
          <w:szCs w:val="32"/>
        </w:rPr>
        <w:t>137.58</w:t>
      </w:r>
      <w:r>
        <w:rPr>
          <w:rFonts w:hint="eastAsia" w:ascii="仿宋" w:hAnsi="仿宋" w:eastAsia="仿宋" w:cs="仿宋_GB2312"/>
          <w:sz w:val="32"/>
          <w:szCs w:val="32"/>
        </w:rPr>
        <w:t>万元。</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三、部门整体预算绩效管理情况（涉及到有专项预算的部门，专项预算项目自评报告作为附件报送；特定目标类部门预算项目绩效目标自评表作为附表报送）</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（一）部门预算项目绩效管理。</w:t>
      </w:r>
    </w:p>
    <w:p>
      <w:pPr>
        <w:widowControl/>
        <w:shd w:val="clear" w:color="auto" w:fill="FFFFFF"/>
        <w:spacing w:line="60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1、根据财政管理体制改革要求，中心财务要认真做好部门预算的编制工作，各业务股室要积极予以配合。按照“量入为出”、“突出重点、兼顾一般”的原则合理制定年度部门预算，经中心领导审议通过后上报区财政局。要牢固树立“过紧日子”的思想 ，精心组织预算执行，强化预算约束，认真贯彻落实党政机关</w:t>
      </w:r>
      <w:r>
        <w:rPr>
          <w:rFonts w:hint="eastAsia" w:ascii="仿宋_GB2312" w:hAnsi="仿宋" w:eastAsia="仿宋_GB2312" w:cs="仿宋_GB2312"/>
          <w:sz w:val="32"/>
          <w:szCs w:val="32"/>
          <w:lang w:eastAsia="zh-CN"/>
        </w:rPr>
        <w:t>厉行节约</w:t>
      </w:r>
      <w:r>
        <w:rPr>
          <w:rFonts w:hint="eastAsia" w:ascii="仿宋_GB2312" w:hAnsi="仿宋" w:eastAsia="仿宋_GB2312" w:cs="仿宋_GB2312"/>
          <w:sz w:val="32"/>
          <w:szCs w:val="32"/>
        </w:rPr>
        <w:t>的规定，压缩运行经费、会议及公务接待等支出，切实做到“三公经费”支出较上年只减不增。采取有效措施，强化财务管理，优化支出结构，压减一般开支，降低行政运行成本，保证重点支出，努力增收节支，确保年度预算收支任务圆满完成。</w:t>
      </w:r>
    </w:p>
    <w:p>
      <w:pPr>
        <w:widowControl/>
        <w:shd w:val="clear" w:color="auto" w:fill="FFFFFF"/>
        <w:spacing w:line="60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2、部门预算一经确定，即严格遵照执行，要树立“先计划、后支出”的预算概念，确保全年预算的顺利执行。对超预算的开支有权拒付。</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（二）结果应用情况。</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我中心开展的预算绩效评价的项目达到了预期效果，产生了较好的社会效益，对在绩效评价中发现的问题，单位提出整改意见并限期整改。更重要的是逐步改变了长期以来“重分配轻监督、重使用轻效益”的现象，有效减少和防止盲目用款、无效支出及盲目支出等行为的发生，使资金的运行更加合理高效。</w:t>
      </w:r>
    </w:p>
    <w:p>
      <w:pPr>
        <w:widowControl/>
        <w:numPr>
          <w:ilvl w:val="0"/>
          <w:numId w:val="4"/>
        </w:numPr>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自评质量</w:t>
      </w:r>
    </w:p>
    <w:p>
      <w:pPr>
        <w:pStyle w:val="13"/>
        <w:overflowPunct w:val="0"/>
        <w:spacing w:before="0" w:beforeAutospacing="0" w:after="0" w:afterAutospacing="0" w:line="576" w:lineRule="exact"/>
        <w:ind w:firstLine="633" w:firstLineChars="198"/>
        <w:jc w:val="both"/>
        <w:rPr>
          <w:rFonts w:ascii="仿宋_GB2312" w:hAnsi="仿宋_GB2312" w:eastAsia="仿宋_GB2312" w:cs="仿宋_GB2312"/>
          <w:color w:val="000000"/>
          <w:sz w:val="32"/>
          <w:szCs w:val="32"/>
        </w:rPr>
      </w:pPr>
      <w:r>
        <w:rPr>
          <w:rFonts w:hint="eastAsia" w:ascii="仿宋_GB2312" w:eastAsia="仿宋_GB2312"/>
          <w:sz w:val="32"/>
          <w:szCs w:val="32"/>
          <w:shd w:val="clear" w:color="auto" w:fill="FFFFFF"/>
        </w:rPr>
        <w:t>包括评价部门整体支出自评准确情况。</w:t>
      </w:r>
      <w:r>
        <w:rPr>
          <w:rFonts w:hint="eastAsia" w:ascii="仿宋_GB2312" w:hAnsi="仿宋_GB2312" w:eastAsia="仿宋_GB2312" w:cs="仿宋_GB2312"/>
          <w:color w:val="000000"/>
          <w:sz w:val="32"/>
          <w:szCs w:val="32"/>
        </w:rPr>
        <w:t>据考核评分细则，从整体上看，</w:t>
      </w:r>
      <w:r>
        <w:rPr>
          <w:rFonts w:hint="eastAsia" w:ascii="仿宋_GB2312" w:hAnsi="仿宋_GB2312" w:cs="仿宋_GB2312"/>
          <w:color w:val="000000"/>
          <w:sz w:val="32"/>
          <w:szCs w:val="32"/>
        </w:rPr>
        <w:t>2021</w:t>
      </w:r>
      <w:r>
        <w:rPr>
          <w:rFonts w:hint="eastAsia" w:ascii="仿宋_GB2312" w:hAnsi="仿宋_GB2312" w:eastAsia="仿宋_GB2312" w:cs="仿宋_GB2312"/>
          <w:color w:val="000000"/>
          <w:sz w:val="32"/>
          <w:szCs w:val="32"/>
        </w:rPr>
        <w:t>年我单位资金运行维护决策正确，资金管理规范，项目管理到位，政策执行有力，有效发挥了财政资金的使用效率。在人员经费支出、公共支出严格执行区委区政府的各项制度；在项目经费的使用上，在保证各项任务顺利完成的同时，严格落实厉行节约的原则；三公经费的使用严格控制在预算申报的范围内。</w:t>
      </w:r>
    </w:p>
    <w:p>
      <w:pPr>
        <w:widowControl/>
        <w:adjustRightInd w:val="0"/>
        <w:snapToGrid w:val="0"/>
        <w:spacing w:line="576" w:lineRule="exact"/>
        <w:ind w:firstLine="960" w:firstLineChars="3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spacing w:line="600" w:lineRule="exact"/>
        <w:ind w:firstLine="640" w:firstLineChars="200"/>
        <w:rPr>
          <w:rFonts w:ascii="仿宋" w:hAnsi="仿宋" w:eastAsia="仿宋" w:cs="仿宋_GB2312"/>
          <w:sz w:val="32"/>
          <w:szCs w:val="32"/>
        </w:rPr>
      </w:pPr>
      <w:r>
        <w:rPr>
          <w:rFonts w:hint="eastAsia" w:ascii="仿宋_GB2312" w:hAnsi="宋体" w:eastAsia="仿宋_GB2312" w:cs="宋体"/>
          <w:kern w:val="0"/>
          <w:sz w:val="32"/>
          <w:szCs w:val="32"/>
          <w:shd w:val="clear" w:color="auto" w:fill="FFFFFF"/>
          <w:lang w:val="zh-CN"/>
        </w:rPr>
        <w:t>（一）评价结论。</w:t>
      </w:r>
      <w:r>
        <w:rPr>
          <w:rFonts w:hint="eastAsia" w:ascii="仿宋_GB2312" w:hAnsi="仿宋" w:eastAsia="仿宋_GB2312" w:cs="仿宋_GB2312"/>
          <w:sz w:val="32"/>
          <w:szCs w:val="32"/>
        </w:rPr>
        <w:t>严格执行财务管理法律法规，强化项</w:t>
      </w:r>
      <w:r>
        <w:rPr>
          <w:rFonts w:hint="eastAsia" w:ascii="仿宋" w:hAnsi="仿宋" w:eastAsia="仿宋" w:cs="仿宋_GB2312"/>
          <w:sz w:val="32"/>
          <w:szCs w:val="32"/>
        </w:rPr>
        <w:t>目资金管理和使用。以区财政局资金支付相关管理为准绳，同时结合实际制定了《财务管理制度》等制度，加强项目资金的管理和监督，杜觉违规违法事件的发生。预算支出保障了我中心的日常运转，认真履行了职能职责，完成了区委、区政府下达的各项目标任务。</w:t>
      </w:r>
    </w:p>
    <w:p>
      <w:pPr>
        <w:spacing w:line="580" w:lineRule="exact"/>
        <w:ind w:firstLine="640" w:firstLineChars="200"/>
        <w:rPr>
          <w:rFonts w:ascii="仿宋" w:hAnsi="仿宋" w:eastAsia="仿宋" w:cs="仿宋_GB2312"/>
          <w:sz w:val="32"/>
          <w:szCs w:val="32"/>
        </w:rPr>
      </w:pPr>
      <w:r>
        <w:rPr>
          <w:rFonts w:hint="eastAsia" w:ascii="仿宋_GB2312" w:hAnsi="宋体" w:eastAsia="仿宋_GB2312" w:cs="宋体"/>
          <w:kern w:val="0"/>
          <w:sz w:val="32"/>
          <w:szCs w:val="32"/>
          <w:shd w:val="clear" w:color="auto" w:fill="FFFFFF"/>
          <w:lang w:val="zh-CN"/>
        </w:rPr>
        <w:t>（二）存在问题。</w:t>
      </w:r>
      <w:r>
        <w:rPr>
          <w:rFonts w:hint="eastAsia" w:ascii="仿宋" w:hAnsi="仿宋" w:eastAsia="仿宋" w:cs="仿宋_GB2312"/>
          <w:sz w:val="32"/>
          <w:szCs w:val="32"/>
        </w:rPr>
        <w:t>（业务）经费投入仍然不足，制约了各项工作更好的开展。</w:t>
      </w:r>
    </w:p>
    <w:p>
      <w:pPr>
        <w:pStyle w:val="13"/>
        <w:shd w:val="clear" w:color="auto" w:fill="FFFFFF"/>
        <w:spacing w:beforeAutospacing="0" w:afterAutospacing="0" w:line="33" w:lineRule="atLeast"/>
        <w:ind w:firstLine="640" w:firstLineChars="200"/>
        <w:jc w:val="both"/>
        <w:rPr>
          <w:rFonts w:ascii="仿宋_GB2312" w:eastAsia="仿宋_GB2312"/>
          <w:sz w:val="32"/>
          <w:szCs w:val="32"/>
          <w:shd w:val="clear" w:color="auto" w:fill="FFFFFF"/>
          <w:lang w:val="zh-CN"/>
        </w:rPr>
      </w:pPr>
      <w:r>
        <w:rPr>
          <w:rFonts w:hint="eastAsia" w:ascii="仿宋_GB2312" w:eastAsia="仿宋_GB2312"/>
          <w:sz w:val="32"/>
          <w:szCs w:val="32"/>
          <w:shd w:val="clear" w:color="auto" w:fill="FFFFFF"/>
          <w:lang w:val="zh-CN"/>
        </w:rPr>
        <w:t>（三）改进建议。</w:t>
      </w:r>
    </w:p>
    <w:p>
      <w:pPr>
        <w:pStyle w:val="13"/>
        <w:shd w:val="clear" w:color="auto" w:fill="FFFFFF"/>
        <w:spacing w:beforeAutospacing="0" w:afterAutospacing="0" w:line="33" w:lineRule="atLeast"/>
        <w:ind w:firstLine="640" w:firstLineChars="200"/>
        <w:jc w:val="both"/>
        <w:rPr>
          <w:rFonts w:hint="eastAsia" w:ascii="仿宋" w:hAnsi="仿宋" w:eastAsia="仿宋" w:cs="仿宋_GB2312"/>
          <w:kern w:val="2"/>
          <w:sz w:val="32"/>
          <w:lang w:val="en-US" w:eastAsia="zh-CN"/>
        </w:rPr>
      </w:pPr>
      <w:r>
        <w:rPr>
          <w:rFonts w:hint="eastAsia" w:ascii="仿宋" w:hAnsi="仿宋" w:eastAsia="仿宋" w:cs="仿宋_GB2312"/>
          <w:kern w:val="2"/>
          <w:sz w:val="32"/>
        </w:rPr>
        <w:t>1、细化预算编制工作，认真做好预算的编制。进一步加强单位内部机构各股室的预算管理意识，严格按照预算编制的相关制度和要求</w:t>
      </w:r>
      <w:r>
        <w:rPr>
          <w:rFonts w:hint="eastAsia" w:ascii="仿宋" w:hAnsi="仿宋" w:eastAsia="仿宋" w:cs="仿宋_GB2312"/>
          <w:kern w:val="2"/>
          <w:sz w:val="32"/>
          <w:lang w:val="en-US" w:eastAsia="zh-CN"/>
        </w:rPr>
        <w:t>。</w:t>
      </w:r>
    </w:p>
    <w:p>
      <w:pPr>
        <w:pStyle w:val="13"/>
        <w:shd w:val="clear" w:color="auto" w:fill="FFFFFF"/>
        <w:spacing w:beforeAutospacing="0" w:afterAutospacing="0" w:line="33" w:lineRule="atLeast"/>
        <w:ind w:firstLine="640" w:firstLineChars="200"/>
        <w:jc w:val="both"/>
        <w:rPr>
          <w:rFonts w:ascii="仿宋" w:hAnsi="仿宋" w:eastAsia="仿宋" w:cs="仿宋_GB2312"/>
          <w:kern w:val="2"/>
          <w:sz w:val="32"/>
        </w:rPr>
      </w:pPr>
      <w:r>
        <w:rPr>
          <w:rFonts w:hint="eastAsia" w:ascii="仿宋" w:hAnsi="仿宋" w:eastAsia="仿宋" w:cs="仿宋_GB2312"/>
          <w:kern w:val="2"/>
          <w:sz w:val="32"/>
        </w:rPr>
        <w:t>2、加强财务管理，严格财务审核</w:t>
      </w:r>
      <w:r>
        <w:rPr>
          <w:rFonts w:hint="eastAsia" w:ascii="仿宋" w:hAnsi="仿宋" w:eastAsia="仿宋" w:cs="仿宋_GB2312"/>
          <w:kern w:val="2"/>
          <w:sz w:val="32"/>
          <w:lang w:eastAsia="zh-CN"/>
        </w:rPr>
        <w:t>，</w:t>
      </w:r>
      <w:r>
        <w:rPr>
          <w:rFonts w:hint="eastAsia" w:ascii="仿宋" w:hAnsi="仿宋" w:eastAsia="仿宋" w:cs="仿宋_GB2312"/>
          <w:kern w:val="2"/>
          <w:sz w:val="32"/>
        </w:rPr>
        <w:t>杜绝超支现象的发生。</w:t>
      </w:r>
    </w:p>
    <w:p>
      <w:pPr>
        <w:pStyle w:val="13"/>
        <w:shd w:val="clear" w:color="auto" w:fill="FFFFFF"/>
        <w:spacing w:beforeAutospacing="0" w:afterAutospacing="0" w:line="33" w:lineRule="atLeast"/>
        <w:ind w:firstLine="640" w:firstLineChars="200"/>
        <w:jc w:val="both"/>
        <w:rPr>
          <w:rFonts w:ascii="仿宋" w:hAnsi="仿宋" w:eastAsia="仿宋" w:cs="仿宋_GB2312"/>
          <w:kern w:val="2"/>
          <w:sz w:val="32"/>
        </w:rPr>
      </w:pPr>
      <w:r>
        <w:rPr>
          <w:rFonts w:hint="eastAsia" w:ascii="仿宋" w:hAnsi="仿宋" w:eastAsia="仿宋" w:cs="仿宋_GB2312"/>
          <w:kern w:val="2"/>
          <w:sz w:val="32"/>
        </w:rPr>
        <w:t>3、遵循预算管理原则</w:t>
      </w:r>
      <w:r>
        <w:rPr>
          <w:rFonts w:hint="eastAsia" w:ascii="仿宋" w:hAnsi="仿宋" w:eastAsia="仿宋" w:cs="仿宋_GB2312"/>
          <w:kern w:val="2"/>
          <w:sz w:val="32"/>
          <w:lang w:eastAsia="zh-CN"/>
        </w:rPr>
        <w:t>，</w:t>
      </w:r>
      <w:r>
        <w:rPr>
          <w:rFonts w:hint="eastAsia" w:ascii="仿宋" w:hAnsi="仿宋" w:eastAsia="仿宋" w:cs="仿宋_GB2312"/>
          <w:kern w:val="2"/>
          <w:sz w:val="32"/>
        </w:rPr>
        <w:t>做到资金支付、预算先行，确保资金使用按照预算项目和使用用途执行，杜绝费用项目之间调剂使用现象的发生。</w:t>
      </w:r>
    </w:p>
    <w:p>
      <w:pPr>
        <w:pStyle w:val="13"/>
        <w:shd w:val="clear" w:color="auto" w:fill="FFFFFF"/>
        <w:spacing w:beforeAutospacing="0" w:afterAutospacing="0" w:line="33" w:lineRule="atLeast"/>
        <w:ind w:firstLine="640" w:firstLineChars="200"/>
        <w:jc w:val="both"/>
        <w:rPr>
          <w:rFonts w:ascii="仿宋" w:hAnsi="仿宋" w:eastAsia="仿宋" w:cs="仿宋_GB2312"/>
          <w:sz w:val="32"/>
        </w:rPr>
      </w:pPr>
      <w:r>
        <w:rPr>
          <w:rFonts w:hint="eastAsia" w:ascii="仿宋" w:hAnsi="仿宋" w:eastAsia="仿宋" w:cs="仿宋_GB2312"/>
          <w:kern w:val="2"/>
          <w:sz w:val="32"/>
        </w:rPr>
        <w:t>4、进一步严控“三公经费”支出，严控“三公经费”的规模和比例及“三公经费”支出的审核审批流程，杜绝挪用和挤占其他预算资金行为。</w:t>
      </w:r>
    </w:p>
    <w:p>
      <w:pPr>
        <w:widowControl/>
        <w:adjustRightInd w:val="0"/>
        <w:snapToGrid w:val="0"/>
        <w:spacing w:line="576" w:lineRule="exact"/>
        <w:contextualSpacing/>
        <w:jc w:val="left"/>
        <w:rPr>
          <w:rFonts w:ascii="仿宋_GB2312" w:hAnsi="宋体" w:eastAsia="仿宋_GB2312" w:cs="宋体"/>
          <w:kern w:val="0"/>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lang w:val="zh-CN"/>
        </w:rPr>
      </w:pPr>
      <w:r>
        <w:rPr>
          <w:rFonts w:hint="eastAsia" w:hAnsi="宋体" w:cs="宋体"/>
          <w:sz w:val="32"/>
          <w:szCs w:val="32"/>
          <w:shd w:val="clear" w:color="auto" w:fill="FFFFFF"/>
          <w:lang w:val="zh-CN"/>
        </w:rPr>
        <w:t>附件</w:t>
      </w:r>
    </w:p>
    <w:p>
      <w:pPr>
        <w:spacing w:line="600" w:lineRule="exact"/>
        <w:jc w:val="center"/>
        <w:rPr>
          <w:rFonts w:ascii="方正小标宋简体" w:hAnsi="方正小标宋简体" w:eastAsia="方正小标宋简体" w:cs="方正小标宋简体"/>
          <w:sz w:val="40"/>
          <w:szCs w:val="40"/>
          <w:lang w:val="zh-CN"/>
        </w:rPr>
      </w:pPr>
      <w:r>
        <w:rPr>
          <w:rFonts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rPr>
        <w:t>1年</w:t>
      </w:r>
      <w:r>
        <w:rPr>
          <w:rFonts w:hint="eastAsia" w:ascii="方正小标宋简体" w:hAnsi="方正小标宋简体" w:eastAsia="方正小标宋简体" w:cs="方正小标宋简体"/>
          <w:w w:val="86"/>
          <w:sz w:val="40"/>
          <w:szCs w:val="40"/>
        </w:rPr>
        <w:t>机关党建工作经费</w:t>
      </w:r>
      <w:r>
        <w:rPr>
          <w:rFonts w:hint="eastAsia" w:ascii="方正小标宋简体" w:hAnsi="方正小标宋简体" w:eastAsia="方正小标宋简体" w:cs="方正小标宋简体"/>
          <w:sz w:val="40"/>
          <w:szCs w:val="40"/>
          <w:lang w:val="zh-CN"/>
        </w:rPr>
        <w:t>项目支出绩效自评报告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utoSpaceDE w:val="0"/>
        <w:spacing w:line="540" w:lineRule="exact"/>
        <w:ind w:firstLine="642" w:firstLineChars="200"/>
        <w:rPr>
          <w:rFonts w:ascii="仿宋_GB2312" w:eastAsia="仿宋_GB2312"/>
          <w:spacing w:val="-6"/>
          <w:sz w:val="32"/>
          <w:szCs w:val="32"/>
        </w:rPr>
      </w:pPr>
      <w:r>
        <w:rPr>
          <w:rFonts w:hint="eastAsia" w:ascii="楷体_GB2312" w:hAnsi="宋体" w:eastAsia="楷体_GB2312"/>
          <w:b/>
          <w:sz w:val="32"/>
          <w:szCs w:val="32"/>
          <w:lang w:val="zh-CN"/>
        </w:rPr>
        <w:t>（一）项目基本情况。</w:t>
      </w:r>
      <w:r>
        <w:rPr>
          <w:rFonts w:hint="eastAsia" w:ascii="仿宋_GB2312" w:eastAsia="仿宋_GB2312"/>
          <w:bCs/>
          <w:spacing w:val="-6"/>
          <w:sz w:val="32"/>
          <w:szCs w:val="32"/>
        </w:rPr>
        <w:t>为了全面认真落实新时代党的建设总要求，全面提高机关党的建设质量和水平，贯彻落实中央和省、市、区委的机关党的建设工作会议精神，扎实开展模范机关建设。一是</w:t>
      </w:r>
      <w:r>
        <w:rPr>
          <w:rFonts w:hint="eastAsia" w:ascii="仿宋_GB2312" w:eastAsia="仿宋_GB2312"/>
          <w:bCs/>
          <w:sz w:val="32"/>
          <w:szCs w:val="32"/>
        </w:rPr>
        <w:t>聚焦“三大体系”，全面提高机关党建质量和水平</w:t>
      </w:r>
      <w:r>
        <w:rPr>
          <w:rFonts w:hint="eastAsia" w:ascii="仿宋_GB2312" w:eastAsia="仿宋_GB2312"/>
          <w:sz w:val="32"/>
          <w:szCs w:val="32"/>
        </w:rPr>
        <w:t>。二是</w:t>
      </w:r>
      <w:r>
        <w:rPr>
          <w:rFonts w:hint="eastAsia" w:ascii="仿宋_GB2312" w:eastAsia="仿宋_GB2312"/>
          <w:bCs/>
          <w:sz w:val="32"/>
          <w:szCs w:val="32"/>
        </w:rPr>
        <w:t>坚持“四个突出”，全力加强基层党组织建设。三是做好“五项工作”，全方位履行抓党建职能。</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（二）项目绩效目标。</w:t>
      </w:r>
      <w:r>
        <w:rPr>
          <w:rFonts w:hint="eastAsia" w:ascii="仿宋_GB2312" w:hAnsi="宋体" w:eastAsia="仿宋_GB2312"/>
          <w:sz w:val="32"/>
          <w:szCs w:val="32"/>
          <w:lang w:val="zh-CN"/>
        </w:rPr>
        <w:t>加强组织建设，加强队伍建设，确保基本保障，全面提高机关党建质量和水平。</w:t>
      </w:r>
    </w:p>
    <w:p>
      <w:pPr>
        <w:adjustRightInd w:val="0"/>
        <w:snapToGrid w:val="0"/>
        <w:spacing w:line="576"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分析评价申报内容是否与实际相符，该项目机构设置健全、分工明确，建立了较为完善的内部控制管理制度和专项资金管理实施办法。在验收相关机关党建工作任务是否符合条件时，采取层层把关的方式，有效保证了资金的使用范围和效率。</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二、项目实施及管理情况</w:t>
      </w:r>
    </w:p>
    <w:p>
      <w:pPr>
        <w:overflowPunct w:val="0"/>
        <w:spacing w:line="520" w:lineRule="exact"/>
        <w:ind w:firstLine="320" w:firstLineChars="100"/>
        <w:rPr>
          <w:rFonts w:ascii="仿宋_GB2312" w:hAnsi="仿宋" w:eastAsia="仿宋_GB2312"/>
          <w:sz w:val="32"/>
          <w:szCs w:val="32"/>
        </w:rPr>
      </w:pPr>
      <w:r>
        <w:rPr>
          <w:rFonts w:hint="eastAsia" w:ascii="楷体_GB2312" w:hAnsi="楷体_GB2312" w:eastAsia="楷体_GB2312" w:cs="楷体_GB2312"/>
          <w:sz w:val="32"/>
          <w:szCs w:val="32"/>
        </w:rPr>
        <w:t>（一）资金到位情况</w:t>
      </w:r>
      <w:r>
        <w:rPr>
          <w:rFonts w:hint="eastAsia" w:ascii="仿宋_GB2312" w:hAnsi="仿宋" w:eastAsia="仿宋_GB2312"/>
          <w:sz w:val="32"/>
          <w:szCs w:val="32"/>
        </w:rPr>
        <w:t>：区财政拨付机关党建工作经费6万元.</w:t>
      </w:r>
    </w:p>
    <w:p>
      <w:pPr>
        <w:overflowPunct w:val="0"/>
        <w:spacing w:line="520" w:lineRule="exact"/>
        <w:ind w:firstLine="320" w:firstLineChars="100"/>
        <w:rPr>
          <w:rFonts w:ascii="仿宋_GB2312" w:hAnsi="仿宋" w:eastAsia="仿宋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pacing w:val="-6"/>
          <w:sz w:val="32"/>
          <w:szCs w:val="32"/>
        </w:rPr>
        <w:t>预算资金执行情况</w:t>
      </w:r>
      <w:r>
        <w:rPr>
          <w:rFonts w:hint="eastAsia" w:ascii="仿宋_GB2312" w:hAnsi="仿宋" w:eastAsia="仿宋_GB2312"/>
          <w:spacing w:val="-6"/>
          <w:sz w:val="32"/>
          <w:szCs w:val="32"/>
        </w:rPr>
        <w:t>：2021年用于机关党建工作经费6万元。</w:t>
      </w:r>
    </w:p>
    <w:p>
      <w:pPr>
        <w:overflowPunct w:val="0"/>
        <w:spacing w:line="520" w:lineRule="exact"/>
        <w:ind w:firstLine="320" w:firstLineChars="100"/>
        <w:rPr>
          <w:rFonts w:ascii="仿宋_GB2312" w:hAnsi="仿宋_GB2312" w:eastAsia="仿宋_GB2312" w:cs="仿宋_GB2312"/>
          <w:sz w:val="32"/>
          <w:szCs w:val="32"/>
        </w:rPr>
      </w:pPr>
      <w:r>
        <w:rPr>
          <w:rFonts w:hint="eastAsia" w:ascii="楷体_GB2312" w:hAnsi="楷体_GB2312" w:eastAsia="楷体_GB2312" w:cs="楷体_GB2312"/>
          <w:sz w:val="32"/>
          <w:szCs w:val="32"/>
        </w:rPr>
        <w:t>（三）项目资金规范运行情况</w:t>
      </w:r>
      <w:r>
        <w:rPr>
          <w:rFonts w:hint="eastAsia" w:ascii="仿宋_GB2312" w:hAnsi="仿宋" w:eastAsia="仿宋_GB2312"/>
          <w:sz w:val="32"/>
          <w:szCs w:val="32"/>
        </w:rPr>
        <w:t>：</w:t>
      </w:r>
      <w:r>
        <w:rPr>
          <w:rFonts w:hint="eastAsia" w:ascii="仿宋_GB2312" w:hAnsi="仿宋_GB2312" w:eastAsia="仿宋_GB2312" w:cs="仿宋_GB2312"/>
          <w:sz w:val="32"/>
          <w:szCs w:val="32"/>
          <w:lang w:val="zh-CN"/>
        </w:rPr>
        <w:t>严格按照项目资金管理办法对资金进行申报、划拨、使用，并及时做好相关账务处理和会计核算</w:t>
      </w:r>
      <w:r>
        <w:rPr>
          <w:rFonts w:hint="eastAsia" w:ascii="仿宋_GB2312" w:hAnsi="仿宋_GB2312" w:eastAsia="仿宋_GB2312" w:cs="仿宋_GB2312"/>
          <w:sz w:val="32"/>
          <w:szCs w:val="32"/>
        </w:rPr>
        <w:t>。</w:t>
      </w:r>
    </w:p>
    <w:p>
      <w:pPr>
        <w:overflowPunct w:val="0"/>
        <w:spacing w:line="520" w:lineRule="exact"/>
        <w:ind w:firstLine="320" w:firstLineChars="100"/>
        <w:rPr>
          <w:rFonts w:ascii="仿宋_GB2312" w:eastAsia="仿宋_GB2312"/>
          <w:sz w:val="32"/>
          <w:szCs w:val="32"/>
        </w:rPr>
      </w:pPr>
      <w:r>
        <w:rPr>
          <w:rFonts w:hint="eastAsia" w:ascii="楷体_GB2312" w:hAnsi="楷体_GB2312" w:eastAsia="楷体_GB2312" w:cs="楷体_GB2312"/>
          <w:sz w:val="32"/>
          <w:szCs w:val="32"/>
        </w:rPr>
        <w:t>（四）财务管理情况</w:t>
      </w:r>
      <w:r>
        <w:rPr>
          <w:rFonts w:hint="eastAsia" w:ascii="仿宋_GB2312" w:hAnsi="仿宋" w:eastAsia="仿宋_GB2312"/>
          <w:sz w:val="32"/>
          <w:szCs w:val="32"/>
        </w:rPr>
        <w:t>：单位财务管理制度健全，严格执行财务管理制度，及时进行账务处理，会计核算规范。</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三、项目绩效情况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utoSpaceDE w:val="0"/>
        <w:spacing w:line="540" w:lineRule="exact"/>
        <w:ind w:firstLine="616" w:firstLineChars="200"/>
        <w:rPr>
          <w:rFonts w:ascii="仿宋_GB2312" w:eastAsia="仿宋_GB2312"/>
          <w:spacing w:val="-6"/>
          <w:sz w:val="32"/>
          <w:szCs w:val="32"/>
        </w:rPr>
      </w:pPr>
      <w:r>
        <w:rPr>
          <w:rFonts w:hint="eastAsia" w:ascii="仿宋_GB2312" w:eastAsia="仿宋_GB2312"/>
          <w:spacing w:val="-6"/>
          <w:sz w:val="32"/>
          <w:szCs w:val="32"/>
        </w:rPr>
        <w:t>从数量来看，建成机关党建示范单位15个，标准化规范化先进基层党组织37个，正在推进建设20个，工作相关信息在四川机关党建网刊发10余篇，区委“两优一先”表彰的推选工作，工委评选表彰优秀共产党员23人、优秀党务工作者7人、先进基层党组织14个；做好老党员、困难党员、优秀党员和党务工作者代表的关怀慰问，工委摸排慰问困难党员10人，减免困难党员党费3人，发放光荣在党50年纪念章53枚；举办入党积极分子和拟发展对象培训班1期，预备党员培训班1期，协助举办新任基层党组织书记、新发展党员和优秀党员示范培训班3期，组织区直机关党务干部赴成都培训提能；本年度新发展预备党员53人、预备党员转正45人、确定入党积极分子81人。</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utoSpaceDE w:val="0"/>
        <w:spacing w:line="540" w:lineRule="exact"/>
        <w:ind w:firstLine="616" w:firstLineChars="200"/>
        <w:rPr>
          <w:rFonts w:ascii="仿宋_GB2312" w:eastAsia="仿宋_GB2312"/>
          <w:spacing w:val="-6"/>
          <w:sz w:val="32"/>
          <w:szCs w:val="32"/>
        </w:rPr>
      </w:pPr>
      <w:r>
        <w:rPr>
          <w:rFonts w:hint="eastAsia" w:ascii="仿宋_GB2312" w:eastAsia="仿宋_GB2312"/>
          <w:spacing w:val="-6"/>
          <w:sz w:val="32"/>
          <w:szCs w:val="32"/>
        </w:rPr>
        <w:t>该项目产生的效益主要社会效益，主要表现在各领域基层党组织建设，各级党组织发挥战斗堡垒作用等方面。</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四、评价结论及建议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spacing w:line="576"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从本项目实施情况看，整个项目在资金安排、方案策划、组织实施等方面均有充分考虑，且较好地达到项目预期目标。但项目开展的计划性不够强。</w:t>
      </w:r>
    </w:p>
    <w:p>
      <w:pPr>
        <w:adjustRightInd w:val="0"/>
        <w:snapToGrid w:val="0"/>
        <w:spacing w:line="600" w:lineRule="exact"/>
        <w:ind w:firstLine="640" w:firstLineChars="200"/>
        <w:rPr>
          <w:rFonts w:ascii="楷体_GB2312" w:hAnsi="宋体" w:eastAsia="楷体_GB2312"/>
          <w:b/>
          <w:sz w:val="32"/>
          <w:szCs w:val="32"/>
          <w:lang w:val="zh-CN"/>
        </w:rPr>
      </w:pPr>
      <w:r>
        <w:rPr>
          <w:rFonts w:ascii="仿宋_GB2312" w:hAnsi="宋体" w:eastAsia="仿宋_GB2312"/>
          <w:sz w:val="32"/>
          <w:szCs w:val="32"/>
          <w:lang w:val="zh-CN"/>
        </w:rPr>
        <w:tab/>
      </w:r>
      <w:r>
        <w:rPr>
          <w:rFonts w:hint="eastAsia" w:ascii="楷体_GB2312" w:hAnsi="宋体" w:eastAsia="楷体_GB2312"/>
          <w:b/>
          <w:sz w:val="32"/>
          <w:szCs w:val="32"/>
          <w:lang w:val="zh-CN"/>
        </w:rPr>
        <w:t>（二）相关建议。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针对项目自评中发现的问题，提出下一步改进完善的意见及有关政策性建议。建议结合中心工作职能和年度目标任务，在全年各项工作开展中支出中列出详细的计划，细化到每个项目，按计划推进项目落实，避免入不敷出。</w:t>
      </w: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rFonts w:hint="eastAsia"/>
          <w:lang w:val="zh-CN"/>
        </w:rPr>
      </w:pPr>
    </w:p>
    <w:p>
      <w:pPr>
        <w:pStyle w:val="2"/>
        <w:spacing w:before="93"/>
        <w:rPr>
          <w:rFonts w:hint="eastAsia"/>
          <w:lang w:val="zh-CN"/>
        </w:rPr>
      </w:pPr>
    </w:p>
    <w:p>
      <w:pPr>
        <w:pStyle w:val="2"/>
        <w:spacing w:before="93"/>
        <w:rPr>
          <w:rFonts w:hint="eastAsia"/>
          <w:lang w:val="zh-CN"/>
        </w:rPr>
      </w:pPr>
    </w:p>
    <w:p>
      <w:pPr>
        <w:pStyle w:val="2"/>
        <w:spacing w:before="93"/>
        <w:rPr>
          <w:rFonts w:hint="eastAsia"/>
          <w:lang w:val="zh-CN"/>
        </w:rPr>
      </w:pPr>
    </w:p>
    <w:p>
      <w:pPr>
        <w:pStyle w:val="2"/>
        <w:spacing w:before="93"/>
        <w:rPr>
          <w:lang w:val="zh-CN"/>
        </w:rPr>
      </w:pPr>
    </w:p>
    <w:p>
      <w:pPr>
        <w:pStyle w:val="2"/>
        <w:spacing w:before="93"/>
        <w:rPr>
          <w:lang w:val="zh-CN"/>
        </w:rPr>
      </w:pPr>
    </w:p>
    <w:p>
      <w:pPr>
        <w:pStyle w:val="2"/>
        <w:spacing w:before="93"/>
        <w:rPr>
          <w:lang w:val="zh-CN"/>
        </w:rPr>
      </w:pPr>
    </w:p>
    <w:tbl>
      <w:tblPr>
        <w:tblStyle w:val="14"/>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118"/>
        <w:gridCol w:w="1125"/>
        <w:gridCol w:w="1170"/>
        <w:gridCol w:w="2820"/>
        <w:gridCol w:w="1785"/>
        <w:gridCol w:w="1557"/>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vAlign w:val="center"/>
          </w:tcPr>
          <w:p>
            <w:pPr>
              <w:widowControl/>
              <w:jc w:val="center"/>
              <w:textAlignment w:val="center"/>
              <w:rPr>
                <w:rFonts w:ascii="宋体" w:cs="宋体"/>
                <w:b/>
                <w:sz w:val="32"/>
                <w:szCs w:val="32"/>
              </w:rPr>
            </w:pPr>
            <w:r>
              <w:rPr>
                <w:rFonts w:ascii="宋体" w:hAnsi="宋体" w:cs="宋体"/>
                <w:b/>
                <w:sz w:val="32"/>
                <w:szCs w:val="32"/>
              </w:rPr>
              <w:t>2021</w:t>
            </w:r>
            <w:r>
              <w:rPr>
                <w:rFonts w:hint="eastAsia" w:ascii="宋体" w:hAnsi="宋体" w:cs="宋体"/>
                <w:b/>
                <w:sz w:val="32"/>
                <w:szCs w:val="32"/>
              </w:rPr>
              <w:t>年机关党建预算项目绩效目标自评</w:t>
            </w:r>
          </w:p>
        </w:tc>
        <w:tc>
          <w:tcPr>
            <w:tcW w:w="236" w:type="dxa"/>
            <w:tcBorders>
              <w:top w:val="nil"/>
              <w:left w:val="nil"/>
              <w:bottom w:val="nil"/>
              <w:right w:val="nil"/>
            </w:tcBorders>
            <w:vAlign w:val="center"/>
          </w:tcPr>
          <w:p>
            <w:pPr>
              <w:widowControl/>
              <w:jc w:val="center"/>
              <w:textAlignment w:val="center"/>
              <w:rPr>
                <w:rFonts w:ascii="宋体" w:cs="宋体"/>
                <w:b/>
                <w:kern w:val="0"/>
                <w:sz w:val="32"/>
                <w:szCs w:val="32"/>
              </w:rPr>
            </w:pPr>
          </w:p>
        </w:tc>
      </w:tr>
      <w:tr>
        <w:tblPrEx>
          <w:tblCellMar>
            <w:top w:w="0" w:type="dxa"/>
            <w:left w:w="108" w:type="dxa"/>
            <w:bottom w:w="0" w:type="dxa"/>
            <w:right w:w="108" w:type="dxa"/>
          </w:tblCellMar>
        </w:tblPrEx>
        <w:trPr>
          <w:gridAfter w:val="1"/>
          <w:wAfter w:w="236" w:type="dxa"/>
          <w:trHeight w:val="770" w:hRule="atLeast"/>
        </w:trPr>
        <w:tc>
          <w:tcPr>
            <w:tcW w:w="22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6"/>
                <w:szCs w:val="16"/>
              </w:rPr>
            </w:pPr>
            <w:r>
              <w:rPr>
                <w:rFonts w:hint="eastAsia" w:ascii="宋体" w:hAnsi="宋体" w:cs="宋体"/>
                <w:kern w:val="0"/>
                <w:sz w:val="16"/>
                <w:szCs w:val="16"/>
              </w:rPr>
              <w:t>主管部门及代码</w:t>
            </w:r>
          </w:p>
        </w:tc>
        <w:tc>
          <w:tcPr>
            <w:tcW w:w="399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cs="宋体"/>
                <w:sz w:val="16"/>
                <w:szCs w:val="16"/>
              </w:rPr>
            </w:pPr>
            <w:r>
              <w:rPr>
                <w:rFonts w:hint="eastAsia" w:ascii="宋体" w:cs="宋体"/>
                <w:sz w:val="16"/>
                <w:szCs w:val="16"/>
              </w:rPr>
              <w:t>区直属机关党建事务中心</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6"/>
                <w:szCs w:val="16"/>
              </w:rPr>
            </w:pPr>
            <w:r>
              <w:rPr>
                <w:rFonts w:hint="eastAsia" w:ascii="宋体" w:hAnsi="宋体" w:cs="宋体"/>
                <w:kern w:val="0"/>
                <w:sz w:val="16"/>
                <w:szCs w:val="16"/>
              </w:rPr>
              <w:t>实施单位</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6"/>
                <w:szCs w:val="16"/>
              </w:rPr>
            </w:pPr>
            <w:r>
              <w:rPr>
                <w:rFonts w:hint="eastAsia" w:ascii="宋体" w:cs="宋体"/>
                <w:sz w:val="16"/>
                <w:szCs w:val="16"/>
              </w:rPr>
              <w:t>区直属机关党建事务中心</w:t>
            </w:r>
          </w:p>
        </w:tc>
      </w:tr>
      <w:tr>
        <w:tblPrEx>
          <w:tblCellMar>
            <w:top w:w="0" w:type="dxa"/>
            <w:left w:w="108" w:type="dxa"/>
            <w:bottom w:w="0" w:type="dxa"/>
            <w:right w:w="108" w:type="dxa"/>
          </w:tblCellMar>
        </w:tblPrEx>
        <w:trPr>
          <w:gridAfter w:val="1"/>
          <w:wAfter w:w="236" w:type="dxa"/>
          <w:trHeight w:val="341" w:hRule="atLeast"/>
        </w:trPr>
        <w:tc>
          <w:tcPr>
            <w:tcW w:w="224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6"/>
                <w:szCs w:val="16"/>
              </w:rPr>
            </w:pPr>
            <w:r>
              <w:rPr>
                <w:rFonts w:hint="eastAsia" w:ascii="宋体" w:hAnsi="宋体" w:cs="宋体"/>
                <w:kern w:val="0"/>
                <w:sz w:val="16"/>
                <w:szCs w:val="16"/>
              </w:rPr>
              <w:t>项目预算</w:t>
            </w:r>
            <w:r>
              <w:rPr>
                <w:rFonts w:ascii="宋体" w:cs="宋体"/>
                <w:kern w:val="0"/>
                <w:sz w:val="16"/>
                <w:szCs w:val="16"/>
              </w:rPr>
              <w:br w:type="textWrapping"/>
            </w:r>
            <w:r>
              <w:rPr>
                <w:rFonts w:hint="eastAsia" w:ascii="宋体" w:hAnsi="宋体" w:cs="宋体"/>
                <w:kern w:val="0"/>
                <w:sz w:val="16"/>
                <w:szCs w:val="16"/>
              </w:rPr>
              <w:t>执行情况</w:t>
            </w:r>
            <w:r>
              <w:rPr>
                <w:rFonts w:ascii="宋体" w:cs="宋体"/>
                <w:kern w:val="0"/>
                <w:sz w:val="16"/>
                <w:szCs w:val="16"/>
              </w:rPr>
              <w:br w:type="textWrapping"/>
            </w:r>
            <w:r>
              <w:rPr>
                <w:rFonts w:hint="eastAsia" w:ascii="宋体" w:hAnsi="宋体" w:cs="宋体"/>
                <w:kern w:val="0"/>
                <w:sz w:val="16"/>
                <w:szCs w:val="16"/>
              </w:rPr>
              <w:t>（万元）</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6"/>
                <w:szCs w:val="16"/>
              </w:rPr>
            </w:pPr>
            <w:r>
              <w:rPr>
                <w:rFonts w:ascii="宋体" w:hAnsi="宋体" w:cs="宋体"/>
                <w:kern w:val="0"/>
                <w:sz w:val="16"/>
                <w:szCs w:val="16"/>
              </w:rPr>
              <w:t xml:space="preserve"> </w:t>
            </w:r>
            <w:r>
              <w:rPr>
                <w:rFonts w:hint="eastAsia" w:ascii="宋体" w:hAnsi="宋体" w:cs="宋体"/>
                <w:kern w:val="0"/>
                <w:sz w:val="16"/>
                <w:szCs w:val="16"/>
              </w:rPr>
              <w:t>预算数：</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6"/>
                <w:szCs w:val="16"/>
              </w:rPr>
            </w:pPr>
            <w:r>
              <w:rPr>
                <w:rFonts w:hint="eastAsia" w:ascii="宋体" w:cs="宋体"/>
                <w:sz w:val="16"/>
                <w:szCs w:val="16"/>
              </w:rPr>
              <w:t>6</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6"/>
                <w:szCs w:val="16"/>
              </w:rPr>
            </w:pPr>
            <w:r>
              <w:rPr>
                <w:rFonts w:ascii="宋体" w:hAnsi="宋体" w:cs="宋体"/>
                <w:kern w:val="0"/>
                <w:sz w:val="16"/>
                <w:szCs w:val="16"/>
              </w:rPr>
              <w:t xml:space="preserve"> </w:t>
            </w:r>
            <w:r>
              <w:rPr>
                <w:rFonts w:hint="eastAsia" w:ascii="宋体" w:hAnsi="宋体" w:cs="宋体"/>
                <w:kern w:val="0"/>
                <w:sz w:val="16"/>
                <w:szCs w:val="16"/>
              </w:rPr>
              <w:t>执行数：</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right"/>
              <w:textAlignment w:val="center"/>
              <w:rPr>
                <w:rFonts w:ascii="宋体" w:cs="宋体"/>
                <w:sz w:val="16"/>
                <w:szCs w:val="16"/>
              </w:rPr>
            </w:pPr>
            <w:r>
              <w:rPr>
                <w:rFonts w:hint="eastAsia" w:ascii="宋体" w:cs="宋体"/>
                <w:sz w:val="16"/>
                <w:szCs w:val="16"/>
              </w:rPr>
              <w:t>6</w:t>
            </w:r>
          </w:p>
        </w:tc>
      </w:tr>
      <w:tr>
        <w:tblPrEx>
          <w:tblCellMar>
            <w:top w:w="0" w:type="dxa"/>
            <w:left w:w="108" w:type="dxa"/>
            <w:bottom w:w="0" w:type="dxa"/>
            <w:right w:w="108" w:type="dxa"/>
          </w:tblCellMar>
        </w:tblPrEx>
        <w:trPr>
          <w:gridAfter w:val="1"/>
          <w:wAfter w:w="236" w:type="dxa"/>
          <w:trHeight w:val="830" w:hRule="atLeast"/>
        </w:trPr>
        <w:tc>
          <w:tcPr>
            <w:tcW w:w="224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6"/>
                <w:szCs w:val="16"/>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16"/>
                <w:szCs w:val="16"/>
              </w:rPr>
            </w:pPr>
            <w:r>
              <w:rPr>
                <w:rFonts w:hint="eastAsia" w:ascii="宋体" w:hAnsi="宋体" w:cs="宋体"/>
                <w:kern w:val="0"/>
                <w:sz w:val="16"/>
                <w:szCs w:val="16"/>
              </w:rPr>
              <w:t>其中：</w:t>
            </w:r>
          </w:p>
          <w:p>
            <w:pPr>
              <w:widowControl/>
              <w:spacing w:line="320" w:lineRule="exact"/>
              <w:jc w:val="left"/>
              <w:textAlignment w:val="center"/>
              <w:rPr>
                <w:rFonts w:ascii="宋体" w:cs="宋体"/>
                <w:sz w:val="16"/>
                <w:szCs w:val="16"/>
              </w:rPr>
            </w:pPr>
            <w:r>
              <w:rPr>
                <w:rFonts w:hint="eastAsia" w:ascii="宋体" w:hAnsi="宋体" w:cs="宋体"/>
                <w:kern w:val="0"/>
                <w:sz w:val="16"/>
                <w:szCs w:val="16"/>
              </w:rPr>
              <w:t>财政拨款</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6"/>
                <w:szCs w:val="16"/>
              </w:rPr>
            </w:pPr>
            <w:r>
              <w:rPr>
                <w:rFonts w:hint="eastAsia" w:ascii="宋体" w:cs="宋体"/>
                <w:sz w:val="16"/>
                <w:szCs w:val="16"/>
              </w:rPr>
              <w:t>6</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16"/>
                <w:szCs w:val="16"/>
              </w:rPr>
            </w:pPr>
            <w:r>
              <w:rPr>
                <w:rFonts w:hint="eastAsia" w:ascii="宋体" w:hAnsi="宋体" w:cs="宋体"/>
                <w:kern w:val="0"/>
                <w:sz w:val="16"/>
                <w:szCs w:val="16"/>
              </w:rPr>
              <w:t>其中：</w:t>
            </w:r>
          </w:p>
          <w:p>
            <w:pPr>
              <w:widowControl/>
              <w:spacing w:line="320" w:lineRule="exact"/>
              <w:jc w:val="left"/>
              <w:textAlignment w:val="center"/>
              <w:rPr>
                <w:rFonts w:ascii="宋体" w:cs="宋体"/>
                <w:sz w:val="16"/>
                <w:szCs w:val="16"/>
              </w:rPr>
            </w:pPr>
            <w:r>
              <w:rPr>
                <w:rFonts w:hint="eastAsia" w:ascii="宋体" w:hAnsi="宋体" w:cs="宋体"/>
                <w:kern w:val="0"/>
                <w:sz w:val="16"/>
                <w:szCs w:val="16"/>
              </w:rPr>
              <w:t>财政拨款</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cs="宋体"/>
                <w:sz w:val="16"/>
                <w:szCs w:val="16"/>
              </w:rPr>
            </w:pPr>
            <w:r>
              <w:rPr>
                <w:rFonts w:hint="eastAsia" w:ascii="宋体" w:cs="宋体"/>
                <w:sz w:val="16"/>
                <w:szCs w:val="16"/>
              </w:rPr>
              <w:t>6</w:t>
            </w:r>
          </w:p>
        </w:tc>
      </w:tr>
      <w:tr>
        <w:tblPrEx>
          <w:tblCellMar>
            <w:top w:w="0" w:type="dxa"/>
            <w:left w:w="108" w:type="dxa"/>
            <w:bottom w:w="0" w:type="dxa"/>
            <w:right w:w="108" w:type="dxa"/>
          </w:tblCellMar>
        </w:tblPrEx>
        <w:trPr>
          <w:gridAfter w:val="1"/>
          <w:wAfter w:w="236" w:type="dxa"/>
          <w:trHeight w:val="375" w:hRule="atLeast"/>
        </w:trPr>
        <w:tc>
          <w:tcPr>
            <w:tcW w:w="224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6"/>
                <w:szCs w:val="16"/>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6"/>
                <w:szCs w:val="16"/>
              </w:rPr>
            </w:pPr>
            <w:r>
              <w:rPr>
                <w:rFonts w:hint="eastAsia" w:ascii="宋体" w:hAnsi="宋体" w:cs="宋体"/>
                <w:kern w:val="0"/>
                <w:sz w:val="16"/>
                <w:szCs w:val="16"/>
              </w:rPr>
              <w:t>其他资金</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6"/>
                <w:szCs w:val="16"/>
              </w:rPr>
            </w:pPr>
            <w:r>
              <w:rPr>
                <w:rFonts w:hint="eastAsia" w:ascii="宋体" w:cs="宋体"/>
                <w:sz w:val="16"/>
                <w:szCs w:val="16"/>
              </w:rPr>
              <w:t>0</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6"/>
                <w:szCs w:val="16"/>
              </w:rPr>
            </w:pPr>
            <w:r>
              <w:rPr>
                <w:rFonts w:hint="eastAsia" w:ascii="宋体" w:hAnsi="宋体" w:cs="宋体"/>
                <w:kern w:val="0"/>
                <w:sz w:val="16"/>
                <w:szCs w:val="16"/>
              </w:rPr>
              <w:t>其他资金</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6"/>
                <w:szCs w:val="16"/>
              </w:rPr>
            </w:pPr>
            <w:r>
              <w:rPr>
                <w:rFonts w:hint="eastAsia" w:ascii="宋体" w:cs="宋体"/>
                <w:sz w:val="16"/>
                <w:szCs w:val="16"/>
              </w:rPr>
              <w:t>0</w:t>
            </w:r>
          </w:p>
        </w:tc>
      </w:tr>
      <w:tr>
        <w:tblPrEx>
          <w:tblCellMar>
            <w:top w:w="0" w:type="dxa"/>
            <w:left w:w="108" w:type="dxa"/>
            <w:bottom w:w="0" w:type="dxa"/>
            <w:right w:w="108" w:type="dxa"/>
          </w:tblCellMar>
        </w:tblPrEx>
        <w:trPr>
          <w:gridAfter w:val="1"/>
          <w:wAfter w:w="236" w:type="dxa"/>
          <w:trHeight w:val="217" w:hRule="atLeast"/>
        </w:trPr>
        <w:tc>
          <w:tcPr>
            <w:tcW w:w="111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16"/>
                <w:szCs w:val="16"/>
              </w:rPr>
            </w:pPr>
            <w:r>
              <w:rPr>
                <w:rFonts w:hint="eastAsia" w:ascii="宋体" w:hAnsi="宋体" w:cs="宋体"/>
                <w:kern w:val="0"/>
                <w:sz w:val="16"/>
                <w:szCs w:val="16"/>
              </w:rPr>
              <w:t>年度总体目标</w:t>
            </w:r>
          </w:p>
          <w:p>
            <w:pPr>
              <w:widowControl/>
              <w:spacing w:line="320" w:lineRule="exact"/>
              <w:jc w:val="center"/>
              <w:textAlignment w:val="center"/>
              <w:rPr>
                <w:rFonts w:ascii="宋体" w:cs="宋体"/>
                <w:sz w:val="16"/>
                <w:szCs w:val="16"/>
              </w:rPr>
            </w:pPr>
            <w:r>
              <w:rPr>
                <w:rFonts w:hint="eastAsia" w:ascii="宋体" w:hAnsi="宋体" w:cs="宋体"/>
                <w:kern w:val="0"/>
                <w:sz w:val="16"/>
                <w:szCs w:val="16"/>
              </w:rPr>
              <w:t>完成情况</w:t>
            </w:r>
          </w:p>
        </w:tc>
        <w:tc>
          <w:tcPr>
            <w:tcW w:w="51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6"/>
                <w:szCs w:val="16"/>
              </w:rPr>
            </w:pPr>
            <w:r>
              <w:rPr>
                <w:rFonts w:hint="eastAsia" w:ascii="宋体" w:hAnsi="宋体" w:cs="宋体"/>
                <w:kern w:val="0"/>
                <w:sz w:val="16"/>
                <w:szCs w:val="16"/>
              </w:rPr>
              <w:t>预期目标</w:t>
            </w:r>
          </w:p>
        </w:tc>
        <w:tc>
          <w:tcPr>
            <w:tcW w:w="334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6"/>
                <w:szCs w:val="16"/>
              </w:rPr>
            </w:pPr>
            <w:r>
              <w:rPr>
                <w:rFonts w:hint="eastAsia" w:ascii="宋体" w:hAnsi="宋体" w:cs="宋体"/>
                <w:kern w:val="0"/>
                <w:sz w:val="16"/>
                <w:szCs w:val="16"/>
              </w:rPr>
              <w:t>目标实际完成情况</w:t>
            </w:r>
          </w:p>
        </w:tc>
      </w:tr>
      <w:tr>
        <w:tblPrEx>
          <w:tblCellMar>
            <w:top w:w="0" w:type="dxa"/>
            <w:left w:w="108" w:type="dxa"/>
            <w:bottom w:w="0" w:type="dxa"/>
            <w:right w:w="108" w:type="dxa"/>
          </w:tblCellMar>
        </w:tblPrEx>
        <w:trPr>
          <w:gridAfter w:val="1"/>
          <w:wAfter w:w="236" w:type="dxa"/>
          <w:trHeight w:val="797" w:hRule="atLeast"/>
        </w:trPr>
        <w:tc>
          <w:tcPr>
            <w:tcW w:w="1118"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6"/>
                <w:szCs w:val="16"/>
              </w:rPr>
            </w:pPr>
          </w:p>
        </w:tc>
        <w:tc>
          <w:tcPr>
            <w:tcW w:w="5115"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cs="宋体"/>
                <w:sz w:val="16"/>
                <w:szCs w:val="16"/>
              </w:rPr>
            </w:pPr>
            <w:r>
              <w:rPr>
                <w:rFonts w:hint="eastAsia" w:ascii="宋体" w:cs="宋体"/>
                <w:sz w:val="16"/>
                <w:szCs w:val="16"/>
              </w:rPr>
              <w:t>加强组织建设，加强队伍建设，确保基本保障，全面提高机关党建质量和水平。</w:t>
            </w:r>
          </w:p>
        </w:tc>
        <w:tc>
          <w:tcPr>
            <w:tcW w:w="3342"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cs="宋体"/>
                <w:sz w:val="16"/>
                <w:szCs w:val="16"/>
              </w:rPr>
            </w:pPr>
            <w:r>
              <w:rPr>
                <w:rFonts w:hint="eastAsia" w:ascii="宋体" w:cs="宋体"/>
                <w:sz w:val="16"/>
                <w:szCs w:val="16"/>
              </w:rPr>
              <w:t>加强组织建设，加强队伍建设，确保基本保障，全面提高机关党建质量和水平。</w:t>
            </w:r>
          </w:p>
        </w:tc>
      </w:tr>
      <w:tr>
        <w:tblPrEx>
          <w:tblCellMar>
            <w:top w:w="0" w:type="dxa"/>
            <w:left w:w="108" w:type="dxa"/>
            <w:bottom w:w="0" w:type="dxa"/>
            <w:right w:w="108" w:type="dxa"/>
          </w:tblCellMar>
        </w:tblPrEx>
        <w:trPr>
          <w:gridAfter w:val="1"/>
          <w:wAfter w:w="236" w:type="dxa"/>
          <w:trHeight w:val="693" w:hRule="atLeast"/>
        </w:trPr>
        <w:tc>
          <w:tcPr>
            <w:tcW w:w="1118"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年度绩效指标完成情况</w:t>
            </w:r>
          </w:p>
        </w:tc>
        <w:tc>
          <w:tcPr>
            <w:tcW w:w="1125"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一级</w:t>
            </w:r>
          </w:p>
          <w:p>
            <w:pPr>
              <w:widowControl/>
              <w:spacing w:line="320" w:lineRule="exact"/>
              <w:jc w:val="center"/>
              <w:textAlignment w:val="center"/>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指标</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二级</w:t>
            </w:r>
          </w:p>
          <w:p>
            <w:pPr>
              <w:widowControl/>
              <w:spacing w:line="320" w:lineRule="exact"/>
              <w:jc w:val="center"/>
              <w:textAlignment w:val="center"/>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指标</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三级</w:t>
            </w:r>
          </w:p>
          <w:p>
            <w:pPr>
              <w:widowControl/>
              <w:spacing w:line="320" w:lineRule="exact"/>
              <w:jc w:val="center"/>
              <w:textAlignment w:val="center"/>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预期指标值</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实际完成指标值</w:t>
            </w:r>
          </w:p>
        </w:tc>
      </w:tr>
      <w:tr>
        <w:tblPrEx>
          <w:tblCellMar>
            <w:top w:w="0" w:type="dxa"/>
            <w:left w:w="108" w:type="dxa"/>
            <w:bottom w:w="0" w:type="dxa"/>
            <w:right w:w="108" w:type="dxa"/>
          </w:tblCellMar>
        </w:tblPrEx>
        <w:trPr>
          <w:gridAfter w:val="1"/>
          <w:wAfter w:w="236" w:type="dxa"/>
          <w:trHeight w:val="415"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完成</w:t>
            </w:r>
          </w:p>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指标</w:t>
            </w:r>
          </w:p>
        </w:tc>
        <w:tc>
          <w:tcPr>
            <w:tcW w:w="1170" w:type="dxa"/>
            <w:vMerge w:val="restart"/>
            <w:tcBorders>
              <w:top w:val="single" w:color="000000" w:sz="4" w:space="0"/>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数量指标</w:t>
            </w:r>
          </w:p>
        </w:tc>
        <w:tc>
          <w:tcPr>
            <w:tcW w:w="282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会议</w:t>
            </w:r>
          </w:p>
        </w:tc>
        <w:tc>
          <w:tcPr>
            <w:tcW w:w="17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3次</w:t>
            </w: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全面完成</w:t>
            </w:r>
          </w:p>
        </w:tc>
      </w:tr>
      <w:tr>
        <w:tblPrEx>
          <w:tblCellMar>
            <w:top w:w="0" w:type="dxa"/>
            <w:left w:w="108" w:type="dxa"/>
            <w:bottom w:w="0" w:type="dxa"/>
            <w:right w:w="108" w:type="dxa"/>
          </w:tblCellMar>
        </w:tblPrEx>
        <w:trPr>
          <w:gridAfter w:val="1"/>
          <w:wAfter w:w="236" w:type="dxa"/>
          <w:trHeight w:val="415"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continue"/>
            <w:tcBorders>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16"/>
                <w:szCs w:val="16"/>
              </w:rPr>
            </w:pPr>
          </w:p>
        </w:tc>
        <w:tc>
          <w:tcPr>
            <w:tcW w:w="1170" w:type="dxa"/>
            <w:vMerge w:val="continue"/>
            <w:tcBorders>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kern w:val="0"/>
                <w:sz w:val="16"/>
                <w:szCs w:val="16"/>
              </w:rPr>
            </w:pPr>
          </w:p>
        </w:tc>
        <w:tc>
          <w:tcPr>
            <w:tcW w:w="282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档案归档</w:t>
            </w:r>
          </w:p>
        </w:tc>
        <w:tc>
          <w:tcPr>
            <w:tcW w:w="17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274卷</w:t>
            </w: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全面完成</w:t>
            </w:r>
          </w:p>
        </w:tc>
      </w:tr>
      <w:tr>
        <w:tblPrEx>
          <w:tblCellMar>
            <w:top w:w="0" w:type="dxa"/>
            <w:left w:w="108" w:type="dxa"/>
            <w:bottom w:w="0" w:type="dxa"/>
            <w:right w:w="108" w:type="dxa"/>
          </w:tblCellMar>
        </w:tblPrEx>
        <w:trPr>
          <w:gridAfter w:val="1"/>
          <w:wAfter w:w="236" w:type="dxa"/>
          <w:trHeight w:val="415"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continue"/>
            <w:tcBorders>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16"/>
                <w:szCs w:val="16"/>
              </w:rPr>
            </w:pPr>
          </w:p>
        </w:tc>
        <w:tc>
          <w:tcPr>
            <w:tcW w:w="1170" w:type="dxa"/>
            <w:vMerge w:val="continue"/>
            <w:tcBorders>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kern w:val="0"/>
                <w:sz w:val="16"/>
                <w:szCs w:val="16"/>
              </w:rPr>
            </w:pPr>
          </w:p>
        </w:tc>
        <w:tc>
          <w:tcPr>
            <w:tcW w:w="282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建设规范化标准化先进基层党组织</w:t>
            </w:r>
          </w:p>
        </w:tc>
        <w:tc>
          <w:tcPr>
            <w:tcW w:w="17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23个</w:t>
            </w: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全面完成</w:t>
            </w:r>
          </w:p>
        </w:tc>
      </w:tr>
      <w:tr>
        <w:tblPrEx>
          <w:tblCellMar>
            <w:top w:w="0" w:type="dxa"/>
            <w:left w:w="108" w:type="dxa"/>
            <w:bottom w:w="0" w:type="dxa"/>
            <w:right w:w="108" w:type="dxa"/>
          </w:tblCellMar>
        </w:tblPrEx>
        <w:trPr>
          <w:gridAfter w:val="1"/>
          <w:wAfter w:w="236" w:type="dxa"/>
          <w:trHeight w:val="415"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continue"/>
            <w:tcBorders>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16"/>
                <w:szCs w:val="16"/>
              </w:rPr>
            </w:pPr>
          </w:p>
        </w:tc>
        <w:tc>
          <w:tcPr>
            <w:tcW w:w="1170" w:type="dxa"/>
            <w:vMerge w:val="continue"/>
            <w:tcBorders>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kern w:val="0"/>
                <w:sz w:val="16"/>
                <w:szCs w:val="16"/>
              </w:rPr>
            </w:pPr>
          </w:p>
        </w:tc>
        <w:tc>
          <w:tcPr>
            <w:tcW w:w="282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加强组织体系建设</w:t>
            </w:r>
          </w:p>
        </w:tc>
        <w:tc>
          <w:tcPr>
            <w:tcW w:w="17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19个</w:t>
            </w: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全面完成</w:t>
            </w:r>
          </w:p>
        </w:tc>
      </w:tr>
      <w:tr>
        <w:tblPrEx>
          <w:tblCellMar>
            <w:top w:w="0" w:type="dxa"/>
            <w:left w:w="108" w:type="dxa"/>
            <w:bottom w:w="0" w:type="dxa"/>
            <w:right w:w="108" w:type="dxa"/>
          </w:tblCellMar>
        </w:tblPrEx>
        <w:trPr>
          <w:gridAfter w:val="1"/>
          <w:wAfter w:w="236" w:type="dxa"/>
          <w:trHeight w:val="415"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6"/>
                <w:szCs w:val="16"/>
              </w:rPr>
            </w:pPr>
          </w:p>
        </w:tc>
        <w:tc>
          <w:tcPr>
            <w:tcW w:w="117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质量指标</w:t>
            </w:r>
          </w:p>
        </w:tc>
        <w:tc>
          <w:tcPr>
            <w:tcW w:w="282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督促指导区直机关基层党组织落实党内法律条例，抓好和巩固标准化规范化建设，开展好主题党日活动、开展党史学习教育，建强基层党组织。</w:t>
            </w:r>
          </w:p>
        </w:tc>
        <w:tc>
          <w:tcPr>
            <w:tcW w:w="17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基层党组织更加建强，战斗堡垒作用更加发挥，党员示范引领更加牢固</w:t>
            </w: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全面完成</w:t>
            </w:r>
          </w:p>
        </w:tc>
      </w:tr>
      <w:tr>
        <w:tblPrEx>
          <w:tblCellMar>
            <w:top w:w="0" w:type="dxa"/>
            <w:left w:w="108" w:type="dxa"/>
            <w:bottom w:w="0" w:type="dxa"/>
            <w:right w:w="108" w:type="dxa"/>
          </w:tblCellMar>
        </w:tblPrEx>
        <w:trPr>
          <w:gridAfter w:val="1"/>
          <w:wAfter w:w="236" w:type="dxa"/>
          <w:trHeight w:val="415"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6"/>
                <w:szCs w:val="16"/>
              </w:rPr>
            </w:pPr>
          </w:p>
        </w:tc>
        <w:tc>
          <w:tcPr>
            <w:tcW w:w="117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时效指标</w:t>
            </w:r>
          </w:p>
        </w:tc>
        <w:tc>
          <w:tcPr>
            <w:tcW w:w="282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2021年1-12月</w:t>
            </w:r>
          </w:p>
        </w:tc>
        <w:tc>
          <w:tcPr>
            <w:tcW w:w="17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2021年1-12月</w:t>
            </w: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r>
      <w:tr>
        <w:tblPrEx>
          <w:tblCellMar>
            <w:top w:w="0" w:type="dxa"/>
            <w:left w:w="108" w:type="dxa"/>
            <w:bottom w:w="0" w:type="dxa"/>
            <w:right w:w="108" w:type="dxa"/>
          </w:tblCellMar>
        </w:tblPrEx>
        <w:trPr>
          <w:gridAfter w:val="1"/>
          <w:wAfter w:w="236" w:type="dxa"/>
          <w:trHeight w:val="480"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6"/>
                <w:szCs w:val="16"/>
              </w:rPr>
            </w:pPr>
          </w:p>
        </w:tc>
        <w:tc>
          <w:tcPr>
            <w:tcW w:w="117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成本指标</w:t>
            </w:r>
          </w:p>
        </w:tc>
        <w:tc>
          <w:tcPr>
            <w:tcW w:w="282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经费控制在6万元以内。</w:t>
            </w:r>
          </w:p>
        </w:tc>
        <w:tc>
          <w:tcPr>
            <w:tcW w:w="17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经费控制在6万元以内</w:t>
            </w: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6万元内</w:t>
            </w:r>
          </w:p>
        </w:tc>
      </w:tr>
      <w:tr>
        <w:tblPrEx>
          <w:tblCellMar>
            <w:top w:w="0" w:type="dxa"/>
            <w:left w:w="108" w:type="dxa"/>
            <w:bottom w:w="0" w:type="dxa"/>
            <w:right w:w="108" w:type="dxa"/>
          </w:tblCellMar>
        </w:tblPrEx>
        <w:trPr>
          <w:gridAfter w:val="1"/>
          <w:wAfter w:w="236" w:type="dxa"/>
          <w:trHeight w:val="560"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效益</w:t>
            </w:r>
            <w:r>
              <w:rPr>
                <w:rFonts w:ascii="仿宋_GB2312" w:hAnsi="仿宋_GB2312" w:eastAsia="仿宋_GB2312" w:cs="仿宋_GB2312"/>
                <w:kern w:val="0"/>
                <w:sz w:val="16"/>
                <w:szCs w:val="16"/>
              </w:rPr>
              <w:br w:type="textWrapping"/>
            </w:r>
            <w:r>
              <w:rPr>
                <w:rFonts w:hint="eastAsia" w:ascii="仿宋_GB2312" w:hAnsi="仿宋_GB2312" w:eastAsia="仿宋_GB2312" w:cs="仿宋_GB2312"/>
                <w:kern w:val="0"/>
                <w:sz w:val="16"/>
                <w:szCs w:val="16"/>
              </w:rPr>
              <w:t>指标</w:t>
            </w:r>
          </w:p>
        </w:tc>
        <w:tc>
          <w:tcPr>
            <w:tcW w:w="117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经济效益</w:t>
            </w:r>
            <w:r>
              <w:rPr>
                <w:rFonts w:ascii="仿宋_GB2312" w:hAnsi="仿宋_GB2312" w:eastAsia="仿宋_GB2312" w:cs="仿宋_GB2312"/>
                <w:kern w:val="0"/>
                <w:sz w:val="16"/>
                <w:szCs w:val="16"/>
              </w:rPr>
              <w:t xml:space="preserve">  </w:t>
            </w:r>
            <w:r>
              <w:rPr>
                <w:rFonts w:hint="eastAsia" w:ascii="仿宋_GB2312" w:hAnsi="仿宋_GB2312" w:eastAsia="仿宋_GB2312" w:cs="仿宋_GB2312"/>
                <w:kern w:val="0"/>
                <w:sz w:val="16"/>
                <w:szCs w:val="16"/>
              </w:rPr>
              <w:t>指标</w:t>
            </w:r>
          </w:p>
        </w:tc>
        <w:tc>
          <w:tcPr>
            <w:tcW w:w="282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c>
          <w:tcPr>
            <w:tcW w:w="17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r>
      <w:tr>
        <w:tblPrEx>
          <w:tblCellMar>
            <w:top w:w="0" w:type="dxa"/>
            <w:left w:w="108" w:type="dxa"/>
            <w:bottom w:w="0" w:type="dxa"/>
            <w:right w:w="108" w:type="dxa"/>
          </w:tblCellMar>
        </w:tblPrEx>
        <w:trPr>
          <w:gridAfter w:val="1"/>
          <w:wAfter w:w="236" w:type="dxa"/>
          <w:trHeight w:val="480"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6"/>
                <w:szCs w:val="16"/>
              </w:rPr>
            </w:pPr>
          </w:p>
        </w:tc>
        <w:tc>
          <w:tcPr>
            <w:tcW w:w="117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社会效益</w:t>
            </w:r>
            <w:r>
              <w:rPr>
                <w:rFonts w:ascii="仿宋_GB2312" w:hAnsi="仿宋_GB2312" w:eastAsia="仿宋_GB2312" w:cs="仿宋_GB2312"/>
                <w:kern w:val="0"/>
                <w:sz w:val="16"/>
                <w:szCs w:val="16"/>
              </w:rPr>
              <w:t xml:space="preserve">  </w:t>
            </w:r>
            <w:r>
              <w:rPr>
                <w:rFonts w:hint="eastAsia" w:ascii="仿宋_GB2312" w:hAnsi="仿宋_GB2312" w:eastAsia="仿宋_GB2312" w:cs="仿宋_GB2312"/>
                <w:kern w:val="0"/>
                <w:sz w:val="16"/>
                <w:szCs w:val="16"/>
              </w:rPr>
              <w:t>指标</w:t>
            </w:r>
          </w:p>
        </w:tc>
        <w:tc>
          <w:tcPr>
            <w:tcW w:w="282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统筹推进各领域基层党组织建设，各级党组织发挥战斗堡垒作用</w:t>
            </w:r>
          </w:p>
        </w:tc>
        <w:tc>
          <w:tcPr>
            <w:tcW w:w="17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100%</w:t>
            </w: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100%</w:t>
            </w:r>
          </w:p>
        </w:tc>
      </w:tr>
      <w:tr>
        <w:tblPrEx>
          <w:tblCellMar>
            <w:top w:w="0" w:type="dxa"/>
            <w:left w:w="108" w:type="dxa"/>
            <w:bottom w:w="0" w:type="dxa"/>
            <w:right w:w="108" w:type="dxa"/>
          </w:tblCellMar>
        </w:tblPrEx>
        <w:trPr>
          <w:gridAfter w:val="1"/>
          <w:wAfter w:w="236" w:type="dxa"/>
          <w:trHeight w:val="577"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6"/>
                <w:szCs w:val="16"/>
              </w:rPr>
            </w:pPr>
          </w:p>
        </w:tc>
        <w:tc>
          <w:tcPr>
            <w:tcW w:w="117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ind w:left="343" w:leftChars="87" w:hanging="160" w:hangingChars="100"/>
              <w:jc w:val="left"/>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生态效益</w:t>
            </w:r>
            <w:r>
              <w:rPr>
                <w:rFonts w:ascii="仿宋_GB2312" w:hAnsi="仿宋_GB2312" w:eastAsia="仿宋_GB2312" w:cs="仿宋_GB2312"/>
                <w:kern w:val="0"/>
                <w:sz w:val="16"/>
                <w:szCs w:val="16"/>
              </w:rPr>
              <w:t xml:space="preserve">  </w:t>
            </w:r>
            <w:r>
              <w:rPr>
                <w:rFonts w:hint="eastAsia" w:ascii="仿宋_GB2312" w:hAnsi="仿宋_GB2312" w:eastAsia="仿宋_GB2312" w:cs="仿宋_GB2312"/>
                <w:kern w:val="0"/>
                <w:sz w:val="16"/>
                <w:szCs w:val="16"/>
              </w:rPr>
              <w:t>指标</w:t>
            </w:r>
          </w:p>
        </w:tc>
        <w:tc>
          <w:tcPr>
            <w:tcW w:w="282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c>
          <w:tcPr>
            <w:tcW w:w="17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r>
      <w:tr>
        <w:tblPrEx>
          <w:tblCellMar>
            <w:top w:w="0" w:type="dxa"/>
            <w:left w:w="108" w:type="dxa"/>
            <w:bottom w:w="0" w:type="dxa"/>
            <w:right w:w="108" w:type="dxa"/>
          </w:tblCellMar>
        </w:tblPrEx>
        <w:trPr>
          <w:gridAfter w:val="1"/>
          <w:wAfter w:w="236" w:type="dxa"/>
          <w:trHeight w:val="480"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6"/>
                <w:szCs w:val="16"/>
              </w:rPr>
            </w:pPr>
          </w:p>
        </w:tc>
        <w:tc>
          <w:tcPr>
            <w:tcW w:w="117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可持续影响</w:t>
            </w:r>
            <w:r>
              <w:rPr>
                <w:rFonts w:ascii="仿宋_GB2312" w:hAnsi="仿宋_GB2312" w:eastAsia="仿宋_GB2312" w:cs="仿宋_GB2312"/>
                <w:kern w:val="0"/>
                <w:sz w:val="16"/>
                <w:szCs w:val="16"/>
              </w:rPr>
              <w:t xml:space="preserve"> </w:t>
            </w:r>
            <w:r>
              <w:rPr>
                <w:rFonts w:hint="eastAsia" w:ascii="仿宋_GB2312" w:hAnsi="仿宋_GB2312" w:eastAsia="仿宋_GB2312" w:cs="仿宋_GB2312"/>
                <w:kern w:val="0"/>
                <w:sz w:val="16"/>
                <w:szCs w:val="16"/>
              </w:rPr>
              <w:t>指标</w:t>
            </w:r>
          </w:p>
        </w:tc>
        <w:tc>
          <w:tcPr>
            <w:tcW w:w="282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c>
          <w:tcPr>
            <w:tcW w:w="17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r>
      <w:tr>
        <w:tblPrEx>
          <w:tblCellMar>
            <w:top w:w="0" w:type="dxa"/>
            <w:left w:w="108" w:type="dxa"/>
            <w:bottom w:w="0" w:type="dxa"/>
            <w:right w:w="108" w:type="dxa"/>
          </w:tblCellMar>
        </w:tblPrEx>
        <w:trPr>
          <w:gridAfter w:val="1"/>
          <w:wAfter w:w="236" w:type="dxa"/>
          <w:trHeight w:val="530" w:hRule="atLeast"/>
        </w:trPr>
        <w:tc>
          <w:tcPr>
            <w:tcW w:w="1118"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满意</w:t>
            </w:r>
            <w:r>
              <w:rPr>
                <w:rFonts w:ascii="仿宋_GB2312" w:hAnsi="仿宋_GB2312" w:eastAsia="仿宋_GB2312" w:cs="仿宋_GB2312"/>
                <w:kern w:val="0"/>
                <w:sz w:val="16"/>
                <w:szCs w:val="16"/>
              </w:rPr>
              <w:br w:type="textWrapping"/>
            </w:r>
            <w:r>
              <w:rPr>
                <w:rFonts w:hint="eastAsia" w:ascii="仿宋_GB2312" w:hAnsi="仿宋_GB2312" w:eastAsia="仿宋_GB2312" w:cs="仿宋_GB2312"/>
                <w:kern w:val="0"/>
                <w:sz w:val="16"/>
                <w:szCs w:val="16"/>
              </w:rPr>
              <w:t>度指标</w:t>
            </w:r>
          </w:p>
        </w:tc>
        <w:tc>
          <w:tcPr>
            <w:tcW w:w="117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满意度</w:t>
            </w:r>
          </w:p>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指标</w:t>
            </w:r>
          </w:p>
        </w:tc>
        <w:tc>
          <w:tcPr>
            <w:tcW w:w="282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促进基层党组织服务功能，群众、党员满意度有所提升</w:t>
            </w:r>
          </w:p>
        </w:tc>
        <w:tc>
          <w:tcPr>
            <w:tcW w:w="17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100%</w:t>
            </w: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100%</w:t>
            </w:r>
          </w:p>
        </w:tc>
      </w:tr>
    </w:tbl>
    <w:p>
      <w:pPr>
        <w:widowControl/>
        <w:adjustRightInd w:val="0"/>
        <w:snapToGrid w:val="0"/>
        <w:spacing w:line="580" w:lineRule="exact"/>
        <w:ind w:firstLine="32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16"/>
          <w:szCs w:val="16"/>
          <w:shd w:val="clear" w:color="auto" w:fill="FFFFFF"/>
          <w:lang w:val="zh-CN"/>
        </w:rPr>
        <w:t>附表：</w:t>
      </w: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w w:val="90"/>
          <w:sz w:val="44"/>
          <w:szCs w:val="44"/>
        </w:rPr>
      </w:pPr>
      <w:r>
        <w:rPr>
          <w:rFonts w:ascii="黑体" w:hAnsi="黑体" w:eastAsia="黑体" w:cs="方正小标宋简体"/>
          <w:w w:val="90"/>
          <w:sz w:val="44"/>
          <w:szCs w:val="44"/>
        </w:rPr>
        <w:t>20</w:t>
      </w:r>
      <w:r>
        <w:rPr>
          <w:rFonts w:hint="eastAsia" w:ascii="黑体" w:hAnsi="黑体" w:eastAsia="黑体" w:cs="方正小标宋简体"/>
          <w:w w:val="90"/>
          <w:sz w:val="44"/>
          <w:szCs w:val="44"/>
        </w:rPr>
        <w:t>21年驻村帮扶工作项目支出绩效评价报告</w:t>
      </w:r>
    </w:p>
    <w:p>
      <w:pPr>
        <w:spacing w:line="58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utoSpaceDE w:val="0"/>
        <w:spacing w:line="540" w:lineRule="exact"/>
        <w:ind w:firstLine="642" w:firstLineChars="200"/>
        <w:rPr>
          <w:rFonts w:ascii="仿宋_GB2312" w:eastAsia="仿宋_GB2312"/>
          <w:bCs/>
          <w:spacing w:val="-6"/>
          <w:sz w:val="32"/>
          <w:szCs w:val="32"/>
        </w:rPr>
      </w:pPr>
      <w:r>
        <w:rPr>
          <w:rFonts w:hint="eastAsia" w:ascii="楷体_GB2312" w:hAnsi="宋体" w:eastAsia="楷体_GB2312"/>
          <w:b/>
          <w:sz w:val="32"/>
          <w:szCs w:val="32"/>
          <w:lang w:val="zh-CN"/>
        </w:rPr>
        <w:t>（一）项目基本情况。</w:t>
      </w:r>
      <w:r>
        <w:rPr>
          <w:rFonts w:hint="eastAsia" w:ascii="仿宋_GB2312" w:eastAsia="仿宋_GB2312"/>
          <w:bCs/>
          <w:spacing w:val="-6"/>
          <w:sz w:val="32"/>
          <w:szCs w:val="32"/>
        </w:rPr>
        <w:t>为了保持帮扶力量基本稳定，促进乡村振兴与脱贫攻坚有效衔接。</w:t>
      </w:r>
    </w:p>
    <w:p>
      <w:pPr>
        <w:spacing w:line="580" w:lineRule="exact"/>
        <w:ind w:firstLine="642" w:firstLineChars="200"/>
        <w:rPr>
          <w:rFonts w:ascii="仿宋" w:hAnsi="仿宋" w:eastAsia="仿宋" w:cs="仿宋_GB2312"/>
          <w:bCs/>
          <w:sz w:val="32"/>
          <w:szCs w:val="32"/>
        </w:rPr>
      </w:pPr>
      <w:r>
        <w:rPr>
          <w:rFonts w:hint="eastAsia" w:ascii="楷体_GB2312" w:hAnsi="宋体" w:eastAsia="楷体_GB2312"/>
          <w:b/>
          <w:sz w:val="32"/>
          <w:szCs w:val="32"/>
          <w:lang w:val="zh-CN"/>
        </w:rPr>
        <w:t>（二）项目绩效目标。</w:t>
      </w:r>
      <w:r>
        <w:rPr>
          <w:rFonts w:hint="eastAsia" w:ascii="楷体_GB2312" w:hAnsi="宋体" w:eastAsia="楷体_GB2312"/>
          <w:bCs/>
          <w:sz w:val="32"/>
          <w:szCs w:val="32"/>
          <w:lang w:val="zh-CN"/>
        </w:rPr>
        <w:t>保持帮扶力量基本稳定，促进乡村振兴与脱贫攻坚有效衔接。</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二、项目实施及管理情况</w:t>
      </w:r>
    </w:p>
    <w:p>
      <w:pPr>
        <w:overflowPunct w:val="0"/>
        <w:spacing w:line="520" w:lineRule="exact"/>
        <w:ind w:firstLine="320" w:firstLineChars="100"/>
        <w:rPr>
          <w:rFonts w:ascii="仿宋_GB2312" w:hAnsi="仿宋" w:eastAsia="仿宋_GB2312"/>
          <w:sz w:val="32"/>
          <w:szCs w:val="32"/>
        </w:rPr>
      </w:pPr>
      <w:r>
        <w:rPr>
          <w:rFonts w:hint="eastAsia" w:ascii="楷体_GB2312" w:hAnsi="楷体_GB2312" w:eastAsia="楷体_GB2312" w:cs="楷体_GB2312"/>
          <w:sz w:val="32"/>
          <w:szCs w:val="32"/>
        </w:rPr>
        <w:t>（一）资金到位情况</w:t>
      </w:r>
      <w:r>
        <w:rPr>
          <w:rFonts w:hint="eastAsia" w:ascii="仿宋_GB2312" w:hAnsi="仿宋" w:eastAsia="仿宋_GB2312"/>
          <w:sz w:val="32"/>
          <w:szCs w:val="32"/>
        </w:rPr>
        <w:t>：区财政拨付驻村帮扶工作经费6万元.</w:t>
      </w:r>
    </w:p>
    <w:p>
      <w:pPr>
        <w:overflowPunct w:val="0"/>
        <w:spacing w:line="520" w:lineRule="exact"/>
        <w:ind w:firstLine="320" w:firstLineChars="100"/>
        <w:rPr>
          <w:rFonts w:ascii="仿宋_GB2312" w:hAnsi="仿宋" w:eastAsia="仿宋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pacing w:val="-6"/>
          <w:sz w:val="32"/>
          <w:szCs w:val="32"/>
        </w:rPr>
        <w:t>预算资金执行情况</w:t>
      </w:r>
      <w:r>
        <w:rPr>
          <w:rFonts w:hint="eastAsia" w:ascii="仿宋_GB2312" w:hAnsi="仿宋" w:eastAsia="仿宋_GB2312"/>
          <w:spacing w:val="-6"/>
          <w:sz w:val="32"/>
          <w:szCs w:val="32"/>
        </w:rPr>
        <w:t>：2021年用于驻村帮扶工作经费6万元。</w:t>
      </w:r>
    </w:p>
    <w:p>
      <w:pPr>
        <w:overflowPunct w:val="0"/>
        <w:spacing w:line="520" w:lineRule="exact"/>
        <w:ind w:firstLine="320" w:firstLineChars="100"/>
        <w:rPr>
          <w:rFonts w:ascii="仿宋_GB2312" w:hAnsi="仿宋_GB2312" w:eastAsia="仿宋_GB2312" w:cs="仿宋_GB2312"/>
          <w:sz w:val="32"/>
          <w:szCs w:val="32"/>
        </w:rPr>
      </w:pPr>
      <w:r>
        <w:rPr>
          <w:rFonts w:hint="eastAsia" w:ascii="楷体_GB2312" w:hAnsi="楷体_GB2312" w:eastAsia="楷体_GB2312" w:cs="楷体_GB2312"/>
          <w:sz w:val="32"/>
          <w:szCs w:val="32"/>
        </w:rPr>
        <w:t>（三）项目资金规范运行情况</w:t>
      </w:r>
      <w:r>
        <w:rPr>
          <w:rFonts w:hint="eastAsia" w:ascii="仿宋_GB2312" w:hAnsi="仿宋" w:eastAsia="仿宋_GB2312"/>
          <w:sz w:val="32"/>
          <w:szCs w:val="32"/>
        </w:rPr>
        <w:t>：</w:t>
      </w:r>
      <w:r>
        <w:rPr>
          <w:rFonts w:hint="eastAsia" w:ascii="仿宋_GB2312" w:hAnsi="仿宋_GB2312" w:eastAsia="仿宋_GB2312" w:cs="仿宋_GB2312"/>
          <w:sz w:val="32"/>
          <w:szCs w:val="32"/>
          <w:lang w:val="zh-CN"/>
        </w:rPr>
        <w:t>严格按照项目资金管理办法对资金进行申报、划拨、使用，并及时做好相关账务处理和会计核算</w:t>
      </w:r>
      <w:r>
        <w:rPr>
          <w:rFonts w:hint="eastAsia" w:ascii="仿宋_GB2312" w:hAnsi="仿宋_GB2312" w:eastAsia="仿宋_GB2312" w:cs="仿宋_GB2312"/>
          <w:sz w:val="32"/>
          <w:szCs w:val="32"/>
        </w:rPr>
        <w:t>。</w:t>
      </w:r>
    </w:p>
    <w:p>
      <w:pPr>
        <w:overflowPunct w:val="0"/>
        <w:spacing w:line="520" w:lineRule="exact"/>
        <w:ind w:firstLine="320" w:firstLineChars="100"/>
        <w:rPr>
          <w:rFonts w:ascii="仿宋_GB2312" w:eastAsia="仿宋_GB2312"/>
          <w:sz w:val="32"/>
          <w:szCs w:val="32"/>
        </w:rPr>
      </w:pPr>
      <w:r>
        <w:rPr>
          <w:rFonts w:hint="eastAsia" w:ascii="楷体_GB2312" w:hAnsi="楷体_GB2312" w:eastAsia="楷体_GB2312" w:cs="楷体_GB2312"/>
          <w:sz w:val="32"/>
          <w:szCs w:val="32"/>
        </w:rPr>
        <w:t>（四）财务管理情况</w:t>
      </w:r>
      <w:r>
        <w:rPr>
          <w:rFonts w:hint="eastAsia" w:ascii="仿宋_GB2312" w:hAnsi="仿宋" w:eastAsia="仿宋_GB2312"/>
          <w:sz w:val="32"/>
          <w:szCs w:val="32"/>
        </w:rPr>
        <w:t>：单位财务管理制度健全，严格执行财务管理制度，及时进行账务处理，会计核算规范。</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三、项目绩效情况</w:t>
      </w:r>
      <w:r>
        <w:rPr>
          <w:rFonts w:ascii="仿宋_GB2312" w:hAnsi="宋体" w:eastAsia="仿宋_GB2312"/>
          <w:sz w:val="32"/>
          <w:szCs w:val="32"/>
          <w:lang w:val="zh-CN"/>
        </w:rPr>
        <w:tab/>
      </w:r>
    </w:p>
    <w:p>
      <w:pPr>
        <w:autoSpaceDE w:val="0"/>
        <w:spacing w:line="540" w:lineRule="exact"/>
        <w:ind w:firstLine="642" w:firstLineChars="200"/>
        <w:rPr>
          <w:rFonts w:ascii="仿宋_GB2312" w:eastAsia="仿宋_GB2312"/>
          <w:spacing w:val="-6"/>
          <w:sz w:val="32"/>
          <w:szCs w:val="32"/>
        </w:rPr>
      </w:pPr>
      <w:r>
        <w:rPr>
          <w:rFonts w:hint="eastAsia" w:ascii="楷体_GB2312" w:hAnsi="宋体" w:eastAsia="楷体_GB2312"/>
          <w:b/>
          <w:sz w:val="32"/>
          <w:szCs w:val="32"/>
          <w:lang w:val="zh-CN"/>
        </w:rPr>
        <w:t>（一）项目完成情况。</w:t>
      </w:r>
      <w:r>
        <w:rPr>
          <w:rFonts w:hint="eastAsia" w:ascii="仿宋_GB2312" w:eastAsia="仿宋_GB2312"/>
          <w:spacing w:val="-6"/>
          <w:sz w:val="32"/>
          <w:szCs w:val="32"/>
        </w:rPr>
        <w:t>从数量来看，优化调整了123个省市区三级部门联系帮扶全区127个行政村（社区），4家省级部门单位和20家市级部门单位在我区定点帮扶，99家区级部门单位参与帮扶，助推乡村振兴与脱贫攻坚有效衔接。</w:t>
      </w:r>
    </w:p>
    <w:p>
      <w:pPr>
        <w:autoSpaceDE w:val="0"/>
        <w:spacing w:line="540" w:lineRule="exact"/>
        <w:ind w:firstLine="618" w:firstLineChars="200"/>
        <w:rPr>
          <w:rFonts w:ascii="楷体_GB2312" w:eastAsia="楷体_GB2312"/>
          <w:b/>
          <w:spacing w:val="-6"/>
          <w:sz w:val="32"/>
          <w:szCs w:val="32"/>
        </w:rPr>
      </w:pPr>
      <w:r>
        <w:rPr>
          <w:rFonts w:hint="eastAsia" w:ascii="楷体_GB2312" w:eastAsia="楷体_GB2312"/>
          <w:b/>
          <w:spacing w:val="-6"/>
          <w:sz w:val="32"/>
          <w:szCs w:val="32"/>
        </w:rPr>
        <w:t>（二）项目效益情况。</w:t>
      </w:r>
    </w:p>
    <w:p>
      <w:pPr>
        <w:autoSpaceDE w:val="0"/>
        <w:spacing w:line="540" w:lineRule="exact"/>
        <w:ind w:firstLine="616" w:firstLineChars="200"/>
        <w:rPr>
          <w:rFonts w:ascii="仿宋_GB2312" w:eastAsia="仿宋_GB2312"/>
          <w:spacing w:val="-6"/>
          <w:sz w:val="32"/>
          <w:szCs w:val="32"/>
        </w:rPr>
      </w:pPr>
      <w:r>
        <w:rPr>
          <w:rFonts w:hint="eastAsia" w:ascii="仿宋_GB2312" w:eastAsia="仿宋_GB2312"/>
          <w:spacing w:val="-6"/>
          <w:sz w:val="32"/>
          <w:szCs w:val="32"/>
        </w:rPr>
        <w:t>该项目产生的效益主要社会效益，主要表现在实现贫困户稳定增收，帮扶效果明显。</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四、评价结论及建议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spacing w:line="576"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从本项目实施情况看，整个项目在资金安排、方案策划、组织实施等方面均有充分考虑，且较好地达到项目预期目标。但项目经费到位不够及时。</w:t>
      </w:r>
    </w:p>
    <w:p>
      <w:pPr>
        <w:adjustRightInd w:val="0"/>
        <w:snapToGrid w:val="0"/>
        <w:spacing w:line="600"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（二）相关建议。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针对项目自评中发现的问题，提出下一步改进完善的意见及有关政策性建议。建议由责任股室列出全年计划，按需支出。</w:t>
      </w:r>
    </w:p>
    <w:p>
      <w:pPr>
        <w:spacing w:line="580" w:lineRule="exact"/>
        <w:rPr>
          <w:rStyle w:val="18"/>
          <w:rFonts w:ascii="黑体" w:hAnsi="黑体" w:eastAsia="黑体"/>
          <w:b w:val="0"/>
        </w:rPr>
      </w:pPr>
    </w:p>
    <w:p>
      <w:pPr>
        <w:pStyle w:val="2"/>
        <w:spacing w:before="93"/>
        <w:rPr>
          <w:rStyle w:val="18"/>
          <w:rFonts w:ascii="黑体" w:hAnsi="黑体" w:eastAsia="黑体"/>
          <w:b w:val="0"/>
        </w:rPr>
      </w:pPr>
    </w:p>
    <w:p>
      <w:pPr>
        <w:pStyle w:val="2"/>
        <w:spacing w:before="93"/>
        <w:rPr>
          <w:rStyle w:val="18"/>
          <w:rFonts w:ascii="黑体" w:hAnsi="黑体" w:eastAsia="黑体"/>
          <w:b w:val="0"/>
        </w:rPr>
      </w:pPr>
    </w:p>
    <w:p>
      <w:pPr>
        <w:pStyle w:val="2"/>
        <w:spacing w:before="93"/>
        <w:rPr>
          <w:rStyle w:val="18"/>
          <w:rFonts w:ascii="黑体" w:hAnsi="黑体" w:eastAsia="黑体"/>
          <w:b w:val="0"/>
        </w:rPr>
      </w:pPr>
    </w:p>
    <w:p>
      <w:pPr>
        <w:pStyle w:val="2"/>
        <w:spacing w:before="93"/>
        <w:rPr>
          <w:rStyle w:val="18"/>
          <w:rFonts w:ascii="黑体" w:hAnsi="黑体" w:eastAsia="黑体"/>
          <w:b w:val="0"/>
        </w:rPr>
      </w:pPr>
    </w:p>
    <w:p>
      <w:pPr>
        <w:pStyle w:val="2"/>
        <w:spacing w:before="93"/>
        <w:rPr>
          <w:rStyle w:val="18"/>
          <w:rFonts w:ascii="黑体" w:hAnsi="黑体" w:eastAsia="黑体"/>
          <w:b w:val="0"/>
        </w:rPr>
      </w:pPr>
    </w:p>
    <w:p>
      <w:pPr>
        <w:pStyle w:val="2"/>
        <w:spacing w:before="93"/>
        <w:rPr>
          <w:rStyle w:val="18"/>
          <w:rFonts w:ascii="黑体" w:hAnsi="黑体" w:eastAsia="黑体"/>
          <w:b w:val="0"/>
        </w:rPr>
      </w:pPr>
    </w:p>
    <w:p>
      <w:pPr>
        <w:pStyle w:val="2"/>
        <w:spacing w:before="93"/>
        <w:rPr>
          <w:rStyle w:val="18"/>
          <w:rFonts w:hint="eastAsia" w:ascii="黑体" w:hAnsi="黑体" w:eastAsia="黑体"/>
          <w:b w:val="0"/>
        </w:rPr>
      </w:pPr>
    </w:p>
    <w:p>
      <w:pPr>
        <w:pStyle w:val="2"/>
        <w:spacing w:before="93"/>
        <w:rPr>
          <w:rStyle w:val="18"/>
          <w:rFonts w:hint="eastAsia" w:ascii="黑体" w:hAnsi="黑体" w:eastAsia="黑体"/>
          <w:b w:val="0"/>
        </w:rPr>
      </w:pPr>
    </w:p>
    <w:p>
      <w:pPr>
        <w:pStyle w:val="2"/>
        <w:spacing w:before="93"/>
        <w:rPr>
          <w:rStyle w:val="18"/>
          <w:rFonts w:ascii="黑体" w:hAnsi="黑体" w:eastAsia="黑体"/>
          <w:b w:val="0"/>
        </w:rPr>
      </w:pPr>
    </w:p>
    <w:p>
      <w:pPr>
        <w:pStyle w:val="2"/>
        <w:spacing w:before="93"/>
        <w:rPr>
          <w:rStyle w:val="18"/>
          <w:rFonts w:ascii="黑体" w:hAnsi="黑体" w:eastAsia="黑体"/>
          <w:b w:val="0"/>
        </w:rPr>
      </w:pPr>
    </w:p>
    <w:p>
      <w:pPr>
        <w:pStyle w:val="2"/>
        <w:spacing w:before="93"/>
        <w:rPr>
          <w:rStyle w:val="18"/>
          <w:rFonts w:ascii="黑体" w:hAnsi="黑体" w:eastAsia="黑体"/>
          <w:b w:val="0"/>
        </w:rPr>
      </w:pPr>
    </w:p>
    <w:tbl>
      <w:tblPr>
        <w:tblStyle w:val="14"/>
        <w:tblpPr w:leftFromText="180" w:rightFromText="180" w:vertAnchor="text" w:horzAnchor="page" w:tblpX="1281" w:tblpY="660"/>
        <w:tblOverlap w:val="never"/>
        <w:tblW w:w="9575" w:type="dxa"/>
        <w:tblInd w:w="0" w:type="dxa"/>
        <w:tblLayout w:type="fixed"/>
        <w:tblCellMar>
          <w:top w:w="0" w:type="dxa"/>
          <w:left w:w="108" w:type="dxa"/>
          <w:bottom w:w="0" w:type="dxa"/>
          <w:right w:w="108" w:type="dxa"/>
        </w:tblCellMar>
      </w:tblPr>
      <w:tblGrid>
        <w:gridCol w:w="1118"/>
        <w:gridCol w:w="1125"/>
        <w:gridCol w:w="1170"/>
        <w:gridCol w:w="2820"/>
        <w:gridCol w:w="1785"/>
        <w:gridCol w:w="1557"/>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vAlign w:val="center"/>
          </w:tcPr>
          <w:p>
            <w:pPr>
              <w:widowControl/>
              <w:jc w:val="center"/>
              <w:textAlignment w:val="center"/>
              <w:rPr>
                <w:rFonts w:ascii="宋体" w:cs="宋体"/>
                <w:b/>
                <w:sz w:val="32"/>
                <w:szCs w:val="32"/>
              </w:rPr>
            </w:pPr>
            <w:r>
              <w:rPr>
                <w:rFonts w:ascii="宋体" w:hAnsi="宋体" w:cs="宋体"/>
                <w:b/>
                <w:sz w:val="32"/>
                <w:szCs w:val="32"/>
              </w:rPr>
              <w:t>2021</w:t>
            </w:r>
            <w:r>
              <w:rPr>
                <w:rFonts w:hint="eastAsia" w:ascii="宋体" w:hAnsi="宋体" w:cs="宋体"/>
                <w:b/>
                <w:sz w:val="32"/>
                <w:szCs w:val="32"/>
              </w:rPr>
              <w:t>年驻村帮扶预算项目绩效目标自评</w:t>
            </w:r>
          </w:p>
        </w:tc>
      </w:tr>
      <w:tr>
        <w:tblPrEx>
          <w:tblCellMar>
            <w:top w:w="0" w:type="dxa"/>
            <w:left w:w="108" w:type="dxa"/>
            <w:bottom w:w="0" w:type="dxa"/>
            <w:right w:w="108" w:type="dxa"/>
          </w:tblCellMar>
        </w:tblPrEx>
        <w:trPr>
          <w:trHeight w:val="770" w:hRule="atLeast"/>
        </w:trPr>
        <w:tc>
          <w:tcPr>
            <w:tcW w:w="22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6"/>
                <w:szCs w:val="16"/>
              </w:rPr>
            </w:pPr>
            <w:r>
              <w:rPr>
                <w:rFonts w:hint="eastAsia" w:ascii="宋体" w:hAnsi="宋体" w:cs="宋体"/>
                <w:kern w:val="0"/>
                <w:sz w:val="16"/>
                <w:szCs w:val="16"/>
              </w:rPr>
              <w:t>主管部门及代码</w:t>
            </w:r>
          </w:p>
        </w:tc>
        <w:tc>
          <w:tcPr>
            <w:tcW w:w="399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cs="宋体"/>
                <w:sz w:val="16"/>
                <w:szCs w:val="16"/>
              </w:rPr>
            </w:pPr>
            <w:r>
              <w:rPr>
                <w:rFonts w:hint="eastAsia" w:ascii="宋体" w:cs="宋体"/>
                <w:sz w:val="16"/>
                <w:szCs w:val="16"/>
              </w:rPr>
              <w:t>区直属机关党建事务中心</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6"/>
                <w:szCs w:val="16"/>
              </w:rPr>
            </w:pPr>
            <w:r>
              <w:rPr>
                <w:rFonts w:hint="eastAsia" w:ascii="宋体" w:hAnsi="宋体" w:cs="宋体"/>
                <w:kern w:val="0"/>
                <w:sz w:val="16"/>
                <w:szCs w:val="16"/>
              </w:rPr>
              <w:t>实施单位</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6"/>
                <w:szCs w:val="16"/>
              </w:rPr>
            </w:pPr>
            <w:r>
              <w:rPr>
                <w:rFonts w:hint="eastAsia" w:ascii="宋体" w:cs="宋体"/>
                <w:sz w:val="16"/>
                <w:szCs w:val="16"/>
              </w:rPr>
              <w:t>区直属机关党建事务中心</w:t>
            </w:r>
          </w:p>
        </w:tc>
      </w:tr>
      <w:tr>
        <w:tblPrEx>
          <w:tblCellMar>
            <w:top w:w="0" w:type="dxa"/>
            <w:left w:w="108" w:type="dxa"/>
            <w:bottom w:w="0" w:type="dxa"/>
            <w:right w:w="108" w:type="dxa"/>
          </w:tblCellMar>
        </w:tblPrEx>
        <w:trPr>
          <w:trHeight w:val="341" w:hRule="atLeast"/>
        </w:trPr>
        <w:tc>
          <w:tcPr>
            <w:tcW w:w="224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6"/>
                <w:szCs w:val="16"/>
              </w:rPr>
            </w:pPr>
            <w:r>
              <w:rPr>
                <w:rFonts w:hint="eastAsia" w:ascii="宋体" w:hAnsi="宋体" w:cs="宋体"/>
                <w:kern w:val="0"/>
                <w:sz w:val="16"/>
                <w:szCs w:val="16"/>
              </w:rPr>
              <w:t>项目预算</w:t>
            </w:r>
            <w:r>
              <w:rPr>
                <w:rFonts w:ascii="宋体" w:cs="宋体"/>
                <w:kern w:val="0"/>
                <w:sz w:val="16"/>
                <w:szCs w:val="16"/>
              </w:rPr>
              <w:br w:type="textWrapping"/>
            </w:r>
            <w:r>
              <w:rPr>
                <w:rFonts w:hint="eastAsia" w:ascii="宋体" w:hAnsi="宋体" w:cs="宋体"/>
                <w:kern w:val="0"/>
                <w:sz w:val="16"/>
                <w:szCs w:val="16"/>
              </w:rPr>
              <w:t>执行情况</w:t>
            </w:r>
            <w:r>
              <w:rPr>
                <w:rFonts w:ascii="宋体" w:cs="宋体"/>
                <w:kern w:val="0"/>
                <w:sz w:val="16"/>
                <w:szCs w:val="16"/>
              </w:rPr>
              <w:br w:type="textWrapping"/>
            </w:r>
            <w:r>
              <w:rPr>
                <w:rFonts w:hint="eastAsia" w:ascii="宋体" w:hAnsi="宋体" w:cs="宋体"/>
                <w:kern w:val="0"/>
                <w:sz w:val="16"/>
                <w:szCs w:val="16"/>
              </w:rPr>
              <w:t>（万元）</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6"/>
                <w:szCs w:val="16"/>
              </w:rPr>
            </w:pPr>
            <w:r>
              <w:rPr>
                <w:rFonts w:ascii="宋体" w:hAnsi="宋体" w:cs="宋体"/>
                <w:kern w:val="0"/>
                <w:sz w:val="16"/>
                <w:szCs w:val="16"/>
              </w:rPr>
              <w:t xml:space="preserve"> </w:t>
            </w:r>
            <w:r>
              <w:rPr>
                <w:rFonts w:hint="eastAsia" w:ascii="宋体" w:hAnsi="宋体" w:cs="宋体"/>
                <w:kern w:val="0"/>
                <w:sz w:val="16"/>
                <w:szCs w:val="16"/>
              </w:rPr>
              <w:t>预算数：</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6"/>
                <w:szCs w:val="16"/>
              </w:rPr>
            </w:pPr>
            <w:r>
              <w:rPr>
                <w:rFonts w:hint="eastAsia" w:ascii="宋体" w:cs="宋体"/>
                <w:sz w:val="16"/>
                <w:szCs w:val="16"/>
              </w:rPr>
              <w:t>6</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6"/>
                <w:szCs w:val="16"/>
              </w:rPr>
            </w:pPr>
            <w:r>
              <w:rPr>
                <w:rFonts w:ascii="宋体" w:hAnsi="宋体" w:cs="宋体"/>
                <w:kern w:val="0"/>
                <w:sz w:val="16"/>
                <w:szCs w:val="16"/>
              </w:rPr>
              <w:t xml:space="preserve"> </w:t>
            </w:r>
            <w:r>
              <w:rPr>
                <w:rFonts w:hint="eastAsia" w:ascii="宋体" w:hAnsi="宋体" w:cs="宋体"/>
                <w:kern w:val="0"/>
                <w:sz w:val="16"/>
                <w:szCs w:val="16"/>
              </w:rPr>
              <w:t>执行数：</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6"/>
                <w:szCs w:val="16"/>
              </w:rPr>
            </w:pPr>
            <w:r>
              <w:rPr>
                <w:rFonts w:hint="eastAsia" w:ascii="宋体" w:cs="宋体"/>
                <w:sz w:val="16"/>
                <w:szCs w:val="16"/>
              </w:rPr>
              <w:t>6</w:t>
            </w:r>
          </w:p>
        </w:tc>
      </w:tr>
      <w:tr>
        <w:tblPrEx>
          <w:tblCellMar>
            <w:top w:w="0" w:type="dxa"/>
            <w:left w:w="108" w:type="dxa"/>
            <w:bottom w:w="0" w:type="dxa"/>
            <w:right w:w="108" w:type="dxa"/>
          </w:tblCellMar>
        </w:tblPrEx>
        <w:trPr>
          <w:trHeight w:val="830" w:hRule="atLeast"/>
        </w:trPr>
        <w:tc>
          <w:tcPr>
            <w:tcW w:w="224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6"/>
                <w:szCs w:val="16"/>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16"/>
                <w:szCs w:val="16"/>
              </w:rPr>
            </w:pPr>
            <w:r>
              <w:rPr>
                <w:rFonts w:hint="eastAsia" w:ascii="宋体" w:hAnsi="宋体" w:cs="宋体"/>
                <w:kern w:val="0"/>
                <w:sz w:val="16"/>
                <w:szCs w:val="16"/>
              </w:rPr>
              <w:t>其中：</w:t>
            </w:r>
          </w:p>
          <w:p>
            <w:pPr>
              <w:widowControl/>
              <w:spacing w:line="320" w:lineRule="exact"/>
              <w:jc w:val="left"/>
              <w:textAlignment w:val="center"/>
              <w:rPr>
                <w:rFonts w:ascii="宋体" w:cs="宋体"/>
                <w:sz w:val="16"/>
                <w:szCs w:val="16"/>
              </w:rPr>
            </w:pPr>
            <w:r>
              <w:rPr>
                <w:rFonts w:hint="eastAsia" w:ascii="宋体" w:hAnsi="宋体" w:cs="宋体"/>
                <w:kern w:val="0"/>
                <w:sz w:val="16"/>
                <w:szCs w:val="16"/>
              </w:rPr>
              <w:t>财政拨款</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6"/>
                <w:szCs w:val="16"/>
              </w:rPr>
            </w:pPr>
            <w:r>
              <w:rPr>
                <w:rFonts w:hint="eastAsia" w:ascii="宋体" w:cs="宋体"/>
                <w:sz w:val="16"/>
                <w:szCs w:val="16"/>
              </w:rPr>
              <w:t>6</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16"/>
                <w:szCs w:val="16"/>
              </w:rPr>
            </w:pPr>
            <w:r>
              <w:rPr>
                <w:rFonts w:hint="eastAsia" w:ascii="宋体" w:hAnsi="宋体" w:cs="宋体"/>
                <w:kern w:val="0"/>
                <w:sz w:val="16"/>
                <w:szCs w:val="16"/>
              </w:rPr>
              <w:t>其中：</w:t>
            </w:r>
          </w:p>
          <w:p>
            <w:pPr>
              <w:widowControl/>
              <w:spacing w:line="320" w:lineRule="exact"/>
              <w:jc w:val="left"/>
              <w:textAlignment w:val="center"/>
              <w:rPr>
                <w:rFonts w:ascii="宋体" w:cs="宋体"/>
                <w:sz w:val="16"/>
                <w:szCs w:val="16"/>
              </w:rPr>
            </w:pPr>
            <w:r>
              <w:rPr>
                <w:rFonts w:hint="eastAsia" w:ascii="宋体" w:hAnsi="宋体" w:cs="宋体"/>
                <w:kern w:val="0"/>
                <w:sz w:val="16"/>
                <w:szCs w:val="16"/>
              </w:rPr>
              <w:t>财政拨款</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6"/>
                <w:szCs w:val="16"/>
              </w:rPr>
            </w:pPr>
            <w:r>
              <w:rPr>
                <w:rFonts w:hint="eastAsia" w:ascii="宋体" w:cs="宋体"/>
                <w:sz w:val="16"/>
                <w:szCs w:val="16"/>
              </w:rPr>
              <w:t>6</w:t>
            </w:r>
          </w:p>
        </w:tc>
      </w:tr>
      <w:tr>
        <w:tblPrEx>
          <w:tblCellMar>
            <w:top w:w="0" w:type="dxa"/>
            <w:left w:w="108" w:type="dxa"/>
            <w:bottom w:w="0" w:type="dxa"/>
            <w:right w:w="108" w:type="dxa"/>
          </w:tblCellMar>
        </w:tblPrEx>
        <w:trPr>
          <w:trHeight w:val="375" w:hRule="atLeast"/>
        </w:trPr>
        <w:tc>
          <w:tcPr>
            <w:tcW w:w="224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6"/>
                <w:szCs w:val="16"/>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6"/>
                <w:szCs w:val="16"/>
              </w:rPr>
            </w:pPr>
            <w:r>
              <w:rPr>
                <w:rFonts w:hint="eastAsia" w:ascii="宋体" w:hAnsi="宋体" w:cs="宋体"/>
                <w:kern w:val="0"/>
                <w:sz w:val="16"/>
                <w:szCs w:val="16"/>
              </w:rPr>
              <w:t>其他资金</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6"/>
                <w:szCs w:val="16"/>
              </w:rPr>
            </w:pPr>
            <w:r>
              <w:rPr>
                <w:rFonts w:hint="eastAsia" w:ascii="宋体" w:cs="宋体"/>
                <w:sz w:val="16"/>
                <w:szCs w:val="16"/>
              </w:rPr>
              <w:t>0</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6"/>
                <w:szCs w:val="16"/>
              </w:rPr>
            </w:pPr>
            <w:r>
              <w:rPr>
                <w:rFonts w:hint="eastAsia" w:ascii="宋体" w:hAnsi="宋体" w:cs="宋体"/>
                <w:kern w:val="0"/>
                <w:sz w:val="16"/>
                <w:szCs w:val="16"/>
              </w:rPr>
              <w:t>其他资金</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6"/>
                <w:szCs w:val="16"/>
              </w:rPr>
            </w:pPr>
            <w:r>
              <w:rPr>
                <w:rFonts w:hint="eastAsia" w:ascii="宋体" w:cs="宋体"/>
                <w:sz w:val="16"/>
                <w:szCs w:val="16"/>
              </w:rPr>
              <w:t>0</w:t>
            </w:r>
          </w:p>
        </w:tc>
      </w:tr>
      <w:tr>
        <w:tblPrEx>
          <w:tblCellMar>
            <w:top w:w="0" w:type="dxa"/>
            <w:left w:w="108" w:type="dxa"/>
            <w:bottom w:w="0" w:type="dxa"/>
            <w:right w:w="108" w:type="dxa"/>
          </w:tblCellMar>
        </w:tblPrEx>
        <w:trPr>
          <w:trHeight w:val="217" w:hRule="atLeast"/>
        </w:trPr>
        <w:tc>
          <w:tcPr>
            <w:tcW w:w="111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16"/>
                <w:szCs w:val="16"/>
              </w:rPr>
            </w:pPr>
            <w:r>
              <w:rPr>
                <w:rFonts w:hint="eastAsia" w:ascii="宋体" w:hAnsi="宋体" w:cs="宋体"/>
                <w:kern w:val="0"/>
                <w:sz w:val="16"/>
                <w:szCs w:val="16"/>
              </w:rPr>
              <w:t>年度总体目标</w:t>
            </w:r>
          </w:p>
          <w:p>
            <w:pPr>
              <w:widowControl/>
              <w:spacing w:line="320" w:lineRule="exact"/>
              <w:jc w:val="center"/>
              <w:textAlignment w:val="center"/>
              <w:rPr>
                <w:rFonts w:ascii="宋体" w:cs="宋体"/>
                <w:sz w:val="16"/>
                <w:szCs w:val="16"/>
              </w:rPr>
            </w:pPr>
            <w:r>
              <w:rPr>
                <w:rFonts w:hint="eastAsia" w:ascii="宋体" w:hAnsi="宋体" w:cs="宋体"/>
                <w:kern w:val="0"/>
                <w:sz w:val="16"/>
                <w:szCs w:val="16"/>
              </w:rPr>
              <w:t>完成情况</w:t>
            </w:r>
          </w:p>
        </w:tc>
        <w:tc>
          <w:tcPr>
            <w:tcW w:w="51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6"/>
                <w:szCs w:val="16"/>
              </w:rPr>
            </w:pPr>
            <w:r>
              <w:rPr>
                <w:rFonts w:hint="eastAsia" w:ascii="宋体" w:hAnsi="宋体" w:cs="宋体"/>
                <w:kern w:val="0"/>
                <w:sz w:val="16"/>
                <w:szCs w:val="16"/>
              </w:rPr>
              <w:t>预期目标</w:t>
            </w:r>
          </w:p>
        </w:tc>
        <w:tc>
          <w:tcPr>
            <w:tcW w:w="334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6"/>
                <w:szCs w:val="16"/>
              </w:rPr>
            </w:pPr>
            <w:r>
              <w:rPr>
                <w:rFonts w:hint="eastAsia" w:ascii="宋体" w:hAnsi="宋体" w:cs="宋体"/>
                <w:kern w:val="0"/>
                <w:sz w:val="16"/>
                <w:szCs w:val="16"/>
              </w:rPr>
              <w:t>目标实际完成情况</w:t>
            </w:r>
          </w:p>
        </w:tc>
      </w:tr>
      <w:tr>
        <w:tblPrEx>
          <w:tblCellMar>
            <w:top w:w="0" w:type="dxa"/>
            <w:left w:w="108" w:type="dxa"/>
            <w:bottom w:w="0" w:type="dxa"/>
            <w:right w:w="108" w:type="dxa"/>
          </w:tblCellMar>
        </w:tblPrEx>
        <w:trPr>
          <w:trHeight w:val="797" w:hRule="atLeast"/>
        </w:trPr>
        <w:tc>
          <w:tcPr>
            <w:tcW w:w="1118"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6"/>
                <w:szCs w:val="16"/>
              </w:rPr>
            </w:pPr>
          </w:p>
        </w:tc>
        <w:tc>
          <w:tcPr>
            <w:tcW w:w="5115"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cs="宋体"/>
                <w:sz w:val="16"/>
                <w:szCs w:val="16"/>
              </w:rPr>
            </w:pPr>
            <w:r>
              <w:rPr>
                <w:rFonts w:hint="eastAsia" w:ascii="宋体" w:cs="宋体"/>
                <w:sz w:val="16"/>
                <w:szCs w:val="16"/>
              </w:rPr>
              <w:t>保持帮扶力量基本稳定，促进乡村振兴与脱贫攻坚有效衔接。</w:t>
            </w:r>
          </w:p>
        </w:tc>
        <w:tc>
          <w:tcPr>
            <w:tcW w:w="3342"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cs="宋体"/>
                <w:sz w:val="16"/>
                <w:szCs w:val="16"/>
              </w:rPr>
            </w:pPr>
            <w:r>
              <w:rPr>
                <w:rFonts w:hint="eastAsia" w:ascii="宋体" w:cs="宋体"/>
                <w:sz w:val="16"/>
                <w:szCs w:val="16"/>
              </w:rPr>
              <w:t>保持帮扶力量基本稳定，促进乡村振兴与脱贫攻坚有效衔接。</w:t>
            </w:r>
          </w:p>
        </w:tc>
      </w:tr>
      <w:tr>
        <w:tblPrEx>
          <w:tblCellMar>
            <w:top w:w="0" w:type="dxa"/>
            <w:left w:w="108" w:type="dxa"/>
            <w:bottom w:w="0" w:type="dxa"/>
            <w:right w:w="108" w:type="dxa"/>
          </w:tblCellMar>
        </w:tblPrEx>
        <w:trPr>
          <w:trHeight w:val="693" w:hRule="atLeast"/>
        </w:trPr>
        <w:tc>
          <w:tcPr>
            <w:tcW w:w="1118"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年度绩效指标完成情况</w:t>
            </w:r>
          </w:p>
        </w:tc>
        <w:tc>
          <w:tcPr>
            <w:tcW w:w="1125"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一级</w:t>
            </w:r>
          </w:p>
          <w:p>
            <w:pPr>
              <w:widowControl/>
              <w:spacing w:line="320" w:lineRule="exact"/>
              <w:jc w:val="center"/>
              <w:textAlignment w:val="center"/>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指标</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二级</w:t>
            </w:r>
          </w:p>
          <w:p>
            <w:pPr>
              <w:widowControl/>
              <w:spacing w:line="320" w:lineRule="exact"/>
              <w:jc w:val="center"/>
              <w:textAlignment w:val="center"/>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指标</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三级</w:t>
            </w:r>
          </w:p>
          <w:p>
            <w:pPr>
              <w:widowControl/>
              <w:spacing w:line="320" w:lineRule="exact"/>
              <w:jc w:val="center"/>
              <w:textAlignment w:val="center"/>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预期指标值</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实际完成指标值</w:t>
            </w:r>
          </w:p>
        </w:tc>
      </w:tr>
      <w:tr>
        <w:tblPrEx>
          <w:tblCellMar>
            <w:top w:w="0" w:type="dxa"/>
            <w:left w:w="108" w:type="dxa"/>
            <w:bottom w:w="0" w:type="dxa"/>
            <w:right w:w="108" w:type="dxa"/>
          </w:tblCellMar>
        </w:tblPrEx>
        <w:trPr>
          <w:trHeight w:val="415"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完成</w:t>
            </w:r>
          </w:p>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指标</w:t>
            </w:r>
          </w:p>
        </w:tc>
        <w:tc>
          <w:tcPr>
            <w:tcW w:w="1170" w:type="dxa"/>
            <w:vMerge w:val="restart"/>
            <w:tcBorders>
              <w:top w:val="single" w:color="000000" w:sz="4" w:space="0"/>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数量指标</w:t>
            </w:r>
          </w:p>
        </w:tc>
        <w:tc>
          <w:tcPr>
            <w:tcW w:w="282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整理档案归档</w:t>
            </w:r>
          </w:p>
        </w:tc>
        <w:tc>
          <w:tcPr>
            <w:tcW w:w="17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138卷</w:t>
            </w: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全面完成</w:t>
            </w:r>
          </w:p>
        </w:tc>
      </w:tr>
      <w:tr>
        <w:tblPrEx>
          <w:tblCellMar>
            <w:top w:w="0" w:type="dxa"/>
            <w:left w:w="108" w:type="dxa"/>
            <w:bottom w:w="0" w:type="dxa"/>
            <w:right w:w="108" w:type="dxa"/>
          </w:tblCellMar>
        </w:tblPrEx>
        <w:trPr>
          <w:trHeight w:val="415"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continue"/>
            <w:tcBorders>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16"/>
                <w:szCs w:val="16"/>
              </w:rPr>
            </w:pPr>
          </w:p>
        </w:tc>
        <w:tc>
          <w:tcPr>
            <w:tcW w:w="1170" w:type="dxa"/>
            <w:vMerge w:val="continue"/>
            <w:tcBorders>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kern w:val="0"/>
                <w:sz w:val="16"/>
                <w:szCs w:val="16"/>
              </w:rPr>
            </w:pPr>
          </w:p>
        </w:tc>
        <w:tc>
          <w:tcPr>
            <w:tcW w:w="282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督查</w:t>
            </w:r>
          </w:p>
        </w:tc>
        <w:tc>
          <w:tcPr>
            <w:tcW w:w="17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4轮</w:t>
            </w: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全面完成</w:t>
            </w:r>
          </w:p>
        </w:tc>
      </w:tr>
      <w:tr>
        <w:tblPrEx>
          <w:tblCellMar>
            <w:top w:w="0" w:type="dxa"/>
            <w:left w:w="108" w:type="dxa"/>
            <w:bottom w:w="0" w:type="dxa"/>
            <w:right w:w="108" w:type="dxa"/>
          </w:tblCellMar>
        </w:tblPrEx>
        <w:trPr>
          <w:trHeight w:val="415"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continue"/>
            <w:tcBorders>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16"/>
                <w:szCs w:val="16"/>
              </w:rPr>
            </w:pPr>
          </w:p>
        </w:tc>
        <w:tc>
          <w:tcPr>
            <w:tcW w:w="1170" w:type="dxa"/>
            <w:vMerge w:val="continue"/>
            <w:tcBorders>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kern w:val="0"/>
                <w:sz w:val="16"/>
                <w:szCs w:val="16"/>
              </w:rPr>
            </w:pPr>
          </w:p>
        </w:tc>
        <w:tc>
          <w:tcPr>
            <w:tcW w:w="282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会议</w:t>
            </w:r>
          </w:p>
        </w:tc>
        <w:tc>
          <w:tcPr>
            <w:tcW w:w="17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3次</w:t>
            </w: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全面完成</w:t>
            </w:r>
          </w:p>
        </w:tc>
      </w:tr>
      <w:tr>
        <w:tblPrEx>
          <w:tblCellMar>
            <w:top w:w="0" w:type="dxa"/>
            <w:left w:w="108" w:type="dxa"/>
            <w:bottom w:w="0" w:type="dxa"/>
            <w:right w:w="108" w:type="dxa"/>
          </w:tblCellMar>
        </w:tblPrEx>
        <w:trPr>
          <w:trHeight w:val="415"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6"/>
                <w:szCs w:val="16"/>
              </w:rPr>
            </w:pPr>
          </w:p>
        </w:tc>
        <w:tc>
          <w:tcPr>
            <w:tcW w:w="117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质量指标</w:t>
            </w:r>
          </w:p>
        </w:tc>
        <w:tc>
          <w:tcPr>
            <w:tcW w:w="282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严格落实“四个不摘”要求。</w:t>
            </w:r>
          </w:p>
        </w:tc>
        <w:tc>
          <w:tcPr>
            <w:tcW w:w="17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助推乡村振兴与脱贫攻坚有效衔接</w:t>
            </w: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全面完成</w:t>
            </w:r>
          </w:p>
        </w:tc>
      </w:tr>
      <w:tr>
        <w:tblPrEx>
          <w:tblCellMar>
            <w:top w:w="0" w:type="dxa"/>
            <w:left w:w="108" w:type="dxa"/>
            <w:bottom w:w="0" w:type="dxa"/>
            <w:right w:w="108" w:type="dxa"/>
          </w:tblCellMar>
        </w:tblPrEx>
        <w:trPr>
          <w:trHeight w:val="415"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6"/>
                <w:szCs w:val="16"/>
              </w:rPr>
            </w:pPr>
          </w:p>
        </w:tc>
        <w:tc>
          <w:tcPr>
            <w:tcW w:w="117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时效指标</w:t>
            </w:r>
          </w:p>
        </w:tc>
        <w:tc>
          <w:tcPr>
            <w:tcW w:w="282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2021年1-12月</w:t>
            </w:r>
          </w:p>
        </w:tc>
        <w:tc>
          <w:tcPr>
            <w:tcW w:w="17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2021年1-12月</w:t>
            </w: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r>
      <w:tr>
        <w:tblPrEx>
          <w:tblCellMar>
            <w:top w:w="0" w:type="dxa"/>
            <w:left w:w="108" w:type="dxa"/>
            <w:bottom w:w="0" w:type="dxa"/>
            <w:right w:w="108" w:type="dxa"/>
          </w:tblCellMar>
        </w:tblPrEx>
        <w:trPr>
          <w:trHeight w:val="480"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6"/>
                <w:szCs w:val="16"/>
              </w:rPr>
            </w:pPr>
          </w:p>
        </w:tc>
        <w:tc>
          <w:tcPr>
            <w:tcW w:w="117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成本指标</w:t>
            </w:r>
          </w:p>
        </w:tc>
        <w:tc>
          <w:tcPr>
            <w:tcW w:w="282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经费控制在6万元以内。</w:t>
            </w:r>
          </w:p>
        </w:tc>
        <w:tc>
          <w:tcPr>
            <w:tcW w:w="17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经费控制在6万元以内</w:t>
            </w: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6万元内</w:t>
            </w:r>
          </w:p>
        </w:tc>
      </w:tr>
      <w:tr>
        <w:tblPrEx>
          <w:tblCellMar>
            <w:top w:w="0" w:type="dxa"/>
            <w:left w:w="108" w:type="dxa"/>
            <w:bottom w:w="0" w:type="dxa"/>
            <w:right w:w="108" w:type="dxa"/>
          </w:tblCellMar>
        </w:tblPrEx>
        <w:trPr>
          <w:trHeight w:val="560"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效益</w:t>
            </w:r>
            <w:r>
              <w:rPr>
                <w:rFonts w:ascii="仿宋_GB2312" w:hAnsi="仿宋_GB2312" w:eastAsia="仿宋_GB2312" w:cs="仿宋_GB2312"/>
                <w:kern w:val="0"/>
                <w:sz w:val="16"/>
                <w:szCs w:val="16"/>
              </w:rPr>
              <w:br w:type="textWrapping"/>
            </w:r>
            <w:r>
              <w:rPr>
                <w:rFonts w:hint="eastAsia" w:ascii="仿宋_GB2312" w:hAnsi="仿宋_GB2312" w:eastAsia="仿宋_GB2312" w:cs="仿宋_GB2312"/>
                <w:kern w:val="0"/>
                <w:sz w:val="16"/>
                <w:szCs w:val="16"/>
              </w:rPr>
              <w:t>指标</w:t>
            </w:r>
          </w:p>
        </w:tc>
        <w:tc>
          <w:tcPr>
            <w:tcW w:w="117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经济效益</w:t>
            </w:r>
            <w:r>
              <w:rPr>
                <w:rFonts w:ascii="仿宋_GB2312" w:hAnsi="仿宋_GB2312" w:eastAsia="仿宋_GB2312" w:cs="仿宋_GB2312"/>
                <w:kern w:val="0"/>
                <w:sz w:val="16"/>
                <w:szCs w:val="16"/>
              </w:rPr>
              <w:t xml:space="preserve">  </w:t>
            </w:r>
            <w:r>
              <w:rPr>
                <w:rFonts w:hint="eastAsia" w:ascii="仿宋_GB2312" w:hAnsi="仿宋_GB2312" w:eastAsia="仿宋_GB2312" w:cs="仿宋_GB2312"/>
                <w:kern w:val="0"/>
                <w:sz w:val="16"/>
                <w:szCs w:val="16"/>
              </w:rPr>
              <w:t>指标</w:t>
            </w:r>
          </w:p>
        </w:tc>
        <w:tc>
          <w:tcPr>
            <w:tcW w:w="282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c>
          <w:tcPr>
            <w:tcW w:w="17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r>
      <w:tr>
        <w:tblPrEx>
          <w:tblCellMar>
            <w:top w:w="0" w:type="dxa"/>
            <w:left w:w="108" w:type="dxa"/>
            <w:bottom w:w="0" w:type="dxa"/>
            <w:right w:w="108" w:type="dxa"/>
          </w:tblCellMar>
        </w:tblPrEx>
        <w:trPr>
          <w:trHeight w:val="480"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6"/>
                <w:szCs w:val="16"/>
              </w:rPr>
            </w:pPr>
          </w:p>
        </w:tc>
        <w:tc>
          <w:tcPr>
            <w:tcW w:w="117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社会效益</w:t>
            </w:r>
            <w:r>
              <w:rPr>
                <w:rFonts w:ascii="仿宋_GB2312" w:hAnsi="仿宋_GB2312" w:eastAsia="仿宋_GB2312" w:cs="仿宋_GB2312"/>
                <w:kern w:val="0"/>
                <w:sz w:val="16"/>
                <w:szCs w:val="16"/>
              </w:rPr>
              <w:t xml:space="preserve">  </w:t>
            </w:r>
            <w:r>
              <w:rPr>
                <w:rFonts w:hint="eastAsia" w:ascii="仿宋_GB2312" w:hAnsi="仿宋_GB2312" w:eastAsia="仿宋_GB2312" w:cs="仿宋_GB2312"/>
                <w:kern w:val="0"/>
                <w:sz w:val="16"/>
                <w:szCs w:val="16"/>
              </w:rPr>
              <w:t>指标</w:t>
            </w:r>
          </w:p>
        </w:tc>
        <w:tc>
          <w:tcPr>
            <w:tcW w:w="282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实现贫困户稳定增收，帮扶效果明显</w:t>
            </w:r>
          </w:p>
        </w:tc>
        <w:tc>
          <w:tcPr>
            <w:tcW w:w="17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100%</w:t>
            </w: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100%</w:t>
            </w:r>
          </w:p>
        </w:tc>
      </w:tr>
      <w:tr>
        <w:tblPrEx>
          <w:tblCellMar>
            <w:top w:w="0" w:type="dxa"/>
            <w:left w:w="108" w:type="dxa"/>
            <w:bottom w:w="0" w:type="dxa"/>
            <w:right w:w="108" w:type="dxa"/>
          </w:tblCellMar>
        </w:tblPrEx>
        <w:trPr>
          <w:trHeight w:val="577"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6"/>
                <w:szCs w:val="16"/>
              </w:rPr>
            </w:pPr>
          </w:p>
        </w:tc>
        <w:tc>
          <w:tcPr>
            <w:tcW w:w="117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ind w:left="343" w:leftChars="87" w:hanging="160" w:hangingChars="100"/>
              <w:jc w:val="left"/>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生态效益</w:t>
            </w:r>
            <w:r>
              <w:rPr>
                <w:rFonts w:ascii="仿宋_GB2312" w:hAnsi="仿宋_GB2312" w:eastAsia="仿宋_GB2312" w:cs="仿宋_GB2312"/>
                <w:kern w:val="0"/>
                <w:sz w:val="16"/>
                <w:szCs w:val="16"/>
              </w:rPr>
              <w:t xml:space="preserve">  </w:t>
            </w:r>
            <w:r>
              <w:rPr>
                <w:rFonts w:hint="eastAsia" w:ascii="仿宋_GB2312" w:hAnsi="仿宋_GB2312" w:eastAsia="仿宋_GB2312" w:cs="仿宋_GB2312"/>
                <w:kern w:val="0"/>
                <w:sz w:val="16"/>
                <w:szCs w:val="16"/>
              </w:rPr>
              <w:t>指标</w:t>
            </w:r>
          </w:p>
        </w:tc>
        <w:tc>
          <w:tcPr>
            <w:tcW w:w="282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c>
          <w:tcPr>
            <w:tcW w:w="17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r>
      <w:tr>
        <w:tblPrEx>
          <w:tblCellMar>
            <w:top w:w="0" w:type="dxa"/>
            <w:left w:w="108" w:type="dxa"/>
            <w:bottom w:w="0" w:type="dxa"/>
            <w:right w:w="108" w:type="dxa"/>
          </w:tblCellMar>
        </w:tblPrEx>
        <w:trPr>
          <w:trHeight w:val="480"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6"/>
                <w:szCs w:val="16"/>
              </w:rPr>
            </w:pPr>
          </w:p>
        </w:tc>
        <w:tc>
          <w:tcPr>
            <w:tcW w:w="117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可持续影响</w:t>
            </w:r>
            <w:r>
              <w:rPr>
                <w:rFonts w:ascii="仿宋_GB2312" w:hAnsi="仿宋_GB2312" w:eastAsia="仿宋_GB2312" w:cs="仿宋_GB2312"/>
                <w:kern w:val="0"/>
                <w:sz w:val="16"/>
                <w:szCs w:val="16"/>
              </w:rPr>
              <w:t xml:space="preserve"> </w:t>
            </w:r>
            <w:r>
              <w:rPr>
                <w:rFonts w:hint="eastAsia" w:ascii="仿宋_GB2312" w:hAnsi="仿宋_GB2312" w:eastAsia="仿宋_GB2312" w:cs="仿宋_GB2312"/>
                <w:kern w:val="0"/>
                <w:sz w:val="16"/>
                <w:szCs w:val="16"/>
              </w:rPr>
              <w:t>指标</w:t>
            </w:r>
          </w:p>
        </w:tc>
        <w:tc>
          <w:tcPr>
            <w:tcW w:w="282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c>
          <w:tcPr>
            <w:tcW w:w="17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r>
      <w:tr>
        <w:tblPrEx>
          <w:tblCellMar>
            <w:top w:w="0" w:type="dxa"/>
            <w:left w:w="108" w:type="dxa"/>
            <w:bottom w:w="0" w:type="dxa"/>
            <w:right w:w="108" w:type="dxa"/>
          </w:tblCellMar>
        </w:tblPrEx>
        <w:trPr>
          <w:trHeight w:val="530" w:hRule="atLeast"/>
        </w:trPr>
        <w:tc>
          <w:tcPr>
            <w:tcW w:w="1118"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满意</w:t>
            </w:r>
            <w:r>
              <w:rPr>
                <w:rFonts w:ascii="仿宋_GB2312" w:hAnsi="仿宋_GB2312" w:eastAsia="仿宋_GB2312" w:cs="仿宋_GB2312"/>
                <w:kern w:val="0"/>
                <w:sz w:val="16"/>
                <w:szCs w:val="16"/>
              </w:rPr>
              <w:br w:type="textWrapping"/>
            </w:r>
            <w:r>
              <w:rPr>
                <w:rFonts w:hint="eastAsia" w:ascii="仿宋_GB2312" w:hAnsi="仿宋_GB2312" w:eastAsia="仿宋_GB2312" w:cs="仿宋_GB2312"/>
                <w:kern w:val="0"/>
                <w:sz w:val="16"/>
                <w:szCs w:val="16"/>
              </w:rPr>
              <w:t>度指标</w:t>
            </w:r>
          </w:p>
        </w:tc>
        <w:tc>
          <w:tcPr>
            <w:tcW w:w="117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满意度</w:t>
            </w:r>
          </w:p>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指标</w:t>
            </w:r>
          </w:p>
        </w:tc>
        <w:tc>
          <w:tcPr>
            <w:tcW w:w="282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提升群众获得感、幸福感、安全感</w:t>
            </w:r>
          </w:p>
        </w:tc>
        <w:tc>
          <w:tcPr>
            <w:tcW w:w="17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100%</w:t>
            </w: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100%</w:t>
            </w:r>
          </w:p>
        </w:tc>
      </w:tr>
    </w:tbl>
    <w:p>
      <w:pPr>
        <w:pStyle w:val="2"/>
        <w:spacing w:before="93"/>
        <w:rPr>
          <w:rStyle w:val="18"/>
          <w:rFonts w:ascii="黑体" w:hAnsi="黑体" w:eastAsia="黑体"/>
          <w:b w:val="0"/>
        </w:rPr>
      </w:pPr>
    </w:p>
    <w:p>
      <w:pPr>
        <w:pStyle w:val="2"/>
        <w:spacing w:before="93"/>
        <w:rPr>
          <w:rStyle w:val="18"/>
          <w:rFonts w:ascii="黑体" w:hAnsi="黑体" w:eastAsia="黑体"/>
          <w:b w:val="0"/>
        </w:rPr>
      </w:pPr>
    </w:p>
    <w:p>
      <w:pPr>
        <w:pStyle w:val="2"/>
        <w:spacing w:before="93"/>
        <w:rPr>
          <w:rStyle w:val="18"/>
          <w:rFonts w:ascii="黑体" w:hAnsi="黑体" w:eastAsia="黑体"/>
          <w:b w:val="0"/>
        </w:rPr>
      </w:pPr>
    </w:p>
    <w:p>
      <w:pPr>
        <w:pStyle w:val="2"/>
        <w:spacing w:before="93"/>
        <w:rPr>
          <w:rStyle w:val="18"/>
          <w:rFonts w:ascii="黑体" w:hAnsi="黑体" w:eastAsia="黑体"/>
          <w:b w:val="0"/>
        </w:rPr>
      </w:pPr>
    </w:p>
    <w:p>
      <w:pPr>
        <w:spacing w:line="580" w:lineRule="exact"/>
        <w:jc w:val="center"/>
        <w:rPr>
          <w:rFonts w:ascii="黑体" w:hAnsi="黑体" w:eastAsia="黑体" w:cs="方正小标宋简体"/>
          <w:w w:val="86"/>
          <w:sz w:val="44"/>
          <w:szCs w:val="44"/>
        </w:rPr>
      </w:pPr>
      <w:r>
        <w:rPr>
          <w:rFonts w:ascii="黑体" w:hAnsi="黑体" w:eastAsia="黑体" w:cs="方正小标宋简体"/>
          <w:w w:val="86"/>
          <w:sz w:val="44"/>
          <w:szCs w:val="44"/>
        </w:rPr>
        <w:t>20</w:t>
      </w:r>
      <w:r>
        <w:rPr>
          <w:rFonts w:hint="eastAsia" w:ascii="黑体" w:hAnsi="黑体" w:eastAsia="黑体" w:cs="方正小标宋简体"/>
          <w:w w:val="86"/>
          <w:sz w:val="44"/>
          <w:szCs w:val="44"/>
        </w:rPr>
        <w:t>20年疫情防控工作经费项目支出绩效评价报告</w:t>
      </w: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utoSpaceDE w:val="0"/>
        <w:spacing w:line="540" w:lineRule="exact"/>
        <w:ind w:firstLine="642" w:firstLineChars="200"/>
        <w:rPr>
          <w:rFonts w:ascii="仿宋_GB2312" w:eastAsia="仿宋_GB2312"/>
          <w:bCs/>
          <w:spacing w:val="-6"/>
          <w:sz w:val="32"/>
          <w:szCs w:val="32"/>
        </w:rPr>
      </w:pPr>
      <w:r>
        <w:rPr>
          <w:rFonts w:hint="eastAsia" w:ascii="楷体_GB2312" w:hAnsi="宋体" w:eastAsia="楷体_GB2312"/>
          <w:b/>
          <w:sz w:val="32"/>
          <w:szCs w:val="32"/>
          <w:lang w:val="zh-CN"/>
        </w:rPr>
        <w:t>（一）项目基本情况。</w:t>
      </w:r>
      <w:r>
        <w:rPr>
          <w:rFonts w:hint="eastAsia" w:ascii="仿宋_GB2312" w:eastAsia="仿宋_GB2312"/>
          <w:bCs/>
          <w:spacing w:val="-6"/>
          <w:sz w:val="32"/>
          <w:szCs w:val="32"/>
        </w:rPr>
        <w:t>落实各级疫情防控指挥部会议及文件要求，完成区领导交办其他事项。</w:t>
      </w:r>
    </w:p>
    <w:p>
      <w:pPr>
        <w:autoSpaceDE w:val="0"/>
        <w:spacing w:line="540" w:lineRule="exact"/>
        <w:ind w:firstLine="642" w:firstLineChars="200"/>
        <w:rPr>
          <w:rFonts w:ascii="仿宋_GB2312" w:eastAsia="仿宋_GB2312"/>
          <w:bCs/>
          <w:spacing w:val="-6"/>
          <w:sz w:val="32"/>
          <w:szCs w:val="32"/>
        </w:rPr>
      </w:pPr>
      <w:r>
        <w:rPr>
          <w:rFonts w:hint="eastAsia" w:ascii="楷体_GB2312" w:hAnsi="宋体" w:eastAsia="楷体_GB2312"/>
          <w:b/>
          <w:sz w:val="32"/>
          <w:szCs w:val="32"/>
          <w:lang w:val="zh-CN"/>
        </w:rPr>
        <w:t>（二）项目绩效目标。</w:t>
      </w:r>
      <w:r>
        <w:rPr>
          <w:rFonts w:hint="eastAsia" w:ascii="仿宋_GB2312" w:eastAsia="仿宋_GB2312"/>
          <w:bCs/>
          <w:spacing w:val="-6"/>
          <w:sz w:val="32"/>
          <w:szCs w:val="32"/>
        </w:rPr>
        <w:t>守住党政机关办公场所及公职人员疫情防控底线。</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二、项目实施及管理情况</w:t>
      </w:r>
    </w:p>
    <w:p>
      <w:pPr>
        <w:overflowPunct w:val="0"/>
        <w:spacing w:line="520" w:lineRule="exact"/>
        <w:ind w:firstLine="320" w:firstLineChars="100"/>
        <w:rPr>
          <w:rFonts w:ascii="仿宋_GB2312" w:hAnsi="仿宋" w:eastAsia="仿宋_GB2312"/>
          <w:sz w:val="32"/>
          <w:szCs w:val="32"/>
        </w:rPr>
      </w:pPr>
      <w:r>
        <w:rPr>
          <w:rFonts w:hint="eastAsia" w:ascii="楷体_GB2312" w:hAnsi="楷体_GB2312" w:eastAsia="楷体_GB2312" w:cs="楷体_GB2312"/>
          <w:sz w:val="32"/>
          <w:szCs w:val="32"/>
        </w:rPr>
        <w:t>（一）资金到位情况</w:t>
      </w:r>
      <w:r>
        <w:rPr>
          <w:rFonts w:hint="eastAsia" w:ascii="仿宋_GB2312" w:hAnsi="仿宋" w:eastAsia="仿宋_GB2312"/>
          <w:sz w:val="32"/>
          <w:szCs w:val="32"/>
        </w:rPr>
        <w:t>：区财政拨付</w:t>
      </w:r>
      <w:r>
        <w:rPr>
          <w:rFonts w:hint="eastAsia" w:ascii="仿宋_GB2312" w:hAnsi="仿宋" w:eastAsia="仿宋_GB2312"/>
          <w:spacing w:val="-6"/>
          <w:sz w:val="32"/>
          <w:szCs w:val="32"/>
        </w:rPr>
        <w:t>疫情防控</w:t>
      </w:r>
      <w:r>
        <w:rPr>
          <w:rFonts w:hint="eastAsia" w:ascii="仿宋_GB2312" w:hAnsi="仿宋" w:eastAsia="仿宋_GB2312"/>
          <w:sz w:val="32"/>
          <w:szCs w:val="32"/>
        </w:rPr>
        <w:t>工作经费3万元.</w:t>
      </w:r>
    </w:p>
    <w:p>
      <w:pPr>
        <w:overflowPunct w:val="0"/>
        <w:spacing w:line="520" w:lineRule="exact"/>
        <w:ind w:firstLine="320" w:firstLineChars="100"/>
        <w:rPr>
          <w:rFonts w:ascii="仿宋_GB2312" w:hAnsi="仿宋" w:eastAsia="仿宋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pacing w:val="-6"/>
          <w:sz w:val="32"/>
          <w:szCs w:val="32"/>
        </w:rPr>
        <w:t>预算资金执行情况</w:t>
      </w:r>
      <w:r>
        <w:rPr>
          <w:rFonts w:hint="eastAsia" w:ascii="仿宋_GB2312" w:hAnsi="仿宋" w:eastAsia="仿宋_GB2312"/>
          <w:spacing w:val="-6"/>
          <w:sz w:val="32"/>
          <w:szCs w:val="32"/>
        </w:rPr>
        <w:t>：2021年用于疫情防控工作经费3万元。</w:t>
      </w:r>
    </w:p>
    <w:p>
      <w:pPr>
        <w:overflowPunct w:val="0"/>
        <w:spacing w:line="520" w:lineRule="exact"/>
        <w:ind w:firstLine="320" w:firstLineChars="100"/>
        <w:rPr>
          <w:rFonts w:ascii="仿宋_GB2312" w:hAnsi="仿宋_GB2312" w:eastAsia="仿宋_GB2312" w:cs="仿宋_GB2312"/>
          <w:sz w:val="32"/>
          <w:szCs w:val="32"/>
        </w:rPr>
      </w:pPr>
      <w:r>
        <w:rPr>
          <w:rFonts w:hint="eastAsia" w:ascii="楷体_GB2312" w:hAnsi="楷体_GB2312" w:eastAsia="楷体_GB2312" w:cs="楷体_GB2312"/>
          <w:sz w:val="32"/>
          <w:szCs w:val="32"/>
        </w:rPr>
        <w:t>（三）项目资金规范运行情况</w:t>
      </w:r>
      <w:r>
        <w:rPr>
          <w:rFonts w:hint="eastAsia" w:ascii="仿宋_GB2312" w:hAnsi="仿宋" w:eastAsia="仿宋_GB2312"/>
          <w:sz w:val="32"/>
          <w:szCs w:val="32"/>
        </w:rPr>
        <w:t>：</w:t>
      </w:r>
      <w:r>
        <w:rPr>
          <w:rFonts w:hint="eastAsia" w:ascii="仿宋_GB2312" w:hAnsi="仿宋_GB2312" w:eastAsia="仿宋_GB2312" w:cs="仿宋_GB2312"/>
          <w:sz w:val="32"/>
          <w:szCs w:val="32"/>
          <w:lang w:val="zh-CN"/>
        </w:rPr>
        <w:t>严格按照项目资金管理办法对资金进行申报、划拨、使用，并及时做好相关账务处理和会计核算</w:t>
      </w:r>
      <w:r>
        <w:rPr>
          <w:rFonts w:hint="eastAsia" w:ascii="仿宋_GB2312" w:hAnsi="仿宋_GB2312" w:eastAsia="仿宋_GB2312" w:cs="仿宋_GB2312"/>
          <w:sz w:val="32"/>
          <w:szCs w:val="32"/>
        </w:rPr>
        <w:t>。</w:t>
      </w:r>
    </w:p>
    <w:p>
      <w:pPr>
        <w:spacing w:line="580" w:lineRule="exact"/>
        <w:ind w:firstLine="640" w:firstLineChars="200"/>
        <w:rPr>
          <w:rFonts w:ascii="仿宋" w:hAnsi="仿宋" w:eastAsia="仿宋" w:cs="仿宋_GB2312"/>
          <w:bCs/>
          <w:sz w:val="32"/>
          <w:szCs w:val="32"/>
        </w:rPr>
      </w:pPr>
      <w:r>
        <w:rPr>
          <w:rFonts w:hint="eastAsia" w:ascii="楷体_GB2312" w:hAnsi="楷体_GB2312" w:eastAsia="楷体_GB2312" w:cs="楷体_GB2312"/>
          <w:sz w:val="32"/>
          <w:szCs w:val="32"/>
        </w:rPr>
        <w:t>（四）财务管理情况</w:t>
      </w:r>
      <w:r>
        <w:rPr>
          <w:rFonts w:hint="eastAsia" w:ascii="仿宋_GB2312" w:hAnsi="仿宋" w:eastAsia="仿宋_GB2312"/>
          <w:sz w:val="32"/>
          <w:szCs w:val="32"/>
        </w:rPr>
        <w:t>：单位财务管理制度健全，严格执行财务管理制度，及时进行账务处理，会计核算规范</w:t>
      </w:r>
    </w:p>
    <w:p>
      <w:pPr>
        <w:adjustRightInd w:val="0"/>
        <w:snapToGrid w:val="0"/>
        <w:spacing w:line="600" w:lineRule="exact"/>
        <w:ind w:firstLine="960" w:firstLineChars="300"/>
        <w:rPr>
          <w:rFonts w:ascii="仿宋_GB2312" w:hAnsi="宋体" w:eastAsia="仿宋_GB2312"/>
          <w:sz w:val="32"/>
          <w:szCs w:val="32"/>
          <w:lang w:val="zh-CN"/>
        </w:rPr>
      </w:pPr>
      <w:r>
        <w:rPr>
          <w:rFonts w:hint="eastAsia" w:ascii="黑体" w:hAnsi="宋体" w:eastAsia="黑体"/>
          <w:sz w:val="32"/>
          <w:szCs w:val="32"/>
        </w:rPr>
        <w:t>三、项目绩效情况</w:t>
      </w:r>
      <w:r>
        <w:rPr>
          <w:rFonts w:ascii="仿宋_GB2312" w:hAnsi="宋体" w:eastAsia="仿宋_GB2312"/>
          <w:sz w:val="32"/>
          <w:szCs w:val="32"/>
          <w:lang w:val="zh-CN"/>
        </w:rPr>
        <w:tab/>
      </w:r>
    </w:p>
    <w:p>
      <w:pPr>
        <w:autoSpaceDE w:val="0"/>
        <w:spacing w:line="540" w:lineRule="exact"/>
        <w:ind w:firstLine="642" w:firstLineChars="200"/>
        <w:rPr>
          <w:rFonts w:ascii="仿宋_GB2312" w:eastAsia="仿宋_GB2312"/>
          <w:spacing w:val="-6"/>
          <w:sz w:val="32"/>
          <w:szCs w:val="32"/>
        </w:rPr>
      </w:pPr>
      <w:r>
        <w:rPr>
          <w:rFonts w:hint="eastAsia" w:ascii="楷体_GB2312" w:hAnsi="宋体" w:eastAsia="楷体_GB2312"/>
          <w:b/>
          <w:sz w:val="32"/>
          <w:szCs w:val="32"/>
          <w:lang w:val="zh-CN"/>
        </w:rPr>
        <w:t>（一）项目完成情况。</w:t>
      </w:r>
      <w:r>
        <w:rPr>
          <w:rFonts w:hint="eastAsia" w:ascii="仿宋_GB2312" w:eastAsia="仿宋_GB2312"/>
          <w:spacing w:val="-6"/>
          <w:sz w:val="32"/>
          <w:szCs w:val="32"/>
        </w:rPr>
        <w:t>从质量来看，建成了责任体系、运行体系，加强了“四方责任”的落实，党政企事业单位守住了门，管住了人，机关部门无疫情发生。</w:t>
      </w:r>
    </w:p>
    <w:p>
      <w:pPr>
        <w:autoSpaceDE w:val="0"/>
        <w:spacing w:line="540" w:lineRule="exact"/>
        <w:ind w:firstLine="618" w:firstLineChars="200"/>
        <w:rPr>
          <w:rFonts w:ascii="楷体_GB2312" w:eastAsia="楷体_GB2312"/>
          <w:bCs/>
          <w:spacing w:val="-6"/>
          <w:sz w:val="32"/>
          <w:szCs w:val="32"/>
        </w:rPr>
      </w:pPr>
      <w:r>
        <w:rPr>
          <w:rFonts w:hint="eastAsia" w:ascii="楷体_GB2312" w:eastAsia="楷体_GB2312"/>
          <w:b/>
          <w:spacing w:val="-6"/>
          <w:sz w:val="32"/>
          <w:szCs w:val="32"/>
        </w:rPr>
        <w:t>（二）项目效益情况</w:t>
      </w:r>
      <w:r>
        <w:rPr>
          <w:rFonts w:hint="eastAsia" w:ascii="楷体_GB2312" w:eastAsia="楷体_GB2312"/>
          <w:bCs/>
          <w:spacing w:val="-6"/>
          <w:sz w:val="32"/>
          <w:szCs w:val="32"/>
        </w:rPr>
        <w:t>。</w:t>
      </w:r>
    </w:p>
    <w:p>
      <w:pPr>
        <w:autoSpaceDE w:val="0"/>
        <w:spacing w:line="540" w:lineRule="exact"/>
        <w:ind w:firstLine="616" w:firstLineChars="200"/>
        <w:rPr>
          <w:rFonts w:ascii="仿宋_GB2312" w:eastAsia="仿宋_GB2312"/>
          <w:spacing w:val="-6"/>
          <w:sz w:val="32"/>
          <w:szCs w:val="32"/>
        </w:rPr>
      </w:pPr>
      <w:r>
        <w:rPr>
          <w:rFonts w:hint="eastAsia" w:ascii="仿宋_GB2312" w:eastAsia="仿宋_GB2312"/>
          <w:spacing w:val="-6"/>
          <w:sz w:val="32"/>
          <w:szCs w:val="32"/>
        </w:rPr>
        <w:t>该项目产生的效益主要社会效益，主要表现在确保我区机关公职人员实现“零”感染目标。</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四、评价结论及建议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spacing w:line="576"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从本项目实施情况看，整个项目在资金安排、方案策划、组织实施等方面均有充分考虑，且较好地达到项目预期目标。党政机关企事业单位和公职人员疫情防控点多面广，经费依然不足。</w:t>
      </w:r>
    </w:p>
    <w:p>
      <w:pPr>
        <w:adjustRightInd w:val="0"/>
        <w:snapToGrid w:val="0"/>
        <w:spacing w:line="600"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（二）相关建议。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针对项目自评中发现的问题，提出下一步改进完善的意见及有关政策性建议。建议在加强党政机关企事业单位和公职人员疫情防控工作中还需要加大经费投入。</w:t>
      </w: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tbl>
      <w:tblPr>
        <w:tblStyle w:val="14"/>
        <w:tblpPr w:leftFromText="180" w:rightFromText="180" w:vertAnchor="text" w:horzAnchor="page" w:tblpX="1281" w:tblpY="660"/>
        <w:tblOverlap w:val="never"/>
        <w:tblW w:w="9575" w:type="dxa"/>
        <w:tblInd w:w="0" w:type="dxa"/>
        <w:tblLayout w:type="fixed"/>
        <w:tblCellMar>
          <w:top w:w="0" w:type="dxa"/>
          <w:left w:w="108" w:type="dxa"/>
          <w:bottom w:w="0" w:type="dxa"/>
          <w:right w:w="108" w:type="dxa"/>
        </w:tblCellMar>
      </w:tblPr>
      <w:tblGrid>
        <w:gridCol w:w="1118"/>
        <w:gridCol w:w="1125"/>
        <w:gridCol w:w="1170"/>
        <w:gridCol w:w="2700"/>
        <w:gridCol w:w="1905"/>
        <w:gridCol w:w="1557"/>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vAlign w:val="center"/>
          </w:tcPr>
          <w:p>
            <w:pPr>
              <w:widowControl/>
              <w:jc w:val="center"/>
              <w:textAlignment w:val="center"/>
              <w:rPr>
                <w:rFonts w:ascii="宋体" w:cs="宋体"/>
                <w:b/>
                <w:sz w:val="32"/>
                <w:szCs w:val="32"/>
              </w:rPr>
            </w:pPr>
            <w:r>
              <w:rPr>
                <w:rFonts w:ascii="宋体" w:hAnsi="宋体" w:cs="宋体"/>
                <w:b/>
                <w:sz w:val="32"/>
                <w:szCs w:val="32"/>
              </w:rPr>
              <w:t>2021</w:t>
            </w:r>
            <w:r>
              <w:rPr>
                <w:rFonts w:hint="eastAsia" w:ascii="宋体" w:hAnsi="宋体" w:cs="宋体"/>
                <w:b/>
                <w:sz w:val="32"/>
                <w:szCs w:val="32"/>
              </w:rPr>
              <w:t>年疫情防控预算项目绩效目标自评</w:t>
            </w:r>
          </w:p>
        </w:tc>
      </w:tr>
      <w:tr>
        <w:tblPrEx>
          <w:tblCellMar>
            <w:top w:w="0" w:type="dxa"/>
            <w:left w:w="108" w:type="dxa"/>
            <w:bottom w:w="0" w:type="dxa"/>
            <w:right w:w="108" w:type="dxa"/>
          </w:tblCellMar>
        </w:tblPrEx>
        <w:trPr>
          <w:trHeight w:val="770" w:hRule="atLeast"/>
        </w:trPr>
        <w:tc>
          <w:tcPr>
            <w:tcW w:w="22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6"/>
                <w:szCs w:val="16"/>
              </w:rPr>
            </w:pPr>
            <w:r>
              <w:rPr>
                <w:rFonts w:hint="eastAsia" w:ascii="宋体" w:hAnsi="宋体" w:cs="宋体"/>
                <w:kern w:val="0"/>
                <w:sz w:val="16"/>
                <w:szCs w:val="16"/>
              </w:rPr>
              <w:t>主管部门及代码</w:t>
            </w:r>
          </w:p>
        </w:tc>
        <w:tc>
          <w:tcPr>
            <w:tcW w:w="38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cs="宋体"/>
                <w:sz w:val="16"/>
                <w:szCs w:val="16"/>
              </w:rPr>
            </w:pPr>
            <w:r>
              <w:rPr>
                <w:rFonts w:hint="eastAsia" w:ascii="宋体" w:cs="宋体"/>
                <w:sz w:val="16"/>
                <w:szCs w:val="16"/>
              </w:rPr>
              <w:t>区直属机关党建事务中心</w:t>
            </w:r>
          </w:p>
        </w:tc>
        <w:tc>
          <w:tcPr>
            <w:tcW w:w="190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6"/>
                <w:szCs w:val="16"/>
              </w:rPr>
            </w:pPr>
            <w:r>
              <w:rPr>
                <w:rFonts w:hint="eastAsia" w:ascii="宋体" w:hAnsi="宋体" w:cs="宋体"/>
                <w:kern w:val="0"/>
                <w:sz w:val="16"/>
                <w:szCs w:val="16"/>
              </w:rPr>
              <w:t>实施单位</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6"/>
                <w:szCs w:val="16"/>
              </w:rPr>
            </w:pPr>
            <w:r>
              <w:rPr>
                <w:rFonts w:hint="eastAsia" w:ascii="宋体" w:cs="宋体"/>
                <w:sz w:val="16"/>
                <w:szCs w:val="16"/>
              </w:rPr>
              <w:t>区直属机关党建事务中心</w:t>
            </w:r>
          </w:p>
        </w:tc>
      </w:tr>
      <w:tr>
        <w:tblPrEx>
          <w:tblCellMar>
            <w:top w:w="0" w:type="dxa"/>
            <w:left w:w="108" w:type="dxa"/>
            <w:bottom w:w="0" w:type="dxa"/>
            <w:right w:w="108" w:type="dxa"/>
          </w:tblCellMar>
        </w:tblPrEx>
        <w:trPr>
          <w:trHeight w:val="341" w:hRule="atLeast"/>
        </w:trPr>
        <w:tc>
          <w:tcPr>
            <w:tcW w:w="224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6"/>
                <w:szCs w:val="16"/>
              </w:rPr>
            </w:pPr>
            <w:r>
              <w:rPr>
                <w:rFonts w:hint="eastAsia" w:ascii="宋体" w:hAnsi="宋体" w:cs="宋体"/>
                <w:kern w:val="0"/>
                <w:sz w:val="16"/>
                <w:szCs w:val="16"/>
              </w:rPr>
              <w:t>项目预算</w:t>
            </w:r>
            <w:r>
              <w:rPr>
                <w:rFonts w:ascii="宋体" w:cs="宋体"/>
                <w:kern w:val="0"/>
                <w:sz w:val="16"/>
                <w:szCs w:val="16"/>
              </w:rPr>
              <w:br w:type="textWrapping"/>
            </w:r>
            <w:r>
              <w:rPr>
                <w:rFonts w:hint="eastAsia" w:ascii="宋体" w:hAnsi="宋体" w:cs="宋体"/>
                <w:kern w:val="0"/>
                <w:sz w:val="16"/>
                <w:szCs w:val="16"/>
              </w:rPr>
              <w:t>执行情况</w:t>
            </w:r>
            <w:r>
              <w:rPr>
                <w:rFonts w:ascii="宋体" w:cs="宋体"/>
                <w:kern w:val="0"/>
                <w:sz w:val="16"/>
                <w:szCs w:val="16"/>
              </w:rPr>
              <w:br w:type="textWrapping"/>
            </w:r>
            <w:r>
              <w:rPr>
                <w:rFonts w:hint="eastAsia" w:ascii="宋体" w:hAnsi="宋体" w:cs="宋体"/>
                <w:kern w:val="0"/>
                <w:sz w:val="16"/>
                <w:szCs w:val="16"/>
              </w:rPr>
              <w:t>（万元）</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6"/>
                <w:szCs w:val="16"/>
              </w:rPr>
            </w:pPr>
            <w:r>
              <w:rPr>
                <w:rFonts w:ascii="宋体" w:hAnsi="宋体" w:cs="宋体"/>
                <w:kern w:val="0"/>
                <w:sz w:val="16"/>
                <w:szCs w:val="16"/>
              </w:rPr>
              <w:t xml:space="preserve"> </w:t>
            </w:r>
            <w:r>
              <w:rPr>
                <w:rFonts w:hint="eastAsia" w:ascii="宋体" w:hAnsi="宋体" w:cs="宋体"/>
                <w:kern w:val="0"/>
                <w:sz w:val="16"/>
                <w:szCs w:val="16"/>
              </w:rPr>
              <w:t>预算数：</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6"/>
                <w:szCs w:val="16"/>
              </w:rPr>
            </w:pPr>
            <w:r>
              <w:rPr>
                <w:rFonts w:hint="eastAsia" w:ascii="宋体" w:cs="宋体"/>
                <w:sz w:val="16"/>
                <w:szCs w:val="16"/>
              </w:rPr>
              <w:t>3</w:t>
            </w:r>
          </w:p>
        </w:tc>
        <w:tc>
          <w:tcPr>
            <w:tcW w:w="190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6"/>
                <w:szCs w:val="16"/>
              </w:rPr>
            </w:pPr>
            <w:r>
              <w:rPr>
                <w:rFonts w:ascii="宋体" w:hAnsi="宋体" w:cs="宋体"/>
                <w:kern w:val="0"/>
                <w:sz w:val="16"/>
                <w:szCs w:val="16"/>
              </w:rPr>
              <w:t xml:space="preserve"> </w:t>
            </w:r>
            <w:r>
              <w:rPr>
                <w:rFonts w:hint="eastAsia" w:ascii="宋体" w:hAnsi="宋体" w:cs="宋体"/>
                <w:kern w:val="0"/>
                <w:sz w:val="16"/>
                <w:szCs w:val="16"/>
              </w:rPr>
              <w:t>执行数：</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right"/>
              <w:textAlignment w:val="center"/>
              <w:rPr>
                <w:rFonts w:ascii="宋体" w:cs="宋体"/>
                <w:sz w:val="16"/>
                <w:szCs w:val="16"/>
              </w:rPr>
            </w:pPr>
            <w:r>
              <w:rPr>
                <w:rFonts w:hint="eastAsia" w:ascii="宋体" w:cs="宋体"/>
                <w:sz w:val="16"/>
                <w:szCs w:val="16"/>
              </w:rPr>
              <w:t>3</w:t>
            </w:r>
          </w:p>
        </w:tc>
      </w:tr>
      <w:tr>
        <w:tblPrEx>
          <w:tblCellMar>
            <w:top w:w="0" w:type="dxa"/>
            <w:left w:w="108" w:type="dxa"/>
            <w:bottom w:w="0" w:type="dxa"/>
            <w:right w:w="108" w:type="dxa"/>
          </w:tblCellMar>
        </w:tblPrEx>
        <w:trPr>
          <w:trHeight w:val="830" w:hRule="atLeast"/>
        </w:trPr>
        <w:tc>
          <w:tcPr>
            <w:tcW w:w="224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6"/>
                <w:szCs w:val="16"/>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16"/>
                <w:szCs w:val="16"/>
              </w:rPr>
            </w:pPr>
            <w:r>
              <w:rPr>
                <w:rFonts w:hint="eastAsia" w:ascii="宋体" w:hAnsi="宋体" w:cs="宋体"/>
                <w:kern w:val="0"/>
                <w:sz w:val="16"/>
                <w:szCs w:val="16"/>
              </w:rPr>
              <w:t>其中：</w:t>
            </w:r>
          </w:p>
          <w:p>
            <w:pPr>
              <w:widowControl/>
              <w:spacing w:line="320" w:lineRule="exact"/>
              <w:jc w:val="left"/>
              <w:textAlignment w:val="center"/>
              <w:rPr>
                <w:rFonts w:ascii="宋体" w:cs="宋体"/>
                <w:sz w:val="16"/>
                <w:szCs w:val="16"/>
              </w:rPr>
            </w:pPr>
            <w:r>
              <w:rPr>
                <w:rFonts w:hint="eastAsia" w:ascii="宋体" w:hAnsi="宋体" w:cs="宋体"/>
                <w:kern w:val="0"/>
                <w:sz w:val="16"/>
                <w:szCs w:val="16"/>
              </w:rPr>
              <w:t>财政拨款</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6"/>
                <w:szCs w:val="16"/>
              </w:rPr>
            </w:pPr>
            <w:r>
              <w:rPr>
                <w:rFonts w:hint="eastAsia" w:ascii="宋体" w:cs="宋体"/>
                <w:sz w:val="16"/>
                <w:szCs w:val="16"/>
              </w:rPr>
              <w:t>3</w:t>
            </w:r>
          </w:p>
        </w:tc>
        <w:tc>
          <w:tcPr>
            <w:tcW w:w="190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16"/>
                <w:szCs w:val="16"/>
              </w:rPr>
            </w:pPr>
            <w:r>
              <w:rPr>
                <w:rFonts w:hint="eastAsia" w:ascii="宋体" w:hAnsi="宋体" w:cs="宋体"/>
                <w:kern w:val="0"/>
                <w:sz w:val="16"/>
                <w:szCs w:val="16"/>
              </w:rPr>
              <w:t>其中：</w:t>
            </w:r>
          </w:p>
          <w:p>
            <w:pPr>
              <w:widowControl/>
              <w:spacing w:line="320" w:lineRule="exact"/>
              <w:jc w:val="left"/>
              <w:textAlignment w:val="center"/>
              <w:rPr>
                <w:rFonts w:ascii="宋体" w:cs="宋体"/>
                <w:sz w:val="16"/>
                <w:szCs w:val="16"/>
              </w:rPr>
            </w:pPr>
            <w:r>
              <w:rPr>
                <w:rFonts w:hint="eastAsia" w:ascii="宋体" w:hAnsi="宋体" w:cs="宋体"/>
                <w:kern w:val="0"/>
                <w:sz w:val="16"/>
                <w:szCs w:val="16"/>
              </w:rPr>
              <w:t>财政拨款</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right"/>
              <w:textAlignment w:val="center"/>
              <w:rPr>
                <w:rFonts w:ascii="宋体" w:cs="宋体"/>
                <w:sz w:val="16"/>
                <w:szCs w:val="16"/>
              </w:rPr>
            </w:pPr>
            <w:r>
              <w:rPr>
                <w:rFonts w:hint="eastAsia" w:ascii="宋体" w:cs="宋体"/>
                <w:sz w:val="16"/>
                <w:szCs w:val="16"/>
              </w:rPr>
              <w:t>3</w:t>
            </w:r>
          </w:p>
        </w:tc>
      </w:tr>
      <w:tr>
        <w:tblPrEx>
          <w:tblCellMar>
            <w:top w:w="0" w:type="dxa"/>
            <w:left w:w="108" w:type="dxa"/>
            <w:bottom w:w="0" w:type="dxa"/>
            <w:right w:w="108" w:type="dxa"/>
          </w:tblCellMar>
        </w:tblPrEx>
        <w:trPr>
          <w:trHeight w:val="375" w:hRule="atLeast"/>
        </w:trPr>
        <w:tc>
          <w:tcPr>
            <w:tcW w:w="224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6"/>
                <w:szCs w:val="16"/>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6"/>
                <w:szCs w:val="16"/>
              </w:rPr>
            </w:pPr>
            <w:r>
              <w:rPr>
                <w:rFonts w:hint="eastAsia" w:ascii="宋体" w:hAnsi="宋体" w:cs="宋体"/>
                <w:kern w:val="0"/>
                <w:sz w:val="16"/>
                <w:szCs w:val="16"/>
              </w:rPr>
              <w:t>其他资金</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6"/>
                <w:szCs w:val="16"/>
              </w:rPr>
            </w:pPr>
            <w:r>
              <w:rPr>
                <w:rFonts w:hint="eastAsia" w:ascii="宋体" w:cs="宋体"/>
                <w:sz w:val="16"/>
                <w:szCs w:val="16"/>
              </w:rPr>
              <w:t>0</w:t>
            </w:r>
          </w:p>
        </w:tc>
        <w:tc>
          <w:tcPr>
            <w:tcW w:w="190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6"/>
                <w:szCs w:val="16"/>
              </w:rPr>
            </w:pPr>
            <w:r>
              <w:rPr>
                <w:rFonts w:hint="eastAsia" w:ascii="宋体" w:hAnsi="宋体" w:cs="宋体"/>
                <w:kern w:val="0"/>
                <w:sz w:val="16"/>
                <w:szCs w:val="16"/>
              </w:rPr>
              <w:t>其他资金</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right"/>
              <w:textAlignment w:val="center"/>
              <w:rPr>
                <w:rFonts w:ascii="宋体" w:cs="宋体"/>
                <w:sz w:val="16"/>
                <w:szCs w:val="16"/>
              </w:rPr>
            </w:pPr>
            <w:r>
              <w:rPr>
                <w:rFonts w:hint="eastAsia" w:ascii="宋体" w:cs="宋体"/>
                <w:sz w:val="16"/>
                <w:szCs w:val="16"/>
              </w:rPr>
              <w:t>0</w:t>
            </w:r>
          </w:p>
        </w:tc>
      </w:tr>
      <w:tr>
        <w:tblPrEx>
          <w:tblCellMar>
            <w:top w:w="0" w:type="dxa"/>
            <w:left w:w="108" w:type="dxa"/>
            <w:bottom w:w="0" w:type="dxa"/>
            <w:right w:w="108" w:type="dxa"/>
          </w:tblCellMar>
        </w:tblPrEx>
        <w:trPr>
          <w:trHeight w:val="217" w:hRule="atLeast"/>
        </w:trPr>
        <w:tc>
          <w:tcPr>
            <w:tcW w:w="111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16"/>
                <w:szCs w:val="16"/>
              </w:rPr>
            </w:pPr>
            <w:r>
              <w:rPr>
                <w:rFonts w:hint="eastAsia" w:ascii="宋体" w:hAnsi="宋体" w:cs="宋体"/>
                <w:kern w:val="0"/>
                <w:sz w:val="16"/>
                <w:szCs w:val="16"/>
              </w:rPr>
              <w:t>年度总体目标</w:t>
            </w:r>
          </w:p>
          <w:p>
            <w:pPr>
              <w:widowControl/>
              <w:spacing w:line="320" w:lineRule="exact"/>
              <w:jc w:val="center"/>
              <w:textAlignment w:val="center"/>
              <w:rPr>
                <w:rFonts w:ascii="宋体" w:cs="宋体"/>
                <w:sz w:val="16"/>
                <w:szCs w:val="16"/>
              </w:rPr>
            </w:pPr>
            <w:r>
              <w:rPr>
                <w:rFonts w:hint="eastAsia" w:ascii="宋体" w:hAnsi="宋体" w:cs="宋体"/>
                <w:kern w:val="0"/>
                <w:sz w:val="16"/>
                <w:szCs w:val="16"/>
              </w:rPr>
              <w:t>完成情况</w:t>
            </w:r>
          </w:p>
        </w:tc>
        <w:tc>
          <w:tcPr>
            <w:tcW w:w="499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6"/>
                <w:szCs w:val="16"/>
              </w:rPr>
            </w:pPr>
            <w:r>
              <w:rPr>
                <w:rFonts w:hint="eastAsia" w:ascii="宋体" w:hAnsi="宋体" w:cs="宋体"/>
                <w:kern w:val="0"/>
                <w:sz w:val="16"/>
                <w:szCs w:val="16"/>
              </w:rPr>
              <w:t>预期目标</w:t>
            </w:r>
          </w:p>
        </w:tc>
        <w:tc>
          <w:tcPr>
            <w:tcW w:w="346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6"/>
                <w:szCs w:val="16"/>
              </w:rPr>
            </w:pPr>
            <w:r>
              <w:rPr>
                <w:rFonts w:hint="eastAsia" w:ascii="宋体" w:hAnsi="宋体" w:cs="宋体"/>
                <w:kern w:val="0"/>
                <w:sz w:val="16"/>
                <w:szCs w:val="16"/>
              </w:rPr>
              <w:t>目标实际完成情况</w:t>
            </w:r>
          </w:p>
        </w:tc>
      </w:tr>
      <w:tr>
        <w:tblPrEx>
          <w:tblCellMar>
            <w:top w:w="0" w:type="dxa"/>
            <w:left w:w="108" w:type="dxa"/>
            <w:bottom w:w="0" w:type="dxa"/>
            <w:right w:w="108" w:type="dxa"/>
          </w:tblCellMar>
        </w:tblPrEx>
        <w:trPr>
          <w:trHeight w:val="797" w:hRule="atLeast"/>
        </w:trPr>
        <w:tc>
          <w:tcPr>
            <w:tcW w:w="1118"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6"/>
                <w:szCs w:val="16"/>
              </w:rPr>
            </w:pPr>
          </w:p>
        </w:tc>
        <w:tc>
          <w:tcPr>
            <w:tcW w:w="4995"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cs="宋体"/>
                <w:sz w:val="16"/>
                <w:szCs w:val="16"/>
              </w:rPr>
            </w:pPr>
            <w:r>
              <w:rPr>
                <w:rFonts w:hint="eastAsia" w:ascii="宋体" w:cs="宋体"/>
                <w:sz w:val="16"/>
                <w:szCs w:val="16"/>
              </w:rPr>
              <w:t>守住党政机关办公场所及公职人员疫情防控底线。</w:t>
            </w:r>
          </w:p>
        </w:tc>
        <w:tc>
          <w:tcPr>
            <w:tcW w:w="3462"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cs="宋体"/>
                <w:sz w:val="16"/>
                <w:szCs w:val="16"/>
              </w:rPr>
            </w:pPr>
            <w:r>
              <w:rPr>
                <w:rFonts w:hint="eastAsia" w:ascii="宋体" w:cs="宋体"/>
                <w:sz w:val="16"/>
                <w:szCs w:val="16"/>
              </w:rPr>
              <w:t>守住党政机关办公场所及公职人员疫情防控底线。</w:t>
            </w:r>
          </w:p>
        </w:tc>
      </w:tr>
      <w:tr>
        <w:tblPrEx>
          <w:tblCellMar>
            <w:top w:w="0" w:type="dxa"/>
            <w:left w:w="108" w:type="dxa"/>
            <w:bottom w:w="0" w:type="dxa"/>
            <w:right w:w="108" w:type="dxa"/>
          </w:tblCellMar>
        </w:tblPrEx>
        <w:trPr>
          <w:trHeight w:val="693" w:hRule="atLeast"/>
        </w:trPr>
        <w:tc>
          <w:tcPr>
            <w:tcW w:w="1118"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年度绩效指标完成情况</w:t>
            </w:r>
          </w:p>
        </w:tc>
        <w:tc>
          <w:tcPr>
            <w:tcW w:w="1125"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一级</w:t>
            </w:r>
          </w:p>
          <w:p>
            <w:pPr>
              <w:widowControl/>
              <w:spacing w:line="320" w:lineRule="exact"/>
              <w:jc w:val="center"/>
              <w:textAlignment w:val="center"/>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指标</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二级</w:t>
            </w:r>
          </w:p>
          <w:p>
            <w:pPr>
              <w:widowControl/>
              <w:spacing w:line="320" w:lineRule="exact"/>
              <w:jc w:val="center"/>
              <w:textAlignment w:val="center"/>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指标</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三级</w:t>
            </w:r>
          </w:p>
          <w:p>
            <w:pPr>
              <w:widowControl/>
              <w:spacing w:line="320" w:lineRule="exact"/>
              <w:jc w:val="center"/>
              <w:textAlignment w:val="center"/>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指标</w:t>
            </w:r>
          </w:p>
        </w:tc>
        <w:tc>
          <w:tcPr>
            <w:tcW w:w="190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预期指标值</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实际完成指标值</w:t>
            </w:r>
          </w:p>
        </w:tc>
      </w:tr>
      <w:tr>
        <w:tblPrEx>
          <w:tblCellMar>
            <w:top w:w="0" w:type="dxa"/>
            <w:left w:w="108" w:type="dxa"/>
            <w:bottom w:w="0" w:type="dxa"/>
            <w:right w:w="108" w:type="dxa"/>
          </w:tblCellMar>
        </w:tblPrEx>
        <w:trPr>
          <w:trHeight w:val="415"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完成</w:t>
            </w:r>
          </w:p>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指标</w:t>
            </w:r>
          </w:p>
        </w:tc>
        <w:tc>
          <w:tcPr>
            <w:tcW w:w="1170" w:type="dxa"/>
            <w:vMerge w:val="restart"/>
            <w:tcBorders>
              <w:top w:val="single" w:color="000000" w:sz="4" w:space="0"/>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数量指标</w:t>
            </w:r>
          </w:p>
        </w:tc>
        <w:tc>
          <w:tcPr>
            <w:tcW w:w="270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防控物资</w:t>
            </w:r>
          </w:p>
        </w:tc>
        <w:tc>
          <w:tcPr>
            <w:tcW w:w="190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口罩50包、酒精100瓶</w:t>
            </w: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全面完成</w:t>
            </w:r>
          </w:p>
        </w:tc>
      </w:tr>
      <w:tr>
        <w:tblPrEx>
          <w:tblCellMar>
            <w:top w:w="0" w:type="dxa"/>
            <w:left w:w="108" w:type="dxa"/>
            <w:bottom w:w="0" w:type="dxa"/>
            <w:right w:w="108" w:type="dxa"/>
          </w:tblCellMar>
        </w:tblPrEx>
        <w:trPr>
          <w:trHeight w:val="415"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continue"/>
            <w:tcBorders>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16"/>
                <w:szCs w:val="16"/>
              </w:rPr>
            </w:pPr>
          </w:p>
        </w:tc>
        <w:tc>
          <w:tcPr>
            <w:tcW w:w="1170" w:type="dxa"/>
            <w:vMerge w:val="continue"/>
            <w:tcBorders>
              <w:left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kern w:val="0"/>
                <w:sz w:val="16"/>
                <w:szCs w:val="16"/>
              </w:rPr>
            </w:pPr>
          </w:p>
        </w:tc>
        <w:tc>
          <w:tcPr>
            <w:tcW w:w="270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工作督导</w:t>
            </w:r>
          </w:p>
        </w:tc>
        <w:tc>
          <w:tcPr>
            <w:tcW w:w="190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100余次</w:t>
            </w: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全面完成</w:t>
            </w:r>
          </w:p>
        </w:tc>
      </w:tr>
      <w:tr>
        <w:tblPrEx>
          <w:tblCellMar>
            <w:top w:w="0" w:type="dxa"/>
            <w:left w:w="108" w:type="dxa"/>
            <w:bottom w:w="0" w:type="dxa"/>
            <w:right w:w="108" w:type="dxa"/>
          </w:tblCellMar>
        </w:tblPrEx>
        <w:trPr>
          <w:trHeight w:val="415"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continue"/>
            <w:tcBorders>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16"/>
                <w:szCs w:val="16"/>
              </w:rPr>
            </w:pPr>
          </w:p>
        </w:tc>
        <w:tc>
          <w:tcPr>
            <w:tcW w:w="1170" w:type="dxa"/>
            <w:vMerge w:val="continue"/>
            <w:tcBorders>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kern w:val="0"/>
                <w:sz w:val="16"/>
                <w:szCs w:val="16"/>
              </w:rPr>
            </w:pPr>
          </w:p>
        </w:tc>
        <w:tc>
          <w:tcPr>
            <w:tcW w:w="270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会议</w:t>
            </w:r>
          </w:p>
        </w:tc>
        <w:tc>
          <w:tcPr>
            <w:tcW w:w="190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10次</w:t>
            </w: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全面完成</w:t>
            </w:r>
          </w:p>
        </w:tc>
      </w:tr>
      <w:tr>
        <w:tblPrEx>
          <w:tblCellMar>
            <w:top w:w="0" w:type="dxa"/>
            <w:left w:w="108" w:type="dxa"/>
            <w:bottom w:w="0" w:type="dxa"/>
            <w:right w:w="108" w:type="dxa"/>
          </w:tblCellMar>
        </w:tblPrEx>
        <w:trPr>
          <w:trHeight w:val="415"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continue"/>
            <w:tcBorders>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16"/>
                <w:szCs w:val="16"/>
              </w:rPr>
            </w:pPr>
          </w:p>
        </w:tc>
        <w:tc>
          <w:tcPr>
            <w:tcW w:w="1170" w:type="dxa"/>
            <w:vMerge w:val="continue"/>
            <w:tcBorders>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kern w:val="0"/>
                <w:sz w:val="16"/>
                <w:szCs w:val="16"/>
              </w:rPr>
            </w:pPr>
          </w:p>
        </w:tc>
        <w:tc>
          <w:tcPr>
            <w:tcW w:w="270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资料</w:t>
            </w:r>
          </w:p>
        </w:tc>
        <w:tc>
          <w:tcPr>
            <w:tcW w:w="190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500册</w:t>
            </w: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全面完成</w:t>
            </w:r>
          </w:p>
        </w:tc>
      </w:tr>
      <w:tr>
        <w:tblPrEx>
          <w:tblCellMar>
            <w:top w:w="0" w:type="dxa"/>
            <w:left w:w="108" w:type="dxa"/>
            <w:bottom w:w="0" w:type="dxa"/>
            <w:right w:w="108" w:type="dxa"/>
          </w:tblCellMar>
        </w:tblPrEx>
        <w:trPr>
          <w:trHeight w:val="415"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6"/>
                <w:szCs w:val="16"/>
              </w:rPr>
            </w:pPr>
          </w:p>
        </w:tc>
        <w:tc>
          <w:tcPr>
            <w:tcW w:w="117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质量指标</w:t>
            </w:r>
          </w:p>
        </w:tc>
        <w:tc>
          <w:tcPr>
            <w:tcW w:w="270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有效加强区级部门单位、机关老旧楼栋疫情防控工作、开展中高风险地区返朝公职人员摸排管控，守牢底线， 。</w:t>
            </w:r>
          </w:p>
        </w:tc>
        <w:tc>
          <w:tcPr>
            <w:tcW w:w="190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党政机关常态化疫情防控，推进疫苗接种应接尽接。</w:t>
            </w: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全面完成</w:t>
            </w:r>
          </w:p>
        </w:tc>
      </w:tr>
      <w:tr>
        <w:tblPrEx>
          <w:tblCellMar>
            <w:top w:w="0" w:type="dxa"/>
            <w:left w:w="108" w:type="dxa"/>
            <w:bottom w:w="0" w:type="dxa"/>
            <w:right w:w="108" w:type="dxa"/>
          </w:tblCellMar>
        </w:tblPrEx>
        <w:trPr>
          <w:trHeight w:val="415"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6"/>
                <w:szCs w:val="16"/>
              </w:rPr>
            </w:pPr>
          </w:p>
        </w:tc>
        <w:tc>
          <w:tcPr>
            <w:tcW w:w="117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时效指标</w:t>
            </w:r>
          </w:p>
        </w:tc>
        <w:tc>
          <w:tcPr>
            <w:tcW w:w="270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2021年1-12月</w:t>
            </w:r>
          </w:p>
        </w:tc>
        <w:tc>
          <w:tcPr>
            <w:tcW w:w="190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2021年1-12月</w:t>
            </w: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r>
      <w:tr>
        <w:tblPrEx>
          <w:tblCellMar>
            <w:top w:w="0" w:type="dxa"/>
            <w:left w:w="108" w:type="dxa"/>
            <w:bottom w:w="0" w:type="dxa"/>
            <w:right w:w="108" w:type="dxa"/>
          </w:tblCellMar>
        </w:tblPrEx>
        <w:trPr>
          <w:trHeight w:val="480"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6"/>
                <w:szCs w:val="16"/>
              </w:rPr>
            </w:pPr>
          </w:p>
        </w:tc>
        <w:tc>
          <w:tcPr>
            <w:tcW w:w="117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成本指标</w:t>
            </w:r>
          </w:p>
        </w:tc>
        <w:tc>
          <w:tcPr>
            <w:tcW w:w="270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经费控制在3万元以内。</w:t>
            </w:r>
          </w:p>
        </w:tc>
        <w:tc>
          <w:tcPr>
            <w:tcW w:w="190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经费控制在3万元以内</w:t>
            </w: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3万元内</w:t>
            </w:r>
          </w:p>
        </w:tc>
      </w:tr>
      <w:tr>
        <w:tblPrEx>
          <w:tblCellMar>
            <w:top w:w="0" w:type="dxa"/>
            <w:left w:w="108" w:type="dxa"/>
            <w:bottom w:w="0" w:type="dxa"/>
            <w:right w:w="108" w:type="dxa"/>
          </w:tblCellMar>
        </w:tblPrEx>
        <w:trPr>
          <w:trHeight w:val="560"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效益</w:t>
            </w:r>
            <w:r>
              <w:rPr>
                <w:rFonts w:ascii="仿宋_GB2312" w:hAnsi="仿宋_GB2312" w:eastAsia="仿宋_GB2312" w:cs="仿宋_GB2312"/>
                <w:kern w:val="0"/>
                <w:sz w:val="16"/>
                <w:szCs w:val="16"/>
              </w:rPr>
              <w:br w:type="textWrapping"/>
            </w:r>
            <w:r>
              <w:rPr>
                <w:rFonts w:hint="eastAsia" w:ascii="仿宋_GB2312" w:hAnsi="仿宋_GB2312" w:eastAsia="仿宋_GB2312" w:cs="仿宋_GB2312"/>
                <w:kern w:val="0"/>
                <w:sz w:val="16"/>
                <w:szCs w:val="16"/>
              </w:rPr>
              <w:t>指标</w:t>
            </w:r>
          </w:p>
        </w:tc>
        <w:tc>
          <w:tcPr>
            <w:tcW w:w="117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经济效益</w:t>
            </w:r>
            <w:r>
              <w:rPr>
                <w:rFonts w:ascii="仿宋_GB2312" w:hAnsi="仿宋_GB2312" w:eastAsia="仿宋_GB2312" w:cs="仿宋_GB2312"/>
                <w:kern w:val="0"/>
                <w:sz w:val="16"/>
                <w:szCs w:val="16"/>
              </w:rPr>
              <w:t xml:space="preserve">  </w:t>
            </w:r>
            <w:r>
              <w:rPr>
                <w:rFonts w:hint="eastAsia" w:ascii="仿宋_GB2312" w:hAnsi="仿宋_GB2312" w:eastAsia="仿宋_GB2312" w:cs="仿宋_GB2312"/>
                <w:kern w:val="0"/>
                <w:sz w:val="16"/>
                <w:szCs w:val="16"/>
              </w:rPr>
              <w:t>指标</w:t>
            </w:r>
          </w:p>
        </w:tc>
        <w:tc>
          <w:tcPr>
            <w:tcW w:w="270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c>
          <w:tcPr>
            <w:tcW w:w="190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r>
      <w:tr>
        <w:tblPrEx>
          <w:tblCellMar>
            <w:top w:w="0" w:type="dxa"/>
            <w:left w:w="108" w:type="dxa"/>
            <w:bottom w:w="0" w:type="dxa"/>
            <w:right w:w="108" w:type="dxa"/>
          </w:tblCellMar>
        </w:tblPrEx>
        <w:trPr>
          <w:trHeight w:val="480"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6"/>
                <w:szCs w:val="16"/>
              </w:rPr>
            </w:pPr>
          </w:p>
        </w:tc>
        <w:tc>
          <w:tcPr>
            <w:tcW w:w="117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社会效益</w:t>
            </w:r>
            <w:r>
              <w:rPr>
                <w:rFonts w:ascii="仿宋_GB2312" w:hAnsi="仿宋_GB2312" w:eastAsia="仿宋_GB2312" w:cs="仿宋_GB2312"/>
                <w:kern w:val="0"/>
                <w:sz w:val="16"/>
                <w:szCs w:val="16"/>
              </w:rPr>
              <w:t xml:space="preserve">  </w:t>
            </w:r>
            <w:r>
              <w:rPr>
                <w:rFonts w:hint="eastAsia" w:ascii="仿宋_GB2312" w:hAnsi="仿宋_GB2312" w:eastAsia="仿宋_GB2312" w:cs="仿宋_GB2312"/>
                <w:kern w:val="0"/>
                <w:sz w:val="16"/>
                <w:szCs w:val="16"/>
              </w:rPr>
              <w:t>指标</w:t>
            </w:r>
          </w:p>
        </w:tc>
        <w:tc>
          <w:tcPr>
            <w:tcW w:w="270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确保我区机关公职人员实现“零”目标</w:t>
            </w:r>
          </w:p>
        </w:tc>
        <w:tc>
          <w:tcPr>
            <w:tcW w:w="190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100%</w:t>
            </w: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100%</w:t>
            </w:r>
          </w:p>
        </w:tc>
      </w:tr>
      <w:tr>
        <w:tblPrEx>
          <w:tblCellMar>
            <w:top w:w="0" w:type="dxa"/>
            <w:left w:w="108" w:type="dxa"/>
            <w:bottom w:w="0" w:type="dxa"/>
            <w:right w:w="108" w:type="dxa"/>
          </w:tblCellMar>
        </w:tblPrEx>
        <w:trPr>
          <w:trHeight w:val="577"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6"/>
                <w:szCs w:val="16"/>
              </w:rPr>
            </w:pPr>
          </w:p>
        </w:tc>
        <w:tc>
          <w:tcPr>
            <w:tcW w:w="117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ind w:left="343" w:leftChars="87" w:hanging="160" w:hangingChars="100"/>
              <w:jc w:val="left"/>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生态效益</w:t>
            </w:r>
            <w:r>
              <w:rPr>
                <w:rFonts w:ascii="仿宋_GB2312" w:hAnsi="仿宋_GB2312" w:eastAsia="仿宋_GB2312" w:cs="仿宋_GB2312"/>
                <w:kern w:val="0"/>
                <w:sz w:val="16"/>
                <w:szCs w:val="16"/>
              </w:rPr>
              <w:t xml:space="preserve">  </w:t>
            </w:r>
            <w:r>
              <w:rPr>
                <w:rFonts w:hint="eastAsia" w:ascii="仿宋_GB2312" w:hAnsi="仿宋_GB2312" w:eastAsia="仿宋_GB2312" w:cs="仿宋_GB2312"/>
                <w:kern w:val="0"/>
                <w:sz w:val="16"/>
                <w:szCs w:val="16"/>
              </w:rPr>
              <w:t>指标</w:t>
            </w:r>
          </w:p>
        </w:tc>
        <w:tc>
          <w:tcPr>
            <w:tcW w:w="270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c>
          <w:tcPr>
            <w:tcW w:w="190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r>
      <w:tr>
        <w:tblPrEx>
          <w:tblCellMar>
            <w:top w:w="0" w:type="dxa"/>
            <w:left w:w="108" w:type="dxa"/>
            <w:bottom w:w="0" w:type="dxa"/>
            <w:right w:w="108" w:type="dxa"/>
          </w:tblCellMar>
        </w:tblPrEx>
        <w:trPr>
          <w:trHeight w:val="480" w:hRule="atLeast"/>
        </w:trPr>
        <w:tc>
          <w:tcPr>
            <w:tcW w:w="1118"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6"/>
                <w:szCs w:val="16"/>
              </w:rPr>
            </w:pPr>
          </w:p>
        </w:tc>
        <w:tc>
          <w:tcPr>
            <w:tcW w:w="117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可持续影响</w:t>
            </w:r>
            <w:r>
              <w:rPr>
                <w:rFonts w:ascii="仿宋_GB2312" w:hAnsi="仿宋_GB2312" w:eastAsia="仿宋_GB2312" w:cs="仿宋_GB2312"/>
                <w:kern w:val="0"/>
                <w:sz w:val="16"/>
                <w:szCs w:val="16"/>
              </w:rPr>
              <w:t xml:space="preserve"> </w:t>
            </w:r>
            <w:r>
              <w:rPr>
                <w:rFonts w:hint="eastAsia" w:ascii="仿宋_GB2312" w:hAnsi="仿宋_GB2312" w:eastAsia="仿宋_GB2312" w:cs="仿宋_GB2312"/>
                <w:kern w:val="0"/>
                <w:sz w:val="16"/>
                <w:szCs w:val="16"/>
              </w:rPr>
              <w:t>指标</w:t>
            </w:r>
          </w:p>
        </w:tc>
        <w:tc>
          <w:tcPr>
            <w:tcW w:w="270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c>
          <w:tcPr>
            <w:tcW w:w="190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p>
        </w:tc>
      </w:tr>
      <w:tr>
        <w:tblPrEx>
          <w:tblCellMar>
            <w:top w:w="0" w:type="dxa"/>
            <w:left w:w="108" w:type="dxa"/>
            <w:bottom w:w="0" w:type="dxa"/>
            <w:right w:w="108" w:type="dxa"/>
          </w:tblCellMar>
        </w:tblPrEx>
        <w:trPr>
          <w:trHeight w:val="530" w:hRule="atLeast"/>
        </w:trPr>
        <w:tc>
          <w:tcPr>
            <w:tcW w:w="1118"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16"/>
                <w:szCs w:val="16"/>
              </w:rPr>
            </w:pPr>
          </w:p>
        </w:tc>
        <w:tc>
          <w:tcPr>
            <w:tcW w:w="112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满意</w:t>
            </w:r>
            <w:r>
              <w:rPr>
                <w:rFonts w:ascii="仿宋_GB2312" w:hAnsi="仿宋_GB2312" w:eastAsia="仿宋_GB2312" w:cs="仿宋_GB2312"/>
                <w:kern w:val="0"/>
                <w:sz w:val="16"/>
                <w:szCs w:val="16"/>
              </w:rPr>
              <w:br w:type="textWrapping"/>
            </w:r>
            <w:r>
              <w:rPr>
                <w:rFonts w:hint="eastAsia" w:ascii="仿宋_GB2312" w:hAnsi="仿宋_GB2312" w:eastAsia="仿宋_GB2312" w:cs="仿宋_GB2312"/>
                <w:kern w:val="0"/>
                <w:sz w:val="16"/>
                <w:szCs w:val="16"/>
              </w:rPr>
              <w:t>度指标</w:t>
            </w:r>
          </w:p>
        </w:tc>
        <w:tc>
          <w:tcPr>
            <w:tcW w:w="117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满意度</w:t>
            </w:r>
          </w:p>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kern w:val="0"/>
                <w:sz w:val="16"/>
                <w:szCs w:val="16"/>
              </w:rPr>
              <w:t>指标</w:t>
            </w:r>
          </w:p>
        </w:tc>
        <w:tc>
          <w:tcPr>
            <w:tcW w:w="270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群众满意度</w:t>
            </w:r>
          </w:p>
        </w:tc>
        <w:tc>
          <w:tcPr>
            <w:tcW w:w="190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100%</w:t>
            </w:r>
          </w:p>
        </w:tc>
        <w:tc>
          <w:tcPr>
            <w:tcW w:w="155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6"/>
                <w:szCs w:val="16"/>
              </w:rPr>
            </w:pPr>
            <w:r>
              <w:rPr>
                <w:rFonts w:hint="eastAsia" w:ascii="仿宋_GB2312" w:hAnsi="仿宋_GB2312" w:eastAsia="仿宋_GB2312" w:cs="仿宋_GB2312"/>
                <w:sz w:val="16"/>
                <w:szCs w:val="16"/>
              </w:rPr>
              <w:t>100%</w:t>
            </w:r>
          </w:p>
        </w:tc>
      </w:tr>
    </w:tbl>
    <w:p>
      <w:pPr>
        <w:pStyle w:val="2"/>
        <w:spacing w:before="93"/>
        <w:rPr>
          <w:rStyle w:val="18"/>
          <w:rFonts w:ascii="黑体" w:hAnsi="黑体" w:eastAsia="黑体"/>
          <w:b w:val="0"/>
        </w:rPr>
      </w:pPr>
    </w:p>
    <w:p>
      <w:pPr>
        <w:pStyle w:val="2"/>
        <w:spacing w:before="93"/>
        <w:rPr>
          <w:rStyle w:val="18"/>
          <w:rFonts w:ascii="黑体" w:hAnsi="黑体" w:eastAsia="黑体"/>
          <w:b w:val="0"/>
        </w:rPr>
      </w:pPr>
    </w:p>
    <w:p>
      <w:pPr>
        <w:spacing w:line="600" w:lineRule="exact"/>
        <w:jc w:val="center"/>
        <w:outlineLvl w:val="0"/>
        <w:rPr>
          <w:rFonts w:hint="eastAsia" w:ascii="黑体" w:hAnsi="黑体" w:eastAsia="黑体"/>
          <w:sz w:val="44"/>
          <w:szCs w:val="44"/>
        </w:rPr>
      </w:pPr>
      <w:bookmarkStart w:id="57" w:name="_Toc15396618"/>
    </w:p>
    <w:p>
      <w:pPr>
        <w:spacing w:line="600" w:lineRule="exact"/>
        <w:jc w:val="center"/>
        <w:outlineLvl w:val="0"/>
        <w:rPr>
          <w:rFonts w:hint="eastAsia"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18"/>
          <w:rFonts w:hint="eastAsia" w:ascii="黑体" w:hAnsi="黑体" w:eastAsia="黑体"/>
          <w:b w:val="0"/>
        </w:rPr>
        <w:t>五部分</w:t>
      </w:r>
      <w:r>
        <w:rPr>
          <w:rStyle w:val="18"/>
          <w:rFonts w:ascii="黑体" w:hAnsi="黑体" w:eastAsia="黑体"/>
          <w:b w:val="0"/>
        </w:rPr>
        <w:t xml:space="preserve"> </w:t>
      </w:r>
      <w:r>
        <w:rPr>
          <w:rStyle w:val="18"/>
          <w:rFonts w:hint="eastAsia" w:ascii="黑体" w:hAnsi="黑体" w:eastAsia="黑体"/>
          <w:b w:val="0"/>
        </w:rPr>
        <w:t>附表</w:t>
      </w:r>
      <w:bookmarkEnd w:id="56"/>
      <w:bookmarkEnd w:id="57"/>
      <w:bookmarkStart w:id="58" w:name="_Toc15396619"/>
    </w:p>
    <w:p>
      <w:pPr>
        <w:pStyle w:val="4"/>
        <w:rPr>
          <w:rFonts w:ascii="仿宋" w:hAnsi="仿宋" w:eastAsia="仿宋"/>
        </w:rPr>
      </w:pPr>
      <w:r>
        <w:rPr>
          <w:rFonts w:hint="eastAsia" w:ascii="仿宋" w:hAnsi="仿宋" w:eastAsia="仿宋"/>
          <w:b w:val="0"/>
        </w:rPr>
        <w:t>一、收</w:t>
      </w:r>
      <w:r>
        <w:rPr>
          <w:rStyle w:val="19"/>
          <w:rFonts w:hint="eastAsia" w:ascii="仿宋" w:hAnsi="仿宋" w:eastAsia="仿宋"/>
          <w:b w:val="0"/>
          <w:bCs w:val="0"/>
        </w:rPr>
        <w:t>入支出决算总表</w:t>
      </w:r>
      <w:bookmarkEnd w:id="58"/>
    </w:p>
    <w:p>
      <w:pPr>
        <w:pStyle w:val="4"/>
        <w:rPr>
          <w:rFonts w:ascii="仿宋" w:hAnsi="仿宋" w:eastAsia="仿宋"/>
        </w:rPr>
      </w:pPr>
      <w:bookmarkStart w:id="59" w:name="_Toc15396620"/>
      <w:r>
        <w:rPr>
          <w:rFonts w:hint="eastAsia" w:ascii="仿宋" w:hAnsi="仿宋" w:eastAsia="仿宋"/>
          <w:b w:val="0"/>
        </w:rPr>
        <w:t>二、收</w:t>
      </w:r>
      <w:r>
        <w:rPr>
          <w:rStyle w:val="19"/>
          <w:rFonts w:hint="eastAsia" w:ascii="仿宋" w:hAnsi="仿宋" w:eastAsia="仿宋"/>
          <w:b w:val="0"/>
          <w:bCs w:val="0"/>
        </w:rPr>
        <w:t>入决算表</w:t>
      </w:r>
      <w:bookmarkEnd w:id="59"/>
    </w:p>
    <w:p>
      <w:pPr>
        <w:pStyle w:val="4"/>
        <w:rPr>
          <w:rFonts w:ascii="仿宋" w:hAnsi="仿宋" w:eastAsia="仿宋"/>
        </w:rPr>
      </w:pPr>
      <w:bookmarkStart w:id="60" w:name="_Toc15396621"/>
      <w:r>
        <w:rPr>
          <w:rStyle w:val="19"/>
          <w:rFonts w:hint="eastAsia" w:ascii="仿宋" w:hAnsi="仿宋" w:eastAsia="仿宋"/>
          <w:b w:val="0"/>
          <w:bCs w:val="0"/>
        </w:rPr>
        <w:t>三、</w:t>
      </w:r>
      <w:r>
        <w:rPr>
          <w:rFonts w:hint="eastAsia" w:ascii="仿宋" w:hAnsi="仿宋" w:eastAsia="仿宋"/>
          <w:b w:val="0"/>
        </w:rPr>
        <w:t>支</w:t>
      </w:r>
      <w:r>
        <w:rPr>
          <w:rStyle w:val="19"/>
          <w:rFonts w:hint="eastAsia" w:ascii="仿宋" w:hAnsi="仿宋" w:eastAsia="仿宋"/>
          <w:b w:val="0"/>
          <w:bCs w:val="0"/>
        </w:rPr>
        <w:t>出决算表</w:t>
      </w:r>
      <w:bookmarkEnd w:id="60"/>
    </w:p>
    <w:p>
      <w:pPr>
        <w:pStyle w:val="4"/>
        <w:rPr>
          <w:rFonts w:ascii="仿宋" w:hAnsi="仿宋" w:eastAsia="仿宋"/>
          <w:b w:val="0"/>
        </w:rPr>
      </w:pPr>
      <w:bookmarkStart w:id="61" w:name="_Toc15396622"/>
      <w:r>
        <w:rPr>
          <w:rStyle w:val="19"/>
          <w:rFonts w:hint="eastAsia" w:ascii="仿宋" w:hAnsi="仿宋" w:eastAsia="仿宋"/>
          <w:b w:val="0"/>
          <w:bCs w:val="0"/>
        </w:rPr>
        <w:t>四、</w:t>
      </w:r>
      <w:r>
        <w:rPr>
          <w:rFonts w:hint="eastAsia" w:ascii="仿宋" w:hAnsi="仿宋" w:eastAsia="仿宋"/>
          <w:b w:val="0"/>
        </w:rPr>
        <w:t>财</w:t>
      </w:r>
      <w:r>
        <w:rPr>
          <w:rStyle w:val="19"/>
          <w:rFonts w:hint="eastAsia" w:ascii="仿宋" w:hAnsi="仿宋" w:eastAsia="仿宋"/>
          <w:b w:val="0"/>
          <w:bCs w:val="0"/>
        </w:rPr>
        <w:t>政拨款收入支出决算总表</w:t>
      </w:r>
      <w:bookmarkEnd w:id="61"/>
    </w:p>
    <w:p>
      <w:pPr>
        <w:pStyle w:val="4"/>
        <w:rPr>
          <w:rStyle w:val="19"/>
          <w:rFonts w:ascii="仿宋" w:hAnsi="仿宋" w:eastAsia="仿宋"/>
          <w:b w:val="0"/>
          <w:bCs w:val="0"/>
        </w:rPr>
      </w:pPr>
      <w:bookmarkStart w:id="62" w:name="_Toc15396623"/>
      <w:r>
        <w:rPr>
          <w:rStyle w:val="19"/>
          <w:rFonts w:hint="eastAsia" w:ascii="仿宋" w:hAnsi="仿宋" w:eastAsia="仿宋"/>
          <w:b w:val="0"/>
          <w:bCs w:val="0"/>
        </w:rPr>
        <w:t>五、</w:t>
      </w:r>
      <w:r>
        <w:rPr>
          <w:rFonts w:hint="eastAsia" w:ascii="仿宋" w:hAnsi="仿宋" w:eastAsia="仿宋"/>
          <w:b w:val="0"/>
        </w:rPr>
        <w:t>财</w:t>
      </w:r>
      <w:r>
        <w:rPr>
          <w:rStyle w:val="19"/>
          <w:rFonts w:hint="eastAsia" w:ascii="仿宋" w:hAnsi="仿宋" w:eastAsia="仿宋"/>
          <w:b w:val="0"/>
          <w:bCs w:val="0"/>
        </w:rPr>
        <w:t>政拨款支出决算明细表</w:t>
      </w:r>
      <w:bookmarkEnd w:id="62"/>
      <w:bookmarkStart w:id="63" w:name="_Toc15396624"/>
    </w:p>
    <w:p>
      <w:pPr>
        <w:pStyle w:val="4"/>
        <w:rPr>
          <w:rFonts w:ascii="仿宋" w:hAnsi="仿宋" w:eastAsia="仿宋"/>
        </w:rPr>
      </w:pPr>
      <w:r>
        <w:rPr>
          <w:rStyle w:val="19"/>
          <w:rFonts w:hint="eastAsia" w:ascii="仿宋" w:hAnsi="仿宋" w:eastAsia="仿宋"/>
          <w:b w:val="0"/>
          <w:bCs w:val="0"/>
        </w:rPr>
        <w:t>六、</w:t>
      </w:r>
      <w:r>
        <w:rPr>
          <w:rFonts w:hint="eastAsia" w:ascii="仿宋" w:hAnsi="仿宋" w:eastAsia="仿宋"/>
          <w:b w:val="0"/>
        </w:rPr>
        <w:t>一</w:t>
      </w:r>
      <w:r>
        <w:rPr>
          <w:rStyle w:val="19"/>
          <w:rFonts w:hint="eastAsia" w:ascii="仿宋" w:hAnsi="仿宋" w:eastAsia="仿宋"/>
          <w:b w:val="0"/>
          <w:bCs w:val="0"/>
        </w:rPr>
        <w:t>般公共预算财政拨款支出决算表</w:t>
      </w:r>
      <w:bookmarkEnd w:id="63"/>
    </w:p>
    <w:p>
      <w:pPr>
        <w:pStyle w:val="4"/>
        <w:rPr>
          <w:rFonts w:ascii="仿宋" w:hAnsi="仿宋" w:eastAsia="仿宋"/>
        </w:rPr>
      </w:pPr>
      <w:bookmarkStart w:id="64" w:name="_Toc15396625"/>
      <w:r>
        <w:rPr>
          <w:rStyle w:val="19"/>
          <w:rFonts w:hint="eastAsia" w:ascii="仿宋" w:hAnsi="仿宋" w:eastAsia="仿宋"/>
          <w:b w:val="0"/>
          <w:bCs w:val="0"/>
        </w:rPr>
        <w:t>七、</w:t>
      </w:r>
      <w:r>
        <w:rPr>
          <w:rFonts w:hint="eastAsia" w:ascii="仿宋" w:hAnsi="仿宋" w:eastAsia="仿宋"/>
          <w:b w:val="0"/>
        </w:rPr>
        <w:t>一</w:t>
      </w:r>
      <w:r>
        <w:rPr>
          <w:rStyle w:val="19"/>
          <w:rFonts w:hint="eastAsia" w:ascii="仿宋" w:hAnsi="仿宋" w:eastAsia="仿宋"/>
          <w:b w:val="0"/>
          <w:bCs w:val="0"/>
        </w:rPr>
        <w:t>般公共预算财政拨款支出决算明细表</w:t>
      </w:r>
      <w:bookmarkEnd w:id="64"/>
    </w:p>
    <w:p>
      <w:pPr>
        <w:pStyle w:val="4"/>
        <w:rPr>
          <w:rFonts w:ascii="仿宋" w:hAnsi="仿宋" w:eastAsia="仿宋"/>
        </w:rPr>
      </w:pPr>
      <w:bookmarkStart w:id="65" w:name="_Toc15396626"/>
      <w:r>
        <w:rPr>
          <w:rStyle w:val="19"/>
          <w:rFonts w:hint="eastAsia" w:ascii="仿宋" w:hAnsi="仿宋" w:eastAsia="仿宋"/>
          <w:b w:val="0"/>
          <w:bCs w:val="0"/>
        </w:rPr>
        <w:t>八、</w:t>
      </w:r>
      <w:r>
        <w:rPr>
          <w:rFonts w:hint="eastAsia" w:ascii="仿宋" w:hAnsi="仿宋" w:eastAsia="仿宋"/>
          <w:b w:val="0"/>
        </w:rPr>
        <w:t>一</w:t>
      </w:r>
      <w:r>
        <w:rPr>
          <w:rStyle w:val="19"/>
          <w:rFonts w:hint="eastAsia" w:ascii="仿宋" w:hAnsi="仿宋" w:eastAsia="仿宋"/>
          <w:b w:val="0"/>
          <w:bCs w:val="0"/>
        </w:rPr>
        <w:t>般公共预算财政拨款基本支出决算表</w:t>
      </w:r>
      <w:bookmarkEnd w:id="65"/>
    </w:p>
    <w:p>
      <w:pPr>
        <w:pStyle w:val="4"/>
        <w:rPr>
          <w:rFonts w:ascii="仿宋" w:hAnsi="仿宋" w:eastAsia="仿宋"/>
        </w:rPr>
      </w:pPr>
      <w:bookmarkStart w:id="66" w:name="_Toc15396627"/>
      <w:r>
        <w:rPr>
          <w:rStyle w:val="19"/>
          <w:rFonts w:hint="eastAsia" w:ascii="仿宋" w:hAnsi="仿宋" w:eastAsia="仿宋"/>
          <w:b w:val="0"/>
          <w:bCs w:val="0"/>
        </w:rPr>
        <w:t>九、</w:t>
      </w:r>
      <w:r>
        <w:rPr>
          <w:rFonts w:hint="eastAsia" w:ascii="仿宋" w:hAnsi="仿宋" w:eastAsia="仿宋"/>
          <w:b w:val="0"/>
        </w:rPr>
        <w:t>一</w:t>
      </w:r>
      <w:r>
        <w:rPr>
          <w:rStyle w:val="19"/>
          <w:rFonts w:hint="eastAsia" w:ascii="仿宋" w:hAnsi="仿宋" w:eastAsia="仿宋"/>
          <w:b w:val="0"/>
          <w:bCs w:val="0"/>
        </w:rPr>
        <w:t>般公共预算财政拨款项目支出决算表</w:t>
      </w:r>
      <w:bookmarkEnd w:id="66"/>
    </w:p>
    <w:p>
      <w:pPr>
        <w:pStyle w:val="4"/>
        <w:rPr>
          <w:rFonts w:ascii="仿宋" w:hAnsi="仿宋" w:eastAsia="仿宋"/>
        </w:rPr>
      </w:pPr>
      <w:bookmarkStart w:id="67" w:name="_Toc15396628"/>
      <w:r>
        <w:rPr>
          <w:rStyle w:val="19"/>
          <w:rFonts w:hint="eastAsia" w:ascii="仿宋" w:hAnsi="仿宋" w:eastAsia="仿宋"/>
          <w:b w:val="0"/>
          <w:bCs w:val="0"/>
        </w:rPr>
        <w:t>十、</w:t>
      </w:r>
      <w:r>
        <w:rPr>
          <w:rFonts w:hint="eastAsia" w:ascii="仿宋" w:hAnsi="仿宋" w:eastAsia="仿宋"/>
          <w:b w:val="0"/>
        </w:rPr>
        <w:t>一</w:t>
      </w:r>
      <w:r>
        <w:rPr>
          <w:rStyle w:val="19"/>
          <w:rFonts w:hint="eastAsia" w:ascii="仿宋" w:hAnsi="仿宋" w:eastAsia="仿宋"/>
          <w:b w:val="0"/>
          <w:bCs w:val="0"/>
        </w:rPr>
        <w:t>般公共预算财政拨款“三公”经费支出决算表</w:t>
      </w:r>
      <w:bookmarkEnd w:id="67"/>
    </w:p>
    <w:p>
      <w:pPr>
        <w:pStyle w:val="4"/>
        <w:rPr>
          <w:rFonts w:ascii="仿宋" w:hAnsi="仿宋" w:eastAsia="仿宋"/>
        </w:rPr>
      </w:pPr>
      <w:bookmarkStart w:id="68" w:name="_Toc15396629"/>
      <w:r>
        <w:rPr>
          <w:rStyle w:val="19"/>
          <w:rFonts w:hint="eastAsia" w:ascii="仿宋" w:hAnsi="仿宋" w:eastAsia="仿宋"/>
          <w:b w:val="0"/>
          <w:bCs w:val="0"/>
        </w:rPr>
        <w:t>十一、</w:t>
      </w:r>
      <w:r>
        <w:rPr>
          <w:rFonts w:hint="eastAsia" w:ascii="仿宋" w:hAnsi="仿宋" w:eastAsia="仿宋"/>
          <w:b w:val="0"/>
        </w:rPr>
        <w:t>政</w:t>
      </w:r>
      <w:r>
        <w:rPr>
          <w:rStyle w:val="19"/>
          <w:rFonts w:hint="eastAsia" w:ascii="仿宋" w:hAnsi="仿宋" w:eastAsia="仿宋"/>
          <w:b w:val="0"/>
          <w:bCs w:val="0"/>
        </w:rPr>
        <w:t>府性基金预算财政拨款收入支出决算表</w:t>
      </w:r>
      <w:bookmarkEnd w:id="68"/>
    </w:p>
    <w:p>
      <w:pPr>
        <w:pStyle w:val="4"/>
        <w:rPr>
          <w:rFonts w:ascii="仿宋" w:hAnsi="仿宋" w:eastAsia="仿宋"/>
        </w:rPr>
      </w:pPr>
      <w:bookmarkStart w:id="69" w:name="_Toc15396630"/>
      <w:r>
        <w:rPr>
          <w:rStyle w:val="19"/>
          <w:rFonts w:hint="eastAsia" w:ascii="仿宋" w:hAnsi="仿宋" w:eastAsia="仿宋"/>
          <w:b w:val="0"/>
          <w:bCs w:val="0"/>
        </w:rPr>
        <w:t>十二、</w:t>
      </w:r>
      <w:r>
        <w:rPr>
          <w:rFonts w:hint="eastAsia" w:ascii="仿宋" w:hAnsi="仿宋" w:eastAsia="仿宋"/>
          <w:b w:val="0"/>
        </w:rPr>
        <w:t>政</w:t>
      </w:r>
      <w:r>
        <w:rPr>
          <w:rStyle w:val="19"/>
          <w:rFonts w:hint="eastAsia" w:ascii="仿宋" w:hAnsi="仿宋" w:eastAsia="仿宋"/>
          <w:b w:val="0"/>
          <w:bCs w:val="0"/>
        </w:rPr>
        <w:t>府性基金预算财政拨款“三公”经费支出决算表</w:t>
      </w:r>
      <w:bookmarkEnd w:id="69"/>
    </w:p>
    <w:p>
      <w:pPr>
        <w:pStyle w:val="4"/>
        <w:rPr>
          <w:rStyle w:val="19"/>
          <w:rFonts w:ascii="仿宋" w:hAnsi="仿宋" w:eastAsia="仿宋"/>
          <w:b w:val="0"/>
          <w:bCs w:val="0"/>
        </w:rPr>
      </w:pPr>
      <w:bookmarkStart w:id="70" w:name="_Toc15396631"/>
      <w:r>
        <w:rPr>
          <w:rStyle w:val="19"/>
          <w:rFonts w:hint="eastAsia" w:ascii="仿宋" w:hAnsi="仿宋" w:eastAsia="仿宋"/>
          <w:b w:val="0"/>
          <w:bCs w:val="0"/>
        </w:rPr>
        <w:t>十三、</w:t>
      </w:r>
      <w:r>
        <w:rPr>
          <w:rFonts w:hint="eastAsia" w:ascii="仿宋" w:hAnsi="仿宋" w:eastAsia="仿宋"/>
          <w:b w:val="0"/>
        </w:rPr>
        <w:t>国</w:t>
      </w:r>
      <w:r>
        <w:rPr>
          <w:rStyle w:val="19"/>
          <w:rFonts w:hint="eastAsia" w:ascii="仿宋" w:hAnsi="仿宋" w:eastAsia="仿宋"/>
          <w:b w:val="0"/>
          <w:bCs w:val="0"/>
        </w:rPr>
        <w:t>有资本经营预算财政拨款收入支出决算表</w:t>
      </w:r>
      <w:bookmarkEnd w:id="70"/>
    </w:p>
    <w:p>
      <w:pPr>
        <w:rPr>
          <w:rFonts w:eastAsia="仿宋"/>
        </w:rPr>
      </w:pPr>
      <w:r>
        <w:rPr>
          <w:rStyle w:val="19"/>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SourceHanSansCN">
    <w:altName w:val="Times New Roman"/>
    <w:panose1 w:val="00000000000000000000"/>
    <w:charset w:val="00"/>
    <w:family w:val="roman"/>
    <w:pitch w:val="default"/>
    <w:sig w:usb0="00000000" w:usb1="00000000" w:usb2="00000000" w:usb3="00000000" w:csb0="00040001" w:csb1="00000000"/>
  </w:font>
  <w:font w:name="Lucida Sans">
    <w:panose1 w:val="020B0602030504020204"/>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38</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3E794925"/>
    <w:multiLevelType w:val="singleLevel"/>
    <w:tmpl w:val="3E794925"/>
    <w:lvl w:ilvl="0" w:tentative="0">
      <w:start w:val="3"/>
      <w:numFmt w:val="chineseCounting"/>
      <w:suff w:val="nothing"/>
      <w:lvlText w:val="（%1）"/>
      <w:lvlJc w:val="left"/>
      <w:rPr>
        <w:rFonts w:hint="eastAsia"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NotTrackMoves/>
  <w:documentProtection w:enforcement="0"/>
  <w:defaultTabStop w:val="420"/>
  <w:drawingGridHorizontalSpacing w:val="105"/>
  <w:drawingGridVerticalSpacing w:val="156"/>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E5YmE0NDkwMWZlNjllZTRmMzI5MWJjMmY2OWZmN2QifQ=="/>
  </w:docVars>
  <w:rsids>
    <w:rsidRoot w:val="00F1361C"/>
    <w:rsid w:val="000222C6"/>
    <w:rsid w:val="0002549F"/>
    <w:rsid w:val="00041E4C"/>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1886"/>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272"/>
    <w:rsid w:val="00265372"/>
    <w:rsid w:val="002662AA"/>
    <w:rsid w:val="00280496"/>
    <w:rsid w:val="00294DC9"/>
    <w:rsid w:val="00295495"/>
    <w:rsid w:val="002A31DE"/>
    <w:rsid w:val="002B2613"/>
    <w:rsid w:val="002C3F98"/>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16D5"/>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A8B"/>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242A"/>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1F7E"/>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0D3"/>
    <w:rsid w:val="00C33E72"/>
    <w:rsid w:val="00C354B2"/>
    <w:rsid w:val="00C35554"/>
    <w:rsid w:val="00C42709"/>
    <w:rsid w:val="00C533CC"/>
    <w:rsid w:val="00C5751C"/>
    <w:rsid w:val="00C61BFC"/>
    <w:rsid w:val="00C62B85"/>
    <w:rsid w:val="00C65438"/>
    <w:rsid w:val="00C87FD8"/>
    <w:rsid w:val="00C91381"/>
    <w:rsid w:val="00C91CBB"/>
    <w:rsid w:val="00CA08E3"/>
    <w:rsid w:val="00CB4E70"/>
    <w:rsid w:val="00CC09B6"/>
    <w:rsid w:val="00CC666F"/>
    <w:rsid w:val="00CD1E3F"/>
    <w:rsid w:val="00CE44F6"/>
    <w:rsid w:val="00CE49DA"/>
    <w:rsid w:val="00CE7B61"/>
    <w:rsid w:val="00D00095"/>
    <w:rsid w:val="00D114F0"/>
    <w:rsid w:val="00D1281C"/>
    <w:rsid w:val="00D20620"/>
    <w:rsid w:val="00D254F7"/>
    <w:rsid w:val="00D26091"/>
    <w:rsid w:val="00D2685C"/>
    <w:rsid w:val="00D34E7C"/>
    <w:rsid w:val="00D35489"/>
    <w:rsid w:val="00D36AFE"/>
    <w:rsid w:val="00D51276"/>
    <w:rsid w:val="00D7035F"/>
    <w:rsid w:val="00D84A51"/>
    <w:rsid w:val="00DA634F"/>
    <w:rsid w:val="00DA65AC"/>
    <w:rsid w:val="00DB1913"/>
    <w:rsid w:val="00DC410D"/>
    <w:rsid w:val="00DC43DA"/>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11D"/>
    <w:rsid w:val="00F87E96"/>
    <w:rsid w:val="00FA23E8"/>
    <w:rsid w:val="00FD3CC1"/>
    <w:rsid w:val="00FF1E02"/>
    <w:rsid w:val="00FF30B4"/>
    <w:rsid w:val="033808FC"/>
    <w:rsid w:val="03B770C2"/>
    <w:rsid w:val="044577FE"/>
    <w:rsid w:val="0560490C"/>
    <w:rsid w:val="05AC6E21"/>
    <w:rsid w:val="06327D49"/>
    <w:rsid w:val="064E7EBC"/>
    <w:rsid w:val="066E0107"/>
    <w:rsid w:val="06EF1BD3"/>
    <w:rsid w:val="077048BF"/>
    <w:rsid w:val="07996F6E"/>
    <w:rsid w:val="098C3712"/>
    <w:rsid w:val="0A2032A3"/>
    <w:rsid w:val="0ABD3BF9"/>
    <w:rsid w:val="0BFE313E"/>
    <w:rsid w:val="0C726DB4"/>
    <w:rsid w:val="0C802259"/>
    <w:rsid w:val="0D9C5AF0"/>
    <w:rsid w:val="101860EC"/>
    <w:rsid w:val="10C055FF"/>
    <w:rsid w:val="118107EC"/>
    <w:rsid w:val="11834FC5"/>
    <w:rsid w:val="11EC0BAD"/>
    <w:rsid w:val="13D50BC4"/>
    <w:rsid w:val="14AF389F"/>
    <w:rsid w:val="16836B12"/>
    <w:rsid w:val="16BB723D"/>
    <w:rsid w:val="174E4C15"/>
    <w:rsid w:val="1816160D"/>
    <w:rsid w:val="1A977CDA"/>
    <w:rsid w:val="1A983FEE"/>
    <w:rsid w:val="1BE8440E"/>
    <w:rsid w:val="1BF010DD"/>
    <w:rsid w:val="1C852C90"/>
    <w:rsid w:val="1D155CEE"/>
    <w:rsid w:val="1D645189"/>
    <w:rsid w:val="1F4E005A"/>
    <w:rsid w:val="22BC7FA6"/>
    <w:rsid w:val="23860B96"/>
    <w:rsid w:val="240371BF"/>
    <w:rsid w:val="242306AC"/>
    <w:rsid w:val="2437133A"/>
    <w:rsid w:val="254426AC"/>
    <w:rsid w:val="254A0B54"/>
    <w:rsid w:val="2726094C"/>
    <w:rsid w:val="284D302B"/>
    <w:rsid w:val="28941229"/>
    <w:rsid w:val="29E74A5D"/>
    <w:rsid w:val="29FD04D3"/>
    <w:rsid w:val="2A5C043A"/>
    <w:rsid w:val="2C500974"/>
    <w:rsid w:val="2C8A61B5"/>
    <w:rsid w:val="2D6C0A4D"/>
    <w:rsid w:val="2DF04E50"/>
    <w:rsid w:val="30E07068"/>
    <w:rsid w:val="319F7F4E"/>
    <w:rsid w:val="33DE25DE"/>
    <w:rsid w:val="346F004B"/>
    <w:rsid w:val="36AA5135"/>
    <w:rsid w:val="37E16F03"/>
    <w:rsid w:val="38810708"/>
    <w:rsid w:val="38E1427D"/>
    <w:rsid w:val="3D98207C"/>
    <w:rsid w:val="3EC5671A"/>
    <w:rsid w:val="3F432D4C"/>
    <w:rsid w:val="3FEA26FF"/>
    <w:rsid w:val="408244E4"/>
    <w:rsid w:val="43275BF1"/>
    <w:rsid w:val="44E268DA"/>
    <w:rsid w:val="45215CFE"/>
    <w:rsid w:val="48F5051C"/>
    <w:rsid w:val="494F6A6B"/>
    <w:rsid w:val="4A627F82"/>
    <w:rsid w:val="4B4F25DA"/>
    <w:rsid w:val="4B5F6D92"/>
    <w:rsid w:val="4BE068DB"/>
    <w:rsid w:val="4D2B1549"/>
    <w:rsid w:val="4D577224"/>
    <w:rsid w:val="4E135C1E"/>
    <w:rsid w:val="4EA36C74"/>
    <w:rsid w:val="4EAB630A"/>
    <w:rsid w:val="4ECE2238"/>
    <w:rsid w:val="53CE6332"/>
    <w:rsid w:val="54170D5F"/>
    <w:rsid w:val="59194A68"/>
    <w:rsid w:val="59852F32"/>
    <w:rsid w:val="59D73E93"/>
    <w:rsid w:val="5AF92295"/>
    <w:rsid w:val="5C3572E0"/>
    <w:rsid w:val="5C961FE9"/>
    <w:rsid w:val="5C9D4D8F"/>
    <w:rsid w:val="5CD71FC4"/>
    <w:rsid w:val="5E712171"/>
    <w:rsid w:val="5E856D74"/>
    <w:rsid w:val="62332990"/>
    <w:rsid w:val="62945F9C"/>
    <w:rsid w:val="638E7A78"/>
    <w:rsid w:val="63D438A3"/>
    <w:rsid w:val="66656288"/>
    <w:rsid w:val="66921EDB"/>
    <w:rsid w:val="66B9482F"/>
    <w:rsid w:val="671E5377"/>
    <w:rsid w:val="677A379F"/>
    <w:rsid w:val="67CA2976"/>
    <w:rsid w:val="68775E98"/>
    <w:rsid w:val="6A4B2883"/>
    <w:rsid w:val="6A867F63"/>
    <w:rsid w:val="6A95793E"/>
    <w:rsid w:val="6B0A5544"/>
    <w:rsid w:val="6B2833DD"/>
    <w:rsid w:val="6C4A05C8"/>
    <w:rsid w:val="6CA00019"/>
    <w:rsid w:val="6E026DBF"/>
    <w:rsid w:val="6E7E3605"/>
    <w:rsid w:val="6E834752"/>
    <w:rsid w:val="6FF5CC65"/>
    <w:rsid w:val="703F35BF"/>
    <w:rsid w:val="715C0E4B"/>
    <w:rsid w:val="72734D90"/>
    <w:rsid w:val="73AD73D5"/>
    <w:rsid w:val="73B6EB34"/>
    <w:rsid w:val="74B44D47"/>
    <w:rsid w:val="76D25DCB"/>
    <w:rsid w:val="76E93375"/>
    <w:rsid w:val="776A3F0A"/>
    <w:rsid w:val="79EE5BA4"/>
    <w:rsid w:val="7A2F6D3A"/>
    <w:rsid w:val="7A6131E7"/>
    <w:rsid w:val="7A894339"/>
    <w:rsid w:val="7CE65DD7"/>
    <w:rsid w:val="7EEF11D3"/>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9"/>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20"/>
    <w:qFormat/>
    <w:uiPriority w:val="9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beforeLines="30"/>
    </w:pPr>
    <w:rPr>
      <w:rFonts w:ascii="仿宋_GB2312" w:eastAsia="仿宋_GB2312"/>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22"/>
    <w:semiHidden/>
    <w:qFormat/>
    <w:uiPriority w:val="99"/>
    <w:rPr>
      <w:sz w:val="18"/>
      <w:szCs w:val="18"/>
    </w:rPr>
  </w:style>
  <w:style w:type="paragraph" w:styleId="8">
    <w:name w:val="footer"/>
    <w:basedOn w:val="1"/>
    <w:link w:val="26"/>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5"/>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1">
    <w:name w:val="table of figures"/>
    <w:basedOn w:val="1"/>
    <w:next w:val="1"/>
    <w:qFormat/>
    <w:uiPriority w:val="0"/>
    <w:pPr>
      <w:ind w:left="200" w:leftChars="200" w:hanging="200" w:hangingChars="200"/>
    </w:pPr>
  </w:style>
  <w:style w:type="paragraph" w:styleId="12">
    <w:name w:val="toc 2"/>
    <w:basedOn w:val="1"/>
    <w:next w:val="1"/>
    <w:qFormat/>
    <w:uiPriority w:val="99"/>
    <w:pPr>
      <w:tabs>
        <w:tab w:val="right" w:leader="dot" w:pos="8296"/>
      </w:tabs>
      <w:ind w:left="420" w:leftChars="200"/>
    </w:p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6">
    <w:name w:val="Strong"/>
    <w:qFormat/>
    <w:uiPriority w:val="99"/>
    <w:rPr>
      <w:rFonts w:cs="Times New Roman"/>
      <w:b/>
    </w:rPr>
  </w:style>
  <w:style w:type="character" w:styleId="17">
    <w:name w:val="Hyperlink"/>
    <w:qFormat/>
    <w:uiPriority w:val="99"/>
    <w:rPr>
      <w:rFonts w:cs="Times New Roman"/>
      <w:color w:val="0000FF"/>
      <w:u w:val="single"/>
    </w:rPr>
  </w:style>
  <w:style w:type="character" w:customStyle="1" w:styleId="18">
    <w:name w:val="标题 1 Char"/>
    <w:link w:val="3"/>
    <w:qFormat/>
    <w:locked/>
    <w:uiPriority w:val="99"/>
    <w:rPr>
      <w:rFonts w:ascii="Times New Roman" w:hAnsi="Times New Roman" w:cs="Times New Roman"/>
      <w:b/>
      <w:bCs/>
      <w:kern w:val="44"/>
      <w:sz w:val="44"/>
      <w:szCs w:val="44"/>
    </w:rPr>
  </w:style>
  <w:style w:type="character" w:customStyle="1" w:styleId="19">
    <w:name w:val="标题 2 Char"/>
    <w:link w:val="4"/>
    <w:qFormat/>
    <w:locked/>
    <w:uiPriority w:val="99"/>
    <w:rPr>
      <w:rFonts w:ascii="Cambria" w:hAnsi="Cambria" w:eastAsia="宋体" w:cs="Times New Roman"/>
      <w:b/>
      <w:bCs/>
      <w:kern w:val="2"/>
      <w:sz w:val="32"/>
      <w:szCs w:val="32"/>
    </w:rPr>
  </w:style>
  <w:style w:type="character" w:customStyle="1" w:styleId="20">
    <w:name w:val="标题 3 Char"/>
    <w:link w:val="5"/>
    <w:qFormat/>
    <w:locked/>
    <w:uiPriority w:val="99"/>
    <w:rPr>
      <w:rFonts w:ascii="Times New Roman" w:hAnsi="Times New Roman" w:cs="Times New Roman"/>
      <w:b/>
      <w:bCs/>
      <w:kern w:val="2"/>
      <w:sz w:val="32"/>
      <w:szCs w:val="32"/>
    </w:rPr>
  </w:style>
  <w:style w:type="character" w:customStyle="1" w:styleId="21">
    <w:name w:val="Body Text Char"/>
    <w:semiHidden/>
    <w:qFormat/>
    <w:uiPriority w:val="99"/>
    <w:rPr>
      <w:rFonts w:ascii="Times New Roman" w:hAnsi="Times New Roman" w:cs="Times New Roman"/>
      <w:sz w:val="24"/>
      <w:szCs w:val="24"/>
    </w:rPr>
  </w:style>
  <w:style w:type="character" w:customStyle="1" w:styleId="22">
    <w:name w:val="批注框文本 Char"/>
    <w:link w:val="7"/>
    <w:semiHidden/>
    <w:qFormat/>
    <w:locked/>
    <w:uiPriority w:val="99"/>
    <w:rPr>
      <w:rFonts w:ascii="Times New Roman" w:hAnsi="Times New Roman" w:cs="Times New Roman"/>
      <w:kern w:val="2"/>
      <w:sz w:val="18"/>
      <w:szCs w:val="18"/>
    </w:rPr>
  </w:style>
  <w:style w:type="character" w:customStyle="1" w:styleId="23">
    <w:name w:val="Footer Char"/>
    <w:semiHidden/>
    <w:qFormat/>
    <w:uiPriority w:val="99"/>
    <w:rPr>
      <w:rFonts w:ascii="Times New Roman" w:hAnsi="Times New Roman" w:cs="Times New Roman"/>
      <w:sz w:val="18"/>
      <w:szCs w:val="18"/>
    </w:rPr>
  </w:style>
  <w:style w:type="character" w:customStyle="1" w:styleId="24">
    <w:name w:val="Header Char"/>
    <w:semiHidden/>
    <w:qFormat/>
    <w:uiPriority w:val="99"/>
    <w:rPr>
      <w:rFonts w:ascii="Times New Roman" w:hAnsi="Times New Roman" w:cs="Times New Roman"/>
      <w:sz w:val="18"/>
      <w:szCs w:val="18"/>
    </w:rPr>
  </w:style>
  <w:style w:type="character" w:customStyle="1" w:styleId="25">
    <w:name w:val="页眉 Char"/>
    <w:link w:val="9"/>
    <w:semiHidden/>
    <w:qFormat/>
    <w:locked/>
    <w:uiPriority w:val="99"/>
    <w:rPr>
      <w:sz w:val="18"/>
    </w:rPr>
  </w:style>
  <w:style w:type="character" w:customStyle="1" w:styleId="26">
    <w:name w:val="页脚 Char"/>
    <w:link w:val="8"/>
    <w:qFormat/>
    <w:locked/>
    <w:uiPriority w:val="99"/>
    <w:rPr>
      <w:sz w:val="18"/>
    </w:rPr>
  </w:style>
  <w:style w:type="character" w:customStyle="1" w:styleId="27">
    <w:name w:val="正文文本 Char"/>
    <w:link w:val="2"/>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99"/>
    <w:pPr>
      <w:ind w:firstLine="420" w:firstLineChars="200"/>
    </w:pPr>
  </w:style>
  <w:style w:type="paragraph" w:customStyle="1" w:styleId="30">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1">
    <w:name w:val="TOC Heading1"/>
    <w:basedOn w:val="3"/>
    <w:next w:val="1"/>
    <w:qFormat/>
    <w:uiPriority w:val="9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38</Pages>
  <Words>14885</Words>
  <Characters>15466</Characters>
  <Lines>118</Lines>
  <Paragraphs>33</Paragraphs>
  <TotalTime>58</TotalTime>
  <ScaleCrop>false</ScaleCrop>
  <LinksUpToDate>false</LinksUpToDate>
  <CharactersWithSpaces>15520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2022-09-19T10:52:00Z</cp:lastPrinted>
  <dcterms:modified xsi:type="dcterms:W3CDTF">2023-08-08T17:01:52Z</dcterms:modified>
  <dc:title>四川省***</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0723438CF0BA4B5EAEDE01A44ED9D88F</vt:lpwstr>
  </property>
</Properties>
</file>