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73" w:name="_GoBack"/>
      <w:bookmarkEnd w:id="73"/>
      <w:bookmarkStart w:id="0" w:name="_Toc15396475"/>
      <w:bookmarkStart w:id="1" w:name="_Toc15378441"/>
      <w:bookmarkStart w:id="2" w:name="_Toc15377425"/>
      <w:bookmarkStart w:id="3" w:name="_Toc15377193"/>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77426"/>
      <w:bookmarkStart w:id="9" w:name="_Toc15396476"/>
      <w:bookmarkStart w:id="10" w:name="_Toc15306268"/>
      <w:bookmarkStart w:id="11" w:name="_Toc15378442"/>
      <w:r>
        <w:rPr>
          <w:rFonts w:hint="eastAsia" w:ascii="方正小标宋简体" w:hAnsi="宋体" w:eastAsia="方正小标宋简体"/>
          <w:color w:val="000000"/>
          <w:sz w:val="72"/>
          <w:szCs w:val="72"/>
          <w:lang w:eastAsia="zh-CN"/>
        </w:rPr>
        <w:t>四川省广元市朝天区退役军人事务局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ind w:firstLine="3840" w:firstLineChars="800"/>
        <w:jc w:val="both"/>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sz w:val="28"/>
          <w:szCs w:val="28"/>
        </w:rPr>
      </w:pPr>
    </w:p>
    <w:p>
      <w:pPr>
        <w:pStyle w:val="12"/>
      </w:pPr>
      <w:r>
        <w:rPr>
          <w:rFonts w:hint="eastAsia"/>
        </w:rPr>
        <w:t>公开时间：</w:t>
      </w:r>
      <w:r>
        <w:t>2022</w:t>
      </w:r>
      <w:r>
        <w:rPr>
          <w:rFonts w:hint="eastAsia"/>
          <w:lang w:eastAsia="zh-CN"/>
        </w:rPr>
        <w:t>年</w:t>
      </w:r>
      <w:r>
        <w:rPr>
          <w:rFonts w:hint="eastAsia"/>
          <w:lang w:val="en-US" w:eastAsia="zh-CN"/>
        </w:rPr>
        <w:t>9</w:t>
      </w:r>
      <w:r>
        <w:rPr>
          <w:rFonts w:hint="eastAsia"/>
        </w:rPr>
        <w:t>月</w:t>
      </w:r>
      <w:r>
        <w:rPr>
          <w:rFonts w:hint="eastAsia"/>
          <w:lang w:val="en-US" w:eastAsia="zh-CN"/>
        </w:rPr>
        <w:t>23</w:t>
      </w:r>
      <w:r>
        <w:rPr>
          <w:rFonts w:hint="eastAsia"/>
        </w:rPr>
        <w:t>日</w:t>
      </w:r>
    </w:p>
    <w:p/>
    <w:p>
      <w:pPr>
        <w:pStyle w:val="12"/>
        <w:adjustRightInd w:val="0"/>
        <w:snapToGrid w:val="0"/>
        <w:spacing w:before="0" w:line="440" w:lineRule="exact"/>
        <w:jc w:val="left"/>
        <w:rPr>
          <w:rFonts w:hint="default" w:eastAsiaTheme="minorEastAsia"/>
          <w:sz w:val="24"/>
          <w:szCs w:val="24"/>
          <w:lang w:val="en-US" w:eastAsia="zh-CN"/>
        </w:rPr>
      </w:pPr>
      <w:r>
        <w:rPr>
          <w:rFonts w:hint="eastAsia"/>
          <w:sz w:val="24"/>
        </w:rPr>
        <w:t>第一部分</w:t>
      </w:r>
      <w:r>
        <w:rPr>
          <w:sz w:val="24"/>
        </w:rPr>
        <w:t xml:space="preserve"> </w:t>
      </w:r>
      <w:r>
        <w:rPr>
          <w:rFonts w:hint="eastAsia"/>
          <w:sz w:val="24"/>
        </w:rPr>
        <w:t>部门概况</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4-7</w:t>
      </w:r>
    </w:p>
    <w:p>
      <w:pPr>
        <w:pStyle w:val="13"/>
        <w:adjustRightInd w:val="0"/>
        <w:snapToGrid w:val="0"/>
        <w:spacing w:line="440" w:lineRule="exact"/>
        <w:jc w:val="left"/>
        <w:rPr>
          <w:rFonts w:hint="default" w:ascii="仿宋" w:hAnsi="仿宋" w:eastAsiaTheme="minorEastAsia"/>
          <w:sz w:val="24"/>
          <w:lang w:val="en-US" w:eastAsia="zh-CN"/>
        </w:rPr>
      </w:pPr>
      <w:r>
        <w:rPr>
          <w:rFonts w:hint="eastAsia"/>
          <w:sz w:val="24"/>
        </w:rPr>
        <w:t>一、基本职能及主要工作</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4-6</w:t>
      </w:r>
    </w:p>
    <w:p>
      <w:pPr>
        <w:pStyle w:val="13"/>
        <w:adjustRightInd w:val="0"/>
        <w:snapToGrid w:val="0"/>
        <w:spacing w:line="440" w:lineRule="exact"/>
        <w:jc w:val="left"/>
        <w:rPr>
          <w:rFonts w:hint="default" w:ascii="仿宋" w:hAnsi="仿宋" w:eastAsiaTheme="minorEastAsia"/>
          <w:sz w:val="24"/>
          <w:lang w:val="en-US" w:eastAsia="zh-CN"/>
        </w:rPr>
      </w:pPr>
      <w:r>
        <w:rPr>
          <w:rFonts w:hint="eastAsia"/>
          <w:sz w:val="24"/>
        </w:rPr>
        <w:t>二、机构设置</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6-7</w:t>
      </w:r>
    </w:p>
    <w:p>
      <w:pPr>
        <w:pStyle w:val="12"/>
        <w:adjustRightInd w:val="0"/>
        <w:snapToGrid w:val="0"/>
        <w:spacing w:before="0" w:line="440" w:lineRule="exact"/>
        <w:jc w:val="left"/>
        <w:rPr>
          <w:rFonts w:hint="default" w:eastAsiaTheme="minorEastAsia"/>
          <w:sz w:val="24"/>
          <w:szCs w:val="24"/>
          <w:lang w:val="en-US" w:eastAsia="zh-CN"/>
        </w:rPr>
      </w:pPr>
      <w:r>
        <w:rPr>
          <w:rFonts w:hint="eastAsia"/>
          <w:sz w:val="24"/>
        </w:rPr>
        <w:t>第二部分</w:t>
      </w:r>
      <w:r>
        <w:rPr>
          <w:sz w:val="24"/>
        </w:rPr>
        <w:t xml:space="preserve"> 2021</w:t>
      </w:r>
      <w:r>
        <w:rPr>
          <w:rFonts w:hint="eastAsia"/>
          <w:sz w:val="24"/>
        </w:rPr>
        <w:t>年度部门决算情况说明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7-16</w:t>
      </w:r>
    </w:p>
    <w:p>
      <w:pPr>
        <w:pStyle w:val="13"/>
        <w:adjustRightInd w:val="0"/>
        <w:snapToGrid w:val="0"/>
        <w:spacing w:line="440" w:lineRule="exact"/>
        <w:jc w:val="left"/>
        <w:rPr>
          <w:rFonts w:hint="default" w:ascii="仿宋" w:hAnsi="仿宋" w:eastAsiaTheme="minorEastAsia"/>
          <w:sz w:val="24"/>
          <w:lang w:val="en-US" w:eastAsia="zh-CN"/>
        </w:rPr>
      </w:pPr>
      <w:r>
        <w:rPr>
          <w:rFonts w:hint="eastAsia"/>
          <w:sz w:val="24"/>
        </w:rPr>
        <w:t>一、收入支出决算总体情况说明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7-9</w:t>
      </w:r>
    </w:p>
    <w:p>
      <w:pPr>
        <w:pStyle w:val="13"/>
        <w:adjustRightInd w:val="0"/>
        <w:snapToGrid w:val="0"/>
        <w:spacing w:line="440" w:lineRule="exact"/>
        <w:jc w:val="left"/>
        <w:rPr>
          <w:rFonts w:hint="default" w:ascii="仿宋" w:hAnsi="仿宋" w:eastAsiaTheme="minorEastAsia"/>
          <w:sz w:val="24"/>
          <w:lang w:val="en-US" w:eastAsia="zh-CN"/>
        </w:rPr>
      </w:pPr>
      <w:r>
        <w:rPr>
          <w:rFonts w:hint="eastAsia"/>
          <w:sz w:val="24"/>
        </w:rPr>
        <w:t>二、收入决算情况说明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7-8</w:t>
      </w:r>
    </w:p>
    <w:p>
      <w:pPr>
        <w:pStyle w:val="13"/>
        <w:adjustRightInd w:val="0"/>
        <w:snapToGrid w:val="0"/>
        <w:spacing w:line="440" w:lineRule="exact"/>
        <w:jc w:val="left"/>
        <w:rPr>
          <w:rFonts w:hint="default" w:ascii="仿宋" w:hAnsi="仿宋" w:eastAsiaTheme="minorEastAsia"/>
          <w:sz w:val="24"/>
          <w:lang w:val="en-US" w:eastAsia="zh-CN"/>
        </w:rPr>
      </w:pPr>
      <w:r>
        <w:rPr>
          <w:rFonts w:hint="eastAsia"/>
          <w:sz w:val="24"/>
        </w:rPr>
        <w:t>三、支出决算情况说明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8-9</w:t>
      </w:r>
    </w:p>
    <w:p>
      <w:pPr>
        <w:pStyle w:val="13"/>
        <w:adjustRightInd w:val="0"/>
        <w:snapToGrid w:val="0"/>
        <w:spacing w:line="440" w:lineRule="exact"/>
        <w:jc w:val="left"/>
        <w:rPr>
          <w:rFonts w:hint="default" w:ascii="仿宋" w:hAnsi="仿宋" w:eastAsiaTheme="minorEastAsia"/>
          <w:sz w:val="24"/>
          <w:lang w:val="en-US" w:eastAsia="zh-CN"/>
        </w:rPr>
      </w:pPr>
      <w:r>
        <w:rPr>
          <w:rFonts w:hint="eastAsia"/>
          <w:sz w:val="24"/>
        </w:rPr>
        <w:t>四、财政拨款收入支出决算总体情况说明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9-10</w:t>
      </w:r>
    </w:p>
    <w:p>
      <w:pPr>
        <w:pStyle w:val="13"/>
        <w:adjustRightInd w:val="0"/>
        <w:snapToGrid w:val="0"/>
        <w:spacing w:line="440" w:lineRule="exact"/>
        <w:jc w:val="left"/>
        <w:rPr>
          <w:rFonts w:hint="default" w:ascii="仿宋" w:hAnsi="仿宋" w:eastAsiaTheme="minorEastAsia"/>
          <w:sz w:val="24"/>
          <w:lang w:val="en-US" w:eastAsia="zh-CN"/>
        </w:rPr>
      </w:pPr>
      <w:r>
        <w:rPr>
          <w:rFonts w:hint="eastAsia"/>
          <w:sz w:val="24"/>
        </w:rPr>
        <w:t>五、一般公共预算财政拨款支出决算情况说明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10-12</w:t>
      </w:r>
    </w:p>
    <w:p>
      <w:pPr>
        <w:pStyle w:val="13"/>
        <w:adjustRightInd w:val="0"/>
        <w:snapToGrid w:val="0"/>
        <w:spacing w:line="440" w:lineRule="exact"/>
        <w:jc w:val="left"/>
        <w:rPr>
          <w:rFonts w:hint="default" w:ascii="仿宋" w:hAnsi="仿宋" w:eastAsiaTheme="minorEastAsia"/>
          <w:sz w:val="24"/>
          <w:lang w:val="en-US" w:eastAsia="zh-CN"/>
        </w:rPr>
      </w:pPr>
      <w:r>
        <w:rPr>
          <w:rFonts w:hint="eastAsia"/>
          <w:sz w:val="24"/>
        </w:rPr>
        <w:t>六、一般公共预算财政拨款基本支出决算情况说明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13</w:t>
      </w:r>
    </w:p>
    <w:p>
      <w:pPr>
        <w:pStyle w:val="13"/>
        <w:adjustRightInd w:val="0"/>
        <w:snapToGrid w:val="0"/>
        <w:spacing w:line="440" w:lineRule="exact"/>
        <w:jc w:val="left"/>
        <w:rPr>
          <w:rFonts w:hint="default" w:ascii="仿宋" w:hAnsi="仿宋" w:eastAsiaTheme="minorEastAsia"/>
          <w:sz w:val="24"/>
          <w:lang w:val="en-US" w:eastAsia="zh-CN"/>
        </w:rPr>
      </w:pPr>
      <w:r>
        <w:rPr>
          <w:rFonts w:hint="eastAsia"/>
          <w:sz w:val="24"/>
        </w:rPr>
        <w:t>七、“三公”经费财政拨款支出决算情况说明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13-15</w:t>
      </w:r>
    </w:p>
    <w:p>
      <w:pPr>
        <w:pStyle w:val="13"/>
        <w:adjustRightInd w:val="0"/>
        <w:snapToGrid w:val="0"/>
        <w:spacing w:line="440" w:lineRule="exact"/>
        <w:jc w:val="left"/>
        <w:rPr>
          <w:rFonts w:hint="default" w:ascii="仿宋" w:hAnsi="仿宋" w:eastAsiaTheme="minorEastAsia"/>
          <w:sz w:val="24"/>
          <w:lang w:val="en-US" w:eastAsia="zh-CN"/>
        </w:rPr>
      </w:pPr>
      <w:r>
        <w:rPr>
          <w:rFonts w:hint="eastAsia"/>
          <w:sz w:val="24"/>
        </w:rPr>
        <w:t>八、政府性基金预算支出决算情况说明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15</w:t>
      </w:r>
    </w:p>
    <w:p>
      <w:pPr>
        <w:pStyle w:val="13"/>
        <w:adjustRightInd w:val="0"/>
        <w:snapToGrid w:val="0"/>
        <w:spacing w:line="440" w:lineRule="exact"/>
        <w:ind w:leftChars="0"/>
        <w:jc w:val="left"/>
        <w:rPr>
          <w:rFonts w:hint="default" w:ascii="宋体" w:cs="宋体" w:eastAsiaTheme="minorEastAsia"/>
          <w:sz w:val="24"/>
          <w:lang w:val="en-US" w:eastAsia="zh-CN"/>
        </w:rPr>
      </w:pPr>
      <w:r>
        <w:rPr>
          <w:rFonts w:hint="eastAsia" w:ascii="宋体" w:hAnsi="宋体" w:cs="宋体"/>
          <w:sz w:val="24"/>
        </w:rPr>
        <w:t>九、国有资本经营预算支出决算情况说明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15</w:t>
      </w:r>
    </w:p>
    <w:p>
      <w:pPr>
        <w:adjustRightInd w:val="0"/>
        <w:snapToGrid w:val="0"/>
        <w:spacing w:line="440" w:lineRule="exact"/>
        <w:ind w:firstLine="420" w:firstLineChars="175"/>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十、预算绩效管理情况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ab/>
      </w:r>
      <w:r>
        <w:rPr>
          <w:rFonts w:hint="eastAsia" w:asciiTheme="minorEastAsia" w:hAnsiTheme="minorEastAsia" w:eastAsiaTheme="minorEastAsia" w:cstheme="minorEastAsia"/>
          <w:color w:val="auto"/>
          <w:sz w:val="24"/>
          <w:highlight w:val="none"/>
        </w:rPr>
        <w:tab/>
      </w:r>
    </w:p>
    <w:p>
      <w:pPr>
        <w:adjustRightInd w:val="0"/>
        <w:snapToGrid w:val="0"/>
        <w:spacing w:line="440" w:lineRule="exact"/>
        <w:ind w:firstLine="420" w:firstLineChars="175"/>
        <w:jc w:val="left"/>
        <w:rPr>
          <w:rFonts w:ascii="宋体" w:cs="宋体"/>
          <w:sz w:val="24"/>
        </w:rPr>
      </w:pPr>
      <w:r>
        <w:rPr>
          <w:rFonts w:hint="eastAsia" w:ascii="宋体" w:hAnsi="宋体" w:eastAsia="宋体" w:cs="宋体"/>
          <w:kern w:val="2"/>
          <w:sz w:val="24"/>
          <w:szCs w:val="24"/>
          <w:lang w:val="en-US" w:eastAsia="zh-CN" w:bidi="ar-SA"/>
        </w:rPr>
        <w:t>十一、其他重要事项的情况说明</w:t>
      </w:r>
      <w:r>
        <w:rPr>
          <w:rFonts w:hint="eastAsia" w:asciiTheme="minorEastAsia" w:hAnsiTheme="minorEastAsia" w:eastAsiaTheme="minorEastAsia" w:cstheme="minorEastAsia"/>
          <w:color w:val="auto"/>
          <w:sz w:val="24"/>
          <w:highlight w:val="none"/>
        </w:rPr>
        <w:tab/>
      </w:r>
      <w:r>
        <w:rPr>
          <w:rFonts w:hint="eastAsia" w:ascii="宋体" w:hAnsi="宋体" w:eastAsia="宋体" w:cs="宋体"/>
          <w:kern w:val="2"/>
          <w:sz w:val="24"/>
          <w:szCs w:val="24"/>
          <w:lang w:val="en-US" w:eastAsia="zh-CN" w:bidi="ar-SA"/>
        </w:rPr>
        <w:tab/>
      </w:r>
      <w:r>
        <w:rPr>
          <w:rFonts w:hint="eastAsia" w:asciiTheme="minorEastAsia" w:hAnsiTheme="minorEastAsia" w:eastAsiaTheme="minorEastAsia" w:cstheme="minorEastAsia"/>
          <w:color w:val="auto"/>
          <w:sz w:val="24"/>
          <w:highlight w:val="none"/>
        </w:rPr>
        <w:tab/>
      </w:r>
      <w:r>
        <w:rPr>
          <w:rFonts w:ascii="宋体" w:cs="宋体"/>
          <w:sz w:val="24"/>
        </w:rPr>
        <w:tab/>
      </w:r>
    </w:p>
    <w:p>
      <w:pPr>
        <w:pStyle w:val="12"/>
        <w:adjustRightInd w:val="0"/>
        <w:snapToGrid w:val="0"/>
        <w:spacing w:before="0" w:line="440" w:lineRule="exact"/>
        <w:jc w:val="left"/>
        <w:rPr>
          <w:rFonts w:hint="default" w:eastAsiaTheme="minorEastAsia"/>
          <w:sz w:val="24"/>
          <w:szCs w:val="24"/>
          <w:lang w:val="en-US" w:eastAsia="zh-CN"/>
        </w:rPr>
      </w:pPr>
      <w:r>
        <w:rPr>
          <w:rFonts w:hint="eastAsia"/>
          <w:sz w:val="24"/>
        </w:rPr>
        <w:t>第三部分</w:t>
      </w:r>
      <w:r>
        <w:rPr>
          <w:sz w:val="24"/>
        </w:rPr>
        <w:t xml:space="preserve"> </w:t>
      </w:r>
      <w:r>
        <w:rPr>
          <w:rFonts w:hint="eastAsia"/>
          <w:sz w:val="24"/>
        </w:rPr>
        <w:t>名词解释</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17-19</w:t>
      </w:r>
    </w:p>
    <w:p>
      <w:pPr>
        <w:pStyle w:val="12"/>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r>
        <w:rPr>
          <w:rFonts w:hint="eastAsia" w:asciiTheme="minorEastAsia" w:hAnsiTheme="minorEastAsia" w:eastAsiaTheme="minorEastAsia" w:cstheme="minorEastAsia"/>
          <w:color w:val="auto"/>
          <w:sz w:val="24"/>
          <w:highlight w:val="none"/>
        </w:rPr>
        <w:tab/>
      </w:r>
    </w:p>
    <w:p>
      <w:pPr>
        <w:pStyle w:val="12"/>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Pr>
          <w:rFonts w:hint="eastAsia" w:asciiTheme="minorEastAsia" w:hAnsiTheme="minorEastAsia" w:eastAsiaTheme="minorEastAsia" w:cstheme="minorEastAsia"/>
          <w:color w:val="auto"/>
          <w:sz w:val="24"/>
          <w:highlight w:val="none"/>
        </w:rPr>
        <w:tab/>
      </w:r>
    </w:p>
    <w:p>
      <w:pPr>
        <w:pStyle w:val="13"/>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3"/>
        <w:adjustRightInd w:val="0"/>
        <w:snapToGrid w:val="0"/>
        <w:spacing w:line="440" w:lineRule="exact"/>
        <w:jc w:val="left"/>
        <w:rPr>
          <w:rFonts w:ascii="宋体" w:cs="宋体"/>
          <w:sz w:val="24"/>
        </w:rPr>
      </w:pPr>
      <w:r>
        <w:rPr>
          <w:rFonts w:hint="eastAsia" w:ascii="宋体" w:hAnsi="宋体" w:cs="宋体"/>
          <w:sz w:val="24"/>
        </w:rPr>
        <w:t>二、收入决算表</w:t>
      </w:r>
    </w:p>
    <w:p>
      <w:pPr>
        <w:pStyle w:val="13"/>
        <w:adjustRightInd w:val="0"/>
        <w:snapToGrid w:val="0"/>
        <w:spacing w:line="440" w:lineRule="exact"/>
        <w:jc w:val="left"/>
        <w:rPr>
          <w:rFonts w:ascii="宋体" w:cs="宋体"/>
          <w:sz w:val="24"/>
        </w:rPr>
      </w:pPr>
      <w:r>
        <w:rPr>
          <w:rFonts w:hint="eastAsia" w:ascii="宋体" w:hAnsi="宋体" w:cs="宋体"/>
          <w:sz w:val="24"/>
        </w:rPr>
        <w:t>三、支出决算表</w:t>
      </w:r>
    </w:p>
    <w:p>
      <w:pPr>
        <w:pStyle w:val="13"/>
        <w:adjustRightInd w:val="0"/>
        <w:snapToGrid w:val="0"/>
        <w:spacing w:line="440" w:lineRule="exact"/>
        <w:jc w:val="left"/>
        <w:rPr>
          <w:rFonts w:ascii="宋体" w:cs="宋体"/>
          <w:sz w:val="24"/>
        </w:rPr>
      </w:pPr>
      <w:r>
        <w:rPr>
          <w:rFonts w:hint="eastAsia" w:ascii="宋体" w:hAnsi="宋体" w:cs="宋体"/>
          <w:sz w:val="24"/>
        </w:rPr>
        <w:t>四、财政拨款收入支出决算总表</w:t>
      </w:r>
    </w:p>
    <w:p>
      <w:pPr>
        <w:pStyle w:val="13"/>
        <w:adjustRightInd w:val="0"/>
        <w:snapToGrid w:val="0"/>
        <w:spacing w:line="440" w:lineRule="exact"/>
        <w:jc w:val="left"/>
        <w:rPr>
          <w:rFonts w:ascii="宋体" w:cs="宋体"/>
          <w:sz w:val="24"/>
        </w:rPr>
      </w:pPr>
      <w:r>
        <w:rPr>
          <w:rFonts w:hint="eastAsia" w:ascii="宋体" w:hAnsi="宋体" w:cs="宋体"/>
          <w:sz w:val="24"/>
        </w:rPr>
        <w:t>五、财政拨款支出决算明细表</w:t>
      </w:r>
    </w:p>
    <w:p>
      <w:pPr>
        <w:pStyle w:val="13"/>
        <w:adjustRightInd w:val="0"/>
        <w:snapToGrid w:val="0"/>
        <w:spacing w:line="440" w:lineRule="exact"/>
        <w:jc w:val="left"/>
        <w:rPr>
          <w:rFonts w:ascii="宋体" w:cs="宋体"/>
          <w:sz w:val="24"/>
        </w:rPr>
      </w:pPr>
      <w:r>
        <w:rPr>
          <w:rFonts w:hint="eastAsia" w:ascii="宋体" w:hAnsi="宋体" w:cs="宋体"/>
          <w:sz w:val="24"/>
        </w:rPr>
        <w:t>六、一般公共预算财政拨款支出决算表</w:t>
      </w:r>
    </w:p>
    <w:p>
      <w:pPr>
        <w:pStyle w:val="13"/>
        <w:adjustRightInd w:val="0"/>
        <w:snapToGrid w:val="0"/>
        <w:spacing w:line="440" w:lineRule="exact"/>
        <w:jc w:val="left"/>
        <w:rPr>
          <w:rFonts w:ascii="宋体" w:cs="宋体"/>
          <w:sz w:val="24"/>
        </w:rPr>
      </w:pPr>
      <w:r>
        <w:rPr>
          <w:rFonts w:hint="eastAsia" w:ascii="宋体" w:hAnsi="宋体" w:cs="宋体"/>
          <w:sz w:val="24"/>
        </w:rPr>
        <w:t>七、一般公共预算财政拨款支出决算明细表</w:t>
      </w:r>
    </w:p>
    <w:p>
      <w:pPr>
        <w:pStyle w:val="13"/>
        <w:adjustRightInd w:val="0"/>
        <w:snapToGrid w:val="0"/>
        <w:spacing w:line="440" w:lineRule="exact"/>
        <w:jc w:val="left"/>
        <w:rPr>
          <w:rFonts w:ascii="宋体" w:cs="宋体"/>
          <w:sz w:val="24"/>
        </w:rPr>
      </w:pPr>
      <w:r>
        <w:rPr>
          <w:rFonts w:hint="eastAsia" w:ascii="宋体" w:hAnsi="宋体" w:cs="宋体"/>
          <w:sz w:val="24"/>
        </w:rPr>
        <w:t>八、一般公共预算财政拨款基本支出决算表</w:t>
      </w:r>
    </w:p>
    <w:p>
      <w:pPr>
        <w:pStyle w:val="13"/>
        <w:adjustRightInd w:val="0"/>
        <w:snapToGrid w:val="0"/>
        <w:spacing w:line="440" w:lineRule="exact"/>
        <w:jc w:val="left"/>
        <w:rPr>
          <w:rFonts w:ascii="宋体" w:cs="宋体"/>
          <w:sz w:val="24"/>
        </w:rPr>
      </w:pPr>
      <w:r>
        <w:rPr>
          <w:rFonts w:hint="eastAsia" w:ascii="宋体" w:hAnsi="宋体" w:cs="宋体"/>
          <w:sz w:val="24"/>
        </w:rPr>
        <w:t>九、一般公共预算财政拨款项目支出决算表</w:t>
      </w:r>
    </w:p>
    <w:p>
      <w:pPr>
        <w:pStyle w:val="13"/>
        <w:adjustRightInd w:val="0"/>
        <w:snapToGrid w:val="0"/>
        <w:spacing w:line="440" w:lineRule="exact"/>
        <w:jc w:val="left"/>
        <w:rPr>
          <w:rFonts w:ascii="宋体" w:cs="宋体"/>
          <w:sz w:val="24"/>
        </w:rPr>
      </w:pPr>
      <w:r>
        <w:rPr>
          <w:rFonts w:hint="eastAsia" w:ascii="宋体" w:hAnsi="宋体" w:cs="宋体"/>
          <w:sz w:val="24"/>
        </w:rPr>
        <w:t>十、一般公共预算财政拨款“三公”经费支出决算表</w:t>
      </w:r>
    </w:p>
    <w:p>
      <w:pPr>
        <w:pStyle w:val="13"/>
        <w:adjustRightInd w:val="0"/>
        <w:snapToGrid w:val="0"/>
        <w:spacing w:line="440" w:lineRule="exact"/>
        <w:jc w:val="left"/>
        <w:rPr>
          <w:rFonts w:ascii="宋体" w:cs="宋体"/>
          <w:sz w:val="24"/>
        </w:rPr>
      </w:pPr>
      <w:r>
        <w:rPr>
          <w:rFonts w:hint="eastAsia" w:ascii="宋体" w:hAnsi="宋体" w:cs="宋体"/>
          <w:sz w:val="24"/>
        </w:rPr>
        <w:t>十一、政府性基金预算财政拨款收入支出决算表</w:t>
      </w:r>
    </w:p>
    <w:p>
      <w:pPr>
        <w:pStyle w:val="13"/>
        <w:adjustRightInd w:val="0"/>
        <w:snapToGrid w:val="0"/>
        <w:spacing w:line="440" w:lineRule="exact"/>
        <w:jc w:val="left"/>
        <w:rPr>
          <w:rFonts w:ascii="宋体" w:cs="宋体"/>
          <w:sz w:val="24"/>
        </w:rPr>
      </w:pPr>
      <w:r>
        <w:rPr>
          <w:rFonts w:hint="eastAsia" w:ascii="宋体" w:hAnsi="宋体" w:cs="宋体"/>
          <w:sz w:val="24"/>
        </w:rPr>
        <w:t>十二、政府性基金预算财政拨款“三公”经费支出决算表</w:t>
      </w:r>
    </w:p>
    <w:p>
      <w:pPr>
        <w:pStyle w:val="13"/>
        <w:adjustRightInd w:val="0"/>
        <w:snapToGrid w:val="0"/>
        <w:spacing w:line="440" w:lineRule="exact"/>
        <w:jc w:val="left"/>
        <w:rPr>
          <w:rFonts w:ascii="宋体" w:cs="宋体"/>
          <w:sz w:val="24"/>
        </w:rPr>
      </w:pPr>
      <w:r>
        <w:rPr>
          <w:rFonts w:hint="eastAsia" w:ascii="宋体" w:hAnsi="宋体" w:cs="宋体"/>
          <w:sz w:val="24"/>
        </w:rPr>
        <w:t>十三、国有资本经营预算财政拨款收入支出决算表</w:t>
      </w:r>
    </w:p>
    <w:p>
      <w:pPr>
        <w:pStyle w:val="13"/>
        <w:adjustRightInd w:val="0"/>
        <w:snapToGrid w:val="0"/>
        <w:spacing w:line="440" w:lineRule="exact"/>
        <w:jc w:val="left"/>
        <w:rPr>
          <w:rFonts w:ascii="宋体" w:cs="宋体"/>
          <w:sz w:val="24"/>
        </w:rPr>
      </w:pPr>
      <w:r>
        <w:rPr>
          <w:rFonts w:hint="eastAsia" w:ascii="宋体" w:hAnsi="宋体" w:cs="宋体"/>
          <w:sz w:val="24"/>
        </w:rPr>
        <w:t>十四、国有资本经营预算财政拨款支出决算表</w:t>
      </w:r>
    </w:p>
    <w:p>
      <w:pPr>
        <w:widowControl/>
        <w:adjustRightInd w:val="0"/>
        <w:snapToGrid w:val="0"/>
        <w:spacing w:line="440" w:lineRule="exact"/>
        <w:ind w:firstLine="1650" w:firstLineChars="550"/>
        <w:jc w:val="left"/>
        <w:rPr>
          <w:rFonts w:ascii="仿宋" w:hAnsi="仿宋" w:eastAsia="仿宋"/>
          <w:sz w:val="30"/>
          <w:szCs w:val="30"/>
        </w:rPr>
      </w:pPr>
      <w:r>
        <w:rPr>
          <w:rFonts w:ascii="仿宋" w:hAnsi="仿宋" w:eastAsia="仿宋"/>
          <w:sz w:val="30"/>
          <w:szCs w:val="30"/>
        </w:rPr>
        <w:t>(</w:t>
      </w:r>
      <w:r>
        <w:rPr>
          <w:rFonts w:hint="eastAsia" w:ascii="仿宋" w:hAnsi="仿宋" w:eastAsia="仿宋"/>
          <w:color w:val="FF0000"/>
          <w:sz w:val="30"/>
          <w:szCs w:val="30"/>
        </w:rPr>
        <w:t>注：请部门根据实际注明页码</w:t>
      </w:r>
      <w:r>
        <w:rPr>
          <w:rFonts w:ascii="仿宋" w:hAnsi="仿宋" w:eastAsia="仿宋"/>
          <w:sz w:val="30"/>
          <w:szCs w:val="30"/>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4"/>
        <w:jc w:val="center"/>
        <w:rPr>
          <w:rStyle w:val="19"/>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9"/>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5"/>
        <w:rPr>
          <w:rStyle w:val="20"/>
          <w:rFonts w:ascii="仿宋" w:hAnsi="仿宋" w:eastAsia="仿宋"/>
          <w:b w:val="0"/>
          <w:bCs w:val="0"/>
        </w:rPr>
      </w:pPr>
      <w:bookmarkStart w:id="14" w:name="_Toc15377197"/>
      <w:bookmarkStart w:id="15" w:name="_Toc15396600"/>
      <w:r>
        <w:rPr>
          <w:rFonts w:hint="eastAsia" w:ascii="黑体" w:hAnsi="黑体" w:eastAsia="黑体"/>
          <w:b w:val="0"/>
        </w:rPr>
        <w:t>一、基</w:t>
      </w:r>
      <w:r>
        <w:rPr>
          <w:rStyle w:val="20"/>
          <w:rFonts w:hint="eastAsia" w:ascii="黑体" w:hAnsi="黑体" w:eastAsia="黑体"/>
          <w:b w:val="0"/>
          <w:bCs w:val="0"/>
        </w:rPr>
        <w:t>本职能及主要工作</w:t>
      </w:r>
      <w:bookmarkEnd w:id="14"/>
      <w:bookmarkEnd w:id="15"/>
    </w:p>
    <w:p>
      <w:pPr>
        <w:pStyle w:val="7"/>
        <w:adjustRightInd w:val="0"/>
        <w:snapToGrid w:val="0"/>
        <w:spacing w:before="93" w:line="600" w:lineRule="exact"/>
        <w:ind w:firstLine="672" w:firstLineChars="210"/>
        <w:outlineLvl w:val="2"/>
        <w:rPr>
          <w:rFonts w:hint="eastAsia"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bookmarkStart w:id="18" w:name="_Toc15378446"/>
      <w:bookmarkStart w:id="19" w:name="_Toc15377199"/>
    </w:p>
    <w:p>
      <w:pPr>
        <w:shd w:val="clear" w:color="auto" w:fill="FFFFFF"/>
        <w:spacing w:line="576" w:lineRule="exact"/>
        <w:ind w:firstLine="480" w:firstLineChars="15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（1）宣传贯彻落实退役军人思想政治、管理保障和安置优抚等工作政策法规，拟订我区相关工作机制、制度办法并组织实施。褒扬彰显退役军人为党、国家和人民牺牲奉献的精神风范和价值导向。</w:t>
      </w:r>
    </w:p>
    <w:p>
      <w:pPr>
        <w:shd w:val="clear" w:color="auto" w:fill="FFFFFF"/>
        <w:spacing w:line="576" w:lineRule="exact"/>
        <w:ind w:firstLine="480" w:firstLineChars="15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2）负责烈士及退役军人荣誉奖励、军人公墓管理维护、纪念活动等工作，依法承担英雄烈士保护相关工作，审核拟列入区级烈士纪念设施名录，申报拟列入市级以上重点保护单位的烈士纪念建筑物名录，总结表彰和宣扬退役军人、退役军人工作单位和个人先进典型事迹。</w:t>
      </w:r>
    </w:p>
    <w:p>
      <w:pPr>
        <w:shd w:val="clear" w:color="auto" w:fill="FFFFFF"/>
        <w:spacing w:line="576" w:lineRule="exact"/>
        <w:ind w:firstLine="480" w:firstLineChars="15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（3）负责军队转业干部、复员干部、离休退休干部、退役士兵和无军籍退休退职职工的接收安置工作和自主择业、就业退役军人服务管理工作。</w:t>
      </w:r>
    </w:p>
    <w:p>
      <w:pPr>
        <w:shd w:val="clear" w:color="auto" w:fill="FFFFFF"/>
        <w:spacing w:line="576" w:lineRule="exact"/>
        <w:ind w:firstLine="480" w:firstLineChars="15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（4）组织指导全区退役军人技能教育培训工作，协调扶持退役军人和随军随调家属就业创业。</w:t>
      </w:r>
    </w:p>
    <w:p>
      <w:pPr>
        <w:shd w:val="clear" w:color="auto" w:fill="FFFFFF"/>
        <w:spacing w:line="576" w:lineRule="exact"/>
        <w:ind w:firstLine="480" w:firstLineChars="15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5）组织指导全区拥军优属工作。实施国家关于退役军人特殊保障的相关政策，制定并组织实施全区退役军人优抚保障政策。会同有关部门制定有关退役军人医疗、疗养、养老等机构的规划政策并指导实施。负责现役军人、退役军人、军队文职人员和军属优待、抚恤等工作，指导实施国民党抗战老兵等有关人员优待政策。</w:t>
      </w:r>
    </w:p>
    <w:p>
      <w:pPr>
        <w:shd w:val="clear" w:color="auto" w:fill="FFFFFF"/>
        <w:spacing w:line="576" w:lineRule="exact"/>
        <w:ind w:firstLine="480" w:firstLineChars="15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（6）组织协调落实移交地方的离休退休军人、符合条件的其他退役军人和无军籍退休退职职工的住房保障工作，以及退役军人医疗保障、社会保险等待遇保障工作。</w:t>
      </w:r>
    </w:p>
    <w:p>
      <w:pPr>
        <w:shd w:val="clear" w:color="auto" w:fill="FFFFFF"/>
        <w:spacing w:line="576" w:lineRule="exact"/>
        <w:ind w:firstLine="480" w:firstLineChars="15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（7）组织指导全区伤病残退役军人服务管理和抚恤工作，承担不适宜继续服役的伤病残军人相关服务工作。</w:t>
      </w:r>
    </w:p>
    <w:p>
      <w:pPr>
        <w:shd w:val="clear" w:color="auto" w:fill="FFFFFF"/>
        <w:spacing w:line="576" w:lineRule="exact"/>
        <w:ind w:firstLine="480" w:firstLineChars="15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（8）监督检查退役军人相关法律法规和政策措施的落实，组织开展退役军人权益维护和有关人员的帮扶援助工作。</w:t>
      </w:r>
    </w:p>
    <w:p>
      <w:pPr>
        <w:shd w:val="clear" w:color="auto" w:fill="FFFFFF"/>
        <w:spacing w:line="576" w:lineRule="exact"/>
        <w:ind w:firstLine="480" w:firstLineChars="15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（9）负责市级安排的军供服务保障工作。</w:t>
      </w:r>
    </w:p>
    <w:p>
      <w:pPr>
        <w:pStyle w:val="30"/>
        <w:shd w:val="clear" w:color="auto" w:fill="FFFFFF"/>
        <w:spacing w:line="576" w:lineRule="exact"/>
        <w:ind w:left="160" w:firstLine="320" w:firstLineChars="10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（10）完成区委、区政府交办的其他任务，配合部队完成退役军人其他相关工作。</w:t>
      </w:r>
    </w:p>
    <w:p>
      <w:pPr>
        <w:pStyle w:val="7"/>
        <w:adjustRightInd w:val="0"/>
        <w:snapToGrid w:val="0"/>
        <w:spacing w:before="93" w:line="600" w:lineRule="exact"/>
        <w:ind w:firstLine="672" w:firstLineChars="210"/>
        <w:outlineLvl w:val="2"/>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（二）2021年重点工作完成情况。</w:t>
      </w:r>
      <w:bookmarkEnd w:id="18"/>
      <w:bookmarkEnd w:id="19"/>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1、织密服务网，全面优化保障体系建设。一是认真实施“十四五”规划落地。持续做好“两项改革”“后半篇”文章工作。着眼增强“军”的特色，坚持对标上级要求和任务清单，加强统筹协调，持续高标准、高质效推进区、乡镇、村（社区）三级服务保障体系建设，推动“两项改革”“后半篇”文章落实落地。二是顺利完成2021年度全国示范型服务站创建目标任务。按照省、市关于退役军人服务中心（站）示范创建工作要求，区退役军人服务中心通过召开培训会、实地调研指导等方式，深入乡镇、村（社区）扎实开展创建工作。三是全面完成“兵支书”建档立卡工作。充分发挥乡镇、村（社区）服务站的积极有效作用，对我区退役军人“兵支书”人员进行全盘摸底了解，规范登记、录入“兵支书”基础电子档案，并按时间节点完成了“兵支书”的建档立卡、审核备案和上报工作。目前，全区建档立卡的“兵支书”人员共计66名。</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2、谋划大棋局，推动业务工作稳步开展。一是双拥优抚褒扬工作扎实开展。2021年，按时发放各类优抚抚恤补助资金1300余万元，开展退伍军人补评残等级评定3人，转残疾军人伤残抚恤关系2人，帮助伤残军人换证98人，对87名优抚对象给予医疗救助17余万元。二是安置就业创业工作稳步推进。顺利安置2021年退役转业士官4人。成功举办2021年退役军人暨军人家属就业创业专场招聘会3场，共吸引260多名退役军人参与，促成80名退役军人达成就业意向。三是信访稳定工作持续向好。按照“属地管理、分级负责”和“谁主管、谁负责”的原则，全面落实信访稳定责任，各类信访问题得到及时有效化解，退役军人队伍安全稳定形势持续向好。2021年，共接待来访人员450人次，其中信访接待95人次，积极落实区人民政府转办、交办的2件信访事项，提供了司法援助，按规定做到及时回复、及时办理。四是抗美援朝老兵党史宣讲和口述史整理工作圆满完成。通过组建抗美援朝老兵宣讲团，结合区委党史主题教育活动要求，深入乡镇、社区、机关、学校等场所，为干部、学生和基层群众等进行红色文化宣讲20余场次;通过组织专业团队，采用进村入户、上门走访的方式，对我区目前健在的40名抗美援朝老兵逐一进行了走访与拍摄，并根据老兵现有的文献资料及口述内容整理成册，编印成读本《朝天区抗美援朝老兵事迹汇编》100余册。五是重点民生实事工作全面落实。全面完成烈士陵园修缮改造和11处分散烈士纪念设施整修工程，圆满承办2021年朝天区全国第8个烈士纪念日公祭献花活动，高质量完成朝天籍2名烈士朱贵生、孙华林遗骸回迁工作。</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3、开启大引擎，自身建设有序有力推进。一是切实抓好党建工作。认真组织学习贯彻党的十九届五中、六中全会精神和四川省委第十一届八次、九次、十次全会精神，严格执行“三会一课”制度，精心组织主题党日活动。二是坚决守好意识形态阵地。全力加强领导干部和干部职工意识形态领域的教育引导，制定党组理论学习中心组学习计划，结合本单位实际，进行专题理论学习。三是着力提升业务工作能力。深入开展“学业务、研业务、精业务”活动，组织系统干部深入学习《退役军人保障法》《兵役法》《退役士兵安置条例》《军人优抚抚恤条例》《英雄烈士保护法》《烈士褒扬条例》等法律法规，全面提升工作队伍整体能力水平。四是强化队伍建设。在全区范围内着力打造“兵之书、兵站长、兵老总、兵志愿者”四支队伍，经验文章《广元市朝天区建强“四支队伍”助推地方经济社会发展》被省厅专报刊发，并在全省交流。</w:t>
      </w:r>
    </w:p>
    <w:p>
      <w:pPr>
        <w:pStyle w:val="5"/>
        <w:rPr>
          <w:rStyle w:val="20"/>
          <w:b w:val="0"/>
          <w:bCs w:val="0"/>
        </w:rPr>
      </w:pPr>
      <w:bookmarkStart w:id="20" w:name="_Toc15396601"/>
      <w:bookmarkStart w:id="21" w:name="_Toc15377200"/>
      <w:r>
        <w:rPr>
          <w:rFonts w:hint="eastAsia" w:ascii="黑体" w:eastAsia="黑体"/>
          <w:b w:val="0"/>
        </w:rPr>
        <w:t>二、</w:t>
      </w:r>
      <w:r>
        <w:rPr>
          <w:rFonts w:hint="eastAsia" w:ascii="黑体" w:hAnsi="黑体" w:eastAsia="黑体"/>
          <w:b w:val="0"/>
        </w:rPr>
        <w:t>机</w:t>
      </w:r>
      <w:r>
        <w:rPr>
          <w:rStyle w:val="20"/>
          <w:rFonts w:hint="eastAsia" w:ascii="黑体" w:hAnsi="黑体" w:eastAsia="黑体"/>
          <w:b w:val="0"/>
          <w:bCs w:val="0"/>
        </w:rPr>
        <w:t>构设置</w:t>
      </w:r>
      <w:bookmarkEnd w:id="20"/>
      <w:bookmarkEnd w:id="21"/>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区退役军人事务局于2019年3月21日组建成立并正式挂牌运行，局机关设置内设机构2个，核定行政编制5名，其中，局领导班子3名（1正2副）；下设区退役军人服务中心（已明确为公益一类副科级事业单位），核定事业编制8名。目前，单位人员共计到位12人。</w:t>
      </w:r>
    </w:p>
    <w:p>
      <w:pPr>
        <w:pStyle w:val="2"/>
        <w:rPr>
          <w:rFonts w:hint="eastAsia" w:ascii="方正仿宋简体" w:hAnsi="方正仿宋简体" w:eastAsia="方正仿宋简体" w:cs="方正仿宋简体"/>
          <w:b/>
          <w:sz w:val="32"/>
          <w:szCs w:val="32"/>
        </w:rPr>
      </w:pPr>
    </w:p>
    <w:p>
      <w:pPr>
        <w:widowControl/>
        <w:ind w:firstLine="440" w:firstLineChars="100"/>
        <w:jc w:val="both"/>
        <w:rPr>
          <w:rStyle w:val="19"/>
          <w:rFonts w:ascii="黑体" w:hAnsi="黑体" w:eastAsia="黑体"/>
          <w:b w:val="0"/>
          <w:bCs/>
          <w:sz w:val="44"/>
          <w:szCs w:val="44"/>
        </w:rPr>
      </w:pPr>
      <w:bookmarkStart w:id="22" w:name="_Toc15396602"/>
      <w:bookmarkStart w:id="23" w:name="_Toc15377204"/>
      <w:r>
        <w:rPr>
          <w:rFonts w:hint="eastAsia" w:ascii="黑体" w:hAnsi="黑体" w:eastAsia="黑体"/>
          <w:b w:val="0"/>
          <w:sz w:val="44"/>
          <w:szCs w:val="44"/>
        </w:rPr>
        <w:t>第二部分</w:t>
      </w:r>
      <w:r>
        <w:rPr>
          <w:rFonts w:ascii="黑体" w:hAnsi="黑体" w:eastAsia="黑体"/>
          <w:b w:val="0"/>
          <w:sz w:val="44"/>
          <w:szCs w:val="44"/>
        </w:rPr>
        <w:t xml:space="preserve"> 2021</w:t>
      </w:r>
      <w:r>
        <w:rPr>
          <w:rFonts w:hint="eastAsia" w:ascii="黑体" w:hAnsi="黑体" w:eastAsia="黑体"/>
          <w:b w:val="0"/>
          <w:sz w:val="44"/>
          <w:szCs w:val="44"/>
        </w:rPr>
        <w:t>年度</w:t>
      </w:r>
      <w:r>
        <w:rPr>
          <w:rStyle w:val="19"/>
          <w:rFonts w:hint="eastAsia" w:ascii="黑体" w:hAnsi="黑体" w:eastAsia="黑体"/>
          <w:b w:val="0"/>
          <w:bCs/>
          <w:sz w:val="44"/>
          <w:szCs w:val="44"/>
        </w:rPr>
        <w:t>部门决算情况说明</w:t>
      </w:r>
      <w:bookmarkEnd w:id="22"/>
      <w:bookmarkEnd w:id="23"/>
    </w:p>
    <w:p/>
    <w:p>
      <w:pPr>
        <w:pStyle w:val="2"/>
      </w:pPr>
    </w:p>
    <w:p>
      <w:pPr>
        <w:pStyle w:val="30"/>
        <w:numPr>
          <w:ilvl w:val="0"/>
          <w:numId w:val="2"/>
        </w:numPr>
        <w:spacing w:line="600" w:lineRule="exact"/>
        <w:ind w:firstLineChars="0"/>
        <w:outlineLvl w:val="1"/>
        <w:rPr>
          <w:rStyle w:val="20"/>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0"/>
          <w:rFonts w:hint="eastAsia" w:ascii="黑体" w:hAnsi="黑体" w:eastAsia="黑体"/>
          <w:b w:val="0"/>
        </w:rPr>
        <w:t>入支出决算总体情况说明</w:t>
      </w:r>
      <w:bookmarkEnd w:id="24"/>
      <w:bookmarkEnd w:id="25"/>
    </w:p>
    <w:p>
      <w:pPr>
        <w:spacing w:line="600" w:lineRule="exact"/>
        <w:ind w:firstLine="640" w:firstLineChars="200"/>
      </w:pPr>
      <w:r>
        <w:rPr>
          <w:rFonts w:ascii="仿宋" w:hAnsi="仿宋" w:eastAsia="仿宋"/>
          <w:sz w:val="32"/>
          <w:szCs w:val="32"/>
        </w:rPr>
        <w:t>2021</w:t>
      </w:r>
      <w:r>
        <w:rPr>
          <w:rFonts w:hint="eastAsia" w:ascii="仿宋" w:hAnsi="仿宋" w:eastAsia="仿宋"/>
          <w:sz w:val="32"/>
          <w:szCs w:val="32"/>
        </w:rPr>
        <w:t>年度</w:t>
      </w:r>
      <w:r>
        <w:rPr>
          <w:rFonts w:hint="eastAsia" w:ascii="仿宋" w:hAnsi="仿宋" w:eastAsia="仿宋"/>
          <w:sz w:val="32"/>
          <w:szCs w:val="32"/>
          <w:lang w:eastAsia="zh-CN"/>
        </w:rPr>
        <w:t>收入合计</w:t>
      </w:r>
      <w:r>
        <w:rPr>
          <w:rFonts w:hint="eastAsia" w:ascii="仿宋" w:hAnsi="仿宋" w:eastAsia="仿宋"/>
          <w:sz w:val="32"/>
          <w:szCs w:val="32"/>
          <w:lang w:val="en-US" w:eastAsia="zh-CN"/>
        </w:rPr>
        <w:t>1448.43万元</w:t>
      </w:r>
      <w:r>
        <w:rPr>
          <w:rFonts w:hint="eastAsia" w:ascii="仿宋" w:hAnsi="仿宋" w:eastAsia="仿宋"/>
          <w:sz w:val="32"/>
          <w:szCs w:val="32"/>
        </w:rPr>
        <w:t>、</w:t>
      </w:r>
      <w:r>
        <w:rPr>
          <w:rFonts w:hint="eastAsia" w:ascii="仿宋" w:hAnsi="仿宋" w:eastAsia="仿宋"/>
          <w:sz w:val="32"/>
          <w:szCs w:val="32"/>
          <w:lang w:eastAsia="zh-CN"/>
        </w:rPr>
        <w:t>支出</w:t>
      </w:r>
      <w:r>
        <w:rPr>
          <w:rFonts w:hint="eastAsia" w:ascii="仿宋" w:hAnsi="仿宋" w:eastAsia="仿宋"/>
          <w:sz w:val="32"/>
          <w:szCs w:val="32"/>
        </w:rPr>
        <w:t>总计</w:t>
      </w:r>
      <w:r>
        <w:rPr>
          <w:rFonts w:hint="eastAsia" w:ascii="仿宋" w:hAnsi="仿宋" w:eastAsia="仿宋"/>
          <w:sz w:val="32"/>
          <w:szCs w:val="32"/>
          <w:lang w:val="en-US" w:eastAsia="zh-CN"/>
        </w:rPr>
        <w:t>2299.96</w:t>
      </w:r>
      <w:r>
        <w:rPr>
          <w:rFonts w:hint="eastAsia" w:ascii="仿宋" w:hAnsi="仿宋" w:eastAsia="仿宋"/>
          <w:sz w:val="32"/>
          <w:szCs w:val="32"/>
        </w:rPr>
        <w:t>万元。</w:t>
      </w:r>
      <w:r>
        <w:rPr>
          <w:rFonts w:hint="eastAsia" w:ascii="仿宋" w:hAnsi="仿宋" w:eastAsia="仿宋"/>
          <w:sz w:val="32"/>
          <w:szCs w:val="32"/>
          <w:lang w:eastAsia="zh-CN"/>
        </w:rPr>
        <w:t>相较</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lang w:eastAsia="zh-CN"/>
        </w:rPr>
        <w:t>年度</w:t>
      </w:r>
      <w:r>
        <w:rPr>
          <w:rFonts w:hint="eastAsia" w:ascii="仿宋" w:hAnsi="仿宋" w:eastAsia="仿宋"/>
          <w:sz w:val="32"/>
          <w:szCs w:val="32"/>
        </w:rPr>
        <w:t>相比</w:t>
      </w:r>
      <w:r>
        <w:rPr>
          <w:rFonts w:hint="eastAsia" w:ascii="仿宋" w:hAnsi="仿宋" w:eastAsia="仿宋"/>
          <w:sz w:val="32"/>
          <w:szCs w:val="32"/>
          <w:lang w:eastAsia="zh-CN"/>
        </w:rPr>
        <w:t>收入</w:t>
      </w:r>
      <w:r>
        <w:rPr>
          <w:rFonts w:hint="eastAsia" w:ascii="仿宋" w:hAnsi="仿宋" w:eastAsia="仿宋"/>
          <w:sz w:val="32"/>
          <w:szCs w:val="32"/>
          <w:lang w:val="en-US" w:eastAsia="zh-CN"/>
        </w:rPr>
        <w:t>1798.14万元减少349.71万元</w:t>
      </w:r>
      <w:r>
        <w:rPr>
          <w:rFonts w:hint="eastAsia" w:ascii="仿宋" w:hAnsi="仿宋" w:eastAsia="仿宋"/>
          <w:sz w:val="32"/>
          <w:szCs w:val="32"/>
        </w:rPr>
        <w:t>，</w:t>
      </w:r>
      <w:r>
        <w:rPr>
          <w:rFonts w:hint="eastAsia" w:ascii="仿宋" w:hAnsi="仿宋" w:eastAsia="仿宋"/>
          <w:sz w:val="32"/>
          <w:szCs w:val="32"/>
          <w:lang w:eastAsia="zh-CN"/>
        </w:rPr>
        <w:t>收入减少</w:t>
      </w:r>
      <w:r>
        <w:rPr>
          <w:rFonts w:hint="eastAsia" w:ascii="仿宋" w:hAnsi="仿宋" w:eastAsia="仿宋"/>
          <w:sz w:val="32"/>
          <w:szCs w:val="32"/>
          <w:lang w:val="en-US" w:eastAsia="zh-CN"/>
        </w:rPr>
        <w:t>19.45%</w:t>
      </w:r>
      <w:r>
        <w:rPr>
          <w:rFonts w:hint="eastAsia" w:ascii="仿宋" w:hAnsi="仿宋" w:eastAsia="仿宋"/>
          <w:sz w:val="32"/>
          <w:szCs w:val="32"/>
          <w:lang w:eastAsia="zh-CN"/>
        </w:rPr>
        <w:t>，</w:t>
      </w:r>
      <w:r>
        <w:rPr>
          <w:rFonts w:hint="eastAsia" w:ascii="仿宋" w:hAnsi="仿宋" w:eastAsia="仿宋"/>
          <w:sz w:val="32"/>
          <w:szCs w:val="32"/>
          <w:lang w:val="en-US" w:eastAsia="zh-CN"/>
        </w:rPr>
        <w:t>2021年支出总计2299.96万元，</w:t>
      </w:r>
      <w:r>
        <w:rPr>
          <w:rFonts w:hint="eastAsia" w:ascii="仿宋" w:hAnsi="仿宋" w:eastAsia="仿宋"/>
          <w:sz w:val="32"/>
          <w:szCs w:val="32"/>
          <w:lang w:eastAsia="zh-CN"/>
        </w:rPr>
        <w:t>相较</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lang w:eastAsia="zh-CN"/>
        </w:rPr>
        <w:t>年度</w:t>
      </w:r>
      <w:r>
        <w:rPr>
          <w:rFonts w:hint="eastAsia" w:ascii="仿宋" w:hAnsi="仿宋" w:eastAsia="仿宋"/>
          <w:sz w:val="32"/>
          <w:szCs w:val="32"/>
        </w:rPr>
        <w:t>相比</w:t>
      </w:r>
      <w:r>
        <w:rPr>
          <w:rFonts w:hint="eastAsia" w:ascii="仿宋" w:hAnsi="仿宋" w:eastAsia="仿宋"/>
          <w:sz w:val="32"/>
          <w:szCs w:val="32"/>
          <w:lang w:eastAsia="zh-CN"/>
        </w:rPr>
        <w:t>支出</w:t>
      </w:r>
      <w:r>
        <w:rPr>
          <w:rFonts w:hint="eastAsia" w:ascii="仿宋" w:hAnsi="仿宋" w:eastAsia="仿宋"/>
          <w:sz w:val="32"/>
          <w:szCs w:val="32"/>
          <w:lang w:val="en-US" w:eastAsia="zh-CN"/>
        </w:rPr>
        <w:t>2334.84万元减少34.88万元，支出减少1.5%</w:t>
      </w:r>
      <w:r>
        <w:rPr>
          <w:rFonts w:hint="eastAsia" w:ascii="仿宋" w:hAnsi="仿宋" w:eastAsia="仿宋"/>
          <w:sz w:val="32"/>
          <w:szCs w:val="32"/>
        </w:rPr>
        <w:t>。主要变动原因是</w:t>
      </w:r>
      <w:r>
        <w:rPr>
          <w:rFonts w:hint="eastAsia" w:ascii="仿宋" w:hAnsi="仿宋" w:eastAsia="仿宋"/>
          <w:sz w:val="32"/>
          <w:szCs w:val="32"/>
          <w:lang w:eastAsia="zh-CN"/>
        </w:rPr>
        <w:t>：一是开源节流；二是项目资金减少。</w:t>
      </w:r>
    </w:p>
    <w:p>
      <w:pPr>
        <w:pStyle w:val="2"/>
      </w:pPr>
    </w:p>
    <w:p>
      <w:r>
        <w:drawing>
          <wp:inline distT="0" distB="0" distL="114300" distR="114300">
            <wp:extent cx="4572000" cy="27432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：收、支决算总计变动情况图）（柱状图）</w:t>
      </w:r>
    </w:p>
    <w:p>
      <w:pPr>
        <w:pStyle w:val="30"/>
        <w:numPr>
          <w:ilvl w:val="0"/>
          <w:numId w:val="2"/>
        </w:numPr>
        <w:spacing w:line="600" w:lineRule="exact"/>
        <w:ind w:firstLineChars="0"/>
        <w:outlineLvl w:val="1"/>
        <w:rPr>
          <w:rStyle w:val="20"/>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20"/>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年本年收入合计</w:t>
      </w:r>
      <w:r>
        <w:rPr>
          <w:rFonts w:hint="eastAsia" w:ascii="仿宋" w:hAnsi="仿宋" w:eastAsia="仿宋"/>
          <w:sz w:val="32"/>
          <w:szCs w:val="32"/>
          <w:lang w:val="en-US" w:eastAsia="zh-CN"/>
        </w:rPr>
        <w:t>1448.43</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1298.43</w:t>
      </w:r>
      <w:r>
        <w:rPr>
          <w:rFonts w:hint="eastAsia" w:ascii="仿宋" w:hAnsi="仿宋" w:eastAsia="仿宋"/>
          <w:sz w:val="32"/>
          <w:szCs w:val="32"/>
        </w:rPr>
        <w:t>万元，占</w:t>
      </w:r>
      <w:r>
        <w:rPr>
          <w:rFonts w:hint="eastAsia" w:ascii="仿宋" w:hAnsi="仿宋" w:eastAsia="仿宋"/>
          <w:sz w:val="32"/>
          <w:szCs w:val="32"/>
          <w:lang w:val="en-US" w:eastAsia="zh-CN"/>
        </w:rPr>
        <w:t>89.64</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150</w:t>
      </w:r>
      <w:r>
        <w:rPr>
          <w:rFonts w:hint="eastAsia" w:ascii="仿宋" w:hAnsi="仿宋" w:eastAsia="仿宋"/>
          <w:sz w:val="32"/>
          <w:szCs w:val="32"/>
        </w:rPr>
        <w:t>万元，占</w:t>
      </w:r>
      <w:r>
        <w:rPr>
          <w:rFonts w:hint="eastAsia" w:ascii="仿宋" w:hAnsi="仿宋" w:eastAsia="仿宋"/>
          <w:sz w:val="32"/>
          <w:szCs w:val="32"/>
          <w:lang w:val="en-US" w:eastAsia="zh-CN"/>
        </w:rPr>
        <w:t>10.36</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：收入决算结构图）（饼状图）</w:t>
      </w:r>
    </w:p>
    <w:p>
      <w:pPr>
        <w:pStyle w:val="2"/>
        <w:rPr>
          <w:rFonts w:ascii="仿宋_GB2312" w:eastAsia="仿宋_GB2312"/>
          <w:sz w:val="32"/>
          <w:szCs w:val="32"/>
        </w:rPr>
      </w:pPr>
      <w:r>
        <w:drawing>
          <wp:inline distT="0" distB="0" distL="114300" distR="114300">
            <wp:extent cx="4800600" cy="34861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30"/>
        <w:numPr>
          <w:ilvl w:val="0"/>
          <w:numId w:val="2"/>
        </w:numPr>
        <w:spacing w:line="600" w:lineRule="exact"/>
        <w:ind w:firstLineChars="0"/>
        <w:outlineLvl w:val="1"/>
        <w:rPr>
          <w:rStyle w:val="20"/>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0"/>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shd w:val="pct10" w:color="auto" w:fill="FFFFFF"/>
        </w:rPr>
      </w:pPr>
      <w:r>
        <w:rPr>
          <w:rFonts w:ascii="仿宋" w:hAnsi="仿宋" w:eastAsia="仿宋"/>
          <w:sz w:val="32"/>
          <w:szCs w:val="32"/>
        </w:rPr>
        <w:t>2021</w:t>
      </w:r>
      <w:r>
        <w:rPr>
          <w:rFonts w:hint="eastAsia" w:ascii="仿宋" w:hAnsi="仿宋" w:eastAsia="仿宋"/>
          <w:sz w:val="32"/>
          <w:szCs w:val="32"/>
        </w:rPr>
        <w:t>年本年支出合计</w:t>
      </w:r>
      <w:r>
        <w:rPr>
          <w:rFonts w:hint="eastAsia" w:ascii="仿宋" w:hAnsi="仿宋" w:eastAsia="仿宋"/>
          <w:sz w:val="32"/>
          <w:szCs w:val="32"/>
          <w:lang w:val="en-US" w:eastAsia="zh-CN"/>
        </w:rPr>
        <w:t>2299.96</w:t>
      </w:r>
      <w:r>
        <w:rPr>
          <w:rFonts w:hint="eastAsia" w:ascii="仿宋" w:hAnsi="仿宋" w:eastAsia="仿宋"/>
          <w:sz w:val="32"/>
          <w:szCs w:val="32"/>
        </w:rPr>
        <w:t>万元，其中：基本支出</w:t>
      </w:r>
      <w:r>
        <w:rPr>
          <w:rFonts w:hint="eastAsia" w:ascii="仿宋" w:hAnsi="仿宋" w:eastAsia="仿宋"/>
          <w:sz w:val="32"/>
          <w:szCs w:val="32"/>
          <w:lang w:val="en-US" w:eastAsia="zh-CN"/>
        </w:rPr>
        <w:t>193.15</w:t>
      </w:r>
      <w:r>
        <w:rPr>
          <w:rFonts w:hint="eastAsia" w:ascii="仿宋" w:hAnsi="仿宋" w:eastAsia="仿宋"/>
          <w:sz w:val="32"/>
          <w:szCs w:val="32"/>
        </w:rPr>
        <w:t>万元，占</w:t>
      </w:r>
      <w:r>
        <w:rPr>
          <w:rFonts w:hint="eastAsia" w:ascii="仿宋" w:hAnsi="仿宋" w:eastAsia="仿宋"/>
          <w:sz w:val="32"/>
          <w:szCs w:val="32"/>
          <w:lang w:val="en-US" w:eastAsia="zh-CN"/>
        </w:rPr>
        <w:t>8.4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2106.81</w:t>
      </w:r>
      <w:r>
        <w:rPr>
          <w:rFonts w:hint="eastAsia" w:ascii="仿宋" w:hAnsi="仿宋" w:eastAsia="仿宋"/>
          <w:sz w:val="32"/>
          <w:szCs w:val="32"/>
        </w:rPr>
        <w:t>万元，占</w:t>
      </w:r>
      <w:r>
        <w:rPr>
          <w:rFonts w:hint="eastAsia" w:ascii="仿宋" w:hAnsi="仿宋" w:eastAsia="仿宋"/>
          <w:sz w:val="32"/>
          <w:szCs w:val="32"/>
          <w:lang w:val="en-US" w:eastAsia="zh-CN"/>
        </w:rPr>
        <w:t>91.6</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：支出决算结构图）（饼状图）</w:t>
      </w:r>
    </w:p>
    <w:p>
      <w:pPr>
        <w:pStyle w:val="2"/>
        <w:rPr>
          <w:rFonts w:hint="eastAsia" w:ascii="仿宋" w:hAnsi="仿宋" w:eastAsia="仿宋"/>
          <w:sz w:val="32"/>
          <w:szCs w:val="32"/>
        </w:rPr>
      </w:pPr>
    </w:p>
    <w:p>
      <w:r>
        <w:drawing>
          <wp:inline distT="0" distB="0" distL="114300" distR="114300">
            <wp:extent cx="4572000" cy="274320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0"/>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20"/>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年财政拨款收</w:t>
      </w:r>
      <w:r>
        <w:rPr>
          <w:rFonts w:hint="eastAsia" w:ascii="仿宋" w:hAnsi="仿宋" w:eastAsia="仿宋"/>
          <w:sz w:val="32"/>
          <w:szCs w:val="32"/>
          <w:lang w:val="en-US" w:eastAsia="zh-CN"/>
        </w:rPr>
        <w:t>入总计1448.43万元，相较</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年财政拨款收</w:t>
      </w:r>
      <w:r>
        <w:rPr>
          <w:rFonts w:hint="eastAsia" w:ascii="仿宋" w:hAnsi="仿宋" w:eastAsia="仿宋"/>
          <w:sz w:val="32"/>
          <w:szCs w:val="32"/>
          <w:lang w:val="en-US" w:eastAsia="zh-CN"/>
        </w:rPr>
        <w:t>入总计</w:t>
      </w:r>
      <w:r>
        <w:rPr>
          <w:rFonts w:hint="eastAsia" w:ascii="仿宋_GB2312" w:hAnsi="仿宋_GB2312" w:eastAsia="仿宋_GB2312" w:cs="仿宋_GB2312"/>
          <w:sz w:val="32"/>
          <w:szCs w:val="32"/>
          <w:lang w:val="en-US" w:eastAsia="zh-CN"/>
        </w:rPr>
        <w:t>1798.14</w:t>
      </w:r>
      <w:r>
        <w:rPr>
          <w:rFonts w:hint="eastAsia" w:ascii="仿宋" w:hAnsi="仿宋" w:eastAsia="仿宋"/>
          <w:sz w:val="32"/>
          <w:szCs w:val="32"/>
          <w:lang w:val="en-US" w:eastAsia="zh-CN"/>
        </w:rPr>
        <w:t>万元减少349.71万元，减少</w:t>
      </w:r>
      <w:r>
        <w:rPr>
          <w:rFonts w:hint="eastAsia" w:ascii="仿宋" w:hAnsi="仿宋" w:eastAsia="仿宋"/>
          <w:sz w:val="32"/>
          <w:szCs w:val="32"/>
          <w:highlight w:val="none"/>
          <w:lang w:val="en-US" w:eastAsia="zh-CN"/>
        </w:rPr>
        <w:t>19.45%</w:t>
      </w:r>
      <w:r>
        <w:rPr>
          <w:rFonts w:hint="eastAsia" w:ascii="仿宋" w:hAnsi="仿宋" w:eastAsia="仿宋"/>
          <w:sz w:val="32"/>
          <w:szCs w:val="32"/>
          <w:lang w:val="en-US" w:eastAsia="zh-CN"/>
        </w:rPr>
        <w:t>，</w:t>
      </w:r>
      <w:r>
        <w:rPr>
          <w:rFonts w:hint="eastAsia" w:ascii="仿宋" w:hAnsi="仿宋" w:eastAsia="仿宋"/>
          <w:color w:val="000000"/>
          <w:sz w:val="32"/>
          <w:szCs w:val="32"/>
          <w:lang w:val="en-US" w:eastAsia="zh-CN"/>
        </w:rPr>
        <w:t>减少</w:t>
      </w:r>
      <w:r>
        <w:rPr>
          <w:rFonts w:hint="eastAsia" w:ascii="仿宋" w:hAnsi="仿宋" w:eastAsia="仿宋"/>
          <w:sz w:val="32"/>
          <w:szCs w:val="32"/>
        </w:rPr>
        <w:t>的主要原因是</w:t>
      </w:r>
      <w:r>
        <w:rPr>
          <w:rFonts w:hint="eastAsia" w:ascii="仿宋" w:hAnsi="仿宋" w:eastAsia="仿宋"/>
          <w:sz w:val="32"/>
          <w:szCs w:val="32"/>
          <w:lang w:eastAsia="zh-CN"/>
        </w:rPr>
        <w:t>：一是开源节流；二是项目资金减少。</w:t>
      </w:r>
    </w:p>
    <w:p>
      <w:pPr>
        <w:spacing w:line="600" w:lineRule="exact"/>
        <w:ind w:firstLine="640" w:firstLineChars="20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年财政拨款</w:t>
      </w:r>
      <w:r>
        <w:rPr>
          <w:rFonts w:hint="eastAsia" w:ascii="仿宋" w:hAnsi="仿宋" w:eastAsia="仿宋"/>
          <w:sz w:val="32"/>
          <w:szCs w:val="32"/>
          <w:lang w:val="en-US" w:eastAsia="zh-CN"/>
        </w:rPr>
        <w:t>支出总计</w:t>
      </w:r>
      <w:r>
        <w:rPr>
          <w:rFonts w:hint="eastAsia" w:ascii="仿宋" w:hAnsi="仿宋" w:eastAsia="仿宋"/>
          <w:sz w:val="32"/>
          <w:szCs w:val="32"/>
          <w:highlight w:val="none"/>
          <w:lang w:val="en-US" w:eastAsia="zh-CN"/>
        </w:rPr>
        <w:t>2299.96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相较</w:t>
      </w:r>
      <w:r>
        <w:rPr>
          <w:rFonts w:hint="eastAsia" w:ascii="仿宋" w:hAnsi="仿宋" w:eastAsia="仿宋"/>
          <w:sz w:val="32"/>
          <w:szCs w:val="32"/>
          <w:highlight w:val="none"/>
        </w:rPr>
        <w:t>与</w:t>
      </w:r>
      <w:r>
        <w:rPr>
          <w:rFonts w:ascii="仿宋" w:hAnsi="仿宋" w:eastAsia="仿宋"/>
          <w:sz w:val="32"/>
          <w:szCs w:val="32"/>
          <w:highlight w:val="none"/>
        </w:rPr>
        <w:t>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年财政拨款</w:t>
      </w:r>
      <w:r>
        <w:rPr>
          <w:rFonts w:hint="eastAsia" w:ascii="仿宋" w:hAnsi="仿宋" w:eastAsia="仿宋"/>
          <w:sz w:val="32"/>
          <w:szCs w:val="32"/>
          <w:highlight w:val="none"/>
          <w:lang w:val="en-US" w:eastAsia="zh-CN"/>
        </w:rPr>
        <w:t>支出总计2334.84万元减少34.88万元，减少1.5%，</w:t>
      </w:r>
      <w:r>
        <w:rPr>
          <w:rFonts w:hint="eastAsia" w:ascii="仿宋" w:hAnsi="仿宋" w:eastAsia="仿宋"/>
          <w:color w:val="000000"/>
          <w:sz w:val="32"/>
          <w:szCs w:val="32"/>
          <w:lang w:val="en-US" w:eastAsia="zh-CN"/>
        </w:rPr>
        <w:t>减少</w:t>
      </w:r>
      <w:r>
        <w:rPr>
          <w:rFonts w:hint="eastAsia" w:ascii="仿宋" w:hAnsi="仿宋" w:eastAsia="仿宋"/>
          <w:sz w:val="32"/>
          <w:szCs w:val="32"/>
        </w:rPr>
        <w:t>的主要原因是</w:t>
      </w:r>
      <w:r>
        <w:rPr>
          <w:rFonts w:hint="eastAsia" w:ascii="仿宋" w:hAnsi="仿宋" w:eastAsia="仿宋"/>
          <w:sz w:val="32"/>
          <w:szCs w:val="32"/>
          <w:lang w:eastAsia="zh-CN"/>
        </w:rPr>
        <w:t>：一是开源节流；二是项目资金减少。</w:t>
      </w:r>
    </w:p>
    <w:p>
      <w:pPr>
        <w:spacing w:line="600" w:lineRule="exact"/>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：财政拨款收、支决算总计变动情况）（柱状图）</w:t>
      </w:r>
    </w:p>
    <w:p>
      <w:pPr>
        <w:pStyle w:val="2"/>
        <w:rPr>
          <w:rFonts w:ascii="仿宋" w:hAnsi="仿宋" w:eastAsia="仿宋"/>
          <w:b/>
          <w:sz w:val="32"/>
          <w:szCs w:val="32"/>
        </w:rPr>
      </w:pPr>
      <w:r>
        <w:drawing>
          <wp:inline distT="0" distB="0" distL="114300" distR="114300">
            <wp:extent cx="4572000" cy="2743200"/>
            <wp:effectExtent l="4445" t="4445" r="14605" b="14605"/>
            <wp:docPr id="4" name="图片 5"/>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outlineLvl w:val="1"/>
        <w:rPr>
          <w:rStyle w:val="20"/>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0"/>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2149.96</w:t>
      </w:r>
      <w:r>
        <w:rPr>
          <w:rFonts w:hint="eastAsia" w:ascii="仿宋" w:hAnsi="仿宋" w:eastAsia="仿宋"/>
          <w:color w:val="000000"/>
          <w:sz w:val="32"/>
          <w:szCs w:val="32"/>
        </w:rPr>
        <w:t>万元，占本年支出合计</w:t>
      </w:r>
      <w:r>
        <w:rPr>
          <w:rFonts w:hint="eastAsia" w:ascii="仿宋" w:hAnsi="仿宋" w:eastAsia="仿宋"/>
          <w:color w:val="000000"/>
          <w:sz w:val="32"/>
          <w:szCs w:val="32"/>
          <w:lang w:val="en-US" w:eastAsia="zh-CN"/>
        </w:rPr>
        <w:t>2299.96万元</w:t>
      </w:r>
      <w:r>
        <w:rPr>
          <w:rFonts w:hint="eastAsia" w:ascii="仿宋" w:hAnsi="仿宋" w:eastAsia="仿宋"/>
          <w:color w:val="000000"/>
          <w:sz w:val="32"/>
          <w:szCs w:val="32"/>
        </w:rPr>
        <w:t>的</w:t>
      </w:r>
      <w:r>
        <w:rPr>
          <w:rFonts w:hint="eastAsia" w:ascii="仿宋" w:hAnsi="仿宋" w:eastAsia="仿宋"/>
          <w:color w:val="000000"/>
          <w:sz w:val="32"/>
          <w:szCs w:val="32"/>
          <w:lang w:val="en-US" w:eastAsia="zh-CN"/>
        </w:rPr>
        <w:t>93.48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184.88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7.92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lang w:eastAsia="zh-CN"/>
        </w:rPr>
        <w:t>：一是开源节流；二是项目资金减少。</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pPr>
        <w:pStyle w:val="2"/>
        <w:rPr>
          <w:rFonts w:hint="eastAsia" w:ascii="仿宋" w:hAnsi="仿宋" w:eastAsia="仿宋"/>
          <w:sz w:val="32"/>
          <w:szCs w:val="32"/>
        </w:rPr>
      </w:pPr>
      <w:r>
        <w:drawing>
          <wp:inline distT="0" distB="0" distL="114300" distR="114300">
            <wp:extent cx="4572000" cy="2343150"/>
            <wp:effectExtent l="5080" t="4445" r="13970" b="1460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2149.96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lang w:eastAsia="zh-CN"/>
        </w:rPr>
        <w:t>社会保障和就业</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173.11</w:t>
      </w:r>
      <w:r>
        <w:rPr>
          <w:rFonts w:hint="eastAsia" w:ascii="仿宋" w:hAnsi="仿宋" w:eastAsia="仿宋"/>
          <w:sz w:val="32"/>
          <w:szCs w:val="32"/>
        </w:rPr>
        <w:t>万元，占</w:t>
      </w:r>
      <w:r>
        <w:rPr>
          <w:rFonts w:hint="eastAsia" w:ascii="仿宋" w:hAnsi="仿宋" w:eastAsia="仿宋"/>
          <w:sz w:val="32"/>
          <w:szCs w:val="32"/>
          <w:lang w:val="en-US" w:eastAsia="zh-CN"/>
        </w:rPr>
        <w:t>8.05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1956.41</w:t>
      </w:r>
      <w:r>
        <w:rPr>
          <w:rFonts w:hint="eastAsia" w:ascii="仿宋" w:hAnsi="仿宋" w:eastAsia="仿宋"/>
          <w:sz w:val="32"/>
          <w:szCs w:val="32"/>
        </w:rPr>
        <w:t>万元，占</w:t>
      </w:r>
      <w:r>
        <w:rPr>
          <w:rFonts w:hint="eastAsia" w:ascii="仿宋" w:hAnsi="仿宋" w:eastAsia="仿宋"/>
          <w:sz w:val="32"/>
          <w:szCs w:val="32"/>
          <w:lang w:val="en-US" w:eastAsia="zh-CN"/>
        </w:rPr>
        <w:t>91</w:t>
      </w:r>
      <w:r>
        <w:rPr>
          <w:rFonts w:ascii="仿宋" w:hAnsi="仿宋" w:eastAsia="仿宋"/>
          <w:sz w:val="32"/>
          <w:szCs w:val="32"/>
        </w:rPr>
        <w:t>%</w:t>
      </w:r>
      <w:r>
        <w:rPr>
          <w:rFonts w:hint="eastAsia" w:ascii="仿宋" w:hAnsi="仿宋" w:eastAsia="仿宋"/>
          <w:sz w:val="32"/>
          <w:szCs w:val="32"/>
        </w:rPr>
        <w:t>；</w:t>
      </w:r>
      <w:r>
        <w:rPr>
          <w:rFonts w:hint="eastAsia" w:ascii="楷体_GB2312" w:eastAsia="楷体_GB2312"/>
          <w:b/>
          <w:bCs/>
          <w:sz w:val="32"/>
          <w:szCs w:val="32"/>
        </w:rPr>
        <w:t>农林水事务（类）</w:t>
      </w:r>
      <w:r>
        <w:rPr>
          <w:rFonts w:hint="eastAsia" w:ascii="仿宋" w:hAnsi="仿宋" w:eastAsia="仿宋"/>
          <w:color w:val="000000"/>
          <w:sz w:val="32"/>
          <w:szCs w:val="32"/>
          <w:lang w:val="en-US" w:eastAsia="zh-CN"/>
        </w:rPr>
        <w:t>0.4</w:t>
      </w:r>
      <w:r>
        <w:rPr>
          <w:rFonts w:hint="eastAsia" w:ascii="楷体_GB2312" w:eastAsia="楷体_GB2312"/>
          <w:sz w:val="32"/>
          <w:szCs w:val="32"/>
        </w:rPr>
        <w:t>万元，占</w:t>
      </w:r>
      <w:r>
        <w:rPr>
          <w:rFonts w:hint="eastAsia" w:ascii="楷体_GB2312" w:eastAsia="楷体_GB2312"/>
          <w:sz w:val="32"/>
          <w:szCs w:val="32"/>
          <w:lang w:val="en-US" w:eastAsia="zh-CN"/>
        </w:rPr>
        <w:t>0.02</w:t>
      </w:r>
      <w:r>
        <w:rPr>
          <w:rFonts w:hint="eastAsia" w:ascii="楷体_GB2312" w:eastAsia="楷体_GB2312"/>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9.99</w:t>
      </w:r>
      <w:r>
        <w:rPr>
          <w:rFonts w:hint="eastAsia" w:ascii="仿宋" w:hAnsi="仿宋" w:eastAsia="仿宋"/>
          <w:sz w:val="32"/>
          <w:szCs w:val="32"/>
        </w:rPr>
        <w:t>万元，占</w:t>
      </w:r>
      <w:r>
        <w:rPr>
          <w:rFonts w:hint="eastAsia" w:ascii="仿宋" w:hAnsi="仿宋" w:eastAsia="仿宋"/>
          <w:sz w:val="32"/>
          <w:szCs w:val="32"/>
          <w:lang w:val="en-US" w:eastAsia="zh-CN"/>
        </w:rPr>
        <w:t>0.46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10.05</w:t>
      </w:r>
      <w:r>
        <w:rPr>
          <w:rFonts w:hint="eastAsia" w:ascii="仿宋" w:hAnsi="仿宋" w:eastAsia="仿宋"/>
          <w:sz w:val="32"/>
          <w:szCs w:val="32"/>
        </w:rPr>
        <w:t>万元，占</w:t>
      </w:r>
      <w:r>
        <w:rPr>
          <w:rFonts w:hint="eastAsia" w:ascii="仿宋" w:hAnsi="仿宋" w:eastAsia="仿宋"/>
          <w:sz w:val="32"/>
          <w:szCs w:val="32"/>
          <w:lang w:val="en-US" w:eastAsia="zh-CN"/>
        </w:rPr>
        <w:t>0.47</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r>
        <w:rPr>
          <w:rFonts w:hint="eastAsia" w:ascii="仿宋" w:hAnsi="仿宋" w:eastAsia="仿宋"/>
          <w:sz w:val="32"/>
          <w:szCs w:val="32"/>
          <w:lang w:eastAsia="zh-CN"/>
        </w:rPr>
        <w:t>）</w:t>
      </w:r>
    </w:p>
    <w:p>
      <w:r>
        <w:drawing>
          <wp:inline distT="0" distB="0" distL="114300" distR="114300">
            <wp:extent cx="4572000" cy="2743200"/>
            <wp:effectExtent l="4445" t="4445" r="14605" b="14605"/>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pPr>
    </w:p>
    <w:p/>
    <w:p>
      <w:pPr>
        <w:spacing w:line="600" w:lineRule="exact"/>
        <w:ind w:firstLine="642"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2" w:firstLineChars="200"/>
        <w:outlineLvl w:val="2"/>
        <w:rPr>
          <w:rFonts w:ascii="仿宋" w:hAnsi="仿宋" w:eastAsia="仿宋"/>
          <w:sz w:val="32"/>
          <w:szCs w:val="32"/>
        </w:rPr>
      </w:pPr>
      <w:bookmarkStart w:id="37" w:name="_Toc15378460"/>
      <w:bookmarkStart w:id="38" w:name="_Toc15377213"/>
      <w:bookmarkStart w:id="39" w:name="_Toc15377444"/>
      <w:r>
        <w:rPr>
          <w:rFonts w:ascii="仿宋" w:hAnsi="仿宋" w:eastAsia="仿宋"/>
          <w:b/>
          <w:sz w:val="32"/>
          <w:szCs w:val="32"/>
        </w:rPr>
        <w:t>2021</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2149.96万元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7"/>
      <w:bookmarkEnd w:id="38"/>
      <w:bookmarkEnd w:id="39"/>
    </w:p>
    <w:p>
      <w:pPr>
        <w:spacing w:line="600" w:lineRule="exact"/>
        <w:ind w:firstLine="642" w:firstLineChars="200"/>
        <w:rPr>
          <w:rStyle w:val="17"/>
          <w:rFonts w:hint="eastAsia" w:ascii="仿宋" w:hAnsi="仿宋" w:eastAsia="仿宋"/>
          <w:b w:val="0"/>
          <w:bCs/>
          <w:color w:val="auto"/>
          <w:sz w:val="32"/>
          <w:szCs w:val="32"/>
        </w:rPr>
      </w:pPr>
      <w:r>
        <w:rPr>
          <w:rStyle w:val="17"/>
          <w:rFonts w:hint="eastAsia" w:ascii="仿宋" w:hAnsi="仿宋" w:eastAsia="仿宋"/>
          <w:bCs/>
          <w:color w:val="auto"/>
          <w:sz w:val="32"/>
          <w:szCs w:val="32"/>
          <w:lang w:eastAsia="zh-CN"/>
        </w:rPr>
        <w:t>行政运行</w:t>
      </w:r>
      <w:r>
        <w:rPr>
          <w:rStyle w:val="17"/>
          <w:rFonts w:hint="eastAsia" w:ascii="仿宋" w:hAnsi="仿宋" w:eastAsia="仿宋"/>
          <w:bCs/>
          <w:color w:val="auto"/>
          <w:sz w:val="32"/>
          <w:szCs w:val="32"/>
        </w:rPr>
        <w:t>支出（</w:t>
      </w:r>
      <w:r>
        <w:rPr>
          <w:rStyle w:val="17"/>
          <w:rFonts w:hint="eastAsia" w:ascii="仿宋" w:hAnsi="仿宋" w:eastAsia="仿宋"/>
          <w:bCs/>
          <w:color w:val="auto"/>
          <w:sz w:val="32"/>
          <w:szCs w:val="32"/>
          <w:lang w:val="en-US" w:eastAsia="zh-CN"/>
        </w:rPr>
        <w:t>2082801</w:t>
      </w:r>
      <w:r>
        <w:rPr>
          <w:rStyle w:val="17"/>
          <w:rFonts w:hint="eastAsia" w:ascii="仿宋" w:hAnsi="仿宋" w:eastAsia="仿宋"/>
          <w:bCs/>
          <w:color w:val="auto"/>
          <w:sz w:val="32"/>
          <w:szCs w:val="32"/>
        </w:rPr>
        <w:t>）</w:t>
      </w:r>
      <w:r>
        <w:rPr>
          <w:rStyle w:val="17"/>
          <w:rFonts w:ascii="仿宋" w:hAnsi="仿宋" w:eastAsia="仿宋"/>
          <w:bCs/>
          <w:color w:val="auto"/>
          <w:sz w:val="32"/>
          <w:szCs w:val="32"/>
        </w:rPr>
        <w:t>:</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highlight w:val="none"/>
          <w:lang w:val="en-US" w:eastAsia="zh-CN"/>
        </w:rPr>
        <w:t>67.33</w:t>
      </w:r>
      <w:r>
        <w:rPr>
          <w:rStyle w:val="17"/>
          <w:rFonts w:hint="eastAsia" w:ascii="仿宋" w:hAnsi="仿宋" w:eastAsia="仿宋"/>
          <w:b w:val="0"/>
          <w:bCs/>
          <w:color w:val="auto"/>
          <w:sz w:val="32"/>
          <w:szCs w:val="32"/>
        </w:rPr>
        <w:t>万元，完成预算100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p>
    <w:p>
      <w:pPr>
        <w:spacing w:line="600" w:lineRule="exact"/>
        <w:ind w:firstLine="642" w:firstLineChars="200"/>
        <w:rPr>
          <w:rFonts w:hint="eastAsia" w:eastAsia="仿宋"/>
          <w:lang w:eastAsia="zh-CN"/>
        </w:rPr>
      </w:pPr>
      <w:r>
        <w:rPr>
          <w:rStyle w:val="17"/>
          <w:rFonts w:hint="eastAsia" w:ascii="仿宋" w:hAnsi="仿宋" w:eastAsia="仿宋"/>
          <w:b/>
          <w:bCs w:val="0"/>
          <w:color w:val="auto"/>
          <w:sz w:val="32"/>
          <w:szCs w:val="32"/>
          <w:lang w:eastAsia="zh-CN"/>
        </w:rPr>
        <w:t>事业运行支出（</w:t>
      </w:r>
      <w:r>
        <w:rPr>
          <w:rStyle w:val="17"/>
          <w:rFonts w:hint="eastAsia" w:ascii="仿宋" w:hAnsi="仿宋" w:eastAsia="仿宋"/>
          <w:b/>
          <w:bCs w:val="0"/>
          <w:color w:val="auto"/>
          <w:sz w:val="32"/>
          <w:szCs w:val="32"/>
          <w:lang w:val="en-US" w:eastAsia="zh-CN"/>
        </w:rPr>
        <w:t>2082850</w:t>
      </w:r>
      <w:r>
        <w:rPr>
          <w:rStyle w:val="17"/>
          <w:rFonts w:hint="eastAsia" w:ascii="仿宋" w:hAnsi="仿宋" w:eastAsia="仿宋"/>
          <w:b/>
          <w:bCs w:val="0"/>
          <w:color w:val="auto"/>
          <w:sz w:val="32"/>
          <w:szCs w:val="32"/>
          <w:lang w:eastAsia="zh-CN"/>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highlight w:val="none"/>
          <w:lang w:val="en-US" w:eastAsia="zh-CN"/>
        </w:rPr>
        <w:t>89.21</w:t>
      </w:r>
      <w:r>
        <w:rPr>
          <w:rStyle w:val="17"/>
          <w:rFonts w:hint="eastAsia" w:ascii="仿宋" w:hAnsi="仿宋" w:eastAsia="仿宋"/>
          <w:b w:val="0"/>
          <w:bCs/>
          <w:color w:val="auto"/>
          <w:sz w:val="32"/>
          <w:szCs w:val="32"/>
        </w:rPr>
        <w:t>万元，完成预算100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eastAsia="zh-CN"/>
        </w:rPr>
        <w:t>抚恤支出</w:t>
      </w:r>
      <w:r>
        <w:rPr>
          <w:rStyle w:val="17"/>
          <w:rFonts w:hint="eastAsia" w:ascii="仿宋" w:hAnsi="仿宋" w:eastAsia="仿宋"/>
          <w:bCs/>
          <w:color w:val="000000"/>
          <w:sz w:val="32"/>
          <w:szCs w:val="32"/>
        </w:rPr>
        <w:t>（208</w:t>
      </w:r>
      <w:r>
        <w:rPr>
          <w:rStyle w:val="17"/>
          <w:rFonts w:hint="eastAsia" w:ascii="仿宋" w:hAnsi="仿宋" w:eastAsia="仿宋"/>
          <w:bCs/>
          <w:color w:val="000000"/>
          <w:sz w:val="32"/>
          <w:szCs w:val="32"/>
          <w:lang w:val="en-US" w:eastAsia="zh-CN"/>
        </w:rPr>
        <w:t>08</w:t>
      </w:r>
      <w:r>
        <w:rPr>
          <w:rStyle w:val="17"/>
          <w:rFonts w:hint="eastAsia" w:ascii="仿宋" w:hAnsi="仿宋" w:eastAsia="仿宋"/>
          <w:bCs/>
          <w:color w:val="000000"/>
          <w:sz w:val="32"/>
          <w:szCs w:val="32"/>
        </w:rPr>
        <w:t>）</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highlight w:val="none"/>
          <w:lang w:val="en-US" w:eastAsia="zh-CN"/>
        </w:rPr>
        <w:t>1444.04</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
          <w:bCs w:val="0"/>
          <w:color w:val="000000"/>
          <w:sz w:val="32"/>
          <w:szCs w:val="32"/>
          <w:lang w:eastAsia="zh-CN"/>
        </w:rPr>
        <w:t>拥军优属支出（</w:t>
      </w:r>
      <w:r>
        <w:rPr>
          <w:rStyle w:val="17"/>
          <w:rFonts w:hint="eastAsia" w:ascii="仿宋" w:hAnsi="仿宋" w:eastAsia="仿宋"/>
          <w:b/>
          <w:bCs w:val="0"/>
          <w:color w:val="000000"/>
          <w:sz w:val="32"/>
          <w:szCs w:val="32"/>
          <w:lang w:val="en-US" w:eastAsia="zh-CN"/>
        </w:rPr>
        <w:t>2082804</w:t>
      </w:r>
      <w:r>
        <w:rPr>
          <w:rStyle w:val="17"/>
          <w:rFonts w:hint="eastAsia" w:ascii="仿宋" w:hAnsi="仿宋" w:eastAsia="仿宋"/>
          <w:b/>
          <w:bCs w:val="0"/>
          <w:color w:val="000000"/>
          <w:sz w:val="32"/>
          <w:szCs w:val="32"/>
          <w:lang w:eastAsia="zh-CN"/>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highlight w:val="none"/>
          <w:lang w:val="en-US" w:eastAsia="zh-CN"/>
        </w:rPr>
        <w:t>191.7</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其他退役军人事务管理支出（</w:t>
      </w:r>
      <w:r>
        <w:rPr>
          <w:rFonts w:hint="eastAsia" w:ascii="仿宋_GB2312" w:hAnsi="仿宋_GB2312" w:eastAsia="仿宋_GB2312" w:cs="仿宋_GB2312"/>
          <w:b/>
          <w:bCs/>
          <w:sz w:val="32"/>
          <w:szCs w:val="32"/>
          <w:lang w:val="en-US" w:eastAsia="zh-CN"/>
        </w:rPr>
        <w:t>2082899</w:t>
      </w:r>
      <w:r>
        <w:rPr>
          <w:rFonts w:hint="eastAsia" w:ascii="仿宋_GB2312" w:hAnsi="仿宋_GB2312" w:eastAsia="仿宋_GB2312" w:cs="仿宋_GB2312"/>
          <w:b/>
          <w:bCs/>
          <w:sz w:val="32"/>
          <w:szCs w:val="32"/>
          <w:lang w:eastAsia="zh-CN"/>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highlight w:val="none"/>
          <w:lang w:val="en-US" w:eastAsia="zh-CN"/>
        </w:rPr>
        <w:t>320.43</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2"/>
        <w:ind w:left="0" w:leftChars="0" w:firstLine="642" w:firstLineChars="200"/>
        <w:rPr>
          <w:rFonts w:hint="default" w:eastAsia="仿宋"/>
          <w:lang w:val="en-US" w:eastAsia="zh-CN"/>
        </w:rPr>
      </w:pPr>
      <w:r>
        <w:rPr>
          <w:rStyle w:val="17"/>
          <w:rFonts w:hint="eastAsia" w:ascii="仿宋" w:hAnsi="仿宋" w:eastAsia="仿宋"/>
          <w:b/>
          <w:bCs w:val="0"/>
          <w:color w:val="000000"/>
          <w:sz w:val="32"/>
          <w:szCs w:val="32"/>
          <w:lang w:eastAsia="zh-CN"/>
        </w:rPr>
        <w:t>其他社会保障和就业支出（</w:t>
      </w:r>
      <w:r>
        <w:rPr>
          <w:rStyle w:val="17"/>
          <w:rFonts w:hint="eastAsia" w:ascii="仿宋" w:hAnsi="仿宋" w:eastAsia="仿宋"/>
          <w:b/>
          <w:bCs w:val="0"/>
          <w:color w:val="000000"/>
          <w:sz w:val="32"/>
          <w:szCs w:val="32"/>
          <w:lang w:val="en-US" w:eastAsia="zh-CN"/>
        </w:rPr>
        <w:t>2089999</w:t>
      </w:r>
      <w:r>
        <w:rPr>
          <w:rStyle w:val="17"/>
          <w:rFonts w:hint="eastAsia" w:ascii="仿宋" w:hAnsi="仿宋" w:eastAsia="仿宋"/>
          <w:b/>
          <w:bCs w:val="0"/>
          <w:color w:val="000000"/>
          <w:sz w:val="32"/>
          <w:szCs w:val="32"/>
          <w:lang w:eastAsia="zh-CN"/>
        </w:rPr>
        <w:t>）：</w:t>
      </w:r>
      <w:r>
        <w:rPr>
          <w:rStyle w:val="17"/>
          <w:rFonts w:hint="eastAsia" w:ascii="仿宋" w:hAnsi="仿宋" w:eastAsia="仿宋"/>
          <w:b w:val="0"/>
          <w:bCs/>
          <w:color w:val="000000"/>
          <w:sz w:val="32"/>
          <w:szCs w:val="32"/>
          <w:lang w:eastAsia="zh-CN"/>
        </w:rPr>
        <w:t>支出决算为</w:t>
      </w:r>
      <w:r>
        <w:rPr>
          <w:rStyle w:val="17"/>
          <w:rFonts w:hint="eastAsia" w:ascii="仿宋" w:hAnsi="仿宋" w:eastAsia="仿宋"/>
          <w:b w:val="0"/>
          <w:bCs/>
          <w:color w:val="000000"/>
          <w:sz w:val="32"/>
          <w:szCs w:val="32"/>
          <w:lang w:val="en-US" w:eastAsia="zh-CN"/>
        </w:rPr>
        <w:t>2.03万元，</w:t>
      </w:r>
      <w:r>
        <w:rPr>
          <w:rFonts w:hint="eastAsia" w:ascii="仿宋_GB2312" w:hAnsi="仿宋_GB2312" w:eastAsia="仿宋_GB2312" w:cs="仿宋_GB2312"/>
          <w:sz w:val="32"/>
          <w:szCs w:val="32"/>
          <w:lang w:val="en-US" w:eastAsia="zh-CN"/>
        </w:rPr>
        <w:t>完成预算100%。</w:t>
      </w:r>
    </w:p>
    <w:p>
      <w:pPr>
        <w:pStyle w:val="2"/>
        <w:ind w:left="0" w:leftChars="0"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行政事业单位养老支出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20805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14.54万元，完成预算100%。</w:t>
      </w:r>
    </w:p>
    <w:p>
      <w:pPr>
        <w:pStyle w:val="2"/>
        <w:ind w:left="0" w:leftChars="0" w:firstLine="642" w:firstLineChars="200"/>
        <w:rPr>
          <w:rFonts w:hint="default"/>
          <w:lang w:val="en-US" w:eastAsia="zh-CN"/>
        </w:rPr>
      </w:pPr>
      <w:r>
        <w:rPr>
          <w:rFonts w:hint="eastAsia" w:ascii="仿宋_GB2312" w:hAnsi="仿宋_GB2312" w:eastAsia="仿宋_GB2312" w:cs="仿宋_GB2312"/>
          <w:b/>
          <w:bCs/>
          <w:sz w:val="32"/>
          <w:szCs w:val="32"/>
          <w:lang w:val="en-US" w:eastAsia="zh-CN"/>
        </w:rPr>
        <w:t>一般行政管理事务支出（2082802）：</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0.24万元，完成预算100%。</w:t>
      </w:r>
    </w:p>
    <w:p>
      <w:pPr>
        <w:spacing w:line="600" w:lineRule="exact"/>
        <w:ind w:firstLine="642" w:firstLineChars="200"/>
        <w:rPr>
          <w:rStyle w:val="17"/>
          <w:rFonts w:ascii="仿宋" w:hAnsi="仿宋" w:eastAsia="仿宋"/>
          <w:b w:val="0"/>
          <w:bCs/>
          <w:color w:val="000000"/>
          <w:sz w:val="32"/>
          <w:szCs w:val="32"/>
        </w:rPr>
      </w:pPr>
      <w:r>
        <w:rPr>
          <w:rFonts w:hint="eastAsia" w:ascii="仿宋" w:hAnsi="仿宋" w:eastAsia="仿宋"/>
          <w:b/>
          <w:bCs/>
          <w:color w:val="000000"/>
          <w:sz w:val="32"/>
          <w:szCs w:val="32"/>
        </w:rPr>
        <w:t>卫生健康支出</w:t>
      </w:r>
      <w:r>
        <w:rPr>
          <w:rStyle w:val="17"/>
          <w:rFonts w:hint="eastAsia" w:ascii="仿宋" w:hAnsi="仿宋" w:eastAsia="仿宋"/>
          <w:bCs/>
          <w:color w:val="000000"/>
          <w:sz w:val="32"/>
          <w:szCs w:val="32"/>
        </w:rPr>
        <w:t>（210）</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9.99</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农林水支出（213）</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0.4</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b/>
          <w:sz w:val="32"/>
          <w:szCs w:val="32"/>
        </w:rPr>
      </w:pPr>
      <w:r>
        <w:rPr>
          <w:rFonts w:hint="eastAsia" w:ascii="仿宋" w:hAnsi="仿宋" w:eastAsia="仿宋"/>
          <w:b/>
          <w:bCs/>
          <w:color w:val="000000"/>
          <w:sz w:val="32"/>
          <w:szCs w:val="32"/>
        </w:rPr>
        <w:t>住房保障支出</w:t>
      </w:r>
      <w:r>
        <w:rPr>
          <w:rStyle w:val="17"/>
          <w:rFonts w:hint="eastAsia" w:ascii="仿宋" w:hAnsi="仿宋" w:eastAsia="仿宋"/>
          <w:bCs/>
          <w:color w:val="000000"/>
          <w:sz w:val="32"/>
          <w:szCs w:val="32"/>
        </w:rPr>
        <w:t>（221）</w:t>
      </w:r>
      <w:r>
        <w:rPr>
          <w:rStyle w:val="17"/>
          <w:rFonts w:ascii="仿宋" w:hAnsi="仿宋" w:eastAsia="仿宋"/>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10.05</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tabs>
          <w:tab w:val="right" w:pos="8306"/>
        </w:tabs>
        <w:spacing w:line="600" w:lineRule="exact"/>
        <w:ind w:firstLine="640"/>
        <w:outlineLvl w:val="1"/>
        <w:rPr>
          <w:rStyle w:val="20"/>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0"/>
          <w:rFonts w:hint="eastAsia" w:ascii="黑体" w:hAnsi="黑体" w:eastAsia="黑体"/>
          <w:b w:val="0"/>
        </w:rPr>
        <w:t>般公共预算财政拨款基本支出决算情况说明</w:t>
      </w:r>
      <w:bookmarkEnd w:id="40"/>
      <w:bookmarkEnd w:id="41"/>
      <w:r>
        <w:rPr>
          <w:rStyle w:val="2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193.15</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174.96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18.19</w:t>
      </w:r>
      <w:r>
        <w:rPr>
          <w:rFonts w:hint="eastAsia" w:ascii="仿宋" w:hAnsi="仿宋" w:eastAsia="仿宋"/>
          <w:sz w:val="32"/>
          <w:szCs w:val="32"/>
        </w:rPr>
        <w:t>万元，主要包括：办公费、印刷费、咨询费、手续费、水费、电费、邮电费、物业管理费、差旅费、维修（护）费、租赁费、会议费、培训费、公务接待费、劳务费、委托业务费、工会经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0"/>
          <w:rFonts w:ascii="黑体" w:hAnsi="黑体" w:eastAsia="黑体"/>
          <w:b w:val="0"/>
        </w:rPr>
      </w:pPr>
      <w:bookmarkStart w:id="42" w:name="_Toc15377215"/>
      <w:bookmarkStart w:id="43" w:name="_Toc15396609"/>
      <w:r>
        <w:rPr>
          <w:rFonts w:hint="eastAsia" w:ascii="黑体" w:eastAsia="黑体"/>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5"/>
        <w:rPr>
          <w:rFonts w:ascii="仿宋" w:hAnsi="仿宋" w:eastAsia="仿宋"/>
          <w:b/>
          <w:sz w:val="32"/>
          <w:szCs w:val="32"/>
        </w:rPr>
      </w:pPr>
      <w:r>
        <w:rPr>
          <w:rFonts w:ascii="仿宋" w:hAnsi="仿宋" w:eastAsia="仿宋"/>
          <w:sz w:val="32"/>
          <w:szCs w:val="32"/>
        </w:rPr>
        <w:t>2021</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1.42</w:t>
      </w:r>
      <w:r>
        <w:rPr>
          <w:rFonts w:hint="eastAsia" w:ascii="仿宋" w:hAnsi="仿宋" w:eastAsia="仿宋"/>
          <w:sz w:val="32"/>
          <w:szCs w:val="32"/>
        </w:rPr>
        <w:t>万元，完成预算</w:t>
      </w:r>
      <w:r>
        <w:rPr>
          <w:rFonts w:hint="eastAsia" w:ascii="仿宋" w:hAnsi="仿宋" w:eastAsia="仿宋"/>
          <w:sz w:val="32"/>
          <w:szCs w:val="32"/>
          <w:lang w:val="en-US" w:eastAsia="zh-CN"/>
        </w:rPr>
        <w:t>98</w:t>
      </w:r>
      <w:r>
        <w:rPr>
          <w:rFonts w:ascii="仿宋" w:hAnsi="仿宋" w:eastAsia="仿宋"/>
          <w:sz w:val="32"/>
          <w:szCs w:val="32"/>
        </w:rPr>
        <w:t>%</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w:t>
      </w:r>
      <w:r>
        <w:rPr>
          <w:rFonts w:hint="eastAsia" w:ascii="仿宋" w:hAnsi="仿宋" w:eastAsia="仿宋"/>
          <w:color w:val="000000"/>
          <w:sz w:val="32"/>
          <w:szCs w:val="32"/>
        </w:rPr>
        <w:t>严格按接待要求，控制配餐人数和接待标准</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减少支出</w:t>
      </w:r>
      <w:r>
        <w:rPr>
          <w:rFonts w:hint="eastAsia" w:ascii="仿宋" w:hAnsi="仿宋" w:eastAsia="仿宋"/>
          <w:color w:val="000000"/>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1.42</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：“三公”经费财政拨款支出结构）（饼状图）</w:t>
      </w:r>
    </w:p>
    <w:p>
      <w:pPr>
        <w:pStyle w:val="2"/>
        <w:rPr>
          <w:rFonts w:hint="eastAsia" w:ascii="仿宋" w:hAnsi="仿宋" w:eastAsia="仿宋"/>
          <w:sz w:val="32"/>
          <w:szCs w:val="32"/>
        </w:rPr>
      </w:pPr>
      <w:r>
        <w:drawing>
          <wp:inline distT="0" distB="0" distL="114300" distR="114300">
            <wp:extent cx="4572000" cy="3181350"/>
            <wp:effectExtent l="5080" t="4445" r="13970" b="1460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2"/>
        <w:ind w:left="0" w:leftChars="0" w:firstLine="0" w:firstLineChars="0"/>
      </w:pP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hAnsi="宋体" w:eastAsia="仿宋_GB2312"/>
          <w:sz w:val="32"/>
          <w:szCs w:val="32"/>
          <w:lang w:val="zh-CN"/>
        </w:rPr>
        <w:t>．</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2020</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：无</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hAnsi="宋体" w:eastAsia="仿宋_GB2312"/>
          <w:sz w:val="32"/>
          <w:szCs w:val="32"/>
          <w:lang w:val="zh-CN"/>
        </w:rPr>
        <w:t>．</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2020</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：无</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hAnsi="宋体" w:eastAsia="仿宋_GB2312"/>
          <w:sz w:val="32"/>
          <w:szCs w:val="32"/>
          <w:lang w:val="zh-CN"/>
        </w:rPr>
        <w:t>．</w:t>
      </w:r>
      <w:r>
        <w:rPr>
          <w:rFonts w:hint="eastAsia" w:ascii="仿宋_GB2312" w:eastAsia="仿宋_GB2312"/>
          <w:b/>
          <w:sz w:val="32"/>
          <w:szCs w:val="32"/>
        </w:rPr>
        <w:t>公务接待费支出</w:t>
      </w:r>
      <w:r>
        <w:rPr>
          <w:rFonts w:hint="eastAsia" w:ascii="仿宋_GB2312" w:eastAsia="仿宋_GB2312"/>
          <w:sz w:val="32"/>
          <w:szCs w:val="32"/>
          <w:lang w:val="en-US" w:eastAsia="zh-CN"/>
        </w:rPr>
        <w:t>1.42</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98</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年减少</w:t>
      </w:r>
      <w:r>
        <w:rPr>
          <w:rFonts w:hint="eastAsia" w:ascii="仿宋_GB2312" w:eastAsia="仿宋_GB2312"/>
          <w:sz w:val="32"/>
          <w:szCs w:val="32"/>
          <w:lang w:val="en-US" w:eastAsia="zh-CN"/>
        </w:rPr>
        <w:t>0.04</w:t>
      </w:r>
      <w:r>
        <w:rPr>
          <w:rFonts w:hint="eastAsia" w:ascii="仿宋_GB2312" w:eastAsia="仿宋_GB2312"/>
          <w:sz w:val="32"/>
          <w:szCs w:val="32"/>
        </w:rPr>
        <w:t>万元，下降</w:t>
      </w:r>
      <w:r>
        <w:rPr>
          <w:rFonts w:hint="eastAsia" w:ascii="仿宋_GB2312" w:eastAsia="仿宋_GB2312"/>
          <w:sz w:val="32"/>
          <w:szCs w:val="32"/>
          <w:lang w:val="en-US" w:eastAsia="zh-CN"/>
        </w:rPr>
        <w:t>0.24</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color w:val="000000"/>
          <w:sz w:val="32"/>
          <w:szCs w:val="32"/>
        </w:rPr>
        <w:t>严格按接待要求，控制配餐人数和接待标准</w:t>
      </w:r>
      <w:r>
        <w:rPr>
          <w:rFonts w:hint="eastAsia" w:ascii="仿宋_GB2312" w:eastAsia="仿宋_GB2312"/>
          <w:color w:val="000000"/>
          <w:sz w:val="32"/>
          <w:szCs w:val="32"/>
        </w:rPr>
        <w:t>。</w:t>
      </w:r>
    </w:p>
    <w:p>
      <w:pPr>
        <w:spacing w:line="600" w:lineRule="exact"/>
        <w:ind w:firstLine="640"/>
        <w:rPr>
          <w:rFonts w:ascii="黑体" w:eastAsia="黑体"/>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1.42</w:t>
      </w:r>
      <w:r>
        <w:rPr>
          <w:rFonts w:hint="eastAsia" w:ascii="仿宋_GB2312" w:eastAsia="仿宋_GB2312"/>
          <w:sz w:val="32"/>
          <w:szCs w:val="32"/>
        </w:rPr>
        <w:t>万元，主要用于执行公务、开展业务活动开支的用餐费等。国内公务接待</w:t>
      </w:r>
      <w:r>
        <w:rPr>
          <w:rFonts w:hint="eastAsia" w:ascii="仿宋_GB2312" w:eastAsia="仿宋_GB2312"/>
          <w:sz w:val="32"/>
          <w:szCs w:val="32"/>
          <w:lang w:val="en-US" w:eastAsia="zh-CN"/>
        </w:rPr>
        <w:t>20</w:t>
      </w:r>
      <w:r>
        <w:rPr>
          <w:rFonts w:hint="eastAsia" w:ascii="仿宋_GB2312" w:eastAsia="仿宋_GB2312"/>
          <w:sz w:val="32"/>
          <w:szCs w:val="32"/>
        </w:rPr>
        <w:t>批次，</w:t>
      </w:r>
      <w:r>
        <w:rPr>
          <w:rFonts w:hint="eastAsia" w:ascii="仿宋_GB2312" w:eastAsia="仿宋_GB2312"/>
          <w:sz w:val="32"/>
          <w:szCs w:val="32"/>
          <w:lang w:val="en-US" w:eastAsia="zh-CN"/>
        </w:rPr>
        <w:t>150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1.42</w:t>
      </w:r>
      <w:r>
        <w:rPr>
          <w:rFonts w:hint="eastAsia" w:ascii="仿宋_GB2312" w:eastAsia="仿宋_GB2312"/>
          <w:sz w:val="32"/>
          <w:szCs w:val="32"/>
        </w:rPr>
        <w:t>万元，具体内容包括：</w:t>
      </w:r>
      <w:r>
        <w:rPr>
          <w:rFonts w:hint="eastAsia" w:ascii="仿宋_GB2312" w:eastAsia="仿宋_GB2312"/>
          <w:sz w:val="32"/>
          <w:szCs w:val="32"/>
          <w:lang w:eastAsia="zh-CN"/>
        </w:rPr>
        <w:t>日常业务工作的开展</w:t>
      </w:r>
      <w:r>
        <w:rPr>
          <w:rFonts w:hint="eastAsia" w:ascii="仿宋_GB2312" w:eastAsia="仿宋_GB2312"/>
          <w:sz w:val="32"/>
          <w:szCs w:val="32"/>
        </w:rPr>
        <w:t>。</w:t>
      </w:r>
      <w:bookmarkStart w:id="46" w:name="_Toc15396610"/>
      <w:bookmarkStart w:id="47" w:name="_Toc15377218"/>
    </w:p>
    <w:p>
      <w:pPr>
        <w:spacing w:line="600" w:lineRule="exact"/>
        <w:ind w:firstLine="640"/>
        <w:outlineLvl w:val="1"/>
        <w:rPr>
          <w:rStyle w:val="20"/>
          <w:rFonts w:ascii="黑体" w:hAnsi="黑体" w:eastAsia="黑体"/>
        </w:rPr>
      </w:pPr>
      <w:r>
        <w:rPr>
          <w:rFonts w:hint="eastAsia" w:ascii="黑体" w:eastAsia="黑体"/>
          <w:sz w:val="32"/>
          <w:szCs w:val="32"/>
        </w:rPr>
        <w:t>八、</w:t>
      </w:r>
      <w:r>
        <w:rPr>
          <w:rStyle w:val="20"/>
          <w:rFonts w:hint="eastAsia" w:ascii="黑体" w:hAnsi="黑体" w:eastAsia="黑体"/>
          <w:b w:val="0"/>
        </w:rPr>
        <w:t>政府性基金预算支出决算情况说明</w:t>
      </w:r>
      <w:bookmarkEnd w:id="46"/>
      <w:bookmarkEnd w:id="47"/>
    </w:p>
    <w:p>
      <w:pPr>
        <w:numPr>
          <w:ilvl w:val="0"/>
          <w:numId w:val="0"/>
        </w:numPr>
        <w:spacing w:line="600" w:lineRule="exact"/>
        <w:ind w:firstLine="1280" w:firstLineChars="400"/>
        <w:outlineLvl w:val="1"/>
        <w:rPr>
          <w:rStyle w:val="20"/>
          <w:rFonts w:ascii="黑体" w:hAnsi="黑体" w:eastAsia="黑体"/>
          <w:b w:val="0"/>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8" w:name="_Toc15396611"/>
      <w:bookmarkStart w:id="49" w:name="_Toc15377219"/>
    </w:p>
    <w:p>
      <w:pPr>
        <w:numPr>
          <w:ilvl w:val="0"/>
          <w:numId w:val="0"/>
        </w:numPr>
        <w:spacing w:line="600" w:lineRule="exact"/>
        <w:ind w:firstLine="640" w:firstLineChars="200"/>
        <w:outlineLvl w:val="1"/>
        <w:rPr>
          <w:rStyle w:val="20"/>
          <w:rFonts w:ascii="黑体" w:hAnsi="黑体" w:eastAsia="黑体"/>
          <w:b w:val="0"/>
        </w:rPr>
      </w:pPr>
      <w:r>
        <w:rPr>
          <w:rStyle w:val="20"/>
          <w:rFonts w:hint="eastAsia" w:ascii="黑体" w:hAnsi="黑体" w:eastAsia="黑体"/>
          <w:b w:val="0"/>
          <w:lang w:eastAsia="zh-CN"/>
        </w:rPr>
        <w:t>九、</w:t>
      </w:r>
      <w:r>
        <w:rPr>
          <w:rStyle w:val="20"/>
          <w:rFonts w:hint="eastAsia" w:ascii="黑体" w:hAnsi="黑体" w:eastAsia="黑体"/>
          <w:b w:val="0"/>
        </w:rPr>
        <w:t>国有资本经营预算支出决算情况说明</w:t>
      </w:r>
      <w:bookmarkEnd w:id="48"/>
      <w:bookmarkEnd w:id="49"/>
    </w:p>
    <w:p>
      <w:pPr>
        <w:spacing w:line="600" w:lineRule="exact"/>
        <w:ind w:firstLine="1292" w:firstLineChars="404"/>
        <w:rPr>
          <w:rFonts w:ascii="方正小标宋简体" w:hAnsi="方正小标宋简体" w:eastAsia="方正小标宋简体" w:cs="方正小标宋简体"/>
          <w:sz w:val="44"/>
          <w:szCs w:val="44"/>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autoSpaceDE w:val="0"/>
        <w:autoSpaceDN w:val="0"/>
        <w:adjustRightInd w:val="0"/>
        <w:spacing w:line="600" w:lineRule="exact"/>
        <w:ind w:firstLine="640" w:firstLineChars="200"/>
        <w:jc w:val="left"/>
        <w:outlineLvl w:val="2"/>
        <w:rPr>
          <w:rFonts w:hint="eastAsia" w:ascii="黑体" w:hAnsi="黑体" w:eastAsia="黑体" w:cs="黑体"/>
          <w:b/>
          <w:sz w:val="32"/>
          <w:szCs w:val="32"/>
        </w:rPr>
      </w:pPr>
      <w:bookmarkStart w:id="50" w:name="_Toc15377221"/>
      <w:bookmarkStart w:id="51" w:name="_Toc15396612"/>
      <w:r>
        <w:rPr>
          <w:rStyle w:val="20"/>
          <w:rFonts w:hint="eastAsia" w:ascii="黑体" w:hAnsi="黑体" w:eastAsia="黑体"/>
          <w:b w:val="0"/>
          <w:lang w:eastAsia="zh-CN"/>
        </w:rPr>
        <w:t>十、</w:t>
      </w:r>
      <w:r>
        <w:rPr>
          <w:rFonts w:hint="eastAsia" w:ascii="黑体" w:hAnsi="黑体" w:eastAsia="黑体" w:cs="黑体"/>
          <w:b/>
          <w:sz w:val="32"/>
          <w:szCs w:val="32"/>
        </w:rPr>
        <w:t>预算绩效管理情况</w:t>
      </w:r>
    </w:p>
    <w:p>
      <w:pPr>
        <w:spacing w:line="580" w:lineRule="exact"/>
        <w:ind w:firstLine="640" w:firstLineChars="200"/>
        <w:rPr>
          <w:rStyle w:val="20"/>
          <w:rFonts w:hint="eastAsia" w:ascii="黑体" w:hAnsi="黑体" w:eastAsia="黑体"/>
          <w:b w:val="0"/>
          <w:lang w:eastAsia="zh-CN"/>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eastAsia="zh-CN"/>
        </w:rPr>
        <w:t>优抚对象生活补助</w:t>
      </w:r>
      <w:r>
        <w:rPr>
          <w:rFonts w:hint="eastAsia" w:ascii="仿宋_GB2312" w:hAnsi="仿宋_GB2312" w:eastAsia="仿宋_GB2312" w:cs="仿宋_GB2312"/>
          <w:sz w:val="32"/>
          <w:szCs w:val="32"/>
        </w:rPr>
        <w:t>项目（项目名称）等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区退役军人事务局</w:t>
      </w:r>
      <w:r>
        <w:rPr>
          <w:rFonts w:hint="eastAsia" w:ascii="仿宋_GB2312" w:hAnsi="仿宋_GB2312" w:eastAsia="仿宋_GB2312" w:cs="仿宋_GB2312"/>
          <w:sz w:val="32"/>
          <w:szCs w:val="32"/>
        </w:rPr>
        <w:t>整体绩效评价报告》见附件（第四部分）。</w:t>
      </w:r>
    </w:p>
    <w:p>
      <w:pPr>
        <w:numPr>
          <w:ilvl w:val="0"/>
          <w:numId w:val="0"/>
        </w:numPr>
        <w:spacing w:line="600" w:lineRule="exact"/>
        <w:ind w:firstLine="640" w:firstLineChars="200"/>
        <w:outlineLvl w:val="1"/>
        <w:rPr>
          <w:rStyle w:val="20"/>
          <w:rFonts w:ascii="黑体" w:hAnsi="黑体" w:eastAsia="黑体"/>
          <w:b w:val="0"/>
        </w:rPr>
      </w:pPr>
      <w:r>
        <w:rPr>
          <w:rStyle w:val="20"/>
          <w:rFonts w:hint="eastAsia" w:ascii="黑体" w:hAnsi="黑体" w:eastAsia="黑体"/>
          <w:b w:val="0"/>
          <w:lang w:eastAsia="zh-CN"/>
        </w:rPr>
        <w:t>十一、</w:t>
      </w:r>
      <w:r>
        <w:rPr>
          <w:rStyle w:val="20"/>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ascii="仿宋" w:hAnsi="仿宋" w:eastAsia="仿宋"/>
          <w:b/>
          <w:sz w:val="32"/>
          <w:szCs w:val="32"/>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sz w:val="32"/>
          <w:szCs w:val="32"/>
          <w:lang w:eastAsia="zh-CN"/>
        </w:rPr>
        <w:t>区退役军人事务局</w:t>
      </w:r>
      <w:r>
        <w:rPr>
          <w:rFonts w:hint="eastAsia" w:ascii="仿宋_GB2312" w:eastAsia="仿宋_GB2312"/>
          <w:sz w:val="32"/>
          <w:szCs w:val="32"/>
        </w:rPr>
        <w:t>机关运行经费支出</w:t>
      </w:r>
      <w:r>
        <w:rPr>
          <w:rFonts w:hint="eastAsia" w:ascii="仿宋_GB2312" w:eastAsia="仿宋_GB2312"/>
          <w:sz w:val="32"/>
          <w:szCs w:val="32"/>
          <w:lang w:val="en-US" w:eastAsia="zh-CN"/>
        </w:rPr>
        <w:t>18.09</w:t>
      </w:r>
      <w:r>
        <w:rPr>
          <w:rFonts w:hint="eastAsia" w:ascii="仿宋_GB2312" w:eastAsia="仿宋_GB2312"/>
          <w:sz w:val="32"/>
          <w:szCs w:val="32"/>
        </w:rPr>
        <w:t>万元，比</w:t>
      </w:r>
      <w:r>
        <w:rPr>
          <w:rFonts w:ascii="仿宋_GB2312" w:eastAsia="仿宋_GB2312"/>
          <w:sz w:val="32"/>
          <w:szCs w:val="32"/>
        </w:rPr>
        <w:t>2020</w:t>
      </w:r>
      <w:r>
        <w:rPr>
          <w:rFonts w:hint="eastAsia" w:ascii="仿宋_GB2312" w:eastAsia="仿宋_GB2312"/>
          <w:sz w:val="32"/>
          <w:szCs w:val="32"/>
        </w:rPr>
        <w:t>年减少</w:t>
      </w:r>
      <w:r>
        <w:rPr>
          <w:rFonts w:hint="eastAsia" w:ascii="仿宋_GB2312" w:eastAsia="仿宋_GB2312"/>
          <w:sz w:val="32"/>
          <w:szCs w:val="32"/>
          <w:lang w:val="en-US" w:eastAsia="zh-CN"/>
        </w:rPr>
        <w:t>42.12</w:t>
      </w:r>
      <w:r>
        <w:rPr>
          <w:rFonts w:hint="eastAsia" w:ascii="仿宋_GB2312" w:eastAsia="仿宋_GB2312"/>
          <w:sz w:val="32"/>
          <w:szCs w:val="32"/>
        </w:rPr>
        <w:t>万元，下降</w:t>
      </w:r>
      <w:r>
        <w:rPr>
          <w:rFonts w:hint="eastAsia" w:ascii="仿宋_GB2312" w:eastAsia="仿宋_GB2312"/>
          <w:sz w:val="32"/>
          <w:szCs w:val="32"/>
          <w:lang w:val="en-US" w:eastAsia="zh-CN"/>
        </w:rPr>
        <w:t>70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：一是开源节流；二是严格控制机关运行成本。</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sz w:val="32"/>
          <w:szCs w:val="32"/>
          <w:lang w:eastAsia="zh-CN"/>
        </w:rPr>
        <w:t>区退役军人事务局</w:t>
      </w:r>
      <w:r>
        <w:rPr>
          <w:rFonts w:hint="eastAsia" w:ascii="仿宋_GB2312" w:eastAsia="仿宋_GB2312"/>
          <w:sz w:val="32"/>
          <w:szCs w:val="32"/>
        </w:rPr>
        <w:t>政府采购支出总额</w:t>
      </w:r>
      <w:r>
        <w:rPr>
          <w:rFonts w:hint="eastAsia" w:ascii="仿宋_GB2312" w:eastAsia="仿宋_GB2312"/>
          <w:sz w:val="32"/>
          <w:szCs w:val="32"/>
          <w:lang w:val="en-US" w:eastAsia="zh-CN"/>
        </w:rPr>
        <w:t>150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150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：朝天区烈士陵园修缮改造</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区退役军人事务局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35"/>
          <w:rFonts w:ascii="黑体" w:hAnsi="黑体" w:eastAsia="黑体"/>
          <w:b w:val="0"/>
          <w:color w:val="auto"/>
          <w:highlight w:val="none"/>
        </w:rPr>
      </w:pPr>
      <w:bookmarkStart w:id="55" w:name="_Toc15396613"/>
      <w:bookmarkStart w:id="56" w:name="_Toc15377225"/>
      <w:r>
        <w:rPr>
          <w:rFonts w:hint="eastAsia" w:ascii="黑体" w:hAnsi="黑体" w:eastAsia="黑体"/>
          <w:color w:val="auto"/>
          <w:sz w:val="44"/>
          <w:szCs w:val="44"/>
          <w:highlight w:val="none"/>
        </w:rPr>
        <w:t>名</w:t>
      </w:r>
      <w:r>
        <w:rPr>
          <w:rStyle w:val="35"/>
          <w:rFonts w:hint="eastAsia" w:ascii="黑体" w:hAnsi="黑体" w:eastAsia="黑体"/>
          <w:b w:val="0"/>
          <w:color w:val="auto"/>
          <w:highlight w:val="none"/>
        </w:rPr>
        <w:t>词解释</w:t>
      </w:r>
      <w:bookmarkEnd w:id="55"/>
      <w:bookmarkEnd w:id="56"/>
    </w:p>
    <w:p>
      <w:pPr>
        <w:spacing w:line="600" w:lineRule="exact"/>
        <w:jc w:val="left"/>
        <w:rPr>
          <w:rFonts w:ascii="宋体"/>
          <w:b/>
          <w:color w:val="auto"/>
          <w:sz w:val="44"/>
          <w:szCs w:val="44"/>
          <w:highlight w:val="none"/>
        </w:rPr>
      </w:pPr>
    </w:p>
    <w:p>
      <w:pPr>
        <w:pStyle w:val="2"/>
        <w:bidi w:val="0"/>
        <w:rPr>
          <w:rFonts w:hint="eastAsia" w:ascii="仿宋_GB2312" w:hAnsi="仿宋_GB2312" w:eastAsia="仿宋_GB2312" w:cs="仿宋_GB2312"/>
          <w:sz w:val="32"/>
          <w:szCs w:val="32"/>
        </w:rPr>
      </w:pPr>
      <w:bookmarkStart w:id="57" w:name="_Toc15396614"/>
      <w:bookmarkStart w:id="58" w:name="_Toc15377226"/>
      <w:r>
        <w:rPr>
          <w:rFonts w:hint="eastAsia" w:ascii="仿宋_GB2312" w:hAnsi="仿宋_GB2312" w:eastAsia="仿宋_GB2312" w:cs="仿宋_GB2312"/>
          <w:sz w:val="32"/>
          <w:szCs w:val="32"/>
        </w:rPr>
        <w:t>（一） 财政拨款收入：指本级财政当年拨付的资金。</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事业收入：指事业单位开展专业业务活动及辅助活动所取得的收入。</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（三）上级补助收入：指事业单位从主管部门和上级单位取得的非财政补助收入。</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（四）社会保障和就业支出（类）退役军人管理事务（款）（20828）:反映退役军人事务管理支出。</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（五）社会保障和就业支出（类）退役军人管理事务（款）行政运行（项）（2082801）：指行政机关及参公管理事业单位用于保障机构正常运行、开展日常工作的基本支出。</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（六）社会保障和就业支出（类）退役军人管理事务（款）一般行政管理事务（项）（2082802）：反映行政机关及参公管理事业单位未单独设置项级科目的其他项目支出。</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（七）社会保障和就业支出（类）退役军人管理事务（款）事业运行（项）（2082850）：反映事业单位的基本支出。</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（八）社会保障和就业支出（类）退役军人管理事务（款）其他退役军人事务管理支出（项）（2082899）：反映其他用于退役军人事务管理方面的支出。</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（九）社会保障和就业支出（类）行政事业单位养老支出（款）机关事业单位基本养老保险缴费支出（项）（2080505）：指机关事业单位实施养老保险制度由单位缴纳的基本养老保险费的支出。</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（十）卫生健康支出（类）行政事业单位医疗（款）行政单位医疗（项）（2101101）：反映财政部门集中安排的行政机关及参公管理事业单位基本医疗保险缴费经费。</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（十一）卫生健康支出（类）行政事业单位医疗（款）事业单位医疗（项）（2101102）：反映财政部门集中安排的事业单位基本医疗保险缴费经费。</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（十二）住房保障支出（类）住房改革支出（款）住房公积金（项）（2210201）：反映行政事业单位按人力资源和社会保障部、财政部规定的基本工资和津贴以及规定比例为职工缴纳的住房公积金。</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（十三）社会保障和就业支出（类）抚恤（款）（20808）：反映用于各类优抚对象和优抚事业单位的支出。</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（十四）社会保障和就业支出（类）退役安置（款）（20809）:反映用于退役士兵的安置和军队移交政府的离退休人员安置及管理机构的支出。</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（十五）基本支出：指为保障机构正常运转、完成日常工作任务而发生的人员支出和公用支出。</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（十六）项目支出：指在基本支出之外为完成特定行政任务和事业发展目标所发生的支出。</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三公”经费：纳入本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spacing w:line="600" w:lineRule="exact"/>
        <w:jc w:val="center"/>
        <w:outlineLvl w:val="0"/>
        <w:rPr>
          <w:rStyle w:val="19"/>
          <w:rFonts w:ascii="黑体" w:hAnsi="黑体" w:eastAsia="黑体"/>
          <w:b w:val="0"/>
        </w:rPr>
      </w:pPr>
      <w:r>
        <w:rPr>
          <w:rFonts w:hint="eastAsia" w:ascii="黑体" w:hAnsi="黑体" w:eastAsia="黑体"/>
          <w:sz w:val="44"/>
          <w:szCs w:val="44"/>
        </w:rPr>
        <w:t>第</w:t>
      </w:r>
      <w:r>
        <w:rPr>
          <w:rStyle w:val="19"/>
          <w:rFonts w:hint="eastAsia" w:ascii="黑体" w:hAnsi="黑体" w:eastAsia="黑体"/>
          <w:b w:val="0"/>
        </w:rPr>
        <w:t>四部分</w:t>
      </w:r>
      <w:r>
        <w:rPr>
          <w:rStyle w:val="19"/>
          <w:rFonts w:ascii="黑体" w:hAnsi="黑体" w:eastAsia="黑体"/>
          <w:b w:val="0"/>
        </w:rPr>
        <w:t xml:space="preserve"> </w:t>
      </w:r>
      <w:r>
        <w:rPr>
          <w:rStyle w:val="19"/>
          <w:rFonts w:hint="eastAsia" w:ascii="黑体" w:hAnsi="黑体" w:eastAsia="黑体"/>
          <w:b w:val="0"/>
        </w:rPr>
        <w:t>附件</w:t>
      </w:r>
      <w:bookmarkEnd w:id="57"/>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widowControl/>
        <w:spacing w:line="580" w:lineRule="exact"/>
        <w:contextualSpacing/>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shd w:val="clear" w:color="auto" w:fill="FFFFFF"/>
        </w:rPr>
        <w:t>202</w:t>
      </w:r>
      <w:r>
        <w:rPr>
          <w:rFonts w:hint="eastAsia" w:ascii="方正小标宋_GBK" w:hAnsi="方正小标宋_GBK" w:eastAsia="方正小标宋_GBK" w:cs="方正小标宋_GBK"/>
          <w:b w:val="0"/>
          <w:bCs w:val="0"/>
          <w:sz w:val="44"/>
          <w:szCs w:val="44"/>
          <w:shd w:val="clear" w:color="auto" w:fill="FFFFFF"/>
          <w:lang w:val="en-US" w:eastAsia="zh-CN"/>
        </w:rPr>
        <w:t>1</w:t>
      </w:r>
      <w:r>
        <w:rPr>
          <w:rFonts w:hint="eastAsia" w:ascii="方正小标宋_GBK" w:hAnsi="方正小标宋_GBK" w:eastAsia="方正小标宋_GBK" w:cs="方正小标宋_GBK"/>
          <w:b w:val="0"/>
          <w:bCs w:val="0"/>
          <w:sz w:val="44"/>
          <w:szCs w:val="44"/>
          <w:shd w:val="clear" w:color="auto" w:fill="FFFFFF"/>
        </w:rPr>
        <w:t>年</w:t>
      </w:r>
      <w:r>
        <w:rPr>
          <w:rFonts w:hint="eastAsia" w:ascii="方正小标宋_GBK" w:hAnsi="方正小标宋_GBK" w:eastAsia="方正小标宋_GBK" w:cs="方正小标宋_GBK"/>
          <w:b w:val="0"/>
          <w:bCs w:val="0"/>
          <w:sz w:val="44"/>
          <w:szCs w:val="44"/>
          <w:shd w:val="clear" w:color="auto" w:fill="FFFFFF"/>
          <w:lang w:val="en-US" w:eastAsia="zh-CN"/>
        </w:rPr>
        <w:t>度</w:t>
      </w:r>
      <w:r>
        <w:rPr>
          <w:rFonts w:hint="eastAsia" w:ascii="方正小标宋_GBK" w:hAnsi="方正小标宋_GBK" w:eastAsia="方正小标宋_GBK" w:cs="方正小标宋_GBK"/>
          <w:b w:val="0"/>
          <w:bCs w:val="0"/>
          <w:sz w:val="44"/>
          <w:szCs w:val="44"/>
          <w:shd w:val="clear" w:color="auto" w:fill="FFFFFF"/>
        </w:rPr>
        <w:t>部门整体支出绩效自评报告</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一、</w:t>
      </w:r>
      <w:r>
        <w:rPr>
          <w:rFonts w:hint="eastAsia" w:ascii="黑体" w:hAnsi="黑体" w:eastAsia="黑体" w:cs="黑体"/>
          <w:color w:val="000000"/>
          <w:kern w:val="0"/>
          <w:sz w:val="32"/>
          <w:szCs w:val="32"/>
          <w:shd w:val="clear" w:color="auto" w:fill="FFFFFF"/>
        </w:rPr>
        <w:t>部门概况</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（一）机构组成</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广元市朝天区</w:t>
      </w:r>
      <w:r>
        <w:rPr>
          <w:rFonts w:hint="eastAsia" w:ascii="仿宋_GB2312" w:hAnsi="仿宋_GB2312" w:eastAsia="仿宋_GB2312" w:cs="仿宋_GB2312"/>
          <w:color w:val="000000"/>
          <w:kern w:val="0"/>
          <w:sz w:val="32"/>
          <w:szCs w:val="32"/>
          <w:shd w:val="clear" w:color="auto" w:fill="FFFFFF"/>
          <w:lang w:eastAsia="zh-CN"/>
        </w:rPr>
        <w:t>退役军人事务局</w:t>
      </w:r>
      <w:r>
        <w:rPr>
          <w:rFonts w:hint="eastAsia" w:ascii="仿宋_GB2312" w:hAnsi="仿宋_GB2312" w:eastAsia="仿宋_GB2312" w:cs="仿宋_GB2312"/>
          <w:color w:val="000000"/>
          <w:kern w:val="0"/>
          <w:sz w:val="32"/>
          <w:szCs w:val="32"/>
          <w:shd w:val="clear" w:color="auto" w:fill="FFFFFF"/>
        </w:rPr>
        <w:t>属一级预算单位。内设机构：局领导班子</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名（1正</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副），</w:t>
      </w:r>
      <w:r>
        <w:rPr>
          <w:rFonts w:hint="eastAsia" w:ascii="仿宋" w:hAnsi="仿宋" w:eastAsia="仿宋" w:cs="仿宋"/>
          <w:sz w:val="32"/>
          <w:szCs w:val="32"/>
          <w:lang w:val="en-US" w:eastAsia="zh-CN"/>
        </w:rPr>
        <w:t>内设机构：办公室、优抚褒扬纪念和移交安置就业股2个股室</w:t>
      </w:r>
      <w:r>
        <w:rPr>
          <w:rFonts w:hint="eastAsia" w:ascii="仿宋_GB2312" w:hAnsi="仿宋_GB2312" w:eastAsia="仿宋_GB2312" w:cs="仿宋_GB2312"/>
          <w:color w:val="000000"/>
          <w:kern w:val="0"/>
          <w:sz w:val="32"/>
          <w:szCs w:val="32"/>
          <w:shd w:val="clear" w:color="auto" w:fill="FFFFFF"/>
        </w:rPr>
        <w:t>;区</w:t>
      </w:r>
      <w:r>
        <w:rPr>
          <w:rFonts w:hint="eastAsia" w:ascii="仿宋_GB2312" w:hAnsi="仿宋_GB2312" w:eastAsia="仿宋_GB2312" w:cs="仿宋_GB2312"/>
          <w:color w:val="000000"/>
          <w:kern w:val="0"/>
          <w:sz w:val="32"/>
          <w:szCs w:val="32"/>
          <w:shd w:val="clear" w:color="auto" w:fill="FFFFFF"/>
          <w:lang w:eastAsia="zh-CN"/>
        </w:rPr>
        <w:t>退役军人服务</w:t>
      </w:r>
      <w:r>
        <w:rPr>
          <w:rFonts w:hint="eastAsia" w:ascii="仿宋_GB2312" w:hAnsi="仿宋_GB2312" w:eastAsia="仿宋_GB2312" w:cs="仿宋_GB2312"/>
          <w:color w:val="000000"/>
          <w:kern w:val="0"/>
          <w:sz w:val="32"/>
          <w:szCs w:val="32"/>
          <w:shd w:val="clear" w:color="auto" w:fill="FFFFFF"/>
        </w:rPr>
        <w:t>中心：中心领导班子</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名（已明确为公益一类</w:t>
      </w:r>
      <w:r>
        <w:rPr>
          <w:rFonts w:hint="eastAsia" w:ascii="仿宋_GB2312" w:hAnsi="仿宋_GB2312" w:eastAsia="仿宋_GB2312" w:cs="仿宋_GB2312"/>
          <w:color w:val="000000"/>
          <w:kern w:val="0"/>
          <w:sz w:val="32"/>
          <w:szCs w:val="32"/>
          <w:shd w:val="clear" w:color="auto" w:fill="FFFFFF"/>
          <w:lang w:eastAsia="zh-CN"/>
        </w:rPr>
        <w:t>副科</w:t>
      </w:r>
      <w:r>
        <w:rPr>
          <w:rFonts w:hint="eastAsia" w:ascii="仿宋_GB2312" w:hAnsi="仿宋_GB2312" w:eastAsia="仿宋_GB2312" w:cs="仿宋_GB2312"/>
          <w:color w:val="000000"/>
          <w:kern w:val="0"/>
          <w:sz w:val="32"/>
          <w:szCs w:val="32"/>
          <w:shd w:val="clear" w:color="auto" w:fill="FFFFFF"/>
        </w:rPr>
        <w:t>级事业单位）。核定行政编制5名，事业编制</w:t>
      </w:r>
      <w:r>
        <w:rPr>
          <w:rFonts w:hint="eastAsia" w:ascii="仿宋_GB2312" w:hAnsi="仿宋_GB2312" w:eastAsia="仿宋_GB2312" w:cs="仿宋_GB2312"/>
          <w:color w:val="000000"/>
          <w:kern w:val="0"/>
          <w:sz w:val="32"/>
          <w:szCs w:val="32"/>
          <w:shd w:val="clear" w:color="auto" w:fill="FFFFFF"/>
          <w:lang w:val="en-US" w:eastAsia="zh-CN"/>
        </w:rPr>
        <w:t>8</w:t>
      </w:r>
      <w:r>
        <w:rPr>
          <w:rFonts w:hint="eastAsia" w:ascii="仿宋_GB2312" w:hAnsi="仿宋_GB2312" w:eastAsia="仿宋_GB2312" w:cs="仿宋_GB2312"/>
          <w:color w:val="000000"/>
          <w:kern w:val="0"/>
          <w:sz w:val="32"/>
          <w:szCs w:val="32"/>
          <w:shd w:val="clear" w:color="auto" w:fill="FFFFFF"/>
        </w:rPr>
        <w:t>名，定额补助编制</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名。</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eastAsia="zh-CN"/>
        </w:rPr>
      </w:pPr>
      <w:r>
        <w:rPr>
          <w:rFonts w:hint="eastAsia" w:ascii="楷体_GB2312" w:hAnsi="楷体_GB2312" w:eastAsia="楷体_GB2312" w:cs="楷体_GB2312"/>
          <w:color w:val="000000"/>
          <w:kern w:val="0"/>
          <w:sz w:val="32"/>
          <w:szCs w:val="32"/>
          <w:shd w:val="clear" w:color="auto" w:fill="FFFFFF"/>
        </w:rPr>
        <w:t>（二）部门职能</w:t>
      </w:r>
    </w:p>
    <w:p>
      <w:pPr>
        <w:keepNext w:val="0"/>
        <w:keepLines w:val="0"/>
        <w:pageBreakBefore w:val="0"/>
        <w:widowControl/>
        <w:kinsoku/>
        <w:wordWrap/>
        <w:overflowPunct/>
        <w:topLinePunct w:val="0"/>
        <w:autoSpaceDE w:val="0"/>
        <w:autoSpaceDN/>
        <w:bidi w:val="0"/>
        <w:adjustRightInd w:val="0"/>
        <w:snapToGrid w:val="0"/>
        <w:spacing w:line="576" w:lineRule="exact"/>
        <w:ind w:firstLine="642"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方正仿宋简体" w:hAnsi="方正仿宋简体" w:eastAsia="方正仿宋简体" w:cs="方正仿宋简体"/>
          <w:b/>
          <w:color w:val="333333"/>
          <w:kern w:val="0"/>
          <w:sz w:val="32"/>
          <w:szCs w:val="32"/>
        </w:rPr>
        <w:t>（</w:t>
      </w:r>
      <w:r>
        <w:rPr>
          <w:rFonts w:hint="eastAsia" w:ascii="仿宋_GB2312" w:hAnsi="仿宋_GB2312" w:eastAsia="仿宋_GB2312" w:cs="仿宋_GB2312"/>
          <w:color w:val="000000"/>
          <w:kern w:val="0"/>
          <w:sz w:val="32"/>
          <w:szCs w:val="32"/>
          <w:shd w:val="clear" w:color="auto" w:fill="FFFFFF"/>
        </w:rPr>
        <w:t>1）宣传贯彻落实退役军人思想政治、管理保障和安置优抚等工作政策法规，拟订我县相关工作机制、制度办法并组织实施。褒扬彰显退役军人为党、国家和人民牺牲奉献的精神风范和价值导向。</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负责烈士及退役军人荣誉奖励、军人公墓管理维护、纪念活动等工作，依法承担英雄烈士保护相关工作，审核拟列入区级烈士纪念设施名录，申报拟列入市级以上重点保护单位的烈士纪念建筑物名录，总结表彰和宣扬退役军人、退役军人工作单位和个人先进典型事迹。</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（3）负责军队转业干部、复员干部、离休退休干部、退役士兵和无军籍退休退职职工的接收安置工作和自主择业、就业退役军人服务管理工作。</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（4）组织指导全区退役军人技能教育培训工作，协调扶持退役军人和随军随调家属就业创业。</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组织指导全区拥军优属工作。实施国家关于退役军人特殊保障的相关政策，制定并组织实施全区退役军人优抚保障政策。会同有关部门制定有关退役军人医疗、疗养、养老等机构的规划政策并指导实施。负责现役军人、退役军人、军队文职人员和军属优待、抚恤等工作，指导实施国民党抗战老兵等有关人员优待政策。</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（6）组织协调落实移交地方的离休退休军人、符合条件的其他退役军人和无军籍退休退职职工的住房保障工作，以及退役军人医疗保障、社会保险等待遇保障工作。</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（7）组织指导全区伤病残退役军人服务管理和抚恤工作，承担不适宜继续服役的伤病残军人相关服务工作。</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（8）监督检查退役军人相关法律法规和政策措施的落实，组织开展退役军人权益维护和有关人员的帮扶援助工作。</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（9）负责市级安排的军供服务保障工作。</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（10）完成区委、区政府交办的其他任务，配合部队完成退役军人其他相关工作。</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（三）人员概况</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2021年区</w:t>
      </w:r>
      <w:r>
        <w:rPr>
          <w:rFonts w:hint="eastAsia" w:ascii="仿宋_GB2312" w:hAnsi="仿宋_GB2312" w:eastAsia="仿宋_GB2312" w:cs="仿宋_GB2312"/>
          <w:color w:val="000000"/>
          <w:kern w:val="0"/>
          <w:sz w:val="32"/>
          <w:szCs w:val="32"/>
          <w:shd w:val="clear" w:color="auto" w:fill="FFFFFF"/>
          <w:lang w:eastAsia="zh-CN"/>
        </w:rPr>
        <w:t>退役军人事务局</w:t>
      </w:r>
      <w:r>
        <w:rPr>
          <w:rFonts w:hint="eastAsia" w:ascii="仿宋_GB2312" w:hAnsi="仿宋_GB2312" w:eastAsia="仿宋_GB2312" w:cs="仿宋_GB2312"/>
          <w:color w:val="000000"/>
          <w:kern w:val="0"/>
          <w:sz w:val="32"/>
          <w:szCs w:val="32"/>
          <w:shd w:val="clear" w:color="auto" w:fill="FFFFFF"/>
        </w:rPr>
        <w:t>总编制1</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名，其中行政编制5名，事业编制</w:t>
      </w:r>
      <w:r>
        <w:rPr>
          <w:rFonts w:hint="eastAsia" w:ascii="仿宋_GB2312" w:hAnsi="仿宋_GB2312" w:eastAsia="仿宋_GB2312" w:cs="仿宋_GB2312"/>
          <w:color w:val="000000"/>
          <w:kern w:val="0"/>
          <w:sz w:val="32"/>
          <w:szCs w:val="32"/>
          <w:shd w:val="clear" w:color="auto" w:fill="FFFFFF"/>
          <w:lang w:val="en-US" w:eastAsia="zh-CN"/>
        </w:rPr>
        <w:t>8</w:t>
      </w:r>
      <w:r>
        <w:rPr>
          <w:rFonts w:hint="eastAsia" w:ascii="仿宋_GB2312" w:hAnsi="仿宋_GB2312" w:eastAsia="仿宋_GB2312" w:cs="仿宋_GB2312"/>
          <w:color w:val="000000"/>
          <w:kern w:val="0"/>
          <w:sz w:val="32"/>
          <w:szCs w:val="32"/>
          <w:shd w:val="clear" w:color="auto" w:fill="FFFFFF"/>
        </w:rPr>
        <w:t>名。2021年底实有在职人员总数1</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人，其中行政人员</w:t>
      </w:r>
      <w:r>
        <w:rPr>
          <w:rFonts w:hint="eastAsia" w:ascii="仿宋_GB2312" w:hAnsi="仿宋_GB2312" w:eastAsia="仿宋_GB2312" w:cs="仿宋_GB2312"/>
          <w:color w:val="000000"/>
          <w:kern w:val="0"/>
          <w:sz w:val="32"/>
          <w:szCs w:val="32"/>
          <w:shd w:val="clear" w:color="auto" w:fill="FFFFFF"/>
          <w:lang w:val="en-US" w:eastAsia="zh-CN"/>
        </w:rPr>
        <w:t>5</w:t>
      </w:r>
      <w:r>
        <w:rPr>
          <w:rFonts w:hint="eastAsia" w:ascii="仿宋_GB2312" w:hAnsi="仿宋_GB2312" w:eastAsia="仿宋_GB2312" w:cs="仿宋_GB2312"/>
          <w:color w:val="000000"/>
          <w:kern w:val="0"/>
          <w:sz w:val="32"/>
          <w:szCs w:val="32"/>
          <w:shd w:val="clear" w:color="auto" w:fill="FFFFFF"/>
        </w:rPr>
        <w:t>人，事业人员</w:t>
      </w:r>
      <w:r>
        <w:rPr>
          <w:rFonts w:hint="eastAsia" w:ascii="仿宋_GB2312" w:hAnsi="仿宋_GB2312" w:eastAsia="仿宋_GB2312" w:cs="仿宋_GB2312"/>
          <w:color w:val="000000"/>
          <w:kern w:val="0"/>
          <w:sz w:val="32"/>
          <w:szCs w:val="32"/>
          <w:shd w:val="clear" w:color="auto" w:fill="FFFFFF"/>
          <w:lang w:val="en-US" w:eastAsia="zh-CN"/>
        </w:rPr>
        <w:t>7</w:t>
      </w:r>
      <w:r>
        <w:rPr>
          <w:rFonts w:hint="eastAsia" w:ascii="仿宋_GB2312" w:hAnsi="仿宋_GB2312" w:eastAsia="仿宋_GB2312" w:cs="仿宋_GB2312"/>
          <w:color w:val="000000"/>
          <w:kern w:val="0"/>
          <w:sz w:val="32"/>
          <w:szCs w:val="32"/>
          <w:shd w:val="clear" w:color="auto" w:fill="FFFFFF"/>
        </w:rPr>
        <w:t>人。长聘人员1人。</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（一）部门财政资金收入情况</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预算批复情况</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根据《</w:t>
      </w:r>
      <w:r>
        <w:rPr>
          <w:rFonts w:hint="eastAsia" w:ascii="仿宋_GB2312" w:hAnsi="仿宋_GB2312" w:eastAsia="仿宋_GB2312" w:cs="仿宋_GB2312"/>
          <w:color w:val="000000"/>
          <w:kern w:val="0"/>
          <w:sz w:val="32"/>
          <w:szCs w:val="32"/>
          <w:shd w:val="clear" w:color="auto" w:fill="FFFFFF"/>
          <w:lang w:val="en-US" w:eastAsia="zh-CN"/>
        </w:rPr>
        <w:t>广元市朝天区</w:t>
      </w:r>
      <w:r>
        <w:rPr>
          <w:rFonts w:hint="eastAsia" w:ascii="仿宋_GB2312" w:hAnsi="仿宋_GB2312" w:eastAsia="仿宋_GB2312" w:cs="仿宋_GB2312"/>
          <w:color w:val="000000"/>
          <w:kern w:val="0"/>
          <w:sz w:val="32"/>
          <w:szCs w:val="32"/>
          <w:shd w:val="clear" w:color="auto" w:fill="FFFFFF"/>
        </w:rPr>
        <w:t>财政局关于</w:t>
      </w:r>
      <w:r>
        <w:rPr>
          <w:rFonts w:hint="eastAsia" w:ascii="仿宋_GB2312" w:hAnsi="仿宋_GB2312" w:eastAsia="仿宋_GB2312" w:cs="仿宋_GB2312"/>
          <w:color w:val="000000"/>
          <w:kern w:val="0"/>
          <w:sz w:val="32"/>
          <w:szCs w:val="32"/>
          <w:shd w:val="clear" w:color="auto" w:fill="FFFFFF"/>
          <w:lang w:val="en-US" w:eastAsia="zh-CN"/>
        </w:rPr>
        <w:t>批复</w:t>
      </w:r>
      <w:r>
        <w:rPr>
          <w:rFonts w:hint="eastAsia" w:ascii="仿宋_GB2312" w:hAnsi="仿宋_GB2312" w:eastAsia="仿宋_GB2312" w:cs="仿宋_GB2312"/>
          <w:color w:val="000000"/>
          <w:kern w:val="0"/>
          <w:sz w:val="32"/>
          <w:szCs w:val="32"/>
          <w:shd w:val="clear" w:color="auto" w:fill="FFFFFF"/>
        </w:rPr>
        <w:t>2021年</w:t>
      </w:r>
      <w:r>
        <w:rPr>
          <w:rFonts w:hint="eastAsia" w:ascii="仿宋_GB2312" w:hAnsi="仿宋_GB2312" w:eastAsia="仿宋_GB2312" w:cs="仿宋_GB2312"/>
          <w:color w:val="000000"/>
          <w:kern w:val="0"/>
          <w:sz w:val="32"/>
          <w:szCs w:val="32"/>
          <w:shd w:val="clear" w:color="auto" w:fill="FFFFFF"/>
          <w:lang w:val="en-US" w:eastAsia="zh-CN"/>
        </w:rPr>
        <w:t>综合预算及绩效目标</w:t>
      </w:r>
      <w:r>
        <w:rPr>
          <w:rFonts w:hint="eastAsia" w:ascii="仿宋_GB2312" w:hAnsi="仿宋_GB2312" w:eastAsia="仿宋_GB2312" w:cs="仿宋_GB2312"/>
          <w:color w:val="000000"/>
          <w:kern w:val="0"/>
          <w:sz w:val="32"/>
          <w:szCs w:val="32"/>
          <w:shd w:val="clear" w:color="auto" w:fill="FFFFFF"/>
        </w:rPr>
        <w:t>的通知》（</w:t>
      </w:r>
      <w:r>
        <w:rPr>
          <w:rFonts w:hint="eastAsia" w:ascii="仿宋_GB2312" w:hAnsi="仿宋_GB2312" w:eastAsia="仿宋_GB2312" w:cs="仿宋_GB2312"/>
          <w:color w:val="000000"/>
          <w:kern w:val="0"/>
          <w:sz w:val="32"/>
          <w:szCs w:val="32"/>
          <w:shd w:val="clear" w:color="auto" w:fill="FFFFFF"/>
          <w:lang w:val="en-US" w:eastAsia="zh-CN"/>
        </w:rPr>
        <w:t>广朝</w:t>
      </w:r>
      <w:r>
        <w:rPr>
          <w:rFonts w:hint="eastAsia" w:ascii="仿宋_GB2312" w:hAnsi="仿宋_GB2312" w:eastAsia="仿宋_GB2312" w:cs="仿宋_GB2312"/>
          <w:color w:val="000000"/>
          <w:kern w:val="0"/>
          <w:sz w:val="32"/>
          <w:szCs w:val="32"/>
          <w:shd w:val="clear" w:color="auto" w:fill="FFFFFF"/>
        </w:rPr>
        <w:t>财发〔2021〕15号）2021年</w:t>
      </w:r>
      <w:r>
        <w:rPr>
          <w:rFonts w:hint="eastAsia" w:ascii="仿宋_GB2312" w:hAnsi="仿宋_GB2312" w:eastAsia="仿宋_GB2312" w:cs="仿宋_GB2312"/>
          <w:color w:val="000000"/>
          <w:kern w:val="0"/>
          <w:sz w:val="32"/>
          <w:szCs w:val="32"/>
          <w:shd w:val="clear" w:color="auto" w:fill="FFFFFF"/>
          <w:lang w:val="en-US" w:eastAsia="zh-CN"/>
        </w:rPr>
        <w:t>区退役军人事务局</w:t>
      </w:r>
      <w:r>
        <w:rPr>
          <w:rFonts w:hint="eastAsia" w:ascii="仿宋_GB2312" w:hAnsi="仿宋_GB2312" w:eastAsia="仿宋_GB2312" w:cs="仿宋_GB2312"/>
          <w:color w:val="000000"/>
          <w:kern w:val="0"/>
          <w:sz w:val="32"/>
          <w:szCs w:val="32"/>
          <w:shd w:val="clear" w:color="auto" w:fill="FFFFFF"/>
        </w:rPr>
        <w:t>预算指标</w:t>
      </w:r>
      <w:r>
        <w:rPr>
          <w:rFonts w:hint="eastAsia" w:ascii="仿宋_GB2312" w:hAnsi="仿宋_GB2312" w:eastAsia="仿宋_GB2312" w:cs="仿宋_GB2312"/>
          <w:color w:val="000000"/>
          <w:kern w:val="0"/>
          <w:sz w:val="32"/>
          <w:szCs w:val="32"/>
          <w:shd w:val="clear" w:color="auto" w:fill="FFFFFF"/>
          <w:lang w:val="en-US" w:eastAsia="zh-CN"/>
        </w:rPr>
        <w:t>196.0268</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其中：</w:t>
      </w:r>
      <w:r>
        <w:rPr>
          <w:rFonts w:hint="eastAsia" w:ascii="仿宋" w:hAnsi="仿宋" w:eastAsia="仿宋"/>
          <w:color w:val="auto"/>
          <w:sz w:val="32"/>
          <w:szCs w:val="32"/>
          <w:highlight w:val="none"/>
        </w:rPr>
        <w:t>一般公共预算财政拨款收入</w:t>
      </w:r>
      <w:r>
        <w:rPr>
          <w:rFonts w:hint="eastAsia" w:ascii="仿宋_GB2312" w:hAnsi="仿宋_GB2312" w:eastAsia="仿宋_GB2312" w:cs="仿宋_GB2312"/>
          <w:color w:val="000000"/>
          <w:kern w:val="0"/>
          <w:sz w:val="32"/>
          <w:szCs w:val="32"/>
          <w:shd w:val="clear" w:color="auto" w:fill="FFFFFF"/>
          <w:lang w:val="en-US" w:eastAsia="zh-CN"/>
        </w:rPr>
        <w:t>196.0268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leftChars="200" w:firstLine="320" w:firstLineChars="1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2.调整</w:t>
      </w:r>
      <w:r>
        <w:rPr>
          <w:rFonts w:hint="eastAsia" w:ascii="仿宋_GB2312" w:hAnsi="仿宋_GB2312" w:eastAsia="仿宋_GB2312" w:cs="仿宋_GB2312"/>
          <w:color w:val="000000"/>
          <w:kern w:val="0"/>
          <w:sz w:val="32"/>
          <w:szCs w:val="32"/>
          <w:shd w:val="clear" w:color="auto" w:fill="FFFFFF"/>
        </w:rPr>
        <w:t>预算情况</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rPr>
      </w:pPr>
      <w:r>
        <w:rPr>
          <w:rFonts w:hint="eastAsia" w:ascii="仿宋_GB2312" w:hAnsi="仿宋_GB2312" w:eastAsia="仿宋_GB2312" w:cs="仿宋_GB2312"/>
          <w:color w:val="000000"/>
          <w:kern w:val="0"/>
          <w:sz w:val="32"/>
          <w:szCs w:val="32"/>
          <w:shd w:val="clear" w:color="auto" w:fill="FFFFFF"/>
        </w:rPr>
        <w:t>2021年度，</w:t>
      </w:r>
      <w:r>
        <w:rPr>
          <w:rFonts w:hint="eastAsia" w:ascii="仿宋_GB2312" w:hAnsi="仿宋_GB2312" w:eastAsia="仿宋_GB2312" w:cs="仿宋_GB2312"/>
          <w:color w:val="000000"/>
          <w:kern w:val="0"/>
          <w:sz w:val="32"/>
          <w:szCs w:val="32"/>
          <w:shd w:val="clear" w:color="auto" w:fill="FFFFFF"/>
          <w:lang w:val="en-US" w:eastAsia="zh-CN"/>
        </w:rPr>
        <w:t>区退役军人事务局调整</w:t>
      </w:r>
      <w:r>
        <w:rPr>
          <w:rFonts w:hint="eastAsia" w:ascii="仿宋_GB2312" w:hAnsi="仿宋_GB2312" w:eastAsia="仿宋_GB2312" w:cs="仿宋_GB2312"/>
          <w:color w:val="000000"/>
          <w:kern w:val="0"/>
          <w:sz w:val="32"/>
          <w:szCs w:val="32"/>
          <w:shd w:val="clear" w:color="auto" w:fill="FFFFFF"/>
        </w:rPr>
        <w:t>预算</w:t>
      </w:r>
      <w:r>
        <w:rPr>
          <w:rFonts w:hint="eastAsia" w:ascii="仿宋_GB2312" w:hAnsi="仿宋_GB2312" w:eastAsia="仿宋_GB2312" w:cs="仿宋_GB2312"/>
          <w:color w:val="000000"/>
          <w:kern w:val="0"/>
          <w:sz w:val="32"/>
          <w:szCs w:val="32"/>
          <w:shd w:val="clear" w:color="auto" w:fill="FFFFFF"/>
          <w:lang w:val="en-US" w:eastAsia="zh-CN"/>
        </w:rPr>
        <w:t>收入为1298.43</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val="en-US" w:eastAsia="zh-CN"/>
        </w:rPr>
        <w:t>比年初增加1102.4032万元，增加84.9%；</w:t>
      </w:r>
      <w:r>
        <w:rPr>
          <w:rFonts w:hint="eastAsia" w:ascii="仿宋_GB2312" w:hAnsi="仿宋_GB2312" w:eastAsia="仿宋_GB2312" w:cs="仿宋_GB2312"/>
          <w:color w:val="000000"/>
          <w:kern w:val="0"/>
          <w:sz w:val="32"/>
          <w:szCs w:val="32"/>
          <w:shd w:val="clear" w:color="auto" w:fill="FFFFFF"/>
        </w:rPr>
        <w:t>其中：</w:t>
      </w:r>
      <w:r>
        <w:rPr>
          <w:rFonts w:hint="eastAsia" w:ascii="仿宋" w:hAnsi="仿宋" w:eastAsia="仿宋"/>
          <w:color w:val="auto"/>
          <w:sz w:val="32"/>
          <w:szCs w:val="32"/>
          <w:highlight w:val="none"/>
        </w:rPr>
        <w:t>一般公共预算财政拨款收入</w:t>
      </w:r>
      <w:r>
        <w:rPr>
          <w:rFonts w:hint="eastAsia" w:ascii="仿宋" w:hAnsi="仿宋" w:eastAsia="仿宋"/>
          <w:color w:val="auto"/>
          <w:sz w:val="32"/>
          <w:szCs w:val="32"/>
          <w:highlight w:val="none"/>
          <w:lang w:val="en-US" w:eastAsia="zh-CN"/>
        </w:rPr>
        <w:t>1298.43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（二）部门财政资金支出情况</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u w:val="none"/>
          <w:shd w:val="clear" w:color="auto" w:fill="FFFFFF"/>
          <w14:textFill>
            <w14:solidFill>
              <w14:schemeClr w14:val="tx1"/>
            </w14:solidFill>
          </w14:textFill>
        </w:rPr>
      </w:pPr>
      <w:r>
        <w:rPr>
          <w:rFonts w:hint="eastAsia" w:ascii="仿宋_GB2312" w:hAnsi="仿宋_GB2312" w:eastAsia="仿宋_GB2312" w:cs="仿宋_GB2312"/>
          <w:color w:val="000000"/>
          <w:kern w:val="0"/>
          <w:sz w:val="32"/>
          <w:szCs w:val="32"/>
          <w:shd w:val="clear" w:color="auto" w:fill="FFFFFF"/>
        </w:rPr>
        <w:t>2021年度，我局一般公共预算支出</w:t>
      </w:r>
      <w:r>
        <w:rPr>
          <w:rFonts w:hint="eastAsia" w:ascii="仿宋_GB2312" w:hAnsi="仿宋_GB2312" w:eastAsia="仿宋_GB2312" w:cs="仿宋_GB2312"/>
          <w:color w:val="000000"/>
          <w:kern w:val="0"/>
          <w:sz w:val="32"/>
          <w:szCs w:val="32"/>
          <w:shd w:val="clear" w:color="auto" w:fill="FFFFFF"/>
          <w:lang w:val="en-US" w:eastAsia="zh-CN"/>
        </w:rPr>
        <w:t>2149.96</w:t>
      </w:r>
      <w:r>
        <w:rPr>
          <w:rFonts w:hint="eastAsia" w:ascii="仿宋_GB2312" w:hAnsi="仿宋_GB2312" w:eastAsia="仿宋_GB2312" w:cs="仿宋_GB2312"/>
          <w:color w:val="000000"/>
          <w:kern w:val="0"/>
          <w:sz w:val="32"/>
          <w:szCs w:val="32"/>
          <w:shd w:val="clear" w:color="auto" w:fill="FFFFFF"/>
        </w:rPr>
        <w:t>万元，其中：</w:t>
      </w:r>
      <w:r>
        <w:rPr>
          <w:rFonts w:hint="eastAsia" w:ascii="仿宋_GB2312" w:hAnsi="仿宋_GB2312" w:eastAsia="仿宋_GB2312" w:cs="仿宋_GB2312"/>
          <w:b/>
          <w:bCs/>
          <w:color w:val="000000"/>
          <w:kern w:val="0"/>
          <w:sz w:val="32"/>
          <w:szCs w:val="32"/>
          <w:shd w:val="clear" w:color="auto" w:fill="FFFFFF"/>
        </w:rPr>
        <w:t>按支出性质分</w:t>
      </w:r>
      <w:r>
        <w:rPr>
          <w:rFonts w:hint="eastAsia" w:ascii="仿宋_GB2312" w:hAnsi="仿宋_GB2312" w:eastAsia="仿宋_GB2312" w:cs="仿宋_GB2312"/>
          <w:b/>
          <w:bCs/>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基本支出</w:t>
      </w:r>
      <w:r>
        <w:rPr>
          <w:rFonts w:hint="eastAsia" w:ascii="仿宋_GB2312" w:hAnsi="仿宋_GB2312" w:eastAsia="仿宋_GB2312" w:cs="仿宋_GB2312"/>
          <w:color w:val="000000"/>
          <w:kern w:val="0"/>
          <w:sz w:val="32"/>
          <w:szCs w:val="32"/>
          <w:shd w:val="clear" w:color="auto" w:fill="FFFFFF"/>
          <w:lang w:val="en-US" w:eastAsia="zh-CN"/>
        </w:rPr>
        <w:t>193.15</w:t>
      </w:r>
      <w:r>
        <w:rPr>
          <w:rFonts w:hint="eastAsia" w:ascii="仿宋_GB2312" w:hAnsi="仿宋_GB2312" w:eastAsia="仿宋_GB2312" w:cs="仿宋_GB2312"/>
          <w:color w:val="000000"/>
          <w:kern w:val="0"/>
          <w:sz w:val="32"/>
          <w:szCs w:val="32"/>
          <w:shd w:val="clear" w:color="auto" w:fill="FFFFFF"/>
        </w:rPr>
        <w:t>万元，项目支出</w:t>
      </w:r>
      <w:r>
        <w:rPr>
          <w:rFonts w:hint="eastAsia" w:ascii="仿宋_GB2312" w:hAnsi="仿宋_GB2312" w:eastAsia="仿宋_GB2312" w:cs="仿宋_GB2312"/>
          <w:color w:val="000000"/>
          <w:kern w:val="0"/>
          <w:sz w:val="32"/>
          <w:szCs w:val="32"/>
          <w:shd w:val="clear" w:color="auto" w:fill="FFFFFF"/>
          <w:lang w:val="en-US" w:eastAsia="zh-CN"/>
        </w:rPr>
        <w:t>1956.81</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b/>
          <w:bCs/>
          <w:color w:val="000000"/>
          <w:kern w:val="0"/>
          <w:sz w:val="32"/>
          <w:szCs w:val="32"/>
          <w:shd w:val="clear" w:color="auto" w:fill="FFFFFF"/>
        </w:rPr>
        <w:t>按支出经济分类分</w:t>
      </w:r>
      <w:r>
        <w:rPr>
          <w:rFonts w:hint="eastAsia" w:ascii="仿宋_GB2312" w:hAnsi="仿宋_GB2312" w:eastAsia="仿宋_GB2312" w:cs="仿宋_GB2312"/>
          <w:b/>
          <w:bCs/>
          <w:color w:val="000000"/>
          <w:kern w:val="0"/>
          <w:sz w:val="32"/>
          <w:szCs w:val="32"/>
          <w:shd w:val="clear" w:color="auto" w:fill="FFFFFF"/>
          <w:lang w:eastAsia="zh-CN"/>
        </w:rPr>
        <w:t>：</w:t>
      </w:r>
      <w:r>
        <w:rPr>
          <w:rFonts w:hint="eastAsia" w:ascii="仿宋_GB2312" w:hAnsi="仿宋_GB2312" w:eastAsia="仿宋_GB2312" w:cs="仿宋_GB2312"/>
          <w:color w:val="000000" w:themeColor="text1"/>
          <w:kern w:val="0"/>
          <w:sz w:val="32"/>
          <w:szCs w:val="32"/>
          <w:u w:val="none"/>
          <w:shd w:val="clear" w:color="auto" w:fill="FFFFFF"/>
          <w14:textFill>
            <w14:solidFill>
              <w14:schemeClr w14:val="tx1"/>
            </w14:solidFill>
          </w14:textFill>
        </w:rPr>
        <w:t>工资福利支出</w:t>
      </w:r>
      <w:r>
        <w:rPr>
          <w:rFonts w:hint="eastAsia" w:ascii="仿宋_GB2312" w:hAnsi="仿宋_GB2312" w:eastAsia="仿宋_GB2312" w:cs="仿宋_GB2312"/>
          <w:color w:val="000000" w:themeColor="text1"/>
          <w:kern w:val="0"/>
          <w:sz w:val="32"/>
          <w:szCs w:val="32"/>
          <w:u w:val="none"/>
          <w:shd w:val="clear" w:color="auto" w:fill="FFFFFF"/>
          <w:lang w:val="en-US" w:eastAsia="zh-CN"/>
          <w14:textFill>
            <w14:solidFill>
              <w14:schemeClr w14:val="tx1"/>
            </w14:solidFill>
          </w14:textFill>
        </w:rPr>
        <w:t>174.96</w:t>
      </w:r>
      <w:r>
        <w:rPr>
          <w:rFonts w:hint="eastAsia" w:ascii="仿宋_GB2312" w:hAnsi="仿宋_GB2312" w:eastAsia="仿宋_GB2312" w:cs="仿宋_GB2312"/>
          <w:color w:val="000000" w:themeColor="text1"/>
          <w:kern w:val="0"/>
          <w:sz w:val="32"/>
          <w:szCs w:val="32"/>
          <w:u w:val="none"/>
          <w:shd w:val="clear" w:color="auto" w:fill="FFFFFF"/>
          <w14:textFill>
            <w14:solidFill>
              <w14:schemeClr w14:val="tx1"/>
            </w14:solidFill>
          </w14:textFill>
        </w:rPr>
        <w:t>万元，商品服务支出</w:t>
      </w:r>
      <w:r>
        <w:rPr>
          <w:rFonts w:hint="eastAsia" w:ascii="仿宋_GB2312" w:hAnsi="仿宋_GB2312" w:eastAsia="仿宋_GB2312" w:cs="仿宋_GB2312"/>
          <w:color w:val="000000" w:themeColor="text1"/>
          <w:kern w:val="0"/>
          <w:sz w:val="32"/>
          <w:szCs w:val="32"/>
          <w:u w:val="none"/>
          <w:shd w:val="clear" w:color="auto" w:fill="FFFFFF"/>
          <w:lang w:val="en-US" w:eastAsia="zh-CN"/>
          <w14:textFill>
            <w14:solidFill>
              <w14:schemeClr w14:val="tx1"/>
            </w14:solidFill>
          </w14:textFill>
        </w:rPr>
        <w:t>156.02</w:t>
      </w:r>
      <w:r>
        <w:rPr>
          <w:rFonts w:hint="eastAsia" w:ascii="仿宋_GB2312" w:hAnsi="仿宋_GB2312" w:eastAsia="仿宋_GB2312" w:cs="仿宋_GB2312"/>
          <w:color w:val="000000" w:themeColor="text1"/>
          <w:kern w:val="0"/>
          <w:sz w:val="32"/>
          <w:szCs w:val="32"/>
          <w:u w:val="none"/>
          <w:shd w:val="clear" w:color="auto" w:fill="FFFFFF"/>
          <w14:textFill>
            <w14:solidFill>
              <w14:schemeClr w14:val="tx1"/>
            </w14:solidFill>
          </w14:textFill>
        </w:rPr>
        <w:t>万元，对个人和家庭的补助支出</w:t>
      </w:r>
      <w:r>
        <w:rPr>
          <w:rFonts w:hint="eastAsia" w:ascii="仿宋_GB2312" w:hAnsi="仿宋_GB2312" w:eastAsia="仿宋_GB2312" w:cs="仿宋_GB2312"/>
          <w:color w:val="000000" w:themeColor="text1"/>
          <w:kern w:val="0"/>
          <w:sz w:val="32"/>
          <w:szCs w:val="32"/>
          <w:u w:val="none"/>
          <w:shd w:val="clear" w:color="auto" w:fill="FFFFFF"/>
          <w:lang w:val="en-US" w:eastAsia="zh-CN"/>
          <w14:textFill>
            <w14:solidFill>
              <w14:schemeClr w14:val="tx1"/>
            </w14:solidFill>
          </w14:textFill>
        </w:rPr>
        <w:t>1748.97</w:t>
      </w:r>
      <w:r>
        <w:rPr>
          <w:rFonts w:hint="eastAsia" w:ascii="仿宋_GB2312" w:hAnsi="仿宋_GB2312" w:eastAsia="仿宋_GB2312" w:cs="仿宋_GB2312"/>
          <w:color w:val="000000" w:themeColor="text1"/>
          <w:kern w:val="0"/>
          <w:sz w:val="32"/>
          <w:szCs w:val="32"/>
          <w:u w:val="none"/>
          <w:shd w:val="clear" w:color="auto" w:fill="FFFFFF"/>
          <w14:textFill>
            <w14:solidFill>
              <w14:schemeClr w14:val="tx1"/>
            </w14:solidFill>
          </w14:textFill>
        </w:rPr>
        <w:t>万元。</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三、部门整体预算绩效管理情况</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（一）部门预算项目绩效管理</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1.基本支出</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rPr>
        <w:t>2021年度，一般公共预算财政拨款基本支出决算数</w:t>
      </w:r>
      <w:r>
        <w:rPr>
          <w:rFonts w:hint="eastAsia" w:ascii="仿宋_GB2312" w:hAnsi="仿宋_GB2312" w:eastAsia="仿宋_GB2312" w:cs="仿宋_GB2312"/>
          <w:color w:val="000000"/>
          <w:kern w:val="0"/>
          <w:sz w:val="32"/>
          <w:szCs w:val="32"/>
          <w:shd w:val="clear" w:color="auto" w:fill="FFFFFF"/>
          <w:lang w:val="en-US" w:eastAsia="zh-CN"/>
        </w:rPr>
        <w:t>193.15</w:t>
      </w:r>
      <w:r>
        <w:rPr>
          <w:rFonts w:hint="eastAsia" w:ascii="仿宋_GB2312" w:hAnsi="仿宋_GB2312" w:eastAsia="仿宋_GB2312" w:cs="仿宋_GB2312"/>
          <w:color w:val="000000"/>
          <w:kern w:val="0"/>
          <w:sz w:val="32"/>
          <w:szCs w:val="32"/>
          <w:shd w:val="clear" w:color="auto" w:fill="FFFFFF"/>
        </w:rPr>
        <w:t>万元（人员经费</w:t>
      </w:r>
      <w:r>
        <w:rPr>
          <w:rFonts w:hint="eastAsia" w:ascii="仿宋_GB2312" w:hAnsi="仿宋_GB2312" w:eastAsia="仿宋_GB2312" w:cs="仿宋_GB2312"/>
          <w:color w:val="000000"/>
          <w:kern w:val="0"/>
          <w:sz w:val="32"/>
          <w:szCs w:val="32"/>
          <w:shd w:val="clear" w:color="auto" w:fill="FFFFFF"/>
          <w:lang w:val="en-US" w:eastAsia="zh-CN"/>
        </w:rPr>
        <w:t>174.96</w:t>
      </w:r>
      <w:r>
        <w:rPr>
          <w:rFonts w:hint="eastAsia" w:ascii="仿宋_GB2312" w:hAnsi="仿宋_GB2312" w:eastAsia="仿宋_GB2312" w:cs="仿宋_GB2312"/>
          <w:color w:val="000000"/>
          <w:kern w:val="0"/>
          <w:sz w:val="32"/>
          <w:szCs w:val="32"/>
          <w:shd w:val="clear" w:color="auto" w:fill="FFFFFF"/>
        </w:rPr>
        <w:t>万元，日常公用经费</w:t>
      </w:r>
      <w:r>
        <w:rPr>
          <w:rFonts w:hint="eastAsia" w:ascii="仿宋_GB2312" w:hAnsi="仿宋_GB2312" w:eastAsia="仿宋_GB2312" w:cs="仿宋_GB2312"/>
          <w:color w:val="000000"/>
          <w:kern w:val="0"/>
          <w:sz w:val="32"/>
          <w:szCs w:val="32"/>
          <w:shd w:val="clear" w:color="auto" w:fill="FFFFFF"/>
          <w:lang w:val="en-US" w:eastAsia="zh-CN"/>
        </w:rPr>
        <w:t>18.19</w:t>
      </w:r>
      <w:r>
        <w:rPr>
          <w:rFonts w:hint="eastAsia" w:ascii="仿宋_GB2312" w:hAnsi="仿宋_GB2312" w:eastAsia="仿宋_GB2312" w:cs="仿宋_GB2312"/>
          <w:color w:val="000000"/>
          <w:kern w:val="0"/>
          <w:sz w:val="32"/>
          <w:szCs w:val="32"/>
          <w:shd w:val="clear" w:color="auto" w:fill="FFFFFF"/>
        </w:rPr>
        <w:t>万元），完成当年</w:t>
      </w:r>
      <w:r>
        <w:rPr>
          <w:rFonts w:hint="eastAsia" w:ascii="仿宋_GB2312" w:hAnsi="仿宋_GB2312" w:eastAsia="仿宋_GB2312" w:cs="仿宋_GB2312"/>
          <w:color w:val="000000"/>
          <w:kern w:val="0"/>
          <w:sz w:val="32"/>
          <w:szCs w:val="32"/>
          <w:shd w:val="clear" w:color="auto" w:fill="FFFFFF"/>
          <w:lang w:val="en-US" w:eastAsia="zh-CN"/>
        </w:rPr>
        <w:t>调整</w:t>
      </w:r>
      <w:r>
        <w:rPr>
          <w:rFonts w:hint="eastAsia" w:ascii="仿宋_GB2312" w:hAnsi="仿宋_GB2312" w:eastAsia="仿宋_GB2312" w:cs="仿宋_GB2312"/>
          <w:color w:val="000000"/>
          <w:kern w:val="0"/>
          <w:sz w:val="32"/>
          <w:szCs w:val="32"/>
          <w:shd w:val="clear" w:color="auto" w:fill="FFFFFF"/>
        </w:rPr>
        <w:t>预算收入占比10</w:t>
      </w:r>
      <w:r>
        <w:rPr>
          <w:rFonts w:hint="eastAsia" w:ascii="仿宋_GB2312" w:hAnsi="仿宋_GB2312" w:eastAsia="仿宋_GB2312" w:cs="仿宋_GB2312"/>
          <w:color w:val="000000"/>
          <w:kern w:val="0"/>
          <w:sz w:val="32"/>
          <w:szCs w:val="32"/>
          <w:shd w:val="clear" w:color="auto" w:fill="FFFFFF"/>
          <w:lang w:val="en-US" w:eastAsia="zh-CN"/>
        </w:rPr>
        <w:t>0</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（1）人员经费：决算数</w:t>
      </w:r>
      <w:r>
        <w:rPr>
          <w:rFonts w:hint="eastAsia" w:ascii="仿宋_GB2312" w:hAnsi="仿宋_GB2312" w:eastAsia="仿宋_GB2312" w:cs="仿宋_GB2312"/>
          <w:color w:val="000000"/>
          <w:kern w:val="0"/>
          <w:sz w:val="32"/>
          <w:szCs w:val="32"/>
          <w:shd w:val="clear" w:color="auto" w:fill="FFFFFF"/>
          <w:lang w:val="en-US" w:eastAsia="zh-CN"/>
        </w:rPr>
        <w:t>174.96</w:t>
      </w:r>
      <w:r>
        <w:rPr>
          <w:rFonts w:hint="eastAsia" w:ascii="仿宋_GB2312" w:hAnsi="仿宋_GB2312" w:eastAsia="仿宋_GB2312" w:cs="仿宋_GB2312"/>
          <w:color w:val="000000"/>
          <w:kern w:val="0"/>
          <w:sz w:val="32"/>
          <w:szCs w:val="32"/>
          <w:shd w:val="clear" w:color="auto" w:fill="FFFFFF"/>
        </w:rPr>
        <w:t>万元，完成当年</w:t>
      </w:r>
      <w:r>
        <w:rPr>
          <w:rFonts w:hint="eastAsia" w:ascii="仿宋_GB2312" w:hAnsi="仿宋_GB2312" w:eastAsia="仿宋_GB2312" w:cs="仿宋_GB2312"/>
          <w:color w:val="000000"/>
          <w:kern w:val="0"/>
          <w:sz w:val="32"/>
          <w:szCs w:val="32"/>
          <w:shd w:val="clear" w:color="auto" w:fill="FFFFFF"/>
          <w:lang w:val="en-US" w:eastAsia="zh-CN"/>
        </w:rPr>
        <w:t>调整</w:t>
      </w:r>
      <w:r>
        <w:rPr>
          <w:rFonts w:hint="eastAsia" w:ascii="仿宋_GB2312" w:hAnsi="仿宋_GB2312" w:eastAsia="仿宋_GB2312" w:cs="仿宋_GB2312"/>
          <w:color w:val="000000"/>
          <w:kern w:val="0"/>
          <w:sz w:val="32"/>
          <w:szCs w:val="32"/>
          <w:shd w:val="clear" w:color="auto" w:fill="FFFFFF"/>
        </w:rPr>
        <w:t>预算收入占比10</w:t>
      </w:r>
      <w:r>
        <w:rPr>
          <w:rFonts w:hint="eastAsia" w:ascii="仿宋_GB2312" w:hAnsi="仿宋_GB2312" w:eastAsia="仿宋_GB2312" w:cs="仿宋_GB2312"/>
          <w:color w:val="000000"/>
          <w:kern w:val="0"/>
          <w:sz w:val="32"/>
          <w:szCs w:val="32"/>
          <w:shd w:val="clear" w:color="auto" w:fill="FFFFFF"/>
          <w:lang w:val="en-US" w:eastAsia="zh-CN"/>
        </w:rPr>
        <w:t>0</w:t>
      </w:r>
      <w:r>
        <w:rPr>
          <w:rFonts w:hint="eastAsia" w:ascii="仿宋_GB2312" w:hAnsi="仿宋_GB2312" w:eastAsia="仿宋_GB2312" w:cs="仿宋_GB2312"/>
          <w:color w:val="000000"/>
          <w:kern w:val="0"/>
          <w:sz w:val="32"/>
          <w:szCs w:val="32"/>
          <w:shd w:val="clear" w:color="auto" w:fill="FFFFFF"/>
        </w:rPr>
        <w:t>%。主要支出包括：基本工资、津贴补贴、奖金、绩效工资、机关事业单位基本养老保险缴费、职工基本医疗保险缴费、住房公积金、其他社会保障缴费、其他工资福利支出、退休费、生活补助、奖励金等。很好的保障了在岗职工</w:t>
      </w:r>
      <w:r>
        <w:rPr>
          <w:rFonts w:hint="eastAsia" w:ascii="仿宋_GB2312" w:hAnsi="仿宋_GB2312" w:eastAsia="仿宋_GB2312" w:cs="仿宋_GB2312"/>
          <w:color w:val="000000"/>
          <w:kern w:val="0"/>
          <w:sz w:val="32"/>
          <w:szCs w:val="32"/>
          <w:shd w:val="clear" w:color="auto" w:fill="FFFFFF"/>
          <w:lang w:val="en-US" w:eastAsia="zh-CN"/>
        </w:rPr>
        <w:t>12</w:t>
      </w:r>
      <w:r>
        <w:rPr>
          <w:rFonts w:hint="eastAsia" w:ascii="仿宋_GB2312" w:hAnsi="仿宋_GB2312" w:eastAsia="仿宋_GB2312" w:cs="仿宋_GB2312"/>
          <w:color w:val="000000"/>
          <w:kern w:val="0"/>
          <w:sz w:val="32"/>
          <w:szCs w:val="32"/>
          <w:shd w:val="clear" w:color="auto" w:fill="FFFFFF"/>
        </w:rPr>
        <w:t>人、长聘人员</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人的人员经费按时到位。</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（2）日常公用经费：决算数</w:t>
      </w:r>
      <w:r>
        <w:rPr>
          <w:rFonts w:hint="eastAsia" w:ascii="仿宋_GB2312" w:hAnsi="仿宋_GB2312" w:eastAsia="仿宋_GB2312" w:cs="仿宋_GB2312"/>
          <w:color w:val="000000"/>
          <w:kern w:val="0"/>
          <w:sz w:val="32"/>
          <w:szCs w:val="32"/>
          <w:shd w:val="clear" w:color="auto" w:fill="FFFFFF"/>
          <w:lang w:val="en-US" w:eastAsia="zh-CN"/>
        </w:rPr>
        <w:t>18.19</w:t>
      </w:r>
      <w:r>
        <w:rPr>
          <w:rFonts w:hint="eastAsia" w:ascii="仿宋_GB2312" w:hAnsi="仿宋_GB2312" w:eastAsia="仿宋_GB2312" w:cs="仿宋_GB2312"/>
          <w:color w:val="000000"/>
          <w:kern w:val="0"/>
          <w:sz w:val="32"/>
          <w:szCs w:val="32"/>
          <w:shd w:val="clear" w:color="auto" w:fill="FFFFFF"/>
        </w:rPr>
        <w:t>万元，完成当年</w:t>
      </w:r>
      <w:r>
        <w:rPr>
          <w:rFonts w:hint="eastAsia" w:ascii="仿宋_GB2312" w:hAnsi="仿宋_GB2312" w:eastAsia="仿宋_GB2312" w:cs="仿宋_GB2312"/>
          <w:color w:val="000000"/>
          <w:kern w:val="0"/>
          <w:sz w:val="32"/>
          <w:szCs w:val="32"/>
          <w:shd w:val="clear" w:color="auto" w:fill="FFFFFF"/>
          <w:lang w:val="en-US" w:eastAsia="zh-CN"/>
        </w:rPr>
        <w:t>调整</w:t>
      </w:r>
      <w:r>
        <w:rPr>
          <w:rFonts w:hint="eastAsia" w:ascii="仿宋_GB2312" w:hAnsi="仿宋_GB2312" w:eastAsia="仿宋_GB2312" w:cs="仿宋_GB2312"/>
          <w:color w:val="000000"/>
          <w:kern w:val="0"/>
          <w:sz w:val="32"/>
          <w:szCs w:val="32"/>
          <w:shd w:val="clear" w:color="auto" w:fill="FFFFFF"/>
        </w:rPr>
        <w:t>预算收入占比1</w:t>
      </w:r>
      <w:r>
        <w:rPr>
          <w:rFonts w:hint="eastAsia" w:ascii="仿宋_GB2312" w:hAnsi="仿宋_GB2312" w:eastAsia="仿宋_GB2312" w:cs="仿宋_GB2312"/>
          <w:color w:val="000000"/>
          <w:kern w:val="0"/>
          <w:sz w:val="32"/>
          <w:szCs w:val="32"/>
          <w:shd w:val="clear" w:color="auto" w:fill="FFFFFF"/>
          <w:lang w:val="en-US" w:eastAsia="zh-CN"/>
        </w:rPr>
        <w:t>00</w:t>
      </w:r>
      <w:r>
        <w:rPr>
          <w:rFonts w:hint="eastAsia" w:ascii="仿宋_GB2312" w:hAnsi="仿宋_GB2312" w:eastAsia="仿宋_GB2312" w:cs="仿宋_GB2312"/>
          <w:color w:val="000000"/>
          <w:kern w:val="0"/>
          <w:sz w:val="32"/>
          <w:szCs w:val="32"/>
          <w:shd w:val="clear" w:color="auto" w:fill="FFFFFF"/>
        </w:rPr>
        <w:t>%。支出主要包括：办公费、手续费、差旅费、维修（护）费、会议费、公务接待费、劳务费、其他交通费用、其他商品和服务支出等，确保了全年局机关各项工作正常运行和高效落实。</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2.项目支出</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2021年度，一般公共预算财政拨款项目支出决算数</w:t>
      </w:r>
      <w:r>
        <w:rPr>
          <w:rFonts w:hint="eastAsia" w:ascii="仿宋_GB2312" w:hAnsi="仿宋_GB2312" w:eastAsia="仿宋_GB2312" w:cs="仿宋_GB2312"/>
          <w:color w:val="000000"/>
          <w:kern w:val="0"/>
          <w:sz w:val="32"/>
          <w:szCs w:val="32"/>
          <w:shd w:val="clear" w:color="auto" w:fill="FFFFFF"/>
          <w:lang w:val="en-US" w:eastAsia="zh-CN"/>
        </w:rPr>
        <w:t>1956.81</w:t>
      </w:r>
      <w:r>
        <w:rPr>
          <w:rFonts w:hint="eastAsia" w:ascii="仿宋_GB2312" w:hAnsi="仿宋_GB2312" w:eastAsia="仿宋_GB2312" w:cs="仿宋_GB2312"/>
          <w:color w:val="000000"/>
          <w:kern w:val="0"/>
          <w:sz w:val="32"/>
          <w:szCs w:val="32"/>
          <w:shd w:val="clear" w:color="auto" w:fill="FFFFFF"/>
        </w:rPr>
        <w:t>万元，完成当年项目</w:t>
      </w:r>
      <w:r>
        <w:rPr>
          <w:rFonts w:hint="eastAsia" w:ascii="仿宋_GB2312" w:hAnsi="仿宋_GB2312" w:eastAsia="仿宋_GB2312" w:cs="仿宋_GB2312"/>
          <w:color w:val="000000"/>
          <w:kern w:val="0"/>
          <w:sz w:val="32"/>
          <w:szCs w:val="32"/>
          <w:shd w:val="clear" w:color="auto" w:fill="FFFFFF"/>
          <w:lang w:val="en-US" w:eastAsia="zh-CN"/>
        </w:rPr>
        <w:t>调整</w:t>
      </w:r>
      <w:r>
        <w:rPr>
          <w:rFonts w:hint="eastAsia" w:ascii="仿宋_GB2312" w:hAnsi="仿宋_GB2312" w:eastAsia="仿宋_GB2312" w:cs="仿宋_GB2312"/>
          <w:color w:val="000000"/>
          <w:kern w:val="0"/>
          <w:sz w:val="32"/>
          <w:szCs w:val="32"/>
          <w:shd w:val="clear" w:color="auto" w:fill="FFFFFF"/>
        </w:rPr>
        <w:t>预算收入占比</w:t>
      </w:r>
      <w:r>
        <w:rPr>
          <w:rFonts w:hint="eastAsia" w:ascii="仿宋_GB2312" w:hAnsi="仿宋_GB2312" w:eastAsia="仿宋_GB2312" w:cs="仿宋_GB2312"/>
          <w:color w:val="000000"/>
          <w:kern w:val="0"/>
          <w:sz w:val="32"/>
          <w:szCs w:val="32"/>
          <w:shd w:val="clear" w:color="auto" w:fill="FFFFFF"/>
          <w:lang w:val="en-US" w:eastAsia="zh-CN"/>
        </w:rPr>
        <w:t>100</w:t>
      </w:r>
      <w:r>
        <w:rPr>
          <w:rFonts w:hint="eastAsia" w:ascii="仿宋_GB2312" w:hAnsi="仿宋_GB2312" w:eastAsia="仿宋_GB2312" w:cs="仿宋_GB2312"/>
          <w:color w:val="000000"/>
          <w:kern w:val="0"/>
          <w:sz w:val="32"/>
          <w:szCs w:val="32"/>
          <w:shd w:val="clear" w:color="auto" w:fill="FFFFFF"/>
        </w:rPr>
        <w:t>%。分项目如下：</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eastAsia="zh-CN"/>
        </w:rPr>
        <w:t>抚恤支出</w:t>
      </w:r>
      <w:r>
        <w:rPr>
          <w:rStyle w:val="17"/>
          <w:rFonts w:hint="eastAsia" w:ascii="仿宋" w:hAnsi="仿宋" w:eastAsia="仿宋"/>
          <w:bCs/>
          <w:color w:val="000000"/>
          <w:sz w:val="32"/>
          <w:szCs w:val="32"/>
        </w:rPr>
        <w:t>（208</w:t>
      </w:r>
      <w:r>
        <w:rPr>
          <w:rStyle w:val="17"/>
          <w:rFonts w:hint="eastAsia" w:ascii="仿宋" w:hAnsi="仿宋" w:eastAsia="仿宋"/>
          <w:bCs/>
          <w:color w:val="000000"/>
          <w:sz w:val="32"/>
          <w:szCs w:val="32"/>
          <w:lang w:val="en-US" w:eastAsia="zh-CN"/>
        </w:rPr>
        <w:t>08</w:t>
      </w:r>
      <w:r>
        <w:rPr>
          <w:rStyle w:val="17"/>
          <w:rFonts w:hint="eastAsia" w:ascii="仿宋" w:hAnsi="仿宋" w:eastAsia="仿宋"/>
          <w:bCs/>
          <w:color w:val="000000"/>
          <w:sz w:val="32"/>
          <w:szCs w:val="32"/>
        </w:rPr>
        <w:t>）</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highlight w:val="none"/>
          <w:lang w:val="en-US" w:eastAsia="zh-CN"/>
        </w:rPr>
        <w:t>1444.04</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
          <w:bCs w:val="0"/>
          <w:color w:val="000000"/>
          <w:sz w:val="32"/>
          <w:szCs w:val="32"/>
          <w:lang w:eastAsia="zh-CN"/>
        </w:rPr>
        <w:t>拥军优属支出（</w:t>
      </w:r>
      <w:r>
        <w:rPr>
          <w:rStyle w:val="17"/>
          <w:rFonts w:hint="eastAsia" w:ascii="仿宋" w:hAnsi="仿宋" w:eastAsia="仿宋"/>
          <w:b/>
          <w:bCs w:val="0"/>
          <w:color w:val="000000"/>
          <w:sz w:val="32"/>
          <w:szCs w:val="32"/>
          <w:lang w:val="en-US" w:eastAsia="zh-CN"/>
        </w:rPr>
        <w:t>2082804</w:t>
      </w:r>
      <w:r>
        <w:rPr>
          <w:rStyle w:val="17"/>
          <w:rFonts w:hint="eastAsia" w:ascii="仿宋" w:hAnsi="仿宋" w:eastAsia="仿宋"/>
          <w:b/>
          <w:bCs w:val="0"/>
          <w:color w:val="000000"/>
          <w:sz w:val="32"/>
          <w:szCs w:val="32"/>
          <w:lang w:eastAsia="zh-CN"/>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highlight w:val="none"/>
          <w:lang w:val="en-US" w:eastAsia="zh-CN"/>
        </w:rPr>
        <w:t>191.7</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其他退役军人事务管理支出（</w:t>
      </w:r>
      <w:r>
        <w:rPr>
          <w:rFonts w:hint="eastAsia" w:ascii="仿宋_GB2312" w:hAnsi="仿宋_GB2312" w:eastAsia="仿宋_GB2312" w:cs="仿宋_GB2312"/>
          <w:b/>
          <w:bCs/>
          <w:sz w:val="32"/>
          <w:szCs w:val="32"/>
          <w:lang w:val="en-US" w:eastAsia="zh-CN"/>
        </w:rPr>
        <w:t>2082899</w:t>
      </w:r>
      <w:r>
        <w:rPr>
          <w:rFonts w:hint="eastAsia" w:ascii="仿宋_GB2312" w:hAnsi="仿宋_GB2312" w:eastAsia="仿宋_GB2312" w:cs="仿宋_GB2312"/>
          <w:b/>
          <w:bCs/>
          <w:sz w:val="32"/>
          <w:szCs w:val="32"/>
          <w:lang w:eastAsia="zh-CN"/>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highlight w:val="none"/>
          <w:lang w:val="en-US" w:eastAsia="zh-CN"/>
        </w:rPr>
        <w:t>320.43</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2"/>
        <w:ind w:left="0" w:leftChars="0" w:firstLine="642" w:firstLineChars="200"/>
        <w:rPr>
          <w:rFonts w:hint="default"/>
          <w:lang w:val="en-US" w:eastAsia="zh-CN"/>
        </w:rPr>
      </w:pPr>
      <w:r>
        <w:rPr>
          <w:rFonts w:hint="eastAsia" w:ascii="仿宋_GB2312" w:hAnsi="仿宋_GB2312" w:eastAsia="仿宋_GB2312" w:cs="仿宋_GB2312"/>
          <w:b/>
          <w:bCs/>
          <w:sz w:val="32"/>
          <w:szCs w:val="32"/>
          <w:lang w:val="en-US" w:eastAsia="zh-CN"/>
        </w:rPr>
        <w:t>一般行政管理事务支出（2082802）：</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0.24万元，完成预算100%。</w:t>
      </w:r>
    </w:p>
    <w:p>
      <w:pPr>
        <w:spacing w:line="600" w:lineRule="exact"/>
        <w:ind w:firstLine="642"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农林水支出（213）</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0.4</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3.当年目标任务完成情况：</w:t>
      </w:r>
    </w:p>
    <w:p>
      <w:pPr>
        <w:keepNext w:val="0"/>
        <w:keepLines w:val="0"/>
        <w:pageBreakBefore w:val="0"/>
        <w:kinsoku/>
        <w:wordWrap/>
        <w:overflowPunct/>
        <w:topLinePunct w:val="0"/>
        <w:autoSpaceDE/>
        <w:autoSpaceDN/>
        <w:bidi w:val="0"/>
        <w:adjustRightInd w:val="0"/>
        <w:snapToGrid w:val="0"/>
        <w:spacing w:line="576" w:lineRule="exact"/>
        <w:ind w:firstLine="642" w:firstLineChars="200"/>
        <w:textAlignment w:val="auto"/>
        <w:rPr>
          <w:rStyle w:val="17"/>
          <w:rFonts w:hint="eastAsia" w:ascii="仿宋" w:hAnsi="仿宋" w:eastAsia="仿宋" w:cs="Times New Roman"/>
          <w:b w:val="0"/>
          <w:bCs/>
          <w:color w:val="000000"/>
          <w:sz w:val="32"/>
          <w:szCs w:val="32"/>
        </w:rPr>
      </w:pPr>
      <w:r>
        <w:rPr>
          <w:rFonts w:hint="eastAsia" w:ascii="楷体_GB2312" w:hAnsi="楷体_GB2312" w:eastAsia="楷体_GB2312" w:cs="楷体_GB2312"/>
          <w:b/>
          <w:bCs/>
          <w:sz w:val="32"/>
          <w:szCs w:val="32"/>
          <w:lang w:val="en-US" w:eastAsia="zh-CN"/>
        </w:rPr>
        <w:t>1、</w:t>
      </w:r>
      <w:r>
        <w:rPr>
          <w:rStyle w:val="17"/>
          <w:rFonts w:hint="eastAsia" w:ascii="仿宋" w:hAnsi="仿宋" w:eastAsia="仿宋" w:cs="Times New Roman"/>
          <w:b w:val="0"/>
          <w:bCs/>
          <w:color w:val="000000"/>
          <w:sz w:val="32"/>
          <w:szCs w:val="32"/>
        </w:rPr>
        <w:t>织密服务网，全面优化保障体系建设。一是认真实施“十四五”规划落地。持续做好“两项改革”“后半篇”文章工作。着眼增强“军”的特色，坚持对标上级要求和任务清单，加强统筹协调，持续高标准、高质效推进区、乡镇、村（社区）三级服务保障体系建设，推动“两项改革”“后半篇”文章落实落地。二是顺利完成2021年度全国示范型服务站创建目标任务。按照省、市关于退役军人服务中心（站）示范创建工作要求，区退役军人服务中心通过召开培训会、实地调研指导等方式，深入乡镇、村（社区）扎实开展创建工作。三是全面完成“兵支书”建档立卡工作。充分发挥乡镇、村（社区）服务站的积极有效作用，对我区退役军人“兵支书”人员进行全盘摸底了解，规范登记、录入“兵支书”基础电子档案，并按时间节点完成了“兵支书”的建档立卡、审核备案和上报工作。目前，全区建档立卡的“兵支书”人员共计66名。</w:t>
      </w:r>
    </w:p>
    <w:p>
      <w:pPr>
        <w:keepNext w:val="0"/>
        <w:keepLines w:val="0"/>
        <w:pageBreakBefore w:val="0"/>
        <w:kinsoku/>
        <w:wordWrap/>
        <w:overflowPunct/>
        <w:topLinePunct w:val="0"/>
        <w:autoSpaceDE/>
        <w:autoSpaceDN/>
        <w:bidi w:val="0"/>
        <w:adjustRightInd w:val="0"/>
        <w:snapToGrid w:val="0"/>
        <w:spacing w:line="576" w:lineRule="exact"/>
        <w:ind w:firstLine="642" w:firstLineChars="200"/>
        <w:textAlignment w:val="auto"/>
        <w:rPr>
          <w:rStyle w:val="17"/>
          <w:rFonts w:hint="eastAsia" w:ascii="仿宋" w:hAnsi="仿宋" w:eastAsia="仿宋" w:cs="Times New Roman"/>
          <w:b w:val="0"/>
          <w:bCs/>
          <w:color w:val="000000"/>
          <w:sz w:val="32"/>
          <w:szCs w:val="32"/>
        </w:rPr>
      </w:pPr>
      <w:r>
        <w:rPr>
          <w:rFonts w:hint="eastAsia" w:ascii="楷体_GB2312" w:hAnsi="楷体_GB2312" w:eastAsia="楷体_GB2312" w:cs="楷体_GB2312"/>
          <w:b/>
          <w:bCs/>
          <w:sz w:val="32"/>
          <w:szCs w:val="32"/>
          <w:lang w:val="en-US" w:eastAsia="zh-CN"/>
        </w:rPr>
        <w:t>2、</w:t>
      </w:r>
      <w:r>
        <w:rPr>
          <w:rStyle w:val="17"/>
          <w:rFonts w:hint="eastAsia" w:ascii="仿宋" w:hAnsi="仿宋" w:eastAsia="仿宋" w:cs="Times New Roman"/>
          <w:b w:val="0"/>
          <w:bCs/>
          <w:color w:val="000000"/>
          <w:sz w:val="32"/>
          <w:szCs w:val="32"/>
        </w:rPr>
        <w:t>谋划大棋局，推动业务工作稳步开展。一是双拥优抚褒扬工作扎实开展。2021年，按时发放各类优抚抚恤补助资金1300余万元，开展退伍军人补评残等级评定3人，转残疾军人伤残抚恤关系2人，帮助伤残军人换证98人，对87名优抚对象给予医疗救助17余万元。二是安置就业创业工作稳步推进。顺利安置2021年退役转业士官4人。成功举办2021年退役军人暨军人家属就业创业专场招聘会3场，共吸引260多名退役军人参与，促成80名退役军人达成就业意向。三是信访稳定工作持续向好。按照“属地管理、分级负责”和“谁主管、谁负责”的原则，全面落实信访稳定责任，各类信访问题得到及时有效化解，退役军人队伍安全稳定形势持续向好。2021年，共接待来访人员450人次，其中信访接待95人次，积极落实区人民政府转办、交办的2件信访事项，提供了司法援助，按规定做到及时回复、及时办理。四是抗美援朝老兵党史宣讲和口述史整理工作圆满完成。通过组建抗美援朝老兵宣讲团，结合区委党史主题教育活动要求，深入乡镇、社区、机关、学校等场所，为干部、学生和基层群众等进行红色文化宣讲20余场次;通过组织专业团队，采用进村入户、上门走访的方式，对我区目前健在的40名抗美援朝老兵逐一进行了走访与拍摄，并根据老兵现有的文献资料及口述内容整理成册，编印成读本《朝天区抗美援朝老兵事迹汇编》100余册。五是重点民生实</w:t>
      </w:r>
      <w:r>
        <w:rPr>
          <w:rFonts w:hint="eastAsia" w:ascii="仿宋_GB2312" w:hAnsi="仿宋_GB2312" w:eastAsia="仿宋_GB2312" w:cs="仿宋_GB2312"/>
          <w:b/>
          <w:sz w:val="32"/>
          <w:szCs w:val="32"/>
        </w:rPr>
        <w:t>事</w:t>
      </w:r>
      <w:r>
        <w:rPr>
          <w:rStyle w:val="17"/>
          <w:rFonts w:hint="eastAsia" w:ascii="仿宋" w:hAnsi="仿宋" w:eastAsia="仿宋" w:cs="Times New Roman"/>
          <w:b w:val="0"/>
          <w:bCs/>
          <w:color w:val="000000"/>
          <w:sz w:val="32"/>
          <w:szCs w:val="32"/>
        </w:rPr>
        <w:t>工作全面落实。全面完成烈士陵园修缮改造和11处分散烈士纪念设施整修工程，圆满承办2021年朝天区全国第8个烈士纪念日公祭献花活动，高质量完成朝天籍2名烈士朱贵生、孙华林遗骸回迁工作。</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Style w:val="17"/>
          <w:rFonts w:hint="eastAsia" w:ascii="仿宋" w:hAnsi="仿宋" w:eastAsia="仿宋" w:cs="Times New Roman"/>
          <w:b w:val="0"/>
          <w:bCs/>
          <w:color w:val="000000"/>
          <w:sz w:val="32"/>
          <w:szCs w:val="32"/>
        </w:rPr>
      </w:pPr>
      <w:r>
        <w:rPr>
          <w:rStyle w:val="17"/>
          <w:rFonts w:hint="eastAsia" w:ascii="仿宋" w:hAnsi="仿宋" w:eastAsia="仿宋" w:cs="Times New Roman"/>
          <w:b w:val="0"/>
          <w:bCs/>
          <w:color w:val="000000"/>
          <w:sz w:val="32"/>
          <w:szCs w:val="32"/>
          <w:lang w:val="en-US" w:eastAsia="zh-CN"/>
        </w:rPr>
        <w:t>3、</w:t>
      </w:r>
      <w:r>
        <w:rPr>
          <w:rStyle w:val="17"/>
          <w:rFonts w:hint="eastAsia" w:ascii="仿宋" w:hAnsi="仿宋" w:eastAsia="仿宋" w:cs="Times New Roman"/>
          <w:b w:val="0"/>
          <w:bCs/>
          <w:color w:val="000000"/>
          <w:sz w:val="32"/>
          <w:szCs w:val="32"/>
        </w:rPr>
        <w:t>开启大引擎，自身建设有序有力推进。一是切实抓好党建工作。认真组织学习贯彻党的十九届五中、六中全会精神和四川省委第十一届八次、九次、十次全会精神，严格执行“三会一课”制度，精心组织主题党日活动。二是坚决守好意识形态阵地。全力加强领导干部和干部职工意识形态领域的教育引导，制定党组理论学习中心组学习计划，结合本单位实际，进行专题理论学习。三是着力提升业务工作能力。深入开展“学业务、研业务、精业务”活动，组织系统干部深入学习《退役军人保障法》《兵役法》《退役士兵安置条例》《军人优抚抚恤条例》《英雄烈士保护法》《烈士褒扬条例》等法律法规，全面提升工作队伍整体能力水平。四是强化队伍建设。在全区范围内着力打造“兵之书、兵站长、兵老总、兵志愿者”四支队伍，经验文章《广元市朝天区建强“四支队伍”助推地方经济社会发展》被省厅专报刊发，并在全省交流。</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（二）结果应用情况</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2021年，通过全年预算绩效自评，基本都按预算执行，按照区财政预决算信息公开工作要求，积极推进预算绩效管理工作信息向社会公开，2021年度，按照区财政批复的2021年度年初预算和2021年度决算均在区政府网站全面公开。</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（三）自评质量</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按照区财政局（广朝财发〔2022〕28号）要求</w:t>
      </w:r>
      <w:r>
        <w:rPr>
          <w:rFonts w:hint="eastAsia" w:ascii="仿宋_GB2312" w:hAnsi="仿宋_GB2312" w:eastAsia="仿宋_GB2312" w:cs="仿宋_GB2312"/>
          <w:color w:val="000000"/>
          <w:kern w:val="0"/>
          <w:sz w:val="32"/>
          <w:szCs w:val="32"/>
          <w:shd w:val="clear" w:color="auto" w:fill="FFFFFF"/>
          <w:lang w:eastAsia="zh-CN"/>
        </w:rPr>
        <w:t>，成立了</w:t>
      </w:r>
      <w:r>
        <w:rPr>
          <w:rFonts w:hint="eastAsia" w:ascii="仿宋_GB2312" w:hAnsi="仿宋_GB2312" w:eastAsia="仿宋_GB2312" w:cs="仿宋_GB2312"/>
          <w:color w:val="000000"/>
          <w:kern w:val="0"/>
          <w:sz w:val="32"/>
          <w:szCs w:val="32"/>
          <w:shd w:val="clear" w:color="auto" w:fill="FFFFFF"/>
        </w:rPr>
        <w:t>局长任组长</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分管</w:t>
      </w:r>
      <w:r>
        <w:rPr>
          <w:rFonts w:hint="eastAsia" w:ascii="仿宋_GB2312" w:hAnsi="仿宋_GB2312" w:eastAsia="仿宋_GB2312" w:cs="仿宋_GB2312"/>
          <w:color w:val="000000"/>
          <w:kern w:val="0"/>
          <w:sz w:val="32"/>
          <w:szCs w:val="32"/>
          <w:shd w:val="clear" w:color="auto" w:fill="FFFFFF"/>
          <w:lang w:eastAsia="zh-CN"/>
        </w:rPr>
        <w:t>财务副局长</w:t>
      </w:r>
      <w:r>
        <w:rPr>
          <w:rFonts w:hint="eastAsia" w:ascii="仿宋_GB2312" w:hAnsi="仿宋_GB2312" w:eastAsia="仿宋_GB2312" w:cs="仿宋_GB2312"/>
          <w:color w:val="000000"/>
          <w:kern w:val="0"/>
          <w:sz w:val="32"/>
          <w:szCs w:val="32"/>
          <w:shd w:val="clear" w:color="auto" w:fill="FFFFFF"/>
        </w:rPr>
        <w:t>为副组长</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各股室负责人为成员的预算绩效管理工作领导小组</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强化预算约束，牢固树立过“紧日子”的思想，精心组织预算执行。认真贯彻落实党政机关厉行节约长效机制，严格控制各项行政开支；严格执行</w:t>
      </w:r>
      <w:r>
        <w:rPr>
          <w:rFonts w:hint="eastAsia" w:ascii="仿宋_GB2312" w:hAnsi="仿宋_GB2312" w:eastAsia="仿宋_GB2312" w:cs="仿宋_GB2312"/>
          <w:color w:val="000000"/>
          <w:kern w:val="0"/>
          <w:sz w:val="32"/>
          <w:szCs w:val="32"/>
          <w:shd w:val="clear" w:color="auto" w:fill="FFFFFF"/>
          <w:lang w:eastAsia="zh-CN"/>
        </w:rPr>
        <w:t>中央八项规定</w:t>
      </w:r>
      <w:r>
        <w:rPr>
          <w:rFonts w:hint="eastAsia" w:ascii="仿宋_GB2312" w:hAnsi="仿宋_GB2312" w:eastAsia="仿宋_GB2312" w:cs="仿宋_GB2312"/>
          <w:color w:val="000000"/>
          <w:kern w:val="0"/>
          <w:sz w:val="32"/>
          <w:szCs w:val="32"/>
          <w:shd w:val="clear" w:color="auto" w:fill="FFFFFF"/>
        </w:rPr>
        <w:t>，压缩部门运行经费支出。认真贯彻执行《采购法》，严格按照批复的政府采购预算组织实施政府采购；强化绩效目标管理，加快预算执行进度，做好预算绩效监控，实行绩效目标与预算执行“双监控”，确保绩效目标如期保质保量实现。</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四、自评结论及建议</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（一）自评结论</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2021年度，我局严格按照区委区政府的总体目标要求，全面完成年初区下达的各项目标任务。通过这些项目的实施，保障了局机关人员支出、单位正常运转。</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通过自评，2021年度部门整体评价等次为：优。</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（二）存在问题</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是年初预算不够明确和精细化，存在预算漏项，导致预算执行中追加预算现象；二是预算编制质量需进一步提高，在政府采购过程细节资料方面有待完善；三是人员素质有待进一步提高。由于预算绩效管理工作开展时间较短，加上缺乏系统的培训，对预算绩效管理理解不充分，对预算绩效管理业务不了解、不熟悉，对工作重点把握不到位；四是评价指标体系需要进一步完善。五是绩效评价结果应用有差距。仅仅只停留在财政预决算政府公开层面。</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（三）改进建议</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通过自评，真实、全面地掌握和了解了单位贯彻执行财经纪律情况、部门预算执行情况。下一步，我局将主要从以下几个方面着手进行改进：一是加强《预算法》学习、根据来年全局工作谋划，科学、合理的编制部门预算，做到精准化、明细化，确保预算不漏项；二是加强绩效目标管理和审核，将绩效目标设置作为预算安排的前置条件，提高绩效目标编报质量，形成项目实施、监控、结果评价的依据；三是加强评价指标体系建设。进一步汇总梳理以前年度制定的指标，充实完善个性指标库，建立指标更新机制，做到随时更新、完善；四是积极运用绩效评价结果。建立完善绩效评价结果的反馈和运用机制，将评价结果作为安排以后年度预算的重要依据，切实发挥绩效评价工作的应有作用；</w:t>
      </w:r>
      <w:r>
        <w:rPr>
          <w:rFonts w:hint="eastAsia" w:ascii="仿宋_GB2312" w:hAnsi="仿宋_GB2312" w:eastAsia="仿宋_GB2312" w:cs="仿宋_GB2312"/>
          <w:color w:val="000000"/>
          <w:kern w:val="0"/>
          <w:sz w:val="32"/>
          <w:szCs w:val="32"/>
          <w:shd w:val="clear" w:color="auto" w:fill="FFFFFF"/>
          <w:lang w:val="en-US" w:eastAsia="zh-CN"/>
        </w:rPr>
        <w:t>五</w:t>
      </w:r>
      <w:r>
        <w:rPr>
          <w:rFonts w:hint="eastAsia" w:ascii="仿宋_GB2312" w:hAnsi="仿宋_GB2312" w:eastAsia="仿宋_GB2312" w:cs="仿宋_GB2312"/>
          <w:color w:val="000000"/>
          <w:kern w:val="0"/>
          <w:sz w:val="32"/>
          <w:szCs w:val="32"/>
          <w:shd w:val="clear" w:color="auto" w:fill="FFFFFF"/>
        </w:rPr>
        <w:t>是加强财务人员党风廉政教育，提升财务管理水平和服务技能，强化业务知识学习，不断提高业务水平和工作能力。</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附表：</w:t>
      </w:r>
      <w:r>
        <w:rPr>
          <w:rFonts w:hint="eastAsia" w:ascii="Calibri" w:hAnsi="Calibri" w:eastAsia="仿宋_GB2312" w:cs="Calibri"/>
          <w:color w:val="000000"/>
          <w:kern w:val="0"/>
          <w:sz w:val="32"/>
          <w:szCs w:val="32"/>
          <w:shd w:val="clear" w:color="auto" w:fill="FFFFFF"/>
          <w:lang w:val="en-US" w:eastAsia="zh-CN"/>
        </w:rPr>
        <w:t>1-1</w:t>
      </w:r>
      <w:r>
        <w:rPr>
          <w:rFonts w:hint="eastAsia" w:ascii="仿宋_GB2312" w:hAnsi="仿宋_GB2312" w:eastAsia="仿宋_GB2312" w:cs="仿宋_GB2312"/>
          <w:color w:val="000000"/>
          <w:kern w:val="0"/>
          <w:sz w:val="32"/>
          <w:szCs w:val="32"/>
          <w:shd w:val="clear" w:color="auto" w:fill="FFFFFF"/>
        </w:rPr>
        <w:t>部门整体支出绩效目标自评表</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      </w:t>
      </w:r>
      <w:r>
        <w:rPr>
          <w:rFonts w:hint="eastAsia" w:ascii="Calibri" w:hAnsi="Calibri" w:eastAsia="仿宋_GB2312" w:cs="Calibri"/>
          <w:color w:val="000000"/>
          <w:kern w:val="0"/>
          <w:sz w:val="32"/>
          <w:szCs w:val="32"/>
          <w:shd w:val="clear" w:color="auto" w:fill="FFFFFF"/>
          <w:lang w:val="en-US" w:eastAsia="zh-CN"/>
        </w:rPr>
        <w:t xml:space="preserve">1-2 </w:t>
      </w: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21</w:t>
      </w:r>
      <w:r>
        <w:rPr>
          <w:rFonts w:hint="eastAsia" w:ascii="仿宋_GB2312" w:hAnsi="仿宋_GB2312" w:eastAsia="仿宋_GB2312" w:cs="仿宋_GB2312"/>
          <w:color w:val="000000"/>
          <w:kern w:val="0"/>
          <w:sz w:val="32"/>
          <w:szCs w:val="32"/>
          <w:shd w:val="clear" w:color="auto" w:fill="FFFFFF"/>
        </w:rPr>
        <w:t>年部门整体支出绩效自评评分表</w:t>
      </w:r>
    </w:p>
    <w:p>
      <w:pPr>
        <w:autoSpaceDE w:val="0"/>
        <w:spacing w:line="576" w:lineRule="exact"/>
        <w:jc w:val="left"/>
        <w:rPr>
          <w:rFonts w:hint="eastAsia" w:ascii="仿宋_GB2312" w:hAnsi="Times New Roman" w:eastAsia="仿宋_GB2312" w:cs="Times New Roman"/>
          <w:sz w:val="32"/>
          <w:szCs w:val="32"/>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tbl>
      <w:tblPr>
        <w:tblStyle w:val="15"/>
        <w:tblW w:w="8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754"/>
        <w:gridCol w:w="659"/>
        <w:gridCol w:w="1534"/>
        <w:gridCol w:w="1625"/>
        <w:gridCol w:w="2285"/>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458"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32"/>
                <w:szCs w:val="32"/>
                <w:u w:val="none"/>
                <w:lang w:val="en-US" w:eastAsia="zh-CN" w:bidi="ar"/>
              </w:rPr>
              <w:t>附表</w:t>
            </w:r>
            <w:r>
              <w:rPr>
                <w:rFonts w:hint="eastAsia" w:ascii="Calibri" w:hAnsi="Calibri" w:eastAsia="黑体" w:cs="Calibri"/>
                <w:i w:val="0"/>
                <w:iCs w:val="0"/>
                <w:color w:val="000000"/>
                <w:kern w:val="0"/>
                <w:sz w:val="32"/>
                <w:szCs w:val="3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8458"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36"/>
                <w:szCs w:val="36"/>
                <w:u w:val="none"/>
                <w:lang w:val="en-US" w:eastAsia="zh-CN" w:bidi="ar"/>
              </w:rPr>
              <w:t>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458"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58"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部门（单位）盖章：广元市朝天区</w:t>
            </w:r>
            <w:r>
              <w:rPr>
                <w:rFonts w:hint="eastAsia" w:ascii="宋体" w:hAnsi="宋体" w:cs="宋体"/>
                <w:i w:val="0"/>
                <w:iCs w:val="0"/>
                <w:color w:val="000000"/>
                <w:kern w:val="0"/>
                <w:sz w:val="18"/>
                <w:szCs w:val="18"/>
                <w:u w:val="none"/>
                <w:lang w:val="en-US" w:eastAsia="zh-CN" w:bidi="ar"/>
              </w:rPr>
              <w:t>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4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广元市朝天区</w:t>
            </w:r>
            <w:r>
              <w:rPr>
                <w:rFonts w:hint="eastAsia" w:ascii="宋体" w:hAnsi="宋体" w:cs="宋体"/>
                <w:b/>
                <w:bCs/>
                <w:i w:val="0"/>
                <w:iCs w:val="0"/>
                <w:color w:val="000000"/>
                <w:kern w:val="0"/>
                <w:sz w:val="18"/>
                <w:szCs w:val="18"/>
                <w:u w:val="none"/>
                <w:lang w:val="en-US" w:eastAsia="zh-CN" w:bidi="ar"/>
              </w:rPr>
              <w:t>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年度主要任务</w:t>
            </w:r>
          </w:p>
        </w:tc>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任务名称</w:t>
            </w:r>
          </w:p>
        </w:tc>
        <w:tc>
          <w:tcPr>
            <w:tcW w:w="4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4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个正式编制的工资、保险、公积金及公用经费和10个定补人员补助等。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人员保障</w:t>
            </w:r>
          </w:p>
        </w:tc>
        <w:tc>
          <w:tcPr>
            <w:tcW w:w="4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保安保洁和大厅工作人员生活补助。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网络保障</w:t>
            </w:r>
          </w:p>
        </w:tc>
        <w:tc>
          <w:tcPr>
            <w:tcW w:w="4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电子监察系统、网络租赁费用。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运行保障</w:t>
            </w:r>
          </w:p>
        </w:tc>
        <w:tc>
          <w:tcPr>
            <w:tcW w:w="4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水费、电费和天然气费用。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办公保障</w:t>
            </w:r>
          </w:p>
        </w:tc>
        <w:tc>
          <w:tcPr>
            <w:tcW w:w="4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房屋租赁及物业管理费用。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预算资金总额（万元）</w:t>
            </w:r>
          </w:p>
        </w:tc>
        <w:tc>
          <w:tcPr>
            <w:tcW w:w="3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2149.96</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实际执行总额（万元）</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2149.96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其中：一般公共预算</w:t>
            </w:r>
          </w:p>
        </w:tc>
        <w:tc>
          <w:tcPr>
            <w:tcW w:w="3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2149.96</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2149.96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4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目标1：退役军人事务局20</w:t>
            </w:r>
            <w:r>
              <w:rPr>
                <w:rFonts w:hint="eastAsia" w:ascii="宋体" w:hAnsi="宋体" w:cs="宋体"/>
                <w:i w:val="0"/>
                <w:iCs w:val="0"/>
                <w:color w:val="000000"/>
                <w:kern w:val="0"/>
                <w:sz w:val="18"/>
                <w:szCs w:val="18"/>
                <w:u w:val="none"/>
                <w:lang w:val="en-US" w:eastAsia="zh-CN" w:bidi="ar"/>
              </w:rPr>
              <w:t>21</w:t>
            </w:r>
            <w:r>
              <w:rPr>
                <w:rFonts w:hint="eastAsia" w:ascii="宋体" w:hAnsi="宋体" w:eastAsia="宋体" w:cs="宋体"/>
                <w:i w:val="0"/>
                <w:iCs w:val="0"/>
                <w:color w:val="000000"/>
                <w:kern w:val="0"/>
                <w:sz w:val="18"/>
                <w:szCs w:val="18"/>
                <w:u w:val="none"/>
                <w:lang w:val="en-US" w:eastAsia="zh-CN" w:bidi="ar"/>
              </w:rPr>
              <w:t>年在编人员全年工资福利及养老保险、公积金、医疗保险、生育险、绩效工资以及日常办公采购用品、水、电、气一些列的开支。                                                        目标2：完成所有优抚对象、军转干部、部分退役士兵优抚补助的发放。</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目标1：完成在编人员全年工资福利及养老保险、公积金、医疗保险、生育险、绩效工资以及日常办公采购用品、水、电、气一些列的开支。                                目标2：已完成所有优抚对象、军转干部、部分退役士兵优抚补助的发放。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预期指标值</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（包含数字及文字描述）</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实际完成指标值</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（包含数字及文字描述</w:t>
            </w:r>
            <w:r>
              <w:rPr>
                <w:rFonts w:hint="eastAsia" w:ascii="宋体" w:hAnsi="宋体" w:eastAsia="宋体" w:cs="宋体"/>
                <w:i w:val="0"/>
                <w:iCs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财政供养人员</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12人</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12人</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补助</w:t>
            </w:r>
            <w:r>
              <w:rPr>
                <w:rFonts w:hint="eastAsia" w:ascii="宋体" w:hAnsi="宋体" w:eastAsia="宋体" w:cs="宋体"/>
                <w:i w:val="0"/>
                <w:iCs w:val="0"/>
                <w:color w:val="000000"/>
                <w:kern w:val="0"/>
                <w:sz w:val="15"/>
                <w:szCs w:val="15"/>
                <w:u w:val="none"/>
                <w:lang w:val="en-US" w:eastAsia="zh-CN" w:bidi="ar"/>
              </w:rPr>
              <w:t>对象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2300</w:t>
            </w:r>
            <w:r>
              <w:rPr>
                <w:rFonts w:hint="eastAsia" w:ascii="宋体" w:hAnsi="宋体" w:eastAsia="宋体" w:cs="宋体"/>
                <w:i w:val="0"/>
                <w:iCs w:val="0"/>
                <w:color w:val="000000"/>
                <w:kern w:val="0"/>
                <w:sz w:val="18"/>
                <w:szCs w:val="18"/>
                <w:u w:val="none"/>
                <w:lang w:val="en-US" w:eastAsia="zh-CN" w:bidi="ar"/>
              </w:rPr>
              <w:t>余人</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2300</w:t>
            </w:r>
            <w:r>
              <w:rPr>
                <w:rFonts w:hint="eastAsia" w:ascii="宋体" w:hAnsi="宋体" w:eastAsia="宋体" w:cs="宋体"/>
                <w:i w:val="0"/>
                <w:iCs w:val="0"/>
                <w:color w:val="000000"/>
                <w:kern w:val="0"/>
                <w:sz w:val="18"/>
                <w:szCs w:val="18"/>
                <w:u w:val="none"/>
                <w:lang w:val="en-US" w:eastAsia="zh-CN" w:bidi="ar"/>
              </w:rPr>
              <w:t>余人</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电影《老兵刀锋》</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金财网</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三公经费控制率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公共财政支出进度</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服务对象补助</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行政效能</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2021年全年</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2021年全年</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各项补贴资金发放及时率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各项补贴资金发放及时率</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工资发放及时率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工资发放及时率</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补助到位及时率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补助到位及时率</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财政供养人员支出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193.15万元</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193.15万元</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服务</w:t>
            </w:r>
            <w:r>
              <w:rPr>
                <w:rFonts w:hint="eastAsia" w:ascii="宋体" w:hAnsi="宋体" w:eastAsia="宋体" w:cs="宋体"/>
                <w:i w:val="0"/>
                <w:iCs w:val="0"/>
                <w:color w:val="000000"/>
                <w:kern w:val="0"/>
                <w:sz w:val="15"/>
                <w:szCs w:val="15"/>
                <w:u w:val="none"/>
                <w:lang w:val="en-US" w:eastAsia="zh-CN" w:bidi="ar"/>
              </w:rPr>
              <w:t>对象支出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1886.57万元</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1886.57万元</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电影《老兵刀锋》拍摄费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70万元</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70万元</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金财网支出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0.24万元</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0.24万元</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政策知晓率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5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让退役军人成为全社会最尊崇的职业</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无</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无</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无</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培养干部职工的爱国主义、集体主义精神和社会主义道德风尚</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持续稳步提升</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持续稳步提升</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促进社会稳定</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持续稳步提升</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持续稳步提升</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退役军人服务保障满意度</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spacing w:line="572" w:lineRule="exact"/>
        <w:ind w:firstLine="640" w:firstLineChars="200"/>
        <w:contextualSpacing/>
        <w:jc w:val="center"/>
        <w:textAlignment w:val="auto"/>
        <w:rPr>
          <w:rFonts w:ascii="仿宋_GB2312" w:hAnsi="宋体" w:eastAsia="仿宋_GB2312"/>
          <w:color w:val="auto"/>
          <w:sz w:val="32"/>
          <w:szCs w:val="32"/>
          <w:highlight w:val="none"/>
          <w:shd w:val="clear" w:color="auto" w:fill="FFFFFF"/>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bookmarkEnd w:id="58"/>
    <w:p>
      <w:pPr>
        <w:keepNext w:val="0"/>
        <w:keepLines w:val="0"/>
        <w:widowControl w:val="0"/>
        <w:suppressLineNumbers w:val="0"/>
        <w:spacing w:before="0" w:beforeAutospacing="0" w:after="0" w:afterAutospacing="0"/>
        <w:ind w:left="0" w:right="0"/>
        <w:jc w:val="both"/>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附件2</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方正小标宋_GBK" w:hAnsi="方正小标宋_GBK" w:eastAsia="方正小标宋_GBK" w:cs="方正小标宋_GBK"/>
          <w:bCs/>
          <w:color w:val="000000"/>
          <w:spacing w:val="-6"/>
          <w:kern w:val="0"/>
          <w:sz w:val="44"/>
          <w:szCs w:val="44"/>
          <w:lang w:val="en-US"/>
        </w:rPr>
      </w:pPr>
      <w:r>
        <w:rPr>
          <w:rFonts w:hint="eastAsia" w:ascii="方正小标宋_GBK" w:hAnsi="方正小标宋_GBK" w:eastAsia="方正小标宋_GBK" w:cs="方正小标宋_GBK"/>
          <w:bCs/>
          <w:color w:val="000000"/>
          <w:spacing w:val="-6"/>
          <w:kern w:val="0"/>
          <w:sz w:val="44"/>
          <w:szCs w:val="44"/>
          <w:lang w:val="en-US" w:eastAsia="zh-CN" w:bidi="ar"/>
        </w:rPr>
        <w:t>2021年部门项目支出绩效自评报告</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楷体" w:hAnsi="楷体" w:eastAsia="楷体" w:cs="楷体"/>
          <w:spacing w:val="-6"/>
          <w:sz w:val="32"/>
          <w:szCs w:val="32"/>
          <w:lang w:val="en-US"/>
        </w:rPr>
      </w:pPr>
      <w:r>
        <w:rPr>
          <w:rFonts w:hint="eastAsia" w:ascii="楷体" w:hAnsi="楷体" w:eastAsia="楷体" w:cs="楷体"/>
          <w:spacing w:val="-6"/>
          <w:kern w:val="2"/>
          <w:sz w:val="32"/>
          <w:szCs w:val="32"/>
          <w:lang w:val="en-US" w:eastAsia="zh-CN" w:bidi="ar"/>
        </w:rPr>
        <w:t>（优抚对象生活补助项目）</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一、项目概况</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 w:eastAsia="仿宋_GB2312" w:cs="仿宋_GB2312"/>
          <w:sz w:val="32"/>
          <w:szCs w:val="32"/>
          <w:lang w:val="en-US" w:bidi="ar"/>
        </w:rPr>
      </w:pPr>
      <w:r>
        <w:rPr>
          <w:rFonts w:hint="eastAsia" w:ascii="楷体_GB2312" w:hAnsi="楷体_GB2312" w:eastAsia="楷体_GB2312" w:cs="楷体_GB2312"/>
          <w:kern w:val="2"/>
          <w:sz w:val="32"/>
          <w:szCs w:val="32"/>
          <w:lang w:val="en-US" w:eastAsia="zh-CN" w:bidi="ar"/>
        </w:rPr>
        <w:t>（一）项目资金申报及批复情况：</w:t>
      </w:r>
      <w:r>
        <w:rPr>
          <w:rFonts w:hint="eastAsia" w:ascii="仿宋_GB2312" w:hAnsi="仿宋_GB2312" w:eastAsia="仿宋_GB2312" w:cs="仿宋_GB2312"/>
          <w:kern w:val="2"/>
          <w:sz w:val="32"/>
          <w:szCs w:val="32"/>
          <w:lang w:val="en-US" w:eastAsia="zh-CN" w:bidi="ar"/>
        </w:rPr>
        <w:t>2021年，预算我局优抚对象生活补助项目经费1004.13万元，该项目属于财政全额拨款。符合资金管理办法等相关规定。</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zh-CN" w:eastAsia="zh-CN"/>
        </w:rPr>
      </w:pPr>
      <w:r>
        <w:rPr>
          <w:rFonts w:hint="eastAsia" w:ascii="楷体_GB2312" w:hAnsi="楷体_GB2312" w:eastAsia="楷体_GB2312" w:cs="楷体_GB2312"/>
          <w:kern w:val="2"/>
          <w:sz w:val="32"/>
          <w:szCs w:val="32"/>
          <w:lang w:val="en-US" w:eastAsia="zh-CN" w:bidi="ar"/>
        </w:rPr>
        <w:t>（二）项目绩效目标：</w:t>
      </w:r>
      <w:r>
        <w:rPr>
          <w:rFonts w:hint="eastAsia" w:ascii="仿宋_GB2312" w:hAnsi="仿宋" w:eastAsia="仿宋_GB2312" w:cs="仿宋_GB2312"/>
          <w:kern w:val="2"/>
          <w:sz w:val="32"/>
          <w:szCs w:val="32"/>
          <w:lang w:val="en-US" w:eastAsia="zh-CN" w:bidi="ar"/>
        </w:rPr>
        <w:t>年度工作目标是全额发放优抚对象生活补助。</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 w:eastAsia="仿宋_GB2312" w:cs="仿宋_GB2312"/>
          <w:sz w:val="32"/>
          <w:szCs w:val="32"/>
          <w:lang w:val="en-US" w:bidi="ar"/>
        </w:rPr>
      </w:pPr>
      <w:r>
        <w:rPr>
          <w:rFonts w:hint="eastAsia" w:ascii="楷体_GB2312" w:hAnsi="楷体_GB2312" w:eastAsia="楷体_GB2312" w:cs="楷体_GB2312"/>
          <w:kern w:val="2"/>
          <w:sz w:val="32"/>
          <w:szCs w:val="32"/>
          <w:lang w:val="en-US" w:eastAsia="zh-CN" w:bidi="ar"/>
        </w:rPr>
        <w:t>（三）项目资金申报相符性：</w:t>
      </w:r>
      <w:r>
        <w:rPr>
          <w:rFonts w:hint="eastAsia" w:ascii="仿宋_GB2312" w:hAnsi="仿宋" w:eastAsia="仿宋_GB2312" w:cs="仿宋_GB2312"/>
          <w:kern w:val="2"/>
          <w:sz w:val="32"/>
          <w:szCs w:val="32"/>
          <w:lang w:val="en-US" w:eastAsia="zh-CN" w:bidi="ar"/>
        </w:rPr>
        <w:t>优抚对象生活补助项目与具体实施内容相符，项目申报目标合理可行，全年已按预算目标全部执行。</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二、项目实施及管理情况</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（一）资金计划、到位及使用情况</w:t>
      </w:r>
    </w:p>
    <w:p>
      <w:pPr>
        <w:keepNext w:val="0"/>
        <w:keepLines w:val="0"/>
        <w:widowControl w:val="0"/>
        <w:suppressLineNumbers w:val="0"/>
        <w:spacing w:before="0" w:beforeAutospacing="0" w:after="0" w:afterAutospacing="0" w:line="576" w:lineRule="exact"/>
        <w:ind w:left="0" w:right="0" w:firstLine="645"/>
        <w:jc w:val="both"/>
        <w:rPr>
          <w:rFonts w:hint="eastAsia" w:ascii="仿宋_GB2312" w:eastAsia="仿宋_GB2312" w:cs="仿宋_GB2312"/>
          <w:spacing w:val="-6"/>
          <w:sz w:val="32"/>
          <w:szCs w:val="32"/>
          <w:lang w:val="en-US"/>
        </w:rPr>
      </w:pPr>
      <w:r>
        <w:rPr>
          <w:rFonts w:hint="eastAsia" w:ascii="仿宋_GB2312" w:hAnsi="仿宋" w:eastAsia="仿宋_GB2312" w:cs="仿宋_GB2312"/>
          <w:b/>
          <w:bCs/>
          <w:kern w:val="2"/>
          <w:sz w:val="32"/>
          <w:szCs w:val="32"/>
          <w:lang w:val="en-US" w:eastAsia="zh-CN" w:bidi="ar"/>
        </w:rPr>
        <w:t>1.</w:t>
      </w:r>
      <w:r>
        <w:rPr>
          <w:rFonts w:hint="eastAsia" w:ascii="仿宋_GB2312" w:hAnsi="Times New Roman" w:eastAsia="仿宋_GB2312" w:cs="仿宋_GB2312"/>
          <w:b/>
          <w:bCs/>
          <w:spacing w:val="-6"/>
          <w:kern w:val="2"/>
          <w:sz w:val="32"/>
          <w:szCs w:val="32"/>
          <w:lang w:val="en-US" w:eastAsia="zh-CN" w:bidi="ar"/>
        </w:rPr>
        <w:t>资金计划及到位</w:t>
      </w:r>
      <w:r>
        <w:rPr>
          <w:rFonts w:hint="eastAsia" w:ascii="仿宋_GB2312" w:hAnsi="仿宋" w:eastAsia="仿宋_GB2312" w:cs="仿宋_GB2312"/>
          <w:b/>
          <w:bCs/>
          <w:kern w:val="2"/>
          <w:sz w:val="32"/>
          <w:szCs w:val="32"/>
          <w:lang w:val="en-US" w:eastAsia="zh-CN" w:bidi="ar"/>
        </w:rPr>
        <w:t>：</w:t>
      </w:r>
      <w:r>
        <w:rPr>
          <w:rFonts w:hint="eastAsia" w:ascii="仿宋_GB2312" w:hAnsi="仿宋" w:eastAsia="仿宋_GB2312" w:cs="仿宋_GB2312"/>
          <w:kern w:val="2"/>
          <w:sz w:val="32"/>
          <w:szCs w:val="32"/>
          <w:lang w:val="en-US" w:eastAsia="zh-CN" w:bidi="ar"/>
        </w:rPr>
        <w:t>2021年，预算我局优抚对象生活补助1004.13万元，全年实际到位1004.13万元，</w:t>
      </w:r>
      <w:r>
        <w:rPr>
          <w:rFonts w:hint="eastAsia" w:ascii="仿宋_GB2312" w:hAnsi="Times New Roman" w:eastAsia="仿宋_GB2312" w:cs="仿宋_GB2312"/>
          <w:spacing w:val="-6"/>
          <w:kern w:val="2"/>
          <w:sz w:val="32"/>
          <w:szCs w:val="32"/>
          <w:lang w:val="en-US" w:eastAsia="zh-CN" w:bidi="ar"/>
        </w:rPr>
        <w:t>资金到位率100%。</w:t>
      </w:r>
    </w:p>
    <w:p>
      <w:pPr>
        <w:keepNext w:val="0"/>
        <w:keepLines w:val="0"/>
        <w:widowControl w:val="0"/>
        <w:suppressLineNumbers w:val="0"/>
        <w:spacing w:before="0" w:beforeAutospacing="0" w:after="0" w:afterAutospacing="0" w:line="576" w:lineRule="exact"/>
        <w:ind w:left="0" w:right="0" w:firstLine="645"/>
        <w:jc w:val="both"/>
      </w:pPr>
      <w:r>
        <w:rPr>
          <w:rFonts w:hint="eastAsia" w:ascii="仿宋_GB2312" w:hAnsi="仿宋" w:eastAsia="仿宋_GB2312" w:cs="仿宋_GB2312"/>
          <w:b/>
          <w:bCs/>
          <w:kern w:val="2"/>
          <w:sz w:val="32"/>
          <w:szCs w:val="32"/>
          <w:lang w:val="en-US" w:eastAsia="zh-CN" w:bidi="ar"/>
        </w:rPr>
        <w:t>2.资金使用。</w:t>
      </w:r>
      <w:r>
        <w:rPr>
          <w:rFonts w:hint="eastAsia" w:ascii="仿宋_GB2312" w:hAnsi="Times New Roman" w:eastAsia="仿宋_GB2312" w:cs="仿宋_GB2312"/>
          <w:spacing w:val="-6"/>
          <w:kern w:val="2"/>
          <w:sz w:val="32"/>
          <w:szCs w:val="32"/>
          <w:lang w:val="en-US" w:eastAsia="zh-CN" w:bidi="ar"/>
        </w:rPr>
        <w:t>资金开支范围、标准及支付进度均按</w:t>
      </w:r>
      <w:r>
        <w:rPr>
          <w:rFonts w:hint="eastAsia" w:ascii="仿宋_GB2312" w:hAnsi="仿宋" w:eastAsia="仿宋_GB2312" w:cs="仿宋_GB2312"/>
          <w:kern w:val="2"/>
          <w:sz w:val="32"/>
          <w:szCs w:val="32"/>
          <w:lang w:val="en-US" w:eastAsia="zh-CN" w:bidi="ar"/>
        </w:rPr>
        <w:t>年度工作计划和预算安排直接支付，</w:t>
      </w:r>
      <w:r>
        <w:rPr>
          <w:rFonts w:hint="eastAsia" w:ascii="仿宋_GB2312" w:hAnsi="Times New Roman" w:eastAsia="仿宋_GB2312" w:cs="仿宋_GB2312"/>
          <w:spacing w:val="-6"/>
          <w:kern w:val="2"/>
          <w:sz w:val="32"/>
          <w:szCs w:val="32"/>
          <w:lang w:val="en-US" w:eastAsia="zh-CN" w:bidi="ar"/>
        </w:rPr>
        <w:t>做到了依据合规合法，资金支付与预算相符，</w:t>
      </w:r>
      <w:r>
        <w:rPr>
          <w:rFonts w:hint="eastAsia" w:ascii="仿宋_GB2312" w:hAnsi="仿宋" w:eastAsia="仿宋_GB2312" w:cs="仿宋_GB2312"/>
          <w:kern w:val="2"/>
          <w:sz w:val="32"/>
          <w:szCs w:val="32"/>
          <w:lang w:val="en-US" w:eastAsia="zh-CN" w:bidi="ar"/>
        </w:rPr>
        <w:t>资金及时结算支付达100%</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（二）项目财务管理情况</w:t>
      </w:r>
    </w:p>
    <w:p>
      <w:pPr>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单位财务管理制度健全，严格执行财务管理制度，账务处理及时，会计核算规范。</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仿宋_GB2312" w:eastAsia="仿宋_GB2312" w:cs="仿宋_GB2312"/>
          <w:spacing w:val="-6"/>
          <w:sz w:val="32"/>
          <w:szCs w:val="32"/>
          <w:lang w:val="en-US"/>
        </w:rPr>
      </w:pPr>
      <w:r>
        <w:rPr>
          <w:rFonts w:hint="eastAsia" w:ascii="楷体_GB2312" w:hAnsi="Times New Roman" w:eastAsia="楷体_GB2312" w:cs="楷体_GB2312"/>
          <w:bCs/>
          <w:spacing w:val="-6"/>
          <w:kern w:val="2"/>
          <w:sz w:val="32"/>
          <w:szCs w:val="32"/>
          <w:lang w:val="en-US" w:eastAsia="zh-CN" w:bidi="ar"/>
        </w:rPr>
        <w:t>（三）项目组织实施情况</w:t>
      </w:r>
    </w:p>
    <w:p>
      <w:pPr>
        <w:adjustRightInd w:val="0"/>
        <w:spacing w:line="540" w:lineRule="exact"/>
        <w:ind w:firstLine="640" w:firstLineChars="200"/>
        <w:jc w:val="left"/>
        <w:rPr>
          <w:rFonts w:ascii="仿宋_GB2312" w:hAnsi="仿宋_GB2312" w:cs="仿宋_GB231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项目组织机构与职责落实情况。</w:t>
      </w:r>
      <w:r>
        <w:rPr>
          <w:rFonts w:hint="eastAsia" w:ascii="仿宋_GB2312" w:hAnsi="仿宋_GB2312" w:cs="仿宋_GB2312"/>
          <w:sz w:val="32"/>
          <w:szCs w:val="32"/>
        </w:rPr>
        <w:t>按照省财政厅《关于印发四川省中央和省级财政退役安置等补助资金管理办法的通知》（川财社</w:t>
      </w:r>
      <w:r>
        <w:rPr>
          <w:rFonts w:hint="eastAsia" w:ascii="仿宋_GB2312" w:hAnsi="仿宋_GB2312" w:cs="仿宋_GB2312"/>
          <w:color w:val="000000"/>
          <w:sz w:val="32"/>
          <w:szCs w:val="32"/>
        </w:rPr>
        <w:t>〔2020〕</w:t>
      </w:r>
      <w:r>
        <w:rPr>
          <w:rFonts w:hint="eastAsia" w:ascii="仿宋_GB2312" w:hAnsi="仿宋_GB2312" w:cs="仿宋_GB2312"/>
          <w:color w:val="333333"/>
          <w:sz w:val="32"/>
          <w:szCs w:val="32"/>
          <w:shd w:val="clear" w:color="auto" w:fill="FFFFFF"/>
        </w:rPr>
        <w:t>63号</w:t>
      </w:r>
      <w:r>
        <w:rPr>
          <w:rFonts w:hint="eastAsia" w:ascii="仿宋_GB2312" w:hAnsi="仿宋_GB2312" w:cs="仿宋_GB2312"/>
          <w:sz w:val="32"/>
          <w:szCs w:val="32"/>
        </w:rPr>
        <w:t>）要求，我局立即开展自评。同时联合区财政局成立绩效评价工作小组，制定评价方案。</w:t>
      </w:r>
    </w:p>
    <w:p>
      <w:pPr>
        <w:adjustRightInd w:val="0"/>
        <w:spacing w:line="540" w:lineRule="exact"/>
        <w:ind w:firstLine="640" w:firstLineChars="200"/>
        <w:jc w:val="left"/>
        <w:rPr>
          <w:rFonts w:ascii="仿宋_GB2312" w:hAnsi="仿宋_GB2312" w:cs="仿宋_GB231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项目管理制度建设情况。</w:t>
      </w:r>
      <w:r>
        <w:rPr>
          <w:rFonts w:hint="eastAsia" w:ascii="仿宋_GB2312" w:hAnsi="仿宋_GB2312" w:cs="仿宋_GB2312"/>
          <w:sz w:val="32"/>
          <w:szCs w:val="32"/>
        </w:rPr>
        <w:t>及时整理相关项目资料，细化项目绩效目标，根据省市要求和我区实际，设计绩效评价体系。</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项目组织管理落实情况。</w:t>
      </w:r>
      <w:r>
        <w:rPr>
          <w:rFonts w:hint="eastAsia" w:ascii="仿宋_GB2312" w:hAnsi="仿宋_GB2312" w:cs="仿宋_GB2312"/>
          <w:sz w:val="32"/>
          <w:szCs w:val="32"/>
        </w:rPr>
        <w:t>分析项目管理情况和资金效益，根据结果进行综合评价并提出相关建议。</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三、项目绩效情况</w:t>
      </w:r>
      <w:r>
        <w:rPr>
          <w:rFonts w:hint="eastAsia" w:ascii="黑体" w:hAnsi="宋体" w:eastAsia="黑体" w:cs="黑体"/>
          <w:spacing w:val="-6"/>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pPr>
      <w:r>
        <w:rPr>
          <w:rFonts w:hint="eastAsia" w:ascii="仿宋_GB2312" w:hAnsi="Times New Roman" w:eastAsia="仿宋_GB2312" w:cs="仿宋_GB2312"/>
          <w:spacing w:val="-6"/>
          <w:kern w:val="2"/>
          <w:sz w:val="32"/>
          <w:szCs w:val="32"/>
          <w:lang w:val="en-US" w:eastAsia="zh-CN" w:bidi="ar"/>
        </w:rPr>
        <w:t>2021年</w:t>
      </w:r>
      <w:r>
        <w:rPr>
          <w:rFonts w:hint="eastAsia" w:ascii="仿宋_GB2312"/>
          <w:sz w:val="32"/>
          <w:szCs w:val="32"/>
        </w:rPr>
        <w:t>优抚对象补助资金共计发放1940人，已全面完成；</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ind w:firstLine="640" w:firstLineChars="200"/>
        <w:rPr>
          <w:rFonts w:ascii="仿宋_GB2312"/>
          <w:sz w:val="32"/>
          <w:szCs w:val="32"/>
        </w:rPr>
      </w:pPr>
      <w:r>
        <w:rPr>
          <w:rFonts w:hint="eastAsia" w:ascii="仿宋_GB2312"/>
          <w:sz w:val="32"/>
          <w:szCs w:val="32"/>
        </w:rPr>
        <w:t>保障优抚对象生活，促进社会稳定。</w:t>
      </w:r>
    </w:p>
    <w:p>
      <w:pPr>
        <w:ind w:firstLine="640" w:firstLineChars="200"/>
        <w:rPr>
          <w:rFonts w:ascii="仿宋_GB2312"/>
          <w:sz w:val="32"/>
          <w:szCs w:val="32"/>
        </w:rPr>
      </w:pPr>
      <w:r>
        <w:rPr>
          <w:rFonts w:hint="eastAsia" w:ascii="仿宋_GB2312"/>
          <w:sz w:val="32"/>
          <w:szCs w:val="32"/>
        </w:rPr>
        <w:t>（3）生态效益。</w:t>
      </w:r>
    </w:p>
    <w:p>
      <w:pPr>
        <w:ind w:firstLine="640" w:firstLineChars="200"/>
        <w:rPr>
          <w:rFonts w:ascii="仿宋_GB2312"/>
          <w:sz w:val="32"/>
          <w:szCs w:val="32"/>
        </w:rPr>
      </w:pPr>
      <w:r>
        <w:rPr>
          <w:rFonts w:hint="eastAsia" w:ascii="仿宋_GB2312"/>
          <w:sz w:val="32"/>
          <w:szCs w:val="32"/>
        </w:rPr>
        <w:t>无</w:t>
      </w:r>
    </w:p>
    <w:p>
      <w:pPr>
        <w:ind w:firstLine="640" w:firstLineChars="200"/>
        <w:rPr>
          <w:rFonts w:ascii="仿宋_GB2312"/>
          <w:sz w:val="32"/>
          <w:szCs w:val="32"/>
        </w:rPr>
      </w:pPr>
      <w:r>
        <w:rPr>
          <w:rFonts w:hint="eastAsia" w:ascii="仿宋_GB2312"/>
          <w:sz w:val="32"/>
          <w:szCs w:val="32"/>
        </w:rPr>
        <w:t>（4）可持续影响。</w:t>
      </w:r>
    </w:p>
    <w:p>
      <w:pPr>
        <w:ind w:firstLine="640" w:firstLineChars="200"/>
        <w:rPr>
          <w:rFonts w:ascii="仿宋_GB2312"/>
          <w:sz w:val="32"/>
          <w:szCs w:val="32"/>
        </w:rPr>
      </w:pPr>
      <w:r>
        <w:rPr>
          <w:rFonts w:hint="eastAsia" w:ascii="仿宋_GB2312"/>
          <w:sz w:val="32"/>
          <w:szCs w:val="32"/>
        </w:rPr>
        <w:t>长期保证优抚对象正常生活，保障军队建设和地方建设需要。</w:t>
      </w:r>
    </w:p>
    <w:p>
      <w:pPr>
        <w:ind w:firstLine="640" w:firstLineChars="200"/>
        <w:rPr>
          <w:rFonts w:ascii="仿宋_GB2312"/>
          <w:sz w:val="32"/>
          <w:szCs w:val="32"/>
        </w:rPr>
      </w:pPr>
      <w:r>
        <w:rPr>
          <w:rFonts w:hint="eastAsia" w:ascii="仿宋_GB2312"/>
          <w:sz w:val="32"/>
          <w:szCs w:val="32"/>
        </w:rPr>
        <w:t>3.满意度指标完成情况分析。</w:t>
      </w:r>
    </w:p>
    <w:p>
      <w:pPr>
        <w:ind w:firstLine="640" w:firstLineChars="200"/>
        <w:rPr>
          <w:rFonts w:hint="eastAsia" w:ascii="仿宋_GB2312"/>
          <w:sz w:val="32"/>
          <w:szCs w:val="32"/>
        </w:rPr>
      </w:pPr>
      <w:r>
        <w:rPr>
          <w:rFonts w:hint="eastAsia" w:ascii="仿宋_GB2312"/>
          <w:sz w:val="32"/>
          <w:szCs w:val="32"/>
        </w:rPr>
        <w:t>综合满意率&gt;95%以上。</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四、问题及建议</w:t>
      </w:r>
    </w:p>
    <w:p>
      <w:pPr>
        <w:pStyle w:val="14"/>
        <w:shd w:val="clear" w:color="auto" w:fill="FFFFFF"/>
        <w:spacing w:before="0" w:beforeAutospacing="0" w:after="0" w:afterAutospacing="0" w:line="560" w:lineRule="atLeas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（一）存在问题。</w:t>
      </w:r>
    </w:p>
    <w:p>
      <w:pPr>
        <w:pStyle w:val="14"/>
        <w:shd w:val="clear" w:color="auto" w:fill="FFFFFF"/>
        <w:spacing w:before="0" w:beforeAutospacing="0" w:after="0" w:afterAutospacing="0" w:line="560" w:lineRule="atLeast"/>
        <w:ind w:firstLine="960" w:firstLineChars="300"/>
        <w:jc w:val="both"/>
        <w:rPr>
          <w:color w:val="333333"/>
        </w:rPr>
      </w:pPr>
      <w:r>
        <w:rPr>
          <w:rFonts w:hint="eastAsia" w:ascii="仿宋" w:hAnsi="仿宋" w:eastAsia="仿宋" w:cs="仿宋"/>
          <w:color w:val="000000"/>
          <w:sz w:val="32"/>
          <w:szCs w:val="32"/>
          <w:shd w:val="clear" w:color="auto" w:fill="FFFFFF"/>
        </w:rPr>
        <w:t>1.项目</w:t>
      </w:r>
      <w:r>
        <w:rPr>
          <w:rFonts w:ascii="仿宋" w:hAnsi="仿宋" w:eastAsia="仿宋" w:cs="仿宋"/>
          <w:color w:val="000000"/>
          <w:sz w:val="32"/>
          <w:szCs w:val="32"/>
          <w:shd w:val="clear" w:color="auto" w:fill="FFFFFF"/>
        </w:rPr>
        <w:t>资金使用效益有待进一步提高。</w:t>
      </w:r>
    </w:p>
    <w:p>
      <w:pPr>
        <w:pStyle w:val="14"/>
        <w:shd w:val="clear" w:color="auto" w:fill="FFFFFF"/>
        <w:spacing w:before="0" w:beforeAutospacing="0" w:after="0" w:afterAutospacing="0" w:line="560" w:lineRule="atLeast"/>
        <w:ind w:firstLine="960" w:firstLineChars="300"/>
        <w:jc w:val="both"/>
        <w:rPr>
          <w:color w:val="333333"/>
        </w:rPr>
      </w:pPr>
      <w:r>
        <w:rPr>
          <w:rFonts w:hint="eastAsia" w:ascii="仿宋" w:hAnsi="仿宋" w:eastAsia="仿宋" w:cs="仿宋"/>
          <w:color w:val="000000"/>
          <w:sz w:val="32"/>
          <w:szCs w:val="32"/>
          <w:shd w:val="clear" w:color="auto" w:fill="FFFFFF"/>
        </w:rPr>
        <w:t>2.绩效目标设立不够明确、细化和量化。</w:t>
      </w:r>
    </w:p>
    <w:p>
      <w:pPr>
        <w:ind w:firstLine="640" w:firstLineChars="200"/>
        <w:rPr>
          <w:rFonts w:ascii="宋体" w:hAnsi="宋体" w:eastAsia="宋体" w:cs="宋体"/>
          <w:color w:val="333333"/>
          <w:sz w:val="32"/>
          <w:szCs w:val="32"/>
        </w:rPr>
      </w:pPr>
      <w:r>
        <w:rPr>
          <w:rFonts w:hint="eastAsia" w:ascii="楷体_GB2312" w:hAnsi="楷体_GB2312" w:eastAsia="楷体_GB2312" w:cs="楷体_GB2312"/>
          <w:sz w:val="32"/>
          <w:szCs w:val="32"/>
        </w:rPr>
        <w:t>（二）工作建议。</w:t>
      </w:r>
      <w:r>
        <w:rPr>
          <w:rFonts w:hint="eastAsia" w:ascii="仿宋" w:hAnsi="仿宋" w:eastAsia="仿宋" w:cs="仿宋"/>
          <w:color w:val="000000"/>
          <w:sz w:val="32"/>
          <w:szCs w:val="32"/>
          <w:shd w:val="clear" w:color="auto" w:fill="FFFFFF"/>
        </w:rPr>
        <w:t>建议</w:t>
      </w:r>
      <w:r>
        <w:rPr>
          <w:rFonts w:ascii="仿宋" w:hAnsi="仿宋" w:eastAsia="仿宋" w:cs="仿宋"/>
          <w:color w:val="000000"/>
          <w:sz w:val="32"/>
          <w:szCs w:val="32"/>
          <w:shd w:val="clear" w:color="auto" w:fill="FFFFFF"/>
        </w:rPr>
        <w:t>财政根据上级有关文件精神，结合</w:t>
      </w:r>
      <w:r>
        <w:rPr>
          <w:rFonts w:hint="eastAsia" w:ascii="仿宋" w:hAnsi="仿宋" w:eastAsia="仿宋" w:cs="仿宋"/>
          <w:color w:val="000000"/>
          <w:sz w:val="32"/>
          <w:szCs w:val="32"/>
          <w:shd w:val="clear" w:color="auto" w:fill="FFFFFF"/>
        </w:rPr>
        <w:t>退役军人事务</w:t>
      </w:r>
      <w:r>
        <w:rPr>
          <w:rFonts w:ascii="仿宋" w:hAnsi="仿宋" w:eastAsia="仿宋" w:cs="仿宋"/>
          <w:color w:val="000000"/>
          <w:sz w:val="32"/>
          <w:szCs w:val="32"/>
          <w:shd w:val="clear" w:color="auto" w:fill="FFFFFF"/>
        </w:rPr>
        <w:t>发展的要求和实际情况，提高年初部门预算额度，将常规、必需项目支出纳入年度预算，并增加相关项目支出预算。</w:t>
      </w:r>
    </w:p>
    <w:p>
      <w:pPr>
        <w:keepNext w:val="0"/>
        <w:keepLines w:val="0"/>
        <w:widowControl w:val="0"/>
        <w:suppressLineNumbers w:val="0"/>
        <w:autoSpaceDE w:val="0"/>
        <w:autoSpaceDN/>
        <w:spacing w:before="0" w:beforeAutospacing="0" w:after="0" w:afterAutospacing="0" w:line="576" w:lineRule="exact"/>
        <w:ind w:left="0" w:right="0"/>
        <w:jc w:val="both"/>
        <w:rPr>
          <w:rFonts w:hint="eastAsia" w:ascii="黑体" w:hAnsi="宋体" w:eastAsia="黑体" w:cs="黑体"/>
          <w:color w:val="000000"/>
          <w:kern w:val="0"/>
          <w:sz w:val="24"/>
          <w:szCs w:val="24"/>
          <w:lang w:val="en-US"/>
        </w:rPr>
      </w:pPr>
      <w:r>
        <w:rPr>
          <w:rFonts w:hint="eastAsia" w:ascii="仿宋_GB2312" w:hAnsi="宋体" w:eastAsia="仿宋_GB2312" w:cs="仿宋_GB2312"/>
          <w:color w:val="000000"/>
          <w:spacing w:val="-6"/>
          <w:kern w:val="0"/>
          <w:sz w:val="32"/>
          <w:szCs w:val="32"/>
          <w:lang w:val="en-US" w:eastAsia="zh-CN" w:bidi="ar"/>
        </w:rPr>
        <w:t xml:space="preserve">    附表：2-1 部门预算</w:t>
      </w:r>
      <w:r>
        <w:rPr>
          <w:rFonts w:hint="eastAsia" w:ascii="仿宋_GB2312" w:hAnsi="宋体" w:eastAsia="仿宋_GB2312" w:cs="宋体"/>
          <w:color w:val="000000"/>
          <w:kern w:val="0"/>
          <w:sz w:val="32"/>
          <w:szCs w:val="32"/>
          <w:lang w:val="en-US" w:eastAsia="zh-CN" w:bidi="ar"/>
        </w:rPr>
        <w:t>项目支出绩效目标自评表</w:t>
      </w:r>
    </w:p>
    <w:p>
      <w:pPr>
        <w:keepNext w:val="0"/>
        <w:keepLines w:val="0"/>
        <w:widowControl w:val="0"/>
        <w:suppressLineNumbers w:val="0"/>
        <w:autoSpaceDE w:val="0"/>
        <w:autoSpaceDN/>
        <w:spacing w:before="0" w:beforeAutospacing="0" w:after="0" w:afterAutospacing="0" w:line="576" w:lineRule="exact"/>
        <w:ind w:left="0" w:right="0" w:firstLine="1540" w:firstLineChars="500"/>
        <w:jc w:val="both"/>
        <w:rPr>
          <w:rFonts w:hint="eastAsia" w:ascii="仿宋_GB2312" w:hAnsi="宋体" w:eastAsia="仿宋_GB2312" w:cs="仿宋_GB2312"/>
          <w:color w:val="000000"/>
          <w:spacing w:val="-6"/>
          <w:kern w:val="0"/>
          <w:sz w:val="32"/>
          <w:szCs w:val="32"/>
          <w:lang w:val="en-US" w:eastAsia="zh-CN" w:bidi="ar"/>
        </w:rPr>
      </w:pPr>
      <w:r>
        <w:rPr>
          <w:rFonts w:hint="eastAsia" w:ascii="仿宋_GB2312" w:hAnsi="宋体" w:eastAsia="仿宋_GB2312" w:cs="仿宋_GB2312"/>
          <w:color w:val="000000"/>
          <w:spacing w:val="-6"/>
          <w:kern w:val="0"/>
          <w:sz w:val="32"/>
          <w:szCs w:val="32"/>
          <w:lang w:val="en-US" w:eastAsia="zh-CN" w:bidi="ar"/>
        </w:rPr>
        <w:t>2-2 2021年部门预算项目支出绩效自评评分表</w:t>
      </w:r>
    </w:p>
    <w:p>
      <w:pPr>
        <w:pStyle w:val="36"/>
        <w:widowControl/>
        <w:spacing w:line="576" w:lineRule="exact"/>
        <w:ind w:left="0" w:firstLine="0" w:firstLineChars="0"/>
        <w:rPr>
          <w:rFonts w:hint="eastAsia" w:ascii="仿宋_GB2312" w:hAnsi="仿宋_GB2312" w:eastAsia="仿宋_GB2312" w:cs="仿宋_GB2312"/>
          <w:kern w:val="0"/>
          <w:sz w:val="32"/>
          <w:szCs w:val="32"/>
          <w:lang w:val="en-US"/>
        </w:rPr>
      </w:pPr>
    </w:p>
    <w:p>
      <w:pPr>
        <w:pStyle w:val="36"/>
        <w:widowControl/>
        <w:spacing w:line="576" w:lineRule="exact"/>
        <w:ind w:left="0" w:firstLine="0" w:firstLineChars="0"/>
        <w:rPr>
          <w:rFonts w:hint="eastAsia" w:ascii="仿宋_GB2312" w:hAnsi="仿宋_GB2312" w:eastAsia="仿宋_GB2312" w:cs="仿宋_GB2312"/>
          <w:kern w:val="0"/>
          <w:sz w:val="32"/>
          <w:szCs w:val="32"/>
          <w:lang w:val="en-US"/>
        </w:rPr>
      </w:pPr>
    </w:p>
    <w:p>
      <w:pPr>
        <w:pStyle w:val="36"/>
        <w:widowControl/>
        <w:spacing w:line="576" w:lineRule="exact"/>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14"/>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0"/>
          <w:sz w:val="32"/>
          <w:szCs w:val="32"/>
          <w:lang w:val="en-US" w:eastAsia="zh-CN" w:bidi="ar"/>
        </w:rPr>
      </w:pPr>
    </w:p>
    <w:p>
      <w:pPr>
        <w:pStyle w:val="14"/>
        <w:keepNext w:val="0"/>
        <w:keepLines w:val="0"/>
        <w:widowControl w:val="0"/>
        <w:suppressLineNumbers w:val="0"/>
        <w:spacing w:before="0" w:beforeAutospacing="0" w:after="0" w:afterAutospacing="0" w:line="560" w:lineRule="exact"/>
        <w:ind w:left="0" w:right="0" w:firstLine="640" w:firstLineChars="200"/>
        <w:jc w:val="both"/>
        <w:rPr>
          <w:rFonts w:hint="default" w:ascii="黑体" w:hAnsi="宋体" w:eastAsia="黑体" w:cs="黑体"/>
          <w:kern w:val="0"/>
          <w:sz w:val="32"/>
          <w:szCs w:val="32"/>
          <w:lang w:val="en-US"/>
        </w:rPr>
      </w:pPr>
      <w:r>
        <w:rPr>
          <w:rFonts w:hint="eastAsia" w:ascii="黑体" w:hAnsi="宋体" w:eastAsia="黑体" w:cs="黑体"/>
          <w:kern w:val="0"/>
          <w:sz w:val="32"/>
          <w:szCs w:val="32"/>
          <w:lang w:val="en-US" w:eastAsia="zh-CN" w:bidi="ar"/>
        </w:rPr>
        <w:t>附表</w:t>
      </w:r>
      <w:r>
        <w:rPr>
          <w:rFonts w:hint="eastAsia" w:ascii="黑体" w:eastAsia="黑体" w:cs="黑体"/>
          <w:kern w:val="0"/>
          <w:sz w:val="32"/>
          <w:szCs w:val="32"/>
          <w:lang w:val="en-US" w:eastAsia="zh-CN" w:bidi="ar"/>
        </w:rPr>
        <w:t>2-1</w:t>
      </w:r>
    </w:p>
    <w:tbl>
      <w:tblPr>
        <w:tblStyle w:val="15"/>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962"/>
        <w:gridCol w:w="1380"/>
        <w:gridCol w:w="1416"/>
        <w:gridCol w:w="1608"/>
        <w:gridCol w:w="2316"/>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371" w:type="dxa"/>
            <w:gridSpan w:val="7"/>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大标宋简体" w:hAnsi="方正大标宋简体" w:eastAsia="方正大标宋简体" w:cs="方正大标宋简体"/>
                <w:color w:val="000000"/>
                <w:kern w:val="0"/>
                <w:sz w:val="36"/>
                <w:szCs w:val="36"/>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71" w:type="dxa"/>
            <w:gridSpan w:val="7"/>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71" w:type="dxa"/>
            <w:gridSpan w:val="7"/>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部门（单位）盖章：广元市朝天区退役军人事务局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7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优抚对象补助经费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7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广元市朝天区</w:t>
            </w:r>
            <w:r>
              <w:rPr>
                <w:rFonts w:hint="eastAsia" w:ascii="宋体" w:hAnsi="宋体" w:cs="宋体"/>
                <w:color w:val="000000"/>
                <w:kern w:val="0"/>
                <w:sz w:val="18"/>
                <w:szCs w:val="18"/>
                <w:lang w:val="en-US" w:eastAsia="zh-CN" w:bidi="ar"/>
              </w:rPr>
              <w:t>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 （万元） </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1004.13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全年执行数（万元）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1004.13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其中：一般公共预算</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1004.13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其中：一般公共预算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1004.13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政府性基金预算</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政府性基金预算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国有资本经营预算</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国有资本经营预算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社会保险基金预算</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社会保险基金预算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其他资金</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其他资金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目标完成情况</w:t>
            </w:r>
          </w:p>
        </w:tc>
        <w:tc>
          <w:tcPr>
            <w:tcW w:w="53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全年预期目标</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36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目标1：完成发放各类优抚对象1940人共计</w:t>
            </w:r>
            <w:r>
              <w:rPr>
                <w:rFonts w:hint="eastAsia" w:ascii="宋体" w:hAnsi="宋体" w:cs="宋体"/>
                <w:color w:val="000000"/>
                <w:kern w:val="0"/>
                <w:sz w:val="15"/>
                <w:szCs w:val="15"/>
                <w:lang w:val="en-US" w:eastAsia="zh-CN" w:bidi="ar"/>
              </w:rPr>
              <w:t>1000</w:t>
            </w:r>
            <w:r>
              <w:rPr>
                <w:rFonts w:hint="eastAsia" w:ascii="宋体" w:hAnsi="宋体" w:eastAsia="宋体" w:cs="宋体"/>
                <w:color w:val="000000"/>
                <w:kern w:val="0"/>
                <w:sz w:val="15"/>
                <w:szCs w:val="15"/>
                <w:lang w:val="en-US" w:eastAsia="zh-CN" w:bidi="ar"/>
              </w:rPr>
              <w:t>余万元补助发放。</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18"/>
                <w:szCs w:val="18"/>
                <w:lang w:val="en-US"/>
              </w:rPr>
            </w:pPr>
            <w:r>
              <w:rPr>
                <w:rFonts w:hint="eastAsia" w:ascii="宋体" w:hAnsi="宋体" w:eastAsia="宋体" w:cs="宋体"/>
                <w:color w:val="000000"/>
                <w:kern w:val="0"/>
                <w:sz w:val="15"/>
                <w:szCs w:val="15"/>
                <w:lang w:val="en-US" w:eastAsia="zh-CN" w:bidi="ar"/>
              </w:rPr>
              <w:t>目标2：通过发放补助，让优抚对象退伍不退色，生活得到了保障，体现党和政府的关心温暖，更好的服务地方经济建设。</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已完成优抚对象1940人共计发放</w:t>
            </w:r>
            <w:r>
              <w:rPr>
                <w:rFonts w:hint="eastAsia" w:ascii="宋体" w:hAnsi="宋体" w:cs="宋体"/>
                <w:color w:val="000000"/>
                <w:kern w:val="0"/>
                <w:sz w:val="15"/>
                <w:szCs w:val="15"/>
                <w:lang w:val="en-US" w:eastAsia="zh-CN" w:bidi="ar"/>
              </w:rPr>
              <w:t>1004.13</w:t>
            </w:r>
            <w:r>
              <w:rPr>
                <w:rFonts w:hint="eastAsia" w:ascii="宋体" w:hAnsi="宋体" w:eastAsia="宋体" w:cs="宋体"/>
                <w:color w:val="000000"/>
                <w:kern w:val="0"/>
                <w:sz w:val="15"/>
                <w:szCs w:val="15"/>
                <w:lang w:val="en-US" w:eastAsia="zh-CN" w:bidi="ar"/>
              </w:rPr>
              <w:t>万元。</w:t>
            </w:r>
          </w:p>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18"/>
                <w:szCs w:val="18"/>
                <w:lang w:val="en-US"/>
              </w:rPr>
            </w:pPr>
            <w:r>
              <w:rPr>
                <w:rFonts w:hint="eastAsia" w:ascii="宋体" w:hAnsi="宋体" w:eastAsia="宋体" w:cs="宋体"/>
                <w:color w:val="000000"/>
                <w:kern w:val="0"/>
                <w:sz w:val="15"/>
                <w:szCs w:val="15"/>
                <w:lang w:val="en-US" w:eastAsia="zh-CN" w:bidi="ar"/>
              </w:rPr>
              <w:t xml:space="preserve"> </w:t>
            </w:r>
            <w:r>
              <w:rPr>
                <w:rFonts w:hint="eastAsia" w:ascii="宋体" w:hAnsi="宋体" w:eastAsia="宋体" w:cs="宋体"/>
                <w:color w:val="000000"/>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一级指标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二级指标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三级指标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5"/>
                <w:szCs w:val="15"/>
                <w:lang w:val="en-US" w:eastAsia="zh-CN" w:bidi="ar"/>
              </w:rPr>
              <w:t>全年预期指标值（包含数字及文字描述）</w:t>
            </w:r>
            <w:r>
              <w:rPr>
                <w:rFonts w:hint="eastAsia" w:ascii="宋体" w:hAnsi="宋体" w:eastAsia="宋体" w:cs="宋体"/>
                <w:color w:val="000000"/>
                <w:kern w:val="0"/>
                <w:sz w:val="18"/>
                <w:szCs w:val="18"/>
                <w:lang w:val="en-US" w:eastAsia="zh-CN" w:bidi="ar"/>
              </w:rPr>
              <w:t xml:space="preserve">                     </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 xml:space="preserve">全年实际完成指标值 （包含数字及文字描述）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未完成原因及改进       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产出指标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数量指标</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cs="宋体"/>
                <w:color w:val="000000"/>
                <w:kern w:val="0"/>
                <w:sz w:val="15"/>
                <w:szCs w:val="15"/>
                <w:lang w:val="en-US" w:eastAsia="zh-CN" w:bidi="ar"/>
              </w:rPr>
              <w:t>优抚对象人数</w:t>
            </w:r>
          </w:p>
        </w:tc>
        <w:tc>
          <w:tcPr>
            <w:tcW w:w="16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lang w:val="en-US" w:bidi="ar"/>
              </w:rPr>
            </w:pPr>
            <w:r>
              <w:rPr>
                <w:rFonts w:hint="eastAsia" w:ascii="宋体" w:hAnsi="宋体" w:cs="宋体"/>
                <w:color w:val="000000"/>
                <w:kern w:val="0"/>
                <w:sz w:val="15"/>
                <w:szCs w:val="15"/>
                <w:lang w:val="en-US" w:eastAsia="zh-CN" w:bidi="ar"/>
              </w:rPr>
              <w:t>1900人</w:t>
            </w:r>
          </w:p>
        </w:tc>
        <w:tc>
          <w:tcPr>
            <w:tcW w:w="23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lang w:val="en-US" w:bidi="ar"/>
              </w:rPr>
            </w:pPr>
            <w:r>
              <w:rPr>
                <w:rFonts w:hint="eastAsia" w:ascii="宋体" w:hAnsi="宋体" w:cs="宋体"/>
                <w:color w:val="000000"/>
                <w:kern w:val="0"/>
                <w:sz w:val="15"/>
                <w:szCs w:val="15"/>
                <w:lang w:val="en-US" w:eastAsia="zh-CN" w:bidi="ar"/>
              </w:rPr>
              <w:t>1920人</w:t>
            </w:r>
          </w:p>
        </w:tc>
        <w:tc>
          <w:tcPr>
            <w:tcW w:w="10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质量指标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补助发放率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时效指标</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资金到位率</w:t>
            </w:r>
          </w:p>
        </w:tc>
        <w:tc>
          <w:tcPr>
            <w:tcW w:w="16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100%</w:t>
            </w:r>
          </w:p>
        </w:tc>
        <w:tc>
          <w:tcPr>
            <w:tcW w:w="23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100%</w:t>
            </w:r>
          </w:p>
        </w:tc>
        <w:tc>
          <w:tcPr>
            <w:tcW w:w="10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成本指标</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补助标准</w:t>
            </w:r>
          </w:p>
        </w:tc>
        <w:tc>
          <w:tcPr>
            <w:tcW w:w="16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220元/月.人</w:t>
            </w:r>
          </w:p>
        </w:tc>
        <w:tc>
          <w:tcPr>
            <w:tcW w:w="23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220元/月.人</w:t>
            </w:r>
          </w:p>
        </w:tc>
        <w:tc>
          <w:tcPr>
            <w:tcW w:w="10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社会效益指标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窗口人员服务态度服务质量提升率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 xml:space="preserve">≥95% </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≥98%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满意度 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满意度指标</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cs="宋体"/>
                <w:color w:val="000000"/>
                <w:kern w:val="0"/>
                <w:sz w:val="15"/>
                <w:szCs w:val="15"/>
                <w:lang w:val="en-US" w:eastAsia="zh-CN" w:bidi="ar"/>
              </w:rPr>
              <w:t>优抚对象</w:t>
            </w:r>
            <w:r>
              <w:rPr>
                <w:rFonts w:hint="eastAsia" w:ascii="宋体" w:hAnsi="宋体" w:eastAsia="宋体" w:cs="宋体"/>
                <w:color w:val="000000"/>
                <w:kern w:val="0"/>
                <w:sz w:val="15"/>
                <w:szCs w:val="15"/>
                <w:lang w:val="en-US" w:eastAsia="zh-CN" w:bidi="ar"/>
              </w:rPr>
              <w:t>满意度</w:t>
            </w:r>
          </w:p>
        </w:tc>
        <w:tc>
          <w:tcPr>
            <w:tcW w:w="16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100%</w:t>
            </w:r>
          </w:p>
        </w:tc>
        <w:tc>
          <w:tcPr>
            <w:tcW w:w="23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100%</w:t>
            </w:r>
          </w:p>
        </w:tc>
        <w:tc>
          <w:tcPr>
            <w:tcW w:w="10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0"/>
          <w:sz w:val="32"/>
          <w:szCs w:val="32"/>
          <w:lang w:val="en-US" w:eastAsia="zh-CN" w:bidi="ar"/>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425" w:num="1"/>
          <w:titlePg/>
          <w:docGrid w:type="lines" w:linePitch="312" w:charSpace="0"/>
        </w:sectPr>
      </w:pPr>
    </w:p>
    <w:p>
      <w:pPr>
        <w:pStyle w:val="14"/>
        <w:keepNext w:val="0"/>
        <w:keepLines w:val="0"/>
        <w:widowControl w:val="0"/>
        <w:suppressLineNumbers w:val="0"/>
        <w:spacing w:before="0" w:beforeAutospacing="0" w:after="0" w:afterAutospacing="0" w:line="560" w:lineRule="exact"/>
        <w:ind w:left="0" w:right="0" w:firstLine="640" w:firstLineChars="200"/>
        <w:jc w:val="both"/>
        <w:rPr>
          <w:rFonts w:hint="default" w:ascii="黑体" w:hAnsi="宋体" w:eastAsia="黑体" w:cs="黑体"/>
          <w:sz w:val="32"/>
          <w:szCs w:val="32"/>
          <w:lang w:val="en-US"/>
        </w:rPr>
      </w:pPr>
      <w:r>
        <w:rPr>
          <w:rFonts w:hint="eastAsia" w:ascii="黑体" w:hAnsi="宋体" w:eastAsia="黑体" w:cs="黑体"/>
          <w:kern w:val="2"/>
          <w:sz w:val="32"/>
          <w:szCs w:val="32"/>
          <w:lang w:val="en-US" w:eastAsia="zh-CN" w:bidi="ar"/>
        </w:rPr>
        <w:t>附表2-2</w:t>
      </w:r>
    </w:p>
    <w:tbl>
      <w:tblPr>
        <w:tblStyle w:val="15"/>
        <w:tblW w:w="13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1079"/>
        <w:gridCol w:w="857"/>
        <w:gridCol w:w="4600"/>
        <w:gridCol w:w="603"/>
        <w:gridCol w:w="4885"/>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3967" w:type="dxa"/>
            <w:gridSpan w:val="7"/>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方正大标宋_GBK" w:hAnsi="方正大标宋_GBK" w:eastAsia="方正大标宋_GBK" w:cs="方正大标宋_GBK"/>
                <w:b/>
                <w:bCs/>
                <w:color w:val="000000"/>
                <w:sz w:val="40"/>
                <w:szCs w:val="40"/>
                <w:lang w:val="en-US"/>
              </w:rPr>
            </w:pPr>
            <w:r>
              <w:rPr>
                <w:rFonts w:hint="eastAsia" w:ascii="方正大标宋_GBK" w:hAnsi="方正大标宋_GBK" w:eastAsia="方正大标宋_GBK" w:cs="方正大标宋_GBK"/>
                <w:b/>
                <w:bCs/>
                <w:color w:val="000000"/>
                <w:kern w:val="0"/>
                <w:sz w:val="40"/>
                <w:szCs w:val="40"/>
                <w:lang w:val="en-US" w:eastAsia="zh-CN" w:bidi="ar"/>
              </w:rPr>
              <w:t>2021年部门预算项目支出绩效自评评分表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3967" w:type="dxa"/>
            <w:gridSpan w:val="7"/>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0"/>
                <w:szCs w:val="20"/>
                <w:lang w:val="en-US"/>
              </w:rPr>
            </w:pPr>
            <w:r>
              <w:rPr>
                <w:rFonts w:hint="eastAsia" w:ascii="黑体" w:hAnsi="宋体" w:eastAsia="黑体" w:cs="黑体"/>
                <w:color w:val="000000"/>
                <w:kern w:val="0"/>
                <w:sz w:val="20"/>
                <w:szCs w:val="20"/>
                <w:lang w:val="en-US" w:eastAsia="zh-CN" w:bidi="ar"/>
              </w:rPr>
              <w:t xml:space="preserve"> 部门（单位）盖章： 广元市朝天区退役军人事务局                                                项目名称：优抚对象补助经费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一级 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二级指标              </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三级指标            </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指标内容</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参考分值</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评分标准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项目决策（14分）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项目立项</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立项  依据</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用以反映项目立项是否有充分的依据：符合国家法律法规、本地的相关规定；符合部门年度工作计划。</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①符合国家相关法律法规、国民经济发展规划和党委政府决策（1分）；                                                                                                           ②符合部门（单位）年度工作计划或项目实施单位职责密切相关（1分）。                                                             </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决策  程序</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用以反映和考核项目立项的规范情况：项目的申请、设立过程是否符合相关要求。</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①项目是否按照规定的程序申请设立，审批文件、材料是否符合相关要求（1分）； ②事前是否已经过必要的可行性研究、专家论证、风险评估、集体决策等（1分）。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项目目标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目标合理性</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用以反映和考核项目绩效目标与项目实施的相符情况：项目所设定的绩效目标是否依据充分，是否符合客观实际。</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指标明确性</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用以反映和考核项目绩效目标与项目实施的相符情况：依据绩效目标设定的绩效指标是否清晰、细化、可衡量等。</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资金分配</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分配的合理性</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①预算资金分配依据充分（1分）；                                                                                                                                 ②资金分配额度合理，与项目单位或地方实际相适应 （1分）。                 此项需提供相应的资金分配方案。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项目管理（16分）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资金管理（9分）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根据项目资金的实际到位率计算得分（1分）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用以反映项目预算执行的进度：预算执行率=实际支出数/预算数。                                      实际支出资金：一定时期（本年度或项目期）内项目实际拨付的资金。</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根据项目资金的预算执行率计算得分（2分）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  使用</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用以反映和考核项目资金的规范运行情况：项目资金使用是否符合相关的财务管理制度规定。</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组织实施（7分）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制度  管理</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用以反映和考核财务和业务管理制度对项目顺利实施的制度保障情况。</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①制定或具有相应的财务和业务管理制度（1分）；                                                                                                                                                         ②财务和业务管理制度合法、合规、完整（1分）。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制度  执行</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用以反映和考核业务管理制度的有效执行和质量控制情况：项目实施是否符合相关业务管理规定，是否为达到项目质量要求而采取了必需的措施。</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项目绩效（特性指标）（70）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项目产出（35分）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完成绩效目标100%得9分，未完成100%的同比例扣减。</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质量达标率</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产出质量达到绩效目标100%得9分，未完成100%的同比例扣减。</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完成及时性</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产出时效达到绩效目标得8分，未完成且无充分理由的扣3分。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完成成本（成本节约率）</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产出成本按绩效目标控制得9分，未完成的，按超支比例扣减。</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项目效益（30分）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经济效益（可选项）</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反映相关产出对经济社会发展带来的影响和效果，根据项目实际细化具体指标。重点考核投入产出率、回报率、增长率等指标。</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完成绩效目标设定的经济效益得7分，未完成的，按完成情况酌情扣分。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社会效益（可选项）</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反映相关产出对社会发展带来的影响和效果，根据项目实际细化具体指标。重点考核撬动率、贡献率、达标率、就业率等指标。</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完成绩效目标设定的社会效益得7分，未完成的，按完成情况酌情扣分。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环境效益（可选项）</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反映相关产出对自然环境带来的影响和效果，根据项目实际细化具体指标。</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完成绩效目标设定的积极的环境效益得7分，未完成的，按完成情况酌情扣分。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可持续效益（可选项）</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反映相关产出带来影响的可持续期限，根据项目实际细化具体指标。</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完成绩效设定目标的得7分，未完成的，按完成情况酌情扣分。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              （5分）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满意率反映服务对象或项目受益人对相关产出及其影响的认可程度，根据项目实际细化具体指标。重点考核满意率等指标。</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满意率达90%（含）以上的得5分；80%（含）-89%得4分；70%（含）-79%得3分；60%（含）-69%得2分；60%以下不得分。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7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分值</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100</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2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自评等级</w:t>
            </w:r>
          </w:p>
        </w:tc>
        <w:tc>
          <w:tcPr>
            <w:tcW w:w="11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18"/>
                <w:szCs w:val="18"/>
                <w:lang w:val="en-US" w:eastAsia="zh-CN" w:bidi="ar"/>
              </w:rPr>
              <w:t>自评结果：□优秀（90≤得分≤100）；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967" w:type="dxa"/>
            <w:gridSpan w:val="7"/>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说明：项目特性指标</w:t>
            </w:r>
            <w:r>
              <w:rPr>
                <w:rFonts w:hint="eastAsia" w:ascii="宋体" w:hAnsi="宋体" w:eastAsia="宋体" w:cs="宋体"/>
                <w:color w:val="000000"/>
                <w:kern w:val="0"/>
                <w:sz w:val="18"/>
                <w:szCs w:val="18"/>
                <w:lang w:val="en-US" w:eastAsia="zh-CN" w:bidi="ar"/>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rPr>
          <w:rFonts w:hint="eastAsia" w:ascii="仿宋_GB2312" w:hAnsi="仿宋_GB2312" w:eastAsia="仿宋_GB2312" w:cs="仿宋_GB2312"/>
          <w:sz w:val="28"/>
          <w:szCs w:val="28"/>
          <w:lang w:val="en-US" w:eastAsia="zh-CN" w:bidi="ar"/>
        </w:rPr>
        <w:sectPr>
          <w:pgSz w:w="16838" w:h="11906" w:orient="landscape"/>
          <w:pgMar w:top="1803" w:right="1440" w:bottom="1803" w:left="1440" w:header="851" w:footer="992" w:gutter="0"/>
          <w:pgNumType w:fmt="numberInDash"/>
          <w:cols w:space="425" w:num="1"/>
          <w:titlePg/>
          <w:docGrid w:type="lines" w:linePitch="319" w:charSpace="0"/>
        </w:sectPr>
      </w:pPr>
    </w:p>
    <w:p>
      <w:pPr>
        <w:pStyle w:val="34"/>
        <w:rPr>
          <w:rFonts w:hint="eastAsia"/>
          <w:lang w:val="en-US" w:eastAsia="zh-CN"/>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附件3</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方正小标宋_GBK" w:hAnsi="方正小标宋_GBK" w:eastAsia="方正小标宋_GBK" w:cs="方正小标宋_GBK"/>
          <w:bCs/>
          <w:color w:val="000000"/>
          <w:spacing w:val="-6"/>
          <w:kern w:val="0"/>
          <w:sz w:val="44"/>
          <w:szCs w:val="44"/>
          <w:lang w:val="en-US"/>
        </w:rPr>
      </w:pPr>
      <w:r>
        <w:rPr>
          <w:rFonts w:hint="eastAsia" w:ascii="方正小标宋_GBK" w:hAnsi="方正小标宋_GBK" w:eastAsia="方正小标宋_GBK" w:cs="方正小标宋_GBK"/>
          <w:bCs/>
          <w:color w:val="000000"/>
          <w:spacing w:val="-6"/>
          <w:kern w:val="0"/>
          <w:sz w:val="44"/>
          <w:szCs w:val="44"/>
          <w:lang w:val="en-US" w:eastAsia="zh-CN" w:bidi="ar"/>
        </w:rPr>
        <w:t>2021年部门项目支出绩效自评报告</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楷体" w:hAnsi="楷体" w:eastAsia="楷体" w:cs="楷体"/>
          <w:spacing w:val="-6"/>
          <w:sz w:val="32"/>
          <w:szCs w:val="32"/>
          <w:lang w:val="en-US"/>
        </w:rPr>
      </w:pPr>
      <w:r>
        <w:rPr>
          <w:rFonts w:hint="eastAsia" w:ascii="楷体" w:hAnsi="楷体" w:eastAsia="楷体" w:cs="楷体"/>
          <w:spacing w:val="-6"/>
          <w:kern w:val="2"/>
          <w:sz w:val="32"/>
          <w:szCs w:val="32"/>
          <w:lang w:val="en-US" w:eastAsia="zh-CN" w:bidi="ar"/>
        </w:rPr>
        <w:t>（优抚对象医疗救助项目）</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一、项目概况</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 w:eastAsia="仿宋_GB2312" w:cs="仿宋_GB2312"/>
          <w:sz w:val="32"/>
          <w:szCs w:val="32"/>
          <w:lang w:val="en-US" w:bidi="ar"/>
        </w:rPr>
      </w:pPr>
      <w:r>
        <w:rPr>
          <w:rFonts w:hint="eastAsia" w:ascii="楷体_GB2312" w:hAnsi="楷体_GB2312" w:eastAsia="楷体_GB2312" w:cs="楷体_GB2312"/>
          <w:kern w:val="2"/>
          <w:sz w:val="32"/>
          <w:szCs w:val="32"/>
          <w:lang w:val="en-US" w:eastAsia="zh-CN" w:bidi="ar"/>
        </w:rPr>
        <w:t>（一）项目资金申报及批复情况：</w:t>
      </w:r>
      <w:r>
        <w:rPr>
          <w:rFonts w:hint="eastAsia" w:ascii="仿宋_GB2312" w:hAnsi="仿宋_GB2312" w:eastAsia="仿宋_GB2312" w:cs="仿宋_GB2312"/>
          <w:kern w:val="2"/>
          <w:sz w:val="32"/>
          <w:szCs w:val="32"/>
          <w:lang w:val="en-US" w:eastAsia="zh-CN" w:bidi="ar"/>
        </w:rPr>
        <w:t>2021年，预算我局优抚对象医疗救助项目经费23.46万元，该项目属于财政全额拨款。符合资金管理办法等相关规定。</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zh-CN" w:eastAsia="zh-CN"/>
        </w:rPr>
      </w:pPr>
      <w:r>
        <w:rPr>
          <w:rFonts w:hint="eastAsia" w:ascii="楷体_GB2312" w:hAnsi="楷体_GB2312" w:eastAsia="楷体_GB2312" w:cs="楷体_GB2312"/>
          <w:kern w:val="2"/>
          <w:sz w:val="32"/>
          <w:szCs w:val="32"/>
          <w:lang w:val="en-US" w:eastAsia="zh-CN" w:bidi="ar"/>
        </w:rPr>
        <w:t>（二）项目绩效目标：</w:t>
      </w:r>
      <w:r>
        <w:rPr>
          <w:rFonts w:hint="eastAsia" w:ascii="仿宋_GB2312" w:hAnsi="仿宋" w:eastAsia="仿宋_GB2312" w:cs="仿宋_GB2312"/>
          <w:kern w:val="2"/>
          <w:sz w:val="32"/>
          <w:szCs w:val="32"/>
          <w:lang w:val="en-US" w:eastAsia="zh-CN" w:bidi="ar"/>
        </w:rPr>
        <w:t>年度工作目标是全额发放优抚对象医疗救助。</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 w:eastAsia="仿宋_GB2312" w:cs="仿宋_GB2312"/>
          <w:sz w:val="32"/>
          <w:szCs w:val="32"/>
          <w:lang w:val="en-US" w:bidi="ar"/>
        </w:rPr>
      </w:pPr>
      <w:r>
        <w:rPr>
          <w:rFonts w:hint="eastAsia" w:ascii="楷体_GB2312" w:hAnsi="楷体_GB2312" w:eastAsia="楷体_GB2312" w:cs="楷体_GB2312"/>
          <w:kern w:val="2"/>
          <w:sz w:val="32"/>
          <w:szCs w:val="32"/>
          <w:lang w:val="en-US" w:eastAsia="zh-CN" w:bidi="ar"/>
        </w:rPr>
        <w:t>（三）项目资金申报相符性：</w:t>
      </w:r>
      <w:r>
        <w:rPr>
          <w:rFonts w:hint="eastAsia" w:ascii="仿宋_GB2312" w:hAnsi="仿宋" w:eastAsia="仿宋_GB2312" w:cs="仿宋_GB2312"/>
          <w:kern w:val="2"/>
          <w:sz w:val="32"/>
          <w:szCs w:val="32"/>
          <w:lang w:val="en-US" w:eastAsia="zh-CN" w:bidi="ar"/>
        </w:rPr>
        <w:t>优抚对象医疗救助项目与具体实施内容相符，项目申报目标合理可行，全年已按预算目标全部执行。</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二、项目实施及管理情况</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（一）资金计划、到位及使用情况</w:t>
      </w:r>
    </w:p>
    <w:p>
      <w:pPr>
        <w:keepNext w:val="0"/>
        <w:keepLines w:val="0"/>
        <w:widowControl w:val="0"/>
        <w:suppressLineNumbers w:val="0"/>
        <w:spacing w:before="0" w:beforeAutospacing="0" w:after="0" w:afterAutospacing="0" w:line="576" w:lineRule="exact"/>
        <w:ind w:left="0" w:right="0" w:firstLine="645"/>
        <w:jc w:val="both"/>
        <w:rPr>
          <w:rFonts w:hint="eastAsia" w:ascii="仿宋_GB2312" w:eastAsia="仿宋_GB2312" w:cs="仿宋_GB2312"/>
          <w:spacing w:val="-6"/>
          <w:sz w:val="32"/>
          <w:szCs w:val="32"/>
          <w:lang w:val="en-US"/>
        </w:rPr>
      </w:pPr>
      <w:r>
        <w:rPr>
          <w:rFonts w:hint="eastAsia" w:ascii="仿宋_GB2312" w:hAnsi="仿宋" w:eastAsia="仿宋_GB2312" w:cs="仿宋_GB2312"/>
          <w:b/>
          <w:bCs/>
          <w:kern w:val="2"/>
          <w:sz w:val="32"/>
          <w:szCs w:val="32"/>
          <w:lang w:val="en-US" w:eastAsia="zh-CN" w:bidi="ar"/>
        </w:rPr>
        <w:t>1.</w:t>
      </w:r>
      <w:r>
        <w:rPr>
          <w:rFonts w:hint="eastAsia" w:ascii="仿宋_GB2312" w:hAnsi="Times New Roman" w:eastAsia="仿宋_GB2312" w:cs="仿宋_GB2312"/>
          <w:b/>
          <w:bCs/>
          <w:spacing w:val="-6"/>
          <w:kern w:val="2"/>
          <w:sz w:val="32"/>
          <w:szCs w:val="32"/>
          <w:lang w:val="en-US" w:eastAsia="zh-CN" w:bidi="ar"/>
        </w:rPr>
        <w:t>资金计划及到位</w:t>
      </w:r>
      <w:r>
        <w:rPr>
          <w:rFonts w:hint="eastAsia" w:ascii="仿宋_GB2312" w:hAnsi="仿宋" w:eastAsia="仿宋_GB2312" w:cs="仿宋_GB2312"/>
          <w:b/>
          <w:bCs/>
          <w:kern w:val="2"/>
          <w:sz w:val="32"/>
          <w:szCs w:val="32"/>
          <w:lang w:val="en-US" w:eastAsia="zh-CN" w:bidi="ar"/>
        </w:rPr>
        <w:t>：</w:t>
      </w:r>
      <w:r>
        <w:rPr>
          <w:rFonts w:hint="eastAsia" w:ascii="仿宋_GB2312" w:hAnsi="仿宋" w:eastAsia="仿宋_GB2312" w:cs="仿宋_GB2312"/>
          <w:kern w:val="2"/>
          <w:sz w:val="32"/>
          <w:szCs w:val="32"/>
          <w:lang w:val="en-US" w:eastAsia="zh-CN" w:bidi="ar"/>
        </w:rPr>
        <w:t>2021年，预算我局优抚对象医疗救助23.46万元，全年实际到位23.46万元，</w:t>
      </w:r>
      <w:r>
        <w:rPr>
          <w:rFonts w:hint="eastAsia" w:ascii="仿宋_GB2312" w:hAnsi="Times New Roman" w:eastAsia="仿宋_GB2312" w:cs="仿宋_GB2312"/>
          <w:spacing w:val="-6"/>
          <w:kern w:val="2"/>
          <w:sz w:val="32"/>
          <w:szCs w:val="32"/>
          <w:lang w:val="en-US" w:eastAsia="zh-CN" w:bidi="ar"/>
        </w:rPr>
        <w:t>资金到位率100%。</w:t>
      </w:r>
    </w:p>
    <w:p>
      <w:pPr>
        <w:keepNext w:val="0"/>
        <w:keepLines w:val="0"/>
        <w:widowControl w:val="0"/>
        <w:suppressLineNumbers w:val="0"/>
        <w:spacing w:before="0" w:beforeAutospacing="0" w:after="0" w:afterAutospacing="0" w:line="576" w:lineRule="exact"/>
        <w:ind w:left="0" w:right="0" w:firstLine="645"/>
        <w:jc w:val="both"/>
      </w:pPr>
      <w:r>
        <w:rPr>
          <w:rFonts w:hint="eastAsia" w:ascii="仿宋_GB2312" w:hAnsi="仿宋" w:eastAsia="仿宋_GB2312" w:cs="仿宋_GB2312"/>
          <w:b/>
          <w:bCs/>
          <w:kern w:val="2"/>
          <w:sz w:val="32"/>
          <w:szCs w:val="32"/>
          <w:lang w:val="en-US" w:eastAsia="zh-CN" w:bidi="ar"/>
        </w:rPr>
        <w:t>2.资金使用。</w:t>
      </w:r>
      <w:r>
        <w:rPr>
          <w:rFonts w:hint="eastAsia" w:ascii="仿宋_GB2312" w:hAnsi="Times New Roman" w:eastAsia="仿宋_GB2312" w:cs="仿宋_GB2312"/>
          <w:spacing w:val="-6"/>
          <w:kern w:val="2"/>
          <w:sz w:val="32"/>
          <w:szCs w:val="32"/>
          <w:lang w:val="en-US" w:eastAsia="zh-CN" w:bidi="ar"/>
        </w:rPr>
        <w:t>资金开支范围、标准及支付进度均按</w:t>
      </w:r>
      <w:r>
        <w:rPr>
          <w:rFonts w:hint="eastAsia" w:ascii="仿宋_GB2312" w:hAnsi="仿宋" w:eastAsia="仿宋_GB2312" w:cs="仿宋_GB2312"/>
          <w:kern w:val="2"/>
          <w:sz w:val="32"/>
          <w:szCs w:val="32"/>
          <w:lang w:val="en-US" w:eastAsia="zh-CN" w:bidi="ar"/>
        </w:rPr>
        <w:t>年度工作计划和预算安排直接支付，</w:t>
      </w:r>
      <w:r>
        <w:rPr>
          <w:rFonts w:hint="eastAsia" w:ascii="仿宋_GB2312" w:hAnsi="Times New Roman" w:eastAsia="仿宋_GB2312" w:cs="仿宋_GB2312"/>
          <w:spacing w:val="-6"/>
          <w:kern w:val="2"/>
          <w:sz w:val="32"/>
          <w:szCs w:val="32"/>
          <w:lang w:val="en-US" w:eastAsia="zh-CN" w:bidi="ar"/>
        </w:rPr>
        <w:t>做到了依据合规合法，资金支付与预算相符，</w:t>
      </w:r>
      <w:r>
        <w:rPr>
          <w:rFonts w:hint="eastAsia" w:ascii="仿宋_GB2312" w:hAnsi="仿宋" w:eastAsia="仿宋_GB2312" w:cs="仿宋_GB2312"/>
          <w:kern w:val="2"/>
          <w:sz w:val="32"/>
          <w:szCs w:val="32"/>
          <w:lang w:val="en-US" w:eastAsia="zh-CN" w:bidi="ar"/>
        </w:rPr>
        <w:t>资金及时结算支付达100%。</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（二）项目财务管理情况</w:t>
      </w:r>
    </w:p>
    <w:p>
      <w:pPr>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单位财务管理制度健全，严格执行财务管理制度，账务处理及时，会计核算规范。</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仿宋_GB2312" w:eastAsia="仿宋_GB2312" w:cs="仿宋_GB2312"/>
          <w:spacing w:val="-6"/>
          <w:sz w:val="32"/>
          <w:szCs w:val="32"/>
          <w:lang w:val="en-US"/>
        </w:rPr>
      </w:pPr>
      <w:r>
        <w:rPr>
          <w:rFonts w:hint="eastAsia" w:ascii="楷体_GB2312" w:hAnsi="Times New Roman" w:eastAsia="楷体_GB2312" w:cs="楷体_GB2312"/>
          <w:bCs/>
          <w:spacing w:val="-6"/>
          <w:kern w:val="2"/>
          <w:sz w:val="32"/>
          <w:szCs w:val="32"/>
          <w:lang w:val="en-US" w:eastAsia="zh-CN" w:bidi="ar"/>
        </w:rPr>
        <w:t>（三）项目组织实施情况</w:t>
      </w:r>
    </w:p>
    <w:p>
      <w:pPr>
        <w:adjustRightInd w:val="0"/>
        <w:spacing w:line="540" w:lineRule="exact"/>
        <w:ind w:firstLine="640" w:firstLineChars="200"/>
        <w:jc w:val="left"/>
        <w:rPr>
          <w:rFonts w:ascii="仿宋_GB2312" w:hAnsi="仿宋_GB2312" w:cs="仿宋_GB231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项目组织机构与职责落实情况。</w:t>
      </w:r>
      <w:r>
        <w:rPr>
          <w:rFonts w:hint="eastAsia" w:ascii="仿宋_GB2312" w:hAnsi="仿宋_GB2312" w:cs="仿宋_GB2312"/>
          <w:sz w:val="32"/>
          <w:szCs w:val="32"/>
        </w:rPr>
        <w:t>按照省财政厅《关于印发四川省中央和省级财政退役安置等补助资金管理办法的通知》（川财社</w:t>
      </w:r>
      <w:r>
        <w:rPr>
          <w:rFonts w:hint="eastAsia" w:ascii="仿宋_GB2312" w:hAnsi="仿宋_GB2312" w:cs="仿宋_GB2312"/>
          <w:color w:val="000000"/>
          <w:sz w:val="32"/>
          <w:szCs w:val="32"/>
        </w:rPr>
        <w:t>〔2020〕</w:t>
      </w:r>
      <w:r>
        <w:rPr>
          <w:rFonts w:hint="eastAsia" w:ascii="仿宋_GB2312" w:hAnsi="仿宋_GB2312" w:cs="仿宋_GB2312"/>
          <w:color w:val="333333"/>
          <w:sz w:val="32"/>
          <w:szCs w:val="32"/>
          <w:shd w:val="clear" w:color="auto" w:fill="FFFFFF"/>
        </w:rPr>
        <w:t>63号</w:t>
      </w:r>
      <w:r>
        <w:rPr>
          <w:rFonts w:hint="eastAsia" w:ascii="仿宋_GB2312" w:hAnsi="仿宋_GB2312" w:cs="仿宋_GB2312"/>
          <w:sz w:val="32"/>
          <w:szCs w:val="32"/>
        </w:rPr>
        <w:t>）要求，我局立即开展自评。同时联合区财政局成立绩效评价工作小组，制定评价方案。</w:t>
      </w:r>
    </w:p>
    <w:p>
      <w:pPr>
        <w:adjustRightInd w:val="0"/>
        <w:spacing w:line="540" w:lineRule="exact"/>
        <w:ind w:firstLine="640" w:firstLineChars="200"/>
        <w:jc w:val="left"/>
        <w:rPr>
          <w:rFonts w:ascii="仿宋_GB2312" w:hAnsi="仿宋_GB2312" w:cs="仿宋_GB231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项目管理制度建设情况。</w:t>
      </w:r>
      <w:r>
        <w:rPr>
          <w:rFonts w:hint="eastAsia" w:ascii="仿宋_GB2312" w:hAnsi="仿宋_GB2312" w:cs="仿宋_GB2312"/>
          <w:sz w:val="32"/>
          <w:szCs w:val="32"/>
        </w:rPr>
        <w:t>及时整理相关项目资料，细化项目绩效目标，根据省市要求和我区实际，设计绩效评价体系。</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项目组织管理落实情况。</w:t>
      </w:r>
      <w:r>
        <w:rPr>
          <w:rFonts w:hint="eastAsia" w:ascii="仿宋_GB2312" w:hAnsi="仿宋_GB2312" w:cs="仿宋_GB2312"/>
          <w:sz w:val="32"/>
          <w:szCs w:val="32"/>
        </w:rPr>
        <w:t>分析项目管理情况和资金效益，根据结果进行综合评价并提出相关建议。</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三、项目绩效情况</w:t>
      </w:r>
      <w:r>
        <w:rPr>
          <w:rFonts w:hint="eastAsia" w:ascii="黑体" w:hAnsi="宋体" w:eastAsia="黑体" w:cs="黑体"/>
          <w:spacing w:val="-6"/>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pPr>
      <w:r>
        <w:rPr>
          <w:rFonts w:hint="eastAsia" w:ascii="仿宋_GB2312" w:hAnsi="Times New Roman" w:eastAsia="仿宋_GB2312" w:cs="仿宋_GB2312"/>
          <w:spacing w:val="-6"/>
          <w:kern w:val="2"/>
          <w:sz w:val="32"/>
          <w:szCs w:val="32"/>
          <w:lang w:val="en-US" w:eastAsia="zh-CN" w:bidi="ar"/>
        </w:rPr>
        <w:t>2021年</w:t>
      </w:r>
      <w:r>
        <w:rPr>
          <w:rFonts w:hint="eastAsia" w:ascii="仿宋_GB2312"/>
          <w:sz w:val="32"/>
          <w:szCs w:val="32"/>
        </w:rPr>
        <w:t>优抚对象</w:t>
      </w:r>
      <w:r>
        <w:rPr>
          <w:rFonts w:hint="eastAsia" w:ascii="仿宋_GB2312"/>
          <w:sz w:val="32"/>
          <w:szCs w:val="32"/>
          <w:lang w:eastAsia="zh-CN"/>
        </w:rPr>
        <w:t>医疗救助</w:t>
      </w:r>
      <w:r>
        <w:rPr>
          <w:rFonts w:hint="eastAsia" w:ascii="仿宋_GB2312"/>
          <w:sz w:val="32"/>
          <w:szCs w:val="32"/>
        </w:rPr>
        <w:t>共计发放</w:t>
      </w:r>
      <w:r>
        <w:rPr>
          <w:rFonts w:hint="eastAsia" w:ascii="仿宋_GB2312"/>
          <w:sz w:val="32"/>
          <w:szCs w:val="32"/>
          <w:lang w:val="en-US" w:eastAsia="zh-CN"/>
        </w:rPr>
        <w:t>100</w:t>
      </w:r>
      <w:r>
        <w:rPr>
          <w:rFonts w:hint="eastAsia" w:ascii="仿宋_GB2312"/>
          <w:sz w:val="32"/>
          <w:szCs w:val="32"/>
        </w:rPr>
        <w:t>人，已全面完成；</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ind w:firstLine="640" w:firstLineChars="200"/>
        <w:rPr>
          <w:rFonts w:ascii="仿宋_GB2312"/>
          <w:sz w:val="32"/>
          <w:szCs w:val="32"/>
        </w:rPr>
      </w:pPr>
      <w:r>
        <w:rPr>
          <w:rFonts w:hint="eastAsia" w:ascii="仿宋_GB2312"/>
          <w:sz w:val="32"/>
          <w:szCs w:val="32"/>
        </w:rPr>
        <w:t>保障优抚对象生活，促进社会稳定。</w:t>
      </w:r>
    </w:p>
    <w:p>
      <w:pPr>
        <w:ind w:firstLine="640" w:firstLineChars="200"/>
        <w:rPr>
          <w:rFonts w:ascii="仿宋_GB2312"/>
          <w:sz w:val="32"/>
          <w:szCs w:val="32"/>
        </w:rPr>
      </w:pPr>
      <w:r>
        <w:rPr>
          <w:rFonts w:hint="eastAsia" w:ascii="仿宋_GB2312"/>
          <w:sz w:val="32"/>
          <w:szCs w:val="32"/>
        </w:rPr>
        <w:t>（3）生态效益。</w:t>
      </w:r>
    </w:p>
    <w:p>
      <w:pPr>
        <w:ind w:firstLine="640" w:firstLineChars="200"/>
        <w:rPr>
          <w:rFonts w:ascii="仿宋_GB2312"/>
          <w:sz w:val="32"/>
          <w:szCs w:val="32"/>
        </w:rPr>
      </w:pPr>
      <w:r>
        <w:rPr>
          <w:rFonts w:hint="eastAsia" w:ascii="仿宋_GB2312"/>
          <w:sz w:val="32"/>
          <w:szCs w:val="32"/>
        </w:rPr>
        <w:t>无</w:t>
      </w:r>
    </w:p>
    <w:p>
      <w:pPr>
        <w:ind w:firstLine="640" w:firstLineChars="200"/>
        <w:rPr>
          <w:rFonts w:ascii="仿宋_GB2312"/>
          <w:sz w:val="32"/>
          <w:szCs w:val="32"/>
        </w:rPr>
      </w:pPr>
      <w:r>
        <w:rPr>
          <w:rFonts w:hint="eastAsia" w:ascii="仿宋_GB2312"/>
          <w:sz w:val="32"/>
          <w:szCs w:val="32"/>
        </w:rPr>
        <w:t>（4）可持续影响。</w:t>
      </w:r>
    </w:p>
    <w:p>
      <w:pPr>
        <w:ind w:firstLine="640" w:firstLineChars="200"/>
        <w:rPr>
          <w:rFonts w:ascii="仿宋_GB2312"/>
          <w:sz w:val="32"/>
          <w:szCs w:val="32"/>
        </w:rPr>
      </w:pPr>
      <w:r>
        <w:rPr>
          <w:rFonts w:hint="eastAsia" w:ascii="仿宋_GB2312"/>
          <w:sz w:val="32"/>
          <w:szCs w:val="32"/>
        </w:rPr>
        <w:t>长期保证优抚对象正常生活，保障军队建设和地方建设需要。</w:t>
      </w:r>
    </w:p>
    <w:p>
      <w:pPr>
        <w:ind w:firstLine="640" w:firstLineChars="200"/>
        <w:rPr>
          <w:rFonts w:ascii="仿宋_GB2312"/>
          <w:sz w:val="32"/>
          <w:szCs w:val="32"/>
        </w:rPr>
      </w:pPr>
      <w:r>
        <w:rPr>
          <w:rFonts w:hint="eastAsia" w:ascii="仿宋_GB2312"/>
          <w:sz w:val="32"/>
          <w:szCs w:val="32"/>
        </w:rPr>
        <w:t>3.满意度指标完成情况分析。</w:t>
      </w:r>
    </w:p>
    <w:p>
      <w:pPr>
        <w:ind w:firstLine="640" w:firstLineChars="200"/>
        <w:rPr>
          <w:rFonts w:hint="eastAsia" w:ascii="仿宋_GB2312"/>
          <w:sz w:val="32"/>
          <w:szCs w:val="32"/>
        </w:rPr>
      </w:pPr>
      <w:r>
        <w:rPr>
          <w:rFonts w:hint="eastAsia" w:ascii="仿宋_GB2312"/>
          <w:sz w:val="32"/>
          <w:szCs w:val="32"/>
        </w:rPr>
        <w:t>综合满意率&gt;95%以上。</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四、问题及建议</w:t>
      </w:r>
    </w:p>
    <w:p>
      <w:pPr>
        <w:pStyle w:val="14"/>
        <w:shd w:val="clear" w:color="auto" w:fill="FFFFFF"/>
        <w:spacing w:before="0" w:beforeAutospacing="0" w:after="0" w:afterAutospacing="0" w:line="560" w:lineRule="atLeas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（一）存在问题。</w:t>
      </w:r>
    </w:p>
    <w:p>
      <w:pPr>
        <w:pStyle w:val="14"/>
        <w:shd w:val="clear" w:color="auto" w:fill="FFFFFF"/>
        <w:spacing w:before="0" w:beforeAutospacing="0" w:after="0" w:afterAutospacing="0" w:line="560" w:lineRule="atLeast"/>
        <w:ind w:firstLine="960" w:firstLineChars="300"/>
        <w:jc w:val="both"/>
        <w:rPr>
          <w:color w:val="333333"/>
        </w:rPr>
      </w:pPr>
      <w:r>
        <w:rPr>
          <w:rFonts w:hint="eastAsia" w:ascii="仿宋" w:hAnsi="仿宋" w:eastAsia="仿宋" w:cs="仿宋"/>
          <w:color w:val="000000"/>
          <w:sz w:val="32"/>
          <w:szCs w:val="32"/>
          <w:shd w:val="clear" w:color="auto" w:fill="FFFFFF"/>
        </w:rPr>
        <w:t>1.项目</w:t>
      </w:r>
      <w:r>
        <w:rPr>
          <w:rFonts w:ascii="仿宋" w:hAnsi="仿宋" w:eastAsia="仿宋" w:cs="仿宋"/>
          <w:color w:val="000000"/>
          <w:sz w:val="32"/>
          <w:szCs w:val="32"/>
          <w:shd w:val="clear" w:color="auto" w:fill="FFFFFF"/>
        </w:rPr>
        <w:t>资金使用效益有待进一步提高。</w:t>
      </w:r>
    </w:p>
    <w:p>
      <w:pPr>
        <w:pStyle w:val="14"/>
        <w:shd w:val="clear" w:color="auto" w:fill="FFFFFF"/>
        <w:spacing w:before="0" w:beforeAutospacing="0" w:after="0" w:afterAutospacing="0" w:line="560" w:lineRule="atLeast"/>
        <w:ind w:firstLine="960" w:firstLineChars="300"/>
        <w:jc w:val="both"/>
        <w:rPr>
          <w:color w:val="333333"/>
        </w:rPr>
      </w:pPr>
      <w:r>
        <w:rPr>
          <w:rFonts w:hint="eastAsia" w:ascii="仿宋" w:hAnsi="仿宋" w:eastAsia="仿宋" w:cs="仿宋"/>
          <w:color w:val="000000"/>
          <w:sz w:val="32"/>
          <w:szCs w:val="32"/>
          <w:shd w:val="clear" w:color="auto" w:fill="FFFFFF"/>
        </w:rPr>
        <w:t>2.绩效目标设立不够明确、细化和量化。</w:t>
      </w:r>
    </w:p>
    <w:p>
      <w:pPr>
        <w:ind w:firstLine="640" w:firstLineChars="200"/>
        <w:rPr>
          <w:rFonts w:ascii="宋体" w:hAnsi="宋体" w:eastAsia="宋体" w:cs="宋体"/>
          <w:color w:val="333333"/>
          <w:sz w:val="32"/>
          <w:szCs w:val="32"/>
        </w:rPr>
      </w:pPr>
      <w:r>
        <w:rPr>
          <w:rFonts w:hint="eastAsia" w:ascii="楷体_GB2312" w:hAnsi="楷体_GB2312" w:eastAsia="楷体_GB2312" w:cs="楷体_GB2312"/>
          <w:sz w:val="32"/>
          <w:szCs w:val="32"/>
        </w:rPr>
        <w:t>（二）工作建议。</w:t>
      </w:r>
      <w:r>
        <w:rPr>
          <w:rFonts w:hint="eastAsia" w:ascii="仿宋" w:hAnsi="仿宋" w:eastAsia="仿宋" w:cs="仿宋"/>
          <w:color w:val="000000"/>
          <w:sz w:val="32"/>
          <w:szCs w:val="32"/>
          <w:shd w:val="clear" w:color="auto" w:fill="FFFFFF"/>
        </w:rPr>
        <w:t>建议</w:t>
      </w:r>
      <w:r>
        <w:rPr>
          <w:rFonts w:ascii="仿宋" w:hAnsi="仿宋" w:eastAsia="仿宋" w:cs="仿宋"/>
          <w:color w:val="000000"/>
          <w:sz w:val="32"/>
          <w:szCs w:val="32"/>
          <w:shd w:val="clear" w:color="auto" w:fill="FFFFFF"/>
        </w:rPr>
        <w:t>财政根据上级有关文件精神，结合</w:t>
      </w:r>
      <w:r>
        <w:rPr>
          <w:rFonts w:hint="eastAsia" w:ascii="仿宋" w:hAnsi="仿宋" w:eastAsia="仿宋" w:cs="仿宋"/>
          <w:color w:val="000000"/>
          <w:sz w:val="32"/>
          <w:szCs w:val="32"/>
          <w:shd w:val="clear" w:color="auto" w:fill="FFFFFF"/>
        </w:rPr>
        <w:t>退役军人事务</w:t>
      </w:r>
      <w:r>
        <w:rPr>
          <w:rFonts w:ascii="仿宋" w:hAnsi="仿宋" w:eastAsia="仿宋" w:cs="仿宋"/>
          <w:color w:val="000000"/>
          <w:sz w:val="32"/>
          <w:szCs w:val="32"/>
          <w:shd w:val="clear" w:color="auto" w:fill="FFFFFF"/>
        </w:rPr>
        <w:t>发展的要求和实际情况，提高年初部门预算额度，将常规、必需项目支出纳入年度预算，并增加相关项目支出预算。</w:t>
      </w:r>
    </w:p>
    <w:p>
      <w:pPr>
        <w:keepNext w:val="0"/>
        <w:keepLines w:val="0"/>
        <w:widowControl w:val="0"/>
        <w:suppressLineNumbers w:val="0"/>
        <w:autoSpaceDE w:val="0"/>
        <w:autoSpaceDN/>
        <w:spacing w:before="0" w:beforeAutospacing="0" w:after="0" w:afterAutospacing="0" w:line="576" w:lineRule="exact"/>
        <w:ind w:left="0" w:right="0" w:firstLine="1540" w:firstLineChars="500"/>
        <w:jc w:val="both"/>
        <w:rPr>
          <w:rFonts w:hint="eastAsia" w:ascii="仿宋_GB2312" w:hAnsi="仿宋_GB2312" w:eastAsia="仿宋_GB2312" w:cs="仿宋_GB2312"/>
          <w:kern w:val="0"/>
          <w:sz w:val="32"/>
          <w:szCs w:val="32"/>
          <w:lang w:val="en-US"/>
        </w:rPr>
      </w:pPr>
      <w:r>
        <w:rPr>
          <w:rFonts w:hint="eastAsia" w:ascii="仿宋_GB2312" w:hAnsi="宋体" w:eastAsia="仿宋_GB2312" w:cs="仿宋_GB2312"/>
          <w:color w:val="000000"/>
          <w:spacing w:val="-6"/>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color w:val="000000"/>
          <w:kern w:val="0"/>
          <w:sz w:val="24"/>
          <w:szCs w:val="24"/>
          <w:lang w:val="en-US"/>
        </w:rPr>
      </w:pPr>
      <w:r>
        <w:rPr>
          <w:rFonts w:hint="eastAsia" w:ascii="仿宋_GB2312" w:hAnsi="宋体" w:eastAsia="仿宋_GB2312" w:cs="仿宋_GB2312"/>
          <w:color w:val="000000"/>
          <w:spacing w:val="-6"/>
          <w:kern w:val="0"/>
          <w:sz w:val="32"/>
          <w:szCs w:val="32"/>
          <w:lang w:val="en-US" w:eastAsia="zh-CN" w:bidi="ar"/>
        </w:rPr>
        <w:t>附表：3-1部门预算</w:t>
      </w:r>
      <w:r>
        <w:rPr>
          <w:rFonts w:hint="eastAsia" w:ascii="仿宋_GB2312" w:hAnsi="宋体" w:eastAsia="仿宋_GB2312" w:cs="宋体"/>
          <w:color w:val="000000"/>
          <w:kern w:val="0"/>
          <w:sz w:val="32"/>
          <w:szCs w:val="32"/>
          <w:lang w:val="en-US" w:eastAsia="zh-CN" w:bidi="ar"/>
        </w:rPr>
        <w:t>项目支出绩效目标自评表</w:t>
      </w:r>
    </w:p>
    <w:p>
      <w:pPr>
        <w:pStyle w:val="14"/>
        <w:keepNext w:val="0"/>
        <w:keepLines w:val="0"/>
        <w:widowControl w:val="0"/>
        <w:suppressLineNumbers w:val="0"/>
        <w:spacing w:before="0" w:beforeAutospacing="0" w:after="0" w:afterAutospacing="0" w:line="576" w:lineRule="exact"/>
        <w:ind w:left="0" w:right="0" w:firstLine="2156" w:firstLineChars="700"/>
        <w:jc w:val="both"/>
        <w:rPr>
          <w:rFonts w:hint="eastAsia" w:ascii="仿宋_GB2312" w:hAnsi="宋体" w:eastAsia="仿宋_GB2312" w:cs="仿宋_GB2312"/>
          <w:color w:val="000000"/>
          <w:spacing w:val="-6"/>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p>
      <w:pPr>
        <w:pStyle w:val="36"/>
        <w:widowControl/>
        <w:ind w:left="0" w:firstLine="0" w:firstLineChars="0"/>
        <w:rPr>
          <w:rFonts w:hint="eastAsia" w:ascii="仿宋_GB2312" w:hAnsi="仿宋_GB2312" w:eastAsia="仿宋_GB2312" w:cs="仿宋_GB2312"/>
          <w:kern w:val="0"/>
          <w:sz w:val="32"/>
          <w:szCs w:val="32"/>
          <w:lang w:val="en-US"/>
        </w:rPr>
      </w:pPr>
    </w:p>
    <w:tbl>
      <w:tblPr>
        <w:tblStyle w:val="15"/>
        <w:tblW w:w="13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04"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黑体" w:hAnsi="宋体" w:eastAsia="黑体" w:cs="黑体"/>
                <w:color w:val="000000"/>
                <w:sz w:val="28"/>
                <w:szCs w:val="28"/>
                <w:lang w:val="en-US"/>
              </w:rPr>
            </w:pPr>
            <w:r>
              <w:rPr>
                <w:rFonts w:hint="eastAsia" w:ascii="黑体" w:hAnsi="宋体" w:eastAsia="黑体" w:cs="黑体"/>
                <w:color w:val="000000"/>
                <w:kern w:val="0"/>
                <w:sz w:val="32"/>
                <w:szCs w:val="32"/>
                <w:lang w:val="en-US" w:eastAsia="zh-CN" w:bidi="ar"/>
              </w:rPr>
              <w:t>附表3-1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8804" w:type="dxa"/>
            <w:shd w:val="clear" w:color="auto" w:fill="auto"/>
            <w:vAlign w:val="center"/>
          </w:tcPr>
          <w:p>
            <w:pPr>
              <w:pStyle w:val="14"/>
              <w:keepNext w:val="0"/>
              <w:keepLines w:val="0"/>
              <w:widowControl w:val="0"/>
              <w:suppressLineNumbers w:val="0"/>
              <w:spacing w:before="0" w:beforeAutospacing="0" w:after="0" w:afterAutospacing="0" w:line="560" w:lineRule="exact"/>
              <w:ind w:left="0" w:leftChars="0" w:right="0" w:rightChars="0" w:firstLine="720" w:firstLineChars="200"/>
              <w:jc w:val="both"/>
              <w:textAlignment w:val="center"/>
              <w:rPr>
                <w:rFonts w:hint="eastAsia" w:ascii="方正大标宋简体" w:hAnsi="方正大标宋简体" w:eastAsia="方正大标宋简体" w:cs="方正大标宋简体"/>
                <w:color w:val="000000"/>
                <w:sz w:val="36"/>
                <w:szCs w:val="3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804" w:type="dxa"/>
            <w:shd w:val="clear" w:color="auto" w:fill="auto"/>
            <w:vAlign w:val="center"/>
          </w:tcPr>
          <w:tbl>
            <w:tblPr>
              <w:tblStyle w:val="15"/>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962"/>
              <w:gridCol w:w="1380"/>
              <w:gridCol w:w="1416"/>
              <w:gridCol w:w="1608"/>
              <w:gridCol w:w="2316"/>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9371" w:type="dxa"/>
                  <w:gridSpan w:val="7"/>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大标宋简体" w:hAnsi="方正大标宋简体" w:eastAsia="方正大标宋简体" w:cs="方正大标宋简体"/>
                      <w:color w:val="000000"/>
                      <w:kern w:val="0"/>
                      <w:sz w:val="36"/>
                      <w:szCs w:val="36"/>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71" w:type="dxa"/>
                  <w:gridSpan w:val="7"/>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71" w:type="dxa"/>
                  <w:gridSpan w:val="7"/>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部门（单位）盖章：广元市朝天区退役军人事务局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7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优抚对象</w:t>
                  </w:r>
                  <w:r>
                    <w:rPr>
                      <w:rFonts w:hint="eastAsia" w:ascii="宋体" w:hAnsi="宋体" w:cs="宋体"/>
                      <w:color w:val="000000"/>
                      <w:kern w:val="0"/>
                      <w:sz w:val="18"/>
                      <w:szCs w:val="18"/>
                      <w:lang w:val="en-US" w:eastAsia="zh-CN" w:bidi="ar"/>
                    </w:rPr>
                    <w:t>医疗救助</w:t>
                  </w:r>
                  <w:r>
                    <w:rPr>
                      <w:rFonts w:hint="eastAsia" w:ascii="宋体" w:hAnsi="宋体" w:eastAsia="宋体" w:cs="宋体"/>
                      <w:color w:val="000000"/>
                      <w:kern w:val="0"/>
                      <w:sz w:val="18"/>
                      <w:szCs w:val="18"/>
                      <w:lang w:val="en-US" w:eastAsia="zh-CN" w:bidi="ar"/>
                    </w:rPr>
                    <w:t>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77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广元市朝天区</w:t>
                  </w:r>
                  <w:r>
                    <w:rPr>
                      <w:rFonts w:hint="eastAsia" w:ascii="宋体" w:hAnsi="宋体" w:cs="宋体"/>
                      <w:color w:val="000000"/>
                      <w:kern w:val="0"/>
                      <w:sz w:val="18"/>
                      <w:szCs w:val="18"/>
                      <w:lang w:val="en-US" w:eastAsia="zh-CN" w:bidi="ar"/>
                    </w:rPr>
                    <w:t>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 （万元） </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23.46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全年执行数（万元）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23.46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其中：一般公共预算</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23.46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其中：一般公共预算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23.46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政府性基金预算</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政府性基金预算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国有资本经营预算</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国有资本经营预算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社会保险基金预算</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社会保险基金预算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其他资金</w:t>
                  </w:r>
                </w:p>
              </w:tc>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其他资金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目标完成情况</w:t>
                  </w:r>
                </w:p>
              </w:tc>
              <w:tc>
                <w:tcPr>
                  <w:tcW w:w="53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全年预期目标</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36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目标1：完成30人1-6级残疾军人、和1900余人重点优抚对象医疗补助发放（除在职人员）.</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目标2：通过发放补助和医疗救助，让优抚对象老有所医，切实解决看病难问题，在部队安心服役，更好的服务于国防和军队建设。</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18"/>
                      <w:szCs w:val="18"/>
                      <w:lang w:val="en-US"/>
                    </w:rPr>
                  </w:pPr>
                  <w:r>
                    <w:rPr>
                      <w:rFonts w:hint="eastAsia" w:ascii="宋体" w:hAnsi="宋体" w:eastAsia="宋体" w:cs="宋体"/>
                      <w:color w:val="000000"/>
                      <w:kern w:val="0"/>
                      <w:sz w:val="15"/>
                      <w:szCs w:val="15"/>
                      <w:lang w:val="en-US" w:eastAsia="zh-CN" w:bidi="ar"/>
                    </w:rPr>
                    <w:t>目标3：退役后，更好的为地方经济建设服务。</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15"/>
                      <w:szCs w:val="15"/>
                      <w:lang w:val="en-US" w:eastAsia="zh-CN" w:bidi="ar"/>
                    </w:rPr>
                  </w:pPr>
                  <w:r>
                    <w:rPr>
                      <w:rFonts w:hint="eastAsia" w:ascii="宋体" w:hAnsi="宋体" w:cs="宋体"/>
                      <w:color w:val="000000"/>
                      <w:kern w:val="0"/>
                      <w:sz w:val="15"/>
                      <w:szCs w:val="15"/>
                      <w:lang w:val="en-US" w:eastAsia="zh-CN" w:bidi="ar"/>
                    </w:rPr>
                    <w:t>已全面完成。</w:t>
                  </w:r>
                </w:p>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18"/>
                      <w:szCs w:val="18"/>
                      <w:lang w:val="en-US"/>
                    </w:rPr>
                  </w:pPr>
                  <w:r>
                    <w:rPr>
                      <w:rFonts w:hint="eastAsia" w:ascii="宋体" w:hAnsi="宋体" w:eastAsia="宋体" w:cs="宋体"/>
                      <w:color w:val="000000"/>
                      <w:kern w:val="0"/>
                      <w:sz w:val="15"/>
                      <w:szCs w:val="15"/>
                      <w:lang w:val="en-US" w:eastAsia="zh-CN" w:bidi="ar"/>
                    </w:rPr>
                    <w:t xml:space="preserve"> </w:t>
                  </w:r>
                  <w:r>
                    <w:rPr>
                      <w:rFonts w:hint="eastAsia" w:ascii="宋体" w:hAnsi="宋体" w:eastAsia="宋体" w:cs="宋体"/>
                      <w:color w:val="000000"/>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一级指标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二级指标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三级指标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5"/>
                      <w:szCs w:val="15"/>
                      <w:lang w:val="en-US" w:eastAsia="zh-CN" w:bidi="ar"/>
                    </w:rPr>
                    <w:t>全年预期指标值（包含数字及文字描述）</w:t>
                  </w:r>
                  <w:r>
                    <w:rPr>
                      <w:rFonts w:hint="eastAsia" w:ascii="宋体" w:hAnsi="宋体" w:eastAsia="宋体" w:cs="宋体"/>
                      <w:color w:val="000000"/>
                      <w:kern w:val="0"/>
                      <w:sz w:val="18"/>
                      <w:szCs w:val="18"/>
                      <w:lang w:val="en-US" w:eastAsia="zh-CN" w:bidi="ar"/>
                    </w:rPr>
                    <w:t xml:space="preserve">                     </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 xml:space="preserve">全年实际完成指标值 （包含数字及文字描述）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未完成原因及改进       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产出指标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数量指标</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cs="宋体"/>
                      <w:color w:val="000000"/>
                      <w:kern w:val="0"/>
                      <w:sz w:val="15"/>
                      <w:szCs w:val="15"/>
                      <w:lang w:val="en-US" w:eastAsia="zh-CN" w:bidi="ar"/>
                    </w:rPr>
                    <w:t>优抚对象人数</w:t>
                  </w:r>
                </w:p>
              </w:tc>
              <w:tc>
                <w:tcPr>
                  <w:tcW w:w="16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lang w:val="en-US" w:bidi="ar"/>
                    </w:rPr>
                  </w:pPr>
                  <w:r>
                    <w:rPr>
                      <w:rFonts w:hint="eastAsia" w:ascii="宋体" w:hAnsi="宋体" w:cs="宋体"/>
                      <w:color w:val="000000"/>
                      <w:kern w:val="0"/>
                      <w:sz w:val="15"/>
                      <w:szCs w:val="15"/>
                      <w:lang w:val="en-US" w:eastAsia="zh-CN" w:bidi="ar"/>
                    </w:rPr>
                    <w:t>1900人</w:t>
                  </w:r>
                </w:p>
              </w:tc>
              <w:tc>
                <w:tcPr>
                  <w:tcW w:w="23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lang w:val="en-US" w:bidi="ar"/>
                    </w:rPr>
                  </w:pPr>
                  <w:r>
                    <w:rPr>
                      <w:rFonts w:hint="eastAsia" w:ascii="宋体" w:hAnsi="宋体" w:cs="宋体"/>
                      <w:color w:val="000000"/>
                      <w:kern w:val="0"/>
                      <w:sz w:val="15"/>
                      <w:szCs w:val="15"/>
                      <w:lang w:val="en-US" w:eastAsia="zh-CN" w:bidi="ar"/>
                    </w:rPr>
                    <w:t>1920人</w:t>
                  </w:r>
                </w:p>
              </w:tc>
              <w:tc>
                <w:tcPr>
                  <w:tcW w:w="10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质量指标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补助发放率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时效指标</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资金到位率</w:t>
                  </w:r>
                </w:p>
              </w:tc>
              <w:tc>
                <w:tcPr>
                  <w:tcW w:w="16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100%</w:t>
                  </w:r>
                </w:p>
              </w:tc>
              <w:tc>
                <w:tcPr>
                  <w:tcW w:w="23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100%</w:t>
                  </w:r>
                </w:p>
              </w:tc>
              <w:tc>
                <w:tcPr>
                  <w:tcW w:w="10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结算支付比率</w:t>
                  </w:r>
                </w:p>
              </w:tc>
              <w:tc>
                <w:tcPr>
                  <w:tcW w:w="160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100%</w:t>
                  </w:r>
                </w:p>
              </w:tc>
              <w:tc>
                <w:tcPr>
                  <w:tcW w:w="23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100%</w:t>
                  </w:r>
                </w:p>
              </w:tc>
              <w:tc>
                <w:tcPr>
                  <w:tcW w:w="10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成本指标</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补助标准</w:t>
                  </w:r>
                </w:p>
              </w:tc>
              <w:tc>
                <w:tcPr>
                  <w:tcW w:w="16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lang w:val="en-US" w:bidi="ar"/>
                    </w:rPr>
                  </w:pPr>
                  <w:r>
                    <w:rPr>
                      <w:rFonts w:hint="eastAsia" w:ascii="宋体" w:hAnsi="宋体" w:cs="宋体"/>
                      <w:color w:val="000000"/>
                      <w:kern w:val="0"/>
                      <w:sz w:val="15"/>
                      <w:szCs w:val="15"/>
                      <w:lang w:val="en-US" w:eastAsia="zh-CN" w:bidi="ar"/>
                    </w:rPr>
                    <w:t>100%</w:t>
                  </w:r>
                </w:p>
              </w:tc>
              <w:tc>
                <w:tcPr>
                  <w:tcW w:w="23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lang w:val="en-US" w:bidi="ar"/>
                    </w:rPr>
                  </w:pPr>
                  <w:r>
                    <w:rPr>
                      <w:rFonts w:hint="eastAsia" w:ascii="宋体" w:hAnsi="宋体" w:cs="宋体"/>
                      <w:color w:val="000000"/>
                      <w:kern w:val="0"/>
                      <w:sz w:val="15"/>
                      <w:szCs w:val="15"/>
                      <w:lang w:val="en-US" w:eastAsia="zh-CN" w:bidi="ar"/>
                    </w:rPr>
                    <w:t>100%</w:t>
                  </w:r>
                </w:p>
              </w:tc>
              <w:tc>
                <w:tcPr>
                  <w:tcW w:w="10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社会效益指标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窗口人员服务态度服务质量提升率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 xml:space="preserve">≥95% </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≥98%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满意度 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满意度指标</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cs="宋体"/>
                      <w:color w:val="000000"/>
                      <w:kern w:val="0"/>
                      <w:sz w:val="15"/>
                      <w:szCs w:val="15"/>
                      <w:lang w:val="en-US" w:eastAsia="zh-CN" w:bidi="ar"/>
                    </w:rPr>
                    <w:t>优抚对象</w:t>
                  </w:r>
                  <w:r>
                    <w:rPr>
                      <w:rFonts w:hint="eastAsia" w:ascii="宋体" w:hAnsi="宋体" w:eastAsia="宋体" w:cs="宋体"/>
                      <w:color w:val="000000"/>
                      <w:kern w:val="0"/>
                      <w:sz w:val="15"/>
                      <w:szCs w:val="15"/>
                      <w:lang w:val="en-US" w:eastAsia="zh-CN" w:bidi="ar"/>
                    </w:rPr>
                    <w:t>满意度</w:t>
                  </w:r>
                </w:p>
              </w:tc>
              <w:tc>
                <w:tcPr>
                  <w:tcW w:w="16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100%</w:t>
                  </w:r>
                </w:p>
              </w:tc>
              <w:tc>
                <w:tcPr>
                  <w:tcW w:w="23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100%</w:t>
                  </w:r>
                </w:p>
              </w:tc>
              <w:tc>
                <w:tcPr>
                  <w:tcW w:w="10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r>
          </w:tbl>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p>
        </w:tc>
      </w:tr>
    </w:tbl>
    <w:p>
      <w:pPr>
        <w:pStyle w:val="34"/>
        <w:rPr>
          <w:rFonts w:hint="eastAsia"/>
        </w:rPr>
      </w:pPr>
      <w:bookmarkStart w:id="59" w:name="_Toc15396618"/>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35"/>
          <w:rFonts w:hint="eastAsia" w:ascii="黑体" w:hAnsi="黑体" w:eastAsia="黑体"/>
          <w:b w:val="0"/>
          <w:color w:val="auto"/>
          <w:highlight w:val="none"/>
        </w:rPr>
        <w:t>五部分 附表</w:t>
      </w:r>
      <w:bookmarkEnd w:id="59"/>
      <w:bookmarkStart w:id="60" w:name="_Toc15396619"/>
    </w:p>
    <w:p>
      <w:pPr>
        <w:pStyle w:val="5"/>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auto"/>
          <w:sz w:val="32"/>
          <w:szCs w:val="32"/>
          <w:highlight w:val="none"/>
        </w:rPr>
      </w:pPr>
      <w:r>
        <w:rPr>
          <w:rFonts w:hint="eastAsia" w:ascii="仿宋" w:hAnsi="仿宋" w:eastAsia="仿宋"/>
          <w:b w:val="0"/>
          <w:color w:val="auto"/>
          <w:sz w:val="32"/>
          <w:szCs w:val="32"/>
          <w:highlight w:val="none"/>
        </w:rPr>
        <w:t>一、收</w:t>
      </w:r>
      <w:r>
        <w:rPr>
          <w:rStyle w:val="37"/>
          <w:rFonts w:hint="eastAsia" w:ascii="仿宋" w:hAnsi="仿宋" w:eastAsia="仿宋"/>
          <w:b w:val="0"/>
          <w:bCs w:val="0"/>
          <w:color w:val="auto"/>
          <w:sz w:val="32"/>
          <w:szCs w:val="32"/>
          <w:highlight w:val="none"/>
        </w:rPr>
        <w:t>入支出决算总表</w:t>
      </w:r>
      <w:bookmarkEnd w:id="60"/>
    </w:p>
    <w:p>
      <w:pPr>
        <w:pStyle w:val="5"/>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auto"/>
          <w:sz w:val="32"/>
          <w:szCs w:val="32"/>
          <w:highlight w:val="none"/>
        </w:rPr>
      </w:pPr>
      <w:bookmarkStart w:id="61" w:name="_Toc15396620"/>
      <w:r>
        <w:rPr>
          <w:rFonts w:hint="eastAsia" w:ascii="仿宋" w:hAnsi="仿宋" w:eastAsia="仿宋"/>
          <w:b w:val="0"/>
          <w:color w:val="auto"/>
          <w:sz w:val="32"/>
          <w:szCs w:val="32"/>
          <w:highlight w:val="none"/>
        </w:rPr>
        <w:t>二、收</w:t>
      </w:r>
      <w:r>
        <w:rPr>
          <w:rStyle w:val="37"/>
          <w:rFonts w:hint="eastAsia" w:ascii="仿宋" w:hAnsi="仿宋" w:eastAsia="仿宋"/>
          <w:b w:val="0"/>
          <w:bCs w:val="0"/>
          <w:color w:val="auto"/>
          <w:sz w:val="32"/>
          <w:szCs w:val="32"/>
          <w:highlight w:val="none"/>
        </w:rPr>
        <w:t>入决算表</w:t>
      </w:r>
      <w:bookmarkEnd w:id="61"/>
    </w:p>
    <w:p>
      <w:pPr>
        <w:pStyle w:val="5"/>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auto"/>
          <w:sz w:val="32"/>
          <w:szCs w:val="32"/>
          <w:highlight w:val="none"/>
        </w:rPr>
      </w:pPr>
      <w:bookmarkStart w:id="62" w:name="_Toc15396621"/>
      <w:r>
        <w:rPr>
          <w:rStyle w:val="37"/>
          <w:rFonts w:hint="eastAsia" w:ascii="仿宋" w:hAnsi="仿宋" w:eastAsia="仿宋"/>
          <w:b w:val="0"/>
          <w:bCs w:val="0"/>
          <w:color w:val="auto"/>
          <w:sz w:val="32"/>
          <w:szCs w:val="32"/>
          <w:highlight w:val="none"/>
        </w:rPr>
        <w:t>三、</w:t>
      </w:r>
      <w:r>
        <w:rPr>
          <w:rFonts w:hint="eastAsia" w:ascii="仿宋" w:hAnsi="仿宋" w:eastAsia="仿宋"/>
          <w:b w:val="0"/>
          <w:color w:val="auto"/>
          <w:sz w:val="32"/>
          <w:szCs w:val="32"/>
          <w:highlight w:val="none"/>
        </w:rPr>
        <w:t>支</w:t>
      </w:r>
      <w:r>
        <w:rPr>
          <w:rStyle w:val="37"/>
          <w:rFonts w:hint="eastAsia" w:ascii="仿宋" w:hAnsi="仿宋" w:eastAsia="仿宋"/>
          <w:b w:val="0"/>
          <w:bCs w:val="0"/>
          <w:color w:val="auto"/>
          <w:sz w:val="32"/>
          <w:szCs w:val="32"/>
          <w:highlight w:val="none"/>
        </w:rPr>
        <w:t>出决算表</w:t>
      </w:r>
      <w:bookmarkEnd w:id="62"/>
    </w:p>
    <w:p>
      <w:pPr>
        <w:pStyle w:val="5"/>
        <w:pageBreakBefore w:val="0"/>
        <w:widowControl w:val="0"/>
        <w:kinsoku/>
        <w:wordWrap/>
        <w:overflowPunct/>
        <w:topLinePunct w:val="0"/>
        <w:autoSpaceDE/>
        <w:autoSpaceDN/>
        <w:bidi w:val="0"/>
        <w:adjustRightInd/>
        <w:snapToGrid/>
        <w:spacing w:line="400" w:lineRule="exact"/>
        <w:textAlignment w:val="auto"/>
        <w:rPr>
          <w:rFonts w:ascii="仿宋" w:hAnsi="仿宋" w:eastAsia="仿宋"/>
          <w:b w:val="0"/>
          <w:color w:val="auto"/>
          <w:sz w:val="32"/>
          <w:szCs w:val="32"/>
          <w:highlight w:val="none"/>
        </w:rPr>
      </w:pPr>
      <w:bookmarkStart w:id="63" w:name="_Toc15396622"/>
      <w:r>
        <w:rPr>
          <w:rStyle w:val="37"/>
          <w:rFonts w:hint="eastAsia" w:ascii="仿宋" w:hAnsi="仿宋" w:eastAsia="仿宋"/>
          <w:b w:val="0"/>
          <w:bCs w:val="0"/>
          <w:color w:val="auto"/>
          <w:sz w:val="32"/>
          <w:szCs w:val="32"/>
          <w:highlight w:val="none"/>
        </w:rPr>
        <w:t>四、</w:t>
      </w:r>
      <w:r>
        <w:rPr>
          <w:rFonts w:hint="eastAsia" w:ascii="仿宋" w:hAnsi="仿宋" w:eastAsia="仿宋"/>
          <w:b w:val="0"/>
          <w:color w:val="auto"/>
          <w:sz w:val="32"/>
          <w:szCs w:val="32"/>
          <w:highlight w:val="none"/>
        </w:rPr>
        <w:t>财</w:t>
      </w:r>
      <w:r>
        <w:rPr>
          <w:rStyle w:val="37"/>
          <w:rFonts w:hint="eastAsia" w:ascii="仿宋" w:hAnsi="仿宋" w:eastAsia="仿宋"/>
          <w:b w:val="0"/>
          <w:bCs w:val="0"/>
          <w:color w:val="auto"/>
          <w:sz w:val="32"/>
          <w:szCs w:val="32"/>
          <w:highlight w:val="none"/>
        </w:rPr>
        <w:t>政拨款收入支出决算总表</w:t>
      </w:r>
      <w:bookmarkEnd w:id="63"/>
    </w:p>
    <w:p>
      <w:pPr>
        <w:pStyle w:val="5"/>
        <w:pageBreakBefore w:val="0"/>
        <w:widowControl w:val="0"/>
        <w:kinsoku/>
        <w:wordWrap/>
        <w:overflowPunct/>
        <w:topLinePunct w:val="0"/>
        <w:autoSpaceDE/>
        <w:autoSpaceDN/>
        <w:bidi w:val="0"/>
        <w:adjustRightInd/>
        <w:snapToGrid/>
        <w:spacing w:line="400" w:lineRule="exact"/>
        <w:textAlignment w:val="auto"/>
        <w:rPr>
          <w:rStyle w:val="37"/>
          <w:rFonts w:ascii="仿宋" w:hAnsi="仿宋" w:eastAsia="仿宋"/>
          <w:b w:val="0"/>
          <w:bCs w:val="0"/>
          <w:color w:val="auto"/>
          <w:sz w:val="32"/>
          <w:szCs w:val="32"/>
          <w:highlight w:val="none"/>
        </w:rPr>
      </w:pPr>
      <w:bookmarkStart w:id="64" w:name="_Toc15396623"/>
      <w:r>
        <w:rPr>
          <w:rStyle w:val="37"/>
          <w:rFonts w:hint="eastAsia" w:ascii="仿宋" w:hAnsi="仿宋" w:eastAsia="仿宋"/>
          <w:b w:val="0"/>
          <w:bCs w:val="0"/>
          <w:color w:val="auto"/>
          <w:sz w:val="32"/>
          <w:szCs w:val="32"/>
          <w:highlight w:val="none"/>
        </w:rPr>
        <w:t>五、</w:t>
      </w:r>
      <w:r>
        <w:rPr>
          <w:rFonts w:hint="eastAsia" w:ascii="仿宋" w:hAnsi="仿宋" w:eastAsia="仿宋"/>
          <w:b w:val="0"/>
          <w:color w:val="auto"/>
          <w:sz w:val="32"/>
          <w:szCs w:val="32"/>
          <w:highlight w:val="none"/>
        </w:rPr>
        <w:t>财</w:t>
      </w:r>
      <w:r>
        <w:rPr>
          <w:rStyle w:val="37"/>
          <w:rFonts w:hint="eastAsia" w:ascii="仿宋" w:hAnsi="仿宋" w:eastAsia="仿宋"/>
          <w:b w:val="0"/>
          <w:bCs w:val="0"/>
          <w:color w:val="auto"/>
          <w:sz w:val="32"/>
          <w:szCs w:val="32"/>
          <w:highlight w:val="none"/>
        </w:rPr>
        <w:t>政拨款支出决算明细表</w:t>
      </w:r>
      <w:bookmarkEnd w:id="64"/>
      <w:bookmarkStart w:id="65" w:name="_Toc15396624"/>
    </w:p>
    <w:p>
      <w:pPr>
        <w:pStyle w:val="5"/>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auto"/>
          <w:sz w:val="32"/>
          <w:szCs w:val="32"/>
          <w:highlight w:val="none"/>
        </w:rPr>
      </w:pPr>
      <w:r>
        <w:rPr>
          <w:rStyle w:val="37"/>
          <w:rFonts w:hint="eastAsia" w:ascii="仿宋" w:hAnsi="仿宋" w:eastAsia="仿宋"/>
          <w:b w:val="0"/>
          <w:bCs w:val="0"/>
          <w:color w:val="auto"/>
          <w:sz w:val="32"/>
          <w:szCs w:val="32"/>
          <w:highlight w:val="none"/>
        </w:rPr>
        <w:t>六、</w:t>
      </w:r>
      <w:r>
        <w:rPr>
          <w:rFonts w:hint="eastAsia" w:ascii="仿宋" w:hAnsi="仿宋" w:eastAsia="仿宋"/>
          <w:b w:val="0"/>
          <w:color w:val="auto"/>
          <w:sz w:val="32"/>
          <w:szCs w:val="32"/>
          <w:highlight w:val="none"/>
        </w:rPr>
        <w:t>一</w:t>
      </w:r>
      <w:r>
        <w:rPr>
          <w:rStyle w:val="37"/>
          <w:rFonts w:hint="eastAsia" w:ascii="仿宋" w:hAnsi="仿宋" w:eastAsia="仿宋"/>
          <w:b w:val="0"/>
          <w:bCs w:val="0"/>
          <w:color w:val="auto"/>
          <w:sz w:val="32"/>
          <w:szCs w:val="32"/>
          <w:highlight w:val="none"/>
        </w:rPr>
        <w:t>般公共预算财政拨款支出决算表</w:t>
      </w:r>
      <w:bookmarkEnd w:id="65"/>
    </w:p>
    <w:p>
      <w:pPr>
        <w:pStyle w:val="5"/>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auto"/>
          <w:sz w:val="32"/>
          <w:szCs w:val="32"/>
          <w:highlight w:val="none"/>
        </w:rPr>
      </w:pPr>
      <w:bookmarkStart w:id="66" w:name="_Toc15396625"/>
      <w:r>
        <w:rPr>
          <w:rStyle w:val="37"/>
          <w:rFonts w:hint="eastAsia" w:ascii="仿宋" w:hAnsi="仿宋" w:eastAsia="仿宋"/>
          <w:b w:val="0"/>
          <w:bCs w:val="0"/>
          <w:color w:val="auto"/>
          <w:sz w:val="32"/>
          <w:szCs w:val="32"/>
          <w:highlight w:val="none"/>
        </w:rPr>
        <w:t>七、</w:t>
      </w:r>
      <w:r>
        <w:rPr>
          <w:rFonts w:hint="eastAsia" w:ascii="仿宋" w:hAnsi="仿宋" w:eastAsia="仿宋"/>
          <w:b w:val="0"/>
          <w:color w:val="auto"/>
          <w:sz w:val="32"/>
          <w:szCs w:val="32"/>
          <w:highlight w:val="none"/>
        </w:rPr>
        <w:t>一</w:t>
      </w:r>
      <w:r>
        <w:rPr>
          <w:rStyle w:val="37"/>
          <w:rFonts w:hint="eastAsia" w:ascii="仿宋" w:hAnsi="仿宋" w:eastAsia="仿宋"/>
          <w:b w:val="0"/>
          <w:bCs w:val="0"/>
          <w:color w:val="auto"/>
          <w:sz w:val="32"/>
          <w:szCs w:val="32"/>
          <w:highlight w:val="none"/>
        </w:rPr>
        <w:t>般公共预算财政拨款支出决算明细表</w:t>
      </w:r>
      <w:bookmarkEnd w:id="66"/>
    </w:p>
    <w:p>
      <w:pPr>
        <w:pStyle w:val="5"/>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auto"/>
          <w:sz w:val="32"/>
          <w:szCs w:val="32"/>
          <w:highlight w:val="none"/>
        </w:rPr>
      </w:pPr>
      <w:bookmarkStart w:id="67" w:name="_Toc15396626"/>
      <w:r>
        <w:rPr>
          <w:rStyle w:val="37"/>
          <w:rFonts w:hint="eastAsia" w:ascii="仿宋" w:hAnsi="仿宋" w:eastAsia="仿宋"/>
          <w:b w:val="0"/>
          <w:bCs w:val="0"/>
          <w:color w:val="auto"/>
          <w:sz w:val="32"/>
          <w:szCs w:val="32"/>
          <w:highlight w:val="none"/>
        </w:rPr>
        <w:t>八、</w:t>
      </w:r>
      <w:r>
        <w:rPr>
          <w:rFonts w:hint="eastAsia" w:ascii="仿宋" w:hAnsi="仿宋" w:eastAsia="仿宋"/>
          <w:b w:val="0"/>
          <w:color w:val="auto"/>
          <w:sz w:val="32"/>
          <w:szCs w:val="32"/>
          <w:highlight w:val="none"/>
        </w:rPr>
        <w:t>一</w:t>
      </w:r>
      <w:r>
        <w:rPr>
          <w:rStyle w:val="37"/>
          <w:rFonts w:hint="eastAsia" w:ascii="仿宋" w:hAnsi="仿宋" w:eastAsia="仿宋"/>
          <w:b w:val="0"/>
          <w:bCs w:val="0"/>
          <w:color w:val="auto"/>
          <w:sz w:val="32"/>
          <w:szCs w:val="32"/>
          <w:highlight w:val="none"/>
        </w:rPr>
        <w:t>般公共预算财政拨款基本支出决算表</w:t>
      </w:r>
      <w:bookmarkEnd w:id="67"/>
    </w:p>
    <w:p>
      <w:pPr>
        <w:pStyle w:val="5"/>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auto"/>
          <w:sz w:val="32"/>
          <w:szCs w:val="32"/>
          <w:highlight w:val="none"/>
        </w:rPr>
      </w:pPr>
      <w:bookmarkStart w:id="68" w:name="_Toc15396627"/>
      <w:r>
        <w:rPr>
          <w:rStyle w:val="37"/>
          <w:rFonts w:hint="eastAsia" w:ascii="仿宋" w:hAnsi="仿宋" w:eastAsia="仿宋"/>
          <w:b w:val="0"/>
          <w:bCs w:val="0"/>
          <w:color w:val="auto"/>
          <w:sz w:val="32"/>
          <w:szCs w:val="32"/>
          <w:highlight w:val="none"/>
        </w:rPr>
        <w:t>九、</w:t>
      </w:r>
      <w:r>
        <w:rPr>
          <w:rFonts w:hint="eastAsia" w:ascii="仿宋" w:hAnsi="仿宋" w:eastAsia="仿宋"/>
          <w:b w:val="0"/>
          <w:color w:val="auto"/>
          <w:sz w:val="32"/>
          <w:szCs w:val="32"/>
          <w:highlight w:val="none"/>
        </w:rPr>
        <w:t>一</w:t>
      </w:r>
      <w:r>
        <w:rPr>
          <w:rStyle w:val="37"/>
          <w:rFonts w:hint="eastAsia" w:ascii="仿宋" w:hAnsi="仿宋" w:eastAsia="仿宋"/>
          <w:b w:val="0"/>
          <w:bCs w:val="0"/>
          <w:color w:val="auto"/>
          <w:sz w:val="32"/>
          <w:szCs w:val="32"/>
          <w:highlight w:val="none"/>
        </w:rPr>
        <w:t>般公共预算财政拨款项目支出决算表</w:t>
      </w:r>
      <w:bookmarkEnd w:id="68"/>
    </w:p>
    <w:p>
      <w:pPr>
        <w:pStyle w:val="5"/>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auto"/>
          <w:sz w:val="32"/>
          <w:szCs w:val="32"/>
          <w:highlight w:val="none"/>
        </w:rPr>
      </w:pPr>
      <w:bookmarkStart w:id="69" w:name="_Toc15396628"/>
      <w:r>
        <w:rPr>
          <w:rStyle w:val="37"/>
          <w:rFonts w:hint="eastAsia" w:ascii="仿宋" w:hAnsi="仿宋" w:eastAsia="仿宋"/>
          <w:b w:val="0"/>
          <w:bCs w:val="0"/>
          <w:color w:val="auto"/>
          <w:sz w:val="32"/>
          <w:szCs w:val="32"/>
          <w:highlight w:val="none"/>
        </w:rPr>
        <w:t>十、</w:t>
      </w:r>
      <w:r>
        <w:rPr>
          <w:rFonts w:hint="eastAsia" w:ascii="仿宋" w:hAnsi="仿宋" w:eastAsia="仿宋"/>
          <w:b w:val="0"/>
          <w:color w:val="auto"/>
          <w:sz w:val="32"/>
          <w:szCs w:val="32"/>
          <w:highlight w:val="none"/>
        </w:rPr>
        <w:t>一</w:t>
      </w:r>
      <w:r>
        <w:rPr>
          <w:rStyle w:val="37"/>
          <w:rFonts w:hint="eastAsia" w:ascii="仿宋" w:hAnsi="仿宋" w:eastAsia="仿宋"/>
          <w:b w:val="0"/>
          <w:bCs w:val="0"/>
          <w:color w:val="auto"/>
          <w:sz w:val="32"/>
          <w:szCs w:val="32"/>
          <w:highlight w:val="none"/>
        </w:rPr>
        <w:t>般公共预算财政拨款“三公”经费支出决算表</w:t>
      </w:r>
      <w:bookmarkEnd w:id="69"/>
    </w:p>
    <w:p>
      <w:pPr>
        <w:pStyle w:val="5"/>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auto"/>
          <w:sz w:val="32"/>
          <w:szCs w:val="32"/>
          <w:highlight w:val="none"/>
        </w:rPr>
      </w:pPr>
      <w:bookmarkStart w:id="70" w:name="_Toc15396629"/>
      <w:r>
        <w:rPr>
          <w:rStyle w:val="37"/>
          <w:rFonts w:hint="eastAsia" w:ascii="仿宋" w:hAnsi="仿宋" w:eastAsia="仿宋"/>
          <w:b w:val="0"/>
          <w:bCs w:val="0"/>
          <w:color w:val="auto"/>
          <w:sz w:val="32"/>
          <w:szCs w:val="32"/>
          <w:highlight w:val="none"/>
        </w:rPr>
        <w:t>十一、</w:t>
      </w:r>
      <w:r>
        <w:rPr>
          <w:rFonts w:hint="eastAsia" w:ascii="仿宋" w:hAnsi="仿宋" w:eastAsia="仿宋"/>
          <w:b w:val="0"/>
          <w:color w:val="auto"/>
          <w:sz w:val="32"/>
          <w:szCs w:val="32"/>
          <w:highlight w:val="none"/>
        </w:rPr>
        <w:t>政</w:t>
      </w:r>
      <w:r>
        <w:rPr>
          <w:rStyle w:val="37"/>
          <w:rFonts w:hint="eastAsia" w:ascii="仿宋" w:hAnsi="仿宋" w:eastAsia="仿宋"/>
          <w:b w:val="0"/>
          <w:bCs w:val="0"/>
          <w:color w:val="auto"/>
          <w:sz w:val="32"/>
          <w:szCs w:val="32"/>
          <w:highlight w:val="none"/>
        </w:rPr>
        <w:t>府性基金预算财政拨款收入支出决算表</w:t>
      </w:r>
      <w:bookmarkEnd w:id="70"/>
    </w:p>
    <w:p>
      <w:pPr>
        <w:pStyle w:val="5"/>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auto"/>
          <w:sz w:val="32"/>
          <w:szCs w:val="32"/>
          <w:highlight w:val="none"/>
        </w:rPr>
      </w:pPr>
      <w:bookmarkStart w:id="71" w:name="_Toc15396630"/>
      <w:r>
        <w:rPr>
          <w:rStyle w:val="37"/>
          <w:rFonts w:hint="eastAsia" w:ascii="仿宋" w:hAnsi="仿宋" w:eastAsia="仿宋"/>
          <w:b w:val="0"/>
          <w:bCs w:val="0"/>
          <w:color w:val="auto"/>
          <w:sz w:val="32"/>
          <w:szCs w:val="32"/>
          <w:highlight w:val="none"/>
        </w:rPr>
        <w:t>十二、</w:t>
      </w:r>
      <w:r>
        <w:rPr>
          <w:rFonts w:hint="eastAsia" w:ascii="仿宋" w:hAnsi="仿宋" w:eastAsia="仿宋"/>
          <w:b w:val="0"/>
          <w:color w:val="auto"/>
          <w:sz w:val="32"/>
          <w:szCs w:val="32"/>
          <w:highlight w:val="none"/>
        </w:rPr>
        <w:t>政</w:t>
      </w:r>
      <w:r>
        <w:rPr>
          <w:rStyle w:val="37"/>
          <w:rFonts w:hint="eastAsia" w:ascii="仿宋" w:hAnsi="仿宋" w:eastAsia="仿宋"/>
          <w:b w:val="0"/>
          <w:bCs w:val="0"/>
          <w:color w:val="auto"/>
          <w:sz w:val="32"/>
          <w:szCs w:val="32"/>
          <w:highlight w:val="none"/>
        </w:rPr>
        <w:t>府性基金预算财政拨款“三公”经费支出决算表</w:t>
      </w:r>
      <w:bookmarkEnd w:id="71"/>
    </w:p>
    <w:p>
      <w:pPr>
        <w:pStyle w:val="5"/>
        <w:pageBreakBefore w:val="0"/>
        <w:widowControl w:val="0"/>
        <w:kinsoku/>
        <w:wordWrap/>
        <w:overflowPunct/>
        <w:topLinePunct w:val="0"/>
        <w:autoSpaceDE/>
        <w:autoSpaceDN/>
        <w:bidi w:val="0"/>
        <w:adjustRightInd/>
        <w:snapToGrid/>
        <w:spacing w:line="400" w:lineRule="exact"/>
        <w:textAlignment w:val="auto"/>
        <w:rPr>
          <w:rStyle w:val="37"/>
          <w:rFonts w:hint="eastAsia" w:ascii="仿宋" w:hAnsi="仿宋" w:eastAsia="仿宋"/>
          <w:b w:val="0"/>
          <w:bCs w:val="0"/>
          <w:color w:val="auto"/>
          <w:sz w:val="32"/>
          <w:szCs w:val="32"/>
          <w:highlight w:val="none"/>
        </w:rPr>
      </w:pPr>
      <w:bookmarkStart w:id="72" w:name="_Toc15396631"/>
      <w:r>
        <w:rPr>
          <w:rStyle w:val="37"/>
          <w:rFonts w:hint="eastAsia" w:ascii="仿宋" w:hAnsi="仿宋" w:eastAsia="仿宋"/>
          <w:b w:val="0"/>
          <w:bCs w:val="0"/>
          <w:color w:val="auto"/>
          <w:sz w:val="32"/>
          <w:szCs w:val="32"/>
          <w:highlight w:val="none"/>
        </w:rPr>
        <w:t>十三、</w:t>
      </w:r>
      <w:r>
        <w:rPr>
          <w:rFonts w:hint="eastAsia" w:ascii="仿宋" w:hAnsi="仿宋" w:eastAsia="仿宋"/>
          <w:b w:val="0"/>
          <w:color w:val="auto"/>
          <w:sz w:val="32"/>
          <w:szCs w:val="32"/>
          <w:highlight w:val="none"/>
        </w:rPr>
        <w:t>国</w:t>
      </w:r>
      <w:r>
        <w:rPr>
          <w:rStyle w:val="37"/>
          <w:rFonts w:hint="eastAsia" w:ascii="仿宋" w:hAnsi="仿宋" w:eastAsia="仿宋"/>
          <w:b w:val="0"/>
          <w:bCs w:val="0"/>
          <w:color w:val="auto"/>
          <w:sz w:val="32"/>
          <w:szCs w:val="32"/>
          <w:highlight w:val="none"/>
        </w:rPr>
        <w:t>有资本经营预算</w:t>
      </w:r>
      <w:r>
        <w:rPr>
          <w:rStyle w:val="37"/>
          <w:rFonts w:hint="eastAsia" w:ascii="仿宋" w:hAnsi="仿宋" w:eastAsia="仿宋"/>
          <w:b w:val="0"/>
          <w:bCs w:val="0"/>
          <w:color w:val="auto"/>
          <w:sz w:val="32"/>
          <w:szCs w:val="32"/>
          <w:highlight w:val="none"/>
          <w:lang w:eastAsia="zh-CN"/>
        </w:rPr>
        <w:t>财政拨款收入</w:t>
      </w:r>
      <w:r>
        <w:rPr>
          <w:rStyle w:val="37"/>
          <w:rFonts w:hint="eastAsia" w:ascii="仿宋" w:hAnsi="仿宋" w:eastAsia="仿宋"/>
          <w:b w:val="0"/>
          <w:bCs w:val="0"/>
          <w:color w:val="auto"/>
          <w:sz w:val="32"/>
          <w:szCs w:val="32"/>
          <w:highlight w:val="none"/>
        </w:rPr>
        <w:t>支出决算表</w:t>
      </w:r>
      <w:bookmarkEnd w:id="72"/>
    </w:p>
    <w:p>
      <w:pPr>
        <w:pageBreakBefore w:val="0"/>
        <w:widowControl w:val="0"/>
        <w:kinsoku/>
        <w:wordWrap/>
        <w:overflowPunct/>
        <w:topLinePunct w:val="0"/>
        <w:autoSpaceDE/>
        <w:autoSpaceDN/>
        <w:bidi w:val="0"/>
        <w:adjustRightInd/>
        <w:snapToGrid/>
        <w:spacing w:line="400" w:lineRule="exact"/>
        <w:textAlignment w:val="auto"/>
        <w:rPr>
          <w:rFonts w:hint="eastAsia" w:eastAsia="仿宋"/>
          <w:color w:val="auto"/>
          <w:sz w:val="32"/>
          <w:szCs w:val="32"/>
          <w:highlight w:val="none"/>
          <w:lang w:eastAsia="zh-CN"/>
        </w:rPr>
      </w:pPr>
      <w:r>
        <w:rPr>
          <w:rStyle w:val="37"/>
          <w:rFonts w:hint="eastAsia" w:ascii="仿宋" w:hAnsi="仿宋" w:eastAsia="仿宋"/>
          <w:b w:val="0"/>
          <w:bCs w:val="0"/>
          <w:color w:val="auto"/>
          <w:sz w:val="32"/>
          <w:szCs w:val="32"/>
          <w:highlight w:val="none"/>
          <w:lang w:eastAsia="zh-CN"/>
        </w:rPr>
        <w:t>十四、国有资本经营预算财政拨款支出决算表</w:t>
      </w:r>
    </w:p>
    <w:p>
      <w:pPr>
        <w:rPr>
          <w:rFonts w:eastAsia="仿宋"/>
        </w:rPr>
      </w:pPr>
    </w:p>
    <w:p/>
    <w:sectPr>
      <w:headerReference r:id="rId7" w:type="default"/>
      <w:footerReference r:id="rId8"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A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lang w:val="en-US"/>
                            </w:rPr>
                            <w:id w:val="-1994781956"/>
                          </w:sdtPr>
                          <w:sdtEndPr>
                            <w:rPr>
                              <w:rFonts w:hint="default"/>
                              <w:lang w:val="en-US"/>
                            </w:rPr>
                          </w:sdtEndPr>
                          <w:sdtContent>
                            <w:p>
                              <w:pPr>
                                <w:pStyle w:val="10"/>
                                <w:jc w:val="center"/>
                                <w:rPr>
                                  <w:rFonts w:hint="default"/>
                                  <w:lang w:val="en-US"/>
                                </w:rPr>
                              </w:pP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sdt>
                    <w:sdtPr>
                      <w:rPr>
                        <w:rFonts w:hint="default"/>
                        <w:lang w:val="en-US"/>
                      </w:rPr>
                      <w:id w:val="-1994781956"/>
                    </w:sdtPr>
                    <w:sdtEndPr>
                      <w:rPr>
                        <w:rFonts w:hint="default"/>
                        <w:lang w:val="en-US"/>
                      </w:rPr>
                    </w:sdtEndPr>
                    <w:sdtContent>
                      <w:p>
                        <w:pPr>
                          <w:pStyle w:val="10"/>
                          <w:jc w:val="center"/>
                          <w:rPr>
                            <w:rFonts w:hint="default"/>
                            <w:lang w:val="en-US"/>
                          </w:rPr>
                        </w:pPr>
                      </w:p>
                    </w:sdtContent>
                  </w:sdt>
                  <w:p>
                    <w:pPr>
                      <w:pStyle w:val="2"/>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lang w:val="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rPr>
                              <w:lang w:val="zh-CN"/>
                            </w:rPr>
                            <w:t>21</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21</w:t>
                    </w:r>
                    <w:r>
                      <w:rPr>
                        <w:lang w:val="zh-CN"/>
                      </w:rP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1">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33"/>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ZmRhZTZhNDE4YWNkZDY2NjE1ZTkxODY1M2ViZjE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1D3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57CD"/>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770C2"/>
    <w:rsid w:val="05AC6E21"/>
    <w:rsid w:val="064E7EBC"/>
    <w:rsid w:val="066E0107"/>
    <w:rsid w:val="07996F6E"/>
    <w:rsid w:val="0A2032A3"/>
    <w:rsid w:val="0D035D2B"/>
    <w:rsid w:val="101860EC"/>
    <w:rsid w:val="10C055FF"/>
    <w:rsid w:val="118107EC"/>
    <w:rsid w:val="13D50BC4"/>
    <w:rsid w:val="13E0415B"/>
    <w:rsid w:val="16BB723D"/>
    <w:rsid w:val="1A2D7D59"/>
    <w:rsid w:val="1A983FEE"/>
    <w:rsid w:val="1BE8440E"/>
    <w:rsid w:val="1D155CEE"/>
    <w:rsid w:val="1E8E20FF"/>
    <w:rsid w:val="1F897CB8"/>
    <w:rsid w:val="22B67E76"/>
    <w:rsid w:val="235C0EF3"/>
    <w:rsid w:val="23860B96"/>
    <w:rsid w:val="240371BF"/>
    <w:rsid w:val="257302A1"/>
    <w:rsid w:val="27416EAD"/>
    <w:rsid w:val="274E68CF"/>
    <w:rsid w:val="29FD04D3"/>
    <w:rsid w:val="2AC65558"/>
    <w:rsid w:val="2C8A61B5"/>
    <w:rsid w:val="2DF04E50"/>
    <w:rsid w:val="30314FE0"/>
    <w:rsid w:val="305667F5"/>
    <w:rsid w:val="31376B76"/>
    <w:rsid w:val="319F7F4E"/>
    <w:rsid w:val="36AA5135"/>
    <w:rsid w:val="37E16F03"/>
    <w:rsid w:val="3B150918"/>
    <w:rsid w:val="3D98207C"/>
    <w:rsid w:val="3EC5671A"/>
    <w:rsid w:val="3EF91016"/>
    <w:rsid w:val="42FE6E13"/>
    <w:rsid w:val="44151F19"/>
    <w:rsid w:val="44E268DA"/>
    <w:rsid w:val="4A627F82"/>
    <w:rsid w:val="4B0669CD"/>
    <w:rsid w:val="4B4F25DA"/>
    <w:rsid w:val="4B671D3B"/>
    <w:rsid w:val="4BE068DB"/>
    <w:rsid w:val="4D577224"/>
    <w:rsid w:val="4E8C7920"/>
    <w:rsid w:val="4EAB630A"/>
    <w:rsid w:val="4ECE2238"/>
    <w:rsid w:val="50B27620"/>
    <w:rsid w:val="54170D5F"/>
    <w:rsid w:val="541E1EF8"/>
    <w:rsid w:val="5AF92295"/>
    <w:rsid w:val="5C9D4D8F"/>
    <w:rsid w:val="5CD71FC4"/>
    <w:rsid w:val="5F381638"/>
    <w:rsid w:val="6382502F"/>
    <w:rsid w:val="63D438A3"/>
    <w:rsid w:val="67EF4317"/>
    <w:rsid w:val="6C4A05C8"/>
    <w:rsid w:val="6E7E3605"/>
    <w:rsid w:val="6FF5CC65"/>
    <w:rsid w:val="715C0E4B"/>
    <w:rsid w:val="72734D90"/>
    <w:rsid w:val="73AD73D5"/>
    <w:rsid w:val="73B6EB34"/>
    <w:rsid w:val="79EE5BA4"/>
    <w:rsid w:val="7A894339"/>
    <w:rsid w:val="7B32428B"/>
    <w:rsid w:val="7EEF11D3"/>
    <w:rsid w:val="7FA30C79"/>
    <w:rsid w:val="7FC96657"/>
    <w:rsid w:val="ACE782F4"/>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 w:type="paragraph" w:styleId="7">
    <w:name w:val="Body Text"/>
    <w:basedOn w:val="1"/>
    <w:link w:val="28"/>
    <w:qFormat/>
    <w:uiPriority w:val="99"/>
    <w:pPr>
      <w:spacing w:beforeLines="30"/>
    </w:pPr>
    <w:rPr>
      <w:rFonts w:ascii="仿宋_GB2312" w:eastAsia="仿宋_GB2312"/>
      <w:kern w:val="0"/>
      <w:sz w:val="24"/>
      <w:szCs w:val="20"/>
    </w:rPr>
  </w:style>
  <w:style w:type="paragraph" w:styleId="8">
    <w:name w:val="toc 3"/>
    <w:basedOn w:val="1"/>
    <w:next w:val="1"/>
    <w:qFormat/>
    <w:uiPriority w:val="99"/>
    <w:pPr>
      <w:tabs>
        <w:tab w:val="right" w:leader="dot" w:pos="8296"/>
      </w:tabs>
      <w:ind w:left="840" w:leftChars="400"/>
    </w:pPr>
  </w:style>
  <w:style w:type="paragraph" w:styleId="9">
    <w:name w:val="Balloon Text"/>
    <w:basedOn w:val="1"/>
    <w:link w:val="23"/>
    <w:semiHidden/>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3">
    <w:name w:val="toc 2"/>
    <w:basedOn w:val="1"/>
    <w:next w:val="1"/>
    <w:qFormat/>
    <w:uiPriority w:val="99"/>
    <w:pPr>
      <w:tabs>
        <w:tab w:val="right" w:leader="dot" w:pos="8296"/>
      </w:tabs>
      <w:ind w:left="420" w:leftChars="200"/>
    </w:pPr>
  </w:style>
  <w:style w:type="paragraph" w:styleId="14">
    <w:name w:val="Normal (Web)"/>
    <w:basedOn w:val="1"/>
    <w:qFormat/>
    <w:uiPriority w:val="0"/>
    <w:pPr>
      <w:widowControl/>
      <w:pBdr>
        <w:top w:val="none" w:color="auto" w:sz="0" w:space="0"/>
        <w:left w:val="none" w:color="auto" w:sz="0" w:space="0"/>
        <w:bottom w:val="none" w:color="auto" w:sz="0" w:space="0"/>
        <w:right w:val="none" w:color="auto" w:sz="0" w:space="0"/>
        <w:between w:val="none" w:color="auto" w:sz="0" w:space="0"/>
      </w:pBdr>
      <w:spacing w:line="420" w:lineRule="auto"/>
      <w:jc w:val="left"/>
    </w:pPr>
    <w:rPr>
      <w:rFonts w:ascii="宋体" w:hAnsi="宋体" w:cs="宋体"/>
      <w:color w:val="383737"/>
      <w:kern w:val="0"/>
      <w:sz w:val="26"/>
      <w:szCs w:val="26"/>
    </w:rPr>
  </w:style>
  <w:style w:type="character" w:styleId="17">
    <w:name w:val="Strong"/>
    <w:basedOn w:val="16"/>
    <w:qFormat/>
    <w:uiPriority w:val="99"/>
    <w:rPr>
      <w:rFonts w:cs="Times New Roman"/>
      <w:b/>
    </w:rPr>
  </w:style>
  <w:style w:type="character" w:styleId="18">
    <w:name w:val="Hyperlink"/>
    <w:basedOn w:val="16"/>
    <w:qFormat/>
    <w:uiPriority w:val="99"/>
    <w:rPr>
      <w:rFonts w:cs="Times New Roman"/>
      <w:color w:val="0000FF"/>
      <w:u w:val="single"/>
    </w:rPr>
  </w:style>
  <w:style w:type="character" w:customStyle="1" w:styleId="19">
    <w:name w:val="Heading 1 Char"/>
    <w:basedOn w:val="16"/>
    <w:link w:val="4"/>
    <w:qFormat/>
    <w:locked/>
    <w:uiPriority w:val="99"/>
    <w:rPr>
      <w:rFonts w:ascii="Times New Roman" w:hAnsi="Times New Roman" w:cs="Times New Roman"/>
      <w:b/>
      <w:bCs/>
      <w:kern w:val="44"/>
      <w:sz w:val="44"/>
      <w:szCs w:val="44"/>
    </w:rPr>
  </w:style>
  <w:style w:type="character" w:customStyle="1" w:styleId="20">
    <w:name w:val="Heading 2 Char"/>
    <w:basedOn w:val="16"/>
    <w:link w:val="5"/>
    <w:qFormat/>
    <w:locked/>
    <w:uiPriority w:val="99"/>
    <w:rPr>
      <w:rFonts w:ascii="Cambria" w:hAnsi="Cambria" w:eastAsia="宋体" w:cs="Times New Roman"/>
      <w:b/>
      <w:bCs/>
      <w:kern w:val="2"/>
      <w:sz w:val="32"/>
      <w:szCs w:val="32"/>
    </w:rPr>
  </w:style>
  <w:style w:type="character" w:customStyle="1" w:styleId="21">
    <w:name w:val="Heading 3 Char"/>
    <w:basedOn w:val="16"/>
    <w:link w:val="6"/>
    <w:qFormat/>
    <w:locked/>
    <w:uiPriority w:val="99"/>
    <w:rPr>
      <w:rFonts w:ascii="Times New Roman" w:hAnsi="Times New Roman" w:cs="Times New Roman"/>
      <w:b/>
      <w:bCs/>
      <w:kern w:val="2"/>
      <w:sz w:val="32"/>
      <w:szCs w:val="32"/>
    </w:rPr>
  </w:style>
  <w:style w:type="character" w:customStyle="1" w:styleId="22">
    <w:name w:val="Body Text Char"/>
    <w:basedOn w:val="16"/>
    <w:link w:val="7"/>
    <w:semiHidden/>
    <w:qFormat/>
    <w:uiPriority w:val="99"/>
    <w:rPr>
      <w:rFonts w:ascii="Times New Roman" w:hAnsi="Times New Roman" w:cs="Times New Roman"/>
      <w:sz w:val="24"/>
      <w:szCs w:val="24"/>
    </w:rPr>
  </w:style>
  <w:style w:type="character" w:customStyle="1" w:styleId="23">
    <w:name w:val="Balloon Text Char"/>
    <w:basedOn w:val="16"/>
    <w:link w:val="9"/>
    <w:semiHidden/>
    <w:qFormat/>
    <w:locked/>
    <w:uiPriority w:val="99"/>
    <w:rPr>
      <w:rFonts w:ascii="Times New Roman" w:hAnsi="Times New Roman" w:cs="Times New Roman"/>
      <w:kern w:val="2"/>
      <w:sz w:val="18"/>
      <w:szCs w:val="18"/>
    </w:rPr>
  </w:style>
  <w:style w:type="character" w:customStyle="1" w:styleId="24">
    <w:name w:val="Footer Char"/>
    <w:basedOn w:val="16"/>
    <w:link w:val="10"/>
    <w:semiHidden/>
    <w:qFormat/>
    <w:uiPriority w:val="99"/>
    <w:rPr>
      <w:rFonts w:ascii="Times New Roman" w:hAnsi="Times New Roman" w:cs="Times New Roman"/>
      <w:sz w:val="18"/>
      <w:szCs w:val="18"/>
    </w:rPr>
  </w:style>
  <w:style w:type="character" w:customStyle="1" w:styleId="25">
    <w:name w:val="Header Char"/>
    <w:basedOn w:val="16"/>
    <w:link w:val="11"/>
    <w:semiHidden/>
    <w:qFormat/>
    <w:uiPriority w:val="99"/>
    <w:rPr>
      <w:rFonts w:ascii="Times New Roman" w:hAnsi="Times New Roman" w:cs="Times New Roman"/>
      <w:sz w:val="18"/>
      <w:szCs w:val="18"/>
    </w:rPr>
  </w:style>
  <w:style w:type="character" w:customStyle="1" w:styleId="26">
    <w:name w:val="Header Char1"/>
    <w:link w:val="11"/>
    <w:semiHidden/>
    <w:qFormat/>
    <w:locked/>
    <w:uiPriority w:val="99"/>
    <w:rPr>
      <w:sz w:val="18"/>
    </w:rPr>
  </w:style>
  <w:style w:type="character" w:customStyle="1" w:styleId="27">
    <w:name w:val="Footer Char1"/>
    <w:link w:val="10"/>
    <w:qFormat/>
    <w:locked/>
    <w:uiPriority w:val="99"/>
    <w:rPr>
      <w:sz w:val="18"/>
    </w:rPr>
  </w:style>
  <w:style w:type="character" w:customStyle="1" w:styleId="28">
    <w:name w:val="Body Text Char1"/>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0">
    <w:name w:val="List Paragraph"/>
    <w:basedOn w:val="1"/>
    <w:qFormat/>
    <w:uiPriority w:val="99"/>
    <w:pPr>
      <w:ind w:firstLine="420" w:firstLineChars="200"/>
    </w:pPr>
  </w:style>
  <w:style w:type="paragraph" w:customStyle="1" w:styleId="31">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2">
    <w:name w:val="TOC Heading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3">
    <w:name w:val="标题 5（有编号）（绿盟科技）"/>
    <w:basedOn w:val="1"/>
    <w:next w:val="34"/>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34">
    <w:name w:val="正文（绿盟科技）"/>
    <w:qFormat/>
    <w:uiPriority w:val="99"/>
    <w:pPr>
      <w:spacing w:line="300" w:lineRule="auto"/>
    </w:pPr>
    <w:rPr>
      <w:rFonts w:ascii="Arial" w:hAnsi="Arial" w:eastAsia="宋体" w:cs="Arial"/>
      <w:kern w:val="0"/>
      <w:sz w:val="21"/>
      <w:szCs w:val="21"/>
      <w:lang w:val="en-US" w:eastAsia="zh-CN" w:bidi="ar-SA"/>
    </w:rPr>
  </w:style>
  <w:style w:type="character" w:customStyle="1" w:styleId="35">
    <w:name w:val="标题 1 Char"/>
    <w:basedOn w:val="16"/>
    <w:link w:val="4"/>
    <w:qFormat/>
    <w:uiPriority w:val="9"/>
    <w:rPr>
      <w:rFonts w:ascii="Times New Roman" w:hAnsi="Times New Roman"/>
      <w:b/>
      <w:bCs/>
      <w:kern w:val="44"/>
      <w:sz w:val="44"/>
      <w:szCs w:val="44"/>
    </w:rPr>
  </w:style>
  <w:style w:type="paragraph" w:customStyle="1" w:styleId="36">
    <w:name w:val="常用样式（方正仿宋简）"/>
    <w:basedOn w:val="1"/>
    <w:qFormat/>
    <w:uiPriority w:val="0"/>
    <w:pPr>
      <w:keepNext w:val="0"/>
      <w:keepLines w:val="0"/>
      <w:widowControl w:val="0"/>
      <w:suppressLineNumbers w:val="0"/>
      <w:spacing w:before="0" w:beforeAutospacing="0" w:after="0" w:afterAutospacing="0" w:line="560" w:lineRule="exact"/>
      <w:ind w:left="0" w:right="0" w:firstLine="640" w:firstLineChars="200"/>
      <w:jc w:val="both"/>
    </w:pPr>
    <w:rPr>
      <w:rFonts w:hint="default" w:ascii="Times New Roman" w:hAnsi="Times New Roman" w:eastAsia="方正仿宋简体" w:cs="Times New Roman"/>
      <w:kern w:val="2"/>
      <w:sz w:val="21"/>
      <w:szCs w:val="24"/>
      <w:lang w:val="en-US" w:eastAsia="zh-CN" w:bidi="ar"/>
    </w:rPr>
  </w:style>
  <w:style w:type="character" w:customStyle="1" w:styleId="37">
    <w:name w:val="标题 2 Char"/>
    <w:basedOn w:val="16"/>
    <w:link w:val="5"/>
    <w:qFormat/>
    <w:uiPriority w:val="9"/>
    <w:rPr>
      <w:rFonts w:asciiTheme="majorHAnsi" w:hAnsiTheme="majorHAnsi" w:eastAsiaTheme="majorEastAsia" w:cstheme="majorBidi"/>
      <w:b/>
      <w:bCs/>
      <w:kern w:val="2"/>
      <w:sz w:val="32"/>
      <w:szCs w:val="32"/>
    </w:rPr>
  </w:style>
  <w:style w:type="character" w:customStyle="1" w:styleId="38">
    <w:name w:val="font2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documents\tencent%20files\1940636429\filerecv\&#30011;&#22270;&#24037;&#20855;&#65288;&#34892;&#25919;&#23457;&#25209;&#236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tencent%20files\1940636429\filerecv\&#30011;&#22270;&#24037;&#20855;&#65288;&#34892;&#25919;&#23457;&#25209;&#2361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documents\tencent%20files\1940636429\filerecv\&#30011;&#22270;&#24037;&#20855;&#65288;&#34892;&#25919;&#23457;&#25209;&#2361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documents\tencent%20files\1940636429\filerecv\&#30011;&#22270;&#24037;&#20855;&#65288;&#34892;&#25919;&#23457;&#25209;&#236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cuments\tencent%20files\1940636429\filerecv\&#30011;&#22270;&#24037;&#20855;&#65288;&#34892;&#25919;&#23457;&#25209;&#236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30011;&#22270;&#24037;&#20855;&#65288;&#36864;&#24441;&#20891;&#20154;&#236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ocuments\tencent%20files\1940636429\filerecv\&#30011;&#22270;&#24037;&#20855;&#65288;&#34892;&#25919;&#23457;&#25209;&#236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rgbClr val="595959">
                    <a:lumMod val="65000"/>
                    <a:lumOff val="35000"/>
                  </a:srgbClr>
                </a:solidFill>
                <a:latin typeface="+mn-lt"/>
                <a:ea typeface="+mn-ea"/>
                <a:cs typeface="+mn-cs"/>
              </a:defRPr>
            </a:pPr>
            <a:r>
              <a:t>财政拨款收、支决算总计变动情况</a:t>
            </a:r>
          </a:p>
        </c:rich>
      </c:tx>
      <c:layout>
        <c:manualLayout>
          <c:xMode val="edge"/>
          <c:yMode val="edge"/>
          <c:x val="0.235277777777778"/>
          <c:y val="0.0347222222222222"/>
        </c:manualLayout>
      </c:layout>
      <c:overlay val="false"/>
      <c:spPr>
        <a:noFill/>
        <a:ln>
          <a:noFill/>
        </a:ln>
        <a:effectLst/>
      </c:spPr>
    </c:title>
    <c:autoTitleDeleted val="false"/>
    <c:plotArea>
      <c:layout/>
      <c:barChart>
        <c:barDir val="col"/>
        <c:grouping val="clustered"/>
        <c:varyColors val="false"/>
        <c:ser>
          <c:idx val="0"/>
          <c:order val="0"/>
          <c:tx>
            <c:strRef>
              <c:f>'[画图工具（行政审批局).xlsx]收支总计 (2)'!$B$1</c:f>
              <c:strCache>
                <c:ptCount val="1"/>
                <c:pt idx="0">
                  <c:v>财政拨款收入总计</c:v>
                </c:pt>
              </c:strCache>
            </c:strRef>
          </c:tx>
          <c:spPr>
            <a:solidFill>
              <a:srgbClr val="4F81BD"/>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(2)'!$B$2:$B$6</c:f>
              <c:numCache>
                <c:formatCode>General</c:formatCode>
                <c:ptCount val="5"/>
                <c:pt idx="0">
                  <c:v>1798.14</c:v>
                </c:pt>
                <c:pt idx="1">
                  <c:v>1448.43</c:v>
                </c:pt>
              </c:numCache>
            </c:numRef>
          </c:val>
        </c:ser>
        <c:ser>
          <c:idx val="1"/>
          <c:order val="1"/>
          <c:tx>
            <c:strRef>
              <c:f>'[画图工具（行政审批局).xlsx]收支总计 (2)'!$C$1</c:f>
              <c:strCache>
                <c:ptCount val="1"/>
                <c:pt idx="0">
                  <c:v>财政拨款支出总计</c:v>
                </c:pt>
              </c:strCache>
            </c:strRef>
          </c:tx>
          <c:spPr>
            <a:solidFill>
              <a:srgbClr val="C0504D"/>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(2)'!$C$2:$C$6</c:f>
              <c:numCache>
                <c:formatCode>General</c:formatCode>
                <c:ptCount val="5"/>
                <c:pt idx="2">
                  <c:v>2334.84</c:v>
                </c:pt>
                <c:pt idx="3">
                  <c:v>2299.96</c:v>
                </c:pt>
              </c:numCache>
            </c:numRef>
          </c:val>
        </c:ser>
        <c:ser>
          <c:idx val="2"/>
          <c:order val="2"/>
          <c:tx>
            <c:strRef>
              <c:f>'[画图工具（行政审批局).xlsx]收支总计 (2)'!$D$1</c:f>
              <c:strCache>
                <c:ptCount val="1"/>
                <c:pt idx="0">
                  <c:v/>
                </c:pt>
              </c:strCache>
            </c:strRef>
          </c:tx>
          <c:spPr>
            <a:solidFill>
              <a:srgbClr val="9BBB59"/>
            </a:solidFill>
            <a:ln>
              <a:noFill/>
            </a:ln>
            <a:effectLst/>
          </c:spPr>
          <c:invertIfNegative val="false"/>
          <c:dLbls>
            <c:delete val="true"/>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(2)'!$D$2:$D$6</c:f>
              <c:numCache>
                <c:formatCode>General</c:formatCode>
                <c:ptCount val="5"/>
              </c:numCache>
            </c:numRef>
          </c:val>
        </c:ser>
        <c:dLbls>
          <c:showLegendKey val="false"/>
          <c:showVal val="false"/>
          <c:showCatName val="false"/>
          <c:showSerName val="false"/>
          <c:showPercent val="false"/>
          <c:showBubbleSize val="false"/>
        </c:dLbls>
        <c:gapWidth val="219"/>
        <c:overlap val="-27"/>
        <c:axId val="250162176"/>
        <c:axId val="250188544"/>
      </c:barChart>
      <c:catAx>
        <c:axId val="250162176"/>
        <c:scaling>
          <c:orientation val="minMax"/>
        </c:scaling>
        <c:delete val="false"/>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250188544"/>
        <c:crosses val="autoZero"/>
        <c:auto val="true"/>
        <c:lblAlgn val="ctr"/>
        <c:lblOffset val="100"/>
        <c:noMultiLvlLbl val="false"/>
      </c:catAx>
      <c:valAx>
        <c:axId val="250188544"/>
        <c:scaling>
          <c:orientation val="minMax"/>
        </c:scaling>
        <c:delete val="false"/>
        <c:axPos val="l"/>
        <c:majorGridlines>
          <c:spPr>
            <a:ln w="9525" cap="flat" cmpd="sng" algn="ctr">
              <a:solidFill>
                <a:srgbClr val="D9D9D9">
                  <a:lumMod val="15000"/>
                  <a:lumOff val="85000"/>
                </a:srgb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25016217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rgbClr val="000000"/>
              </a:solidFill>
              <a:latin typeface="+mn-lt"/>
              <a:ea typeface="+mn-ea"/>
              <a:cs typeface="+mn-cs"/>
            </a:defRPr>
          </a:pPr>
        </a:p>
      </c:txPr>
    </c:title>
    <c:autoTitleDeleted val="false"/>
    <c:plotArea>
      <c:layout/>
      <c:pieChart>
        <c:varyColors val="true"/>
        <c:ser>
          <c:idx val="0"/>
          <c:order val="0"/>
          <c:tx>
            <c:strRef>
              <c:f>'[画图工具（行政审批局).xlsx]总收入'!$B$1</c:f>
              <c:strCache>
                <c:ptCount val="1"/>
                <c:pt idx="0">
                  <c:v>收入决算结构（单位：万元）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'[画图工具（行政审批局).xlsx]总收入'!$A$2:$A$8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'[画图工具（行政审批局).xlsx]总收入'!$B$2:$B$8</c:f>
              <c:numCache>
                <c:formatCode>General</c:formatCode>
                <c:ptCount val="7"/>
                <c:pt idx="0">
                  <c:v>1298.43</c:v>
                </c:pt>
                <c:pt idx="1">
                  <c:v>150</c:v>
                </c:pt>
                <c:pt idx="2">
                  <c:v>0</c:v>
                </c:pt>
                <c:pt idx="3">
                  <c:v>0</c:v>
                </c:pt>
                <c:pt idx="4">
                  <c:v>0</c:v>
                </c:pt>
                <c:pt idx="5">
                  <c:v>0</c:v>
                </c:pt>
                <c:pt idx="6">
                  <c:v>0</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rgbClr val="000000"/>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spc="0" baseline="0">
                <a:solidFill>
                  <a:srgbClr val="595959">
                    <a:lumMod val="65000"/>
                    <a:lumOff val="35000"/>
                  </a:srgbClr>
                </a:solidFill>
                <a:latin typeface="+mn-lt"/>
                <a:ea typeface="+mn-ea"/>
                <a:cs typeface="+mn-cs"/>
              </a:defRPr>
            </a:pPr>
            <a:r>
              <a:rPr altLang="en-US"/>
              <a:t>支出</a:t>
            </a:r>
            <a:r>
              <a:rPr lang="zh-CN" altLang="en-US"/>
              <a:t>决算结构图</a:t>
            </a:r>
            <a:r>
              <a:rPr altLang="en-US"/>
              <a:t>（单位：万元）</a:t>
            </a:r>
            <a:endParaRPr altLang="en-US"/>
          </a:p>
        </c:rich>
      </c:tx>
      <c:layout/>
      <c:overlay val="false"/>
      <c:spPr>
        <a:noFill/>
        <a:ln>
          <a:noFill/>
        </a:ln>
        <a:effectLst/>
      </c:spPr>
    </c:title>
    <c:autoTitleDeleted val="false"/>
    <c:plotArea>
      <c:layout/>
      <c:pieChart>
        <c:varyColors val="true"/>
        <c:ser>
          <c:idx val="0"/>
          <c:order val="0"/>
          <c:tx>
            <c:strRef>
              <c:f>'[画图工具（行政审批局).xlsx]总支出'!$B$1</c:f>
              <c:strCache>
                <c:ptCount val="1"/>
                <c:pt idx="0">
                  <c:v>2019年支出合计（单位：万元）</c:v>
                </c:pt>
              </c:strCache>
            </c:strRef>
          </c:tx>
          <c:spPr/>
          <c:explosion val="0"/>
          <c:dPt>
            <c:idx val="0"/>
            <c:bubble3D val="false"/>
            <c:spPr>
              <a:solidFill>
                <a:srgbClr val="4F81BD"/>
              </a:solidFill>
              <a:ln w="19050">
                <a:solidFill>
                  <a:srgbClr val="FFFFFF"/>
                </a:solidFill>
              </a:ln>
              <a:effectLst/>
            </c:spPr>
          </c:dPt>
          <c:dPt>
            <c:idx val="1"/>
            <c:bubble3D val="false"/>
            <c:spPr>
              <a:solidFill>
                <a:srgbClr val="C0504D"/>
              </a:solidFill>
              <a:ln w="19050">
                <a:solidFill>
                  <a:srgbClr val="FFFFFF"/>
                </a:solidFill>
              </a:ln>
              <a:effectLst/>
            </c:spPr>
          </c:dPt>
          <c:dPt>
            <c:idx val="2"/>
            <c:bubble3D val="false"/>
            <c:spPr>
              <a:solidFill>
                <a:srgbClr val="9BBB59"/>
              </a:solidFill>
              <a:ln w="19050">
                <a:solidFill>
                  <a:srgbClr val="FFFFFF"/>
                </a:solidFill>
              </a:ln>
              <a:effectLst/>
            </c:spPr>
          </c:dPt>
          <c:dPt>
            <c:idx val="3"/>
            <c:bubble3D val="false"/>
            <c:spPr>
              <a:solidFill>
                <a:srgbClr val="8064A2"/>
              </a:solidFill>
              <a:ln w="19050">
                <a:solidFill>
                  <a:srgbClr val="FFFFFF"/>
                </a:solidFill>
              </a:ln>
              <a:effectLst/>
            </c:spPr>
          </c:dPt>
          <c:dPt>
            <c:idx val="4"/>
            <c:bubble3D val="false"/>
            <c:spPr>
              <a:solidFill>
                <a:srgbClr val="4BACC6"/>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'[画图工具（行政审批局).xlsx]总支出'!$A$2:$A$6</c:f>
              <c:strCache>
                <c:ptCount val="5"/>
                <c:pt idx="0">
                  <c:v>基本支出</c:v>
                </c:pt>
                <c:pt idx="1">
                  <c:v>项目支出</c:v>
                </c:pt>
                <c:pt idx="2">
                  <c:v>上缴上级支出</c:v>
                </c:pt>
                <c:pt idx="3">
                  <c:v>经营支出</c:v>
                </c:pt>
                <c:pt idx="4">
                  <c:v>对附属单位补助支出</c:v>
                </c:pt>
              </c:strCache>
            </c:strRef>
          </c:cat>
          <c:val>
            <c:numRef>
              <c:f>'[画图工具（行政审批局).xlsx]总支出'!$B$2:$B$6</c:f>
              <c:numCache>
                <c:formatCode>General</c:formatCode>
                <c:ptCount val="5"/>
                <c:pt idx="0">
                  <c:v>193.15</c:v>
                </c:pt>
                <c:pt idx="1">
                  <c:v>2106.81</c:v>
                </c:pt>
                <c:pt idx="2">
                  <c:v>0</c:v>
                </c:pt>
                <c:pt idx="3">
                  <c:v>0</c:v>
                </c:pt>
                <c:pt idx="4">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zero"/>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rgbClr val="595959">
                    <a:lumMod val="65000"/>
                    <a:lumOff val="35000"/>
                  </a:srgbClr>
                </a:solidFill>
                <a:latin typeface="+mn-lt"/>
                <a:ea typeface="+mn-ea"/>
                <a:cs typeface="+mn-cs"/>
              </a:defRPr>
            </a:pPr>
            <a:r>
              <a:t>财政拨款收、支决算总计变动情况</a:t>
            </a:r>
          </a:p>
        </c:rich>
      </c:tx>
      <c:layout>
        <c:manualLayout>
          <c:xMode val="edge"/>
          <c:yMode val="edge"/>
          <c:x val="0.235277777777778"/>
          <c:y val="0.0347222222222222"/>
        </c:manualLayout>
      </c:layout>
      <c:overlay val="false"/>
      <c:spPr>
        <a:noFill/>
        <a:ln>
          <a:noFill/>
        </a:ln>
        <a:effectLst/>
      </c:spPr>
    </c:title>
    <c:autoTitleDeleted val="false"/>
    <c:plotArea>
      <c:layout/>
      <c:barChart>
        <c:barDir val="col"/>
        <c:grouping val="clustered"/>
        <c:varyColors val="false"/>
        <c:ser>
          <c:idx val="0"/>
          <c:order val="0"/>
          <c:tx>
            <c:strRef>
              <c:f>'[画图工具（行政审批局).xlsx]收支总计 (2)'!$B$1</c:f>
              <c:strCache>
                <c:ptCount val="1"/>
                <c:pt idx="0">
                  <c:v>财政拨款收入总计</c:v>
                </c:pt>
              </c:strCache>
            </c:strRef>
          </c:tx>
          <c:spPr>
            <a:solidFill>
              <a:srgbClr val="4F81BD"/>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(2)'!$B$2:$B$6</c:f>
              <c:numCache>
                <c:formatCode>General</c:formatCode>
                <c:ptCount val="5"/>
                <c:pt idx="0">
                  <c:v>1798.14</c:v>
                </c:pt>
                <c:pt idx="1">
                  <c:v>1448.43</c:v>
                </c:pt>
              </c:numCache>
            </c:numRef>
          </c:val>
        </c:ser>
        <c:ser>
          <c:idx val="1"/>
          <c:order val="1"/>
          <c:tx>
            <c:strRef>
              <c:f>'[画图工具（行政审批局).xlsx]收支总计 (2)'!$C$1</c:f>
              <c:strCache>
                <c:ptCount val="1"/>
                <c:pt idx="0">
                  <c:v>财政拨款支出总计</c:v>
                </c:pt>
              </c:strCache>
            </c:strRef>
          </c:tx>
          <c:spPr>
            <a:solidFill>
              <a:srgbClr val="C0504D"/>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(2)'!$C$2:$C$6</c:f>
              <c:numCache>
                <c:formatCode>General</c:formatCode>
                <c:ptCount val="5"/>
                <c:pt idx="2">
                  <c:v>2334.84</c:v>
                </c:pt>
                <c:pt idx="3">
                  <c:v>2299.96</c:v>
                </c:pt>
              </c:numCache>
            </c:numRef>
          </c:val>
        </c:ser>
        <c:ser>
          <c:idx val="2"/>
          <c:order val="2"/>
          <c:tx>
            <c:strRef>
              <c:f>'[画图工具（行政审批局).xlsx]收支总计 (2)'!$D$1</c:f>
              <c:strCache>
                <c:ptCount val="1"/>
                <c:pt idx="0">
                  <c:v/>
                </c:pt>
              </c:strCache>
            </c:strRef>
          </c:tx>
          <c:spPr>
            <a:solidFill>
              <a:srgbClr val="9BBB59"/>
            </a:solidFill>
            <a:ln>
              <a:noFill/>
            </a:ln>
            <a:effectLst/>
          </c:spPr>
          <c:invertIfNegative val="false"/>
          <c:dLbls>
            <c:delete val="true"/>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(2)'!$D$2:$D$6</c:f>
              <c:numCache>
                <c:formatCode>General</c:formatCode>
                <c:ptCount val="5"/>
              </c:numCache>
            </c:numRef>
          </c:val>
        </c:ser>
        <c:dLbls>
          <c:showLegendKey val="false"/>
          <c:showVal val="false"/>
          <c:showCatName val="false"/>
          <c:showSerName val="false"/>
          <c:showPercent val="false"/>
          <c:showBubbleSize val="false"/>
        </c:dLbls>
        <c:gapWidth val="219"/>
        <c:overlap val="-27"/>
        <c:axId val="250162176"/>
        <c:axId val="250188544"/>
      </c:barChart>
      <c:catAx>
        <c:axId val="250162176"/>
        <c:scaling>
          <c:orientation val="minMax"/>
        </c:scaling>
        <c:delete val="false"/>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250188544"/>
        <c:crosses val="autoZero"/>
        <c:auto val="true"/>
        <c:lblAlgn val="ctr"/>
        <c:lblOffset val="100"/>
        <c:noMultiLvlLbl val="false"/>
      </c:catAx>
      <c:valAx>
        <c:axId val="250188544"/>
        <c:scaling>
          <c:orientation val="minMax"/>
        </c:scaling>
        <c:delete val="false"/>
        <c:axPos val="l"/>
        <c:majorGridlines>
          <c:spPr>
            <a:ln w="9525" cap="flat" cmpd="sng" algn="ctr">
              <a:solidFill>
                <a:srgbClr val="D9D9D9">
                  <a:lumMod val="15000"/>
                  <a:lumOff val="85000"/>
                </a:srgb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25016217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rgbClr val="000000"/>
              </a:solidFill>
              <a:latin typeface="+mn-lt"/>
              <a:ea typeface="+mn-ea"/>
              <a:cs typeface="+mn-cs"/>
            </a:defRPr>
          </a:pPr>
        </a:p>
      </c:txPr>
    </c:title>
    <c:autoTitleDeleted val="false"/>
    <c:plotArea>
      <c:layout/>
      <c:barChart>
        <c:barDir val="col"/>
        <c:grouping val="clustered"/>
        <c:varyColors val="false"/>
        <c:ser>
          <c:idx val="0"/>
          <c:order val="0"/>
          <c:tx>
            <c:strRef>
              <c:f>'[画图工具（行政审批局).xlsx]Sheet1 (4)'!$B$1</c:f>
              <c:strCache>
                <c:ptCount val="1"/>
                <c:pt idx="0">
                  <c:v>一般公共预算财政拨款支出（单位：万元）</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'[画图工具（行政审批局).xlsx]Sheet1 (4)'!$A$2:$A$3</c:f>
              <c:strCache>
                <c:ptCount val="2"/>
                <c:pt idx="0">
                  <c:v>2020年</c:v>
                </c:pt>
                <c:pt idx="1">
                  <c:v>2021年</c:v>
                </c:pt>
              </c:strCache>
            </c:strRef>
          </c:cat>
          <c:val>
            <c:numRef>
              <c:f>'[画图工具（行政审批局).xlsx]Sheet1 (4)'!$B$2:$B$3</c:f>
              <c:numCache>
                <c:formatCode>General</c:formatCode>
                <c:ptCount val="2"/>
                <c:pt idx="0">
                  <c:v>2334.84</c:v>
                </c:pt>
                <c:pt idx="1">
                  <c:v>2149.96</c:v>
                </c:pt>
              </c:numCache>
            </c:numRef>
          </c:val>
        </c:ser>
        <c:dLbls>
          <c:showLegendKey val="false"/>
          <c:showVal val="true"/>
          <c:showCatName val="false"/>
          <c:showSerName val="false"/>
          <c:showPercent val="false"/>
          <c:showBubbleSize val="false"/>
        </c:dLbls>
        <c:gapWidth val="150"/>
        <c:axId val="252047360"/>
        <c:axId val="252048896"/>
      </c:barChart>
      <c:catAx>
        <c:axId val="25204736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mn-lt"/>
                <a:ea typeface="+mn-ea"/>
                <a:cs typeface="+mn-cs"/>
              </a:defRPr>
            </a:pPr>
          </a:p>
        </c:txPr>
        <c:crossAx val="252048896"/>
        <c:crosses val="autoZero"/>
        <c:auto val="true"/>
        <c:lblAlgn val="ctr"/>
        <c:lblOffset val="100"/>
        <c:noMultiLvlLbl val="false"/>
      </c:catAx>
      <c:valAx>
        <c:axId val="25204889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mn-lt"/>
                <a:ea typeface="+mn-ea"/>
                <a:cs typeface="+mn-cs"/>
              </a:defRPr>
            </a:pPr>
          </a:p>
        </c:txPr>
        <c:crossAx val="25204736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rgbClr val="000000"/>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'[画图工具（退役军人局).xlsx]一般公共预算财政拨款支出'!$B$1</c:f>
              <c:strCache>
                <c:ptCount val="1"/>
                <c:pt idx="0">
                  <c:v>一般公共预算财政拨款支出（单位：万元）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Pt>
            <c:idx val="7"/>
            <c:bubble3D val="false"/>
          </c:dPt>
          <c:dPt>
            <c:idx val="8"/>
            <c:bubble3D val="false"/>
          </c:dPt>
          <c:dLbls>
            <c:dLbl>
              <c:idx val="5"/>
              <c:layout>
                <c:manualLayout>
                  <c:x val="-0.0357431891111893"/>
                  <c:y val="0.0058601770162059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0155082854327666"/>
                  <c:y val="0.10448785355730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'[画图工具（退役军人局).xlsx]一般公共预算财政拨款支出'!$A$2:$A$10</c:f>
              <c:strCache>
                <c:ptCount val="9"/>
                <c:pt idx="0">
                  <c:v>行政运行支出</c:v>
                </c:pt>
                <c:pt idx="1">
                  <c:v>事业运行支出</c:v>
                </c:pt>
                <c:pt idx="2">
                  <c:v>其他社会保障和就业支出</c:v>
                </c:pt>
                <c:pt idx="3">
                  <c:v>抚恤支出</c:v>
                </c:pt>
                <c:pt idx="4">
                  <c:v>拥军优属支出</c:v>
                </c:pt>
                <c:pt idx="5">
                  <c:v>其他退役军人事务管理支出</c:v>
                </c:pt>
                <c:pt idx="6">
                  <c:v>行政事业单位养老支出</c:v>
                </c:pt>
                <c:pt idx="7">
                  <c:v>一般行政管理事务支出</c:v>
                </c:pt>
                <c:pt idx="8">
                  <c:v>卫生健康支出</c:v>
                </c:pt>
              </c:strCache>
            </c:strRef>
          </c:cat>
          <c:val>
            <c:numRef>
              <c:f>'[画图工具（退役军人局).xlsx]一般公共预算财政拨款支出'!$B$2:$B$10</c:f>
              <c:numCache>
                <c:formatCode>General</c:formatCode>
                <c:ptCount val="9"/>
                <c:pt idx="0">
                  <c:v>67.33</c:v>
                </c:pt>
                <c:pt idx="1">
                  <c:v>89.21</c:v>
                </c:pt>
                <c:pt idx="2">
                  <c:v>2.03</c:v>
                </c:pt>
                <c:pt idx="3">
                  <c:v>1444.04</c:v>
                </c:pt>
                <c:pt idx="4">
                  <c:v>191.7</c:v>
                </c:pt>
                <c:pt idx="5">
                  <c:v>320.43</c:v>
                </c:pt>
                <c:pt idx="6">
                  <c:v>14.54</c:v>
                </c:pt>
                <c:pt idx="7">
                  <c:v>0.24</c:v>
                </c:pt>
                <c:pt idx="8">
                  <c:v>9.99</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rgbClr val="000000"/>
              </a:solidFill>
              <a:latin typeface="+mn-lt"/>
              <a:ea typeface="+mn-ea"/>
              <a:cs typeface="+mn-cs"/>
            </a:defRPr>
          </a:pPr>
        </a:p>
      </c:txPr>
    </c:title>
    <c:autoTitleDeleted val="false"/>
    <c:plotArea>
      <c:layout/>
      <c:pieChart>
        <c:varyColors val="true"/>
        <c:ser>
          <c:idx val="0"/>
          <c:order val="0"/>
          <c:tx>
            <c:strRef>
              <c:f>'[画图工具（行政审批局).xlsx]“三公”经费财政拨款支出'!$B$1</c:f>
              <c:strCache>
                <c:ptCount val="1"/>
                <c:pt idx="0">
                  <c:v>“三公”经费财政拨款支出（单位：万元）</c:v>
                </c:pt>
              </c:strCache>
            </c:strRef>
          </c:tx>
          <c:explosion val="0"/>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'[画图工具（行政审批局).xlsx]“三公”经费财政拨款支出'!$A$2:$A$4</c:f>
              <c:strCache>
                <c:ptCount val="3"/>
                <c:pt idx="0">
                  <c:v>因公出国（境）费支出</c:v>
                </c:pt>
                <c:pt idx="1">
                  <c:v>公务用车购置及运行维护费支出</c:v>
                </c:pt>
                <c:pt idx="2">
                  <c:v>公务接待费支出</c:v>
                </c:pt>
              </c:strCache>
            </c:strRef>
          </c:cat>
          <c:val>
            <c:numRef>
              <c:f>'[画图工具（行政审批局).xlsx]“三公”经费财政拨款支出'!$B$2:$B$4</c:f>
              <c:numCache>
                <c:formatCode>General</c:formatCode>
                <c:ptCount val="3"/>
                <c:pt idx="0">
                  <c:v>0</c:v>
                </c:pt>
                <c:pt idx="1">
                  <c:v>0</c:v>
                </c:pt>
                <c:pt idx="2">
                  <c:v>1.42</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rgbClr val="000000"/>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45</Pages>
  <Words>17556</Words>
  <Characters>18906</Characters>
  <Lines>0</Lines>
  <Paragraphs>0</Paragraphs>
  <TotalTime>4</TotalTime>
  <ScaleCrop>false</ScaleCrop>
  <LinksUpToDate>false</LinksUpToDate>
  <CharactersWithSpaces>22607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2022-09-27T15:06:00Z</cp:lastPrinted>
  <dcterms:modified xsi:type="dcterms:W3CDTF">2023-08-08T17:14:37Z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26DFE97F647C47F9AA5CE3443047A4B6</vt:lpwstr>
  </property>
</Properties>
</file>