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96475"/>
      <w:bookmarkStart w:id="1" w:name="_Toc15378441"/>
      <w:bookmarkStart w:id="2" w:name="_Toc15377193"/>
      <w:bookmarkStart w:id="3" w:name="_Toc15396597"/>
      <w:bookmarkStart w:id="4" w:name="_Toc15377425"/>
      <w:bookmarkStart w:id="5" w:name="_Toc15306267"/>
      <w:bookmarkStart w:id="73" w:name="_GoBack"/>
      <w:bookmarkEnd w:id="73"/>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p>
    <w:bookmarkEnd w:id="5"/>
    <w:p>
      <w:pPr>
        <w:adjustRightInd w:val="0"/>
        <w:snapToGrid w:val="0"/>
        <w:spacing w:line="360" w:lineRule="auto"/>
        <w:jc w:val="center"/>
        <w:outlineLvl w:val="0"/>
        <w:rPr>
          <w:rFonts w:hint="eastAsia" w:ascii="方正小标宋简体" w:hAnsi="方正小标宋简体" w:eastAsia="方正小标宋简体" w:cs="方正小标宋简体"/>
          <w:color w:val="000000"/>
          <w:w w:val="94"/>
          <w:sz w:val="72"/>
          <w:szCs w:val="72"/>
          <w:lang w:eastAsia="zh-CN"/>
        </w:rPr>
      </w:pPr>
      <w:bookmarkStart w:id="6" w:name="_Toc15396598"/>
      <w:bookmarkStart w:id="7" w:name="_Toc15306268"/>
      <w:bookmarkStart w:id="8" w:name="_Toc15377426"/>
      <w:bookmarkStart w:id="9" w:name="_Toc15377194"/>
      <w:bookmarkStart w:id="10" w:name="_Toc15396476"/>
      <w:bookmarkStart w:id="11" w:name="_Toc15378442"/>
      <w:r>
        <w:rPr>
          <w:rFonts w:hint="eastAsia" w:ascii="方正小标宋简体" w:hAnsi="方正小标宋简体" w:eastAsia="方正小标宋简体" w:cs="方正小标宋简体"/>
          <w:color w:val="000000"/>
          <w:w w:val="94"/>
          <w:sz w:val="72"/>
          <w:szCs w:val="72"/>
          <w:lang w:eastAsia="zh-CN"/>
        </w:rPr>
        <w:t>中共广元市朝天区委机构编制委员会办公室部门决算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2"/>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27</w:t>
      </w:r>
      <w:r>
        <w:rPr>
          <w:rFonts w:hint="eastAsia"/>
          <w:color w:val="auto"/>
          <w:highlight w:val="none"/>
        </w:rPr>
        <w:t>日</w:t>
      </w:r>
    </w:p>
    <w:p>
      <w:pPr>
        <w:rPr>
          <w:color w:val="auto"/>
          <w:highlight w:val="none"/>
        </w:rPr>
      </w:pPr>
    </w:p>
    <w:p>
      <w:pPr>
        <w:pStyle w:val="12"/>
        <w:adjustRightInd w:val="0"/>
        <w:snapToGrid w:val="0"/>
        <w:spacing w:before="0" w:line="440" w:lineRule="exact"/>
        <w:jc w:val="left"/>
        <w:rPr>
          <w:rFonts w:hint="eastAsia" w:ascii="黑体" w:hAnsi="黑体" w:eastAsia="黑体" w:cs="黑体"/>
          <w:color w:val="auto"/>
          <w:sz w:val="24"/>
          <w:szCs w:val="24"/>
          <w:highlight w:val="none"/>
        </w:rPr>
      </w:pPr>
      <w:r>
        <w:rPr>
          <w:rFonts w:hint="eastAsia" w:ascii="黑体" w:hAnsi="黑体" w:eastAsia="黑体" w:cs="黑体"/>
          <w:color w:val="auto"/>
          <w:sz w:val="24"/>
          <w:highlight w:val="none"/>
        </w:rPr>
        <w:t>第一部分 部门概况</w:t>
      </w:r>
    </w:p>
    <w:p>
      <w:pPr>
        <w:pStyle w:val="13"/>
        <w:adjustRightInd w:val="0"/>
        <w:snapToGrid w:val="0"/>
        <w:spacing w:line="440" w:lineRule="exact"/>
        <w:jc w:val="left"/>
        <w:rPr>
          <w:rFonts w:hint="eastAsia" w:ascii="仿宋" w:hAnsi="仿宋" w:eastAsia="宋体"/>
          <w:color w:val="auto"/>
          <w:sz w:val="24"/>
          <w:highlight w:val="none"/>
          <w:lang w:val="en-US" w:eastAsia="zh-CN"/>
        </w:rPr>
      </w:pPr>
      <w:r>
        <w:rPr>
          <w:rFonts w:hint="eastAsia"/>
          <w:color w:val="auto"/>
          <w:sz w:val="24"/>
          <w:highlight w:val="none"/>
        </w:rPr>
        <w:t>一、基本职能及主要工作</w:t>
      </w:r>
      <w:r>
        <w:rPr>
          <w:rFonts w:hint="default" w:ascii="Arial" w:hAnsi="Arial" w:cs="Arial"/>
          <w:color w:val="auto"/>
          <w:sz w:val="24"/>
          <w:highlight w:val="none"/>
        </w:rPr>
        <w:t>………………………………………………………………</w:t>
      </w:r>
      <w:r>
        <w:rPr>
          <w:rFonts w:hint="eastAsia" w:ascii="Arial" w:hAnsi="Arial" w:cs="Arial"/>
          <w:color w:val="auto"/>
          <w:sz w:val="24"/>
          <w:highlight w:val="none"/>
          <w:lang w:val="en-US" w:eastAsia="zh-CN"/>
        </w:rPr>
        <w:t>4</w:t>
      </w:r>
    </w:p>
    <w:p>
      <w:pPr>
        <w:pStyle w:val="13"/>
        <w:adjustRightInd w:val="0"/>
        <w:snapToGrid w:val="0"/>
        <w:spacing w:line="440" w:lineRule="exact"/>
        <w:jc w:val="left"/>
        <w:rPr>
          <w:rFonts w:hint="eastAsia" w:ascii="仿宋" w:hAnsi="仿宋" w:eastAsia="宋体" w:cstheme="minorBidi"/>
          <w:color w:val="auto"/>
          <w:sz w:val="24"/>
          <w:highlight w:val="none"/>
          <w:lang w:val="en-US" w:eastAsia="zh-CN"/>
        </w:rPr>
      </w:pPr>
      <w:r>
        <w:rPr>
          <w:rFonts w:hint="eastAsia"/>
          <w:color w:val="auto"/>
          <w:sz w:val="24"/>
          <w:highlight w:val="none"/>
        </w:rPr>
        <w:t>二、机构设置</w:t>
      </w:r>
      <w:r>
        <w:rPr>
          <w:rFonts w:hint="default" w:ascii="Arial" w:hAnsi="Arial" w:cs="Arial"/>
          <w:color w:val="auto"/>
          <w:sz w:val="24"/>
          <w:highlight w:val="none"/>
        </w:rPr>
        <w:t>……………………………………………………………………………</w:t>
      </w:r>
      <w:r>
        <w:rPr>
          <w:rFonts w:hint="eastAsia" w:ascii="Arial" w:hAnsi="Arial" w:cs="Arial"/>
          <w:color w:val="auto"/>
          <w:sz w:val="24"/>
          <w:highlight w:val="none"/>
          <w:lang w:val="en-US" w:eastAsia="zh-CN"/>
        </w:rPr>
        <w:t>9</w:t>
      </w:r>
    </w:p>
    <w:p>
      <w:pPr>
        <w:pStyle w:val="12"/>
        <w:adjustRightInd w:val="0"/>
        <w:snapToGrid w:val="0"/>
        <w:spacing w:before="0" w:line="440" w:lineRule="exact"/>
        <w:jc w:val="left"/>
        <w:rPr>
          <w:rFonts w:hint="eastAsia" w:ascii="黑体" w:hAnsi="黑体" w:eastAsia="黑体" w:cs="黑体"/>
          <w:color w:val="auto"/>
          <w:sz w:val="24"/>
          <w:szCs w:val="24"/>
          <w:highlight w:val="none"/>
        </w:rPr>
      </w:pPr>
      <w:r>
        <w:rPr>
          <w:rFonts w:hint="eastAsia" w:ascii="黑体" w:hAnsi="黑体" w:eastAsia="黑体" w:cs="黑体"/>
          <w:color w:val="auto"/>
          <w:sz w:val="24"/>
          <w:highlight w:val="none"/>
        </w:rPr>
        <w:t>第二部分</w:t>
      </w:r>
      <w:r>
        <w:rPr>
          <w:rFonts w:hint="eastAsia" w:ascii="黑体" w:hAnsi="黑体" w:eastAsia="黑体" w:cs="黑体"/>
          <w:color w:val="auto"/>
          <w:sz w:val="24"/>
          <w:highlight w:val="none"/>
          <w:lang w:val="en-US" w:eastAsia="zh-CN"/>
        </w:rPr>
        <w:t xml:space="preserve"> 2021年度</w:t>
      </w:r>
      <w:r>
        <w:rPr>
          <w:rFonts w:hint="eastAsia" w:ascii="黑体" w:hAnsi="黑体" w:eastAsia="黑体" w:cs="黑体"/>
          <w:color w:val="auto"/>
          <w:sz w:val="24"/>
          <w:highlight w:val="none"/>
        </w:rPr>
        <w:t>部门决算情况说明</w:t>
      </w:r>
    </w:p>
    <w:p>
      <w:pPr>
        <w:pStyle w:val="13"/>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一、收入支出决算总体情况说明</w:t>
      </w:r>
      <w:r>
        <w:rPr>
          <w:rFonts w:hint="default" w:ascii="Arial" w:hAnsi="Arial" w:cs="Arial"/>
          <w:color w:val="auto"/>
          <w:sz w:val="24"/>
          <w:highlight w:val="none"/>
        </w:rPr>
        <w:t>……………………………………………………</w:t>
      </w:r>
      <w:r>
        <w:rPr>
          <w:rFonts w:hint="eastAsia" w:ascii="Arial" w:hAnsi="Arial" w:cs="Arial"/>
          <w:color w:val="auto"/>
          <w:sz w:val="24"/>
          <w:highlight w:val="none"/>
          <w:lang w:val="en-US" w:eastAsia="zh-CN"/>
        </w:rPr>
        <w:t>10</w:t>
      </w:r>
    </w:p>
    <w:p>
      <w:pPr>
        <w:pStyle w:val="13"/>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二、收入决算情况说明</w:t>
      </w:r>
      <w:r>
        <w:rPr>
          <w:rFonts w:hint="default" w:ascii="Arial" w:hAnsi="Arial" w:cs="Arial"/>
          <w:color w:val="auto"/>
          <w:sz w:val="24"/>
          <w:highlight w:val="none"/>
        </w:rPr>
        <w:t>………………………………………………………………</w:t>
      </w:r>
      <w:r>
        <w:rPr>
          <w:rFonts w:hint="eastAsia" w:ascii="Arial" w:hAnsi="Arial" w:cs="Arial"/>
          <w:color w:val="auto"/>
          <w:sz w:val="24"/>
          <w:highlight w:val="none"/>
          <w:lang w:val="en-US" w:eastAsia="zh-CN"/>
        </w:rPr>
        <w:t>10</w:t>
      </w:r>
    </w:p>
    <w:p>
      <w:pPr>
        <w:pStyle w:val="13"/>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三、支出决算情况说明</w:t>
      </w:r>
      <w:r>
        <w:rPr>
          <w:rFonts w:hint="default" w:ascii="Arial" w:hAnsi="Arial" w:cs="Arial"/>
          <w:color w:val="auto"/>
          <w:sz w:val="24"/>
          <w:highlight w:val="none"/>
        </w:rPr>
        <w:t>………………………………………………………………</w:t>
      </w:r>
      <w:r>
        <w:rPr>
          <w:rFonts w:hint="eastAsia" w:ascii="Arial" w:hAnsi="Arial" w:cs="Arial"/>
          <w:color w:val="auto"/>
          <w:sz w:val="24"/>
          <w:highlight w:val="none"/>
          <w:lang w:val="en-US" w:eastAsia="zh-CN"/>
        </w:rPr>
        <w:t>11</w:t>
      </w:r>
    </w:p>
    <w:p>
      <w:pPr>
        <w:pStyle w:val="13"/>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四、财政拨款收入支出决算总体情况说明</w:t>
      </w:r>
      <w:r>
        <w:rPr>
          <w:rFonts w:hint="default" w:ascii="Arial" w:hAnsi="Arial" w:cs="Arial"/>
          <w:color w:val="auto"/>
          <w:sz w:val="24"/>
          <w:highlight w:val="none"/>
        </w:rPr>
        <w:t>…………………………………………</w:t>
      </w:r>
      <w:r>
        <w:rPr>
          <w:rFonts w:hint="eastAsia" w:ascii="Arial" w:hAnsi="Arial" w:cs="Arial"/>
          <w:color w:val="auto"/>
          <w:sz w:val="24"/>
          <w:highlight w:val="none"/>
          <w:lang w:val="en-US" w:eastAsia="zh-CN"/>
        </w:rPr>
        <w:t>12</w:t>
      </w:r>
    </w:p>
    <w:p>
      <w:pPr>
        <w:pStyle w:val="13"/>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五、一般公共预算财政拨款支出决算情况说明</w:t>
      </w:r>
      <w:r>
        <w:rPr>
          <w:rFonts w:hint="default" w:ascii="Arial" w:hAnsi="Arial" w:cs="Arial"/>
          <w:color w:val="auto"/>
          <w:sz w:val="24"/>
          <w:highlight w:val="none"/>
        </w:rPr>
        <w:t>……………………………………</w:t>
      </w:r>
      <w:r>
        <w:rPr>
          <w:rFonts w:hint="eastAsia" w:ascii="Arial" w:hAnsi="Arial" w:cs="Arial"/>
          <w:color w:val="auto"/>
          <w:sz w:val="24"/>
          <w:highlight w:val="none"/>
          <w:lang w:val="en-US" w:eastAsia="zh-CN"/>
        </w:rPr>
        <w:t>12</w:t>
      </w:r>
    </w:p>
    <w:p>
      <w:pPr>
        <w:pStyle w:val="13"/>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六、一般公共预算财政拨款基本支出决算情况说明</w:t>
      </w:r>
      <w:r>
        <w:rPr>
          <w:rFonts w:hint="default" w:ascii="Arial" w:hAnsi="Arial" w:cs="Arial"/>
          <w:color w:val="auto"/>
          <w:sz w:val="24"/>
          <w:highlight w:val="none"/>
        </w:rPr>
        <w:t>………………………………</w:t>
      </w:r>
      <w:r>
        <w:rPr>
          <w:rFonts w:hint="eastAsia" w:ascii="Arial" w:hAnsi="Arial" w:cs="Arial"/>
          <w:color w:val="auto"/>
          <w:sz w:val="24"/>
          <w:highlight w:val="none"/>
          <w:lang w:val="en-US" w:eastAsia="zh-CN"/>
        </w:rPr>
        <w:t>14</w:t>
      </w:r>
    </w:p>
    <w:p>
      <w:pPr>
        <w:pStyle w:val="13"/>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r>
        <w:rPr>
          <w:rFonts w:hint="default" w:ascii="Arial" w:hAnsi="Arial" w:cs="Arial"/>
          <w:color w:val="auto"/>
          <w:sz w:val="24"/>
          <w:highlight w:val="none"/>
        </w:rPr>
        <w:t>………………………………………</w:t>
      </w:r>
      <w:r>
        <w:rPr>
          <w:rFonts w:hint="eastAsia" w:ascii="Arial" w:hAnsi="Arial" w:cs="Arial"/>
          <w:color w:val="auto"/>
          <w:sz w:val="24"/>
          <w:highlight w:val="none"/>
          <w:lang w:val="en-US" w:eastAsia="zh-CN"/>
        </w:rPr>
        <w:t>15</w:t>
      </w:r>
    </w:p>
    <w:p>
      <w:pPr>
        <w:pStyle w:val="13"/>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八、政府性基金预算支出决算情况说明</w:t>
      </w:r>
      <w:r>
        <w:rPr>
          <w:rFonts w:hint="default" w:ascii="Arial" w:hAnsi="Arial" w:cs="Arial"/>
          <w:color w:val="auto"/>
          <w:sz w:val="24"/>
          <w:highlight w:val="none"/>
        </w:rPr>
        <w:t>……………………………………………</w:t>
      </w:r>
      <w:r>
        <w:rPr>
          <w:rFonts w:hint="eastAsia" w:ascii="Arial" w:hAnsi="Arial" w:cs="Arial"/>
          <w:color w:val="auto"/>
          <w:sz w:val="24"/>
          <w:highlight w:val="none"/>
          <w:lang w:val="en-US" w:eastAsia="zh-CN"/>
        </w:rPr>
        <w:t>16</w:t>
      </w:r>
    </w:p>
    <w:p>
      <w:pPr>
        <w:pStyle w:val="13"/>
        <w:adjustRightInd w:val="0"/>
        <w:snapToGrid w:val="0"/>
        <w:spacing w:line="440" w:lineRule="exact"/>
        <w:ind w:leftChars="0"/>
        <w:jc w:val="left"/>
        <w:rPr>
          <w:rFonts w:hint="default" w:eastAsia="宋体" w:asciiTheme="minorEastAsia" w:hAnsi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九、</w:t>
      </w:r>
      <w:r>
        <w:rPr>
          <w:rFonts w:hint="eastAsia" w:asciiTheme="minorEastAsia" w:hAnsiTheme="minorEastAsia" w:eastAsiaTheme="minorEastAsia" w:cstheme="minorEastAsia"/>
          <w:color w:val="auto"/>
          <w:sz w:val="24"/>
          <w:highlight w:val="none"/>
          <w:lang w:eastAsia="zh-CN"/>
        </w:rPr>
        <w:t>国</w:t>
      </w:r>
      <w:r>
        <w:rPr>
          <w:rFonts w:hint="eastAsia" w:asciiTheme="minorEastAsia" w:hAnsiTheme="minorEastAsia" w:eastAsiaTheme="minorEastAsia" w:cstheme="minorEastAsia"/>
          <w:color w:val="auto"/>
          <w:sz w:val="24"/>
          <w:highlight w:val="none"/>
        </w:rPr>
        <w:t>有资本经营预算支出决算情况说明</w:t>
      </w:r>
      <w:r>
        <w:rPr>
          <w:rFonts w:hint="default" w:ascii="Arial" w:hAnsi="Arial" w:cs="Arial"/>
          <w:color w:val="auto"/>
          <w:sz w:val="24"/>
          <w:highlight w:val="none"/>
        </w:rPr>
        <w:t>…………………………………………</w:t>
      </w:r>
      <w:r>
        <w:rPr>
          <w:rFonts w:hint="eastAsia" w:ascii="Arial" w:hAnsi="Arial" w:cs="Arial"/>
          <w:color w:val="auto"/>
          <w:sz w:val="24"/>
          <w:highlight w:val="none"/>
          <w:lang w:val="en-US" w:eastAsia="zh-CN"/>
        </w:rPr>
        <w:t>16</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175"/>
        <w:jc w:val="left"/>
        <w:textAlignment w:val="auto"/>
        <w:rPr>
          <w:rFonts w:hint="default" w:eastAsia="宋体"/>
          <w:lang w:val="en-US" w:eastAsia="zh-CN"/>
        </w:rPr>
      </w:pPr>
      <w:r>
        <w:rPr>
          <w:rStyle w:val="18"/>
          <w:rFonts w:hint="eastAsia" w:asciiTheme="minorEastAsia" w:hAnsiTheme="minorEastAsia" w:eastAsiaTheme="minorEastAsia" w:cstheme="minorEastAsia"/>
          <w:color w:val="auto"/>
          <w:sz w:val="24"/>
          <w:highlight w:val="none"/>
          <w:u w:val="none"/>
          <w:lang w:eastAsia="zh-CN"/>
        </w:rPr>
        <w:t>十</w:t>
      </w:r>
      <w:r>
        <w:rPr>
          <w:rStyle w:val="18"/>
          <w:rFonts w:hint="eastAsia" w:asciiTheme="minorEastAsia" w:hAnsiTheme="minorEastAsia" w:eastAsiaTheme="minorEastAsia" w:cstheme="minorEastAsia"/>
          <w:color w:val="auto"/>
          <w:sz w:val="24"/>
          <w:highlight w:val="none"/>
          <w:u w:val="none"/>
        </w:rPr>
        <w:t>、</w:t>
      </w:r>
      <w:r>
        <w:rPr>
          <w:rFonts w:hint="eastAsia" w:asciiTheme="minorEastAsia" w:hAnsiTheme="minorEastAsia" w:eastAsiaTheme="minorEastAsia" w:cstheme="minorEastAsia"/>
          <w:color w:val="auto"/>
          <w:sz w:val="24"/>
          <w:highlight w:val="none"/>
        </w:rPr>
        <w:t>其他重要事项的情况说明</w:t>
      </w:r>
      <w:r>
        <w:rPr>
          <w:rFonts w:hint="default" w:ascii="Arial" w:hAnsi="Arial" w:cs="Arial"/>
          <w:color w:val="auto"/>
          <w:sz w:val="24"/>
          <w:highlight w:val="none"/>
        </w:rPr>
        <w:t>………………………………………………………</w:t>
      </w:r>
      <w:r>
        <w:rPr>
          <w:rFonts w:hint="eastAsia" w:ascii="Arial" w:hAnsi="Arial" w:cs="Arial"/>
          <w:color w:val="auto"/>
          <w:sz w:val="24"/>
          <w:highlight w:val="none"/>
          <w:lang w:val="en-US" w:eastAsia="zh-CN"/>
        </w:rPr>
        <w:t>16</w:t>
      </w:r>
    </w:p>
    <w:p>
      <w:pPr>
        <w:pStyle w:val="12"/>
        <w:adjustRightInd w:val="0"/>
        <w:snapToGrid w:val="0"/>
        <w:spacing w:before="0" w:line="440" w:lineRule="exact"/>
        <w:jc w:val="left"/>
        <w:rPr>
          <w:rFonts w:hint="default" w:ascii="黑体" w:hAnsi="黑体" w:eastAsia="仿宋" w:cs="黑体"/>
          <w:color w:val="auto"/>
          <w:sz w:val="24"/>
          <w:szCs w:val="24"/>
          <w:highlight w:val="none"/>
          <w:lang w:val="en-US" w:eastAsia="zh-CN"/>
        </w:rPr>
      </w:pPr>
      <w:r>
        <w:rPr>
          <w:rFonts w:hint="eastAsia" w:ascii="黑体" w:hAnsi="黑体" w:eastAsia="黑体" w:cs="黑体"/>
          <w:color w:val="auto"/>
          <w:sz w:val="24"/>
          <w:highlight w:val="none"/>
        </w:rPr>
        <w:t>第三部分 名词解释</w:t>
      </w:r>
      <w:r>
        <w:rPr>
          <w:rFonts w:hint="default" w:ascii="Arial" w:hAnsi="Arial" w:cs="Arial"/>
          <w:color w:val="auto"/>
          <w:sz w:val="24"/>
          <w:highlight w:val="none"/>
        </w:rPr>
        <w:t>………………………………………………………………………</w:t>
      </w:r>
      <w:r>
        <w:rPr>
          <w:rFonts w:hint="eastAsia" w:ascii="Arial" w:hAnsi="Arial" w:cs="Arial"/>
          <w:color w:val="auto"/>
          <w:sz w:val="24"/>
          <w:highlight w:val="none"/>
          <w:lang w:val="en-US" w:eastAsia="zh-CN"/>
        </w:rPr>
        <w:t>18</w:t>
      </w:r>
    </w:p>
    <w:p>
      <w:pPr>
        <w:pStyle w:val="12"/>
        <w:adjustRightInd w:val="0"/>
        <w:snapToGrid w:val="0"/>
        <w:spacing w:before="0" w:line="440" w:lineRule="exact"/>
        <w:jc w:val="left"/>
        <w:rPr>
          <w:rFonts w:hint="default" w:ascii="黑体" w:hAnsi="黑体" w:eastAsia="仿宋" w:cs="黑体"/>
          <w:color w:val="auto"/>
          <w:sz w:val="24"/>
          <w:szCs w:val="24"/>
          <w:highlight w:val="none"/>
          <w:lang w:val="en-US" w:eastAsia="zh-CN"/>
        </w:rPr>
      </w:pPr>
      <w:r>
        <w:rPr>
          <w:rFonts w:hint="eastAsia" w:ascii="黑体" w:hAnsi="黑体" w:eastAsia="黑体" w:cs="黑体"/>
          <w:color w:val="auto"/>
          <w:sz w:val="24"/>
          <w:highlight w:val="none"/>
        </w:rPr>
        <w:t>第四部分 附件</w:t>
      </w:r>
      <w:r>
        <w:rPr>
          <w:rFonts w:hint="default" w:ascii="Arial" w:hAnsi="Arial" w:cs="Arial"/>
          <w:color w:val="auto"/>
          <w:sz w:val="24"/>
          <w:highlight w:val="none"/>
        </w:rPr>
        <w:t>……………………………………………………………………………</w:t>
      </w:r>
      <w:r>
        <w:rPr>
          <w:rFonts w:hint="eastAsia" w:ascii="Arial" w:hAnsi="Arial" w:cs="Arial"/>
          <w:color w:val="auto"/>
          <w:sz w:val="24"/>
          <w:highlight w:val="none"/>
          <w:lang w:val="en-US" w:eastAsia="zh-CN"/>
        </w:rPr>
        <w:t>21</w:t>
      </w:r>
    </w:p>
    <w:p>
      <w:pPr>
        <w:pStyle w:val="12"/>
        <w:adjustRightInd w:val="0"/>
        <w:snapToGrid w:val="0"/>
        <w:spacing w:before="0" w:line="440" w:lineRule="exact"/>
        <w:jc w:val="left"/>
        <w:rPr>
          <w:rFonts w:hint="default" w:ascii="黑体" w:hAnsi="黑体" w:eastAsia="仿宋" w:cs="黑体"/>
          <w:color w:val="auto"/>
          <w:sz w:val="24"/>
          <w:szCs w:val="24"/>
          <w:highlight w:val="none"/>
          <w:lang w:val="en-US" w:eastAsia="zh-CN"/>
        </w:rPr>
      </w:pPr>
      <w:r>
        <w:rPr>
          <w:rFonts w:hint="eastAsia" w:ascii="黑体" w:hAnsi="黑体" w:eastAsia="黑体" w:cs="黑体"/>
          <w:color w:val="auto"/>
          <w:sz w:val="24"/>
          <w:highlight w:val="none"/>
        </w:rPr>
        <w:t>第五部分 附表</w:t>
      </w:r>
      <w:r>
        <w:rPr>
          <w:rFonts w:hint="default" w:ascii="Arial" w:hAnsi="Arial" w:cs="Arial"/>
          <w:color w:val="auto"/>
          <w:sz w:val="24"/>
          <w:highlight w:val="none"/>
        </w:rPr>
        <w:t>……………………………………………………………………………</w:t>
      </w:r>
      <w:r>
        <w:rPr>
          <w:rFonts w:hint="eastAsia" w:ascii="Arial" w:hAnsi="Arial" w:cs="Arial"/>
          <w:color w:val="auto"/>
          <w:sz w:val="24"/>
          <w:highlight w:val="none"/>
          <w:lang w:val="en-US" w:eastAsia="zh-CN"/>
        </w:rPr>
        <w:t>30</w:t>
      </w:r>
    </w:p>
    <w:p>
      <w:pPr>
        <w:pStyle w:val="13"/>
        <w:adjustRightInd w:val="0"/>
        <w:snapToGrid w:val="0"/>
        <w:spacing w:line="440" w:lineRule="exact"/>
        <w:jc w:val="left"/>
        <w:rPr>
          <w:rFonts w:ascii="仿宋" w:hAnsi="仿宋" w:eastAsia="仿宋" w:cstheme="minorBidi"/>
          <w:color w:val="auto"/>
          <w:sz w:val="24"/>
          <w:highlight w:val="none"/>
        </w:rPr>
      </w:pPr>
      <w:r>
        <w:rPr>
          <w:rFonts w:hint="eastAsia" w:ascii="仿宋" w:hAnsi="仿宋" w:eastAsia="仿宋"/>
          <w:color w:val="auto"/>
          <w:sz w:val="24"/>
          <w:highlight w:val="none"/>
        </w:rPr>
        <w:t>一、</w:t>
      </w:r>
      <w:r>
        <w:rPr>
          <w:rFonts w:hint="eastAsia"/>
          <w:color w:val="auto"/>
          <w:sz w:val="24"/>
          <w:highlight w:val="none"/>
        </w:rPr>
        <w:t>收入支出决算总表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二、收入决算表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三、支出决算表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四、财政拨款收入支出决算总表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五、财政拨款支出决算明细表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六、一般公共预算财政拨款支出决算表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七、一般公共预算财政拨款支出决算明细表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八、一般公共预算财政拨款基本支出决算表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九、一般公共预算财政拨款项目支出决算表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十、一般公共预算财政拨款“三公”经费支出决算表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十一、政府性基金预算财政拨款收入支出决算表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十二、政府性基金预算财政拨款“三公”经费支出决算表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十三、国有资本经营预算</w:t>
      </w:r>
      <w:r>
        <w:rPr>
          <w:rFonts w:hint="eastAsia" w:asciiTheme="minorEastAsia" w:hAnsiTheme="minorEastAsia" w:eastAsiaTheme="minorEastAsia" w:cstheme="minorEastAsia"/>
          <w:color w:val="auto"/>
          <w:sz w:val="24"/>
          <w:highlight w:val="none"/>
          <w:lang w:eastAsia="zh-CN"/>
        </w:rPr>
        <w:t>财政拨款收入</w:t>
      </w:r>
      <w:r>
        <w:rPr>
          <w:rFonts w:hint="eastAsia" w:asciiTheme="minorEastAsia" w:hAnsiTheme="minorEastAsia" w:eastAsiaTheme="minorEastAsia" w:cstheme="minorEastAsia"/>
          <w:color w:val="auto"/>
          <w:sz w:val="24"/>
          <w:highlight w:val="none"/>
        </w:rPr>
        <w:t>支出决算表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十四、国有资本经营预算财政拨款支出决算表</w:t>
      </w:r>
    </w:p>
    <w:p>
      <w:pPr>
        <w:widowControl/>
        <w:spacing w:line="440" w:lineRule="exact"/>
        <w:jc w:val="left"/>
        <w:rPr>
          <w:rFonts w:ascii="仿宋" w:hAnsi="仿宋" w:eastAsia="仿宋"/>
          <w:bCs/>
          <w:color w:val="auto"/>
          <w:kern w:val="44"/>
          <w:sz w:val="24"/>
          <w:highlight w:val="none"/>
        </w:rPr>
      </w:pPr>
      <w:bookmarkStart w:id="12" w:name="_Toc15396599"/>
      <w:bookmarkStart w:id="13" w:name="_Toc15377196"/>
      <w:r>
        <w:rPr>
          <w:rFonts w:ascii="仿宋" w:hAnsi="仿宋" w:eastAsia="仿宋"/>
          <w:b/>
          <w:color w:val="auto"/>
          <w:sz w:val="24"/>
          <w:highlight w:val="none"/>
        </w:rPr>
        <w:br w:type="page"/>
      </w:r>
    </w:p>
    <w:p>
      <w:pPr>
        <w:pStyle w:val="3"/>
        <w:jc w:val="center"/>
        <w:rPr>
          <w:rStyle w:val="27"/>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Style w:val="27"/>
          <w:rFonts w:hint="eastAsia" w:ascii="黑体" w:hAnsi="黑体" w:eastAsia="黑体"/>
          <w:b w:val="0"/>
          <w:bCs w:val="0"/>
          <w:color w:val="auto"/>
          <w:highlight w:val="none"/>
        </w:rPr>
        <w:t>部门概况</w:t>
      </w:r>
      <w:bookmarkEnd w:id="12"/>
      <w:bookmarkEnd w:id="13"/>
    </w:p>
    <w:p>
      <w:pPr>
        <w:pStyle w:val="4"/>
        <w:rPr>
          <w:rStyle w:val="28"/>
          <w:rFonts w:ascii="仿宋" w:hAnsi="仿宋" w:eastAsia="仿宋"/>
          <w:b w:val="0"/>
          <w:bCs w:val="0"/>
          <w:color w:val="auto"/>
          <w:highlight w:val="none"/>
        </w:rPr>
      </w:pPr>
      <w:bookmarkStart w:id="14" w:name="_Toc15396600"/>
      <w:bookmarkStart w:id="15" w:name="_Toc15377197"/>
      <w:r>
        <w:rPr>
          <w:rFonts w:hint="eastAsia" w:ascii="黑体" w:hAnsi="黑体" w:eastAsia="黑体"/>
          <w:b w:val="0"/>
          <w:color w:val="auto"/>
          <w:highlight w:val="none"/>
        </w:rPr>
        <w:t>一、基</w:t>
      </w:r>
      <w:r>
        <w:rPr>
          <w:rStyle w:val="28"/>
          <w:rFonts w:hint="eastAsia" w:ascii="黑体" w:hAnsi="黑体" w:eastAsia="黑体"/>
          <w:b w:val="0"/>
          <w:bCs w:val="0"/>
          <w:color w:val="auto"/>
          <w:highlight w:val="none"/>
        </w:rPr>
        <w:t>本职能及主要工作</w:t>
      </w:r>
      <w:bookmarkEnd w:id="14"/>
      <w:bookmarkEnd w:id="15"/>
    </w:p>
    <w:p>
      <w:pPr>
        <w:shd w:val="clear" w:color="auto" w:fill="FFFFFF"/>
        <w:adjustRightInd w:val="0"/>
        <w:snapToGrid w:val="0"/>
        <w:spacing w:line="580" w:lineRule="exact"/>
        <w:ind w:firstLine="640" w:firstLineChars="200"/>
        <w:jc w:val="left"/>
        <w:rPr>
          <w:rFonts w:hint="eastAsia" w:ascii="仿宋_GB2312" w:hAnsi="仿宋_GB2312" w:eastAsia="仿宋_GB2312" w:cs="仿宋_GB2312"/>
          <w:sz w:val="32"/>
          <w:szCs w:val="32"/>
        </w:rPr>
      </w:pPr>
      <w:bookmarkStart w:id="16" w:name="_Toc15378445"/>
      <w:bookmarkStart w:id="17" w:name="_Toc15377198"/>
      <w:r>
        <w:rPr>
          <w:rFonts w:hint="eastAsia" w:ascii="楷体_GB2312" w:hAnsi="楷体_GB2312" w:eastAsia="楷体_GB2312" w:cs="楷体_GB2312"/>
          <w:bCs/>
          <w:color w:val="auto"/>
          <w:sz w:val="32"/>
          <w:szCs w:val="32"/>
          <w:highlight w:val="none"/>
        </w:rPr>
        <w:t>（一）主要职能。</w:t>
      </w:r>
      <w:bookmarkEnd w:id="16"/>
      <w:bookmarkEnd w:id="17"/>
      <w:bookmarkStart w:id="18" w:name="_Toc15377199"/>
      <w:bookmarkStart w:id="19" w:name="_Toc15378446"/>
      <w:r>
        <w:rPr>
          <w:rFonts w:hint="eastAsia" w:ascii="仿宋_GB2312" w:hAnsi="仿宋_GB2312" w:eastAsia="仿宋_GB2312" w:cs="仿宋_GB2312"/>
          <w:kern w:val="0"/>
          <w:sz w:val="32"/>
          <w:szCs w:val="32"/>
        </w:rPr>
        <w:t>区委编办是</w:t>
      </w:r>
      <w:r>
        <w:rPr>
          <w:rFonts w:hint="eastAsia" w:ascii="仿宋_GB2312" w:hAnsi="仿宋_GB2312" w:eastAsia="仿宋_GB2312" w:cs="仿宋_GB2312"/>
          <w:kern w:val="0"/>
          <w:sz w:val="32"/>
          <w:szCs w:val="32"/>
          <w:lang w:eastAsia="zh-CN"/>
        </w:rPr>
        <w:t>区委工作机关，</w:t>
      </w:r>
      <w:r>
        <w:rPr>
          <w:rFonts w:hint="eastAsia" w:ascii="仿宋_GB2312" w:hAnsi="仿宋_GB2312" w:eastAsia="仿宋_GB2312" w:cs="仿宋_GB2312"/>
          <w:kern w:val="0"/>
          <w:sz w:val="32"/>
          <w:szCs w:val="32"/>
        </w:rPr>
        <w:t>主管全区机构编制</w:t>
      </w:r>
      <w:r>
        <w:rPr>
          <w:rFonts w:hint="eastAsia" w:ascii="仿宋_GB2312" w:hAnsi="仿宋_GB2312" w:eastAsia="仿宋_GB2312" w:cs="仿宋_GB2312"/>
          <w:kern w:val="0"/>
          <w:sz w:val="32"/>
          <w:szCs w:val="32"/>
          <w:lang w:eastAsia="zh-CN"/>
        </w:rPr>
        <w:t>体制改革等工作</w:t>
      </w:r>
      <w:r>
        <w:rPr>
          <w:rFonts w:hint="eastAsia" w:ascii="仿宋_GB2312" w:hAnsi="仿宋_GB2312" w:eastAsia="仿宋_GB2312" w:cs="仿宋_GB2312"/>
          <w:kern w:val="0"/>
          <w:sz w:val="32"/>
          <w:szCs w:val="32"/>
        </w:rPr>
        <w:t>。主要负责：1.研究拟订全区行政管理体制和机构改革以及机构编制管理的政策、法规草案，统一管理全区机构编制工作；2.研究拟订全区行政管理体制与机构改革的总体方案，审核区委、区政府各部门和乡镇机构改革方案，指导、协调区委、区政府各部门和乡镇行政管理体制和机构改革以及机构编制管理工作；3.协调区委、区政府各部门的职能配置及其调整，协调区委、区政府各部门之间以及区委、区政府各部门与乡镇之间职责分工；参与区级各部门行政审批事项的清理、调整工作；4.审核区委、区政府各部门和区人大常委会机关、区政协机关、法院、检察院和各群众团体机关的机构设置、人员编制和领导职数；审核各乡镇机关机构设置、人员编制和领导职数；参与乡镇行政区划调整工作；5.研究拟订全区事业单位管理体制和机构改革方案及其配套的有关政策；审核区委、区政府直属事业单位的机构编制方案，审核区级各部门所属事业单位的机构编制；负责区属事业单位机构编制的日常管理工作；综合管理全区事业单位的登记和年检工作；6.监督检查全区各级行政管理体制和机构改革以及机构编制的执行情况，并上报区委、区政府、区委机构编制委员会；7.承办区委、区政府和区委机构编制委员会交办的其他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（二）20</w:t>
      </w:r>
      <w:r>
        <w:rPr>
          <w:rFonts w:hint="eastAsia" w:ascii="楷体_GB2312" w:hAnsi="楷体_GB2312" w:eastAsia="楷体_GB2312" w:cs="楷体_GB2312"/>
          <w:bCs/>
          <w:color w:val="auto"/>
          <w:sz w:val="32"/>
          <w:szCs w:val="32"/>
          <w:highlight w:val="none"/>
          <w:lang w:val="en-US" w:eastAsia="zh-CN"/>
        </w:rPr>
        <w:t>21</w:t>
      </w:r>
      <w:r>
        <w:rPr>
          <w:rFonts w:hint="eastAsia" w:ascii="楷体_GB2312" w:hAnsi="楷体_GB2312" w:eastAsia="楷体_GB2312" w:cs="楷体_GB2312"/>
          <w:bCs/>
          <w:color w:val="auto"/>
          <w:sz w:val="32"/>
          <w:szCs w:val="32"/>
          <w:highlight w:val="none"/>
        </w:rPr>
        <w:t>年重点工作完成情况。</w:t>
      </w:r>
      <w:bookmarkEnd w:id="18"/>
      <w:bookmarkEnd w:id="19"/>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eastAsia="仿宋_GB2312" w:cs="Times New Roman"/>
          <w:color w:val="000000"/>
          <w:spacing w:val="0"/>
          <w:kern w:val="0"/>
          <w:sz w:val="32"/>
          <w:szCs w:val="32"/>
          <w:lang w:val="en-US" w:eastAsia="zh-CN"/>
        </w:rPr>
      </w:pPr>
      <w:r>
        <w:rPr>
          <w:rFonts w:hint="eastAsia" w:ascii="仿宋_GB2312" w:hAnsi="仿宋_GB2312" w:eastAsia="仿宋_GB2312" w:cs="仿宋_GB2312"/>
          <w:b/>
          <w:bCs/>
          <w:spacing w:val="0"/>
          <w:kern w:val="0"/>
          <w:sz w:val="32"/>
          <w:szCs w:val="32"/>
          <w:lang w:val="en-US" w:eastAsia="zh-CN"/>
        </w:rPr>
        <w:t>1.</w:t>
      </w:r>
      <w:r>
        <w:rPr>
          <w:rFonts w:hint="eastAsia" w:ascii="仿宋_GB2312" w:hAnsi="仿宋_GB2312" w:eastAsia="仿宋_GB2312" w:cs="仿宋_GB2312"/>
          <w:b/>
          <w:bCs/>
          <w:spacing w:val="0"/>
          <w:kern w:val="0"/>
          <w:sz w:val="32"/>
          <w:szCs w:val="32"/>
          <w:lang w:eastAsia="zh-CN"/>
        </w:rPr>
        <w:t>突出“四个坚决”，推动机构编制法治化。</w:t>
      </w:r>
      <w:r>
        <w:rPr>
          <w:rFonts w:hint="eastAsia" w:ascii="仿宋_GB2312" w:hAnsi="仿宋_GB2312" w:eastAsia="仿宋_GB2312" w:cs="仿宋_GB2312"/>
          <w:spacing w:val="0"/>
          <w:w w:val="100"/>
          <w:kern w:val="0"/>
          <w:sz w:val="32"/>
          <w:szCs w:val="32"/>
          <w:lang w:val="en-US" w:eastAsia="zh-CN"/>
        </w:rPr>
        <w:t>一是坚决贯彻党管机构编制原则</w:t>
      </w:r>
      <w:r>
        <w:rPr>
          <w:rFonts w:hint="eastAsia" w:ascii="仿宋_GB2312" w:hAnsi="仿宋_GB2312" w:eastAsia="仿宋_GB2312" w:cs="仿宋_GB2312"/>
          <w:b w:val="0"/>
          <w:bCs w:val="0"/>
          <w:color w:val="000000"/>
          <w:spacing w:val="0"/>
          <w:kern w:val="0"/>
          <w:sz w:val="32"/>
          <w:szCs w:val="32"/>
          <w:u w:val="none"/>
          <w:lang w:val="en-US" w:eastAsia="zh-CN"/>
        </w:rPr>
        <w:t>。</w:t>
      </w:r>
      <w:r>
        <w:rPr>
          <w:rFonts w:hint="eastAsia" w:ascii="仿宋_GB2312" w:hAnsi="仿宋_GB2312" w:eastAsia="仿宋_GB2312" w:cs="仿宋_GB2312"/>
          <w:i w:val="0"/>
          <w:color w:val="000000"/>
          <w:spacing w:val="0"/>
          <w:w w:val="100"/>
          <w:kern w:val="0"/>
          <w:sz w:val="32"/>
          <w:szCs w:val="32"/>
          <w:u w:val="none"/>
          <w:lang w:val="en-US" w:eastAsia="zh-CN" w:bidi="ar"/>
        </w:rPr>
        <w:t>筹备召开</w:t>
      </w:r>
      <w:r>
        <w:rPr>
          <w:rFonts w:hint="eastAsia" w:ascii="仿宋_GB2312" w:hAnsi="仿宋_GB2312" w:eastAsia="仿宋_GB2312" w:cs="仿宋_GB2312"/>
          <w:spacing w:val="0"/>
          <w:w w:val="100"/>
          <w:kern w:val="0"/>
          <w:sz w:val="32"/>
          <w:szCs w:val="32"/>
          <w:lang w:val="en-US" w:eastAsia="zh-CN"/>
        </w:rPr>
        <w:t>区</w:t>
      </w:r>
      <w:r>
        <w:rPr>
          <w:rFonts w:hint="eastAsia" w:ascii="仿宋_GB2312" w:hAnsi="仿宋_GB2312" w:eastAsia="仿宋_GB2312" w:cs="仿宋_GB2312"/>
          <w:b w:val="0"/>
          <w:bCs w:val="0"/>
          <w:color w:val="000000"/>
          <w:spacing w:val="0"/>
          <w:kern w:val="0"/>
          <w:sz w:val="32"/>
          <w:szCs w:val="32"/>
          <w:u w:val="none"/>
          <w:lang w:val="en-US" w:eastAsia="zh-CN"/>
        </w:rPr>
        <w:t>委编委会5次，审定优化乡镇机构编制资源配置、乡村振兴机构调整等重点事项66项。加强议事协调机构精细化、规范化管理，全年新设区级议事协调机构13个，同比下降40%，撤销区级议事机构43个，同步调整73个区委议事协调机构组成人员</w:t>
      </w:r>
      <w:r>
        <w:rPr>
          <w:rFonts w:hint="eastAsia" w:ascii="仿宋_GB2312" w:hAnsi="仿宋_GB2312" w:eastAsia="仿宋_GB2312" w:cs="仿宋_GB2312"/>
          <w:color w:val="000000"/>
          <w:spacing w:val="0"/>
          <w:kern w:val="0"/>
          <w:sz w:val="32"/>
          <w:szCs w:val="32"/>
          <w:lang w:eastAsia="zh-CN"/>
        </w:rPr>
        <w:t>，进一步</w:t>
      </w:r>
      <w:r>
        <w:rPr>
          <w:rFonts w:hint="eastAsia" w:ascii="仿宋_GB2312" w:hAnsi="仿宋_GB2312" w:eastAsia="仿宋_GB2312" w:cs="仿宋_GB2312"/>
          <w:b w:val="0"/>
          <w:bCs w:val="0"/>
          <w:color w:val="000000"/>
          <w:spacing w:val="0"/>
          <w:kern w:val="0"/>
          <w:sz w:val="32"/>
          <w:szCs w:val="32"/>
          <w:u w:val="none"/>
          <w:lang w:val="en-US" w:eastAsia="zh-CN"/>
        </w:rPr>
        <w:t>强化了区委对重要领域、重点工作统筹领导。</w:t>
      </w:r>
      <w:r>
        <w:rPr>
          <w:rFonts w:hint="eastAsia" w:ascii="仿宋_GB2312" w:hAnsi="仿宋_GB2312" w:eastAsia="仿宋_GB2312" w:cs="仿宋_GB2312"/>
          <w:spacing w:val="0"/>
          <w:w w:val="100"/>
          <w:kern w:val="0"/>
          <w:sz w:val="32"/>
          <w:szCs w:val="32"/>
          <w:lang w:val="en-US" w:eastAsia="zh-CN"/>
        </w:rPr>
        <w:t>二是坚决</w:t>
      </w:r>
      <w:r>
        <w:rPr>
          <w:rFonts w:hint="eastAsia" w:ascii="仿宋_GB2312" w:hAnsi="仿宋_GB2312" w:eastAsia="仿宋_GB2312" w:cs="仿宋_GB2312"/>
          <w:b w:val="0"/>
          <w:bCs w:val="0"/>
          <w:color w:val="000000"/>
          <w:spacing w:val="0"/>
          <w:kern w:val="0"/>
          <w:sz w:val="32"/>
          <w:szCs w:val="32"/>
          <w:u w:val="none"/>
          <w:lang w:val="en-US" w:eastAsia="zh-CN"/>
        </w:rPr>
        <w:t>推动机构编制法治化。广泛开展《中国共产党机</w:t>
      </w:r>
      <w:r>
        <w:rPr>
          <w:rFonts w:hint="eastAsia" w:ascii="仿宋_GB2312" w:eastAsia="仿宋_GB2312" w:cs="Times New Roman"/>
          <w:spacing w:val="0"/>
          <w:kern w:val="0"/>
          <w:sz w:val="32"/>
          <w:szCs w:val="32"/>
          <w:lang w:val="en-US" w:eastAsia="zh-CN"/>
        </w:rPr>
        <w:t>构编制工作条例》《四川省贯彻&lt;中国共产党机构编制工作条例&gt;实施办法》《机构编制报告制度实施办法》等机构编制党内法规学习宣传贯彻，</w:t>
      </w:r>
      <w:r>
        <w:rPr>
          <w:rFonts w:hint="eastAsia" w:ascii="仿宋_GB2312" w:eastAsia="仿宋_GB2312" w:cs="Times New Roman"/>
          <w:spacing w:val="0"/>
          <w:kern w:val="0"/>
          <w:sz w:val="32"/>
          <w:szCs w:val="32"/>
          <w:lang w:eastAsia="zh-CN"/>
        </w:rPr>
        <w:t>结合换届工作，持续深化</w:t>
      </w:r>
      <w:r>
        <w:rPr>
          <w:rFonts w:hint="eastAsia" w:ascii="仿宋_GB2312" w:eastAsia="仿宋_GB2312" w:cs="Times New Roman"/>
          <w:spacing w:val="0"/>
          <w:kern w:val="0"/>
          <w:sz w:val="32"/>
          <w:szCs w:val="32"/>
          <w:lang w:val="en-US" w:eastAsia="zh-CN"/>
        </w:rPr>
        <w:t>“三类重点问题”整改，全面完成因乡镇行政区划调整超职数配备问题整改。</w:t>
      </w:r>
      <w:r>
        <w:rPr>
          <w:rFonts w:hint="eastAsia" w:ascii="仿宋_GB2312" w:hAnsi="仿宋_GB2312" w:eastAsia="仿宋_GB2312" w:cs="仿宋_GB2312"/>
          <w:spacing w:val="0"/>
          <w:w w:val="100"/>
          <w:kern w:val="0"/>
          <w:sz w:val="32"/>
          <w:szCs w:val="32"/>
          <w:lang w:val="en-US" w:eastAsia="zh-CN"/>
        </w:rPr>
        <w:t>三是</w:t>
      </w:r>
      <w:r>
        <w:rPr>
          <w:rFonts w:hint="eastAsia" w:ascii="仿宋_GB2312" w:hAnsi="仿宋_GB2312" w:eastAsia="仿宋_GB2312" w:cs="仿宋_GB2312"/>
          <w:b w:val="0"/>
          <w:bCs w:val="0"/>
          <w:spacing w:val="0"/>
          <w:kern w:val="0"/>
          <w:sz w:val="32"/>
          <w:szCs w:val="32"/>
          <w:lang w:val="en-US" w:eastAsia="zh-CN"/>
        </w:rPr>
        <w:t>坚决服务保障重点决策部署。</w:t>
      </w:r>
      <w:r>
        <w:rPr>
          <w:rFonts w:hint="eastAsia" w:ascii="仿宋_GB2312" w:eastAsia="仿宋_GB2312"/>
          <w:spacing w:val="0"/>
          <w:kern w:val="0"/>
          <w:sz w:val="32"/>
          <w:szCs w:val="32"/>
          <w:lang w:eastAsia="zh-CN"/>
        </w:rPr>
        <w:t>聚焦落实“十四五”规划、抢抓机遇主动融入成渝地区双城经济圈建设等重点，主动助力</w:t>
      </w:r>
      <w:r>
        <w:rPr>
          <w:rFonts w:hint="eastAsia" w:ascii="仿宋_GB2312" w:hAnsi="仿宋_GB2312" w:eastAsia="仿宋_GB2312" w:cs="仿宋_GB2312"/>
          <w:b w:val="0"/>
          <w:bCs w:val="0"/>
          <w:color w:val="000000"/>
          <w:spacing w:val="0"/>
          <w:kern w:val="0"/>
          <w:sz w:val="32"/>
          <w:szCs w:val="32"/>
          <w:u w:val="none"/>
          <w:lang w:val="en-US" w:eastAsia="zh-CN" w:bidi="ar-SA"/>
        </w:rPr>
        <w:t>乡村振兴、新冠疫情防控</w:t>
      </w:r>
      <w:r>
        <w:rPr>
          <w:rFonts w:hint="eastAsia" w:ascii="仿宋_GB2312" w:eastAsia="仿宋_GB2312"/>
          <w:spacing w:val="0"/>
          <w:kern w:val="0"/>
          <w:sz w:val="32"/>
          <w:szCs w:val="32"/>
          <w:lang w:val="en-US" w:eastAsia="zh-CN"/>
        </w:rPr>
        <w:t>等</w:t>
      </w:r>
      <w:r>
        <w:rPr>
          <w:rFonts w:hint="eastAsia" w:ascii="仿宋_GB2312" w:eastAsia="仿宋_GB2312"/>
          <w:spacing w:val="0"/>
          <w:kern w:val="0"/>
          <w:sz w:val="32"/>
          <w:szCs w:val="32"/>
          <w:lang w:eastAsia="zh-CN"/>
        </w:rPr>
        <w:t>，</w:t>
      </w:r>
      <w:r>
        <w:rPr>
          <w:rFonts w:hint="eastAsia" w:ascii="仿宋_GB2312" w:eastAsia="仿宋_GB2312" w:cs="Times New Roman"/>
          <w:color w:val="000000"/>
          <w:spacing w:val="0"/>
          <w:kern w:val="0"/>
          <w:sz w:val="32"/>
          <w:szCs w:val="32"/>
          <w:lang w:val="en-US" w:eastAsia="zh-CN"/>
        </w:rPr>
        <w:t>对区委宣传部、区人力资源社会保障局、区卫生健康局、区文化旅游和体育局等25个区级部门所涉及的1200余项行政权力事项进行了及时调整，督促各部门调整了责任清单，并按要求公示公开。同时，</w:t>
      </w:r>
      <w:r>
        <w:rPr>
          <w:rFonts w:hint="eastAsia" w:ascii="仿宋_GB2312" w:eastAsia="仿宋_GB2312"/>
          <w:spacing w:val="0"/>
          <w:kern w:val="0"/>
          <w:sz w:val="32"/>
          <w:szCs w:val="32"/>
          <w:lang w:val="en-US" w:eastAsia="zh-CN"/>
        </w:rPr>
        <w:t>统筹使用各类编制300余名，清理</w:t>
      </w:r>
      <w:r>
        <w:rPr>
          <w:rFonts w:hint="eastAsia" w:ascii="仿宋_GB2312" w:eastAsia="仿宋_GB2312" w:cs="Times New Roman"/>
          <w:spacing w:val="0"/>
          <w:kern w:val="0"/>
          <w:sz w:val="32"/>
          <w:szCs w:val="32"/>
          <w:lang w:eastAsia="zh-CN"/>
        </w:rPr>
        <w:t>锁定全区现有政府购买服务岗位限额及人员391名，</w:t>
      </w:r>
      <w:r>
        <w:rPr>
          <w:rFonts w:hint="eastAsia" w:ascii="仿宋_GB2312" w:eastAsia="仿宋_GB2312"/>
          <w:spacing w:val="0"/>
          <w:kern w:val="0"/>
          <w:sz w:val="32"/>
          <w:szCs w:val="32"/>
          <w:lang w:val="en-US" w:eastAsia="zh-CN"/>
        </w:rPr>
        <w:t>把有限的机构编制资源保障到党的建设、经济社会发</w:t>
      </w:r>
      <w:r>
        <w:rPr>
          <w:rFonts w:hint="eastAsia" w:ascii="仿宋_GB2312" w:eastAsia="仿宋_GB2312" w:cs="Times New Roman"/>
          <w:spacing w:val="0"/>
          <w:kern w:val="0"/>
          <w:sz w:val="32"/>
          <w:szCs w:val="32"/>
          <w:lang w:val="en-US" w:eastAsia="zh-CN"/>
        </w:rPr>
        <w:t>展、</w:t>
      </w:r>
      <w:r>
        <w:rPr>
          <w:rFonts w:hint="eastAsia" w:ascii="仿宋_GB2312" w:eastAsia="仿宋_GB2312" w:cs="Times New Roman"/>
          <w:spacing w:val="0"/>
          <w:kern w:val="0"/>
          <w:sz w:val="32"/>
          <w:szCs w:val="32"/>
          <w:lang w:eastAsia="zh-CN"/>
        </w:rPr>
        <w:t>重点项目建设、民生保障等领域。</w:t>
      </w:r>
      <w:r>
        <w:rPr>
          <w:rFonts w:hint="eastAsia" w:ascii="仿宋_GB2312" w:hAnsi="仿宋_GB2312" w:eastAsia="仿宋_GB2312" w:cs="仿宋_GB2312"/>
          <w:spacing w:val="0"/>
          <w:w w:val="100"/>
          <w:kern w:val="0"/>
          <w:sz w:val="32"/>
          <w:szCs w:val="32"/>
          <w:lang w:val="en-US" w:eastAsia="zh-CN"/>
        </w:rPr>
        <w:t>四是</w:t>
      </w:r>
      <w:r>
        <w:rPr>
          <w:rFonts w:hint="eastAsia" w:ascii="仿宋_GB2312" w:eastAsia="仿宋_GB2312" w:cs="Times New Roman"/>
          <w:color w:val="000000"/>
          <w:spacing w:val="0"/>
          <w:kern w:val="0"/>
          <w:sz w:val="32"/>
          <w:szCs w:val="32"/>
          <w:lang w:eastAsia="zh-CN"/>
        </w:rPr>
        <w:t>坚决推动力量下沉一线岗位。按照第</w:t>
      </w:r>
      <w:r>
        <w:rPr>
          <w:rFonts w:hint="eastAsia" w:ascii="仿宋_GB2312" w:eastAsia="仿宋_GB2312" w:cs="Times New Roman"/>
          <w:color w:val="000000"/>
          <w:spacing w:val="0"/>
          <w:kern w:val="0"/>
          <w:sz w:val="32"/>
          <w:szCs w:val="32"/>
          <w:lang w:val="en-US" w:eastAsia="zh-CN"/>
        </w:rPr>
        <w:t>4次编委会要求，会同区委组织部、区人力资源社会保障局、区财政局等单位，制定《朝天区机关事业单位工作人员调动交流管理办法（试行）》，细化调动交流类别、条件、程序，严格按照</w:t>
      </w:r>
      <w:r>
        <w:rPr>
          <w:rFonts w:hint="eastAsia" w:ascii="仿宋_GB2312" w:eastAsia="仿宋_GB2312"/>
          <w:b w:val="0"/>
          <w:bCs w:val="0"/>
          <w:color w:val="000000"/>
          <w:kern w:val="2"/>
          <w:sz w:val="32"/>
          <w:szCs w:val="32"/>
          <w:u w:val="none"/>
          <w:lang w:eastAsia="zh-CN" w:bidi="ar-SA"/>
        </w:rPr>
        <w:t>编制限额、岗位空缺、工作需要的原则，严格对全区需调动交流使用的</w:t>
      </w:r>
      <w:r>
        <w:rPr>
          <w:rFonts w:hint="eastAsia" w:ascii="仿宋_GB2312" w:eastAsia="仿宋_GB2312"/>
          <w:b w:val="0"/>
          <w:bCs w:val="0"/>
          <w:color w:val="000000"/>
          <w:kern w:val="2"/>
          <w:sz w:val="32"/>
          <w:szCs w:val="32"/>
          <w:u w:val="none"/>
          <w:lang w:val="en-US" w:eastAsia="zh-CN" w:bidi="ar-SA"/>
        </w:rPr>
        <w:t>198名人员编制</w:t>
      </w:r>
      <w:r>
        <w:rPr>
          <w:rFonts w:hint="eastAsia" w:ascii="仿宋_GB2312" w:eastAsia="仿宋_GB2312"/>
          <w:b w:val="0"/>
          <w:bCs w:val="0"/>
          <w:color w:val="000000"/>
          <w:kern w:val="2"/>
          <w:sz w:val="32"/>
          <w:szCs w:val="32"/>
          <w:u w:val="none"/>
          <w:lang w:eastAsia="zh-CN" w:bidi="ar-SA"/>
        </w:rPr>
        <w:t>进行初步审核，确保人员</w:t>
      </w:r>
      <w:r>
        <w:rPr>
          <w:rFonts w:hint="eastAsia" w:ascii="仿宋_GB2312" w:eastAsia="仿宋_GB2312" w:cs="Times New Roman"/>
          <w:color w:val="000000"/>
          <w:spacing w:val="0"/>
          <w:kern w:val="0"/>
          <w:sz w:val="32"/>
          <w:szCs w:val="32"/>
          <w:lang w:val="en-US" w:eastAsia="zh-CN"/>
        </w:rPr>
        <w:t>力量稳定在一线岗位。</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val="0"/>
          <w:bCs w:val="0"/>
          <w:color w:val="000000"/>
          <w:spacing w:val="0"/>
          <w:kern w:val="0"/>
          <w:sz w:val="32"/>
          <w:szCs w:val="32"/>
          <w:u w:val="none"/>
          <w:lang w:val="en-US" w:eastAsia="zh-CN"/>
        </w:rPr>
      </w:pPr>
      <w:r>
        <w:rPr>
          <w:rFonts w:hint="eastAsia" w:ascii="仿宋_GB2312" w:hAnsi="仿宋_GB2312" w:eastAsia="仿宋_GB2312" w:cs="仿宋_GB2312"/>
          <w:b/>
          <w:bCs/>
          <w:spacing w:val="0"/>
          <w:kern w:val="0"/>
          <w:sz w:val="32"/>
          <w:szCs w:val="32"/>
          <w:lang w:val="en-US" w:eastAsia="zh-CN"/>
        </w:rPr>
        <w:t>2.建强“四大体系”，提升基层治理能力。</w:t>
      </w:r>
      <w:r>
        <w:rPr>
          <w:rFonts w:hint="eastAsia" w:ascii="仿宋_GB2312" w:hAnsi="仿宋_GB2312" w:eastAsia="仿宋_GB2312" w:cs="仿宋_GB2312"/>
          <w:spacing w:val="0"/>
          <w:w w:val="100"/>
          <w:kern w:val="0"/>
          <w:sz w:val="32"/>
          <w:szCs w:val="32"/>
          <w:lang w:val="en-US" w:eastAsia="zh-CN"/>
        </w:rPr>
        <w:t>一是</w:t>
      </w:r>
      <w:r>
        <w:rPr>
          <w:rFonts w:hint="eastAsia" w:ascii="仿宋_GB2312" w:hAnsi="仿宋_GB2312" w:eastAsia="仿宋_GB2312" w:cs="仿宋_GB2312"/>
          <w:b w:val="0"/>
          <w:bCs w:val="0"/>
          <w:color w:val="000000"/>
          <w:spacing w:val="0"/>
          <w:kern w:val="0"/>
          <w:sz w:val="32"/>
          <w:szCs w:val="32"/>
          <w:u w:val="none"/>
          <w:lang w:val="en-US" w:eastAsia="zh-CN"/>
        </w:rPr>
        <w:t>优化乡镇机构职能体系。按照“7+x”“4+x”模式，科学设置乡镇党政综合办事机构和直属事业单位，全力保障基层发展治理需要。规范制发乡镇行政权力事项清单，明确乡镇法定行政权力事项116项、赋权事项36项，并逐一对照形成乡镇责任清单，做到了权责明晰。</w:t>
      </w:r>
      <w:r>
        <w:rPr>
          <w:rFonts w:hint="eastAsia" w:ascii="仿宋_GB2312" w:hAnsi="仿宋_GB2312" w:eastAsia="仿宋_GB2312" w:cs="仿宋_GB2312"/>
          <w:spacing w:val="0"/>
          <w:w w:val="100"/>
          <w:kern w:val="0"/>
          <w:sz w:val="32"/>
          <w:szCs w:val="32"/>
          <w:lang w:val="en-US" w:eastAsia="zh-CN"/>
        </w:rPr>
        <w:t>二是</w:t>
      </w:r>
      <w:r>
        <w:rPr>
          <w:rFonts w:hint="eastAsia" w:ascii="仿宋_GB2312" w:hAnsi="仿宋_GB2312" w:eastAsia="仿宋_GB2312" w:cs="仿宋_GB2312"/>
          <w:b w:val="0"/>
          <w:bCs w:val="0"/>
          <w:color w:val="000000"/>
          <w:spacing w:val="0"/>
          <w:kern w:val="0"/>
          <w:sz w:val="32"/>
          <w:szCs w:val="32"/>
          <w:u w:val="none"/>
          <w:lang w:val="en-US" w:eastAsia="zh-CN"/>
        </w:rPr>
        <w:t>升级乡镇便民服务体系。完善全区12个便民服务中心、13个便民服务站、139个便民服务室、82个便民服务点的设置，实现基层便民服务机构全覆盖。明确乡镇公共服务事项108项，将47项公共服务事项延伸到村（社区）代办。</w:t>
      </w:r>
      <w:r>
        <w:rPr>
          <w:rFonts w:hint="eastAsia" w:ascii="仿宋_GB2312" w:hAnsi="仿宋_GB2312" w:eastAsia="仿宋_GB2312" w:cs="仿宋_GB2312"/>
          <w:spacing w:val="0"/>
          <w:w w:val="100"/>
          <w:kern w:val="0"/>
          <w:sz w:val="32"/>
          <w:szCs w:val="32"/>
          <w:lang w:val="en-US" w:eastAsia="zh-CN"/>
        </w:rPr>
        <w:t>三是</w:t>
      </w:r>
      <w:r>
        <w:rPr>
          <w:rFonts w:hint="eastAsia" w:ascii="仿宋_GB2312" w:hAnsi="仿宋_GB2312" w:eastAsia="仿宋_GB2312" w:cs="仿宋_GB2312"/>
          <w:b w:val="0"/>
          <w:bCs w:val="0"/>
          <w:color w:val="000000"/>
          <w:spacing w:val="0"/>
          <w:kern w:val="0"/>
          <w:sz w:val="32"/>
          <w:szCs w:val="32"/>
          <w:u w:val="none"/>
          <w:lang w:val="en-US" w:eastAsia="zh-CN"/>
        </w:rPr>
        <w:t>完善乡镇综合行政执法体系。整合市场监管所、司法所、派出所、自然资源所等部门派出（驻）乡镇执法机构力量，组建乡镇综合行政执法队，与综合行政执法办实行“办队合一”体制，推行工作联席会议制度，建立综合行政执法响应登记册，集中分析研判、合力解决问题，形成“1+4+X”的乡镇综合行政执法体系。</w:t>
      </w:r>
      <w:r>
        <w:rPr>
          <w:rFonts w:hint="eastAsia" w:ascii="仿宋_GB2312" w:hAnsi="仿宋_GB2312" w:eastAsia="仿宋_GB2312" w:cs="仿宋_GB2312"/>
          <w:spacing w:val="0"/>
          <w:w w:val="100"/>
          <w:kern w:val="0"/>
          <w:sz w:val="32"/>
          <w:szCs w:val="32"/>
          <w:lang w:val="en-US" w:eastAsia="zh-CN"/>
        </w:rPr>
        <w:t>四是</w:t>
      </w:r>
      <w:r>
        <w:rPr>
          <w:rFonts w:hint="eastAsia" w:ascii="仿宋_GB2312" w:hAnsi="仿宋_GB2312" w:eastAsia="仿宋_GB2312" w:cs="仿宋_GB2312"/>
          <w:b w:val="0"/>
          <w:bCs w:val="0"/>
          <w:color w:val="000000"/>
          <w:spacing w:val="0"/>
          <w:kern w:val="0"/>
          <w:sz w:val="32"/>
          <w:szCs w:val="32"/>
          <w:u w:val="none"/>
          <w:lang w:val="en-US" w:eastAsia="zh-CN"/>
        </w:rPr>
        <w:t>探索乡镇扁平管理体系。选取中子镇、羊木镇、云雾山镇作为试点，整合职能、搭建模块，将乡镇内设机构科学归类划分7个运行模块，创新推行“2办1所4中心”（即：党政综合办、综合行政执法办、财政所、经济发展中心、社会事务中心、基层治理中心、便民服务中心）模块化的机构编制“扁平化”管理机制。坚持模块定岗、岗位定责，实行“一人多岗、统一调配、动人不动编”，统筹调配相关人员到各岗位开展工作，确保任务到岗、责任到人。</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val="0"/>
          <w:bCs w:val="0"/>
          <w:spacing w:val="0"/>
          <w:kern w:val="0"/>
          <w:sz w:val="32"/>
          <w:szCs w:val="32"/>
          <w:lang w:val="en-US" w:eastAsia="zh-CN" w:bidi="ar-SA"/>
        </w:rPr>
      </w:pPr>
      <w:r>
        <w:rPr>
          <w:rFonts w:hint="eastAsia" w:ascii="仿宋_GB2312" w:hAnsi="仿宋_GB2312" w:eastAsia="仿宋_GB2312" w:cs="仿宋_GB2312"/>
          <w:b/>
          <w:bCs/>
          <w:spacing w:val="0"/>
          <w:kern w:val="0"/>
          <w:sz w:val="32"/>
          <w:szCs w:val="32"/>
          <w:lang w:val="en-US" w:eastAsia="zh-CN"/>
        </w:rPr>
        <w:t>3.坚持“四个深化”，提高机构编制使用效益。</w:t>
      </w:r>
      <w:r>
        <w:rPr>
          <w:rFonts w:hint="eastAsia" w:ascii="仿宋_GB2312" w:hAnsi="仿宋_GB2312" w:eastAsia="仿宋_GB2312" w:cs="仿宋_GB2312"/>
          <w:spacing w:val="0"/>
          <w:w w:val="100"/>
          <w:kern w:val="0"/>
          <w:sz w:val="32"/>
          <w:szCs w:val="32"/>
          <w:lang w:val="en-US" w:eastAsia="zh-CN"/>
        </w:rPr>
        <w:t>一是</w:t>
      </w:r>
      <w:r>
        <w:rPr>
          <w:rFonts w:hint="eastAsia" w:ascii="仿宋_GB2312" w:hAnsi="仿宋_GB2312" w:eastAsia="仿宋_GB2312" w:cs="仿宋_GB2312"/>
          <w:spacing w:val="0"/>
          <w:kern w:val="0"/>
          <w:sz w:val="32"/>
          <w:szCs w:val="32"/>
          <w:lang w:val="en-US" w:eastAsia="zh-CN"/>
        </w:rPr>
        <w:t>深化事业单位改革。</w:t>
      </w:r>
      <w:r>
        <w:rPr>
          <w:rFonts w:hint="eastAsia" w:ascii="仿宋_GB2312" w:hAnsi="仿宋_GB2312" w:eastAsia="仿宋_GB2312" w:cs="仿宋_GB2312"/>
          <w:spacing w:val="0"/>
          <w:kern w:val="0"/>
          <w:sz w:val="32"/>
          <w:szCs w:val="32"/>
        </w:rPr>
        <w:t>加大</w:t>
      </w:r>
      <w:r>
        <w:rPr>
          <w:rFonts w:hint="eastAsia" w:ascii="仿宋_GB2312" w:hAnsi="仿宋_GB2312" w:eastAsia="仿宋_GB2312" w:cs="仿宋_GB2312"/>
          <w:spacing w:val="0"/>
          <w:kern w:val="0"/>
          <w:sz w:val="32"/>
          <w:szCs w:val="32"/>
          <w:lang w:eastAsia="zh-CN"/>
        </w:rPr>
        <w:t>对</w:t>
      </w:r>
      <w:r>
        <w:rPr>
          <w:rFonts w:hint="eastAsia" w:ascii="仿宋_GB2312" w:hAnsi="仿宋_GB2312" w:eastAsia="仿宋_GB2312" w:cs="仿宋_GB2312"/>
          <w:spacing w:val="0"/>
          <w:kern w:val="0"/>
          <w:sz w:val="32"/>
          <w:szCs w:val="32"/>
        </w:rPr>
        <w:t>“小散弱”事业单位撤并和职责相同相近事业单位整合力度</w:t>
      </w:r>
      <w:r>
        <w:rPr>
          <w:rFonts w:hint="eastAsia" w:ascii="仿宋_GB2312" w:hAnsi="仿宋_GB2312" w:eastAsia="仿宋_GB2312" w:cs="仿宋_GB2312"/>
          <w:spacing w:val="0"/>
          <w:kern w:val="0"/>
          <w:sz w:val="32"/>
          <w:szCs w:val="32"/>
          <w:lang w:eastAsia="zh-CN"/>
        </w:rPr>
        <w:t>，优化调整设立</w:t>
      </w:r>
      <w:r>
        <w:rPr>
          <w:rFonts w:hint="eastAsia" w:ascii="仿宋_GB2312" w:hAnsi="仿宋_GB2312" w:eastAsia="仿宋_GB2312" w:cs="仿宋_GB2312"/>
          <w:spacing w:val="0"/>
          <w:kern w:val="0"/>
          <w:sz w:val="32"/>
          <w:szCs w:val="32"/>
          <w:lang w:val="en-US" w:eastAsia="zh-CN"/>
        </w:rPr>
        <w:t>事业单位3个</w:t>
      </w:r>
      <w:r>
        <w:rPr>
          <w:rFonts w:hint="eastAsia" w:ascii="仿宋_GB2312" w:hAnsi="仿宋_GB2312" w:eastAsia="仿宋_GB2312" w:cs="仿宋_GB2312"/>
          <w:spacing w:val="0"/>
          <w:kern w:val="0"/>
          <w:sz w:val="32"/>
          <w:szCs w:val="32"/>
        </w:rPr>
        <w:t>，</w:t>
      </w:r>
      <w:r>
        <w:rPr>
          <w:rFonts w:hint="eastAsia" w:ascii="仿宋_GB2312" w:hAnsi="仿宋_GB2312" w:eastAsia="仿宋_GB2312" w:cs="仿宋_GB2312"/>
          <w:spacing w:val="0"/>
          <w:kern w:val="0"/>
          <w:sz w:val="32"/>
          <w:szCs w:val="32"/>
          <w:lang w:eastAsia="zh-CN"/>
        </w:rPr>
        <w:t>逐步</w:t>
      </w:r>
      <w:r>
        <w:rPr>
          <w:rFonts w:hint="eastAsia" w:ascii="仿宋_GB2312" w:hAnsi="仿宋_GB2312" w:eastAsia="仿宋_GB2312" w:cs="仿宋_GB2312"/>
          <w:spacing w:val="0"/>
          <w:kern w:val="0"/>
          <w:sz w:val="32"/>
          <w:szCs w:val="32"/>
        </w:rPr>
        <w:t>完善事业单位“三定”规定。</w:t>
      </w:r>
      <w:r>
        <w:rPr>
          <w:rFonts w:hint="eastAsia" w:ascii="仿宋_GB2312" w:hAnsi="仿宋_GB2312" w:eastAsia="仿宋_GB2312" w:cs="仿宋_GB2312"/>
          <w:spacing w:val="0"/>
          <w:w w:val="100"/>
          <w:kern w:val="0"/>
          <w:sz w:val="32"/>
          <w:szCs w:val="32"/>
          <w:lang w:val="en-US" w:eastAsia="zh-CN"/>
        </w:rPr>
        <w:t>二是</w:t>
      </w:r>
      <w:r>
        <w:rPr>
          <w:rFonts w:hint="eastAsia" w:ascii="仿宋_GB2312" w:hAnsi="仿宋_GB2312" w:eastAsia="仿宋_GB2312" w:cs="仿宋_GB2312"/>
          <w:spacing w:val="0"/>
          <w:kern w:val="0"/>
          <w:sz w:val="32"/>
          <w:szCs w:val="32"/>
          <w:lang w:val="en-US" w:eastAsia="zh-CN"/>
        </w:rPr>
        <w:t>深化“岗编适度分离”新机制。印发《关于在部分行业实行岗位与编制适度分离管理办法（试行）》，引导人财物等资源向基层和一线倾斜，深入</w:t>
      </w:r>
      <w:r>
        <w:rPr>
          <w:rFonts w:hint="eastAsia" w:ascii="仿宋_GB2312" w:hAnsi="仿宋_GB2312" w:eastAsia="仿宋_GB2312" w:cs="仿宋_GB2312"/>
          <w:b w:val="0"/>
          <w:bCs w:val="0"/>
          <w:color w:val="auto"/>
          <w:spacing w:val="0"/>
          <w:kern w:val="0"/>
          <w:sz w:val="32"/>
          <w:szCs w:val="32"/>
          <w:lang w:val="en-US" w:eastAsia="zh-CN"/>
        </w:rPr>
        <w:t>推进教师“三管三聘”模式，提高教育行业编制使用效益；组建“1+2+5+N”医疗健康集团，各成员单位原有编制保持不变，优化整合了全区医疗资源。</w:t>
      </w:r>
      <w:r>
        <w:rPr>
          <w:rFonts w:hint="eastAsia" w:ascii="仿宋_GB2312" w:hAnsi="仿宋_GB2312" w:eastAsia="仿宋_GB2312" w:cs="仿宋_GB2312"/>
          <w:spacing w:val="0"/>
          <w:w w:val="100"/>
          <w:kern w:val="0"/>
          <w:sz w:val="32"/>
          <w:szCs w:val="32"/>
          <w:lang w:val="en-US" w:eastAsia="zh-CN"/>
        </w:rPr>
        <w:t>三是</w:t>
      </w:r>
      <w:r>
        <w:rPr>
          <w:rFonts w:hint="eastAsia" w:ascii="仿宋_GB2312" w:hAnsi="Times New Roman" w:eastAsia="仿宋_GB2312" w:cs="Times New Roman"/>
          <w:spacing w:val="0"/>
          <w:kern w:val="0"/>
          <w:sz w:val="32"/>
          <w:szCs w:val="32"/>
          <w:lang w:val="en-US" w:eastAsia="zh-CN"/>
        </w:rPr>
        <w:t>深化事业单位登记管理。</w:t>
      </w:r>
      <w:r>
        <w:rPr>
          <w:rFonts w:hint="eastAsia" w:ascii="仿宋_GB2312" w:hAnsi="仿宋_GB2312" w:eastAsia="仿宋_GB2312" w:cs="仿宋_GB2312"/>
          <w:b w:val="0"/>
          <w:bCs w:val="0"/>
          <w:color w:val="auto"/>
          <w:spacing w:val="0"/>
          <w:kern w:val="0"/>
          <w:sz w:val="32"/>
          <w:szCs w:val="32"/>
          <w:lang w:val="en-US" w:eastAsia="zh-CN"/>
        </w:rPr>
        <w:t>办理事业单位设立、变更、注销、证书换领等事项80项，办理机关群众团体统一社会信用代码赋码颁证等事项47项；</w:t>
      </w:r>
      <w:r>
        <w:rPr>
          <w:rFonts w:hint="eastAsia" w:ascii="仿宋_GB2312" w:hAnsi="仿宋_GB2312" w:eastAsia="仿宋_GB2312" w:cs="仿宋_GB2312"/>
          <w:color w:val="000000"/>
          <w:spacing w:val="0"/>
          <w:w w:val="100"/>
          <w:kern w:val="0"/>
          <w:sz w:val="32"/>
          <w:szCs w:val="32"/>
          <w:lang w:val="en-US" w:eastAsia="zh-CN"/>
        </w:rPr>
        <w:t>全面完成2020年度事业单位法人年度报告公示，</w:t>
      </w:r>
      <w:r>
        <w:rPr>
          <w:rFonts w:hint="eastAsia" w:ascii="仿宋_GB2312" w:hAnsi="仿宋_GB2312" w:eastAsia="仿宋_GB2312" w:cs="仿宋_GB2312"/>
          <w:spacing w:val="0"/>
          <w:kern w:val="0"/>
          <w:sz w:val="32"/>
          <w:szCs w:val="32"/>
        </w:rPr>
        <w:t>全区</w:t>
      </w:r>
      <w:r>
        <w:rPr>
          <w:rFonts w:hint="eastAsia" w:ascii="仿宋_GB2312" w:hAnsi="仿宋_GB2312" w:eastAsia="仿宋_GB2312" w:cs="仿宋_GB2312"/>
          <w:spacing w:val="0"/>
          <w:kern w:val="0"/>
          <w:sz w:val="32"/>
          <w:szCs w:val="32"/>
          <w:lang w:val="en-US" w:eastAsia="zh-CN"/>
        </w:rPr>
        <w:t>147</w:t>
      </w:r>
      <w:r>
        <w:rPr>
          <w:rFonts w:hint="eastAsia" w:ascii="仿宋_GB2312" w:hAnsi="仿宋_GB2312" w:eastAsia="仿宋_GB2312" w:cs="仿宋_GB2312"/>
          <w:spacing w:val="0"/>
          <w:kern w:val="0"/>
          <w:sz w:val="32"/>
          <w:szCs w:val="32"/>
        </w:rPr>
        <w:t>个事业单位</w:t>
      </w:r>
      <w:r>
        <w:rPr>
          <w:rFonts w:hint="eastAsia" w:ascii="仿宋_GB2312" w:hAnsi="仿宋_GB2312" w:eastAsia="仿宋_GB2312" w:cs="仿宋_GB2312"/>
          <w:spacing w:val="0"/>
          <w:kern w:val="0"/>
          <w:sz w:val="32"/>
          <w:szCs w:val="32"/>
          <w:lang w:eastAsia="zh-CN"/>
        </w:rPr>
        <w:t>完成</w:t>
      </w:r>
      <w:r>
        <w:rPr>
          <w:rFonts w:hint="eastAsia" w:ascii="仿宋_GB2312" w:hAnsi="仿宋_GB2312" w:eastAsia="仿宋_GB2312" w:cs="仿宋_GB2312"/>
          <w:spacing w:val="0"/>
          <w:kern w:val="0"/>
          <w:sz w:val="32"/>
          <w:szCs w:val="32"/>
        </w:rPr>
        <w:t>报告</w:t>
      </w:r>
      <w:r>
        <w:rPr>
          <w:rFonts w:hint="eastAsia" w:ascii="仿宋_GB2312" w:hAnsi="仿宋_GB2312" w:eastAsia="仿宋_GB2312" w:cs="仿宋_GB2312"/>
          <w:spacing w:val="0"/>
          <w:kern w:val="0"/>
          <w:sz w:val="32"/>
          <w:szCs w:val="32"/>
          <w:lang w:eastAsia="zh-CN"/>
        </w:rPr>
        <w:t>公示工作</w:t>
      </w:r>
      <w:r>
        <w:rPr>
          <w:rFonts w:hint="eastAsia" w:ascii="仿宋_GB2312" w:hAnsi="仿宋_GB2312" w:eastAsia="仿宋_GB2312" w:cs="仿宋_GB2312"/>
          <w:spacing w:val="0"/>
          <w:kern w:val="0"/>
          <w:sz w:val="32"/>
          <w:szCs w:val="32"/>
        </w:rPr>
        <w:t>，年度报告报送率、公示率实现100%</w:t>
      </w:r>
      <w:r>
        <w:rPr>
          <w:rFonts w:hint="eastAsia" w:ascii="仿宋_GB2312" w:hAnsi="仿宋_GB2312" w:eastAsia="仿宋_GB2312" w:cs="仿宋_GB2312"/>
          <w:b/>
          <w:bCs/>
          <w:spacing w:val="0"/>
          <w:kern w:val="0"/>
          <w:sz w:val="32"/>
          <w:szCs w:val="32"/>
        </w:rPr>
        <w:t>。</w:t>
      </w:r>
      <w:r>
        <w:rPr>
          <w:rFonts w:hint="eastAsia" w:ascii="仿宋_GB2312" w:hAnsi="仿宋_GB2312" w:eastAsia="仿宋_GB2312" w:cs="仿宋_GB2312"/>
          <w:spacing w:val="0"/>
          <w:w w:val="100"/>
          <w:kern w:val="0"/>
          <w:sz w:val="32"/>
          <w:szCs w:val="32"/>
          <w:lang w:val="en-US" w:eastAsia="zh-CN"/>
        </w:rPr>
        <w:t>四是</w:t>
      </w:r>
      <w:r>
        <w:rPr>
          <w:rFonts w:hint="eastAsia" w:ascii="仿宋_GB2312" w:hAnsi="仿宋_GB2312" w:eastAsia="仿宋_GB2312" w:cs="仿宋_GB2312"/>
          <w:color w:val="000000"/>
          <w:spacing w:val="0"/>
          <w:w w:val="100"/>
          <w:kern w:val="0"/>
          <w:sz w:val="32"/>
          <w:szCs w:val="32"/>
          <w:lang w:val="en-US" w:eastAsia="zh-CN"/>
        </w:rPr>
        <w:t>深化</w:t>
      </w:r>
      <w:r>
        <w:rPr>
          <w:rFonts w:hint="eastAsia" w:ascii="仿宋_GB2312" w:hAnsi="仿宋_GB2312" w:eastAsia="仿宋_GB2312" w:cs="仿宋_GB2312"/>
          <w:color w:val="000000"/>
          <w:spacing w:val="0"/>
          <w:w w:val="100"/>
          <w:kern w:val="0"/>
          <w:sz w:val="32"/>
          <w:szCs w:val="32"/>
        </w:rPr>
        <w:t>机构编制实名制管理</w:t>
      </w:r>
      <w:r>
        <w:rPr>
          <w:rFonts w:hint="eastAsia" w:ascii="仿宋_GB2312" w:hAnsi="仿宋_GB2312" w:eastAsia="仿宋_GB2312" w:cs="仿宋_GB2312"/>
          <w:color w:val="000000"/>
          <w:spacing w:val="0"/>
          <w:w w:val="100"/>
          <w:kern w:val="0"/>
          <w:sz w:val="32"/>
          <w:szCs w:val="32"/>
          <w:lang w:eastAsia="zh-CN"/>
        </w:rPr>
        <w:t>。</w:t>
      </w:r>
      <w:r>
        <w:rPr>
          <w:rFonts w:hint="eastAsia" w:ascii="仿宋_GB2312" w:hAnsi="仿宋_GB2312" w:eastAsia="仿宋_GB2312" w:cs="仿宋_GB2312"/>
          <w:sz w:val="32"/>
          <w:szCs w:val="32"/>
          <w:lang w:eastAsia="zh-CN"/>
        </w:rPr>
        <w:t>时时</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编制使用情况</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监控</w:t>
      </w:r>
      <w:r>
        <w:rPr>
          <w:rFonts w:hint="eastAsia" w:ascii="仿宋_GB2312" w:hAnsi="仿宋_GB2312" w:eastAsia="仿宋_GB2312" w:cs="仿宋_GB2312"/>
          <w:sz w:val="32"/>
          <w:szCs w:val="32"/>
          <w:lang w:eastAsia="zh-CN"/>
        </w:rPr>
        <w:t>，全年办理</w:t>
      </w:r>
      <w:r>
        <w:rPr>
          <w:rFonts w:hint="eastAsia" w:ascii="仿宋_GB2312" w:hAnsi="仿宋_GB2312" w:eastAsia="仿宋_GB2312" w:cs="仿宋_GB2312"/>
          <w:sz w:val="32"/>
          <w:szCs w:val="32"/>
        </w:rPr>
        <w:t>上下编手续</w:t>
      </w:r>
      <w:r>
        <w:rPr>
          <w:rFonts w:hint="eastAsia" w:ascii="仿宋_GB2312" w:hAnsi="仿宋_GB2312" w:eastAsia="仿宋_GB2312" w:cs="仿宋_GB2312"/>
          <w:sz w:val="32"/>
          <w:szCs w:val="32"/>
          <w:lang w:val="en-US" w:eastAsia="zh-CN"/>
        </w:rPr>
        <w:t>660</w:t>
      </w:r>
      <w:r>
        <w:rPr>
          <w:rFonts w:hint="eastAsia" w:ascii="仿宋_GB2312" w:hAnsi="仿宋_GB2312" w:eastAsia="仿宋_GB2312" w:cs="仿宋_GB2312"/>
          <w:sz w:val="32"/>
          <w:szCs w:val="32"/>
        </w:rPr>
        <w:t>余人次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pacing w:val="0"/>
          <w:kern w:val="0"/>
          <w:sz w:val="32"/>
          <w:szCs w:val="32"/>
          <w:lang w:eastAsia="zh-CN" w:bidi="ar-SA"/>
        </w:rPr>
        <w:t>全面完成第二次全区机构编制核查暨统计工作，组建工作专班，印发专项实施方案，分层分类对全区</w:t>
      </w:r>
      <w:r>
        <w:rPr>
          <w:rFonts w:hint="eastAsia" w:ascii="仿宋_GB2312" w:eastAsia="仿宋_GB2312" w:cs="仿宋_GB2312"/>
          <w:b w:val="0"/>
          <w:bCs w:val="0"/>
          <w:spacing w:val="0"/>
          <w:kern w:val="0"/>
          <w:sz w:val="32"/>
          <w:szCs w:val="32"/>
          <w:lang w:val="en-US" w:eastAsia="zh-CN"/>
        </w:rPr>
        <w:t>351家单位</w:t>
      </w:r>
      <w:r>
        <w:rPr>
          <w:rFonts w:hint="eastAsia" w:ascii="仿宋_GB2312" w:hAnsi="仿宋_GB2312" w:eastAsia="仿宋_GB2312" w:cs="仿宋_GB2312"/>
          <w:b w:val="0"/>
          <w:bCs w:val="0"/>
          <w:spacing w:val="0"/>
          <w:kern w:val="0"/>
          <w:sz w:val="32"/>
          <w:szCs w:val="32"/>
          <w:lang w:eastAsia="zh-CN" w:bidi="ar-SA"/>
        </w:rPr>
        <w:t>开展专题培训</w:t>
      </w:r>
      <w:r>
        <w:rPr>
          <w:rFonts w:hint="eastAsia" w:ascii="仿宋_GB2312" w:hAnsi="仿宋_GB2312" w:eastAsia="仿宋_GB2312" w:cs="仿宋_GB2312"/>
          <w:b w:val="0"/>
          <w:bCs w:val="0"/>
          <w:spacing w:val="0"/>
          <w:kern w:val="0"/>
          <w:sz w:val="32"/>
          <w:szCs w:val="32"/>
          <w:lang w:val="en-US" w:eastAsia="zh-CN" w:bidi="ar-SA"/>
        </w:rPr>
        <w:t>30余场次，</w:t>
      </w:r>
      <w:r>
        <w:rPr>
          <w:rFonts w:hint="eastAsia" w:ascii="仿宋_GB2312" w:hAnsi="仿宋_GB2312" w:eastAsia="仿宋_GB2312" w:cs="仿宋_GB2312"/>
          <w:b w:val="0"/>
          <w:bCs w:val="0"/>
          <w:spacing w:val="0"/>
          <w:kern w:val="0"/>
          <w:sz w:val="32"/>
          <w:szCs w:val="32"/>
          <w:lang w:eastAsia="zh-CN" w:bidi="ar-SA"/>
        </w:rPr>
        <w:t>印发专题培训资料</w:t>
      </w:r>
      <w:r>
        <w:rPr>
          <w:rFonts w:hint="eastAsia" w:ascii="仿宋_GB2312" w:hAnsi="仿宋_GB2312" w:eastAsia="仿宋_GB2312" w:cs="仿宋_GB2312"/>
          <w:b w:val="0"/>
          <w:bCs w:val="0"/>
          <w:spacing w:val="0"/>
          <w:kern w:val="0"/>
          <w:sz w:val="32"/>
          <w:szCs w:val="32"/>
          <w:lang w:val="en-US" w:eastAsia="zh-CN" w:bidi="ar-SA"/>
        </w:rPr>
        <w:t>500余册，</w:t>
      </w:r>
      <w:r>
        <w:rPr>
          <w:rFonts w:hint="eastAsia" w:ascii="仿宋_GB2312" w:hAnsi="仿宋_GB2312" w:eastAsia="仿宋_GB2312" w:cs="仿宋_GB2312"/>
          <w:color w:val="000000"/>
          <w:kern w:val="0"/>
          <w:sz w:val="32"/>
          <w:szCs w:val="32"/>
          <w:lang w:eastAsia="zh-CN" w:bidi="ar"/>
        </w:rPr>
        <w:t>各单位据实修改</w:t>
      </w:r>
      <w:r>
        <w:rPr>
          <w:rFonts w:hint="eastAsia" w:ascii="仿宋_GB2312" w:hAnsi="仿宋_GB2312" w:eastAsia="仿宋_GB2312" w:cs="仿宋_GB2312"/>
          <w:color w:val="000000"/>
          <w:kern w:val="0"/>
          <w:sz w:val="32"/>
          <w:szCs w:val="32"/>
          <w:lang w:bidi="ar"/>
        </w:rPr>
        <w:t>更新</w:t>
      </w:r>
      <w:r>
        <w:rPr>
          <w:rFonts w:hint="eastAsia" w:ascii="仿宋_GB2312" w:hAnsi="仿宋_GB2312" w:eastAsia="仿宋_GB2312" w:cs="仿宋_GB2312"/>
          <w:color w:val="000000"/>
          <w:kern w:val="0"/>
          <w:sz w:val="32"/>
          <w:szCs w:val="32"/>
          <w:lang w:eastAsia="zh-CN" w:bidi="ar"/>
        </w:rPr>
        <w:t>机构编制系统信息</w:t>
      </w:r>
      <w:r>
        <w:rPr>
          <w:rFonts w:hint="eastAsia" w:ascii="仿宋_GB2312" w:hAnsi="仿宋_GB2312" w:eastAsia="仿宋_GB2312" w:cs="仿宋_GB2312"/>
          <w:color w:val="000000"/>
          <w:kern w:val="0"/>
          <w:sz w:val="32"/>
          <w:szCs w:val="32"/>
          <w:lang w:bidi="ar"/>
        </w:rPr>
        <w:t>累计达</w:t>
      </w:r>
      <w:r>
        <w:rPr>
          <w:rFonts w:hint="eastAsia" w:ascii="仿宋_GB2312" w:hAnsi="仿宋_GB2312" w:eastAsia="仿宋_GB2312" w:cs="仿宋_GB2312"/>
          <w:color w:val="000000"/>
          <w:kern w:val="0"/>
          <w:sz w:val="32"/>
          <w:szCs w:val="32"/>
          <w:lang w:val="en-US" w:eastAsia="zh-CN" w:bidi="ar"/>
        </w:rPr>
        <w:t>63</w:t>
      </w:r>
      <w:r>
        <w:rPr>
          <w:rFonts w:hint="eastAsia" w:ascii="仿宋_GB2312" w:hAnsi="仿宋_GB2312" w:eastAsia="仿宋_GB2312" w:cs="仿宋_GB2312"/>
          <w:color w:val="000000"/>
          <w:kern w:val="0"/>
          <w:sz w:val="32"/>
          <w:szCs w:val="32"/>
          <w:lang w:bidi="ar"/>
        </w:rPr>
        <w:t>00余条</w:t>
      </w:r>
      <w:r>
        <w:rPr>
          <w:rFonts w:hint="eastAsia" w:ascii="仿宋_GB2312" w:hAnsi="仿宋_GB2312" w:eastAsia="仿宋_GB2312" w:cs="仿宋_GB2312"/>
          <w:color w:val="000000"/>
          <w:kern w:val="0"/>
          <w:sz w:val="32"/>
          <w:szCs w:val="32"/>
          <w:lang w:eastAsia="zh-CN" w:bidi="ar"/>
        </w:rPr>
        <w:t>，现场核查</w:t>
      </w:r>
      <w:r>
        <w:rPr>
          <w:rFonts w:hint="eastAsia" w:ascii="仿宋_GB2312" w:hAnsi="仿宋_GB2312" w:eastAsia="仿宋_GB2312" w:cs="仿宋_GB2312"/>
          <w:b w:val="0"/>
          <w:bCs w:val="0"/>
          <w:sz w:val="32"/>
          <w:szCs w:val="32"/>
          <w:lang w:val="en-US" w:eastAsia="zh-CN" w:bidi="ar-SA"/>
        </w:rPr>
        <w:t>单位107家，并反馈督促整改问题200余个</w:t>
      </w:r>
      <w:r>
        <w:rPr>
          <w:rFonts w:hint="eastAsia" w:ascii="仿宋_GB2312" w:eastAsia="仿宋_GB2312"/>
          <w:sz w:val="32"/>
          <w:szCs w:val="32"/>
          <w:lang w:eastAsia="zh-CN"/>
        </w:rPr>
        <w:t>，</w:t>
      </w:r>
      <w:r>
        <w:rPr>
          <w:rFonts w:hint="eastAsia" w:ascii="仿宋_GB2312" w:hAnsi="仿宋_GB2312" w:eastAsia="仿宋_GB2312" w:cs="仿宋_GB2312"/>
          <w:b w:val="0"/>
          <w:bCs w:val="0"/>
          <w:spacing w:val="0"/>
          <w:kern w:val="0"/>
          <w:sz w:val="32"/>
          <w:szCs w:val="32"/>
          <w:lang w:eastAsia="zh-CN" w:bidi="ar-SA"/>
        </w:rPr>
        <w:t>有效推进了</w:t>
      </w:r>
      <w:r>
        <w:rPr>
          <w:rFonts w:hint="default" w:ascii="仿宋_GB2312" w:hAnsi="仿宋_GB2312" w:eastAsia="仿宋_GB2312" w:cs="仿宋_GB2312"/>
          <w:b w:val="0"/>
          <w:bCs w:val="0"/>
          <w:spacing w:val="0"/>
          <w:kern w:val="0"/>
          <w:sz w:val="32"/>
          <w:szCs w:val="32"/>
          <w:lang w:eastAsia="zh-CN" w:bidi="ar-SA"/>
        </w:rPr>
        <w:t>“机构清、编制清、领导职数清、实有人员清”</w:t>
      </w:r>
      <w:r>
        <w:rPr>
          <w:rFonts w:hint="eastAsia" w:ascii="仿宋_GB2312" w:hAnsi="仿宋_GB2312" w:eastAsia="仿宋_GB2312" w:cs="仿宋_GB2312"/>
          <w:b w:val="0"/>
          <w:bCs w:val="0"/>
          <w:spacing w:val="0"/>
          <w:kern w:val="0"/>
          <w:sz w:val="32"/>
          <w:szCs w:val="32"/>
          <w:lang w:val="en-US" w:eastAsia="zh-CN" w:bidi="ar-SA"/>
        </w:rPr>
        <w:t>。</w:t>
      </w:r>
    </w:p>
    <w:p>
      <w:pPr>
        <w:pStyle w:val="7"/>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2" w:firstLineChars="200"/>
        <w:jc w:val="both"/>
        <w:textAlignment w:val="auto"/>
        <w:rPr>
          <w:rFonts w:hint="eastAsia" w:ascii="仿宋_GB2312" w:hAnsi="仿宋_GB2312" w:eastAsia="仿宋_GB2312" w:cs="仿宋_GB2312"/>
          <w:color w:val="000000"/>
          <w:spacing w:val="0"/>
          <w:kern w:val="0"/>
          <w:sz w:val="32"/>
          <w:szCs w:val="32"/>
          <w:lang w:eastAsia="zh-CN"/>
        </w:rPr>
      </w:pPr>
      <w:r>
        <w:rPr>
          <w:rFonts w:hint="eastAsia" w:ascii="仿宋_GB2312" w:hAnsi="仿宋_GB2312" w:eastAsia="仿宋_GB2312" w:cs="仿宋_GB2312"/>
          <w:b/>
          <w:bCs/>
          <w:spacing w:val="0"/>
          <w:kern w:val="0"/>
          <w:sz w:val="32"/>
          <w:szCs w:val="32"/>
          <w:lang w:val="en-US" w:eastAsia="zh-CN" w:bidi="ar-SA"/>
        </w:rPr>
        <w:t>4.实施“四大行动”，锻造全面过硬队伍。</w:t>
      </w:r>
      <w:r>
        <w:rPr>
          <w:rFonts w:hint="eastAsia" w:ascii="仿宋_GB2312" w:hAnsi="仿宋_GB2312" w:eastAsia="仿宋_GB2312" w:cs="仿宋_GB2312"/>
          <w:spacing w:val="0"/>
          <w:w w:val="100"/>
          <w:kern w:val="0"/>
          <w:sz w:val="32"/>
          <w:szCs w:val="32"/>
          <w:lang w:val="en-US" w:eastAsia="zh-CN" w:bidi="ar-SA"/>
        </w:rPr>
        <w:t>一是</w:t>
      </w:r>
      <w:r>
        <w:rPr>
          <w:rFonts w:hint="eastAsia" w:ascii="仿宋_GB2312" w:eastAsia="仿宋_GB2312" w:cs="Times New Roman"/>
          <w:spacing w:val="0"/>
          <w:kern w:val="0"/>
          <w:sz w:val="32"/>
          <w:szCs w:val="32"/>
          <w:lang w:eastAsia="zh-CN"/>
        </w:rPr>
        <w:t>大力实施“党建引领”行动。严格落实全面从严治党责任，抓实抓细党支部建设、意识形态领域及网络意识形态工作，</w:t>
      </w:r>
      <w:r>
        <w:rPr>
          <w:rFonts w:hint="eastAsia" w:ascii="仿宋_GB2312" w:hAnsi="仿宋_GB2312" w:eastAsia="仿宋_GB2312" w:cs="仿宋_GB2312"/>
          <w:b w:val="0"/>
          <w:bCs w:val="0"/>
          <w:color w:val="000000"/>
          <w:spacing w:val="0"/>
          <w:kern w:val="0"/>
          <w:sz w:val="32"/>
          <w:szCs w:val="32"/>
          <w:u w:val="none"/>
          <w:lang w:val="en-US" w:eastAsia="zh-CN"/>
        </w:rPr>
        <w:t>结合党史学习教育，召开理论学习中心组会议9次、“三会一课”12场次，扎实开展庆祝中国共产党成立100周年、</w:t>
      </w:r>
      <w:r>
        <w:rPr>
          <w:rFonts w:hint="eastAsia" w:ascii="仿宋_GB2312" w:eastAsia="仿宋_GB2312"/>
          <w:spacing w:val="0"/>
          <w:kern w:val="0"/>
          <w:sz w:val="32"/>
          <w:szCs w:val="32"/>
          <w:lang w:eastAsia="zh-CN"/>
        </w:rPr>
        <w:t>“红色星期五”主题党日、党员志愿服务等活动</w:t>
      </w:r>
      <w:r>
        <w:rPr>
          <w:rFonts w:hint="eastAsia" w:ascii="仿宋_GB2312" w:eastAsia="仿宋_GB2312"/>
          <w:spacing w:val="0"/>
          <w:kern w:val="0"/>
          <w:sz w:val="32"/>
          <w:szCs w:val="32"/>
          <w:lang w:val="en-US" w:eastAsia="zh-CN"/>
        </w:rPr>
        <w:t>20余场次</w:t>
      </w:r>
      <w:r>
        <w:rPr>
          <w:rFonts w:hint="eastAsia" w:ascii="仿宋_GB2312" w:eastAsia="仿宋_GB2312"/>
          <w:spacing w:val="0"/>
          <w:kern w:val="0"/>
          <w:sz w:val="32"/>
          <w:szCs w:val="32"/>
          <w:lang w:eastAsia="zh-CN"/>
        </w:rPr>
        <w:t>，</w:t>
      </w:r>
      <w:r>
        <w:rPr>
          <w:rFonts w:hint="eastAsia" w:ascii="仿宋_GB2312" w:eastAsia="仿宋_GB2312" w:cs="Times New Roman"/>
          <w:spacing w:val="0"/>
          <w:kern w:val="0"/>
          <w:sz w:val="32"/>
          <w:szCs w:val="32"/>
          <w:lang w:eastAsia="zh-CN"/>
        </w:rPr>
        <w:t>深入学习党的十九届五中、六中全会精神以及省委、市委、区委全会精神，</w:t>
      </w:r>
      <w:r>
        <w:rPr>
          <w:rFonts w:hint="eastAsia" w:ascii="仿宋_GB2312" w:hAnsi="仿宋_GB2312" w:eastAsia="仿宋_GB2312" w:cs="仿宋_GB2312"/>
          <w:b w:val="0"/>
          <w:bCs w:val="0"/>
          <w:color w:val="000000"/>
          <w:spacing w:val="0"/>
          <w:kern w:val="0"/>
          <w:sz w:val="32"/>
          <w:szCs w:val="32"/>
          <w:u w:val="none"/>
          <w:lang w:val="en-US" w:eastAsia="zh-CN"/>
        </w:rPr>
        <w:t>引导党员干部提升政治判断力、政</w:t>
      </w:r>
      <w:r>
        <w:rPr>
          <w:rFonts w:hint="eastAsia" w:ascii="仿宋_GB2312" w:hAnsi="仿宋_GB2312" w:eastAsia="仿宋_GB2312" w:cs="仿宋_GB2312"/>
          <w:b w:val="0"/>
          <w:bCs w:val="0"/>
          <w:color w:val="000000"/>
          <w:spacing w:val="0"/>
          <w:kern w:val="0"/>
          <w:sz w:val="32"/>
          <w:szCs w:val="32"/>
          <w:u w:val="none"/>
          <w:lang w:eastAsia="zh-CN"/>
        </w:rPr>
        <w:t>治领悟力、政治执行力</w:t>
      </w:r>
      <w:r>
        <w:rPr>
          <w:rFonts w:hint="eastAsia" w:ascii="仿宋_GB2312" w:eastAsia="仿宋_GB2312" w:cs="Times New Roman"/>
          <w:spacing w:val="0"/>
          <w:kern w:val="0"/>
          <w:sz w:val="32"/>
          <w:szCs w:val="32"/>
          <w:lang w:eastAsia="zh-CN"/>
        </w:rPr>
        <w:t>。</w:t>
      </w:r>
      <w:r>
        <w:rPr>
          <w:rFonts w:hint="eastAsia" w:ascii="仿宋_GB2312" w:hAnsi="仿宋_GB2312" w:eastAsia="仿宋_GB2312" w:cs="仿宋_GB2312"/>
          <w:spacing w:val="0"/>
          <w:w w:val="100"/>
          <w:kern w:val="0"/>
          <w:sz w:val="32"/>
          <w:szCs w:val="32"/>
          <w:lang w:val="en-US" w:eastAsia="zh-CN" w:bidi="ar-SA"/>
        </w:rPr>
        <w:t>二是</w:t>
      </w:r>
      <w:r>
        <w:rPr>
          <w:rFonts w:hint="eastAsia" w:ascii="仿宋_GB2312" w:eastAsia="仿宋_GB2312"/>
          <w:b w:val="0"/>
          <w:bCs w:val="0"/>
          <w:color w:val="000000"/>
          <w:spacing w:val="0"/>
          <w:kern w:val="0"/>
          <w:sz w:val="32"/>
          <w:szCs w:val="32"/>
          <w:u w:val="none"/>
          <w:lang w:val="en-US" w:eastAsia="zh-CN"/>
        </w:rPr>
        <w:t>大力实施“乡村振兴”行动。</w:t>
      </w:r>
      <w:r>
        <w:rPr>
          <w:rFonts w:hint="eastAsia" w:ascii="Times New Roman" w:hAnsi="Times New Roman" w:eastAsia="仿宋_GB2312" w:cs="Times New Roman"/>
          <w:spacing w:val="0"/>
          <w:kern w:val="0"/>
          <w:sz w:val="32"/>
          <w:szCs w:val="32"/>
          <w:lang w:val="en-US" w:eastAsia="zh-CN"/>
        </w:rPr>
        <w:t>积极与省委编办对接定点帮扶红坪村工作，全办干部先后6批次到水磨沟镇红坪村开展走访座谈、调查研究，配合做好“红色文化”传承、基础设施建设、产业发展规划</w:t>
      </w:r>
      <w:r>
        <w:rPr>
          <w:rFonts w:hint="eastAsia" w:eastAsia="仿宋_GB2312" w:cs="Times New Roman"/>
          <w:spacing w:val="0"/>
          <w:kern w:val="0"/>
          <w:sz w:val="32"/>
          <w:szCs w:val="32"/>
          <w:lang w:val="en-US" w:eastAsia="zh-CN"/>
        </w:rPr>
        <w:t>等重点帮扶项目规划，规划资金13亿余元</w:t>
      </w:r>
      <w:r>
        <w:rPr>
          <w:rFonts w:hint="eastAsia" w:ascii="Times New Roman" w:hAnsi="Times New Roman" w:eastAsia="仿宋_GB2312" w:cs="Times New Roman"/>
          <w:spacing w:val="0"/>
          <w:kern w:val="0"/>
          <w:sz w:val="32"/>
          <w:szCs w:val="32"/>
          <w:lang w:val="en-US" w:eastAsia="zh-CN"/>
        </w:rPr>
        <w:t>。</w:t>
      </w:r>
      <w:r>
        <w:rPr>
          <w:rFonts w:hint="eastAsia" w:ascii="仿宋_GB2312" w:hAnsi="仿宋_GB2312" w:eastAsia="仿宋_GB2312" w:cs="仿宋_GB2312"/>
          <w:spacing w:val="0"/>
          <w:w w:val="100"/>
          <w:kern w:val="0"/>
          <w:sz w:val="32"/>
          <w:szCs w:val="32"/>
          <w:lang w:val="en-US" w:eastAsia="zh-CN" w:bidi="ar-SA"/>
        </w:rPr>
        <w:t>三是</w:t>
      </w:r>
      <w:r>
        <w:rPr>
          <w:rFonts w:hint="eastAsia" w:ascii="仿宋_GB2312" w:hAnsi="仿宋_GB2312" w:eastAsia="仿宋_GB2312" w:cs="仿宋_GB2312"/>
          <w:spacing w:val="0"/>
          <w:kern w:val="0"/>
          <w:sz w:val="32"/>
          <w:szCs w:val="32"/>
          <w:lang w:val="en-US" w:eastAsia="zh-CN"/>
        </w:rPr>
        <w:t>大力实施“全员提能”行动</w:t>
      </w:r>
      <w:r>
        <w:rPr>
          <w:rFonts w:hint="eastAsia" w:ascii="仿宋_GB2312" w:hAnsi="仿宋_GB2312" w:eastAsia="仿宋_GB2312" w:cs="仿宋_GB2312"/>
          <w:b w:val="0"/>
          <w:bCs w:val="0"/>
          <w:color w:val="000000"/>
          <w:spacing w:val="0"/>
          <w:kern w:val="0"/>
          <w:sz w:val="32"/>
          <w:szCs w:val="32"/>
          <w:u w:val="none"/>
          <w:lang w:val="en-US" w:eastAsia="zh-CN"/>
        </w:rPr>
        <w:t>。</w:t>
      </w:r>
      <w:r>
        <w:rPr>
          <w:rFonts w:hint="eastAsia" w:ascii="仿宋_GB2312" w:hAnsi="仿宋_GB2312" w:eastAsia="仿宋_GB2312" w:cs="仿宋_GB2312"/>
          <w:spacing w:val="0"/>
          <w:kern w:val="0"/>
          <w:sz w:val="32"/>
          <w:szCs w:val="32"/>
          <w:lang w:val="en-US" w:eastAsia="zh-CN"/>
        </w:rPr>
        <w:t>用好用活学习强国、“朝天机构编制讲堂”等平台，持续提升干部理论素养；</w:t>
      </w:r>
      <w:r>
        <w:rPr>
          <w:rFonts w:hint="eastAsia" w:ascii="仿宋_GB2312" w:hAnsi="仿宋_GB2312" w:eastAsia="仿宋_GB2312" w:cs="仿宋_GB2312"/>
          <w:spacing w:val="0"/>
          <w:kern w:val="0"/>
          <w:sz w:val="32"/>
          <w:szCs w:val="32"/>
          <w:lang w:eastAsia="zh-CN"/>
        </w:rPr>
        <w:t>组织干部到一线问需、问计、问策</w:t>
      </w:r>
      <w:r>
        <w:rPr>
          <w:rFonts w:hint="eastAsia" w:ascii="仿宋_GB2312" w:hAnsi="仿宋_GB2312" w:eastAsia="仿宋_GB2312" w:cs="仿宋_GB2312"/>
          <w:spacing w:val="0"/>
          <w:kern w:val="0"/>
          <w:sz w:val="32"/>
          <w:szCs w:val="32"/>
          <w:lang w:val="en-US" w:eastAsia="zh-CN"/>
        </w:rPr>
        <w:t>8批次，形成《关于建强乡镇“四大体</w:t>
      </w:r>
      <w:r>
        <w:rPr>
          <w:rFonts w:hint="eastAsia" w:ascii="仿宋_GB2312" w:hAnsi="仿宋_GB2312" w:eastAsia="仿宋_GB2312" w:cs="仿宋_GB2312"/>
          <w:color w:val="000000"/>
          <w:spacing w:val="0"/>
          <w:kern w:val="0"/>
          <w:sz w:val="32"/>
          <w:szCs w:val="32"/>
          <w:lang w:val="en-US" w:eastAsia="zh-CN"/>
        </w:rPr>
        <w:t>系”的思考》《</w:t>
      </w:r>
      <w:r>
        <w:rPr>
          <w:rFonts w:hint="default" w:ascii="仿宋_GB2312" w:hAnsi="仿宋_GB2312" w:eastAsia="仿宋_GB2312" w:cs="仿宋_GB2312"/>
          <w:color w:val="000000"/>
          <w:spacing w:val="0"/>
          <w:kern w:val="0"/>
          <w:sz w:val="32"/>
          <w:szCs w:val="32"/>
          <w:lang w:val="en-US" w:eastAsia="zh-CN"/>
        </w:rPr>
        <w:t>关于推进乡镇综合行政执法改革的实践与思考</w:t>
      </w:r>
      <w:r>
        <w:rPr>
          <w:rFonts w:hint="eastAsia" w:ascii="仿宋_GB2312" w:hAnsi="仿宋_GB2312" w:eastAsia="仿宋_GB2312" w:cs="仿宋_GB2312"/>
          <w:color w:val="000000"/>
          <w:spacing w:val="0"/>
          <w:kern w:val="0"/>
          <w:sz w:val="32"/>
          <w:szCs w:val="32"/>
          <w:lang w:val="en-US" w:eastAsia="zh-CN"/>
        </w:rPr>
        <w:t>》等4篇调研文章；大力推广经验成果，</w:t>
      </w:r>
      <w:r>
        <w:rPr>
          <w:rFonts w:hint="eastAsia" w:ascii="仿宋_GB2312" w:hAnsi="仿宋_GB2312" w:eastAsia="仿宋_GB2312" w:cs="仿宋_GB2312"/>
          <w:color w:val="000000"/>
          <w:spacing w:val="0"/>
          <w:kern w:val="0"/>
          <w:sz w:val="32"/>
          <w:szCs w:val="32"/>
          <w:lang w:eastAsia="zh-CN"/>
        </w:rPr>
        <w:t>组织开展集中宣传</w:t>
      </w:r>
      <w:r>
        <w:rPr>
          <w:rFonts w:hint="eastAsia" w:ascii="仿宋_GB2312" w:hAnsi="仿宋_GB2312" w:eastAsia="仿宋_GB2312" w:cs="仿宋_GB2312"/>
          <w:color w:val="000000"/>
          <w:spacing w:val="0"/>
          <w:kern w:val="0"/>
          <w:sz w:val="32"/>
          <w:szCs w:val="32"/>
          <w:lang w:val="en-US" w:eastAsia="zh-CN"/>
        </w:rPr>
        <w:t>7次，</w:t>
      </w:r>
      <w:r>
        <w:rPr>
          <w:rFonts w:hint="eastAsia" w:ascii="仿宋_GB2312" w:hAnsi="仿宋_GB2312" w:eastAsia="仿宋_GB2312" w:cs="仿宋_GB2312"/>
          <w:color w:val="000000"/>
          <w:spacing w:val="0"/>
          <w:kern w:val="0"/>
          <w:sz w:val="32"/>
          <w:szCs w:val="32"/>
          <w:lang w:eastAsia="zh-CN"/>
        </w:rPr>
        <w:t>在《中国县域经济报》、人民网、中国网、四川在线等国家、省级主流媒体刊载宣传稿件</w:t>
      </w:r>
      <w:r>
        <w:rPr>
          <w:rFonts w:hint="eastAsia" w:ascii="仿宋_GB2312" w:hAnsi="仿宋_GB2312" w:eastAsia="仿宋_GB2312" w:cs="仿宋_GB2312"/>
          <w:color w:val="000000"/>
          <w:spacing w:val="0"/>
          <w:kern w:val="0"/>
          <w:sz w:val="32"/>
          <w:szCs w:val="32"/>
          <w:lang w:val="en-US" w:eastAsia="zh-CN"/>
        </w:rPr>
        <w:t>10余篇</w:t>
      </w:r>
      <w:r>
        <w:rPr>
          <w:rFonts w:hint="eastAsia" w:ascii="仿宋_GB2312" w:hAnsi="仿宋_GB2312" w:eastAsia="仿宋_GB2312" w:cs="仿宋_GB2312"/>
          <w:color w:val="000000"/>
          <w:spacing w:val="0"/>
          <w:kern w:val="0"/>
          <w:sz w:val="32"/>
          <w:szCs w:val="32"/>
          <w:lang w:eastAsia="zh-CN"/>
        </w:rPr>
        <w:t>。</w:t>
      </w:r>
      <w:r>
        <w:rPr>
          <w:rFonts w:hint="eastAsia" w:ascii="仿宋_GB2312" w:hAnsi="仿宋_GB2312" w:eastAsia="仿宋_GB2312" w:cs="仿宋_GB2312"/>
          <w:spacing w:val="0"/>
          <w:w w:val="100"/>
          <w:kern w:val="0"/>
          <w:sz w:val="32"/>
          <w:szCs w:val="32"/>
          <w:lang w:val="en-US" w:eastAsia="zh-CN" w:bidi="ar-SA"/>
        </w:rPr>
        <w:t>四是</w:t>
      </w:r>
      <w:r>
        <w:rPr>
          <w:rFonts w:hint="eastAsia" w:ascii="仿宋_GB2312" w:eastAsia="仿宋_GB2312"/>
          <w:b w:val="0"/>
          <w:bCs w:val="0"/>
          <w:color w:val="000000"/>
          <w:spacing w:val="0"/>
          <w:kern w:val="0"/>
          <w:sz w:val="32"/>
          <w:szCs w:val="32"/>
          <w:u w:val="none"/>
          <w:lang w:val="en-US" w:eastAsia="zh-CN"/>
        </w:rPr>
        <w:t>大力实施“筑堤防腐”</w:t>
      </w:r>
      <w:r>
        <w:rPr>
          <w:rFonts w:hint="eastAsia" w:ascii="仿宋_GB2312" w:hAnsi="仿宋_GB2312" w:eastAsia="仿宋_GB2312" w:cs="仿宋_GB2312"/>
          <w:color w:val="000000"/>
          <w:spacing w:val="0"/>
          <w:kern w:val="0"/>
          <w:sz w:val="32"/>
          <w:szCs w:val="32"/>
          <w:lang w:val="en-US" w:eastAsia="zh-CN"/>
        </w:rPr>
        <w:t>行动。严格落实党风廉政建设责任制，印发“三张清单”深化“四责协同”，排查</w:t>
      </w:r>
      <w:r>
        <w:rPr>
          <w:rFonts w:hint="eastAsia" w:ascii="仿宋_GB2312" w:hAnsi="仿宋_GB2312" w:eastAsia="仿宋_GB2312" w:cs="仿宋_GB2312"/>
          <w:color w:val="000000"/>
          <w:spacing w:val="0"/>
          <w:kern w:val="0"/>
          <w:sz w:val="32"/>
          <w:szCs w:val="32"/>
          <w:lang w:eastAsia="zh-CN"/>
        </w:rPr>
        <w:t>廉政风险点</w:t>
      </w:r>
      <w:r>
        <w:rPr>
          <w:rFonts w:hint="eastAsia" w:ascii="仿宋_GB2312" w:hAnsi="仿宋_GB2312" w:eastAsia="仿宋_GB2312" w:cs="仿宋_GB2312"/>
          <w:color w:val="000000"/>
          <w:spacing w:val="0"/>
          <w:kern w:val="0"/>
          <w:sz w:val="32"/>
          <w:szCs w:val="32"/>
          <w:lang w:val="en-US" w:eastAsia="zh-CN"/>
        </w:rPr>
        <w:t>14个，制定防控措施22条；加强党员干部廉洁教育监督，全覆盖参加“学史知纪明法”培训和“以案促改”警示教育，同时更新完善干部《廉政档案》；扎实推进纪律作风整顿工作，办领导班子查找具体问题3个、制定详细整改措施9条，干部共自查问题45个、制定整改措施60余条，目前除需长期坚持整改的问题外，其余全部整改落实到位</w:t>
      </w:r>
      <w:r>
        <w:rPr>
          <w:rFonts w:hint="eastAsia" w:ascii="仿宋_GB2312" w:hAnsi="仿宋_GB2312" w:eastAsia="仿宋_GB2312" w:cs="仿宋_GB2312"/>
          <w:color w:val="000000"/>
          <w:spacing w:val="0"/>
          <w:kern w:val="0"/>
          <w:sz w:val="32"/>
          <w:szCs w:val="32"/>
          <w:lang w:eastAsia="zh-CN"/>
        </w:rPr>
        <w:t>。</w:t>
      </w:r>
    </w:p>
    <w:p>
      <w:pPr>
        <w:pStyle w:val="4"/>
        <w:pageBreakBefore w:val="0"/>
        <w:kinsoku/>
        <w:wordWrap/>
        <w:overflowPunct/>
        <w:topLinePunct w:val="0"/>
        <w:autoSpaceDE/>
        <w:autoSpaceDN/>
        <w:bidi w:val="0"/>
        <w:adjustRightInd w:val="0"/>
        <w:snapToGrid w:val="0"/>
        <w:spacing w:before="0" w:line="576" w:lineRule="exact"/>
        <w:ind w:firstLine="640" w:firstLineChars="200"/>
        <w:textAlignment w:val="auto"/>
        <w:rPr>
          <w:rStyle w:val="28"/>
          <w:b w:val="0"/>
          <w:bCs w:val="0"/>
          <w:color w:val="auto"/>
          <w:highlight w:val="none"/>
        </w:rPr>
      </w:pPr>
      <w:bookmarkStart w:id="20" w:name="_Toc15396601"/>
      <w:bookmarkStart w:id="21" w:name="_Toc15377200"/>
      <w:r>
        <w:rPr>
          <w:rFonts w:hint="eastAsia" w:ascii="黑体" w:eastAsia="黑体"/>
          <w:b w:val="0"/>
          <w:color w:val="auto"/>
          <w:highlight w:val="none"/>
        </w:rPr>
        <w:t>二、</w:t>
      </w:r>
      <w:r>
        <w:rPr>
          <w:rFonts w:hint="eastAsia" w:ascii="黑体" w:hAnsi="黑体" w:eastAsia="黑体"/>
          <w:b w:val="0"/>
          <w:color w:val="auto"/>
          <w:highlight w:val="none"/>
        </w:rPr>
        <w:t>机</w:t>
      </w:r>
      <w:r>
        <w:rPr>
          <w:rStyle w:val="28"/>
          <w:rFonts w:hint="eastAsia" w:ascii="黑体" w:hAnsi="黑体" w:eastAsia="黑体"/>
          <w:b w:val="0"/>
          <w:bCs w:val="0"/>
          <w:color w:val="auto"/>
          <w:highlight w:val="none"/>
        </w:rPr>
        <w:t>构设置</w:t>
      </w:r>
      <w:bookmarkEnd w:id="20"/>
      <w:bookmarkEnd w:id="21"/>
    </w:p>
    <w:p>
      <w:pPr>
        <w:pageBreakBefore w:val="0"/>
        <w:widowControl w:val="0"/>
        <w:kinsoku/>
        <w:wordWrap/>
        <w:overflowPunct/>
        <w:topLinePunct w:val="0"/>
        <w:autoSpaceDE/>
        <w:autoSpaceDN/>
        <w:bidi w:val="0"/>
        <w:adjustRightInd w:val="0"/>
        <w:snapToGrid w:val="0"/>
        <w:spacing w:line="576" w:lineRule="exact"/>
        <w:ind w:left="0"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区委编办</w:t>
      </w:r>
      <w:r>
        <w:rPr>
          <w:rFonts w:hint="eastAsia" w:ascii="仿宋_GB2312" w:hAnsi="仿宋_GB2312" w:eastAsia="仿宋_GB2312" w:cs="仿宋_GB2312"/>
          <w:sz w:val="32"/>
          <w:szCs w:val="32"/>
        </w:rPr>
        <w:t>下属二级单位</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个，其中行政单位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个，参照公务员法管理的事业单位</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sz w:val="32"/>
          <w:szCs w:val="32"/>
        </w:rPr>
        <w:t>个，其他事业单位</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w:t>
      </w:r>
    </w:p>
    <w:p>
      <w:pPr>
        <w:pStyle w:val="2"/>
        <w:pageBreakBefore w:val="0"/>
        <w:widowControl w:val="0"/>
        <w:kinsoku/>
        <w:wordWrap/>
        <w:overflowPunct/>
        <w:topLinePunct w:val="0"/>
        <w:autoSpaceDE/>
        <w:autoSpaceDN/>
        <w:bidi w:val="0"/>
        <w:adjustRightInd w:val="0"/>
        <w:snapToGrid w:val="0"/>
        <w:spacing w:beforeLines="0" w:line="576" w:lineRule="exact"/>
        <w:ind w:left="0" w:firstLine="672" w:firstLineChars="210"/>
        <w:textAlignment w:val="auto"/>
        <w:rPr>
          <w:rFonts w:hint="eastAsia" w:ascii="仿宋_GB2312" w:hAnsi="仿宋_GB2312" w:eastAsia="仿宋_GB2312" w:cs="仿宋_GB2312"/>
          <w:color w:val="000000"/>
          <w:sz w:val="32"/>
          <w:szCs w:val="32"/>
          <w:lang w:eastAsia="zh-CN"/>
        </w:rPr>
      </w:pPr>
      <w:r>
        <w:rPr>
          <w:rFonts w:hint="eastAsia" w:hAnsi="仿宋_GB2312" w:cs="仿宋_GB2312"/>
          <w:color w:val="000000"/>
          <w:sz w:val="32"/>
          <w:szCs w:val="32"/>
          <w:lang w:eastAsia="zh-CN"/>
        </w:rPr>
        <w:t>纳入</w:t>
      </w:r>
      <w:r>
        <w:rPr>
          <w:rFonts w:hint="eastAsia" w:ascii="仿宋_GB2312" w:hAnsi="仿宋_GB2312" w:eastAsia="仿宋_GB2312" w:cs="仿宋_GB2312"/>
          <w:color w:val="000000"/>
          <w:sz w:val="32"/>
          <w:szCs w:val="32"/>
        </w:rPr>
        <w:t>2020年度部门决算编制范围的二级预算</w:t>
      </w:r>
      <w:r>
        <w:rPr>
          <w:rFonts w:hint="eastAsia" w:hAnsi="仿宋_GB2312" w:cs="仿宋_GB2312"/>
          <w:color w:val="000000"/>
          <w:sz w:val="32"/>
          <w:szCs w:val="32"/>
          <w:lang w:eastAsia="zh-CN"/>
        </w:rPr>
        <w:t>单位无。</w:t>
      </w:r>
    </w:p>
    <w:p>
      <w:pPr>
        <w:pageBreakBefore w:val="0"/>
        <w:widowControl/>
        <w:kinsoku/>
        <w:wordWrap/>
        <w:overflowPunct/>
        <w:topLinePunct w:val="0"/>
        <w:autoSpaceDE/>
        <w:autoSpaceDN/>
        <w:bidi w:val="0"/>
        <w:adjustRightInd w:val="0"/>
        <w:snapToGrid w:val="0"/>
        <w:spacing w:line="576" w:lineRule="exact"/>
        <w:jc w:val="left"/>
        <w:textAlignment w:val="auto"/>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27"/>
          <w:rFonts w:ascii="黑体" w:hAnsi="黑体" w:eastAsia="黑体"/>
          <w:b w:val="0"/>
          <w:bCs/>
          <w:color w:val="auto"/>
          <w:highlight w:val="none"/>
        </w:rPr>
      </w:pPr>
      <w:bookmarkStart w:id="22" w:name="_Toc15396602"/>
      <w:bookmarkStart w:id="23"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7"/>
          <w:rFonts w:hint="eastAsia" w:ascii="黑体" w:hAnsi="黑体" w:eastAsia="黑体"/>
          <w:b w:val="0"/>
          <w:bCs/>
          <w:color w:val="auto"/>
          <w:highlight w:val="none"/>
        </w:rPr>
        <w:t>部门决算情况说明</w:t>
      </w:r>
      <w:bookmarkEnd w:id="22"/>
      <w:bookmarkEnd w:id="23"/>
    </w:p>
    <w:p>
      <w:pPr>
        <w:rPr>
          <w:color w:val="auto"/>
          <w:highlight w:val="none"/>
        </w:rPr>
      </w:pPr>
    </w:p>
    <w:p>
      <w:pPr>
        <w:pStyle w:val="26"/>
        <w:numPr>
          <w:ilvl w:val="0"/>
          <w:numId w:val="1"/>
        </w:numPr>
        <w:spacing w:line="600" w:lineRule="exact"/>
        <w:ind w:firstLineChars="0"/>
        <w:outlineLvl w:val="1"/>
        <w:rPr>
          <w:rStyle w:val="28"/>
          <w:rFonts w:ascii="黑体" w:hAnsi="黑体" w:eastAsia="黑体"/>
          <w:b w:val="0"/>
          <w:color w:val="auto"/>
          <w:highlight w:val="none"/>
        </w:rPr>
      </w:pPr>
      <w:bookmarkStart w:id="24" w:name="_Toc15396603"/>
      <w:bookmarkStart w:id="25" w:name="_Toc15377205"/>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入支出决算总体情况说明</w:t>
      </w:r>
      <w:bookmarkEnd w:id="24"/>
      <w:bookmarkEnd w:id="25"/>
    </w:p>
    <w:p>
      <w:pPr>
        <w:spacing w:line="600" w:lineRule="exact"/>
        <w:ind w:firstLine="640" w:firstLineChars="200"/>
        <w:rPr>
          <w:rFonts w:hint="eastAsia"/>
          <w:lang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年度收、支总计</w:t>
      </w:r>
      <w:r>
        <w:rPr>
          <w:rFonts w:hint="eastAsia" w:ascii="仿宋_GB2312" w:hAnsi="仿宋_GB2312" w:eastAsia="仿宋_GB2312" w:cs="仿宋_GB2312"/>
          <w:color w:val="auto"/>
          <w:sz w:val="32"/>
          <w:szCs w:val="32"/>
          <w:highlight w:val="none"/>
          <w:lang w:val="en-US" w:eastAsia="zh-CN"/>
        </w:rPr>
        <w:t>211.25</w:t>
      </w:r>
      <w:r>
        <w:rPr>
          <w:rFonts w:hint="eastAsia" w:ascii="仿宋_GB2312" w:hAnsi="仿宋_GB2312" w:eastAsia="仿宋_GB2312" w:cs="仿宋_GB2312"/>
          <w:color w:val="auto"/>
          <w:sz w:val="32"/>
          <w:szCs w:val="32"/>
          <w:highlight w:val="none"/>
        </w:rPr>
        <w:t>万元。与20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年相比，收、支总计各增加</w:t>
      </w:r>
      <w:r>
        <w:rPr>
          <w:rFonts w:hint="eastAsia" w:ascii="仿宋_GB2312" w:hAnsi="仿宋_GB2312" w:eastAsia="仿宋_GB2312" w:cs="仿宋_GB2312"/>
          <w:color w:val="auto"/>
          <w:sz w:val="32"/>
          <w:szCs w:val="32"/>
          <w:highlight w:val="none"/>
          <w:lang w:val="en-US" w:eastAsia="zh-CN"/>
        </w:rPr>
        <w:t>21.04</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11.06</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color w:val="auto"/>
          <w:sz w:val="32"/>
          <w:szCs w:val="32"/>
          <w:highlight w:val="none"/>
          <w:lang w:eastAsia="zh-CN"/>
        </w:rPr>
        <w:t>人员增加经费增加。</w:t>
      </w:r>
    </w:p>
    <w:p>
      <w:pPr>
        <w:pStyle w:val="7"/>
        <w:ind w:left="0" w:leftChars="0" w:firstLine="1478" w:firstLineChars="704"/>
        <w:rPr>
          <w:rFonts w:hint="eastAsia"/>
          <w:color w:val="9BBB59" w:themeColor="accent3"/>
          <w:lang w:eastAsia="zh-CN"/>
          <w14:textFill>
            <w14:solidFill>
              <w14:schemeClr w14:val="accent3"/>
            </w14:solidFill>
          </w14:textFill>
        </w:rPr>
      </w:pPr>
      <w:r>
        <w:rPr>
          <w:rFonts w:hint="eastAsia"/>
          <w:lang w:eastAsia="zh-CN"/>
        </w:rPr>
        <w:drawing>
          <wp:inline distT="0" distB="0" distL="114300" distR="114300">
            <wp:extent cx="3623945" cy="2639060"/>
            <wp:effectExtent l="4445" t="4445" r="10160" b="2349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（图1：收、支决算总计变动情况图）（柱状图）</w:t>
      </w:r>
    </w:p>
    <w:p>
      <w:pPr>
        <w:rPr>
          <w:rFonts w:hint="eastAsia"/>
        </w:rPr>
      </w:pPr>
    </w:p>
    <w:p>
      <w:pPr>
        <w:pStyle w:val="26"/>
        <w:numPr>
          <w:ilvl w:val="0"/>
          <w:numId w:val="1"/>
        </w:numPr>
        <w:spacing w:line="600" w:lineRule="exact"/>
        <w:ind w:firstLineChars="0"/>
        <w:outlineLvl w:val="1"/>
        <w:rPr>
          <w:rStyle w:val="28"/>
          <w:rFonts w:ascii="黑体" w:hAnsi="黑体" w:eastAsia="黑体"/>
          <w:b w:val="0"/>
          <w:color w:val="auto"/>
          <w:highlight w:val="none"/>
        </w:rPr>
      </w:pPr>
      <w:bookmarkStart w:id="26" w:name="_Toc15396604"/>
      <w:bookmarkStart w:id="27" w:name="_Toc15377206"/>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入决算情况说明</w:t>
      </w:r>
      <w:bookmarkEnd w:id="26"/>
      <w:bookmarkEnd w:id="27"/>
    </w:p>
    <w:p>
      <w:pPr>
        <w:spacing w:line="600" w:lineRule="exact"/>
        <w:ind w:firstLine="640" w:firstLineChars="200"/>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年本年收入合计</w:t>
      </w:r>
      <w:r>
        <w:rPr>
          <w:rFonts w:hint="eastAsia" w:ascii="仿宋_GB2312" w:hAnsi="仿宋_GB2312" w:eastAsia="仿宋_GB2312" w:cs="仿宋_GB2312"/>
          <w:color w:val="auto"/>
          <w:sz w:val="32"/>
          <w:szCs w:val="32"/>
          <w:highlight w:val="none"/>
          <w:lang w:val="en-US" w:eastAsia="zh-CN"/>
        </w:rPr>
        <w:t>211.25</w:t>
      </w:r>
      <w:r>
        <w:rPr>
          <w:rFonts w:hint="eastAsia" w:ascii="仿宋_GB2312" w:hAnsi="仿宋_GB2312" w:eastAsia="仿宋_GB2312" w:cs="仿宋_GB2312"/>
          <w:color w:val="auto"/>
          <w:sz w:val="32"/>
          <w:szCs w:val="32"/>
          <w:highlight w:val="none"/>
        </w:rPr>
        <w:t>万元，其中：一般公共预算财政拨款收入</w:t>
      </w:r>
      <w:r>
        <w:rPr>
          <w:rFonts w:hint="eastAsia" w:ascii="仿宋_GB2312" w:hAnsi="仿宋_GB2312" w:eastAsia="仿宋_GB2312" w:cs="仿宋_GB2312"/>
          <w:color w:val="auto"/>
          <w:sz w:val="32"/>
          <w:szCs w:val="32"/>
          <w:highlight w:val="none"/>
          <w:lang w:val="en-US" w:eastAsia="zh-CN"/>
        </w:rPr>
        <w:t>211.25</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w:t>
      </w:r>
    </w:p>
    <w:p>
      <w:pPr>
        <w:pStyle w:val="7"/>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pStyle w:val="7"/>
        <w:ind w:left="0" w:leftChars="0" w:firstLine="0" w:firstLineChars="0"/>
        <w:rPr>
          <w:rFonts w:hint="eastAsia"/>
          <w:lang w:val="en-US" w:eastAsia="zh-CN"/>
        </w:rPr>
      </w:pPr>
    </w:p>
    <w:p>
      <w:pPr>
        <w:rPr>
          <w:rFonts w:hint="eastAsia"/>
          <w:lang w:val="en-US" w:eastAsia="zh-CN"/>
        </w:rPr>
      </w:pPr>
    </w:p>
    <w:p>
      <w:pPr>
        <w:pStyle w:val="7"/>
        <w:rPr>
          <w:rFonts w:hint="eastAsia"/>
          <w:lang w:val="en-US" w:eastAsia="zh-CN"/>
        </w:rPr>
      </w:pPr>
      <w:r>
        <w:rPr>
          <w:rFonts w:hint="eastAsia"/>
          <w:lang w:val="en-US" w:eastAsia="zh-CN"/>
        </w:rPr>
        <w:drawing>
          <wp:inline distT="0" distB="0" distL="114300" distR="114300">
            <wp:extent cx="4003675" cy="2744470"/>
            <wp:effectExtent l="4445" t="4445" r="11430" b="1333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left="0" w:leftChars="0" w:firstLine="0" w:firstLineChars="0"/>
        <w:jc w:val="center"/>
        <w:rPr>
          <w:rFonts w:ascii="仿宋_GB2312" w:eastAsia="仿宋_GB2312"/>
          <w:color w:val="auto"/>
          <w:sz w:val="32"/>
          <w:szCs w:val="32"/>
          <w:highlight w:val="none"/>
        </w:rPr>
      </w:pPr>
      <w:r>
        <w:rPr>
          <w:rFonts w:hint="eastAsia" w:ascii="仿宋_GB2312" w:hAnsi="仿宋_GB2312" w:eastAsia="仿宋_GB2312" w:cs="仿宋_GB2312"/>
          <w:color w:val="auto"/>
          <w:sz w:val="32"/>
          <w:szCs w:val="32"/>
          <w:highlight w:val="none"/>
        </w:rPr>
        <w:t>（图2：收入决算结构图）（饼状图）</w:t>
      </w:r>
    </w:p>
    <w:p>
      <w:pPr>
        <w:pStyle w:val="26"/>
        <w:numPr>
          <w:ilvl w:val="0"/>
          <w:numId w:val="1"/>
        </w:numPr>
        <w:spacing w:line="600" w:lineRule="exact"/>
        <w:ind w:firstLineChars="0"/>
        <w:outlineLvl w:val="1"/>
        <w:rPr>
          <w:rStyle w:val="28"/>
          <w:rFonts w:ascii="黑体" w:hAnsi="黑体" w:eastAsia="黑体"/>
          <w:b w:val="0"/>
          <w:color w:val="auto"/>
          <w:highlight w:val="none"/>
        </w:rPr>
      </w:pPr>
      <w:bookmarkStart w:id="28" w:name="_Toc15377207"/>
      <w:bookmarkStart w:id="29" w:name="_Toc15396605"/>
      <w:r>
        <w:rPr>
          <w:rFonts w:hint="eastAsia" w:ascii="黑体" w:hAnsi="黑体" w:eastAsia="黑体"/>
          <w:color w:val="auto"/>
          <w:sz w:val="32"/>
          <w:szCs w:val="32"/>
          <w:highlight w:val="none"/>
        </w:rPr>
        <w:t>支</w:t>
      </w:r>
      <w:r>
        <w:rPr>
          <w:rStyle w:val="28"/>
          <w:rFonts w:hint="eastAsia" w:ascii="黑体" w:hAnsi="黑体" w:eastAsia="黑体"/>
          <w:b w:val="0"/>
          <w:color w:val="auto"/>
          <w:highlight w:val="none"/>
        </w:rPr>
        <w:t>出决算情况说明</w:t>
      </w:r>
      <w:bookmarkEnd w:id="28"/>
      <w:bookmarkEnd w:id="29"/>
    </w:p>
    <w:p>
      <w:pPr>
        <w:spacing w:line="600" w:lineRule="exact"/>
        <w:ind w:firstLine="640" w:firstLineChars="200"/>
        <w:outlineLvl w:val="1"/>
        <w:rPr>
          <w:rFonts w:ascii="仿宋" w:hAnsi="仿宋" w:eastAsia="仿宋"/>
          <w:color w:val="auto"/>
          <w:sz w:val="32"/>
          <w:szCs w:val="32"/>
          <w:highlight w:val="none"/>
          <w:shd w:val="pct10" w:color="auto" w:fill="FFFFFF"/>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年本年支出合计</w:t>
      </w:r>
      <w:r>
        <w:rPr>
          <w:rFonts w:hint="eastAsia" w:ascii="仿宋_GB2312" w:hAnsi="仿宋_GB2312" w:eastAsia="仿宋_GB2312" w:cs="仿宋_GB2312"/>
          <w:color w:val="auto"/>
          <w:sz w:val="32"/>
          <w:szCs w:val="32"/>
          <w:highlight w:val="none"/>
          <w:lang w:val="en-US" w:eastAsia="zh-CN"/>
        </w:rPr>
        <w:t>211.25</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195.08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92.35</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16.17</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7.65</w:t>
      </w:r>
      <w:r>
        <w:rPr>
          <w:rFonts w:hint="eastAsia" w:ascii="仿宋_GB2312" w:hAnsi="仿宋_GB2312" w:eastAsia="仿宋_GB2312" w:cs="仿宋_GB2312"/>
          <w:color w:val="auto"/>
          <w:sz w:val="32"/>
          <w:szCs w:val="32"/>
          <w:highlight w:val="none"/>
        </w:rPr>
        <w:t>%。</w:t>
      </w:r>
    </w:p>
    <w:p>
      <w:pPr>
        <w:pStyle w:val="7"/>
      </w:pPr>
      <w:r>
        <w:rPr>
          <w:rFonts w:hint="eastAsia"/>
          <w:lang w:val="en-US" w:eastAsia="zh-CN"/>
        </w:rPr>
        <w:t xml:space="preserve">     </w:t>
      </w:r>
      <w:r>
        <w:rPr>
          <w:rFonts w:hint="eastAsia" w:eastAsia="宋体"/>
          <w:lang w:eastAsia="zh-CN"/>
        </w:rPr>
        <w:drawing>
          <wp:inline distT="0" distB="0" distL="114300" distR="114300">
            <wp:extent cx="3813175" cy="2485390"/>
            <wp:effectExtent l="4445" t="4445" r="11430" b="571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jc w:val="center"/>
        <w:rPr>
          <w:rFonts w:ascii="仿宋_GB2312" w:eastAsia="仿宋_GB2312"/>
          <w:color w:val="auto"/>
          <w:sz w:val="32"/>
          <w:szCs w:val="32"/>
          <w:highlight w:val="none"/>
        </w:rPr>
      </w:pPr>
      <w:r>
        <w:rPr>
          <w:rFonts w:hint="eastAsia" w:ascii="仿宋_GB2312" w:hAnsi="仿宋_GB2312" w:eastAsia="仿宋_GB2312" w:cs="仿宋_GB2312"/>
          <w:color w:val="auto"/>
          <w:sz w:val="32"/>
          <w:szCs w:val="32"/>
          <w:highlight w:val="none"/>
        </w:rPr>
        <w:t>（图3：支出决算结构图）（饼状图）</w:t>
      </w:r>
    </w:p>
    <w:p>
      <w:pPr>
        <w:spacing w:line="600" w:lineRule="exact"/>
        <w:ind w:firstLine="640" w:firstLineChars="200"/>
        <w:outlineLvl w:val="1"/>
        <w:rPr>
          <w:rFonts w:hint="eastAsia" w:ascii="黑体" w:hAnsi="黑体" w:eastAsia="黑体"/>
          <w:color w:val="auto"/>
          <w:sz w:val="32"/>
          <w:szCs w:val="32"/>
          <w:highlight w:val="none"/>
        </w:rPr>
      </w:pPr>
      <w:bookmarkStart w:id="30" w:name="_Toc15396606"/>
      <w:bookmarkStart w:id="31" w:name="_Toc15377208"/>
    </w:p>
    <w:p>
      <w:pPr>
        <w:spacing w:line="600" w:lineRule="exact"/>
        <w:ind w:firstLine="640" w:firstLineChars="200"/>
        <w:outlineLvl w:val="1"/>
        <w:rPr>
          <w:rStyle w:val="28"/>
          <w:rFonts w:ascii="黑体" w:hAnsi="黑体" w:eastAsia="黑体"/>
          <w:b w:val="0"/>
          <w:color w:val="auto"/>
          <w:highlight w:val="none"/>
        </w:rPr>
      </w:pPr>
      <w:r>
        <w:rPr>
          <w:rFonts w:hint="eastAsia" w:ascii="黑体" w:hAnsi="黑体" w:eastAsia="黑体"/>
          <w:color w:val="auto"/>
          <w:sz w:val="32"/>
          <w:szCs w:val="32"/>
          <w:highlight w:val="none"/>
        </w:rPr>
        <w:t>四、财</w:t>
      </w:r>
      <w:r>
        <w:rPr>
          <w:rStyle w:val="28"/>
          <w:rFonts w:hint="eastAsia" w:ascii="黑体" w:hAnsi="黑体" w:eastAsia="黑体"/>
          <w:b w:val="0"/>
          <w:color w:val="auto"/>
          <w:highlight w:val="none"/>
        </w:rPr>
        <w:t>政拨款收入支出决算总体情况说明</w:t>
      </w:r>
      <w:bookmarkEnd w:id="30"/>
      <w:bookmarkEnd w:id="31"/>
    </w:p>
    <w:p>
      <w:pPr>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年财政拨款收、支总计</w:t>
      </w:r>
      <w:r>
        <w:rPr>
          <w:rFonts w:hint="eastAsia" w:ascii="仿宋_GB2312" w:hAnsi="仿宋_GB2312" w:eastAsia="仿宋_GB2312" w:cs="仿宋_GB2312"/>
          <w:color w:val="auto"/>
          <w:sz w:val="32"/>
          <w:szCs w:val="32"/>
          <w:highlight w:val="none"/>
          <w:lang w:val="en-US" w:eastAsia="zh-CN"/>
        </w:rPr>
        <w:t>211.25</w:t>
      </w:r>
      <w:r>
        <w:rPr>
          <w:rFonts w:hint="eastAsia" w:ascii="仿宋_GB2312" w:hAnsi="仿宋_GB2312" w:eastAsia="仿宋_GB2312" w:cs="仿宋_GB2312"/>
          <w:color w:val="auto"/>
          <w:sz w:val="32"/>
          <w:szCs w:val="32"/>
          <w:highlight w:val="none"/>
        </w:rPr>
        <w:t>万元。与20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年相比，财政拨款收、支总计各增加</w:t>
      </w:r>
      <w:r>
        <w:rPr>
          <w:rFonts w:hint="eastAsia" w:ascii="仿宋_GB2312" w:hAnsi="仿宋_GB2312" w:eastAsia="仿宋_GB2312" w:cs="仿宋_GB2312"/>
          <w:color w:val="auto"/>
          <w:sz w:val="32"/>
          <w:szCs w:val="32"/>
          <w:highlight w:val="none"/>
          <w:lang w:val="en-US" w:eastAsia="zh-CN"/>
        </w:rPr>
        <w:t>21.04</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11.06</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color w:val="auto"/>
          <w:sz w:val="32"/>
          <w:szCs w:val="32"/>
          <w:highlight w:val="none"/>
          <w:lang w:eastAsia="zh-CN"/>
        </w:rPr>
        <w:t>人员增加，经费增加。</w:t>
      </w:r>
    </w:p>
    <w:p>
      <w:pPr>
        <w:pStyle w:val="7"/>
        <w:rPr>
          <w:rFonts w:hint="eastAsia"/>
        </w:rPr>
      </w:pPr>
      <w:r>
        <w:rPr>
          <w:rFonts w:hint="eastAsia"/>
          <w:lang w:val="en-US" w:eastAsia="zh-CN"/>
        </w:rPr>
        <w:t xml:space="preserve">          </w:t>
      </w:r>
      <w:r>
        <w:rPr>
          <w:rFonts w:hint="eastAsia"/>
          <w:lang w:eastAsia="zh-CN"/>
        </w:rPr>
        <w:drawing>
          <wp:inline distT="0" distB="0" distL="114300" distR="114300">
            <wp:extent cx="3623945" cy="2639060"/>
            <wp:effectExtent l="4445" t="4445" r="10160" b="2349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（图4：财政拨款收、支决算总计变动情况）（柱状图）</w:t>
      </w:r>
    </w:p>
    <w:p>
      <w:pPr>
        <w:spacing w:line="600" w:lineRule="exact"/>
        <w:ind w:firstLine="640" w:firstLineChars="200"/>
        <w:outlineLvl w:val="1"/>
        <w:rPr>
          <w:rStyle w:val="28"/>
          <w:rFonts w:ascii="黑体" w:hAnsi="黑体" w:eastAsia="黑体"/>
          <w:b w:val="0"/>
          <w:color w:val="auto"/>
          <w:highlight w:val="none"/>
        </w:rPr>
      </w:pPr>
      <w:bookmarkStart w:id="32" w:name="_Toc15377209"/>
      <w:bookmarkStart w:id="33"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般公共预算财政拨款支出决算情况说明</w:t>
      </w:r>
      <w:bookmarkEnd w:id="32"/>
      <w:bookmarkEnd w:id="33"/>
    </w:p>
    <w:p>
      <w:pPr>
        <w:spacing w:line="600" w:lineRule="exact"/>
        <w:ind w:firstLine="640" w:firstLineChars="200"/>
        <w:outlineLvl w:val="2"/>
        <w:rPr>
          <w:rFonts w:hint="eastAsia" w:ascii="楷体_GB2312" w:hAnsi="楷体_GB2312" w:eastAsia="楷体_GB2312" w:cs="楷体_GB2312"/>
          <w:b w:val="0"/>
          <w:bCs/>
          <w:color w:val="auto"/>
          <w:sz w:val="32"/>
          <w:szCs w:val="32"/>
          <w:highlight w:val="none"/>
        </w:rPr>
      </w:pPr>
      <w:bookmarkStart w:id="34" w:name="_Toc15377210"/>
      <w:r>
        <w:rPr>
          <w:rFonts w:hint="eastAsia" w:ascii="楷体_GB2312" w:hAnsi="楷体_GB2312" w:eastAsia="楷体_GB2312" w:cs="楷体_GB2312"/>
          <w:b w:val="0"/>
          <w:bCs/>
          <w:color w:val="auto"/>
          <w:sz w:val="32"/>
          <w:szCs w:val="32"/>
          <w:highlight w:val="none"/>
        </w:rPr>
        <w:t>（一）一般公共预算财政拨款支出决算总体情况</w:t>
      </w:r>
      <w:bookmarkEnd w:id="34"/>
    </w:p>
    <w:p>
      <w:pPr>
        <w:spacing w:line="60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年一般公共预算财政拨款支出</w:t>
      </w:r>
      <w:r>
        <w:rPr>
          <w:rFonts w:hint="eastAsia" w:ascii="仿宋_GB2312" w:hAnsi="仿宋_GB2312" w:eastAsia="仿宋_GB2312" w:cs="仿宋_GB2312"/>
          <w:color w:val="auto"/>
          <w:sz w:val="32"/>
          <w:szCs w:val="32"/>
          <w:highlight w:val="none"/>
          <w:lang w:val="en-US" w:eastAsia="zh-CN"/>
        </w:rPr>
        <w:t>211.25</w:t>
      </w:r>
      <w:r>
        <w:rPr>
          <w:rFonts w:hint="eastAsia" w:ascii="仿宋_GB2312" w:hAnsi="仿宋_GB2312" w:eastAsia="仿宋_GB2312" w:cs="仿宋_GB2312"/>
          <w:color w:val="auto"/>
          <w:sz w:val="32"/>
          <w:szCs w:val="32"/>
          <w:highlight w:val="none"/>
        </w:rPr>
        <w:t>万元，占本年支出合计的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%。与20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年相比，一般公共预算财政拨款</w:t>
      </w:r>
      <w:r>
        <w:rPr>
          <w:rFonts w:hint="eastAsia" w:ascii="仿宋_GB2312" w:hAnsi="仿宋_GB2312" w:eastAsia="仿宋_GB2312" w:cs="仿宋_GB2312"/>
          <w:color w:val="auto"/>
          <w:sz w:val="32"/>
          <w:szCs w:val="32"/>
          <w:highlight w:val="none"/>
          <w:lang w:eastAsia="zh-CN"/>
        </w:rPr>
        <w:t>支出</w:t>
      </w:r>
      <w:r>
        <w:rPr>
          <w:rFonts w:hint="eastAsia" w:ascii="仿宋_GB2312" w:hAnsi="仿宋_GB2312" w:eastAsia="仿宋_GB2312" w:cs="仿宋_GB2312"/>
          <w:color w:val="auto"/>
          <w:sz w:val="32"/>
          <w:szCs w:val="32"/>
          <w:highlight w:val="none"/>
        </w:rPr>
        <w:t>增加</w:t>
      </w:r>
      <w:r>
        <w:rPr>
          <w:rFonts w:hint="eastAsia" w:ascii="仿宋_GB2312" w:hAnsi="仿宋_GB2312" w:eastAsia="仿宋_GB2312" w:cs="仿宋_GB2312"/>
          <w:color w:val="auto"/>
          <w:sz w:val="32"/>
          <w:szCs w:val="32"/>
          <w:highlight w:val="none"/>
          <w:lang w:val="en-US" w:eastAsia="zh-CN"/>
        </w:rPr>
        <w:t>21.04</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10.54</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color w:val="auto"/>
          <w:sz w:val="32"/>
          <w:szCs w:val="32"/>
          <w:highlight w:val="none"/>
          <w:lang w:eastAsia="zh-CN"/>
        </w:rPr>
        <w:t>人员增加经费增加。</w:t>
      </w:r>
    </w:p>
    <w:p>
      <w:pPr>
        <w:jc w:val="center"/>
        <w:rPr>
          <w:rFonts w:hint="eastAsia"/>
          <w:lang w:eastAsia="zh-CN"/>
        </w:rPr>
      </w:pPr>
      <w:r>
        <w:rPr>
          <w:rFonts w:hint="eastAsia"/>
          <w:lang w:eastAsia="zh-CN"/>
        </w:rPr>
        <w:drawing>
          <wp:inline distT="0" distB="0" distL="114300" distR="114300">
            <wp:extent cx="3623945" cy="2639060"/>
            <wp:effectExtent l="4445" t="4445" r="10160" b="2349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（图5：一般公共预算财政拨款支出决算变动情况）（柱状图）</w:t>
      </w:r>
    </w:p>
    <w:p>
      <w:pPr>
        <w:spacing w:line="600" w:lineRule="exact"/>
        <w:ind w:firstLine="640" w:firstLineChars="200"/>
        <w:outlineLvl w:val="2"/>
        <w:rPr>
          <w:rFonts w:hint="eastAsia" w:ascii="楷体_GB2312" w:hAnsi="楷体_GB2312" w:eastAsia="楷体_GB2312" w:cs="楷体_GB2312"/>
          <w:b w:val="0"/>
          <w:bCs/>
          <w:color w:val="auto"/>
          <w:sz w:val="32"/>
          <w:szCs w:val="32"/>
          <w:highlight w:val="none"/>
        </w:rPr>
      </w:pPr>
      <w:bookmarkStart w:id="35" w:name="_Toc15377211"/>
      <w:r>
        <w:rPr>
          <w:rFonts w:hint="eastAsia" w:ascii="楷体_GB2312" w:hAnsi="楷体_GB2312" w:eastAsia="楷体_GB2312" w:cs="楷体_GB2312"/>
          <w:b w:val="0"/>
          <w:bCs/>
          <w:color w:val="auto"/>
          <w:sz w:val="32"/>
          <w:szCs w:val="32"/>
          <w:highlight w:val="none"/>
        </w:rPr>
        <w:t>（二）一般公共预算财政拨款支出决算结构情况</w:t>
      </w:r>
      <w:bookmarkEnd w:id="35"/>
    </w:p>
    <w:p>
      <w:pPr>
        <w:spacing w:line="600" w:lineRule="exact"/>
        <w:ind w:firstLine="640"/>
        <w:rPr>
          <w:rFonts w:ascii="仿宋" w:hAnsi="仿宋" w:eastAsia="仿宋"/>
          <w:color w:val="auto"/>
          <w:sz w:val="32"/>
          <w:szCs w:val="32"/>
          <w:highlight w:val="none"/>
        </w:rPr>
      </w:pPr>
      <w:r>
        <w:rPr>
          <w:rFonts w:hint="eastAsia" w:ascii="仿宋_GB2312" w:hAnsi="仿宋_GB2312" w:eastAsia="仿宋_GB2312" w:cs="仿宋_GB2312"/>
          <w:b w:val="0"/>
          <w:bCs w:val="0"/>
          <w:color w:val="auto"/>
          <w:sz w:val="32"/>
          <w:szCs w:val="32"/>
          <w:highlight w:val="none"/>
        </w:rPr>
        <w:t>20</w:t>
      </w:r>
      <w:r>
        <w:rPr>
          <w:rFonts w:hint="eastAsia" w:ascii="仿宋_GB2312" w:hAnsi="仿宋_GB2312" w:eastAsia="仿宋_GB2312" w:cs="仿宋_GB2312"/>
          <w:b w:val="0"/>
          <w:bCs w:val="0"/>
          <w:color w:val="auto"/>
          <w:sz w:val="32"/>
          <w:szCs w:val="32"/>
          <w:highlight w:val="none"/>
          <w:lang w:val="en-US" w:eastAsia="zh-CN"/>
        </w:rPr>
        <w:t>21</w:t>
      </w:r>
      <w:r>
        <w:rPr>
          <w:rFonts w:hint="eastAsia" w:ascii="仿宋_GB2312" w:hAnsi="仿宋_GB2312" w:eastAsia="仿宋_GB2312" w:cs="仿宋_GB2312"/>
          <w:b w:val="0"/>
          <w:bCs w:val="0"/>
          <w:color w:val="auto"/>
          <w:sz w:val="32"/>
          <w:szCs w:val="32"/>
          <w:highlight w:val="none"/>
        </w:rPr>
        <w:t>年一般公共预算财政拨款支出</w:t>
      </w:r>
      <w:r>
        <w:rPr>
          <w:rFonts w:hint="eastAsia" w:ascii="仿宋_GB2312" w:hAnsi="仿宋_GB2312" w:eastAsia="仿宋_GB2312" w:cs="仿宋_GB2312"/>
          <w:b w:val="0"/>
          <w:bCs w:val="0"/>
          <w:color w:val="auto"/>
          <w:sz w:val="32"/>
          <w:szCs w:val="32"/>
          <w:highlight w:val="none"/>
          <w:lang w:val="en-US" w:eastAsia="zh-CN"/>
        </w:rPr>
        <w:t>211.25</w:t>
      </w:r>
      <w:r>
        <w:rPr>
          <w:rFonts w:hint="eastAsia" w:ascii="仿宋_GB2312" w:hAnsi="仿宋_GB2312" w:eastAsia="仿宋_GB2312" w:cs="仿宋_GB2312"/>
          <w:b w:val="0"/>
          <w:bCs w:val="0"/>
          <w:color w:val="auto"/>
          <w:sz w:val="32"/>
          <w:szCs w:val="32"/>
          <w:highlight w:val="none"/>
        </w:rPr>
        <w:t>万元，主要用于以下方面:一般公共服务（类）支出</w:t>
      </w:r>
      <w:r>
        <w:rPr>
          <w:rFonts w:hint="eastAsia" w:ascii="仿宋_GB2312" w:hAnsi="仿宋_GB2312" w:eastAsia="仿宋_GB2312" w:cs="仿宋_GB2312"/>
          <w:b w:val="0"/>
          <w:bCs w:val="0"/>
          <w:color w:val="auto"/>
          <w:sz w:val="32"/>
          <w:szCs w:val="32"/>
          <w:highlight w:val="none"/>
          <w:lang w:val="en-US" w:eastAsia="zh-CN"/>
        </w:rPr>
        <w:t>172.67</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eastAsia="仿宋_GB2312" w:cs="仿宋_GB2312"/>
          <w:b w:val="0"/>
          <w:bCs w:val="0"/>
          <w:color w:val="auto"/>
          <w:sz w:val="32"/>
          <w:szCs w:val="32"/>
          <w:highlight w:val="none"/>
          <w:lang w:val="en-US" w:eastAsia="zh-CN"/>
        </w:rPr>
        <w:t>81.74</w:t>
      </w:r>
      <w:r>
        <w:rPr>
          <w:rFonts w:hint="eastAsia" w:ascii="仿宋_GB2312" w:hAnsi="仿宋_GB2312" w:eastAsia="仿宋_GB2312" w:cs="仿宋_GB2312"/>
          <w:b w:val="0"/>
          <w:bCs w:val="0"/>
          <w:color w:val="auto"/>
          <w:sz w:val="32"/>
          <w:szCs w:val="32"/>
          <w:highlight w:val="none"/>
        </w:rPr>
        <w:t>%；社会保障和就业（类）支出</w:t>
      </w:r>
      <w:r>
        <w:rPr>
          <w:rFonts w:hint="eastAsia" w:ascii="仿宋_GB2312" w:hAnsi="仿宋_GB2312" w:eastAsia="仿宋_GB2312" w:cs="仿宋_GB2312"/>
          <w:b w:val="0"/>
          <w:bCs w:val="0"/>
          <w:color w:val="auto"/>
          <w:sz w:val="32"/>
          <w:szCs w:val="32"/>
          <w:highlight w:val="none"/>
          <w:lang w:val="en-US" w:eastAsia="zh-CN"/>
        </w:rPr>
        <w:t>16.37</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eastAsia="仿宋_GB2312" w:cs="仿宋_GB2312"/>
          <w:b w:val="0"/>
          <w:bCs w:val="0"/>
          <w:color w:val="auto"/>
          <w:sz w:val="32"/>
          <w:szCs w:val="32"/>
          <w:highlight w:val="none"/>
          <w:lang w:val="en-US" w:eastAsia="zh-CN"/>
        </w:rPr>
        <w:t>7.75</w:t>
      </w:r>
      <w:r>
        <w:rPr>
          <w:rFonts w:hint="eastAsia" w:ascii="仿宋_GB2312" w:hAnsi="仿宋_GB2312" w:eastAsia="仿宋_GB2312" w:cs="仿宋_GB2312"/>
          <w:b w:val="0"/>
          <w:bCs w:val="0"/>
          <w:color w:val="auto"/>
          <w:sz w:val="32"/>
          <w:szCs w:val="32"/>
          <w:highlight w:val="none"/>
        </w:rPr>
        <w:t>%；卫生健康支出</w:t>
      </w:r>
      <w:r>
        <w:rPr>
          <w:rFonts w:hint="eastAsia" w:ascii="仿宋_GB2312" w:hAnsi="仿宋_GB2312" w:eastAsia="仿宋_GB2312" w:cs="仿宋_GB2312"/>
          <w:b w:val="0"/>
          <w:bCs w:val="0"/>
          <w:color w:val="auto"/>
          <w:sz w:val="32"/>
          <w:szCs w:val="32"/>
          <w:highlight w:val="none"/>
          <w:lang w:val="en-US" w:eastAsia="zh-CN"/>
        </w:rPr>
        <w:t>7.75</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eastAsia="仿宋_GB2312" w:cs="仿宋_GB2312"/>
          <w:b w:val="0"/>
          <w:bCs w:val="0"/>
          <w:color w:val="auto"/>
          <w:sz w:val="32"/>
          <w:szCs w:val="32"/>
          <w:highlight w:val="none"/>
          <w:lang w:val="en-US" w:eastAsia="zh-CN"/>
        </w:rPr>
        <w:t>3.67</w:t>
      </w:r>
      <w:r>
        <w:rPr>
          <w:rFonts w:hint="eastAsia" w:ascii="仿宋_GB2312" w:hAnsi="仿宋_GB2312" w:eastAsia="仿宋_GB2312" w:cs="仿宋_GB2312"/>
          <w:b w:val="0"/>
          <w:bCs w:val="0"/>
          <w:color w:val="auto"/>
          <w:sz w:val="32"/>
          <w:szCs w:val="32"/>
          <w:highlight w:val="none"/>
        </w:rPr>
        <w:t>%；住房保障支出</w:t>
      </w:r>
      <w:r>
        <w:rPr>
          <w:rFonts w:hint="eastAsia" w:ascii="仿宋_GB2312" w:hAnsi="仿宋_GB2312" w:eastAsia="仿宋_GB2312" w:cs="仿宋_GB2312"/>
          <w:b w:val="0"/>
          <w:bCs w:val="0"/>
          <w:color w:val="auto"/>
          <w:sz w:val="32"/>
          <w:szCs w:val="32"/>
          <w:highlight w:val="none"/>
          <w:lang w:val="en-US" w:eastAsia="zh-CN"/>
        </w:rPr>
        <w:t>14.46</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eastAsia="仿宋_GB2312" w:cs="仿宋_GB2312"/>
          <w:b w:val="0"/>
          <w:bCs w:val="0"/>
          <w:color w:val="auto"/>
          <w:sz w:val="32"/>
          <w:szCs w:val="32"/>
          <w:highlight w:val="none"/>
          <w:lang w:val="en-US" w:eastAsia="zh-CN"/>
        </w:rPr>
        <w:t>6.84</w:t>
      </w:r>
      <w:r>
        <w:rPr>
          <w:rFonts w:hint="eastAsia" w:ascii="仿宋_GB2312" w:hAnsi="仿宋_GB2312" w:eastAsia="仿宋_GB2312" w:cs="仿宋_GB2312"/>
          <w:b w:val="0"/>
          <w:bCs w:val="0"/>
          <w:color w:val="auto"/>
          <w:sz w:val="32"/>
          <w:szCs w:val="32"/>
          <w:highlight w:val="none"/>
        </w:rPr>
        <w:t>%。</w:t>
      </w:r>
    </w:p>
    <w:p>
      <w:pPr>
        <w:pStyle w:val="7"/>
        <w:rPr>
          <w:rFonts w:hint="eastAsia" w:eastAsia="宋体"/>
          <w:lang w:eastAsia="zh-CN"/>
        </w:rPr>
      </w:pPr>
      <w:r>
        <w:rPr>
          <w:rFonts w:hint="eastAsia" w:eastAsia="宋体"/>
          <w:lang w:eastAsia="zh-CN"/>
        </w:rPr>
        <w:drawing>
          <wp:inline distT="0" distB="0" distL="114300" distR="114300">
            <wp:extent cx="4298950" cy="2294890"/>
            <wp:effectExtent l="4445" t="5080" r="20955" b="508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_GB2312" w:hAnsi="仿宋_GB2312" w:eastAsia="仿宋_GB2312" w:cs="仿宋_GB2312"/>
          <w:color w:val="auto"/>
          <w:sz w:val="32"/>
          <w:szCs w:val="32"/>
          <w:highlight w:val="none"/>
        </w:rPr>
        <w:t>（图6：一般公共预算财政拨款支出决算结构）（饼状图）</w:t>
      </w:r>
    </w:p>
    <w:p>
      <w:pPr>
        <w:spacing w:line="600" w:lineRule="exact"/>
        <w:ind w:firstLine="640" w:firstLineChars="200"/>
        <w:outlineLvl w:val="2"/>
        <w:rPr>
          <w:rFonts w:hint="eastAsia" w:ascii="楷体_GB2312" w:hAnsi="楷体_GB2312" w:eastAsia="楷体_GB2312" w:cs="楷体_GB2312"/>
          <w:b w:val="0"/>
          <w:bCs/>
          <w:color w:val="auto"/>
          <w:sz w:val="32"/>
          <w:szCs w:val="32"/>
          <w:highlight w:val="none"/>
        </w:rPr>
      </w:pPr>
      <w:bookmarkStart w:id="36" w:name="_Toc15377212"/>
      <w:r>
        <w:rPr>
          <w:rFonts w:hint="eastAsia" w:ascii="楷体_GB2312" w:hAnsi="楷体_GB2312" w:eastAsia="楷体_GB2312" w:cs="楷体_GB2312"/>
          <w:b w:val="0"/>
          <w:bCs/>
          <w:color w:val="auto"/>
          <w:sz w:val="32"/>
          <w:szCs w:val="32"/>
          <w:highlight w:val="none"/>
        </w:rPr>
        <w:t>（三）一般公共预算财政拨款支出决算具体情况</w:t>
      </w:r>
      <w:bookmarkEnd w:id="36"/>
    </w:p>
    <w:p>
      <w:pPr>
        <w:spacing w:line="600" w:lineRule="exact"/>
        <w:ind w:firstLine="640" w:firstLineChars="200"/>
        <w:outlineLvl w:val="2"/>
        <w:rPr>
          <w:rFonts w:hint="eastAsia" w:ascii="仿宋_GB2312" w:hAnsi="仿宋_GB2312" w:eastAsia="仿宋_GB2312" w:cs="仿宋_GB2312"/>
          <w:b w:val="0"/>
          <w:bCs/>
          <w:color w:val="auto"/>
          <w:sz w:val="32"/>
          <w:szCs w:val="32"/>
          <w:highlight w:val="none"/>
        </w:rPr>
      </w:pPr>
      <w:bookmarkStart w:id="37" w:name="_Toc15378460"/>
      <w:bookmarkStart w:id="38" w:name="_Toc15377444"/>
      <w:bookmarkStart w:id="39" w:name="_Toc15377213"/>
      <w:r>
        <w:rPr>
          <w:rFonts w:hint="eastAsia" w:ascii="仿宋_GB2312" w:hAnsi="仿宋_GB2312" w:eastAsia="仿宋_GB2312" w:cs="仿宋_GB2312"/>
          <w:b w:val="0"/>
          <w:bCs/>
          <w:color w:val="auto"/>
          <w:sz w:val="32"/>
          <w:szCs w:val="32"/>
          <w:highlight w:val="none"/>
        </w:rPr>
        <w:t>20</w:t>
      </w:r>
      <w:r>
        <w:rPr>
          <w:rFonts w:hint="eastAsia" w:ascii="仿宋_GB2312" w:hAnsi="仿宋_GB2312" w:eastAsia="仿宋_GB2312" w:cs="仿宋_GB2312"/>
          <w:b w:val="0"/>
          <w:bCs/>
          <w:color w:val="auto"/>
          <w:sz w:val="32"/>
          <w:szCs w:val="32"/>
          <w:highlight w:val="none"/>
          <w:lang w:val="en-US" w:eastAsia="zh-CN"/>
        </w:rPr>
        <w:t>21</w:t>
      </w:r>
      <w:r>
        <w:rPr>
          <w:rFonts w:hint="eastAsia" w:ascii="仿宋_GB2312" w:hAnsi="仿宋_GB2312" w:eastAsia="仿宋_GB2312" w:cs="仿宋_GB2312"/>
          <w:b w:val="0"/>
          <w:bCs/>
          <w:color w:val="auto"/>
          <w:sz w:val="32"/>
          <w:szCs w:val="32"/>
          <w:highlight w:val="none"/>
        </w:rPr>
        <w:t>年</w:t>
      </w:r>
      <w:r>
        <w:rPr>
          <w:rFonts w:hint="eastAsia" w:ascii="仿宋_GB2312" w:hAnsi="仿宋_GB2312" w:eastAsia="仿宋_GB2312" w:cs="仿宋_GB2312"/>
          <w:b w:val="0"/>
          <w:bCs/>
          <w:color w:val="auto"/>
          <w:sz w:val="32"/>
          <w:szCs w:val="32"/>
          <w:highlight w:val="none"/>
          <w:lang w:eastAsia="zh-CN"/>
        </w:rPr>
        <w:t>一</w:t>
      </w:r>
      <w:r>
        <w:rPr>
          <w:rFonts w:hint="eastAsia" w:ascii="仿宋_GB2312" w:hAnsi="仿宋_GB2312" w:eastAsia="仿宋_GB2312" w:cs="仿宋_GB2312"/>
          <w:b w:val="0"/>
          <w:bCs/>
          <w:color w:val="auto"/>
          <w:sz w:val="32"/>
          <w:szCs w:val="32"/>
          <w:highlight w:val="none"/>
        </w:rPr>
        <w:t>般公共预算支出决算数为</w:t>
      </w:r>
      <w:r>
        <w:rPr>
          <w:rFonts w:hint="eastAsia" w:ascii="仿宋_GB2312" w:hAnsi="仿宋_GB2312" w:eastAsia="仿宋_GB2312" w:cs="仿宋_GB2312"/>
          <w:b w:val="0"/>
          <w:bCs/>
          <w:color w:val="auto"/>
          <w:sz w:val="32"/>
          <w:szCs w:val="32"/>
          <w:highlight w:val="none"/>
          <w:lang w:val="en-US" w:eastAsia="zh-CN"/>
        </w:rPr>
        <w:t>211.25万元</w:t>
      </w:r>
      <w:r>
        <w:rPr>
          <w:rFonts w:hint="eastAsia" w:ascii="仿宋_GB2312" w:hAnsi="仿宋_GB2312" w:eastAsia="仿宋_GB2312" w:cs="仿宋_GB2312"/>
          <w:b w:val="0"/>
          <w:bCs/>
          <w:color w:val="auto"/>
          <w:sz w:val="32"/>
          <w:szCs w:val="32"/>
          <w:highlight w:val="none"/>
        </w:rPr>
        <w:t>，</w:t>
      </w:r>
      <w:r>
        <w:rPr>
          <w:rStyle w:val="17"/>
          <w:rFonts w:hint="eastAsia" w:ascii="仿宋_GB2312" w:hAnsi="仿宋_GB2312" w:eastAsia="仿宋_GB2312" w:cs="仿宋_GB2312"/>
          <w:b w:val="0"/>
          <w:bCs/>
          <w:color w:val="auto"/>
          <w:sz w:val="32"/>
          <w:szCs w:val="32"/>
          <w:highlight w:val="none"/>
        </w:rPr>
        <w:t>完成预算</w:t>
      </w:r>
      <w:r>
        <w:rPr>
          <w:rStyle w:val="17"/>
          <w:rFonts w:hint="eastAsia" w:ascii="仿宋_GB2312" w:hAnsi="仿宋_GB2312" w:eastAsia="仿宋_GB2312" w:cs="仿宋_GB2312"/>
          <w:b w:val="0"/>
          <w:bCs/>
          <w:color w:val="auto"/>
          <w:sz w:val="32"/>
          <w:szCs w:val="32"/>
          <w:highlight w:val="none"/>
          <w:lang w:val="en-US" w:eastAsia="zh-CN"/>
        </w:rPr>
        <w:t>100</w:t>
      </w:r>
      <w:r>
        <w:rPr>
          <w:rStyle w:val="17"/>
          <w:rFonts w:hint="eastAsia" w:ascii="仿宋_GB2312" w:hAnsi="仿宋_GB2312" w:eastAsia="仿宋_GB2312" w:cs="仿宋_GB2312"/>
          <w:b w:val="0"/>
          <w:bCs/>
          <w:color w:val="auto"/>
          <w:sz w:val="32"/>
          <w:szCs w:val="32"/>
          <w:highlight w:val="none"/>
        </w:rPr>
        <w:t>%。其中：</w:t>
      </w:r>
      <w:bookmarkEnd w:id="37"/>
      <w:bookmarkEnd w:id="38"/>
      <w:bookmarkEnd w:id="3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color w:val="000000"/>
          <w:sz w:val="32"/>
          <w:szCs w:val="32"/>
        </w:rPr>
      </w:pPr>
      <w:r>
        <w:rPr>
          <w:rStyle w:val="17"/>
          <w:rFonts w:hint="eastAsia" w:ascii="仿宋_GB2312" w:hAnsi="仿宋_GB2312" w:eastAsia="仿宋_GB2312" w:cs="仿宋_GB2312"/>
          <w:b w:val="0"/>
          <w:bCs/>
          <w:color w:val="000000"/>
          <w:sz w:val="32"/>
          <w:szCs w:val="32"/>
        </w:rPr>
        <w:t>1.一般公共服务（类）</w:t>
      </w:r>
      <w:r>
        <w:rPr>
          <w:rStyle w:val="17"/>
          <w:rFonts w:hint="eastAsia" w:ascii="仿宋_GB2312" w:hAnsi="仿宋_GB2312" w:eastAsia="仿宋_GB2312" w:cs="仿宋_GB2312"/>
          <w:b w:val="0"/>
          <w:bCs/>
          <w:color w:val="000000"/>
          <w:sz w:val="32"/>
          <w:szCs w:val="32"/>
          <w:lang w:val="en-US" w:eastAsia="zh-CN"/>
        </w:rPr>
        <w:t>人力资源事务（款）行政运行、一般行政管理事务（项）</w:t>
      </w:r>
      <w:r>
        <w:rPr>
          <w:rStyle w:val="17"/>
          <w:rFonts w:hint="eastAsia" w:ascii="仿宋_GB2312" w:hAnsi="仿宋_GB2312" w:eastAsia="仿宋_GB2312" w:cs="仿宋_GB2312"/>
          <w:b w:val="0"/>
          <w:bCs/>
          <w:color w:val="000000"/>
          <w:sz w:val="32"/>
          <w:szCs w:val="32"/>
        </w:rPr>
        <w:t>:支出决算为</w:t>
      </w:r>
      <w:r>
        <w:rPr>
          <w:rStyle w:val="17"/>
          <w:rFonts w:hint="eastAsia" w:ascii="仿宋_GB2312" w:hAnsi="仿宋_GB2312" w:eastAsia="仿宋_GB2312" w:cs="仿宋_GB2312"/>
          <w:b w:val="0"/>
          <w:bCs/>
          <w:color w:val="000000"/>
          <w:sz w:val="32"/>
          <w:szCs w:val="32"/>
          <w:lang w:val="en-US" w:eastAsia="zh-CN"/>
        </w:rPr>
        <w:t>172.67</w:t>
      </w:r>
      <w:r>
        <w:rPr>
          <w:rStyle w:val="17"/>
          <w:rFonts w:hint="eastAsia" w:ascii="仿宋_GB2312" w:hAnsi="仿宋_GB2312" w:eastAsia="仿宋_GB2312" w:cs="仿宋_GB2312"/>
          <w:b w:val="0"/>
          <w:bCs/>
          <w:color w:val="000000"/>
          <w:sz w:val="32"/>
          <w:szCs w:val="32"/>
        </w:rPr>
        <w:t>万元，完成预算</w:t>
      </w:r>
      <w:r>
        <w:rPr>
          <w:rStyle w:val="17"/>
          <w:rFonts w:hint="eastAsia" w:ascii="仿宋_GB2312" w:hAnsi="仿宋_GB2312" w:eastAsia="仿宋_GB2312" w:cs="仿宋_GB2312"/>
          <w:b w:val="0"/>
          <w:bCs/>
          <w:color w:val="000000"/>
          <w:sz w:val="32"/>
          <w:szCs w:val="32"/>
          <w:lang w:val="en-US" w:eastAsia="zh-CN"/>
        </w:rPr>
        <w:t>100</w:t>
      </w:r>
      <w:r>
        <w:rPr>
          <w:rStyle w:val="17"/>
          <w:rFonts w:hint="eastAsia" w:ascii="仿宋_GB2312" w:hAnsi="仿宋_GB2312" w:eastAsia="仿宋_GB2312" w:cs="仿宋_GB2312"/>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color w:val="000000"/>
          <w:sz w:val="32"/>
          <w:szCs w:val="32"/>
        </w:rPr>
      </w:pPr>
      <w:r>
        <w:rPr>
          <w:rStyle w:val="17"/>
          <w:rFonts w:hint="eastAsia" w:ascii="仿宋_GB2312" w:hAnsi="仿宋_GB2312" w:eastAsia="仿宋_GB2312" w:cs="仿宋_GB2312"/>
          <w:b w:val="0"/>
          <w:bCs/>
          <w:color w:val="000000"/>
          <w:sz w:val="32"/>
          <w:szCs w:val="32"/>
          <w:lang w:val="en-US" w:eastAsia="zh-CN"/>
        </w:rPr>
        <w:t>2</w:t>
      </w:r>
      <w:r>
        <w:rPr>
          <w:rStyle w:val="17"/>
          <w:rFonts w:hint="eastAsia" w:ascii="仿宋_GB2312" w:hAnsi="仿宋_GB2312" w:eastAsia="仿宋_GB2312" w:cs="仿宋_GB2312"/>
          <w:b w:val="0"/>
          <w:bCs/>
          <w:color w:val="000000"/>
          <w:sz w:val="32"/>
          <w:szCs w:val="32"/>
        </w:rPr>
        <w:t>.社会保障和就业（类）</w:t>
      </w:r>
      <w:r>
        <w:rPr>
          <w:rStyle w:val="17"/>
          <w:rFonts w:hint="eastAsia" w:ascii="仿宋_GB2312" w:hAnsi="仿宋_GB2312" w:eastAsia="仿宋_GB2312" w:cs="仿宋_GB2312"/>
          <w:b w:val="0"/>
          <w:bCs/>
          <w:color w:val="000000"/>
          <w:sz w:val="32"/>
          <w:szCs w:val="32"/>
          <w:lang w:val="en-US" w:eastAsia="zh-CN"/>
        </w:rPr>
        <w:t>行政事业单位养老、其他社会保障和就业（款）机关事业单位基本养老保险缴费、其他社会保障和就业（项）</w:t>
      </w:r>
      <w:r>
        <w:rPr>
          <w:rStyle w:val="17"/>
          <w:rFonts w:hint="eastAsia" w:ascii="仿宋_GB2312" w:hAnsi="仿宋_GB2312" w:eastAsia="仿宋_GB2312" w:cs="仿宋_GB2312"/>
          <w:b w:val="0"/>
          <w:bCs/>
          <w:color w:val="000000"/>
          <w:sz w:val="32"/>
          <w:szCs w:val="32"/>
        </w:rPr>
        <w:t>:支出决算为</w:t>
      </w:r>
      <w:r>
        <w:rPr>
          <w:rStyle w:val="17"/>
          <w:rFonts w:hint="eastAsia" w:ascii="仿宋_GB2312" w:hAnsi="仿宋_GB2312" w:eastAsia="仿宋_GB2312" w:cs="仿宋_GB2312"/>
          <w:b w:val="0"/>
          <w:bCs/>
          <w:color w:val="000000"/>
          <w:sz w:val="32"/>
          <w:szCs w:val="32"/>
          <w:lang w:val="en-US" w:eastAsia="zh-CN"/>
        </w:rPr>
        <w:t>16.37</w:t>
      </w:r>
      <w:r>
        <w:rPr>
          <w:rStyle w:val="17"/>
          <w:rFonts w:hint="eastAsia" w:ascii="仿宋_GB2312" w:hAnsi="仿宋_GB2312" w:eastAsia="仿宋_GB2312" w:cs="仿宋_GB2312"/>
          <w:b w:val="0"/>
          <w:bCs/>
          <w:color w:val="000000"/>
          <w:sz w:val="32"/>
          <w:szCs w:val="32"/>
        </w:rPr>
        <w:t>万元，完成预算</w:t>
      </w:r>
      <w:r>
        <w:rPr>
          <w:rStyle w:val="17"/>
          <w:rFonts w:hint="eastAsia" w:ascii="仿宋_GB2312" w:hAnsi="仿宋_GB2312" w:eastAsia="仿宋_GB2312" w:cs="仿宋_GB2312"/>
          <w:b w:val="0"/>
          <w:bCs/>
          <w:color w:val="000000"/>
          <w:sz w:val="32"/>
          <w:szCs w:val="32"/>
          <w:lang w:val="en-US" w:eastAsia="zh-CN"/>
        </w:rPr>
        <w:t>100</w:t>
      </w:r>
      <w:r>
        <w:rPr>
          <w:rStyle w:val="17"/>
          <w:rFonts w:hint="eastAsia" w:ascii="仿宋_GB2312" w:hAnsi="仿宋_GB2312" w:eastAsia="仿宋_GB2312" w:cs="仿宋_GB2312"/>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17"/>
          <w:rFonts w:hint="eastAsia" w:ascii="仿宋_GB2312" w:hAnsi="仿宋_GB2312" w:eastAsia="仿宋_GB2312" w:cs="仿宋_GB2312"/>
          <w:b w:val="0"/>
          <w:bCs/>
          <w:color w:val="000000"/>
          <w:sz w:val="32"/>
          <w:szCs w:val="32"/>
        </w:rPr>
      </w:pPr>
      <w:r>
        <w:rPr>
          <w:rStyle w:val="17"/>
          <w:rFonts w:hint="eastAsia" w:ascii="仿宋_GB2312" w:hAnsi="仿宋_GB2312" w:eastAsia="仿宋_GB2312" w:cs="仿宋_GB2312"/>
          <w:b w:val="0"/>
          <w:bCs/>
          <w:color w:val="000000"/>
          <w:sz w:val="32"/>
          <w:szCs w:val="32"/>
          <w:lang w:val="en-US" w:eastAsia="zh-CN"/>
        </w:rPr>
        <w:t>3</w:t>
      </w:r>
      <w:r>
        <w:rPr>
          <w:rStyle w:val="17"/>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rPr>
        <w:t>卫生健康</w:t>
      </w:r>
      <w:r>
        <w:rPr>
          <w:rStyle w:val="17"/>
          <w:rFonts w:hint="eastAsia" w:ascii="仿宋_GB2312" w:hAnsi="仿宋_GB2312" w:eastAsia="仿宋_GB2312" w:cs="仿宋_GB2312"/>
          <w:b w:val="0"/>
          <w:bCs/>
          <w:color w:val="000000"/>
          <w:sz w:val="32"/>
          <w:szCs w:val="32"/>
        </w:rPr>
        <w:t>（类）</w:t>
      </w:r>
      <w:r>
        <w:rPr>
          <w:rStyle w:val="17"/>
          <w:rFonts w:hint="eastAsia" w:ascii="仿宋_GB2312" w:hAnsi="仿宋_GB2312" w:eastAsia="仿宋_GB2312" w:cs="仿宋_GB2312"/>
          <w:b w:val="0"/>
          <w:bCs/>
          <w:color w:val="000000"/>
          <w:sz w:val="32"/>
          <w:szCs w:val="32"/>
          <w:lang w:val="en-US" w:eastAsia="zh-CN"/>
        </w:rPr>
        <w:t>行政事业（款）行政单位医疗（项）</w:t>
      </w:r>
      <w:r>
        <w:rPr>
          <w:rStyle w:val="17"/>
          <w:rFonts w:hint="eastAsia" w:ascii="仿宋_GB2312" w:hAnsi="仿宋_GB2312" w:eastAsia="仿宋_GB2312" w:cs="仿宋_GB2312"/>
          <w:b w:val="0"/>
          <w:bCs/>
          <w:color w:val="000000"/>
          <w:sz w:val="32"/>
          <w:szCs w:val="32"/>
        </w:rPr>
        <w:t>:支出决算为</w:t>
      </w:r>
      <w:r>
        <w:rPr>
          <w:rStyle w:val="17"/>
          <w:rFonts w:hint="eastAsia" w:ascii="仿宋_GB2312" w:hAnsi="仿宋_GB2312" w:eastAsia="仿宋_GB2312" w:cs="仿宋_GB2312"/>
          <w:b w:val="0"/>
          <w:bCs/>
          <w:color w:val="000000"/>
          <w:sz w:val="32"/>
          <w:szCs w:val="32"/>
          <w:lang w:val="en-US" w:eastAsia="zh-CN"/>
        </w:rPr>
        <w:t>7.75</w:t>
      </w:r>
      <w:r>
        <w:rPr>
          <w:rStyle w:val="17"/>
          <w:rFonts w:hint="eastAsia" w:ascii="仿宋_GB2312" w:hAnsi="仿宋_GB2312" w:eastAsia="仿宋_GB2312" w:cs="仿宋_GB2312"/>
          <w:b w:val="0"/>
          <w:bCs/>
          <w:color w:val="000000"/>
          <w:sz w:val="32"/>
          <w:szCs w:val="32"/>
        </w:rPr>
        <w:t>万元，完成预算</w:t>
      </w:r>
      <w:r>
        <w:rPr>
          <w:rStyle w:val="17"/>
          <w:rFonts w:hint="eastAsia" w:ascii="仿宋_GB2312" w:hAnsi="仿宋_GB2312" w:eastAsia="仿宋_GB2312" w:cs="仿宋_GB2312"/>
          <w:b w:val="0"/>
          <w:bCs/>
          <w:color w:val="000000"/>
          <w:sz w:val="32"/>
          <w:szCs w:val="32"/>
          <w:lang w:val="en-US" w:eastAsia="zh-CN"/>
        </w:rPr>
        <w:t>100</w:t>
      </w:r>
      <w:r>
        <w:rPr>
          <w:rStyle w:val="17"/>
          <w:rFonts w:hint="eastAsia" w:ascii="仿宋_GB2312" w:hAnsi="仿宋_GB2312" w:eastAsia="仿宋_GB2312" w:cs="仿宋_GB2312"/>
          <w:b w:val="0"/>
          <w:bCs/>
          <w:color w:val="000000"/>
          <w:sz w:val="32"/>
          <w:szCs w:val="32"/>
        </w:rPr>
        <w:t>%。</w:t>
      </w:r>
    </w:p>
    <w:p>
      <w:pPr>
        <w:pStyle w:val="7"/>
        <w:keepNext w:val="0"/>
        <w:keepLines w:val="0"/>
        <w:pageBreakBefore w:val="0"/>
        <w:widowControl w:val="0"/>
        <w:kinsoku/>
        <w:wordWrap/>
        <w:overflowPunct/>
        <w:topLinePunct w:val="0"/>
        <w:autoSpaceDE/>
        <w:autoSpaceDN/>
        <w:bidi w:val="0"/>
        <w:adjustRightInd/>
        <w:snapToGrid/>
        <w:spacing w:after="0" w:line="576" w:lineRule="exact"/>
        <w:ind w:left="0" w:leftChars="0" w:firstLine="640" w:firstLineChars="200"/>
        <w:textAlignment w:val="auto"/>
        <w:rPr>
          <w:rFonts w:hint="eastAsia"/>
        </w:rPr>
      </w:pPr>
      <w:r>
        <w:rPr>
          <w:rFonts w:hint="eastAsia" w:ascii="仿宋_GB2312" w:hAnsi="仿宋_GB2312" w:eastAsia="仿宋_GB2312" w:cs="仿宋_GB2312"/>
          <w:b w:val="0"/>
          <w:bCs w:val="0"/>
          <w:color w:val="000000"/>
          <w:sz w:val="32"/>
          <w:szCs w:val="32"/>
          <w:lang w:val="en-US" w:eastAsia="zh-CN"/>
        </w:rPr>
        <w:t>4.</w:t>
      </w:r>
      <w:r>
        <w:rPr>
          <w:rFonts w:hint="eastAsia" w:ascii="仿宋_GB2312" w:hAnsi="仿宋_GB2312" w:eastAsia="仿宋_GB2312" w:cs="仿宋_GB2312"/>
          <w:b w:val="0"/>
          <w:bCs w:val="0"/>
          <w:color w:val="000000"/>
          <w:sz w:val="32"/>
          <w:szCs w:val="32"/>
        </w:rPr>
        <w:t>住房保障</w:t>
      </w:r>
      <w:r>
        <w:rPr>
          <w:rFonts w:hint="eastAsia" w:ascii="仿宋_GB2312" w:hAnsi="仿宋_GB2312" w:eastAsia="仿宋_GB2312" w:cs="仿宋_GB2312"/>
          <w:b w:val="0"/>
          <w:bCs w:val="0"/>
          <w:color w:val="000000"/>
          <w:sz w:val="32"/>
          <w:szCs w:val="32"/>
          <w:lang w:val="en-US" w:eastAsia="zh-CN"/>
        </w:rPr>
        <w:t>（类）住房改革（款）公积金（项）：</w:t>
      </w:r>
      <w:r>
        <w:rPr>
          <w:rFonts w:hint="eastAsia" w:ascii="仿宋_GB2312" w:hAnsi="仿宋_GB2312" w:eastAsia="仿宋_GB2312" w:cs="仿宋_GB2312"/>
          <w:b w:val="0"/>
          <w:bCs w:val="0"/>
          <w:color w:val="000000"/>
          <w:sz w:val="32"/>
          <w:szCs w:val="32"/>
        </w:rPr>
        <w:t>支出</w:t>
      </w:r>
      <w:r>
        <w:rPr>
          <w:rFonts w:hint="eastAsia" w:ascii="仿宋_GB2312" w:hAnsi="仿宋_GB2312" w:eastAsia="仿宋_GB2312" w:cs="仿宋_GB2312"/>
          <w:b w:val="0"/>
          <w:bCs w:val="0"/>
          <w:color w:val="000000"/>
          <w:sz w:val="32"/>
          <w:szCs w:val="32"/>
          <w:lang w:eastAsia="zh-CN"/>
        </w:rPr>
        <w:t>决算为</w:t>
      </w:r>
      <w:r>
        <w:rPr>
          <w:rFonts w:hint="eastAsia" w:ascii="仿宋_GB2312" w:hAnsi="仿宋_GB2312" w:eastAsia="仿宋_GB2312" w:cs="仿宋_GB2312"/>
          <w:b w:val="0"/>
          <w:bCs w:val="0"/>
          <w:color w:val="000000"/>
          <w:sz w:val="32"/>
          <w:szCs w:val="32"/>
          <w:lang w:val="en-US" w:eastAsia="zh-CN"/>
        </w:rPr>
        <w:t>14.46</w:t>
      </w:r>
      <w:r>
        <w:rPr>
          <w:rFonts w:hint="eastAsia" w:ascii="仿宋_GB2312" w:hAnsi="仿宋_GB2312" w:eastAsia="仿宋_GB2312" w:cs="仿宋_GB2312"/>
          <w:b w:val="0"/>
          <w:bCs w:val="0"/>
          <w:color w:val="000000"/>
          <w:sz w:val="32"/>
          <w:szCs w:val="32"/>
        </w:rPr>
        <w:t>万元，</w:t>
      </w:r>
      <w:r>
        <w:rPr>
          <w:rFonts w:hint="eastAsia" w:ascii="仿宋_GB2312" w:hAnsi="仿宋_GB2312" w:eastAsia="仿宋_GB2312" w:cs="仿宋_GB2312"/>
          <w:b w:val="0"/>
          <w:bCs w:val="0"/>
          <w:color w:val="000000"/>
          <w:sz w:val="32"/>
          <w:szCs w:val="32"/>
          <w:lang w:eastAsia="zh-CN"/>
        </w:rPr>
        <w:t>完成预算</w:t>
      </w:r>
      <w:r>
        <w:rPr>
          <w:rFonts w:hint="eastAsia" w:ascii="仿宋_GB2312" w:hAnsi="仿宋_GB2312" w:eastAsia="仿宋_GB2312" w:cs="仿宋_GB2312"/>
          <w:b w:val="0"/>
          <w:bCs w:val="0"/>
          <w:color w:val="000000"/>
          <w:sz w:val="32"/>
          <w:szCs w:val="32"/>
          <w:lang w:val="en-US" w:eastAsia="zh-CN"/>
        </w:rPr>
        <w:t>100</w:t>
      </w:r>
      <w:r>
        <w:rPr>
          <w:rFonts w:hint="eastAsia" w:ascii="仿宋_GB2312" w:hAnsi="仿宋_GB2312" w:eastAsia="仿宋_GB2312" w:cs="仿宋_GB2312"/>
          <w:b w:val="0"/>
          <w:bCs w:val="0"/>
          <w:color w:val="000000"/>
          <w:sz w:val="32"/>
          <w:szCs w:val="32"/>
        </w:rPr>
        <w:t>%</w:t>
      </w:r>
    </w:p>
    <w:p>
      <w:pPr>
        <w:tabs>
          <w:tab w:val="right" w:pos="8306"/>
        </w:tabs>
        <w:spacing w:line="600" w:lineRule="exact"/>
        <w:ind w:firstLine="640"/>
        <w:outlineLvl w:val="1"/>
        <w:rPr>
          <w:rStyle w:val="28"/>
          <w:color w:val="auto"/>
          <w:highlight w:val="none"/>
        </w:rPr>
      </w:pPr>
      <w:bookmarkStart w:id="40" w:name="_Toc15396608"/>
      <w:bookmarkStart w:id="41"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般公共预算财政拨款基本支出决算情况说明</w:t>
      </w:r>
      <w:bookmarkEnd w:id="40"/>
      <w:bookmarkEnd w:id="41"/>
      <w:r>
        <w:rPr>
          <w:rStyle w:val="28"/>
          <w:rFonts w:ascii="黑体" w:hAnsi="黑体" w:eastAsia="黑体"/>
          <w:b w:val="0"/>
          <w:color w:val="auto"/>
          <w:highlight w:val="none"/>
        </w:rPr>
        <w:tab/>
      </w:r>
    </w:p>
    <w:p>
      <w:pPr>
        <w:spacing w:line="600" w:lineRule="exact"/>
        <w:ind w:firstLine="645"/>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年一般公共预算财政拨款基本支出</w:t>
      </w:r>
      <w:r>
        <w:rPr>
          <w:rFonts w:hint="eastAsia" w:ascii="仿宋_GB2312" w:hAnsi="仿宋_GB2312" w:eastAsia="仿宋_GB2312" w:cs="仿宋_GB2312"/>
          <w:color w:val="auto"/>
          <w:sz w:val="32"/>
          <w:szCs w:val="32"/>
          <w:highlight w:val="none"/>
          <w:lang w:val="en-US" w:eastAsia="zh-CN"/>
        </w:rPr>
        <w:t>195.08</w:t>
      </w:r>
      <w:r>
        <w:rPr>
          <w:rFonts w:hint="eastAsia" w:ascii="仿宋_GB2312" w:hAnsi="仿宋_GB2312" w:eastAsia="仿宋_GB2312" w:cs="仿宋_GB2312"/>
          <w:color w:val="auto"/>
          <w:sz w:val="32"/>
          <w:szCs w:val="32"/>
          <w:highlight w:val="none"/>
        </w:rPr>
        <w:t>万元，其中：</w:t>
      </w:r>
    </w:p>
    <w:p>
      <w:pPr>
        <w:spacing w:line="600" w:lineRule="exact"/>
        <w:ind w:firstLine="645"/>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人员经费</w:t>
      </w:r>
      <w:r>
        <w:rPr>
          <w:rFonts w:hint="eastAsia" w:ascii="仿宋_GB2312" w:hAnsi="仿宋_GB2312" w:eastAsia="仿宋_GB2312" w:cs="仿宋_GB2312"/>
          <w:color w:val="auto"/>
          <w:sz w:val="32"/>
          <w:szCs w:val="32"/>
          <w:highlight w:val="none"/>
          <w:lang w:val="en-US" w:eastAsia="zh-CN"/>
        </w:rPr>
        <w:t>176.92</w:t>
      </w:r>
      <w:r>
        <w:rPr>
          <w:rFonts w:hint="eastAsia" w:ascii="仿宋_GB2312" w:hAnsi="仿宋_GB2312" w:eastAsia="仿宋_GB2312" w:cs="仿宋_GB2312"/>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公用经费</w:t>
      </w:r>
      <w:r>
        <w:rPr>
          <w:rFonts w:hint="eastAsia" w:ascii="仿宋_GB2312" w:hAnsi="仿宋_GB2312" w:eastAsia="仿宋_GB2312" w:cs="仿宋_GB2312"/>
          <w:color w:val="auto"/>
          <w:sz w:val="32"/>
          <w:szCs w:val="32"/>
          <w:highlight w:val="none"/>
          <w:lang w:val="en-US" w:eastAsia="zh-CN"/>
        </w:rPr>
        <w:t>18.16</w:t>
      </w:r>
      <w:r>
        <w:rPr>
          <w:rFonts w:hint="eastAsia" w:ascii="仿宋_GB2312" w:hAnsi="仿宋_GB2312" w:eastAsia="仿宋_GB2312" w:cs="仿宋_GB2312"/>
          <w:color w:val="auto"/>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8"/>
          <w:rFonts w:ascii="黑体" w:hAnsi="黑体" w:eastAsia="黑体"/>
          <w:b w:val="0"/>
          <w:color w:val="auto"/>
          <w:highlight w:val="none"/>
        </w:rPr>
      </w:pPr>
      <w:bookmarkStart w:id="42" w:name="_Toc15377215"/>
      <w:bookmarkStart w:id="43" w:name="_Toc15396609"/>
      <w:r>
        <w:rPr>
          <w:rFonts w:hint="eastAsia" w:ascii="黑体" w:eastAsia="黑体"/>
          <w:color w:val="auto"/>
          <w:sz w:val="32"/>
          <w:szCs w:val="32"/>
          <w:highlight w:val="none"/>
        </w:rPr>
        <w:t>七、</w:t>
      </w:r>
      <w:r>
        <w:rPr>
          <w:rStyle w:val="28"/>
          <w:rFonts w:hint="eastAsia" w:ascii="黑体" w:hAnsi="黑体" w:eastAsia="黑体"/>
          <w:color w:val="auto"/>
          <w:highlight w:val="none"/>
        </w:rPr>
        <w:t>“</w:t>
      </w:r>
      <w:r>
        <w:rPr>
          <w:rStyle w:val="28"/>
          <w:rFonts w:hint="eastAsia" w:ascii="黑体" w:hAnsi="黑体" w:eastAsia="黑体"/>
          <w:b w:val="0"/>
          <w:color w:val="auto"/>
          <w:highlight w:val="none"/>
        </w:rPr>
        <w:t>三公”经费财政拨款支出决算情况说明</w:t>
      </w:r>
      <w:bookmarkEnd w:id="42"/>
      <w:bookmarkEnd w:id="43"/>
    </w:p>
    <w:p>
      <w:pPr>
        <w:spacing w:line="600" w:lineRule="exact"/>
        <w:ind w:firstLine="640"/>
        <w:outlineLvl w:val="2"/>
        <w:rPr>
          <w:rFonts w:hint="eastAsia" w:ascii="楷体_GB2312" w:hAnsi="楷体_GB2312" w:eastAsia="楷体_GB2312" w:cs="楷体_GB2312"/>
          <w:b w:val="0"/>
          <w:bCs/>
          <w:color w:val="auto"/>
          <w:sz w:val="32"/>
          <w:szCs w:val="32"/>
          <w:highlight w:val="none"/>
        </w:rPr>
      </w:pPr>
      <w:bookmarkStart w:id="44" w:name="_Toc15377216"/>
      <w:r>
        <w:rPr>
          <w:rFonts w:hint="eastAsia" w:ascii="楷体_GB2312" w:hAnsi="楷体_GB2312" w:eastAsia="楷体_GB2312" w:cs="楷体_GB2312"/>
          <w:b w:val="0"/>
          <w:bCs/>
          <w:color w:val="auto"/>
          <w:sz w:val="32"/>
          <w:szCs w:val="32"/>
          <w:highlight w:val="none"/>
        </w:rPr>
        <w:t>（一）“三公”经费财政拨款支出决算总体情况说明</w:t>
      </w:r>
      <w:bookmarkEnd w:id="44"/>
    </w:p>
    <w:p>
      <w:pPr>
        <w:spacing w:line="600" w:lineRule="exact"/>
        <w:ind w:firstLine="640"/>
        <w:rPr>
          <w:rFonts w:hint="eastAsia" w:ascii="仿宋_GB2312" w:hAnsi="仿宋_GB2312" w:eastAsia="仿宋_GB2312" w:cs="仿宋_GB2312"/>
          <w:snapToGrid w:val="0"/>
          <w:color w:val="auto"/>
          <w:kern w:val="0"/>
          <w:sz w:val="32"/>
          <w:szCs w:val="32"/>
          <w:highlight w:val="none"/>
        </w:rPr>
      </w:pPr>
      <w:r>
        <w:rPr>
          <w:rFonts w:hint="eastAsia" w:ascii="仿宋_GB2312" w:hAnsi="仿宋_GB2312" w:eastAsia="仿宋_GB2312" w:cs="仿宋_GB2312"/>
          <w:snapToGrid w:val="0"/>
          <w:color w:val="auto"/>
          <w:kern w:val="0"/>
          <w:sz w:val="32"/>
          <w:szCs w:val="32"/>
          <w:highlight w:val="none"/>
        </w:rPr>
        <w:t>20</w:t>
      </w:r>
      <w:r>
        <w:rPr>
          <w:rFonts w:hint="eastAsia" w:ascii="仿宋_GB2312" w:hAnsi="仿宋_GB2312" w:eastAsia="仿宋_GB2312" w:cs="仿宋_GB2312"/>
          <w:snapToGrid w:val="0"/>
          <w:color w:val="auto"/>
          <w:kern w:val="0"/>
          <w:sz w:val="32"/>
          <w:szCs w:val="32"/>
          <w:highlight w:val="none"/>
          <w:lang w:val="en-US" w:eastAsia="zh-CN"/>
        </w:rPr>
        <w:t>21</w:t>
      </w:r>
      <w:r>
        <w:rPr>
          <w:rFonts w:hint="eastAsia" w:ascii="仿宋_GB2312" w:hAnsi="仿宋_GB2312" w:eastAsia="仿宋_GB2312" w:cs="仿宋_GB2312"/>
          <w:snapToGrid w:val="0"/>
          <w:color w:val="auto"/>
          <w:kern w:val="0"/>
          <w:sz w:val="32"/>
          <w:szCs w:val="32"/>
          <w:highlight w:val="none"/>
        </w:rPr>
        <w:t>年“三公”经费财政拨款支出决算为</w:t>
      </w:r>
      <w:r>
        <w:rPr>
          <w:rFonts w:hint="eastAsia" w:ascii="仿宋_GB2312" w:hAnsi="仿宋_GB2312" w:eastAsia="仿宋_GB2312" w:cs="仿宋_GB2312"/>
          <w:snapToGrid w:val="0"/>
          <w:color w:val="auto"/>
          <w:kern w:val="0"/>
          <w:sz w:val="32"/>
          <w:szCs w:val="32"/>
          <w:highlight w:val="none"/>
          <w:lang w:val="en-US" w:eastAsia="zh-CN"/>
        </w:rPr>
        <w:t>1.54</w:t>
      </w:r>
      <w:r>
        <w:rPr>
          <w:rFonts w:hint="eastAsia" w:ascii="仿宋_GB2312" w:hAnsi="仿宋_GB2312" w:eastAsia="仿宋_GB2312" w:cs="仿宋_GB2312"/>
          <w:snapToGrid w:val="0"/>
          <w:color w:val="auto"/>
          <w:kern w:val="0"/>
          <w:sz w:val="32"/>
          <w:szCs w:val="32"/>
          <w:highlight w:val="none"/>
        </w:rPr>
        <w:t>万元，完成预算</w:t>
      </w:r>
      <w:r>
        <w:rPr>
          <w:rFonts w:hint="eastAsia" w:ascii="仿宋_GB2312" w:hAnsi="仿宋_GB2312" w:eastAsia="仿宋_GB2312" w:cs="仿宋_GB2312"/>
          <w:snapToGrid w:val="0"/>
          <w:color w:val="auto"/>
          <w:kern w:val="0"/>
          <w:sz w:val="32"/>
          <w:szCs w:val="32"/>
          <w:highlight w:val="none"/>
          <w:lang w:val="en-US" w:eastAsia="zh-CN"/>
        </w:rPr>
        <w:t>100</w:t>
      </w:r>
      <w:r>
        <w:rPr>
          <w:rFonts w:hint="eastAsia" w:ascii="仿宋_GB2312" w:hAnsi="仿宋_GB2312" w:eastAsia="仿宋_GB2312" w:cs="仿宋_GB2312"/>
          <w:snapToGrid w:val="0"/>
          <w:color w:val="auto"/>
          <w:kern w:val="0"/>
          <w:sz w:val="32"/>
          <w:szCs w:val="32"/>
          <w:highlight w:val="none"/>
        </w:rPr>
        <w:t>%，决算数与预算数持平的主要原因是</w:t>
      </w:r>
      <w:r>
        <w:rPr>
          <w:rFonts w:hint="eastAsia" w:ascii="仿宋_GB2312" w:hAnsi="仿宋_GB2312" w:eastAsia="仿宋_GB2312" w:cs="仿宋_GB2312"/>
          <w:snapToGrid w:val="0"/>
          <w:color w:val="auto"/>
          <w:kern w:val="0"/>
          <w:sz w:val="32"/>
          <w:szCs w:val="32"/>
          <w:highlight w:val="none"/>
          <w:lang w:eastAsia="zh-CN"/>
        </w:rPr>
        <w:t>各地市县区来我区考察交流机构编制工作频次增加</w:t>
      </w:r>
      <w:r>
        <w:rPr>
          <w:rFonts w:hint="eastAsia" w:ascii="仿宋_GB2312" w:hAnsi="仿宋_GB2312" w:eastAsia="仿宋_GB2312" w:cs="仿宋_GB2312"/>
          <w:snapToGrid w:val="0"/>
          <w:color w:val="auto"/>
          <w:kern w:val="0"/>
          <w:sz w:val="32"/>
          <w:szCs w:val="32"/>
          <w:highlight w:val="none"/>
        </w:rPr>
        <w:t>。</w:t>
      </w:r>
    </w:p>
    <w:p>
      <w:pPr>
        <w:spacing w:line="600" w:lineRule="exact"/>
        <w:ind w:firstLine="640"/>
        <w:outlineLvl w:val="2"/>
        <w:rPr>
          <w:rFonts w:hint="eastAsia" w:ascii="楷体_GB2312" w:hAnsi="楷体_GB2312" w:eastAsia="楷体_GB2312" w:cs="楷体_GB2312"/>
          <w:b w:val="0"/>
          <w:bCs/>
          <w:color w:val="auto"/>
          <w:sz w:val="32"/>
          <w:szCs w:val="32"/>
          <w:highlight w:val="none"/>
        </w:rPr>
      </w:pPr>
      <w:bookmarkStart w:id="45" w:name="_Toc15377217"/>
      <w:r>
        <w:rPr>
          <w:rFonts w:hint="eastAsia" w:ascii="楷体_GB2312" w:hAnsi="楷体_GB2312" w:eastAsia="楷体_GB2312" w:cs="楷体_GB2312"/>
          <w:b w:val="0"/>
          <w:bCs/>
          <w:color w:val="auto"/>
          <w:sz w:val="32"/>
          <w:szCs w:val="32"/>
          <w:highlight w:val="none"/>
        </w:rPr>
        <w:t>（二）“三公”经费财政拨款支出决算具体情况说明</w:t>
      </w:r>
      <w:bookmarkEnd w:id="45"/>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%；公务用车购置及运行维护费支出决算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1.54</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%。具体情况如下：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lang w:val="en-US" w:eastAsia="zh-CN"/>
        </w:rPr>
        <w:t>1.</w:t>
      </w:r>
      <w:r>
        <w:rPr>
          <w:rFonts w:hint="eastAsia" w:ascii="仿宋_GB2312" w:hAnsi="仿宋_GB2312" w:eastAsia="仿宋_GB2312" w:cs="仿宋_GB2312"/>
          <w:b w:val="0"/>
          <w:bCs/>
          <w:color w:val="auto"/>
          <w:sz w:val="32"/>
          <w:szCs w:val="32"/>
          <w:highlight w:val="none"/>
        </w:rPr>
        <w:t>因公出国（境）经费支出</w:t>
      </w:r>
      <w:r>
        <w:rPr>
          <w:rFonts w:hint="eastAsia" w:ascii="仿宋_GB2312" w:hAnsi="仿宋_GB2312" w:eastAsia="仿宋_GB2312" w:cs="仿宋_GB2312"/>
          <w:b w:val="0"/>
          <w:bCs/>
          <w:color w:val="auto"/>
          <w:sz w:val="32"/>
          <w:szCs w:val="32"/>
          <w:highlight w:val="none"/>
          <w:lang w:val="en-US" w:eastAsia="zh-CN"/>
        </w:rPr>
        <w:t>0</w:t>
      </w:r>
      <w:r>
        <w:rPr>
          <w:rFonts w:hint="eastAsia" w:ascii="仿宋_GB2312" w:hAnsi="仿宋_GB2312" w:eastAsia="仿宋_GB2312" w:cs="仿宋_GB2312"/>
          <w:b w:val="0"/>
          <w:bCs/>
          <w:color w:val="auto"/>
          <w:sz w:val="32"/>
          <w:szCs w:val="32"/>
          <w:highlight w:val="none"/>
        </w:rPr>
        <w:t>万元，</w:t>
      </w:r>
      <w:r>
        <w:rPr>
          <w:rFonts w:hint="eastAsia" w:ascii="仿宋_GB2312" w:hAnsi="仿宋_GB2312" w:eastAsia="仿宋_GB2312" w:cs="仿宋_GB2312"/>
          <w:b w:val="0"/>
          <w:bCs/>
          <w:color w:val="auto"/>
          <w:sz w:val="32"/>
          <w:szCs w:val="32"/>
          <w:highlight w:val="none"/>
          <w:lang w:val="en-US" w:eastAsia="zh-CN"/>
        </w:rPr>
        <w:t>年初未安排预算</w:t>
      </w:r>
      <w:r>
        <w:rPr>
          <w:rFonts w:hint="eastAsia" w:ascii="仿宋_GB2312" w:hAnsi="仿宋_GB2312" w:eastAsia="仿宋_GB2312" w:cs="仿宋_GB2312"/>
          <w:b w:val="0"/>
          <w:bCs/>
          <w:color w:val="auto"/>
          <w:sz w:val="32"/>
          <w:szCs w:val="32"/>
          <w:highlight w:val="none"/>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Lines="0" w:line="576"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hAnsi="仿宋_GB2312" w:cs="仿宋_GB2312"/>
          <w:b w:val="0"/>
          <w:bCs/>
          <w:sz w:val="32"/>
          <w:szCs w:val="32"/>
          <w:lang w:val="en-US" w:eastAsia="zh-CN"/>
        </w:rPr>
        <w:t>2.</w:t>
      </w:r>
      <w:r>
        <w:rPr>
          <w:rFonts w:hint="eastAsia" w:ascii="仿宋_GB2312" w:hAnsi="仿宋_GB2312" w:eastAsia="仿宋_GB2312" w:cs="仿宋_GB2312"/>
          <w:b w:val="0"/>
          <w:bCs/>
          <w:sz w:val="32"/>
          <w:szCs w:val="32"/>
        </w:rPr>
        <w:t>公务用车购置及运行维护费支出</w:t>
      </w:r>
      <w:r>
        <w:rPr>
          <w:rFonts w:hint="eastAsia" w:hAnsi="仿宋_GB2312" w:cs="仿宋_GB2312"/>
          <w:b w:val="0"/>
          <w:bCs/>
          <w:sz w:val="32"/>
          <w:szCs w:val="32"/>
          <w:lang w:val="en-US" w:eastAsia="zh-CN"/>
        </w:rPr>
        <w:t>0</w:t>
      </w:r>
      <w:r>
        <w:rPr>
          <w:rFonts w:hint="eastAsia" w:ascii="仿宋_GB2312" w:hAnsi="仿宋_GB2312" w:eastAsia="仿宋_GB2312" w:cs="仿宋_GB2312"/>
          <w:b w:val="0"/>
          <w:bCs/>
          <w:sz w:val="32"/>
          <w:szCs w:val="32"/>
        </w:rPr>
        <w:t>万元,</w:t>
      </w:r>
      <w:r>
        <w:rPr>
          <w:rStyle w:val="17"/>
          <w:rFonts w:hint="eastAsia" w:hAnsi="仿宋_GB2312" w:cs="仿宋_GB2312"/>
          <w:b w:val="0"/>
          <w:bCs/>
          <w:sz w:val="32"/>
          <w:szCs w:val="32"/>
          <w:lang w:eastAsia="zh-CN"/>
        </w:rPr>
        <w:t>年初未安排预算。</w:t>
      </w:r>
      <w:r>
        <w:rPr>
          <w:rFonts w:hint="eastAsia" w:ascii="仿宋_GB2312" w:hAnsi="仿宋_GB2312" w:eastAsia="仿宋_GB2312" w:cs="仿宋_GB2312"/>
          <w:b w:val="0"/>
          <w:bCs/>
          <w:sz w:val="32"/>
          <w:szCs w:val="32"/>
        </w:rPr>
        <w:t>公务用车购置支出</w:t>
      </w:r>
      <w:r>
        <w:rPr>
          <w:rFonts w:hint="eastAsia" w:hAnsi="仿宋_GB2312" w:cs="仿宋_GB2312"/>
          <w:b w:val="0"/>
          <w:bCs/>
          <w:sz w:val="32"/>
          <w:szCs w:val="32"/>
          <w:lang w:val="en-US" w:eastAsia="zh-CN"/>
        </w:rPr>
        <w:t>0</w:t>
      </w:r>
      <w:r>
        <w:rPr>
          <w:rFonts w:hint="eastAsia" w:ascii="仿宋_GB2312" w:hAnsi="仿宋_GB2312" w:eastAsia="仿宋_GB2312" w:cs="仿宋_GB2312"/>
          <w:b w:val="0"/>
          <w:bCs/>
          <w:sz w:val="32"/>
          <w:szCs w:val="32"/>
        </w:rPr>
        <w:t>万元。公务用车运行维护费支出</w:t>
      </w:r>
      <w:r>
        <w:rPr>
          <w:rFonts w:hint="eastAsia" w:hAnsi="仿宋_GB2312" w:cs="仿宋_GB2312"/>
          <w:b w:val="0"/>
          <w:bCs/>
          <w:sz w:val="32"/>
          <w:szCs w:val="32"/>
          <w:lang w:val="en-US" w:eastAsia="zh-CN"/>
        </w:rPr>
        <w:t>0</w:t>
      </w:r>
      <w:r>
        <w:rPr>
          <w:rFonts w:hint="eastAsia" w:ascii="仿宋_GB2312" w:hAnsi="仿宋_GB2312" w:eastAsia="仿宋_GB2312" w:cs="仿宋_GB2312"/>
          <w:b w:val="0"/>
          <w:bCs/>
          <w:sz w:val="32"/>
          <w:szCs w:val="32"/>
        </w:rPr>
        <w:t>万元。</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color w:val="auto"/>
          <w:sz w:val="32"/>
          <w:szCs w:val="32"/>
          <w:highlight w:val="none"/>
          <w:lang w:val="en-US" w:eastAsia="zh-CN"/>
        </w:rPr>
        <w:t>3</w:t>
      </w:r>
      <w:r>
        <w:rPr>
          <w:rFonts w:hint="eastAsia" w:ascii="仿宋_GB2312" w:hAnsi="仿宋_GB2312" w:eastAsia="仿宋_GB2312" w:cs="仿宋_GB2312"/>
          <w:b w:val="0"/>
          <w:bCs/>
          <w:color w:val="auto"/>
          <w:sz w:val="32"/>
          <w:szCs w:val="32"/>
          <w:highlight w:val="none"/>
        </w:rPr>
        <w:t>.公务接待费支出</w:t>
      </w:r>
      <w:r>
        <w:rPr>
          <w:rFonts w:hint="eastAsia" w:ascii="仿宋_GB2312" w:hAnsi="仿宋_GB2312" w:eastAsia="仿宋_GB2312" w:cs="仿宋_GB2312"/>
          <w:b w:val="0"/>
          <w:bCs/>
          <w:color w:val="auto"/>
          <w:sz w:val="32"/>
          <w:szCs w:val="32"/>
          <w:highlight w:val="none"/>
          <w:lang w:val="en-US" w:eastAsia="zh-CN"/>
        </w:rPr>
        <w:t>1.54</w:t>
      </w:r>
      <w:r>
        <w:rPr>
          <w:rFonts w:hint="eastAsia" w:ascii="仿宋_GB2312" w:hAnsi="仿宋_GB2312" w:eastAsia="仿宋_GB2312" w:cs="仿宋_GB2312"/>
          <w:b w:val="0"/>
          <w:bCs/>
          <w:color w:val="auto"/>
          <w:sz w:val="32"/>
          <w:szCs w:val="32"/>
          <w:highlight w:val="none"/>
        </w:rPr>
        <w:t>万元，完成预算</w:t>
      </w:r>
      <w:r>
        <w:rPr>
          <w:rFonts w:hint="eastAsia" w:ascii="仿宋_GB2312" w:hAnsi="仿宋_GB2312" w:eastAsia="仿宋_GB2312" w:cs="仿宋_GB2312"/>
          <w:b w:val="0"/>
          <w:bCs/>
          <w:color w:val="auto"/>
          <w:sz w:val="32"/>
          <w:szCs w:val="32"/>
          <w:highlight w:val="none"/>
          <w:lang w:val="en-US" w:eastAsia="zh-CN"/>
        </w:rPr>
        <w:t>100</w:t>
      </w:r>
      <w:r>
        <w:rPr>
          <w:rFonts w:hint="eastAsia" w:ascii="仿宋_GB2312" w:hAnsi="仿宋_GB2312" w:eastAsia="仿宋_GB2312" w:cs="仿宋_GB2312"/>
          <w:b w:val="0"/>
          <w:bCs/>
          <w:color w:val="auto"/>
          <w:sz w:val="32"/>
          <w:szCs w:val="32"/>
          <w:highlight w:val="none"/>
        </w:rPr>
        <w:t>%。公务接待费支出决算比20</w:t>
      </w:r>
      <w:r>
        <w:rPr>
          <w:rFonts w:hint="eastAsia" w:ascii="仿宋_GB2312" w:hAnsi="仿宋_GB2312" w:eastAsia="仿宋_GB2312" w:cs="仿宋_GB2312"/>
          <w:b w:val="0"/>
          <w:bCs/>
          <w:color w:val="auto"/>
          <w:sz w:val="32"/>
          <w:szCs w:val="32"/>
          <w:highlight w:val="none"/>
          <w:lang w:val="en-US" w:eastAsia="zh-CN"/>
        </w:rPr>
        <w:t>20</w:t>
      </w:r>
      <w:r>
        <w:rPr>
          <w:rFonts w:hint="eastAsia" w:ascii="仿宋_GB2312" w:hAnsi="仿宋_GB2312" w:eastAsia="仿宋_GB2312" w:cs="仿宋_GB2312"/>
          <w:b w:val="0"/>
          <w:bCs/>
          <w:color w:val="auto"/>
          <w:sz w:val="32"/>
          <w:szCs w:val="32"/>
          <w:highlight w:val="none"/>
        </w:rPr>
        <w:t>年增加</w:t>
      </w:r>
      <w:r>
        <w:rPr>
          <w:rFonts w:hint="eastAsia" w:ascii="仿宋_GB2312" w:hAnsi="仿宋_GB2312" w:eastAsia="仿宋_GB2312" w:cs="仿宋_GB2312"/>
          <w:b w:val="0"/>
          <w:bCs/>
          <w:color w:val="auto"/>
          <w:sz w:val="32"/>
          <w:szCs w:val="32"/>
          <w:highlight w:val="none"/>
          <w:lang w:val="en-US" w:eastAsia="zh-CN"/>
        </w:rPr>
        <w:t>0.44</w:t>
      </w:r>
      <w:r>
        <w:rPr>
          <w:rFonts w:hint="eastAsia" w:ascii="仿宋_GB2312" w:hAnsi="仿宋_GB2312" w:eastAsia="仿宋_GB2312" w:cs="仿宋_GB2312"/>
          <w:b w:val="0"/>
          <w:bCs/>
          <w:color w:val="auto"/>
          <w:sz w:val="32"/>
          <w:szCs w:val="32"/>
          <w:highlight w:val="none"/>
        </w:rPr>
        <w:t>万元，增长</w:t>
      </w:r>
      <w:r>
        <w:rPr>
          <w:rFonts w:hint="eastAsia" w:ascii="仿宋_GB2312" w:hAnsi="仿宋_GB2312" w:eastAsia="仿宋_GB2312" w:cs="仿宋_GB2312"/>
          <w:b w:val="0"/>
          <w:bCs/>
          <w:color w:val="auto"/>
          <w:sz w:val="32"/>
          <w:szCs w:val="32"/>
          <w:highlight w:val="none"/>
          <w:lang w:val="en-US" w:eastAsia="zh-CN"/>
        </w:rPr>
        <w:t>40</w:t>
      </w:r>
      <w:r>
        <w:rPr>
          <w:rFonts w:hint="eastAsia" w:ascii="仿宋_GB2312" w:hAnsi="仿宋_GB2312" w:eastAsia="仿宋_GB2312" w:cs="仿宋_GB2312"/>
          <w:b w:val="0"/>
          <w:bCs/>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各地市县区来我区考察交流机构编制工作频次增加</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国内公务接待支出</w:t>
      </w:r>
      <w:r>
        <w:rPr>
          <w:rFonts w:hint="eastAsia" w:ascii="仿宋_GB2312" w:hAnsi="仿宋_GB2312" w:eastAsia="仿宋_GB2312" w:cs="仿宋_GB2312"/>
          <w:b w:val="0"/>
          <w:bCs/>
          <w:sz w:val="32"/>
          <w:szCs w:val="32"/>
          <w:lang w:val="en-US" w:eastAsia="zh-CN"/>
        </w:rPr>
        <w:t>1.54</w:t>
      </w:r>
      <w:r>
        <w:rPr>
          <w:rFonts w:hint="eastAsia" w:ascii="仿宋_GB2312" w:hAnsi="仿宋_GB2312" w:eastAsia="仿宋_GB2312" w:cs="仿宋_GB2312"/>
          <w:b w:val="0"/>
          <w:bCs/>
          <w:sz w:val="32"/>
          <w:szCs w:val="32"/>
        </w:rPr>
        <w:t>万元，主要用于</w:t>
      </w:r>
      <w:r>
        <w:rPr>
          <w:rFonts w:hint="eastAsia" w:ascii="仿宋_GB2312" w:hAnsi="仿宋_GB2312" w:eastAsia="仿宋_GB2312" w:cs="仿宋_GB2312"/>
          <w:b w:val="0"/>
          <w:bCs/>
          <w:sz w:val="32"/>
          <w:szCs w:val="32"/>
          <w:lang w:eastAsia="zh-CN"/>
        </w:rPr>
        <w:t>省委编办及市委编办及其他市委编办开展业务活动的</w:t>
      </w:r>
      <w:r>
        <w:rPr>
          <w:rFonts w:hint="eastAsia" w:ascii="仿宋_GB2312" w:hAnsi="仿宋_GB2312" w:eastAsia="仿宋_GB2312" w:cs="仿宋_GB2312"/>
          <w:b w:val="0"/>
          <w:bCs/>
          <w:sz w:val="32"/>
          <w:szCs w:val="32"/>
        </w:rPr>
        <w:t>用餐费)。国内公务接待</w:t>
      </w:r>
      <w:r>
        <w:rPr>
          <w:rFonts w:hint="eastAsia" w:ascii="仿宋_GB2312" w:hAnsi="仿宋_GB2312" w:eastAsia="仿宋_GB2312" w:cs="仿宋_GB2312"/>
          <w:b w:val="0"/>
          <w:bCs/>
          <w:sz w:val="32"/>
          <w:szCs w:val="32"/>
          <w:lang w:val="en-US" w:eastAsia="zh-CN"/>
        </w:rPr>
        <w:t>15</w:t>
      </w:r>
      <w:r>
        <w:rPr>
          <w:rFonts w:hint="eastAsia" w:ascii="仿宋_GB2312" w:hAnsi="仿宋_GB2312" w:eastAsia="仿宋_GB2312" w:cs="仿宋_GB2312"/>
          <w:b w:val="0"/>
          <w:bCs/>
          <w:sz w:val="32"/>
          <w:szCs w:val="32"/>
        </w:rPr>
        <w:t>批次，</w:t>
      </w:r>
      <w:r>
        <w:rPr>
          <w:rFonts w:hint="eastAsia" w:ascii="仿宋_GB2312" w:hAnsi="仿宋_GB2312" w:eastAsia="仿宋_GB2312" w:cs="仿宋_GB2312"/>
          <w:b w:val="0"/>
          <w:bCs/>
          <w:sz w:val="32"/>
          <w:szCs w:val="32"/>
          <w:lang w:val="en-US" w:eastAsia="zh-CN"/>
        </w:rPr>
        <w:t>80余</w:t>
      </w:r>
      <w:r>
        <w:rPr>
          <w:rFonts w:hint="eastAsia" w:ascii="仿宋_GB2312" w:hAnsi="仿宋_GB2312" w:eastAsia="仿宋_GB2312" w:cs="仿宋_GB2312"/>
          <w:b w:val="0"/>
          <w:bCs/>
          <w:sz w:val="32"/>
          <w:szCs w:val="32"/>
        </w:rPr>
        <w:t>人次，共计支出</w:t>
      </w:r>
      <w:r>
        <w:rPr>
          <w:rFonts w:hint="eastAsia" w:ascii="仿宋_GB2312" w:hAnsi="仿宋_GB2312" w:eastAsia="仿宋_GB2312" w:cs="仿宋_GB2312"/>
          <w:b w:val="0"/>
          <w:bCs/>
          <w:sz w:val="32"/>
          <w:szCs w:val="32"/>
          <w:lang w:val="en-US" w:eastAsia="zh-CN"/>
        </w:rPr>
        <w:t>1.54</w:t>
      </w:r>
      <w:r>
        <w:rPr>
          <w:rFonts w:hint="eastAsia" w:ascii="仿宋_GB2312" w:hAnsi="仿宋_GB2312" w:eastAsia="仿宋_GB2312" w:cs="仿宋_GB2312"/>
          <w:b w:val="0"/>
          <w:bCs/>
          <w:sz w:val="32"/>
          <w:szCs w:val="32"/>
        </w:rPr>
        <w:t>万元，具体内容包括：</w:t>
      </w:r>
      <w:r>
        <w:rPr>
          <w:rFonts w:hint="eastAsia" w:ascii="仿宋_GB2312" w:hAnsi="仿宋_GB2312" w:eastAsia="仿宋_GB2312" w:cs="仿宋_GB2312"/>
          <w:b w:val="0"/>
          <w:bCs/>
          <w:sz w:val="32"/>
          <w:szCs w:val="32"/>
          <w:lang w:eastAsia="zh-CN"/>
        </w:rPr>
        <w:t>省委编办开展定点帮扶结对工作，市委编办开展县域工作交叉检查，广安市、泸州市等市、县区开展考察交流活动</w:t>
      </w:r>
      <w:r>
        <w:rPr>
          <w:rFonts w:hint="eastAsia" w:ascii="仿宋_GB2312" w:hAnsi="仿宋_GB2312" w:eastAsia="仿宋_GB2312" w:cs="仿宋_GB2312"/>
          <w:b w:val="0"/>
          <w:bCs/>
          <w:sz w:val="32"/>
          <w:szCs w:val="32"/>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rPr>
        <w:t>外事接待支出</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rPr>
        <w:t>万元，外事接待</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rPr>
        <w:t>批次，</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rPr>
        <w:t>人，共计支出</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rPr>
        <w:t>万元</w:t>
      </w:r>
      <w:r>
        <w:rPr>
          <w:rFonts w:hint="eastAsia" w:ascii="仿宋_GB2312" w:hAnsi="仿宋_GB2312" w:eastAsia="仿宋_GB2312" w:cs="仿宋_GB2312"/>
          <w:b w:val="0"/>
          <w:bCs/>
          <w:sz w:val="32"/>
          <w:szCs w:val="32"/>
          <w:lang w:val="en-US" w:eastAsia="zh-CN"/>
        </w:rPr>
        <w:t>。</w:t>
      </w:r>
    </w:p>
    <w:p>
      <w:pPr>
        <w:rPr>
          <w:rFonts w:hint="eastAsia"/>
        </w:rPr>
      </w:pPr>
    </w:p>
    <w:p>
      <w:pPr>
        <w:pStyle w:val="7"/>
        <w:rPr>
          <w:rFonts w:hint="eastAsia" w:eastAsia="宋体"/>
          <w:lang w:eastAsia="zh-CN"/>
        </w:rPr>
      </w:pPr>
      <w:r>
        <w:rPr>
          <w:rFonts w:hint="eastAsia" w:eastAsia="宋体"/>
          <w:lang w:eastAsia="zh-CN"/>
        </w:rPr>
        <w:drawing>
          <wp:inline distT="0" distB="0" distL="114300" distR="114300">
            <wp:extent cx="4860290" cy="1762125"/>
            <wp:effectExtent l="4445" t="4445" r="12065" b="508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（图7：“三公”经费财政拨款支出结构）（饼状图）</w:t>
      </w:r>
    </w:p>
    <w:p>
      <w:pPr>
        <w:spacing w:line="600" w:lineRule="exact"/>
        <w:ind w:firstLine="640"/>
        <w:outlineLvl w:val="1"/>
        <w:rPr>
          <w:rStyle w:val="28"/>
          <w:rFonts w:ascii="黑体" w:hAnsi="黑体" w:eastAsia="黑体"/>
          <w:color w:val="auto"/>
          <w:highlight w:val="none"/>
        </w:rPr>
      </w:pPr>
      <w:bookmarkStart w:id="46" w:name="_Toc15396610"/>
      <w:bookmarkStart w:id="47" w:name="_Toc15377218"/>
      <w:r>
        <w:rPr>
          <w:rFonts w:hint="eastAsia" w:ascii="黑体" w:eastAsia="黑体"/>
          <w:color w:val="auto"/>
          <w:sz w:val="32"/>
          <w:szCs w:val="32"/>
          <w:highlight w:val="none"/>
        </w:rPr>
        <w:t>八、</w:t>
      </w:r>
      <w:r>
        <w:rPr>
          <w:rStyle w:val="28"/>
          <w:rFonts w:hint="eastAsia" w:ascii="黑体" w:hAnsi="黑体" w:eastAsia="黑体"/>
          <w:b w:val="0"/>
          <w:color w:val="auto"/>
          <w:highlight w:val="none"/>
        </w:rPr>
        <w:t>政府性基金预算支出决算情况说明</w:t>
      </w:r>
      <w:bookmarkEnd w:id="46"/>
      <w:bookmarkEnd w:id="47"/>
    </w:p>
    <w:p>
      <w:pPr>
        <w:spacing w:line="600" w:lineRule="exact"/>
        <w:ind w:firstLine="640"/>
        <w:rPr>
          <w:rFonts w:hint="eastAsia"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28"/>
          <w:rFonts w:ascii="黑体" w:hAnsi="黑体" w:eastAsia="黑体"/>
          <w:b w:val="0"/>
          <w:color w:val="auto"/>
          <w:highlight w:val="none"/>
        </w:rPr>
      </w:pPr>
      <w:bookmarkStart w:id="48" w:name="_Toc15396611"/>
      <w:bookmarkStart w:id="49" w:name="_Toc15377219"/>
      <w:r>
        <w:rPr>
          <w:rStyle w:val="28"/>
          <w:rFonts w:hint="eastAsia" w:ascii="黑体" w:hAnsi="黑体" w:eastAsia="黑体"/>
          <w:b w:val="0"/>
          <w:color w:val="auto"/>
          <w:highlight w:val="none"/>
        </w:rPr>
        <w:t>国有资本经营预算支出决算情况说明</w:t>
      </w:r>
      <w:bookmarkEnd w:id="48"/>
      <w:bookmarkEnd w:id="49"/>
    </w:p>
    <w:p>
      <w:pPr>
        <w:spacing w:line="600" w:lineRule="exact"/>
        <w:ind w:firstLine="640"/>
        <w:rPr>
          <w:rFonts w:hint="eastAsia"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bookmarkStart w:id="50" w:name="_Toc15377221"/>
      <w:bookmarkStart w:id="51" w:name="_Toc15396612"/>
    </w:p>
    <w:p>
      <w:pPr>
        <w:numPr>
          <w:ilvl w:val="0"/>
          <w:numId w:val="2"/>
        </w:numPr>
        <w:spacing w:line="600" w:lineRule="exact"/>
        <w:ind w:firstLine="640"/>
        <w:outlineLvl w:val="1"/>
        <w:rPr>
          <w:rStyle w:val="28"/>
          <w:rFonts w:hint="eastAsia" w:ascii="黑体" w:hAnsi="黑体" w:eastAsia="黑体"/>
          <w:b w:val="0"/>
          <w:color w:val="auto"/>
          <w:highlight w:val="none"/>
        </w:rPr>
      </w:pPr>
      <w:r>
        <w:rPr>
          <w:rStyle w:val="28"/>
          <w:rFonts w:hint="eastAsia" w:ascii="黑体" w:hAnsi="黑体" w:eastAsia="黑体"/>
          <w:b w:val="0"/>
          <w:color w:val="auto"/>
          <w:highlight w:val="none"/>
        </w:rPr>
        <w:t>其他重要事项的情况说明</w:t>
      </w:r>
      <w:bookmarkEnd w:id="50"/>
      <w:bookmarkEnd w:id="51"/>
    </w:p>
    <w:p>
      <w:pPr>
        <w:spacing w:line="600" w:lineRule="exact"/>
        <w:ind w:firstLine="640" w:firstLineChars="200"/>
        <w:outlineLvl w:val="2"/>
        <w:rPr>
          <w:rFonts w:hint="eastAsia" w:ascii="楷体_GB2312" w:hAnsi="楷体_GB2312" w:eastAsia="楷体_GB2312" w:cs="楷体_GB2312"/>
          <w:b w:val="0"/>
          <w:bCs/>
          <w:color w:val="auto"/>
          <w:sz w:val="32"/>
          <w:szCs w:val="32"/>
          <w:highlight w:val="none"/>
        </w:rPr>
      </w:pPr>
      <w:bookmarkStart w:id="52" w:name="_Toc15377222"/>
      <w:r>
        <w:rPr>
          <w:rFonts w:hint="eastAsia" w:ascii="楷体_GB2312" w:hAnsi="楷体_GB2312" w:eastAsia="楷体_GB2312" w:cs="楷体_GB2312"/>
          <w:b w:val="0"/>
          <w:bCs/>
          <w:color w:val="auto"/>
          <w:sz w:val="32"/>
          <w:szCs w:val="32"/>
          <w:highlight w:val="none"/>
        </w:rPr>
        <w:t>（一）机关运行经费支出情况</w:t>
      </w:r>
      <w:bookmarkEnd w:id="52"/>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区委编办</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156.50</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25.95</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19.88</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人员增加经费增加。</w:t>
      </w:r>
    </w:p>
    <w:p>
      <w:pPr>
        <w:autoSpaceDE w:val="0"/>
        <w:autoSpaceDN w:val="0"/>
        <w:adjustRightInd w:val="0"/>
        <w:spacing w:line="600" w:lineRule="exact"/>
        <w:ind w:firstLine="640" w:firstLineChars="200"/>
        <w:jc w:val="left"/>
        <w:outlineLvl w:val="2"/>
        <w:rPr>
          <w:rFonts w:hint="eastAsia" w:ascii="楷体_GB2312" w:hAnsi="楷体_GB2312" w:eastAsia="楷体_GB2312" w:cs="楷体_GB2312"/>
          <w:b w:val="0"/>
          <w:bCs/>
          <w:color w:val="auto"/>
          <w:sz w:val="32"/>
          <w:szCs w:val="32"/>
          <w:highlight w:val="none"/>
        </w:rPr>
      </w:pPr>
      <w:bookmarkStart w:id="53" w:name="_Toc15377223"/>
      <w:r>
        <w:rPr>
          <w:rFonts w:hint="eastAsia" w:ascii="楷体_GB2312" w:hAnsi="楷体_GB2312" w:eastAsia="楷体_GB2312" w:cs="楷体_GB2312"/>
          <w:b w:val="0"/>
          <w:bCs/>
          <w:color w:val="auto"/>
          <w:sz w:val="32"/>
          <w:szCs w:val="32"/>
          <w:highlight w:val="none"/>
        </w:rPr>
        <w:t>（二）政府采购支出情况</w:t>
      </w:r>
      <w:bookmarkEnd w:id="53"/>
    </w:p>
    <w:p>
      <w:pPr>
        <w:spacing w:line="600" w:lineRule="exact"/>
        <w:ind w:firstLine="640" w:firstLineChars="200"/>
        <w:rPr>
          <w:rFonts w:ascii="仿宋_GB2312" w:eastAsia="仿宋_GB2312"/>
          <w:sz w:val="32"/>
          <w:szCs w:val="32"/>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区委编办</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1.72</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1.72</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办公设备（计算机、打印机及饮水机）购置</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1.72</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0" w:firstLineChars="200"/>
        <w:jc w:val="left"/>
        <w:outlineLvl w:val="2"/>
        <w:rPr>
          <w:rFonts w:hint="eastAsia" w:ascii="楷体_GB2312" w:hAnsi="楷体_GB2312" w:eastAsia="楷体_GB2312" w:cs="楷体_GB2312"/>
          <w:b w:val="0"/>
          <w:bCs/>
          <w:color w:val="auto"/>
          <w:sz w:val="32"/>
          <w:szCs w:val="32"/>
          <w:highlight w:val="none"/>
        </w:rPr>
      </w:pPr>
      <w:bookmarkStart w:id="54" w:name="_Toc15377224"/>
      <w:r>
        <w:rPr>
          <w:rFonts w:hint="eastAsia" w:ascii="楷体_GB2312" w:hAnsi="楷体_GB2312" w:eastAsia="楷体_GB2312" w:cs="楷体_GB2312"/>
          <w:b w:val="0"/>
          <w:bCs/>
          <w:color w:val="auto"/>
          <w:sz w:val="32"/>
          <w:szCs w:val="32"/>
          <w:highlight w:val="none"/>
        </w:rPr>
        <w:t>（三）国有资产占有使用情况</w:t>
      </w:r>
      <w:bookmarkEnd w:id="54"/>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区委编办</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w:t>
      </w:r>
      <w:r>
        <w:rPr>
          <w:rFonts w:hint="eastAsia" w:ascii="仿宋_GB2312" w:eastAsia="仿宋_GB2312"/>
          <w:sz w:val="32"/>
          <w:szCs w:val="32"/>
          <w:lang w:val="en-US" w:eastAsia="zh-CN"/>
        </w:rPr>
        <w:t>。</w:t>
      </w:r>
      <w:r>
        <w:rPr>
          <w:rFonts w:hint="eastAsia" w:ascii="仿宋_GB2312" w:eastAsia="仿宋_GB2312"/>
          <w:sz w:val="32"/>
          <w:szCs w:val="32"/>
        </w:rPr>
        <w:t>单价</w:t>
      </w:r>
      <w:r>
        <w:rPr>
          <w:rFonts w:ascii="仿宋_GB2312" w:eastAsia="仿宋_GB2312"/>
          <w:sz w:val="32"/>
          <w:szCs w:val="32"/>
        </w:rPr>
        <w:t>50</w:t>
      </w:r>
      <w:r>
        <w:rPr>
          <w:rFonts w:hint="eastAsia" w:ascii="仿宋_GB2312" w:eastAsia="仿宋_GB2312"/>
          <w:sz w:val="32"/>
          <w:szCs w:val="32"/>
        </w:rPr>
        <w:t>万元以上通用设备</w:t>
      </w:r>
      <w:r>
        <w:rPr>
          <w:rFonts w:hint="eastAsia" w:ascii="仿宋_GB2312" w:eastAsia="仿宋_GB2312"/>
          <w:sz w:val="32"/>
          <w:szCs w:val="32"/>
          <w:lang w:val="en-US" w:eastAsia="zh-CN"/>
        </w:rPr>
        <w:t>0</w:t>
      </w:r>
      <w:r>
        <w:rPr>
          <w:rFonts w:hint="eastAsia" w:ascii="仿宋_GB2312" w:eastAsia="仿宋_GB2312"/>
          <w:sz w:val="32"/>
          <w:szCs w:val="32"/>
        </w:rPr>
        <w:t>台（套），单价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0" w:firstLineChars="200"/>
        <w:jc w:val="left"/>
        <w:outlineLvl w:val="2"/>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lang w:eastAsia="zh-CN"/>
        </w:rPr>
        <w:t>（四）</w:t>
      </w:r>
      <w:r>
        <w:rPr>
          <w:rFonts w:hint="eastAsia" w:ascii="楷体_GB2312" w:hAnsi="楷体_GB2312" w:eastAsia="楷体_GB2312" w:cs="楷体_GB2312"/>
          <w:b w:val="0"/>
          <w:bCs/>
          <w:color w:val="auto"/>
          <w:sz w:val="32"/>
          <w:szCs w:val="32"/>
          <w:highlight w:val="none"/>
        </w:rPr>
        <w:t>预算绩效管理情况</w:t>
      </w:r>
    </w:p>
    <w:p>
      <w:pPr>
        <w:pStyle w:val="2"/>
        <w:numPr>
          <w:ilvl w:val="0"/>
          <w:numId w:val="0"/>
        </w:numPr>
        <w:rPr>
          <w:rFonts w:hint="default" w:eastAsia="仿宋_GB2312"/>
          <w:lang w:val="en-US" w:eastAsia="zh-CN"/>
        </w:rPr>
      </w:pPr>
      <w:r>
        <w:rPr>
          <w:rFonts w:hint="eastAsia"/>
          <w:lang w:val="en-US" w:eastAsia="zh-CN"/>
        </w:rPr>
        <w:t xml:space="preserve">    </w:t>
      </w:r>
      <w:r>
        <w:rPr>
          <w:rFonts w:hint="eastAsia" w:ascii="仿宋_GB2312" w:hAnsi="仿宋_GB2312" w:eastAsia="仿宋_GB2312" w:cs="仿宋_GB2312"/>
          <w:color w:val="auto"/>
          <w:sz w:val="32"/>
          <w:szCs w:val="32"/>
          <w:highlight w:val="none"/>
          <w:lang w:val="en-US" w:eastAsia="zh-CN"/>
        </w:rPr>
        <w:t>根据预算绩效管理要求，本</w:t>
      </w:r>
      <w:r>
        <w:rPr>
          <w:rFonts w:hint="eastAsia" w:ascii="仿宋_GB2312" w:hAnsi="仿宋_GB2312" w:eastAsia="仿宋_GB2312" w:cs="仿宋_GB2312"/>
          <w:color w:val="auto"/>
          <w:sz w:val="32"/>
          <w:szCs w:val="32"/>
          <w:highlight w:val="none"/>
        </w:rPr>
        <w:t>部门在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hAnsi="仿宋_GB2312" w:cs="仿宋_GB2312"/>
          <w:color w:val="auto"/>
          <w:sz w:val="32"/>
          <w:szCs w:val="32"/>
          <w:highlight w:val="none"/>
          <w:lang w:eastAsia="zh-CN"/>
        </w:rPr>
        <w:t>统一社会信用代码</w:t>
      </w:r>
      <w:r>
        <w:rPr>
          <w:rFonts w:hint="eastAsia" w:ascii="仿宋_GB2312" w:hAnsi="仿宋_GB2312" w:eastAsia="仿宋_GB2312" w:cs="仿宋_GB2312"/>
          <w:color w:val="auto"/>
          <w:sz w:val="32"/>
          <w:szCs w:val="32"/>
          <w:highlight w:val="none"/>
          <w:lang w:eastAsia="zh-CN"/>
        </w:rPr>
        <w:t>赋码颁证、中文域名注册与运行维护</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个项目编制了绩效目标，年终执行完毕后，对</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。同时，</w:t>
      </w:r>
      <w:r>
        <w:rPr>
          <w:rFonts w:hint="eastAsia" w:ascii="仿宋_GB2312" w:hAnsi="仿宋_GB2312" w:eastAsia="仿宋_GB2312" w:cs="仿宋_GB2312"/>
          <w:color w:val="auto"/>
          <w:sz w:val="32"/>
          <w:szCs w:val="32"/>
          <w:highlight w:val="none"/>
        </w:rPr>
        <w:t>本部门对20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年部门整体开展绩效自评，《202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区委编办</w:t>
      </w:r>
      <w:r>
        <w:rPr>
          <w:rFonts w:hint="eastAsia" w:ascii="仿宋_GB2312" w:hAnsi="仿宋_GB2312" w:eastAsia="仿宋_GB2312" w:cs="仿宋_GB2312"/>
          <w:color w:val="auto"/>
          <w:sz w:val="32"/>
          <w:szCs w:val="32"/>
          <w:highlight w:val="none"/>
        </w:rPr>
        <w:t>整体绩效评价报告》见附件（</w:t>
      </w:r>
      <w:r>
        <w:rPr>
          <w:rFonts w:hint="eastAsia" w:ascii="仿宋_GB2312" w:hAnsi="仿宋_GB2312" w:eastAsia="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w:t>
      </w:r>
    </w:p>
    <w:p>
      <w:pPr>
        <w:widowControl/>
        <w:ind w:firstLine="642" w:firstLineChars="200"/>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3"/>
        </w:numPr>
        <w:spacing w:line="600" w:lineRule="exact"/>
        <w:ind w:firstLine="660" w:firstLineChars="150"/>
        <w:jc w:val="center"/>
        <w:outlineLvl w:val="0"/>
        <w:rPr>
          <w:rStyle w:val="27"/>
          <w:rFonts w:ascii="黑体" w:hAnsi="黑体" w:eastAsia="黑体"/>
          <w:b w:val="0"/>
          <w:color w:val="auto"/>
          <w:highlight w:val="none"/>
        </w:rPr>
      </w:pPr>
      <w:bookmarkStart w:id="55" w:name="_Toc15396613"/>
      <w:bookmarkStart w:id="56" w:name="_Toc15377225"/>
      <w:r>
        <w:rPr>
          <w:rFonts w:hint="eastAsia" w:ascii="黑体" w:hAnsi="黑体" w:eastAsia="黑体"/>
          <w:color w:val="auto"/>
          <w:sz w:val="44"/>
          <w:szCs w:val="44"/>
          <w:highlight w:val="none"/>
        </w:rPr>
        <w:t>名</w:t>
      </w:r>
      <w:r>
        <w:rPr>
          <w:rStyle w:val="27"/>
          <w:rFonts w:hint="eastAsia" w:ascii="黑体" w:hAnsi="黑体" w:eastAsia="黑体"/>
          <w:b w:val="0"/>
          <w:color w:val="auto"/>
          <w:highlight w:val="none"/>
        </w:rPr>
        <w:t>词解释</w:t>
      </w:r>
      <w:bookmarkEnd w:id="55"/>
      <w:bookmarkEnd w:id="56"/>
    </w:p>
    <w:p>
      <w:pPr>
        <w:spacing w:line="600" w:lineRule="exact"/>
        <w:jc w:val="left"/>
        <w:rPr>
          <w:rFonts w:ascii="宋体"/>
          <w:b/>
          <w:color w:val="auto"/>
          <w:sz w:val="44"/>
          <w:szCs w:val="44"/>
          <w:highlight w:val="none"/>
        </w:rPr>
      </w:pPr>
    </w:p>
    <w:p>
      <w:pPr>
        <w:pStyle w:val="19"/>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19"/>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事业收入：指事业单位开展专业业务活动及辅助活动取得的收入。如…（二级预算单位事业收入情况）等。</w:t>
      </w:r>
    </w:p>
    <w:p>
      <w:pPr>
        <w:pStyle w:val="19"/>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经营收入：指事业单位在专业业务活动及其辅助活动之外开展非独立核算经营活动取得的收入。如…（二级预算单位经营收入情况）等。</w:t>
      </w:r>
    </w:p>
    <w:p>
      <w:pPr>
        <w:pStyle w:val="19"/>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其他收入：指单位取得的除上述收入以外的各项收入。主要是…（收入类型）等。</w:t>
      </w:r>
      <w:r>
        <w:rPr>
          <w:rFonts w:ascii="仿宋_GB2312" w:eastAsia="仿宋_GB2312"/>
          <w:color w:val="auto"/>
          <w:sz w:val="32"/>
          <w:szCs w:val="32"/>
          <w:highlight w:val="none"/>
        </w:rPr>
        <w:t xml:space="preserve"> </w:t>
      </w:r>
    </w:p>
    <w:p>
      <w:pPr>
        <w:pStyle w:val="19"/>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19"/>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19"/>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19"/>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年末结转和结余：指单位按有关规定结转到下年或以后年度继续使用的资金。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17"/>
          <w:rFonts w:hint="eastAsia" w:ascii="仿宋_GB2312" w:hAnsi="仿宋_GB2312" w:eastAsia="仿宋_GB2312" w:cs="仿宋_GB2312"/>
          <w:b w:val="0"/>
          <w:bCs/>
          <w:color w:val="000000"/>
          <w:sz w:val="32"/>
          <w:szCs w:val="32"/>
          <w:lang w:eastAsia="zh-CN"/>
        </w:rPr>
      </w:pPr>
      <w:r>
        <w:rPr>
          <w:rStyle w:val="17"/>
          <w:rFonts w:hint="eastAsia" w:ascii="仿宋_GB2312" w:hAnsi="仿宋_GB2312" w:eastAsia="仿宋_GB2312" w:cs="仿宋_GB2312"/>
          <w:b w:val="0"/>
          <w:bCs/>
          <w:color w:val="000000"/>
          <w:sz w:val="32"/>
          <w:szCs w:val="32"/>
          <w:lang w:val="en-US" w:eastAsia="zh-CN"/>
        </w:rPr>
        <w:t>9.</w:t>
      </w:r>
      <w:r>
        <w:rPr>
          <w:rStyle w:val="17"/>
          <w:rFonts w:hint="eastAsia" w:ascii="仿宋_GB2312" w:hAnsi="仿宋_GB2312" w:eastAsia="仿宋_GB2312" w:cs="仿宋_GB2312"/>
          <w:b w:val="0"/>
          <w:bCs/>
          <w:color w:val="000000"/>
          <w:sz w:val="32"/>
          <w:szCs w:val="32"/>
        </w:rPr>
        <w:t>一般公共服务（类）</w:t>
      </w:r>
      <w:r>
        <w:rPr>
          <w:rStyle w:val="17"/>
          <w:rFonts w:hint="eastAsia" w:ascii="仿宋_GB2312" w:hAnsi="仿宋_GB2312" w:eastAsia="仿宋_GB2312" w:cs="仿宋_GB2312"/>
          <w:b w:val="0"/>
          <w:bCs/>
          <w:color w:val="000000"/>
          <w:sz w:val="32"/>
          <w:szCs w:val="32"/>
          <w:lang w:val="en-US" w:eastAsia="zh-CN"/>
        </w:rPr>
        <w:t>人力资源事务（款）行政运行、一般行政管理事务（项）</w:t>
      </w:r>
      <w:r>
        <w:rPr>
          <w:rStyle w:val="17"/>
          <w:rFonts w:hint="eastAsia" w:ascii="仿宋_GB2312" w:hAnsi="仿宋_GB2312" w:eastAsia="仿宋_GB2312" w:cs="仿宋_GB2312"/>
          <w:b w:val="0"/>
          <w:bCs/>
          <w:color w:val="000000"/>
          <w:sz w:val="32"/>
          <w:szCs w:val="32"/>
        </w:rPr>
        <w:t>:</w:t>
      </w:r>
      <w:r>
        <w:rPr>
          <w:rStyle w:val="17"/>
          <w:rFonts w:hint="eastAsia" w:ascii="仿宋_GB2312" w:hAnsi="仿宋_GB2312" w:eastAsia="仿宋_GB2312" w:cs="仿宋_GB2312"/>
          <w:b w:val="0"/>
          <w:bCs/>
          <w:color w:val="000000"/>
          <w:sz w:val="32"/>
          <w:szCs w:val="32"/>
          <w:lang w:eastAsia="zh-CN"/>
        </w:rPr>
        <w:t>指行政运行、事业运行和一般行政管理事务。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color w:val="000000"/>
          <w:sz w:val="32"/>
          <w:szCs w:val="32"/>
        </w:rPr>
      </w:pPr>
      <w:r>
        <w:rPr>
          <w:rStyle w:val="17"/>
          <w:rFonts w:hint="eastAsia" w:ascii="仿宋_GB2312" w:hAnsi="仿宋_GB2312" w:eastAsia="仿宋_GB2312" w:cs="仿宋_GB2312"/>
          <w:b w:val="0"/>
          <w:bCs/>
          <w:color w:val="000000"/>
          <w:sz w:val="32"/>
          <w:szCs w:val="32"/>
          <w:lang w:val="en-US" w:eastAsia="zh-CN"/>
        </w:rPr>
        <w:t>10.</w:t>
      </w:r>
      <w:r>
        <w:rPr>
          <w:rStyle w:val="17"/>
          <w:rFonts w:hint="eastAsia" w:ascii="仿宋_GB2312" w:hAnsi="仿宋_GB2312" w:eastAsia="仿宋_GB2312" w:cs="仿宋_GB2312"/>
          <w:b w:val="0"/>
          <w:bCs/>
          <w:color w:val="000000"/>
          <w:sz w:val="32"/>
          <w:szCs w:val="32"/>
        </w:rPr>
        <w:t>社会保障和就业（类）</w:t>
      </w:r>
      <w:r>
        <w:rPr>
          <w:rStyle w:val="17"/>
          <w:rFonts w:hint="eastAsia" w:ascii="仿宋_GB2312" w:hAnsi="仿宋_GB2312" w:eastAsia="仿宋_GB2312" w:cs="仿宋_GB2312"/>
          <w:b w:val="0"/>
          <w:bCs/>
          <w:color w:val="000000"/>
          <w:sz w:val="32"/>
          <w:szCs w:val="32"/>
          <w:lang w:val="en-US" w:eastAsia="zh-CN"/>
        </w:rPr>
        <w:t>行政事业单位养老、其他社会保障和就业（款）机关事业单位基本养老保险缴费、其他社会保障和就业（项）</w:t>
      </w:r>
      <w:r>
        <w:rPr>
          <w:rStyle w:val="17"/>
          <w:rFonts w:hint="eastAsia" w:ascii="仿宋_GB2312" w:hAnsi="仿宋_GB2312" w:eastAsia="仿宋_GB2312" w:cs="仿宋_GB2312"/>
          <w:b w:val="0"/>
          <w:bCs/>
          <w:color w:val="000000"/>
          <w:sz w:val="32"/>
          <w:szCs w:val="32"/>
        </w:rPr>
        <w:t>:</w:t>
      </w:r>
      <w:r>
        <w:rPr>
          <w:rStyle w:val="17"/>
          <w:rFonts w:hint="eastAsia" w:ascii="仿宋_GB2312" w:hAnsi="仿宋_GB2312" w:eastAsia="仿宋_GB2312" w:cs="仿宋_GB2312"/>
          <w:b w:val="0"/>
          <w:bCs/>
          <w:color w:val="000000"/>
          <w:sz w:val="32"/>
          <w:szCs w:val="32"/>
          <w:lang w:eastAsia="zh-CN"/>
        </w:rPr>
        <w:t>指</w:t>
      </w:r>
      <w:r>
        <w:rPr>
          <w:rStyle w:val="17"/>
          <w:rFonts w:hint="eastAsia" w:ascii="仿宋_GB2312" w:hAnsi="仿宋_GB2312" w:eastAsia="仿宋_GB2312" w:cs="仿宋_GB2312"/>
          <w:b w:val="0"/>
          <w:bCs/>
          <w:color w:val="000000"/>
          <w:sz w:val="32"/>
          <w:szCs w:val="32"/>
        </w:rPr>
        <w:t>机关事业单位基本养老保险缴费支出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17"/>
          <w:rFonts w:hint="eastAsia" w:ascii="仿宋_GB2312" w:hAnsi="仿宋_GB2312" w:eastAsia="仿宋_GB2312" w:cs="仿宋_GB2312"/>
          <w:b w:val="0"/>
          <w:bCs/>
          <w:color w:val="000000"/>
          <w:sz w:val="32"/>
          <w:szCs w:val="32"/>
          <w:lang w:eastAsia="zh-CN"/>
        </w:rPr>
      </w:pPr>
      <w:r>
        <w:rPr>
          <w:rStyle w:val="17"/>
          <w:rFonts w:hint="eastAsia" w:ascii="仿宋_GB2312" w:hAnsi="仿宋_GB2312" w:eastAsia="仿宋_GB2312" w:cs="仿宋_GB2312"/>
          <w:b w:val="0"/>
          <w:bCs/>
          <w:color w:val="000000"/>
          <w:sz w:val="32"/>
          <w:szCs w:val="32"/>
          <w:lang w:val="en-US" w:eastAsia="zh-CN"/>
        </w:rPr>
        <w:t>11.</w:t>
      </w:r>
      <w:r>
        <w:rPr>
          <w:rFonts w:hint="eastAsia" w:ascii="仿宋_GB2312" w:hAnsi="仿宋_GB2312" w:eastAsia="仿宋_GB2312" w:cs="仿宋_GB2312"/>
          <w:b w:val="0"/>
          <w:bCs/>
          <w:color w:val="000000"/>
          <w:sz w:val="32"/>
          <w:szCs w:val="32"/>
        </w:rPr>
        <w:t>卫生健康</w:t>
      </w:r>
      <w:r>
        <w:rPr>
          <w:rStyle w:val="17"/>
          <w:rFonts w:hint="eastAsia" w:ascii="仿宋_GB2312" w:hAnsi="仿宋_GB2312" w:eastAsia="仿宋_GB2312" w:cs="仿宋_GB2312"/>
          <w:b w:val="0"/>
          <w:bCs/>
          <w:color w:val="000000"/>
          <w:sz w:val="32"/>
          <w:szCs w:val="32"/>
        </w:rPr>
        <w:t>（类）</w:t>
      </w:r>
      <w:r>
        <w:rPr>
          <w:rStyle w:val="17"/>
          <w:rFonts w:hint="eastAsia" w:ascii="仿宋_GB2312" w:hAnsi="仿宋_GB2312" w:eastAsia="仿宋_GB2312" w:cs="仿宋_GB2312"/>
          <w:b w:val="0"/>
          <w:bCs/>
          <w:color w:val="000000"/>
          <w:sz w:val="32"/>
          <w:szCs w:val="32"/>
          <w:lang w:val="en-US" w:eastAsia="zh-CN"/>
        </w:rPr>
        <w:t>行政事业（款）行政单位医疗（项）</w:t>
      </w:r>
      <w:r>
        <w:rPr>
          <w:rStyle w:val="17"/>
          <w:rFonts w:hint="eastAsia" w:ascii="仿宋_GB2312" w:hAnsi="仿宋_GB2312" w:eastAsia="仿宋_GB2312" w:cs="仿宋_GB2312"/>
          <w:b w:val="0"/>
          <w:bCs/>
          <w:color w:val="000000"/>
          <w:sz w:val="32"/>
          <w:szCs w:val="32"/>
        </w:rPr>
        <w:t>:</w:t>
      </w:r>
      <w:r>
        <w:rPr>
          <w:rStyle w:val="17"/>
          <w:rFonts w:hint="eastAsia" w:ascii="仿宋_GB2312" w:hAnsi="仿宋_GB2312" w:eastAsia="仿宋_GB2312" w:cs="仿宋_GB2312"/>
          <w:b w:val="0"/>
          <w:bCs/>
          <w:color w:val="000000"/>
          <w:sz w:val="32"/>
          <w:szCs w:val="32"/>
          <w:lang w:eastAsia="zh-CN"/>
        </w:rPr>
        <w:t>指行政单位医疗。</w:t>
      </w:r>
    </w:p>
    <w:p>
      <w:pPr>
        <w:pStyle w:val="19"/>
        <w:spacing w:line="560" w:lineRule="exact"/>
        <w:ind w:firstLine="640" w:firstLineChars="200"/>
        <w:rPr>
          <w:rFonts w:hint="eastAsia" w:ascii="仿宋_GB2312" w:eastAsia="仿宋_GB2312"/>
          <w:color w:val="auto"/>
          <w:sz w:val="32"/>
          <w:szCs w:val="32"/>
          <w:highlight w:val="none"/>
        </w:rPr>
      </w:pPr>
      <w:r>
        <w:rPr>
          <w:rFonts w:hint="eastAsia" w:ascii="仿宋_GB2312" w:hAnsi="仿宋_GB2312" w:eastAsia="仿宋_GB2312" w:cs="仿宋_GB2312"/>
          <w:b w:val="0"/>
          <w:bCs w:val="0"/>
          <w:color w:val="000000"/>
          <w:sz w:val="32"/>
          <w:szCs w:val="32"/>
          <w:lang w:val="en-US" w:eastAsia="zh-CN"/>
        </w:rPr>
        <w:t>12.</w:t>
      </w:r>
      <w:r>
        <w:rPr>
          <w:rFonts w:hint="eastAsia" w:ascii="仿宋_GB2312" w:hAnsi="仿宋_GB2312" w:eastAsia="仿宋_GB2312" w:cs="仿宋_GB2312"/>
          <w:b w:val="0"/>
          <w:bCs w:val="0"/>
          <w:color w:val="000000"/>
          <w:sz w:val="32"/>
          <w:szCs w:val="32"/>
        </w:rPr>
        <w:t>住房保障</w:t>
      </w:r>
      <w:r>
        <w:rPr>
          <w:rFonts w:hint="eastAsia" w:ascii="仿宋_GB2312" w:hAnsi="仿宋_GB2312" w:eastAsia="仿宋_GB2312" w:cs="仿宋_GB2312"/>
          <w:b w:val="0"/>
          <w:bCs w:val="0"/>
          <w:color w:val="000000"/>
          <w:sz w:val="32"/>
          <w:szCs w:val="32"/>
          <w:lang w:val="en-US" w:eastAsia="zh-CN"/>
        </w:rPr>
        <w:t>（类）住房改革（款）公积金（项）：指住房公积金缴费。</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13</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14</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15</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19"/>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16</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9"/>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17</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7"/>
          <w:rFonts w:hint="eastAsia" w:ascii="黑体" w:hAnsi="黑体" w:eastAsia="黑体"/>
          <w:b w:val="0"/>
          <w:color w:val="auto"/>
          <w:highlight w:val="none"/>
        </w:rPr>
      </w:pPr>
      <w:bookmarkStart w:id="57" w:name="_Toc15377226"/>
      <w:r>
        <w:rPr>
          <w:rFonts w:ascii="宋体"/>
          <w:b/>
          <w:color w:val="auto"/>
          <w:sz w:val="44"/>
          <w:szCs w:val="44"/>
          <w:highlight w:val="none"/>
        </w:rPr>
        <w:br w:type="page"/>
      </w:r>
      <w:bookmarkStart w:id="58" w:name="_Toc15396614"/>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四部分 附件</w:t>
      </w:r>
      <w:bookmarkEnd w:id="58"/>
    </w:p>
    <w:p>
      <w:pPr>
        <w:pStyle w:val="19"/>
        <w:rPr>
          <w:rFonts w:hint="eastAsia"/>
          <w:lang w:eastAsia="zh-CN"/>
        </w:rPr>
      </w:pPr>
    </w:p>
    <w:p>
      <w:pPr>
        <w:keepNext w:val="0"/>
        <w:keepLines w:val="0"/>
        <w:pageBreakBefore w:val="0"/>
        <w:kinsoku/>
        <w:wordWrap/>
        <w:overflowPunct/>
        <w:topLinePunct w:val="0"/>
        <w:autoSpaceDE/>
        <w:autoSpaceDN/>
        <w:bidi w:val="0"/>
        <w:spacing w:line="572" w:lineRule="exact"/>
        <w:jc w:val="center"/>
        <w:textAlignment w:val="auto"/>
        <w:rPr>
          <w:rFonts w:ascii="方正小标宋简体" w:hAnsi="宋体" w:eastAsia="方正小标宋简体"/>
          <w:color w:val="auto"/>
          <w:kern w:val="0"/>
          <w:sz w:val="40"/>
          <w:szCs w:val="44"/>
          <w:highlight w:val="none"/>
          <w:lang w:val="zh-CN"/>
        </w:rPr>
      </w:pPr>
      <w:r>
        <w:rPr>
          <w:rFonts w:hint="eastAsia" w:ascii="方正小标宋简体" w:hAnsi="宋体" w:eastAsia="方正小标宋简体"/>
          <w:color w:val="auto"/>
          <w:kern w:val="0"/>
          <w:sz w:val="40"/>
          <w:szCs w:val="44"/>
          <w:highlight w:val="none"/>
        </w:rPr>
        <w:t>202</w:t>
      </w:r>
      <w:r>
        <w:rPr>
          <w:rFonts w:hint="eastAsia" w:ascii="方正小标宋简体" w:hAnsi="宋体" w:eastAsia="方正小标宋简体"/>
          <w:color w:val="auto"/>
          <w:kern w:val="0"/>
          <w:sz w:val="40"/>
          <w:szCs w:val="44"/>
          <w:highlight w:val="none"/>
          <w:lang w:val="en-US" w:eastAsia="zh-CN"/>
        </w:rPr>
        <w:t>1</w:t>
      </w:r>
      <w:r>
        <w:rPr>
          <w:rFonts w:hint="eastAsia" w:ascii="方正小标宋简体" w:hAnsi="宋体" w:eastAsia="方正小标宋简体"/>
          <w:color w:val="auto"/>
          <w:kern w:val="0"/>
          <w:sz w:val="40"/>
          <w:szCs w:val="44"/>
          <w:highlight w:val="none"/>
        </w:rPr>
        <w:t>年</w:t>
      </w:r>
      <w:r>
        <w:rPr>
          <w:rFonts w:hint="eastAsia" w:ascii="方正小标宋简体" w:hAnsi="宋体" w:eastAsia="方正小标宋简体"/>
          <w:color w:val="auto"/>
          <w:kern w:val="0"/>
          <w:sz w:val="40"/>
          <w:szCs w:val="44"/>
          <w:highlight w:val="none"/>
          <w:lang w:eastAsia="zh-CN"/>
        </w:rPr>
        <w:t>区委编办</w:t>
      </w:r>
      <w:r>
        <w:rPr>
          <w:rFonts w:hint="eastAsia" w:ascii="方正小标宋简体" w:hAnsi="宋体" w:eastAsia="方正小标宋简体"/>
          <w:color w:val="auto"/>
          <w:kern w:val="0"/>
          <w:sz w:val="40"/>
          <w:szCs w:val="44"/>
          <w:highlight w:val="none"/>
        </w:rPr>
        <w:t>部门整体绩效评价报告</w:t>
      </w:r>
    </w:p>
    <w:p>
      <w:pPr>
        <w:keepNext w:val="0"/>
        <w:keepLines w:val="0"/>
        <w:pageBreakBefore w:val="0"/>
        <w:widowControl/>
        <w:kinsoku/>
        <w:wordWrap/>
        <w:overflowPunct/>
        <w:topLinePunct w:val="0"/>
        <w:autoSpaceDE/>
        <w:autoSpaceDN/>
        <w:bidi w:val="0"/>
        <w:adjustRightInd w:val="0"/>
        <w:snapToGrid w:val="0"/>
        <w:spacing w:line="572" w:lineRule="exact"/>
        <w:ind w:firstLine="480" w:firstLineChars="200"/>
        <w:contextualSpacing/>
        <w:jc w:val="left"/>
        <w:textAlignment w:val="auto"/>
        <w:rPr>
          <w:rFonts w:ascii="黑体" w:hAnsi="宋体" w:eastAsia="黑体" w:cs="宋体"/>
          <w:color w:val="auto"/>
          <w:kern w:val="0"/>
          <w:sz w:val="24"/>
          <w:szCs w:val="32"/>
          <w:highlight w:val="none"/>
          <w:shd w:val="clear" w:color="auto" w:fill="FFFFFF"/>
        </w:rPr>
      </w:pP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lang w:val="zh-CN"/>
        </w:rPr>
      </w:pPr>
      <w:r>
        <w:rPr>
          <w:rFonts w:hint="eastAsia" w:ascii="黑体" w:hAnsi="宋体" w:eastAsia="黑体" w:cs="宋体"/>
          <w:color w:val="auto"/>
          <w:kern w:val="0"/>
          <w:sz w:val="32"/>
          <w:szCs w:val="32"/>
          <w:highlight w:val="none"/>
          <w:shd w:val="clear" w:color="auto" w:fill="FFFFFF"/>
        </w:rPr>
        <w:t>一、</w:t>
      </w:r>
      <w:r>
        <w:rPr>
          <w:rFonts w:hint="eastAsia" w:ascii="黑体" w:hAnsi="宋体" w:eastAsia="黑体" w:cs="宋体"/>
          <w:color w:val="auto"/>
          <w:kern w:val="0"/>
          <w:sz w:val="32"/>
          <w:szCs w:val="32"/>
          <w:highlight w:val="none"/>
          <w:shd w:val="clear" w:color="auto" w:fill="FFFFFF"/>
          <w:lang w:val="zh-CN"/>
        </w:rPr>
        <w:t>部门（单位）概况</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firstLine="640" w:firstLineChars="200"/>
        <w:textAlignment w:val="auto"/>
        <w:rPr>
          <w:rFonts w:hint="eastAsia" w:ascii="楷体_GB2312" w:hAnsi="楷体_GB2312" w:eastAsia="楷体_GB2312" w:cs="楷体_GB2312"/>
          <w:color w:val="auto"/>
          <w:kern w:val="0"/>
          <w:sz w:val="32"/>
          <w:szCs w:val="32"/>
          <w:highlight w:val="none"/>
          <w:shd w:val="clear" w:color="auto" w:fill="FFFFFF"/>
          <w:lang w:val="zh-CN"/>
        </w:rPr>
      </w:pPr>
      <w:r>
        <w:rPr>
          <w:rFonts w:hint="eastAsia" w:ascii="楷体_GB2312" w:hAnsi="楷体_GB2312" w:eastAsia="楷体_GB2312" w:cs="楷体_GB2312"/>
          <w:color w:val="auto"/>
          <w:kern w:val="0"/>
          <w:sz w:val="32"/>
          <w:szCs w:val="32"/>
          <w:highlight w:val="none"/>
          <w:shd w:val="clear" w:color="auto" w:fill="FFFFFF"/>
          <w:lang w:val="zh-CN"/>
        </w:rPr>
        <w:t>（一）机构组成</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firstLine="640" w:firstLineChars="200"/>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color="auto" w:fill="FFFFFF"/>
        </w:rPr>
        <w:t>内设机构</w:t>
      </w:r>
      <w:r>
        <w:rPr>
          <w:rFonts w:hint="eastAsia" w:ascii="仿宋_GB2312" w:hAnsi="仿宋_GB2312" w:eastAsia="仿宋_GB2312" w:cs="仿宋_GB2312"/>
          <w:i w:val="0"/>
          <w:caps w:val="0"/>
          <w:color w:val="auto"/>
          <w:spacing w:val="0"/>
          <w:sz w:val="32"/>
          <w:szCs w:val="32"/>
          <w:u w:val="none"/>
          <w:shd w:val="clear" w:color="auto" w:fill="FFFFFF"/>
          <w:lang w:val="en-US" w:eastAsia="zh-CN"/>
        </w:rPr>
        <w:t>5</w:t>
      </w:r>
      <w:r>
        <w:rPr>
          <w:rFonts w:hint="eastAsia" w:ascii="仿宋_GB2312" w:hAnsi="仿宋_GB2312" w:eastAsia="仿宋_GB2312" w:cs="仿宋_GB2312"/>
          <w:i w:val="0"/>
          <w:caps w:val="0"/>
          <w:color w:val="auto"/>
          <w:spacing w:val="0"/>
          <w:sz w:val="32"/>
          <w:szCs w:val="32"/>
          <w:u w:val="none"/>
          <w:shd w:val="clear" w:color="auto" w:fill="FFFFFF"/>
        </w:rPr>
        <w:t>个：</w:t>
      </w:r>
      <w:r>
        <w:rPr>
          <w:rFonts w:hint="eastAsia" w:ascii="仿宋_GB2312" w:hAnsi="仿宋_GB2312" w:eastAsia="仿宋_GB2312" w:cs="仿宋_GB2312"/>
          <w:i w:val="0"/>
          <w:caps w:val="0"/>
          <w:color w:val="auto"/>
          <w:spacing w:val="0"/>
          <w:sz w:val="32"/>
          <w:szCs w:val="32"/>
          <w:u w:val="none"/>
          <w:shd w:val="clear" w:color="auto" w:fill="FFFFFF"/>
          <w:lang w:eastAsia="zh-CN"/>
        </w:rPr>
        <w:t>综合股、机构编制股、监督检查股</w:t>
      </w:r>
      <w:r>
        <w:rPr>
          <w:rFonts w:hint="eastAsia" w:ascii="仿宋_GB2312" w:hAnsi="仿宋_GB2312" w:eastAsia="仿宋_GB2312" w:cs="仿宋_GB2312"/>
          <w:i w:val="0"/>
          <w:caps w:val="0"/>
          <w:color w:val="auto"/>
          <w:spacing w:val="0"/>
          <w:sz w:val="32"/>
          <w:szCs w:val="32"/>
          <w:u w:val="none"/>
          <w:shd w:val="clear" w:color="auto" w:fill="FFFFFF"/>
        </w:rPr>
        <w:t>（</w:t>
      </w:r>
      <w:r>
        <w:rPr>
          <w:rFonts w:hint="eastAsia" w:ascii="仿宋_GB2312" w:hAnsi="仿宋_GB2312" w:eastAsia="仿宋_GB2312" w:cs="仿宋_GB2312"/>
          <w:i w:val="0"/>
          <w:caps w:val="0"/>
          <w:color w:val="auto"/>
          <w:spacing w:val="0"/>
          <w:sz w:val="32"/>
          <w:szCs w:val="32"/>
          <w:u w:val="none"/>
          <w:shd w:val="clear" w:color="auto" w:fill="FFFFFF"/>
          <w:lang w:eastAsia="zh-CN"/>
        </w:rPr>
        <w:t>政策法规股</w:t>
      </w:r>
      <w:r>
        <w:rPr>
          <w:rFonts w:hint="eastAsia" w:ascii="仿宋_GB2312" w:hAnsi="仿宋_GB2312" w:eastAsia="仿宋_GB2312" w:cs="仿宋_GB2312"/>
          <w:i w:val="0"/>
          <w:caps w:val="0"/>
          <w:color w:val="auto"/>
          <w:spacing w:val="0"/>
          <w:sz w:val="32"/>
          <w:szCs w:val="32"/>
          <w:u w:val="none"/>
          <w:shd w:val="clear" w:color="auto" w:fill="FFFFFF"/>
        </w:rPr>
        <w:t>）、事业单位登记管理</w:t>
      </w:r>
      <w:r>
        <w:rPr>
          <w:rFonts w:hint="eastAsia" w:ascii="仿宋_GB2312" w:hAnsi="仿宋_GB2312" w:eastAsia="仿宋_GB2312" w:cs="仿宋_GB2312"/>
          <w:i w:val="0"/>
          <w:caps w:val="0"/>
          <w:color w:val="auto"/>
          <w:spacing w:val="0"/>
          <w:sz w:val="32"/>
          <w:szCs w:val="32"/>
          <w:u w:val="none"/>
          <w:shd w:val="clear" w:color="auto" w:fill="FFFFFF"/>
          <w:lang w:eastAsia="zh-CN"/>
        </w:rPr>
        <w:t>股（区事业单位登记管理局）</w:t>
      </w:r>
      <w:r>
        <w:rPr>
          <w:rFonts w:hint="eastAsia" w:ascii="仿宋_GB2312" w:hAnsi="仿宋_GB2312" w:eastAsia="仿宋_GB2312" w:cs="仿宋_GB2312"/>
          <w:i w:val="0"/>
          <w:caps w:val="0"/>
          <w:color w:val="auto"/>
          <w:spacing w:val="0"/>
          <w:sz w:val="32"/>
          <w:szCs w:val="32"/>
          <w:u w:val="none"/>
          <w:shd w:val="clear" w:color="auto" w:fill="FFFFFF"/>
        </w:rPr>
        <w:t>。</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楷体_GB2312" w:hAnsi="楷体_GB2312" w:eastAsia="楷体_GB2312" w:cs="楷体_GB2312"/>
          <w:color w:val="auto"/>
          <w:kern w:val="0"/>
          <w:sz w:val="32"/>
          <w:szCs w:val="32"/>
          <w:highlight w:val="none"/>
          <w:shd w:val="clear" w:color="auto" w:fill="FFFFFF"/>
          <w:lang w:val="zh-CN"/>
        </w:rPr>
      </w:pPr>
      <w:r>
        <w:rPr>
          <w:rFonts w:hint="eastAsia" w:ascii="楷体_GB2312" w:hAnsi="楷体_GB2312" w:eastAsia="楷体_GB2312" w:cs="楷体_GB2312"/>
          <w:color w:val="auto"/>
          <w:kern w:val="0"/>
          <w:sz w:val="32"/>
          <w:szCs w:val="32"/>
          <w:highlight w:val="none"/>
          <w:shd w:val="clear" w:color="auto" w:fill="FFFFFF"/>
          <w:lang w:val="zh-CN"/>
        </w:rPr>
        <w:t>（二）机构职能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6" w:lineRule="exact"/>
        <w:ind w:left="0" w:leftChars="0" w:right="0" w:firstLine="640" w:firstLineChars="200"/>
        <w:jc w:val="left"/>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color="auto" w:fill="FFFFFF"/>
          <w:lang w:val="en-US" w:eastAsia="zh-CN" w:bidi="ar"/>
        </w:rPr>
        <w:t>1.贯彻执行党和国家关于行政管理体制、机构改革及机构编制工作的方针、政策和法规，拟定全区行政管理体制改革、机构改革及机构编制工作的有关管理办法和措施，统一管理全区各级党政机关和人大、政协、法院、检察院机关以及各民主党派、人民团体机关的机构编制工作，检查监督各级行政管理体制政策和机构改革方案以及机构编制执行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6" w:lineRule="exact"/>
        <w:ind w:left="0" w:leftChars="0" w:right="0" w:firstLine="640" w:firstLineChars="200"/>
        <w:jc w:val="left"/>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color="auto" w:fill="FFFFFF"/>
          <w:lang w:val="en-US" w:eastAsia="zh-CN" w:bidi="ar"/>
        </w:rPr>
        <w:t>2.研究拟定全区行政管理体制改革与机构改革方案及有关规定；审核区直各部门和乡镇办事处党政机构改革方案；指导、协调区直各部门和乡镇办事处行政管理体制改革、机构改革以及机构编制管理工作。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6" w:lineRule="exact"/>
        <w:ind w:left="0" w:leftChars="0" w:right="0" w:firstLine="640" w:firstLineChars="200"/>
        <w:jc w:val="left"/>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color="auto" w:fill="FFFFFF"/>
          <w:lang w:val="en-US" w:eastAsia="zh-CN" w:bidi="ar"/>
        </w:rPr>
        <w:t>3.协调区委、区政府各部门的职能配置及职能调整；协调区委、区政府各部门之间以及部门与乡镇办事处之间的职责分工和事权划分。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6" w:lineRule="exact"/>
        <w:ind w:left="0" w:leftChars="0" w:right="0" w:firstLine="640" w:firstLineChars="200"/>
        <w:jc w:val="left"/>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color="auto" w:fill="FFFFFF"/>
          <w:lang w:val="en-US" w:eastAsia="zh-CN" w:bidi="ar"/>
        </w:rPr>
        <w:t>4.负责区委、区政府各部门和乡镇办事处的职能职责、机构设置、人员编制的审核和股级职数的审批；协同区委组织部提出区直各部门领导班子职数配备的建议；审批区直党政群机构的内设股室机构设置，拟定区直党政群机关、乡镇办事处机关行政编制和省、市下达的专项编制分配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6" w:lineRule="exact"/>
        <w:ind w:left="0" w:leftChars="0" w:right="0" w:firstLine="640" w:firstLineChars="200"/>
        <w:jc w:val="left"/>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color="auto" w:fill="FFFFFF"/>
          <w:lang w:val="en-US" w:eastAsia="zh-CN" w:bidi="ar"/>
        </w:rPr>
        <w:t>5.审核区人大、区政协机关、区中级人民法院、区人民检察院机关和民主党派、人民团体机关的内设机构、人员编制和领导职数。</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firstLine="640" w:firstLineChars="200"/>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color="auto" w:fill="FFFFFF"/>
          <w:lang w:val="en-US" w:eastAsia="zh-CN"/>
        </w:rPr>
        <w:t>6.</w:t>
      </w:r>
      <w:r>
        <w:rPr>
          <w:rFonts w:hint="eastAsia" w:ascii="仿宋_GB2312" w:hAnsi="仿宋_GB2312" w:eastAsia="仿宋_GB2312" w:cs="仿宋_GB2312"/>
          <w:i w:val="0"/>
          <w:caps w:val="0"/>
          <w:color w:val="auto"/>
          <w:spacing w:val="0"/>
          <w:sz w:val="32"/>
          <w:szCs w:val="32"/>
          <w:u w:val="none"/>
          <w:shd w:val="clear" w:color="auto" w:fill="FFFFFF"/>
        </w:rPr>
        <w:t>研究拟定全区事业单位管理体制和机构改革方案，负责事业单位机构编制管理工作；负责区直各部门所属事业单位的职能职责、机构设置、人员编制的审核和股级职数的审批；协同区委组织部提出区管科级事业单位领导班子职数配备的建议；审批区直科级事业机构的内设股室和区直独立设置的股级事业机构；根据中央、省、市有关规定，拟定全区性事业单位编制配备标准，分配由区统一核定的全区性事业编制；指导、协调各级各类事业单位管理体制改革和机构编制管理工作。负责事业单位登记管理的行政复议、行政诉</w:t>
      </w:r>
      <w:r>
        <w:rPr>
          <w:rFonts w:hint="eastAsia" w:ascii="仿宋_GB2312" w:hAnsi="仿宋_GB2312" w:eastAsia="仿宋_GB2312" w:cs="仿宋_GB2312"/>
          <w:i w:val="0"/>
          <w:caps w:val="0"/>
          <w:color w:val="auto"/>
          <w:spacing w:val="-10"/>
          <w:sz w:val="32"/>
          <w:szCs w:val="32"/>
          <w:u w:val="none"/>
          <w:shd w:val="clear" w:color="auto" w:fill="FFFFFF"/>
        </w:rPr>
        <w:t>讼应诉工作，检查监督和指导协调全区事业单位登记管理工作。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6" w:lineRule="exact"/>
        <w:ind w:left="0" w:leftChars="0" w:right="0" w:firstLine="640" w:firstLineChars="200"/>
        <w:jc w:val="left"/>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color="auto" w:fill="FFFFFF"/>
          <w:lang w:val="en-US" w:eastAsia="zh-CN" w:bidi="ar"/>
        </w:rPr>
        <w:t>7.研究提出区直机关、事业单位年度增人控编计划意见，并配合有关部门组织实施；负责区直财政年度预算人员编制和区直财政工资统发单位的人员编制审核工作。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6" w:lineRule="exact"/>
        <w:ind w:left="0" w:leftChars="0" w:right="0" w:firstLine="640" w:firstLineChars="200"/>
        <w:jc w:val="left"/>
        <w:textAlignment w:val="auto"/>
        <w:rPr>
          <w:rFonts w:hint="eastAsia" w:ascii="仿宋_GB2312" w:hAnsi="仿宋_GB2312" w:eastAsia="仿宋_GB2312" w:cs="仿宋_GB2312"/>
          <w:i w:val="0"/>
          <w:caps w:val="0"/>
          <w:color w:val="auto"/>
          <w:spacing w:val="0"/>
          <w:kern w:val="0"/>
          <w:sz w:val="32"/>
          <w:szCs w:val="32"/>
          <w:u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u w:val="none"/>
          <w:shd w:val="clear" w:color="auto" w:fill="FFFFFF"/>
          <w:lang w:val="en-US" w:eastAsia="zh-CN" w:bidi="ar"/>
        </w:rPr>
        <w:t>8.负责机构改革和机构编制管理有关信息采集和情况综合，负责机构编制统计工作。</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楷体_GB2312" w:hAnsi="楷体_GB2312" w:eastAsia="楷体_GB2312" w:cs="楷体_GB2312"/>
          <w:color w:val="auto"/>
          <w:kern w:val="0"/>
          <w:sz w:val="32"/>
          <w:szCs w:val="32"/>
          <w:highlight w:val="none"/>
          <w:shd w:val="clear" w:color="auto" w:fill="FFFFFF"/>
          <w:lang w:val="zh-CN"/>
        </w:rPr>
      </w:pPr>
      <w:r>
        <w:rPr>
          <w:rFonts w:hint="eastAsia" w:ascii="楷体_GB2312" w:hAnsi="楷体_GB2312" w:eastAsia="楷体_GB2312" w:cs="楷体_GB2312"/>
          <w:color w:val="auto"/>
          <w:kern w:val="0"/>
          <w:sz w:val="32"/>
          <w:szCs w:val="32"/>
          <w:highlight w:val="none"/>
          <w:shd w:val="clear" w:color="auto" w:fill="FFFFFF"/>
          <w:lang w:val="zh-CN"/>
        </w:rPr>
        <w:t>（三）人员概况</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仿宋_GB2312" w:hAnsi="宋体" w:eastAsia="仿宋_GB2312" w:cs="宋体"/>
          <w:color w:val="auto"/>
          <w:kern w:val="0"/>
          <w:sz w:val="32"/>
          <w:szCs w:val="32"/>
          <w:highlight w:val="none"/>
          <w:shd w:val="clear" w:color="auto" w:fill="FFFFFF"/>
          <w:lang w:val="zh-CN"/>
        </w:rPr>
      </w:pPr>
      <w:r>
        <w:rPr>
          <w:rFonts w:hint="eastAsia" w:ascii="仿宋_GB2312" w:hAnsi="仿宋_GB2312" w:eastAsia="仿宋_GB2312" w:cs="仿宋_GB2312"/>
          <w:i w:val="0"/>
          <w:caps w:val="0"/>
          <w:color w:val="auto"/>
          <w:spacing w:val="0"/>
          <w:kern w:val="0"/>
          <w:sz w:val="32"/>
          <w:szCs w:val="32"/>
          <w:u w:val="none"/>
          <w:shd w:val="clear" w:color="auto" w:fill="FFFFFF"/>
          <w:lang w:val="en-US" w:eastAsia="zh-CN" w:bidi="ar"/>
        </w:rPr>
        <w:t>2021年末本单位共有在职人员14人，其中：公务员8人（含参公人员1人），事业人员5人，机关工人1人。</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二、部门财政资金收支情况</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楷体_GB2312" w:hAnsi="楷体_GB2312" w:eastAsia="楷体_GB2312" w:cs="楷体_GB2312"/>
          <w:color w:val="auto"/>
          <w:kern w:val="0"/>
          <w:sz w:val="32"/>
          <w:szCs w:val="32"/>
          <w:highlight w:val="none"/>
          <w:shd w:val="clear" w:color="auto" w:fill="FFFFFF"/>
          <w:lang w:val="zh-CN"/>
        </w:rPr>
      </w:pPr>
      <w:r>
        <w:rPr>
          <w:rFonts w:hint="eastAsia" w:ascii="楷体_GB2312" w:hAnsi="楷体_GB2312" w:eastAsia="楷体_GB2312" w:cs="楷体_GB2312"/>
          <w:color w:val="auto"/>
          <w:kern w:val="0"/>
          <w:sz w:val="32"/>
          <w:szCs w:val="32"/>
          <w:highlight w:val="none"/>
          <w:shd w:val="clear" w:color="auto" w:fill="FFFFFF"/>
          <w:lang w:val="zh-CN"/>
        </w:rPr>
        <w:t>（一）部门财政资金收入情况</w:t>
      </w:r>
    </w:p>
    <w:p>
      <w:pPr>
        <w:keepNext w:val="0"/>
        <w:keepLines w:val="0"/>
        <w:pageBreakBefore w:val="0"/>
        <w:kinsoku/>
        <w:wordWrap/>
        <w:overflowPunct/>
        <w:topLinePunct w:val="0"/>
        <w:autoSpaceDN/>
        <w:bidi w:val="0"/>
        <w:adjustRightInd w:val="0"/>
        <w:snapToGrid w:val="0"/>
        <w:spacing w:line="576" w:lineRule="exact"/>
        <w:ind w:firstLine="640" w:firstLineChars="200"/>
        <w:jc w:val="left"/>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2021年，我单位总收入212.25万元，其中：财政拨款收入211.25万元，占总收入99.53%；利息收入0.005万元，占总收入0%；其他收入0.99万元，占总收入0.47%。</w:t>
      </w:r>
    </w:p>
    <w:p>
      <w:pPr>
        <w:keepNext w:val="0"/>
        <w:keepLines w:val="0"/>
        <w:pageBreakBefore w:val="0"/>
        <w:widowControl/>
        <w:numPr>
          <w:ilvl w:val="0"/>
          <w:numId w:val="4"/>
        </w:numPr>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楷体_GB2312" w:hAnsi="楷体_GB2312" w:eastAsia="楷体_GB2312" w:cs="楷体_GB2312"/>
          <w:color w:val="auto"/>
          <w:kern w:val="0"/>
          <w:sz w:val="32"/>
          <w:szCs w:val="32"/>
          <w:highlight w:val="none"/>
          <w:shd w:val="clear" w:color="auto" w:fill="FFFFFF"/>
          <w:lang w:val="zh-CN"/>
        </w:rPr>
      </w:pPr>
      <w:r>
        <w:rPr>
          <w:rFonts w:hint="eastAsia" w:ascii="楷体_GB2312" w:hAnsi="楷体_GB2312" w:eastAsia="楷体_GB2312" w:cs="楷体_GB2312"/>
          <w:color w:val="auto"/>
          <w:kern w:val="0"/>
          <w:sz w:val="32"/>
          <w:szCs w:val="32"/>
          <w:highlight w:val="none"/>
          <w:shd w:val="clear" w:color="auto" w:fill="FFFFFF"/>
          <w:lang w:val="zh-CN"/>
        </w:rPr>
        <w:t>部门财政资金支出情况</w:t>
      </w:r>
    </w:p>
    <w:p>
      <w:pPr>
        <w:keepNext w:val="0"/>
        <w:keepLines w:val="0"/>
        <w:pageBreakBefore w:val="0"/>
        <w:kinsoku/>
        <w:wordWrap/>
        <w:overflowPunct/>
        <w:topLinePunct w:val="0"/>
        <w:autoSpaceDN/>
        <w:bidi w:val="0"/>
        <w:adjustRightInd w:val="0"/>
        <w:snapToGrid w:val="0"/>
        <w:spacing w:line="576" w:lineRule="exact"/>
        <w:ind w:firstLine="640" w:firstLineChars="200"/>
        <w:jc w:val="left"/>
        <w:textAlignment w:val="auto"/>
        <w:rPr>
          <w:rFonts w:hint="eastAsia" w:ascii="仿宋_GB2312" w:hAnsi="仿宋_GB2312" w:eastAsia="仿宋_GB2312" w:cs="仿宋_GB2312"/>
          <w:snapToGrid w:val="0"/>
          <w:spacing w:val="0"/>
          <w:kern w:val="0"/>
          <w:sz w:val="32"/>
          <w:szCs w:val="32"/>
          <w:lang w:val="en-US" w:eastAsia="zh-CN"/>
        </w:rPr>
      </w:pPr>
      <w:r>
        <w:rPr>
          <w:rFonts w:hint="eastAsia" w:ascii="仿宋_GB2312" w:hAnsi="仿宋_GB2312" w:eastAsia="仿宋_GB2312" w:cs="仿宋_GB2312"/>
          <w:snapToGrid w:val="0"/>
          <w:spacing w:val="0"/>
          <w:kern w:val="0"/>
          <w:sz w:val="32"/>
          <w:szCs w:val="32"/>
        </w:rPr>
        <w:t>2021年，我单位总</w:t>
      </w:r>
      <w:r>
        <w:rPr>
          <w:rFonts w:hint="eastAsia" w:ascii="仿宋_GB2312" w:hAnsi="仿宋_GB2312" w:eastAsia="仿宋_GB2312" w:cs="仿宋_GB2312"/>
          <w:snapToGrid w:val="0"/>
          <w:spacing w:val="0"/>
          <w:kern w:val="0"/>
          <w:sz w:val="32"/>
          <w:szCs w:val="32"/>
          <w:lang w:eastAsia="zh-CN"/>
        </w:rPr>
        <w:t>支出</w:t>
      </w:r>
      <w:r>
        <w:rPr>
          <w:rFonts w:hint="eastAsia" w:ascii="仿宋_GB2312" w:hAnsi="仿宋_GB2312" w:eastAsia="仿宋_GB2312" w:cs="仿宋_GB2312"/>
          <w:snapToGrid w:val="0"/>
          <w:spacing w:val="0"/>
          <w:kern w:val="0"/>
          <w:sz w:val="32"/>
          <w:szCs w:val="32"/>
        </w:rPr>
        <w:t>21</w:t>
      </w:r>
      <w:r>
        <w:rPr>
          <w:rFonts w:hint="eastAsia" w:ascii="仿宋_GB2312" w:hAnsi="仿宋_GB2312" w:eastAsia="仿宋_GB2312" w:cs="仿宋_GB2312"/>
          <w:snapToGrid w:val="0"/>
          <w:spacing w:val="0"/>
          <w:kern w:val="0"/>
          <w:sz w:val="32"/>
          <w:szCs w:val="32"/>
          <w:lang w:val="en-US" w:eastAsia="zh-CN"/>
        </w:rPr>
        <w:t>1.25</w:t>
      </w:r>
      <w:r>
        <w:rPr>
          <w:rFonts w:hint="eastAsia" w:ascii="仿宋_GB2312" w:hAnsi="仿宋_GB2312" w:eastAsia="仿宋_GB2312" w:cs="仿宋_GB2312"/>
          <w:snapToGrid w:val="0"/>
          <w:spacing w:val="0"/>
          <w:kern w:val="0"/>
          <w:sz w:val="32"/>
          <w:szCs w:val="32"/>
        </w:rPr>
        <w:t>万元，其中：</w:t>
      </w:r>
      <w:r>
        <w:rPr>
          <w:rFonts w:hint="eastAsia" w:ascii="仿宋_GB2312" w:hAnsi="仿宋_GB2312" w:eastAsia="仿宋_GB2312" w:cs="仿宋_GB2312"/>
          <w:snapToGrid w:val="0"/>
          <w:spacing w:val="0"/>
          <w:kern w:val="0"/>
          <w:sz w:val="32"/>
          <w:szCs w:val="32"/>
          <w:lang w:eastAsia="zh-CN"/>
        </w:rPr>
        <w:t>按功能分类一般公务服务支出</w:t>
      </w:r>
      <w:r>
        <w:rPr>
          <w:rFonts w:hint="eastAsia" w:ascii="仿宋_GB2312" w:hAnsi="仿宋_GB2312" w:eastAsia="仿宋_GB2312" w:cs="仿宋_GB2312"/>
          <w:snapToGrid w:val="0"/>
          <w:spacing w:val="0"/>
          <w:kern w:val="0"/>
          <w:sz w:val="32"/>
          <w:szCs w:val="32"/>
          <w:lang w:val="en-US" w:eastAsia="zh-CN"/>
        </w:rPr>
        <w:t>172.67万元，占总支出81.74%；社会保障和就业支出16.37万元，占总支出7.75%；卫生健康支出7.75万元，占总支的3.67%，住房保障支出14.46万元，占总支出的6.84%。按支出性质人员经费支出176.92万元，占总支出的83.75%；公用经费支出18.16万元，占总支出的8.59%；项目支出16.17万元，占总支出的7.65%。</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黑体" w:hAnsi="宋体" w:eastAsia="黑体" w:cs="宋体"/>
          <w:color w:val="auto"/>
          <w:kern w:val="0"/>
          <w:sz w:val="32"/>
          <w:szCs w:val="32"/>
          <w:highlight w:val="none"/>
          <w:u w:val="none"/>
          <w:shd w:val="clear" w:color="auto" w:fill="FFFFFF"/>
        </w:rPr>
      </w:pPr>
      <w:r>
        <w:rPr>
          <w:rFonts w:hint="eastAsia" w:ascii="黑体" w:hAnsi="宋体" w:eastAsia="黑体" w:cs="宋体"/>
          <w:color w:val="auto"/>
          <w:kern w:val="0"/>
          <w:sz w:val="32"/>
          <w:szCs w:val="32"/>
          <w:highlight w:val="none"/>
          <w:shd w:val="clear" w:color="auto" w:fill="FFFFFF"/>
        </w:rPr>
        <w:t>三、</w:t>
      </w:r>
      <w:r>
        <w:rPr>
          <w:rFonts w:hint="eastAsia" w:ascii="黑体" w:hAnsi="宋体" w:eastAsia="黑体" w:cs="宋体"/>
          <w:color w:val="auto"/>
          <w:kern w:val="0"/>
          <w:sz w:val="32"/>
          <w:szCs w:val="32"/>
          <w:highlight w:val="none"/>
          <w:u w:val="none"/>
          <w:shd w:val="clear" w:color="auto" w:fill="FFFFFF"/>
        </w:rPr>
        <w:t>部门整体预算绩效管理情况</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楷体_GB2312" w:hAnsi="楷体_GB2312" w:eastAsia="楷体_GB2312" w:cs="楷体_GB2312"/>
          <w:color w:val="auto"/>
          <w:kern w:val="0"/>
          <w:sz w:val="32"/>
          <w:szCs w:val="32"/>
          <w:highlight w:val="none"/>
          <w:shd w:val="clear" w:color="auto" w:fill="FFFFFF"/>
          <w:lang w:val="zh-CN"/>
        </w:rPr>
      </w:pPr>
      <w:r>
        <w:rPr>
          <w:rFonts w:hint="eastAsia" w:ascii="楷体_GB2312" w:hAnsi="楷体_GB2312" w:eastAsia="楷体_GB2312" w:cs="楷体_GB2312"/>
          <w:color w:val="auto"/>
          <w:kern w:val="0"/>
          <w:sz w:val="32"/>
          <w:szCs w:val="32"/>
          <w:highlight w:val="none"/>
          <w:shd w:val="clear" w:color="auto" w:fill="FFFFFF"/>
          <w:lang w:val="zh-CN"/>
        </w:rPr>
        <w:t>（一）部门预算项目绩效管理</w:t>
      </w:r>
    </w:p>
    <w:p>
      <w:pPr>
        <w:keepNext w:val="0"/>
        <w:keepLines w:val="0"/>
        <w:pageBreakBefore w:val="0"/>
        <w:kinsoku/>
        <w:wordWrap/>
        <w:overflowPunct/>
        <w:topLinePunct w:val="0"/>
        <w:autoSpaceDN/>
        <w:bidi w:val="0"/>
        <w:adjustRightInd w:val="0"/>
        <w:snapToGrid w:val="0"/>
        <w:spacing w:line="576" w:lineRule="exact"/>
        <w:ind w:firstLine="640" w:firstLineChars="200"/>
        <w:jc w:val="left"/>
        <w:textAlignment w:val="auto"/>
        <w:rPr>
          <w:rFonts w:hint="eastAsia" w:ascii="仿宋_GB2312" w:hAnsi="仿宋_GB2312" w:eastAsia="仿宋_GB2312" w:cs="仿宋_GB2312"/>
          <w:snapToGrid w:val="0"/>
          <w:spacing w:val="0"/>
          <w:kern w:val="0"/>
          <w:sz w:val="32"/>
          <w:szCs w:val="32"/>
          <w:lang w:eastAsia="zh-CN"/>
        </w:rPr>
      </w:pPr>
      <w:r>
        <w:rPr>
          <w:rFonts w:hint="eastAsia" w:ascii="仿宋_GB2312" w:hAnsi="仿宋_GB2312" w:eastAsia="仿宋_GB2312" w:cs="仿宋_GB2312"/>
          <w:snapToGrid w:val="0"/>
          <w:spacing w:val="0"/>
          <w:kern w:val="0"/>
          <w:sz w:val="32"/>
          <w:szCs w:val="32"/>
        </w:rPr>
        <w:t>20</w:t>
      </w:r>
      <w:r>
        <w:rPr>
          <w:rFonts w:hint="eastAsia" w:ascii="仿宋_GB2312" w:hAnsi="仿宋_GB2312" w:eastAsia="仿宋_GB2312" w:cs="仿宋_GB2312"/>
          <w:snapToGrid w:val="0"/>
          <w:spacing w:val="0"/>
          <w:kern w:val="0"/>
          <w:sz w:val="32"/>
          <w:szCs w:val="32"/>
          <w:lang w:val="en-US" w:eastAsia="zh-CN"/>
        </w:rPr>
        <w:t>21</w:t>
      </w:r>
      <w:r>
        <w:rPr>
          <w:rFonts w:hint="eastAsia" w:ascii="仿宋_GB2312" w:hAnsi="仿宋_GB2312" w:eastAsia="仿宋_GB2312" w:cs="仿宋_GB2312"/>
          <w:snapToGrid w:val="0"/>
          <w:spacing w:val="0"/>
          <w:kern w:val="0"/>
          <w:sz w:val="32"/>
          <w:szCs w:val="32"/>
        </w:rPr>
        <w:t>年预算严格按照财政要求，</w:t>
      </w:r>
      <w:r>
        <w:rPr>
          <w:rFonts w:hint="eastAsia" w:ascii="仿宋_GB2312" w:hAnsi="仿宋_GB2312" w:eastAsia="仿宋_GB2312" w:cs="仿宋_GB2312"/>
          <w:snapToGrid w:val="0"/>
          <w:spacing w:val="0"/>
          <w:kern w:val="0"/>
          <w:sz w:val="32"/>
          <w:szCs w:val="32"/>
          <w:lang w:eastAsia="zh-CN"/>
        </w:rPr>
        <w:t>结合</w:t>
      </w:r>
      <w:r>
        <w:rPr>
          <w:rFonts w:hint="eastAsia" w:ascii="仿宋_GB2312" w:hAnsi="仿宋_GB2312" w:eastAsia="仿宋_GB2312" w:cs="仿宋_GB2312"/>
          <w:snapToGrid w:val="0"/>
          <w:spacing w:val="0"/>
          <w:kern w:val="0"/>
          <w:sz w:val="32"/>
          <w:szCs w:val="32"/>
        </w:rPr>
        <w:t>单位实际，在规定的时间内完成了编制工作。主要分基本支出和项目支出两大版块。基本支出按照单位实有人数和各单项定额标准编制；项目支出主要是根据本单位基本职能和职责要求，为保障完成单位特定的行政工作和社会事业发展目标而编制。整个预算包含了财政资金的安排使用、管理情况等。</w:t>
      </w:r>
    </w:p>
    <w:p>
      <w:pPr>
        <w:keepNext w:val="0"/>
        <w:keepLines w:val="0"/>
        <w:pageBreakBefore w:val="0"/>
        <w:kinsoku/>
        <w:wordWrap/>
        <w:overflowPunct/>
        <w:topLinePunct w:val="0"/>
        <w:autoSpaceDN/>
        <w:bidi w:val="0"/>
        <w:adjustRightInd w:val="0"/>
        <w:snapToGrid w:val="0"/>
        <w:spacing w:line="576" w:lineRule="exact"/>
        <w:ind w:firstLine="640" w:firstLineChars="200"/>
        <w:jc w:val="left"/>
        <w:textAlignment w:val="auto"/>
        <w:rPr>
          <w:rFonts w:hint="eastAsia" w:ascii="仿宋_GB2312" w:hAnsi="仿宋_GB2312" w:eastAsia="仿宋_GB2312" w:cs="仿宋_GB2312"/>
          <w:snapToGrid w:val="0"/>
          <w:spacing w:val="0"/>
          <w:kern w:val="0"/>
          <w:sz w:val="32"/>
          <w:szCs w:val="32"/>
          <w:lang w:eastAsia="zh-CN"/>
        </w:rPr>
      </w:pPr>
      <w:r>
        <w:rPr>
          <w:rFonts w:hint="eastAsia" w:ascii="仿宋_GB2312" w:hAnsi="仿宋_GB2312" w:eastAsia="仿宋_GB2312" w:cs="仿宋_GB2312"/>
          <w:snapToGrid w:val="0"/>
          <w:spacing w:val="0"/>
          <w:kern w:val="0"/>
          <w:sz w:val="32"/>
          <w:szCs w:val="32"/>
        </w:rPr>
        <w:t>部门基本支出预算</w:t>
      </w:r>
      <w:r>
        <w:rPr>
          <w:rFonts w:hint="eastAsia" w:ascii="仿宋_GB2312" w:hAnsi="仿宋_GB2312" w:eastAsia="仿宋_GB2312" w:cs="仿宋_GB2312"/>
          <w:snapToGrid w:val="0"/>
          <w:spacing w:val="0"/>
          <w:kern w:val="0"/>
          <w:sz w:val="32"/>
          <w:szCs w:val="32"/>
          <w:lang w:val="en-US" w:eastAsia="zh-CN"/>
        </w:rPr>
        <w:t>195.08</w:t>
      </w:r>
      <w:r>
        <w:rPr>
          <w:rFonts w:hint="eastAsia" w:ascii="仿宋_GB2312" w:hAnsi="仿宋_GB2312" w:eastAsia="仿宋_GB2312" w:cs="仿宋_GB2312"/>
          <w:snapToGrid w:val="0"/>
          <w:spacing w:val="0"/>
          <w:kern w:val="0"/>
          <w:sz w:val="32"/>
          <w:szCs w:val="32"/>
        </w:rPr>
        <w:t>万元。其中：人员</w:t>
      </w:r>
      <w:r>
        <w:rPr>
          <w:rFonts w:hint="eastAsia" w:ascii="仿宋_GB2312" w:hAnsi="仿宋_GB2312" w:eastAsia="仿宋_GB2312" w:cs="仿宋_GB2312"/>
          <w:snapToGrid w:val="0"/>
          <w:spacing w:val="0"/>
          <w:kern w:val="0"/>
          <w:sz w:val="32"/>
          <w:szCs w:val="32"/>
          <w:lang w:val="en-US" w:eastAsia="zh-CN"/>
        </w:rPr>
        <w:t>类</w:t>
      </w:r>
      <w:r>
        <w:rPr>
          <w:rFonts w:hint="eastAsia" w:ascii="仿宋_GB2312" w:hAnsi="仿宋_GB2312" w:eastAsia="仿宋_GB2312" w:cs="仿宋_GB2312"/>
          <w:snapToGrid w:val="0"/>
          <w:spacing w:val="0"/>
          <w:kern w:val="0"/>
          <w:sz w:val="32"/>
          <w:szCs w:val="32"/>
        </w:rPr>
        <w:t>支出</w:t>
      </w:r>
      <w:r>
        <w:rPr>
          <w:rFonts w:hint="eastAsia" w:ascii="仿宋_GB2312" w:hAnsi="仿宋_GB2312" w:eastAsia="仿宋_GB2312" w:cs="仿宋_GB2312"/>
          <w:snapToGrid w:val="0"/>
          <w:spacing w:val="0"/>
          <w:kern w:val="0"/>
          <w:sz w:val="32"/>
          <w:szCs w:val="32"/>
          <w:lang w:val="en-US" w:eastAsia="zh-CN"/>
        </w:rPr>
        <w:t>176.92</w:t>
      </w:r>
      <w:r>
        <w:rPr>
          <w:rFonts w:hint="eastAsia" w:ascii="仿宋_GB2312" w:hAnsi="仿宋_GB2312" w:eastAsia="仿宋_GB2312" w:cs="仿宋_GB2312"/>
          <w:snapToGrid w:val="0"/>
          <w:spacing w:val="0"/>
          <w:kern w:val="0"/>
          <w:sz w:val="32"/>
          <w:szCs w:val="32"/>
        </w:rPr>
        <w:t>万元，主要包括</w:t>
      </w:r>
      <w:r>
        <w:rPr>
          <w:rFonts w:hint="eastAsia" w:ascii="仿宋_GB2312" w:hAnsi="仿宋_GB2312" w:eastAsia="仿宋_GB2312" w:cs="仿宋_GB2312"/>
          <w:snapToGrid w:val="0"/>
          <w:spacing w:val="0"/>
          <w:kern w:val="0"/>
          <w:sz w:val="32"/>
          <w:szCs w:val="32"/>
          <w:lang w:val="en-US" w:eastAsia="zh-CN"/>
        </w:rPr>
        <w:t>14名单位职工</w:t>
      </w:r>
      <w:r>
        <w:rPr>
          <w:rFonts w:hint="eastAsia" w:ascii="仿宋_GB2312" w:hAnsi="仿宋_GB2312" w:eastAsia="仿宋_GB2312" w:cs="仿宋_GB2312"/>
          <w:snapToGrid w:val="0"/>
          <w:spacing w:val="0"/>
          <w:kern w:val="0"/>
          <w:sz w:val="32"/>
          <w:szCs w:val="32"/>
        </w:rPr>
        <w:t>人员工资、津贴补贴、奖金、</w:t>
      </w:r>
      <w:r>
        <w:rPr>
          <w:rFonts w:hint="eastAsia" w:ascii="仿宋_GB2312" w:hAnsi="仿宋_GB2312" w:eastAsia="仿宋_GB2312" w:cs="仿宋_GB2312"/>
          <w:snapToGrid w:val="0"/>
          <w:spacing w:val="0"/>
          <w:kern w:val="0"/>
          <w:sz w:val="32"/>
          <w:szCs w:val="32"/>
          <w:lang w:eastAsia="zh-CN"/>
        </w:rPr>
        <w:t>各类保险费用缴费、公积金缴费及公务交通补贴</w:t>
      </w:r>
      <w:r>
        <w:rPr>
          <w:rFonts w:hint="eastAsia" w:ascii="仿宋_GB2312" w:hAnsi="仿宋_GB2312" w:eastAsia="仿宋_GB2312" w:cs="仿宋_GB2312"/>
          <w:snapToGrid w:val="0"/>
          <w:spacing w:val="0"/>
          <w:kern w:val="0"/>
          <w:sz w:val="32"/>
          <w:szCs w:val="32"/>
        </w:rPr>
        <w:t>等。公用</w:t>
      </w:r>
      <w:r>
        <w:rPr>
          <w:rFonts w:hint="eastAsia" w:ascii="仿宋_GB2312" w:hAnsi="仿宋_GB2312" w:eastAsia="仿宋_GB2312" w:cs="仿宋_GB2312"/>
          <w:snapToGrid w:val="0"/>
          <w:spacing w:val="0"/>
          <w:kern w:val="0"/>
          <w:sz w:val="32"/>
          <w:szCs w:val="32"/>
          <w:lang w:eastAsia="zh-CN"/>
        </w:rPr>
        <w:t>经费</w:t>
      </w:r>
      <w:r>
        <w:rPr>
          <w:rFonts w:hint="eastAsia" w:ascii="仿宋_GB2312" w:hAnsi="仿宋_GB2312" w:eastAsia="仿宋_GB2312" w:cs="仿宋_GB2312"/>
          <w:snapToGrid w:val="0"/>
          <w:spacing w:val="0"/>
          <w:kern w:val="0"/>
          <w:sz w:val="32"/>
          <w:szCs w:val="32"/>
        </w:rPr>
        <w:t>支出</w:t>
      </w:r>
      <w:r>
        <w:rPr>
          <w:rFonts w:hint="eastAsia" w:ascii="仿宋_GB2312" w:hAnsi="仿宋_GB2312" w:eastAsia="仿宋_GB2312" w:cs="仿宋_GB2312"/>
          <w:snapToGrid w:val="0"/>
          <w:spacing w:val="0"/>
          <w:kern w:val="0"/>
          <w:sz w:val="32"/>
          <w:szCs w:val="32"/>
          <w:lang w:val="en-US" w:eastAsia="zh-CN"/>
        </w:rPr>
        <w:t>18.16</w:t>
      </w:r>
      <w:r>
        <w:rPr>
          <w:rFonts w:hint="eastAsia" w:ascii="仿宋_GB2312" w:hAnsi="仿宋_GB2312" w:eastAsia="仿宋_GB2312" w:cs="仿宋_GB2312"/>
          <w:snapToGrid w:val="0"/>
          <w:spacing w:val="0"/>
          <w:kern w:val="0"/>
          <w:sz w:val="32"/>
          <w:szCs w:val="32"/>
        </w:rPr>
        <w:t>万元，主要包括</w:t>
      </w:r>
      <w:r>
        <w:rPr>
          <w:rFonts w:hint="eastAsia" w:ascii="仿宋_GB2312" w:hAnsi="仿宋_GB2312" w:eastAsia="仿宋_GB2312" w:cs="仿宋_GB2312"/>
          <w:snapToGrid w:val="0"/>
          <w:spacing w:val="0"/>
          <w:kern w:val="0"/>
          <w:sz w:val="32"/>
          <w:szCs w:val="32"/>
          <w:lang w:val="en-US" w:eastAsia="zh-CN"/>
        </w:rPr>
        <w:t>13名职工</w:t>
      </w:r>
      <w:r>
        <w:rPr>
          <w:rFonts w:hint="eastAsia" w:ascii="仿宋_GB2312" w:hAnsi="仿宋_GB2312" w:eastAsia="仿宋_GB2312" w:cs="仿宋_GB2312"/>
          <w:snapToGrid w:val="0"/>
          <w:spacing w:val="0"/>
          <w:kern w:val="0"/>
          <w:sz w:val="32"/>
          <w:szCs w:val="32"/>
        </w:rPr>
        <w:t>日常办公用品采购、水、电、气、差旅费、印刷、公务接待</w:t>
      </w:r>
      <w:r>
        <w:rPr>
          <w:rFonts w:hint="eastAsia" w:ascii="仿宋_GB2312" w:hAnsi="仿宋_GB2312" w:eastAsia="仿宋_GB2312" w:cs="仿宋_GB2312"/>
          <w:snapToGrid w:val="0"/>
          <w:spacing w:val="0"/>
          <w:kern w:val="0"/>
          <w:sz w:val="32"/>
          <w:szCs w:val="32"/>
          <w:lang w:eastAsia="zh-CN"/>
        </w:rPr>
        <w:t>、耗材等。</w:t>
      </w:r>
    </w:p>
    <w:p>
      <w:pPr>
        <w:keepNext w:val="0"/>
        <w:keepLines w:val="0"/>
        <w:pageBreakBefore w:val="0"/>
        <w:kinsoku/>
        <w:wordWrap/>
        <w:overflowPunct/>
        <w:topLinePunct w:val="0"/>
        <w:autoSpaceDN/>
        <w:bidi w:val="0"/>
        <w:adjustRightInd w:val="0"/>
        <w:snapToGrid w:val="0"/>
        <w:spacing w:line="576" w:lineRule="exact"/>
        <w:ind w:firstLine="640" w:firstLineChars="200"/>
        <w:jc w:val="left"/>
        <w:textAlignment w:val="auto"/>
        <w:rPr>
          <w:rFonts w:hint="eastAsia" w:ascii="仿宋_GB2312" w:hAnsi="仿宋_GB2312" w:eastAsia="仿宋_GB2312" w:cs="仿宋_GB2312"/>
          <w:snapToGrid w:val="0"/>
          <w:spacing w:val="0"/>
          <w:kern w:val="0"/>
          <w:sz w:val="32"/>
          <w:szCs w:val="32"/>
          <w:lang w:val="en-US" w:eastAsia="zh-CN"/>
        </w:rPr>
      </w:pPr>
      <w:r>
        <w:rPr>
          <w:rFonts w:hint="eastAsia" w:ascii="仿宋_GB2312" w:hAnsi="仿宋_GB2312" w:eastAsia="仿宋_GB2312" w:cs="仿宋_GB2312"/>
          <w:snapToGrid w:val="0"/>
          <w:spacing w:val="0"/>
          <w:kern w:val="0"/>
          <w:sz w:val="32"/>
          <w:szCs w:val="32"/>
        </w:rPr>
        <w:t>部门项目</w:t>
      </w:r>
      <w:r>
        <w:rPr>
          <w:rFonts w:hint="eastAsia" w:ascii="仿宋_GB2312" w:hAnsi="仿宋_GB2312" w:eastAsia="仿宋_GB2312" w:cs="仿宋_GB2312"/>
          <w:snapToGrid w:val="0"/>
          <w:spacing w:val="0"/>
          <w:kern w:val="0"/>
          <w:sz w:val="32"/>
          <w:szCs w:val="32"/>
          <w:lang w:eastAsia="zh-CN"/>
        </w:rPr>
        <w:t>支出预算</w:t>
      </w:r>
      <w:r>
        <w:rPr>
          <w:rFonts w:hint="eastAsia" w:ascii="仿宋_GB2312" w:hAnsi="仿宋_GB2312" w:eastAsia="仿宋_GB2312" w:cs="仿宋_GB2312"/>
          <w:snapToGrid w:val="0"/>
          <w:spacing w:val="0"/>
          <w:kern w:val="0"/>
          <w:sz w:val="32"/>
          <w:szCs w:val="32"/>
          <w:lang w:val="en-US" w:eastAsia="zh-CN"/>
        </w:rPr>
        <w:t>16.17万元，</w:t>
      </w:r>
      <w:r>
        <w:rPr>
          <w:rFonts w:hint="eastAsia" w:ascii="仿宋_GB2312" w:hAnsi="仿宋_GB2312" w:eastAsia="仿宋_GB2312" w:cs="仿宋_GB2312"/>
          <w:snapToGrid w:val="0"/>
          <w:spacing w:val="0"/>
          <w:kern w:val="0"/>
          <w:sz w:val="32"/>
          <w:szCs w:val="32"/>
        </w:rPr>
        <w:t>其中：</w:t>
      </w:r>
      <w:r>
        <w:rPr>
          <w:rFonts w:hint="eastAsia" w:ascii="仿宋_GB2312" w:hAnsi="仿宋_GB2312" w:eastAsia="仿宋_GB2312" w:cs="仿宋_GB2312"/>
          <w:snapToGrid w:val="0"/>
          <w:spacing w:val="0"/>
          <w:kern w:val="0"/>
          <w:sz w:val="32"/>
          <w:szCs w:val="32"/>
          <w:lang w:val="en-US" w:eastAsia="zh-CN"/>
        </w:rPr>
        <w:t>中英文注册域名运行维护费8万元，主要用于完成全区机关、事业单位进行中文域名管理续费工作，注册政务域名300个，公益域名200个。统一社会信用代码赋码颁证7.93万元，主要用于保证全区统一社会信用代码赋码颁证工作的及时性，印制《机关群团统一社会信用代码证书》600份，《事业单位法人证书》400份。金财网运行维护费用0.24万元，主要用于保障单位金财网电脑正常运转。</w:t>
      </w:r>
    </w:p>
    <w:p>
      <w:pPr>
        <w:keepNext w:val="0"/>
        <w:keepLines w:val="0"/>
        <w:pageBreakBefore w:val="0"/>
        <w:kinsoku/>
        <w:wordWrap/>
        <w:overflowPunct/>
        <w:topLinePunct w:val="0"/>
        <w:autoSpaceDN/>
        <w:bidi w:val="0"/>
        <w:adjustRightInd w:val="0"/>
        <w:snapToGrid w:val="0"/>
        <w:spacing w:line="576" w:lineRule="exact"/>
        <w:ind w:firstLine="640" w:firstLineChars="200"/>
        <w:jc w:val="left"/>
        <w:textAlignment w:val="auto"/>
        <w:rPr>
          <w:rFonts w:hint="eastAsia"/>
          <w:lang w:val="en-US" w:eastAsia="zh-CN"/>
        </w:rPr>
      </w:pPr>
      <w:r>
        <w:rPr>
          <w:rFonts w:hint="eastAsia" w:ascii="仿宋_GB2312" w:hAnsi="仿宋_GB2312" w:eastAsia="仿宋_GB2312" w:cs="仿宋_GB2312"/>
          <w:snapToGrid w:val="0"/>
          <w:spacing w:val="0"/>
          <w:kern w:val="0"/>
          <w:sz w:val="32"/>
          <w:szCs w:val="32"/>
          <w:lang w:eastAsia="zh-CN"/>
        </w:rPr>
        <w:t>项目支出均按照有关规章制度和项目实施完成情况进行支付，我单位严格按照项目预算要求使用和划拨资金、</w:t>
      </w:r>
      <w:r>
        <w:rPr>
          <w:rFonts w:hint="eastAsia" w:ascii="仿宋_GB2312" w:hAnsi="仿宋_GB2312" w:eastAsia="仿宋_GB2312" w:cs="仿宋_GB2312"/>
          <w:snapToGrid w:val="0"/>
          <w:spacing w:val="0"/>
          <w:kern w:val="0"/>
          <w:sz w:val="32"/>
          <w:szCs w:val="32"/>
          <w:lang w:val="en-US" w:eastAsia="zh-CN"/>
        </w:rPr>
        <w:t>规范</w:t>
      </w:r>
      <w:r>
        <w:rPr>
          <w:rFonts w:hint="eastAsia" w:ascii="仿宋_GB2312" w:hAnsi="仿宋_GB2312" w:eastAsia="仿宋_GB2312" w:cs="仿宋_GB2312"/>
          <w:snapToGrid w:val="0"/>
          <w:spacing w:val="0"/>
          <w:kern w:val="0"/>
          <w:sz w:val="32"/>
          <w:szCs w:val="32"/>
          <w:lang w:eastAsia="zh-CN"/>
        </w:rPr>
        <w:t>经费管理，专项资金按照项目内容使用，做到专款专用，使用专项资金时，通过财政专网统一支付。项目过程中严格按照</w:t>
      </w:r>
      <w:r>
        <w:rPr>
          <w:rFonts w:hint="eastAsia" w:ascii="仿宋_GB2312" w:hAnsi="仿宋_GB2312" w:eastAsia="仿宋_GB2312" w:cs="仿宋_GB2312"/>
          <w:snapToGrid w:val="0"/>
          <w:spacing w:val="0"/>
          <w:kern w:val="0"/>
          <w:sz w:val="32"/>
          <w:szCs w:val="32"/>
          <w:lang w:val="en-US" w:eastAsia="zh-CN"/>
        </w:rPr>
        <w:t>管理办法执行，保障支出合法合规，做到了合法、有序，全年无违反规定的行为发生。</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楷体_GB2312" w:hAnsi="楷体_GB2312" w:eastAsia="楷体_GB2312" w:cs="楷体_GB2312"/>
          <w:color w:val="auto"/>
          <w:kern w:val="0"/>
          <w:sz w:val="32"/>
          <w:szCs w:val="32"/>
          <w:highlight w:val="none"/>
          <w:shd w:val="clear" w:color="auto" w:fill="FFFFFF"/>
          <w:lang w:val="zh-CN"/>
        </w:rPr>
      </w:pPr>
      <w:r>
        <w:rPr>
          <w:rFonts w:hint="eastAsia" w:ascii="楷体_GB2312" w:hAnsi="楷体_GB2312" w:eastAsia="楷体_GB2312" w:cs="楷体_GB2312"/>
          <w:color w:val="auto"/>
          <w:kern w:val="0"/>
          <w:sz w:val="32"/>
          <w:szCs w:val="32"/>
          <w:highlight w:val="none"/>
          <w:shd w:val="clear" w:color="auto" w:fill="FFFFFF"/>
          <w:lang w:val="zh-CN"/>
        </w:rPr>
        <w:t>（二）结果应用情况</w:t>
      </w:r>
    </w:p>
    <w:p>
      <w:pPr>
        <w:keepNext w:val="0"/>
        <w:keepLines w:val="0"/>
        <w:pageBreakBefore w:val="0"/>
        <w:widowControl w:val="0"/>
        <w:numPr>
          <w:ilvl w:val="0"/>
          <w:numId w:val="0"/>
        </w:numPr>
        <w:pBdr>
          <w:bottom w:val="single" w:color="FFFFFF" w:sz="4" w:space="15"/>
        </w:pBdr>
        <w:tabs>
          <w:tab w:val="left" w:pos="1440"/>
        </w:tabs>
        <w:kinsoku/>
        <w:wordWrap/>
        <w:overflowPunct/>
        <w:topLinePunct w:val="0"/>
        <w:autoSpaceDE w:val="0"/>
        <w:autoSpaceDN w:val="0"/>
        <w:bidi w:val="0"/>
        <w:adjustRightInd w:val="0"/>
        <w:snapToGrid w:val="0"/>
        <w:spacing w:line="576" w:lineRule="exact"/>
        <w:ind w:firstLine="640" w:firstLineChars="200"/>
        <w:contextualSpacing/>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区委编办2021年度整体支出严格执行国家有关法律、法规和财务规章制度的有关管理规定，健全完善本单位资金使用相关规定。合理编制单位预算，统筹安排，厉行节约，量入为出，保证重点，兼顾一般，注重资金使用效益，保障单位正常运转的资金需要。注重单位国有资产管理，定期或者不定期进行清查盘点，防止国有资产流失。年度末真实准确完整地编制单位本年度决算报表，认真进行决算分析，反映本期收入、支出及资产变动的情况，分析预算执行、支出结构、量化评价情况等，并按照规定报送区级财政部门。待财政部门批复部门决算后，及时在单位门户网站公开。</w:t>
      </w:r>
    </w:p>
    <w:p>
      <w:pPr>
        <w:keepNext w:val="0"/>
        <w:keepLines w:val="0"/>
        <w:pageBreakBefore w:val="0"/>
        <w:widowControl w:val="0"/>
        <w:numPr>
          <w:ilvl w:val="0"/>
          <w:numId w:val="0"/>
        </w:numPr>
        <w:pBdr>
          <w:bottom w:val="single" w:color="FFFFFF" w:sz="4" w:space="15"/>
        </w:pBdr>
        <w:tabs>
          <w:tab w:val="left" w:pos="1440"/>
        </w:tabs>
        <w:kinsoku/>
        <w:wordWrap/>
        <w:overflowPunct/>
        <w:topLinePunct w:val="0"/>
        <w:autoSpaceDE w:val="0"/>
        <w:autoSpaceDN w:val="0"/>
        <w:bidi w:val="0"/>
        <w:adjustRightInd w:val="0"/>
        <w:snapToGrid w:val="0"/>
        <w:spacing w:line="576" w:lineRule="exact"/>
        <w:ind w:left="0" w:leftChars="0" w:firstLine="640" w:firstLineChars="200"/>
        <w:contextualSpacing/>
        <w:textAlignment w:val="auto"/>
        <w:rPr>
          <w:rFonts w:hint="eastAsia" w:ascii="仿宋_GB2312" w:hAnsi="仿宋_GB2312" w:eastAsia="仿宋_GB2312" w:cs="仿宋_GB2312"/>
          <w:snapToGrid w:val="0"/>
          <w:spacing w:val="0"/>
          <w:kern w:val="0"/>
          <w:sz w:val="32"/>
          <w:szCs w:val="32"/>
          <w:lang w:val="en-US" w:eastAsia="zh-CN"/>
        </w:rPr>
      </w:pPr>
      <w:r>
        <w:rPr>
          <w:rFonts w:hint="eastAsia" w:ascii="仿宋_GB2312" w:hAnsi="仿宋_GB2312" w:eastAsia="仿宋_GB2312" w:cs="仿宋_GB2312"/>
          <w:b w:val="0"/>
          <w:bCs w:val="0"/>
          <w:kern w:val="2"/>
          <w:sz w:val="32"/>
          <w:szCs w:val="32"/>
          <w:highlight w:val="none"/>
          <w:lang w:val="en-US" w:eastAsia="zh-CN" w:bidi="ar-SA"/>
        </w:rPr>
        <w:t>2021年，人员类支出195.08万元，其中：人员类支出176.92万元，主要包括14</w:t>
      </w:r>
      <w:r>
        <w:rPr>
          <w:rFonts w:hint="eastAsia" w:ascii="仿宋_GB2312" w:hAnsi="仿宋_GB2312" w:eastAsia="仿宋_GB2312" w:cs="仿宋_GB2312"/>
          <w:snapToGrid w:val="0"/>
          <w:spacing w:val="0"/>
          <w:kern w:val="0"/>
          <w:sz w:val="32"/>
          <w:szCs w:val="32"/>
          <w:lang w:val="en-US" w:eastAsia="zh-CN"/>
        </w:rPr>
        <w:t>名单位职工</w:t>
      </w:r>
      <w:r>
        <w:rPr>
          <w:rFonts w:hint="eastAsia" w:ascii="仿宋_GB2312" w:hAnsi="仿宋_GB2312" w:eastAsia="仿宋_GB2312" w:cs="仿宋_GB2312"/>
          <w:snapToGrid w:val="0"/>
          <w:spacing w:val="0"/>
          <w:kern w:val="0"/>
          <w:sz w:val="32"/>
          <w:szCs w:val="32"/>
        </w:rPr>
        <w:t>人员工资、津贴补贴、奖金、</w:t>
      </w:r>
      <w:r>
        <w:rPr>
          <w:rFonts w:hint="eastAsia" w:ascii="仿宋_GB2312" w:hAnsi="仿宋_GB2312" w:eastAsia="仿宋_GB2312" w:cs="仿宋_GB2312"/>
          <w:snapToGrid w:val="0"/>
          <w:spacing w:val="0"/>
          <w:kern w:val="0"/>
          <w:sz w:val="32"/>
          <w:szCs w:val="32"/>
          <w:lang w:eastAsia="zh-CN"/>
        </w:rPr>
        <w:t>各类保险费用缴费、公积金缴费及公务交通补贴</w:t>
      </w:r>
      <w:r>
        <w:rPr>
          <w:rFonts w:hint="eastAsia" w:ascii="仿宋_GB2312" w:hAnsi="仿宋_GB2312" w:eastAsia="仿宋_GB2312" w:cs="仿宋_GB2312"/>
          <w:snapToGrid w:val="0"/>
          <w:spacing w:val="0"/>
          <w:kern w:val="0"/>
          <w:sz w:val="32"/>
          <w:szCs w:val="32"/>
        </w:rPr>
        <w:t>等。公用</w:t>
      </w:r>
      <w:r>
        <w:rPr>
          <w:rFonts w:hint="eastAsia" w:ascii="仿宋_GB2312" w:hAnsi="仿宋_GB2312" w:eastAsia="仿宋_GB2312" w:cs="仿宋_GB2312"/>
          <w:snapToGrid w:val="0"/>
          <w:spacing w:val="0"/>
          <w:kern w:val="0"/>
          <w:sz w:val="32"/>
          <w:szCs w:val="32"/>
          <w:lang w:eastAsia="zh-CN"/>
        </w:rPr>
        <w:t>经费</w:t>
      </w:r>
      <w:r>
        <w:rPr>
          <w:rFonts w:hint="eastAsia" w:ascii="仿宋_GB2312" w:hAnsi="仿宋_GB2312" w:eastAsia="仿宋_GB2312" w:cs="仿宋_GB2312"/>
          <w:snapToGrid w:val="0"/>
          <w:spacing w:val="0"/>
          <w:kern w:val="0"/>
          <w:sz w:val="32"/>
          <w:szCs w:val="32"/>
        </w:rPr>
        <w:t>支出</w:t>
      </w:r>
      <w:r>
        <w:rPr>
          <w:rFonts w:hint="eastAsia" w:ascii="仿宋_GB2312" w:hAnsi="仿宋_GB2312" w:eastAsia="仿宋_GB2312" w:cs="仿宋_GB2312"/>
          <w:snapToGrid w:val="0"/>
          <w:spacing w:val="0"/>
          <w:kern w:val="0"/>
          <w:sz w:val="32"/>
          <w:szCs w:val="32"/>
          <w:lang w:val="en-US" w:eastAsia="zh-CN"/>
        </w:rPr>
        <w:t>18.16</w:t>
      </w:r>
      <w:r>
        <w:rPr>
          <w:rFonts w:hint="eastAsia" w:ascii="仿宋_GB2312" w:hAnsi="仿宋_GB2312" w:eastAsia="仿宋_GB2312" w:cs="仿宋_GB2312"/>
          <w:snapToGrid w:val="0"/>
          <w:spacing w:val="0"/>
          <w:kern w:val="0"/>
          <w:sz w:val="32"/>
          <w:szCs w:val="32"/>
        </w:rPr>
        <w:t>万元，主要包括</w:t>
      </w:r>
      <w:r>
        <w:rPr>
          <w:rFonts w:hint="eastAsia" w:ascii="仿宋_GB2312" w:hAnsi="仿宋_GB2312" w:eastAsia="仿宋_GB2312" w:cs="仿宋_GB2312"/>
          <w:snapToGrid w:val="0"/>
          <w:spacing w:val="0"/>
          <w:kern w:val="0"/>
          <w:sz w:val="32"/>
          <w:szCs w:val="32"/>
          <w:lang w:val="en-US" w:eastAsia="zh-CN"/>
        </w:rPr>
        <w:t>13名职工</w:t>
      </w:r>
      <w:r>
        <w:rPr>
          <w:rFonts w:hint="eastAsia" w:ascii="仿宋_GB2312" w:hAnsi="仿宋_GB2312" w:eastAsia="仿宋_GB2312" w:cs="仿宋_GB2312"/>
          <w:snapToGrid w:val="0"/>
          <w:spacing w:val="0"/>
          <w:kern w:val="0"/>
          <w:sz w:val="32"/>
          <w:szCs w:val="32"/>
        </w:rPr>
        <w:t>日常办公用品采购、水、电、气、差旅费、印刷、公务接待</w:t>
      </w:r>
      <w:r>
        <w:rPr>
          <w:rFonts w:hint="eastAsia" w:ascii="仿宋_GB2312" w:hAnsi="仿宋_GB2312" w:eastAsia="仿宋_GB2312" w:cs="仿宋_GB2312"/>
          <w:snapToGrid w:val="0"/>
          <w:spacing w:val="0"/>
          <w:kern w:val="0"/>
          <w:sz w:val="32"/>
          <w:szCs w:val="32"/>
          <w:lang w:eastAsia="zh-CN"/>
        </w:rPr>
        <w:t>、耗材等。</w:t>
      </w:r>
      <w:r>
        <w:rPr>
          <w:rFonts w:hint="eastAsia" w:ascii="仿宋_GB2312" w:hAnsi="仿宋_GB2312" w:eastAsia="仿宋_GB2312" w:cs="仿宋_GB2312"/>
          <w:snapToGrid w:val="0"/>
          <w:spacing w:val="0"/>
          <w:kern w:val="0"/>
          <w:sz w:val="32"/>
          <w:szCs w:val="32"/>
        </w:rPr>
        <w:t>部门项目</w:t>
      </w:r>
      <w:r>
        <w:rPr>
          <w:rFonts w:hint="eastAsia" w:ascii="仿宋_GB2312" w:hAnsi="仿宋_GB2312" w:eastAsia="仿宋_GB2312" w:cs="仿宋_GB2312"/>
          <w:snapToGrid w:val="0"/>
          <w:spacing w:val="0"/>
          <w:kern w:val="0"/>
          <w:sz w:val="32"/>
          <w:szCs w:val="32"/>
          <w:lang w:eastAsia="zh-CN"/>
        </w:rPr>
        <w:t>支出预算</w:t>
      </w:r>
      <w:r>
        <w:rPr>
          <w:rFonts w:hint="eastAsia" w:ascii="仿宋_GB2312" w:hAnsi="仿宋_GB2312" w:eastAsia="仿宋_GB2312" w:cs="仿宋_GB2312"/>
          <w:snapToGrid w:val="0"/>
          <w:spacing w:val="0"/>
          <w:kern w:val="0"/>
          <w:sz w:val="32"/>
          <w:szCs w:val="32"/>
          <w:lang w:val="en-US" w:eastAsia="zh-CN"/>
        </w:rPr>
        <w:t>16.17万元，</w:t>
      </w:r>
      <w:r>
        <w:rPr>
          <w:rFonts w:hint="eastAsia" w:ascii="仿宋_GB2312" w:hAnsi="仿宋_GB2312" w:eastAsia="仿宋_GB2312" w:cs="仿宋_GB2312"/>
          <w:snapToGrid w:val="0"/>
          <w:spacing w:val="0"/>
          <w:kern w:val="0"/>
          <w:sz w:val="32"/>
          <w:szCs w:val="32"/>
        </w:rPr>
        <w:t>其中：</w:t>
      </w:r>
      <w:r>
        <w:rPr>
          <w:rFonts w:hint="eastAsia" w:ascii="仿宋_GB2312" w:hAnsi="仿宋_GB2312" w:eastAsia="仿宋_GB2312" w:cs="仿宋_GB2312"/>
          <w:snapToGrid w:val="0"/>
          <w:spacing w:val="0"/>
          <w:kern w:val="0"/>
          <w:sz w:val="32"/>
          <w:szCs w:val="32"/>
          <w:lang w:val="en-US" w:eastAsia="zh-CN"/>
        </w:rPr>
        <w:t>中英文注册域名运行维护费8万元，主要用于完成全区机关、事业单位进行中文域名管理续费工作，注册政务域名300个，公益域名200个。统一社会信用代码赋码颁证7.93万元，主要用于保证全区统一社会信用代码赋码颁证工作的及时性，印制《机关群团统一社会信用代码证书》600份，《事业单位法人证书》400份。金财网运行维护费用0.24万元，主要用于保障单位金财网电脑正常运转。</w:t>
      </w:r>
    </w:p>
    <w:p>
      <w:pPr>
        <w:keepNext w:val="0"/>
        <w:keepLines w:val="0"/>
        <w:pageBreakBefore w:val="0"/>
        <w:widowControl w:val="0"/>
        <w:numPr>
          <w:ilvl w:val="0"/>
          <w:numId w:val="0"/>
        </w:numPr>
        <w:pBdr>
          <w:bottom w:val="single" w:color="FFFFFF" w:sz="4" w:space="15"/>
        </w:pBdr>
        <w:tabs>
          <w:tab w:val="left" w:pos="1440"/>
        </w:tabs>
        <w:kinsoku/>
        <w:wordWrap/>
        <w:overflowPunct/>
        <w:topLinePunct w:val="0"/>
        <w:autoSpaceDE w:val="0"/>
        <w:autoSpaceDN w:val="0"/>
        <w:bidi w:val="0"/>
        <w:adjustRightInd w:val="0"/>
        <w:snapToGrid w:val="0"/>
        <w:spacing w:line="576" w:lineRule="exact"/>
        <w:ind w:left="0" w:leftChars="0" w:firstLine="640" w:firstLineChars="200"/>
        <w:contextualSpacing/>
        <w:textAlignment w:val="auto"/>
        <w:rPr>
          <w:rFonts w:hint="eastAsia" w:ascii="仿宋_GB2312" w:hAnsi="仿宋_GB2312" w:eastAsia="仿宋_GB2312" w:cs="仿宋_GB2312"/>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lang w:eastAsia="zh-CN"/>
        </w:rPr>
        <w:t>（三）</w:t>
      </w:r>
      <w:r>
        <w:rPr>
          <w:rFonts w:hint="eastAsia" w:ascii="楷体_GB2312" w:hAnsi="楷体_GB2312" w:eastAsia="楷体_GB2312" w:cs="楷体_GB2312"/>
          <w:color w:val="000000"/>
          <w:kern w:val="0"/>
          <w:sz w:val="32"/>
          <w:szCs w:val="32"/>
          <w:shd w:val="clear" w:color="auto" w:fill="FFFFFF"/>
        </w:rPr>
        <w:t>自评质量。</w:t>
      </w:r>
    </w:p>
    <w:p>
      <w:pPr>
        <w:keepNext w:val="0"/>
        <w:keepLines w:val="0"/>
        <w:pageBreakBefore w:val="0"/>
        <w:widowControl w:val="0"/>
        <w:pBdr>
          <w:bottom w:val="single" w:color="FFFFFF" w:sz="4" w:space="15"/>
        </w:pBdr>
        <w:tabs>
          <w:tab w:val="left" w:pos="1440"/>
        </w:tabs>
        <w:kinsoku/>
        <w:wordWrap/>
        <w:overflowPunct/>
        <w:topLinePunct w:val="0"/>
        <w:autoSpaceDE w:val="0"/>
        <w:autoSpaceDN w:val="0"/>
        <w:bidi w:val="0"/>
        <w:adjustRightInd w:val="0"/>
        <w:snapToGrid w:val="0"/>
        <w:spacing w:line="576" w:lineRule="exact"/>
        <w:ind w:left="0" w:leftChars="0"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规定的时限内向财政局报送了部门整体支出绩效评价自评报告。自评报告内容完整，手续齐全，各项评价指标明确。评价结论合理有据、客观公正，如实地体现了单位取得绩效与存在的问题。积极配合财政部门开展的绩效评价工作。及时提供了准确、真实的相关资料。</w:t>
      </w:r>
    </w:p>
    <w:p>
      <w:pPr>
        <w:keepNext w:val="0"/>
        <w:keepLines w:val="0"/>
        <w:pageBreakBefore w:val="0"/>
        <w:widowControl w:val="0"/>
        <w:pBdr>
          <w:bottom w:val="single" w:color="FFFFFF" w:sz="4" w:space="15"/>
        </w:pBdr>
        <w:tabs>
          <w:tab w:val="left" w:pos="1440"/>
        </w:tabs>
        <w:kinsoku/>
        <w:wordWrap/>
        <w:overflowPunct/>
        <w:topLinePunct w:val="0"/>
        <w:autoSpaceDE w:val="0"/>
        <w:autoSpaceDN w:val="0"/>
        <w:bidi w:val="0"/>
        <w:adjustRightInd w:val="0"/>
        <w:snapToGrid w:val="0"/>
        <w:spacing w:line="576" w:lineRule="exact"/>
        <w:ind w:left="0" w:leftChars="0" w:firstLine="640" w:firstLineChars="200"/>
        <w:contextualSpacing/>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评价结论及建议</w:t>
      </w:r>
    </w:p>
    <w:p>
      <w:pPr>
        <w:keepNext w:val="0"/>
        <w:keepLines w:val="0"/>
        <w:pageBreakBefore w:val="0"/>
        <w:widowControl w:val="0"/>
        <w:pBdr>
          <w:bottom w:val="single" w:color="FFFFFF" w:sz="4" w:space="15"/>
        </w:pBdr>
        <w:tabs>
          <w:tab w:val="left" w:pos="1440"/>
        </w:tabs>
        <w:kinsoku/>
        <w:wordWrap/>
        <w:overflowPunct/>
        <w:topLinePunct w:val="0"/>
        <w:autoSpaceDE w:val="0"/>
        <w:autoSpaceDN w:val="0"/>
        <w:bidi w:val="0"/>
        <w:adjustRightInd w:val="0"/>
        <w:snapToGrid w:val="0"/>
        <w:spacing w:line="576" w:lineRule="exact"/>
        <w:ind w:left="0" w:leftChars="0" w:firstLine="640" w:firstLineChars="200"/>
        <w:contextualSpacing/>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评价</w:t>
      </w:r>
      <w:r>
        <w:rPr>
          <w:rFonts w:hint="eastAsia" w:ascii="楷体_GB2312" w:hAnsi="楷体_GB2312" w:eastAsia="楷体_GB2312" w:cs="楷体_GB2312"/>
          <w:sz w:val="32"/>
          <w:szCs w:val="32"/>
        </w:rPr>
        <w:t>结论</w:t>
      </w:r>
    </w:p>
    <w:p>
      <w:pPr>
        <w:keepNext w:val="0"/>
        <w:keepLines w:val="0"/>
        <w:pageBreakBefore w:val="0"/>
        <w:widowControl w:val="0"/>
        <w:pBdr>
          <w:bottom w:val="single" w:color="FFFFFF" w:sz="4" w:space="15"/>
        </w:pBdr>
        <w:tabs>
          <w:tab w:val="left" w:pos="1440"/>
        </w:tabs>
        <w:kinsoku/>
        <w:wordWrap/>
        <w:overflowPunct/>
        <w:topLinePunct w:val="0"/>
        <w:autoSpaceDE w:val="0"/>
        <w:autoSpaceDN w:val="0"/>
        <w:bidi w:val="0"/>
        <w:adjustRightInd w:val="0"/>
        <w:snapToGrid w:val="0"/>
        <w:spacing w:line="576" w:lineRule="exact"/>
        <w:ind w:left="0" w:leftChars="0" w:firstLine="640" w:firstLineChars="200"/>
        <w:contextualSpacing/>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根据预算绩效管理工作要求及安排，我单位对2021年</w:t>
      </w:r>
      <w:r>
        <w:rPr>
          <w:rFonts w:hint="eastAsia" w:ascii="仿宋_GB2312" w:hAnsi="仿宋_GB2312" w:eastAsia="仿宋_GB2312" w:cs="仿宋_GB2312"/>
          <w:sz w:val="32"/>
          <w:szCs w:val="32"/>
          <w:lang w:eastAsia="zh-CN"/>
        </w:rPr>
        <w:t>部门整体支出</w:t>
      </w:r>
      <w:r>
        <w:rPr>
          <w:rFonts w:hint="eastAsia" w:ascii="仿宋_GB2312" w:hAnsi="仿宋_GB2312" w:eastAsia="仿宋_GB2312" w:cs="仿宋_GB2312"/>
          <w:sz w:val="32"/>
          <w:szCs w:val="32"/>
        </w:rPr>
        <w:t>绩效管理工作进行了自评</w:t>
      </w:r>
      <w:r>
        <w:rPr>
          <w:rFonts w:hint="eastAsia" w:ascii="仿宋_GB2312" w:hAnsi="仿宋_GB2312" w:eastAsia="仿宋_GB2312" w:cs="仿宋_GB2312"/>
          <w:color w:val="auto"/>
          <w:sz w:val="32"/>
          <w:szCs w:val="32"/>
        </w:rPr>
        <w:t>考核，基础自评得分9</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分，加分项得分0分，共计9</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分。</w:t>
      </w:r>
    </w:p>
    <w:p>
      <w:pPr>
        <w:keepNext w:val="0"/>
        <w:keepLines w:val="0"/>
        <w:pageBreakBefore w:val="0"/>
        <w:numPr>
          <w:ilvl w:val="0"/>
          <w:numId w:val="5"/>
        </w:numPr>
        <w:pBdr>
          <w:bottom w:val="single" w:color="FFFFFF" w:sz="4" w:space="15"/>
        </w:pBdr>
        <w:tabs>
          <w:tab w:val="left" w:pos="1440"/>
        </w:tabs>
        <w:kinsoku/>
        <w:wordWrap/>
        <w:overflowPunct/>
        <w:topLinePunct w:val="0"/>
        <w:autoSpaceDE w:val="0"/>
        <w:autoSpaceDN w:val="0"/>
        <w:bidi w:val="0"/>
        <w:adjustRightInd w:val="0"/>
        <w:snapToGrid w:val="0"/>
        <w:spacing w:line="576" w:lineRule="exact"/>
        <w:ind w:left="0" w:leftChars="0" w:firstLine="640" w:firstLineChars="200"/>
        <w:contextualSpacing/>
        <w:textAlignment w:val="auto"/>
        <w:rPr>
          <w:rFonts w:hint="eastAsia" w:ascii="楷体_GB2312" w:hAnsi="楷体_GB2312" w:eastAsia="楷体_GB2312" w:cs="楷体_GB2312"/>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rPr>
        <w:t>存在问题</w:t>
      </w:r>
    </w:p>
    <w:p>
      <w:pPr>
        <w:keepNext w:val="0"/>
        <w:keepLines w:val="0"/>
        <w:pageBreakBefore w:val="0"/>
        <w:numPr>
          <w:ilvl w:val="0"/>
          <w:numId w:val="0"/>
        </w:numPr>
        <w:pBdr>
          <w:bottom w:val="single" w:color="FFFFFF" w:sz="4" w:space="15"/>
        </w:pBdr>
        <w:tabs>
          <w:tab w:val="left" w:pos="1440"/>
        </w:tabs>
        <w:kinsoku/>
        <w:wordWrap/>
        <w:overflowPunct/>
        <w:topLinePunct w:val="0"/>
        <w:autoSpaceDE w:val="0"/>
        <w:autoSpaceDN w:val="0"/>
        <w:bidi w:val="0"/>
        <w:adjustRightInd w:val="0"/>
        <w:snapToGrid w:val="0"/>
        <w:spacing w:line="576" w:lineRule="exact"/>
        <w:ind w:firstLine="640" w:firstLineChars="200"/>
        <w:contextualSpacing/>
        <w:textAlignment w:val="auto"/>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1.分析预算执行存在偏差。编制预算时难以精确预计，年中追加了预算，在预算执行中造成预算出现偏差现象。</w:t>
      </w:r>
    </w:p>
    <w:p>
      <w:pPr>
        <w:keepNext w:val="0"/>
        <w:keepLines w:val="0"/>
        <w:pageBreakBefore w:val="0"/>
        <w:numPr>
          <w:ilvl w:val="0"/>
          <w:numId w:val="0"/>
        </w:numPr>
        <w:pBdr>
          <w:bottom w:val="single" w:color="FFFFFF" w:sz="4" w:space="15"/>
        </w:pBdr>
        <w:tabs>
          <w:tab w:val="left" w:pos="1440"/>
        </w:tabs>
        <w:kinsoku/>
        <w:wordWrap/>
        <w:overflowPunct/>
        <w:topLinePunct w:val="0"/>
        <w:autoSpaceDE w:val="0"/>
        <w:autoSpaceDN w:val="0"/>
        <w:bidi w:val="0"/>
        <w:adjustRightInd w:val="0"/>
        <w:snapToGrid w:val="0"/>
        <w:spacing w:line="576" w:lineRule="exact"/>
        <w:ind w:firstLine="640" w:firstLineChars="200"/>
        <w:contextualSpacing/>
        <w:textAlignment w:val="auto"/>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2.绩效目标设立不够明确、细化和量化。</w:t>
      </w:r>
    </w:p>
    <w:p>
      <w:pPr>
        <w:keepNext w:val="0"/>
        <w:keepLines w:val="0"/>
        <w:pageBreakBefore w:val="0"/>
        <w:numPr>
          <w:ilvl w:val="0"/>
          <w:numId w:val="0"/>
        </w:numPr>
        <w:pBdr>
          <w:bottom w:val="single" w:color="FFFFFF" w:sz="4" w:space="15"/>
        </w:pBdr>
        <w:tabs>
          <w:tab w:val="left" w:pos="1440"/>
        </w:tabs>
        <w:kinsoku/>
        <w:wordWrap/>
        <w:overflowPunct/>
        <w:topLinePunct w:val="0"/>
        <w:autoSpaceDE w:val="0"/>
        <w:autoSpaceDN w:val="0"/>
        <w:bidi w:val="0"/>
        <w:adjustRightInd w:val="0"/>
        <w:snapToGrid w:val="0"/>
        <w:spacing w:line="576" w:lineRule="exact"/>
        <w:ind w:firstLine="640" w:firstLineChars="200"/>
        <w:contextualSpacing/>
        <w:textAlignment w:val="auto"/>
        <w:rPr>
          <w:rFonts w:hint="eastAsia" w:ascii="楷体_GB2312" w:hAnsi="楷体_GB2312" w:eastAsia="楷体_GB2312" w:cs="楷体_GB2312"/>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rPr>
        <w:t>（三）改进建议</w:t>
      </w:r>
    </w:p>
    <w:p>
      <w:pPr>
        <w:keepNext w:val="0"/>
        <w:keepLines w:val="0"/>
        <w:pageBreakBefore w:val="0"/>
        <w:numPr>
          <w:ilvl w:val="0"/>
          <w:numId w:val="0"/>
        </w:numPr>
        <w:pBdr>
          <w:bottom w:val="single" w:color="FFFFFF" w:sz="4" w:space="15"/>
        </w:pBdr>
        <w:tabs>
          <w:tab w:val="left" w:pos="1440"/>
        </w:tabs>
        <w:kinsoku/>
        <w:wordWrap/>
        <w:overflowPunct/>
        <w:topLinePunct w:val="0"/>
        <w:autoSpaceDE w:val="0"/>
        <w:autoSpaceDN w:val="0"/>
        <w:bidi w:val="0"/>
        <w:adjustRightInd w:val="0"/>
        <w:snapToGrid w:val="0"/>
        <w:spacing w:line="576" w:lineRule="exact"/>
        <w:ind w:firstLine="640" w:firstLineChars="200"/>
        <w:contextualSpacing/>
        <w:textAlignment w:val="auto"/>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1.进一步健全和完善财务管理制度及内部控制制度，创新管理手段，用新思路、新方法，改进完善财务管理方法。</w:t>
      </w:r>
    </w:p>
    <w:p>
      <w:pPr>
        <w:keepNext w:val="0"/>
        <w:keepLines w:val="0"/>
        <w:pageBreakBefore w:val="0"/>
        <w:numPr>
          <w:ilvl w:val="0"/>
          <w:numId w:val="0"/>
        </w:numPr>
        <w:pBdr>
          <w:bottom w:val="single" w:color="FFFFFF" w:sz="4" w:space="15"/>
        </w:pBdr>
        <w:tabs>
          <w:tab w:val="left" w:pos="1440"/>
        </w:tabs>
        <w:kinsoku/>
        <w:wordWrap/>
        <w:overflowPunct/>
        <w:topLinePunct w:val="0"/>
        <w:autoSpaceDE w:val="0"/>
        <w:autoSpaceDN w:val="0"/>
        <w:bidi w:val="0"/>
        <w:adjustRightInd w:val="0"/>
        <w:snapToGrid w:val="0"/>
        <w:spacing w:line="576" w:lineRule="exact"/>
        <w:ind w:firstLine="640" w:firstLineChars="200"/>
        <w:contextualSpacing/>
        <w:textAlignment w:val="auto"/>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2.按照财政支出绩效管理的要求，建立科学的财政资金效益考评制度体系，不断提高财政资金使用管理的水平和效率。</w:t>
      </w:r>
    </w:p>
    <w:p>
      <w:pPr>
        <w:keepNext w:val="0"/>
        <w:keepLines w:val="0"/>
        <w:pageBreakBefore w:val="0"/>
        <w:numPr>
          <w:ilvl w:val="0"/>
          <w:numId w:val="0"/>
        </w:numPr>
        <w:pBdr>
          <w:bottom w:val="single" w:color="FFFFFF" w:sz="4" w:space="15"/>
        </w:pBdr>
        <w:tabs>
          <w:tab w:val="left" w:pos="1440"/>
        </w:tabs>
        <w:kinsoku/>
        <w:wordWrap/>
        <w:overflowPunct/>
        <w:topLinePunct w:val="0"/>
        <w:autoSpaceDE w:val="0"/>
        <w:autoSpaceDN w:val="0"/>
        <w:bidi w:val="0"/>
        <w:adjustRightInd w:val="0"/>
        <w:snapToGrid w:val="0"/>
        <w:spacing w:line="576" w:lineRule="exact"/>
        <w:ind w:firstLine="640" w:firstLineChars="200"/>
        <w:contextualSpacing/>
        <w:textAlignment w:val="auto"/>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3.加强新行政单位会计制度和新预算法学习培训。加强新《预算法》《政府会计制度》等制度法规的学习培训，规范部门预算收支核算。一是制定和完善基本支出、项目支出等各项支出标准，严格按照项目和进度执行预算，增强预算的约束力和严肃性。二是落实预算执行分析，及时了解预算执行差异，合理调整、纠正预算执行偏差，切实提高部门预算收支管理水平。</w:t>
      </w: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tbl>
      <w:tblPr>
        <w:tblStyle w:val="15"/>
        <w:tblpPr w:leftFromText="180" w:rightFromText="180" w:vertAnchor="text" w:horzAnchor="page" w:tblpXSpec="center" w:tblpY="660"/>
        <w:tblOverlap w:val="never"/>
        <w:tblW w:w="99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64"/>
        <w:gridCol w:w="1200"/>
        <w:gridCol w:w="1620"/>
        <w:gridCol w:w="1770"/>
        <w:gridCol w:w="1740"/>
        <w:gridCol w:w="1815"/>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9709"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方正小标宋简体" w:hAnsi="方正小标宋简体" w:eastAsia="方正小标宋简体" w:cs="方正小标宋简体"/>
                <w:b w:val="0"/>
                <w:bCs/>
                <w:i w:val="0"/>
                <w:color w:val="auto"/>
                <w:sz w:val="32"/>
                <w:szCs w:val="32"/>
                <w:highlight w:val="none"/>
                <w:u w:val="none"/>
                <w:lang w:val="en-US" w:eastAsia="zh-CN"/>
              </w:rPr>
              <w:t>2021年部门预算项目绩效目标自评</w:t>
            </w:r>
          </w:p>
        </w:tc>
        <w:tc>
          <w:tcPr>
            <w:tcW w:w="23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54" w:hRule="atLeast"/>
          <w:jc w:val="center"/>
        </w:trPr>
        <w:tc>
          <w:tcPr>
            <w:tcW w:w="27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color w:val="auto"/>
                <w:kern w:val="0"/>
                <w:sz w:val="18"/>
                <w:szCs w:val="18"/>
                <w:highlight w:val="none"/>
                <w:u w:val="none"/>
                <w:lang w:val="en-US" w:eastAsia="zh-CN" w:bidi="ar"/>
              </w:rPr>
              <w:t>主管部门及代码</w:t>
            </w: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Theme="minorEastAsia" w:hAnsiTheme="minorEastAsia" w:eastAsiaTheme="minorEastAsia" w:cstheme="minorEastAsia"/>
                <w:i w:val="0"/>
                <w:color w:val="auto"/>
                <w:sz w:val="18"/>
                <w:szCs w:val="18"/>
                <w:highlight w:val="none"/>
                <w:u w:val="none"/>
                <w:lang w:val="en-US" w:eastAsia="zh-CN"/>
              </w:rPr>
              <w:t>374301（中文注册域名运行维护）</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color w:val="auto"/>
                <w:kern w:val="0"/>
                <w:sz w:val="18"/>
                <w:szCs w:val="18"/>
                <w:highlight w:val="none"/>
                <w:u w:val="none"/>
                <w:lang w:val="en-US" w:eastAsia="zh-CN" w:bidi="ar"/>
              </w:rPr>
              <w:t>实施单位</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18"/>
                <w:szCs w:val="18"/>
                <w:highlight w:val="none"/>
                <w:u w:val="none"/>
                <w:lang w:eastAsia="zh-CN"/>
              </w:rPr>
            </w:pPr>
            <w:r>
              <w:rPr>
                <w:rFonts w:hint="eastAsia" w:asciiTheme="minorEastAsia" w:hAnsiTheme="minorEastAsia" w:eastAsiaTheme="minorEastAsia" w:cstheme="minorEastAsia"/>
                <w:i w:val="0"/>
                <w:color w:val="auto"/>
                <w:sz w:val="18"/>
                <w:szCs w:val="18"/>
                <w:highlight w:val="none"/>
                <w:u w:val="none"/>
                <w:lang w:eastAsia="zh-CN"/>
              </w:rPr>
              <w:t>区委编办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1" w:hRule="atLeast"/>
          <w:jc w:val="center"/>
        </w:trPr>
        <w:tc>
          <w:tcPr>
            <w:tcW w:w="27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color w:val="auto"/>
                <w:kern w:val="0"/>
                <w:sz w:val="18"/>
                <w:szCs w:val="18"/>
                <w:highlight w:val="none"/>
                <w:u w:val="none"/>
                <w:lang w:val="en-US" w:eastAsia="zh-CN" w:bidi="ar"/>
              </w:rPr>
              <w:t>（万元）</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color w:val="auto"/>
                <w:kern w:val="0"/>
                <w:sz w:val="18"/>
                <w:szCs w:val="18"/>
                <w:highlight w:val="none"/>
                <w:u w:val="none"/>
                <w:lang w:val="en-US" w:eastAsia="zh-CN" w:bidi="ar"/>
              </w:rPr>
              <w:t xml:space="preserve"> 预算数：</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Theme="minorEastAsia" w:hAnsiTheme="minorEastAsia" w:eastAsiaTheme="minorEastAsia" w:cstheme="minorEastAsia"/>
                <w:i w:val="0"/>
                <w:color w:val="auto"/>
                <w:sz w:val="18"/>
                <w:szCs w:val="18"/>
                <w:highlight w:val="none"/>
                <w:u w:val="none"/>
                <w:lang w:val="en-US" w:eastAsia="zh-CN"/>
              </w:rPr>
              <w:t>8</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color w:val="auto"/>
                <w:kern w:val="0"/>
                <w:sz w:val="18"/>
                <w:szCs w:val="18"/>
                <w:highlight w:val="none"/>
                <w:u w:val="none"/>
                <w:lang w:val="en-US" w:eastAsia="zh-CN" w:bidi="ar"/>
              </w:rPr>
              <w:t xml:space="preserve"> 执行数：</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Theme="minorEastAsia" w:hAnsiTheme="minorEastAsia" w:eastAsiaTheme="minorEastAsia" w:cstheme="minorEastAsia"/>
                <w:i w:val="0"/>
                <w:color w:val="auto"/>
                <w:sz w:val="18"/>
                <w:szCs w:val="18"/>
                <w:highlight w:val="none"/>
                <w:u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10" w:hRule="atLeast"/>
          <w:jc w:val="center"/>
        </w:trPr>
        <w:tc>
          <w:tcPr>
            <w:tcW w:w="27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18"/>
                <w:szCs w:val="18"/>
                <w:highlight w:val="none"/>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color w:val="auto"/>
                <w:kern w:val="0"/>
                <w:sz w:val="18"/>
                <w:szCs w:val="18"/>
                <w:highlight w:val="none"/>
                <w:u w:val="none"/>
                <w:lang w:val="en-US" w:eastAsia="zh-CN" w:bidi="ar"/>
              </w:rPr>
              <w:t>其中：财政拨款</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Theme="minorEastAsia" w:hAnsiTheme="minorEastAsia" w:eastAsiaTheme="minorEastAsia" w:cstheme="minorEastAsia"/>
                <w:i w:val="0"/>
                <w:color w:val="auto"/>
                <w:sz w:val="18"/>
                <w:szCs w:val="18"/>
                <w:highlight w:val="none"/>
                <w:u w:val="none"/>
                <w:lang w:val="en-US" w:eastAsia="zh-CN"/>
              </w:rPr>
              <w:t>8</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color w:val="auto"/>
                <w:kern w:val="0"/>
                <w:sz w:val="18"/>
                <w:szCs w:val="18"/>
                <w:highlight w:val="none"/>
                <w:u w:val="none"/>
                <w:lang w:val="en-US" w:eastAsia="zh-CN" w:bidi="ar"/>
              </w:rPr>
              <w:t>其中：财政拨款</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Theme="minorEastAsia" w:hAnsiTheme="minorEastAsia" w:eastAsiaTheme="minorEastAsia" w:cstheme="minorEastAsia"/>
                <w:i w:val="0"/>
                <w:color w:val="auto"/>
                <w:sz w:val="18"/>
                <w:szCs w:val="18"/>
                <w:highlight w:val="none"/>
                <w:u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1" w:hRule="atLeast"/>
          <w:jc w:val="center"/>
        </w:trPr>
        <w:tc>
          <w:tcPr>
            <w:tcW w:w="27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18"/>
                <w:szCs w:val="18"/>
                <w:highlight w:val="none"/>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color w:val="auto"/>
                <w:kern w:val="0"/>
                <w:sz w:val="18"/>
                <w:szCs w:val="18"/>
                <w:highlight w:val="none"/>
                <w:u w:val="none"/>
                <w:lang w:val="en-US" w:eastAsia="zh-CN" w:bidi="ar"/>
              </w:rPr>
              <w:t>其他资金</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i w:val="0"/>
                <w:color w:val="auto"/>
                <w:sz w:val="18"/>
                <w:szCs w:val="18"/>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color w:val="auto"/>
                <w:kern w:val="0"/>
                <w:sz w:val="18"/>
                <w:szCs w:val="18"/>
                <w:highlight w:val="none"/>
                <w:u w:val="none"/>
                <w:lang w:val="en-US" w:eastAsia="zh-CN" w:bidi="ar"/>
              </w:rPr>
              <w:t>其他资金</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17" w:hRule="atLeast"/>
          <w:jc w:val="center"/>
        </w:trPr>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color w:val="auto"/>
                <w:kern w:val="0"/>
                <w:sz w:val="18"/>
                <w:szCs w:val="18"/>
                <w:highlight w:val="none"/>
                <w:u w:val="none"/>
                <w:lang w:val="en-US" w:eastAsia="zh-CN" w:bidi="ar"/>
              </w:rPr>
              <w:t>完成情况</w:t>
            </w:r>
          </w:p>
        </w:tc>
        <w:tc>
          <w:tcPr>
            <w:tcW w:w="45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color w:val="auto"/>
                <w:kern w:val="0"/>
                <w:sz w:val="18"/>
                <w:szCs w:val="18"/>
                <w:highlight w:val="none"/>
                <w:u w:val="none"/>
                <w:lang w:val="en-US" w:eastAsia="zh-CN" w:bidi="ar"/>
              </w:rPr>
              <w:t>预期目标</w:t>
            </w:r>
          </w:p>
        </w:tc>
        <w:tc>
          <w:tcPr>
            <w:tcW w:w="3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color w:val="auto"/>
                <w:kern w:val="0"/>
                <w:sz w:val="18"/>
                <w:szCs w:val="18"/>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797" w:hRule="atLeast"/>
          <w:jc w:val="center"/>
        </w:trPr>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18"/>
                <w:szCs w:val="18"/>
                <w:highlight w:val="none"/>
                <w:u w:val="none"/>
              </w:rPr>
            </w:pPr>
          </w:p>
        </w:tc>
        <w:tc>
          <w:tcPr>
            <w:tcW w:w="459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color w:val="auto"/>
                <w:sz w:val="18"/>
                <w:szCs w:val="18"/>
                <w:highlight w:val="none"/>
                <w:u w:val="none"/>
              </w:rPr>
              <w:t>目标1：完成全区机关事业单位网上名称管理工作，推进全区机关事业单位中文域名注册工作；完成党政机关网站开办审核、资格复核及网站“挂标”工作；实现到期域名不欠费、不断档，确保域名工作的连续性和稳定性。</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color w:val="auto"/>
                <w:sz w:val="18"/>
                <w:szCs w:val="18"/>
                <w:highlight w:val="none"/>
                <w:u w:val="none"/>
              </w:rPr>
              <w:t>目标2：注册政务域名单位63个</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color w:val="auto"/>
                <w:sz w:val="18"/>
                <w:szCs w:val="18"/>
                <w:highlight w:val="none"/>
                <w:u w:val="none"/>
              </w:rPr>
              <w:t>目标3：注册公益域名单位255个。</w:t>
            </w:r>
          </w:p>
        </w:tc>
        <w:tc>
          <w:tcPr>
            <w:tcW w:w="355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color w:val="auto"/>
                <w:sz w:val="18"/>
                <w:szCs w:val="18"/>
                <w:highlight w:val="none"/>
                <w:u w:val="none"/>
              </w:rPr>
              <w:t>目标1：完成全区机关事业单位网上名称管理工作，推进全区机关事业单位中文域名注册工作；完成党政机关网站开办审核、资格复核及网站“挂标”工作；实现到期域名不欠费、不断档，确保域名工作的连续性和稳定性。</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color w:val="auto"/>
                <w:sz w:val="18"/>
                <w:szCs w:val="18"/>
                <w:highlight w:val="none"/>
                <w:u w:val="none"/>
              </w:rPr>
              <w:t>目标2：注册政务域名单位63个</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color w:val="auto"/>
                <w:sz w:val="18"/>
                <w:szCs w:val="18"/>
                <w:highlight w:val="none"/>
                <w:u w:val="none"/>
              </w:rPr>
              <w:t>目标3：注册公益域名单位255个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93" w:hRule="atLeast"/>
          <w:jc w:val="center"/>
        </w:trPr>
        <w:tc>
          <w:tcPr>
            <w:tcW w:w="156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年度绩效指标  完成情况</w:t>
            </w:r>
          </w:p>
        </w:tc>
        <w:tc>
          <w:tcPr>
            <w:tcW w:w="12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一级指标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二级指标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三级指标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预期指标值</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15" w:hRule="atLeast"/>
          <w:jc w:val="center"/>
        </w:trPr>
        <w:tc>
          <w:tcPr>
            <w:tcW w:w="156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20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指标</w:t>
            </w:r>
          </w:p>
        </w:tc>
        <w:tc>
          <w:tcPr>
            <w:tcW w:w="162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数量指标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注册政务域名单位</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52个</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52个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15" w:hRule="atLeast"/>
          <w:jc w:val="center"/>
        </w:trPr>
        <w:tc>
          <w:tcPr>
            <w:tcW w:w="156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20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6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注册公益域名单位</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320个</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320个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15" w:hRule="atLeast"/>
          <w:jc w:val="center"/>
        </w:trPr>
        <w:tc>
          <w:tcPr>
            <w:tcW w:w="156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20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质量指标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注册域名准确率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≥98%以上</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15" w:hRule="atLeast"/>
          <w:jc w:val="center"/>
        </w:trPr>
        <w:tc>
          <w:tcPr>
            <w:tcW w:w="156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20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时效指标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及时续费确保不断档、不欠费</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全年</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80" w:hRule="atLeast"/>
          <w:jc w:val="center"/>
        </w:trPr>
        <w:tc>
          <w:tcPr>
            <w:tcW w:w="156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20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62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成本指标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注册政务域名单位52个</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政务域名300元/个</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政务域名300元/个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80" w:hRule="atLeast"/>
          <w:jc w:val="center"/>
        </w:trPr>
        <w:tc>
          <w:tcPr>
            <w:tcW w:w="156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20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6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注册公益域名单位320个</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公益域名200元/个</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公益域名200元/个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80" w:hRule="atLeast"/>
          <w:jc w:val="center"/>
        </w:trPr>
        <w:tc>
          <w:tcPr>
            <w:tcW w:w="156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经济效益指标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满意度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≥98%以上</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80" w:hRule="atLeast"/>
          <w:jc w:val="center"/>
        </w:trPr>
        <w:tc>
          <w:tcPr>
            <w:tcW w:w="156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可持续影响指标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进一步推动中文域名工作</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推动机关、事业单位域名工作延续性、稳定性。</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推动机关、事业单位域名工作延续性、稳定性。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530" w:hRule="atLeast"/>
          <w:jc w:val="center"/>
        </w:trPr>
        <w:tc>
          <w:tcPr>
            <w:tcW w:w="156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度指标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满意度指标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服务单位对象满意度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≥98%以上</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≥98%</w:t>
            </w:r>
          </w:p>
        </w:tc>
      </w:tr>
    </w:tbl>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黑体" w:hAnsi="黑体" w:eastAsia="黑体" w:cs="黑体"/>
          <w:i w:val="0"/>
          <w:color w:val="auto"/>
          <w:kern w:val="0"/>
          <w:sz w:val="32"/>
          <w:szCs w:val="32"/>
          <w:highlight w:val="none"/>
          <w:u w:val="none"/>
          <w:lang w:val="zh-CN" w:eastAsia="zh-CN" w:bidi="ar"/>
        </w:rPr>
      </w:pPr>
      <w:r>
        <w:rPr>
          <w:rFonts w:hint="eastAsia" w:ascii="黑体" w:hAnsi="黑体" w:eastAsia="黑体" w:cs="黑体"/>
          <w:i w:val="0"/>
          <w:color w:val="auto"/>
          <w:kern w:val="0"/>
          <w:sz w:val="32"/>
          <w:szCs w:val="32"/>
          <w:highlight w:val="none"/>
          <w:u w:val="none"/>
          <w:lang w:val="zh-CN" w:eastAsia="zh-CN" w:bidi="ar"/>
        </w:rPr>
        <w:t>附表：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p>
      <w:pPr>
        <w:widowControl/>
        <w:jc w:val="left"/>
        <w:rPr>
          <w:rStyle w:val="27"/>
          <w:rFonts w:ascii="黑体" w:hAnsi="黑体" w:eastAsia="黑体"/>
          <w:b w:val="0"/>
          <w:color w:val="auto"/>
          <w:highlight w:val="none"/>
        </w:rPr>
      </w:pPr>
      <w:r>
        <w:rPr>
          <w:rStyle w:val="27"/>
          <w:rFonts w:hint="eastAsia" w:asciiTheme="minorEastAsia" w:hAnsiTheme="minorEastAsia" w:eastAsiaTheme="minorEastAsia" w:cstheme="minorEastAsia"/>
          <w:b w:val="0"/>
          <w:color w:val="auto"/>
          <w:sz w:val="18"/>
          <w:szCs w:val="18"/>
          <w:highlight w:val="none"/>
        </w:rPr>
        <w:br w:type="page"/>
      </w:r>
    </w:p>
    <w:tbl>
      <w:tblPr>
        <w:tblStyle w:val="15"/>
        <w:tblpPr w:leftFromText="180" w:rightFromText="180" w:vertAnchor="text" w:horzAnchor="page" w:tblpX="1165" w:tblpY="342"/>
        <w:tblOverlap w:val="never"/>
        <w:tblW w:w="99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64"/>
        <w:gridCol w:w="1200"/>
        <w:gridCol w:w="1620"/>
        <w:gridCol w:w="1770"/>
        <w:gridCol w:w="1740"/>
        <w:gridCol w:w="1815"/>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9709"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bookmarkStart w:id="59" w:name="_Toc15396618"/>
            <w:r>
              <w:rPr>
                <w:rFonts w:hint="eastAsia" w:ascii="方正小标宋简体" w:hAnsi="方正小标宋简体" w:eastAsia="方正小标宋简体" w:cs="方正小标宋简体"/>
                <w:b w:val="0"/>
                <w:bCs/>
                <w:i w:val="0"/>
                <w:color w:val="auto"/>
                <w:sz w:val="32"/>
                <w:szCs w:val="32"/>
                <w:highlight w:val="none"/>
                <w:u w:val="none"/>
                <w:lang w:val="en-US" w:eastAsia="zh-CN"/>
              </w:rPr>
              <w:t>2021年部门预算项目绩效目标自评</w:t>
            </w:r>
          </w:p>
        </w:tc>
        <w:tc>
          <w:tcPr>
            <w:tcW w:w="23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54" w:hRule="atLeast"/>
          <w:jc w:val="center"/>
        </w:trPr>
        <w:tc>
          <w:tcPr>
            <w:tcW w:w="27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color w:val="auto"/>
                <w:kern w:val="0"/>
                <w:sz w:val="18"/>
                <w:szCs w:val="18"/>
                <w:highlight w:val="none"/>
                <w:u w:val="none"/>
                <w:lang w:val="en-US" w:eastAsia="zh-CN" w:bidi="ar"/>
              </w:rPr>
              <w:t>主管部门及代码</w:t>
            </w: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Theme="minorEastAsia" w:hAnsiTheme="minorEastAsia" w:eastAsiaTheme="minorEastAsia" w:cstheme="minorEastAsia"/>
                <w:i w:val="0"/>
                <w:color w:val="auto"/>
                <w:sz w:val="18"/>
                <w:szCs w:val="18"/>
                <w:highlight w:val="none"/>
                <w:u w:val="none"/>
                <w:lang w:val="en-US" w:eastAsia="zh-CN"/>
              </w:rPr>
              <w:t>374301（统一社会信用代码赋码颁证）</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color w:val="auto"/>
                <w:kern w:val="0"/>
                <w:sz w:val="18"/>
                <w:szCs w:val="18"/>
                <w:highlight w:val="none"/>
                <w:u w:val="none"/>
                <w:lang w:val="en-US" w:eastAsia="zh-CN" w:bidi="ar"/>
              </w:rPr>
              <w:t>实施单位</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18"/>
                <w:szCs w:val="18"/>
                <w:highlight w:val="none"/>
                <w:u w:val="none"/>
                <w:lang w:eastAsia="zh-CN"/>
              </w:rPr>
            </w:pPr>
            <w:r>
              <w:rPr>
                <w:rFonts w:hint="eastAsia" w:asciiTheme="minorEastAsia" w:hAnsiTheme="minorEastAsia" w:eastAsiaTheme="minorEastAsia" w:cstheme="minorEastAsia"/>
                <w:i w:val="0"/>
                <w:color w:val="auto"/>
                <w:sz w:val="18"/>
                <w:szCs w:val="18"/>
                <w:highlight w:val="none"/>
                <w:u w:val="none"/>
                <w:lang w:eastAsia="zh-CN"/>
              </w:rPr>
              <w:t>区委编办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1" w:hRule="atLeast"/>
          <w:jc w:val="center"/>
        </w:trPr>
        <w:tc>
          <w:tcPr>
            <w:tcW w:w="27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color w:val="auto"/>
                <w:kern w:val="0"/>
                <w:sz w:val="18"/>
                <w:szCs w:val="18"/>
                <w:highlight w:val="none"/>
                <w:u w:val="none"/>
                <w:lang w:val="en-US" w:eastAsia="zh-CN" w:bidi="ar"/>
              </w:rPr>
              <w:t>（万元）</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color w:val="auto"/>
                <w:kern w:val="0"/>
                <w:sz w:val="18"/>
                <w:szCs w:val="18"/>
                <w:highlight w:val="none"/>
                <w:u w:val="none"/>
                <w:lang w:val="en-US" w:eastAsia="zh-CN" w:bidi="ar"/>
              </w:rPr>
              <w:t xml:space="preserve"> 预算数：</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18"/>
                <w:szCs w:val="18"/>
                <w:highlight w:val="none"/>
                <w:u w:val="none"/>
                <w:lang w:val="en-US" w:eastAsia="zh-CN"/>
              </w:rPr>
            </w:pPr>
            <w:r>
              <w:rPr>
                <w:rFonts w:hint="eastAsia" w:asciiTheme="minorEastAsia" w:hAnsiTheme="minorEastAsia" w:eastAsiaTheme="minorEastAsia" w:cstheme="minorEastAsia"/>
                <w:i w:val="0"/>
                <w:color w:val="auto"/>
                <w:sz w:val="18"/>
                <w:szCs w:val="18"/>
                <w:highlight w:val="none"/>
                <w:u w:val="none"/>
                <w:lang w:val="en-US" w:eastAsia="zh-CN"/>
              </w:rPr>
              <w:t>8</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color w:val="auto"/>
                <w:kern w:val="0"/>
                <w:sz w:val="18"/>
                <w:szCs w:val="18"/>
                <w:highlight w:val="none"/>
                <w:u w:val="none"/>
                <w:lang w:val="en-US" w:eastAsia="zh-CN" w:bidi="ar"/>
              </w:rPr>
              <w:t xml:space="preserve"> 执行数：</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heme="minorEastAsia" w:hAnsiTheme="minorEastAsia" w:eastAsiaTheme="minorEastAsia" w:cstheme="minorEastAsia"/>
                <w:i w:val="0"/>
                <w:color w:val="auto"/>
                <w:sz w:val="18"/>
                <w:szCs w:val="18"/>
                <w:highlight w:val="none"/>
                <w:u w:val="none"/>
                <w:lang w:val="en-US" w:eastAsia="zh-CN"/>
              </w:rPr>
            </w:pPr>
            <w:r>
              <w:rPr>
                <w:rFonts w:hint="eastAsia" w:asciiTheme="minorEastAsia" w:hAnsiTheme="minorEastAsia" w:eastAsiaTheme="minorEastAsia" w:cstheme="minorEastAsia"/>
                <w:i w:val="0"/>
                <w:color w:val="auto"/>
                <w:sz w:val="18"/>
                <w:szCs w:val="18"/>
                <w:highlight w:val="none"/>
                <w:u w:val="none"/>
                <w:lang w:val="en-US" w:eastAsia="zh-CN"/>
              </w:rPr>
              <w:t>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10" w:hRule="atLeast"/>
          <w:jc w:val="center"/>
        </w:trPr>
        <w:tc>
          <w:tcPr>
            <w:tcW w:w="27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18"/>
                <w:szCs w:val="18"/>
                <w:highlight w:val="none"/>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color w:val="auto"/>
                <w:kern w:val="0"/>
                <w:sz w:val="18"/>
                <w:szCs w:val="18"/>
                <w:highlight w:val="none"/>
                <w:u w:val="none"/>
                <w:lang w:val="en-US" w:eastAsia="zh-CN" w:bidi="ar"/>
              </w:rPr>
              <w:t>其中：财政拨款</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heme="minorEastAsia" w:hAnsiTheme="minorEastAsia" w:eastAsiaTheme="minorEastAsia" w:cstheme="minorEastAsia"/>
                <w:i w:val="0"/>
                <w:color w:val="auto"/>
                <w:sz w:val="18"/>
                <w:szCs w:val="18"/>
                <w:highlight w:val="none"/>
                <w:u w:val="none"/>
                <w:lang w:val="en-US" w:eastAsia="zh-CN"/>
              </w:rPr>
            </w:pPr>
            <w:r>
              <w:rPr>
                <w:rFonts w:hint="eastAsia" w:asciiTheme="minorEastAsia" w:hAnsiTheme="minorEastAsia" w:eastAsiaTheme="minorEastAsia" w:cstheme="minorEastAsia"/>
                <w:i w:val="0"/>
                <w:color w:val="auto"/>
                <w:sz w:val="18"/>
                <w:szCs w:val="18"/>
                <w:highlight w:val="none"/>
                <w:u w:val="none"/>
                <w:lang w:val="en-US" w:eastAsia="zh-CN"/>
              </w:rPr>
              <w:t>8</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color w:val="auto"/>
                <w:kern w:val="0"/>
                <w:sz w:val="18"/>
                <w:szCs w:val="18"/>
                <w:highlight w:val="none"/>
                <w:u w:val="none"/>
                <w:lang w:val="en-US" w:eastAsia="zh-CN" w:bidi="ar"/>
              </w:rPr>
              <w:t>其中：财政拨款</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heme="minorEastAsia" w:hAnsiTheme="minorEastAsia" w:eastAsiaTheme="minorEastAsia" w:cstheme="minorEastAsia"/>
                <w:i w:val="0"/>
                <w:color w:val="auto"/>
                <w:sz w:val="18"/>
                <w:szCs w:val="18"/>
                <w:highlight w:val="none"/>
                <w:u w:val="none"/>
                <w:lang w:val="en-US" w:eastAsia="zh-CN"/>
              </w:rPr>
            </w:pPr>
            <w:r>
              <w:rPr>
                <w:rFonts w:hint="eastAsia" w:asciiTheme="minorEastAsia" w:hAnsiTheme="minorEastAsia" w:eastAsiaTheme="minorEastAsia" w:cstheme="minorEastAsia"/>
                <w:i w:val="0"/>
                <w:color w:val="auto"/>
                <w:sz w:val="18"/>
                <w:szCs w:val="18"/>
                <w:highlight w:val="none"/>
                <w:u w:val="none"/>
                <w:lang w:val="en-US" w:eastAsia="zh-CN"/>
              </w:rPr>
              <w:t>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1" w:hRule="atLeast"/>
          <w:jc w:val="center"/>
        </w:trPr>
        <w:tc>
          <w:tcPr>
            <w:tcW w:w="27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18"/>
                <w:szCs w:val="18"/>
                <w:highlight w:val="none"/>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color w:val="auto"/>
                <w:kern w:val="0"/>
                <w:sz w:val="18"/>
                <w:szCs w:val="18"/>
                <w:highlight w:val="none"/>
                <w:u w:val="none"/>
                <w:lang w:val="en-US" w:eastAsia="zh-CN" w:bidi="ar"/>
              </w:rPr>
              <w:t>其他资金</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i w:val="0"/>
                <w:color w:val="auto"/>
                <w:sz w:val="18"/>
                <w:szCs w:val="18"/>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color w:val="auto"/>
                <w:kern w:val="0"/>
                <w:sz w:val="18"/>
                <w:szCs w:val="18"/>
                <w:highlight w:val="none"/>
                <w:u w:val="none"/>
                <w:lang w:val="en-US" w:eastAsia="zh-CN" w:bidi="ar"/>
              </w:rPr>
              <w:t>其他资金</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17" w:hRule="atLeast"/>
          <w:jc w:val="center"/>
        </w:trPr>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color w:val="auto"/>
                <w:kern w:val="0"/>
                <w:sz w:val="18"/>
                <w:szCs w:val="18"/>
                <w:highlight w:val="none"/>
                <w:u w:val="none"/>
                <w:lang w:val="en-US" w:eastAsia="zh-CN" w:bidi="ar"/>
              </w:rPr>
              <w:t>完成情况</w:t>
            </w:r>
          </w:p>
        </w:tc>
        <w:tc>
          <w:tcPr>
            <w:tcW w:w="45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color w:val="auto"/>
                <w:kern w:val="0"/>
                <w:sz w:val="18"/>
                <w:szCs w:val="18"/>
                <w:highlight w:val="none"/>
                <w:u w:val="none"/>
                <w:lang w:val="en-US" w:eastAsia="zh-CN" w:bidi="ar"/>
              </w:rPr>
              <w:t>预期目标</w:t>
            </w:r>
          </w:p>
        </w:tc>
        <w:tc>
          <w:tcPr>
            <w:tcW w:w="3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color w:val="auto"/>
                <w:kern w:val="0"/>
                <w:sz w:val="18"/>
                <w:szCs w:val="18"/>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797" w:hRule="atLeast"/>
          <w:jc w:val="center"/>
        </w:trPr>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18"/>
                <w:szCs w:val="18"/>
                <w:highlight w:val="none"/>
                <w:u w:val="none"/>
              </w:rPr>
            </w:pPr>
          </w:p>
        </w:tc>
        <w:tc>
          <w:tcPr>
            <w:tcW w:w="459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color w:val="auto"/>
                <w:sz w:val="18"/>
                <w:szCs w:val="18"/>
                <w:highlight w:val="none"/>
                <w:u w:val="none"/>
              </w:rPr>
              <w:t>目标1：完成机关、群团和事业单位统一社会信用代码证书赋码颁证工作。</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color w:val="auto"/>
                <w:sz w:val="18"/>
                <w:szCs w:val="18"/>
                <w:highlight w:val="none"/>
                <w:u w:val="none"/>
              </w:rPr>
              <w:t>目标2：印制《机关群团统一社会信用代码证书》600份。</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color w:val="auto"/>
                <w:sz w:val="18"/>
                <w:szCs w:val="18"/>
                <w:highlight w:val="none"/>
                <w:u w:val="none"/>
              </w:rPr>
              <w:t>目标3：印制《事业单位法人证书》400份。</w:t>
            </w:r>
          </w:p>
        </w:tc>
        <w:tc>
          <w:tcPr>
            <w:tcW w:w="355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color w:val="auto"/>
                <w:sz w:val="18"/>
                <w:szCs w:val="18"/>
                <w:highlight w:val="none"/>
                <w:u w:val="none"/>
              </w:rPr>
              <w:t>目标1：完成机关、群团和事业单位统一社会信用代码证书赋码颁证工作。</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color w:val="auto"/>
                <w:sz w:val="18"/>
                <w:szCs w:val="18"/>
                <w:highlight w:val="none"/>
                <w:u w:val="none"/>
              </w:rPr>
              <w:t>目标2：印制《机关群团统一社会信用代码证书》600份。</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Theme="minorEastAsia" w:hAnsiTheme="minorEastAsia" w:eastAsiaTheme="minorEastAsia" w:cstheme="minorEastAsia"/>
                <w:i w:val="0"/>
                <w:color w:val="auto"/>
                <w:sz w:val="18"/>
                <w:szCs w:val="18"/>
                <w:highlight w:val="none"/>
                <w:u w:val="none"/>
              </w:rPr>
            </w:pPr>
            <w:r>
              <w:rPr>
                <w:rFonts w:hint="eastAsia" w:asciiTheme="minorEastAsia" w:hAnsiTheme="minorEastAsia" w:eastAsiaTheme="minorEastAsia" w:cstheme="minorEastAsia"/>
                <w:i w:val="0"/>
                <w:color w:val="auto"/>
                <w:sz w:val="18"/>
                <w:szCs w:val="18"/>
                <w:highlight w:val="none"/>
                <w:u w:val="none"/>
              </w:rPr>
              <w:t>目标3：印制《事业单位法人证书》400份。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93" w:hRule="atLeast"/>
          <w:jc w:val="center"/>
        </w:trPr>
        <w:tc>
          <w:tcPr>
            <w:tcW w:w="156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年度绩效指标  完成情况</w:t>
            </w:r>
          </w:p>
        </w:tc>
        <w:tc>
          <w:tcPr>
            <w:tcW w:w="12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一级指标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二级指标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三级指标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预期指标值</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15" w:hRule="atLeast"/>
          <w:jc w:val="center"/>
        </w:trPr>
        <w:tc>
          <w:tcPr>
            <w:tcW w:w="156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20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指标</w:t>
            </w:r>
          </w:p>
        </w:tc>
        <w:tc>
          <w:tcPr>
            <w:tcW w:w="162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数量指标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印制《机关群团统一社会信用代码证书》 信用代码证书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 xml:space="preserve">600份 </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 xml:space="preserve">600份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15" w:hRule="atLeast"/>
          <w:jc w:val="center"/>
        </w:trPr>
        <w:tc>
          <w:tcPr>
            <w:tcW w:w="156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20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6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印制《事业单位法人证书》 法人证书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400份</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400份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15" w:hRule="atLeast"/>
          <w:jc w:val="center"/>
        </w:trPr>
        <w:tc>
          <w:tcPr>
            <w:tcW w:w="156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20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62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质量指标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赋码颁证合格率、准确率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≥98%以上</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15" w:hRule="atLeast"/>
          <w:jc w:val="center"/>
        </w:trPr>
        <w:tc>
          <w:tcPr>
            <w:tcW w:w="156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20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6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印制证书准确率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≥98%以上</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15" w:hRule="atLeast"/>
          <w:jc w:val="center"/>
        </w:trPr>
        <w:tc>
          <w:tcPr>
            <w:tcW w:w="156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20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时效指标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保证机关单位赋码颁证及时性</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全年</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80" w:hRule="atLeast"/>
          <w:jc w:val="center"/>
        </w:trPr>
        <w:tc>
          <w:tcPr>
            <w:tcW w:w="156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20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62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成本指标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《机关群团统一社会信用代码证书》印制准确、无误</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rPr>
              <w:t>80元/份</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rPr>
              <w:t>80元/份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80" w:hRule="atLeast"/>
          <w:jc w:val="center"/>
        </w:trPr>
        <w:tc>
          <w:tcPr>
            <w:tcW w:w="156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20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6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《事业单位法人证书》印制准确、无误</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rPr>
              <w:t>80元/份</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rPr>
              <w:t>80元/份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80" w:hRule="atLeast"/>
          <w:jc w:val="center"/>
        </w:trPr>
        <w:tc>
          <w:tcPr>
            <w:tcW w:w="156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经济效益指标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增加经营者收入</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增加经营者收入</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增加经营者收入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80" w:hRule="atLeast"/>
          <w:jc w:val="center"/>
        </w:trPr>
        <w:tc>
          <w:tcPr>
            <w:tcW w:w="156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可持续影响指标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进一步推动赋码颁证工作及时性</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推动社会进步和发展</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推动社会进步和发展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530" w:hRule="atLeast"/>
          <w:jc w:val="center"/>
        </w:trPr>
        <w:tc>
          <w:tcPr>
            <w:tcW w:w="156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20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度指标</w:t>
            </w:r>
          </w:p>
        </w:tc>
        <w:tc>
          <w:tcPr>
            <w:tcW w:w="162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满意度指标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服务对象、单位满意度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≥98%以上</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530" w:hRule="atLeast"/>
          <w:jc w:val="center"/>
        </w:trPr>
        <w:tc>
          <w:tcPr>
            <w:tcW w:w="156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20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6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公众满意度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≥98%以上</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auto"/>
                <w:kern w:val="0"/>
                <w:sz w:val="18"/>
                <w:szCs w:val="18"/>
                <w:highlight w:val="none"/>
                <w:u w:val="none"/>
                <w:lang w:val="en-US" w:eastAsia="zh-CN" w:bidi="ar"/>
              </w:rPr>
              <w:t>≥98%</w:t>
            </w:r>
          </w:p>
        </w:tc>
      </w:tr>
    </w:tbl>
    <w:p>
      <w:pPr>
        <w:numPr>
          <w:ilvl w:val="0"/>
          <w:numId w:val="0"/>
        </w:numPr>
        <w:spacing w:line="600" w:lineRule="exact"/>
        <w:ind w:leftChars="150"/>
        <w:jc w:val="center"/>
        <w:outlineLvl w:val="0"/>
        <w:rPr>
          <w:rStyle w:val="27"/>
          <w:rFonts w:hint="eastAsia" w:ascii="黑体" w:hAnsi="黑体" w:eastAsia="黑体"/>
          <w:b w:val="0"/>
          <w:color w:val="auto"/>
          <w:highlight w:val="none"/>
        </w:rPr>
      </w:pPr>
      <w:r>
        <w:rPr>
          <w:rStyle w:val="27"/>
          <w:rFonts w:hint="eastAsia" w:ascii="黑体" w:hAnsi="黑体" w:eastAsia="黑体"/>
          <w:b w:val="0"/>
          <w:color w:val="auto"/>
          <w:highlight w:val="none"/>
          <w:lang w:eastAsia="zh-CN"/>
        </w:rPr>
        <w:t>第五部分</w:t>
      </w:r>
      <w:r>
        <w:rPr>
          <w:rStyle w:val="27"/>
          <w:rFonts w:hint="eastAsia" w:ascii="黑体" w:hAnsi="黑体" w:eastAsia="黑体"/>
          <w:b w:val="0"/>
          <w:color w:val="auto"/>
          <w:highlight w:val="none"/>
          <w:lang w:val="en-US" w:eastAsia="zh-CN"/>
        </w:rPr>
        <w:t xml:space="preserve"> </w:t>
      </w:r>
      <w:r>
        <w:rPr>
          <w:rStyle w:val="27"/>
          <w:rFonts w:hint="eastAsia" w:ascii="黑体" w:hAnsi="黑体" w:eastAsia="黑体"/>
          <w:b w:val="0"/>
          <w:color w:val="auto"/>
          <w:highlight w:val="none"/>
        </w:rPr>
        <w:t>附表</w:t>
      </w:r>
      <w:bookmarkEnd w:id="57"/>
      <w:bookmarkEnd w:id="59"/>
      <w:bookmarkStart w:id="60" w:name="_Toc15396619"/>
    </w:p>
    <w:p>
      <w:pPr>
        <w:numPr>
          <w:ilvl w:val="0"/>
          <w:numId w:val="0"/>
        </w:numPr>
        <w:spacing w:line="600" w:lineRule="exact"/>
        <w:jc w:val="both"/>
        <w:outlineLvl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z w:val="32"/>
          <w:szCs w:val="32"/>
          <w:highlight w:val="none"/>
        </w:rPr>
        <w:t>一、收</w:t>
      </w:r>
      <w:r>
        <w:rPr>
          <w:rStyle w:val="28"/>
          <w:rFonts w:hint="eastAsia" w:ascii="仿宋_GB2312" w:hAnsi="仿宋_GB2312" w:eastAsia="仿宋_GB2312" w:cs="仿宋_GB2312"/>
          <w:b w:val="0"/>
          <w:bCs w:val="0"/>
          <w:color w:val="auto"/>
          <w:sz w:val="32"/>
          <w:szCs w:val="32"/>
          <w:highlight w:val="none"/>
        </w:rPr>
        <w:t>入支出决算总表</w:t>
      </w:r>
      <w:bookmarkEnd w:id="60"/>
    </w:p>
    <w:p>
      <w:pPr>
        <w:pStyle w:val="4"/>
        <w:rPr>
          <w:rFonts w:hint="eastAsia" w:ascii="仿宋_GB2312" w:hAnsi="仿宋_GB2312" w:eastAsia="仿宋_GB2312" w:cs="仿宋_GB2312"/>
          <w:color w:val="auto"/>
          <w:sz w:val="32"/>
          <w:szCs w:val="32"/>
          <w:highlight w:val="none"/>
        </w:rPr>
      </w:pPr>
      <w:bookmarkStart w:id="61" w:name="_Toc15396620"/>
      <w:r>
        <w:rPr>
          <w:rFonts w:hint="eastAsia" w:ascii="仿宋_GB2312" w:hAnsi="仿宋_GB2312" w:eastAsia="仿宋_GB2312" w:cs="仿宋_GB2312"/>
          <w:b w:val="0"/>
          <w:color w:val="auto"/>
          <w:sz w:val="32"/>
          <w:szCs w:val="32"/>
          <w:highlight w:val="none"/>
        </w:rPr>
        <w:t>二、收</w:t>
      </w:r>
      <w:r>
        <w:rPr>
          <w:rStyle w:val="28"/>
          <w:rFonts w:hint="eastAsia" w:ascii="仿宋_GB2312" w:hAnsi="仿宋_GB2312" w:eastAsia="仿宋_GB2312" w:cs="仿宋_GB2312"/>
          <w:b w:val="0"/>
          <w:bCs w:val="0"/>
          <w:color w:val="auto"/>
          <w:sz w:val="32"/>
          <w:szCs w:val="32"/>
          <w:highlight w:val="none"/>
        </w:rPr>
        <w:t>入决算表</w:t>
      </w:r>
      <w:bookmarkEnd w:id="61"/>
    </w:p>
    <w:p>
      <w:pPr>
        <w:pStyle w:val="4"/>
        <w:rPr>
          <w:rFonts w:hint="eastAsia" w:ascii="仿宋_GB2312" w:hAnsi="仿宋_GB2312" w:eastAsia="仿宋_GB2312" w:cs="仿宋_GB2312"/>
          <w:color w:val="auto"/>
          <w:sz w:val="32"/>
          <w:szCs w:val="32"/>
          <w:highlight w:val="none"/>
        </w:rPr>
      </w:pPr>
      <w:bookmarkStart w:id="62" w:name="_Toc15396621"/>
      <w:r>
        <w:rPr>
          <w:rStyle w:val="28"/>
          <w:rFonts w:hint="eastAsia" w:ascii="仿宋_GB2312" w:hAnsi="仿宋_GB2312" w:eastAsia="仿宋_GB2312" w:cs="仿宋_GB2312"/>
          <w:b w:val="0"/>
          <w:bCs w:val="0"/>
          <w:color w:val="auto"/>
          <w:sz w:val="32"/>
          <w:szCs w:val="32"/>
          <w:highlight w:val="none"/>
        </w:rPr>
        <w:t>三、</w:t>
      </w:r>
      <w:r>
        <w:rPr>
          <w:rFonts w:hint="eastAsia" w:ascii="仿宋_GB2312" w:hAnsi="仿宋_GB2312" w:eastAsia="仿宋_GB2312" w:cs="仿宋_GB2312"/>
          <w:b w:val="0"/>
          <w:color w:val="auto"/>
          <w:sz w:val="32"/>
          <w:szCs w:val="32"/>
          <w:highlight w:val="none"/>
        </w:rPr>
        <w:t>支</w:t>
      </w:r>
      <w:r>
        <w:rPr>
          <w:rStyle w:val="28"/>
          <w:rFonts w:hint="eastAsia" w:ascii="仿宋_GB2312" w:hAnsi="仿宋_GB2312" w:eastAsia="仿宋_GB2312" w:cs="仿宋_GB2312"/>
          <w:b w:val="0"/>
          <w:bCs w:val="0"/>
          <w:color w:val="auto"/>
          <w:sz w:val="32"/>
          <w:szCs w:val="32"/>
          <w:highlight w:val="none"/>
        </w:rPr>
        <w:t>出决算表</w:t>
      </w:r>
      <w:bookmarkEnd w:id="62"/>
    </w:p>
    <w:p>
      <w:pPr>
        <w:pStyle w:val="4"/>
        <w:rPr>
          <w:rFonts w:hint="eastAsia" w:ascii="仿宋_GB2312" w:hAnsi="仿宋_GB2312" w:eastAsia="仿宋_GB2312" w:cs="仿宋_GB2312"/>
          <w:b w:val="0"/>
          <w:color w:val="auto"/>
          <w:sz w:val="32"/>
          <w:szCs w:val="32"/>
          <w:highlight w:val="none"/>
        </w:rPr>
      </w:pPr>
      <w:bookmarkStart w:id="63" w:name="_Toc15396622"/>
      <w:r>
        <w:rPr>
          <w:rStyle w:val="28"/>
          <w:rFonts w:hint="eastAsia" w:ascii="仿宋_GB2312" w:hAnsi="仿宋_GB2312" w:eastAsia="仿宋_GB2312" w:cs="仿宋_GB2312"/>
          <w:b w:val="0"/>
          <w:bCs w:val="0"/>
          <w:color w:val="auto"/>
          <w:sz w:val="32"/>
          <w:szCs w:val="32"/>
          <w:highlight w:val="none"/>
        </w:rPr>
        <w:t>四、</w:t>
      </w:r>
      <w:r>
        <w:rPr>
          <w:rFonts w:hint="eastAsia" w:ascii="仿宋_GB2312" w:hAnsi="仿宋_GB2312" w:eastAsia="仿宋_GB2312" w:cs="仿宋_GB2312"/>
          <w:b w:val="0"/>
          <w:color w:val="auto"/>
          <w:sz w:val="32"/>
          <w:szCs w:val="32"/>
          <w:highlight w:val="none"/>
        </w:rPr>
        <w:t>财</w:t>
      </w:r>
      <w:r>
        <w:rPr>
          <w:rStyle w:val="28"/>
          <w:rFonts w:hint="eastAsia" w:ascii="仿宋_GB2312" w:hAnsi="仿宋_GB2312" w:eastAsia="仿宋_GB2312" w:cs="仿宋_GB2312"/>
          <w:b w:val="0"/>
          <w:bCs w:val="0"/>
          <w:color w:val="auto"/>
          <w:sz w:val="32"/>
          <w:szCs w:val="32"/>
          <w:highlight w:val="none"/>
        </w:rPr>
        <w:t>政拨款收入支出决算总表</w:t>
      </w:r>
      <w:bookmarkEnd w:id="63"/>
    </w:p>
    <w:p>
      <w:pPr>
        <w:pStyle w:val="4"/>
        <w:rPr>
          <w:rStyle w:val="28"/>
          <w:rFonts w:hint="eastAsia" w:ascii="仿宋_GB2312" w:hAnsi="仿宋_GB2312" w:eastAsia="仿宋_GB2312" w:cs="仿宋_GB2312"/>
          <w:b w:val="0"/>
          <w:bCs w:val="0"/>
          <w:color w:val="auto"/>
          <w:sz w:val="32"/>
          <w:szCs w:val="32"/>
          <w:highlight w:val="none"/>
        </w:rPr>
      </w:pPr>
      <w:bookmarkStart w:id="64" w:name="_Toc15396623"/>
      <w:r>
        <w:rPr>
          <w:rStyle w:val="28"/>
          <w:rFonts w:hint="eastAsia" w:ascii="仿宋_GB2312" w:hAnsi="仿宋_GB2312" w:eastAsia="仿宋_GB2312" w:cs="仿宋_GB2312"/>
          <w:b w:val="0"/>
          <w:bCs w:val="0"/>
          <w:color w:val="auto"/>
          <w:sz w:val="32"/>
          <w:szCs w:val="32"/>
          <w:highlight w:val="none"/>
        </w:rPr>
        <w:t>五、</w:t>
      </w:r>
      <w:r>
        <w:rPr>
          <w:rFonts w:hint="eastAsia" w:ascii="仿宋_GB2312" w:hAnsi="仿宋_GB2312" w:eastAsia="仿宋_GB2312" w:cs="仿宋_GB2312"/>
          <w:b w:val="0"/>
          <w:color w:val="auto"/>
          <w:sz w:val="32"/>
          <w:szCs w:val="32"/>
          <w:highlight w:val="none"/>
        </w:rPr>
        <w:t>财</w:t>
      </w:r>
      <w:r>
        <w:rPr>
          <w:rStyle w:val="28"/>
          <w:rFonts w:hint="eastAsia" w:ascii="仿宋_GB2312" w:hAnsi="仿宋_GB2312" w:eastAsia="仿宋_GB2312" w:cs="仿宋_GB2312"/>
          <w:b w:val="0"/>
          <w:bCs w:val="0"/>
          <w:color w:val="auto"/>
          <w:sz w:val="32"/>
          <w:szCs w:val="32"/>
          <w:highlight w:val="none"/>
        </w:rPr>
        <w:t>政拨款支出决算明细表</w:t>
      </w:r>
      <w:bookmarkEnd w:id="64"/>
      <w:bookmarkStart w:id="65" w:name="_Toc15396624"/>
    </w:p>
    <w:p>
      <w:pPr>
        <w:pStyle w:val="4"/>
        <w:rPr>
          <w:rFonts w:hint="eastAsia" w:ascii="仿宋_GB2312" w:hAnsi="仿宋_GB2312" w:eastAsia="仿宋_GB2312" w:cs="仿宋_GB2312"/>
          <w:color w:val="auto"/>
          <w:sz w:val="32"/>
          <w:szCs w:val="32"/>
          <w:highlight w:val="none"/>
        </w:rPr>
      </w:pPr>
      <w:r>
        <w:rPr>
          <w:rStyle w:val="28"/>
          <w:rFonts w:hint="eastAsia" w:ascii="仿宋_GB2312" w:hAnsi="仿宋_GB2312" w:eastAsia="仿宋_GB2312" w:cs="仿宋_GB2312"/>
          <w:b w:val="0"/>
          <w:bCs w:val="0"/>
          <w:color w:val="auto"/>
          <w:sz w:val="32"/>
          <w:szCs w:val="32"/>
          <w:highlight w:val="none"/>
        </w:rPr>
        <w:t>六、</w:t>
      </w:r>
      <w:r>
        <w:rPr>
          <w:rFonts w:hint="eastAsia" w:ascii="仿宋_GB2312" w:hAnsi="仿宋_GB2312" w:eastAsia="仿宋_GB2312" w:cs="仿宋_GB2312"/>
          <w:b w:val="0"/>
          <w:color w:val="auto"/>
          <w:sz w:val="32"/>
          <w:szCs w:val="32"/>
          <w:highlight w:val="none"/>
        </w:rPr>
        <w:t>一</w:t>
      </w:r>
      <w:r>
        <w:rPr>
          <w:rStyle w:val="28"/>
          <w:rFonts w:hint="eastAsia" w:ascii="仿宋_GB2312" w:hAnsi="仿宋_GB2312" w:eastAsia="仿宋_GB2312" w:cs="仿宋_GB2312"/>
          <w:b w:val="0"/>
          <w:bCs w:val="0"/>
          <w:color w:val="auto"/>
          <w:sz w:val="32"/>
          <w:szCs w:val="32"/>
          <w:highlight w:val="none"/>
        </w:rPr>
        <w:t>般公共预算财政拨款支出决算表</w:t>
      </w:r>
      <w:bookmarkEnd w:id="65"/>
    </w:p>
    <w:p>
      <w:pPr>
        <w:pStyle w:val="4"/>
        <w:rPr>
          <w:rFonts w:hint="eastAsia" w:ascii="仿宋_GB2312" w:hAnsi="仿宋_GB2312" w:eastAsia="仿宋_GB2312" w:cs="仿宋_GB2312"/>
          <w:color w:val="auto"/>
          <w:sz w:val="32"/>
          <w:szCs w:val="32"/>
          <w:highlight w:val="none"/>
        </w:rPr>
      </w:pPr>
      <w:bookmarkStart w:id="66" w:name="_Toc15396625"/>
      <w:r>
        <w:rPr>
          <w:rStyle w:val="28"/>
          <w:rFonts w:hint="eastAsia" w:ascii="仿宋_GB2312" w:hAnsi="仿宋_GB2312" w:eastAsia="仿宋_GB2312" w:cs="仿宋_GB2312"/>
          <w:b w:val="0"/>
          <w:bCs w:val="0"/>
          <w:color w:val="auto"/>
          <w:sz w:val="32"/>
          <w:szCs w:val="32"/>
          <w:highlight w:val="none"/>
        </w:rPr>
        <w:t>七、</w:t>
      </w:r>
      <w:r>
        <w:rPr>
          <w:rFonts w:hint="eastAsia" w:ascii="仿宋_GB2312" w:hAnsi="仿宋_GB2312" w:eastAsia="仿宋_GB2312" w:cs="仿宋_GB2312"/>
          <w:b w:val="0"/>
          <w:color w:val="auto"/>
          <w:sz w:val="32"/>
          <w:szCs w:val="32"/>
          <w:highlight w:val="none"/>
        </w:rPr>
        <w:t>一</w:t>
      </w:r>
      <w:r>
        <w:rPr>
          <w:rStyle w:val="28"/>
          <w:rFonts w:hint="eastAsia" w:ascii="仿宋_GB2312" w:hAnsi="仿宋_GB2312" w:eastAsia="仿宋_GB2312" w:cs="仿宋_GB2312"/>
          <w:b w:val="0"/>
          <w:bCs w:val="0"/>
          <w:color w:val="auto"/>
          <w:sz w:val="32"/>
          <w:szCs w:val="32"/>
          <w:highlight w:val="none"/>
        </w:rPr>
        <w:t>般公共预算财政拨款支出决算明细表</w:t>
      </w:r>
      <w:bookmarkEnd w:id="66"/>
    </w:p>
    <w:p>
      <w:pPr>
        <w:pStyle w:val="4"/>
        <w:rPr>
          <w:rFonts w:hint="eastAsia" w:ascii="仿宋_GB2312" w:hAnsi="仿宋_GB2312" w:eastAsia="仿宋_GB2312" w:cs="仿宋_GB2312"/>
          <w:color w:val="auto"/>
          <w:sz w:val="32"/>
          <w:szCs w:val="32"/>
          <w:highlight w:val="none"/>
        </w:rPr>
      </w:pPr>
      <w:bookmarkStart w:id="67" w:name="_Toc15396626"/>
      <w:r>
        <w:rPr>
          <w:rStyle w:val="28"/>
          <w:rFonts w:hint="eastAsia" w:ascii="仿宋_GB2312" w:hAnsi="仿宋_GB2312" w:eastAsia="仿宋_GB2312" w:cs="仿宋_GB2312"/>
          <w:b w:val="0"/>
          <w:bCs w:val="0"/>
          <w:color w:val="auto"/>
          <w:sz w:val="32"/>
          <w:szCs w:val="32"/>
          <w:highlight w:val="none"/>
        </w:rPr>
        <w:t>八、</w:t>
      </w:r>
      <w:r>
        <w:rPr>
          <w:rFonts w:hint="eastAsia" w:ascii="仿宋_GB2312" w:hAnsi="仿宋_GB2312" w:eastAsia="仿宋_GB2312" w:cs="仿宋_GB2312"/>
          <w:b w:val="0"/>
          <w:color w:val="auto"/>
          <w:sz w:val="32"/>
          <w:szCs w:val="32"/>
          <w:highlight w:val="none"/>
        </w:rPr>
        <w:t>一</w:t>
      </w:r>
      <w:r>
        <w:rPr>
          <w:rStyle w:val="28"/>
          <w:rFonts w:hint="eastAsia" w:ascii="仿宋_GB2312" w:hAnsi="仿宋_GB2312" w:eastAsia="仿宋_GB2312" w:cs="仿宋_GB2312"/>
          <w:b w:val="0"/>
          <w:bCs w:val="0"/>
          <w:color w:val="auto"/>
          <w:sz w:val="32"/>
          <w:szCs w:val="32"/>
          <w:highlight w:val="none"/>
        </w:rPr>
        <w:t>般公共预算财政拨款基本支出决算表</w:t>
      </w:r>
      <w:bookmarkEnd w:id="67"/>
    </w:p>
    <w:p>
      <w:pPr>
        <w:pStyle w:val="4"/>
        <w:rPr>
          <w:rFonts w:hint="eastAsia" w:ascii="仿宋_GB2312" w:hAnsi="仿宋_GB2312" w:eastAsia="仿宋_GB2312" w:cs="仿宋_GB2312"/>
          <w:color w:val="auto"/>
          <w:sz w:val="32"/>
          <w:szCs w:val="32"/>
          <w:highlight w:val="none"/>
        </w:rPr>
      </w:pPr>
      <w:bookmarkStart w:id="68" w:name="_Toc15396627"/>
      <w:r>
        <w:rPr>
          <w:rStyle w:val="28"/>
          <w:rFonts w:hint="eastAsia" w:ascii="仿宋_GB2312" w:hAnsi="仿宋_GB2312" w:eastAsia="仿宋_GB2312" w:cs="仿宋_GB2312"/>
          <w:b w:val="0"/>
          <w:bCs w:val="0"/>
          <w:color w:val="auto"/>
          <w:sz w:val="32"/>
          <w:szCs w:val="32"/>
          <w:highlight w:val="none"/>
        </w:rPr>
        <w:t>九、</w:t>
      </w:r>
      <w:r>
        <w:rPr>
          <w:rFonts w:hint="eastAsia" w:ascii="仿宋_GB2312" w:hAnsi="仿宋_GB2312" w:eastAsia="仿宋_GB2312" w:cs="仿宋_GB2312"/>
          <w:b w:val="0"/>
          <w:color w:val="auto"/>
          <w:sz w:val="32"/>
          <w:szCs w:val="32"/>
          <w:highlight w:val="none"/>
        </w:rPr>
        <w:t>一</w:t>
      </w:r>
      <w:r>
        <w:rPr>
          <w:rStyle w:val="28"/>
          <w:rFonts w:hint="eastAsia" w:ascii="仿宋_GB2312" w:hAnsi="仿宋_GB2312" w:eastAsia="仿宋_GB2312" w:cs="仿宋_GB2312"/>
          <w:b w:val="0"/>
          <w:bCs w:val="0"/>
          <w:color w:val="auto"/>
          <w:sz w:val="32"/>
          <w:szCs w:val="32"/>
          <w:highlight w:val="none"/>
        </w:rPr>
        <w:t>般公共预算财政拨款项目支出决算表</w:t>
      </w:r>
      <w:bookmarkEnd w:id="68"/>
    </w:p>
    <w:p>
      <w:pPr>
        <w:pStyle w:val="4"/>
        <w:rPr>
          <w:rFonts w:hint="eastAsia" w:ascii="仿宋_GB2312" w:hAnsi="仿宋_GB2312" w:eastAsia="仿宋_GB2312" w:cs="仿宋_GB2312"/>
          <w:color w:val="auto"/>
          <w:sz w:val="32"/>
          <w:szCs w:val="32"/>
          <w:highlight w:val="none"/>
        </w:rPr>
      </w:pPr>
      <w:bookmarkStart w:id="69" w:name="_Toc15396628"/>
      <w:r>
        <w:rPr>
          <w:rStyle w:val="28"/>
          <w:rFonts w:hint="eastAsia" w:ascii="仿宋_GB2312" w:hAnsi="仿宋_GB2312" w:eastAsia="仿宋_GB2312" w:cs="仿宋_GB2312"/>
          <w:b w:val="0"/>
          <w:bCs w:val="0"/>
          <w:color w:val="auto"/>
          <w:sz w:val="32"/>
          <w:szCs w:val="32"/>
          <w:highlight w:val="none"/>
        </w:rPr>
        <w:t>十、</w:t>
      </w:r>
      <w:r>
        <w:rPr>
          <w:rFonts w:hint="eastAsia" w:ascii="仿宋_GB2312" w:hAnsi="仿宋_GB2312" w:eastAsia="仿宋_GB2312" w:cs="仿宋_GB2312"/>
          <w:b w:val="0"/>
          <w:color w:val="auto"/>
          <w:sz w:val="32"/>
          <w:szCs w:val="32"/>
          <w:highlight w:val="none"/>
        </w:rPr>
        <w:t>一</w:t>
      </w:r>
      <w:r>
        <w:rPr>
          <w:rStyle w:val="28"/>
          <w:rFonts w:hint="eastAsia" w:ascii="仿宋_GB2312" w:hAnsi="仿宋_GB2312" w:eastAsia="仿宋_GB2312" w:cs="仿宋_GB2312"/>
          <w:b w:val="0"/>
          <w:bCs w:val="0"/>
          <w:color w:val="auto"/>
          <w:sz w:val="32"/>
          <w:szCs w:val="32"/>
          <w:highlight w:val="none"/>
        </w:rPr>
        <w:t>般公共预算财政拨款“三公”经费支出决算表</w:t>
      </w:r>
      <w:bookmarkEnd w:id="69"/>
    </w:p>
    <w:p>
      <w:pPr>
        <w:pStyle w:val="4"/>
        <w:rPr>
          <w:rFonts w:hint="eastAsia" w:ascii="仿宋_GB2312" w:hAnsi="仿宋_GB2312" w:eastAsia="仿宋_GB2312" w:cs="仿宋_GB2312"/>
          <w:color w:val="auto"/>
          <w:sz w:val="32"/>
          <w:szCs w:val="32"/>
          <w:highlight w:val="none"/>
        </w:rPr>
      </w:pPr>
      <w:bookmarkStart w:id="70" w:name="_Toc15396629"/>
      <w:r>
        <w:rPr>
          <w:rStyle w:val="28"/>
          <w:rFonts w:hint="eastAsia" w:ascii="仿宋_GB2312" w:hAnsi="仿宋_GB2312" w:eastAsia="仿宋_GB2312" w:cs="仿宋_GB2312"/>
          <w:b w:val="0"/>
          <w:bCs w:val="0"/>
          <w:color w:val="auto"/>
          <w:sz w:val="32"/>
          <w:szCs w:val="32"/>
          <w:highlight w:val="none"/>
        </w:rPr>
        <w:t>十一、</w:t>
      </w:r>
      <w:r>
        <w:rPr>
          <w:rFonts w:hint="eastAsia" w:ascii="仿宋_GB2312" w:hAnsi="仿宋_GB2312" w:eastAsia="仿宋_GB2312" w:cs="仿宋_GB2312"/>
          <w:b w:val="0"/>
          <w:color w:val="auto"/>
          <w:sz w:val="32"/>
          <w:szCs w:val="32"/>
          <w:highlight w:val="none"/>
        </w:rPr>
        <w:t>政</w:t>
      </w:r>
      <w:r>
        <w:rPr>
          <w:rStyle w:val="28"/>
          <w:rFonts w:hint="eastAsia" w:ascii="仿宋_GB2312" w:hAnsi="仿宋_GB2312" w:eastAsia="仿宋_GB2312" w:cs="仿宋_GB2312"/>
          <w:b w:val="0"/>
          <w:bCs w:val="0"/>
          <w:color w:val="auto"/>
          <w:sz w:val="32"/>
          <w:szCs w:val="32"/>
          <w:highlight w:val="none"/>
        </w:rPr>
        <w:t>府性基金预算财政拨款收入支出决算表</w:t>
      </w:r>
      <w:bookmarkEnd w:id="70"/>
    </w:p>
    <w:p>
      <w:pPr>
        <w:pStyle w:val="4"/>
        <w:rPr>
          <w:rFonts w:hint="eastAsia" w:ascii="仿宋_GB2312" w:hAnsi="仿宋_GB2312" w:eastAsia="仿宋_GB2312" w:cs="仿宋_GB2312"/>
          <w:color w:val="auto"/>
          <w:sz w:val="32"/>
          <w:szCs w:val="32"/>
          <w:highlight w:val="none"/>
        </w:rPr>
      </w:pPr>
      <w:bookmarkStart w:id="71" w:name="_Toc15396630"/>
      <w:r>
        <w:rPr>
          <w:rStyle w:val="28"/>
          <w:rFonts w:hint="eastAsia" w:ascii="仿宋_GB2312" w:hAnsi="仿宋_GB2312" w:eastAsia="仿宋_GB2312" w:cs="仿宋_GB2312"/>
          <w:b w:val="0"/>
          <w:bCs w:val="0"/>
          <w:color w:val="auto"/>
          <w:sz w:val="32"/>
          <w:szCs w:val="32"/>
          <w:highlight w:val="none"/>
        </w:rPr>
        <w:t>十二、</w:t>
      </w:r>
      <w:r>
        <w:rPr>
          <w:rFonts w:hint="eastAsia" w:ascii="仿宋_GB2312" w:hAnsi="仿宋_GB2312" w:eastAsia="仿宋_GB2312" w:cs="仿宋_GB2312"/>
          <w:b w:val="0"/>
          <w:color w:val="auto"/>
          <w:sz w:val="32"/>
          <w:szCs w:val="32"/>
          <w:highlight w:val="none"/>
        </w:rPr>
        <w:t>政</w:t>
      </w:r>
      <w:r>
        <w:rPr>
          <w:rStyle w:val="28"/>
          <w:rFonts w:hint="eastAsia" w:ascii="仿宋_GB2312" w:hAnsi="仿宋_GB2312" w:eastAsia="仿宋_GB2312" w:cs="仿宋_GB2312"/>
          <w:b w:val="0"/>
          <w:bCs w:val="0"/>
          <w:color w:val="auto"/>
          <w:sz w:val="32"/>
          <w:szCs w:val="32"/>
          <w:highlight w:val="none"/>
        </w:rPr>
        <w:t>府性基金预算财政拨款“三公”经费支出决算表</w:t>
      </w:r>
      <w:bookmarkEnd w:id="71"/>
    </w:p>
    <w:p>
      <w:pPr>
        <w:pStyle w:val="4"/>
        <w:rPr>
          <w:rStyle w:val="28"/>
          <w:rFonts w:hint="eastAsia" w:ascii="仿宋_GB2312" w:hAnsi="仿宋_GB2312" w:eastAsia="仿宋_GB2312" w:cs="仿宋_GB2312"/>
          <w:b w:val="0"/>
          <w:bCs w:val="0"/>
          <w:color w:val="auto"/>
          <w:sz w:val="32"/>
          <w:szCs w:val="32"/>
          <w:highlight w:val="none"/>
        </w:rPr>
      </w:pPr>
      <w:bookmarkStart w:id="72" w:name="_Toc15396631"/>
      <w:r>
        <w:rPr>
          <w:rStyle w:val="28"/>
          <w:rFonts w:hint="eastAsia" w:ascii="仿宋_GB2312" w:hAnsi="仿宋_GB2312" w:eastAsia="仿宋_GB2312" w:cs="仿宋_GB2312"/>
          <w:b w:val="0"/>
          <w:bCs w:val="0"/>
          <w:color w:val="auto"/>
          <w:sz w:val="32"/>
          <w:szCs w:val="32"/>
          <w:highlight w:val="none"/>
        </w:rPr>
        <w:t>十三、</w:t>
      </w:r>
      <w:r>
        <w:rPr>
          <w:rFonts w:hint="eastAsia" w:ascii="仿宋_GB2312" w:hAnsi="仿宋_GB2312" w:eastAsia="仿宋_GB2312" w:cs="仿宋_GB2312"/>
          <w:b w:val="0"/>
          <w:color w:val="auto"/>
          <w:sz w:val="32"/>
          <w:szCs w:val="32"/>
          <w:highlight w:val="none"/>
        </w:rPr>
        <w:t>国</w:t>
      </w:r>
      <w:r>
        <w:rPr>
          <w:rStyle w:val="28"/>
          <w:rFonts w:hint="eastAsia" w:ascii="仿宋_GB2312" w:hAnsi="仿宋_GB2312" w:eastAsia="仿宋_GB2312" w:cs="仿宋_GB2312"/>
          <w:b w:val="0"/>
          <w:bCs w:val="0"/>
          <w:color w:val="auto"/>
          <w:sz w:val="32"/>
          <w:szCs w:val="32"/>
          <w:highlight w:val="none"/>
        </w:rPr>
        <w:t>有资本经营预算</w:t>
      </w:r>
      <w:r>
        <w:rPr>
          <w:rStyle w:val="28"/>
          <w:rFonts w:hint="eastAsia" w:ascii="仿宋_GB2312" w:hAnsi="仿宋_GB2312" w:eastAsia="仿宋_GB2312" w:cs="仿宋_GB2312"/>
          <w:b w:val="0"/>
          <w:bCs w:val="0"/>
          <w:color w:val="auto"/>
          <w:sz w:val="32"/>
          <w:szCs w:val="32"/>
          <w:highlight w:val="none"/>
          <w:lang w:eastAsia="zh-CN"/>
        </w:rPr>
        <w:t>财政拨款收入</w:t>
      </w:r>
      <w:r>
        <w:rPr>
          <w:rStyle w:val="28"/>
          <w:rFonts w:hint="eastAsia" w:ascii="仿宋_GB2312" w:hAnsi="仿宋_GB2312" w:eastAsia="仿宋_GB2312" w:cs="仿宋_GB2312"/>
          <w:b w:val="0"/>
          <w:bCs w:val="0"/>
          <w:color w:val="auto"/>
          <w:sz w:val="32"/>
          <w:szCs w:val="32"/>
          <w:highlight w:val="none"/>
        </w:rPr>
        <w:t>支出决算表</w:t>
      </w:r>
      <w:bookmarkEnd w:id="72"/>
    </w:p>
    <w:p>
      <w:pPr>
        <w:rPr>
          <w:rFonts w:hint="eastAsia" w:ascii="仿宋_GB2312" w:hAnsi="仿宋_GB2312" w:eastAsia="仿宋_GB2312" w:cs="仿宋_GB2312"/>
          <w:color w:val="auto"/>
          <w:sz w:val="32"/>
          <w:szCs w:val="32"/>
          <w:highlight w:val="none"/>
          <w:lang w:eastAsia="zh-CN"/>
        </w:rPr>
      </w:pPr>
      <w:r>
        <w:rPr>
          <w:rStyle w:val="28"/>
          <w:rFonts w:hint="eastAsia" w:ascii="仿宋_GB2312" w:hAnsi="仿宋_GB2312" w:eastAsia="仿宋_GB2312" w:cs="仿宋_GB2312"/>
          <w:b w:val="0"/>
          <w:bCs w:val="0"/>
          <w:color w:val="auto"/>
          <w:sz w:val="32"/>
          <w:szCs w:val="32"/>
          <w:highlight w:val="none"/>
          <w:lang w:eastAsia="zh-CN"/>
        </w:rPr>
        <w:t>十四、国有资本经营预算财政拨款支出决算表</w:t>
      </w:r>
    </w:p>
    <w:sectPr>
      <w:headerReference r:id="rId3" w:type="default"/>
      <w:footerReference r:id="rId4" w:type="default"/>
      <w:pgSz w:w="11906" w:h="16838"/>
      <w:pgMar w:top="2098" w:right="1474" w:bottom="1984" w:left="158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00000000" w:usb2="00000000" w:usb3="00000000" w:csb0="2000009F"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A42035"/>
    <w:multiLevelType w:val="singleLevel"/>
    <w:tmpl w:val="98A42035"/>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4E0E2830"/>
    <w:multiLevelType w:val="singleLevel"/>
    <w:tmpl w:val="4E0E2830"/>
    <w:lvl w:ilvl="0" w:tentative="0">
      <w:start w:val="2"/>
      <w:numFmt w:val="chineseCounting"/>
      <w:suff w:val="nothing"/>
      <w:lvlText w:val="（%1）"/>
      <w:lvlJc w:val="left"/>
      <w:rPr>
        <w:rFonts w:hint="eastAsia"/>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2OTAzZWNiOTc4NDMxMWEyYmY0OGJkMzc1MDAwZDY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44B6C30"/>
    <w:rsid w:val="066E0107"/>
    <w:rsid w:val="07996F6E"/>
    <w:rsid w:val="0A2032A3"/>
    <w:rsid w:val="0A8F6086"/>
    <w:rsid w:val="101860EC"/>
    <w:rsid w:val="10C055FF"/>
    <w:rsid w:val="118107EC"/>
    <w:rsid w:val="11F92EB6"/>
    <w:rsid w:val="12557610"/>
    <w:rsid w:val="13D50BC4"/>
    <w:rsid w:val="15145780"/>
    <w:rsid w:val="15B464FA"/>
    <w:rsid w:val="16BB723D"/>
    <w:rsid w:val="196C72E3"/>
    <w:rsid w:val="1BE8440E"/>
    <w:rsid w:val="1D155CEE"/>
    <w:rsid w:val="23860B96"/>
    <w:rsid w:val="240371BF"/>
    <w:rsid w:val="24CA7C09"/>
    <w:rsid w:val="285E6FE6"/>
    <w:rsid w:val="29442F35"/>
    <w:rsid w:val="29FD04D3"/>
    <w:rsid w:val="2A64465C"/>
    <w:rsid w:val="2B1B78BE"/>
    <w:rsid w:val="2C8A61B5"/>
    <w:rsid w:val="2DF04E50"/>
    <w:rsid w:val="308C66BA"/>
    <w:rsid w:val="30FB2C6C"/>
    <w:rsid w:val="317242F6"/>
    <w:rsid w:val="319F7F4E"/>
    <w:rsid w:val="321C75CA"/>
    <w:rsid w:val="33437504"/>
    <w:rsid w:val="341E3ACD"/>
    <w:rsid w:val="351D22A0"/>
    <w:rsid w:val="359F7AA1"/>
    <w:rsid w:val="36AA5135"/>
    <w:rsid w:val="371C1C5E"/>
    <w:rsid w:val="37E16F03"/>
    <w:rsid w:val="37F1420E"/>
    <w:rsid w:val="394418E0"/>
    <w:rsid w:val="3D98207C"/>
    <w:rsid w:val="3F956160"/>
    <w:rsid w:val="3FC11ABD"/>
    <w:rsid w:val="44C45FCB"/>
    <w:rsid w:val="44E268DA"/>
    <w:rsid w:val="46E93AC7"/>
    <w:rsid w:val="489D100D"/>
    <w:rsid w:val="4A627F82"/>
    <w:rsid w:val="4B4F25DA"/>
    <w:rsid w:val="4BE068DB"/>
    <w:rsid w:val="4D577224"/>
    <w:rsid w:val="4EAB630A"/>
    <w:rsid w:val="4ECE2238"/>
    <w:rsid w:val="512F4230"/>
    <w:rsid w:val="53AE2320"/>
    <w:rsid w:val="5AF92295"/>
    <w:rsid w:val="5CD71FC4"/>
    <w:rsid w:val="61D05B58"/>
    <w:rsid w:val="64874BF3"/>
    <w:rsid w:val="64CD45D0"/>
    <w:rsid w:val="66020006"/>
    <w:rsid w:val="66376316"/>
    <w:rsid w:val="6C4A05C8"/>
    <w:rsid w:val="6E7E3605"/>
    <w:rsid w:val="6EA37E24"/>
    <w:rsid w:val="6F773AB6"/>
    <w:rsid w:val="6FF5CC65"/>
    <w:rsid w:val="7056781B"/>
    <w:rsid w:val="71186BD3"/>
    <w:rsid w:val="715C0E4B"/>
    <w:rsid w:val="72734D90"/>
    <w:rsid w:val="73AD73D5"/>
    <w:rsid w:val="73B6EB34"/>
    <w:rsid w:val="74024713"/>
    <w:rsid w:val="75D457BF"/>
    <w:rsid w:val="79EE5BA4"/>
    <w:rsid w:val="7A894339"/>
    <w:rsid w:val="7EEF11D3"/>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5"/>
    <w:qFormat/>
    <w:uiPriority w:val="99"/>
    <w:pPr>
      <w:spacing w:beforeLines="30"/>
    </w:pPr>
    <w:rPr>
      <w:rFonts w:ascii="仿宋_GB2312" w:eastAsia="仿宋_GB2312"/>
      <w:kern w:val="0"/>
      <w:sz w:val="30"/>
    </w:rPr>
  </w:style>
  <w:style w:type="paragraph" w:styleId="6">
    <w:name w:val="Body Text Indent"/>
    <w:basedOn w:val="1"/>
    <w:next w:val="7"/>
    <w:qFormat/>
    <w:uiPriority w:val="0"/>
    <w:pPr>
      <w:spacing w:after="120"/>
      <w:ind w:left="420" w:leftChars="200"/>
    </w:pPr>
  </w:style>
  <w:style w:type="paragraph" w:styleId="7">
    <w:name w:val="Body Text First Indent 2"/>
    <w:basedOn w:val="6"/>
    <w:next w:val="1"/>
    <w:qFormat/>
    <w:uiPriority w:val="0"/>
    <w:pPr>
      <w:ind w:firstLine="420" w:firstLineChars="200"/>
    </w:p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0"/>
    <w:semiHidden/>
    <w:unhideWhenUsed/>
    <w:qFormat/>
    <w:uiPriority w:val="99"/>
    <w:rPr>
      <w:sz w:val="18"/>
      <w:szCs w:val="18"/>
    </w:rPr>
  </w:style>
  <w:style w:type="paragraph" w:styleId="10">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paragraph" w:customStyle="1" w:styleId="1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20">
    <w:name w:val="Header Char"/>
    <w:basedOn w:val="16"/>
    <w:semiHidden/>
    <w:qFormat/>
    <w:uiPriority w:val="99"/>
    <w:rPr>
      <w:rFonts w:ascii="Times New Roman" w:hAnsi="Times New Roman"/>
      <w:sz w:val="18"/>
      <w:szCs w:val="18"/>
    </w:rPr>
  </w:style>
  <w:style w:type="character" w:customStyle="1" w:styleId="21">
    <w:name w:val="页眉 Char"/>
    <w:link w:val="11"/>
    <w:semiHidden/>
    <w:qFormat/>
    <w:locked/>
    <w:uiPriority w:val="99"/>
    <w:rPr>
      <w:sz w:val="18"/>
    </w:rPr>
  </w:style>
  <w:style w:type="character" w:customStyle="1" w:styleId="22">
    <w:name w:val="Footer Char"/>
    <w:basedOn w:val="16"/>
    <w:semiHidden/>
    <w:qFormat/>
    <w:uiPriority w:val="99"/>
    <w:rPr>
      <w:rFonts w:ascii="Times New Roman" w:hAnsi="Times New Roman"/>
      <w:sz w:val="18"/>
      <w:szCs w:val="18"/>
    </w:rPr>
  </w:style>
  <w:style w:type="character" w:customStyle="1" w:styleId="23">
    <w:name w:val="页脚 Char"/>
    <w:link w:val="10"/>
    <w:qFormat/>
    <w:locked/>
    <w:uiPriority w:val="99"/>
    <w:rPr>
      <w:sz w:val="18"/>
    </w:rPr>
  </w:style>
  <w:style w:type="character" w:customStyle="1" w:styleId="24">
    <w:name w:val="Body Text Char"/>
    <w:basedOn w:val="16"/>
    <w:semiHidden/>
    <w:qFormat/>
    <w:uiPriority w:val="99"/>
    <w:rPr>
      <w:rFonts w:ascii="Times New Roman" w:hAnsi="Times New Roman"/>
      <w:szCs w:val="24"/>
    </w:rPr>
  </w:style>
  <w:style w:type="character" w:customStyle="1" w:styleId="25">
    <w:name w:val="正文文本 Char"/>
    <w:link w:val="2"/>
    <w:qFormat/>
    <w:locked/>
    <w:uiPriority w:val="99"/>
    <w:rPr>
      <w:rFonts w:ascii="仿宋_GB2312" w:hAnsi="Times New Roman" w:eastAsia="仿宋_GB2312"/>
      <w:sz w:val="24"/>
    </w:rPr>
  </w:style>
  <w:style w:type="paragraph" w:styleId="26">
    <w:name w:val="List Paragraph"/>
    <w:basedOn w:val="1"/>
    <w:qFormat/>
    <w:uiPriority w:val="34"/>
    <w:pPr>
      <w:ind w:firstLine="420" w:firstLineChars="200"/>
    </w:pPr>
  </w:style>
  <w:style w:type="character" w:customStyle="1" w:styleId="27">
    <w:name w:val="标题 1 Char"/>
    <w:basedOn w:val="16"/>
    <w:link w:val="3"/>
    <w:qFormat/>
    <w:uiPriority w:val="9"/>
    <w:rPr>
      <w:rFonts w:ascii="Times New Roman" w:hAnsi="Times New Roman"/>
      <w:b/>
      <w:bCs/>
      <w:kern w:val="44"/>
      <w:sz w:val="44"/>
      <w:szCs w:val="44"/>
    </w:rPr>
  </w:style>
  <w:style w:type="character" w:customStyle="1" w:styleId="28">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6"/>
    <w:link w:val="9"/>
    <w:semiHidden/>
    <w:qFormat/>
    <w:uiPriority w:val="99"/>
    <w:rPr>
      <w:rFonts w:ascii="Times New Roman" w:hAnsi="Times New Roman"/>
      <w:kern w:val="2"/>
      <w:sz w:val="18"/>
      <w:szCs w:val="18"/>
    </w:rPr>
  </w:style>
  <w:style w:type="character" w:customStyle="1" w:styleId="31">
    <w:name w:val="标题 3 Char"/>
    <w:basedOn w:val="16"/>
    <w:link w:val="5"/>
    <w:qFormat/>
    <w:uiPriority w:val="9"/>
    <w:rPr>
      <w:rFonts w:ascii="Times New Roman" w:hAnsi="Times New Roman"/>
      <w:b/>
      <w:bCs/>
      <w:kern w:val="2"/>
      <w:sz w:val="32"/>
      <w:szCs w:val="32"/>
    </w:rPr>
  </w:style>
  <w:style w:type="paragraph" w:customStyle="1" w:styleId="32">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收入支出决算总体情况说明图</a:t>
            </a:r>
            <a:endParaRPr altLang="en-US"/>
          </a:p>
        </c:rich>
      </c:tx>
      <c:layout/>
      <c:overlay val="false"/>
      <c:spPr>
        <a:noFill/>
        <a:ln>
          <a:noFill/>
        </a:ln>
        <a:effectLst/>
      </c:spPr>
    </c:title>
    <c:autoTitleDeleted val="false"/>
    <c:plotArea>
      <c:layout/>
      <c:barChart>
        <c:barDir val="col"/>
        <c:grouping val="stacked"/>
        <c:varyColors val="false"/>
        <c:ser>
          <c:idx val="0"/>
          <c:order val="0"/>
          <c:tx>
            <c:strRef>
              <c:f>Sheet1!$B$1</c:f>
              <c:strCache>
                <c:ptCount val="1"/>
                <c:pt idx="0">
                  <c:v>2020年收入支出190.21万元</c:v>
                </c:pt>
              </c:strCache>
            </c:strRef>
          </c:tx>
          <c:spPr>
            <a:solidFill>
              <a:schemeClr val="accent1"/>
            </a:solidFill>
            <a:ln>
              <a:noFill/>
            </a:ln>
            <a:effectLst/>
          </c:spPr>
          <c:invertIfNegative val="false"/>
          <c:dPt>
            <c:idx val="1"/>
            <c:invertIfNegative val="false"/>
            <c:bubble3D val="false"/>
            <c:spPr>
              <a:solidFill>
                <a:schemeClr val="accent3"/>
              </a:solidFill>
              <a:ln>
                <a:noFill/>
              </a:ln>
              <a:effectLst/>
            </c:spPr>
          </c:dPt>
          <c:dLbls>
            <c:delete val="true"/>
          </c:dLbls>
          <c:cat>
            <c:strRef>
              <c:f>Sheet1!$A$2:$A$5</c:f>
              <c:strCache>
                <c:ptCount val="4"/>
                <c:pt idx="0">
                  <c:v>2020年</c:v>
                </c:pt>
                <c:pt idx="1">
                  <c:v>2021年</c:v>
                </c:pt>
              </c:strCache>
            </c:strRef>
          </c:cat>
          <c:val>
            <c:numRef>
              <c:f>Sheet1!$B$2:$B$5</c:f>
              <c:numCache>
                <c:formatCode>General</c:formatCode>
                <c:ptCount val="4"/>
                <c:pt idx="0">
                  <c:v>190.21</c:v>
                </c:pt>
                <c:pt idx="1">
                  <c:v>211.25</c:v>
                </c:pt>
              </c:numCache>
            </c:numRef>
          </c:val>
        </c:ser>
        <c:ser>
          <c:idx val="1"/>
          <c:order val="1"/>
          <c:tx>
            <c:strRef>
              <c:f>Sheet1!$C$1</c:f>
              <c:strCache>
                <c:ptCount val="1"/>
                <c:pt idx="0">
                  <c:v>2021年收入支出211.25万元</c:v>
                </c:pt>
              </c:strCache>
            </c:strRef>
          </c:tx>
          <c:spPr>
            <a:solidFill>
              <a:schemeClr val="accent3"/>
            </a:solidFill>
            <a:ln>
              <a:noFill/>
            </a:ln>
            <a:effectLst/>
          </c:spPr>
          <c:invertIfNegative val="false"/>
          <c:dLbls>
            <c:delete val="true"/>
          </c:dLbls>
          <c:cat>
            <c:strRef>
              <c:f>Sheet1!$A$2:$A$5</c:f>
              <c:strCache>
                <c:ptCount val="4"/>
                <c:pt idx="0">
                  <c:v>2020年</c:v>
                </c:pt>
                <c:pt idx="1">
                  <c:v>2021年</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false"/>
          <c:dLbls>
            <c:delete val="true"/>
          </c:dLbls>
          <c:cat>
            <c:strRef>
              <c:f>Sheet1!$A$2:$A$5</c:f>
              <c:strCache>
                <c:ptCount val="4"/>
                <c:pt idx="0">
                  <c:v>2020年</c:v>
                </c:pt>
                <c:pt idx="1">
                  <c:v>2021年</c:v>
                </c:pt>
              </c:strCache>
            </c:strRef>
          </c:cat>
          <c:val>
            <c:numRef>
              <c:f>Sheet1!$D$2:$D$5</c:f>
              <c:numCache>
                <c:formatCode>General</c:formatCode>
                <c:ptCount val="4"/>
              </c:numCache>
            </c:numRef>
          </c:val>
        </c:ser>
        <c:dLbls>
          <c:showLegendKey val="false"/>
          <c:showVal val="false"/>
          <c:showCatName val="false"/>
          <c:showSerName val="false"/>
          <c:showPercent val="false"/>
          <c:showBubbleSize val="false"/>
        </c:dLbls>
        <c:gapWidth val="150"/>
        <c:overlap val="100"/>
        <c:axId val="591384851"/>
        <c:axId val="636794075"/>
      </c:barChart>
      <c:catAx>
        <c:axId val="591384851"/>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36794075"/>
        <c:crosses val="autoZero"/>
        <c:auto val="true"/>
        <c:lblAlgn val="ctr"/>
        <c:lblOffset val="100"/>
        <c:noMultiLvlLbl val="false"/>
      </c:catAx>
      <c:valAx>
        <c:axId val="636794075"/>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91384851"/>
        <c:crosses val="autoZero"/>
        <c:crossBetween val="between"/>
      </c:valAx>
      <c:spPr>
        <a:noFill/>
        <a:ln>
          <a:noFill/>
        </a:ln>
        <a:effectLst/>
      </c:spPr>
    </c:plotArea>
    <c:legend>
      <c:legendPos val="b"/>
      <c:legendEntry>
        <c:idx val="2"/>
        <c:delete val="true"/>
      </c:legendEntry>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2021年收入决算情况说明图</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Lbls>
            <c:delete val="true"/>
          </c:dLbls>
          <c:cat>
            <c:strRef>
              <c:f>Sheet1!$A$2:$A$5</c:f>
              <c:strCache>
                <c:ptCount val="4"/>
                <c:pt idx="0">
                  <c:v>2021年一般公共预算财政拨款收入211.25万元，占100%</c:v>
                </c:pt>
              </c:strCache>
            </c:strRef>
          </c:cat>
          <c:val>
            <c:numRef>
              <c:f>Sheet1!$B$2:$B$5</c:f>
              <c:numCache>
                <c:formatCode>General</c:formatCode>
                <c:ptCount val="4"/>
                <c:pt idx="0">
                  <c:v>211.5</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egendEntry>
        <c:idx val="1"/>
        <c:delete val="true"/>
      </c:legendEntry>
      <c:legendEntry>
        <c:idx val="2"/>
        <c:delete val="true"/>
      </c:legendEntry>
      <c:legendEntry>
        <c:idx val="3"/>
        <c:delete val="true"/>
      </c:legendEntry>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2021年支出决算情况说明图</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Lbls>
            <c:delete val="true"/>
          </c:dLbls>
          <c:cat>
            <c:strRef>
              <c:f>Sheet1!$A$2:$A$5</c:f>
              <c:strCache>
                <c:ptCount val="4"/>
                <c:pt idx="0">
                  <c:v>基本支出195.08万元，占92.35％</c:v>
                </c:pt>
                <c:pt idx="1">
                  <c:v>项目支出16.17万元，占7.65％</c:v>
                </c:pt>
              </c:strCache>
            </c:strRef>
          </c:cat>
          <c:val>
            <c:numRef>
              <c:f>Sheet1!$B$2:$B$5</c:f>
              <c:numCache>
                <c:formatCode>General</c:formatCode>
                <c:ptCount val="4"/>
                <c:pt idx="0">
                  <c:v>195.08</c:v>
                </c:pt>
                <c:pt idx="1">
                  <c:v>16.17</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egendEntry>
        <c:idx val="2"/>
        <c:delete val="true"/>
      </c:legendEntry>
      <c:legendEntry>
        <c:idx val="3"/>
        <c:delete val="true"/>
      </c:legendEntry>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收入支出决算总体情况说明图</a:t>
            </a:r>
            <a:endParaRPr altLang="en-US"/>
          </a:p>
        </c:rich>
      </c:tx>
      <c:layout/>
      <c:overlay val="false"/>
      <c:spPr>
        <a:noFill/>
        <a:ln>
          <a:noFill/>
        </a:ln>
        <a:effectLst/>
      </c:spPr>
    </c:title>
    <c:autoTitleDeleted val="false"/>
    <c:plotArea>
      <c:layout/>
      <c:barChart>
        <c:barDir val="col"/>
        <c:grouping val="stacked"/>
        <c:varyColors val="false"/>
        <c:ser>
          <c:idx val="0"/>
          <c:order val="0"/>
          <c:tx>
            <c:strRef>
              <c:f>Sheet1!$B$1</c:f>
              <c:strCache>
                <c:ptCount val="1"/>
                <c:pt idx="0">
                  <c:v>2020年收入支出190.21万元</c:v>
                </c:pt>
              </c:strCache>
            </c:strRef>
          </c:tx>
          <c:spPr>
            <a:solidFill>
              <a:schemeClr val="accent1"/>
            </a:solidFill>
            <a:ln>
              <a:noFill/>
            </a:ln>
            <a:effectLst/>
          </c:spPr>
          <c:invertIfNegative val="false"/>
          <c:dPt>
            <c:idx val="1"/>
            <c:invertIfNegative val="false"/>
            <c:bubble3D val="false"/>
            <c:spPr>
              <a:solidFill>
                <a:schemeClr val="accent3"/>
              </a:solidFill>
              <a:ln>
                <a:noFill/>
              </a:ln>
              <a:effectLst/>
            </c:spPr>
          </c:dPt>
          <c:dLbls>
            <c:delete val="true"/>
          </c:dLbls>
          <c:cat>
            <c:strRef>
              <c:f>Sheet1!$A$2:$A$5</c:f>
              <c:strCache>
                <c:ptCount val="4"/>
                <c:pt idx="0">
                  <c:v>2020年</c:v>
                </c:pt>
                <c:pt idx="1">
                  <c:v>2021年</c:v>
                </c:pt>
              </c:strCache>
            </c:strRef>
          </c:cat>
          <c:val>
            <c:numRef>
              <c:f>Sheet1!$B$2:$B$5</c:f>
              <c:numCache>
                <c:formatCode>General</c:formatCode>
                <c:ptCount val="4"/>
                <c:pt idx="0">
                  <c:v>190.21</c:v>
                </c:pt>
                <c:pt idx="1">
                  <c:v>211.25</c:v>
                </c:pt>
              </c:numCache>
            </c:numRef>
          </c:val>
        </c:ser>
        <c:ser>
          <c:idx val="1"/>
          <c:order val="1"/>
          <c:tx>
            <c:strRef>
              <c:f>Sheet1!$C$1</c:f>
              <c:strCache>
                <c:ptCount val="1"/>
                <c:pt idx="0">
                  <c:v>2021年收入支出211.25万元</c:v>
                </c:pt>
              </c:strCache>
            </c:strRef>
          </c:tx>
          <c:spPr>
            <a:solidFill>
              <a:schemeClr val="accent3"/>
            </a:solidFill>
            <a:ln>
              <a:noFill/>
            </a:ln>
            <a:effectLst/>
          </c:spPr>
          <c:invertIfNegative val="false"/>
          <c:dLbls>
            <c:delete val="true"/>
          </c:dLbls>
          <c:cat>
            <c:strRef>
              <c:f>Sheet1!$A$2:$A$5</c:f>
              <c:strCache>
                <c:ptCount val="4"/>
                <c:pt idx="0">
                  <c:v>2020年</c:v>
                </c:pt>
                <c:pt idx="1">
                  <c:v>2021年</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false"/>
          <c:dLbls>
            <c:delete val="true"/>
          </c:dLbls>
          <c:cat>
            <c:strRef>
              <c:f>Sheet1!$A$2:$A$5</c:f>
              <c:strCache>
                <c:ptCount val="4"/>
                <c:pt idx="0">
                  <c:v>2020年</c:v>
                </c:pt>
                <c:pt idx="1">
                  <c:v>2021年</c:v>
                </c:pt>
              </c:strCache>
            </c:strRef>
          </c:cat>
          <c:val>
            <c:numRef>
              <c:f>Sheet1!$D$2:$D$5</c:f>
              <c:numCache>
                <c:formatCode>General</c:formatCode>
                <c:ptCount val="4"/>
              </c:numCache>
            </c:numRef>
          </c:val>
        </c:ser>
        <c:dLbls>
          <c:showLegendKey val="false"/>
          <c:showVal val="false"/>
          <c:showCatName val="false"/>
          <c:showSerName val="false"/>
          <c:showPercent val="false"/>
          <c:showBubbleSize val="false"/>
        </c:dLbls>
        <c:gapWidth val="150"/>
        <c:overlap val="100"/>
        <c:axId val="591384851"/>
        <c:axId val="636794075"/>
      </c:barChart>
      <c:catAx>
        <c:axId val="591384851"/>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36794075"/>
        <c:crosses val="autoZero"/>
        <c:auto val="true"/>
        <c:lblAlgn val="ctr"/>
        <c:lblOffset val="100"/>
        <c:noMultiLvlLbl val="false"/>
      </c:catAx>
      <c:valAx>
        <c:axId val="636794075"/>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91384851"/>
        <c:crosses val="autoZero"/>
        <c:crossBetween val="between"/>
      </c:valAx>
      <c:spPr>
        <a:noFill/>
        <a:ln>
          <a:noFill/>
        </a:ln>
        <a:effectLst/>
      </c:spPr>
    </c:plotArea>
    <c:legend>
      <c:legendPos val="b"/>
      <c:legendEntry>
        <c:idx val="2"/>
        <c:delete val="true"/>
      </c:legendEntry>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一般公共预算财政拨款支出决算总体情况说明图</a:t>
            </a:r>
            <a:endParaRPr altLang="en-US"/>
          </a:p>
        </c:rich>
      </c:tx>
      <c:layout/>
      <c:overlay val="false"/>
      <c:spPr>
        <a:noFill/>
        <a:ln>
          <a:noFill/>
        </a:ln>
        <a:effectLst/>
      </c:spPr>
    </c:title>
    <c:autoTitleDeleted val="false"/>
    <c:plotArea>
      <c:layout/>
      <c:barChart>
        <c:barDir val="col"/>
        <c:grouping val="stacked"/>
        <c:varyColors val="false"/>
        <c:ser>
          <c:idx val="0"/>
          <c:order val="0"/>
          <c:tx>
            <c:strRef>
              <c:f>Sheet1!$B$1</c:f>
              <c:strCache>
                <c:ptCount val="1"/>
                <c:pt idx="0">
                  <c:v>2020年一般公共预算财政拨款支出190.21万元</c:v>
                </c:pt>
              </c:strCache>
            </c:strRef>
          </c:tx>
          <c:spPr>
            <a:solidFill>
              <a:schemeClr val="accent1"/>
            </a:solidFill>
            <a:ln>
              <a:noFill/>
            </a:ln>
            <a:effectLst/>
          </c:spPr>
          <c:invertIfNegative val="false"/>
          <c:dPt>
            <c:idx val="1"/>
            <c:invertIfNegative val="false"/>
            <c:bubble3D val="false"/>
            <c:spPr>
              <a:solidFill>
                <a:schemeClr val="accent3"/>
              </a:solidFill>
              <a:ln>
                <a:noFill/>
              </a:ln>
              <a:effectLst/>
            </c:spPr>
          </c:dPt>
          <c:dLbls>
            <c:delete val="true"/>
          </c:dLbls>
          <c:cat>
            <c:strRef>
              <c:f>Sheet1!$A$2:$A$5</c:f>
              <c:strCache>
                <c:ptCount val="4"/>
                <c:pt idx="0">
                  <c:v>2020年</c:v>
                </c:pt>
                <c:pt idx="1">
                  <c:v>2021年</c:v>
                </c:pt>
              </c:strCache>
            </c:strRef>
          </c:cat>
          <c:val>
            <c:numRef>
              <c:f>Sheet1!$B$2:$B$5</c:f>
              <c:numCache>
                <c:formatCode>General</c:formatCode>
                <c:ptCount val="4"/>
                <c:pt idx="0">
                  <c:v>190.21</c:v>
                </c:pt>
                <c:pt idx="1">
                  <c:v>211.25</c:v>
                </c:pt>
              </c:numCache>
            </c:numRef>
          </c:val>
        </c:ser>
        <c:ser>
          <c:idx val="1"/>
          <c:order val="1"/>
          <c:tx>
            <c:strRef>
              <c:f>Sheet1!$C$1</c:f>
              <c:strCache>
                <c:ptCount val="1"/>
                <c:pt idx="0">
                  <c:v>2021年一般公共预算财政拨款支出211.25万元</c:v>
                </c:pt>
              </c:strCache>
            </c:strRef>
          </c:tx>
          <c:spPr>
            <a:solidFill>
              <a:schemeClr val="accent3"/>
            </a:solidFill>
            <a:ln>
              <a:noFill/>
            </a:ln>
            <a:effectLst/>
          </c:spPr>
          <c:invertIfNegative val="false"/>
          <c:dLbls>
            <c:delete val="true"/>
          </c:dLbls>
          <c:cat>
            <c:strRef>
              <c:f>Sheet1!$A$2:$A$5</c:f>
              <c:strCache>
                <c:ptCount val="4"/>
                <c:pt idx="0">
                  <c:v>2020年</c:v>
                </c:pt>
                <c:pt idx="1">
                  <c:v>2021年</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false"/>
          <c:dLbls>
            <c:delete val="true"/>
          </c:dLbls>
          <c:cat>
            <c:strRef>
              <c:f>Sheet1!$A$2:$A$5</c:f>
              <c:strCache>
                <c:ptCount val="4"/>
                <c:pt idx="0">
                  <c:v>2020年</c:v>
                </c:pt>
                <c:pt idx="1">
                  <c:v>2021年</c:v>
                </c:pt>
              </c:strCache>
            </c:strRef>
          </c:cat>
          <c:val>
            <c:numRef>
              <c:f>Sheet1!$D$2:$D$5</c:f>
              <c:numCache>
                <c:formatCode>General</c:formatCode>
                <c:ptCount val="4"/>
              </c:numCache>
            </c:numRef>
          </c:val>
        </c:ser>
        <c:dLbls>
          <c:showLegendKey val="false"/>
          <c:showVal val="false"/>
          <c:showCatName val="false"/>
          <c:showSerName val="false"/>
          <c:showPercent val="false"/>
          <c:showBubbleSize val="false"/>
        </c:dLbls>
        <c:gapWidth val="150"/>
        <c:overlap val="100"/>
        <c:axId val="591384851"/>
        <c:axId val="636794075"/>
      </c:barChart>
      <c:catAx>
        <c:axId val="591384851"/>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36794075"/>
        <c:crosses val="autoZero"/>
        <c:auto val="true"/>
        <c:lblAlgn val="ctr"/>
        <c:lblOffset val="100"/>
        <c:noMultiLvlLbl val="false"/>
      </c:catAx>
      <c:valAx>
        <c:axId val="636794075"/>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91384851"/>
        <c:crosses val="autoZero"/>
        <c:crossBetween val="between"/>
      </c:valAx>
      <c:spPr>
        <a:noFill/>
        <a:ln>
          <a:noFill/>
        </a:ln>
        <a:effectLst/>
      </c:spPr>
    </c:plotArea>
    <c:legend>
      <c:legendPos val="b"/>
      <c:legendEntry>
        <c:idx val="2"/>
        <c:delete val="true"/>
      </c:legendEntry>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一般公共预算财政拨款支出决算结构情况说明图</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Lbls>
            <c:delete val="true"/>
          </c:dLbls>
          <c:cat>
            <c:strRef>
              <c:f>Sheet1!$A$2:$A$5</c:f>
              <c:strCache>
                <c:ptCount val="4"/>
                <c:pt idx="0">
                  <c:v>一般公共服务（类）支出172.67万元，占81.74%</c:v>
                </c:pt>
                <c:pt idx="1">
                  <c:v>社会保障和就业（类）支出16.37万元，占7.75%</c:v>
                </c:pt>
                <c:pt idx="2">
                  <c:v>卫生健康支出7.75万元，占3.67%</c:v>
                </c:pt>
                <c:pt idx="3">
                  <c:v>住房保障支出14.46万元，占6.84%</c:v>
                </c:pt>
              </c:strCache>
            </c:strRef>
          </c:cat>
          <c:val>
            <c:numRef>
              <c:f>Sheet1!$B$2:$B$5</c:f>
              <c:numCache>
                <c:formatCode>General</c:formatCode>
                <c:ptCount val="4"/>
                <c:pt idx="0">
                  <c:v>172.67</c:v>
                </c:pt>
                <c:pt idx="1">
                  <c:v>16.37</c:v>
                </c:pt>
                <c:pt idx="2">
                  <c:v>7.75</c:v>
                </c:pt>
                <c:pt idx="3">
                  <c:v>14.46</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“三公”经费财政拨款支出决算具体情况说明图</c:v>
                </c:pt>
              </c:strCache>
            </c:strRef>
          </c:tx>
          <c:spPr/>
          <c:explosion val="0"/>
          <c:dPt>
            <c:idx val="0"/>
            <c:bubble3D val="false"/>
            <c:spPr>
              <a:solidFill>
                <a:schemeClr val="accent1"/>
              </a:solidFill>
              <a:ln w="19050">
                <a:solidFill>
                  <a:schemeClr val="lt1"/>
                </a:solidFill>
              </a:ln>
              <a:effectLst/>
            </c:spPr>
          </c:dPt>
          <c:dLbls>
            <c:delete val="true"/>
          </c:dLbls>
          <c:cat>
            <c:strRef>
              <c:f>Sheet1!$A$2</c:f>
              <c:strCache>
                <c:ptCount val="1"/>
                <c:pt idx="0">
                  <c:v>公务接待费支出决算1.54万元，占100%</c:v>
                </c:pt>
              </c:strCache>
            </c:strRef>
          </c:cat>
          <c:val>
            <c:numRef>
              <c:f>Sheet1!$B$2</c:f>
              <c:numCache>
                <c:formatCode>General</c:formatCode>
                <c:ptCount val="1"/>
                <c:pt idx="0">
                  <c:v>1.54</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30</Pages>
  <Words>11312</Words>
  <Characters>12374</Characters>
  <Lines>61</Lines>
  <Paragraphs>17</Paragraphs>
  <TotalTime>4</TotalTime>
  <ScaleCrop>false</ScaleCrop>
  <LinksUpToDate>false</LinksUpToDate>
  <CharactersWithSpaces>12419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user</cp:lastModifiedBy>
  <cp:lastPrinted>2022-09-09T11:27:00Z</cp:lastPrinted>
  <dcterms:modified xsi:type="dcterms:W3CDTF">2023-08-08T16:10:46Z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71EE4C5B63CC42F888BCD11980679D2B</vt:lpwstr>
  </property>
</Properties>
</file>