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bookmarkEnd w:id="0"/>
    <w:p>
      <w:pPr>
        <w:adjustRightInd w:val="0"/>
        <w:snapToGrid w:val="0"/>
        <w:spacing w:line="360" w:lineRule="auto"/>
        <w:jc w:val="center"/>
        <w:outlineLvl w:val="0"/>
        <w:rPr>
          <w:rFonts w:hint="eastAsia" w:ascii="黑体" w:hAnsi="黑体" w:eastAsia="黑体" w:cs="黑体"/>
          <w:color w:val="000000"/>
          <w:sz w:val="72"/>
          <w:szCs w:val="72"/>
          <w:lang w:val="en-US" w:eastAsia="zh-CN"/>
        </w:rPr>
      </w:pPr>
      <w:bookmarkStart w:id="1" w:name="_Toc83393177"/>
      <w:bookmarkStart w:id="2" w:name="_Toc15377426"/>
      <w:bookmarkStart w:id="3" w:name="_Toc15378442"/>
      <w:bookmarkStart w:id="4" w:name="_Toc15377194"/>
      <w:bookmarkStart w:id="5" w:name="_Toc15396476"/>
      <w:bookmarkStart w:id="6" w:name="_Toc15396598"/>
      <w:r>
        <w:rPr>
          <w:rFonts w:hint="eastAsia" w:ascii="黑体" w:hAnsi="黑体" w:eastAsia="黑体" w:cs="黑体"/>
          <w:color w:val="000000"/>
          <w:sz w:val="72"/>
          <w:szCs w:val="72"/>
          <w:lang w:val="en-US" w:eastAsia="zh-CN"/>
        </w:rPr>
        <w:t>2021年度</w:t>
      </w:r>
    </w:p>
    <w:p>
      <w:pPr>
        <w:adjustRightInd w:val="0"/>
        <w:snapToGrid w:val="0"/>
        <w:spacing w:line="360" w:lineRule="auto"/>
        <w:jc w:val="center"/>
        <w:outlineLvl w:val="0"/>
        <w:rPr>
          <w:rFonts w:hint="eastAsia" w:ascii="黑体" w:hAnsi="黑体" w:eastAsia="黑体" w:cs="黑体"/>
          <w:color w:val="000000"/>
          <w:sz w:val="72"/>
          <w:szCs w:val="72"/>
        </w:rPr>
      </w:pPr>
      <w:bookmarkStart w:id="7" w:name="_Toc15306268"/>
      <w:r>
        <w:rPr>
          <w:rFonts w:hint="eastAsia" w:ascii="黑体" w:hAnsi="黑体" w:eastAsia="黑体" w:cs="黑体"/>
          <w:color w:val="000000"/>
          <w:sz w:val="72"/>
          <w:szCs w:val="72"/>
        </w:rPr>
        <w:t>广元市朝天区人民政府</w:t>
      </w:r>
      <w:r>
        <w:rPr>
          <w:rFonts w:hint="eastAsia" w:ascii="黑体" w:hAnsi="黑体" w:eastAsia="黑体" w:cs="黑体"/>
          <w:color w:val="000000"/>
          <w:sz w:val="72"/>
          <w:szCs w:val="72"/>
          <w:lang w:eastAsia="zh-CN"/>
        </w:rPr>
        <w:t>办公室单位</w:t>
      </w:r>
      <w:r>
        <w:rPr>
          <w:rFonts w:hint="eastAsia" w:ascii="黑体" w:hAnsi="黑体" w:eastAsia="黑体" w:cs="黑体"/>
          <w:color w:val="000000"/>
          <w:sz w:val="72"/>
          <w:szCs w:val="72"/>
        </w:rPr>
        <w:t>决算</w:t>
      </w:r>
      <w:bookmarkEnd w:id="1"/>
      <w:bookmarkEnd w:id="2"/>
      <w:bookmarkEnd w:id="3"/>
      <w:bookmarkEnd w:id="4"/>
      <w:bookmarkEnd w:id="5"/>
      <w:bookmarkEnd w:id="6"/>
      <w:bookmarkEnd w:id="7"/>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3"/>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3"/>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tabs>
          <w:tab w:val="left" w:pos="220"/>
        </w:tabs>
        <w:rPr>
          <w:rFonts w:hint="default"/>
          <w:lang w:val="en-US" w:eastAsia="zh-CN"/>
        </w:rPr>
      </w:pP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kern w:val="2"/>
          <w:sz w:val="24"/>
          <w:szCs w:val="24"/>
          <w:highlight w:val="none"/>
          <w:lang w:val="en-US" w:eastAsia="zh-CN" w:bidi="ar-SA"/>
        </w:rPr>
        <w:t xml:space="preserve">  三、单位基本情况</w:t>
      </w:r>
    </w:p>
    <w:p>
      <w:pPr>
        <w:pStyle w:val="12"/>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3"/>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3"/>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8" w:name="_Toc15377196"/>
      <w:bookmarkStart w:id="9" w:name="_Toc15396599"/>
      <w:r>
        <w:rPr>
          <w:rFonts w:ascii="仿宋" w:hAnsi="仿宋" w:eastAsia="仿宋"/>
          <w:b/>
          <w:color w:val="auto"/>
          <w:sz w:val="24"/>
          <w:highlight w:val="none"/>
        </w:rPr>
        <w:br w:type="page"/>
      </w:r>
    </w:p>
    <w:p>
      <w:pPr>
        <w:pStyle w:val="2"/>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8"/>
          <w:rFonts w:hint="eastAsia" w:ascii="黑体" w:hAnsi="黑体" w:eastAsia="黑体"/>
          <w:b w:val="0"/>
          <w:bCs w:val="0"/>
          <w:color w:val="auto"/>
          <w:highlight w:val="none"/>
        </w:rPr>
        <w:t>概况</w:t>
      </w:r>
      <w:bookmarkEnd w:id="8"/>
      <w:bookmarkEnd w:id="9"/>
    </w:p>
    <w:p>
      <w:pPr>
        <w:widowControl/>
        <w:jc w:val="left"/>
        <w:rPr>
          <w:rFonts w:ascii="黑体" w:eastAsia="黑体"/>
          <w:color w:val="auto"/>
          <w:sz w:val="32"/>
          <w:szCs w:val="32"/>
          <w:highlight w:val="none"/>
        </w:rPr>
      </w:pPr>
    </w:p>
    <w:p>
      <w:pPr>
        <w:pStyle w:val="3"/>
        <w:pageBreakBefore w:val="0"/>
        <w:widowControl w:val="0"/>
        <w:numPr>
          <w:ilvl w:val="0"/>
          <w:numId w:val="1"/>
        </w:numPr>
        <w:kinsoku/>
        <w:wordWrap/>
        <w:overflowPunct/>
        <w:topLinePunct w:val="0"/>
        <w:autoSpaceDE/>
        <w:autoSpaceDN/>
        <w:bidi w:val="0"/>
        <w:adjustRightInd/>
        <w:snapToGrid/>
        <w:spacing w:before="0" w:after="0" w:line="576" w:lineRule="exact"/>
        <w:ind w:firstLine="640" w:firstLineChars="200"/>
        <w:textAlignment w:val="auto"/>
        <w:rPr>
          <w:rFonts w:ascii="仿宋" w:hAnsi="仿宋" w:eastAsia="仿宋"/>
          <w:bCs/>
          <w:color w:val="000000"/>
          <w:sz w:val="32"/>
          <w:szCs w:val="32"/>
        </w:rPr>
      </w:pPr>
      <w:bookmarkStart w:id="10" w:name="_Toc15396600"/>
      <w:bookmarkStart w:id="11" w:name="_Toc15377197"/>
      <w:r>
        <w:rPr>
          <w:rStyle w:val="29"/>
          <w:rFonts w:hint="eastAsia" w:ascii="黑体" w:hAnsi="黑体" w:eastAsia="黑体"/>
          <w:b w:val="0"/>
          <w:bCs w:val="0"/>
          <w:color w:val="auto"/>
          <w:highlight w:val="none"/>
        </w:rPr>
        <w:t>职能</w:t>
      </w:r>
      <w:r>
        <w:rPr>
          <w:rStyle w:val="29"/>
          <w:rFonts w:hint="eastAsia" w:ascii="黑体" w:hAnsi="黑体" w:eastAsia="黑体"/>
          <w:b w:val="0"/>
          <w:bCs w:val="0"/>
          <w:color w:val="auto"/>
          <w:highlight w:val="none"/>
          <w:lang w:eastAsia="zh-CN"/>
        </w:rPr>
        <w:t>简介</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一）协助区政府领导同志组织起草或审核以区人民政府、区人民政府办公室名义发布或上报的公文。办理市政府、市政府办公室以及市级各部门发送区政府、区政府办公室的文电。指导全区行政机关公文处理工作。</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（二）研究区政府各部门及各乡镇人民政府请示区人民政府的事项，提出审核意见，报区政府领导同志审批。</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（三）负责区政府会议的准备工作，协助区政府领导同志组织实施会议决定事项。</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（四）督促检查区政府部门和乡镇人民政府对区政府决定事项及区政府领导同志指示的贯彻落实情况，及时向区政府领导同志报告。</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（五）负责政务信息工作，及时准确地向区政府领导、区政府各部门和上级政府提供信息服务；指导、监督全区政府信息公开工作和机关效能建设工作。</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（六）组织办理涉及区政府工作的人大代表议案、批评、建议和政协委员提案、建议案工作。</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（七）围绕区政府中心工作和根据区政府领导同志的指示，组织专题调查研究，及时反映情况，提出政策性建议。</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color w:val="000000"/>
          <w:spacing w:val="6"/>
          <w:sz w:val="32"/>
          <w:szCs w:val="32"/>
        </w:rPr>
      </w:pPr>
      <w:r>
        <w:rPr>
          <w:rFonts w:hint="eastAsia" w:ascii="仿宋_GB2312" w:hAnsi="Times New Roman" w:eastAsia="仿宋_GB2312" w:cs="Times New Roman"/>
          <w:color w:val="000000"/>
          <w:spacing w:val="6"/>
          <w:sz w:val="32"/>
          <w:szCs w:val="32"/>
        </w:rPr>
        <w:t xml:space="preserve">（八）负责全区地方志的编撰工作。组织编撰《朝天区志》和《朝天年鉴》，指导各乡镇和区政府各部门、行业志的编撰；参与对全区文化古迹的保护及朝天文史资料的整理搜集。 </w:t>
      </w:r>
    </w:p>
    <w:p>
      <w:pPr>
        <w:pStyle w:val="8"/>
        <w:pageBreakBefore w:val="0"/>
        <w:widowControl w:val="0"/>
        <w:kinsoku/>
        <w:wordWrap/>
        <w:overflowPunct/>
        <w:topLinePunct w:val="0"/>
        <w:autoSpaceDE/>
        <w:autoSpaceDN/>
        <w:bidi w:val="0"/>
        <w:adjustRightInd/>
        <w:snapToGrid/>
        <w:spacing w:line="576" w:lineRule="exact"/>
        <w:ind w:firstLine="664" w:firstLineChars="200"/>
        <w:textAlignment w:val="auto"/>
        <w:rPr>
          <w:rFonts w:ascii="仿宋" w:hAnsi="仿宋" w:eastAsia="仿宋" w:cs="仿宋"/>
          <w:sz w:val="32"/>
          <w:szCs w:val="32"/>
        </w:rPr>
      </w:pPr>
      <w:r>
        <w:rPr>
          <w:rFonts w:hint="eastAsia" w:ascii="仿宋_GB2312" w:hAnsi="Times New Roman" w:eastAsia="仿宋_GB2312" w:cs="Times New Roman"/>
          <w:color w:val="000000"/>
          <w:spacing w:val="6"/>
          <w:sz w:val="32"/>
          <w:szCs w:val="32"/>
        </w:rPr>
        <w:t>（</w:t>
      </w:r>
      <w:r>
        <w:rPr>
          <w:rFonts w:hint="eastAsia" w:ascii="仿宋_GB2312" w:hAnsi="Times New Roman" w:eastAsia="仿宋_GB2312" w:cs="Times New Roman"/>
          <w:color w:val="000000"/>
          <w:spacing w:val="6"/>
          <w:sz w:val="32"/>
          <w:szCs w:val="32"/>
          <w:lang w:eastAsia="zh-CN"/>
        </w:rPr>
        <w:t>九</w:t>
      </w:r>
      <w:r>
        <w:rPr>
          <w:rFonts w:hint="eastAsia" w:ascii="仿宋_GB2312" w:hAnsi="Times New Roman" w:eastAsia="仿宋_GB2312" w:cs="Times New Roman"/>
          <w:color w:val="000000"/>
          <w:spacing w:val="6"/>
          <w:sz w:val="32"/>
          <w:szCs w:val="32"/>
        </w:rPr>
        <w:t>）办理区政府和区政府领导同志及市政府办公室交办的其他事项。</w:t>
      </w:r>
    </w:p>
    <w:p>
      <w:pPr>
        <w:pStyle w:val="3"/>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0"/>
      <w:bookmarkEnd w:id="11"/>
      <w:r>
        <w:rPr>
          <w:rFonts w:hint="eastAsia" w:ascii="黑体" w:hAnsi="黑体" w:eastAsia="黑体"/>
          <w:b w:val="0"/>
          <w:color w:val="auto"/>
          <w:highlight w:val="none"/>
          <w:lang w:eastAsia="zh-CN"/>
        </w:rPr>
        <w:t>完成情况</w:t>
      </w:r>
    </w:p>
    <w:p>
      <w:pPr>
        <w:pStyle w:val="3"/>
        <w:pageBreakBefore w:val="0"/>
        <w:widowControl w:val="0"/>
        <w:numPr>
          <w:ilvl w:val="0"/>
          <w:numId w:val="2"/>
        </w:numPr>
        <w:kinsoku/>
        <w:wordWrap/>
        <w:overflowPunct/>
        <w:topLinePunct w:val="0"/>
        <w:autoSpaceDE/>
        <w:autoSpaceDN/>
        <w:bidi w:val="0"/>
        <w:adjustRightInd/>
        <w:snapToGrid/>
        <w:spacing w:before="0" w:after="0" w:line="576" w:lineRule="exact"/>
        <w:ind w:firstLine="643" w:firstLineChars="200"/>
        <w:textAlignment w:val="auto"/>
        <w:rPr>
          <w:rFonts w:hint="eastAsia" w:ascii="黑体" w:hAnsi="黑体" w:eastAsia="黑体"/>
          <w:bCs/>
          <w:sz w:val="32"/>
          <w:szCs w:val="32"/>
        </w:rPr>
      </w:pPr>
      <w:r>
        <w:rPr>
          <w:rFonts w:hint="eastAsia" w:ascii="黑体" w:hAnsi="黑体" w:eastAsia="黑体"/>
          <w:bCs/>
          <w:sz w:val="32"/>
          <w:szCs w:val="32"/>
        </w:rPr>
        <w:t>守初心、重学习，队伍素养不断提升</w:t>
      </w:r>
    </w:p>
    <w:p>
      <w:pPr>
        <w:pStyle w:val="3"/>
        <w:pageBreakBefore w:val="0"/>
        <w:widowControl w:val="0"/>
        <w:numPr>
          <w:ilvl w:val="0"/>
          <w:numId w:val="0"/>
        </w:numPr>
        <w:kinsoku/>
        <w:wordWrap/>
        <w:overflowPunct/>
        <w:topLinePunct w:val="0"/>
        <w:autoSpaceDE/>
        <w:autoSpaceDN/>
        <w:bidi w:val="0"/>
        <w:adjustRightInd/>
        <w:snapToGrid/>
        <w:spacing w:before="0" w:after="0"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1.旗帜鲜明讲政治。坚持把政治建设摆在首位，严守党的政治纪律和政治规矩，深刻领会“两个确立”的决定性意义，增强“四个意识”，坚定“四个自信”，做到“两个维护”，始终在思想上政治上行动上同以习近平同志为核心的党中央保持高度一致。</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2.加强学习练内功。以党史学习教育为契机，强化组织领导、制定学习方案、细化安排部署。组织全体干部职工深入学习贯彻习近平新时代中国特色社会主义思想、习近平总书记“七一”重要讲话精神、党的十九届五中、六中全会精神，以及各级重大会议、重要文件精神，认真组织办公室党组中心组、办公室夜学、全体干部职工大会、党员大会等学习会议80余次，充分运用网络报刊、“学习强国”等载体开展自学，组织党员干部到区内红色教育基地现场教学，制定完成“我为群众办实事”项目52项，全办干部职工眼界视野、理论水平不断提高。</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3.以学促行提能力。坚持运用所学理论知识和业务知识武装头脑、指导实践，在围绕中心服务全局工作、化解矛盾风险的政治实践中全面提高干部队伍的参谋能力、协调能力、服务能力、写作能力，干部队伍积极向上、奋勇争先、善做善成的优良传统表现更加明显。</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bCs/>
          <w:sz w:val="32"/>
          <w:szCs w:val="32"/>
        </w:rPr>
      </w:pPr>
      <w:r>
        <w:rPr>
          <w:rFonts w:hint="eastAsia" w:ascii="黑体" w:hAnsi="黑体" w:eastAsia="黑体"/>
          <w:bCs/>
          <w:sz w:val="32"/>
          <w:szCs w:val="32"/>
          <w:lang w:val="en-US" w:eastAsia="zh-CN"/>
        </w:rPr>
        <w:t>(</w:t>
      </w:r>
      <w:r>
        <w:rPr>
          <w:rFonts w:hint="eastAsia" w:ascii="黑体" w:hAnsi="黑体" w:eastAsia="黑体"/>
          <w:bCs/>
          <w:sz w:val="32"/>
          <w:szCs w:val="32"/>
        </w:rPr>
        <w:t>二</w:t>
      </w:r>
      <w:r>
        <w:rPr>
          <w:rFonts w:hint="eastAsia" w:ascii="黑体" w:hAnsi="黑体" w:eastAsia="黑体"/>
          <w:bCs/>
          <w:sz w:val="32"/>
          <w:szCs w:val="32"/>
          <w:lang w:val="en-US" w:eastAsia="zh-CN"/>
        </w:rPr>
        <w:t>)</w:t>
      </w:r>
      <w:r>
        <w:rPr>
          <w:rFonts w:hint="eastAsia" w:ascii="黑体" w:hAnsi="黑体" w:eastAsia="黑体"/>
          <w:bCs/>
          <w:sz w:val="32"/>
          <w:szCs w:val="32"/>
        </w:rPr>
        <w:t>勇担当、强作为，服务能力不断增强</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1.统筹协调有序高效。一是加强日常沟通协调。主动加强与区委办、人大办、政协办三大办公室的互动联系，及时主动做好区领导政务事务沟通衔接，强化与各乡镇、部门的沟通，实现了各项工作衔接有序、执行有力，确保了区政府高效运转、工作有效落实。二是加强重大活动统筹。全力协助全省旅游景区发展大会、第十一届大蜀道文化旅游节和全市文旅发展大会、2021年中国·朝天食用菌产业创新发展大会、全省现代林业园区建设现场推进会等各类重大节会活动，高质量完成国家、省、市各级领导及嘉宾来朝天检查、调研、考察的统筹协调服务工作。</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2.办文办会质效双升。一是综合文稿精益求精。高质量完成政府工作报告、重要汇报材料等综合性材料起草，全年起草领导讲话稿200余篇，精心组织了一批质量较高、说服力强的文稿，为争取扶持政策、项目资金倾斜、招引项目发挥了积极作用。二是办文办会精简高效。全年起草、审核以区政府和区政府办名义印发的各类文件515件，整理出台会议纪要42期；处理上级来文2514件，乡镇及部门来文928件，全年未出现公文处理不当或失误情况。严格会议审核报批程序，抓好会务统筹整合，全年共承办区政府全体会议、区政府常务会、疫情防控会、重点工作专题会等重大会议80余次。</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3.后勤保障坚强有力。一是服务工作细致高效。树立超前服务、主动服务工作理念，坚持由事务型服务向智慧型服务转变，由参与型服务向参谋型服务转变，忠心为领导服务，耐心为部门服务，热心为群众服务，“我为群众办实事”实践活动深入开展，服务质量和机关形象得到广泛认可。二是日常运转严谨规范。坚持对机要、保密等工作常抓不懈，警钟长鸣，全年未发生失泄密事件。坚持把事务办理作为精细服务的具体手段，建立健全日常管理制度和运转机制，努力将工作做细、做实、做精，始终做到周全细致、忙而不乱、有条不紊、应对有序，不断推动区政府高效运转。</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4.信息宣传成效显著。坚持立足本职以文辅政，全年出刊《政务要情》49期，上报政务信息700余篇，均被市政府网站采编，完成国办约稿120篇。市政府《政务晨讯》采编100余条，《朝天区聚焦关键环节提速企业发展》等9篇信息被市委市政府主要领导签批，《朝天区抓链条延伸食用菌增值空间》等文章被省级刊物采编，《四川反映促进双创主体融通发展存在五方面困难问题亟待关注》等50余篇文章分别被国办综合、国办专报采编，《四川落实&lt;保障农民工工资支付条例&gt;成效显著但有多方面问题值得关注》等14篇文稿被国务院领导签批肯定，为领导决策提供了有力参考。</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5.营商环境持续优化。一是全面深化“放管服”改革。动态调整区本级行政权力1000余项，规范制定乡镇行政权力清单152项、属地事项责任清单109项；梳理“川渝通办”区级事项137项，跨省通办事项50项，省内通办事项151项。累计办理“省内通办”200余件。二是稳步提升政务服务能力。依托全省一体化政务服务平台，累计办件42万余件，按时办结率100%，群众满意度达100%。累计办理民意诉求件3000余件，按时处置率、办结率及群众满意度均为100%。严格落实《政府信息公开条例》，扎实推进政府决策、执行、管理、服务、结果等五公开，全区通过不同渠道和方式公开政府信息41295条，确保了政府信息公开工作扎实有效开展。三是切实加强市场监管。着力构建以“双随机、一公开”为主，信用监管为辅新型监管机制，用活用好涉企信息归集、企业异常名录管理等制度。全年累计开展市场主体抽查1000余家，联合监管占比达70%以上，发现并处理问题200余个。</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6.代管工作统筹推进。一是应急值守平稳有序。严格督导区政府总值班室值班值守工作，确保了值班信息沟通及时、对称，应急处置工作规范高效。二是民营经济稳步提升。全区民营经济增加值实现42.85亿元，同比增长8.5%，高于全市平均增速0.7个百分点，排位全市县区第二；着力民营企业困难问题化解，常态化开展企业走访活动，精准点穴民营企业发展的痛点、难点、堵点，切实为企业纾困解难，全年共计为民营企业协调解决困难问题50余件。</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7.乡村振兴扎实有效。一是帮扶措施有力。及时调整充实驻村帮扶力量，协调相关部门为帮扶的麻柳乡石坂村投入各类帮扶资金275万元，用于基础设施建设和猕猴桃产业园提档升级、蔬菜产业园区配套设施建设，群众收入不断提升，生产生活条件得到全面改善。二是帮扶成效明显。全力做好巩固拓展脱贫攻坚成果的底线任务，聚焦脱贫户中不稳定户、边缘易致贫户等农村易返贫致贫人口，建立健全防止返贫动态监测和帮扶机制，落实“一户一策”精准帮扶，顺利通过省级巩固脱贫成果后评估。</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rFonts w:ascii="黑体" w:hAnsi="黑体" w:eastAsia="黑体"/>
          <w:bCs/>
          <w:sz w:val="32"/>
          <w:szCs w:val="32"/>
        </w:rPr>
      </w:pPr>
      <w:r>
        <w:rPr>
          <w:rFonts w:hint="eastAsia" w:ascii="黑体" w:hAnsi="黑体" w:eastAsia="黑体"/>
          <w:bCs/>
          <w:sz w:val="32"/>
          <w:szCs w:val="32"/>
          <w:lang w:val="en-US" w:eastAsia="zh-CN"/>
        </w:rPr>
        <w:t>(</w:t>
      </w:r>
      <w:r>
        <w:rPr>
          <w:rFonts w:hint="eastAsia" w:ascii="黑体" w:hAnsi="黑体" w:eastAsia="黑体"/>
          <w:bCs/>
          <w:sz w:val="32"/>
          <w:szCs w:val="32"/>
        </w:rPr>
        <w:t>三</w:t>
      </w:r>
      <w:r>
        <w:rPr>
          <w:rFonts w:hint="eastAsia" w:ascii="黑体" w:hAnsi="黑体" w:eastAsia="黑体"/>
          <w:bCs/>
          <w:sz w:val="32"/>
          <w:szCs w:val="32"/>
          <w:lang w:val="en-US" w:eastAsia="zh-CN"/>
        </w:rPr>
        <w:t>)</w:t>
      </w:r>
      <w:r>
        <w:rPr>
          <w:rFonts w:hint="eastAsia" w:ascii="黑体" w:hAnsi="黑体" w:eastAsia="黑体"/>
          <w:bCs/>
          <w:sz w:val="32"/>
          <w:szCs w:val="32"/>
        </w:rPr>
        <w:t>炼队伍、肃风气，从严治党不断深化</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强化队伍建设。坚决落实好干部标准，坚持公道正派选人用人，拓宽选人用人视野，始终树立正确选人用人导向。不断激励干部展现新时代新担当新作为，支持2名干部就读省委党校在职研究生，选拔了2名符合条件人员参加了后备干部培训，推荐输送科级干部2名，向市级单位推荐干部1名，解决干部职级待遇2名，新选聘工作人员6名，新发展党员2名。</w:t>
      </w:r>
    </w:p>
    <w:p>
      <w:pPr>
        <w:pStyle w:val="3"/>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三、单位基本情况</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仿宋_GB2312" w:hAnsi="Times New Roman" w:eastAsia="仿宋_GB2312" w:cs="Times New Roman"/>
          <w:b w:val="0"/>
          <w:bCs w:val="0"/>
          <w:color w:val="000000"/>
          <w:spacing w:val="6"/>
          <w:kern w:val="2"/>
          <w:sz w:val="32"/>
          <w:szCs w:val="32"/>
          <w:lang w:val="en-US" w:eastAsia="zh-CN" w:bidi="ar-SA"/>
        </w:rPr>
      </w:pPr>
      <w:r>
        <w:rPr>
          <w:rFonts w:hint="eastAsia" w:ascii="仿宋_GB2312" w:hAnsi="Times New Roman" w:eastAsia="仿宋_GB2312" w:cs="Times New Roman"/>
          <w:b w:val="0"/>
          <w:bCs w:val="0"/>
          <w:color w:val="000000"/>
          <w:spacing w:val="6"/>
          <w:kern w:val="2"/>
          <w:sz w:val="32"/>
          <w:szCs w:val="32"/>
          <w:lang w:val="en-US" w:eastAsia="zh-CN" w:bidi="ar-SA"/>
        </w:rPr>
        <w:t xml:space="preserve">我单位属财政一级预算单位，下属二级预算单位1个，其中参照公务员法管理的事业单位0个，（其他事业单位1个）。 </w:t>
      </w:r>
    </w:p>
    <w:p>
      <w:pPr>
        <w:pageBreakBefore w:val="0"/>
        <w:widowControl w:val="0"/>
        <w:kinsoku/>
        <w:wordWrap/>
        <w:overflowPunct/>
        <w:topLinePunct w:val="0"/>
        <w:autoSpaceDE/>
        <w:autoSpaceDN/>
        <w:bidi w:val="0"/>
        <w:adjustRightInd/>
        <w:snapToGrid/>
        <w:spacing w:line="576" w:lineRule="exact"/>
        <w:ind w:firstLine="664" w:firstLineChars="200"/>
        <w:textAlignment w:val="auto"/>
        <w:rPr>
          <w:rFonts w:hint="eastAsia" w:ascii="黑体" w:hAnsi="黑体" w:eastAsia="黑体"/>
          <w:b w:val="0"/>
          <w:bCs/>
          <w:color w:val="auto"/>
          <w:highlight w:val="none"/>
        </w:rPr>
      </w:pPr>
      <w:r>
        <w:rPr>
          <w:rFonts w:hint="eastAsia" w:ascii="仿宋_GB2312" w:hAnsi="Times New Roman" w:eastAsia="仿宋_GB2312" w:cs="Times New Roman"/>
          <w:b w:val="0"/>
          <w:bCs w:val="0"/>
          <w:color w:val="000000"/>
          <w:spacing w:val="6"/>
          <w:kern w:val="2"/>
          <w:sz w:val="32"/>
          <w:szCs w:val="32"/>
          <w:lang w:val="en-US" w:eastAsia="zh-CN" w:bidi="ar-SA"/>
        </w:rPr>
        <w:t xml:space="preserve">单位总编制41名，其中行政编制21名，事业编制18名，工勤编制2人。年末在职人员总数45人，其中行政人员23人，事业人员13人，工勤人员9人；退休人员5人。固定资产总额231.73万元。 </w:t>
      </w:r>
      <w:bookmarkStart w:id="62" w:name="_GoBack"/>
      <w:bookmarkEnd w:id="62"/>
      <w:bookmarkStart w:id="12" w:name="_Toc15396602"/>
      <w:bookmarkStart w:id="13" w:name="_Toc15377204"/>
    </w:p>
    <w:p>
      <w:pPr>
        <w:rPr>
          <w:rFonts w:hint="eastAsia"/>
        </w:rPr>
      </w:pPr>
    </w:p>
    <w:p>
      <w:pPr>
        <w:pStyle w:val="2"/>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Style w:val="28"/>
          <w:rFonts w:hint="eastAsia"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8"/>
          <w:rFonts w:hint="eastAsia" w:ascii="黑体" w:hAnsi="黑体" w:eastAsia="黑体"/>
          <w:b w:val="0"/>
          <w:bCs/>
          <w:color w:val="auto"/>
          <w:highlight w:val="none"/>
          <w:lang w:eastAsia="zh-CN"/>
        </w:rPr>
        <w:t>单位</w:t>
      </w:r>
      <w:r>
        <w:rPr>
          <w:rStyle w:val="28"/>
          <w:rFonts w:hint="eastAsia" w:ascii="黑体" w:hAnsi="黑体" w:eastAsia="黑体"/>
          <w:b w:val="0"/>
          <w:bCs/>
          <w:color w:val="auto"/>
          <w:highlight w:val="none"/>
        </w:rPr>
        <w:t>决算情况说明</w:t>
      </w:r>
      <w:bookmarkEnd w:id="12"/>
      <w:bookmarkEnd w:id="13"/>
    </w:p>
    <w:p/>
    <w:p>
      <w:pPr>
        <w:pStyle w:val="27"/>
        <w:pageBreakBefore w:val="0"/>
        <w:widowControl w:val="0"/>
        <w:numPr>
          <w:ilvl w:val="0"/>
          <w:numId w:val="0"/>
        </w:numPr>
        <w:kinsoku/>
        <w:wordWrap/>
        <w:overflowPunct/>
        <w:topLinePunct w:val="0"/>
        <w:autoSpaceDE/>
        <w:autoSpaceDN/>
        <w:bidi w:val="0"/>
        <w:adjustRightInd/>
        <w:snapToGrid/>
        <w:spacing w:line="560" w:lineRule="exact"/>
        <w:ind w:leftChars="304" w:right="0" w:rightChars="0"/>
        <w:textAlignment w:val="auto"/>
        <w:outlineLvl w:val="1"/>
        <w:rPr>
          <w:rStyle w:val="29"/>
          <w:rFonts w:ascii="黑体" w:hAnsi="黑体" w:eastAsia="黑体"/>
          <w:b w:val="0"/>
          <w:color w:val="auto"/>
          <w:highlight w:val="none"/>
        </w:rPr>
      </w:pPr>
      <w:bookmarkStart w:id="14" w:name="_Toc15377205"/>
      <w:bookmarkStart w:id="15"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4"/>
      <w:bookmarkEnd w:id="15"/>
    </w:p>
    <w:p>
      <w:pPr>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911.26</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年相比，收、支总计减少</w:t>
      </w:r>
      <w:r>
        <w:rPr>
          <w:rFonts w:hint="eastAsia" w:ascii="仿宋" w:hAnsi="仿宋" w:eastAsia="仿宋"/>
          <w:color w:val="auto"/>
          <w:sz w:val="32"/>
          <w:szCs w:val="32"/>
          <w:highlight w:val="none"/>
          <w:lang w:val="en-US" w:eastAsia="zh-CN"/>
        </w:rPr>
        <w:t>221.69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安可替代项目取消。</w:t>
      </w:r>
    </w:p>
    <w:p>
      <w:pPr>
        <w:jc w:val="center"/>
        <w:rPr>
          <w:rFonts w:hint="eastAsia" w:ascii="仿宋" w:hAnsi="仿宋" w:eastAsia="仿宋"/>
          <w:color w:val="auto"/>
          <w:sz w:val="32"/>
          <w:szCs w:val="32"/>
          <w:highlight w:val="none"/>
          <w:lang w:eastAsia="zh-CN"/>
        </w:rPr>
      </w:pPr>
      <w:r>
        <w:drawing>
          <wp:inline distT="0" distB="0" distL="114300" distR="114300">
            <wp:extent cx="3472180" cy="2578100"/>
            <wp:effectExtent l="0" t="0" r="13970" b="1270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6"/>
                    <a:stretch>
                      <a:fillRect/>
                    </a:stretch>
                  </pic:blipFill>
                  <pic:spPr>
                    <a:xfrm>
                      <a:off x="0" y="0"/>
                      <a:ext cx="3472180" cy="2578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1"/>
        <w:rPr>
          <w:rStyle w:val="29"/>
          <w:rFonts w:ascii="黑体" w:hAnsi="黑体" w:eastAsia="黑体"/>
          <w:b w:val="0"/>
          <w:color w:val="auto"/>
          <w:highlight w:val="none"/>
        </w:rPr>
      </w:pPr>
      <w:bookmarkStart w:id="16" w:name="_Toc15396604"/>
      <w:bookmarkStart w:id="17" w:name="_Toc15377206"/>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16"/>
      <w:bookmarkEnd w:id="1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911.26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911.26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p>
    <w:p>
      <w:pPr>
        <w:pStyle w:val="5"/>
        <w:jc w:val="center"/>
        <w:rPr>
          <w:rFonts w:ascii="仿宋" w:hAnsi="仿宋" w:eastAsia="仿宋"/>
          <w:b/>
          <w:color w:val="auto"/>
          <w:sz w:val="32"/>
          <w:szCs w:val="32"/>
          <w:highlight w:val="none"/>
        </w:rPr>
      </w:pPr>
      <w:r>
        <w:drawing>
          <wp:inline distT="0" distB="0" distL="114300" distR="114300">
            <wp:extent cx="2927985" cy="2136140"/>
            <wp:effectExtent l="0" t="0" r="5715"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2927985" cy="2136140"/>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7"/>
        <w:numPr>
          <w:ilvl w:val="0"/>
          <w:numId w:val="0"/>
        </w:numPr>
        <w:spacing w:line="600" w:lineRule="exact"/>
        <w:ind w:left="640" w:leftChars="0"/>
        <w:outlineLvl w:val="1"/>
        <w:rPr>
          <w:rStyle w:val="29"/>
          <w:rFonts w:ascii="黑体" w:hAnsi="黑体" w:eastAsia="黑体"/>
          <w:b w:val="0"/>
          <w:color w:val="auto"/>
          <w:highlight w:val="none"/>
        </w:rPr>
      </w:pPr>
      <w:bookmarkStart w:id="18" w:name="_Toc15377207"/>
      <w:bookmarkStart w:id="19" w:name="_Toc15396605"/>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18"/>
      <w:bookmarkEnd w:id="19"/>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911.26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711.13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78.04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200.13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21.96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3" w:firstLineChars="200"/>
        <w:outlineLvl w:val="1"/>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olor w:val="auto"/>
          <w:sz w:val="32"/>
          <w:szCs w:val="32"/>
          <w:highlight w:val="none"/>
        </w:rPr>
      </w:pPr>
      <w:r>
        <w:drawing>
          <wp:inline distT="0" distB="0" distL="114300" distR="114300">
            <wp:extent cx="2946400" cy="2092960"/>
            <wp:effectExtent l="0" t="0" r="6350" b="254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2946400" cy="2092960"/>
                    </a:xfrm>
                    <a:prstGeom prst="rect">
                      <a:avLst/>
                    </a:prstGeom>
                    <a:noFill/>
                    <a:ln>
                      <a:noFill/>
                    </a:ln>
                  </pic:spPr>
                </pic:pic>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9"/>
          <w:rFonts w:ascii="黑体" w:hAnsi="黑体" w:eastAsia="黑体"/>
          <w:b w:val="0"/>
          <w:color w:val="auto"/>
          <w:highlight w:val="none"/>
        </w:rPr>
      </w:pPr>
      <w:bookmarkStart w:id="20" w:name="_Toc15377208"/>
      <w:bookmarkStart w:id="21"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firstLine="641"/>
        <w:textAlignment w:val="auto"/>
        <w:rPr>
          <w:rFonts w:hint="eastAsia" w:ascii="方正仿宋_GBK" w:hAnsi="仿宋" w:eastAsia="方正仿宋_GBK"/>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黑体" w:hAnsi="黑体" w:eastAsia="黑体" w:cs="黑体"/>
          <w:color w:val="000000"/>
          <w:sz w:val="32"/>
          <w:szCs w:val="32"/>
          <w:lang w:eastAsia="zh-CN"/>
        </w:rPr>
        <w:t>入总</w:t>
      </w:r>
      <w:r>
        <w:rPr>
          <w:rFonts w:hint="eastAsia" w:ascii="黑体" w:hAnsi="黑体" w:eastAsia="黑体" w:cs="黑体"/>
          <w:color w:val="000000"/>
          <w:sz w:val="32"/>
          <w:szCs w:val="32"/>
        </w:rPr>
        <w:t>计</w:t>
      </w:r>
      <w:r>
        <w:rPr>
          <w:rFonts w:hint="eastAsia" w:ascii="黑体" w:hAnsi="黑体" w:eastAsia="黑体" w:cs="黑体"/>
          <w:color w:val="000000"/>
          <w:sz w:val="32"/>
          <w:szCs w:val="32"/>
          <w:lang w:val="en-US" w:eastAsia="zh-CN"/>
        </w:rPr>
        <w:t>911.26</w:t>
      </w:r>
      <w:r>
        <w:rPr>
          <w:rFonts w:hint="eastAsia" w:ascii="黑体" w:hAnsi="黑体" w:eastAsia="黑体" w:cs="黑体"/>
          <w:color w:val="000000"/>
          <w:sz w:val="32"/>
          <w:szCs w:val="32"/>
        </w:rPr>
        <w:t>万元</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与20</w:t>
      </w: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rPr>
        <w:t>年相比</w:t>
      </w:r>
      <w:r>
        <w:rPr>
          <w:rFonts w:hint="eastAsia" w:ascii="黑体" w:hAnsi="黑体" w:eastAsia="黑体" w:cs="黑体"/>
          <w:color w:val="000000"/>
          <w:sz w:val="32"/>
          <w:szCs w:val="32"/>
          <w:lang w:eastAsia="zh-CN"/>
        </w:rPr>
        <w:t>减少</w:t>
      </w:r>
      <w:r>
        <w:rPr>
          <w:rFonts w:hint="eastAsia" w:ascii="黑体" w:hAnsi="黑体" w:eastAsia="黑体" w:cs="黑体"/>
          <w:color w:val="000000" w:themeColor="text1"/>
          <w:sz w:val="32"/>
          <w:szCs w:val="32"/>
          <w:lang w:val="en-US" w:eastAsia="zh-CN"/>
          <w14:textFill>
            <w14:solidFill>
              <w14:schemeClr w14:val="tx1"/>
            </w14:solidFill>
          </w14:textFill>
        </w:rPr>
        <w:t>221.69</w:t>
      </w:r>
      <w:r>
        <w:rPr>
          <w:rFonts w:hint="eastAsia" w:ascii="黑体" w:hAnsi="黑体" w:eastAsia="黑体" w:cs="黑体"/>
          <w:color w:val="000000" w:themeColor="text1"/>
          <w:sz w:val="32"/>
          <w:szCs w:val="32"/>
          <w14:textFill>
            <w14:solidFill>
              <w14:schemeClr w14:val="tx1"/>
            </w14:solidFill>
          </w14:textFill>
        </w:rPr>
        <w:t>万元</w:t>
      </w:r>
      <w:r>
        <w:rPr>
          <w:rFonts w:hint="eastAsia" w:ascii="黑体" w:hAnsi="黑体" w:eastAsia="黑体" w:cs="黑体"/>
          <w:color w:val="000000" w:themeColor="text1"/>
          <w:sz w:val="32"/>
          <w:szCs w:val="32"/>
          <w:lang w:eastAsia="zh-CN"/>
          <w14:textFill>
            <w14:solidFill>
              <w14:schemeClr w14:val="tx1"/>
            </w14:solidFill>
          </w14:textFill>
        </w:rPr>
        <w:t>，下降</w:t>
      </w:r>
      <w:r>
        <w:rPr>
          <w:rFonts w:hint="eastAsia" w:ascii="黑体" w:hAnsi="黑体" w:eastAsia="黑体" w:cs="黑体"/>
          <w:color w:val="000000" w:themeColor="text1"/>
          <w:sz w:val="32"/>
          <w:szCs w:val="32"/>
          <w:lang w:val="en-US" w:eastAsia="zh-CN"/>
          <w14:textFill>
            <w14:solidFill>
              <w14:schemeClr w14:val="tx1"/>
            </w14:solidFill>
          </w14:textFill>
        </w:rPr>
        <w:t>19.57</w:t>
      </w:r>
      <w:r>
        <w:rPr>
          <w:rFonts w:hint="eastAsia" w:ascii="黑体" w:hAnsi="黑体" w:eastAsia="黑体" w:cs="黑体"/>
          <w:color w:val="000000" w:themeColor="text1"/>
          <w:sz w:val="32"/>
          <w:szCs w:val="32"/>
          <w14:textFill>
            <w14:solidFill>
              <w14:schemeClr w14:val="tx1"/>
            </w14:solidFill>
          </w14:textFill>
        </w:rPr>
        <w:t>%</w:t>
      </w:r>
      <w:r>
        <w:rPr>
          <w:rFonts w:hint="eastAsia" w:ascii="黑体" w:hAnsi="黑体" w:eastAsia="黑体" w:cs="黑体"/>
          <w:color w:val="000000" w:themeColor="text1"/>
          <w:sz w:val="32"/>
          <w:szCs w:val="32"/>
          <w:lang w:eastAsia="zh-CN"/>
          <w14:textFill>
            <w14:solidFill>
              <w14:schemeClr w14:val="tx1"/>
            </w14:solidFill>
          </w14:textFill>
        </w:rPr>
        <w:t>；</w:t>
      </w:r>
      <w:r>
        <w:rPr>
          <w:rFonts w:hint="eastAsia" w:ascii="黑体" w:hAnsi="黑体" w:eastAsia="黑体" w:cs="黑体"/>
          <w:color w:val="000000" w:themeColor="text1"/>
          <w:sz w:val="32"/>
          <w:szCs w:val="32"/>
          <w:lang w:val="en-US" w:eastAsia="zh-CN"/>
          <w14:textFill>
            <w14:solidFill>
              <w14:schemeClr w14:val="tx1"/>
            </w14:solidFill>
          </w14:textFill>
        </w:rPr>
        <w:t>2</w:t>
      </w:r>
      <w:r>
        <w:rPr>
          <w:rFonts w:hint="eastAsia" w:ascii="黑体" w:hAnsi="黑体" w:eastAsia="黑体" w:cs="黑体"/>
          <w:color w:val="000000"/>
          <w:sz w:val="32"/>
          <w:szCs w:val="32"/>
          <w:lang w:val="en-US" w:eastAsia="zh-CN"/>
        </w:rPr>
        <w:t>021年度支出合计911.26万元，</w:t>
      </w:r>
      <w:r>
        <w:rPr>
          <w:rFonts w:hint="eastAsia" w:ascii="黑体" w:hAnsi="黑体" w:eastAsia="黑体" w:cs="黑体"/>
          <w:color w:val="000000"/>
          <w:sz w:val="32"/>
          <w:szCs w:val="32"/>
        </w:rPr>
        <w:t>与20</w:t>
      </w:r>
      <w:r>
        <w:rPr>
          <w:rFonts w:hint="eastAsia" w:ascii="黑体" w:hAnsi="黑体" w:eastAsia="黑体" w:cs="黑体"/>
          <w:color w:val="000000"/>
          <w:sz w:val="32"/>
          <w:szCs w:val="32"/>
          <w:lang w:val="en-US" w:eastAsia="zh-CN"/>
        </w:rPr>
        <w:t>20</w:t>
      </w:r>
      <w:r>
        <w:rPr>
          <w:rFonts w:hint="eastAsia" w:ascii="黑体" w:hAnsi="黑体" w:eastAsia="黑体" w:cs="黑体"/>
          <w:color w:val="000000"/>
          <w:sz w:val="32"/>
          <w:szCs w:val="32"/>
        </w:rPr>
        <w:t>年相比</w:t>
      </w:r>
      <w:r>
        <w:rPr>
          <w:rFonts w:hint="eastAsia" w:ascii="黑体" w:hAnsi="黑体" w:eastAsia="黑体" w:cs="黑体"/>
          <w:color w:val="000000"/>
          <w:sz w:val="32"/>
          <w:szCs w:val="32"/>
          <w:lang w:eastAsia="zh-CN"/>
        </w:rPr>
        <w:t>减少</w:t>
      </w:r>
      <w:r>
        <w:rPr>
          <w:rFonts w:hint="eastAsia" w:ascii="黑体" w:hAnsi="黑体" w:eastAsia="黑体" w:cs="黑体"/>
          <w:color w:val="000000"/>
          <w:sz w:val="32"/>
          <w:szCs w:val="32"/>
          <w:lang w:val="en-US" w:eastAsia="zh-CN"/>
        </w:rPr>
        <w:t>221.69</w:t>
      </w:r>
      <w:r>
        <w:rPr>
          <w:rFonts w:hint="eastAsia" w:ascii="黑体" w:hAnsi="黑体" w:eastAsia="黑体" w:cs="黑体"/>
          <w:color w:val="000000"/>
          <w:sz w:val="32"/>
          <w:szCs w:val="32"/>
        </w:rPr>
        <w:t>万元，</w:t>
      </w:r>
      <w:r>
        <w:rPr>
          <w:rFonts w:hint="eastAsia" w:ascii="黑体" w:hAnsi="黑体" w:eastAsia="黑体" w:cs="黑体"/>
          <w:color w:val="000000"/>
          <w:sz w:val="32"/>
          <w:szCs w:val="32"/>
          <w:lang w:eastAsia="zh-CN"/>
        </w:rPr>
        <w:t>减少</w:t>
      </w:r>
      <w:r>
        <w:rPr>
          <w:rFonts w:hint="eastAsia" w:ascii="黑体" w:hAnsi="黑体" w:eastAsia="黑体" w:cs="黑体"/>
          <w:color w:val="000000"/>
          <w:sz w:val="32"/>
          <w:szCs w:val="32"/>
          <w:lang w:val="en-US" w:eastAsia="zh-CN"/>
        </w:rPr>
        <w:t>19.57</w:t>
      </w:r>
      <w:r>
        <w:rPr>
          <w:rFonts w:hint="eastAsia" w:ascii="黑体" w:hAnsi="黑体" w:eastAsia="黑体" w:cs="黑体"/>
          <w:color w:val="000000"/>
          <w:sz w:val="32"/>
          <w:szCs w:val="32"/>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安可替代项目取消</w:t>
      </w:r>
      <w:r>
        <w:rPr>
          <w:rFonts w:hint="eastAsia" w:ascii="方正仿宋_GBK" w:hAnsi="仿宋" w:eastAsia="方正仿宋_GBK"/>
          <w:color w:val="000000"/>
          <w:sz w:val="32"/>
          <w:szCs w:val="32"/>
        </w:rPr>
        <w:t>。</w:t>
      </w:r>
    </w:p>
    <w:p>
      <w:pPr>
        <w:pStyle w:val="5"/>
        <w:jc w:val="center"/>
        <w:rPr>
          <w:rFonts w:hint="eastAsia" w:eastAsia="仿宋_GB2312"/>
          <w:lang w:eastAsia="zh-CN"/>
        </w:rPr>
      </w:pPr>
      <w:r>
        <w:drawing>
          <wp:inline distT="0" distB="0" distL="114300" distR="114300">
            <wp:extent cx="3067050" cy="2395220"/>
            <wp:effectExtent l="0" t="0" r="0" b="508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3067050" cy="23952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29"/>
          <w:rFonts w:ascii="黑体" w:hAnsi="黑体" w:eastAsia="黑体"/>
          <w:b w:val="0"/>
          <w:color w:val="auto"/>
          <w:highlight w:val="none"/>
        </w:rPr>
      </w:pPr>
      <w:bookmarkStart w:id="22" w:name="_Toc15377209"/>
      <w:bookmarkStart w:id="2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24" w:name="_Toc15377210"/>
      <w:r>
        <w:rPr>
          <w:rFonts w:hint="eastAsia" w:ascii="仿宋" w:hAnsi="仿宋" w:eastAsia="仿宋"/>
          <w:b/>
          <w:color w:val="auto"/>
          <w:sz w:val="32"/>
          <w:szCs w:val="32"/>
          <w:highlight w:val="none"/>
        </w:rPr>
        <w:t>（一）一般公共预算财政拨款支出决算总体情况</w:t>
      </w:r>
      <w:bookmarkEnd w:id="2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911.26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221.69</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19.57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安可替代项目取消。</w:t>
      </w:r>
    </w:p>
    <w:p>
      <w:pPr>
        <w:pStyle w:val="5"/>
        <w:jc w:val="center"/>
        <w:rPr>
          <w:rFonts w:hint="eastAsia"/>
          <w:lang w:eastAsia="zh-CN"/>
        </w:rPr>
      </w:pPr>
      <w:r>
        <w:drawing>
          <wp:inline distT="0" distB="0" distL="114300" distR="114300">
            <wp:extent cx="3050540" cy="2381885"/>
            <wp:effectExtent l="0" t="0" r="16510" b="184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3050540" cy="2381885"/>
                    </a:xfrm>
                    <a:prstGeom prst="rect">
                      <a:avLst/>
                    </a:prstGeom>
                    <a:noFill/>
                    <a:ln>
                      <a:noFill/>
                    </a:ln>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3" w:firstLineChars="200"/>
        <w:outlineLvl w:val="2"/>
        <w:rPr>
          <w:rFonts w:ascii="仿宋" w:hAnsi="仿宋" w:eastAsia="仿宋"/>
          <w:b/>
          <w:color w:val="auto"/>
          <w:sz w:val="32"/>
          <w:szCs w:val="32"/>
          <w:highlight w:val="none"/>
        </w:rPr>
      </w:pPr>
      <w:bookmarkStart w:id="25" w:name="_Toc15377211"/>
      <w:r>
        <w:rPr>
          <w:rFonts w:hint="eastAsia" w:ascii="仿宋" w:hAnsi="仿宋" w:eastAsia="仿宋"/>
          <w:b/>
          <w:color w:val="auto"/>
          <w:sz w:val="32"/>
          <w:szCs w:val="32"/>
          <w:highlight w:val="none"/>
        </w:rPr>
        <w:t>（二）一般公共预算财政拨款支出决算结构情况</w:t>
      </w:r>
      <w:bookmarkEnd w:id="25"/>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911.26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763.06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83.74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74.02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24.95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41.18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eastAsia="zh-CN"/>
        </w:rPr>
        <w:t>农林水（类）</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8.05万元，占0.88%</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drawing>
          <wp:inline distT="0" distB="0" distL="114300" distR="114300">
            <wp:extent cx="3723005" cy="2439035"/>
            <wp:effectExtent l="0" t="0" r="1079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3723005" cy="24390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26" w:name="_Toc15377212"/>
      <w:r>
        <w:rPr>
          <w:rFonts w:hint="eastAsia" w:ascii="仿宋" w:hAnsi="仿宋" w:eastAsia="仿宋"/>
          <w:b/>
          <w:color w:val="auto"/>
          <w:sz w:val="32"/>
          <w:szCs w:val="32"/>
          <w:highlight w:val="none"/>
        </w:rPr>
        <w:t>（三）一般公共预算财政拨款支出决算具体情况</w:t>
      </w:r>
      <w:bookmarkEnd w:id="26"/>
    </w:p>
    <w:p>
      <w:pPr>
        <w:spacing w:line="600" w:lineRule="exact"/>
        <w:ind w:firstLine="643" w:firstLineChars="200"/>
        <w:outlineLvl w:val="2"/>
        <w:rPr>
          <w:rFonts w:ascii="仿宋" w:hAnsi="仿宋" w:eastAsia="仿宋"/>
          <w:color w:val="auto"/>
          <w:sz w:val="32"/>
          <w:szCs w:val="32"/>
          <w:highlight w:val="none"/>
        </w:rPr>
      </w:pPr>
      <w:bookmarkStart w:id="27" w:name="_Toc15377213"/>
      <w:bookmarkStart w:id="28" w:name="_Toc15378460"/>
      <w:bookmarkStart w:id="29"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911.26</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27"/>
      <w:bookmarkEnd w:id="28"/>
      <w:bookmarkEnd w:id="29"/>
    </w:p>
    <w:p>
      <w:pPr>
        <w:numPr>
          <w:ilvl w:val="0"/>
          <w:numId w:val="3"/>
        </w:num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000000"/>
          <w:sz w:val="32"/>
          <w:szCs w:val="32"/>
        </w:rPr>
        <w:t>一般公共服务（类）政府办公厅（室）及相关机构事务（款）行政运行（项）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432.06</w:t>
      </w:r>
      <w:r>
        <w:rPr>
          <w:rStyle w:val="18"/>
          <w:rFonts w:hint="eastAsia" w:ascii="仿宋" w:hAnsi="仿宋" w:eastAsia="仿宋"/>
          <w:b w:val="0"/>
          <w:bCs/>
          <w:color w:val="auto"/>
          <w:sz w:val="32"/>
          <w:szCs w:val="32"/>
          <w:highlight w:val="none"/>
        </w:rPr>
        <w:t>万元。</w:t>
      </w:r>
    </w:p>
    <w:p>
      <w:pPr>
        <w:pStyle w:val="15"/>
        <w:numPr>
          <w:ilvl w:val="0"/>
          <w:numId w:val="3"/>
        </w:numPr>
      </w:pPr>
      <w:r>
        <w:rPr>
          <w:rStyle w:val="18"/>
          <w:rFonts w:hint="eastAsia" w:ascii="仿宋" w:hAnsi="仿宋" w:eastAsia="仿宋"/>
          <w:bCs/>
          <w:color w:val="000000"/>
          <w:sz w:val="32"/>
          <w:szCs w:val="32"/>
        </w:rPr>
        <w:t>一般公共服务（类）政府办公厅（室）及相关机构事务（款）一般行政管理事务（项）</w:t>
      </w:r>
      <w:r>
        <w:rPr>
          <w:rStyle w:val="18"/>
          <w:rFonts w:hint="eastAsia" w:ascii="仿宋" w:hAnsi="仿宋" w:eastAsia="仿宋"/>
          <w:bCs/>
          <w:color w:val="000000"/>
          <w:sz w:val="32"/>
          <w:szCs w:val="32"/>
          <w:lang w:val="en-US"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192.08</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lang w:eastAsia="zh-CN"/>
        </w:rPr>
        <w:t>。</w:t>
      </w:r>
    </w:p>
    <w:p>
      <w:pPr>
        <w:pStyle w:val="15"/>
        <w:numPr>
          <w:ilvl w:val="0"/>
          <w:numId w:val="3"/>
        </w:numPr>
      </w:pPr>
      <w:r>
        <w:rPr>
          <w:rStyle w:val="18"/>
          <w:rFonts w:hint="eastAsia" w:ascii="仿宋" w:hAnsi="仿宋" w:eastAsia="仿宋"/>
          <w:bCs/>
          <w:color w:val="000000"/>
          <w:sz w:val="32"/>
          <w:szCs w:val="32"/>
        </w:rPr>
        <w:t>一般公共服务（类）政府办公厅（室）及相关机构事务（款）事业运行（项）</w:t>
      </w:r>
      <w:r>
        <w:rPr>
          <w:rStyle w:val="18"/>
          <w:rFonts w:hint="eastAsia" w:ascii="仿宋" w:hAnsi="仿宋" w:eastAsia="仿宋"/>
          <w:bCs/>
          <w:color w:val="000000"/>
          <w:sz w:val="32"/>
          <w:szCs w:val="32"/>
          <w:lang w:val="en-US" w:eastAsia="zh-CN"/>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138.92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cstheme="minorBidi"/>
          <w:b w:val="0"/>
          <w:bCs/>
          <w:color w:val="auto"/>
          <w:sz w:val="32"/>
          <w:szCs w:val="32"/>
          <w:highlight w:val="none"/>
          <w:lang w:eastAsia="zh-CN"/>
        </w:rPr>
        <w:t>。</w:t>
      </w:r>
    </w:p>
    <w:p/>
    <w:p>
      <w:pPr>
        <w:numPr>
          <w:ilvl w:val="0"/>
          <w:numId w:val="0"/>
        </w:numPr>
        <w:spacing w:line="600" w:lineRule="exact"/>
        <w:ind w:left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4.</w:t>
      </w:r>
      <w:r>
        <w:rPr>
          <w:rStyle w:val="18"/>
          <w:rFonts w:hint="eastAsia" w:ascii="仿宋" w:hAnsi="仿宋" w:eastAsia="仿宋"/>
          <w:bCs/>
          <w:color w:val="auto"/>
          <w:sz w:val="32"/>
          <w:szCs w:val="32"/>
          <w:highlight w:val="none"/>
        </w:rPr>
        <w:t>社会保障和就业（类）行政事业单位养老支出（款）机关事业单位基本养老保险缴费支出（项）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55.35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numPr>
          <w:ilvl w:val="0"/>
          <w:numId w:val="0"/>
        </w:numPr>
        <w:spacing w:line="600" w:lineRule="exact"/>
        <w:ind w:left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5.</w:t>
      </w:r>
      <w:r>
        <w:rPr>
          <w:rStyle w:val="18"/>
          <w:rFonts w:hint="eastAsia" w:ascii="仿宋" w:hAnsi="仿宋" w:eastAsia="仿宋"/>
          <w:bCs/>
          <w:color w:val="auto"/>
          <w:sz w:val="32"/>
          <w:szCs w:val="32"/>
          <w:highlight w:val="none"/>
        </w:rPr>
        <w:t>社会保障和就业（类）行政事业单位养老支出（款）机关事业单位职业年金缴费支出（项）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16.82</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numPr>
          <w:ilvl w:val="0"/>
          <w:numId w:val="0"/>
        </w:numPr>
        <w:spacing w:line="600" w:lineRule="exact"/>
        <w:ind w:leftChars="200"/>
      </w:pPr>
      <w:r>
        <w:rPr>
          <w:rStyle w:val="18"/>
          <w:rFonts w:hint="eastAsia" w:ascii="仿宋" w:hAnsi="仿宋" w:eastAsia="仿宋"/>
          <w:bCs/>
          <w:color w:val="auto"/>
          <w:sz w:val="32"/>
          <w:szCs w:val="32"/>
          <w:highlight w:val="none"/>
          <w:lang w:val="en-US" w:eastAsia="zh-CN"/>
        </w:rPr>
        <w:t>6.</w:t>
      </w:r>
      <w:r>
        <w:rPr>
          <w:rStyle w:val="18"/>
          <w:rFonts w:hint="eastAsia" w:ascii="仿宋" w:hAnsi="仿宋" w:eastAsia="仿宋"/>
          <w:bCs/>
          <w:color w:val="auto"/>
          <w:sz w:val="32"/>
          <w:szCs w:val="32"/>
          <w:highlight w:val="none"/>
        </w:rPr>
        <w:t>社会保障和就业（类）其他社会保障和就业支出（款）其他社会保障和就业支出（项）</w:t>
      </w:r>
      <w:r>
        <w:rPr>
          <w:rStyle w:val="18"/>
          <w:rFonts w:ascii="仿宋" w:hAnsi="仿宋" w:eastAsia="仿宋"/>
          <w:bCs/>
          <w:color w:val="auto"/>
          <w:sz w:val="32"/>
          <w:szCs w:val="32"/>
          <w:highlight w:val="none"/>
        </w:rPr>
        <w:t>:</w:t>
      </w:r>
      <w:r>
        <w:rPr>
          <w:rStyle w:val="18"/>
          <w:rFonts w:ascii="仿宋" w:hAnsi="仿宋" w:eastAsia="仿宋"/>
          <w:b w:val="0"/>
          <w:bCs/>
          <w:color w:val="auto"/>
          <w:sz w:val="32"/>
          <w:szCs w:val="32"/>
          <w:highlight w:val="none"/>
        </w:rPr>
        <w:t xml:space="preserve"> </w:t>
      </w:r>
      <w:r>
        <w:rPr>
          <w:rStyle w:val="18"/>
          <w:rFonts w:hint="eastAsia" w:ascii="仿宋" w:hAnsi="仿宋" w:eastAsia="仿宋"/>
          <w:b w:val="0"/>
          <w:bCs/>
          <w:color w:val="auto"/>
          <w:sz w:val="32"/>
          <w:szCs w:val="32"/>
          <w:highlight w:val="none"/>
        </w:rPr>
        <w:t>支出决算为1</w:t>
      </w:r>
      <w:r>
        <w:rPr>
          <w:rStyle w:val="18"/>
          <w:rFonts w:hint="eastAsia" w:ascii="仿宋" w:hAnsi="仿宋" w:eastAsia="仿宋"/>
          <w:b w:val="0"/>
          <w:bCs/>
          <w:color w:val="auto"/>
          <w:sz w:val="32"/>
          <w:szCs w:val="32"/>
          <w:highlight w:val="none"/>
          <w:lang w:val="en-US" w:eastAsia="zh-CN"/>
        </w:rPr>
        <w:t>.</w:t>
      </w:r>
      <w:r>
        <w:rPr>
          <w:rStyle w:val="18"/>
          <w:rFonts w:hint="eastAsia" w:ascii="仿宋" w:hAnsi="仿宋" w:eastAsia="仿宋"/>
          <w:b w:val="0"/>
          <w:bCs/>
          <w:color w:val="auto"/>
          <w:sz w:val="32"/>
          <w:szCs w:val="32"/>
          <w:highlight w:val="none"/>
        </w:rPr>
        <w:t>85万元，完成预算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7</w:t>
      </w:r>
      <w:r>
        <w:rPr>
          <w:rFonts w:hint="eastAsia" w:ascii="仿宋_GB2312" w:hAnsi="宋体" w:eastAsia="仿宋_GB2312" w:cs="Times New Roman"/>
          <w:color w:val="auto"/>
          <w:sz w:val="32"/>
          <w:szCs w:val="32"/>
          <w:highlight w:val="none"/>
          <w:lang w:val="zh-CN"/>
        </w:rPr>
        <w:t>．</w:t>
      </w:r>
      <w:r>
        <w:rPr>
          <w:rFonts w:hint="eastAsia" w:ascii="仿宋" w:hAnsi="仿宋" w:eastAsia="仿宋"/>
          <w:b/>
          <w:bCs/>
          <w:color w:val="auto"/>
          <w:sz w:val="32"/>
          <w:szCs w:val="32"/>
          <w:highlight w:val="none"/>
        </w:rPr>
        <w:t>卫生健康</w:t>
      </w:r>
      <w:r>
        <w:rPr>
          <w:rStyle w:val="18"/>
          <w:rFonts w:hint="eastAsia" w:ascii="仿宋" w:hAnsi="仿宋" w:eastAsia="仿宋"/>
          <w:bCs/>
          <w:color w:val="auto"/>
          <w:sz w:val="32"/>
          <w:szCs w:val="32"/>
          <w:highlight w:val="none"/>
        </w:rPr>
        <w:t>（类）行政事业单位医疗（款）行政单位医疗（项）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24.95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Style w:val="18"/>
          <w:rFonts w:hint="eastAsia" w:ascii="仿宋" w:hAnsi="仿宋" w:eastAsia="仿宋"/>
          <w:b w:val="0"/>
          <w:bCs/>
          <w:color w:val="auto"/>
          <w:sz w:val="32"/>
          <w:szCs w:val="32"/>
          <w:highlight w:val="none"/>
        </w:rPr>
      </w:pPr>
      <w:r>
        <w:rPr>
          <w:rStyle w:val="18"/>
          <w:rFonts w:hint="eastAsia" w:ascii="仿宋" w:hAnsi="仿宋" w:eastAsia="仿宋"/>
          <w:bCs/>
          <w:color w:val="auto"/>
          <w:sz w:val="32"/>
          <w:szCs w:val="32"/>
          <w:highlight w:val="none"/>
          <w:lang w:val="en-US" w:eastAsia="zh-CN"/>
        </w:rPr>
        <w:t>8</w:t>
      </w:r>
      <w:r>
        <w:rPr>
          <w:rFonts w:hint="eastAsia" w:ascii="仿宋_GB2312" w:hAnsi="宋体" w:eastAsia="仿宋_GB2312" w:cs="Times New Roman"/>
          <w:color w:val="auto"/>
          <w:sz w:val="32"/>
          <w:szCs w:val="32"/>
          <w:highlight w:val="none"/>
          <w:lang w:val="zh-CN"/>
        </w:rPr>
        <w:t>．</w:t>
      </w:r>
      <w:r>
        <w:rPr>
          <w:rFonts w:hint="eastAsia" w:ascii="仿宋" w:hAnsi="仿宋" w:eastAsia="仿宋"/>
          <w:b/>
          <w:bCs/>
          <w:color w:val="auto"/>
          <w:sz w:val="32"/>
          <w:szCs w:val="32"/>
          <w:highlight w:val="none"/>
        </w:rPr>
        <w:t>农林水支出</w:t>
      </w:r>
      <w:r>
        <w:rPr>
          <w:rStyle w:val="18"/>
          <w:rFonts w:hint="eastAsia" w:ascii="仿宋" w:hAnsi="仿宋" w:eastAsia="仿宋"/>
          <w:bCs/>
          <w:color w:val="auto"/>
          <w:sz w:val="32"/>
          <w:szCs w:val="32"/>
          <w:highlight w:val="none"/>
        </w:rPr>
        <w:t>（类）扶贫（款）其他扶贫支出（项）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8.05</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hint="eastAsia"/>
        </w:rPr>
      </w:pPr>
      <w:r>
        <w:rPr>
          <w:rStyle w:val="18"/>
          <w:rFonts w:hint="eastAsia" w:ascii="仿宋" w:hAnsi="仿宋" w:eastAsia="仿宋"/>
          <w:bCs/>
          <w:color w:val="auto"/>
          <w:sz w:val="32"/>
          <w:szCs w:val="32"/>
          <w:highlight w:val="none"/>
          <w:lang w:val="en-US" w:eastAsia="zh-CN"/>
        </w:rPr>
        <w:t>9</w:t>
      </w:r>
      <w:r>
        <w:rPr>
          <w:rFonts w:hint="eastAsia" w:ascii="仿宋_GB2312" w:hAnsi="宋体" w:eastAsia="仿宋_GB2312" w:cs="Times New Roman"/>
          <w:color w:val="auto"/>
          <w:sz w:val="32"/>
          <w:szCs w:val="32"/>
          <w:highlight w:val="none"/>
          <w:lang w:val="zh-CN"/>
        </w:rPr>
        <w:t>．住房保障支出</w:t>
      </w:r>
      <w:r>
        <w:rPr>
          <w:rStyle w:val="18"/>
          <w:rFonts w:hint="eastAsia" w:ascii="仿宋" w:hAnsi="仿宋" w:eastAsia="仿宋"/>
          <w:bCs/>
          <w:color w:val="auto"/>
          <w:sz w:val="32"/>
          <w:szCs w:val="32"/>
          <w:highlight w:val="none"/>
        </w:rPr>
        <w:t>（类）住房改革支出（款</w:t>
      </w:r>
      <w:r>
        <w:rPr>
          <w:rStyle w:val="18"/>
          <w:rFonts w:hint="eastAsia" w:ascii="仿宋" w:hAnsi="仿宋" w:eastAsia="仿宋"/>
          <w:bCs/>
          <w:color w:val="auto"/>
          <w:sz w:val="32"/>
          <w:szCs w:val="32"/>
          <w:highlight w:val="none"/>
          <w:lang w:val="en-US" w:eastAsia="zh-CN"/>
        </w:rPr>
        <w:t>)</w:t>
      </w:r>
      <w:r>
        <w:rPr>
          <w:rStyle w:val="18"/>
          <w:rFonts w:hint="eastAsia" w:ascii="仿宋" w:hAnsi="仿宋" w:eastAsia="仿宋"/>
          <w:bCs/>
          <w:color w:val="auto"/>
          <w:sz w:val="32"/>
          <w:szCs w:val="32"/>
          <w:highlight w:val="none"/>
        </w:rPr>
        <w:t>住房公积金（项）</w:t>
      </w:r>
      <w:r>
        <w:rPr>
          <w:rStyle w:val="18"/>
          <w:rFonts w:ascii="仿宋" w:hAnsi="仿宋" w:eastAsia="仿宋"/>
          <w:bCs/>
          <w:color w:val="auto"/>
          <w:sz w:val="32"/>
          <w:szCs w:val="32"/>
          <w:highlight w:val="none"/>
        </w:rPr>
        <w:t>:</w:t>
      </w:r>
      <w:r>
        <w:rPr>
          <w:rStyle w:val="18"/>
          <w:rFonts w:hint="eastAsia" w:ascii="仿宋" w:hAnsi="仿宋" w:eastAsia="仿宋"/>
          <w:b w:val="0"/>
          <w:bCs/>
          <w:color w:val="auto"/>
          <w:sz w:val="32"/>
          <w:szCs w:val="32"/>
          <w:highlight w:val="none"/>
        </w:rPr>
        <w:t>支出决算为</w:t>
      </w:r>
      <w:r>
        <w:rPr>
          <w:rStyle w:val="18"/>
          <w:rFonts w:hint="eastAsia" w:ascii="仿宋" w:hAnsi="仿宋" w:eastAsia="仿宋"/>
          <w:b w:val="0"/>
          <w:bCs/>
          <w:color w:val="auto"/>
          <w:sz w:val="32"/>
          <w:szCs w:val="32"/>
          <w:highlight w:val="none"/>
          <w:lang w:val="en-US" w:eastAsia="zh-CN"/>
        </w:rPr>
        <w:t>41.18</w:t>
      </w:r>
      <w:r>
        <w:rPr>
          <w:rStyle w:val="18"/>
          <w:rFonts w:hint="eastAsia" w:ascii="仿宋" w:hAnsi="仿宋" w:eastAsia="仿宋"/>
          <w:b w:val="0"/>
          <w:bCs/>
          <w:color w:val="auto"/>
          <w:sz w:val="32"/>
          <w:szCs w:val="32"/>
          <w:highlight w:val="none"/>
        </w:rPr>
        <w:t>万元，完成预算</w:t>
      </w:r>
      <w:r>
        <w:rPr>
          <w:rStyle w:val="18"/>
          <w:rFonts w:hint="eastAsia" w:ascii="仿宋" w:hAnsi="仿宋" w:eastAsia="仿宋"/>
          <w:b w:val="0"/>
          <w:bCs/>
          <w:color w:val="auto"/>
          <w:sz w:val="32"/>
          <w:szCs w:val="32"/>
          <w:highlight w:val="none"/>
          <w:lang w:val="en-US" w:eastAsia="zh-CN"/>
        </w:rPr>
        <w:t>100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FF0000"/>
          <w:sz w:val="32"/>
          <w:szCs w:val="32"/>
          <w:highlight w:val="none"/>
        </w:rPr>
        <w:t>。</w:t>
      </w:r>
      <w:r>
        <w:rPr>
          <w:rFonts w:hint="eastAsia" w:ascii="仿宋" w:hAnsi="仿宋" w:eastAsia="仿宋"/>
          <w:b/>
          <w:color w:val="auto"/>
          <w:sz w:val="32"/>
          <w:szCs w:val="32"/>
          <w:highlight w:val="none"/>
        </w:rPr>
        <w:t>）</w:t>
      </w:r>
    </w:p>
    <w:p>
      <w:pPr>
        <w:tabs>
          <w:tab w:val="right" w:pos="8306"/>
        </w:tabs>
        <w:spacing w:line="600" w:lineRule="exact"/>
        <w:ind w:firstLine="640"/>
        <w:outlineLvl w:val="1"/>
        <w:rPr>
          <w:rStyle w:val="29"/>
          <w:color w:val="auto"/>
          <w:highlight w:val="none"/>
        </w:rPr>
      </w:pPr>
      <w:bookmarkStart w:id="30" w:name="_Toc15396608"/>
      <w:bookmarkStart w:id="31"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30"/>
      <w:bookmarkEnd w:id="31"/>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711.13</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634.87</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抚恤金、生活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76.26</w:t>
      </w:r>
      <w:r>
        <w:rPr>
          <w:rFonts w:hint="eastAsia" w:ascii="仿宋" w:hAnsi="仿宋" w:eastAsia="仿宋"/>
          <w:color w:val="auto"/>
          <w:sz w:val="32"/>
          <w:szCs w:val="32"/>
          <w:highlight w:val="none"/>
        </w:rPr>
        <w:t>万元，主要包括：办公费、印刷费、咨询费、手续费、水费、电费、邮电费、物业管理费、差旅费、维修（护）费、租赁费、会议费、培训费、公务接待费、劳务费、委托业务费、工会经费、公务用车运行维护费、其他交通费、办公设备购置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p>
    <w:p>
      <w:pPr>
        <w:spacing w:line="600" w:lineRule="exact"/>
        <w:ind w:firstLine="640"/>
        <w:outlineLvl w:val="1"/>
        <w:rPr>
          <w:rStyle w:val="29"/>
          <w:rFonts w:ascii="黑体" w:hAnsi="黑体" w:eastAsia="黑体"/>
          <w:b w:val="0"/>
          <w:color w:val="auto"/>
          <w:highlight w:val="none"/>
        </w:rPr>
      </w:pPr>
      <w:bookmarkStart w:id="32" w:name="_Toc15377215"/>
      <w:bookmarkStart w:id="33" w:name="_Toc15396609"/>
      <w:r>
        <w:rPr>
          <w:rFonts w:hint="eastAsia" w:ascii="黑体" w:eastAsia="黑体"/>
          <w:color w:val="auto"/>
          <w:sz w:val="32"/>
          <w:szCs w:val="32"/>
          <w:highlight w:val="none"/>
        </w:rPr>
        <w:t>七、</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三公”经费财政拨款支出决算情况说明</w:t>
      </w:r>
      <w:bookmarkEnd w:id="32"/>
      <w:bookmarkEnd w:id="33"/>
    </w:p>
    <w:p>
      <w:pPr>
        <w:spacing w:line="600" w:lineRule="exact"/>
        <w:ind w:firstLine="640"/>
        <w:outlineLvl w:val="2"/>
        <w:rPr>
          <w:rFonts w:ascii="仿宋" w:hAnsi="仿宋" w:eastAsia="仿宋"/>
          <w:b/>
          <w:color w:val="auto"/>
          <w:sz w:val="32"/>
          <w:szCs w:val="32"/>
          <w:highlight w:val="none"/>
        </w:rPr>
      </w:pPr>
      <w:bookmarkStart w:id="34" w:name="_Toc15377216"/>
      <w:r>
        <w:rPr>
          <w:rFonts w:hint="eastAsia" w:ascii="仿宋" w:hAnsi="仿宋" w:eastAsia="仿宋"/>
          <w:b/>
          <w:color w:val="auto"/>
          <w:sz w:val="32"/>
          <w:szCs w:val="32"/>
          <w:highlight w:val="none"/>
        </w:rPr>
        <w:t>（一）“三公”经费财政拨款支出决算总体情况说明</w:t>
      </w:r>
      <w:bookmarkEnd w:id="34"/>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14.98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63.31</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，决算数小于预算数的主要原因是严格控制开支，按照预算执行。</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5" w:name="_Toc15377217"/>
      <w:r>
        <w:rPr>
          <w:rFonts w:hint="eastAsia" w:ascii="仿宋" w:hAnsi="仿宋" w:eastAsia="仿宋"/>
          <w:b/>
          <w:color w:val="auto"/>
          <w:sz w:val="32"/>
          <w:szCs w:val="32"/>
          <w:highlight w:val="none"/>
        </w:rPr>
        <w:t>（二）“三公”经费财政拨款支出决算具体情况说明</w:t>
      </w:r>
      <w:bookmarkEnd w:id="3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年“三公”经费财政拨款支出决算中，公务用车购置及运行维护费支出决算</w:t>
      </w:r>
      <w:r>
        <w:rPr>
          <w:rFonts w:hint="eastAsia" w:ascii="仿宋" w:hAnsi="仿宋" w:eastAsia="仿宋"/>
          <w:color w:val="auto"/>
          <w:sz w:val="32"/>
          <w:szCs w:val="32"/>
          <w:highlight w:val="none"/>
          <w:lang w:val="en-US" w:eastAsia="zh-CN"/>
        </w:rPr>
        <w:t>4.93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32.91</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67.09</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pPr>
      <w:r>
        <w:drawing>
          <wp:inline distT="0" distB="0" distL="114300" distR="114300">
            <wp:extent cx="3171825" cy="2762250"/>
            <wp:effectExtent l="0" t="0" r="9525"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2"/>
                    <a:stretch>
                      <a:fillRect/>
                    </a:stretch>
                  </pic:blipFill>
                  <pic:spPr>
                    <a:xfrm>
                      <a:off x="0" y="0"/>
                      <a:ext cx="3171825" cy="2762250"/>
                    </a:xfrm>
                    <a:prstGeom prst="rect">
                      <a:avLst/>
                    </a:prstGeom>
                    <a:noFill/>
                    <a:ln>
                      <a:noFill/>
                    </a:ln>
                  </pic:spPr>
                </pic:pic>
              </a:graphicData>
            </a:graphic>
          </wp:inline>
        </w:drawing>
      </w:r>
    </w:p>
    <w:p>
      <w:pPr>
        <w:spacing w:line="600" w:lineRule="exact"/>
        <w:ind w:firstLine="640"/>
        <w:rPr>
          <w:rFonts w:hint="eastAsia" w:ascii="仿宋_GB2312" w:eastAsia="仿宋_GB2312"/>
          <w:color w:val="auto"/>
          <w:sz w:val="32"/>
          <w:szCs w:val="32"/>
          <w:highlight w:val="none"/>
        </w:rPr>
      </w:pPr>
      <w:r>
        <w:rPr>
          <w:rFonts w:hint="eastAsia" w:ascii="仿宋" w:hAnsi="仿宋" w:eastAsia="仿宋"/>
          <w:color w:val="auto"/>
          <w:sz w:val="32"/>
          <w:szCs w:val="32"/>
          <w:highlight w:val="none"/>
        </w:rPr>
        <w:t>（图7：“三公”经费财政拨款支出结构）</w:t>
      </w:r>
      <w:r>
        <w:rPr>
          <w:rFonts w:hint="eastAsia" w:ascii="仿宋_GB2312" w:eastAsia="仿宋_GB2312"/>
          <w:b/>
          <w:color w:val="auto"/>
          <w:sz w:val="32"/>
          <w:szCs w:val="32"/>
          <w:highlight w:val="none"/>
          <w:lang w:val="en-US" w:eastAsia="zh-CN"/>
        </w:rPr>
        <w:t>1</w:t>
      </w:r>
      <w:r>
        <w:rPr>
          <w:rFonts w:hint="eastAsia" w:ascii="仿宋_GB2312" w:hAnsi="宋体" w:eastAsia="仿宋_GB2312" w:cs="Times New Roman"/>
          <w:color w:val="auto"/>
          <w:sz w:val="32"/>
          <w:szCs w:val="32"/>
          <w:highlight w:val="none"/>
          <w:lang w:val="zh-CN"/>
        </w:rPr>
        <w:t>．</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4.93</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98.60</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0.12</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2.38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。主要原因是严格控制成本，节约开支。</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4.93</w:t>
      </w:r>
      <w:r>
        <w:rPr>
          <w:rFonts w:hint="eastAsia" w:ascii="仿宋_GB2312" w:eastAsia="仿宋_GB2312"/>
          <w:color w:val="auto"/>
          <w:sz w:val="32"/>
          <w:szCs w:val="32"/>
          <w:highlight w:val="none"/>
        </w:rPr>
        <w:t>万元。主要用于</w:t>
      </w:r>
      <w:r>
        <w:rPr>
          <w:rFonts w:hint="eastAsia" w:ascii="方正仿宋_GBK" w:eastAsia="方正仿宋_GBK"/>
          <w:color w:val="000000"/>
          <w:sz w:val="32"/>
          <w:szCs w:val="32"/>
        </w:rPr>
        <w:t>下乡开展工作</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hAnsi="宋体" w:eastAsia="仿宋_GB2312" w:cs="Times New Roman"/>
          <w:color w:val="auto"/>
          <w:sz w:val="32"/>
          <w:szCs w:val="32"/>
          <w:highlight w:val="none"/>
          <w:lang w:val="zh-CN"/>
        </w:rPr>
        <w:t>．</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10.05</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56.27</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8.50</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43.40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。主要原因是主要用于考察项目或会议用餐所发生的等公务接待工作用餐。其中：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10.05</w:t>
      </w:r>
      <w:r>
        <w:rPr>
          <w:rFonts w:hint="eastAsia" w:ascii="仿宋_GB2312" w:eastAsia="仿宋_GB2312"/>
          <w:color w:val="auto"/>
          <w:sz w:val="32"/>
          <w:szCs w:val="32"/>
          <w:highlight w:val="none"/>
        </w:rPr>
        <w:t>万元，主要用于</w:t>
      </w:r>
      <w:r>
        <w:rPr>
          <w:rFonts w:hint="eastAsia" w:ascii="方正仿宋_GBK" w:eastAsia="方正仿宋_GBK"/>
          <w:color w:val="000000"/>
          <w:sz w:val="32"/>
          <w:szCs w:val="32"/>
        </w:rPr>
        <w:t>对接工作用餐</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102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662</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10.05</w:t>
      </w:r>
      <w:r>
        <w:rPr>
          <w:rFonts w:hint="eastAsia" w:ascii="仿宋_GB2312" w:eastAsia="仿宋_GB2312"/>
          <w:color w:val="auto"/>
          <w:sz w:val="32"/>
          <w:szCs w:val="32"/>
          <w:highlight w:val="none"/>
        </w:rPr>
        <w:t>万元，具体内容包括：</w:t>
      </w:r>
      <w:r>
        <w:rPr>
          <w:rFonts w:hint="eastAsia" w:ascii="方正仿宋_GBK" w:eastAsia="方正仿宋_GBK"/>
          <w:color w:val="000000"/>
          <w:sz w:val="32"/>
          <w:szCs w:val="32"/>
        </w:rPr>
        <w:t>东西协作项目考察接待工作用餐</w:t>
      </w:r>
      <w:r>
        <w:rPr>
          <w:rFonts w:hint="eastAsia" w:ascii="方正仿宋_GBK" w:eastAsia="方正仿宋_GBK"/>
          <w:color w:val="000000"/>
          <w:sz w:val="32"/>
          <w:szCs w:val="32"/>
          <w:lang w:val="en-US" w:eastAsia="zh-CN"/>
        </w:rPr>
        <w:t>3.41</w:t>
      </w:r>
      <w:r>
        <w:rPr>
          <w:rFonts w:hint="eastAsia" w:ascii="方正仿宋_GBK" w:eastAsia="方正仿宋_GBK"/>
          <w:color w:val="000000"/>
          <w:sz w:val="32"/>
          <w:szCs w:val="32"/>
        </w:rPr>
        <w:t>万元，各优质企业来朝考察项目商务接待费用</w:t>
      </w:r>
      <w:r>
        <w:rPr>
          <w:rFonts w:hint="eastAsia" w:ascii="方正仿宋_GBK" w:eastAsia="方正仿宋_GBK"/>
          <w:color w:val="000000"/>
          <w:sz w:val="32"/>
          <w:szCs w:val="32"/>
          <w:lang w:val="en-US" w:eastAsia="zh-CN"/>
        </w:rPr>
        <w:t>6.64</w:t>
      </w:r>
      <w:r>
        <w:rPr>
          <w:rFonts w:hint="eastAsia" w:ascii="方正仿宋_GBK" w:eastAsia="方正仿宋_GBK"/>
          <w:color w:val="000000"/>
          <w:sz w:val="32"/>
          <w:szCs w:val="32"/>
        </w:rPr>
        <w:t>万元等</w:t>
      </w:r>
      <w:r>
        <w:rPr>
          <w:rFonts w:hint="eastAsia" w:ascii="仿宋_GB2312" w:eastAsia="仿宋_GB2312"/>
          <w:color w:val="auto"/>
          <w:sz w:val="32"/>
          <w:szCs w:val="32"/>
          <w:highlight w:val="none"/>
        </w:rPr>
        <w:t>。</w:t>
      </w:r>
    </w:p>
    <w:p>
      <w:pPr>
        <w:spacing w:line="600" w:lineRule="exact"/>
        <w:ind w:firstLine="640"/>
        <w:outlineLvl w:val="1"/>
        <w:rPr>
          <w:rStyle w:val="29"/>
          <w:rFonts w:ascii="黑体" w:hAnsi="黑体" w:eastAsia="黑体"/>
          <w:color w:val="auto"/>
          <w:highlight w:val="none"/>
        </w:rPr>
      </w:pPr>
      <w:bookmarkStart w:id="36" w:name="_Toc15377218"/>
      <w:bookmarkStart w:id="37" w:name="_Toc15396610"/>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36"/>
      <w:bookmarkEnd w:id="3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9"/>
          <w:rFonts w:ascii="黑体" w:hAnsi="黑体" w:eastAsia="黑体"/>
          <w:b w:val="0"/>
          <w:color w:val="auto"/>
          <w:highlight w:val="none"/>
        </w:rPr>
      </w:pPr>
      <w:bookmarkStart w:id="38" w:name="_Toc15377219"/>
      <w:bookmarkStart w:id="39" w:name="_Toc15396611"/>
      <w:r>
        <w:rPr>
          <w:rStyle w:val="29"/>
          <w:rFonts w:hint="eastAsia" w:ascii="黑体" w:hAnsi="黑体" w:eastAsia="黑体"/>
          <w:b w:val="0"/>
          <w:color w:val="auto"/>
          <w:highlight w:val="none"/>
        </w:rPr>
        <w:t>国有资本经营预算支出决算情况说明</w:t>
      </w:r>
      <w:bookmarkEnd w:id="38"/>
      <w:bookmarkEnd w:id="39"/>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9"/>
          <w:rFonts w:hint="eastAsia" w:ascii="黑体" w:hAnsi="黑体" w:eastAsia="黑体"/>
          <w:b w:val="0"/>
          <w:color w:val="auto"/>
          <w:highlight w:val="none"/>
        </w:rPr>
      </w:pPr>
      <w:bookmarkStart w:id="40" w:name="_Toc15377221"/>
      <w:bookmarkStart w:id="41" w:name="_Toc15396612"/>
      <w:r>
        <w:rPr>
          <w:rStyle w:val="29"/>
          <w:rFonts w:hint="eastAsia" w:ascii="黑体" w:hAnsi="黑体" w:eastAsia="黑体"/>
          <w:b w:val="0"/>
          <w:color w:val="auto"/>
          <w:highlight w:val="none"/>
        </w:rPr>
        <w:t>其他重要事项的情况说明</w:t>
      </w:r>
      <w:bookmarkEnd w:id="40"/>
      <w:bookmarkEnd w:id="41"/>
    </w:p>
    <w:p>
      <w:pPr>
        <w:spacing w:line="600" w:lineRule="exact"/>
        <w:ind w:firstLine="643" w:firstLineChars="200"/>
        <w:outlineLvl w:val="2"/>
        <w:rPr>
          <w:rFonts w:ascii="仿宋" w:hAnsi="仿宋" w:eastAsia="仿宋"/>
          <w:color w:val="auto"/>
          <w:sz w:val="32"/>
          <w:szCs w:val="32"/>
          <w:highlight w:val="none"/>
        </w:rPr>
      </w:pPr>
      <w:bookmarkStart w:id="42" w:name="_Toc15377222"/>
      <w:r>
        <w:rPr>
          <w:rFonts w:hint="eastAsia" w:ascii="仿宋" w:hAnsi="仿宋" w:eastAsia="仿宋"/>
          <w:b/>
          <w:color w:val="auto"/>
          <w:sz w:val="32"/>
          <w:szCs w:val="32"/>
          <w:highlight w:val="none"/>
        </w:rPr>
        <w:t>（一）机关运行经费支出情况</w:t>
      </w:r>
      <w:bookmarkEnd w:id="42"/>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政府办</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76.26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14.82</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24.12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办公设备购置。</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3" w:name="_Toc15377223"/>
      <w:r>
        <w:rPr>
          <w:rFonts w:hint="eastAsia" w:ascii="仿宋" w:hAnsi="仿宋" w:eastAsia="仿宋"/>
          <w:b/>
          <w:color w:val="auto"/>
          <w:sz w:val="32"/>
          <w:szCs w:val="32"/>
          <w:highlight w:val="none"/>
        </w:rPr>
        <w:t>（二）政府采购支出情况</w:t>
      </w:r>
      <w:bookmarkEnd w:id="4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办公室</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7.66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7.66</w:t>
      </w:r>
      <w:r>
        <w:rPr>
          <w:rFonts w:hint="eastAsia" w:ascii="仿宋_GB2312" w:eastAsia="仿宋_GB2312"/>
          <w:color w:val="auto"/>
          <w:sz w:val="32"/>
          <w:szCs w:val="32"/>
          <w:highlight w:val="none"/>
        </w:rPr>
        <w:t>万元。主要用于</w:t>
      </w:r>
      <w:r>
        <w:rPr>
          <w:rFonts w:hint="eastAsia" w:ascii="方正仿宋_GBK" w:eastAsia="方正仿宋_GBK"/>
          <w:color w:val="000000"/>
          <w:sz w:val="32"/>
          <w:szCs w:val="32"/>
        </w:rPr>
        <w:t>购买电脑、打印机、办公家具</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7.66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7.66</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4" w:name="_Toc15377224"/>
      <w:r>
        <w:rPr>
          <w:rFonts w:hint="eastAsia" w:ascii="仿宋" w:hAnsi="仿宋" w:eastAsia="仿宋"/>
          <w:b/>
          <w:color w:val="auto"/>
          <w:sz w:val="32"/>
          <w:szCs w:val="32"/>
          <w:highlight w:val="none"/>
        </w:rPr>
        <w:t>（三）国有资产占有使用情况</w:t>
      </w:r>
      <w:bookmarkEnd w:id="44"/>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办公室</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方正仿宋_GBK" w:eastAsia="方正仿宋_GBK"/>
          <w:color w:val="000000"/>
          <w:sz w:val="32"/>
          <w:szCs w:val="32"/>
        </w:rPr>
        <w:t>用于下乡（镇）开展工作需要</w:t>
      </w:r>
      <w:r>
        <w:rPr>
          <w:rFonts w:hint="eastAsia" w:ascii="方正仿宋_GBK" w:eastAsia="方正仿宋_GBK"/>
          <w:color w:val="000000"/>
          <w:sz w:val="32"/>
          <w:szCs w:val="32"/>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sz w:val="32"/>
          <w:szCs w:val="32"/>
        </w:rPr>
        <w:t>“脱贫攻坚工作经费”“办公室</w:t>
      </w:r>
      <w:r>
        <w:rPr>
          <w:rFonts w:hint="eastAsia" w:ascii="仿宋_GB2312" w:hAnsi="仿宋_GB2312" w:eastAsia="仿宋_GB2312" w:cs="仿宋_GB2312"/>
          <w:sz w:val="32"/>
          <w:szCs w:val="32"/>
          <w:lang w:eastAsia="zh-CN"/>
        </w:rPr>
        <w:t>专项工作</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、“民营经济发展中心工作经费”、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电子政务外网租赁费”、“政务公开工作经费”等9个项目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15"/>
      </w:pPr>
    </w:p>
    <w:p>
      <w:pPr>
        <w:pStyle w:val="5"/>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8"/>
          <w:rFonts w:ascii="黑体" w:hAnsi="黑体" w:eastAsia="黑体"/>
          <w:b w:val="0"/>
          <w:color w:val="auto"/>
          <w:highlight w:val="none"/>
        </w:rPr>
      </w:pPr>
      <w:bookmarkStart w:id="45" w:name="_Toc15396613"/>
      <w:bookmarkStart w:id="46"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45"/>
      <w:bookmarkEnd w:id="46"/>
    </w:p>
    <w:p>
      <w:pPr>
        <w:spacing w:line="600" w:lineRule="exact"/>
        <w:jc w:val="left"/>
        <w:rPr>
          <w:rFonts w:ascii="宋体"/>
          <w:b/>
          <w:color w:val="auto"/>
          <w:sz w:val="44"/>
          <w:szCs w:val="44"/>
          <w:highlight w:val="none"/>
        </w:rPr>
      </w:pPr>
    </w:p>
    <w:p>
      <w:pPr>
        <w:pStyle w:val="26"/>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财政拨款收入：指单位从同级财政部门取得的财政预算资金。</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一般公共服务（类）</w:t>
      </w:r>
      <w:r>
        <w:rPr>
          <w:rFonts w:hint="eastAsia" w:ascii="仿宋_GB2312" w:eastAsia="仿宋_GB2312"/>
          <w:color w:val="auto"/>
          <w:sz w:val="32"/>
          <w:szCs w:val="32"/>
          <w:highlight w:val="none"/>
          <w:lang w:eastAsia="zh-CN"/>
        </w:rPr>
        <w:t>政</w:t>
      </w:r>
      <w:r>
        <w:rPr>
          <w:rFonts w:hint="eastAsia" w:ascii="仿宋_GB2312" w:eastAsia="仿宋_GB2312"/>
          <w:color w:val="auto"/>
          <w:sz w:val="32"/>
          <w:szCs w:val="32"/>
          <w:highlight w:val="none"/>
        </w:rPr>
        <w:t>府办公厅（室）及相关机构事务（款）行政运行（项）：指</w:t>
      </w:r>
      <w:r>
        <w:rPr>
          <w:rFonts w:hint="eastAsia" w:ascii="仿宋_GB2312" w:eastAsia="仿宋_GB2312"/>
          <w:color w:val="auto"/>
          <w:sz w:val="32"/>
          <w:szCs w:val="32"/>
          <w:highlight w:val="none"/>
          <w:lang w:eastAsia="zh-CN"/>
        </w:rPr>
        <w:t>办公室行政人员基本支出含人员经费及公用经费支出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一般公共服务（类）政府办公厅（室）及相关机构事务（款）一般行政管理事务（项）</w:t>
      </w:r>
      <w:r>
        <w:rPr>
          <w:rFonts w:hint="eastAsia" w:ascii="仿宋_GB2312" w:eastAsia="仿宋_GB2312"/>
          <w:color w:val="auto"/>
          <w:sz w:val="32"/>
          <w:szCs w:val="32"/>
          <w:highlight w:val="none"/>
          <w:lang w:eastAsia="zh-CN"/>
        </w:rPr>
        <w:t>：指办公室项目支出。</w:t>
      </w:r>
    </w:p>
    <w:p>
      <w:pPr>
        <w:pStyle w:val="26"/>
        <w:spacing w:line="560" w:lineRule="exact"/>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一般公共服务（类）政府办公厅（室）及相关机构事务（款）事业运行（项）</w:t>
      </w:r>
      <w:r>
        <w:rPr>
          <w:rFonts w:hint="eastAsia" w:ascii="仿宋_GB2312" w:eastAsia="仿宋_GB2312"/>
          <w:color w:val="auto"/>
          <w:sz w:val="32"/>
          <w:szCs w:val="32"/>
          <w:highlight w:val="none"/>
          <w:lang w:val="en-US" w:eastAsia="zh-CN"/>
        </w:rPr>
        <w:t>:指办公室事业人员基本支出含人员经费及公用经费支出。</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社会保障和就业（类）行政事业单位养老支出（款）机关事业单位基本养老保险缴费支出（项）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指办公室人员养老保险支出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社会保障和就业（类）行政事业单位养老支出（款）机关事业单位职业年金缴费支出（项）</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指办公室人员职业年金支出</w:t>
      </w:r>
      <w:r>
        <w:rPr>
          <w:rFonts w:hint="eastAsia" w:ascii="仿宋_GB2312" w:eastAsia="仿宋_GB2312"/>
          <w:color w:val="auto"/>
          <w:sz w:val="32"/>
          <w:szCs w:val="32"/>
          <w:highlight w:val="none"/>
        </w:rPr>
        <w:t>。</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社会保障和就业（类）其他社会保障和就业支出（款）其他社会保障和就业支出（项）</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lang w:eastAsia="zh-CN"/>
        </w:rPr>
        <w:t>指办公室人员工伤保险及失业保险支出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lang w:val="zh-CN"/>
        </w:rPr>
        <w:t>．</w:t>
      </w:r>
      <w:r>
        <w:rPr>
          <w:rFonts w:hint="eastAsia" w:ascii="仿宋_GB2312" w:eastAsia="仿宋_GB2312"/>
          <w:color w:val="auto"/>
          <w:sz w:val="32"/>
          <w:szCs w:val="32"/>
          <w:highlight w:val="none"/>
        </w:rPr>
        <w:t>卫生健康（类）行政事业单位医疗（款）行政单位医疗（项）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指办公室人员医疗保险支出</w:t>
      </w:r>
      <w:r>
        <w:rPr>
          <w:rFonts w:hint="eastAsia" w:ascii="仿宋_GB2312" w:eastAsia="仿宋_GB2312"/>
          <w:color w:val="auto"/>
          <w:sz w:val="32"/>
          <w:szCs w:val="32"/>
          <w:highlight w:val="none"/>
        </w:rPr>
        <w:t>。</w:t>
      </w:r>
    </w:p>
    <w:p>
      <w:pPr>
        <w:pStyle w:val="26"/>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lang w:val="zh-CN"/>
        </w:rPr>
        <w:t>．</w:t>
      </w:r>
      <w:r>
        <w:rPr>
          <w:rFonts w:hint="eastAsia" w:ascii="仿宋_GB2312" w:eastAsia="仿宋_GB2312"/>
          <w:color w:val="auto"/>
          <w:sz w:val="32"/>
          <w:szCs w:val="32"/>
          <w:highlight w:val="none"/>
        </w:rPr>
        <w:t>农林水支出（类）扶贫（款）其他扶贫支出（项）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指乡村振兴工作支出</w:t>
      </w:r>
      <w:r>
        <w:rPr>
          <w:rFonts w:hint="eastAsia" w:ascii="仿宋_GB2312" w:eastAsia="仿宋_GB2312"/>
          <w:color w:val="auto"/>
          <w:sz w:val="32"/>
          <w:szCs w:val="32"/>
          <w:highlight w:val="none"/>
        </w:rPr>
        <w:t>。</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lang w:val="zh-CN"/>
        </w:rPr>
        <w:t>．住房保障支出</w:t>
      </w:r>
      <w:r>
        <w:rPr>
          <w:rFonts w:hint="eastAsia" w:ascii="仿宋_GB2312" w:eastAsia="仿宋_GB2312"/>
          <w:color w:val="auto"/>
          <w:sz w:val="32"/>
          <w:szCs w:val="32"/>
          <w:highlight w:val="none"/>
        </w:rPr>
        <w:t>（类）住房改革支出（款</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住房公积金（项）</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指办公室人员住房公积金支出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hint="eastAsia" w:ascii="仿宋_GB2312" w:hAnsi="宋体" w:eastAsia="仿宋_GB2312" w:cs="Times New Roman"/>
          <w:color w:val="auto"/>
          <w:sz w:val="32"/>
          <w:szCs w:val="32"/>
          <w:highlight w:val="none"/>
          <w:lang w:val="zh-CN"/>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8"/>
          <w:rFonts w:ascii="黑体" w:hAnsi="黑体" w:eastAsia="黑体"/>
          <w:b w:val="0"/>
          <w:color w:val="auto"/>
          <w:highlight w:val="none"/>
        </w:rPr>
      </w:pPr>
      <w:bookmarkStart w:id="47" w:name="_Toc15377226"/>
      <w:r>
        <w:rPr>
          <w:rFonts w:ascii="宋体"/>
          <w:b/>
          <w:color w:val="auto"/>
          <w:sz w:val="44"/>
          <w:szCs w:val="44"/>
          <w:highlight w:val="none"/>
        </w:rPr>
        <w:br w:type="page"/>
      </w:r>
      <w:bookmarkStart w:id="48" w:name="_Toc15396614"/>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48"/>
    </w:p>
    <w:p>
      <w:pPr>
        <w:spacing w:line="600" w:lineRule="exact"/>
        <w:jc w:val="center"/>
        <w:rPr>
          <w:rFonts w:ascii="方正小标宋简体" w:hAnsi="宋体" w:eastAsia="方正小标宋简体"/>
          <w:color w:val="000000"/>
          <w:kern w:val="0"/>
          <w:sz w:val="40"/>
          <w:szCs w:val="44"/>
          <w:lang w:val="zh-CN"/>
        </w:rPr>
      </w:pPr>
      <w:bookmarkStart w:id="49" w:name="_Toc15396618"/>
      <w:r>
        <w:rPr>
          <w:rFonts w:hint="eastAsia" w:ascii="方正小标宋简体" w:hAnsi="宋体" w:eastAsia="方正小标宋简体"/>
          <w:color w:val="000000"/>
          <w:kern w:val="0"/>
          <w:sz w:val="40"/>
          <w:szCs w:val="44"/>
        </w:rPr>
        <w:t>朝天区人民政府办公室</w:t>
      </w:r>
      <w:r>
        <w:rPr>
          <w:rFonts w:ascii="方正小标宋简体" w:hAnsi="宋体" w:eastAsia="方正小标宋简体"/>
          <w:color w:val="000000"/>
          <w:kern w:val="0"/>
          <w:sz w:val="40"/>
          <w:szCs w:val="44"/>
        </w:rPr>
        <w:t>202</w:t>
      </w:r>
      <w:r>
        <w:rPr>
          <w:rFonts w:hint="eastAsia" w:ascii="方正小标宋简体" w:hAnsi="宋体" w:eastAsia="方正小标宋简体"/>
          <w:color w:val="000000"/>
          <w:kern w:val="0"/>
          <w:sz w:val="40"/>
          <w:szCs w:val="44"/>
          <w:lang w:val="en-US" w:eastAsia="zh-CN"/>
        </w:rPr>
        <w:t>1</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spacing w:line="580" w:lineRule="exact"/>
        <w:ind w:firstLine="1920" w:firstLineChars="600"/>
        <w:contextualSpacing/>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（一）机构组成。</w:t>
      </w:r>
    </w:p>
    <w:p>
      <w:pPr>
        <w:spacing w:line="580" w:lineRule="exact"/>
        <w:ind w:firstLine="600" w:firstLineChars="200"/>
        <w:rPr>
          <w:rFonts w:ascii="仿宋" w:hAnsi="仿宋" w:eastAsia="仿宋" w:cs="仿宋_GB2312"/>
          <w:sz w:val="32"/>
          <w:szCs w:val="32"/>
        </w:rPr>
      </w:pPr>
      <w:r>
        <w:rPr>
          <w:rFonts w:hint="eastAsia" w:ascii="方正仿宋_GBK" w:eastAsia="方正仿宋_GBK"/>
          <w:sz w:val="30"/>
          <w:szCs w:val="30"/>
        </w:rPr>
        <w:t>内设综合科、秘书科、信息科、目标管理科、行政科、政工人事科、安全保卫科</w:t>
      </w:r>
      <w:r>
        <w:rPr>
          <w:rFonts w:hint="eastAsia" w:ascii="仿宋" w:hAnsi="仿宋" w:eastAsia="仿宋" w:cs="仿宋_GB2312"/>
          <w:sz w:val="32"/>
          <w:szCs w:val="32"/>
        </w:rPr>
        <w:t>。</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（二）机构职能。</w:t>
      </w:r>
    </w:p>
    <w:p>
      <w:pPr>
        <w:spacing w:line="580" w:lineRule="exact"/>
        <w:ind w:firstLine="600" w:firstLineChars="200"/>
        <w:rPr>
          <w:rFonts w:ascii="方正仿宋_GBK" w:eastAsia="方正仿宋_GBK"/>
          <w:sz w:val="30"/>
          <w:szCs w:val="30"/>
        </w:rPr>
      </w:pPr>
      <w:r>
        <w:rPr>
          <w:rFonts w:hint="eastAsia" w:ascii="方正仿宋_GBK" w:eastAsia="方正仿宋_GBK"/>
          <w:sz w:val="30"/>
          <w:szCs w:val="30"/>
        </w:rPr>
        <w:t>负责起草审核区政府各类公文、接收办理上三级文件、指导全区行政机关公文处理工作；负责区政府各类会议的组织召开；督促检查部门乡镇对区政府决定事项的贯彻落实情况；负责政务信息工作；组织办理人大政协各类议案提案工作；围绕政府中心工作组织专题调研并提出政策性建议；指导全区应急管理工作、协助各类突发事件处置工作。</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（三）人员概况</w:t>
      </w:r>
    </w:p>
    <w:p>
      <w:pPr>
        <w:spacing w:line="240" w:lineRule="auto"/>
        <w:ind w:firstLine="600" w:firstLineChars="200"/>
        <w:rPr>
          <w:rFonts w:hint="eastAsia" w:ascii="方正仿宋_GBK" w:eastAsia="方正仿宋_GBK"/>
          <w:sz w:val="30"/>
          <w:szCs w:val="30"/>
          <w:u w:val="none"/>
        </w:rPr>
      </w:pPr>
      <w:r>
        <w:rPr>
          <w:rFonts w:hint="eastAsia" w:ascii="方正仿宋_GBK" w:eastAsia="方正仿宋_GBK"/>
          <w:sz w:val="30"/>
          <w:szCs w:val="30"/>
          <w:u w:val="none"/>
        </w:rPr>
        <w:t>办公室现有人员编制47个，其中行政编制21人，事业编制</w:t>
      </w:r>
      <w:r>
        <w:rPr>
          <w:rFonts w:hint="eastAsia" w:ascii="方正仿宋_GBK" w:eastAsia="方正仿宋_GBK"/>
          <w:sz w:val="30"/>
          <w:szCs w:val="30"/>
          <w:u w:val="none"/>
          <w:lang w:val="en-US" w:eastAsia="zh-CN"/>
        </w:rPr>
        <w:t>18</w:t>
      </w:r>
      <w:r>
        <w:rPr>
          <w:rFonts w:hint="eastAsia" w:ascii="方正仿宋_GBK" w:eastAsia="方正仿宋_GBK"/>
          <w:sz w:val="30"/>
          <w:szCs w:val="30"/>
          <w:u w:val="none"/>
        </w:rPr>
        <w:t>个，机关工勤编制2人。遗嘱生活补助1人。内设政府督查室、综合科、秘书科、信息科、目标管理科、行政科、政工人事科、安全保卫科8个职能科室。 202</w:t>
      </w:r>
      <w:r>
        <w:rPr>
          <w:rFonts w:hint="eastAsia" w:ascii="方正仿宋_GBK" w:eastAsia="方正仿宋_GBK"/>
          <w:sz w:val="30"/>
          <w:szCs w:val="30"/>
          <w:u w:val="none"/>
          <w:lang w:val="en-US" w:eastAsia="zh-CN"/>
        </w:rPr>
        <w:t>1</w:t>
      </w:r>
      <w:r>
        <w:rPr>
          <w:rFonts w:hint="eastAsia" w:ascii="方正仿宋_GBK" w:eastAsia="方正仿宋_GBK"/>
          <w:sz w:val="30"/>
          <w:szCs w:val="30"/>
          <w:u w:val="none"/>
        </w:rPr>
        <w:t>年末共有在职干部职工</w:t>
      </w:r>
      <w:r>
        <w:rPr>
          <w:rFonts w:hint="eastAsia" w:ascii="方正仿宋_GBK" w:eastAsia="方正仿宋_GBK"/>
          <w:sz w:val="30"/>
          <w:szCs w:val="30"/>
          <w:u w:val="none"/>
          <w:lang w:val="en-US" w:eastAsia="zh-CN"/>
        </w:rPr>
        <w:t>67</w:t>
      </w:r>
      <w:r>
        <w:rPr>
          <w:rFonts w:hint="eastAsia" w:ascii="方正仿宋_GBK" w:eastAsia="方正仿宋_GBK"/>
          <w:sz w:val="30"/>
          <w:szCs w:val="30"/>
          <w:u w:val="none"/>
        </w:rPr>
        <w:t>人，其中在编在职工作人员45人，中国国机集团下派副县级区长1人，浙江台州下派副县级区长1人，浙江台州下派办公室副主任1人，借用18人，大学生志愿者1人。年内因工作原因调出1人。</w:t>
      </w:r>
    </w:p>
    <w:p>
      <w:pPr>
        <w:spacing w:line="580" w:lineRule="exact"/>
        <w:ind w:firstLine="640" w:firstLineChars="200"/>
        <w:rPr>
          <w:rFonts w:ascii="方正楷体_GBK" w:hAnsi="仿宋" w:eastAsia="方正楷体_GBK" w:cs="仿宋_GB2312"/>
          <w:sz w:val="32"/>
          <w:szCs w:val="32"/>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（一）部门财政资金收入情况。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202</w:t>
      </w:r>
      <w:r>
        <w:rPr>
          <w:rFonts w:hint="eastAsia" w:ascii="方正仿宋_GBK" w:eastAsia="方正仿宋_GBK"/>
          <w:sz w:val="30"/>
          <w:szCs w:val="30"/>
          <w:lang w:val="en-US" w:eastAsia="zh-CN"/>
        </w:rPr>
        <w:t>1</w:t>
      </w:r>
      <w:r>
        <w:rPr>
          <w:rFonts w:hint="eastAsia" w:ascii="方正仿宋_GBK" w:eastAsia="方正仿宋_GBK"/>
          <w:sz w:val="30"/>
          <w:szCs w:val="30"/>
        </w:rPr>
        <w:t>年本年收入合计</w:t>
      </w:r>
      <w:r>
        <w:rPr>
          <w:rFonts w:hint="eastAsia" w:ascii="仿宋" w:hAnsi="仿宋" w:eastAsia="仿宋"/>
          <w:color w:val="auto"/>
          <w:sz w:val="36"/>
          <w:szCs w:val="36"/>
          <w:highlight w:val="none"/>
          <w:lang w:val="en-US" w:eastAsia="zh-CN"/>
        </w:rPr>
        <w:t>911.26</w:t>
      </w:r>
      <w:r>
        <w:rPr>
          <w:rFonts w:hint="eastAsia" w:ascii="方正仿宋_GBK" w:eastAsia="方正仿宋_GBK"/>
          <w:sz w:val="30"/>
          <w:szCs w:val="30"/>
        </w:rPr>
        <w:t>万元，其中：一般公共预算财政拨款收入</w:t>
      </w:r>
      <w:r>
        <w:rPr>
          <w:rFonts w:hint="eastAsia" w:ascii="方正仿宋_GBK" w:eastAsia="方正仿宋_GBK"/>
          <w:sz w:val="30"/>
          <w:szCs w:val="30"/>
          <w:lang w:val="en-US" w:eastAsia="zh-CN"/>
        </w:rPr>
        <w:t>911.26</w:t>
      </w:r>
      <w:r>
        <w:rPr>
          <w:rFonts w:hint="eastAsia" w:ascii="方正仿宋_GBK" w:eastAsia="方正仿宋_GBK"/>
          <w:sz w:val="30"/>
          <w:szCs w:val="30"/>
        </w:rPr>
        <w:t>万元，占</w:t>
      </w:r>
      <w:r>
        <w:rPr>
          <w:rFonts w:ascii="方正仿宋_GBK" w:eastAsia="方正仿宋_GBK"/>
          <w:sz w:val="30"/>
          <w:szCs w:val="30"/>
        </w:rPr>
        <w:t>100%</w:t>
      </w:r>
      <w:r>
        <w:rPr>
          <w:rFonts w:hint="eastAsia" w:ascii="方正仿宋_GBK" w:eastAsia="方正仿宋_GBK"/>
          <w:sz w:val="30"/>
          <w:szCs w:val="30"/>
        </w:rPr>
        <w:t>；</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（二）部门财政资金支出情况。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2020</w:t>
      </w:r>
      <w:r>
        <w:rPr>
          <w:rFonts w:hint="eastAsia" w:ascii="方正仿宋_GBK" w:eastAsia="方正仿宋_GBK"/>
          <w:sz w:val="30"/>
          <w:szCs w:val="30"/>
        </w:rPr>
        <w:t>年本年支出合计</w:t>
      </w:r>
      <w:r>
        <w:rPr>
          <w:rFonts w:hint="eastAsia" w:ascii="方正仿宋_GBK" w:eastAsia="方正仿宋_GBK"/>
          <w:sz w:val="30"/>
          <w:szCs w:val="30"/>
          <w:lang w:val="en-US" w:eastAsia="zh-CN"/>
        </w:rPr>
        <w:t>911.26</w:t>
      </w:r>
      <w:r>
        <w:rPr>
          <w:rFonts w:hint="eastAsia" w:ascii="方正仿宋_GBK" w:eastAsia="方正仿宋_GBK"/>
          <w:sz w:val="30"/>
          <w:szCs w:val="30"/>
        </w:rPr>
        <w:t>万元，其中：</w:t>
      </w:r>
      <w:r>
        <w:rPr>
          <w:rFonts w:hint="eastAsia" w:ascii="仿宋" w:hAnsi="仿宋" w:eastAsia="仿宋"/>
          <w:color w:val="auto"/>
          <w:sz w:val="32"/>
          <w:szCs w:val="32"/>
          <w:highlight w:val="none"/>
        </w:rPr>
        <w:t>基本支出</w:t>
      </w:r>
      <w:r>
        <w:rPr>
          <w:rFonts w:hint="eastAsia" w:ascii="仿宋" w:hAnsi="仿宋" w:eastAsia="仿宋"/>
          <w:color w:val="auto"/>
          <w:sz w:val="32"/>
          <w:szCs w:val="32"/>
          <w:highlight w:val="none"/>
          <w:lang w:val="en-US" w:eastAsia="zh-CN"/>
        </w:rPr>
        <w:t>711.13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78.04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200.13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21.96</w:t>
      </w:r>
      <w:r>
        <w:rPr>
          <w:rFonts w:ascii="仿宋" w:hAnsi="仿宋" w:eastAsia="仿宋"/>
          <w:color w:val="auto"/>
          <w:sz w:val="32"/>
          <w:szCs w:val="32"/>
          <w:highlight w:val="none"/>
        </w:rPr>
        <w:t>%</w:t>
      </w:r>
      <w:r>
        <w:rPr>
          <w:rFonts w:hint="eastAsia" w:ascii="方正仿宋_GBK" w:eastAsia="方正仿宋_GBK"/>
          <w:sz w:val="30"/>
          <w:szCs w:val="30"/>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（一）部门预算管理。</w:t>
      </w:r>
    </w:p>
    <w:p>
      <w:pPr>
        <w:spacing w:line="580" w:lineRule="exact"/>
        <w:ind w:firstLine="750" w:firstLineChars="250"/>
        <w:rPr>
          <w:rFonts w:ascii="仿宋" w:hAnsi="仿宋" w:eastAsia="仿宋" w:cs="仿宋_GB2312"/>
          <w:sz w:val="32"/>
          <w:szCs w:val="32"/>
        </w:rPr>
      </w:pPr>
      <w:r>
        <w:rPr>
          <w:rFonts w:hint="eastAsia" w:ascii="方正仿宋_GBK" w:eastAsia="方正仿宋_GBK"/>
          <w:sz w:val="30"/>
          <w:szCs w:val="30"/>
        </w:rPr>
        <w:t>严格执行国家《预算法》、《会计法》、《政府会计准则》、《行政单位会计制度》等规定，并结合单位情况制定了《财会管理制度》，单位内控制度完整，包含了预算资金管理、内部财务管理、会计核算等方面。相关管理制度总体上得到有效执行，基本支出、项目支出符合国家财经法规、财务管理制度规定，符合预算批复的用途；重大项目支出按规定经过评估论证；各项支出和资金拨付有完整的审批程序和手续；资金使用过程中无截留、挤占、挪用、虚列支出等情况。单位已按照规定时限和内容公开了预、决算；财务核算信息及预、决算编制所依据的会计基础信息准确、完整。</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（二）专项预算管理。</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一是进一步完善专项资金管理制度。认真贯彻执行《会计法》与《预算法》完善财政补助结构，减少专项补助比例，提高财力性补助，促进预算的规范和效益。</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二是进一步加强专项资金的管理监督。对专项资金的使用单位应进行严格审核，减少或避免“先安排资金，后论证项目”等盲目预算的现象出现。</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三是健全内控机制，确保专款专用。单位要认真审查项目相关资料，根据项目进度及时拨付资金，避免资金闲置、截留。</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（三）结果应用情况。</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1</w:t>
      </w:r>
      <w:r>
        <w:rPr>
          <w:rFonts w:hint="eastAsia" w:ascii="方正仿宋_GBK" w:eastAsia="方正仿宋_GBK"/>
          <w:sz w:val="30"/>
          <w:szCs w:val="30"/>
        </w:rPr>
        <w:t>、评价结果作为改进预算管理和安排以后年度预算的重要依据。同时，根据绩效自评情况，不断补充完善绩效评价指标。</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w:t>
      </w:r>
      <w:r>
        <w:rPr>
          <w:rFonts w:hint="eastAsia" w:ascii="方正仿宋_GBK" w:eastAsia="方正仿宋_GBK"/>
          <w:sz w:val="30"/>
          <w:szCs w:val="30"/>
        </w:rPr>
        <w:t>、规范财务管理，提高财务信息质量。严格按照《预算法》、《会计法》、《行政单位会计制度》等规定，结合实际情况，严格执行单位经费支出审批程序，加强财务管理制度，确保财务信息完整性、真实性。</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3</w:t>
      </w:r>
      <w:r>
        <w:rPr>
          <w:rFonts w:hint="eastAsia" w:ascii="方正仿宋_GBK" w:eastAsia="方正仿宋_GBK"/>
          <w:sz w:val="30"/>
          <w:szCs w:val="30"/>
        </w:rPr>
        <w:t>、加强预算的控制力，细化预算编制工作。进一步加强部门预算管理意识，严格遵守预算编制的相关制度和要求，公用经费根据单位的年度工作重点和项目专项工作规划，本着“厉行节约、保障运转”的原则进行单位预算编制。杜绝一切超预算开支的情况发生，进一步提高预算编制的科学性、有效性，严谨性和可控性。</w:t>
      </w:r>
    </w:p>
    <w:p>
      <w:pPr>
        <w:spacing w:line="600" w:lineRule="exact"/>
        <w:ind w:firstLine="600" w:firstLineChars="200"/>
        <w:rPr>
          <w:rFonts w:ascii="黑体" w:eastAsia="黑体"/>
          <w:sz w:val="30"/>
          <w:szCs w:val="30"/>
        </w:rPr>
      </w:pPr>
      <w:r>
        <w:rPr>
          <w:rFonts w:hint="eastAsia" w:ascii="黑体" w:eastAsia="黑体"/>
          <w:sz w:val="30"/>
          <w:szCs w:val="30"/>
        </w:rPr>
        <w:t>四、评价结论及建议</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（一）评价结论。</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此次开展部门整体支出及项目支出绩效自评，主要是为了对</w:t>
      </w:r>
      <w:r>
        <w:rPr>
          <w:rFonts w:ascii="方正仿宋_GBK" w:eastAsia="方正仿宋_GBK"/>
          <w:sz w:val="30"/>
          <w:szCs w:val="30"/>
        </w:rPr>
        <w:t>202</w:t>
      </w:r>
      <w:r>
        <w:rPr>
          <w:rFonts w:hint="eastAsia" w:ascii="方正仿宋_GBK" w:eastAsia="方正仿宋_GBK"/>
          <w:sz w:val="30"/>
          <w:szCs w:val="30"/>
          <w:lang w:val="en-US" w:eastAsia="zh-CN"/>
        </w:rPr>
        <w:t>1</w:t>
      </w:r>
      <w:r>
        <w:rPr>
          <w:rFonts w:hint="eastAsia" w:ascii="方正仿宋_GBK" w:eastAsia="方正仿宋_GBK"/>
          <w:sz w:val="30"/>
          <w:szCs w:val="30"/>
        </w:rPr>
        <w:t>年工作绩效目标、资金使用情况、工作项目实施管理情况进行自检自查，以了解资金使用是否有效并达到预期目标，资金管理是否规范，通过检验资金支出效率和效果，分析存在问题及原因，及时总结经验，改进单位服务管理水平，落实绩效管理责任，完善工作机制，提高财政资金使用效益。</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（二）存在问题。</w:t>
      </w:r>
    </w:p>
    <w:p>
      <w:pPr>
        <w:spacing w:line="600" w:lineRule="exact"/>
        <w:ind w:firstLine="600" w:firstLineChars="200"/>
        <w:rPr>
          <w:rFonts w:ascii="方正仿宋_GBK" w:eastAsia="方正仿宋_GBK"/>
          <w:sz w:val="30"/>
          <w:szCs w:val="30"/>
        </w:rPr>
      </w:pPr>
      <w:r>
        <w:rPr>
          <w:rFonts w:hint="eastAsia" w:ascii="方正仿宋_GBK" w:eastAsia="方正仿宋_GBK"/>
          <w:sz w:val="30"/>
          <w:szCs w:val="30"/>
        </w:rPr>
        <w:t>绩效目标设立不够明确、细化和量化。</w:t>
      </w:r>
    </w:p>
    <w:p>
      <w:pPr>
        <w:spacing w:line="580" w:lineRule="exact"/>
        <w:ind w:firstLine="640" w:firstLineChars="200"/>
        <w:rPr>
          <w:rFonts w:ascii="方正楷体_GBK" w:hAnsi="仿宋" w:eastAsia="方正楷体_GBK" w:cs="仿宋_GB2312"/>
          <w:sz w:val="32"/>
          <w:szCs w:val="32"/>
        </w:rPr>
      </w:pPr>
      <w:r>
        <w:rPr>
          <w:rFonts w:hint="eastAsia" w:ascii="方正楷体_GBK" w:hAnsi="仿宋" w:eastAsia="方正楷体_GBK" w:cs="仿宋_GB2312"/>
          <w:sz w:val="32"/>
          <w:szCs w:val="32"/>
        </w:rPr>
        <w:t>（三）改进建议。</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1</w:t>
      </w:r>
      <w:r>
        <w:rPr>
          <w:rFonts w:hint="eastAsia" w:ascii="方正仿宋_GBK" w:eastAsia="方正仿宋_GBK"/>
          <w:sz w:val="30"/>
          <w:szCs w:val="30"/>
        </w:rPr>
        <w:t>、细化预算编制工作，认真做好预算的编制。进一步加强单位内部机构各科室的预算管理意识，严格按照预算编制的相关制度和要求，本着“勤俭节约、保障运转”的原则进行预算编制；编制范围尽可能的全面，不漏项；在预算编制时首先需满足固定性的、相对刚性的费用支出项目，尽量压缩变动性的、有控制空间的费用项目；进一步提高预算编制的科学性、合理性、严谨性和可控性。</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2</w:t>
      </w:r>
      <w:r>
        <w:rPr>
          <w:rFonts w:hint="eastAsia" w:ascii="方正仿宋_GBK" w:eastAsia="方正仿宋_GBK"/>
          <w:sz w:val="30"/>
          <w:szCs w:val="30"/>
        </w:rPr>
        <w:t>、加强财务管理，严格财务审核。在费用报账时，按照预算规定的费用项目和用途进行资金使用的审核，严格按照费用的使用用途列报，同时严格费用支出内容进行财务核算，预算金额内严格控制费用的支出。</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3</w:t>
      </w:r>
      <w:r>
        <w:rPr>
          <w:rFonts w:hint="eastAsia" w:ascii="方正仿宋_GBK" w:eastAsia="方正仿宋_GBK"/>
          <w:sz w:val="30"/>
          <w:szCs w:val="30"/>
        </w:rPr>
        <w:t>、遵循预算管理原则。按照程序预算调整追加，逐级申报；结余资金调整用途的按照预算调整追加程序逐级申报报批，做到资金支付、预算先行，确保资金使用按照预算项目和使用用途执行。</w:t>
      </w:r>
    </w:p>
    <w:p>
      <w:pPr>
        <w:spacing w:line="600" w:lineRule="exact"/>
        <w:ind w:firstLine="600" w:firstLineChars="200"/>
        <w:rPr>
          <w:rFonts w:ascii="方正仿宋_GBK" w:eastAsia="方正仿宋_GBK"/>
          <w:sz w:val="30"/>
          <w:szCs w:val="30"/>
        </w:rPr>
      </w:pPr>
      <w:r>
        <w:rPr>
          <w:rFonts w:ascii="方正仿宋_GBK" w:eastAsia="方正仿宋_GBK"/>
          <w:sz w:val="30"/>
          <w:szCs w:val="30"/>
        </w:rPr>
        <w:t>4</w:t>
      </w:r>
      <w:r>
        <w:rPr>
          <w:rFonts w:hint="eastAsia" w:ascii="方正仿宋_GBK" w:eastAsia="方正仿宋_GBK"/>
          <w:sz w:val="30"/>
          <w:szCs w:val="30"/>
        </w:rPr>
        <w:t>、进一步严控“三公经费”支出，严控“三公经费”的规模和比例及“三公经费”支出的审核审批流程，进一步细化“三公经费”的管理。</w:t>
      </w:r>
    </w:p>
    <w:p>
      <w:pPr>
        <w:spacing w:line="600" w:lineRule="exact"/>
        <w:ind w:firstLine="600" w:firstLineChars="200"/>
        <w:rPr>
          <w:rFonts w:ascii="方正仿宋_GBK" w:eastAsia="方正仿宋_GBK"/>
          <w:sz w:val="30"/>
          <w:szCs w:val="30"/>
        </w:rPr>
      </w:pPr>
    </w:p>
    <w:p>
      <w:pPr>
        <w:spacing w:line="580" w:lineRule="exact"/>
        <w:ind w:firstLine="640" w:firstLineChars="200"/>
        <w:rPr>
          <w:rFonts w:ascii="仿宋_GB2312" w:hAnsi="仿宋_GB2312" w:eastAsia="仿宋_GB2312" w:cs="仿宋_GB2312"/>
          <w:sz w:val="32"/>
          <w:szCs w:val="32"/>
        </w:rPr>
      </w:pPr>
    </w:p>
    <w:p>
      <w:pPr>
        <w:pStyle w:val="15"/>
        <w:ind w:firstLine="640"/>
        <w:rPr>
          <w:rFonts w:ascii="仿宋_GB2312" w:cs="仿宋_GB2312"/>
          <w:szCs w:val="32"/>
        </w:rPr>
      </w:pPr>
    </w:p>
    <w:p>
      <w:pPr>
        <w:rPr>
          <w:rFonts w:ascii="仿宋_GB2312" w:hAnsi="仿宋_GB2312" w:eastAsia="仿宋_GB2312" w:cs="仿宋_GB2312"/>
          <w:sz w:val="32"/>
          <w:szCs w:val="32"/>
        </w:rPr>
      </w:pPr>
    </w:p>
    <w:p>
      <w:pPr>
        <w:pStyle w:val="15"/>
        <w:ind w:firstLine="640"/>
        <w:rPr>
          <w:rFonts w:ascii="仿宋_GB2312" w:cs="仿宋_GB2312"/>
          <w:szCs w:val="32"/>
        </w:rPr>
      </w:pPr>
    </w:p>
    <w:p>
      <w:pPr>
        <w:rPr>
          <w:rFonts w:ascii="仿宋_GB2312" w:hAnsi="仿宋_GB2312" w:eastAsia="仿宋_GB2312" w:cs="仿宋_GB2312"/>
          <w:sz w:val="32"/>
          <w:szCs w:val="32"/>
        </w:rPr>
      </w:pPr>
    </w:p>
    <w:p>
      <w:pPr>
        <w:pStyle w:val="15"/>
        <w:ind w:firstLine="640"/>
        <w:rPr>
          <w:rFonts w:ascii="仿宋_GB2312" w:cs="仿宋_GB2312"/>
          <w:szCs w:val="32"/>
        </w:rPr>
      </w:pPr>
    </w:p>
    <w:p>
      <w:pPr>
        <w:rPr>
          <w:rFonts w:ascii="仿宋_GB2312" w:hAnsi="仿宋_GB2312" w:eastAsia="仿宋_GB2312" w:cs="仿宋_GB2312"/>
          <w:sz w:val="32"/>
          <w:szCs w:val="32"/>
        </w:rPr>
      </w:pPr>
    </w:p>
    <w:p>
      <w:pPr>
        <w:pStyle w:val="15"/>
        <w:ind w:firstLine="640"/>
        <w:rPr>
          <w:rFonts w:ascii="仿宋_GB2312" w:cs="仿宋_GB2312"/>
          <w:szCs w:val="32"/>
        </w:rPr>
      </w:pPr>
    </w:p>
    <w:p>
      <w:pPr>
        <w:rPr>
          <w:rFonts w:ascii="仿宋_GB2312" w:hAnsi="仿宋_GB2312" w:eastAsia="仿宋_GB2312" w:cs="仿宋_GB2312"/>
          <w:sz w:val="32"/>
          <w:szCs w:val="32"/>
        </w:rPr>
      </w:pPr>
    </w:p>
    <w:p>
      <w:pPr>
        <w:pStyle w:val="15"/>
        <w:ind w:firstLine="640"/>
        <w:rPr>
          <w:rFonts w:ascii="仿宋_GB2312" w:cs="仿宋_GB2312"/>
          <w:szCs w:val="32"/>
        </w:rPr>
      </w:pPr>
    </w:p>
    <w:p>
      <w:pPr>
        <w:rPr>
          <w:rFonts w:ascii="仿宋_GB2312" w:hAnsi="仿宋_GB2312" w:eastAsia="仿宋_GB2312" w:cs="仿宋_GB2312"/>
          <w:sz w:val="32"/>
          <w:szCs w:val="32"/>
        </w:rPr>
      </w:pPr>
    </w:p>
    <w:p>
      <w:pPr>
        <w:pStyle w:val="15"/>
        <w:ind w:firstLine="640"/>
        <w:rPr>
          <w:rFonts w:ascii="仿宋_GB2312" w:cs="仿宋_GB2312"/>
          <w:szCs w:val="32"/>
        </w:rPr>
      </w:pPr>
    </w:p>
    <w:p>
      <w:pPr>
        <w:rPr>
          <w:rFonts w:ascii="仿宋_GB2312" w:hAnsi="仿宋_GB2312" w:eastAsia="仿宋_GB2312" w:cs="仿宋_GB2312"/>
          <w:sz w:val="32"/>
          <w:szCs w:val="32"/>
        </w:rPr>
      </w:pPr>
    </w:p>
    <w:p>
      <w:pPr>
        <w:pStyle w:val="15"/>
        <w:ind w:firstLine="640"/>
        <w:rPr>
          <w:rFonts w:ascii="仿宋_GB2312" w:cs="仿宋_GB2312"/>
          <w:szCs w:val="32"/>
        </w:rPr>
      </w:pPr>
    </w:p>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pStyle w:val="15"/>
        <w:rPr>
          <w:rFonts w:ascii="黑体" w:hAnsi="黑体" w:eastAsia="黑体" w:cs="黑体"/>
          <w:sz w:val="32"/>
          <w:szCs w:val="32"/>
        </w:rPr>
      </w:pPr>
    </w:p>
    <w:p>
      <w:pPr>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w:t>
      </w:r>
      <w:r>
        <w:rPr>
          <w:rFonts w:hint="eastAsia" w:ascii="方正大标宋简体" w:hAnsi="??" w:eastAsia="方正大标宋简体" w:cs="Times New Roman"/>
          <w:b/>
          <w:color w:val="000000"/>
          <w:spacing w:val="-6"/>
          <w:kern w:val="0"/>
          <w:sz w:val="44"/>
          <w:szCs w:val="44"/>
          <w:lang w:eastAsia="zh-CN"/>
        </w:rPr>
        <w:t>办公室专项工作经费</w:t>
      </w:r>
      <w:r>
        <w:rPr>
          <w:rFonts w:hint="eastAsia" w:ascii="方正大标宋简体" w:hAnsi="??" w:eastAsia="方正大标宋简体" w:cs="Times New Roman"/>
          <w:b/>
          <w:color w:val="000000"/>
          <w:spacing w:val="-6"/>
          <w:kern w:val="0"/>
          <w:sz w:val="44"/>
          <w:szCs w:val="44"/>
        </w:rPr>
        <w:t>支出绩效评价</w:t>
      </w: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报告</w:t>
      </w:r>
    </w:p>
    <w:p>
      <w:pPr>
        <w:rPr>
          <w:rFonts w:hint="eastAsia" w:ascii="仿宋" w:hAnsi="仿宋" w:eastAsia="仿宋"/>
          <w:b/>
          <w:sz w:val="32"/>
          <w:szCs w:val="32"/>
        </w:rPr>
      </w:pPr>
    </w:p>
    <w:p>
      <w:pPr>
        <w:numPr>
          <w:ilvl w:val="0"/>
          <w:numId w:val="6"/>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项目概况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（一）项目基本情况：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项目立项依据：</w:t>
      </w:r>
      <w:r>
        <w:rPr>
          <w:rFonts w:hint="eastAsia" w:ascii="仿宋_GB2312" w:eastAsia="仿宋_GB2312"/>
          <w:sz w:val="32"/>
          <w:szCs w:val="32"/>
          <w:lang w:eastAsia="zh-CN"/>
        </w:rPr>
        <w:t>根据办公室日常运行开支情况</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项目实施主体：朝天区</w:t>
      </w:r>
      <w:r>
        <w:rPr>
          <w:rFonts w:hint="eastAsia" w:ascii="仿宋_GB2312" w:eastAsia="仿宋_GB2312"/>
          <w:sz w:val="32"/>
          <w:szCs w:val="32"/>
          <w:lang w:eastAsia="zh-CN"/>
        </w:rPr>
        <w:t>人民政府办公室</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项目实施计划及主要内容：涉及全区重大活动、重要会议，全力抓好统筹协调等工作。</w:t>
      </w:r>
    </w:p>
    <w:p>
      <w:pPr>
        <w:spacing w:line="560" w:lineRule="exact"/>
        <w:ind w:firstLine="640" w:firstLineChars="200"/>
        <w:rPr>
          <w:rFonts w:hint="eastAsia" w:ascii="黑体" w:eastAsia="黑体"/>
          <w:b/>
          <w:sz w:val="32"/>
          <w:szCs w:val="32"/>
        </w:rPr>
      </w:pPr>
      <w:r>
        <w:rPr>
          <w:rFonts w:hint="eastAsia" w:ascii="仿宋_GB2312" w:eastAsia="仿宋_GB2312"/>
          <w:sz w:val="32"/>
          <w:szCs w:val="32"/>
        </w:rPr>
        <w:t>（二）项目预算情况：项目资金预算（或计划）及测算</w:t>
      </w:r>
      <w:r>
        <w:rPr>
          <w:rFonts w:hint="eastAsia" w:ascii="仿宋_GB2312" w:eastAsia="仿宋_GB2312" w:cs="宋体"/>
          <w:color w:val="000000"/>
          <w:sz w:val="24"/>
          <w:lang w:eastAsia="zh-CN"/>
        </w:rPr>
        <w:t>213</w:t>
      </w:r>
      <w:r>
        <w:rPr>
          <w:rFonts w:hint="eastAsia" w:ascii="仿宋_GB2312" w:eastAsia="仿宋_GB2312" w:cs="宋体"/>
          <w:color w:val="000000"/>
          <w:sz w:val="24"/>
          <w:lang w:val="en-US" w:eastAsia="zh-CN"/>
        </w:rPr>
        <w:t>.</w:t>
      </w:r>
      <w:r>
        <w:rPr>
          <w:rFonts w:hint="eastAsia" w:ascii="仿宋_GB2312" w:eastAsia="仿宋_GB2312" w:cs="宋体"/>
          <w:color w:val="000000"/>
          <w:sz w:val="24"/>
          <w:lang w:eastAsia="zh-CN"/>
        </w:rPr>
        <w:t>9</w:t>
      </w:r>
      <w:r>
        <w:rPr>
          <w:rFonts w:hint="eastAsia" w:ascii="仿宋_GB2312" w:eastAsia="仿宋_GB2312" w:cs="宋体"/>
          <w:color w:val="000000"/>
          <w:sz w:val="24"/>
          <w:lang w:val="en-US" w:eastAsia="zh-CN"/>
        </w:rPr>
        <w:t>2</w:t>
      </w:r>
      <w:r>
        <w:rPr>
          <w:rFonts w:hint="eastAsia" w:ascii="仿宋_GB2312" w:eastAsia="仿宋_GB2312"/>
          <w:sz w:val="32"/>
          <w:szCs w:val="32"/>
        </w:rPr>
        <w:t>万元。项目预算无调整。</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二、项目资金管理情况</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（一）资金到位情况：项目资金</w:t>
      </w:r>
      <w:r>
        <w:rPr>
          <w:rFonts w:hint="eastAsia" w:ascii="仿宋_GB2312" w:hAnsi="仿宋" w:eastAsia="仿宋_GB2312"/>
          <w:sz w:val="32"/>
          <w:szCs w:val="32"/>
          <w:lang w:val="en-US" w:eastAsia="zh-CN"/>
        </w:rPr>
        <w:t>1月到12月30万元。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（二）预算资金执行情况：截止12月31日我单位该项目支出30万元。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（三）项目资金规范运行情况：</w:t>
      </w:r>
      <w:r>
        <w:rPr>
          <w:rFonts w:hint="eastAsia" w:ascii="仿宋_GB2312" w:hAnsi="仿宋" w:eastAsia="仿宋_GB2312"/>
          <w:sz w:val="32"/>
          <w:szCs w:val="32"/>
        </w:rPr>
        <w:t>严格执行资金使用申请程序及资金使用各项标准进行管理使用</w:t>
      </w:r>
      <w:r>
        <w:rPr>
          <w:rFonts w:hint="eastAsia" w:ascii="仿宋_GB2312" w:hAnsi="仿宋"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（四）财务管理情况：</w:t>
      </w:r>
      <w:r>
        <w:rPr>
          <w:rFonts w:ascii="仿宋_GB2312" w:hAnsi="仿宋" w:eastAsia="仿宋_GB2312"/>
          <w:sz w:val="32"/>
          <w:szCs w:val="32"/>
        </w:rPr>
        <w:t>我办</w:t>
      </w:r>
      <w:r>
        <w:rPr>
          <w:rFonts w:hint="eastAsia" w:ascii="仿宋_GB2312" w:hAnsi="仿宋" w:eastAsia="仿宋_GB2312"/>
          <w:sz w:val="32"/>
          <w:szCs w:val="32"/>
        </w:rPr>
        <w:t>按照财务管理制度</w:t>
      </w:r>
      <w:r>
        <w:rPr>
          <w:rFonts w:hint="eastAsia" w:ascii="仿宋_GB2312" w:hAnsi="仿宋" w:eastAsia="仿宋_GB2312"/>
          <w:sz w:val="32"/>
          <w:szCs w:val="32"/>
          <w:lang w:eastAsia="zh-CN"/>
        </w:rPr>
        <w:t>健全</w:t>
      </w:r>
      <w:r>
        <w:rPr>
          <w:rFonts w:hint="eastAsia" w:ascii="仿宋_GB2312" w:hAnsi="仿宋" w:eastAsia="仿宋_GB2312"/>
          <w:sz w:val="32"/>
          <w:szCs w:val="32"/>
        </w:rPr>
        <w:t>，</w:t>
      </w:r>
      <w:r>
        <w:rPr>
          <w:rFonts w:hint="eastAsia" w:ascii="仿宋_GB2312" w:hAnsi="仿宋" w:eastAsia="仿宋_GB2312"/>
          <w:sz w:val="32"/>
          <w:szCs w:val="32"/>
          <w:lang w:eastAsia="zh-CN"/>
        </w:rPr>
        <w:t>管理规范，会计规范核算财务处理，</w:t>
      </w:r>
      <w:r>
        <w:rPr>
          <w:rFonts w:hint="eastAsia" w:ascii="仿宋_GB2312" w:hAnsi="仿宋" w:eastAsia="仿宋_GB2312"/>
          <w:sz w:val="32"/>
          <w:szCs w:val="32"/>
        </w:rPr>
        <w:t>最大化发挥了项目资金的综合效益。</w:t>
      </w:r>
    </w:p>
    <w:p>
      <w:pPr>
        <w:spacing w:line="560" w:lineRule="exact"/>
        <w:ind w:firstLine="640" w:firstLineChars="200"/>
        <w:rPr>
          <w:rFonts w:hint="eastAsia" w:ascii="仿宋" w:hAnsi="仿宋" w:eastAsia="仿宋"/>
          <w:sz w:val="32"/>
          <w:szCs w:val="32"/>
        </w:rPr>
      </w:pPr>
      <w:r>
        <w:rPr>
          <w:rFonts w:hint="eastAsia" w:ascii="黑体" w:hAnsi="黑体" w:eastAsia="黑体"/>
          <w:sz w:val="32"/>
          <w:szCs w:val="32"/>
          <w:lang w:eastAsia="zh-CN"/>
        </w:rPr>
        <w:t>三</w:t>
      </w:r>
      <w:r>
        <w:rPr>
          <w:rFonts w:hint="eastAsia" w:ascii="黑体" w:hAnsi="黑体" w:eastAsia="黑体"/>
          <w:sz w:val="32"/>
          <w:szCs w:val="32"/>
        </w:rPr>
        <w:t>、项目组织实施情况</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（一）项目组织机关与职责落实情况：项目由办公室组织实施，由专班专人负责落实。</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lang w:eastAsia="zh-CN"/>
        </w:rPr>
        <w:t>（二）项目管理制度建设情况：严格按照办公室相关的</w:t>
      </w:r>
      <w:r>
        <w:rPr>
          <w:rFonts w:ascii="仿宋_GB2312" w:hAnsi="仿宋" w:eastAsia="仿宋_GB2312"/>
          <w:sz w:val="32"/>
          <w:szCs w:val="32"/>
        </w:rPr>
        <w:t>工作职责</w:t>
      </w:r>
      <w:r>
        <w:rPr>
          <w:rFonts w:hint="eastAsia" w:ascii="仿宋_GB2312" w:hAnsi="仿宋" w:eastAsia="仿宋_GB2312"/>
          <w:sz w:val="32"/>
          <w:szCs w:val="32"/>
          <w:lang w:eastAsia="zh-CN"/>
        </w:rPr>
        <w:t>开展工作</w:t>
      </w:r>
      <w:r>
        <w:rPr>
          <w:rFonts w:ascii="仿宋_GB2312" w:hAnsi="仿宋" w:eastAsia="仿宋_GB2312"/>
          <w:sz w:val="32"/>
          <w:szCs w:val="32"/>
        </w:rPr>
        <w:t>。</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（三）项目组织管理落实情况：</w:t>
      </w:r>
      <w:r>
        <w:rPr>
          <w:rFonts w:ascii="仿宋_GB2312" w:hAnsi="仿宋" w:eastAsia="仿宋_GB2312"/>
          <w:sz w:val="32"/>
          <w:szCs w:val="32"/>
        </w:rPr>
        <w:t>单位明确了专门机构和人员负责项目</w:t>
      </w:r>
      <w:r>
        <w:rPr>
          <w:rFonts w:hint="eastAsia" w:ascii="仿宋_GB2312" w:hAnsi="仿宋" w:eastAsia="仿宋_GB2312"/>
          <w:sz w:val="32"/>
          <w:szCs w:val="32"/>
          <w:lang w:eastAsia="zh-CN"/>
        </w:rPr>
        <w:t>实施</w:t>
      </w:r>
      <w:r>
        <w:rPr>
          <w:rFonts w:ascii="仿宋_GB2312" w:hAnsi="仿宋" w:eastAsia="仿宋_GB2312"/>
          <w:sz w:val="32"/>
          <w:szCs w:val="32"/>
        </w:rPr>
        <w:t>，统筹安排、协调处理相关事宜。</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项目绩效情况</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保障</w:t>
      </w:r>
      <w:r>
        <w:rPr>
          <w:rFonts w:hint="eastAsia" w:ascii="仿宋_GB2312" w:hAnsi="仿宋" w:eastAsia="仿宋_GB2312"/>
          <w:sz w:val="32"/>
          <w:szCs w:val="32"/>
        </w:rPr>
        <w:t>各项工作顺利推进，全面完成了省、市级主管部门、区委、区政府交办的各项事项</w:t>
      </w:r>
      <w:r>
        <w:rPr>
          <w:rFonts w:hint="eastAsia" w:ascii="仿宋_GB2312" w:hAnsi="仿宋" w:eastAsia="仿宋_GB2312"/>
          <w:sz w:val="32"/>
          <w:szCs w:val="32"/>
          <w:lang w:eastAsia="zh-CN"/>
        </w:rPr>
        <w:t>。</w:t>
      </w:r>
    </w:p>
    <w:p>
      <w:pPr>
        <w:autoSpaceDE w:val="0"/>
        <w:spacing w:line="576" w:lineRule="exact"/>
        <w:rPr>
          <w:rFonts w:hint="eastAsia" w:ascii="仿宋_GB2312" w:hAnsi="Times New Roman" w:eastAsia="仿宋_GB2312" w:cs="Times New Roman"/>
          <w:sz w:val="32"/>
          <w:szCs w:val="32"/>
          <w:lang w:val="en-US" w:eastAsia="zh-CN"/>
        </w:rPr>
      </w:pPr>
    </w:p>
    <w:p>
      <w:pPr>
        <w:pStyle w:val="15"/>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pStyle w:val="15"/>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pStyle w:val="15"/>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pStyle w:val="15"/>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pStyle w:val="15"/>
        <w:rPr>
          <w:rFonts w:hint="eastAsia"/>
          <w:lang w:val="en-US" w:eastAsia="zh-CN"/>
        </w:rPr>
      </w:pPr>
    </w:p>
    <w:p>
      <w:pPr>
        <w:pStyle w:val="15"/>
        <w:rPr>
          <w:rFonts w:hint="eastAsia" w:ascii="仿宋_GB2312" w:hAnsi="Times New Roman" w:eastAsia="仿宋_GB2312" w:cs="Times New Roman"/>
          <w:sz w:val="32"/>
          <w:szCs w:val="32"/>
          <w:lang w:val="en-US" w:eastAsia="zh-CN"/>
        </w:rPr>
      </w:pPr>
    </w:p>
    <w:p>
      <w:pPr>
        <w:rPr>
          <w:rFonts w:hint="eastAsia" w:ascii="仿宋_GB2312" w:hAnsi="Times New Roman" w:eastAsia="仿宋_GB2312" w:cs="Times New Roman"/>
          <w:sz w:val="32"/>
          <w:szCs w:val="32"/>
          <w:lang w:val="en-US" w:eastAsia="zh-CN"/>
        </w:rPr>
      </w:pPr>
    </w:p>
    <w:p>
      <w:pPr>
        <w:pStyle w:val="15"/>
        <w:rPr>
          <w:rFonts w:hint="eastAsia"/>
          <w:lang w:val="en-US" w:eastAsia="zh-CN"/>
        </w:rPr>
      </w:pPr>
    </w:p>
    <w:p>
      <w:pPr>
        <w:pStyle w:val="15"/>
        <w:rPr>
          <w:rFonts w:hint="eastAsia"/>
          <w:lang w:val="en-US" w:eastAsia="zh-CN"/>
        </w:rPr>
      </w:pPr>
    </w:p>
    <w:tbl>
      <w:tblPr>
        <w:tblStyle w:val="16"/>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750"/>
        <w:gridCol w:w="1250"/>
        <w:gridCol w:w="782"/>
        <w:gridCol w:w="635"/>
        <w:gridCol w:w="1757"/>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34"/>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w:t>
            </w:r>
            <w:r>
              <w:rPr>
                <w:rFonts w:hint="eastAsia" w:ascii="黑体" w:hAnsi="黑体" w:eastAsia="黑体" w:cs="宋体"/>
                <w:bCs/>
                <w:color w:val="000000"/>
                <w:kern w:val="0"/>
                <w:sz w:val="36"/>
                <w:szCs w:val="36"/>
                <w:lang w:eastAsia="zh-CN"/>
              </w:rPr>
              <w:t>自评</w:t>
            </w:r>
            <w:r>
              <w:rPr>
                <w:rFonts w:hint="eastAsia" w:ascii="黑体" w:hAnsi="黑体" w:eastAsia="黑体" w:cs="宋体"/>
                <w:bCs/>
                <w:color w:val="000000"/>
                <w:kern w:val="0"/>
                <w:sz w:val="36"/>
                <w:szCs w:val="36"/>
              </w:rPr>
              <w:t>表</w:t>
            </w:r>
          </w:p>
          <w:p>
            <w:pPr>
              <w:pStyle w:val="34"/>
              <w:widowControl/>
              <w:ind w:left="4187" w:leftChars="1994" w:firstLine="18" w:firstLineChars="5"/>
              <w:textAlignment w:val="center"/>
              <w:rPr>
                <w:rFonts w:ascii="宋体" w:cs="宋体"/>
                <w:color w:val="000000"/>
                <w:sz w:val="36"/>
                <w:szCs w:val="36"/>
              </w:rPr>
            </w:pPr>
            <w:r>
              <w:rPr>
                <w:rFonts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仿宋_GB2312" w:eastAsia="仿宋_GB2312" w:cs="宋体"/>
                <w:color w:val="000000"/>
                <w:sz w:val="24"/>
                <w:lang w:eastAsia="zh-CN"/>
              </w:rPr>
            </w:pPr>
            <w:r>
              <w:rPr>
                <w:rFonts w:hint="eastAsia" w:ascii="仿宋_GB2312" w:eastAsia="仿宋_GB2312" w:cs="宋体"/>
                <w:color w:val="000000"/>
                <w:sz w:val="24"/>
              </w:rPr>
              <w:t>办公室</w:t>
            </w:r>
            <w:r>
              <w:rPr>
                <w:rFonts w:hint="eastAsia" w:ascii="仿宋_GB2312" w:eastAsia="仿宋_GB2312" w:cs="宋体"/>
                <w:color w:val="000000"/>
                <w:sz w:val="24"/>
                <w:lang w:eastAsia="zh-CN"/>
              </w:rPr>
              <w:t>专项工作经费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广元市朝天区人民政府办公室</w:t>
            </w:r>
          </w:p>
        </w:tc>
      </w:tr>
      <w:tr>
        <w:tblPrEx>
          <w:tblCellMar>
            <w:top w:w="0" w:type="dxa"/>
            <w:left w:w="0" w:type="dxa"/>
            <w:bottom w:w="0" w:type="dxa"/>
            <w:right w:w="0" w:type="dxa"/>
          </w:tblCellMar>
        </w:tblPrEx>
        <w:trPr>
          <w:trHeight w:val="276"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预算执行情况</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万元</w:t>
            </w:r>
            <w:r>
              <w:rPr>
                <w:rFonts w:ascii="仿宋_GB2312" w:hAnsi="宋体" w:eastAsia="仿宋_GB2312" w:cs="宋体"/>
                <w:color w:val="000000"/>
                <w:kern w:val="0"/>
                <w:sz w:val="24"/>
              </w:rPr>
              <w:t>)</w:t>
            </w: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预算数</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执行数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30</w:t>
            </w:r>
          </w:p>
        </w:tc>
      </w:tr>
      <w:tr>
        <w:tblPrEx>
          <w:tblCellMar>
            <w:top w:w="0" w:type="dxa"/>
            <w:left w:w="0" w:type="dxa"/>
            <w:bottom w:w="0" w:type="dxa"/>
            <w:right w:w="0" w:type="dxa"/>
          </w:tblCellMar>
        </w:tblPrEx>
        <w:trPr>
          <w:trHeight w:val="276"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30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30</w:t>
            </w:r>
          </w:p>
        </w:tc>
      </w:tr>
      <w:tr>
        <w:tblPrEx>
          <w:tblCellMar>
            <w:top w:w="0" w:type="dxa"/>
            <w:left w:w="0" w:type="dxa"/>
            <w:bottom w:w="0" w:type="dxa"/>
            <w:right w:w="0" w:type="dxa"/>
          </w:tblCellMar>
        </w:tblPrEx>
        <w:trPr>
          <w:trHeight w:val="1102"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03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rPr>
            </w:pPr>
            <w:r>
              <w:rPr>
                <w:rFonts w:ascii="仿宋_GB2312" w:eastAsia="仿宋_GB2312" w:cs="宋体"/>
                <w:color w:val="000000"/>
                <w:sz w:val="24"/>
              </w:rPr>
              <w:t>0</w:t>
            </w:r>
          </w:p>
        </w:tc>
      </w:tr>
      <w:tr>
        <w:tblPrEx>
          <w:tblCellMar>
            <w:top w:w="0" w:type="dxa"/>
            <w:left w:w="0" w:type="dxa"/>
            <w:bottom w:w="0" w:type="dxa"/>
            <w:right w:w="0" w:type="dxa"/>
          </w:tblCellMar>
        </w:tblPrEx>
        <w:trPr>
          <w:trHeight w:val="276"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年度目标完成情况</w:t>
            </w:r>
          </w:p>
        </w:tc>
        <w:tc>
          <w:tcPr>
            <w:tcW w:w="442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4424"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涉及全区重大活动、重要会议，区政府办全力抓好统筹协调等工作。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各项工作顺利推进，全面完成了省、市级主管部门、区委、区政府交办的各项事项。</w:t>
            </w:r>
          </w:p>
        </w:tc>
      </w:tr>
      <w:tr>
        <w:tblPrEx>
          <w:tblCellMar>
            <w:top w:w="0" w:type="dxa"/>
            <w:left w:w="0" w:type="dxa"/>
            <w:bottom w:w="0" w:type="dxa"/>
            <w:right w:w="0" w:type="dxa"/>
          </w:tblCellMar>
        </w:tblPrEx>
        <w:trPr>
          <w:trHeight w:val="1042" w:hRule="atLeast"/>
        </w:trPr>
        <w:tc>
          <w:tcPr>
            <w:tcW w:w="75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绩效指标完成情况</w:t>
            </w:r>
          </w:p>
          <w:p>
            <w:pPr>
              <w:widowControl/>
              <w:textAlignment w:val="center"/>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一级指标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二级指标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r>
      <w:tr>
        <w:tblPrEx>
          <w:tblCellMar>
            <w:top w:w="0" w:type="dxa"/>
            <w:left w:w="0" w:type="dxa"/>
            <w:bottom w:w="0" w:type="dxa"/>
            <w:right w:w="0" w:type="dxa"/>
          </w:tblCellMar>
        </w:tblPrEx>
        <w:trPr>
          <w:trHeight w:val="698"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项目完成指标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质量指标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有效及时完成工作职责</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完成了各项交办的工作</w:t>
            </w:r>
          </w:p>
        </w:tc>
      </w:tr>
      <w:tr>
        <w:tblPrEx>
          <w:tblCellMar>
            <w:top w:w="0" w:type="dxa"/>
            <w:left w:w="0" w:type="dxa"/>
            <w:bottom w:w="0" w:type="dxa"/>
            <w:right w:w="0" w:type="dxa"/>
          </w:tblCellMar>
        </w:tblPrEx>
        <w:trPr>
          <w:trHeight w:val="823"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时效指标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sz w:val="24"/>
              </w:rPr>
              <w:t>20</w:t>
            </w:r>
            <w:r>
              <w:rPr>
                <w:rFonts w:hint="eastAsia" w:ascii="仿宋_GB2312" w:eastAsia="仿宋_GB2312" w:cs="宋体"/>
                <w:color w:val="000000"/>
                <w:sz w:val="24"/>
                <w:lang w:val="en-US" w:eastAsia="zh-CN"/>
              </w:rPr>
              <w:t>22</w:t>
            </w:r>
            <w:r>
              <w:rPr>
                <w:rFonts w:hint="eastAsia" w:ascii="仿宋_GB2312" w:eastAsia="仿宋_GB2312" w:cs="宋体"/>
                <w:color w:val="000000"/>
                <w:sz w:val="24"/>
              </w:rPr>
              <w:t>年</w:t>
            </w:r>
            <w:r>
              <w:rPr>
                <w:rFonts w:ascii="仿宋_GB2312" w:eastAsia="仿宋_GB2312" w:cs="宋体"/>
                <w:color w:val="000000"/>
                <w:sz w:val="24"/>
              </w:rPr>
              <w:t>12</w:t>
            </w:r>
            <w:r>
              <w:rPr>
                <w:rFonts w:hint="eastAsia" w:ascii="仿宋_GB2312" w:eastAsia="仿宋_GB2312" w:cs="宋体"/>
                <w:color w:val="000000"/>
                <w:sz w:val="24"/>
              </w:rPr>
              <w:t>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按时完成</w:t>
            </w:r>
          </w:p>
        </w:tc>
      </w:tr>
      <w:tr>
        <w:tblPrEx>
          <w:tblCellMar>
            <w:top w:w="0" w:type="dxa"/>
            <w:left w:w="0" w:type="dxa"/>
            <w:bottom w:w="0" w:type="dxa"/>
            <w:right w:w="0" w:type="dxa"/>
          </w:tblCellMar>
        </w:tblPrEx>
        <w:trPr>
          <w:trHeight w:val="820"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效益指标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社会效益指标</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pPr>
          </w:p>
          <w:p>
            <w:pPr>
              <w:pStyle w:val="15"/>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提高了政府服务效益</w:t>
            </w:r>
          </w:p>
        </w:tc>
      </w:tr>
      <w:tr>
        <w:tblPrEx>
          <w:tblCellMar>
            <w:top w:w="0" w:type="dxa"/>
            <w:left w:w="0" w:type="dxa"/>
            <w:bottom w:w="0" w:type="dxa"/>
            <w:right w:w="0" w:type="dxa"/>
          </w:tblCellMar>
        </w:tblPrEx>
        <w:trPr>
          <w:trHeight w:val="691"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25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满意度指标</w:t>
            </w:r>
          </w:p>
        </w:tc>
        <w:tc>
          <w:tcPr>
            <w:tcW w:w="14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群众建设满意度</w:t>
            </w:r>
          </w:p>
        </w:tc>
        <w:tc>
          <w:tcPr>
            <w:tcW w:w="17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服务对象满意度指标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服务对象满意度达</w:t>
            </w:r>
            <w:r>
              <w:rPr>
                <w:rFonts w:ascii="仿宋_GB2312" w:eastAsia="仿宋_GB2312" w:cs="宋体"/>
                <w:color w:val="000000"/>
                <w:sz w:val="24"/>
              </w:rPr>
              <w:t xml:space="preserve"> 9</w:t>
            </w:r>
            <w:r>
              <w:rPr>
                <w:rFonts w:hint="eastAsia" w:ascii="仿宋_GB2312" w:eastAsia="仿宋_GB2312" w:cs="宋体"/>
                <w:color w:val="000000"/>
                <w:sz w:val="24"/>
                <w:lang w:val="en-US" w:eastAsia="zh-CN"/>
              </w:rPr>
              <w:t>8</w:t>
            </w:r>
            <w:r>
              <w:rPr>
                <w:rFonts w:ascii="仿宋_GB2312" w:eastAsia="仿宋_GB2312" w:cs="宋体"/>
                <w:color w:val="000000"/>
                <w:sz w:val="24"/>
              </w:rPr>
              <w:t>%</w:t>
            </w:r>
            <w:r>
              <w:rPr>
                <w:rFonts w:hint="eastAsia" w:ascii="仿宋_GB2312" w:eastAsia="仿宋_GB2312" w:cs="宋体"/>
                <w:color w:val="000000"/>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服务对象满意度达</w:t>
            </w:r>
          </w:p>
          <w:p>
            <w:pPr>
              <w:widowControl/>
              <w:jc w:val="center"/>
              <w:textAlignment w:val="center"/>
              <w:rPr>
                <w:rFonts w:ascii="仿宋_GB2312" w:eastAsia="仿宋_GB2312" w:cs="宋体"/>
                <w:color w:val="000000"/>
                <w:sz w:val="24"/>
              </w:rPr>
            </w:pPr>
            <w:r>
              <w:rPr>
                <w:rFonts w:ascii="仿宋_GB2312" w:eastAsia="仿宋_GB2312" w:cs="宋体"/>
                <w:color w:val="000000"/>
                <w:sz w:val="24"/>
              </w:rPr>
              <w:t>100%</w:t>
            </w:r>
          </w:p>
        </w:tc>
      </w:tr>
    </w:tbl>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spacing w:line="580" w:lineRule="exact"/>
        <w:jc w:val="center"/>
        <w:rPr>
          <w:rFonts w:ascii="黑体" w:hAnsi="黑体" w:eastAsia="黑体" w:cs="方正小标宋简体"/>
          <w:w w:val="90"/>
          <w:sz w:val="44"/>
          <w:szCs w:val="44"/>
        </w:rPr>
      </w:pPr>
    </w:p>
    <w:p>
      <w:pPr>
        <w:keepNext w:val="0"/>
        <w:keepLines w:val="0"/>
        <w:widowControl/>
        <w:suppressLineNumbers w:val="0"/>
        <w:jc w:val="center"/>
        <w:textAlignment w:val="top"/>
        <w:rPr>
          <w:rFonts w:hint="default" w:ascii="方正大标宋_GBK" w:hAnsi="方正大标宋_GBK" w:eastAsia="方正大标宋_GBK" w:cs="方正大标宋_GBK"/>
          <w:b/>
          <w:bCs/>
          <w:i w:val="0"/>
          <w:iCs w:val="0"/>
          <w:color w:val="000000"/>
          <w:kern w:val="0"/>
          <w:sz w:val="40"/>
          <w:szCs w:val="40"/>
          <w:u w:val="none"/>
          <w:lang w:val="en-US" w:eastAsia="zh-CN" w:bidi="ar"/>
        </w:rPr>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tbl>
      <w:tblPr>
        <w:tblStyle w:val="16"/>
        <w:tblW w:w="14575" w:type="dxa"/>
        <w:tblInd w:w="-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080"/>
        <w:gridCol w:w="1080"/>
        <w:gridCol w:w="4222"/>
        <w:gridCol w:w="533"/>
        <w:gridCol w:w="6384"/>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75" w:type="dxa"/>
            <w:gridSpan w:val="7"/>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w:t>
            </w:r>
            <w:r>
              <w:rPr>
                <w:rFonts w:hint="eastAsia" w:ascii="方正大标宋_GBK" w:hAnsi="方正大标宋_GBK" w:eastAsia="方正大标宋_GBK" w:cs="方正大标宋_GBK"/>
                <w:b/>
                <w:bCs/>
                <w:i w:val="0"/>
                <w:iCs w:val="0"/>
                <w:color w:val="000000"/>
                <w:kern w:val="0"/>
                <w:sz w:val="40"/>
                <w:szCs w:val="40"/>
                <w:u w:val="none"/>
                <w:lang w:val="en-US" w:eastAsia="zh-CN" w:bidi="ar"/>
              </w:rPr>
              <w:t>1</w:t>
            </w:r>
            <w:r>
              <w:rPr>
                <w:rFonts w:hint="default" w:ascii="方正大标宋_GBK" w:hAnsi="方正大标宋_GBK" w:eastAsia="方正大标宋_GBK" w:cs="方正大标宋_GBK"/>
                <w:b/>
                <w:bCs/>
                <w:i w:val="0"/>
                <w:iCs w:val="0"/>
                <w:color w:val="000000"/>
                <w:kern w:val="0"/>
                <w:sz w:val="40"/>
                <w:szCs w:val="40"/>
                <w:u w:val="none"/>
                <w:lang w:val="en-US" w:eastAsia="zh-CN" w:bidi="ar"/>
              </w:rPr>
              <w:t>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57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仿宋_GB2312" w:cs="黑体"/>
                <w:i w:val="0"/>
                <w:iCs w:val="0"/>
                <w:color w:val="000000"/>
                <w:sz w:val="20"/>
                <w:szCs w:val="20"/>
                <w:u w:val="none"/>
                <w:lang w:val="en-US" w:eastAsia="zh-CN"/>
              </w:rPr>
            </w:pPr>
            <w:r>
              <w:rPr>
                <w:rFonts w:hint="eastAsia" w:ascii="黑体" w:hAnsi="宋体" w:eastAsia="黑体" w:cs="黑体"/>
                <w:i w:val="0"/>
                <w:iCs w:val="0"/>
                <w:color w:val="000000"/>
                <w:kern w:val="0"/>
                <w:sz w:val="20"/>
                <w:szCs w:val="20"/>
                <w:u w:val="none"/>
                <w:lang w:val="en-US" w:eastAsia="zh-CN" w:bidi="ar"/>
              </w:rPr>
              <w:t xml:space="preserve"> 部门（单位）盖章：                                                                          项目名称：</w:t>
            </w:r>
            <w:r>
              <w:rPr>
                <w:rFonts w:hint="eastAsia" w:ascii="仿宋_GB2312" w:eastAsia="仿宋_GB2312" w:cs="宋体"/>
                <w:color w:val="000000"/>
                <w:sz w:val="24"/>
              </w:rPr>
              <w:t>办公室</w:t>
            </w:r>
            <w:r>
              <w:rPr>
                <w:rFonts w:hint="eastAsia" w:ascii="仿宋_GB2312" w:eastAsia="仿宋_GB2312" w:cs="宋体"/>
                <w:color w:val="000000"/>
                <w:sz w:val="24"/>
                <w:lang w:eastAsia="zh-CN"/>
              </w:rPr>
              <w:t>专项工作经费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18"/>
                <w:szCs w:val="18"/>
                <w:u w:val="none"/>
              </w:rPr>
            </w:pPr>
            <w:r>
              <w:rPr>
                <w:rFonts w:hint="eastAsia" w:ascii="仿宋" w:hAnsi="仿宋" w:eastAsia="仿宋" w:cs="仿宋"/>
                <w:i w:val="0"/>
                <w:iCs w:val="0"/>
                <w:color w:val="FF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1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1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Style w:val="35"/>
                <w:sz w:val="20"/>
                <w:szCs w:val="20"/>
                <w:lang w:val="en-US" w:eastAsia="zh-CN" w:bidi="ar"/>
              </w:rPr>
              <w:t>自评结果：</w:t>
            </w:r>
            <w:r>
              <w:rPr>
                <w:rStyle w:val="36"/>
                <w:sz w:val="20"/>
                <w:szCs w:val="20"/>
                <w:lang w:val="en-US" w:eastAsia="zh-CN" w:bidi="ar"/>
              </w:rPr>
              <w:t>R</w:t>
            </w:r>
            <w:r>
              <w:rPr>
                <w:rStyle w:val="37"/>
                <w:sz w:val="20"/>
                <w:szCs w:val="20"/>
                <w:lang w:val="en-US" w:eastAsia="zh-CN" w:bidi="ar"/>
              </w:rPr>
              <w:t>优秀（90≤得分≤100）；   □良好（80≤得分＜89）；   □及格（60≤得分＜79）；  □不及格（低于60分）</w:t>
            </w:r>
          </w:p>
        </w:tc>
      </w:tr>
    </w:tbl>
    <w:p>
      <w:pPr>
        <w:pStyle w:val="15"/>
      </w:pPr>
    </w:p>
    <w:p/>
    <w:p>
      <w:pPr>
        <w:pStyle w:val="15"/>
      </w:pPr>
    </w:p>
    <w:p/>
    <w:p>
      <w:pPr>
        <w:spacing w:line="580" w:lineRule="exact"/>
        <w:jc w:val="center"/>
        <w:rPr>
          <w:rFonts w:ascii="黑体" w:hAnsi="黑体" w:eastAsia="黑体" w:cs="方正小标宋简体"/>
          <w:w w:val="90"/>
          <w:sz w:val="44"/>
          <w:szCs w:val="44"/>
        </w:rPr>
        <w:sectPr>
          <w:pgSz w:w="16838" w:h="11906" w:orient="landscape"/>
          <w:pgMar w:top="1803" w:right="1440" w:bottom="1803" w:left="1440" w:header="851" w:footer="992" w:gutter="0"/>
          <w:pgNumType w:start="1"/>
          <w:cols w:space="0" w:num="1"/>
          <w:titlePg/>
          <w:rtlGutter w:val="0"/>
          <w:docGrid w:type="lines" w:linePitch="319" w:charSpace="0"/>
        </w:sectPr>
      </w:pPr>
    </w:p>
    <w:p>
      <w:pPr>
        <w:spacing w:line="580" w:lineRule="exact"/>
        <w:jc w:val="center"/>
        <w:rPr>
          <w:rFonts w:ascii="黑体" w:hAnsi="黑体" w:eastAsia="黑体" w:cs="方正小标宋简体"/>
          <w:w w:val="90"/>
          <w:sz w:val="44"/>
          <w:szCs w:val="44"/>
        </w:rPr>
      </w:pPr>
      <w:r>
        <w:rPr>
          <w:rFonts w:ascii="黑体" w:hAnsi="黑体" w:eastAsia="黑体" w:cs="方正小标宋简体"/>
          <w:w w:val="90"/>
          <w:sz w:val="44"/>
          <w:szCs w:val="44"/>
        </w:rPr>
        <w:t>202</w:t>
      </w:r>
      <w:r>
        <w:rPr>
          <w:rFonts w:hint="eastAsia" w:ascii="黑体" w:hAnsi="黑体" w:eastAsia="黑体" w:cs="方正小标宋简体"/>
          <w:w w:val="90"/>
          <w:sz w:val="44"/>
          <w:szCs w:val="44"/>
          <w:lang w:val="en-US" w:eastAsia="zh-CN"/>
        </w:rPr>
        <w:t>1</w:t>
      </w:r>
      <w:r>
        <w:rPr>
          <w:rFonts w:hint="eastAsia" w:ascii="黑体" w:hAnsi="黑体" w:eastAsia="黑体" w:cs="方正小标宋简体"/>
          <w:w w:val="90"/>
          <w:sz w:val="44"/>
          <w:szCs w:val="44"/>
        </w:rPr>
        <w:t>年</w:t>
      </w:r>
      <w:r>
        <w:rPr>
          <w:rFonts w:hint="eastAsia" w:ascii="黑体" w:hAnsi="黑体" w:eastAsia="黑体" w:cs="方正小标宋简体"/>
          <w:w w:val="90"/>
          <w:sz w:val="44"/>
          <w:szCs w:val="44"/>
          <w:lang w:eastAsia="zh-CN"/>
        </w:rPr>
        <w:t>乡村振兴</w:t>
      </w:r>
      <w:r>
        <w:rPr>
          <w:rFonts w:hint="eastAsia" w:ascii="黑体" w:hAnsi="黑体" w:eastAsia="黑体" w:cs="方正小标宋简体"/>
          <w:w w:val="90"/>
          <w:sz w:val="44"/>
          <w:szCs w:val="44"/>
        </w:rPr>
        <w:t>工作项目支出绩效评价报告</w:t>
      </w:r>
    </w:p>
    <w:p>
      <w:pPr>
        <w:spacing w:line="580" w:lineRule="exact"/>
        <w:ind w:firstLine="640" w:firstLineChars="200"/>
        <w:rPr>
          <w:rFonts w:ascii="黑体" w:hAnsi="仿宋_GB2312" w:eastAsia="黑体" w:cs="仿宋_GB2312"/>
          <w:sz w:val="32"/>
          <w:szCs w:val="32"/>
        </w:rPr>
      </w:pPr>
    </w:p>
    <w:p>
      <w:pPr>
        <w:pStyle w:val="14"/>
        <w:keepNext w:val="0"/>
        <w:keepLines w:val="0"/>
        <w:pageBreakBefore w:val="0"/>
        <w:numPr>
          <w:ilvl w:val="0"/>
          <w:numId w:val="7"/>
        </w:numPr>
        <w:shd w:val="clear" w:color="auto" w:fill="FFFFFF"/>
        <w:kinsoku/>
        <w:wordWrap/>
        <w:overflowPunct/>
        <w:topLinePunct w:val="0"/>
        <w:bidi w:val="0"/>
        <w:adjustRightInd/>
        <w:spacing w:beforeAutospacing="0" w:afterAutospacing="0" w:line="576" w:lineRule="exact"/>
        <w:ind w:left="640"/>
        <w:jc w:val="both"/>
        <w:textAlignment w:val="auto"/>
        <w:rPr>
          <w:rFonts w:ascii="黑体" w:hAnsi="微软雅黑" w:eastAsia="黑体"/>
          <w:b/>
          <w:color w:val="333333"/>
          <w:sz w:val="32"/>
          <w:szCs w:val="32"/>
        </w:rPr>
      </w:pPr>
      <w:r>
        <w:rPr>
          <w:rFonts w:hint="eastAsia" w:ascii="黑体" w:hAnsi="微软雅黑" w:eastAsia="黑体"/>
          <w:b/>
          <w:color w:val="333333"/>
          <w:sz w:val="32"/>
          <w:szCs w:val="32"/>
        </w:rPr>
        <w:t>评价工作开展及项目情况</w:t>
      </w:r>
    </w:p>
    <w:p>
      <w:pPr>
        <w:keepNext w:val="0"/>
        <w:keepLines w:val="0"/>
        <w:pageBreakBefore w:val="0"/>
        <w:kinsoku/>
        <w:wordWrap/>
        <w:overflowPunct/>
        <w:topLinePunct w:val="0"/>
        <w:autoSpaceDN w:val="0"/>
        <w:bidi w:val="0"/>
        <w:adjustRightInd/>
        <w:snapToGrid w:val="0"/>
        <w:spacing w:line="576" w:lineRule="exact"/>
        <w:ind w:firstLine="640" w:firstLineChars="200"/>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区政府办作为帮扶单位</w:t>
      </w:r>
      <w:r>
        <w:rPr>
          <w:rFonts w:ascii="仿宋_GB2312" w:eastAsia="仿宋_GB2312" w:cs="仿宋_GB2312"/>
          <w:color w:val="000000"/>
          <w:sz w:val="32"/>
          <w:szCs w:val="32"/>
          <w:lang w:eastAsia="zh-CN"/>
        </w:rPr>
        <w:t>，</w:t>
      </w:r>
      <w:r>
        <w:rPr>
          <w:rFonts w:hint="eastAsia" w:ascii="仿宋_GB2312" w:eastAsia="仿宋_GB2312" w:cs="仿宋_GB2312"/>
          <w:color w:val="000000"/>
          <w:sz w:val="32"/>
          <w:szCs w:val="32"/>
        </w:rPr>
        <w:t>高度重视，始终扛牢政治责任，坚决贯彻落实党中央、省委重大决策部署。</w:t>
      </w:r>
      <w:r>
        <w:rPr>
          <w:rFonts w:hint="eastAsia" w:ascii="仿宋_GB2312" w:eastAsia="仿宋_GB2312" w:cs="仿宋_GB2312"/>
          <w:color w:val="000000"/>
          <w:sz w:val="32"/>
          <w:szCs w:val="32"/>
          <w:lang w:eastAsia="zh-CN"/>
        </w:rPr>
        <w:t>今年以来，</w:t>
      </w:r>
      <w:r>
        <w:rPr>
          <w:rFonts w:ascii="仿宋_GB2312" w:eastAsia="仿宋_GB2312" w:cs="仿宋_GB2312"/>
          <w:color w:val="000000"/>
          <w:sz w:val="32"/>
          <w:szCs w:val="32"/>
          <w:lang w:eastAsia="zh-CN"/>
        </w:rPr>
        <w:t>一是</w:t>
      </w:r>
      <w:r>
        <w:rPr>
          <w:rFonts w:hint="eastAsia" w:ascii="仿宋_GB2312" w:eastAsia="仿宋_GB2312" w:cs="仿宋_GB2312"/>
          <w:color w:val="000000"/>
          <w:sz w:val="32"/>
          <w:szCs w:val="32"/>
        </w:rPr>
        <w:t>先后召开三次</w:t>
      </w:r>
      <w:r>
        <w:rPr>
          <w:rFonts w:hint="eastAsia" w:ascii="仿宋_GB2312" w:eastAsia="仿宋_GB2312" w:cs="仿宋_GB2312"/>
          <w:color w:val="000000"/>
          <w:sz w:val="32"/>
          <w:szCs w:val="32"/>
          <w:lang w:eastAsia="zh-CN"/>
        </w:rPr>
        <w:t>专题</w:t>
      </w:r>
      <w:r>
        <w:rPr>
          <w:rFonts w:hint="eastAsia" w:ascii="仿宋_GB2312" w:eastAsia="仿宋_GB2312" w:cs="仿宋_GB2312"/>
          <w:color w:val="000000"/>
          <w:sz w:val="32"/>
          <w:szCs w:val="32"/>
        </w:rPr>
        <w:t>会议，部署推动巩固脱贫攻坚成果同乡村振兴有效衔接</w:t>
      </w:r>
      <w:r>
        <w:rPr>
          <w:rFonts w:hint="eastAsia" w:ascii="仿宋_GB2312" w:eastAsia="仿宋_GB2312" w:cs="仿宋_GB2312"/>
          <w:color w:val="000000"/>
          <w:sz w:val="32"/>
          <w:szCs w:val="32"/>
          <w:lang w:eastAsia="zh-CN"/>
        </w:rPr>
        <w:t>帮扶</w:t>
      </w:r>
      <w:r>
        <w:rPr>
          <w:rFonts w:hint="eastAsia" w:ascii="仿宋_GB2312" w:eastAsia="仿宋_GB2312" w:cs="仿宋_GB2312"/>
          <w:color w:val="000000"/>
          <w:sz w:val="32"/>
          <w:szCs w:val="32"/>
        </w:rPr>
        <w:t>工作</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坚持把巩固脱贫攻坚成果同乡村振兴有效衔接作为重大政治任务，扛在肩上、抓在手上、落实在行动上</w:t>
      </w:r>
      <w:r>
        <w:rPr>
          <w:rFonts w:hint="eastAsia" w:ascii="仿宋_GB2312" w:eastAsia="仿宋_GB2312" w:cs="仿宋_GB2312"/>
          <w:color w:val="000000"/>
          <w:sz w:val="32"/>
          <w:szCs w:val="32"/>
          <w:lang w:eastAsia="zh-CN"/>
        </w:rPr>
        <w:t>。</w:t>
      </w:r>
      <w:r>
        <w:rPr>
          <w:rFonts w:ascii="仿宋_GB2312" w:eastAsia="仿宋_GB2312" w:cs="仿宋_GB2312"/>
          <w:color w:val="000000"/>
          <w:sz w:val="32"/>
          <w:szCs w:val="32"/>
          <w:lang w:eastAsia="zh-CN"/>
        </w:rPr>
        <w:t>二是</w:t>
      </w:r>
      <w:r>
        <w:rPr>
          <w:rFonts w:hint="eastAsia" w:ascii="仿宋_GB2312" w:eastAsia="仿宋_GB2312" w:cs="仿宋_GB2312"/>
          <w:color w:val="000000"/>
          <w:sz w:val="32"/>
          <w:szCs w:val="32"/>
          <w:lang w:eastAsia="zh-CN"/>
        </w:rPr>
        <w:t>高标准选派驻村工作组，</w:t>
      </w:r>
      <w:r>
        <w:rPr>
          <w:rFonts w:hint="eastAsia" w:ascii="仿宋_GB2312" w:eastAsia="仿宋_GB2312" w:cs="仿宋_GB2312"/>
          <w:color w:val="000000"/>
          <w:sz w:val="32"/>
          <w:szCs w:val="32"/>
          <w:lang w:val="en-US" w:eastAsia="zh-CN"/>
        </w:rPr>
        <w:t>由4名农村工作经验丰富的干部</w:t>
      </w:r>
      <w:r>
        <w:rPr>
          <w:rFonts w:ascii="仿宋_GB2312" w:eastAsia="仿宋_GB2312" w:cs="仿宋_GB2312"/>
          <w:color w:val="000000"/>
          <w:sz w:val="32"/>
          <w:szCs w:val="32"/>
          <w:lang w:val="en-US" w:eastAsia="zh-CN"/>
        </w:rPr>
        <w:t>组成驻村工作队</w:t>
      </w:r>
      <w:r>
        <w:rPr>
          <w:rFonts w:hint="eastAsia" w:ascii="仿宋_GB2312" w:eastAsia="仿宋_GB2312" w:cs="仿宋_GB2312"/>
          <w:color w:val="000000"/>
          <w:sz w:val="32"/>
          <w:szCs w:val="32"/>
          <w:lang w:val="en-US" w:eastAsia="zh-CN"/>
        </w:rPr>
        <w:t>，全脱产驻村开展帮扶工作</w:t>
      </w:r>
      <w:r>
        <w:rPr>
          <w:rFonts w:ascii="仿宋_GB2312" w:eastAsia="仿宋_GB2312" w:cs="仿宋_GB2312"/>
          <w:color w:val="000000"/>
          <w:sz w:val="32"/>
          <w:szCs w:val="32"/>
          <w:lang w:val="en-US" w:eastAsia="zh-CN"/>
        </w:rPr>
        <w:t>。三是办公室全体干部和石板村两委干部采取“1+1”、“1+2”模式与66户脱贫户结对认亲，联动开展乡村振兴工作</w:t>
      </w:r>
      <w:r>
        <w:rPr>
          <w:rFonts w:hint="eastAsia" w:ascii="仿宋_GB2312" w:eastAsia="仿宋_GB2312" w:cs="仿宋"/>
          <w:color w:val="000000"/>
          <w:sz w:val="32"/>
          <w:szCs w:val="32"/>
        </w:rPr>
        <w:t>。</w:t>
      </w:r>
    </w:p>
    <w:p>
      <w:pPr>
        <w:keepNext w:val="0"/>
        <w:keepLines w:val="0"/>
        <w:pageBreakBefore w:val="0"/>
        <w:kinsoku/>
        <w:wordWrap/>
        <w:overflowPunct/>
        <w:topLinePunct w:val="0"/>
        <w:bidi w:val="0"/>
        <w:adjustRightInd/>
        <w:spacing w:line="576" w:lineRule="exact"/>
        <w:ind w:firstLine="640" w:firstLineChars="200"/>
        <w:textAlignment w:val="auto"/>
        <w:rPr>
          <w:rFonts w:ascii="黑体" w:hAnsi="仿宋_GB2312" w:eastAsia="黑体" w:cs="仿宋_GB2312"/>
          <w:sz w:val="32"/>
          <w:szCs w:val="32"/>
        </w:rPr>
      </w:pPr>
      <w:r>
        <w:rPr>
          <w:rFonts w:hint="eastAsia" w:ascii="黑体" w:hAnsi="仿宋_GB2312" w:eastAsia="黑体" w:cs="仿宋_GB2312"/>
          <w:sz w:val="32"/>
          <w:szCs w:val="32"/>
        </w:rPr>
        <w:t>二、评价结论及绩效分析</w:t>
      </w:r>
    </w:p>
    <w:p>
      <w:pPr>
        <w:keepNext w:val="0"/>
        <w:keepLines w:val="0"/>
        <w:pageBreakBefore w:val="0"/>
        <w:kinsoku/>
        <w:wordWrap/>
        <w:overflowPunct/>
        <w:topLinePunct w:val="0"/>
        <w:bidi w:val="0"/>
        <w:adjustRightInd/>
        <w:spacing w:line="576" w:lineRule="exact"/>
        <w:ind w:firstLine="640" w:firstLineChars="200"/>
        <w:textAlignment w:val="auto"/>
        <w:rPr>
          <w:rFonts w:ascii="方正楷体_GBK" w:hAnsi="微软雅黑" w:eastAsia="方正楷体_GBK"/>
          <w:color w:val="333333"/>
          <w:kern w:val="0"/>
          <w:sz w:val="32"/>
          <w:szCs w:val="32"/>
        </w:rPr>
      </w:pPr>
      <w:r>
        <w:rPr>
          <w:rFonts w:hint="eastAsia" w:ascii="方正楷体_GBK" w:hAnsi="微软雅黑" w:eastAsia="方正楷体_GBK"/>
          <w:color w:val="333333"/>
          <w:kern w:val="0"/>
          <w:sz w:val="32"/>
          <w:szCs w:val="32"/>
        </w:rPr>
        <w:t>（一）评价结论：</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区政府办</w:t>
      </w:r>
      <w:r>
        <w:rPr>
          <w:rFonts w:hint="eastAsia" w:ascii="仿宋_GB2312" w:hAnsi="微软雅黑" w:eastAsia="仿宋_GB2312"/>
          <w:color w:val="333333"/>
          <w:kern w:val="0"/>
          <w:sz w:val="32"/>
          <w:szCs w:val="32"/>
          <w:lang w:eastAsia="zh-CN"/>
        </w:rPr>
        <w:t>乡村振兴</w:t>
      </w:r>
      <w:r>
        <w:rPr>
          <w:rFonts w:hint="eastAsia" w:ascii="仿宋_GB2312" w:hAnsi="微软雅黑" w:eastAsia="仿宋_GB2312"/>
          <w:color w:val="333333"/>
          <w:kern w:val="0"/>
          <w:sz w:val="32"/>
          <w:szCs w:val="32"/>
        </w:rPr>
        <w:t>工作聚集精干帮扶力量，用心用力、真帮实扶，全面完成了各项目标任务。实施了新村风貌打造，农户居住环境焕然一新；积极探索产业园项目集体经济产业发展路径，农户增收产业支撑作用明显增强；反复的宣传教育，改变了帮扶村社会治理中的乱象，群众安全感、幸福感和获得感显著提升。</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（二）绩效分析</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1.项目决策</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ascii="仿宋_GB2312" w:hAnsi="微软雅黑" w:eastAsia="仿宋_GB2312"/>
          <w:color w:val="333333"/>
          <w:kern w:val="0"/>
          <w:sz w:val="32"/>
          <w:szCs w:val="32"/>
        </w:rPr>
      </w:pPr>
      <w:r>
        <w:rPr>
          <w:rFonts w:hint="eastAsia" w:ascii="仿宋_GB2312" w:hAnsi="微软雅黑" w:eastAsia="仿宋_GB2312"/>
          <w:color w:val="333333"/>
          <w:kern w:val="0"/>
          <w:sz w:val="32"/>
          <w:szCs w:val="32"/>
        </w:rPr>
        <w:t>帮扶工作经费全部用于全区干部驻村帮扶日常工作及驻村工作队员培训。区政府办公室始终把帮扶作为重中之重的工作来抓，聚集精干帮扶力量，用心用力、真帮实扶，全面完成了各项目标任务。</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2.项目管理</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区财政局批复下达扶贫工作经费全年预算资金</w:t>
      </w:r>
      <w:r>
        <w:rPr>
          <w:rFonts w:hint="eastAsia" w:ascii="仿宋_GB2312" w:hAnsi="仿宋_GB2312" w:eastAsia="仿宋_GB2312" w:cs="仿宋_GB2312"/>
          <w:sz w:val="32"/>
          <w:szCs w:val="32"/>
          <w:lang w:val="en-US" w:eastAsia="zh-CN"/>
        </w:rPr>
        <w:t>8.05</w:t>
      </w:r>
      <w:r>
        <w:rPr>
          <w:rFonts w:hint="eastAsia" w:ascii="仿宋_GB2312" w:hAnsi="仿宋_GB2312" w:eastAsia="仿宋_GB2312" w:cs="仿宋_GB2312"/>
          <w:sz w:val="32"/>
          <w:szCs w:val="32"/>
        </w:rPr>
        <w:t>万元，用于贫困村驻村帮扶工作。目标设置较合理、组织管理有效、财务管理健全，使项目能及时、有效开展。</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3.项目绩效</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驻村工作队认真贯彻落实中央、省委、市委及区委区政府的决策部署，在持续对标村一低五有、脱贫户一超六有的基础上，紧扣全村基础设施建设、产业发展、助农增收、人居环境改善等目标任务，严格按照区驻村帮扶机制相关要求，进一步完善石板村相关基础设施建设、推进了产业园区建设、提升了村容村貌、培育了文明新风，有效推动了石板村</w:t>
      </w:r>
      <w:r>
        <w:rPr>
          <w:rFonts w:hint="eastAsia" w:ascii="仿宋_GB2312" w:hAnsi="仿宋_GB2312" w:eastAsia="仿宋_GB2312" w:cs="仿宋_GB2312"/>
          <w:sz w:val="32"/>
          <w:szCs w:val="32"/>
          <w:lang w:eastAsia="zh-CN"/>
        </w:rPr>
        <w:t>、黄小村</w:t>
      </w:r>
      <w:r>
        <w:rPr>
          <w:rFonts w:hint="eastAsia" w:ascii="仿宋_GB2312" w:hAnsi="仿宋_GB2312" w:eastAsia="仿宋_GB2312" w:cs="仿宋_GB2312"/>
          <w:sz w:val="32"/>
          <w:szCs w:val="32"/>
        </w:rPr>
        <w:t>各项工作落地落实，支出经费</w:t>
      </w:r>
      <w:r>
        <w:rPr>
          <w:rFonts w:hint="eastAsia" w:ascii="仿宋_GB2312" w:hAnsi="仿宋_GB2312" w:eastAsia="仿宋_GB2312" w:cs="仿宋_GB2312"/>
          <w:sz w:val="32"/>
          <w:szCs w:val="32"/>
          <w:lang w:val="en-US" w:eastAsia="zh-CN"/>
        </w:rPr>
        <w:t>8.05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bidi w:val="0"/>
        <w:adjustRightInd/>
        <w:spacing w:line="576" w:lineRule="exact"/>
        <w:ind w:firstLine="643" w:firstLineChars="200"/>
        <w:textAlignment w:val="auto"/>
        <w:rPr>
          <w:rFonts w:ascii="黑体" w:hAnsi="微软雅黑" w:eastAsia="黑体"/>
          <w:b/>
          <w:color w:val="333333"/>
          <w:kern w:val="0"/>
          <w:sz w:val="32"/>
          <w:szCs w:val="32"/>
        </w:rPr>
      </w:pPr>
      <w:r>
        <w:rPr>
          <w:rFonts w:hint="eastAsia" w:ascii="黑体" w:hAnsi="微软雅黑" w:eastAsia="黑体"/>
          <w:b/>
          <w:color w:val="333333"/>
          <w:kern w:val="0"/>
          <w:sz w:val="32"/>
          <w:szCs w:val="32"/>
        </w:rPr>
        <w:t>三、存在主要问题</w:t>
      </w:r>
    </w:p>
    <w:p>
      <w:pPr>
        <w:keepNext w:val="0"/>
        <w:keepLines w:val="0"/>
        <w:pageBreakBefore w:val="0"/>
        <w:widowControl/>
        <w:kinsoku/>
        <w:wordWrap/>
        <w:overflowPunct/>
        <w:topLinePunct w:val="0"/>
        <w:bidi w:val="0"/>
        <w:adjustRightInd/>
        <w:spacing w:line="576" w:lineRule="exact"/>
        <w:ind w:firstLine="640" w:firstLineChars="200"/>
        <w:jc w:val="left"/>
        <w:textAlignment w:val="auto"/>
        <w:rPr>
          <w:rFonts w:ascii="仿宋_GB2312" w:hAnsi="微软雅黑" w:eastAsia="仿宋_GB2312"/>
          <w:color w:val="333333"/>
          <w:kern w:val="0"/>
          <w:sz w:val="32"/>
          <w:szCs w:val="32"/>
        </w:rPr>
      </w:pP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工作任务重，工作经费保障还有差距。</w:t>
      </w:r>
    </w:p>
    <w:p>
      <w:pPr>
        <w:keepNext w:val="0"/>
        <w:keepLines w:val="0"/>
        <w:pageBreakBefore w:val="0"/>
        <w:kinsoku/>
        <w:wordWrap/>
        <w:overflowPunct/>
        <w:topLinePunct w:val="0"/>
        <w:bidi w:val="0"/>
        <w:adjustRightInd/>
        <w:spacing w:line="576" w:lineRule="exact"/>
        <w:ind w:firstLine="643" w:firstLineChars="200"/>
        <w:textAlignment w:val="auto"/>
        <w:rPr>
          <w:rFonts w:ascii="黑体" w:hAnsi="微软雅黑" w:eastAsia="黑体"/>
          <w:b/>
          <w:color w:val="333333"/>
          <w:kern w:val="0"/>
          <w:sz w:val="32"/>
          <w:szCs w:val="32"/>
        </w:rPr>
      </w:pPr>
      <w:r>
        <w:rPr>
          <w:rFonts w:hint="eastAsia" w:ascii="黑体" w:hAnsi="微软雅黑" w:eastAsia="黑体"/>
          <w:b/>
          <w:color w:val="333333"/>
          <w:kern w:val="0"/>
          <w:sz w:val="32"/>
          <w:szCs w:val="32"/>
        </w:rPr>
        <w:t>四、相关措施建议</w:t>
      </w:r>
    </w:p>
    <w:p>
      <w:pPr>
        <w:keepNext w:val="0"/>
        <w:keepLines w:val="0"/>
        <w:pageBreakBefore w:val="0"/>
        <w:widowControl/>
        <w:kinsoku/>
        <w:wordWrap/>
        <w:overflowPunct/>
        <w:topLinePunct w:val="0"/>
        <w:bidi w:val="0"/>
        <w:adjustRightInd/>
        <w:spacing w:line="576" w:lineRule="exact"/>
        <w:jc w:val="left"/>
        <w:textAlignment w:val="auto"/>
        <w:rPr>
          <w:rFonts w:hint="default" w:ascii="仿宋_GB2312" w:hAnsi="微软雅黑" w:eastAsia="仿宋_GB2312"/>
          <w:color w:val="333333"/>
          <w:kern w:val="0"/>
          <w:sz w:val="32"/>
          <w:szCs w:val="32"/>
          <w:lang w:val="en-US" w:eastAsia="zh-CN"/>
        </w:rPr>
      </w:pPr>
      <w:r>
        <w:rPr>
          <w:rFonts w:hint="eastAsia" w:ascii="仿宋_GB2312" w:hAnsi="仿宋_GB2312" w:eastAsia="仿宋_GB2312" w:cs="仿宋_GB2312"/>
          <w:sz w:val="32"/>
          <w:szCs w:val="32"/>
        </w:rPr>
        <w:t>积极向上争取专项建设经费，切实加强资金管理，使有限的资金发挥最大的效益。</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val="0"/>
        <w:bidi w:val="0"/>
        <w:adjustRightInd/>
        <w:spacing w:line="576" w:lineRule="exact"/>
        <w:textAlignment w:val="auto"/>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附表：1.</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keepNext w:val="0"/>
        <w:keepLines w:val="0"/>
        <w:pageBreakBefore w:val="0"/>
        <w:widowControl/>
        <w:kinsoku/>
        <w:wordWrap/>
        <w:overflowPunct/>
        <w:topLinePunct w:val="0"/>
        <w:autoSpaceDE w:val="0"/>
        <w:bidi w:val="0"/>
        <w:adjustRightInd/>
        <w:spacing w:line="576" w:lineRule="exact"/>
        <w:ind w:firstLine="1540" w:firstLineChars="500"/>
        <w:jc w:val="left"/>
        <w:textAlignment w:val="auto"/>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2.202</w:t>
      </w:r>
      <w:r>
        <w:rPr>
          <w:rFonts w:hint="eastAsia" w:ascii="仿宋_GB2312" w:hAnsi="宋体" w:eastAsia="仿宋_GB2312" w:cs="Times New Roman"/>
          <w:color w:val="000000"/>
          <w:spacing w:val="-6"/>
          <w:kern w:val="0"/>
          <w:sz w:val="32"/>
          <w:szCs w:val="32"/>
          <w:lang w:val="en-US" w:eastAsia="zh-CN"/>
        </w:rPr>
        <w:t>1</w:t>
      </w:r>
      <w:r>
        <w:rPr>
          <w:rFonts w:hint="eastAsia" w:ascii="仿宋_GB2312" w:hAnsi="宋体" w:eastAsia="仿宋_GB2312" w:cs="Times New Roman"/>
          <w:color w:val="000000"/>
          <w:spacing w:val="-6"/>
          <w:kern w:val="0"/>
          <w:sz w:val="32"/>
          <w:szCs w:val="32"/>
        </w:rPr>
        <w:t>年部门预算项目支出绩效自评评分表</w:t>
      </w:r>
    </w:p>
    <w:p>
      <w:pPr>
        <w:spacing w:line="600" w:lineRule="exact"/>
        <w:jc w:val="center"/>
        <w:outlineLvl w:val="0"/>
        <w:rPr>
          <w:rFonts w:ascii="黑体" w:hAnsi="黑体" w:eastAsia="黑体"/>
          <w:color w:val="000000"/>
          <w:sz w:val="44"/>
          <w:szCs w:val="44"/>
        </w:rPr>
      </w:pPr>
    </w:p>
    <w:p>
      <w:pPr>
        <w:pStyle w:val="15"/>
        <w:rPr>
          <w:rFonts w:ascii="黑体" w:hAnsi="黑体" w:eastAsia="黑体"/>
          <w:color w:val="000000"/>
          <w:sz w:val="44"/>
          <w:szCs w:val="44"/>
        </w:rPr>
      </w:pPr>
    </w:p>
    <w:p>
      <w:pPr>
        <w:rPr>
          <w:rFonts w:ascii="黑体" w:hAnsi="黑体" w:eastAsia="黑体"/>
          <w:color w:val="000000"/>
          <w:sz w:val="44"/>
          <w:szCs w:val="44"/>
        </w:rPr>
      </w:pPr>
    </w:p>
    <w:tbl>
      <w:tblPr>
        <w:tblStyle w:val="16"/>
        <w:tblpPr w:leftFromText="180" w:rightFromText="180" w:vertAnchor="text" w:horzAnchor="margin" w:tblpXSpec="center" w:tblpY="573"/>
        <w:tblOverlap w:val="never"/>
        <w:tblW w:w="9960" w:type="dxa"/>
        <w:tblInd w:w="0" w:type="dxa"/>
        <w:tblLayout w:type="fixed"/>
        <w:tblCellMar>
          <w:top w:w="0" w:type="dxa"/>
          <w:left w:w="0" w:type="dxa"/>
          <w:bottom w:w="0" w:type="dxa"/>
          <w:right w:w="0" w:type="dxa"/>
        </w:tblCellMar>
      </w:tblPr>
      <w:tblGrid>
        <w:gridCol w:w="645"/>
        <w:gridCol w:w="1355"/>
        <w:gridCol w:w="782"/>
        <w:gridCol w:w="777"/>
        <w:gridCol w:w="1615"/>
        <w:gridCol w:w="2394"/>
        <w:gridCol w:w="2392"/>
      </w:tblGrid>
      <w:tr>
        <w:tblPrEx>
          <w:tblCellMar>
            <w:top w:w="0" w:type="dxa"/>
            <w:left w:w="0" w:type="dxa"/>
            <w:bottom w:w="0" w:type="dxa"/>
            <w:right w:w="0" w:type="dxa"/>
          </w:tblCellMar>
        </w:tblPrEx>
        <w:trPr>
          <w:trHeight w:val="1034" w:hRule="atLeast"/>
        </w:trPr>
        <w:tc>
          <w:tcPr>
            <w:tcW w:w="9960" w:type="dxa"/>
            <w:gridSpan w:val="7"/>
            <w:tcMar>
              <w:top w:w="15" w:type="dxa"/>
              <w:left w:w="15" w:type="dxa"/>
              <w:bottom w:w="0" w:type="dxa"/>
              <w:right w:w="15" w:type="dxa"/>
            </w:tcMar>
            <w:vAlign w:val="center"/>
          </w:tcPr>
          <w:p>
            <w:pPr>
              <w:pStyle w:val="34"/>
              <w:widowControl/>
              <w:ind w:left="4173" w:leftChars="1310" w:hanging="1422" w:hangingChars="395"/>
              <w:textAlignment w:val="center"/>
              <w:rPr>
                <w:rFonts w:hint="eastAsia" w:ascii="黑体" w:hAnsi="黑体" w:eastAsia="黑体" w:cs="宋体"/>
                <w:bCs/>
                <w:color w:val="000000"/>
                <w:kern w:val="0"/>
                <w:sz w:val="36"/>
                <w:szCs w:val="36"/>
                <w:lang w:eastAsia="zh-CN"/>
              </w:rPr>
            </w:pPr>
            <w:r>
              <w:rPr>
                <w:rFonts w:hint="eastAsia" w:ascii="黑体" w:hAnsi="黑体" w:eastAsia="黑体" w:cs="宋体"/>
                <w:bCs/>
                <w:color w:val="000000"/>
                <w:kern w:val="0"/>
                <w:sz w:val="36"/>
                <w:szCs w:val="36"/>
              </w:rPr>
              <w:t>项目支出绩效目标</w:t>
            </w:r>
            <w:r>
              <w:rPr>
                <w:rFonts w:hint="eastAsia" w:ascii="黑体" w:hAnsi="黑体" w:eastAsia="黑体" w:cs="宋体"/>
                <w:bCs/>
                <w:color w:val="000000"/>
                <w:kern w:val="0"/>
                <w:sz w:val="36"/>
                <w:szCs w:val="36"/>
                <w:lang w:eastAsia="zh-CN"/>
              </w:rPr>
              <w:t>自评</w:t>
            </w:r>
            <w:r>
              <w:rPr>
                <w:rFonts w:hint="eastAsia" w:ascii="黑体" w:hAnsi="黑体" w:eastAsia="黑体" w:cs="宋体"/>
                <w:bCs/>
                <w:color w:val="000000"/>
                <w:kern w:val="0"/>
                <w:sz w:val="36"/>
                <w:szCs w:val="36"/>
              </w:rPr>
              <w:t>表</w:t>
            </w:r>
          </w:p>
          <w:p>
            <w:pPr>
              <w:pStyle w:val="34"/>
              <w:widowControl/>
              <w:ind w:left="4170" w:leftChars="1823" w:hanging="342" w:hangingChars="95"/>
              <w:textAlignment w:val="center"/>
              <w:rPr>
                <w:rFonts w:ascii="宋体" w:cs="宋体"/>
                <w:color w:val="000000"/>
                <w:sz w:val="36"/>
                <w:szCs w:val="36"/>
              </w:rPr>
            </w:pPr>
            <w:r>
              <w:rPr>
                <w:rFonts w:ascii="宋体" w:hAnsi="宋体" w:cs="宋体"/>
                <w:color w:val="000000"/>
                <w:kern w:val="0"/>
                <w:sz w:val="36"/>
                <w:szCs w:val="36"/>
              </w:rPr>
              <w:t>(202</w:t>
            </w:r>
            <w:r>
              <w:rPr>
                <w:rFonts w:hint="eastAsia" w:ascii="宋体" w:hAnsi="宋体" w:cs="宋体"/>
                <w:color w:val="000000"/>
                <w:kern w:val="0"/>
                <w:sz w:val="36"/>
                <w:szCs w:val="36"/>
                <w:lang w:val="en-US" w:eastAsia="zh-CN"/>
              </w:rPr>
              <w:t>1</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项目名称</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lang w:eastAsia="zh-CN"/>
              </w:rPr>
              <w:t>乡村振兴</w:t>
            </w:r>
            <w:r>
              <w:rPr>
                <w:rFonts w:hint="eastAsia" w:ascii="仿宋_GB2312" w:eastAsia="仿宋_GB2312" w:cs="宋体"/>
                <w:color w:val="000000"/>
                <w:sz w:val="24"/>
              </w:rPr>
              <w:t>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预算单位</w:t>
            </w:r>
          </w:p>
        </w:tc>
        <w:tc>
          <w:tcPr>
            <w:tcW w:w="7178"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广元市朝天区人民政府办公室</w:t>
            </w:r>
          </w:p>
        </w:tc>
      </w:tr>
      <w:tr>
        <w:tblPrEx>
          <w:tblCellMar>
            <w:top w:w="0" w:type="dxa"/>
            <w:left w:w="0" w:type="dxa"/>
            <w:bottom w:w="0" w:type="dxa"/>
            <w:right w:w="0" w:type="dxa"/>
          </w:tblCellMar>
        </w:tblPrEx>
        <w:trPr>
          <w:trHeight w:val="27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预算执行情况</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万元</w:t>
            </w:r>
            <w:r>
              <w:rPr>
                <w:rFonts w:ascii="仿宋_GB2312" w:hAnsi="宋体" w:eastAsia="仿宋_GB2312" w:cs="宋体"/>
                <w:color w:val="000000"/>
                <w:kern w:val="0"/>
                <w:sz w:val="24"/>
              </w:rPr>
              <w:t>)</w:t>
            </w: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预算数</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8.05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执行数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8.05</w:t>
            </w:r>
          </w:p>
        </w:tc>
      </w:tr>
      <w:tr>
        <w:tblPrEx>
          <w:tblCellMar>
            <w:top w:w="0" w:type="dxa"/>
            <w:left w:w="0" w:type="dxa"/>
            <w:bottom w:w="0" w:type="dxa"/>
            <w:right w:w="0" w:type="dxa"/>
          </w:tblCellMar>
        </w:tblPrEx>
        <w:trPr>
          <w:trHeight w:val="393"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8.05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其中</w:t>
            </w:r>
            <w:r>
              <w:rPr>
                <w:rFonts w:ascii="仿宋_GB2312" w:eastAsia="仿宋_GB2312" w:cs="宋体"/>
                <w:color w:val="000000"/>
                <w:kern w:val="0"/>
                <w:sz w:val="24"/>
              </w:rPr>
              <w:t>-</w:t>
            </w:r>
            <w:r>
              <w:rPr>
                <w:rFonts w:hint="eastAsia" w:ascii="仿宋_GB2312" w:hAnsi="宋体" w:eastAsia="仿宋_GB2312" w:cs="宋体"/>
                <w:color w:val="000000"/>
                <w:kern w:val="0"/>
                <w:sz w:val="24"/>
              </w:rPr>
              <w:t>财政拨款</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仿宋_GB2312" w:eastAsia="仿宋_GB2312" w:cs="宋体"/>
                <w:color w:val="000000"/>
                <w:sz w:val="24"/>
                <w:lang w:val="en-US" w:eastAsia="zh-CN"/>
              </w:rPr>
            </w:pPr>
            <w:r>
              <w:rPr>
                <w:rFonts w:hint="eastAsia" w:ascii="仿宋_GB2312" w:eastAsia="仿宋_GB2312" w:cs="宋体"/>
                <w:color w:val="000000"/>
                <w:sz w:val="24"/>
                <w:lang w:val="en-US" w:eastAsia="zh-CN"/>
              </w:rPr>
              <w:t>8.05</w:t>
            </w:r>
          </w:p>
        </w:tc>
      </w:tr>
      <w:tr>
        <w:tblPrEx>
          <w:tblCellMar>
            <w:top w:w="0" w:type="dxa"/>
            <w:left w:w="0" w:type="dxa"/>
            <w:bottom w:w="0" w:type="dxa"/>
            <w:right w:w="0" w:type="dxa"/>
          </w:tblCellMar>
        </w:tblPrEx>
        <w:trPr>
          <w:trHeight w:val="1239"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213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其它资金</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_GB2312" w:eastAsia="仿宋_GB2312" w:cs="宋体"/>
                <w:color w:val="000000"/>
                <w:sz w:val="24"/>
              </w:rPr>
            </w:pPr>
            <w:r>
              <w:rPr>
                <w:rFonts w:ascii="仿宋_GB2312" w:eastAsia="仿宋_GB2312" w:cs="宋体"/>
                <w:color w:val="000000"/>
                <w:sz w:val="24"/>
              </w:rPr>
              <w:t>0</w:t>
            </w:r>
          </w:p>
        </w:tc>
      </w:tr>
      <w:tr>
        <w:tblPrEx>
          <w:tblCellMar>
            <w:top w:w="0" w:type="dxa"/>
            <w:left w:w="0" w:type="dxa"/>
            <w:bottom w:w="0" w:type="dxa"/>
            <w:right w:w="0" w:type="dxa"/>
          </w:tblCellMar>
        </w:tblPrEx>
        <w:trPr>
          <w:trHeight w:val="276"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年度目标完成情况</w:t>
            </w:r>
          </w:p>
        </w:tc>
        <w:tc>
          <w:tcPr>
            <w:tcW w:w="45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4529"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保障我办</w:t>
            </w:r>
            <w:r>
              <w:rPr>
                <w:rFonts w:hint="eastAsia" w:ascii="仿宋_GB2312" w:eastAsia="仿宋_GB2312" w:cs="宋体"/>
                <w:color w:val="000000"/>
                <w:sz w:val="24"/>
                <w:lang w:eastAsia="zh-CN"/>
              </w:rPr>
              <w:t>乡村振兴</w:t>
            </w:r>
            <w:r>
              <w:rPr>
                <w:rFonts w:hint="eastAsia" w:ascii="仿宋_GB2312" w:eastAsia="仿宋_GB2312" w:cs="宋体"/>
                <w:color w:val="000000"/>
                <w:sz w:val="24"/>
              </w:rPr>
              <w:t>工作顺利开展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切实保障了我办</w:t>
            </w:r>
            <w:r>
              <w:rPr>
                <w:rFonts w:hint="eastAsia" w:ascii="仿宋_GB2312" w:eastAsia="仿宋_GB2312" w:cs="宋体"/>
                <w:color w:val="000000"/>
                <w:sz w:val="24"/>
                <w:lang w:eastAsia="zh-CN"/>
              </w:rPr>
              <w:t>乡村振兴</w:t>
            </w:r>
            <w:r>
              <w:rPr>
                <w:rFonts w:hint="eastAsia" w:ascii="仿宋_GB2312" w:eastAsia="仿宋_GB2312" w:cs="宋体"/>
                <w:color w:val="000000"/>
                <w:sz w:val="24"/>
              </w:rPr>
              <w:t>工作成效明显，</w:t>
            </w:r>
            <w:r>
              <w:rPr>
                <w:rFonts w:hint="eastAsia" w:ascii="仿宋_GB2312" w:eastAsia="仿宋_GB2312" w:cs="宋体"/>
                <w:color w:val="000000"/>
                <w:sz w:val="24"/>
                <w:lang w:eastAsia="zh-CN"/>
              </w:rPr>
              <w:t>加强对</w:t>
            </w:r>
            <w:r>
              <w:rPr>
                <w:rFonts w:hint="eastAsia" w:ascii="仿宋_GB2312" w:eastAsia="仿宋_GB2312" w:cs="宋体"/>
                <w:color w:val="000000"/>
                <w:sz w:val="24"/>
              </w:rPr>
              <w:t>群众安全感、幸福感和获得感显著提升，群众对帮扶工作成效满意</w:t>
            </w:r>
          </w:p>
        </w:tc>
      </w:tr>
      <w:tr>
        <w:tblPrEx>
          <w:tblCellMar>
            <w:top w:w="0" w:type="dxa"/>
            <w:left w:w="0" w:type="dxa"/>
            <w:bottom w:w="0" w:type="dxa"/>
            <w:right w:w="0" w:type="dxa"/>
          </w:tblCellMar>
        </w:tblPrEx>
        <w:trPr>
          <w:trHeight w:val="1042" w:hRule="atLeast"/>
        </w:trPr>
        <w:tc>
          <w:tcPr>
            <w:tcW w:w="64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sz w:val="24"/>
              </w:rPr>
            </w:pPr>
            <w:r>
              <w:rPr>
                <w:rFonts w:hint="eastAsia" w:ascii="仿宋_GB2312" w:hAnsi="宋体" w:eastAsia="仿宋_GB2312" w:cs="宋体"/>
                <w:color w:val="000000"/>
                <w:sz w:val="24"/>
              </w:rPr>
              <w:t>绩效指标完成情况</w:t>
            </w:r>
          </w:p>
          <w:p>
            <w:pPr>
              <w:widowControl/>
              <w:textAlignment w:val="center"/>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一级指标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二级指标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预期指标值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hAnsi="宋体" w:eastAsia="仿宋_GB2312" w:cs="宋体"/>
                <w:color w:val="000000"/>
                <w:kern w:val="0"/>
                <w:sz w:val="24"/>
              </w:rPr>
              <w:t>实际完成指标值</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包含数字及文字描述</w:t>
            </w:r>
            <w:r>
              <w:rPr>
                <w:rFonts w:ascii="仿宋_GB2312" w:hAnsi="宋体" w:eastAsia="仿宋_GB2312" w:cs="宋体"/>
                <w:color w:val="000000"/>
                <w:kern w:val="0"/>
                <w:sz w:val="24"/>
              </w:rPr>
              <w:t>)</w:t>
            </w:r>
          </w:p>
        </w:tc>
      </w:tr>
      <w:tr>
        <w:tblPrEx>
          <w:tblCellMar>
            <w:top w:w="0" w:type="dxa"/>
            <w:left w:w="0" w:type="dxa"/>
            <w:bottom w:w="0" w:type="dxa"/>
            <w:right w:w="0" w:type="dxa"/>
          </w:tblCellMar>
        </w:tblPrEx>
        <w:trPr>
          <w:trHeight w:val="698"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数量指标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保障</w:t>
            </w:r>
            <w:r>
              <w:rPr>
                <w:rFonts w:hint="eastAsia" w:ascii="仿宋_GB2312" w:eastAsia="仿宋_GB2312" w:cs="宋体"/>
                <w:color w:val="000000"/>
                <w:sz w:val="24"/>
                <w:lang w:eastAsia="zh-CN"/>
              </w:rPr>
              <w:t>乡村振兴</w:t>
            </w:r>
            <w:r>
              <w:rPr>
                <w:rFonts w:hint="eastAsia" w:ascii="仿宋_GB2312" w:eastAsia="仿宋_GB2312" w:cs="宋体"/>
                <w:color w:val="000000"/>
                <w:sz w:val="24"/>
              </w:rPr>
              <w:t>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保障第一书记、工作队员工作开展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保障第一书记、工作队员工作开展</w:t>
            </w:r>
          </w:p>
        </w:tc>
      </w:tr>
      <w:tr>
        <w:tblPrEx>
          <w:tblCellMar>
            <w:top w:w="0" w:type="dxa"/>
            <w:left w:w="0" w:type="dxa"/>
            <w:bottom w:w="0" w:type="dxa"/>
            <w:right w:w="0" w:type="dxa"/>
          </w:tblCellMar>
        </w:tblPrEx>
        <w:trPr>
          <w:trHeight w:val="823"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质量指标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完成驻村帮扶工作任务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全面完成驻村帮扶工作任务</w:t>
            </w:r>
          </w:p>
        </w:tc>
      </w:tr>
      <w:tr>
        <w:tblPrEx>
          <w:tblCellMar>
            <w:top w:w="0" w:type="dxa"/>
            <w:left w:w="0" w:type="dxa"/>
            <w:bottom w:w="0" w:type="dxa"/>
            <w:right w:w="0" w:type="dxa"/>
          </w:tblCellMar>
        </w:tblPrEx>
        <w:trPr>
          <w:trHeight w:val="69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项目完成指标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时效指标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ascii="仿宋_GB2312" w:eastAsia="仿宋_GB2312" w:cs="宋体"/>
                <w:color w:val="000000"/>
                <w:sz w:val="24"/>
              </w:rPr>
              <w:t>202</w:t>
            </w:r>
            <w:r>
              <w:rPr>
                <w:rFonts w:hint="eastAsia" w:ascii="仿宋_GB2312" w:eastAsia="仿宋_GB2312" w:cs="宋体"/>
                <w:color w:val="000000"/>
                <w:sz w:val="24"/>
                <w:lang w:val="en-US" w:eastAsia="zh-CN"/>
              </w:rPr>
              <w:t>1</w:t>
            </w:r>
            <w:r>
              <w:rPr>
                <w:rFonts w:hint="eastAsia" w:ascii="仿宋_GB2312" w:eastAsia="仿宋_GB2312" w:cs="宋体"/>
                <w:color w:val="000000"/>
                <w:sz w:val="24"/>
              </w:rPr>
              <w:t>年</w:t>
            </w:r>
            <w:r>
              <w:rPr>
                <w:rFonts w:ascii="仿宋_GB2312" w:eastAsia="仿宋_GB2312" w:cs="宋体"/>
                <w:color w:val="000000"/>
                <w:sz w:val="24"/>
              </w:rPr>
              <w:t>12</w:t>
            </w:r>
            <w:r>
              <w:rPr>
                <w:rFonts w:hint="eastAsia" w:ascii="仿宋_GB2312" w:eastAsia="仿宋_GB2312" w:cs="宋体"/>
                <w:color w:val="000000"/>
                <w:sz w:val="24"/>
              </w:rPr>
              <w:t>月底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按时完成</w:t>
            </w:r>
          </w:p>
        </w:tc>
      </w:tr>
      <w:tr>
        <w:tblPrEx>
          <w:tblCellMar>
            <w:top w:w="0" w:type="dxa"/>
            <w:left w:w="0" w:type="dxa"/>
            <w:bottom w:w="0" w:type="dxa"/>
            <w:right w:w="0" w:type="dxa"/>
          </w:tblCellMar>
        </w:tblPrEx>
        <w:trPr>
          <w:trHeight w:val="672"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效益指标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社会效益指标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农户产业发展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壮大集体集体经济，发展种养殖业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eastAsia="仿宋_GB2312" w:cs="宋体"/>
                <w:color w:val="000000"/>
                <w:sz w:val="24"/>
              </w:rPr>
            </w:pPr>
            <w:r>
              <w:rPr>
                <w:rFonts w:hint="eastAsia" w:ascii="仿宋_GB2312" w:eastAsia="仿宋_GB2312" w:cs="宋体"/>
                <w:color w:val="000000"/>
                <w:sz w:val="24"/>
              </w:rPr>
              <w:t>壮大集体集体经济，发展种养殖业</w:t>
            </w:r>
          </w:p>
        </w:tc>
      </w:tr>
      <w:tr>
        <w:tblPrEx>
          <w:tblCellMar>
            <w:top w:w="0" w:type="dxa"/>
            <w:left w:w="0" w:type="dxa"/>
            <w:bottom w:w="0" w:type="dxa"/>
            <w:right w:w="0" w:type="dxa"/>
          </w:tblCellMar>
        </w:tblPrEx>
        <w:trPr>
          <w:trHeight w:val="696" w:hRule="atLeast"/>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效益指标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可持续影响指标</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农村环境持续改善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实施新村风貌打造，农户居住环境焕然一新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实施新村风貌打造，农户居住环境焕然一新</w:t>
            </w:r>
          </w:p>
        </w:tc>
      </w:tr>
      <w:tr>
        <w:tblPrEx>
          <w:tblCellMar>
            <w:top w:w="0" w:type="dxa"/>
            <w:left w:w="0" w:type="dxa"/>
            <w:bottom w:w="0" w:type="dxa"/>
            <w:right w:w="0" w:type="dxa"/>
          </w:tblCellMar>
        </w:tblPrEx>
        <w:trPr>
          <w:trHeight w:val="1042" w:hRule="atLeast"/>
        </w:trPr>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eastAsia="仿宋_GB2312" w:cs="宋体"/>
                <w:color w:val="000000"/>
                <w:sz w:val="24"/>
              </w:rPr>
            </w:pPr>
          </w:p>
        </w:tc>
        <w:tc>
          <w:tcPr>
            <w:tcW w:w="13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满意度指标</w:t>
            </w:r>
          </w:p>
        </w:tc>
        <w:tc>
          <w:tcPr>
            <w:tcW w:w="15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群众建设满意度</w:t>
            </w:r>
          </w:p>
        </w:tc>
        <w:tc>
          <w:tcPr>
            <w:tcW w:w="161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帮扶工作群众满意度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群众满意度达</w:t>
            </w:r>
            <w:r>
              <w:rPr>
                <w:rFonts w:ascii="仿宋_GB2312" w:eastAsia="仿宋_GB2312" w:cs="宋体"/>
                <w:color w:val="000000"/>
                <w:sz w:val="24"/>
              </w:rPr>
              <w:t>9</w:t>
            </w:r>
            <w:r>
              <w:rPr>
                <w:rFonts w:hint="eastAsia" w:ascii="仿宋_GB2312" w:eastAsia="仿宋_GB2312" w:cs="宋体"/>
                <w:color w:val="000000"/>
                <w:sz w:val="24"/>
                <w:lang w:val="en-US" w:eastAsia="zh-CN"/>
              </w:rPr>
              <w:t>8</w:t>
            </w:r>
            <w:r>
              <w:rPr>
                <w:rFonts w:ascii="仿宋_GB2312" w:eastAsia="仿宋_GB2312" w:cs="宋体"/>
                <w:color w:val="000000"/>
                <w:sz w:val="24"/>
              </w:rPr>
              <w:t>%</w:t>
            </w:r>
            <w:r>
              <w:rPr>
                <w:rFonts w:hint="eastAsia" w:ascii="仿宋_GB2312" w:eastAsia="仿宋_GB2312" w:cs="宋体"/>
                <w:color w:val="000000"/>
                <w:sz w:val="24"/>
              </w:rPr>
              <w:t>以上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_GB2312" w:eastAsia="仿宋_GB2312" w:cs="宋体"/>
                <w:color w:val="000000"/>
                <w:sz w:val="24"/>
              </w:rPr>
            </w:pPr>
            <w:r>
              <w:rPr>
                <w:rFonts w:hint="eastAsia" w:ascii="仿宋_GB2312" w:eastAsia="仿宋_GB2312" w:cs="宋体"/>
                <w:color w:val="000000"/>
                <w:sz w:val="24"/>
              </w:rPr>
              <w:t>群众满意度达</w:t>
            </w:r>
            <w:r>
              <w:rPr>
                <w:rFonts w:ascii="仿宋_GB2312" w:eastAsia="仿宋_GB2312" w:cs="宋体"/>
                <w:color w:val="000000"/>
                <w:sz w:val="24"/>
              </w:rPr>
              <w:t>9</w:t>
            </w:r>
            <w:r>
              <w:rPr>
                <w:rFonts w:hint="eastAsia" w:ascii="仿宋_GB2312" w:eastAsia="仿宋_GB2312" w:cs="宋体"/>
                <w:color w:val="000000"/>
                <w:sz w:val="24"/>
                <w:lang w:val="en-US" w:eastAsia="zh-CN"/>
              </w:rPr>
              <w:t>8</w:t>
            </w:r>
            <w:r>
              <w:rPr>
                <w:rFonts w:ascii="仿宋_GB2312" w:eastAsia="仿宋_GB2312" w:cs="宋体"/>
                <w:color w:val="000000"/>
                <w:sz w:val="24"/>
              </w:rPr>
              <w:t>%</w:t>
            </w:r>
            <w:r>
              <w:rPr>
                <w:rFonts w:hint="eastAsia" w:ascii="仿宋_GB2312" w:eastAsia="仿宋_GB2312" w:cs="宋体"/>
                <w:color w:val="000000"/>
                <w:sz w:val="24"/>
              </w:rPr>
              <w:t>以上</w:t>
            </w:r>
          </w:p>
        </w:tc>
      </w:tr>
    </w:tbl>
    <w:p>
      <w:pPr>
        <w:keepNext w:val="0"/>
        <w:keepLines w:val="0"/>
        <w:widowControl/>
        <w:suppressLineNumbers w:val="0"/>
        <w:jc w:val="both"/>
        <w:textAlignment w:val="top"/>
        <w:rPr>
          <w:rFonts w:hint="default" w:ascii="方正大标宋_GBK" w:hAnsi="方正大标宋_GBK" w:eastAsia="方正大标宋_GBK" w:cs="方正大标宋_GBK"/>
          <w:b/>
          <w:bCs/>
          <w:i w:val="0"/>
          <w:iCs w:val="0"/>
          <w:color w:val="000000"/>
          <w:kern w:val="0"/>
          <w:sz w:val="40"/>
          <w:szCs w:val="40"/>
          <w:u w:val="none"/>
          <w:lang w:val="en-US" w:eastAsia="zh-CN" w:bidi="ar"/>
        </w:rPr>
        <w:sectPr>
          <w:pgSz w:w="11906" w:h="16838"/>
          <w:pgMar w:top="1440" w:right="1803" w:bottom="1440" w:left="1803" w:header="851" w:footer="992" w:gutter="0"/>
          <w:pgNumType w:start="1"/>
          <w:cols w:space="0" w:num="1"/>
          <w:titlePg/>
          <w:rtlGutter w:val="0"/>
          <w:docGrid w:type="lines" w:linePitch="319" w:charSpace="0"/>
        </w:sectPr>
      </w:pPr>
    </w:p>
    <w:tbl>
      <w:tblPr>
        <w:tblStyle w:val="16"/>
        <w:tblW w:w="14575" w:type="dxa"/>
        <w:tblInd w:w="-2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1080"/>
        <w:gridCol w:w="1080"/>
        <w:gridCol w:w="4222"/>
        <w:gridCol w:w="533"/>
        <w:gridCol w:w="6384"/>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575" w:type="dxa"/>
            <w:gridSpan w:val="7"/>
            <w:tcBorders>
              <w:top w:val="nil"/>
              <w:left w:val="nil"/>
              <w:bottom w:val="nil"/>
              <w:right w:val="nil"/>
            </w:tcBorders>
            <w:shd w:val="clear" w:color="auto" w:fill="auto"/>
            <w:noWrap/>
            <w:vAlign w:val="top"/>
          </w:tcPr>
          <w:p>
            <w:pPr>
              <w:keepNext w:val="0"/>
              <w:keepLines w:val="0"/>
              <w:widowControl/>
              <w:suppressLineNumbers w:val="0"/>
              <w:ind w:firstLine="3614" w:firstLineChars="900"/>
              <w:jc w:val="both"/>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w:t>
            </w:r>
            <w:r>
              <w:rPr>
                <w:rFonts w:hint="eastAsia" w:ascii="方正大标宋_GBK" w:hAnsi="方正大标宋_GBK" w:eastAsia="方正大标宋_GBK" w:cs="方正大标宋_GBK"/>
                <w:b/>
                <w:bCs/>
                <w:i w:val="0"/>
                <w:iCs w:val="0"/>
                <w:color w:val="000000"/>
                <w:kern w:val="0"/>
                <w:sz w:val="40"/>
                <w:szCs w:val="40"/>
                <w:u w:val="none"/>
                <w:lang w:val="en-US" w:eastAsia="zh-CN" w:bidi="ar"/>
              </w:rPr>
              <w:t>1</w:t>
            </w:r>
            <w:r>
              <w:rPr>
                <w:rFonts w:hint="default" w:ascii="方正大标宋_GBK" w:hAnsi="方正大标宋_GBK" w:eastAsia="方正大标宋_GBK" w:cs="方正大标宋_GBK"/>
                <w:b/>
                <w:bCs/>
                <w:i w:val="0"/>
                <w:iCs w:val="0"/>
                <w:color w:val="000000"/>
                <w:kern w:val="0"/>
                <w:sz w:val="40"/>
                <w:szCs w:val="40"/>
                <w:u w:val="none"/>
                <w:lang w:val="en-US" w:eastAsia="zh-CN" w:bidi="ar"/>
              </w:rPr>
              <w:t>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57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 部门（单位）盖章：                                                                          项目名称：</w:t>
            </w:r>
            <w:r>
              <w:rPr>
                <w:rFonts w:hint="eastAsia" w:ascii="仿宋_GB2312" w:eastAsia="仿宋_GB2312" w:cs="宋体"/>
                <w:color w:val="000000"/>
                <w:sz w:val="24"/>
                <w:lang w:eastAsia="zh-CN"/>
              </w:rPr>
              <w:t>乡村振兴</w:t>
            </w:r>
            <w:r>
              <w:rPr>
                <w:rFonts w:hint="eastAsia" w:ascii="仿宋_GB2312" w:eastAsia="仿宋_GB2312" w:cs="宋体"/>
                <w:color w:val="000000"/>
                <w:sz w:val="24"/>
              </w:rPr>
              <w:t>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18"/>
                <w:szCs w:val="18"/>
                <w:u w:val="none"/>
              </w:rPr>
            </w:pPr>
            <w:r>
              <w:rPr>
                <w:rFonts w:hint="eastAsia" w:ascii="仿宋" w:hAnsi="仿宋" w:eastAsia="仿宋" w:cs="仿宋"/>
                <w:i w:val="0"/>
                <w:iCs w:val="0"/>
                <w:color w:val="00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2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1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6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91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16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Style w:val="35"/>
                <w:sz w:val="20"/>
                <w:szCs w:val="20"/>
                <w:lang w:val="en-US" w:eastAsia="zh-CN" w:bidi="ar"/>
              </w:rPr>
              <w:t>自评结果：</w:t>
            </w:r>
            <w:r>
              <w:rPr>
                <w:rStyle w:val="36"/>
                <w:sz w:val="20"/>
                <w:szCs w:val="20"/>
                <w:lang w:val="en-US" w:eastAsia="zh-CN" w:bidi="ar"/>
              </w:rPr>
              <w:t>R</w:t>
            </w:r>
            <w:r>
              <w:rPr>
                <w:rStyle w:val="37"/>
                <w:sz w:val="20"/>
                <w:szCs w:val="20"/>
                <w:lang w:val="en-US" w:eastAsia="zh-CN" w:bidi="ar"/>
              </w:rPr>
              <w:t>优秀（90≤得分≤100）；   □良好（80≤得分＜89）；   □及格（60≤得分＜79）；  □不及格（低于60分）</w:t>
            </w:r>
          </w:p>
        </w:tc>
      </w:tr>
    </w:tbl>
    <w:p>
      <w:pPr>
        <w:pStyle w:val="15"/>
        <w:ind w:left="0" w:leftChars="0" w:firstLine="0" w:firstLineChars="0"/>
        <w:sectPr>
          <w:pgSz w:w="15840" w:h="12240" w:orient="landscape"/>
          <w:pgMar w:top="1803" w:right="1440" w:bottom="1803" w:left="1440" w:header="720" w:footer="720" w:gutter="0"/>
          <w:cols w:space="0" w:num="1"/>
          <w:rtlGutter w:val="0"/>
          <w:docGrid w:linePitch="0" w:charSpace="0"/>
        </w:sectPr>
      </w:pPr>
    </w:p>
    <w:p>
      <w:pPr>
        <w:pStyle w:val="15"/>
        <w:ind w:left="0" w:leftChars="0" w:firstLine="0" w:firstLineChars="0"/>
      </w:pP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w:t>
      </w:r>
      <w:r>
        <w:rPr>
          <w:rFonts w:hint="eastAsia" w:ascii="方正大标宋简体" w:hAnsi="??" w:eastAsia="方正大标宋简体" w:cs="Times New Roman"/>
          <w:b/>
          <w:color w:val="000000"/>
          <w:spacing w:val="-6"/>
          <w:kern w:val="0"/>
          <w:sz w:val="44"/>
          <w:szCs w:val="44"/>
          <w:lang w:eastAsia="zh-CN"/>
        </w:rPr>
        <w:t>民营经济发展中心工作经费</w:t>
      </w:r>
      <w:r>
        <w:rPr>
          <w:rFonts w:hint="eastAsia" w:ascii="方正大标宋简体" w:hAnsi="??" w:eastAsia="方正大标宋简体" w:cs="Times New Roman"/>
          <w:b/>
          <w:color w:val="000000"/>
          <w:spacing w:val="-6"/>
          <w:kern w:val="0"/>
          <w:sz w:val="44"/>
          <w:szCs w:val="44"/>
        </w:rPr>
        <w:t>支出绩效评价报告</w:t>
      </w:r>
    </w:p>
    <w:p>
      <w:pPr>
        <w:rPr>
          <w:rFonts w:hint="eastAsia" w:ascii="仿宋" w:hAnsi="仿宋" w:eastAsia="仿宋"/>
          <w:b/>
          <w:sz w:val="32"/>
          <w:szCs w:val="32"/>
        </w:rPr>
      </w:pPr>
    </w:p>
    <w:p>
      <w:pPr>
        <w:numPr>
          <w:ilvl w:val="0"/>
          <w:numId w:val="6"/>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项目概况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（一）项目基本情况：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项目立项依据：</w:t>
      </w:r>
      <w:r>
        <w:rPr>
          <w:rFonts w:hint="eastAsia" w:ascii="仿宋_GB2312" w:eastAsia="仿宋_GB2312"/>
          <w:sz w:val="32"/>
          <w:szCs w:val="32"/>
          <w:lang w:eastAsia="zh-CN"/>
        </w:rPr>
        <w:t>根据省、市上级部门要求设立民营经济发展中心</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项目实施主体：朝天区</w:t>
      </w:r>
      <w:r>
        <w:rPr>
          <w:rFonts w:hint="eastAsia" w:ascii="仿宋_GB2312" w:eastAsia="仿宋_GB2312"/>
          <w:sz w:val="32"/>
          <w:szCs w:val="32"/>
          <w:lang w:eastAsia="zh-CN"/>
        </w:rPr>
        <w:t>民营经济发展中心</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项目实施计划及主要内容：民营经济增加值增速达到全市平均水平</w:t>
      </w:r>
      <w:r>
        <w:rPr>
          <w:rFonts w:hint="eastAsia" w:ascii="仿宋_GB2312" w:eastAsia="仿宋_GB2312"/>
          <w:sz w:val="32"/>
          <w:szCs w:val="32"/>
          <w:lang w:eastAsia="zh-CN"/>
        </w:rPr>
        <w:t>，</w:t>
      </w:r>
      <w:r>
        <w:rPr>
          <w:rFonts w:hint="eastAsia" w:ascii="仿宋_GB2312" w:eastAsia="仿宋_GB2312"/>
          <w:sz w:val="32"/>
          <w:szCs w:val="32"/>
        </w:rPr>
        <w:t>民间投资增速达到全市平均水平</w:t>
      </w:r>
      <w:r>
        <w:rPr>
          <w:rFonts w:hint="eastAsia" w:ascii="仿宋_GB2312" w:eastAsia="仿宋_GB2312"/>
          <w:sz w:val="32"/>
          <w:szCs w:val="32"/>
          <w:lang w:val="en-US" w:eastAsia="zh-CN"/>
        </w:rPr>
        <w:t>。</w:t>
      </w:r>
    </w:p>
    <w:p>
      <w:pPr>
        <w:spacing w:line="560" w:lineRule="exact"/>
        <w:ind w:firstLine="640" w:firstLineChars="200"/>
        <w:rPr>
          <w:rFonts w:hint="eastAsia" w:ascii="黑体" w:eastAsia="黑体"/>
          <w:b/>
          <w:sz w:val="32"/>
          <w:szCs w:val="32"/>
        </w:rPr>
      </w:pPr>
      <w:r>
        <w:rPr>
          <w:rFonts w:hint="eastAsia" w:ascii="仿宋_GB2312" w:eastAsia="仿宋_GB2312"/>
          <w:sz w:val="32"/>
          <w:szCs w:val="32"/>
        </w:rPr>
        <w:t>（二）项目预算情况：项目资金预算及测算</w:t>
      </w:r>
      <w:r>
        <w:rPr>
          <w:rFonts w:hint="eastAsia" w:ascii="仿宋_GB2312" w:eastAsia="仿宋_GB2312"/>
          <w:sz w:val="32"/>
          <w:szCs w:val="32"/>
          <w:lang w:val="en-US" w:eastAsia="zh-CN"/>
        </w:rPr>
        <w:t>30</w:t>
      </w:r>
      <w:r>
        <w:rPr>
          <w:rFonts w:hint="eastAsia" w:ascii="仿宋_GB2312" w:eastAsia="仿宋_GB2312"/>
          <w:sz w:val="32"/>
          <w:szCs w:val="32"/>
        </w:rPr>
        <w:t>万元。项目预算无调整。</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二、项目资金管理情况</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（一）资金到位情况：项目资金</w:t>
      </w:r>
      <w:r>
        <w:rPr>
          <w:rFonts w:hint="eastAsia" w:ascii="仿宋_GB2312" w:hAnsi="仿宋" w:eastAsia="仿宋_GB2312"/>
          <w:sz w:val="32"/>
          <w:szCs w:val="32"/>
          <w:lang w:val="en-US" w:eastAsia="zh-CN"/>
        </w:rPr>
        <w:t>1月到位30万元。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（二）预算资金执行情况：截止12月31日我单位该项目支出30万元。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（三）项目资金规范运行情况：</w:t>
      </w:r>
      <w:r>
        <w:rPr>
          <w:rFonts w:hint="eastAsia" w:ascii="仿宋_GB2312" w:hAnsi="仿宋" w:eastAsia="仿宋_GB2312"/>
          <w:sz w:val="32"/>
          <w:szCs w:val="32"/>
        </w:rPr>
        <w:t>严格执行资金使用申请程序及资金使用各项标准进行管理使用</w:t>
      </w:r>
      <w:r>
        <w:rPr>
          <w:rFonts w:hint="eastAsia" w:ascii="仿宋_GB2312" w:hAnsi="仿宋"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eastAsia="zh-CN"/>
        </w:rPr>
        <w:t>（四）财务管理情况：</w:t>
      </w:r>
      <w:r>
        <w:rPr>
          <w:rFonts w:ascii="仿宋_GB2312" w:hAnsi="仿宋" w:eastAsia="仿宋_GB2312"/>
          <w:sz w:val="32"/>
          <w:szCs w:val="32"/>
        </w:rPr>
        <w:t>我办</w:t>
      </w:r>
      <w:r>
        <w:rPr>
          <w:rFonts w:hint="eastAsia" w:ascii="仿宋_GB2312" w:hAnsi="仿宋" w:eastAsia="仿宋_GB2312"/>
          <w:sz w:val="32"/>
          <w:szCs w:val="32"/>
        </w:rPr>
        <w:t>按照财务管理制度</w:t>
      </w:r>
      <w:r>
        <w:rPr>
          <w:rFonts w:hint="eastAsia" w:ascii="仿宋_GB2312" w:hAnsi="仿宋" w:eastAsia="仿宋_GB2312"/>
          <w:sz w:val="32"/>
          <w:szCs w:val="32"/>
          <w:lang w:eastAsia="zh-CN"/>
        </w:rPr>
        <w:t>健全</w:t>
      </w:r>
      <w:r>
        <w:rPr>
          <w:rFonts w:hint="eastAsia" w:ascii="仿宋_GB2312" w:hAnsi="仿宋" w:eastAsia="仿宋_GB2312"/>
          <w:sz w:val="32"/>
          <w:szCs w:val="32"/>
        </w:rPr>
        <w:t>，</w:t>
      </w:r>
      <w:r>
        <w:rPr>
          <w:rFonts w:hint="eastAsia" w:ascii="仿宋_GB2312" w:hAnsi="仿宋" w:eastAsia="仿宋_GB2312"/>
          <w:sz w:val="32"/>
          <w:szCs w:val="32"/>
          <w:lang w:eastAsia="zh-CN"/>
        </w:rPr>
        <w:t>管理规范，会计规范核算财务处理，</w:t>
      </w:r>
      <w:r>
        <w:rPr>
          <w:rFonts w:hint="eastAsia" w:ascii="仿宋_GB2312" w:hAnsi="仿宋" w:eastAsia="仿宋_GB2312"/>
          <w:sz w:val="32"/>
          <w:szCs w:val="32"/>
        </w:rPr>
        <w:t>最大化发挥了项目资金的综合效益。</w:t>
      </w:r>
    </w:p>
    <w:p>
      <w:pPr>
        <w:spacing w:line="560" w:lineRule="exact"/>
        <w:ind w:firstLine="640" w:firstLineChars="200"/>
        <w:rPr>
          <w:rFonts w:hint="eastAsia" w:ascii="仿宋" w:hAnsi="仿宋" w:eastAsia="仿宋"/>
          <w:sz w:val="32"/>
          <w:szCs w:val="32"/>
        </w:rPr>
      </w:pPr>
      <w:r>
        <w:rPr>
          <w:rFonts w:hint="eastAsia" w:ascii="黑体" w:hAnsi="黑体" w:eastAsia="黑体"/>
          <w:sz w:val="32"/>
          <w:szCs w:val="32"/>
          <w:lang w:eastAsia="zh-CN"/>
        </w:rPr>
        <w:t>三</w:t>
      </w:r>
      <w:r>
        <w:rPr>
          <w:rFonts w:hint="eastAsia" w:ascii="黑体" w:hAnsi="黑体" w:eastAsia="黑体"/>
          <w:sz w:val="32"/>
          <w:szCs w:val="32"/>
        </w:rPr>
        <w:t>、项目组织实施情况</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（一）项目组织机关与职责落实情况：项目由区民营发展中心组织实施，由专班专人负责落实。</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lang w:eastAsia="zh-CN"/>
        </w:rPr>
        <w:t>（二）项目管理制度建设情况：严格按照民营中心相关的</w:t>
      </w:r>
      <w:r>
        <w:rPr>
          <w:rFonts w:ascii="仿宋_GB2312" w:hAnsi="仿宋" w:eastAsia="仿宋_GB2312"/>
          <w:sz w:val="32"/>
          <w:szCs w:val="32"/>
        </w:rPr>
        <w:t>工作职责</w:t>
      </w:r>
      <w:r>
        <w:rPr>
          <w:rFonts w:hint="eastAsia" w:ascii="仿宋_GB2312" w:hAnsi="仿宋" w:eastAsia="仿宋_GB2312"/>
          <w:sz w:val="32"/>
          <w:szCs w:val="32"/>
          <w:lang w:eastAsia="zh-CN"/>
        </w:rPr>
        <w:t>开展工作</w:t>
      </w:r>
      <w:r>
        <w:rPr>
          <w:rFonts w:ascii="仿宋_GB2312" w:hAnsi="仿宋" w:eastAsia="仿宋_GB2312"/>
          <w:sz w:val="32"/>
          <w:szCs w:val="32"/>
        </w:rPr>
        <w:t>。</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（三）项目组织管理落实情况：</w:t>
      </w:r>
      <w:r>
        <w:rPr>
          <w:rFonts w:ascii="仿宋_GB2312" w:hAnsi="仿宋" w:eastAsia="仿宋_GB2312"/>
          <w:sz w:val="32"/>
          <w:szCs w:val="32"/>
        </w:rPr>
        <w:t>单位明确了专门机构和人员负责项目</w:t>
      </w:r>
      <w:r>
        <w:rPr>
          <w:rFonts w:hint="eastAsia" w:ascii="仿宋_GB2312" w:hAnsi="仿宋" w:eastAsia="仿宋_GB2312"/>
          <w:sz w:val="32"/>
          <w:szCs w:val="32"/>
          <w:lang w:eastAsia="zh-CN"/>
        </w:rPr>
        <w:t>实施</w:t>
      </w:r>
      <w:r>
        <w:rPr>
          <w:rFonts w:ascii="仿宋_GB2312" w:hAnsi="仿宋" w:eastAsia="仿宋_GB2312"/>
          <w:sz w:val="32"/>
          <w:szCs w:val="32"/>
        </w:rPr>
        <w:t>，统筹安排、协调处理相关事宜。</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项目绩效情况</w:t>
      </w:r>
    </w:p>
    <w:p>
      <w:pPr>
        <w:spacing w:line="560" w:lineRule="exact"/>
        <w:ind w:firstLine="645"/>
        <w:rPr>
          <w:rFonts w:hint="eastAsia" w:ascii="楷体_GB2312" w:hAnsi="仿宋" w:eastAsia="楷体_GB2312"/>
          <w:sz w:val="32"/>
          <w:szCs w:val="32"/>
        </w:rPr>
      </w:pPr>
      <w:r>
        <w:rPr>
          <w:rFonts w:hint="eastAsia" w:ascii="楷体_GB2312" w:hAnsi="仿宋" w:eastAsia="楷体_GB2312"/>
          <w:sz w:val="32"/>
          <w:szCs w:val="32"/>
        </w:rPr>
        <w:t>（一）项目完成情况。</w:t>
      </w:r>
    </w:p>
    <w:p>
      <w:pPr>
        <w:spacing w:line="56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一是民营经济增加值增速达</w:t>
      </w:r>
      <w:r>
        <w:rPr>
          <w:rFonts w:hint="eastAsia" w:ascii="仿宋_GB2312" w:hAnsi="仿宋" w:eastAsia="仿宋_GB2312"/>
          <w:sz w:val="32"/>
          <w:szCs w:val="32"/>
          <w:lang w:val="en-US" w:eastAsia="zh-CN"/>
        </w:rPr>
        <w:t>10.2</w:t>
      </w:r>
      <w:r>
        <w:rPr>
          <w:rFonts w:hint="eastAsia" w:ascii="仿宋_GB2312" w:hAnsi="仿宋" w:eastAsia="仿宋_GB2312"/>
          <w:sz w:val="32"/>
          <w:szCs w:val="32"/>
          <w:lang w:eastAsia="zh-CN"/>
        </w:rPr>
        <w:t>%。二是民间投资增速达</w:t>
      </w:r>
      <w:r>
        <w:rPr>
          <w:rFonts w:hint="eastAsia" w:ascii="仿宋_GB2312" w:hAnsi="仿宋" w:eastAsia="仿宋_GB2312"/>
          <w:sz w:val="32"/>
          <w:szCs w:val="32"/>
          <w:lang w:val="en-US" w:eastAsia="zh-CN"/>
        </w:rPr>
        <w:t>7.8</w:t>
      </w:r>
      <w:r>
        <w:rPr>
          <w:rFonts w:hint="eastAsia" w:ascii="仿宋_GB2312" w:hAnsi="仿宋" w:eastAsia="仿宋_GB2312"/>
          <w:sz w:val="32"/>
          <w:szCs w:val="32"/>
          <w:lang w:eastAsia="zh-CN"/>
        </w:rPr>
        <w:t>%。</w:t>
      </w:r>
    </w:p>
    <w:p>
      <w:pPr>
        <w:spacing w:line="560" w:lineRule="exact"/>
        <w:ind w:firstLine="645"/>
        <w:rPr>
          <w:rFonts w:hint="eastAsia" w:ascii="楷体_GB2312" w:hAnsi="仿宋" w:eastAsia="楷体_GB2312"/>
          <w:sz w:val="32"/>
          <w:szCs w:val="32"/>
        </w:rPr>
      </w:pPr>
      <w:r>
        <w:rPr>
          <w:rFonts w:hint="eastAsia" w:ascii="楷体_GB2312" w:hAnsi="仿宋" w:eastAsia="楷体_GB2312"/>
          <w:sz w:val="32"/>
          <w:szCs w:val="32"/>
        </w:rPr>
        <w:t>（二）项目效益情况。</w:t>
      </w:r>
    </w:p>
    <w:p>
      <w:pPr>
        <w:spacing w:line="560" w:lineRule="exact"/>
        <w:ind w:firstLine="645"/>
        <w:rPr>
          <w:rFonts w:hint="default" w:ascii="仿宋_GB2312" w:hAnsi="仿宋" w:eastAsia="仿宋_GB2312"/>
          <w:sz w:val="32"/>
          <w:szCs w:val="32"/>
          <w:lang w:val="en-US" w:eastAsia="zh-CN"/>
        </w:rPr>
      </w:pPr>
      <w:r>
        <w:rPr>
          <w:rFonts w:hint="eastAsia" w:ascii="仿宋_GB2312" w:eastAsia="仿宋_GB2312"/>
          <w:sz w:val="32"/>
          <w:szCs w:val="32"/>
        </w:rPr>
        <w:t>提升企业经济水平</w:t>
      </w:r>
      <w:r>
        <w:rPr>
          <w:rFonts w:hint="eastAsia" w:ascii="仿宋_GB2312" w:eastAsia="仿宋_GB2312"/>
          <w:sz w:val="32"/>
          <w:szCs w:val="32"/>
          <w:lang w:eastAsia="zh-CN"/>
        </w:rPr>
        <w:t>，促进了全区工业经济发展水平，</w:t>
      </w:r>
      <w:r>
        <w:rPr>
          <w:rFonts w:hint="eastAsia" w:ascii="仿宋_GB2312" w:eastAsia="仿宋_GB2312"/>
          <w:sz w:val="32"/>
          <w:szCs w:val="32"/>
        </w:rPr>
        <w:t>展示</w:t>
      </w:r>
      <w:r>
        <w:rPr>
          <w:rFonts w:hint="eastAsia" w:ascii="仿宋_GB2312" w:eastAsia="仿宋_GB2312"/>
          <w:sz w:val="32"/>
          <w:szCs w:val="32"/>
          <w:lang w:eastAsia="zh-CN"/>
        </w:rPr>
        <w:t>朝天区</w:t>
      </w:r>
      <w:r>
        <w:rPr>
          <w:rFonts w:hint="eastAsia" w:ascii="仿宋_GB2312" w:eastAsia="仿宋_GB2312"/>
          <w:sz w:val="32"/>
          <w:szCs w:val="32"/>
        </w:rPr>
        <w:t>经济社会发展新面貌</w:t>
      </w:r>
      <w:r>
        <w:rPr>
          <w:rFonts w:hint="eastAsia" w:ascii="仿宋_GB2312" w:eastAsia="仿宋_GB2312"/>
          <w:sz w:val="32"/>
          <w:szCs w:val="32"/>
          <w:lang w:eastAsia="zh-CN"/>
        </w:rPr>
        <w:t>。</w:t>
      </w:r>
      <w:r>
        <w:rPr>
          <w:rFonts w:hint="eastAsia" w:ascii="仿宋_GB2312" w:hAnsi="仿宋" w:eastAsia="仿宋_GB2312"/>
          <w:sz w:val="32"/>
          <w:szCs w:val="32"/>
          <w:lang w:eastAsia="zh-CN"/>
        </w:rPr>
        <w:t>民营企业评议政府满意度达到</w:t>
      </w:r>
      <w:r>
        <w:rPr>
          <w:rFonts w:hint="eastAsia" w:ascii="仿宋_GB2312" w:hAnsi="仿宋" w:eastAsia="仿宋_GB2312"/>
          <w:sz w:val="32"/>
          <w:szCs w:val="32"/>
          <w:lang w:val="en-US" w:eastAsia="zh-CN"/>
        </w:rPr>
        <w:t>95%以上。</w:t>
      </w:r>
    </w:p>
    <w:p>
      <w:pPr>
        <w:autoSpaceDE w:val="0"/>
        <w:spacing w:line="540" w:lineRule="exact"/>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附表：1.</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widowControl/>
        <w:autoSpaceDE w:val="0"/>
        <w:spacing w:line="540" w:lineRule="exact"/>
        <w:ind w:firstLine="1540" w:firstLineChars="500"/>
        <w:jc w:val="left"/>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2.202</w:t>
      </w:r>
      <w:r>
        <w:rPr>
          <w:rFonts w:hint="eastAsia" w:ascii="仿宋_GB2312" w:hAnsi="宋体" w:eastAsia="仿宋_GB2312" w:cs="Times New Roman"/>
          <w:color w:val="000000"/>
          <w:spacing w:val="-6"/>
          <w:kern w:val="0"/>
          <w:sz w:val="32"/>
          <w:szCs w:val="32"/>
          <w:lang w:val="en-US" w:eastAsia="zh-CN"/>
        </w:rPr>
        <w:t>1</w:t>
      </w:r>
      <w:r>
        <w:rPr>
          <w:rFonts w:hint="eastAsia" w:ascii="仿宋_GB2312" w:hAnsi="宋体" w:eastAsia="仿宋_GB2312" w:cs="Times New Roman"/>
          <w:color w:val="000000"/>
          <w:spacing w:val="-6"/>
          <w:kern w:val="0"/>
          <w:sz w:val="32"/>
          <w:szCs w:val="32"/>
        </w:rPr>
        <w:t>年部门预算项目支出绩效自评评分表</w:t>
      </w:r>
    </w:p>
    <w:p>
      <w:pPr>
        <w:autoSpaceDE w:val="0"/>
        <w:spacing w:line="576" w:lineRule="exact"/>
        <w:rPr>
          <w:rFonts w:hint="eastAsia" w:ascii="仿宋_GB2312" w:hAnsi="Times New Roman" w:eastAsia="仿宋_GB2312" w:cs="Times New Roman"/>
          <w:sz w:val="32"/>
          <w:szCs w:val="32"/>
          <w:lang w:val="en-US" w:eastAsia="zh-CN"/>
        </w:rPr>
      </w:pPr>
    </w:p>
    <w:p/>
    <w:p>
      <w:pPr>
        <w:pStyle w:val="15"/>
      </w:pPr>
    </w:p>
    <w:p/>
    <w:p>
      <w:pPr>
        <w:pStyle w:val="15"/>
      </w:pPr>
    </w:p>
    <w:p/>
    <w:p>
      <w:pPr>
        <w:pStyle w:val="15"/>
      </w:pPr>
    </w:p>
    <w:p/>
    <w:p>
      <w:pPr>
        <w:pStyle w:val="15"/>
      </w:pPr>
    </w:p>
    <w:p/>
    <w:tbl>
      <w:tblPr>
        <w:tblStyle w:val="16"/>
        <w:tblW w:w="10065" w:type="dxa"/>
        <w:tblInd w:w="-6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3"/>
        <w:gridCol w:w="1125"/>
        <w:gridCol w:w="1005"/>
        <w:gridCol w:w="1947"/>
        <w:gridCol w:w="915"/>
        <w:gridCol w:w="993"/>
        <w:gridCol w:w="135"/>
        <w:gridCol w:w="1347"/>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006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65"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06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4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民营经济发展中心工作经费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49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598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3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985"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目标1：民营经济增加值增速达到全市平均水平</w:t>
            </w:r>
          </w:p>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目标2：民间投资增速达到全市平均水平</w:t>
            </w:r>
          </w:p>
        </w:tc>
        <w:tc>
          <w:tcPr>
            <w:tcW w:w="3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完成年初制定目标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民营经济增加值</w:t>
            </w:r>
          </w:p>
        </w:tc>
        <w:tc>
          <w:tcPr>
            <w:tcW w:w="204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增速达10.2%</w:t>
            </w:r>
          </w:p>
        </w:tc>
        <w:tc>
          <w:tcPr>
            <w:tcW w:w="295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增速达10.2%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民间投资增速</w:t>
            </w:r>
          </w:p>
        </w:tc>
        <w:tc>
          <w:tcPr>
            <w:tcW w:w="204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增速达7.8%</w:t>
            </w:r>
          </w:p>
        </w:tc>
        <w:tc>
          <w:tcPr>
            <w:tcW w:w="295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增速达7.8%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民营经济增加值增速达到全市平均水平</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民营经济增加值高于全市平均水平0.8百分点</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Style w:val="38"/>
                <w:lang w:val="en-US" w:eastAsia="zh-CN" w:bidi="ar"/>
              </w:rPr>
              <w:t>民营经济增加值高于全市平均水平</w:t>
            </w:r>
            <w:r>
              <w:rPr>
                <w:rFonts w:ascii="Arial" w:hAnsi="Arial" w:eastAsia="宋体" w:cs="Arial"/>
                <w:i w:val="0"/>
                <w:iCs w:val="0"/>
                <w:color w:val="000000"/>
                <w:kern w:val="0"/>
                <w:sz w:val="18"/>
                <w:szCs w:val="18"/>
                <w:u w:val="none"/>
                <w:lang w:val="en-US" w:eastAsia="zh-CN" w:bidi="ar"/>
              </w:rPr>
              <w:t>1.0</w:t>
            </w:r>
            <w:r>
              <w:rPr>
                <w:rStyle w:val="38"/>
                <w:lang w:val="en-US" w:eastAsia="zh-CN" w:bidi="ar"/>
              </w:rPr>
              <w:t>百分点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按照工作进度实施</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举办会议20次、发放宣传资料1万册、制作宣传栏20栏</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会议费3000/次，宣传资料3元/册,宣传栏5000元/板</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提升企业经济水平</w:t>
            </w:r>
          </w:p>
        </w:tc>
        <w:tc>
          <w:tcPr>
            <w:tcW w:w="2043"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c>
          <w:tcPr>
            <w:tcW w:w="2952"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按照年初既定目标推进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促进全区工业经济发展水平</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有所提升</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按照年初既定目标推进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优化全区投资环境</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优化全区投资环境</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全区投资环境进一步优化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促进经济发展、城市发展</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民营企业满意度</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20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
      <w:pPr>
        <w:pStyle w:val="15"/>
      </w:pPr>
    </w:p>
    <w:p/>
    <w:p>
      <w:pPr>
        <w:pStyle w:val="15"/>
      </w:pPr>
    </w:p>
    <w:p/>
    <w:p>
      <w:pPr>
        <w:pStyle w:val="15"/>
      </w:pPr>
    </w:p>
    <w:p/>
    <w:p>
      <w:pPr>
        <w:pStyle w:val="15"/>
      </w:pPr>
    </w:p>
    <w:p/>
    <w:p>
      <w:pPr>
        <w:pStyle w:val="15"/>
      </w:pPr>
    </w:p>
    <w:p/>
    <w:p>
      <w:pPr>
        <w:pStyle w:val="15"/>
      </w:pPr>
    </w:p>
    <w:p/>
    <w:p>
      <w:pPr>
        <w:pStyle w:val="15"/>
      </w:pPr>
    </w:p>
    <w:p/>
    <w:p>
      <w:pPr>
        <w:pStyle w:val="15"/>
      </w:pPr>
    </w:p>
    <w:p/>
    <w:p>
      <w:pPr>
        <w:pStyle w:val="15"/>
      </w:pPr>
    </w:p>
    <w:p/>
    <w:p>
      <w:pPr>
        <w:pStyle w:val="15"/>
      </w:pPr>
    </w:p>
    <w:p/>
    <w:p>
      <w:pPr>
        <w:pStyle w:val="15"/>
      </w:pPr>
    </w:p>
    <w:p/>
    <w:p>
      <w:pPr>
        <w:pStyle w:val="15"/>
      </w:pPr>
    </w:p>
    <w:p/>
    <w:p>
      <w:pPr>
        <w:pStyle w:val="15"/>
        <w:sectPr>
          <w:pgSz w:w="11906" w:h="16838"/>
          <w:pgMar w:top="1440" w:right="1803" w:bottom="1440" w:left="1803" w:header="851" w:footer="992" w:gutter="0"/>
          <w:pgNumType w:start="1"/>
          <w:cols w:space="0" w:num="1"/>
          <w:titlePg/>
          <w:rtlGutter w:val="0"/>
          <w:docGrid w:type="lines" w:linePitch="319" w:charSpace="0"/>
        </w:sectPr>
      </w:pPr>
    </w:p>
    <w:p/>
    <w:tbl>
      <w:tblPr>
        <w:tblStyle w:val="16"/>
        <w:tblW w:w="144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831"/>
        <w:gridCol w:w="1170"/>
        <w:gridCol w:w="5280"/>
        <w:gridCol w:w="675"/>
        <w:gridCol w:w="5266"/>
        <w:gridCol w:w="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498" w:type="dxa"/>
            <w:gridSpan w:val="7"/>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498" w:type="dxa"/>
            <w:gridSpan w:val="7"/>
            <w:tcBorders>
              <w:top w:val="nil"/>
              <w:left w:val="nil"/>
              <w:bottom w:val="nil"/>
              <w:right w:val="nil"/>
            </w:tcBorders>
            <w:shd w:val="clear" w:color="auto" w:fill="auto"/>
            <w:vAlign w:val="center"/>
          </w:tcPr>
          <w:p>
            <w:pPr>
              <w:keepNext w:val="0"/>
              <w:keepLines w:val="0"/>
              <w:widowControl/>
              <w:suppressLineNumbers w:val="0"/>
              <w:tabs>
                <w:tab w:val="left" w:pos="9660"/>
              </w:tabs>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 部门（单位）盖章：                                                                          项目名称：民营经济发展中心工作经费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18"/>
                <w:szCs w:val="18"/>
                <w:u w:val="none"/>
              </w:rPr>
            </w:pPr>
            <w:r>
              <w:rPr>
                <w:rFonts w:hint="eastAsia" w:ascii="仿宋" w:hAnsi="仿宋" w:eastAsia="仿宋" w:cs="仿宋"/>
                <w:i w:val="0"/>
                <w:iCs w:val="0"/>
                <w:color w:val="FF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5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803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5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17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自评结果：</w:t>
            </w:r>
            <w:r>
              <w:rPr>
                <w:rFonts w:ascii="Wingdings 2" w:hAnsi="Wingdings 2" w:eastAsia="Wingdings 2" w:cs="Wingdings 2"/>
                <w:b/>
                <w:bCs/>
                <w:i w:val="0"/>
                <w:iCs w:val="0"/>
                <w:color w:val="000000"/>
                <w:kern w:val="0"/>
                <w:sz w:val="21"/>
                <w:szCs w:val="21"/>
                <w:u w:val="none"/>
                <w:lang w:val="en-US" w:eastAsia="zh-CN" w:bidi="ar"/>
              </w:rPr>
              <w:t>R</w:t>
            </w:r>
            <w:r>
              <w:rPr>
                <w:rStyle w:val="39"/>
                <w:lang w:val="en-US" w:eastAsia="zh-CN" w:bidi="ar"/>
              </w:rPr>
              <w:t>优秀（90≤得分≤100）；   □良好（80≤得分＜89）；   □及格（60≤得分＜79）；   □不及格（低于60分）</w:t>
            </w:r>
          </w:p>
        </w:tc>
      </w:tr>
    </w:tbl>
    <w:p>
      <w:pPr>
        <w:sectPr>
          <w:pgSz w:w="16838" w:h="11906" w:orient="landscape"/>
          <w:pgMar w:top="1803" w:right="2158" w:bottom="1803" w:left="1440" w:header="851" w:footer="992" w:gutter="0"/>
          <w:pgNumType w:start="1"/>
          <w:cols w:space="0" w:num="1"/>
          <w:titlePg/>
          <w:rtlGutter w:val="0"/>
          <w:docGrid w:type="lines" w:linePitch="319" w:charSpace="0"/>
        </w:sectPr>
      </w:pP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年电子政务外网租赁项目支出绩效</w:t>
      </w:r>
    </w:p>
    <w:p>
      <w:pPr>
        <w:autoSpaceDE w:val="0"/>
        <w:spacing w:line="540" w:lineRule="exact"/>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评价报告</w:t>
      </w:r>
    </w:p>
    <w:p>
      <w:pPr>
        <w:pStyle w:val="15"/>
        <w:rPr>
          <w:rFonts w:hint="eastAsia"/>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一、项目概况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（一）项目基本情况：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区级政务外网网络中心到12个乡（镇）广域网主用传输线路、四川广元朝天经济开发区管委会及73个区级单位城域网主用传输线路服务；区级政务外网网络中心到12个乡（镇）广域网备用传输线路、四川广元朝天经济开发区管委会及36个区级重点单位城域网备用传输线路服务。</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（二）项目预算情况：项目资金预算</w:t>
      </w:r>
      <w:r>
        <w:rPr>
          <w:rFonts w:hint="eastAsia" w:ascii="仿宋_GB2312" w:hAnsi="仿宋" w:eastAsia="仿宋_GB2312"/>
          <w:sz w:val="32"/>
          <w:szCs w:val="32"/>
          <w:lang w:val="en-US" w:eastAsia="zh-CN"/>
        </w:rPr>
        <w:t>85</w:t>
      </w:r>
      <w:r>
        <w:rPr>
          <w:rFonts w:hint="eastAsia" w:ascii="仿宋_GB2312" w:hAnsi="仿宋" w:eastAsia="仿宋_GB2312"/>
          <w:sz w:val="32"/>
          <w:szCs w:val="32"/>
        </w:rPr>
        <w:t>万元；</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项目绩效目标：电子政务外网运维服务满足区辖各乡（镇）、区级单位接入政务外网的需要，承载国家、省、市电子政务外网应用平台及应用系统，包括一体化政务服务平台、政务信息资源共享平台、协同办公系统、视频会议系统等应用。全网配套设备支持IPv6协议并配置为IPv4与IPv6双栈模式，并且IPv4与IPv6能独立完整保持所需的相关功能性和安全性，具备同时承载IPv4和IPv6业务和提供服务的能力。</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二、项目资金管理情况</w:t>
      </w:r>
    </w:p>
    <w:p>
      <w:pPr>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20</w:t>
      </w:r>
      <w:r>
        <w:rPr>
          <w:rFonts w:ascii="仿宋_GB2312" w:hAnsi="仿宋" w:eastAsia="仿宋_GB2312"/>
          <w:sz w:val="32"/>
          <w:szCs w:val="32"/>
        </w:rPr>
        <w:t>年本级下达电子政务外网租赁项目费用</w:t>
      </w:r>
      <w:r>
        <w:rPr>
          <w:rFonts w:hint="eastAsia" w:ascii="仿宋_GB2312" w:hAnsi="仿宋" w:eastAsia="仿宋_GB2312"/>
          <w:sz w:val="32"/>
          <w:szCs w:val="32"/>
          <w:lang w:val="en-US" w:eastAsia="zh-CN"/>
        </w:rPr>
        <w:t>85</w:t>
      </w:r>
      <w:r>
        <w:rPr>
          <w:rFonts w:ascii="仿宋_GB2312" w:hAnsi="仿宋" w:eastAsia="仿宋_GB2312"/>
          <w:sz w:val="32"/>
          <w:szCs w:val="32"/>
        </w:rPr>
        <w:t>万元，我办均</w:t>
      </w:r>
      <w:r>
        <w:rPr>
          <w:rFonts w:hint="eastAsia" w:ascii="仿宋_GB2312" w:hAnsi="仿宋" w:eastAsia="仿宋_GB2312"/>
          <w:sz w:val="32"/>
          <w:szCs w:val="32"/>
        </w:rPr>
        <w:t>严格按照财务管理制度进行管理使用。</w:t>
      </w:r>
    </w:p>
    <w:p>
      <w:pPr>
        <w:spacing w:line="560" w:lineRule="exact"/>
        <w:ind w:firstLine="640" w:firstLineChars="200"/>
        <w:rPr>
          <w:rFonts w:hint="eastAsia" w:ascii="仿宋" w:hAnsi="仿宋" w:eastAsia="仿宋"/>
          <w:sz w:val="32"/>
          <w:szCs w:val="32"/>
        </w:rPr>
      </w:pPr>
      <w:r>
        <w:rPr>
          <w:rFonts w:hint="eastAsia" w:ascii="黑体" w:hAnsi="黑体" w:eastAsia="黑体"/>
          <w:sz w:val="32"/>
          <w:szCs w:val="32"/>
        </w:rPr>
        <w:t>三、项目组织实施情况</w:t>
      </w:r>
    </w:p>
    <w:p>
      <w:pPr>
        <w:spacing w:line="560" w:lineRule="exact"/>
        <w:ind w:firstLine="645"/>
        <w:rPr>
          <w:rFonts w:hint="eastAsia" w:ascii="仿宋_GB2312" w:hAnsi="仿宋" w:eastAsia="仿宋_GB2312"/>
          <w:sz w:val="32"/>
          <w:szCs w:val="32"/>
        </w:rPr>
      </w:pPr>
      <w:r>
        <w:rPr>
          <w:rFonts w:ascii="仿宋_GB2312" w:hAnsi="仿宋" w:eastAsia="仿宋_GB2312"/>
          <w:sz w:val="32"/>
          <w:szCs w:val="32"/>
        </w:rPr>
        <w:t>项目严格按照以下程序进行实施。一是明确工作职责。项目单位明确了专门机构和人员负责项目建设，统筹安排、协调处理相关事宜。二是开展调研论证。前期，我</w:t>
      </w:r>
      <w:r>
        <w:rPr>
          <w:rFonts w:hint="eastAsia" w:ascii="仿宋_GB2312" w:hAnsi="仿宋" w:eastAsia="仿宋_GB2312"/>
          <w:sz w:val="32"/>
          <w:szCs w:val="32"/>
        </w:rPr>
        <w:t>办</w:t>
      </w:r>
      <w:r>
        <w:rPr>
          <w:rFonts w:ascii="仿宋_GB2312" w:hAnsi="仿宋" w:eastAsia="仿宋_GB2312"/>
          <w:sz w:val="32"/>
          <w:szCs w:val="32"/>
        </w:rPr>
        <w:t>会同</w:t>
      </w:r>
      <w:r>
        <w:rPr>
          <w:rFonts w:hint="eastAsia" w:ascii="仿宋_GB2312" w:hAnsi="仿宋" w:eastAsia="仿宋_GB2312"/>
          <w:sz w:val="32"/>
          <w:szCs w:val="32"/>
        </w:rPr>
        <w:t>市政府采购</w:t>
      </w:r>
      <w:r>
        <w:rPr>
          <w:rFonts w:ascii="仿宋_GB2312" w:hAnsi="仿宋" w:eastAsia="仿宋_GB2312"/>
          <w:sz w:val="32"/>
          <w:szCs w:val="32"/>
        </w:rPr>
        <w:t>专家对项目进行了可行性论证，制定了实施方案，经专家评审后，报</w:t>
      </w:r>
      <w:r>
        <w:rPr>
          <w:rFonts w:hint="eastAsia" w:ascii="仿宋_GB2312" w:hAnsi="仿宋" w:eastAsia="仿宋_GB2312"/>
          <w:sz w:val="32"/>
          <w:szCs w:val="32"/>
        </w:rPr>
        <w:t>区</w:t>
      </w:r>
      <w:r>
        <w:rPr>
          <w:rFonts w:ascii="仿宋_GB2312" w:hAnsi="仿宋" w:eastAsia="仿宋_GB2312"/>
          <w:sz w:val="32"/>
          <w:szCs w:val="32"/>
        </w:rPr>
        <w:t>政府批准，确定实施方案。三是开展公开</w:t>
      </w:r>
      <w:r>
        <w:rPr>
          <w:rFonts w:hint="eastAsia" w:ascii="仿宋_GB2312" w:hAnsi="仿宋" w:eastAsia="仿宋_GB2312"/>
          <w:sz w:val="32"/>
          <w:szCs w:val="32"/>
        </w:rPr>
        <w:t>采购</w:t>
      </w:r>
      <w:r>
        <w:rPr>
          <w:rFonts w:ascii="仿宋_GB2312" w:hAnsi="仿宋" w:eastAsia="仿宋_GB2312"/>
          <w:sz w:val="32"/>
          <w:szCs w:val="32"/>
        </w:rPr>
        <w:t>，签订</w:t>
      </w:r>
      <w:r>
        <w:rPr>
          <w:rFonts w:hint="eastAsia" w:ascii="仿宋_GB2312" w:hAnsi="仿宋" w:eastAsia="仿宋_GB2312"/>
          <w:sz w:val="32"/>
          <w:szCs w:val="32"/>
        </w:rPr>
        <w:t>服务</w:t>
      </w:r>
      <w:r>
        <w:rPr>
          <w:rFonts w:ascii="仿宋_GB2312" w:hAnsi="仿宋" w:eastAsia="仿宋_GB2312"/>
          <w:sz w:val="32"/>
          <w:szCs w:val="32"/>
        </w:rPr>
        <w:t>合同。</w:t>
      </w:r>
      <w:r>
        <w:rPr>
          <w:rFonts w:hint="eastAsia" w:ascii="仿宋_GB2312" w:hAnsi="仿宋" w:eastAsia="仿宋_GB2312"/>
          <w:sz w:val="32"/>
          <w:szCs w:val="32"/>
        </w:rPr>
        <w:t>四是五</w:t>
      </w:r>
      <w:r>
        <w:rPr>
          <w:rFonts w:ascii="仿宋_GB2312" w:hAnsi="仿宋" w:eastAsia="仿宋_GB2312"/>
          <w:sz w:val="32"/>
          <w:szCs w:val="32"/>
        </w:rPr>
        <w:t>是做好组织验收。项目完工后，</w:t>
      </w:r>
      <w:r>
        <w:rPr>
          <w:rFonts w:hint="eastAsia" w:ascii="仿宋_GB2312" w:hAnsi="仿宋" w:eastAsia="仿宋_GB2312"/>
          <w:sz w:val="32"/>
          <w:szCs w:val="32"/>
        </w:rPr>
        <w:t>及时组织人员</w:t>
      </w:r>
      <w:r>
        <w:rPr>
          <w:rFonts w:ascii="仿宋_GB2312" w:hAnsi="仿宋" w:eastAsia="仿宋_GB2312"/>
          <w:sz w:val="32"/>
          <w:szCs w:val="32"/>
        </w:rPr>
        <w:t>对项目进行验收。</w:t>
      </w:r>
      <w:r>
        <w:rPr>
          <w:rFonts w:hint="eastAsia" w:ascii="仿宋_GB2312" w:hAnsi="仿宋" w:eastAsia="仿宋_GB2312"/>
          <w:sz w:val="32"/>
          <w:szCs w:val="32"/>
        </w:rPr>
        <w:t>六</w:t>
      </w:r>
      <w:r>
        <w:rPr>
          <w:rFonts w:ascii="仿宋_GB2312" w:hAnsi="仿宋" w:eastAsia="仿宋_GB2312"/>
          <w:sz w:val="32"/>
          <w:szCs w:val="32"/>
        </w:rPr>
        <w:t>是八是妥善保管资料。对项目设计、申报、验收等相关资料及时整理，并归档保管。</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四、项目绩效情况</w:t>
      </w:r>
    </w:p>
    <w:p>
      <w:pPr>
        <w:spacing w:line="560" w:lineRule="exact"/>
        <w:ind w:firstLine="645"/>
        <w:rPr>
          <w:rFonts w:hint="eastAsia" w:ascii="楷体_GB2312" w:hAnsi="仿宋" w:eastAsia="楷体_GB2312"/>
          <w:sz w:val="32"/>
          <w:szCs w:val="32"/>
        </w:rPr>
      </w:pPr>
      <w:r>
        <w:rPr>
          <w:rFonts w:hint="eastAsia" w:ascii="楷体_GB2312" w:hAnsi="仿宋" w:eastAsia="楷体_GB2312"/>
          <w:sz w:val="32"/>
          <w:szCs w:val="32"/>
        </w:rPr>
        <w:t>（一）项目完成情况。</w:t>
      </w:r>
      <w:r>
        <w:rPr>
          <w:rFonts w:ascii="仿宋_GB2312" w:hAnsi="仿宋" w:eastAsia="仿宋_GB2312"/>
          <w:sz w:val="32"/>
          <w:szCs w:val="32"/>
        </w:rPr>
        <w:t>按照实施方案，</w:t>
      </w:r>
      <w:r>
        <w:rPr>
          <w:rFonts w:hint="eastAsia" w:ascii="仿宋_GB2312" w:hAnsi="仿宋" w:eastAsia="仿宋_GB2312"/>
          <w:sz w:val="32"/>
          <w:szCs w:val="32"/>
        </w:rPr>
        <w:t>实施</w:t>
      </w:r>
      <w:r>
        <w:rPr>
          <w:rFonts w:ascii="仿宋_GB2312" w:hAnsi="仿宋" w:eastAsia="仿宋_GB2312"/>
          <w:sz w:val="32"/>
          <w:szCs w:val="32"/>
        </w:rPr>
        <w:t>单位组织对项目进行施工，</w:t>
      </w:r>
      <w:r>
        <w:rPr>
          <w:rFonts w:hint="eastAsia" w:ascii="仿宋_GB2312" w:hAnsi="仿宋" w:eastAsia="仿宋_GB2312"/>
          <w:sz w:val="32"/>
          <w:szCs w:val="32"/>
        </w:rPr>
        <w:t>区政府办</w:t>
      </w:r>
      <w:r>
        <w:rPr>
          <w:rFonts w:ascii="仿宋_GB2312" w:hAnsi="仿宋" w:eastAsia="仿宋_GB2312"/>
          <w:sz w:val="32"/>
          <w:szCs w:val="32"/>
        </w:rPr>
        <w:t>对项目建设进行跟踪监督和管理，对不符合要求的责令及时整改。项目完成后，及时制定了考评制度，实行服务费与考评结果挂钩办法。同时，签订相关协议，明确了双方的权利和义务。</w:t>
      </w:r>
    </w:p>
    <w:p>
      <w:pPr>
        <w:spacing w:line="560" w:lineRule="exact"/>
        <w:ind w:firstLine="645"/>
        <w:rPr>
          <w:rFonts w:hint="eastAsia" w:ascii="楷体_GB2312" w:hAnsi="仿宋" w:eastAsia="楷体_GB2312"/>
          <w:sz w:val="32"/>
          <w:szCs w:val="32"/>
        </w:rPr>
      </w:pPr>
      <w:r>
        <w:rPr>
          <w:rFonts w:hint="eastAsia" w:ascii="楷体_GB2312" w:hAnsi="仿宋" w:eastAsia="楷体_GB2312"/>
          <w:sz w:val="32"/>
          <w:szCs w:val="32"/>
        </w:rPr>
        <w:t>（二）项目效益情况。</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电子政务外网建设进一步向纵深扩展，实现区、乡、村三级互联互通，推动了纵向业务贯穿、横向分工协作。</w:t>
      </w:r>
    </w:p>
    <w:p>
      <w:pPr>
        <w:spacing w:line="560" w:lineRule="exact"/>
        <w:ind w:firstLine="645"/>
        <w:rPr>
          <w:rFonts w:hint="default" w:ascii="仿宋_GB2312" w:hAnsi="仿宋" w:eastAsia="仿宋_GB2312"/>
          <w:sz w:val="32"/>
          <w:szCs w:val="32"/>
          <w:lang w:val="en-US" w:eastAsia="zh-CN"/>
        </w:rPr>
      </w:pPr>
    </w:p>
    <w:p>
      <w:pPr>
        <w:autoSpaceDE w:val="0"/>
        <w:spacing w:line="540" w:lineRule="exact"/>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附表：1.</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widowControl/>
        <w:autoSpaceDE w:val="0"/>
        <w:spacing w:line="540" w:lineRule="exact"/>
        <w:ind w:firstLine="1540" w:firstLineChars="500"/>
        <w:jc w:val="left"/>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2.202</w:t>
      </w:r>
      <w:r>
        <w:rPr>
          <w:rFonts w:hint="eastAsia" w:ascii="仿宋_GB2312" w:hAnsi="宋体" w:eastAsia="仿宋_GB2312" w:cs="Times New Roman"/>
          <w:color w:val="000000"/>
          <w:spacing w:val="-6"/>
          <w:kern w:val="0"/>
          <w:sz w:val="32"/>
          <w:szCs w:val="32"/>
          <w:lang w:val="en-US" w:eastAsia="zh-CN"/>
        </w:rPr>
        <w:t>1</w:t>
      </w:r>
      <w:r>
        <w:rPr>
          <w:rFonts w:hint="eastAsia" w:ascii="仿宋_GB2312" w:hAnsi="宋体" w:eastAsia="仿宋_GB2312" w:cs="Times New Roman"/>
          <w:color w:val="000000"/>
          <w:spacing w:val="-6"/>
          <w:kern w:val="0"/>
          <w:sz w:val="32"/>
          <w:szCs w:val="32"/>
        </w:rPr>
        <w:t>年部门预算项目支出绩效自评评分表</w:t>
      </w:r>
    </w:p>
    <w:p>
      <w:pPr>
        <w:autoSpaceDE w:val="0"/>
        <w:spacing w:line="576" w:lineRule="exact"/>
        <w:rPr>
          <w:rFonts w:hint="eastAsia" w:ascii="仿宋_GB2312" w:hAnsi="Times New Roman" w:eastAsia="仿宋_GB2312" w:cs="Times New Roman"/>
          <w:sz w:val="32"/>
          <w:szCs w:val="32"/>
          <w:lang w:val="en-US" w:eastAsia="zh-CN"/>
        </w:rPr>
      </w:pPr>
    </w:p>
    <w:p>
      <w:pPr>
        <w:widowControl w:val="0"/>
        <w:numPr>
          <w:ilvl w:val="0"/>
          <w:numId w:val="0"/>
        </w:numPr>
        <w:spacing w:line="600" w:lineRule="exact"/>
        <w:jc w:val="center"/>
        <w:outlineLvl w:val="0"/>
        <w:rPr>
          <w:rStyle w:val="28"/>
          <w:rFonts w:hint="eastAsia" w:ascii="黑体" w:hAnsi="黑体" w:eastAsia="黑体"/>
          <w:b w:val="0"/>
          <w:color w:val="auto"/>
          <w:highlight w:val="none"/>
        </w:rPr>
      </w:pPr>
    </w:p>
    <w:p>
      <w:pPr>
        <w:pStyle w:val="15"/>
        <w:rPr>
          <w:rStyle w:val="28"/>
          <w:rFonts w:hint="eastAsia" w:ascii="黑体" w:hAnsi="黑体" w:eastAsia="黑体"/>
          <w:b w:val="0"/>
          <w:color w:val="auto"/>
          <w:highlight w:val="none"/>
        </w:rPr>
      </w:pPr>
    </w:p>
    <w:p>
      <w:pPr>
        <w:rPr>
          <w:rStyle w:val="28"/>
          <w:rFonts w:hint="eastAsia" w:ascii="黑体" w:hAnsi="黑体" w:eastAsia="黑体"/>
          <w:b w:val="0"/>
          <w:color w:val="auto"/>
          <w:highlight w:val="none"/>
        </w:rPr>
      </w:pPr>
    </w:p>
    <w:p>
      <w:pPr>
        <w:pStyle w:val="15"/>
        <w:tabs>
          <w:tab w:val="left" w:pos="6930"/>
        </w:tabs>
        <w:rPr>
          <w:rStyle w:val="28"/>
          <w:rFonts w:hint="eastAsia" w:ascii="黑体" w:hAnsi="黑体" w:eastAsia="黑体"/>
          <w:b w:val="0"/>
          <w:color w:val="auto"/>
          <w:highlight w:val="none"/>
        </w:rPr>
      </w:pPr>
    </w:p>
    <w:p>
      <w:pPr>
        <w:pStyle w:val="15"/>
        <w:ind w:left="0" w:leftChars="0" w:firstLine="0" w:firstLineChars="0"/>
        <w:rPr>
          <w:rStyle w:val="28"/>
          <w:rFonts w:hint="eastAsia" w:ascii="黑体" w:hAnsi="黑体" w:eastAsia="黑体"/>
          <w:b w:val="0"/>
          <w:color w:val="auto"/>
          <w:highlight w:val="none"/>
        </w:rPr>
      </w:pPr>
    </w:p>
    <w:p>
      <w:pPr>
        <w:rPr>
          <w:rFonts w:hint="eastAsia"/>
        </w:rPr>
      </w:pPr>
    </w:p>
    <w:p>
      <w:pPr>
        <w:rPr>
          <w:rStyle w:val="28"/>
          <w:rFonts w:hint="eastAsia" w:ascii="黑体" w:hAnsi="黑体" w:eastAsia="黑体"/>
          <w:b w:val="0"/>
          <w:color w:val="auto"/>
          <w:highlight w:val="none"/>
        </w:rPr>
      </w:pPr>
    </w:p>
    <w:tbl>
      <w:tblPr>
        <w:tblStyle w:val="16"/>
        <w:tblW w:w="98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9"/>
        <w:gridCol w:w="1553"/>
        <w:gridCol w:w="1343"/>
        <w:gridCol w:w="675"/>
        <w:gridCol w:w="1741"/>
        <w:gridCol w:w="1183"/>
        <w:gridCol w:w="541"/>
        <w:gridCol w:w="1499"/>
        <w:gridCol w:w="34"/>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61" w:type="dxa"/>
          <w:trHeight w:val="450" w:hRule="atLeast"/>
        </w:trPr>
        <w:tc>
          <w:tcPr>
            <w:tcW w:w="9814" w:type="dxa"/>
            <w:gridSpan w:val="8"/>
            <w:tcBorders>
              <w:top w:val="nil"/>
              <w:left w:val="nil"/>
              <w:bottom w:val="nil"/>
              <w:right w:val="nil"/>
            </w:tcBorders>
            <w:shd w:val="clear" w:color="auto" w:fill="auto"/>
            <w:vAlign w:val="center"/>
          </w:tcPr>
          <w:p>
            <w:pPr>
              <w:keepNext w:val="0"/>
              <w:keepLines w:val="0"/>
              <w:widowControl/>
              <w:suppressLineNumbers w:val="0"/>
              <w:tabs>
                <w:tab w:val="left" w:pos="8620"/>
              </w:tabs>
              <w:ind w:firstLine="1800" w:firstLineChars="500"/>
              <w:jc w:val="both"/>
              <w:textAlignment w:val="center"/>
              <w:rPr>
                <w:rFonts w:ascii="方正大标宋简体" w:hAnsi="方正大标宋简体" w:eastAsia="方正大标宋简体" w:cs="方正大标宋简体"/>
                <w:i w:val="0"/>
                <w:iCs w:val="0"/>
                <w:color w:val="000000"/>
                <w:sz w:val="36"/>
                <w:szCs w:val="36"/>
                <w:u w:val="none"/>
              </w:rPr>
            </w:pP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61" w:type="dxa"/>
          <w:trHeight w:val="304" w:hRule="atLeast"/>
        </w:trPr>
        <w:tc>
          <w:tcPr>
            <w:tcW w:w="9814" w:type="dxa"/>
            <w:gridSpan w:val="8"/>
            <w:tcBorders>
              <w:top w:val="nil"/>
              <w:left w:val="nil"/>
              <w:bottom w:val="nil"/>
              <w:right w:val="nil"/>
            </w:tcBorders>
            <w:shd w:val="clear" w:color="auto" w:fill="auto"/>
            <w:vAlign w:val="center"/>
          </w:tcPr>
          <w:p>
            <w:pPr>
              <w:keepNext w:val="0"/>
              <w:keepLines w:val="0"/>
              <w:widowControl/>
              <w:suppressLineNumbers w:val="0"/>
              <w:ind w:firstLine="3520" w:firstLineChars="1600"/>
              <w:jc w:val="both"/>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61" w:type="dxa"/>
          <w:trHeight w:val="90" w:hRule="atLeast"/>
        </w:trPr>
        <w:tc>
          <w:tcPr>
            <w:tcW w:w="981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859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340" w:firstLineChars="130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电子政务外网租赁费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859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2160" w:firstLineChars="120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预算执行情况</w:t>
            </w: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c>
          <w:tcPr>
            <w:tcW w:w="2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0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49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1995"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71"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提供区级政务外网网络中心到12个乡（镇）50M主（备）用传输线路服务。2、提供区级政务外网网络中心到四川广元朝天经济开发区管委会及36个区级单位50M主（备）用传输线路服务。3、提供区级政务外网网络中心到37个区级单位20M主（备）用传输线路服务。4、提供区级政务外网网络中心到中国电信股份有限公司朝天分公司1条1000M数据传输线路。5、提供区政府机房升级所有设备。6、提供7*24小时相关传输线路及配套网络设备运维服务</w:t>
            </w:r>
          </w:p>
        </w:tc>
        <w:tc>
          <w:tcPr>
            <w:tcW w:w="4998"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提供区级政务外网网络中心到12个乡（镇）50M主（备）用传输线路服务。2、提供区级政务外网网络中心到四川广元朝天经济开发区管委会及36个区级单位50M主（备）用传输线路服务。3、提供区级政务外网网络中心到37个区级单位20M主（备）用传输线路服务。4、提供区级政务外网网络中心到中国电信股份有限公司朝天分公司1条1000M数据传输线路。5、提供区政府机房升级所有设备。6、提供7*24小时相关传输线路及配套网络设备运维服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 w:type="dxa"/>
          <w:trHeight w:val="891" w:hRule="atLeast"/>
        </w:trPr>
        <w:tc>
          <w:tcPr>
            <w:tcW w:w="12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2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7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12个乡（镇）</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50M主（备）用传输线路服务</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50M主（备）用传输线路服务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36个区级单位</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50M主（备）用传输线路服务</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50M主（备）用传输线路服务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37个区级单位</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20M主（备）用传输线路服务</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20M主（备）用传输线路服务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系统正常运行率</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40"/>
                <w:lang w:val="en-US" w:eastAsia="zh-CN" w:bidi="ar"/>
              </w:rPr>
              <w:t>98%</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4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事故发生率</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运维服务响应时间</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40"/>
                <w:lang w:val="en-US" w:eastAsia="zh-CN" w:bidi="ar"/>
              </w:rPr>
              <w:t>1小时</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40"/>
                <w:lang w:val="en-US" w:eastAsia="zh-CN" w:bidi="ar"/>
              </w:rPr>
              <w:t>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主网线路服务</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65万/年</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备网线路服务</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20万/年</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20万/年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48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实现区、乡、村三级互联互通</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社会影响力</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9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260"/>
              </w:tabs>
              <w:ind w:left="219" w:leftChars="0" w:hanging="219" w:hangingChars="122"/>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219" w:leftChars="0" w:hanging="219" w:hangingChars="122"/>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219" w:leftChars="0" w:hanging="219" w:hangingChars="122"/>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48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19" w:leftChars="0" w:hanging="219" w:hangingChars="122"/>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政务外网建设进一步向纵深扩展</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9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20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使用人员满意度</w:t>
            </w: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27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7" w:type="dxa"/>
          <w:trHeight w:val="9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4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724"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533" w:type="dxa"/>
            <w:gridSpan w:val="2"/>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r>
    </w:tbl>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keepNext w:val="0"/>
        <w:keepLines w:val="0"/>
        <w:widowControl/>
        <w:suppressLineNumbers w:val="0"/>
        <w:jc w:val="both"/>
        <w:textAlignment w:val="top"/>
        <w:rPr>
          <w:rFonts w:hint="default" w:ascii="方正大标宋_GBK" w:hAnsi="方正大标宋_GBK" w:eastAsia="方正大标宋_GBK" w:cs="方正大标宋_GBK"/>
          <w:b/>
          <w:bCs/>
          <w:i w:val="0"/>
          <w:iCs w:val="0"/>
          <w:color w:val="000000"/>
          <w:kern w:val="0"/>
          <w:sz w:val="40"/>
          <w:szCs w:val="40"/>
          <w:u w:val="none"/>
          <w:lang w:val="en-US" w:eastAsia="zh-CN" w:bidi="ar"/>
        </w:rPr>
        <w:sectPr>
          <w:pgSz w:w="11906" w:h="16838"/>
          <w:pgMar w:top="1440" w:right="863" w:bottom="1440" w:left="1803" w:header="851" w:footer="992" w:gutter="0"/>
          <w:pgNumType w:start="1"/>
          <w:cols w:space="0" w:num="1"/>
          <w:titlePg/>
          <w:rtlGutter w:val="0"/>
          <w:docGrid w:type="lines" w:linePitch="319" w:charSpace="0"/>
        </w:sectPr>
      </w:pPr>
    </w:p>
    <w:tbl>
      <w:tblPr>
        <w:tblStyle w:val="16"/>
        <w:tblW w:w="14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6"/>
        <w:gridCol w:w="802"/>
        <w:gridCol w:w="750"/>
        <w:gridCol w:w="4935"/>
        <w:gridCol w:w="660"/>
        <w:gridCol w:w="6195"/>
        <w:gridCol w:w="819"/>
        <w:gridCol w:w="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8" w:type="dxa"/>
          <w:trHeight w:val="576" w:hRule="atLeast"/>
        </w:trPr>
        <w:tc>
          <w:tcPr>
            <w:tcW w:w="14917" w:type="dxa"/>
            <w:gridSpan w:val="7"/>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8" w:type="dxa"/>
          <w:trHeight w:val="369" w:hRule="atLeast"/>
        </w:trPr>
        <w:tc>
          <w:tcPr>
            <w:tcW w:w="14917"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 部门（单位）盖章：                                                                          项目名称：电子政务外网租赁项目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FF0000"/>
                <w:sz w:val="18"/>
                <w:szCs w:val="18"/>
                <w:u w:val="none"/>
              </w:rPr>
            </w:pPr>
            <w:r>
              <w:rPr>
                <w:rFonts w:hint="eastAsia" w:ascii="仿宋" w:hAnsi="仿宋" w:eastAsia="仿宋" w:cs="仿宋"/>
                <w:i w:val="0"/>
                <w:iCs w:val="0"/>
                <w:color w:val="FF0000"/>
                <w:kern w:val="0"/>
                <w:sz w:val="18"/>
                <w:szCs w:val="1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2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6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7140"/>
              </w:tabs>
              <w:ind w:right="3906" w:rightChars="186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8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87" w:type="dxa"/>
          <w:trHeight w:val="540" w:hRule="atLeast"/>
        </w:trPr>
        <w:tc>
          <w:tcPr>
            <w:tcW w:w="23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17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自评结果：</w:t>
            </w:r>
            <w:r>
              <w:rPr>
                <w:rFonts w:ascii="Wingdings 2" w:hAnsi="Wingdings 2" w:eastAsia="Wingdings 2" w:cs="Wingdings 2"/>
                <w:b/>
                <w:bCs/>
                <w:i w:val="0"/>
                <w:iCs w:val="0"/>
                <w:color w:val="000000"/>
                <w:kern w:val="0"/>
                <w:sz w:val="21"/>
                <w:szCs w:val="21"/>
                <w:u w:val="none"/>
                <w:lang w:val="en-US" w:eastAsia="zh-CN" w:bidi="ar"/>
              </w:rPr>
              <w:t>R</w:t>
            </w:r>
            <w:r>
              <w:rPr>
                <w:rFonts w:hint="eastAsia" w:ascii="宋体" w:hAnsi="宋体" w:eastAsia="宋体" w:cs="宋体"/>
                <w:b/>
                <w:bCs/>
                <w:i w:val="0"/>
                <w:iCs w:val="0"/>
                <w:color w:val="000000"/>
                <w:kern w:val="0"/>
                <w:sz w:val="21"/>
                <w:szCs w:val="21"/>
                <w:u w:val="none"/>
                <w:lang w:val="en-US" w:eastAsia="zh-CN" w:bidi="ar"/>
              </w:rPr>
              <w:t>优秀（90≤得分≤100）；   □良好（80≤得分＜89）；   □及格（60≤得分＜79）；   □不及格（低于60分）</w:t>
            </w:r>
          </w:p>
        </w:tc>
      </w:tr>
    </w:tbl>
    <w:p>
      <w:pPr>
        <w:rPr>
          <w:rFonts w:hint="eastAsia"/>
        </w:rPr>
        <w:sectPr>
          <w:pgSz w:w="16838" w:h="11906" w:orient="landscape"/>
          <w:pgMar w:top="1803" w:right="1440" w:bottom="862" w:left="1440" w:header="851" w:footer="992" w:gutter="0"/>
          <w:pgNumType w:start="1"/>
          <w:cols w:space="0" w:num="1"/>
          <w:titlePg/>
          <w:rtlGutter w:val="0"/>
          <w:docGrid w:type="lines" w:linePitch="330" w:charSpace="0"/>
        </w:sectPr>
      </w:pPr>
    </w:p>
    <w:p>
      <w:pPr>
        <w:autoSpaceDE w:val="0"/>
        <w:spacing w:line="540" w:lineRule="exact"/>
        <w:ind w:right="-1058" w:rightChars="-504"/>
        <w:jc w:val="center"/>
        <w:rPr>
          <w:rFonts w:hint="eastAsia" w:ascii="方正大标宋简体" w:hAnsi="??" w:eastAsia="方正大标宋简体" w:cs="Times New Roman"/>
          <w:b/>
          <w:color w:val="000000"/>
          <w:spacing w:val="-6"/>
          <w:kern w:val="0"/>
          <w:sz w:val="44"/>
          <w:szCs w:val="44"/>
        </w:rPr>
      </w:pPr>
      <w:r>
        <w:rPr>
          <w:rFonts w:hint="eastAsia" w:ascii="方正大标宋简体" w:hAnsi="??" w:eastAsia="方正大标宋简体" w:cs="Times New Roman"/>
          <w:b/>
          <w:color w:val="000000"/>
          <w:spacing w:val="-6"/>
          <w:kern w:val="0"/>
          <w:sz w:val="44"/>
          <w:szCs w:val="44"/>
        </w:rPr>
        <w:t>202</w:t>
      </w:r>
      <w:r>
        <w:rPr>
          <w:rFonts w:hint="eastAsia" w:ascii="方正大标宋简体" w:hAnsi="??" w:eastAsia="方正大标宋简体" w:cs="Times New Roman"/>
          <w:b/>
          <w:color w:val="000000"/>
          <w:spacing w:val="-6"/>
          <w:kern w:val="0"/>
          <w:sz w:val="44"/>
          <w:szCs w:val="44"/>
          <w:lang w:val="en-US" w:eastAsia="zh-CN"/>
        </w:rPr>
        <w:t>1</w:t>
      </w:r>
      <w:r>
        <w:rPr>
          <w:rFonts w:hint="eastAsia" w:ascii="方正大标宋简体" w:hAnsi="??" w:eastAsia="方正大标宋简体" w:cs="Times New Roman"/>
          <w:b/>
          <w:color w:val="000000"/>
          <w:spacing w:val="-6"/>
          <w:kern w:val="0"/>
          <w:sz w:val="44"/>
          <w:szCs w:val="44"/>
        </w:rPr>
        <w:t>年</w:t>
      </w:r>
      <w:r>
        <w:rPr>
          <w:rFonts w:hint="eastAsia" w:ascii="方正大标宋简体" w:hAnsi="??" w:eastAsia="方正大标宋简体" w:cs="Times New Roman"/>
          <w:b/>
          <w:color w:val="000000"/>
          <w:spacing w:val="-6"/>
          <w:kern w:val="0"/>
          <w:sz w:val="44"/>
          <w:szCs w:val="44"/>
          <w:lang w:eastAsia="zh-CN"/>
        </w:rPr>
        <w:t>政务公开工作经费</w:t>
      </w:r>
      <w:r>
        <w:rPr>
          <w:rFonts w:hint="eastAsia" w:ascii="方正大标宋简体" w:hAnsi="??" w:eastAsia="方正大标宋简体" w:cs="Times New Roman"/>
          <w:b/>
          <w:color w:val="000000"/>
          <w:spacing w:val="-6"/>
          <w:kern w:val="0"/>
          <w:sz w:val="44"/>
          <w:szCs w:val="44"/>
        </w:rPr>
        <w:t>支出绩效评价报告</w:t>
      </w:r>
    </w:p>
    <w:p>
      <w:pPr>
        <w:rPr>
          <w:rFonts w:hint="eastAsia" w:ascii="仿宋" w:hAnsi="仿宋" w:eastAsia="仿宋"/>
          <w:b/>
          <w:sz w:val="32"/>
          <w:szCs w:val="32"/>
        </w:rPr>
      </w:pPr>
    </w:p>
    <w:p>
      <w:pPr>
        <w:numPr>
          <w:ilvl w:val="0"/>
          <w:numId w:val="8"/>
        </w:num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项目概况</w:t>
      </w:r>
    </w:p>
    <w:p>
      <w:pPr>
        <w:spacing w:line="560" w:lineRule="exact"/>
        <w:ind w:firstLine="320" w:firstLineChars="100"/>
        <w:rPr>
          <w:rFonts w:hint="eastAsia" w:ascii="仿宋_GB2312" w:eastAsia="仿宋_GB2312"/>
          <w:sz w:val="32"/>
          <w:szCs w:val="32"/>
        </w:rPr>
      </w:pPr>
      <w:r>
        <w:rPr>
          <w:rFonts w:hint="eastAsia" w:ascii="仿宋_GB2312" w:eastAsia="仿宋_GB2312"/>
          <w:sz w:val="32"/>
          <w:szCs w:val="32"/>
        </w:rPr>
        <w:t>（一）项目基本情况：</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项目立项依据</w:t>
      </w:r>
      <w:r>
        <w:rPr>
          <w:rFonts w:hint="eastAsia" w:ascii="仿宋_GB2312" w:eastAsia="仿宋_GB2312"/>
          <w:sz w:val="32"/>
          <w:szCs w:val="32"/>
          <w:lang w:val="en-US" w:eastAsia="zh-CN"/>
        </w:rPr>
        <w:t>:根据国家、省、工作目标要求，实施该项目</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项目实施主体：朝天区人民政府办公室；</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项目实施计划及主要内容：</w:t>
      </w:r>
      <w:r>
        <w:rPr>
          <w:rFonts w:hint="eastAsia" w:ascii="仿宋_GB2312" w:hAnsi="仿宋" w:eastAsia="仿宋_GB2312"/>
          <w:sz w:val="32"/>
          <w:szCs w:val="32"/>
        </w:rPr>
        <w:t>主要用于支撑政务信息调研、政务公开、政府信息公开及依申请政府信息公开办理等</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spacing w:line="560" w:lineRule="exact"/>
        <w:ind w:firstLine="640" w:firstLineChars="200"/>
        <w:rPr>
          <w:rFonts w:hint="eastAsia" w:ascii="黑体" w:eastAsia="黑体"/>
          <w:b/>
          <w:sz w:val="32"/>
          <w:szCs w:val="32"/>
        </w:rPr>
      </w:pPr>
      <w:r>
        <w:rPr>
          <w:rFonts w:hint="eastAsia" w:ascii="仿宋_GB2312" w:eastAsia="仿宋_GB2312"/>
          <w:sz w:val="32"/>
          <w:szCs w:val="32"/>
        </w:rPr>
        <w:t>（二）项目预算情况：项目资金预算（或计划）及测算</w:t>
      </w:r>
      <w:r>
        <w:rPr>
          <w:rFonts w:hint="eastAsia" w:ascii="仿宋_GB2312" w:eastAsia="仿宋_GB2312"/>
          <w:sz w:val="32"/>
          <w:szCs w:val="32"/>
          <w:lang w:val="en-US" w:eastAsia="zh-CN"/>
        </w:rPr>
        <w:t>20</w:t>
      </w:r>
      <w:r>
        <w:rPr>
          <w:rFonts w:hint="eastAsia" w:ascii="仿宋_GB2312" w:eastAsia="仿宋_GB2312"/>
          <w:sz w:val="32"/>
          <w:szCs w:val="32"/>
        </w:rPr>
        <w:t>万元。项目预算无调整。</w:t>
      </w:r>
    </w:p>
    <w:p>
      <w:pPr>
        <w:spacing w:line="560" w:lineRule="exact"/>
        <w:ind w:firstLine="640" w:firstLineChars="200"/>
        <w:rPr>
          <w:rFonts w:hint="default" w:ascii="黑体" w:hAnsi="黑体" w:eastAsia="黑体"/>
          <w:sz w:val="32"/>
          <w:szCs w:val="32"/>
          <w:lang w:val="en-US" w:eastAsia="zh-CN"/>
        </w:rPr>
      </w:pPr>
      <w:r>
        <w:rPr>
          <w:rFonts w:hint="eastAsia" w:ascii="仿宋_GB2312" w:eastAsia="仿宋_GB2312"/>
          <w:sz w:val="32"/>
          <w:szCs w:val="32"/>
        </w:rPr>
        <w:t>（三）项目绩效目标：</w:t>
      </w:r>
      <w:r>
        <w:rPr>
          <w:rFonts w:hint="eastAsia" w:ascii="仿宋_GB2312" w:hAnsi="仿宋" w:eastAsia="仿宋_GB2312"/>
          <w:sz w:val="32"/>
          <w:szCs w:val="32"/>
        </w:rPr>
        <w:t>实现</w:t>
      </w:r>
      <w:r>
        <w:rPr>
          <w:rFonts w:hint="eastAsia" w:ascii="仿宋_GB2312" w:hAnsi="仿宋" w:eastAsia="仿宋_GB2312"/>
          <w:sz w:val="32"/>
          <w:szCs w:val="32"/>
          <w:lang w:eastAsia="zh-CN"/>
        </w:rPr>
        <w:t>企业、群众“零”成本获取政务信息，</w:t>
      </w:r>
      <w:r>
        <w:rPr>
          <w:rFonts w:hint="eastAsia" w:ascii="仿宋_GB2312" w:hAnsi="仿宋" w:eastAsia="仿宋_GB2312"/>
          <w:sz w:val="32"/>
          <w:szCs w:val="32"/>
        </w:rPr>
        <w:t>为社会公众提供互动交流渠道，向全社会宣传和展示朝天区政府形象；向公众提供全面、系统、权威、详实的法律、法规、部门规章以及规范性政府文件及其准确的解读和分析等</w:t>
      </w: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二、项目资金管理情况</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（一）资金到位情况：项目资金</w:t>
      </w:r>
      <w:r>
        <w:rPr>
          <w:rFonts w:hint="eastAsia" w:ascii="仿宋_GB2312" w:hAnsi="仿宋" w:eastAsia="仿宋_GB2312"/>
          <w:sz w:val="32"/>
          <w:szCs w:val="32"/>
          <w:lang w:val="en-US" w:eastAsia="zh-CN"/>
        </w:rPr>
        <w:t>1月到位20万元。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（二）预算资金执行情况：截止12月31日我单位该项目支出20万元。</w:t>
      </w:r>
    </w:p>
    <w:p>
      <w:pPr>
        <w:spacing w:line="56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（三）项目资金规范运行情况：</w:t>
      </w:r>
      <w:r>
        <w:rPr>
          <w:rFonts w:hint="eastAsia" w:ascii="仿宋_GB2312" w:hAnsi="仿宋" w:eastAsia="仿宋_GB2312"/>
          <w:sz w:val="32"/>
          <w:szCs w:val="32"/>
        </w:rPr>
        <w:t>严格执行资金使用申请程序及资金使用各项标准进行管理使用</w:t>
      </w:r>
      <w:r>
        <w:rPr>
          <w:rFonts w:hint="eastAsia" w:ascii="仿宋_GB2312" w:hAnsi="仿宋" w:eastAsia="仿宋_GB2312"/>
          <w:sz w:val="32"/>
          <w:szCs w:val="32"/>
          <w:lang w:eastAsia="zh-CN"/>
        </w:rPr>
        <w:t>。</w:t>
      </w:r>
    </w:p>
    <w:p>
      <w:pPr>
        <w:spacing w:line="560" w:lineRule="exact"/>
        <w:ind w:firstLine="640" w:firstLineChars="200"/>
        <w:rPr>
          <w:rFonts w:hint="eastAsia" w:ascii="黑体" w:hAnsi="黑体" w:eastAsia="黑体"/>
          <w:sz w:val="32"/>
          <w:szCs w:val="32"/>
        </w:rPr>
      </w:pPr>
      <w:r>
        <w:rPr>
          <w:rFonts w:hint="eastAsia" w:ascii="仿宋_GB2312" w:hAnsi="仿宋" w:eastAsia="仿宋_GB2312"/>
          <w:sz w:val="32"/>
          <w:szCs w:val="32"/>
          <w:lang w:eastAsia="zh-CN"/>
        </w:rPr>
        <w:t>（四）财务管理情况：</w:t>
      </w:r>
      <w:r>
        <w:rPr>
          <w:rFonts w:ascii="仿宋_GB2312" w:hAnsi="仿宋" w:eastAsia="仿宋_GB2312"/>
          <w:sz w:val="32"/>
          <w:szCs w:val="32"/>
        </w:rPr>
        <w:t>我办</w:t>
      </w:r>
      <w:r>
        <w:rPr>
          <w:rFonts w:hint="eastAsia" w:ascii="仿宋_GB2312" w:hAnsi="仿宋" w:eastAsia="仿宋_GB2312"/>
          <w:sz w:val="32"/>
          <w:szCs w:val="32"/>
        </w:rPr>
        <w:t>按照财务管理制度</w:t>
      </w:r>
      <w:r>
        <w:rPr>
          <w:rFonts w:hint="eastAsia" w:ascii="仿宋_GB2312" w:hAnsi="仿宋" w:eastAsia="仿宋_GB2312"/>
          <w:sz w:val="32"/>
          <w:szCs w:val="32"/>
          <w:lang w:eastAsia="zh-CN"/>
        </w:rPr>
        <w:t>健全</w:t>
      </w:r>
      <w:r>
        <w:rPr>
          <w:rFonts w:hint="eastAsia" w:ascii="仿宋_GB2312" w:hAnsi="仿宋" w:eastAsia="仿宋_GB2312"/>
          <w:sz w:val="32"/>
          <w:szCs w:val="32"/>
        </w:rPr>
        <w:t>，</w:t>
      </w:r>
      <w:r>
        <w:rPr>
          <w:rFonts w:hint="eastAsia" w:ascii="仿宋_GB2312" w:hAnsi="仿宋" w:eastAsia="仿宋_GB2312"/>
          <w:sz w:val="32"/>
          <w:szCs w:val="32"/>
          <w:lang w:eastAsia="zh-CN"/>
        </w:rPr>
        <w:t>管理规范，会计规范核算财务处理，</w:t>
      </w:r>
      <w:r>
        <w:rPr>
          <w:rFonts w:hint="eastAsia" w:ascii="仿宋_GB2312" w:hAnsi="仿宋" w:eastAsia="仿宋_GB2312"/>
          <w:sz w:val="32"/>
          <w:szCs w:val="32"/>
        </w:rPr>
        <w:t>最大化发挥了项目资金的综合效益。</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三、项目组织实施情况</w:t>
      </w:r>
    </w:p>
    <w:p>
      <w:pPr>
        <w:spacing w:line="560" w:lineRule="exact"/>
        <w:ind w:firstLine="660"/>
        <w:rPr>
          <w:rFonts w:hint="eastAsia" w:ascii="仿宋_GB2312" w:hAnsi="仿宋" w:eastAsia="仿宋_GB2312"/>
          <w:sz w:val="32"/>
          <w:szCs w:val="32"/>
          <w:lang w:eastAsia="zh-CN"/>
        </w:rPr>
      </w:pPr>
      <w:r>
        <w:rPr>
          <w:rFonts w:hint="eastAsia" w:ascii="仿宋_GB2312" w:hAnsi="仿宋" w:eastAsia="仿宋_GB2312"/>
          <w:sz w:val="32"/>
          <w:szCs w:val="32"/>
          <w:lang w:eastAsia="zh-CN"/>
        </w:rPr>
        <w:t>（一）项目组织机关与职责落实情况：项目由区政府办公室组织实施，由专人负责落实。</w:t>
      </w:r>
    </w:p>
    <w:p>
      <w:pPr>
        <w:spacing w:line="560" w:lineRule="exact"/>
        <w:ind w:firstLine="660"/>
        <w:rPr>
          <w:rFonts w:ascii="仿宋_GB2312" w:hAnsi="仿宋" w:eastAsia="仿宋_GB2312"/>
          <w:sz w:val="32"/>
          <w:szCs w:val="32"/>
        </w:rPr>
      </w:pPr>
      <w:r>
        <w:rPr>
          <w:rFonts w:hint="eastAsia" w:ascii="仿宋_GB2312" w:hAnsi="仿宋" w:eastAsia="仿宋_GB2312"/>
          <w:sz w:val="32"/>
          <w:szCs w:val="32"/>
          <w:lang w:eastAsia="zh-CN"/>
        </w:rPr>
        <w:t>（二）项目管理制度建设情况：严格按照政务公开相关的</w:t>
      </w:r>
      <w:r>
        <w:rPr>
          <w:rFonts w:ascii="仿宋_GB2312" w:hAnsi="仿宋" w:eastAsia="仿宋_GB2312"/>
          <w:sz w:val="32"/>
          <w:szCs w:val="32"/>
        </w:rPr>
        <w:t>工作职责</w:t>
      </w:r>
      <w:r>
        <w:rPr>
          <w:rFonts w:hint="eastAsia" w:ascii="仿宋_GB2312" w:hAnsi="仿宋" w:eastAsia="仿宋_GB2312"/>
          <w:sz w:val="32"/>
          <w:szCs w:val="32"/>
          <w:lang w:eastAsia="zh-CN"/>
        </w:rPr>
        <w:t>开展工作</w:t>
      </w:r>
      <w:r>
        <w:rPr>
          <w:rFonts w:ascii="仿宋_GB2312" w:hAnsi="仿宋" w:eastAsia="仿宋_GB2312"/>
          <w:sz w:val="32"/>
          <w:szCs w:val="32"/>
        </w:rPr>
        <w:t>。</w:t>
      </w:r>
    </w:p>
    <w:p>
      <w:pPr>
        <w:spacing w:line="540" w:lineRule="exact"/>
        <w:ind w:firstLine="640" w:firstLineChars="200"/>
        <w:rPr>
          <w:rFonts w:ascii="仿宋_GB2312" w:hAnsi="仿宋" w:eastAsia="仿宋_GB2312" w:cs="仿宋"/>
          <w:sz w:val="32"/>
          <w:szCs w:val="32"/>
        </w:rPr>
      </w:pPr>
      <w:r>
        <w:rPr>
          <w:rFonts w:hint="eastAsia" w:ascii="仿宋_GB2312" w:hAnsi="仿宋" w:eastAsia="仿宋_GB2312"/>
          <w:sz w:val="32"/>
          <w:szCs w:val="32"/>
          <w:lang w:eastAsia="zh-CN"/>
        </w:rPr>
        <w:t>（三）项目组织管理落实情况：一是</w:t>
      </w:r>
      <w:r>
        <w:rPr>
          <w:rFonts w:ascii="仿宋_GB2312" w:hAnsi="仿宋" w:eastAsia="仿宋_GB2312"/>
          <w:sz w:val="32"/>
          <w:szCs w:val="32"/>
        </w:rPr>
        <w:t>项目单位明确了专门机构和人员负责项目建设，统筹安排、协调处理相关事宜。二是</w:t>
      </w:r>
      <w:r>
        <w:rPr>
          <w:rFonts w:hint="eastAsia" w:ascii="仿宋_GB2312" w:hAnsi="仿宋" w:eastAsia="仿宋_GB2312" w:cs="仿宋"/>
          <w:sz w:val="32"/>
          <w:szCs w:val="32"/>
        </w:rPr>
        <w:t>形成区、乡（镇）、部门联动的公开网络，有效保障朝天区政府网站、信息公开平台安全稳定运行。</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四、项目绩效情况</w:t>
      </w:r>
    </w:p>
    <w:p>
      <w:pPr>
        <w:spacing w:line="560" w:lineRule="exact"/>
        <w:ind w:firstLine="645"/>
        <w:rPr>
          <w:rFonts w:hint="eastAsia" w:ascii="楷体_GB2312" w:hAnsi="仿宋" w:eastAsia="楷体_GB2312"/>
          <w:sz w:val="32"/>
          <w:szCs w:val="32"/>
        </w:rPr>
      </w:pPr>
      <w:r>
        <w:rPr>
          <w:rFonts w:hint="eastAsia" w:ascii="楷体_GB2312" w:hAnsi="仿宋" w:eastAsia="楷体_GB2312"/>
          <w:sz w:val="32"/>
          <w:szCs w:val="32"/>
        </w:rPr>
        <w:t>（一）项目完成情况。</w:t>
      </w:r>
    </w:p>
    <w:p>
      <w:pPr>
        <w:spacing w:line="560" w:lineRule="exact"/>
        <w:ind w:firstLine="645"/>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1</w:t>
      </w:r>
      <w:r>
        <w:rPr>
          <w:rFonts w:hint="eastAsia" w:ascii="仿宋_GB2312" w:hAnsi="仿宋" w:eastAsia="仿宋_GB2312"/>
          <w:color w:val="000000"/>
          <w:sz w:val="32"/>
          <w:szCs w:val="32"/>
        </w:rPr>
        <w:t>年度</w:t>
      </w:r>
      <w:r>
        <w:rPr>
          <w:rFonts w:ascii="仿宋_GB2312" w:hAnsi="仿宋" w:eastAsia="仿宋_GB2312"/>
          <w:color w:val="000000"/>
          <w:sz w:val="32"/>
          <w:szCs w:val="32"/>
        </w:rPr>
        <w:t>全区通过不同渠道和方式公开政府信息</w:t>
      </w:r>
      <w:r>
        <w:rPr>
          <w:rFonts w:hint="eastAsia" w:ascii="仿宋_GB2312" w:hAnsi="仿宋" w:eastAsia="仿宋_GB2312"/>
          <w:color w:val="000000"/>
          <w:sz w:val="32"/>
          <w:szCs w:val="32"/>
          <w:lang w:val="en-US" w:eastAsia="zh-CN"/>
        </w:rPr>
        <w:t>90000余</w:t>
      </w:r>
      <w:r>
        <w:rPr>
          <w:rFonts w:ascii="仿宋_GB2312" w:hAnsi="仿宋" w:eastAsia="仿宋_GB2312"/>
          <w:color w:val="000000"/>
          <w:sz w:val="32"/>
          <w:szCs w:val="32"/>
        </w:rPr>
        <w:t>条</w:t>
      </w:r>
      <w:r>
        <w:rPr>
          <w:rFonts w:hint="eastAsia" w:ascii="仿宋_GB2312" w:hAnsi="仿宋" w:eastAsia="仿宋_GB2312"/>
          <w:color w:val="000000"/>
          <w:sz w:val="32"/>
          <w:szCs w:val="32"/>
          <w:lang w:eastAsia="zh-CN"/>
        </w:rPr>
        <w:t>，极大方便了社会公众获取政务信息资源，有效提升了政府公信力。</w:t>
      </w:r>
    </w:p>
    <w:p>
      <w:pPr>
        <w:spacing w:line="560" w:lineRule="exact"/>
        <w:ind w:firstLine="645"/>
        <w:rPr>
          <w:rFonts w:hint="eastAsia" w:ascii="楷体_GB2312" w:hAnsi="仿宋" w:eastAsia="楷体_GB2312"/>
          <w:sz w:val="32"/>
          <w:szCs w:val="32"/>
        </w:rPr>
      </w:pPr>
      <w:r>
        <w:rPr>
          <w:rFonts w:hint="eastAsia" w:ascii="楷体_GB2312" w:hAnsi="仿宋" w:eastAsia="楷体_GB2312"/>
          <w:sz w:val="32"/>
          <w:szCs w:val="32"/>
        </w:rPr>
        <w:t>（二）项目效益情况。</w:t>
      </w:r>
    </w:p>
    <w:p>
      <w:pPr>
        <w:spacing w:line="560" w:lineRule="exact"/>
        <w:ind w:firstLine="645"/>
        <w:rPr>
          <w:rFonts w:ascii="仿宋_GB2312" w:hAnsi="仿宋" w:eastAsia="仿宋_GB2312"/>
          <w:color w:val="000000"/>
          <w:sz w:val="32"/>
          <w:szCs w:val="32"/>
        </w:rPr>
      </w:pPr>
      <w:r>
        <w:rPr>
          <w:rFonts w:hint="eastAsia" w:ascii="仿宋_GB2312" w:hAnsi="仿宋" w:eastAsia="仿宋_GB2312"/>
          <w:color w:val="000000"/>
          <w:sz w:val="32"/>
          <w:szCs w:val="32"/>
        </w:rPr>
        <w:t>1.经济效益指标得分情况分析</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极大提高政务公开水平，提供网上办事咨询功能，实现群众咨询需求，减少群众出行成本。</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2.社会效益指标得分情况分析</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切实保障朝天区政府网站顺利通过全国、全省政府网站抽查，有效提升朝天区政府工作的公信力。</w:t>
      </w:r>
    </w:p>
    <w:p>
      <w:pPr>
        <w:spacing w:line="560" w:lineRule="exact"/>
        <w:ind w:firstLine="645"/>
        <w:rPr>
          <w:rFonts w:hint="eastAsia" w:ascii="仿宋_GB2312" w:hAnsi="仿宋" w:eastAsia="仿宋_GB2312"/>
          <w:color w:val="000000"/>
          <w:sz w:val="32"/>
          <w:szCs w:val="32"/>
        </w:rPr>
      </w:pPr>
      <w:r>
        <w:rPr>
          <w:rFonts w:hint="eastAsia" w:ascii="仿宋_GB2312" w:hAnsi="仿宋" w:eastAsia="仿宋_GB2312"/>
          <w:color w:val="000000"/>
          <w:sz w:val="32"/>
          <w:szCs w:val="32"/>
        </w:rPr>
        <w:t>3.可持续影响指标得分情况分析</w:t>
      </w:r>
    </w:p>
    <w:p>
      <w:pPr>
        <w:autoSpaceDE w:val="0"/>
        <w:spacing w:line="54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网站的持续维护可以升级功能模块，提高系统与业务契合度，可长期稳定为提升政府公信力，节约社会成本。</w:t>
      </w:r>
    </w:p>
    <w:p>
      <w:pPr>
        <w:pStyle w:val="15"/>
        <w:rPr>
          <w:rFonts w:hint="eastAsia"/>
        </w:rPr>
      </w:pPr>
    </w:p>
    <w:p>
      <w:pPr>
        <w:autoSpaceDE w:val="0"/>
        <w:spacing w:line="540" w:lineRule="exact"/>
        <w:rPr>
          <w:rFonts w:hint="eastAsia" w:ascii="黑体" w:hAnsi="黑体" w:eastAsia="黑体" w:cs="Times New Roman"/>
          <w:color w:val="000000"/>
          <w:kern w:val="0"/>
          <w:sz w:val="24"/>
          <w:szCs w:val="24"/>
        </w:rPr>
      </w:pPr>
      <w:r>
        <w:rPr>
          <w:rFonts w:hint="eastAsia" w:ascii="仿宋_GB2312" w:hAnsi="宋体" w:eastAsia="仿宋_GB2312" w:cs="Times New Roman"/>
          <w:color w:val="000000"/>
          <w:spacing w:val="-6"/>
          <w:kern w:val="0"/>
          <w:sz w:val="32"/>
          <w:szCs w:val="32"/>
        </w:rPr>
        <w:t xml:space="preserve">    附表：1.</w:t>
      </w:r>
      <w:r>
        <w:rPr>
          <w:rFonts w:hint="eastAsia" w:ascii="仿宋_GB2312" w:hAnsi="宋体" w:eastAsia="仿宋_GB2312" w:cs="Times New Roman"/>
          <w:color w:val="000000"/>
          <w:spacing w:val="-6"/>
          <w:kern w:val="0"/>
          <w:sz w:val="32"/>
          <w:szCs w:val="32"/>
          <w:lang w:eastAsia="zh-CN"/>
        </w:rPr>
        <w:t>部门预算</w:t>
      </w:r>
      <w:r>
        <w:rPr>
          <w:rFonts w:hint="eastAsia" w:ascii="仿宋_GB2312" w:hAnsi="宋体" w:eastAsia="仿宋_GB2312" w:cs="宋体"/>
          <w:color w:val="000000"/>
          <w:kern w:val="0"/>
          <w:sz w:val="32"/>
          <w:szCs w:val="32"/>
        </w:rPr>
        <w:t>项目支出绩效目标自评表</w:t>
      </w:r>
    </w:p>
    <w:p>
      <w:pPr>
        <w:widowControl/>
        <w:autoSpaceDE w:val="0"/>
        <w:spacing w:line="540" w:lineRule="exact"/>
        <w:ind w:firstLine="1540" w:firstLineChars="500"/>
        <w:jc w:val="left"/>
        <w:rPr>
          <w:rFonts w:hint="eastAsia" w:ascii="仿宋_GB2312" w:hAnsi="宋体" w:eastAsia="仿宋_GB2312" w:cs="Times New Roman"/>
          <w:color w:val="000000"/>
          <w:spacing w:val="-6"/>
          <w:kern w:val="0"/>
          <w:sz w:val="32"/>
          <w:szCs w:val="32"/>
        </w:rPr>
      </w:pPr>
      <w:r>
        <w:rPr>
          <w:rFonts w:hint="eastAsia" w:ascii="仿宋_GB2312" w:hAnsi="宋体" w:eastAsia="仿宋_GB2312" w:cs="Times New Roman"/>
          <w:color w:val="000000"/>
          <w:spacing w:val="-6"/>
          <w:kern w:val="0"/>
          <w:sz w:val="32"/>
          <w:szCs w:val="32"/>
        </w:rPr>
        <w:t>2.202</w:t>
      </w:r>
      <w:r>
        <w:rPr>
          <w:rFonts w:hint="eastAsia" w:ascii="仿宋_GB2312" w:hAnsi="宋体" w:eastAsia="仿宋_GB2312" w:cs="Times New Roman"/>
          <w:color w:val="000000"/>
          <w:spacing w:val="-6"/>
          <w:kern w:val="0"/>
          <w:sz w:val="32"/>
          <w:szCs w:val="32"/>
          <w:lang w:val="en-US" w:eastAsia="zh-CN"/>
        </w:rPr>
        <w:t>1</w:t>
      </w:r>
      <w:r>
        <w:rPr>
          <w:rFonts w:hint="eastAsia" w:ascii="仿宋_GB2312" w:hAnsi="宋体" w:eastAsia="仿宋_GB2312" w:cs="Times New Roman"/>
          <w:color w:val="000000"/>
          <w:spacing w:val="-6"/>
          <w:kern w:val="0"/>
          <w:sz w:val="32"/>
          <w:szCs w:val="32"/>
        </w:rPr>
        <w:t>年部门预算项目支出绩效自评评分表</w:t>
      </w:r>
    </w:p>
    <w:p>
      <w:pPr>
        <w:rPr>
          <w:rFonts w:hint="eastAsia"/>
        </w:rPr>
      </w:pPr>
    </w:p>
    <w:p>
      <w:pPr>
        <w:rPr>
          <w:rFonts w:hint="eastAsia"/>
        </w:rPr>
      </w:pPr>
    </w:p>
    <w:p>
      <w:pPr>
        <w:pStyle w:val="15"/>
        <w:ind w:left="0" w:leftChars="0" w:firstLine="0" w:firstLineChars="0"/>
        <w:jc w:val="center"/>
        <w:rPr>
          <w:rFonts w:hint="default" w:ascii="方正大标宋简体" w:hAnsi="方正大标宋简体" w:eastAsia="方正大标宋简体" w:cs="方正大标宋简体"/>
          <w:i w:val="0"/>
          <w:iCs w:val="0"/>
          <w:color w:val="000000"/>
          <w:kern w:val="0"/>
          <w:sz w:val="36"/>
          <w:szCs w:val="36"/>
          <w:u w:val="none"/>
          <w:lang w:val="en-US" w:eastAsia="zh-CN" w:bidi="ar"/>
        </w:rPr>
      </w:pPr>
      <w:r>
        <w:rPr>
          <w:rFonts w:hint="eastAsia" w:ascii="方正大标宋简体" w:hAnsi="方正大标宋简体" w:eastAsia="方正大标宋简体" w:cs="方正大标宋简体"/>
          <w:i w:val="0"/>
          <w:iCs w:val="0"/>
          <w:color w:val="000000"/>
          <w:kern w:val="0"/>
          <w:sz w:val="36"/>
          <w:szCs w:val="36"/>
          <w:u w:val="none"/>
          <w:lang w:val="en-US" w:eastAsia="zh-CN" w:bidi="ar"/>
        </w:rPr>
        <w:t xml:space="preserve">        </w:t>
      </w:r>
      <w:r>
        <w:rPr>
          <w:rFonts w:hint="default" w:ascii="方正大标宋简体" w:hAnsi="方正大标宋简体" w:eastAsia="方正大标宋简体" w:cs="方正大标宋简体"/>
          <w:i w:val="0"/>
          <w:iCs w:val="0"/>
          <w:color w:val="000000"/>
          <w:kern w:val="0"/>
          <w:sz w:val="36"/>
          <w:szCs w:val="36"/>
          <w:u w:val="none"/>
          <w:lang w:val="en-US" w:eastAsia="zh-CN" w:bidi="ar"/>
        </w:rPr>
        <w:t>部门预算项目支出绩效目标自评表</w:t>
      </w:r>
    </w:p>
    <w:p>
      <w:pPr>
        <w:pStyle w:val="15"/>
        <w:ind w:left="0" w:leftChars="0" w:firstLine="0" w:firstLineChars="0"/>
        <w:jc w:val="center"/>
        <w:rPr>
          <w:rFonts w:hint="eastAsia"/>
        </w:rPr>
      </w:pPr>
      <w:r>
        <w:rPr>
          <w:rFonts w:hint="eastAsia" w:ascii="黑体" w:hAnsi="宋体" w:eastAsia="黑体" w:cs="黑体"/>
          <w:i w:val="0"/>
          <w:iCs w:val="0"/>
          <w:color w:val="000000"/>
          <w:kern w:val="0"/>
          <w:sz w:val="22"/>
          <w:szCs w:val="22"/>
          <w:u w:val="none"/>
          <w:lang w:val="en-US" w:eastAsia="zh-CN" w:bidi="ar"/>
        </w:rPr>
        <w:t xml:space="preserve">             ( 2021年度）</w:t>
      </w:r>
    </w:p>
    <w:tbl>
      <w:tblPr>
        <w:tblStyle w:val="16"/>
        <w:tblW w:w="106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9"/>
        <w:gridCol w:w="1365"/>
        <w:gridCol w:w="1350"/>
        <w:gridCol w:w="1950"/>
        <w:gridCol w:w="2505"/>
        <w:gridCol w:w="2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703" w:type="dxa"/>
          <w:trHeight w:val="274" w:hRule="atLeast"/>
        </w:trPr>
        <w:tc>
          <w:tcPr>
            <w:tcW w:w="7909"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部门（单位）盖章：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454"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项目支出名称</w:t>
            </w:r>
          </w:p>
        </w:tc>
        <w:tc>
          <w:tcPr>
            <w:tcW w:w="7158"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政务信息、公开工作经费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3454" w:type="dxa"/>
            <w:gridSpan w:val="3"/>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w:t>
            </w:r>
          </w:p>
        </w:tc>
        <w:tc>
          <w:tcPr>
            <w:tcW w:w="7158"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广元市朝天区人民政府办公室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739"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预算执行情况</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 xml:space="preserve"> 全年预算数（万元） </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right="672" w:rightChars="320"/>
              <w:jc w:val="both"/>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20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 xml:space="preserve"> 全年执行数（万元）</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其中：一般公共预算</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20</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其中：一般公共预算</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政府性基金预算</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国有资本经营预算</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社会保险基金预算</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目标完成情况</w:t>
            </w:r>
          </w:p>
        </w:tc>
        <w:tc>
          <w:tcPr>
            <w:tcW w:w="71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全年预期目标</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1、及时主动公开政府信息，及时回应群众关切。2、政府网站绩效评估排位靠前。3、全年无任何网络舆情处置不当问题4.创新政务公开方式，纵深推进“五公开”，打造诚信透明政府。</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完成年初制定目标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39" w:type="dxa"/>
            <w:vMerge w:val="restart"/>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年度绩效指标完成情况</w:t>
            </w:r>
          </w:p>
        </w:tc>
        <w:tc>
          <w:tcPr>
            <w:tcW w:w="1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3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5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全年预期指标值                        （包含数字及文字描述）</w:t>
            </w:r>
          </w:p>
        </w:tc>
        <w:tc>
          <w:tcPr>
            <w:tcW w:w="270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全年实际完成指标值                           （包含数字及文字描述）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739"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5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9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政府网站公开信息</w:t>
            </w:r>
          </w:p>
        </w:tc>
        <w:tc>
          <w:tcPr>
            <w:tcW w:w="250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40000余条</w:t>
            </w:r>
          </w:p>
        </w:tc>
        <w:tc>
          <w:tcPr>
            <w:tcW w:w="2703"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累计公开47323条，开展政府网站、政务新媒体监测12次，全年无任何网络舆情发生。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政务微博信息</w:t>
            </w:r>
          </w:p>
        </w:tc>
        <w:tc>
          <w:tcPr>
            <w:tcW w:w="2505"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3575条</w:t>
            </w:r>
          </w:p>
        </w:tc>
        <w:tc>
          <w:tcPr>
            <w:tcW w:w="2703"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累计公开政务信息4521条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微信公开信息</w:t>
            </w:r>
          </w:p>
        </w:tc>
        <w:tc>
          <w:tcPr>
            <w:tcW w:w="250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60000余条</w:t>
            </w:r>
          </w:p>
        </w:tc>
        <w:tc>
          <w:tcPr>
            <w:tcW w:w="270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累计公开政务信息61129条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信息方案制定率</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实时推送信息率</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年度运行运维成本</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50000元/年</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成本控制有力有效，无超标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监测服务费</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150000元/年</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成本控制有力有效，无超标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减少群众获取政府信息成本</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提供网上办事咨询功能，实现群众咨询需求，减少群众出行成本</w:t>
            </w:r>
          </w:p>
        </w:tc>
        <w:tc>
          <w:tcPr>
            <w:tcW w:w="2703"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群众获取政府信息实现“零”成本，群众满意度稳步提升。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提升阳光政府形象</w:t>
            </w:r>
          </w:p>
        </w:tc>
        <w:tc>
          <w:tcPr>
            <w:tcW w:w="2505"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有所提升</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single" w:color="auto" w:sz="4" w:space="0"/>
              <w:left w:val="single" w:color="auto" w:sz="4" w:space="0"/>
              <w:bottom w:val="single" w:color="000000" w:sz="8"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single" w:color="auto" w:sz="4"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政府公信力</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稳步提升</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社会各界人士</w:t>
            </w:r>
          </w:p>
        </w:tc>
        <w:tc>
          <w:tcPr>
            <w:tcW w:w="25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3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05"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18"/>
                <w:szCs w:val="18"/>
                <w:u w:val="none"/>
              </w:rPr>
            </w:pPr>
          </w:p>
        </w:tc>
      </w:tr>
    </w:tbl>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rPr>
          <w:rFonts w:hint="eastAsia"/>
        </w:rPr>
      </w:pPr>
    </w:p>
    <w:p>
      <w:pPr>
        <w:pStyle w:val="15"/>
        <w:rPr>
          <w:rFonts w:hint="eastAsia"/>
        </w:rPr>
      </w:pPr>
    </w:p>
    <w:p>
      <w:pPr>
        <w:keepNext w:val="0"/>
        <w:keepLines w:val="0"/>
        <w:widowControl/>
        <w:suppressLineNumbers w:val="0"/>
        <w:jc w:val="both"/>
        <w:textAlignment w:val="top"/>
        <w:rPr>
          <w:rFonts w:hint="default" w:ascii="方正大标宋_GBK" w:hAnsi="方正大标宋_GBK" w:eastAsia="方正大标宋_GBK" w:cs="方正大标宋_GBK"/>
          <w:b/>
          <w:bCs/>
          <w:i w:val="0"/>
          <w:iCs w:val="0"/>
          <w:color w:val="000000"/>
          <w:kern w:val="0"/>
          <w:sz w:val="40"/>
          <w:szCs w:val="40"/>
          <w:u w:val="none"/>
          <w:lang w:val="en-US" w:eastAsia="zh-CN" w:bidi="ar"/>
        </w:rPr>
        <w:sectPr>
          <w:pgSz w:w="11906" w:h="16838"/>
          <w:pgMar w:top="1440" w:right="1063" w:bottom="1440" w:left="963" w:header="851" w:footer="992" w:gutter="0"/>
          <w:pgNumType w:start="1"/>
          <w:cols w:space="0" w:num="1"/>
          <w:titlePg/>
          <w:rtlGutter w:val="0"/>
          <w:docGrid w:type="lines" w:linePitch="319" w:charSpace="0"/>
        </w:sectPr>
      </w:pPr>
    </w:p>
    <w:tbl>
      <w:tblPr>
        <w:tblStyle w:val="16"/>
        <w:tblW w:w="199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3"/>
        <w:gridCol w:w="930"/>
        <w:gridCol w:w="1095"/>
        <w:gridCol w:w="4860"/>
        <w:gridCol w:w="1035"/>
        <w:gridCol w:w="5985"/>
        <w:gridCol w:w="520"/>
        <w:gridCol w:w="4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9947" w:type="dxa"/>
            <w:gridSpan w:val="8"/>
            <w:tcBorders>
              <w:top w:val="nil"/>
              <w:left w:val="nil"/>
              <w:bottom w:val="nil"/>
              <w:right w:val="nil"/>
            </w:tcBorders>
            <w:shd w:val="clear" w:color="auto" w:fill="auto"/>
            <w:noWrap/>
            <w:vAlign w:val="top"/>
          </w:tcPr>
          <w:p>
            <w:pPr>
              <w:keepNext w:val="0"/>
              <w:keepLines w:val="0"/>
              <w:widowControl/>
              <w:suppressLineNumbers w:val="0"/>
              <w:ind w:firstLine="4016" w:firstLineChars="1000"/>
              <w:jc w:val="both"/>
              <w:textAlignment w:val="top"/>
              <w:rPr>
                <w:rFonts w:ascii="方正大标宋_GBK" w:hAnsi="方正大标宋_GBK" w:eastAsia="方正大标宋_GBK" w:cs="方正大标宋_GBK"/>
                <w:b/>
                <w:bCs/>
                <w:i w:val="0"/>
                <w:iCs w:val="0"/>
                <w:color w:val="000000"/>
                <w:sz w:val="40"/>
                <w:szCs w:val="40"/>
                <w:u w:val="none"/>
              </w:rPr>
            </w:pPr>
            <w:r>
              <w:rPr>
                <w:rFonts w:hint="default" w:ascii="方正大标宋_GBK" w:hAnsi="方正大标宋_GBK" w:eastAsia="方正大标宋_GBK" w:cs="方正大标宋_GBK"/>
                <w:b/>
                <w:bCs/>
                <w:i w:val="0"/>
                <w:iCs w:val="0"/>
                <w:color w:val="000000"/>
                <w:kern w:val="0"/>
                <w:sz w:val="40"/>
                <w:szCs w:val="40"/>
                <w:u w:val="none"/>
                <w:lang w:val="en-US" w:eastAsia="zh-CN" w:bidi="ar"/>
              </w:rPr>
              <w:t>2021年部门预算项目支出绩效自评评分表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994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 xml:space="preserve"> 部门（单位）盖章：                                                                          项目名称：政务信息、公开工作经费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552"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 指标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二级指标              </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xml:space="preserve">三级指标            </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指标内容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参考分值</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评分标准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660"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项目决策（14分）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用以反映项目立项是否有充分的依据：符合国家法律法规、本地的相关规定；符合部门年度工作计划。</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①符合国家相关法律法规、国民经济发展规划和党委政府决策（1分）；                                                                                                           ②符合部门（单位）年度工作计划或项目实施单位职责密切相关（1分）。                                                             </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708"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决策程序</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用以反映和考核项目立项的规范情况：项目的申请、设立过程是否符合相关要求。</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199" w:leftChars="-95" w:firstLine="199" w:firstLineChars="111"/>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①项目是否按照规定的程序申请设立，审批文件、材料是否符合相关要求（1分）； ②事前是否已经过必要的可行性研究、专家论证、风险评估、集体决策等（1分）。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122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项目目标</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目标合理性</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用以反映和考核项目绩效目标与项目实施的相符情况：项目所设定的绩效目标是否依据充分，是否符合客观实际。</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①项目的测算依据充分（1分）；                                                                                                                                                       ②项目是否有绩效目标，与实际工作内容是否具有相关性（1分）；                                                                                                                        ③项目预期产出效益和效果是否符合正常的业绩水平（1分）；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109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指标明确性</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用以反映和考核项目绩效目标与项目实施的相符情况：依据绩效目标设定的绩效指标是否清晰、细化、可衡量等。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①是否将绩效目标的绩效指标细化分解（1分）；                                                                                                                                                        ②分解的绩效指标体现清晰、可衡量的指标值（1分）；                                                                                                                                                   ③与项目年度任务数或计划数相对应（1分）；                                                                                                                                                         ④与预算确定的项目投资额或资金量相匹配（1分）。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93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分配的合理性</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项目预算资金分配是否有测算依据，与项目单位或地方实际是否相适应；根据需要制定的相关资金管理办法；管理办法中有明确资金分配办法；资金分配因素全面、合理。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①预算资金分配依据充分（1分）；                                                                                                                                 ②资金分配额度合理，与项目单位或地方实际相适应 （1分）。                 此项需提供相应的资金分配方案。</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828"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项目管理（16分）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资金管理（9分）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资金到位率=（实际到位资金/计划投入资金）×100%。                                                              实际到位资金：一定时期（本年度或项目期）内落实到具体项目的资金。                                                       预算资金：一定时期（本年度或项目期）内预算安排到具体项目的资金。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根据项目资金的实际到位率计算得分（1分）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61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用以反映项目预算执行的进度：预算执行率=实际支出数/预算数。                                      实际支出资金：一定时期（本年度或项目期）内项目实际拨付的资金。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根据项目资金的预算执行率计算得分（2分）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138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用以反映和考核项目资金的规范运行情况：项目资金使用是否符合相关的财务管理制度规定。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①符合国家财经法规和财务管理制度以及有关专项资金管理办法的规定（1分）；                                                                      ②资金的拨付审批程序和手续完整（1分）；                                                                                           ③符合项目预算批复或合同规定的用途（1分）；                                                                                                                                                                    ④无截留、挤占、挪用、无虚列支出（3分）；                                                                                                                                                                                 若评价前已完成项目资金的专项审计，该指标可用审计结论代替。</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74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组织实施（7分）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制度管理</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用以反映和考核财务和业务管理制度对项目顺利实施的制度保障情况。</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①制定或具有相应的财务和业务管理制度（1分）；                                                                                                                                                         ②财务和业务管理制度合法、合规、完整（1分）。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121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用以反映和考核业务管理制度的有效执行和质量控制情况：项目实施是否符合相关业务管理规定，是否为达到项目质量要求而采取了必需的措施。</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①按相关法律法规和业务管理规定执行（1分）；                                                                                                                                                      ②项目调整及支出调整手续完备（1分）；                                                                                                                                                                   ③项目合同书、验收报告、技术鉴定等资料规范、齐全（2分）；                                                                                                                                                                      ④项目实施的人员条件、场地设备等是否落实到位（1分）。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1128"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项目绩效（特性指标）（70）</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项目产出（35分）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实际完成率=（实际产出数/计划产出数）×100%。                                                            实际产出数：一定时期（本年度或项目期）内项目实际产出的产品或提供的服务数量。                                                                                         计划产出数：项目绩效目标确定的在一定时期（本年度或项目期）内计划产出的产品或提供的服务数量。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116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质量达标率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质量达标率=（质量达标产出数量/计划完成产出数量）× 100%。                                                                                                                                  质量达标产出数：一定时期（本年度或项目期）内实际达到既定质量标准的产品或服务数量。                                                            既定质量标准是指项目实施单位设立绩效目标时依据计划标准、行业标准、历史标准或其他标准而设定的绩效指标值。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产出质量达到绩效目标100%得9分，未完成100%的同比例扣减。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93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完成及时性</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完成及时率=计划时限内实际完成的项目数量/计划时限内应完成的项目数量×100%。                                                                                                                               实际完成时间：项目实施单位完成该项目实际所耗用的时间。                                                                         计划完成时间：按照项目实施计划或相关规定完成该项目所需的时间。</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产出时效达到绩效目标得8分，未完成且无充分理由的扣3分。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960"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完成成本（成本节约率）</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成本节约率=[（计划成本-实际成本）/计划成本]×100%。                                                        实际成本：项目实施单位如期、保质、保量完成既定工作目标实际所耗费的支出。                                                                                        计划成本：项目实施单位为完成工作目标计划安排的支出，一般以项目预算为参考。</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产出成本按绩效目标控制得9分，未完成的，按超支比例扣减。</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81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项目效益（30分）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经济效益（可选项）</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反映相关产出对经济社会发展带来的影响和效果，根据项目实际细化具体指标。重点考核投入产出率、回报率、增长率等指标。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完成绩效目标设定的经济效益得7分，未完成的，按完成情况酌情扣分。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79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社会效益（可选项）</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反映相关产出对社会发展带来的影响和效果，根据项目实际细化具体指标。重点考核撬动率、贡献率、达标率、就业率等指标。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完成绩效目标设定的社会效益得7分，未完成的，按完成情况酌情扣分。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792"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环境效益（可选项）</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反映相关产出对自然环境带来的影响和效果，根据项目实际细化具体指标。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完成绩效目标设定的积极的环境效益得7分，未完成的，按完成情况酌情扣分。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756"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可持续效益（可选项）</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反映相关产出带来影响的可持续期限，根据项目实际细化具体指标。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完成绩效设定目标的得7分，未完成的，按完成情况酌情扣分。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744"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              （5分）</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满意率反映服务对象或项目受益人对相关产出及其影响的认可程度，根据项目实际细化具体指标。重点考核满意率等指标。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满意率达90%（含）以上的得5分；80%（含）-89%得4分；70%（含）-79%得3分；60%（含）-69%得2分；60%以下不得分。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879" w:type="dxa"/>
          <w:trHeight w:val="444" w:hRule="atLeast"/>
        </w:trPr>
        <w:tc>
          <w:tcPr>
            <w:tcW w:w="752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分值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5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自评得分</w:t>
            </w:r>
          </w:p>
        </w:tc>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6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自评等级</w:t>
            </w:r>
          </w:p>
        </w:tc>
        <w:tc>
          <w:tcPr>
            <w:tcW w:w="1727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2390"/>
              </w:tabs>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自评结果：</w:t>
            </w:r>
            <w:r>
              <w:rPr>
                <w:rStyle w:val="41"/>
                <w:lang w:val="en-US" w:eastAsia="zh-CN" w:bidi="ar"/>
              </w:rPr>
              <w:t>R</w:t>
            </w:r>
            <w:r>
              <w:rPr>
                <w:rStyle w:val="42"/>
                <w:rFonts w:ascii="宋体" w:hAnsi="宋体" w:eastAsia="宋体" w:cs="宋体"/>
                <w:sz w:val="24"/>
                <w:szCs w:val="24"/>
                <w:lang w:val="en-US" w:eastAsia="zh-CN" w:bidi="ar"/>
              </w:rPr>
              <w:t>优秀（90≤得分≤100）；   □良好（80≤得分＜89）；   □及格（60≤得分＜79）；   □不及格（低于60分）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947" w:type="dxa"/>
            <w:gridSpan w:val="8"/>
            <w:tcBorders>
              <w:top w:val="nil"/>
              <w:left w:val="nil"/>
              <w:bottom w:val="nil"/>
              <w:right w:val="nil"/>
            </w:tcBorders>
            <w:shd w:val="clear" w:color="auto" w:fill="auto"/>
            <w:vAlign w:val="top"/>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说明：项目特性指标</w:t>
            </w:r>
            <w:r>
              <w:rPr>
                <w:rFonts w:hint="eastAsia" w:ascii="宋体" w:hAnsi="宋体" w:eastAsia="宋体" w:cs="宋体"/>
                <w:i w:val="0"/>
                <w:iCs w:val="0"/>
                <w:color w:val="000000"/>
                <w:kern w:val="0"/>
                <w:sz w:val="18"/>
                <w:szCs w:val="18"/>
                <w:u w:val="none"/>
                <w:lang w:val="en-US" w:eastAsia="zh-CN" w:bidi="ar"/>
              </w:rPr>
              <w:t>是根据项目绩效目标申报表填报的项目产出指标和效益指标对比实际完成情况进行自评；项目效益指标分值在总分值不变的情况下将可选项指标没选中的分值，适当、合理调整到选中效益指标当中去。</w:t>
            </w:r>
          </w:p>
        </w:tc>
      </w:tr>
    </w:tbl>
    <w:p>
      <w:pPr>
        <w:rPr>
          <w:rFonts w:hint="eastAsia"/>
        </w:rPr>
        <w:sectPr>
          <w:pgSz w:w="16838" w:h="11906" w:orient="landscape"/>
          <w:pgMar w:top="964" w:right="1440" w:bottom="1066" w:left="1440" w:header="851" w:footer="992" w:gutter="0"/>
          <w:pgNumType w:start="1"/>
          <w:cols w:space="0" w:num="1"/>
          <w:titlePg/>
          <w:rtlGutter w:val="0"/>
          <w:docGrid w:type="lines" w:linePitch="329" w:charSpace="0"/>
        </w:sectPr>
      </w:pPr>
    </w:p>
    <w:p>
      <w:pPr>
        <w:numPr>
          <w:ilvl w:val="0"/>
          <w:numId w:val="5"/>
        </w:numPr>
        <w:spacing w:line="600" w:lineRule="exact"/>
        <w:ind w:left="0" w:leftChars="0" w:firstLine="660" w:firstLineChars="150"/>
        <w:jc w:val="center"/>
        <w:outlineLvl w:val="0"/>
        <w:rPr>
          <w:rStyle w:val="28"/>
          <w:rFonts w:hint="eastAsia" w:ascii="黑体" w:hAnsi="黑体" w:eastAsia="黑体"/>
          <w:b w:val="0"/>
          <w:color w:val="auto"/>
          <w:highlight w:val="none"/>
        </w:rPr>
      </w:pPr>
      <w:r>
        <w:rPr>
          <w:rStyle w:val="28"/>
          <w:rFonts w:hint="eastAsia" w:ascii="黑体" w:hAnsi="黑体" w:eastAsia="黑体"/>
          <w:b w:val="0"/>
          <w:color w:val="auto"/>
          <w:highlight w:val="none"/>
        </w:rPr>
        <w:t>附表</w:t>
      </w:r>
      <w:bookmarkEnd w:id="47"/>
      <w:bookmarkEnd w:id="49"/>
    </w:p>
    <w:p>
      <w:pPr>
        <w:pStyle w:val="3"/>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p>
    <w:p>
      <w:pPr>
        <w:pStyle w:val="3"/>
        <w:rPr>
          <w:rFonts w:ascii="仿宋" w:hAnsi="仿宋" w:eastAsia="仿宋"/>
          <w:color w:val="auto"/>
          <w:highlight w:val="none"/>
        </w:rPr>
      </w:pPr>
      <w:bookmarkStart w:id="50"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50"/>
    </w:p>
    <w:p>
      <w:pPr>
        <w:pStyle w:val="3"/>
        <w:rPr>
          <w:rFonts w:ascii="仿宋" w:hAnsi="仿宋" w:eastAsia="仿宋"/>
          <w:color w:val="auto"/>
          <w:highlight w:val="none"/>
        </w:rPr>
      </w:pPr>
      <w:bookmarkStart w:id="51"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51"/>
    </w:p>
    <w:p>
      <w:pPr>
        <w:pStyle w:val="3"/>
        <w:rPr>
          <w:rFonts w:ascii="仿宋" w:hAnsi="仿宋" w:eastAsia="仿宋"/>
          <w:b w:val="0"/>
          <w:color w:val="auto"/>
          <w:highlight w:val="none"/>
        </w:rPr>
      </w:pPr>
      <w:bookmarkStart w:id="52"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52"/>
    </w:p>
    <w:p>
      <w:pPr>
        <w:pStyle w:val="3"/>
        <w:rPr>
          <w:rStyle w:val="29"/>
          <w:rFonts w:ascii="仿宋" w:hAnsi="仿宋" w:eastAsia="仿宋"/>
          <w:b w:val="0"/>
          <w:bCs w:val="0"/>
          <w:color w:val="auto"/>
          <w:highlight w:val="none"/>
        </w:rPr>
      </w:pPr>
      <w:bookmarkStart w:id="53"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53"/>
      <w:bookmarkStart w:id="54" w:name="_Toc15396624"/>
    </w:p>
    <w:p>
      <w:pPr>
        <w:pStyle w:val="3"/>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54"/>
    </w:p>
    <w:p>
      <w:pPr>
        <w:pStyle w:val="3"/>
        <w:rPr>
          <w:rFonts w:ascii="仿宋" w:hAnsi="仿宋" w:eastAsia="仿宋"/>
          <w:color w:val="auto"/>
          <w:highlight w:val="none"/>
        </w:rPr>
      </w:pPr>
      <w:bookmarkStart w:id="55"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55"/>
    </w:p>
    <w:p>
      <w:pPr>
        <w:pStyle w:val="3"/>
        <w:rPr>
          <w:rFonts w:ascii="仿宋" w:hAnsi="仿宋" w:eastAsia="仿宋"/>
          <w:color w:val="auto"/>
          <w:highlight w:val="none"/>
        </w:rPr>
      </w:pPr>
      <w:bookmarkStart w:id="56"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56"/>
    </w:p>
    <w:p>
      <w:pPr>
        <w:pStyle w:val="3"/>
        <w:rPr>
          <w:rFonts w:ascii="仿宋" w:hAnsi="仿宋" w:eastAsia="仿宋"/>
          <w:color w:val="auto"/>
          <w:highlight w:val="none"/>
        </w:rPr>
      </w:pPr>
      <w:bookmarkStart w:id="57"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57"/>
    </w:p>
    <w:p>
      <w:pPr>
        <w:pStyle w:val="3"/>
        <w:rPr>
          <w:rFonts w:ascii="仿宋" w:hAnsi="仿宋" w:eastAsia="仿宋"/>
          <w:color w:val="auto"/>
          <w:highlight w:val="none"/>
        </w:rPr>
      </w:pPr>
      <w:bookmarkStart w:id="58" w:name="_Toc15396628"/>
      <w:r>
        <w:rPr>
          <w:rStyle w:val="29"/>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般公共预算财政拨款“三公”经费支出决算表</w:t>
      </w:r>
      <w:bookmarkEnd w:id="58"/>
    </w:p>
    <w:p>
      <w:pPr>
        <w:pStyle w:val="3"/>
        <w:rPr>
          <w:rFonts w:ascii="仿宋" w:hAnsi="仿宋" w:eastAsia="仿宋"/>
          <w:color w:val="auto"/>
          <w:highlight w:val="none"/>
        </w:rPr>
      </w:pPr>
      <w:bookmarkStart w:id="59" w:name="_Toc15396629"/>
      <w:r>
        <w:rPr>
          <w:rStyle w:val="29"/>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bookmarkEnd w:id="59"/>
    </w:p>
    <w:p>
      <w:pPr>
        <w:pStyle w:val="3"/>
        <w:rPr>
          <w:rFonts w:ascii="仿宋" w:hAnsi="仿宋" w:eastAsia="仿宋"/>
          <w:color w:val="auto"/>
          <w:highlight w:val="none"/>
        </w:rPr>
      </w:pPr>
      <w:bookmarkStart w:id="60" w:name="_Toc15396630"/>
      <w:r>
        <w:rPr>
          <w:rStyle w:val="29"/>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府性基金预算财政拨款“三公”经费支出决算表</w:t>
      </w:r>
      <w:bookmarkEnd w:id="60"/>
    </w:p>
    <w:p>
      <w:pPr>
        <w:pStyle w:val="3"/>
        <w:rPr>
          <w:rStyle w:val="29"/>
          <w:rFonts w:hint="eastAsia" w:ascii="仿宋" w:hAnsi="仿宋" w:eastAsia="仿宋"/>
          <w:b w:val="0"/>
          <w:bCs w:val="0"/>
          <w:color w:val="auto"/>
          <w:highlight w:val="none"/>
        </w:rPr>
      </w:pPr>
      <w:bookmarkStart w:id="61" w:name="_Toc15396631"/>
      <w:r>
        <w:rPr>
          <w:rStyle w:val="29"/>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bookmarkEnd w:id="61"/>
    </w:p>
    <w:p>
      <w:pPr>
        <w:rPr>
          <w:rFonts w:hint="eastAsia" w:eastAsia="仿宋"/>
          <w:color w:val="auto"/>
          <w:highlight w:val="none"/>
          <w:lang w:eastAsia="zh-CN"/>
        </w:rPr>
      </w:pPr>
      <w:r>
        <w:rPr>
          <w:rStyle w:val="29"/>
          <w:rFonts w:hint="eastAsia" w:ascii="仿宋" w:hAnsi="仿宋" w:eastAsia="仿宋"/>
          <w:b w:val="0"/>
          <w:bCs w:val="0"/>
          <w:color w:val="auto"/>
          <w:highlight w:val="none"/>
          <w:lang w:eastAsia="zh-CN"/>
        </w:rPr>
        <w:t>十四、国有资本经营预算财政拨款支出决算表</w:t>
      </w:r>
    </w:p>
    <w:p>
      <w:pPr>
        <w:pStyle w:val="15"/>
        <w:numPr>
          <w:ilvl w:val="0"/>
          <w:numId w:val="0"/>
        </w:numPr>
        <w:ind w:leftChars="150"/>
        <w:rPr>
          <w:rFonts w:hint="eastAsia"/>
          <w:lang w:eastAsia="zh-CN"/>
        </w:rPr>
      </w:pPr>
    </w:p>
    <w:sectPr>
      <w:pgSz w:w="11906" w:h="16838"/>
      <w:pgMar w:top="1440" w:right="1803" w:bottom="1440" w:left="1803" w:header="851" w:footer="992" w:gutter="0"/>
      <w:pgNumType w:start="1"/>
      <w:cols w:space="0" w:num="1"/>
      <w:titlePg/>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大标宋简体">
    <w:altName w:val="Arial Unicode MS"/>
    <w:panose1 w:val="02010601030101010101"/>
    <w:charset w:val="86"/>
    <w:family w:val="script"/>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方正大标宋_GBK">
    <w:altName w:val="宋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156525"/>
    <w:multiLevelType w:val="singleLevel"/>
    <w:tmpl w:val="A2156525"/>
    <w:lvl w:ilvl="0" w:tentative="0">
      <w:start w:val="1"/>
      <w:numFmt w:val="chineseCounting"/>
      <w:suff w:val="nothing"/>
      <w:lvlText w:val="%1、"/>
      <w:lvlJc w:val="left"/>
      <w:rPr>
        <w:rFonts w:hint="eastAsia" w:ascii="黑体" w:hAnsi="黑体" w:eastAsia="黑体" w:cs="黑体"/>
      </w:rPr>
    </w:lvl>
  </w:abstractNum>
  <w:abstractNum w:abstractNumId="1">
    <w:nsid w:val="C22501E6"/>
    <w:multiLevelType w:val="singleLevel"/>
    <w:tmpl w:val="C22501E6"/>
    <w:lvl w:ilvl="0" w:tentative="0">
      <w:start w:val="1"/>
      <w:numFmt w:val="chineseCounting"/>
      <w:lvlText w:val="(%1)"/>
      <w:lvlJc w:val="left"/>
      <w:pPr>
        <w:tabs>
          <w:tab w:val="left" w:pos="312"/>
        </w:tabs>
      </w:pPr>
      <w:rPr>
        <w:rFonts w:hint="eastAsia"/>
      </w:rPr>
    </w:lvl>
  </w:abstractNum>
  <w:abstractNum w:abstractNumId="2">
    <w:nsid w:val="C406FA2E"/>
    <w:multiLevelType w:val="singleLevel"/>
    <w:tmpl w:val="C406FA2E"/>
    <w:lvl w:ilvl="0" w:tentative="0">
      <w:start w:val="1"/>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591CAE7"/>
    <w:multiLevelType w:val="singleLevel"/>
    <w:tmpl w:val="D591CAE7"/>
    <w:lvl w:ilvl="0" w:tentative="0">
      <w:start w:val="1"/>
      <w:numFmt w:val="decimal"/>
      <w:lvlText w:val="%1."/>
      <w:lvlJc w:val="left"/>
      <w:pPr>
        <w:tabs>
          <w:tab w:val="left" w:pos="312"/>
        </w:tabs>
      </w:pPr>
    </w:lvl>
  </w:abstractNum>
  <w:abstractNum w:abstractNumId="5">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6">
    <w:nsid w:val="F6D9ED97"/>
    <w:multiLevelType w:val="singleLevel"/>
    <w:tmpl w:val="F6D9ED97"/>
    <w:lvl w:ilvl="0" w:tentative="0">
      <w:start w:val="1"/>
      <w:numFmt w:val="chineseCounting"/>
      <w:suff w:val="nothing"/>
      <w:lvlText w:val="%1、"/>
      <w:lvlJc w:val="left"/>
      <w:rPr>
        <w:rFonts w:hint="eastAsia"/>
      </w:rPr>
    </w:lvl>
  </w:abstractNum>
  <w:abstractNum w:abstractNumId="7">
    <w:nsid w:val="451789AF"/>
    <w:multiLevelType w:val="singleLevel"/>
    <w:tmpl w:val="451789AF"/>
    <w:lvl w:ilvl="0" w:tentative="0">
      <w:start w:val="1"/>
      <w:numFmt w:val="chineseCounting"/>
      <w:suff w:val="nothing"/>
      <w:lvlText w:val="%1、"/>
      <w:lvlJc w:val="left"/>
      <w:rPr>
        <w:rFonts w:hint="eastAsia"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yNTE2NWU1ZGZhYzk4YTI2OTE3ZGE3ZTZkNjMxMW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921B2"/>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AE28CF"/>
    <w:rsid w:val="0561783B"/>
    <w:rsid w:val="05A52CD4"/>
    <w:rsid w:val="05F3010D"/>
    <w:rsid w:val="080B690E"/>
    <w:rsid w:val="0A2032A3"/>
    <w:rsid w:val="0B8A37D8"/>
    <w:rsid w:val="0DC01DD9"/>
    <w:rsid w:val="107E484D"/>
    <w:rsid w:val="10C055FF"/>
    <w:rsid w:val="118107EC"/>
    <w:rsid w:val="11C61128"/>
    <w:rsid w:val="11DD6519"/>
    <w:rsid w:val="16BB723D"/>
    <w:rsid w:val="18015F3F"/>
    <w:rsid w:val="18FB35F1"/>
    <w:rsid w:val="1A396F50"/>
    <w:rsid w:val="1BE8440E"/>
    <w:rsid w:val="1D155CEE"/>
    <w:rsid w:val="1E5C5F4C"/>
    <w:rsid w:val="1F1F544D"/>
    <w:rsid w:val="20F57F95"/>
    <w:rsid w:val="231C4A67"/>
    <w:rsid w:val="240371BF"/>
    <w:rsid w:val="24A30154"/>
    <w:rsid w:val="24F91991"/>
    <w:rsid w:val="25C741E6"/>
    <w:rsid w:val="27842671"/>
    <w:rsid w:val="29613FF2"/>
    <w:rsid w:val="29FD04D3"/>
    <w:rsid w:val="2ABE7A3E"/>
    <w:rsid w:val="2C6217D0"/>
    <w:rsid w:val="2D4C7CEB"/>
    <w:rsid w:val="2EFA178C"/>
    <w:rsid w:val="30B46D73"/>
    <w:rsid w:val="30BD3626"/>
    <w:rsid w:val="319F7F4E"/>
    <w:rsid w:val="33E97065"/>
    <w:rsid w:val="34C93A39"/>
    <w:rsid w:val="353D56DC"/>
    <w:rsid w:val="3634484A"/>
    <w:rsid w:val="370276D6"/>
    <w:rsid w:val="37A226D5"/>
    <w:rsid w:val="386121DB"/>
    <w:rsid w:val="39AE70AB"/>
    <w:rsid w:val="3B141786"/>
    <w:rsid w:val="3C0C0783"/>
    <w:rsid w:val="3F9070C1"/>
    <w:rsid w:val="3F9F3A96"/>
    <w:rsid w:val="3FE1257F"/>
    <w:rsid w:val="41090AF1"/>
    <w:rsid w:val="4558460D"/>
    <w:rsid w:val="493C27E9"/>
    <w:rsid w:val="496F39ED"/>
    <w:rsid w:val="49FF41D3"/>
    <w:rsid w:val="4AA414CB"/>
    <w:rsid w:val="4B2D6D65"/>
    <w:rsid w:val="4BE068DB"/>
    <w:rsid w:val="4BF6002B"/>
    <w:rsid w:val="4BFA0524"/>
    <w:rsid w:val="4ECE2238"/>
    <w:rsid w:val="50F11EF6"/>
    <w:rsid w:val="51B75C3D"/>
    <w:rsid w:val="51DB4B86"/>
    <w:rsid w:val="52481FEA"/>
    <w:rsid w:val="52E15F9A"/>
    <w:rsid w:val="55333C3E"/>
    <w:rsid w:val="58277CB9"/>
    <w:rsid w:val="5D720862"/>
    <w:rsid w:val="5D955065"/>
    <w:rsid w:val="600B5CB2"/>
    <w:rsid w:val="605D091F"/>
    <w:rsid w:val="607D5554"/>
    <w:rsid w:val="62D11B64"/>
    <w:rsid w:val="63B62F41"/>
    <w:rsid w:val="64CA39A1"/>
    <w:rsid w:val="674A3F4F"/>
    <w:rsid w:val="67EE0F29"/>
    <w:rsid w:val="6AA66415"/>
    <w:rsid w:val="6C4A05C8"/>
    <w:rsid w:val="72734D90"/>
    <w:rsid w:val="73C82B32"/>
    <w:rsid w:val="784806E0"/>
    <w:rsid w:val="79E7B28D"/>
    <w:rsid w:val="7F9F20EE"/>
    <w:rsid w:val="7FD309D8"/>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eastAsia="宋体" w:cs="Courier New"/>
      <w:sz w:val="21"/>
      <w:szCs w:val="21"/>
    </w:r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widowControl/>
      <w:spacing w:beforeAutospacing="1" w:afterAutospacing="1"/>
      <w:jc w:val="left"/>
    </w:pPr>
    <w:rPr>
      <w:rFonts w:ascii="宋体" w:hAnsi="宋体"/>
      <w:kern w:val="0"/>
      <w:sz w:val="24"/>
    </w:rPr>
  </w:style>
  <w:style w:type="paragraph" w:styleId="15">
    <w:name w:val="Body Text First Indent 2"/>
    <w:basedOn w:val="6"/>
    <w:next w:val="1"/>
    <w:qFormat/>
    <w:uiPriority w:val="99"/>
    <w:pPr>
      <w:kinsoku w:val="0"/>
      <w:overflowPunct w:val="0"/>
      <w:autoSpaceDE w:val="0"/>
      <w:autoSpaceDN w:val="0"/>
      <w:spacing w:after="0" w:line="576" w:lineRule="exact"/>
      <w:ind w:left="0" w:leftChars="0" w:firstLine="883" w:firstLineChars="200"/>
    </w:pPr>
    <w:rPr>
      <w:rFonts w:eastAsia="仿宋_GB2312"/>
      <w:sz w:val="32"/>
      <w:szCs w:val="30"/>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7"/>
    <w:link w:val="2"/>
    <w:qFormat/>
    <w:uiPriority w:val="9"/>
    <w:rPr>
      <w:rFonts w:ascii="Times New Roman" w:hAnsi="Times New Roman"/>
      <w:b/>
      <w:bCs/>
      <w:kern w:val="44"/>
      <w:sz w:val="44"/>
      <w:szCs w:val="44"/>
    </w:rPr>
  </w:style>
  <w:style w:type="character" w:customStyle="1" w:styleId="29">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7"/>
    <w:link w:val="9"/>
    <w:semiHidden/>
    <w:qFormat/>
    <w:uiPriority w:val="99"/>
    <w:rPr>
      <w:rFonts w:ascii="Times New Roman" w:hAnsi="Times New Roman"/>
      <w:kern w:val="2"/>
      <w:sz w:val="18"/>
      <w:szCs w:val="18"/>
    </w:rPr>
  </w:style>
  <w:style w:type="character" w:customStyle="1" w:styleId="32">
    <w:name w:val="标题 3 Char"/>
    <w:basedOn w:val="17"/>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列出段落1"/>
    <w:basedOn w:val="1"/>
    <w:qFormat/>
    <w:uiPriority w:val="99"/>
    <w:pPr>
      <w:ind w:firstLine="420" w:firstLineChars="200"/>
    </w:pPr>
  </w:style>
  <w:style w:type="character" w:customStyle="1" w:styleId="35">
    <w:name w:val="font91"/>
    <w:basedOn w:val="17"/>
    <w:qFormat/>
    <w:uiPriority w:val="0"/>
    <w:rPr>
      <w:rFonts w:hint="eastAsia" w:ascii="宋体" w:hAnsi="宋体" w:eastAsia="宋体" w:cs="宋体"/>
      <w:b/>
      <w:bCs/>
      <w:color w:val="000000"/>
      <w:sz w:val="20"/>
      <w:szCs w:val="20"/>
      <w:u w:val="none"/>
    </w:rPr>
  </w:style>
  <w:style w:type="character" w:customStyle="1" w:styleId="36">
    <w:name w:val="font71"/>
    <w:basedOn w:val="17"/>
    <w:qFormat/>
    <w:uiPriority w:val="0"/>
    <w:rPr>
      <w:rFonts w:ascii="Wingdings 2" w:hAnsi="Wingdings 2" w:eastAsia="Wingdings 2" w:cs="Wingdings 2"/>
      <w:b/>
      <w:bCs/>
      <w:color w:val="000000"/>
      <w:sz w:val="21"/>
      <w:szCs w:val="21"/>
      <w:u w:val="none"/>
    </w:rPr>
  </w:style>
  <w:style w:type="character" w:customStyle="1" w:styleId="37">
    <w:name w:val="font81"/>
    <w:basedOn w:val="17"/>
    <w:qFormat/>
    <w:uiPriority w:val="0"/>
    <w:rPr>
      <w:rFonts w:hint="eastAsia" w:ascii="宋体" w:hAnsi="宋体" w:eastAsia="宋体" w:cs="宋体"/>
      <w:b/>
      <w:bCs/>
      <w:color w:val="000000"/>
      <w:sz w:val="21"/>
      <w:szCs w:val="21"/>
      <w:u w:val="none"/>
    </w:rPr>
  </w:style>
  <w:style w:type="character" w:customStyle="1" w:styleId="38">
    <w:name w:val="font51"/>
    <w:basedOn w:val="17"/>
    <w:uiPriority w:val="0"/>
    <w:rPr>
      <w:rFonts w:hint="eastAsia" w:ascii="宋体" w:hAnsi="宋体" w:eastAsia="宋体" w:cs="宋体"/>
      <w:color w:val="000000"/>
      <w:sz w:val="18"/>
      <w:szCs w:val="18"/>
      <w:u w:val="none"/>
    </w:rPr>
  </w:style>
  <w:style w:type="character" w:customStyle="1" w:styleId="39">
    <w:name w:val="font61"/>
    <w:basedOn w:val="17"/>
    <w:uiPriority w:val="0"/>
    <w:rPr>
      <w:rFonts w:hint="eastAsia" w:ascii="宋体" w:hAnsi="宋体" w:eastAsia="宋体" w:cs="宋体"/>
      <w:b/>
      <w:bCs/>
      <w:color w:val="000000"/>
      <w:sz w:val="21"/>
      <w:szCs w:val="21"/>
      <w:u w:val="none"/>
    </w:rPr>
  </w:style>
  <w:style w:type="character" w:customStyle="1" w:styleId="40">
    <w:name w:val="font01"/>
    <w:basedOn w:val="17"/>
    <w:uiPriority w:val="0"/>
    <w:rPr>
      <w:rFonts w:hint="eastAsia" w:ascii="宋体" w:hAnsi="宋体" w:eastAsia="宋体" w:cs="宋体"/>
      <w:color w:val="000000"/>
      <w:sz w:val="20"/>
      <w:szCs w:val="20"/>
      <w:u w:val="none"/>
    </w:rPr>
  </w:style>
  <w:style w:type="character" w:customStyle="1" w:styleId="41">
    <w:name w:val="font131"/>
    <w:basedOn w:val="17"/>
    <w:uiPriority w:val="0"/>
    <w:rPr>
      <w:rFonts w:ascii="Wingdings 2" w:hAnsi="Wingdings 2" w:eastAsia="Wingdings 2" w:cs="Wingdings 2"/>
      <w:b/>
      <w:bCs/>
      <w:color w:val="000000"/>
      <w:sz w:val="21"/>
      <w:szCs w:val="21"/>
      <w:u w:val="none"/>
    </w:rPr>
  </w:style>
  <w:style w:type="character" w:customStyle="1" w:styleId="42">
    <w:name w:val="font112"/>
    <w:basedOn w:val="17"/>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63</Pages>
  <Words>28701</Words>
  <Characters>30000</Characters>
  <Lines>61</Lines>
  <Paragraphs>17</Paragraphs>
  <TotalTime>21</TotalTime>
  <ScaleCrop>false</ScaleCrop>
  <LinksUpToDate>false</LinksUpToDate>
  <CharactersWithSpaces>47210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2023-09-14T03:55:42Z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8A37533F4AA743C7905A61EC977D3266</vt:lpwstr>
  </property>
</Properties>
</file>