
<file path=[Content_Types].xml><?xml version="1.0" encoding="utf-8"?>
<Types xmlns="http://schemas.openxmlformats.org/package/2006/content-types">
  <Default Extension="xlsx" ContentType="application/vnd.openxmlformats-officedocument.spreadsheetml.sheet"/>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olors1.xml" ContentType="application/vnd.ms-office.chartcolorstyle+xml"/>
  <Override PartName="/word/charts/style1.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theme/themeOverride1.xml" ContentType="application/vnd.openxmlformats-officedocument.themeOverrid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bidi w:val="0"/>
        <w:rPr>
          <w:rFonts w:hint="default"/>
          <w:lang w:val="en-US" w:eastAsia="zh-CN"/>
        </w:rPr>
      </w:pPr>
      <w:bookmarkStart w:id="0" w:name="_Toc15396475"/>
      <w:bookmarkStart w:id="1" w:name="_Toc15378441"/>
      <w:bookmarkStart w:id="2" w:name="_Toc15377193"/>
      <w:bookmarkStart w:id="3" w:name="_Toc15396597"/>
      <w:bookmarkStart w:id="4" w:name="_Toc15377425"/>
      <w:bookmarkStart w:id="5" w:name="_Toc15306267"/>
    </w:p>
    <w:p>
      <w:pPr>
        <w:spacing w:line="600" w:lineRule="exact"/>
        <w:jc w:val="center"/>
        <w:outlineLvl w:val="0"/>
        <w:rPr>
          <w:rFonts w:ascii="方正小标宋简体" w:hAnsi="宋体" w:eastAsia="方正小标宋简体"/>
          <w:color w:val="auto"/>
          <w:sz w:val="72"/>
          <w:szCs w:val="72"/>
          <w:highlight w:val="none"/>
        </w:rPr>
      </w:pPr>
    </w:p>
    <w:p>
      <w:pPr>
        <w:spacing w:line="600" w:lineRule="exact"/>
        <w:jc w:val="center"/>
        <w:outlineLvl w:val="0"/>
        <w:rPr>
          <w:rFonts w:ascii="方正小标宋简体" w:hAnsi="宋体" w:eastAsia="方正小标宋简体"/>
          <w:color w:val="auto"/>
          <w:sz w:val="72"/>
          <w:szCs w:val="72"/>
          <w:highlight w:val="none"/>
        </w:rPr>
      </w:pPr>
    </w:p>
    <w:p>
      <w:pPr>
        <w:spacing w:line="600" w:lineRule="exact"/>
        <w:jc w:val="center"/>
        <w:outlineLvl w:val="0"/>
        <w:rPr>
          <w:rFonts w:ascii="方正小标宋简体" w:hAnsi="宋体" w:eastAsia="方正小标宋简体"/>
          <w:color w:val="auto"/>
          <w:sz w:val="72"/>
          <w:szCs w:val="72"/>
          <w:highlight w:val="none"/>
        </w:rPr>
      </w:pPr>
    </w:p>
    <w:p>
      <w:pPr>
        <w:adjustRightInd w:val="0"/>
        <w:snapToGrid w:val="0"/>
        <w:spacing w:line="360" w:lineRule="auto"/>
        <w:jc w:val="center"/>
        <w:outlineLvl w:val="0"/>
        <w:rPr>
          <w:rFonts w:hint="eastAsia" w:ascii="方正小标宋简体" w:hAnsi="方正小标宋简体" w:eastAsia="方正小标宋简体" w:cs="方正小标宋简体"/>
          <w:color w:val="auto"/>
          <w:sz w:val="72"/>
          <w:szCs w:val="72"/>
          <w:highlight w:val="none"/>
        </w:rPr>
      </w:pPr>
      <w:r>
        <w:rPr>
          <w:rFonts w:hint="eastAsia" w:ascii="方正小标宋简体" w:hAnsi="方正小标宋简体" w:eastAsia="方正小标宋简体" w:cs="方正小标宋简体"/>
          <w:color w:val="auto"/>
          <w:sz w:val="72"/>
          <w:szCs w:val="72"/>
          <w:highlight w:val="none"/>
        </w:rPr>
        <w:t>20</w:t>
      </w:r>
      <w:r>
        <w:rPr>
          <w:rFonts w:hint="eastAsia" w:ascii="方正小标宋简体" w:hAnsi="方正小标宋简体" w:eastAsia="方正小标宋简体" w:cs="方正小标宋简体"/>
          <w:color w:val="auto"/>
          <w:sz w:val="72"/>
          <w:szCs w:val="72"/>
          <w:highlight w:val="none"/>
          <w:lang w:val="en-US" w:eastAsia="zh-CN"/>
        </w:rPr>
        <w:t>21</w:t>
      </w:r>
      <w:r>
        <w:rPr>
          <w:rFonts w:hint="eastAsia" w:ascii="方正小标宋简体" w:hAnsi="方正小标宋简体" w:eastAsia="方正小标宋简体" w:cs="方正小标宋简体"/>
          <w:color w:val="auto"/>
          <w:sz w:val="72"/>
          <w:szCs w:val="72"/>
          <w:highlight w:val="none"/>
        </w:rPr>
        <w:t>年度</w:t>
      </w:r>
      <w:bookmarkEnd w:id="0"/>
      <w:bookmarkEnd w:id="1"/>
      <w:bookmarkEnd w:id="2"/>
      <w:bookmarkEnd w:id="3"/>
      <w:bookmarkEnd w:id="4"/>
    </w:p>
    <w:p>
      <w:pPr>
        <w:adjustRightInd w:val="0"/>
        <w:snapToGrid w:val="0"/>
        <w:spacing w:line="360" w:lineRule="auto"/>
        <w:jc w:val="center"/>
        <w:outlineLvl w:val="0"/>
        <w:rPr>
          <w:rFonts w:hint="eastAsia" w:ascii="方正小标宋简体" w:hAnsi="方正小标宋简体" w:eastAsia="方正小标宋简体" w:cs="方正小标宋简体"/>
          <w:color w:val="auto"/>
          <w:sz w:val="72"/>
          <w:szCs w:val="72"/>
          <w:highlight w:val="none"/>
          <w:lang w:eastAsia="zh-CN"/>
        </w:rPr>
      </w:pPr>
      <w:bookmarkStart w:id="6" w:name="_Toc15396476"/>
      <w:bookmarkStart w:id="7" w:name="_Toc15377194"/>
      <w:bookmarkStart w:id="8" w:name="_Toc15396598"/>
      <w:bookmarkStart w:id="9" w:name="_Toc15378442"/>
      <w:bookmarkStart w:id="10" w:name="_Toc15377426"/>
      <w:r>
        <w:rPr>
          <w:rFonts w:hint="eastAsia" w:ascii="方正小标宋简体" w:hAnsi="方正小标宋简体" w:eastAsia="方正小标宋简体" w:cs="方正小标宋简体"/>
          <w:color w:val="auto"/>
          <w:sz w:val="72"/>
          <w:szCs w:val="72"/>
          <w:highlight w:val="none"/>
          <w:lang w:eastAsia="zh-CN"/>
        </w:rPr>
        <w:t>广元市朝天区</w:t>
      </w:r>
      <w:bookmarkEnd w:id="5"/>
      <w:bookmarkStart w:id="11" w:name="_Toc15306268"/>
      <w:r>
        <w:rPr>
          <w:rFonts w:hint="eastAsia" w:ascii="方正小标宋简体" w:hAnsi="方正小标宋简体" w:eastAsia="方正小标宋简体" w:cs="方正小标宋简体"/>
          <w:color w:val="auto"/>
          <w:sz w:val="72"/>
          <w:szCs w:val="72"/>
          <w:highlight w:val="none"/>
          <w:lang w:eastAsia="zh-CN"/>
        </w:rPr>
        <w:t>妇联合会</w:t>
      </w:r>
    </w:p>
    <w:p>
      <w:pPr>
        <w:adjustRightInd w:val="0"/>
        <w:snapToGrid w:val="0"/>
        <w:spacing w:line="360" w:lineRule="auto"/>
        <w:jc w:val="center"/>
        <w:outlineLvl w:val="0"/>
        <w:rPr>
          <w:rFonts w:hint="eastAsia" w:ascii="方正小标宋简体" w:hAnsi="方正小标宋简体" w:eastAsia="方正小标宋简体" w:cs="方正小标宋简体"/>
          <w:color w:val="auto"/>
          <w:sz w:val="72"/>
          <w:szCs w:val="72"/>
          <w:highlight w:val="none"/>
        </w:rPr>
      </w:pPr>
      <w:r>
        <w:rPr>
          <w:rFonts w:hint="eastAsia" w:ascii="方正小标宋简体" w:hAnsi="方正小标宋简体" w:eastAsia="方正小标宋简体" w:cs="方正小标宋简体"/>
          <w:color w:val="auto"/>
          <w:sz w:val="72"/>
          <w:szCs w:val="72"/>
          <w:highlight w:val="none"/>
        </w:rPr>
        <w:t>部门决算</w:t>
      </w:r>
      <w:bookmarkEnd w:id="6"/>
      <w:bookmarkEnd w:id="7"/>
      <w:bookmarkEnd w:id="8"/>
      <w:bookmarkEnd w:id="9"/>
      <w:bookmarkEnd w:id="10"/>
      <w:bookmarkEnd w:id="11"/>
    </w:p>
    <w:p>
      <w:pPr>
        <w:widowControl/>
        <w:jc w:val="center"/>
        <w:rPr>
          <w:rFonts w:ascii="黑体" w:hAnsi="黑体" w:eastAsia="黑体"/>
          <w:color w:val="auto"/>
          <w:sz w:val="48"/>
          <w:szCs w:val="48"/>
          <w:highlight w:val="none"/>
        </w:rPr>
      </w:pPr>
      <w:r>
        <w:rPr>
          <w:rFonts w:ascii="方正小标宋简体" w:hAnsi="宋体" w:eastAsia="方正小标宋简体"/>
          <w:color w:val="auto"/>
          <w:sz w:val="36"/>
          <w:szCs w:val="36"/>
          <w:highlight w:val="none"/>
        </w:rPr>
        <w:br w:type="page"/>
      </w:r>
      <w:r>
        <w:rPr>
          <w:rFonts w:hint="eastAsia" w:ascii="黑体" w:hAnsi="黑体" w:eastAsia="黑体"/>
          <w:color w:val="auto"/>
          <w:sz w:val="48"/>
          <w:szCs w:val="48"/>
          <w:highlight w:val="none"/>
        </w:rPr>
        <w:t>目录</w:t>
      </w:r>
    </w:p>
    <w:p>
      <w:pPr>
        <w:widowControl/>
        <w:jc w:val="center"/>
        <w:rPr>
          <w:rFonts w:ascii="黑体" w:hAnsi="黑体" w:eastAsia="黑体" w:cstheme="minorBidi"/>
          <w:color w:val="auto"/>
          <w:sz w:val="28"/>
          <w:szCs w:val="28"/>
          <w:highlight w:val="none"/>
        </w:rPr>
      </w:pPr>
    </w:p>
    <w:p>
      <w:pPr>
        <w:pStyle w:val="10"/>
        <w:rPr>
          <w:color w:val="auto"/>
          <w:highlight w:val="none"/>
        </w:rPr>
      </w:pPr>
      <w:r>
        <w:rPr>
          <w:rFonts w:hint="eastAsia"/>
          <w:color w:val="auto"/>
          <w:highlight w:val="none"/>
        </w:rPr>
        <w:t>公开时间：20</w:t>
      </w:r>
      <w:r>
        <w:rPr>
          <w:rFonts w:hint="eastAsia"/>
          <w:color w:val="auto"/>
          <w:highlight w:val="none"/>
          <w:lang w:val="en-US" w:eastAsia="zh-CN"/>
        </w:rPr>
        <w:t>22</w:t>
      </w:r>
      <w:r>
        <w:rPr>
          <w:rFonts w:hint="eastAsia"/>
          <w:color w:val="auto"/>
          <w:highlight w:val="none"/>
        </w:rPr>
        <w:t>年</w:t>
      </w:r>
      <w:r>
        <w:rPr>
          <w:rFonts w:hint="eastAsia"/>
          <w:color w:val="auto"/>
          <w:highlight w:val="none"/>
          <w:lang w:val="en-US" w:eastAsia="zh-CN"/>
        </w:rPr>
        <w:t>9</w:t>
      </w:r>
      <w:r>
        <w:rPr>
          <w:rFonts w:hint="eastAsia"/>
          <w:color w:val="auto"/>
          <w:highlight w:val="none"/>
        </w:rPr>
        <w:t>月</w:t>
      </w:r>
      <w:r>
        <w:rPr>
          <w:rFonts w:hint="eastAsia"/>
          <w:color w:val="auto"/>
          <w:highlight w:val="none"/>
          <w:lang w:val="en-US" w:eastAsia="zh-CN"/>
        </w:rPr>
        <w:t>27</w:t>
      </w:r>
      <w:r>
        <w:rPr>
          <w:rFonts w:hint="eastAsia"/>
          <w:color w:val="auto"/>
          <w:highlight w:val="none"/>
        </w:rPr>
        <w:t>日</w:t>
      </w:r>
    </w:p>
    <w:p>
      <w:pPr>
        <w:rPr>
          <w:color w:val="auto"/>
          <w:highlight w:val="none"/>
        </w:rPr>
      </w:pPr>
    </w:p>
    <w:p>
      <w:pPr>
        <w:pStyle w:val="10"/>
        <w:adjustRightInd w:val="0"/>
        <w:snapToGrid w:val="0"/>
        <w:spacing w:before="0" w:line="440" w:lineRule="exact"/>
        <w:jc w:val="left"/>
        <w:rPr>
          <w:rFonts w:cstheme="minorBidi"/>
          <w:color w:val="auto"/>
          <w:sz w:val="24"/>
          <w:szCs w:val="24"/>
          <w:highlight w:val="none"/>
        </w:rPr>
      </w:pPr>
      <w:r>
        <w:rPr>
          <w:rFonts w:hint="eastAsia"/>
          <w:color w:val="auto"/>
          <w:sz w:val="24"/>
          <w:highlight w:val="none"/>
        </w:rPr>
        <w:t>第一部分</w:t>
      </w:r>
      <w:r>
        <w:rPr>
          <w:color w:val="auto"/>
          <w:sz w:val="24"/>
          <w:highlight w:val="none"/>
        </w:rPr>
        <w:t xml:space="preserve"> </w:t>
      </w:r>
      <w:r>
        <w:rPr>
          <w:rFonts w:hint="eastAsia"/>
          <w:color w:val="auto"/>
          <w:sz w:val="24"/>
          <w:highlight w:val="none"/>
        </w:rPr>
        <w:t>部门概况</w:t>
      </w:r>
    </w:p>
    <w:p>
      <w:pPr>
        <w:pStyle w:val="11"/>
        <w:adjustRightInd w:val="0"/>
        <w:snapToGrid w:val="0"/>
        <w:spacing w:line="440" w:lineRule="exact"/>
        <w:jc w:val="left"/>
        <w:rPr>
          <w:rFonts w:ascii="仿宋" w:hAnsi="仿宋" w:eastAsia="仿宋"/>
          <w:color w:val="auto"/>
          <w:sz w:val="24"/>
          <w:highlight w:val="none"/>
        </w:rPr>
      </w:pPr>
      <w:r>
        <w:rPr>
          <w:rFonts w:hint="eastAsia"/>
          <w:color w:val="auto"/>
          <w:sz w:val="24"/>
          <w:highlight w:val="none"/>
        </w:rPr>
        <w:t>一、基本职能及主要工作</w:t>
      </w:r>
    </w:p>
    <w:p>
      <w:pPr>
        <w:pStyle w:val="11"/>
        <w:adjustRightInd w:val="0"/>
        <w:snapToGrid w:val="0"/>
        <w:spacing w:line="440" w:lineRule="exact"/>
        <w:jc w:val="left"/>
        <w:rPr>
          <w:rFonts w:ascii="仿宋" w:hAnsi="仿宋" w:eastAsia="仿宋" w:cstheme="minorBidi"/>
          <w:color w:val="auto"/>
          <w:sz w:val="24"/>
          <w:highlight w:val="none"/>
        </w:rPr>
      </w:pPr>
      <w:r>
        <w:rPr>
          <w:rFonts w:hint="eastAsia"/>
          <w:color w:val="auto"/>
          <w:sz w:val="24"/>
          <w:highlight w:val="none"/>
        </w:rPr>
        <w:t>二、机构设置</w:t>
      </w:r>
    </w:p>
    <w:p>
      <w:pPr>
        <w:pStyle w:val="10"/>
        <w:adjustRightInd w:val="0"/>
        <w:snapToGrid w:val="0"/>
        <w:spacing w:before="0" w:line="440" w:lineRule="exact"/>
        <w:jc w:val="left"/>
        <w:rPr>
          <w:color w:val="auto"/>
          <w:sz w:val="24"/>
          <w:szCs w:val="24"/>
          <w:highlight w:val="none"/>
        </w:rPr>
      </w:pPr>
      <w:r>
        <w:rPr>
          <w:rFonts w:hint="eastAsia"/>
          <w:color w:val="auto"/>
          <w:sz w:val="24"/>
          <w:highlight w:val="none"/>
        </w:rPr>
        <w:t>第二部分</w:t>
      </w:r>
      <w:r>
        <w:rPr>
          <w:rFonts w:hint="eastAsia"/>
          <w:color w:val="auto"/>
          <w:sz w:val="24"/>
          <w:highlight w:val="none"/>
          <w:lang w:val="en-US" w:eastAsia="zh-CN"/>
        </w:rPr>
        <w:t xml:space="preserve"> 2021年度</w:t>
      </w:r>
      <w:r>
        <w:rPr>
          <w:rFonts w:hint="eastAsia"/>
          <w:color w:val="auto"/>
          <w:sz w:val="24"/>
          <w:highlight w:val="none"/>
        </w:rPr>
        <w:t>部门决算情况说明</w:t>
      </w:r>
    </w:p>
    <w:p>
      <w:pPr>
        <w:pStyle w:val="11"/>
        <w:adjustRightInd w:val="0"/>
        <w:snapToGrid w:val="0"/>
        <w:spacing w:line="440" w:lineRule="exact"/>
        <w:jc w:val="left"/>
        <w:rPr>
          <w:rFonts w:ascii="仿宋" w:hAnsi="仿宋" w:eastAsia="仿宋" w:cstheme="minorBidi"/>
          <w:color w:val="auto"/>
          <w:sz w:val="24"/>
          <w:highlight w:val="none"/>
        </w:rPr>
      </w:pPr>
      <w:r>
        <w:rPr>
          <w:rFonts w:hint="eastAsia"/>
          <w:color w:val="auto"/>
          <w:sz w:val="24"/>
          <w:highlight w:val="none"/>
        </w:rPr>
        <w:t>一、收入支出决算总体情况说明</w:t>
      </w:r>
    </w:p>
    <w:p>
      <w:pPr>
        <w:pStyle w:val="11"/>
        <w:adjustRightInd w:val="0"/>
        <w:snapToGrid w:val="0"/>
        <w:spacing w:line="440" w:lineRule="exact"/>
        <w:jc w:val="left"/>
        <w:rPr>
          <w:rFonts w:ascii="仿宋" w:hAnsi="仿宋" w:eastAsia="仿宋" w:cstheme="minorBidi"/>
          <w:color w:val="auto"/>
          <w:sz w:val="24"/>
          <w:highlight w:val="none"/>
        </w:rPr>
      </w:pPr>
      <w:r>
        <w:rPr>
          <w:rFonts w:hint="eastAsia"/>
          <w:color w:val="auto"/>
          <w:sz w:val="24"/>
          <w:highlight w:val="none"/>
        </w:rPr>
        <w:t>二、收入决算情况说明</w:t>
      </w:r>
    </w:p>
    <w:p>
      <w:pPr>
        <w:pStyle w:val="11"/>
        <w:adjustRightInd w:val="0"/>
        <w:snapToGrid w:val="0"/>
        <w:spacing w:line="440" w:lineRule="exact"/>
        <w:jc w:val="left"/>
        <w:rPr>
          <w:rFonts w:ascii="仿宋" w:hAnsi="仿宋" w:eastAsia="仿宋" w:cstheme="minorBidi"/>
          <w:color w:val="auto"/>
          <w:sz w:val="24"/>
          <w:highlight w:val="none"/>
        </w:rPr>
      </w:pPr>
      <w:r>
        <w:rPr>
          <w:rFonts w:hint="eastAsia"/>
          <w:color w:val="auto"/>
          <w:sz w:val="24"/>
          <w:highlight w:val="none"/>
        </w:rPr>
        <w:t>三、支出决算情况说明</w:t>
      </w:r>
    </w:p>
    <w:p>
      <w:pPr>
        <w:pStyle w:val="11"/>
        <w:adjustRightInd w:val="0"/>
        <w:snapToGrid w:val="0"/>
        <w:spacing w:line="440" w:lineRule="exact"/>
        <w:jc w:val="left"/>
        <w:rPr>
          <w:rFonts w:ascii="仿宋" w:hAnsi="仿宋" w:eastAsia="仿宋" w:cstheme="minorBidi"/>
          <w:color w:val="auto"/>
          <w:sz w:val="24"/>
          <w:highlight w:val="none"/>
        </w:rPr>
      </w:pPr>
      <w:r>
        <w:rPr>
          <w:rFonts w:hint="eastAsia"/>
          <w:color w:val="auto"/>
          <w:sz w:val="24"/>
          <w:highlight w:val="none"/>
        </w:rPr>
        <w:t>四、财政拨款收入支出决算总体情况说明</w:t>
      </w:r>
    </w:p>
    <w:p>
      <w:pPr>
        <w:pStyle w:val="11"/>
        <w:adjustRightInd w:val="0"/>
        <w:snapToGrid w:val="0"/>
        <w:spacing w:line="440" w:lineRule="exact"/>
        <w:jc w:val="left"/>
        <w:rPr>
          <w:rFonts w:ascii="仿宋" w:hAnsi="仿宋" w:eastAsia="仿宋" w:cstheme="minorBidi"/>
          <w:color w:val="auto"/>
          <w:sz w:val="24"/>
          <w:highlight w:val="none"/>
        </w:rPr>
      </w:pPr>
      <w:r>
        <w:rPr>
          <w:rFonts w:hint="eastAsia"/>
          <w:color w:val="auto"/>
          <w:sz w:val="24"/>
          <w:highlight w:val="none"/>
        </w:rPr>
        <w:t>五、一般公共预算财政拨款支出决算情况说明</w:t>
      </w:r>
    </w:p>
    <w:p>
      <w:pPr>
        <w:pStyle w:val="11"/>
        <w:adjustRightInd w:val="0"/>
        <w:snapToGrid w:val="0"/>
        <w:spacing w:line="440" w:lineRule="exact"/>
        <w:jc w:val="left"/>
        <w:rPr>
          <w:rFonts w:ascii="仿宋" w:hAnsi="仿宋" w:eastAsia="仿宋" w:cstheme="minorBidi"/>
          <w:color w:val="auto"/>
          <w:sz w:val="24"/>
          <w:highlight w:val="none"/>
        </w:rPr>
      </w:pPr>
      <w:r>
        <w:rPr>
          <w:rFonts w:hint="eastAsia"/>
          <w:color w:val="auto"/>
          <w:sz w:val="24"/>
          <w:highlight w:val="none"/>
        </w:rPr>
        <w:t>六、一般公共预算财政拨款基本支出决算情况说明</w:t>
      </w:r>
    </w:p>
    <w:p>
      <w:pPr>
        <w:pStyle w:val="11"/>
        <w:adjustRightInd w:val="0"/>
        <w:snapToGrid w:val="0"/>
        <w:spacing w:line="440" w:lineRule="exact"/>
        <w:jc w:val="left"/>
        <w:rPr>
          <w:rFonts w:ascii="仿宋" w:hAnsi="仿宋" w:eastAsia="仿宋" w:cstheme="minorBidi"/>
          <w:color w:val="auto"/>
          <w:sz w:val="24"/>
          <w:highlight w:val="none"/>
        </w:rPr>
      </w:pPr>
      <w:r>
        <w:rPr>
          <w:rFonts w:hint="eastAsia"/>
          <w:color w:val="auto"/>
          <w:sz w:val="24"/>
          <w:highlight w:val="none"/>
        </w:rPr>
        <w:t>七、</w:t>
      </w:r>
      <w:r>
        <w:rPr>
          <w:rFonts w:hint="eastAsia"/>
          <w:color w:val="auto"/>
          <w:sz w:val="24"/>
          <w:highlight w:val="none"/>
          <w:lang w:eastAsia="zh-CN"/>
        </w:rPr>
        <w:t>“</w:t>
      </w:r>
      <w:r>
        <w:rPr>
          <w:rFonts w:hint="eastAsia"/>
          <w:color w:val="auto"/>
          <w:sz w:val="24"/>
          <w:highlight w:val="none"/>
        </w:rPr>
        <w:t>三公”经费财政拨款支出决算情况说明</w:t>
      </w:r>
    </w:p>
    <w:p>
      <w:pPr>
        <w:pStyle w:val="11"/>
        <w:adjustRightInd w:val="0"/>
        <w:snapToGrid w:val="0"/>
        <w:spacing w:line="440" w:lineRule="exact"/>
        <w:jc w:val="left"/>
        <w:rPr>
          <w:rFonts w:ascii="仿宋" w:hAnsi="仿宋" w:eastAsia="仿宋" w:cstheme="minorBidi"/>
          <w:color w:val="auto"/>
          <w:sz w:val="24"/>
          <w:highlight w:val="none"/>
        </w:rPr>
      </w:pPr>
      <w:r>
        <w:rPr>
          <w:rFonts w:hint="eastAsia"/>
          <w:color w:val="auto"/>
          <w:sz w:val="24"/>
          <w:highlight w:val="none"/>
        </w:rPr>
        <w:t>八、政府性基金预算支出决算情况说明</w:t>
      </w:r>
    </w:p>
    <w:p>
      <w:pPr>
        <w:pStyle w:val="11"/>
        <w:adjustRightInd w:val="0"/>
        <w:snapToGrid w:val="0"/>
        <w:spacing w:line="440" w:lineRule="exact"/>
        <w:ind w:leftChars="0"/>
        <w:jc w:val="left"/>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九、</w:t>
      </w:r>
      <w:r>
        <w:rPr>
          <w:rFonts w:hint="eastAsia" w:asciiTheme="minorEastAsia" w:hAnsiTheme="minorEastAsia" w:eastAsiaTheme="minorEastAsia" w:cstheme="minorEastAsia"/>
          <w:color w:val="auto"/>
          <w:sz w:val="24"/>
          <w:highlight w:val="none"/>
          <w:lang w:eastAsia="zh-CN"/>
        </w:rPr>
        <w:t>国</w:t>
      </w:r>
      <w:r>
        <w:rPr>
          <w:rFonts w:hint="eastAsia" w:asciiTheme="minorEastAsia" w:hAnsiTheme="minorEastAsia" w:eastAsiaTheme="minorEastAsia" w:cstheme="minorEastAsia"/>
          <w:color w:val="auto"/>
          <w:sz w:val="24"/>
          <w:highlight w:val="none"/>
        </w:rPr>
        <w:t>有资本经营预算支出决算情况说明</w:t>
      </w:r>
    </w:p>
    <w:p>
      <w:pPr>
        <w:keepNext w:val="0"/>
        <w:keepLines w:val="0"/>
        <w:pageBreakBefore w:val="0"/>
        <w:widowControl w:val="0"/>
        <w:kinsoku/>
        <w:wordWrap/>
        <w:overflowPunct/>
        <w:topLinePunct w:val="0"/>
        <w:autoSpaceDE/>
        <w:autoSpaceDN/>
        <w:bidi w:val="0"/>
        <w:adjustRightInd w:val="0"/>
        <w:snapToGrid w:val="0"/>
        <w:spacing w:line="440" w:lineRule="exact"/>
        <w:ind w:left="0" w:leftChars="0" w:firstLine="420" w:firstLineChars="175"/>
        <w:jc w:val="left"/>
        <w:textAlignment w:val="auto"/>
        <w:rPr>
          <w:rFonts w:hint="eastAsia" w:asciiTheme="minorEastAsia" w:hAnsiTheme="minorEastAsia" w:eastAsiaTheme="minorEastAsia" w:cstheme="minorEastAsia"/>
          <w:color w:val="auto"/>
          <w:sz w:val="24"/>
          <w:highlight w:val="none"/>
        </w:rPr>
      </w:pPr>
      <w:r>
        <w:rPr>
          <w:rStyle w:val="15"/>
          <w:rFonts w:hint="eastAsia" w:asciiTheme="minorEastAsia" w:hAnsiTheme="minorEastAsia" w:eastAsiaTheme="minorEastAsia" w:cstheme="minorEastAsia"/>
          <w:color w:val="auto"/>
          <w:sz w:val="24"/>
          <w:highlight w:val="none"/>
          <w:u w:val="none"/>
          <w:lang w:eastAsia="zh-CN"/>
        </w:rPr>
        <w:t>十</w:t>
      </w:r>
      <w:r>
        <w:rPr>
          <w:rStyle w:val="15"/>
          <w:rFonts w:hint="eastAsia" w:asciiTheme="minorEastAsia" w:hAnsiTheme="minorEastAsia" w:eastAsiaTheme="minorEastAsia" w:cstheme="minorEastAsia"/>
          <w:color w:val="auto"/>
          <w:sz w:val="24"/>
          <w:highlight w:val="none"/>
          <w:u w:val="none"/>
        </w:rPr>
        <w:t>、</w:t>
      </w:r>
      <w:r>
        <w:rPr>
          <w:rFonts w:hint="eastAsia" w:asciiTheme="minorEastAsia" w:hAnsiTheme="minorEastAsia" w:eastAsiaTheme="minorEastAsia" w:cstheme="minorEastAsia"/>
          <w:color w:val="auto"/>
          <w:sz w:val="24"/>
          <w:highlight w:val="none"/>
          <w:lang w:val="en-US" w:eastAsia="zh-CN"/>
        </w:rPr>
        <w:t>预算绩效管理情况</w:t>
      </w:r>
      <w:r>
        <w:rPr>
          <w:rFonts w:hint="eastAsia" w:asciiTheme="minorEastAsia" w:hAnsiTheme="minorEastAsia" w:eastAsiaTheme="minorEastAsia" w:cstheme="minorEastAsia"/>
          <w:color w:val="auto"/>
          <w:sz w:val="24"/>
          <w:highlight w:val="none"/>
        </w:rPr>
        <w:tab/>
      </w:r>
    </w:p>
    <w:p>
      <w:pPr>
        <w:keepNext w:val="0"/>
        <w:keepLines w:val="0"/>
        <w:pageBreakBefore w:val="0"/>
        <w:widowControl w:val="0"/>
        <w:kinsoku/>
        <w:wordWrap/>
        <w:overflowPunct/>
        <w:topLinePunct w:val="0"/>
        <w:autoSpaceDE/>
        <w:autoSpaceDN/>
        <w:bidi w:val="0"/>
        <w:adjustRightInd w:val="0"/>
        <w:snapToGrid w:val="0"/>
        <w:spacing w:line="440" w:lineRule="exact"/>
        <w:ind w:left="0" w:leftChars="0" w:firstLine="420" w:firstLineChars="175"/>
        <w:jc w:val="left"/>
        <w:textAlignment w:val="auto"/>
        <w:rPr>
          <w:rFonts w:hint="default" w:eastAsiaTheme="minorEastAsia"/>
          <w:lang w:val="en-US" w:eastAsia="zh-CN"/>
        </w:rPr>
      </w:pPr>
      <w:r>
        <w:rPr>
          <w:rFonts w:hint="eastAsia" w:asciiTheme="minorEastAsia" w:hAnsiTheme="minorEastAsia" w:eastAsiaTheme="minorEastAsia" w:cstheme="minorEastAsia"/>
          <w:color w:val="auto"/>
          <w:sz w:val="24"/>
          <w:highlight w:val="none"/>
          <w:lang w:val="en-US" w:eastAsia="zh-CN"/>
        </w:rPr>
        <w:t>十一、</w:t>
      </w:r>
      <w:r>
        <w:rPr>
          <w:rFonts w:hint="eastAsia" w:asciiTheme="minorEastAsia" w:hAnsiTheme="minorEastAsia" w:eastAsiaTheme="minorEastAsia" w:cstheme="minorEastAsia"/>
          <w:color w:val="auto"/>
          <w:sz w:val="24"/>
          <w:highlight w:val="none"/>
        </w:rPr>
        <w:t>其他重要事项的情况说明</w:t>
      </w:r>
    </w:p>
    <w:p>
      <w:pPr>
        <w:pStyle w:val="10"/>
        <w:adjustRightInd w:val="0"/>
        <w:snapToGrid w:val="0"/>
        <w:spacing w:before="0" w:line="440" w:lineRule="exact"/>
        <w:jc w:val="left"/>
        <w:rPr>
          <w:rFonts w:cstheme="minorBidi"/>
          <w:color w:val="auto"/>
          <w:sz w:val="24"/>
          <w:szCs w:val="24"/>
          <w:highlight w:val="none"/>
        </w:rPr>
      </w:pPr>
      <w:r>
        <w:rPr>
          <w:rFonts w:hint="eastAsia"/>
          <w:color w:val="auto"/>
          <w:sz w:val="24"/>
          <w:highlight w:val="none"/>
        </w:rPr>
        <w:t>第三部分</w:t>
      </w:r>
      <w:r>
        <w:rPr>
          <w:color w:val="auto"/>
          <w:sz w:val="24"/>
          <w:highlight w:val="none"/>
        </w:rPr>
        <w:t xml:space="preserve"> </w:t>
      </w:r>
      <w:r>
        <w:rPr>
          <w:rFonts w:hint="eastAsia"/>
          <w:color w:val="auto"/>
          <w:sz w:val="24"/>
          <w:highlight w:val="none"/>
        </w:rPr>
        <w:t>名词解释</w:t>
      </w:r>
    </w:p>
    <w:p>
      <w:pPr>
        <w:pStyle w:val="10"/>
        <w:adjustRightInd w:val="0"/>
        <w:snapToGrid w:val="0"/>
        <w:spacing w:before="0" w:line="440" w:lineRule="exact"/>
        <w:jc w:val="left"/>
        <w:rPr>
          <w:rFonts w:cstheme="minorBidi"/>
          <w:color w:val="auto"/>
          <w:sz w:val="24"/>
          <w:szCs w:val="24"/>
          <w:highlight w:val="none"/>
        </w:rPr>
      </w:pPr>
      <w:r>
        <w:rPr>
          <w:rFonts w:hint="eastAsia"/>
          <w:color w:val="auto"/>
          <w:sz w:val="24"/>
          <w:highlight w:val="none"/>
        </w:rPr>
        <w:t>第四部分</w:t>
      </w:r>
      <w:r>
        <w:rPr>
          <w:color w:val="auto"/>
          <w:sz w:val="24"/>
          <w:highlight w:val="none"/>
        </w:rPr>
        <w:t xml:space="preserve"> </w:t>
      </w:r>
      <w:r>
        <w:rPr>
          <w:rFonts w:hint="eastAsia"/>
          <w:color w:val="auto"/>
          <w:sz w:val="24"/>
          <w:highlight w:val="none"/>
        </w:rPr>
        <w:t>附件</w:t>
      </w:r>
    </w:p>
    <w:p>
      <w:pPr>
        <w:pStyle w:val="10"/>
        <w:adjustRightInd w:val="0"/>
        <w:snapToGrid w:val="0"/>
        <w:spacing w:before="0" w:line="440" w:lineRule="exact"/>
        <w:jc w:val="left"/>
        <w:rPr>
          <w:rFonts w:cstheme="minorBidi"/>
          <w:color w:val="auto"/>
          <w:sz w:val="24"/>
          <w:szCs w:val="24"/>
          <w:highlight w:val="none"/>
        </w:rPr>
      </w:pPr>
      <w:r>
        <w:rPr>
          <w:rFonts w:hint="eastAsia"/>
          <w:color w:val="auto"/>
          <w:sz w:val="24"/>
          <w:highlight w:val="none"/>
        </w:rPr>
        <w:t>第五部分</w:t>
      </w:r>
      <w:r>
        <w:rPr>
          <w:color w:val="auto"/>
          <w:sz w:val="24"/>
          <w:highlight w:val="none"/>
        </w:rPr>
        <w:t xml:space="preserve"> </w:t>
      </w:r>
      <w:r>
        <w:rPr>
          <w:rFonts w:hint="eastAsia"/>
          <w:color w:val="auto"/>
          <w:sz w:val="24"/>
          <w:highlight w:val="none"/>
        </w:rPr>
        <w:t>附表</w:t>
      </w:r>
    </w:p>
    <w:p>
      <w:pPr>
        <w:pStyle w:val="11"/>
        <w:adjustRightInd w:val="0"/>
        <w:snapToGrid w:val="0"/>
        <w:spacing w:line="440" w:lineRule="exact"/>
        <w:jc w:val="left"/>
        <w:rPr>
          <w:rFonts w:ascii="仿宋" w:hAnsi="仿宋" w:eastAsia="仿宋" w:cstheme="minorBidi"/>
          <w:color w:val="auto"/>
          <w:sz w:val="24"/>
          <w:highlight w:val="none"/>
        </w:rPr>
      </w:pPr>
      <w:r>
        <w:rPr>
          <w:rFonts w:hint="eastAsia" w:ascii="仿宋" w:hAnsi="仿宋" w:eastAsia="仿宋"/>
          <w:color w:val="auto"/>
          <w:sz w:val="24"/>
          <w:highlight w:val="none"/>
        </w:rPr>
        <w:t>一、</w:t>
      </w:r>
      <w:r>
        <w:rPr>
          <w:rFonts w:hint="eastAsia"/>
          <w:color w:val="auto"/>
          <w:sz w:val="24"/>
          <w:highlight w:val="none"/>
        </w:rPr>
        <w:t>收入支出决算总表</w:t>
      </w:r>
    </w:p>
    <w:p>
      <w:pPr>
        <w:pStyle w:val="11"/>
        <w:adjustRightInd w:val="0"/>
        <w:snapToGrid w:val="0"/>
        <w:spacing w:line="440" w:lineRule="exact"/>
        <w:jc w:val="left"/>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二、收入决算表</w:t>
      </w:r>
    </w:p>
    <w:p>
      <w:pPr>
        <w:pStyle w:val="11"/>
        <w:adjustRightInd w:val="0"/>
        <w:snapToGrid w:val="0"/>
        <w:spacing w:line="440" w:lineRule="exact"/>
        <w:jc w:val="left"/>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三、支出决算表</w:t>
      </w:r>
    </w:p>
    <w:p>
      <w:pPr>
        <w:pStyle w:val="11"/>
        <w:adjustRightInd w:val="0"/>
        <w:snapToGrid w:val="0"/>
        <w:spacing w:line="440" w:lineRule="exact"/>
        <w:jc w:val="left"/>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四、财政拨款收入支出决算总表</w:t>
      </w:r>
    </w:p>
    <w:p>
      <w:pPr>
        <w:pStyle w:val="11"/>
        <w:adjustRightInd w:val="0"/>
        <w:snapToGrid w:val="0"/>
        <w:spacing w:line="440" w:lineRule="exact"/>
        <w:jc w:val="left"/>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五、财政拨款支出决算明细表</w:t>
      </w:r>
    </w:p>
    <w:p>
      <w:pPr>
        <w:pStyle w:val="11"/>
        <w:adjustRightInd w:val="0"/>
        <w:snapToGrid w:val="0"/>
        <w:spacing w:line="440" w:lineRule="exact"/>
        <w:jc w:val="left"/>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六、一般公共预算财政拨款支出决算表</w:t>
      </w:r>
    </w:p>
    <w:p>
      <w:pPr>
        <w:pStyle w:val="11"/>
        <w:adjustRightInd w:val="0"/>
        <w:snapToGrid w:val="0"/>
        <w:spacing w:line="440" w:lineRule="exact"/>
        <w:jc w:val="left"/>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七、一般公共预算财政拨款支出决算明细表</w:t>
      </w:r>
    </w:p>
    <w:p>
      <w:pPr>
        <w:pStyle w:val="11"/>
        <w:adjustRightInd w:val="0"/>
        <w:snapToGrid w:val="0"/>
        <w:spacing w:line="440" w:lineRule="exact"/>
        <w:jc w:val="left"/>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八、一般公共预算财政拨款基本支出决算表</w:t>
      </w:r>
    </w:p>
    <w:p>
      <w:pPr>
        <w:pStyle w:val="11"/>
        <w:tabs>
          <w:tab w:val="clear" w:pos="8296"/>
        </w:tabs>
        <w:adjustRightInd w:val="0"/>
        <w:snapToGrid w:val="0"/>
        <w:spacing w:line="440" w:lineRule="exact"/>
        <w:jc w:val="left"/>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九、一般公共预算财政拨款项目支出决算表</w:t>
      </w:r>
    </w:p>
    <w:p>
      <w:pPr>
        <w:pStyle w:val="11"/>
        <w:adjustRightInd w:val="0"/>
        <w:snapToGrid w:val="0"/>
        <w:spacing w:line="440" w:lineRule="exact"/>
        <w:jc w:val="left"/>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十、一般公共预算财政拨款“三公”经费支出决算表</w:t>
      </w:r>
    </w:p>
    <w:p>
      <w:pPr>
        <w:pStyle w:val="11"/>
        <w:adjustRightInd w:val="0"/>
        <w:snapToGrid w:val="0"/>
        <w:spacing w:line="440" w:lineRule="exact"/>
        <w:jc w:val="left"/>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十一、政府性基金预算财政拨款收入支出决算表</w:t>
      </w:r>
    </w:p>
    <w:p>
      <w:pPr>
        <w:pStyle w:val="11"/>
        <w:adjustRightInd w:val="0"/>
        <w:snapToGrid w:val="0"/>
        <w:spacing w:line="440" w:lineRule="exact"/>
        <w:jc w:val="left"/>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十二、政府性基金预算财政拨款“三公”经费支出决算表</w:t>
      </w:r>
    </w:p>
    <w:p>
      <w:pPr>
        <w:pStyle w:val="11"/>
        <w:adjustRightInd w:val="0"/>
        <w:snapToGrid w:val="0"/>
        <w:spacing w:line="440" w:lineRule="exact"/>
        <w:jc w:val="left"/>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十三、国有资本经营预算</w:t>
      </w:r>
      <w:r>
        <w:rPr>
          <w:rFonts w:hint="eastAsia" w:asciiTheme="minorEastAsia" w:hAnsiTheme="minorEastAsia" w:eastAsiaTheme="minorEastAsia" w:cstheme="minorEastAsia"/>
          <w:color w:val="auto"/>
          <w:sz w:val="24"/>
          <w:highlight w:val="none"/>
          <w:lang w:eastAsia="zh-CN"/>
        </w:rPr>
        <w:t>财政拨款收入</w:t>
      </w:r>
      <w:r>
        <w:rPr>
          <w:rFonts w:hint="eastAsia" w:asciiTheme="minorEastAsia" w:hAnsiTheme="minorEastAsia" w:eastAsiaTheme="minorEastAsia" w:cstheme="minorEastAsia"/>
          <w:color w:val="auto"/>
          <w:sz w:val="24"/>
          <w:highlight w:val="none"/>
        </w:rPr>
        <w:t>支出决算表</w:t>
      </w:r>
    </w:p>
    <w:p>
      <w:pPr>
        <w:pStyle w:val="11"/>
        <w:adjustRightInd w:val="0"/>
        <w:snapToGrid w:val="0"/>
        <w:spacing w:line="440" w:lineRule="exact"/>
        <w:jc w:val="left"/>
        <w:rPr>
          <w:rFonts w:hint="eastAsia" w:asciiTheme="minorEastAsia" w:hAnsiTheme="minorEastAsia" w:eastAsiaTheme="minorEastAsia" w:cstheme="minorEastAsia"/>
          <w:color w:val="auto"/>
          <w:sz w:val="24"/>
          <w:highlight w:val="none"/>
          <w:lang w:val="en-US" w:eastAsia="zh-CN"/>
        </w:rPr>
      </w:pPr>
      <w:r>
        <w:rPr>
          <w:rFonts w:hint="eastAsia" w:asciiTheme="minorEastAsia" w:hAnsiTheme="minorEastAsia" w:eastAsiaTheme="minorEastAsia" w:cstheme="minorEastAsia"/>
          <w:color w:val="auto"/>
          <w:sz w:val="24"/>
          <w:highlight w:val="none"/>
          <w:lang w:val="en-US" w:eastAsia="zh-CN"/>
        </w:rPr>
        <w:t>十四、国有资本经营预算财政拨款支出决算表</w:t>
      </w:r>
    </w:p>
    <w:p>
      <w:pPr>
        <w:widowControl/>
        <w:adjustRightInd w:val="0"/>
        <w:snapToGrid w:val="0"/>
        <w:spacing w:line="440" w:lineRule="exact"/>
        <w:ind w:firstLine="1320" w:firstLineChars="550"/>
        <w:jc w:val="left"/>
        <w:rPr>
          <w:rFonts w:ascii="仿宋" w:hAnsi="仿宋" w:eastAsia="仿宋"/>
          <w:color w:val="auto"/>
          <w:sz w:val="24"/>
          <w:highlight w:val="none"/>
        </w:rPr>
      </w:pPr>
      <w:r>
        <w:rPr>
          <w:rFonts w:ascii="仿宋" w:hAnsi="仿宋" w:eastAsia="仿宋"/>
          <w:color w:val="auto"/>
          <w:sz w:val="24"/>
          <w:highlight w:val="none"/>
        </w:rPr>
        <w:t>(注：</w:t>
      </w:r>
      <w:r>
        <w:rPr>
          <w:rFonts w:hint="eastAsia" w:ascii="仿宋" w:hAnsi="仿宋" w:eastAsia="仿宋"/>
          <w:color w:val="auto"/>
          <w:sz w:val="24"/>
          <w:highlight w:val="none"/>
        </w:rPr>
        <w:t>请部门根据实际注明页码</w:t>
      </w:r>
      <w:r>
        <w:rPr>
          <w:rFonts w:ascii="仿宋" w:hAnsi="仿宋" w:eastAsia="仿宋"/>
          <w:color w:val="auto"/>
          <w:sz w:val="24"/>
          <w:highlight w:val="none"/>
        </w:rPr>
        <w:t>)</w:t>
      </w:r>
    </w:p>
    <w:p>
      <w:pPr>
        <w:widowControl/>
        <w:spacing w:line="440" w:lineRule="exact"/>
        <w:jc w:val="left"/>
        <w:rPr>
          <w:rFonts w:ascii="仿宋" w:hAnsi="仿宋" w:eastAsia="仿宋"/>
          <w:bCs/>
          <w:color w:val="auto"/>
          <w:kern w:val="44"/>
          <w:sz w:val="24"/>
          <w:highlight w:val="none"/>
        </w:rPr>
      </w:pPr>
      <w:bookmarkStart w:id="12" w:name="_Toc15377196"/>
      <w:bookmarkStart w:id="13" w:name="_Toc15396599"/>
      <w:r>
        <w:rPr>
          <w:rFonts w:ascii="仿宋" w:hAnsi="仿宋" w:eastAsia="仿宋"/>
          <w:b/>
          <w:color w:val="auto"/>
          <w:sz w:val="24"/>
          <w:highlight w:val="none"/>
        </w:rPr>
        <w:br w:type="page"/>
      </w:r>
    </w:p>
    <w:p>
      <w:pPr>
        <w:pStyle w:val="3"/>
        <w:jc w:val="center"/>
        <w:rPr>
          <w:rFonts w:ascii="黑体" w:eastAsia="黑体"/>
          <w:color w:val="auto"/>
          <w:sz w:val="32"/>
          <w:szCs w:val="32"/>
          <w:highlight w:val="none"/>
        </w:rPr>
      </w:pPr>
      <w:r>
        <w:rPr>
          <w:rFonts w:hint="eastAsia" w:ascii="黑体" w:hAnsi="黑体" w:eastAsia="黑体"/>
          <w:b w:val="0"/>
          <w:color w:val="auto"/>
          <w:highlight w:val="none"/>
        </w:rPr>
        <w:t xml:space="preserve">第一部分 </w:t>
      </w:r>
      <w:r>
        <w:rPr>
          <w:rStyle w:val="24"/>
          <w:rFonts w:hint="eastAsia" w:ascii="黑体" w:hAnsi="黑体" w:eastAsia="黑体"/>
          <w:b w:val="0"/>
          <w:bCs w:val="0"/>
          <w:color w:val="auto"/>
          <w:highlight w:val="none"/>
        </w:rPr>
        <w:t>部门概况</w:t>
      </w:r>
      <w:bookmarkEnd w:id="12"/>
      <w:bookmarkEnd w:id="13"/>
    </w:p>
    <w:p>
      <w:pPr>
        <w:pStyle w:val="4"/>
        <w:rPr>
          <w:rStyle w:val="25"/>
          <w:rFonts w:ascii="仿宋" w:hAnsi="仿宋" w:eastAsia="仿宋"/>
          <w:b w:val="0"/>
          <w:bCs w:val="0"/>
          <w:color w:val="auto"/>
          <w:highlight w:val="none"/>
        </w:rPr>
      </w:pPr>
      <w:bookmarkStart w:id="14" w:name="_Toc15377197"/>
      <w:bookmarkStart w:id="15" w:name="_Toc15396600"/>
      <w:r>
        <w:rPr>
          <w:rFonts w:hint="eastAsia" w:ascii="黑体" w:hAnsi="黑体" w:eastAsia="黑体"/>
          <w:b w:val="0"/>
          <w:color w:val="auto"/>
          <w:highlight w:val="none"/>
        </w:rPr>
        <w:t>一、基</w:t>
      </w:r>
      <w:r>
        <w:rPr>
          <w:rStyle w:val="25"/>
          <w:rFonts w:hint="eastAsia" w:ascii="黑体" w:hAnsi="黑体" w:eastAsia="黑体"/>
          <w:b w:val="0"/>
          <w:bCs w:val="0"/>
          <w:color w:val="auto"/>
          <w:highlight w:val="none"/>
        </w:rPr>
        <w:t>本职能及主要工作</w:t>
      </w:r>
      <w:bookmarkEnd w:id="14"/>
      <w:bookmarkEnd w:id="15"/>
    </w:p>
    <w:p>
      <w:pPr>
        <w:pStyle w:val="2"/>
        <w:adjustRightInd w:val="0"/>
        <w:snapToGrid w:val="0"/>
        <w:spacing w:before="93" w:line="600" w:lineRule="exact"/>
        <w:ind w:firstLine="672" w:firstLineChars="210"/>
        <w:outlineLvl w:val="2"/>
        <w:rPr>
          <w:rFonts w:hint="eastAsia" w:ascii="仿宋" w:hAnsi="仿宋" w:eastAsia="仿宋"/>
          <w:bCs/>
          <w:color w:val="auto"/>
          <w:sz w:val="32"/>
          <w:szCs w:val="32"/>
          <w:highlight w:val="none"/>
        </w:rPr>
      </w:pPr>
      <w:bookmarkStart w:id="16" w:name="_Toc15378445"/>
      <w:bookmarkStart w:id="17" w:name="_Toc15377198"/>
      <w:r>
        <w:rPr>
          <w:rFonts w:hint="eastAsia" w:ascii="仿宋" w:hAnsi="仿宋" w:eastAsia="仿宋"/>
          <w:bCs/>
          <w:color w:val="auto"/>
          <w:sz w:val="32"/>
          <w:szCs w:val="32"/>
          <w:highlight w:val="none"/>
        </w:rPr>
        <w:t>（一）主要职能。</w:t>
      </w:r>
      <w:bookmarkEnd w:id="16"/>
      <w:bookmarkEnd w:id="17"/>
    </w:p>
    <w:p>
      <w:pPr>
        <w:ind w:firstLine="640" w:firstLineChars="200"/>
        <w:rPr>
          <w:rFonts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 xml:space="preserve">宣传、贯彻党的路线、方针、政策，教育、引导妇女增强自尊、自信、自立、自强的精神，成为有理想、有文化、有纪律的社会主义新女性。 </w:t>
      </w:r>
    </w:p>
    <w:p>
      <w:pPr>
        <w:ind w:firstLine="640" w:firstLineChars="200"/>
        <w:rPr>
          <w:rFonts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代表妇女参与国家和社会事务的管理和监督;研究涉及妇女切身利益的热点和难点问题，及时向区委、区政府和市妇联反映社情民意，提出对策建议;推动实施《妇女权益保障法》、《妇女发展规划》、《儿童发展规划》，切实维护妇女儿童的合法权益，推荐、输送妇女人才，促进妇女参政。</w:t>
      </w:r>
    </w:p>
    <w:p>
      <w:pPr>
        <w:ind w:firstLine="640" w:firstLineChars="200"/>
        <w:rPr>
          <w:rFonts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根据党和政府的中心任务，组织和动员全区各级妇女投身改革开放和现代化建设，为维护改革发展稳定大局服务。开展“巾帼建功”、“最美家庭”寻访等活动，推动全区文化建设和服务业的建设，提高妇女思想道德素质、科技文化素质、法制素质，弘扬社会公德、职业道德和家庭美德。</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4、</w:t>
      </w:r>
      <w:r>
        <w:rPr>
          <w:rFonts w:hint="eastAsia" w:ascii="仿宋" w:hAnsi="仿宋" w:eastAsia="仿宋" w:cs="仿宋"/>
          <w:sz w:val="32"/>
          <w:szCs w:val="32"/>
        </w:rPr>
        <w:t xml:space="preserve">维护妇女儿童权益，积极开展婚姻家庭矛盾纠纷化解；宣传相关法规政策，为妇女儿童提供法律援助和救助，参与有关妇女儿童合法权益保障相关法规的制定。 </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5、</w:t>
      </w:r>
      <w:r>
        <w:rPr>
          <w:rFonts w:hint="eastAsia" w:ascii="仿宋" w:hAnsi="仿宋" w:eastAsia="仿宋" w:cs="仿宋"/>
          <w:sz w:val="32"/>
          <w:szCs w:val="32"/>
        </w:rPr>
        <w:t>建立和完善学习培训、工作会议、评比表彰等工作制度，做好培养、推荐基层后备女干部工作。</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6、</w:t>
      </w:r>
      <w:r>
        <w:rPr>
          <w:rFonts w:hint="eastAsia" w:ascii="仿宋" w:hAnsi="仿宋" w:eastAsia="仿宋" w:cs="仿宋"/>
          <w:sz w:val="32"/>
          <w:szCs w:val="32"/>
        </w:rPr>
        <w:t>指导各级妇女组织依据妇联章程和妇女代表大会的任务，开展妇女儿童工作;加强与社会各界的联系，协调和推动社会各界为妇女儿童办实事、办好事。</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7、</w:t>
      </w:r>
      <w:r>
        <w:rPr>
          <w:rFonts w:hint="eastAsia" w:ascii="仿宋" w:hAnsi="仿宋" w:eastAsia="仿宋" w:cs="仿宋"/>
          <w:sz w:val="32"/>
          <w:szCs w:val="32"/>
        </w:rPr>
        <w:t>承担妇女儿童工作委员会办公室的工作。</w:t>
      </w:r>
    </w:p>
    <w:p>
      <w:pPr>
        <w:widowControl/>
        <w:autoSpaceDE w:val="0"/>
        <w:adjustRightInd w:val="0"/>
        <w:snapToGrid w:val="0"/>
        <w:spacing w:line="500" w:lineRule="exact"/>
        <w:ind w:firstLine="640" w:firstLineChars="200"/>
        <w:contextualSpacing/>
        <w:jc w:val="left"/>
        <w:rPr>
          <w:rFonts w:hint="eastAsia" w:ascii="仿宋" w:hAnsi="仿宋" w:eastAsia="仿宋"/>
          <w:bCs/>
          <w:color w:val="auto"/>
          <w:sz w:val="32"/>
          <w:szCs w:val="32"/>
          <w:highlight w:val="none"/>
        </w:rPr>
      </w:pPr>
      <w:r>
        <w:rPr>
          <w:rFonts w:hint="eastAsia" w:ascii="仿宋" w:hAnsi="仿宋" w:eastAsia="仿宋" w:cs="仿宋"/>
          <w:sz w:val="32"/>
          <w:szCs w:val="32"/>
          <w:lang w:val="en-US" w:eastAsia="zh-CN"/>
        </w:rPr>
        <w:t>8、</w:t>
      </w:r>
      <w:r>
        <w:rPr>
          <w:rFonts w:hint="eastAsia" w:ascii="仿宋" w:hAnsi="仿宋" w:eastAsia="仿宋" w:cs="仿宋"/>
          <w:sz w:val="32"/>
          <w:szCs w:val="32"/>
        </w:rPr>
        <w:t>承担上级有关部门交办的其他任务。</w:t>
      </w:r>
    </w:p>
    <w:p>
      <w:pPr>
        <w:pStyle w:val="2"/>
        <w:adjustRightInd w:val="0"/>
        <w:snapToGrid w:val="0"/>
        <w:spacing w:before="93" w:line="600" w:lineRule="exact"/>
        <w:ind w:firstLine="320" w:firstLineChars="100"/>
        <w:outlineLvl w:val="2"/>
        <w:rPr>
          <w:rFonts w:hint="eastAsia" w:ascii="仿宋" w:hAnsi="仿宋" w:eastAsia="仿宋"/>
          <w:bCs/>
          <w:color w:val="auto"/>
          <w:sz w:val="32"/>
          <w:szCs w:val="32"/>
          <w:highlight w:val="none"/>
        </w:rPr>
      </w:pPr>
      <w:bookmarkStart w:id="18" w:name="_Toc15377199"/>
      <w:bookmarkStart w:id="19" w:name="_Toc15378446"/>
      <w:r>
        <w:rPr>
          <w:rFonts w:hint="eastAsia" w:ascii="仿宋" w:hAnsi="仿宋" w:eastAsia="仿宋"/>
          <w:bCs/>
          <w:color w:val="auto"/>
          <w:sz w:val="32"/>
          <w:szCs w:val="32"/>
          <w:highlight w:val="none"/>
        </w:rPr>
        <w:t>（二）</w:t>
      </w:r>
      <w:r>
        <w:rPr>
          <w:rFonts w:ascii="仿宋" w:hAnsi="仿宋" w:eastAsia="仿宋"/>
          <w:bCs/>
          <w:color w:val="auto"/>
          <w:sz w:val="32"/>
          <w:szCs w:val="32"/>
          <w:highlight w:val="none"/>
        </w:rPr>
        <w:t>20</w:t>
      </w:r>
      <w:r>
        <w:rPr>
          <w:rFonts w:hint="eastAsia" w:ascii="仿宋" w:hAnsi="仿宋" w:eastAsia="仿宋"/>
          <w:bCs/>
          <w:color w:val="auto"/>
          <w:sz w:val="32"/>
          <w:szCs w:val="32"/>
          <w:highlight w:val="none"/>
          <w:lang w:val="en-US" w:eastAsia="zh-CN"/>
        </w:rPr>
        <w:t>21</w:t>
      </w:r>
      <w:r>
        <w:rPr>
          <w:rFonts w:hint="eastAsia" w:ascii="仿宋" w:hAnsi="仿宋" w:eastAsia="仿宋"/>
          <w:bCs/>
          <w:color w:val="auto"/>
          <w:sz w:val="32"/>
          <w:szCs w:val="32"/>
          <w:highlight w:val="none"/>
        </w:rPr>
        <w:t>年重点工作完成情况。</w:t>
      </w:r>
      <w:bookmarkEnd w:id="18"/>
      <w:bookmarkEnd w:id="19"/>
    </w:p>
    <w:p>
      <w:pPr>
        <w:spacing w:line="550" w:lineRule="exact"/>
        <w:ind w:firstLine="640" w:firstLineChars="200"/>
        <w:rPr>
          <w:rFonts w:hint="eastAsia" w:ascii="仿宋" w:hAnsi="仿宋" w:eastAsia="仿宋" w:cs="仿宋"/>
          <w:color w:val="000000"/>
          <w:sz w:val="32"/>
          <w:szCs w:val="32"/>
          <w:shd w:val="clear" w:color="auto" w:fill="FFFFFF"/>
        </w:rPr>
      </w:pPr>
      <w:bookmarkStart w:id="20" w:name="_Toc15396601"/>
      <w:bookmarkStart w:id="21" w:name="_Toc15377200"/>
      <w:r>
        <w:rPr>
          <w:rFonts w:hint="eastAsia" w:ascii="仿宋" w:hAnsi="仿宋" w:eastAsia="仿宋" w:cs="仿宋"/>
          <w:sz w:val="32"/>
          <w:szCs w:val="32"/>
        </w:rPr>
        <w:t>2021年，在区委坚强领导下，区妇联认真贯彻上级关于党的群团工作意见，各项工作取得新进展。</w:t>
      </w:r>
      <w:r>
        <w:rPr>
          <w:rFonts w:hint="eastAsia" w:ascii="仿宋_GB2312" w:hAnsi="仿宋_GB2312" w:eastAsia="仿宋_GB2312" w:cs="仿宋_GB2312"/>
          <w:b/>
          <w:bCs/>
          <w:color w:val="000000"/>
          <w:sz w:val="32"/>
          <w:szCs w:val="32"/>
          <w:shd w:val="clear" w:color="auto" w:fill="FFFFFF"/>
        </w:rPr>
        <w:t>一是引领巾帼建功提能力。</w:t>
      </w:r>
      <w:r>
        <w:rPr>
          <w:rFonts w:hint="eastAsia" w:ascii="仿宋" w:hAnsi="仿宋" w:eastAsia="仿宋" w:cs="仿宋"/>
          <w:color w:val="000000"/>
          <w:sz w:val="32"/>
          <w:szCs w:val="32"/>
          <w:shd w:val="clear" w:color="auto" w:fill="FFFFFF"/>
        </w:rPr>
        <w:t>积极申报“国家级巾帼脱贫示范基地”1个（宣河核桃专业合作社），建成妇女居家灵活就业省级示范基地1个，开展刺绣、家政等技术培训6期，参训妇女800余人，进一步激发了全区广大妇女群众干事创业的积极性和主动性；</w:t>
      </w:r>
      <w:r>
        <w:rPr>
          <w:rFonts w:hint="eastAsia" w:ascii="仿宋_GB2312" w:hAnsi="仿宋_GB2312" w:eastAsia="仿宋_GB2312" w:cs="仿宋_GB2312"/>
          <w:b/>
          <w:bCs/>
          <w:color w:val="000000"/>
          <w:sz w:val="32"/>
          <w:szCs w:val="32"/>
          <w:shd w:val="clear" w:color="auto" w:fill="FFFFFF"/>
        </w:rPr>
        <w:t>二是强化家庭建设树新风。</w:t>
      </w:r>
      <w:r>
        <w:rPr>
          <w:rFonts w:hint="eastAsia" w:ascii="仿宋" w:hAnsi="仿宋" w:eastAsia="仿宋" w:cs="仿宋"/>
          <w:color w:val="000000"/>
          <w:sz w:val="32"/>
          <w:szCs w:val="32"/>
          <w:shd w:val="clear" w:color="auto" w:fill="FFFFFF"/>
        </w:rPr>
        <w:t>常态化开展“最美家庭”“廉洁家庭”“绿色家庭”等创建活动，全区评选表扬各类优秀家庭150个，组建家庭教育宣讲团深入基层一线开展“学党史，传家风，育新人”主题教育系列活动30余场，发放宣传资料2万余份，开展“家韵朝天大讲堂”3期，参与家长达300余人，组织妇联干部参与干部作风纪律整顿，查找问题20个，已全部整改完成，组织妇联干部及其家属参观家风教育基地2次，发放廉洁家庭等倡议书500余份，受教育女干部及家属达2000余人，在全区形成注重家庭、注重家教、注重家风的良好氛围。</w:t>
      </w:r>
      <w:r>
        <w:rPr>
          <w:rFonts w:hint="eastAsia" w:ascii="仿宋_GB2312" w:hAnsi="仿宋_GB2312" w:eastAsia="仿宋_GB2312" w:cs="仿宋_GB2312"/>
          <w:b/>
          <w:bCs/>
          <w:color w:val="000000"/>
          <w:sz w:val="32"/>
          <w:szCs w:val="32"/>
          <w:shd w:val="clear" w:color="auto" w:fill="FFFFFF"/>
        </w:rPr>
        <w:t>三是维护妇儿权益保稳定。</w:t>
      </w:r>
      <w:r>
        <w:rPr>
          <w:rFonts w:hint="eastAsia" w:ascii="仿宋" w:hAnsi="仿宋" w:eastAsia="仿宋" w:cs="仿宋"/>
          <w:color w:val="000000"/>
          <w:sz w:val="32"/>
          <w:szCs w:val="32"/>
          <w:shd w:val="clear" w:color="auto" w:fill="FFFFFF"/>
        </w:rPr>
        <w:t>落实专项工作经费，组建“老妈妈劝和队”深入村、社区调解婚姻家庭矛盾纠纷25件；召开妇女儿童维权工作联席会议3次，研究讨论妇儿维权工作中存在的重难点问题；进一步完善了区家事法庭，落实专人负责妇女儿童维权工作，开展维权宣传7场，发放宣传资料3000余份，提供免费法律咨询150余场；接待省人大关于《四川省＜中华人民共和国妇女权益保障法＞实施办法》实施情况的调研、并对实施中面临的困难和问题提出具体建议；组织巾帼志愿者开展安全宣传进家庭活动8场，发放倡议书及安全宣传资料，极大的提升了全区妇女儿童获得感、幸福感、安全感。</w:t>
      </w:r>
      <w:r>
        <w:rPr>
          <w:rFonts w:hint="eastAsia" w:ascii="仿宋_GB2312" w:hAnsi="仿宋_GB2312" w:eastAsia="仿宋_GB2312" w:cs="仿宋_GB2312"/>
          <w:b/>
          <w:bCs/>
          <w:color w:val="000000"/>
          <w:sz w:val="32"/>
          <w:szCs w:val="32"/>
          <w:shd w:val="clear" w:color="auto" w:fill="FFFFFF"/>
          <w:lang w:eastAsia="zh-CN"/>
        </w:rPr>
        <w:t>四是</w:t>
      </w:r>
      <w:r>
        <w:rPr>
          <w:rFonts w:hint="eastAsia" w:ascii="仿宋_GB2312" w:hAnsi="仿宋_GB2312" w:eastAsia="仿宋_GB2312" w:cs="仿宋_GB2312"/>
          <w:b/>
          <w:bCs/>
          <w:color w:val="000000"/>
          <w:sz w:val="32"/>
          <w:szCs w:val="32"/>
          <w:shd w:val="clear" w:color="auto" w:fill="FFFFFF"/>
        </w:rPr>
        <w:t>关爱困境妇儿惠民生。</w:t>
      </w:r>
      <w:r>
        <w:rPr>
          <w:rFonts w:hint="eastAsia" w:ascii="仿宋" w:hAnsi="仿宋" w:eastAsia="仿宋" w:cs="仿宋"/>
          <w:color w:val="000000"/>
          <w:sz w:val="32"/>
          <w:szCs w:val="32"/>
          <w:shd w:val="clear" w:color="auto" w:fill="FFFFFF"/>
        </w:rPr>
        <w:t>常态化开展“暖冬”行动系列活动，慰问贫困母亲320余人，贫困儿童208名，发放棉被、粮油；积极开展贫困母亲两癌筛查和救助申报，申报符合救助对象4名，发放救助金4万元；“三八”节期间，全区各级妇联组织开展“巾帼心向党、奋进新征程”主题活动48场，“六一”期间，统筹全区帮扶村对区内幼儿园、小学开展全覆盖慰问活动37场，慰问学生10576人</w:t>
      </w:r>
      <w:r>
        <w:rPr>
          <w:rFonts w:hint="eastAsia" w:ascii="仿宋" w:hAnsi="仿宋" w:eastAsia="仿宋" w:cs="仿宋"/>
          <w:color w:val="000000"/>
          <w:sz w:val="32"/>
          <w:szCs w:val="32"/>
          <w:shd w:val="clear" w:color="auto" w:fill="FFFFFF"/>
          <w:lang w:eastAsia="zh-CN"/>
        </w:rPr>
        <w:t>；</w:t>
      </w:r>
      <w:r>
        <w:rPr>
          <w:rFonts w:hint="eastAsia" w:ascii="仿宋" w:hAnsi="仿宋" w:eastAsia="仿宋" w:cs="仿宋"/>
          <w:color w:val="000000"/>
          <w:sz w:val="32"/>
          <w:szCs w:val="32"/>
          <w:shd w:val="clear" w:color="auto" w:fill="FFFFFF"/>
        </w:rPr>
        <w:t>“儿童之家”活动做到常态化开展，通过购买服务，开展研学、户外拓展等活动20余场，参与儿童达2400余人，妇联“坚强阵地、温暖之家”作用日益彰显。</w:t>
      </w:r>
      <w:r>
        <w:rPr>
          <w:rFonts w:hint="eastAsia" w:ascii="仿宋_GB2312" w:hAnsi="仿宋_GB2312" w:eastAsia="仿宋_GB2312" w:cs="仿宋_GB2312"/>
          <w:b/>
          <w:bCs/>
          <w:color w:val="000000"/>
          <w:sz w:val="32"/>
          <w:szCs w:val="32"/>
          <w:shd w:val="clear" w:color="auto" w:fill="FFFFFF"/>
          <w:lang w:eastAsia="zh-CN"/>
        </w:rPr>
        <w:t>五</w:t>
      </w:r>
      <w:r>
        <w:rPr>
          <w:rFonts w:hint="eastAsia" w:ascii="仿宋_GB2312" w:hAnsi="仿宋_GB2312" w:eastAsia="仿宋_GB2312" w:cs="仿宋_GB2312"/>
          <w:b/>
          <w:bCs/>
          <w:color w:val="000000"/>
          <w:sz w:val="32"/>
          <w:szCs w:val="32"/>
          <w:shd w:val="clear" w:color="auto" w:fill="FFFFFF"/>
        </w:rPr>
        <w:t>是紧密推动防疫助抗疫。</w:t>
      </w:r>
      <w:r>
        <w:rPr>
          <w:rFonts w:hint="eastAsia" w:ascii="仿宋" w:hAnsi="仿宋" w:eastAsia="仿宋" w:cs="仿宋"/>
          <w:color w:val="000000"/>
          <w:sz w:val="32"/>
          <w:szCs w:val="32"/>
          <w:shd w:val="clear" w:color="auto" w:fill="FFFFFF"/>
        </w:rPr>
        <w:t>疫情期间，开展防疫宣传、心理援助咨询服务、慰问等活动30余场，为朝天打赢疫情防控阻击战贡献了巾帼力量。</w:t>
      </w:r>
    </w:p>
    <w:p>
      <w:pPr>
        <w:pStyle w:val="4"/>
        <w:rPr>
          <w:rStyle w:val="25"/>
          <w:b w:val="0"/>
          <w:bCs w:val="0"/>
          <w:color w:val="auto"/>
          <w:highlight w:val="none"/>
        </w:rPr>
      </w:pPr>
      <w:r>
        <w:rPr>
          <w:rFonts w:hint="eastAsia" w:ascii="黑体" w:eastAsia="黑体"/>
          <w:b w:val="0"/>
          <w:color w:val="auto"/>
          <w:highlight w:val="none"/>
        </w:rPr>
        <w:t>二、</w:t>
      </w:r>
      <w:r>
        <w:rPr>
          <w:rFonts w:hint="eastAsia" w:ascii="黑体" w:hAnsi="黑体" w:eastAsia="黑体"/>
          <w:b w:val="0"/>
          <w:color w:val="auto"/>
          <w:highlight w:val="none"/>
        </w:rPr>
        <w:t>机</w:t>
      </w:r>
      <w:r>
        <w:rPr>
          <w:rStyle w:val="25"/>
          <w:rFonts w:hint="eastAsia" w:ascii="黑体" w:hAnsi="黑体" w:eastAsia="黑体"/>
          <w:b w:val="0"/>
          <w:bCs w:val="0"/>
          <w:color w:val="auto"/>
          <w:highlight w:val="none"/>
        </w:rPr>
        <w:t>构设置</w:t>
      </w:r>
      <w:bookmarkEnd w:id="20"/>
      <w:bookmarkEnd w:id="21"/>
    </w:p>
    <w:p>
      <w:pPr>
        <w:pStyle w:val="2"/>
        <w:adjustRightInd w:val="0"/>
        <w:snapToGrid w:val="0"/>
        <w:spacing w:before="93" w:line="600" w:lineRule="exact"/>
        <w:rPr>
          <w:rFonts w:hint="eastAsia" w:ascii="仿宋" w:hAnsi="仿宋" w:eastAsia="仿宋" w:cs="仿宋"/>
          <w:sz w:val="32"/>
          <w:szCs w:val="32"/>
          <w:lang w:eastAsia="zh-CN"/>
        </w:rPr>
      </w:pPr>
      <w:r>
        <w:rPr>
          <w:rFonts w:hint="eastAsia" w:ascii="仿宋" w:hAnsi="仿宋" w:eastAsia="仿宋" w:cs="仿宋"/>
          <w:sz w:val="32"/>
          <w:szCs w:val="32"/>
        </w:rPr>
        <w:t>本部门是参照公务员法管理单位，属一级财政预算单位，受区委区政府领导，岗位设置为主席、副主席、办公室和妇女儿童权益办公室</w:t>
      </w:r>
      <w:r>
        <w:rPr>
          <w:rFonts w:hint="eastAsia" w:ascii="仿宋" w:hAnsi="仿宋" w:eastAsia="仿宋" w:cs="仿宋"/>
          <w:sz w:val="32"/>
          <w:szCs w:val="32"/>
          <w:lang w:eastAsia="zh-CN"/>
        </w:rPr>
        <w:t>。</w:t>
      </w:r>
    </w:p>
    <w:p>
      <w:pPr>
        <w:pStyle w:val="3"/>
        <w:ind w:right="440"/>
        <w:jc w:val="center"/>
        <w:rPr>
          <w:rStyle w:val="24"/>
          <w:rFonts w:ascii="黑体" w:hAnsi="黑体" w:eastAsia="黑体"/>
          <w:b w:val="0"/>
          <w:bCs/>
          <w:color w:val="auto"/>
          <w:highlight w:val="none"/>
        </w:rPr>
      </w:pPr>
      <w:bookmarkStart w:id="22" w:name="_Toc15396602"/>
      <w:bookmarkStart w:id="23" w:name="_Toc15377204"/>
      <w:r>
        <w:rPr>
          <w:rFonts w:hint="eastAsia" w:ascii="黑体" w:hAnsi="黑体" w:eastAsia="黑体"/>
          <w:b w:val="0"/>
          <w:bCs/>
          <w:color w:val="auto"/>
          <w:highlight w:val="none"/>
        </w:rPr>
        <w:t xml:space="preserve">第二部分 </w:t>
      </w:r>
      <w:r>
        <w:rPr>
          <w:rFonts w:hint="eastAsia" w:ascii="黑体" w:hAnsi="黑体" w:eastAsia="黑体"/>
          <w:b w:val="0"/>
          <w:bCs/>
          <w:color w:val="auto"/>
          <w:highlight w:val="none"/>
          <w:lang w:val="en-US" w:eastAsia="zh-CN"/>
        </w:rPr>
        <w:t>2021年度</w:t>
      </w:r>
      <w:r>
        <w:rPr>
          <w:rStyle w:val="24"/>
          <w:rFonts w:hint="eastAsia" w:ascii="黑体" w:hAnsi="黑体" w:eastAsia="黑体"/>
          <w:b w:val="0"/>
          <w:bCs/>
          <w:color w:val="auto"/>
          <w:highlight w:val="none"/>
        </w:rPr>
        <w:t>部门决算情况说明</w:t>
      </w:r>
      <w:bookmarkEnd w:id="22"/>
      <w:bookmarkEnd w:id="23"/>
    </w:p>
    <w:p>
      <w:pPr>
        <w:rPr>
          <w:color w:val="auto"/>
          <w:highlight w:val="none"/>
        </w:rPr>
      </w:pPr>
    </w:p>
    <w:p>
      <w:pPr>
        <w:pStyle w:val="23"/>
        <w:numPr>
          <w:ilvl w:val="0"/>
          <w:numId w:val="1"/>
        </w:numPr>
        <w:spacing w:line="600" w:lineRule="exact"/>
        <w:ind w:firstLineChars="0"/>
        <w:outlineLvl w:val="1"/>
        <w:rPr>
          <w:rStyle w:val="25"/>
          <w:rFonts w:ascii="黑体" w:hAnsi="黑体" w:eastAsia="黑体"/>
          <w:b w:val="0"/>
          <w:color w:val="auto"/>
          <w:highlight w:val="none"/>
        </w:rPr>
      </w:pPr>
      <w:bookmarkStart w:id="24" w:name="_Toc15396603"/>
      <w:bookmarkStart w:id="25" w:name="_Toc15377205"/>
      <w:r>
        <w:rPr>
          <w:rFonts w:hint="eastAsia" w:ascii="黑体" w:hAnsi="黑体" w:eastAsia="黑体"/>
          <w:color w:val="auto"/>
          <w:sz w:val="32"/>
          <w:szCs w:val="32"/>
          <w:highlight w:val="none"/>
        </w:rPr>
        <w:t>收</w:t>
      </w:r>
      <w:r>
        <w:rPr>
          <w:rStyle w:val="25"/>
          <w:rFonts w:hint="eastAsia" w:ascii="黑体" w:hAnsi="黑体" w:eastAsia="黑体"/>
          <w:b w:val="0"/>
          <w:color w:val="auto"/>
          <w:highlight w:val="none"/>
        </w:rPr>
        <w:t>入支出决算总体情况说明</w:t>
      </w:r>
      <w:bookmarkEnd w:id="24"/>
      <w:bookmarkEnd w:id="25"/>
    </w:p>
    <w:p>
      <w:pPr>
        <w:spacing w:line="600" w:lineRule="exact"/>
        <w:ind w:firstLine="640" w:firstLineChars="200"/>
        <w:rPr>
          <w:rFonts w:hint="default" w:ascii="仿宋" w:hAnsi="仿宋" w:eastAsia="仿宋"/>
          <w:color w:val="auto"/>
          <w:sz w:val="32"/>
          <w:szCs w:val="32"/>
          <w:highlight w:val="none"/>
          <w:lang w:val="en-US" w:eastAsia="zh-CN"/>
        </w:rPr>
      </w:pPr>
      <w:r>
        <w:rPr>
          <w:rFonts w:hint="eastAsia" w:ascii="仿宋" w:hAnsi="仿宋" w:eastAsia="仿宋"/>
          <w:color w:val="FF0000"/>
          <w:sz w:val="32"/>
          <w:szCs w:val="32"/>
        </w:rPr>
        <w:drawing>
          <wp:anchor distT="0" distB="0" distL="0" distR="0" simplePos="0" relativeHeight="251660288" behindDoc="0" locked="0" layoutInCell="1" allowOverlap="1">
            <wp:simplePos x="0" y="0"/>
            <wp:positionH relativeFrom="column">
              <wp:posOffset>510540</wp:posOffset>
            </wp:positionH>
            <wp:positionV relativeFrom="paragraph">
              <wp:posOffset>1896745</wp:posOffset>
            </wp:positionV>
            <wp:extent cx="4629150" cy="3047365"/>
            <wp:effectExtent l="4445" t="5080" r="14605" b="10795"/>
            <wp:wrapNone/>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r>
        <w:rPr>
          <w:rFonts w:hint="eastAsia"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年度收</w:t>
      </w:r>
      <w:r>
        <w:rPr>
          <w:rFonts w:hint="eastAsia" w:ascii="仿宋" w:hAnsi="仿宋" w:eastAsia="仿宋"/>
          <w:color w:val="auto"/>
          <w:sz w:val="32"/>
          <w:szCs w:val="32"/>
          <w:highlight w:val="none"/>
          <w:lang w:eastAsia="zh-CN"/>
        </w:rPr>
        <w:t>入</w:t>
      </w:r>
      <w:r>
        <w:rPr>
          <w:rFonts w:hint="eastAsia" w:ascii="仿宋" w:hAnsi="仿宋" w:eastAsia="仿宋"/>
          <w:color w:val="auto"/>
          <w:sz w:val="32"/>
          <w:szCs w:val="32"/>
          <w:highlight w:val="none"/>
        </w:rPr>
        <w:t>总计</w:t>
      </w:r>
      <w:r>
        <w:rPr>
          <w:rFonts w:hint="eastAsia" w:ascii="仿宋" w:hAnsi="仿宋" w:eastAsia="仿宋"/>
          <w:color w:val="auto"/>
          <w:sz w:val="32"/>
          <w:szCs w:val="32"/>
          <w:highlight w:val="none"/>
          <w:lang w:val="en-US" w:eastAsia="zh-CN"/>
        </w:rPr>
        <w:t>231.64</w:t>
      </w:r>
      <w:r>
        <w:rPr>
          <w:rFonts w:hint="eastAsia" w:ascii="仿宋" w:hAnsi="仿宋" w:eastAsia="仿宋"/>
          <w:color w:val="auto"/>
          <w:sz w:val="32"/>
          <w:szCs w:val="32"/>
          <w:highlight w:val="none"/>
        </w:rPr>
        <w:t>万元</w:t>
      </w:r>
      <w:r>
        <w:rPr>
          <w:rFonts w:hint="eastAsia" w:ascii="仿宋" w:hAnsi="仿宋" w:eastAsia="仿宋"/>
          <w:color w:val="auto"/>
          <w:sz w:val="32"/>
          <w:szCs w:val="32"/>
          <w:highlight w:val="none"/>
          <w:lang w:eastAsia="zh-CN"/>
        </w:rPr>
        <w:t>，其中本年度</w:t>
      </w:r>
      <w:r>
        <w:rPr>
          <w:rFonts w:hint="eastAsia" w:ascii="仿宋" w:hAnsi="仿宋" w:eastAsia="仿宋"/>
          <w:color w:val="auto"/>
          <w:sz w:val="32"/>
          <w:szCs w:val="32"/>
          <w:highlight w:val="none"/>
          <w:lang w:val="en-US" w:eastAsia="zh-CN"/>
        </w:rPr>
        <w:t>91.64万元，</w:t>
      </w:r>
      <w:r>
        <w:rPr>
          <w:rFonts w:hint="eastAsia" w:ascii="仿宋" w:hAnsi="仿宋" w:eastAsia="仿宋"/>
          <w:color w:val="auto"/>
          <w:sz w:val="32"/>
          <w:szCs w:val="32"/>
          <w:highlight w:val="none"/>
          <w:lang w:eastAsia="zh-CN"/>
        </w:rPr>
        <w:t>年初结转和结余</w:t>
      </w:r>
      <w:r>
        <w:rPr>
          <w:rFonts w:hint="eastAsia" w:ascii="仿宋" w:hAnsi="仿宋" w:eastAsia="仿宋"/>
          <w:color w:val="auto"/>
          <w:sz w:val="32"/>
          <w:szCs w:val="32"/>
          <w:highlight w:val="none"/>
          <w:lang w:val="en-US" w:eastAsia="zh-CN"/>
        </w:rPr>
        <w:t>140万元，</w:t>
      </w:r>
      <w:r>
        <w:rPr>
          <w:rFonts w:hint="eastAsia" w:ascii="仿宋" w:hAnsi="仿宋" w:eastAsia="仿宋"/>
          <w:color w:val="auto"/>
          <w:sz w:val="32"/>
          <w:szCs w:val="32"/>
          <w:highlight w:val="none"/>
        </w:rPr>
        <w:t>与20</w:t>
      </w:r>
      <w:r>
        <w:rPr>
          <w:rFonts w:hint="eastAsia" w:ascii="仿宋" w:hAnsi="仿宋" w:eastAsia="仿宋"/>
          <w:color w:val="auto"/>
          <w:sz w:val="32"/>
          <w:szCs w:val="32"/>
          <w:highlight w:val="none"/>
          <w:lang w:val="en-US" w:eastAsia="zh-CN"/>
        </w:rPr>
        <w:t>20</w:t>
      </w:r>
      <w:r>
        <w:rPr>
          <w:rFonts w:hint="eastAsia" w:ascii="仿宋" w:hAnsi="仿宋" w:eastAsia="仿宋"/>
          <w:color w:val="auto"/>
          <w:sz w:val="32"/>
          <w:szCs w:val="32"/>
          <w:highlight w:val="none"/>
        </w:rPr>
        <w:t>年相比收</w:t>
      </w:r>
      <w:r>
        <w:rPr>
          <w:rFonts w:hint="eastAsia" w:ascii="仿宋" w:hAnsi="仿宋" w:eastAsia="仿宋"/>
          <w:color w:val="auto"/>
          <w:sz w:val="32"/>
          <w:szCs w:val="32"/>
          <w:highlight w:val="none"/>
          <w:lang w:eastAsia="zh-CN"/>
        </w:rPr>
        <w:t>入</w:t>
      </w:r>
      <w:r>
        <w:rPr>
          <w:rFonts w:hint="eastAsia" w:ascii="仿宋" w:hAnsi="仿宋" w:eastAsia="仿宋"/>
          <w:color w:val="auto"/>
          <w:sz w:val="32"/>
          <w:szCs w:val="32"/>
          <w:highlight w:val="none"/>
        </w:rPr>
        <w:t>总计增</w:t>
      </w:r>
      <w:r>
        <w:rPr>
          <w:rFonts w:hint="eastAsia" w:ascii="仿宋" w:hAnsi="仿宋" w:eastAsia="仿宋"/>
          <w:color w:val="auto"/>
          <w:sz w:val="32"/>
          <w:szCs w:val="32"/>
          <w:highlight w:val="none"/>
          <w:lang w:eastAsia="zh-CN"/>
        </w:rPr>
        <w:t>加</w:t>
      </w:r>
      <w:r>
        <w:rPr>
          <w:rFonts w:hint="eastAsia" w:ascii="仿宋" w:hAnsi="仿宋" w:eastAsia="仿宋"/>
          <w:color w:val="auto"/>
          <w:sz w:val="32"/>
          <w:szCs w:val="32"/>
          <w:highlight w:val="none"/>
          <w:lang w:val="en-US" w:eastAsia="zh-CN"/>
        </w:rPr>
        <w:t>4.03万</w:t>
      </w:r>
      <w:r>
        <w:rPr>
          <w:rFonts w:hint="eastAsia" w:ascii="仿宋" w:hAnsi="仿宋" w:eastAsia="仿宋"/>
          <w:color w:val="auto"/>
          <w:sz w:val="32"/>
          <w:szCs w:val="32"/>
          <w:highlight w:val="none"/>
        </w:rPr>
        <w:t>元，增长</w:t>
      </w:r>
      <w:r>
        <w:rPr>
          <w:rFonts w:hint="eastAsia" w:ascii="仿宋" w:hAnsi="仿宋" w:eastAsia="仿宋"/>
          <w:color w:val="auto"/>
          <w:sz w:val="32"/>
          <w:szCs w:val="32"/>
          <w:highlight w:val="none"/>
          <w:lang w:val="en-US" w:eastAsia="zh-CN"/>
        </w:rPr>
        <w:t>1.7</w:t>
      </w:r>
      <w:r>
        <w:rPr>
          <w:rFonts w:ascii="仿宋" w:hAnsi="仿宋" w:eastAsia="仿宋"/>
          <w:color w:val="auto"/>
          <w:sz w:val="32"/>
          <w:szCs w:val="32"/>
          <w:highlight w:val="none"/>
        </w:rPr>
        <w:t>%</w:t>
      </w:r>
      <w:r>
        <w:rPr>
          <w:rFonts w:hint="eastAsia"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年度</w:t>
      </w:r>
      <w:r>
        <w:rPr>
          <w:rFonts w:hint="eastAsia" w:ascii="仿宋" w:hAnsi="仿宋" w:eastAsia="仿宋"/>
          <w:color w:val="auto"/>
          <w:sz w:val="32"/>
          <w:szCs w:val="32"/>
          <w:highlight w:val="none"/>
          <w:lang w:eastAsia="zh-CN"/>
        </w:rPr>
        <w:t>支出</w:t>
      </w:r>
      <w:r>
        <w:rPr>
          <w:rFonts w:hint="eastAsia" w:ascii="仿宋" w:hAnsi="仿宋" w:eastAsia="仿宋"/>
          <w:color w:val="auto"/>
          <w:sz w:val="32"/>
          <w:szCs w:val="32"/>
          <w:highlight w:val="none"/>
        </w:rPr>
        <w:t>总计</w:t>
      </w:r>
      <w:r>
        <w:rPr>
          <w:rFonts w:hint="eastAsia" w:ascii="仿宋" w:hAnsi="仿宋" w:eastAsia="仿宋"/>
          <w:color w:val="auto"/>
          <w:sz w:val="32"/>
          <w:szCs w:val="32"/>
          <w:highlight w:val="none"/>
          <w:lang w:val="en-US" w:eastAsia="zh-CN"/>
        </w:rPr>
        <w:t>231.64</w:t>
      </w:r>
      <w:r>
        <w:rPr>
          <w:rFonts w:hint="eastAsia" w:ascii="仿宋" w:hAnsi="仿宋" w:eastAsia="仿宋"/>
          <w:color w:val="auto"/>
          <w:sz w:val="32"/>
          <w:szCs w:val="32"/>
          <w:highlight w:val="none"/>
        </w:rPr>
        <w:t>万元</w:t>
      </w:r>
      <w:r>
        <w:rPr>
          <w:rFonts w:hint="eastAsia" w:ascii="仿宋" w:hAnsi="仿宋" w:eastAsia="仿宋"/>
          <w:color w:val="auto"/>
          <w:sz w:val="32"/>
          <w:szCs w:val="32"/>
          <w:highlight w:val="none"/>
          <w:lang w:eastAsia="zh-CN"/>
        </w:rPr>
        <w:t>，</w:t>
      </w:r>
      <w:r>
        <w:rPr>
          <w:rFonts w:hint="eastAsia" w:ascii="仿宋" w:hAnsi="仿宋" w:eastAsia="仿宋"/>
          <w:color w:val="auto"/>
          <w:sz w:val="32"/>
          <w:szCs w:val="32"/>
          <w:highlight w:val="none"/>
        </w:rPr>
        <w:t>与20</w:t>
      </w:r>
      <w:r>
        <w:rPr>
          <w:rFonts w:hint="eastAsia" w:ascii="仿宋" w:hAnsi="仿宋" w:eastAsia="仿宋"/>
          <w:color w:val="auto"/>
          <w:sz w:val="32"/>
          <w:szCs w:val="32"/>
          <w:highlight w:val="none"/>
          <w:lang w:val="en-US" w:eastAsia="zh-CN"/>
        </w:rPr>
        <w:t>20</w:t>
      </w:r>
      <w:r>
        <w:rPr>
          <w:rFonts w:hint="eastAsia" w:ascii="仿宋" w:hAnsi="仿宋" w:eastAsia="仿宋"/>
          <w:color w:val="auto"/>
          <w:sz w:val="32"/>
          <w:szCs w:val="32"/>
          <w:highlight w:val="none"/>
        </w:rPr>
        <w:t>年相比</w:t>
      </w:r>
      <w:r>
        <w:rPr>
          <w:rFonts w:hint="eastAsia" w:ascii="仿宋" w:hAnsi="仿宋" w:eastAsia="仿宋"/>
          <w:color w:val="auto"/>
          <w:sz w:val="32"/>
          <w:szCs w:val="32"/>
          <w:highlight w:val="none"/>
          <w:lang w:eastAsia="zh-CN"/>
        </w:rPr>
        <w:t>支出</w:t>
      </w:r>
      <w:r>
        <w:rPr>
          <w:rFonts w:hint="eastAsia" w:ascii="仿宋" w:hAnsi="仿宋" w:eastAsia="仿宋"/>
          <w:color w:val="auto"/>
          <w:sz w:val="32"/>
          <w:szCs w:val="32"/>
          <w:highlight w:val="none"/>
        </w:rPr>
        <w:t>总计</w:t>
      </w:r>
      <w:r>
        <w:rPr>
          <w:rFonts w:hint="eastAsia" w:ascii="仿宋" w:hAnsi="仿宋" w:eastAsia="仿宋"/>
          <w:color w:val="auto"/>
          <w:sz w:val="32"/>
          <w:szCs w:val="32"/>
          <w:highlight w:val="none"/>
          <w:lang w:eastAsia="zh-CN"/>
        </w:rPr>
        <w:t>增加</w:t>
      </w:r>
      <w:r>
        <w:rPr>
          <w:rFonts w:hint="eastAsia" w:ascii="仿宋" w:hAnsi="仿宋" w:eastAsia="仿宋"/>
          <w:color w:val="auto"/>
          <w:sz w:val="32"/>
          <w:szCs w:val="32"/>
          <w:highlight w:val="none"/>
          <w:lang w:val="en-US" w:eastAsia="zh-CN"/>
        </w:rPr>
        <w:t>4.03万</w:t>
      </w:r>
      <w:r>
        <w:rPr>
          <w:rFonts w:hint="eastAsia" w:ascii="仿宋" w:hAnsi="仿宋" w:eastAsia="仿宋"/>
          <w:color w:val="auto"/>
          <w:sz w:val="32"/>
          <w:szCs w:val="32"/>
          <w:highlight w:val="none"/>
        </w:rPr>
        <w:t>元，增长</w:t>
      </w:r>
      <w:r>
        <w:rPr>
          <w:rFonts w:hint="eastAsia" w:ascii="仿宋" w:hAnsi="仿宋" w:eastAsia="仿宋"/>
          <w:color w:val="auto"/>
          <w:sz w:val="32"/>
          <w:szCs w:val="32"/>
          <w:highlight w:val="none"/>
          <w:lang w:val="en-US" w:eastAsia="zh-CN"/>
        </w:rPr>
        <w:t>1.7</w:t>
      </w:r>
      <w:r>
        <w:rPr>
          <w:rFonts w:ascii="仿宋" w:hAnsi="仿宋" w:eastAsia="仿宋"/>
          <w:color w:val="auto"/>
          <w:sz w:val="32"/>
          <w:szCs w:val="32"/>
          <w:highlight w:val="none"/>
        </w:rPr>
        <w:t>%</w:t>
      </w:r>
      <w:r>
        <w:rPr>
          <w:rFonts w:hint="eastAsia" w:ascii="仿宋" w:hAnsi="仿宋" w:eastAsia="仿宋"/>
          <w:color w:val="auto"/>
          <w:sz w:val="32"/>
          <w:szCs w:val="32"/>
          <w:highlight w:val="none"/>
          <w:lang w:eastAsia="zh-CN"/>
        </w:rPr>
        <w:t>，</w:t>
      </w:r>
      <w:r>
        <w:rPr>
          <w:rFonts w:hint="eastAsia" w:ascii="仿宋" w:hAnsi="仿宋" w:eastAsia="仿宋"/>
          <w:color w:val="auto"/>
          <w:sz w:val="32"/>
          <w:szCs w:val="32"/>
          <w:highlight w:val="none"/>
        </w:rPr>
        <w:t>主要原因</w:t>
      </w:r>
      <w:r>
        <w:rPr>
          <w:rFonts w:hint="eastAsia" w:ascii="仿宋" w:hAnsi="仿宋" w:eastAsia="仿宋"/>
          <w:color w:val="auto"/>
          <w:sz w:val="32"/>
          <w:szCs w:val="32"/>
          <w:highlight w:val="none"/>
          <w:lang w:eastAsia="zh-CN"/>
        </w:rPr>
        <w:t>是</w:t>
      </w:r>
      <w:r>
        <w:rPr>
          <w:rFonts w:hint="eastAsia" w:ascii="仿宋" w:hAnsi="仿宋" w:eastAsia="仿宋"/>
          <w:color w:val="000000" w:themeColor="text1"/>
          <w:sz w:val="32"/>
          <w:szCs w:val="32"/>
          <w:highlight w:val="none"/>
          <w:lang w:eastAsia="zh-CN"/>
          <w14:textFill>
            <w14:solidFill>
              <w14:schemeClr w14:val="tx1"/>
            </w14:solidFill>
          </w14:textFill>
        </w:rPr>
        <w:t>增加妇女儿童活动中心建设</w:t>
      </w:r>
      <w:r>
        <w:rPr>
          <w:rFonts w:hint="eastAsia" w:ascii="仿宋" w:hAnsi="仿宋" w:eastAsia="仿宋"/>
          <w:color w:val="auto"/>
          <w:sz w:val="32"/>
          <w:szCs w:val="32"/>
          <w:highlight w:val="none"/>
          <w:lang w:eastAsia="zh-CN"/>
        </w:rPr>
        <w:t>。</w:t>
      </w:r>
    </w:p>
    <w:p>
      <w:pPr>
        <w:pStyle w:val="2"/>
        <w:rPr>
          <w:rFonts w:hint="eastAsia" w:ascii="仿宋" w:hAnsi="仿宋" w:eastAsia="仿宋"/>
          <w:color w:val="auto"/>
          <w:sz w:val="32"/>
          <w:szCs w:val="32"/>
          <w:highlight w:val="none"/>
        </w:rPr>
      </w:pPr>
    </w:p>
    <w:p>
      <w:pPr>
        <w:rPr>
          <w:rFonts w:hint="eastAsia" w:ascii="仿宋" w:hAnsi="仿宋" w:eastAsia="仿宋"/>
          <w:color w:val="auto"/>
          <w:sz w:val="32"/>
          <w:szCs w:val="32"/>
          <w:highlight w:val="none"/>
        </w:rPr>
      </w:pPr>
    </w:p>
    <w:p>
      <w:pPr>
        <w:pStyle w:val="2"/>
        <w:rPr>
          <w:rFonts w:hint="eastAsia" w:ascii="仿宋" w:hAnsi="仿宋" w:eastAsia="仿宋"/>
          <w:color w:val="auto"/>
          <w:sz w:val="32"/>
          <w:szCs w:val="32"/>
          <w:highlight w:val="none"/>
        </w:rPr>
      </w:pPr>
    </w:p>
    <w:p>
      <w:pPr>
        <w:rPr>
          <w:rFonts w:hint="eastAsia" w:ascii="仿宋" w:hAnsi="仿宋" w:eastAsia="仿宋"/>
          <w:color w:val="auto"/>
          <w:sz w:val="32"/>
          <w:szCs w:val="32"/>
          <w:highlight w:val="none"/>
        </w:rPr>
      </w:pPr>
    </w:p>
    <w:p>
      <w:pPr>
        <w:pStyle w:val="2"/>
        <w:rPr>
          <w:rFonts w:hint="eastAsia" w:ascii="仿宋" w:hAnsi="仿宋" w:eastAsia="仿宋"/>
          <w:color w:val="auto"/>
          <w:sz w:val="32"/>
          <w:szCs w:val="32"/>
          <w:highlight w:val="none"/>
        </w:rPr>
      </w:pPr>
    </w:p>
    <w:p>
      <w:pPr>
        <w:rPr>
          <w:rFonts w:hint="eastAsia" w:ascii="仿宋" w:hAnsi="仿宋" w:eastAsia="仿宋"/>
          <w:color w:val="auto"/>
          <w:sz w:val="32"/>
          <w:szCs w:val="32"/>
          <w:highlight w:val="none"/>
        </w:rPr>
      </w:pPr>
    </w:p>
    <w:p>
      <w:pPr>
        <w:pStyle w:val="2"/>
        <w:rPr>
          <w:rFonts w:hint="eastAsia" w:ascii="仿宋" w:hAnsi="仿宋" w:eastAsia="仿宋"/>
          <w:color w:val="auto"/>
          <w:sz w:val="32"/>
          <w:szCs w:val="32"/>
          <w:highlight w:val="none"/>
        </w:rPr>
      </w:pPr>
    </w:p>
    <w:p>
      <w:pPr>
        <w:spacing w:line="600" w:lineRule="exact"/>
        <w:ind w:firstLine="960" w:firstLineChars="300"/>
        <w:rPr>
          <w:rFonts w:ascii="仿宋" w:hAnsi="仿宋" w:eastAsia="仿宋"/>
          <w:color w:val="auto"/>
          <w:sz w:val="32"/>
          <w:szCs w:val="32"/>
          <w:highlight w:val="none"/>
        </w:rPr>
      </w:pPr>
      <w:r>
        <w:rPr>
          <w:rFonts w:hint="eastAsia" w:ascii="仿宋" w:hAnsi="仿宋" w:eastAsia="仿宋"/>
          <w:color w:val="auto"/>
          <w:sz w:val="32"/>
          <w:szCs w:val="32"/>
          <w:highlight w:val="none"/>
        </w:rPr>
        <w:t>（图</w:t>
      </w:r>
      <w:r>
        <w:rPr>
          <w:rFonts w:ascii="仿宋" w:hAnsi="仿宋" w:eastAsia="仿宋"/>
          <w:color w:val="auto"/>
          <w:sz w:val="32"/>
          <w:szCs w:val="32"/>
          <w:highlight w:val="none"/>
        </w:rPr>
        <w:t>1</w:t>
      </w:r>
      <w:r>
        <w:rPr>
          <w:rFonts w:hint="eastAsia" w:ascii="仿宋" w:hAnsi="仿宋" w:eastAsia="仿宋"/>
          <w:color w:val="auto"/>
          <w:sz w:val="32"/>
          <w:szCs w:val="32"/>
          <w:highlight w:val="none"/>
        </w:rPr>
        <w:t>：收、支决算总计变动情况图）（柱状图）</w:t>
      </w:r>
    </w:p>
    <w:p>
      <w:pPr>
        <w:spacing w:line="600" w:lineRule="exact"/>
        <w:ind w:firstLine="640" w:firstLineChars="200"/>
        <w:jc w:val="left"/>
        <w:rPr>
          <w:rFonts w:ascii="仿宋_GB2312" w:eastAsia="仿宋_GB2312"/>
          <w:color w:val="auto"/>
          <w:sz w:val="32"/>
          <w:szCs w:val="32"/>
          <w:highlight w:val="none"/>
        </w:rPr>
      </w:pPr>
    </w:p>
    <w:p>
      <w:pPr>
        <w:pStyle w:val="23"/>
        <w:numPr>
          <w:ilvl w:val="0"/>
          <w:numId w:val="1"/>
        </w:numPr>
        <w:spacing w:line="600" w:lineRule="exact"/>
        <w:ind w:firstLineChars="0"/>
        <w:outlineLvl w:val="1"/>
        <w:rPr>
          <w:rStyle w:val="25"/>
          <w:rFonts w:ascii="黑体" w:hAnsi="黑体" w:eastAsia="黑体"/>
          <w:b w:val="0"/>
          <w:color w:val="auto"/>
          <w:highlight w:val="none"/>
        </w:rPr>
      </w:pPr>
      <w:bookmarkStart w:id="26" w:name="_Toc15396604"/>
      <w:bookmarkStart w:id="27" w:name="_Toc15377206"/>
      <w:r>
        <w:rPr>
          <w:rFonts w:hint="eastAsia" w:ascii="黑体" w:hAnsi="黑体" w:eastAsia="黑体"/>
          <w:color w:val="auto"/>
          <w:sz w:val="32"/>
          <w:szCs w:val="32"/>
          <w:highlight w:val="none"/>
        </w:rPr>
        <w:t>收</w:t>
      </w:r>
      <w:r>
        <w:rPr>
          <w:rStyle w:val="25"/>
          <w:rFonts w:hint="eastAsia" w:ascii="黑体" w:hAnsi="黑体" w:eastAsia="黑体"/>
          <w:b w:val="0"/>
          <w:color w:val="auto"/>
          <w:highlight w:val="none"/>
        </w:rPr>
        <w:t>入决算情况说明</w:t>
      </w:r>
      <w:bookmarkEnd w:id="26"/>
      <w:bookmarkEnd w:id="27"/>
    </w:p>
    <w:p>
      <w:pPr>
        <w:spacing w:line="600" w:lineRule="exact"/>
        <w:ind w:firstLine="640" w:firstLineChars="200"/>
        <w:outlineLvl w:val="1"/>
        <w:rPr>
          <w:rFonts w:ascii="仿宋" w:hAnsi="仿宋" w:eastAsia="仿宋"/>
          <w:b/>
          <w:color w:val="auto"/>
          <w:sz w:val="32"/>
          <w:szCs w:val="32"/>
          <w:highlight w:val="none"/>
        </w:rPr>
      </w:pPr>
      <w:r>
        <w:rPr>
          <w:rFonts w:ascii="仿宋" w:hAnsi="仿宋" w:eastAsia="仿宋"/>
          <w:color w:val="auto"/>
          <w:sz w:val="32"/>
          <w:szCs w:val="32"/>
          <w:highlight w:val="none"/>
        </w:rPr>
        <w:t>2021年收入总计231.64万元，其中本年收入91.64万元，上年度一般公共预算财政结余140万</w:t>
      </w:r>
      <w:r>
        <w:rPr>
          <w:rFonts w:hint="eastAsia" w:ascii="仿宋" w:hAnsi="仿宋" w:eastAsia="仿宋"/>
          <w:color w:val="auto"/>
          <w:sz w:val="32"/>
          <w:szCs w:val="32"/>
          <w:highlight w:val="none"/>
          <w:lang w:eastAsia="zh-CN"/>
        </w:rPr>
        <w:t>，</w:t>
      </w:r>
      <w:r>
        <w:rPr>
          <w:rFonts w:ascii="仿宋" w:hAnsi="仿宋" w:eastAsia="仿宋"/>
          <w:color w:val="auto"/>
          <w:sz w:val="32"/>
          <w:szCs w:val="32"/>
          <w:highlight w:val="none"/>
        </w:rPr>
        <w:t>一般公共预算财政拨款收入总计231.64万元，占100%。</w:t>
      </w:r>
      <w:r>
        <w:rPr>
          <w:rFonts w:hint="eastAsia" w:ascii="仿宋" w:hAnsi="仿宋" w:eastAsia="仿宋"/>
          <w:color w:val="auto"/>
          <w:sz w:val="32"/>
          <w:szCs w:val="32"/>
          <w:highlight w:val="none"/>
        </w:rPr>
        <w:t>；政府性基金预算财政拨款收入</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color w:val="auto"/>
          <w:sz w:val="32"/>
          <w:szCs w:val="32"/>
          <w:highlight w:val="none"/>
          <w:lang w:eastAsia="zh-CN"/>
        </w:rPr>
        <w:t>国有资本经营预算财政拨款收入</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；上级补助收入</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；事业收入</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；经营收入</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；附属单位上缴收入</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；其他收入</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p>
    <w:p>
      <w:pPr>
        <w:pStyle w:val="2"/>
        <w:ind w:left="638" w:leftChars="304" w:firstLine="0" w:firstLineChars="0"/>
      </w:pPr>
      <w:r>
        <w:drawing>
          <wp:inline distT="0" distB="0" distL="114300" distR="114300">
            <wp:extent cx="4631055" cy="2778760"/>
            <wp:effectExtent l="4445" t="4445" r="12700" b="5715"/>
            <wp:docPr id="1" name="图表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spacing w:line="600" w:lineRule="exact"/>
        <w:ind w:firstLine="1280" w:firstLineChars="400"/>
        <w:rPr>
          <w:rFonts w:ascii="仿宋_GB2312" w:eastAsia="仿宋_GB2312"/>
          <w:color w:val="FF0000"/>
          <w:sz w:val="32"/>
          <w:szCs w:val="32"/>
        </w:rPr>
      </w:pPr>
      <w:r>
        <w:rPr>
          <w:rFonts w:hint="eastAsia" w:ascii="仿宋" w:hAnsi="仿宋" w:eastAsia="仿宋"/>
          <w:color w:val="000000" w:themeColor="text1"/>
          <w:sz w:val="32"/>
          <w:szCs w:val="32"/>
          <w14:textFill>
            <w14:solidFill>
              <w14:schemeClr w14:val="tx1"/>
            </w14:solidFill>
          </w14:textFill>
        </w:rPr>
        <w:t>（图2：收入决算结构图）（饼状图）</w:t>
      </w:r>
    </w:p>
    <w:p/>
    <w:p>
      <w:pPr>
        <w:pStyle w:val="23"/>
        <w:numPr>
          <w:ilvl w:val="0"/>
          <w:numId w:val="1"/>
        </w:numPr>
        <w:spacing w:line="600" w:lineRule="exact"/>
        <w:ind w:firstLineChars="0"/>
        <w:outlineLvl w:val="1"/>
        <w:rPr>
          <w:rStyle w:val="25"/>
          <w:rFonts w:ascii="黑体" w:hAnsi="黑体" w:eastAsia="黑体"/>
          <w:b w:val="0"/>
          <w:color w:val="auto"/>
          <w:highlight w:val="none"/>
        </w:rPr>
      </w:pPr>
      <w:bookmarkStart w:id="28" w:name="_Toc15396605"/>
      <w:bookmarkStart w:id="29" w:name="_Toc15377207"/>
      <w:r>
        <w:rPr>
          <w:rFonts w:hint="eastAsia" w:ascii="黑体" w:hAnsi="黑体" w:eastAsia="黑体"/>
          <w:color w:val="auto"/>
          <w:sz w:val="32"/>
          <w:szCs w:val="32"/>
          <w:highlight w:val="none"/>
        </w:rPr>
        <w:t>支</w:t>
      </w:r>
      <w:r>
        <w:rPr>
          <w:rStyle w:val="25"/>
          <w:rFonts w:hint="eastAsia" w:ascii="黑体" w:hAnsi="黑体" w:eastAsia="黑体"/>
          <w:b w:val="0"/>
          <w:color w:val="auto"/>
          <w:highlight w:val="none"/>
        </w:rPr>
        <w:t>出决算情况说明</w:t>
      </w:r>
      <w:bookmarkEnd w:id="28"/>
      <w:bookmarkEnd w:id="29"/>
    </w:p>
    <w:p>
      <w:pPr>
        <w:spacing w:line="600" w:lineRule="exact"/>
        <w:ind w:firstLine="640" w:firstLineChars="200"/>
        <w:outlineLvl w:val="1"/>
        <w:rPr>
          <w:rFonts w:ascii="仿宋_GB2312" w:eastAsia="仿宋_GB2312"/>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年本年支出合计231.64万元，其中：基本支出66.7万元，占</w:t>
      </w:r>
      <w:r>
        <w:rPr>
          <w:rFonts w:hint="eastAsia" w:ascii="仿宋" w:hAnsi="仿宋" w:eastAsia="仿宋"/>
          <w:color w:val="auto"/>
          <w:sz w:val="32"/>
          <w:szCs w:val="32"/>
          <w:highlight w:val="none"/>
          <w:lang w:val="en-US" w:eastAsia="zh-CN"/>
        </w:rPr>
        <w:t>29</w:t>
      </w:r>
      <w:r>
        <w:rPr>
          <w:rFonts w:ascii="仿宋" w:hAnsi="仿宋" w:eastAsia="仿宋"/>
          <w:color w:val="auto"/>
          <w:sz w:val="32"/>
          <w:szCs w:val="32"/>
          <w:highlight w:val="none"/>
        </w:rPr>
        <w:t>%</w:t>
      </w:r>
      <w:r>
        <w:rPr>
          <w:rFonts w:hint="eastAsia" w:ascii="仿宋" w:hAnsi="仿宋" w:eastAsia="仿宋"/>
          <w:color w:val="auto"/>
          <w:sz w:val="32"/>
          <w:szCs w:val="32"/>
          <w:highlight w:val="none"/>
        </w:rPr>
        <w:t>；项目支出164.94万元，占</w:t>
      </w:r>
      <w:r>
        <w:rPr>
          <w:rFonts w:hint="eastAsia" w:ascii="仿宋" w:hAnsi="仿宋" w:eastAsia="仿宋"/>
          <w:color w:val="auto"/>
          <w:sz w:val="32"/>
          <w:szCs w:val="32"/>
          <w:highlight w:val="none"/>
          <w:lang w:val="en-US" w:eastAsia="zh-CN"/>
        </w:rPr>
        <w:t>71</w:t>
      </w:r>
      <w:r>
        <w:rPr>
          <w:rFonts w:ascii="仿宋" w:hAnsi="仿宋" w:eastAsia="仿宋"/>
          <w:color w:val="auto"/>
          <w:sz w:val="32"/>
          <w:szCs w:val="32"/>
          <w:highlight w:val="none"/>
        </w:rPr>
        <w:t>%</w:t>
      </w:r>
      <w:r>
        <w:rPr>
          <w:rFonts w:hint="eastAsia" w:ascii="仿宋" w:hAnsi="仿宋" w:eastAsia="仿宋"/>
          <w:color w:val="auto"/>
          <w:sz w:val="32"/>
          <w:szCs w:val="32"/>
          <w:highlight w:val="none"/>
        </w:rPr>
        <w:t>；上缴上级支出</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；经营支出</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；对附属单位补助支出</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p>
    <w:p>
      <w:pPr>
        <w:spacing w:line="600" w:lineRule="exact"/>
        <w:ind w:firstLine="640" w:firstLineChars="200"/>
        <w:outlineLvl w:val="1"/>
        <w:rPr>
          <w:rStyle w:val="25"/>
          <w:rFonts w:ascii="黑体" w:hAnsi="黑体" w:eastAsia="黑体"/>
          <w:b w:val="0"/>
          <w:color w:val="FF0000"/>
          <w:highlight w:val="none"/>
        </w:rPr>
      </w:pPr>
      <w:bookmarkStart w:id="30" w:name="_Toc15396606"/>
      <w:bookmarkStart w:id="31" w:name="_Toc15377208"/>
      <w:r>
        <w:rPr>
          <w:rFonts w:hint="eastAsia" w:ascii="黑体" w:hAnsi="黑体" w:eastAsia="黑体"/>
          <w:color w:val="auto"/>
          <w:sz w:val="32"/>
          <w:szCs w:val="32"/>
          <w:highlight w:val="none"/>
        </w:rPr>
        <w:t>四、财</w:t>
      </w:r>
      <w:r>
        <w:rPr>
          <w:rStyle w:val="25"/>
          <w:rFonts w:hint="eastAsia" w:ascii="黑体" w:hAnsi="黑体" w:eastAsia="黑体"/>
          <w:b w:val="0"/>
          <w:color w:val="auto"/>
          <w:highlight w:val="none"/>
        </w:rPr>
        <w:t>政拨款收入支出决算总体情况说明</w:t>
      </w:r>
      <w:bookmarkEnd w:id="30"/>
      <w:bookmarkEnd w:id="31"/>
    </w:p>
    <w:p>
      <w:pPr>
        <w:spacing w:line="600" w:lineRule="exact"/>
        <w:ind w:firstLine="640"/>
        <w:rPr>
          <w:rFonts w:ascii="仿宋" w:hAnsi="仿宋" w:eastAsia="仿宋"/>
          <w:color w:val="000000" w:themeColor="text1"/>
          <w:sz w:val="32"/>
          <w:szCs w:val="32"/>
          <w:highlight w:val="none"/>
          <w14:textFill>
            <w14:solidFill>
              <w14:schemeClr w14:val="tx1"/>
            </w14:solidFill>
          </w14:textFill>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年财政拨款收、支总计</w:t>
      </w:r>
      <w:r>
        <w:rPr>
          <w:rFonts w:hint="eastAsia" w:ascii="仿宋" w:hAnsi="仿宋" w:eastAsia="仿宋"/>
          <w:color w:val="auto"/>
          <w:sz w:val="32"/>
          <w:szCs w:val="32"/>
          <w:highlight w:val="none"/>
          <w:lang w:val="en-US" w:eastAsia="zh-CN"/>
        </w:rPr>
        <w:t>91.64</w:t>
      </w:r>
      <w:r>
        <w:rPr>
          <w:rFonts w:hint="eastAsia" w:ascii="仿宋" w:hAnsi="仿宋" w:eastAsia="仿宋"/>
          <w:color w:val="auto"/>
          <w:sz w:val="32"/>
          <w:szCs w:val="32"/>
          <w:highlight w:val="none"/>
        </w:rPr>
        <w:t>万元</w:t>
      </w:r>
      <w:r>
        <w:rPr>
          <w:rFonts w:hint="eastAsia" w:ascii="仿宋" w:hAnsi="仿宋" w:eastAsia="仿宋"/>
          <w:color w:val="auto"/>
          <w:sz w:val="32"/>
          <w:szCs w:val="32"/>
          <w:highlight w:val="none"/>
          <w:lang w:eastAsia="zh-CN"/>
        </w:rPr>
        <w:t>，其中年初结转结余</w:t>
      </w:r>
      <w:r>
        <w:rPr>
          <w:rFonts w:hint="eastAsia" w:ascii="仿宋" w:hAnsi="仿宋" w:eastAsia="仿宋"/>
          <w:color w:val="auto"/>
          <w:sz w:val="32"/>
          <w:szCs w:val="32"/>
          <w:highlight w:val="none"/>
          <w:lang w:val="en-US" w:eastAsia="zh-CN"/>
        </w:rPr>
        <w:t>140万；</w:t>
      </w:r>
      <w:r>
        <w:rPr>
          <w:rFonts w:hint="eastAsia" w:ascii="仿宋" w:hAnsi="仿宋" w:eastAsia="仿宋"/>
          <w:color w:val="auto"/>
          <w:sz w:val="32"/>
          <w:szCs w:val="32"/>
          <w:highlight w:val="none"/>
        </w:rPr>
        <w:t>与</w:t>
      </w: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20</w:t>
      </w:r>
      <w:r>
        <w:rPr>
          <w:rFonts w:hint="eastAsia" w:ascii="仿宋" w:hAnsi="仿宋" w:eastAsia="仿宋"/>
          <w:color w:val="auto"/>
          <w:sz w:val="32"/>
          <w:szCs w:val="32"/>
          <w:highlight w:val="none"/>
        </w:rPr>
        <w:t>年相比，财政拨款收、支总计增加</w:t>
      </w:r>
      <w:r>
        <w:rPr>
          <w:rFonts w:hint="eastAsia" w:ascii="仿宋" w:hAnsi="仿宋" w:eastAsia="仿宋"/>
          <w:color w:val="auto"/>
          <w:sz w:val="32"/>
          <w:szCs w:val="32"/>
          <w:highlight w:val="none"/>
          <w:lang w:val="en-US" w:eastAsia="zh-CN"/>
        </w:rPr>
        <w:t>4.03</w:t>
      </w:r>
      <w:r>
        <w:rPr>
          <w:rFonts w:hint="eastAsia" w:ascii="仿宋" w:hAnsi="仿宋" w:eastAsia="仿宋"/>
          <w:color w:val="auto"/>
          <w:sz w:val="32"/>
          <w:szCs w:val="32"/>
          <w:highlight w:val="none"/>
        </w:rPr>
        <w:t>万元，增长</w:t>
      </w:r>
      <w:r>
        <w:rPr>
          <w:rFonts w:hint="eastAsia" w:ascii="仿宋" w:hAnsi="仿宋" w:eastAsia="仿宋"/>
          <w:color w:val="auto"/>
          <w:sz w:val="32"/>
          <w:szCs w:val="32"/>
          <w:highlight w:val="none"/>
          <w:lang w:val="en-US" w:eastAsia="zh-CN"/>
        </w:rPr>
        <w:t>1.7</w:t>
      </w:r>
      <w:r>
        <w:rPr>
          <w:rFonts w:ascii="仿宋" w:hAnsi="仿宋" w:eastAsia="仿宋"/>
          <w:color w:val="auto"/>
          <w:sz w:val="32"/>
          <w:szCs w:val="32"/>
          <w:highlight w:val="none"/>
        </w:rPr>
        <w:t>%</w:t>
      </w:r>
      <w:r>
        <w:rPr>
          <w:rFonts w:hint="eastAsia" w:ascii="仿宋" w:hAnsi="仿宋" w:eastAsia="仿宋"/>
          <w:color w:val="auto"/>
          <w:sz w:val="32"/>
          <w:szCs w:val="32"/>
          <w:highlight w:val="none"/>
        </w:rPr>
        <w:t>。主要原因</w:t>
      </w:r>
      <w:r>
        <w:rPr>
          <w:rFonts w:hint="eastAsia" w:ascii="仿宋" w:hAnsi="仿宋" w:eastAsia="仿宋"/>
          <w:color w:val="auto"/>
          <w:sz w:val="32"/>
          <w:szCs w:val="32"/>
          <w:highlight w:val="none"/>
          <w:lang w:eastAsia="zh-CN"/>
        </w:rPr>
        <w:t>是增加妇女儿童活动中心</w:t>
      </w:r>
      <w:r>
        <w:rPr>
          <w:rFonts w:hint="eastAsia" w:ascii="仿宋" w:hAnsi="仿宋" w:eastAsia="仿宋"/>
          <w:color w:val="000000" w:themeColor="text1"/>
          <w:sz w:val="32"/>
          <w:szCs w:val="32"/>
          <w:highlight w:val="none"/>
          <w:lang w:eastAsia="zh-CN"/>
          <w14:textFill>
            <w14:solidFill>
              <w14:schemeClr w14:val="tx1"/>
            </w14:solidFill>
          </w14:textFill>
        </w:rPr>
        <w:t>建设。</w:t>
      </w:r>
    </w:p>
    <w:p>
      <w:pPr>
        <w:pStyle w:val="2"/>
        <w:rPr>
          <w:rFonts w:ascii="仿宋" w:hAnsi="仿宋" w:eastAsia="仿宋"/>
          <w:color w:val="auto"/>
          <w:sz w:val="32"/>
          <w:szCs w:val="32"/>
          <w:highlight w:val="none"/>
        </w:rPr>
      </w:pPr>
      <w:r>
        <w:rPr>
          <w:rFonts w:hint="eastAsia" w:ascii="仿宋" w:hAnsi="仿宋" w:eastAsia="仿宋"/>
          <w:color w:val="FF0000"/>
          <w:sz w:val="32"/>
          <w:szCs w:val="32"/>
        </w:rPr>
        <w:drawing>
          <wp:anchor distT="0" distB="0" distL="0" distR="0" simplePos="0" relativeHeight="251662336" behindDoc="0" locked="0" layoutInCell="1" allowOverlap="1">
            <wp:simplePos x="0" y="0"/>
            <wp:positionH relativeFrom="column">
              <wp:posOffset>560705</wp:posOffset>
            </wp:positionH>
            <wp:positionV relativeFrom="paragraph">
              <wp:posOffset>-429895</wp:posOffset>
            </wp:positionV>
            <wp:extent cx="4676775" cy="3505200"/>
            <wp:effectExtent l="4445" t="4445" r="12700" b="10795"/>
            <wp:wrapSquare wrapText="bothSides"/>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pPr>
        <w:rPr>
          <w:rFonts w:ascii="仿宋" w:hAnsi="仿宋" w:eastAsia="仿宋"/>
          <w:color w:val="auto"/>
          <w:sz w:val="32"/>
          <w:szCs w:val="32"/>
          <w:highlight w:val="none"/>
        </w:rPr>
      </w:pPr>
    </w:p>
    <w:p>
      <w:pPr>
        <w:pStyle w:val="2"/>
        <w:rPr>
          <w:rFonts w:ascii="仿宋" w:hAnsi="仿宋" w:eastAsia="仿宋"/>
          <w:color w:val="auto"/>
          <w:sz w:val="32"/>
          <w:szCs w:val="32"/>
          <w:highlight w:val="none"/>
        </w:rPr>
      </w:pPr>
    </w:p>
    <w:p>
      <w:pPr>
        <w:rPr>
          <w:rFonts w:ascii="仿宋" w:hAnsi="仿宋" w:eastAsia="仿宋"/>
          <w:color w:val="auto"/>
          <w:sz w:val="32"/>
          <w:szCs w:val="32"/>
          <w:highlight w:val="none"/>
        </w:rPr>
      </w:pPr>
    </w:p>
    <w:p>
      <w:pPr>
        <w:pStyle w:val="2"/>
      </w:pPr>
    </w:p>
    <w:p>
      <w:pPr>
        <w:rPr>
          <w:rFonts w:ascii="仿宋" w:hAnsi="仿宋" w:eastAsia="仿宋"/>
          <w:color w:val="auto"/>
          <w:sz w:val="32"/>
          <w:szCs w:val="32"/>
          <w:highlight w:val="none"/>
        </w:rPr>
      </w:pPr>
    </w:p>
    <w:p>
      <w:pPr>
        <w:pStyle w:val="2"/>
        <w:rPr>
          <w:rFonts w:ascii="仿宋" w:hAnsi="仿宋" w:eastAsia="仿宋"/>
          <w:color w:val="auto"/>
          <w:sz w:val="32"/>
          <w:szCs w:val="32"/>
          <w:highlight w:val="none"/>
        </w:rPr>
      </w:pPr>
    </w:p>
    <w:p>
      <w:pPr>
        <w:pStyle w:val="2"/>
      </w:pPr>
    </w:p>
    <w:p>
      <w:pPr>
        <w:spacing w:line="600" w:lineRule="exact"/>
        <w:ind w:firstLine="960" w:firstLineChars="300"/>
        <w:rPr>
          <w:rFonts w:hint="eastAsia" w:ascii="仿宋" w:hAnsi="仿宋" w:eastAsia="仿宋"/>
          <w:color w:val="auto"/>
          <w:sz w:val="32"/>
          <w:szCs w:val="32"/>
          <w:highlight w:val="none"/>
        </w:rPr>
      </w:pPr>
      <w:r>
        <w:rPr>
          <w:rFonts w:hint="eastAsia" w:ascii="仿宋" w:hAnsi="仿宋" w:eastAsia="仿宋"/>
          <w:color w:val="auto"/>
          <w:sz w:val="32"/>
          <w:szCs w:val="32"/>
          <w:highlight w:val="none"/>
        </w:rPr>
        <w:t>（图4：财政拨款收、支决算总计变动情况）（柱状图）</w:t>
      </w:r>
    </w:p>
    <w:p>
      <w:pPr>
        <w:pStyle w:val="2"/>
      </w:pPr>
    </w:p>
    <w:p>
      <w:pPr>
        <w:spacing w:line="600" w:lineRule="exact"/>
        <w:ind w:firstLine="640" w:firstLineChars="200"/>
        <w:outlineLvl w:val="1"/>
        <w:rPr>
          <w:rStyle w:val="25"/>
          <w:rFonts w:ascii="黑体" w:hAnsi="黑体" w:eastAsia="黑体"/>
          <w:b w:val="0"/>
          <w:color w:val="auto"/>
          <w:highlight w:val="none"/>
        </w:rPr>
      </w:pPr>
      <w:bookmarkStart w:id="32" w:name="_Toc15377209"/>
      <w:bookmarkStart w:id="33" w:name="_Toc15396607"/>
      <w:r>
        <w:rPr>
          <w:rFonts w:hint="eastAsia" w:ascii="黑体" w:hAnsi="黑体" w:eastAsia="黑体"/>
          <w:color w:val="auto"/>
          <w:sz w:val="32"/>
          <w:szCs w:val="32"/>
          <w:highlight w:val="none"/>
        </w:rPr>
        <w:t>五、</w:t>
      </w:r>
      <w:r>
        <w:rPr>
          <w:rFonts w:hint="eastAsia" w:ascii="黑体" w:hAnsi="黑体" w:eastAsia="黑体"/>
          <w:b/>
          <w:color w:val="auto"/>
          <w:sz w:val="32"/>
          <w:szCs w:val="32"/>
          <w:highlight w:val="none"/>
        </w:rPr>
        <w:t>一</w:t>
      </w:r>
      <w:r>
        <w:rPr>
          <w:rStyle w:val="25"/>
          <w:rFonts w:hint="eastAsia" w:ascii="黑体" w:hAnsi="黑体" w:eastAsia="黑体"/>
          <w:b w:val="0"/>
          <w:color w:val="auto"/>
          <w:highlight w:val="none"/>
        </w:rPr>
        <w:t>般公共预算财政拨款支出决算情况说明</w:t>
      </w:r>
      <w:bookmarkEnd w:id="32"/>
      <w:bookmarkEnd w:id="33"/>
    </w:p>
    <w:p>
      <w:pPr>
        <w:spacing w:line="600" w:lineRule="exact"/>
        <w:ind w:firstLine="643" w:firstLineChars="200"/>
        <w:outlineLvl w:val="2"/>
        <w:rPr>
          <w:rFonts w:ascii="仿宋" w:hAnsi="仿宋" w:eastAsia="仿宋"/>
          <w:b/>
          <w:color w:val="auto"/>
          <w:sz w:val="32"/>
          <w:szCs w:val="32"/>
          <w:highlight w:val="none"/>
        </w:rPr>
      </w:pPr>
      <w:bookmarkStart w:id="34" w:name="_Toc15377210"/>
      <w:r>
        <w:rPr>
          <w:rFonts w:hint="eastAsia" w:ascii="仿宋" w:hAnsi="仿宋" w:eastAsia="仿宋"/>
          <w:b/>
          <w:color w:val="auto"/>
          <w:sz w:val="32"/>
          <w:szCs w:val="32"/>
          <w:highlight w:val="none"/>
        </w:rPr>
        <w:t>（一）一般公共预算财政拨款支出决算总体情况</w:t>
      </w:r>
      <w:bookmarkEnd w:id="34"/>
    </w:p>
    <w:p>
      <w:pPr>
        <w:spacing w:line="600" w:lineRule="exact"/>
        <w:ind w:firstLine="640" w:firstLineChars="200"/>
        <w:rPr>
          <w:rFonts w:hint="eastAsia" w:ascii="仿宋" w:hAnsi="仿宋" w:eastAsia="仿宋"/>
          <w:color w:val="auto"/>
          <w:sz w:val="32"/>
          <w:szCs w:val="32"/>
          <w:highlight w:val="none"/>
          <w:lang w:eastAsia="zh-CN"/>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年一般公共预算财政拨款支出231.64万元，占本年支出合计的</w:t>
      </w:r>
      <w:r>
        <w:rPr>
          <w:rFonts w:hint="eastAsia" w:ascii="仿宋" w:hAnsi="仿宋" w:eastAsia="仿宋"/>
          <w:color w:val="auto"/>
          <w:sz w:val="32"/>
          <w:szCs w:val="32"/>
          <w:highlight w:val="none"/>
          <w:lang w:val="en-US" w:eastAsia="zh-CN"/>
        </w:rPr>
        <w:t>100</w:t>
      </w:r>
      <w:r>
        <w:rPr>
          <w:rFonts w:ascii="仿宋" w:hAnsi="仿宋" w:eastAsia="仿宋"/>
          <w:color w:val="auto"/>
          <w:sz w:val="32"/>
          <w:szCs w:val="32"/>
          <w:highlight w:val="none"/>
        </w:rPr>
        <w:t>%</w:t>
      </w:r>
      <w:r>
        <w:rPr>
          <w:rFonts w:hint="eastAsia" w:ascii="仿宋" w:hAnsi="仿宋" w:eastAsia="仿宋"/>
          <w:color w:val="auto"/>
          <w:sz w:val="32"/>
          <w:szCs w:val="32"/>
          <w:highlight w:val="none"/>
        </w:rPr>
        <w:t>。与</w:t>
      </w: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20</w:t>
      </w:r>
      <w:r>
        <w:rPr>
          <w:rFonts w:hint="eastAsia" w:ascii="仿宋" w:hAnsi="仿宋" w:eastAsia="仿宋"/>
          <w:color w:val="auto"/>
          <w:sz w:val="32"/>
          <w:szCs w:val="32"/>
          <w:highlight w:val="none"/>
        </w:rPr>
        <w:t>年相比，一般公共预算财政拨款</w:t>
      </w:r>
      <w:r>
        <w:rPr>
          <w:rFonts w:hint="eastAsia" w:ascii="仿宋" w:hAnsi="仿宋" w:eastAsia="仿宋"/>
          <w:color w:val="auto"/>
          <w:sz w:val="32"/>
          <w:szCs w:val="32"/>
          <w:highlight w:val="none"/>
          <w:lang w:eastAsia="zh-CN"/>
        </w:rPr>
        <w:t>支出</w:t>
      </w:r>
      <w:r>
        <w:rPr>
          <w:rFonts w:hint="eastAsia" w:ascii="仿宋" w:hAnsi="仿宋" w:eastAsia="仿宋"/>
          <w:color w:val="auto"/>
          <w:sz w:val="32"/>
          <w:szCs w:val="32"/>
          <w:highlight w:val="none"/>
        </w:rPr>
        <w:t>增加</w:t>
      </w:r>
      <w:r>
        <w:rPr>
          <w:rFonts w:hint="eastAsia" w:ascii="仿宋" w:hAnsi="仿宋" w:eastAsia="仿宋"/>
          <w:color w:val="auto"/>
          <w:sz w:val="32"/>
          <w:szCs w:val="32"/>
          <w:highlight w:val="none"/>
          <w:lang w:val="en-US" w:eastAsia="zh-CN"/>
        </w:rPr>
        <w:t>4.03</w:t>
      </w:r>
      <w:r>
        <w:rPr>
          <w:rFonts w:hint="eastAsia" w:ascii="仿宋" w:hAnsi="仿宋" w:eastAsia="仿宋"/>
          <w:color w:val="auto"/>
          <w:sz w:val="32"/>
          <w:szCs w:val="32"/>
          <w:highlight w:val="none"/>
        </w:rPr>
        <w:t>万元，增长</w:t>
      </w:r>
      <w:r>
        <w:rPr>
          <w:rFonts w:hint="eastAsia" w:ascii="仿宋" w:hAnsi="仿宋" w:eastAsia="仿宋"/>
          <w:color w:val="auto"/>
          <w:sz w:val="32"/>
          <w:szCs w:val="32"/>
          <w:highlight w:val="none"/>
          <w:lang w:val="en-US" w:eastAsia="zh-CN"/>
        </w:rPr>
        <w:t>1.7</w:t>
      </w:r>
      <w:r>
        <w:rPr>
          <w:rFonts w:ascii="仿宋" w:hAnsi="仿宋" w:eastAsia="仿宋"/>
          <w:color w:val="auto"/>
          <w:sz w:val="32"/>
          <w:szCs w:val="32"/>
          <w:highlight w:val="none"/>
        </w:rPr>
        <w:t>%</w:t>
      </w:r>
      <w:r>
        <w:rPr>
          <w:rFonts w:hint="eastAsia" w:ascii="仿宋" w:hAnsi="仿宋" w:eastAsia="仿宋"/>
          <w:color w:val="auto"/>
          <w:sz w:val="32"/>
          <w:szCs w:val="32"/>
          <w:highlight w:val="none"/>
        </w:rPr>
        <w:t>。主要原因</w:t>
      </w:r>
      <w:r>
        <w:rPr>
          <w:rFonts w:hint="eastAsia" w:ascii="仿宋" w:hAnsi="仿宋" w:eastAsia="仿宋"/>
          <w:color w:val="auto"/>
          <w:sz w:val="32"/>
          <w:szCs w:val="32"/>
          <w:highlight w:val="none"/>
          <w:lang w:eastAsia="zh-CN"/>
        </w:rPr>
        <w:t>是增加妇女儿童活动中心</w:t>
      </w:r>
      <w:r>
        <w:rPr>
          <w:rFonts w:hint="eastAsia" w:ascii="仿宋" w:hAnsi="仿宋" w:eastAsia="仿宋"/>
          <w:color w:val="000000" w:themeColor="text1"/>
          <w:sz w:val="32"/>
          <w:szCs w:val="32"/>
          <w:highlight w:val="none"/>
          <w:lang w:eastAsia="zh-CN"/>
          <w14:textFill>
            <w14:solidFill>
              <w14:schemeClr w14:val="tx1"/>
            </w14:solidFill>
          </w14:textFill>
        </w:rPr>
        <w:t>建设</w:t>
      </w:r>
      <w:r>
        <w:rPr>
          <w:rFonts w:hint="eastAsia" w:ascii="仿宋" w:hAnsi="仿宋" w:eastAsia="仿宋"/>
          <w:color w:val="auto"/>
          <w:sz w:val="32"/>
          <w:szCs w:val="32"/>
          <w:highlight w:val="none"/>
          <w:lang w:eastAsia="zh-CN"/>
        </w:rPr>
        <w:t>。</w:t>
      </w:r>
    </w:p>
    <w:p>
      <w:pPr>
        <w:spacing w:line="600" w:lineRule="exact"/>
        <w:ind w:firstLine="640" w:firstLineChars="200"/>
        <w:rPr>
          <w:rFonts w:ascii="仿宋" w:hAnsi="仿宋" w:eastAsia="仿宋"/>
          <w:color w:val="auto"/>
          <w:sz w:val="32"/>
          <w:szCs w:val="32"/>
          <w:highlight w:val="none"/>
        </w:rPr>
      </w:pPr>
      <w:r>
        <w:rPr>
          <w:rFonts w:ascii="仿宋" w:hAnsi="仿宋" w:eastAsia="仿宋"/>
          <w:color w:val="FF0000"/>
          <w:sz w:val="32"/>
          <w:szCs w:val="32"/>
        </w:rPr>
        <w:drawing>
          <wp:anchor distT="0" distB="0" distL="0" distR="0" simplePos="0" relativeHeight="251661312" behindDoc="0" locked="0" layoutInCell="1" allowOverlap="1">
            <wp:simplePos x="0" y="0"/>
            <wp:positionH relativeFrom="column">
              <wp:posOffset>446405</wp:posOffset>
            </wp:positionH>
            <wp:positionV relativeFrom="paragraph">
              <wp:posOffset>83185</wp:posOffset>
            </wp:positionV>
            <wp:extent cx="4606290" cy="2426335"/>
            <wp:effectExtent l="4445" t="4445" r="6985" b="7620"/>
            <wp:wrapSquare wrapText="bothSides"/>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pPr>
        <w:pStyle w:val="2"/>
        <w:rPr>
          <w:rFonts w:ascii="仿宋" w:hAnsi="仿宋" w:eastAsia="仿宋"/>
          <w:color w:val="auto"/>
          <w:sz w:val="32"/>
          <w:szCs w:val="32"/>
          <w:highlight w:val="none"/>
        </w:rPr>
      </w:pPr>
    </w:p>
    <w:p>
      <w:pPr>
        <w:rPr>
          <w:rFonts w:ascii="仿宋" w:hAnsi="仿宋" w:eastAsia="仿宋"/>
          <w:color w:val="auto"/>
          <w:sz w:val="32"/>
          <w:szCs w:val="32"/>
          <w:highlight w:val="none"/>
        </w:rPr>
      </w:pPr>
    </w:p>
    <w:p>
      <w:pPr>
        <w:pStyle w:val="2"/>
        <w:rPr>
          <w:rFonts w:ascii="仿宋" w:hAnsi="仿宋" w:eastAsia="仿宋"/>
          <w:color w:val="auto"/>
          <w:sz w:val="32"/>
          <w:szCs w:val="32"/>
          <w:highlight w:val="none"/>
        </w:rPr>
      </w:pPr>
    </w:p>
    <w:p>
      <w:pPr>
        <w:rPr>
          <w:rFonts w:ascii="仿宋" w:hAnsi="仿宋" w:eastAsia="仿宋"/>
          <w:color w:val="auto"/>
          <w:sz w:val="32"/>
          <w:szCs w:val="32"/>
          <w:highlight w:val="none"/>
        </w:rPr>
      </w:pPr>
    </w:p>
    <w:p>
      <w:pPr>
        <w:pStyle w:val="2"/>
        <w:rPr>
          <w:rFonts w:ascii="仿宋" w:hAnsi="仿宋" w:eastAsia="仿宋"/>
          <w:color w:val="auto"/>
          <w:sz w:val="32"/>
          <w:szCs w:val="32"/>
          <w:highlight w:val="none"/>
        </w:rPr>
      </w:pPr>
    </w:p>
    <w:p/>
    <w:p>
      <w:pPr>
        <w:spacing w:line="600" w:lineRule="exact"/>
        <w:ind w:firstLine="640" w:firstLineChars="200"/>
        <w:rPr>
          <w:rFonts w:ascii="仿宋" w:hAnsi="仿宋" w:eastAsia="仿宋"/>
          <w:color w:val="auto"/>
          <w:sz w:val="32"/>
          <w:szCs w:val="32"/>
          <w:highlight w:val="none"/>
        </w:rPr>
      </w:pPr>
      <w:r>
        <w:rPr>
          <w:rFonts w:hint="eastAsia" w:ascii="仿宋" w:hAnsi="仿宋" w:eastAsia="仿宋"/>
          <w:color w:val="auto"/>
          <w:sz w:val="32"/>
          <w:szCs w:val="32"/>
          <w:highlight w:val="none"/>
        </w:rPr>
        <w:t>（图5：一般公共预算财政拨款支出决算变动情况）（柱状图）</w:t>
      </w:r>
    </w:p>
    <w:p>
      <w:pPr>
        <w:spacing w:line="600" w:lineRule="exact"/>
        <w:ind w:firstLine="643" w:firstLineChars="200"/>
        <w:outlineLvl w:val="2"/>
        <w:rPr>
          <w:rFonts w:ascii="仿宋" w:hAnsi="仿宋" w:eastAsia="仿宋"/>
          <w:b/>
          <w:color w:val="auto"/>
          <w:sz w:val="32"/>
          <w:szCs w:val="32"/>
          <w:highlight w:val="none"/>
        </w:rPr>
      </w:pPr>
      <w:bookmarkStart w:id="35" w:name="_Toc15377211"/>
      <w:r>
        <w:rPr>
          <w:rFonts w:hint="eastAsia" w:ascii="仿宋" w:hAnsi="仿宋" w:eastAsia="仿宋"/>
          <w:b/>
          <w:color w:val="auto"/>
          <w:sz w:val="32"/>
          <w:szCs w:val="32"/>
          <w:highlight w:val="none"/>
        </w:rPr>
        <w:t>（二）一般公共预算财政拨款支出决算结构情况</w:t>
      </w:r>
      <w:bookmarkEnd w:id="35"/>
    </w:p>
    <w:p>
      <w:pPr>
        <w:spacing w:line="600" w:lineRule="exact"/>
        <w:ind w:firstLine="640"/>
        <w:rPr>
          <w:rFonts w:hint="eastAsia"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年一般公共预算财政拨款支出231.64万元，主要用于以下方面</w:t>
      </w:r>
      <w:r>
        <w:rPr>
          <w:rFonts w:ascii="仿宋" w:hAnsi="仿宋" w:eastAsia="仿宋"/>
          <w:color w:val="auto"/>
          <w:sz w:val="32"/>
          <w:szCs w:val="32"/>
          <w:highlight w:val="none"/>
        </w:rPr>
        <w:t>:</w:t>
      </w:r>
      <w:r>
        <w:rPr>
          <w:rFonts w:hint="eastAsia" w:ascii="仿宋" w:hAnsi="仿宋" w:eastAsia="仿宋"/>
          <w:b/>
          <w:color w:val="auto"/>
          <w:sz w:val="32"/>
          <w:szCs w:val="32"/>
          <w:highlight w:val="none"/>
        </w:rPr>
        <w:t>一般公共服务（类）</w:t>
      </w:r>
      <w:r>
        <w:rPr>
          <w:rFonts w:hint="eastAsia" w:ascii="仿宋" w:hAnsi="仿宋" w:eastAsia="仿宋"/>
          <w:color w:val="auto"/>
          <w:sz w:val="32"/>
          <w:szCs w:val="32"/>
          <w:highlight w:val="none"/>
        </w:rPr>
        <w:t>支出78.03万元，占</w:t>
      </w:r>
      <w:r>
        <w:rPr>
          <w:rFonts w:hint="eastAsia" w:ascii="仿宋" w:hAnsi="仿宋" w:eastAsia="仿宋"/>
          <w:color w:val="auto"/>
          <w:sz w:val="32"/>
          <w:szCs w:val="32"/>
          <w:highlight w:val="none"/>
          <w:lang w:val="en-US" w:eastAsia="zh-CN"/>
        </w:rPr>
        <w:t>34.1</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color w:val="auto"/>
          <w:sz w:val="32"/>
          <w:szCs w:val="32"/>
          <w:highlight w:val="none"/>
          <w:lang w:eastAsia="zh-CN"/>
        </w:rPr>
        <w:t>社</w:t>
      </w:r>
      <w:r>
        <w:rPr>
          <w:rFonts w:hint="eastAsia" w:ascii="仿宋" w:hAnsi="仿宋" w:eastAsia="仿宋"/>
          <w:b/>
          <w:color w:val="auto"/>
          <w:sz w:val="32"/>
          <w:szCs w:val="32"/>
          <w:highlight w:val="none"/>
        </w:rPr>
        <w:t>会保障和就业（类）</w:t>
      </w:r>
      <w:r>
        <w:rPr>
          <w:rFonts w:hint="eastAsia" w:ascii="仿宋" w:hAnsi="仿宋" w:eastAsia="仿宋"/>
          <w:color w:val="auto"/>
          <w:sz w:val="32"/>
          <w:szCs w:val="32"/>
          <w:highlight w:val="none"/>
        </w:rPr>
        <w:t>支出144.58万元，占</w:t>
      </w:r>
      <w:r>
        <w:rPr>
          <w:rFonts w:hint="eastAsia" w:ascii="仿宋" w:hAnsi="仿宋" w:eastAsia="仿宋"/>
          <w:color w:val="auto"/>
          <w:sz w:val="32"/>
          <w:szCs w:val="32"/>
          <w:highlight w:val="none"/>
          <w:lang w:val="en-US" w:eastAsia="zh-CN"/>
        </w:rPr>
        <w:t>62</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b/>
          <w:bCs/>
          <w:color w:val="auto"/>
          <w:sz w:val="32"/>
          <w:szCs w:val="32"/>
          <w:highlight w:val="none"/>
        </w:rPr>
        <w:t>卫生健康</w:t>
      </w:r>
      <w:r>
        <w:rPr>
          <w:rFonts w:hint="eastAsia" w:ascii="仿宋" w:hAnsi="仿宋" w:eastAsia="仿宋"/>
          <w:b/>
          <w:bCs/>
          <w:color w:val="auto"/>
          <w:sz w:val="32"/>
          <w:szCs w:val="32"/>
          <w:highlight w:val="none"/>
          <w:lang w:val="en-US" w:eastAsia="zh-CN"/>
        </w:rPr>
        <w:t>(类)</w:t>
      </w:r>
      <w:r>
        <w:rPr>
          <w:rFonts w:hint="eastAsia" w:ascii="仿宋" w:hAnsi="仿宋" w:eastAsia="仿宋"/>
          <w:b/>
          <w:bCs/>
          <w:color w:val="auto"/>
          <w:sz w:val="32"/>
          <w:szCs w:val="32"/>
          <w:highlight w:val="none"/>
        </w:rPr>
        <w:t>支出</w:t>
      </w:r>
      <w:r>
        <w:rPr>
          <w:rFonts w:hint="eastAsia" w:ascii="仿宋" w:hAnsi="仿宋" w:eastAsia="仿宋"/>
          <w:b w:val="0"/>
          <w:bCs w:val="0"/>
          <w:color w:val="auto"/>
          <w:sz w:val="32"/>
          <w:szCs w:val="32"/>
          <w:highlight w:val="none"/>
        </w:rPr>
        <w:t>3.34</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1.4</w:t>
      </w:r>
      <w:r>
        <w:rPr>
          <w:rFonts w:ascii="仿宋" w:hAnsi="仿宋" w:eastAsia="仿宋"/>
          <w:color w:val="auto"/>
          <w:sz w:val="32"/>
          <w:szCs w:val="32"/>
          <w:highlight w:val="none"/>
        </w:rPr>
        <w:t>%</w:t>
      </w:r>
      <w:r>
        <w:rPr>
          <w:rFonts w:hint="eastAsia" w:ascii="仿宋" w:hAnsi="仿宋" w:eastAsia="仿宋"/>
          <w:color w:val="auto"/>
          <w:sz w:val="32"/>
          <w:szCs w:val="32"/>
          <w:highlight w:val="none"/>
        </w:rPr>
        <w:t>；住房保障支出5.69万元，占</w:t>
      </w:r>
      <w:r>
        <w:rPr>
          <w:rFonts w:hint="eastAsia" w:ascii="仿宋" w:hAnsi="仿宋" w:eastAsia="仿宋"/>
          <w:color w:val="auto"/>
          <w:sz w:val="32"/>
          <w:szCs w:val="32"/>
          <w:highlight w:val="none"/>
          <w:lang w:val="en-US" w:eastAsia="zh-CN"/>
        </w:rPr>
        <w:t>2.5</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p>
    <w:p>
      <w:pPr>
        <w:pStyle w:val="2"/>
        <w:rPr>
          <w:rFonts w:hint="eastAsia" w:ascii="仿宋" w:hAnsi="仿宋" w:eastAsia="仿宋"/>
          <w:color w:val="auto"/>
          <w:sz w:val="32"/>
          <w:szCs w:val="32"/>
          <w:highlight w:val="none"/>
        </w:rPr>
      </w:pPr>
    </w:p>
    <w:p>
      <w:pPr>
        <w:rPr>
          <w:rFonts w:hint="eastAsia" w:ascii="仿宋" w:hAnsi="仿宋" w:eastAsia="仿宋"/>
          <w:color w:val="auto"/>
          <w:sz w:val="32"/>
          <w:szCs w:val="32"/>
          <w:highlight w:val="none"/>
        </w:rPr>
      </w:pPr>
      <w:r>
        <w:rPr>
          <w:rFonts w:ascii="仿宋" w:hAnsi="仿宋" w:eastAsia="仿宋"/>
          <w:color w:val="FF0000"/>
          <w:sz w:val="32"/>
          <w:szCs w:val="32"/>
        </w:rPr>
        <w:drawing>
          <wp:anchor distT="0" distB="0" distL="0" distR="0" simplePos="0" relativeHeight="251663360" behindDoc="0" locked="0" layoutInCell="1" allowOverlap="1">
            <wp:simplePos x="0" y="0"/>
            <wp:positionH relativeFrom="column">
              <wp:posOffset>179705</wp:posOffset>
            </wp:positionH>
            <wp:positionV relativeFrom="paragraph">
              <wp:posOffset>135255</wp:posOffset>
            </wp:positionV>
            <wp:extent cx="4905375" cy="2724150"/>
            <wp:effectExtent l="4445" t="4445" r="12700" b="14605"/>
            <wp:wrapSquare wrapText="bothSides"/>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pPr>
        <w:pStyle w:val="2"/>
        <w:rPr>
          <w:rFonts w:hint="eastAsia"/>
        </w:rPr>
      </w:pPr>
    </w:p>
    <w:p>
      <w:pPr>
        <w:pStyle w:val="2"/>
        <w:rPr>
          <w:rFonts w:hint="eastAsia" w:ascii="仿宋" w:hAnsi="仿宋" w:eastAsia="仿宋"/>
          <w:color w:val="auto"/>
          <w:sz w:val="32"/>
          <w:szCs w:val="32"/>
          <w:highlight w:val="none"/>
        </w:rPr>
      </w:pPr>
    </w:p>
    <w:p>
      <w:pPr>
        <w:rPr>
          <w:rFonts w:hint="eastAsia" w:ascii="仿宋" w:hAnsi="仿宋" w:eastAsia="仿宋"/>
          <w:color w:val="auto"/>
          <w:sz w:val="32"/>
          <w:szCs w:val="32"/>
          <w:highlight w:val="none"/>
        </w:rPr>
      </w:pPr>
    </w:p>
    <w:p>
      <w:pPr>
        <w:pStyle w:val="2"/>
        <w:rPr>
          <w:rFonts w:hint="eastAsia" w:ascii="仿宋" w:hAnsi="仿宋" w:eastAsia="仿宋"/>
          <w:color w:val="auto"/>
          <w:sz w:val="32"/>
          <w:szCs w:val="32"/>
          <w:highlight w:val="none"/>
        </w:rPr>
      </w:pPr>
    </w:p>
    <w:p>
      <w:pPr>
        <w:rPr>
          <w:rFonts w:hint="eastAsia"/>
        </w:rPr>
      </w:pPr>
    </w:p>
    <w:p>
      <w:pPr>
        <w:pStyle w:val="2"/>
        <w:rPr>
          <w:rFonts w:hint="eastAsia" w:ascii="仿宋" w:hAnsi="仿宋" w:eastAsia="仿宋"/>
          <w:color w:val="auto"/>
          <w:sz w:val="32"/>
          <w:szCs w:val="32"/>
          <w:highlight w:val="none"/>
        </w:rPr>
      </w:pPr>
    </w:p>
    <w:p>
      <w:pPr>
        <w:spacing w:line="600" w:lineRule="exact"/>
        <w:rPr>
          <w:rFonts w:ascii="仿宋" w:hAnsi="仿宋" w:eastAsia="仿宋"/>
          <w:color w:val="auto"/>
          <w:sz w:val="32"/>
          <w:szCs w:val="32"/>
          <w:highlight w:val="none"/>
        </w:rPr>
      </w:pPr>
    </w:p>
    <w:p>
      <w:pPr>
        <w:spacing w:line="600" w:lineRule="exact"/>
        <w:ind w:firstLine="640" w:firstLineChars="200"/>
        <w:rPr>
          <w:rFonts w:ascii="仿宋" w:hAnsi="仿宋" w:eastAsia="仿宋"/>
          <w:color w:val="auto"/>
          <w:sz w:val="32"/>
          <w:szCs w:val="32"/>
          <w:highlight w:val="none"/>
        </w:rPr>
      </w:pPr>
      <w:r>
        <w:rPr>
          <w:rFonts w:hint="eastAsia" w:ascii="仿宋" w:hAnsi="仿宋" w:eastAsia="仿宋"/>
          <w:color w:val="auto"/>
          <w:sz w:val="32"/>
          <w:szCs w:val="32"/>
          <w:highlight w:val="none"/>
        </w:rPr>
        <w:t>（图6：一般公共预算财政拨款支出决算结构）（饼状图）</w:t>
      </w:r>
    </w:p>
    <w:p>
      <w:pPr>
        <w:spacing w:line="600" w:lineRule="exact"/>
        <w:ind w:firstLine="640" w:firstLineChars="200"/>
        <w:rPr>
          <w:rFonts w:ascii="仿宋" w:hAnsi="仿宋" w:eastAsia="仿宋"/>
          <w:color w:val="auto"/>
          <w:sz w:val="32"/>
          <w:szCs w:val="32"/>
          <w:highlight w:val="none"/>
        </w:rPr>
      </w:pPr>
    </w:p>
    <w:p>
      <w:pPr>
        <w:spacing w:line="600" w:lineRule="exact"/>
        <w:ind w:firstLine="643" w:firstLineChars="200"/>
        <w:outlineLvl w:val="2"/>
        <w:rPr>
          <w:rFonts w:ascii="仿宋" w:hAnsi="仿宋" w:eastAsia="仿宋"/>
          <w:b/>
          <w:color w:val="auto"/>
          <w:sz w:val="32"/>
          <w:szCs w:val="32"/>
          <w:highlight w:val="none"/>
        </w:rPr>
      </w:pPr>
      <w:bookmarkStart w:id="36" w:name="_Toc15377212"/>
      <w:r>
        <w:rPr>
          <w:rFonts w:hint="eastAsia" w:ascii="仿宋" w:hAnsi="仿宋" w:eastAsia="仿宋"/>
          <w:b/>
          <w:color w:val="auto"/>
          <w:sz w:val="32"/>
          <w:szCs w:val="32"/>
          <w:highlight w:val="none"/>
        </w:rPr>
        <w:t>（三）一般公共预算财政拨款支出决算具体情况</w:t>
      </w:r>
      <w:bookmarkEnd w:id="36"/>
    </w:p>
    <w:p>
      <w:pPr>
        <w:spacing w:line="600" w:lineRule="exact"/>
        <w:ind w:firstLine="643" w:firstLineChars="200"/>
        <w:outlineLvl w:val="2"/>
        <w:rPr>
          <w:rFonts w:ascii="仿宋" w:hAnsi="仿宋" w:eastAsia="仿宋"/>
          <w:color w:val="auto"/>
          <w:sz w:val="32"/>
          <w:szCs w:val="32"/>
          <w:highlight w:val="none"/>
        </w:rPr>
      </w:pPr>
      <w:bookmarkStart w:id="37" w:name="_Toc15378460"/>
      <w:bookmarkStart w:id="38" w:name="_Toc15377444"/>
      <w:bookmarkStart w:id="39" w:name="_Toc15377213"/>
      <w:r>
        <w:rPr>
          <w:rFonts w:hint="eastAsia" w:ascii="仿宋" w:hAnsi="仿宋" w:eastAsia="仿宋"/>
          <w:b/>
          <w:color w:val="auto"/>
          <w:sz w:val="32"/>
          <w:szCs w:val="32"/>
          <w:highlight w:val="none"/>
        </w:rPr>
        <w:t>20</w:t>
      </w:r>
      <w:r>
        <w:rPr>
          <w:rFonts w:hint="eastAsia" w:ascii="仿宋" w:hAnsi="仿宋" w:eastAsia="仿宋"/>
          <w:b/>
          <w:color w:val="auto"/>
          <w:sz w:val="32"/>
          <w:szCs w:val="32"/>
          <w:highlight w:val="none"/>
          <w:lang w:val="en-US" w:eastAsia="zh-CN"/>
        </w:rPr>
        <w:t>21</w:t>
      </w:r>
      <w:r>
        <w:rPr>
          <w:rFonts w:hint="eastAsia" w:ascii="仿宋" w:hAnsi="仿宋" w:eastAsia="仿宋"/>
          <w:b/>
          <w:color w:val="auto"/>
          <w:sz w:val="32"/>
          <w:szCs w:val="32"/>
          <w:highlight w:val="none"/>
        </w:rPr>
        <w:t>年</w:t>
      </w:r>
      <w:r>
        <w:rPr>
          <w:rFonts w:hint="eastAsia" w:ascii="仿宋" w:hAnsi="仿宋" w:eastAsia="仿宋"/>
          <w:b/>
          <w:color w:val="auto"/>
          <w:sz w:val="32"/>
          <w:szCs w:val="32"/>
          <w:highlight w:val="none"/>
          <w:lang w:eastAsia="zh-CN"/>
        </w:rPr>
        <w:t>一</w:t>
      </w:r>
      <w:r>
        <w:rPr>
          <w:rFonts w:hint="eastAsia" w:ascii="仿宋" w:hAnsi="仿宋" w:eastAsia="仿宋"/>
          <w:b/>
          <w:color w:val="auto"/>
          <w:sz w:val="32"/>
          <w:szCs w:val="32"/>
          <w:highlight w:val="none"/>
        </w:rPr>
        <w:t>般公共预算支出决算数为</w:t>
      </w:r>
      <w:r>
        <w:rPr>
          <w:rFonts w:hint="eastAsia" w:ascii="仿宋" w:hAnsi="仿宋" w:eastAsia="仿宋"/>
          <w:b/>
          <w:color w:val="auto"/>
          <w:sz w:val="32"/>
          <w:szCs w:val="32"/>
          <w:highlight w:val="none"/>
          <w:lang w:val="en-US" w:eastAsia="zh-CN"/>
        </w:rPr>
        <w:t>231.64</w:t>
      </w:r>
      <w:r>
        <w:rPr>
          <w:rFonts w:hint="eastAsia" w:ascii="仿宋" w:hAnsi="仿宋" w:eastAsia="仿宋"/>
          <w:color w:val="auto"/>
          <w:sz w:val="32"/>
          <w:szCs w:val="32"/>
          <w:highlight w:val="none"/>
        </w:rPr>
        <w:t>，</w:t>
      </w:r>
      <w:r>
        <w:rPr>
          <w:rStyle w:val="14"/>
          <w:rFonts w:hint="eastAsia" w:ascii="仿宋" w:hAnsi="仿宋" w:eastAsia="仿宋"/>
          <w:bCs/>
          <w:color w:val="auto"/>
          <w:sz w:val="32"/>
          <w:szCs w:val="32"/>
          <w:highlight w:val="none"/>
        </w:rPr>
        <w:t>完成预算</w:t>
      </w:r>
      <w:r>
        <w:rPr>
          <w:rStyle w:val="14"/>
          <w:rFonts w:hint="eastAsia" w:ascii="仿宋" w:hAnsi="仿宋" w:eastAsia="仿宋"/>
          <w:bCs/>
          <w:color w:val="auto"/>
          <w:sz w:val="32"/>
          <w:szCs w:val="32"/>
          <w:highlight w:val="none"/>
          <w:lang w:val="en-US" w:eastAsia="zh-CN"/>
        </w:rPr>
        <w:t>100</w:t>
      </w:r>
      <w:r>
        <w:rPr>
          <w:rStyle w:val="14"/>
          <w:rFonts w:ascii="仿宋" w:hAnsi="仿宋" w:eastAsia="仿宋"/>
          <w:bCs/>
          <w:color w:val="auto"/>
          <w:sz w:val="32"/>
          <w:szCs w:val="32"/>
          <w:highlight w:val="none"/>
        </w:rPr>
        <w:t>%</w:t>
      </w:r>
      <w:r>
        <w:rPr>
          <w:rStyle w:val="14"/>
          <w:rFonts w:hint="eastAsia" w:ascii="仿宋" w:hAnsi="仿宋" w:eastAsia="仿宋"/>
          <w:bCs/>
          <w:color w:val="auto"/>
          <w:sz w:val="32"/>
          <w:szCs w:val="32"/>
          <w:highlight w:val="none"/>
        </w:rPr>
        <w:t>。其中：</w:t>
      </w:r>
      <w:bookmarkEnd w:id="37"/>
      <w:bookmarkEnd w:id="38"/>
      <w:bookmarkEnd w:id="39"/>
    </w:p>
    <w:p>
      <w:pPr>
        <w:numPr>
          <w:ilvl w:val="0"/>
          <w:numId w:val="2"/>
        </w:numPr>
        <w:spacing w:line="600" w:lineRule="exact"/>
        <w:ind w:firstLine="643" w:firstLineChars="200"/>
        <w:rPr>
          <w:rStyle w:val="14"/>
          <w:rFonts w:hint="eastAsia" w:ascii="仿宋" w:hAnsi="仿宋" w:eastAsia="仿宋"/>
          <w:b w:val="0"/>
          <w:bCs/>
          <w:color w:val="auto"/>
          <w:sz w:val="32"/>
          <w:szCs w:val="32"/>
          <w:highlight w:val="none"/>
        </w:rPr>
      </w:pPr>
      <w:r>
        <w:rPr>
          <w:rStyle w:val="14"/>
          <w:rFonts w:hint="eastAsia" w:ascii="仿宋" w:hAnsi="仿宋" w:eastAsia="仿宋"/>
          <w:bCs/>
          <w:color w:val="auto"/>
          <w:sz w:val="32"/>
          <w:szCs w:val="32"/>
          <w:highlight w:val="none"/>
        </w:rPr>
        <w:t>一般公共服务（类）群众团体事务（款）  行政运行（项）</w:t>
      </w:r>
      <w:r>
        <w:rPr>
          <w:rStyle w:val="14"/>
          <w:rFonts w:ascii="仿宋" w:hAnsi="仿宋" w:eastAsia="仿宋"/>
          <w:bCs/>
          <w:color w:val="auto"/>
          <w:sz w:val="32"/>
          <w:szCs w:val="32"/>
          <w:highlight w:val="none"/>
        </w:rPr>
        <w:t>:</w:t>
      </w:r>
      <w:r>
        <w:rPr>
          <w:rStyle w:val="14"/>
          <w:rFonts w:ascii="仿宋" w:hAnsi="仿宋" w:eastAsia="仿宋"/>
          <w:b w:val="0"/>
          <w:bCs/>
          <w:color w:val="auto"/>
          <w:sz w:val="32"/>
          <w:szCs w:val="32"/>
          <w:highlight w:val="none"/>
        </w:rPr>
        <w:t xml:space="preserve"> </w:t>
      </w:r>
      <w:r>
        <w:rPr>
          <w:rStyle w:val="14"/>
          <w:rFonts w:hint="eastAsia" w:ascii="仿宋" w:hAnsi="仿宋" w:eastAsia="仿宋"/>
          <w:b w:val="0"/>
          <w:bCs/>
          <w:color w:val="auto"/>
          <w:sz w:val="32"/>
          <w:szCs w:val="32"/>
          <w:highlight w:val="none"/>
        </w:rPr>
        <w:t>支出决算为</w:t>
      </w:r>
      <w:r>
        <w:rPr>
          <w:rFonts w:hint="eastAsia" w:ascii="仿宋" w:hAnsi="仿宋" w:eastAsia="仿宋"/>
          <w:color w:val="auto"/>
          <w:sz w:val="32"/>
          <w:szCs w:val="32"/>
          <w:highlight w:val="none"/>
        </w:rPr>
        <w:t>54.08</w:t>
      </w:r>
      <w:r>
        <w:rPr>
          <w:rStyle w:val="14"/>
          <w:rFonts w:hint="eastAsia" w:ascii="仿宋" w:hAnsi="仿宋" w:eastAsia="仿宋"/>
          <w:b w:val="0"/>
          <w:bCs/>
          <w:color w:val="auto"/>
          <w:sz w:val="32"/>
          <w:szCs w:val="32"/>
          <w:highlight w:val="none"/>
        </w:rPr>
        <w:t>万元，完成预算</w:t>
      </w:r>
      <w:r>
        <w:rPr>
          <w:rStyle w:val="14"/>
          <w:rFonts w:hint="eastAsia" w:ascii="仿宋" w:hAnsi="仿宋" w:eastAsia="仿宋"/>
          <w:b w:val="0"/>
          <w:bCs/>
          <w:color w:val="auto"/>
          <w:sz w:val="32"/>
          <w:szCs w:val="32"/>
          <w:highlight w:val="none"/>
          <w:lang w:val="en-US" w:eastAsia="zh-CN"/>
        </w:rPr>
        <w:t>100</w:t>
      </w:r>
      <w:r>
        <w:rPr>
          <w:rStyle w:val="14"/>
          <w:rFonts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rPr>
        <w:t>，决算数等于预算数。</w:t>
      </w:r>
    </w:p>
    <w:p>
      <w:pPr>
        <w:numPr>
          <w:ilvl w:val="0"/>
          <w:numId w:val="0"/>
        </w:numPr>
        <w:spacing w:line="600" w:lineRule="exact"/>
        <w:ind w:firstLine="643" w:firstLineChars="200"/>
        <w:rPr>
          <w:color w:val="auto"/>
        </w:rPr>
      </w:pPr>
      <w:r>
        <w:rPr>
          <w:rStyle w:val="14"/>
          <w:rFonts w:hint="eastAsia" w:ascii="仿宋" w:hAnsi="仿宋" w:eastAsia="仿宋"/>
          <w:bCs/>
          <w:color w:val="auto"/>
          <w:sz w:val="32"/>
          <w:szCs w:val="32"/>
          <w:highlight w:val="none"/>
          <w:lang w:val="en-US" w:eastAsia="zh-CN"/>
        </w:rPr>
        <w:t>2.</w:t>
      </w:r>
      <w:r>
        <w:rPr>
          <w:rStyle w:val="14"/>
          <w:rFonts w:hint="eastAsia" w:ascii="仿宋" w:hAnsi="仿宋" w:eastAsia="仿宋"/>
          <w:bCs/>
          <w:color w:val="auto"/>
          <w:sz w:val="32"/>
          <w:szCs w:val="32"/>
          <w:highlight w:val="none"/>
        </w:rPr>
        <w:t>一般公共服务（类）群众团体事务（款）  一般行政管理事务（项）</w:t>
      </w:r>
      <w:r>
        <w:rPr>
          <w:rStyle w:val="14"/>
          <w:rFonts w:ascii="仿宋" w:hAnsi="仿宋" w:eastAsia="仿宋"/>
          <w:bCs/>
          <w:color w:val="auto"/>
          <w:sz w:val="32"/>
          <w:szCs w:val="32"/>
          <w:highlight w:val="none"/>
        </w:rPr>
        <w:t>:</w:t>
      </w:r>
      <w:r>
        <w:rPr>
          <w:rStyle w:val="14"/>
          <w:rFonts w:ascii="仿宋" w:hAnsi="仿宋" w:eastAsia="仿宋"/>
          <w:b w:val="0"/>
          <w:bCs/>
          <w:color w:val="auto"/>
          <w:sz w:val="32"/>
          <w:szCs w:val="32"/>
          <w:highlight w:val="none"/>
        </w:rPr>
        <w:t xml:space="preserve"> </w:t>
      </w:r>
      <w:r>
        <w:rPr>
          <w:rStyle w:val="14"/>
          <w:rFonts w:hint="eastAsia" w:ascii="仿宋" w:hAnsi="仿宋" w:eastAsia="仿宋"/>
          <w:b w:val="0"/>
          <w:bCs/>
          <w:color w:val="auto"/>
          <w:sz w:val="32"/>
          <w:szCs w:val="32"/>
          <w:highlight w:val="none"/>
        </w:rPr>
        <w:t>支出决算为</w:t>
      </w:r>
      <w:r>
        <w:rPr>
          <w:rFonts w:hint="eastAsia" w:ascii="仿宋" w:hAnsi="仿宋" w:eastAsia="仿宋"/>
          <w:color w:val="auto"/>
          <w:sz w:val="32"/>
          <w:szCs w:val="32"/>
          <w:highlight w:val="none"/>
          <w:lang w:val="en-US" w:eastAsia="zh-CN"/>
        </w:rPr>
        <w:t>23.94</w:t>
      </w:r>
      <w:r>
        <w:rPr>
          <w:rStyle w:val="14"/>
          <w:rFonts w:hint="eastAsia" w:ascii="仿宋" w:hAnsi="仿宋" w:eastAsia="仿宋"/>
          <w:b w:val="0"/>
          <w:bCs/>
          <w:color w:val="auto"/>
          <w:sz w:val="32"/>
          <w:szCs w:val="32"/>
          <w:highlight w:val="none"/>
        </w:rPr>
        <w:t>万元，完成预算</w:t>
      </w:r>
      <w:r>
        <w:rPr>
          <w:rStyle w:val="14"/>
          <w:rFonts w:hint="eastAsia" w:ascii="仿宋" w:hAnsi="仿宋" w:eastAsia="仿宋"/>
          <w:b w:val="0"/>
          <w:bCs/>
          <w:color w:val="auto"/>
          <w:sz w:val="32"/>
          <w:szCs w:val="32"/>
          <w:highlight w:val="none"/>
          <w:lang w:val="en-US" w:eastAsia="zh-CN"/>
        </w:rPr>
        <w:t>100</w:t>
      </w:r>
      <w:r>
        <w:rPr>
          <w:rStyle w:val="14"/>
          <w:rFonts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rPr>
        <w:t>，决算数等于预算数。</w:t>
      </w:r>
    </w:p>
    <w:p>
      <w:pPr>
        <w:spacing w:line="600" w:lineRule="exact"/>
        <w:ind w:firstLine="643" w:firstLineChars="200"/>
        <w:rPr>
          <w:rStyle w:val="14"/>
          <w:rFonts w:hint="eastAsia" w:ascii="仿宋" w:hAnsi="仿宋" w:eastAsia="仿宋"/>
          <w:b w:val="0"/>
          <w:bCs/>
          <w:color w:val="auto"/>
          <w:sz w:val="32"/>
          <w:szCs w:val="32"/>
          <w:highlight w:val="none"/>
        </w:rPr>
      </w:pPr>
      <w:r>
        <w:rPr>
          <w:rStyle w:val="14"/>
          <w:rFonts w:hint="eastAsia" w:ascii="仿宋" w:hAnsi="仿宋" w:eastAsia="仿宋"/>
          <w:bCs/>
          <w:color w:val="auto"/>
          <w:sz w:val="32"/>
          <w:szCs w:val="32"/>
          <w:highlight w:val="none"/>
          <w:lang w:val="en-US" w:eastAsia="zh-CN"/>
        </w:rPr>
        <w:t>3</w:t>
      </w:r>
      <w:r>
        <w:rPr>
          <w:rStyle w:val="14"/>
          <w:rFonts w:ascii="仿宋" w:hAnsi="仿宋" w:eastAsia="仿宋"/>
          <w:bCs/>
          <w:color w:val="auto"/>
          <w:sz w:val="32"/>
          <w:szCs w:val="32"/>
          <w:highlight w:val="none"/>
        </w:rPr>
        <w:t>.</w:t>
      </w:r>
      <w:r>
        <w:rPr>
          <w:rStyle w:val="14"/>
          <w:rFonts w:hint="eastAsia" w:ascii="仿宋" w:hAnsi="仿宋" w:eastAsia="仿宋"/>
          <w:bCs/>
          <w:color w:val="auto"/>
          <w:sz w:val="32"/>
          <w:szCs w:val="32"/>
          <w:highlight w:val="none"/>
        </w:rPr>
        <w:t>社会保障和就业（类）行政事业单位养老支出（款） 机关事业单位基本养老保险缴费支出（项）</w:t>
      </w:r>
      <w:r>
        <w:rPr>
          <w:rStyle w:val="14"/>
          <w:rFonts w:ascii="仿宋" w:hAnsi="仿宋" w:eastAsia="仿宋"/>
          <w:bCs/>
          <w:color w:val="auto"/>
          <w:sz w:val="32"/>
          <w:szCs w:val="32"/>
          <w:highlight w:val="none"/>
        </w:rPr>
        <w:t>:</w:t>
      </w:r>
      <w:r>
        <w:rPr>
          <w:rStyle w:val="14"/>
          <w:rFonts w:ascii="仿宋" w:hAnsi="仿宋" w:eastAsia="仿宋"/>
          <w:b w:val="0"/>
          <w:bCs/>
          <w:color w:val="auto"/>
          <w:sz w:val="32"/>
          <w:szCs w:val="32"/>
          <w:highlight w:val="none"/>
        </w:rPr>
        <w:t xml:space="preserve"> </w:t>
      </w:r>
      <w:r>
        <w:rPr>
          <w:rStyle w:val="14"/>
          <w:rFonts w:hint="eastAsia" w:ascii="仿宋" w:hAnsi="仿宋" w:eastAsia="仿宋"/>
          <w:b w:val="0"/>
          <w:bCs/>
          <w:color w:val="auto"/>
          <w:sz w:val="32"/>
          <w:szCs w:val="32"/>
          <w:highlight w:val="none"/>
        </w:rPr>
        <w:t>支出决算为4.58万元，完成预算</w:t>
      </w:r>
      <w:r>
        <w:rPr>
          <w:rStyle w:val="14"/>
          <w:rFonts w:hint="eastAsia" w:ascii="仿宋" w:hAnsi="仿宋" w:eastAsia="仿宋"/>
          <w:b w:val="0"/>
          <w:bCs/>
          <w:color w:val="auto"/>
          <w:sz w:val="32"/>
          <w:szCs w:val="32"/>
          <w:highlight w:val="none"/>
          <w:lang w:val="en-US" w:eastAsia="zh-CN"/>
        </w:rPr>
        <w:t>100</w:t>
      </w:r>
      <w:r>
        <w:rPr>
          <w:rStyle w:val="14"/>
          <w:rFonts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rPr>
        <w:t>，决算数等于预算数。</w:t>
      </w:r>
    </w:p>
    <w:p>
      <w:pPr>
        <w:pStyle w:val="2"/>
        <w:ind w:firstLine="643" w:firstLineChars="200"/>
        <w:rPr>
          <w:rFonts w:hint="eastAsia" w:eastAsia="仿宋"/>
          <w:color w:val="auto"/>
          <w:lang w:eastAsia="zh-CN"/>
        </w:rPr>
      </w:pPr>
      <w:r>
        <w:rPr>
          <w:rStyle w:val="14"/>
          <w:rFonts w:hint="eastAsia" w:ascii="仿宋" w:hAnsi="仿宋" w:eastAsia="仿宋"/>
          <w:bCs/>
          <w:color w:val="auto"/>
          <w:sz w:val="32"/>
          <w:szCs w:val="32"/>
          <w:highlight w:val="none"/>
          <w:lang w:val="en-US" w:eastAsia="zh-CN"/>
        </w:rPr>
        <w:t>4</w:t>
      </w:r>
      <w:r>
        <w:rPr>
          <w:rStyle w:val="14"/>
          <w:rFonts w:ascii="仿宋" w:hAnsi="仿宋" w:eastAsia="仿宋"/>
          <w:bCs/>
          <w:color w:val="auto"/>
          <w:sz w:val="32"/>
          <w:szCs w:val="32"/>
          <w:highlight w:val="none"/>
        </w:rPr>
        <w:t>.</w:t>
      </w:r>
      <w:r>
        <w:rPr>
          <w:rStyle w:val="14"/>
          <w:rFonts w:hint="eastAsia" w:ascii="仿宋" w:hAnsi="仿宋" w:eastAsia="仿宋"/>
          <w:bCs/>
          <w:color w:val="auto"/>
          <w:sz w:val="32"/>
          <w:szCs w:val="32"/>
          <w:highlight w:val="none"/>
        </w:rPr>
        <w:t>社会保障和就业（类）其他社会保障和就业支出（款）   其他社会保障和就业支出（项）</w:t>
      </w:r>
      <w:r>
        <w:rPr>
          <w:rStyle w:val="14"/>
          <w:rFonts w:ascii="仿宋" w:hAnsi="仿宋" w:eastAsia="仿宋"/>
          <w:bCs/>
          <w:color w:val="auto"/>
          <w:sz w:val="32"/>
          <w:szCs w:val="32"/>
          <w:highlight w:val="none"/>
        </w:rPr>
        <w:t>:</w:t>
      </w:r>
      <w:r>
        <w:rPr>
          <w:rStyle w:val="14"/>
          <w:rFonts w:ascii="仿宋" w:hAnsi="仿宋" w:eastAsia="仿宋"/>
          <w:b w:val="0"/>
          <w:bCs/>
          <w:color w:val="auto"/>
          <w:sz w:val="32"/>
          <w:szCs w:val="32"/>
          <w:highlight w:val="none"/>
        </w:rPr>
        <w:t xml:space="preserve"> </w:t>
      </w:r>
      <w:r>
        <w:rPr>
          <w:rStyle w:val="14"/>
          <w:rFonts w:hint="eastAsia" w:ascii="仿宋" w:hAnsi="仿宋" w:eastAsia="仿宋"/>
          <w:b w:val="0"/>
          <w:bCs/>
          <w:color w:val="auto"/>
          <w:sz w:val="32"/>
          <w:szCs w:val="32"/>
          <w:highlight w:val="none"/>
        </w:rPr>
        <w:t>支出决算为140万元，完成预算</w:t>
      </w:r>
      <w:r>
        <w:rPr>
          <w:rStyle w:val="14"/>
          <w:rFonts w:hint="eastAsia" w:ascii="仿宋" w:hAnsi="仿宋" w:eastAsia="仿宋"/>
          <w:b w:val="0"/>
          <w:bCs/>
          <w:color w:val="auto"/>
          <w:sz w:val="32"/>
          <w:szCs w:val="32"/>
          <w:highlight w:val="none"/>
          <w:lang w:val="en-US" w:eastAsia="zh-CN"/>
        </w:rPr>
        <w:t>100</w:t>
      </w:r>
      <w:r>
        <w:rPr>
          <w:rStyle w:val="14"/>
          <w:rFonts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rPr>
        <w:t>，决算数等于预算数</w:t>
      </w:r>
      <w:r>
        <w:rPr>
          <w:rStyle w:val="14"/>
          <w:rFonts w:hint="eastAsia" w:ascii="仿宋" w:hAnsi="仿宋" w:eastAsia="仿宋"/>
          <w:b w:val="0"/>
          <w:bCs/>
          <w:color w:val="auto"/>
          <w:sz w:val="32"/>
          <w:szCs w:val="32"/>
          <w:highlight w:val="none"/>
          <w:lang w:eastAsia="zh-CN"/>
        </w:rPr>
        <w:t>。</w:t>
      </w:r>
    </w:p>
    <w:p>
      <w:pPr>
        <w:spacing w:line="600" w:lineRule="exact"/>
        <w:ind w:firstLine="643" w:firstLineChars="200"/>
        <w:rPr>
          <w:rStyle w:val="14"/>
          <w:rFonts w:hint="eastAsia" w:ascii="仿宋" w:hAnsi="仿宋" w:eastAsia="仿宋"/>
          <w:b w:val="0"/>
          <w:bCs/>
          <w:color w:val="000000" w:themeColor="text1"/>
          <w:sz w:val="32"/>
          <w:szCs w:val="32"/>
          <w:highlight w:val="none"/>
          <w14:textFill>
            <w14:solidFill>
              <w14:schemeClr w14:val="tx1"/>
            </w14:solidFill>
          </w14:textFill>
        </w:rPr>
      </w:pPr>
      <w:r>
        <w:rPr>
          <w:rStyle w:val="14"/>
          <w:rFonts w:hint="eastAsia" w:ascii="仿宋" w:hAnsi="仿宋" w:eastAsia="仿宋"/>
          <w:bCs/>
          <w:color w:val="auto"/>
          <w:sz w:val="32"/>
          <w:szCs w:val="32"/>
          <w:highlight w:val="none"/>
          <w:lang w:val="en-US" w:eastAsia="zh-CN"/>
        </w:rPr>
        <w:t>5</w:t>
      </w:r>
      <w:r>
        <w:rPr>
          <w:rStyle w:val="14"/>
          <w:rFonts w:ascii="仿宋" w:hAnsi="仿宋" w:eastAsia="仿宋"/>
          <w:bCs/>
          <w:color w:val="auto"/>
          <w:sz w:val="32"/>
          <w:szCs w:val="32"/>
          <w:highlight w:val="none"/>
        </w:rPr>
        <w:t>.</w:t>
      </w:r>
      <w:r>
        <w:rPr>
          <w:rFonts w:hint="eastAsia" w:ascii="仿宋" w:hAnsi="仿宋" w:eastAsia="仿宋"/>
          <w:b/>
          <w:bCs/>
          <w:color w:val="auto"/>
          <w:sz w:val="32"/>
          <w:szCs w:val="32"/>
          <w:highlight w:val="none"/>
        </w:rPr>
        <w:t>卫生健康</w:t>
      </w:r>
      <w:r>
        <w:rPr>
          <w:rStyle w:val="14"/>
          <w:rFonts w:hint="eastAsia" w:ascii="仿宋" w:hAnsi="仿宋" w:eastAsia="仿宋"/>
          <w:bCs/>
          <w:color w:val="auto"/>
          <w:sz w:val="32"/>
          <w:szCs w:val="32"/>
          <w:highlight w:val="none"/>
        </w:rPr>
        <w:t>（类）卫生健康支出（款）</w:t>
      </w:r>
      <w:r>
        <w:rPr>
          <w:rStyle w:val="14"/>
          <w:rFonts w:hint="eastAsia" w:ascii="仿宋" w:hAnsi="仿宋" w:eastAsia="仿宋"/>
          <w:bCs/>
          <w:color w:val="000000" w:themeColor="text1"/>
          <w:sz w:val="32"/>
          <w:szCs w:val="32"/>
          <w:highlight w:val="none"/>
          <w14:textFill>
            <w14:solidFill>
              <w14:schemeClr w14:val="tx1"/>
            </w14:solidFill>
          </w14:textFill>
        </w:rPr>
        <w:t>公共卫生（项）</w:t>
      </w:r>
      <w:r>
        <w:rPr>
          <w:rStyle w:val="14"/>
          <w:rFonts w:ascii="仿宋" w:hAnsi="仿宋" w:eastAsia="仿宋"/>
          <w:bCs/>
          <w:color w:val="000000" w:themeColor="text1"/>
          <w:sz w:val="32"/>
          <w:szCs w:val="32"/>
          <w:highlight w:val="none"/>
          <w14:textFill>
            <w14:solidFill>
              <w14:schemeClr w14:val="tx1"/>
            </w14:solidFill>
          </w14:textFill>
        </w:rPr>
        <w:t>:</w:t>
      </w:r>
      <w:bookmarkStart w:id="73" w:name="_GoBack"/>
      <w:bookmarkEnd w:id="73"/>
      <w:r>
        <w:rPr>
          <w:rStyle w:val="14"/>
          <w:rFonts w:hint="eastAsia" w:ascii="仿宋" w:hAnsi="仿宋" w:eastAsia="仿宋"/>
          <w:b w:val="0"/>
          <w:bCs/>
          <w:color w:val="000000" w:themeColor="text1"/>
          <w:sz w:val="32"/>
          <w:szCs w:val="32"/>
          <w:highlight w:val="none"/>
          <w14:textFill>
            <w14:solidFill>
              <w14:schemeClr w14:val="tx1"/>
            </w14:solidFill>
          </w14:textFill>
        </w:rPr>
        <w:t>支出决算为1万元，完成预算</w:t>
      </w:r>
      <w:r>
        <w:rPr>
          <w:rStyle w:val="14"/>
          <w:rFonts w:hint="eastAsia" w:ascii="仿宋" w:hAnsi="仿宋" w:eastAsia="仿宋"/>
          <w:b w:val="0"/>
          <w:bCs/>
          <w:color w:val="000000" w:themeColor="text1"/>
          <w:sz w:val="32"/>
          <w:szCs w:val="32"/>
          <w:highlight w:val="none"/>
          <w:lang w:val="en-US" w:eastAsia="zh-CN"/>
          <w14:textFill>
            <w14:solidFill>
              <w14:schemeClr w14:val="tx1"/>
            </w14:solidFill>
          </w14:textFill>
        </w:rPr>
        <w:t>100</w:t>
      </w:r>
      <w:r>
        <w:rPr>
          <w:rStyle w:val="14"/>
          <w:rFonts w:ascii="仿宋" w:hAnsi="仿宋" w:eastAsia="仿宋"/>
          <w:b w:val="0"/>
          <w:bCs/>
          <w:color w:val="000000" w:themeColor="text1"/>
          <w:sz w:val="32"/>
          <w:szCs w:val="32"/>
          <w:highlight w:val="none"/>
          <w14:textFill>
            <w14:solidFill>
              <w14:schemeClr w14:val="tx1"/>
            </w14:solidFill>
          </w14:textFill>
        </w:rPr>
        <w:t>%</w:t>
      </w:r>
      <w:r>
        <w:rPr>
          <w:rStyle w:val="14"/>
          <w:rFonts w:hint="eastAsia" w:ascii="仿宋" w:hAnsi="仿宋" w:eastAsia="仿宋"/>
          <w:b w:val="0"/>
          <w:bCs/>
          <w:color w:val="000000" w:themeColor="text1"/>
          <w:sz w:val="32"/>
          <w:szCs w:val="32"/>
          <w:highlight w:val="none"/>
          <w14:textFill>
            <w14:solidFill>
              <w14:schemeClr w14:val="tx1"/>
            </w14:solidFill>
          </w14:textFill>
        </w:rPr>
        <w:t>，决算数等于预算数。</w:t>
      </w:r>
    </w:p>
    <w:p>
      <w:pPr>
        <w:pStyle w:val="2"/>
        <w:ind w:firstLine="643" w:firstLineChars="200"/>
        <w:rPr>
          <w:rStyle w:val="14"/>
          <w:rFonts w:hint="eastAsia" w:ascii="仿宋" w:hAnsi="仿宋" w:eastAsia="仿宋"/>
          <w:b w:val="0"/>
          <w:bCs/>
          <w:color w:val="auto"/>
          <w:sz w:val="32"/>
          <w:szCs w:val="32"/>
          <w:highlight w:val="none"/>
        </w:rPr>
      </w:pPr>
      <w:r>
        <w:rPr>
          <w:rStyle w:val="14"/>
          <w:rFonts w:ascii="仿宋" w:hAnsi="仿宋" w:eastAsia="仿宋"/>
          <w:bCs/>
          <w:color w:val="000000" w:themeColor="text1"/>
          <w:sz w:val="32"/>
          <w:szCs w:val="32"/>
          <w:highlight w:val="none"/>
          <w14:textFill>
            <w14:solidFill>
              <w14:schemeClr w14:val="tx1"/>
            </w14:solidFill>
          </w14:textFill>
        </w:rPr>
        <w:t>6.</w:t>
      </w:r>
      <w:r>
        <w:rPr>
          <w:rFonts w:hint="eastAsia" w:ascii="仿宋" w:hAnsi="仿宋" w:eastAsia="仿宋"/>
          <w:b/>
          <w:bCs/>
          <w:color w:val="000000" w:themeColor="text1"/>
          <w:sz w:val="32"/>
          <w:szCs w:val="32"/>
          <w:highlight w:val="none"/>
          <w14:textFill>
            <w14:solidFill>
              <w14:schemeClr w14:val="tx1"/>
            </w14:solidFill>
          </w14:textFill>
        </w:rPr>
        <w:t>卫生健康</w:t>
      </w:r>
      <w:r>
        <w:rPr>
          <w:rStyle w:val="14"/>
          <w:rFonts w:hint="eastAsia" w:ascii="仿宋" w:hAnsi="仿宋" w:eastAsia="仿宋"/>
          <w:bCs/>
          <w:color w:val="000000" w:themeColor="text1"/>
          <w:sz w:val="32"/>
          <w:szCs w:val="32"/>
          <w:highlight w:val="none"/>
          <w14:textFill>
            <w14:solidFill>
              <w14:schemeClr w14:val="tx1"/>
            </w14:solidFill>
          </w14:textFill>
        </w:rPr>
        <w:t>（类）行政事业单位医疗（款）  行政单位医</w:t>
      </w:r>
      <w:r>
        <w:rPr>
          <w:rStyle w:val="14"/>
          <w:rFonts w:hint="eastAsia" w:ascii="仿宋" w:hAnsi="仿宋" w:eastAsia="仿宋"/>
          <w:bCs/>
          <w:color w:val="auto"/>
          <w:sz w:val="32"/>
          <w:szCs w:val="32"/>
          <w:highlight w:val="none"/>
        </w:rPr>
        <w:t>疗（项）</w:t>
      </w:r>
      <w:r>
        <w:rPr>
          <w:rStyle w:val="14"/>
          <w:rFonts w:ascii="仿宋" w:hAnsi="仿宋" w:eastAsia="仿宋"/>
          <w:bCs/>
          <w:color w:val="auto"/>
          <w:sz w:val="32"/>
          <w:szCs w:val="32"/>
          <w:highlight w:val="none"/>
        </w:rPr>
        <w:t>:</w:t>
      </w:r>
      <w:r>
        <w:rPr>
          <w:rStyle w:val="14"/>
          <w:rFonts w:hint="eastAsia" w:ascii="仿宋" w:hAnsi="仿宋" w:eastAsia="仿宋"/>
          <w:b w:val="0"/>
          <w:bCs/>
          <w:color w:val="auto"/>
          <w:sz w:val="32"/>
          <w:szCs w:val="32"/>
          <w:highlight w:val="none"/>
        </w:rPr>
        <w:t>支出决算为</w:t>
      </w:r>
      <w:r>
        <w:rPr>
          <w:rStyle w:val="14"/>
          <w:rFonts w:hint="eastAsia" w:ascii="仿宋" w:hAnsi="仿宋" w:eastAsia="仿宋"/>
          <w:b w:val="0"/>
          <w:bCs/>
          <w:color w:val="auto"/>
          <w:sz w:val="32"/>
          <w:szCs w:val="32"/>
          <w:highlight w:val="none"/>
          <w:lang w:val="en-US" w:eastAsia="zh-CN"/>
        </w:rPr>
        <w:t>2.34</w:t>
      </w:r>
      <w:r>
        <w:rPr>
          <w:rStyle w:val="14"/>
          <w:rFonts w:hint="eastAsia" w:ascii="仿宋" w:hAnsi="仿宋" w:eastAsia="仿宋"/>
          <w:b w:val="0"/>
          <w:bCs/>
          <w:color w:val="auto"/>
          <w:sz w:val="32"/>
          <w:szCs w:val="32"/>
          <w:highlight w:val="none"/>
        </w:rPr>
        <w:t>万元，完成预算</w:t>
      </w:r>
      <w:r>
        <w:rPr>
          <w:rStyle w:val="14"/>
          <w:rFonts w:hint="eastAsia" w:ascii="仿宋" w:hAnsi="仿宋" w:eastAsia="仿宋"/>
          <w:b w:val="0"/>
          <w:bCs/>
          <w:color w:val="auto"/>
          <w:sz w:val="32"/>
          <w:szCs w:val="32"/>
          <w:highlight w:val="none"/>
          <w:lang w:val="en-US" w:eastAsia="zh-CN"/>
        </w:rPr>
        <w:t>100</w:t>
      </w:r>
      <w:r>
        <w:rPr>
          <w:rStyle w:val="14"/>
          <w:rFonts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rPr>
        <w:t>，决算数等于预算数。</w:t>
      </w:r>
    </w:p>
    <w:p>
      <w:pPr>
        <w:pStyle w:val="2"/>
        <w:ind w:firstLine="643" w:firstLineChars="200"/>
        <w:rPr>
          <w:rFonts w:ascii="仿宋" w:hAnsi="仿宋" w:eastAsia="仿宋"/>
          <w:b/>
          <w:color w:val="auto"/>
          <w:sz w:val="32"/>
          <w:szCs w:val="32"/>
          <w:highlight w:val="none"/>
        </w:rPr>
      </w:pPr>
      <w:r>
        <w:rPr>
          <w:rStyle w:val="14"/>
          <w:rFonts w:hint="eastAsia" w:ascii="仿宋" w:hAnsi="仿宋" w:eastAsia="仿宋"/>
          <w:bCs/>
          <w:color w:val="auto"/>
          <w:sz w:val="32"/>
          <w:szCs w:val="32"/>
          <w:highlight w:val="none"/>
          <w:lang w:val="en-US" w:eastAsia="zh-CN"/>
        </w:rPr>
        <w:t>7</w:t>
      </w:r>
      <w:r>
        <w:rPr>
          <w:rStyle w:val="14"/>
          <w:rFonts w:ascii="仿宋" w:hAnsi="仿宋" w:eastAsia="仿宋"/>
          <w:bCs/>
          <w:color w:val="auto"/>
          <w:sz w:val="32"/>
          <w:szCs w:val="32"/>
          <w:highlight w:val="none"/>
        </w:rPr>
        <w:t>.</w:t>
      </w:r>
      <w:r>
        <w:rPr>
          <w:rFonts w:hint="eastAsia" w:ascii="仿宋" w:hAnsi="仿宋" w:eastAsia="仿宋"/>
          <w:b/>
          <w:bCs/>
          <w:color w:val="auto"/>
          <w:sz w:val="32"/>
          <w:szCs w:val="32"/>
          <w:highlight w:val="none"/>
        </w:rPr>
        <w:t>卫生健康</w:t>
      </w:r>
      <w:r>
        <w:rPr>
          <w:rFonts w:hint="eastAsia" w:ascii="仿宋" w:hAnsi="仿宋" w:eastAsia="仿宋"/>
          <w:b/>
          <w:bCs/>
          <w:color w:val="auto"/>
          <w:sz w:val="32"/>
          <w:szCs w:val="32"/>
          <w:highlight w:val="none"/>
          <w:lang w:eastAsia="zh-CN"/>
        </w:rPr>
        <w:t>住房保障支出</w:t>
      </w:r>
      <w:r>
        <w:rPr>
          <w:rStyle w:val="14"/>
          <w:rFonts w:hint="eastAsia" w:ascii="仿宋" w:hAnsi="仿宋" w:eastAsia="仿宋"/>
          <w:bCs/>
          <w:color w:val="auto"/>
          <w:sz w:val="32"/>
          <w:szCs w:val="32"/>
          <w:highlight w:val="none"/>
        </w:rPr>
        <w:t>（类）住房改革支出（款）住房公积金（项）</w:t>
      </w:r>
      <w:r>
        <w:rPr>
          <w:rStyle w:val="14"/>
          <w:rFonts w:ascii="仿宋" w:hAnsi="仿宋" w:eastAsia="仿宋"/>
          <w:bCs/>
          <w:color w:val="auto"/>
          <w:sz w:val="32"/>
          <w:szCs w:val="32"/>
          <w:highlight w:val="none"/>
        </w:rPr>
        <w:t>:</w:t>
      </w:r>
      <w:r>
        <w:rPr>
          <w:rStyle w:val="14"/>
          <w:rFonts w:hint="eastAsia" w:ascii="仿宋" w:hAnsi="仿宋" w:eastAsia="仿宋"/>
          <w:b w:val="0"/>
          <w:bCs/>
          <w:color w:val="auto"/>
          <w:sz w:val="32"/>
          <w:szCs w:val="32"/>
          <w:highlight w:val="none"/>
        </w:rPr>
        <w:t>支出决算为</w:t>
      </w:r>
      <w:r>
        <w:rPr>
          <w:rStyle w:val="14"/>
          <w:rFonts w:hint="eastAsia" w:ascii="仿宋" w:hAnsi="仿宋" w:eastAsia="仿宋"/>
          <w:b w:val="0"/>
          <w:bCs/>
          <w:color w:val="auto"/>
          <w:sz w:val="32"/>
          <w:szCs w:val="32"/>
          <w:highlight w:val="none"/>
          <w:lang w:val="en-US" w:eastAsia="zh-CN"/>
        </w:rPr>
        <w:t>5.69</w:t>
      </w:r>
      <w:r>
        <w:rPr>
          <w:rStyle w:val="14"/>
          <w:rFonts w:hint="eastAsia" w:ascii="仿宋" w:hAnsi="仿宋" w:eastAsia="仿宋"/>
          <w:b w:val="0"/>
          <w:bCs/>
          <w:color w:val="auto"/>
          <w:sz w:val="32"/>
          <w:szCs w:val="32"/>
          <w:highlight w:val="none"/>
        </w:rPr>
        <w:t>万元，完成预算</w:t>
      </w:r>
      <w:r>
        <w:rPr>
          <w:rStyle w:val="14"/>
          <w:rFonts w:hint="eastAsia" w:ascii="仿宋" w:hAnsi="仿宋" w:eastAsia="仿宋"/>
          <w:b w:val="0"/>
          <w:bCs/>
          <w:color w:val="auto"/>
          <w:sz w:val="32"/>
          <w:szCs w:val="32"/>
          <w:highlight w:val="none"/>
          <w:lang w:val="en-US" w:eastAsia="zh-CN"/>
        </w:rPr>
        <w:t>100</w:t>
      </w:r>
      <w:r>
        <w:rPr>
          <w:rStyle w:val="14"/>
          <w:rFonts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rPr>
        <w:t>，决算数等于预算数。</w:t>
      </w:r>
    </w:p>
    <w:p>
      <w:pPr>
        <w:tabs>
          <w:tab w:val="right" w:pos="8306"/>
        </w:tabs>
        <w:spacing w:line="600" w:lineRule="exact"/>
        <w:ind w:firstLine="640"/>
        <w:outlineLvl w:val="1"/>
        <w:rPr>
          <w:rStyle w:val="25"/>
          <w:color w:val="auto"/>
          <w:highlight w:val="none"/>
        </w:rPr>
      </w:pPr>
      <w:bookmarkStart w:id="40" w:name="_Toc15377214"/>
      <w:bookmarkStart w:id="41" w:name="_Toc15396608"/>
      <w:r>
        <w:rPr>
          <w:rFonts w:hint="eastAsia" w:ascii="黑体" w:eastAsia="黑体"/>
          <w:color w:val="auto"/>
          <w:sz w:val="32"/>
          <w:szCs w:val="32"/>
          <w:highlight w:val="none"/>
        </w:rPr>
        <w:t>六</w:t>
      </w:r>
      <w:r>
        <w:rPr>
          <w:rFonts w:hint="eastAsia" w:ascii="黑体" w:eastAsia="黑体"/>
          <w:b/>
          <w:color w:val="auto"/>
          <w:sz w:val="32"/>
          <w:szCs w:val="32"/>
          <w:highlight w:val="none"/>
        </w:rPr>
        <w:t>、</w:t>
      </w:r>
      <w:r>
        <w:rPr>
          <w:rFonts w:hint="eastAsia" w:ascii="黑体" w:hAnsi="黑体" w:eastAsia="黑体"/>
          <w:b/>
          <w:color w:val="auto"/>
          <w:sz w:val="32"/>
          <w:szCs w:val="32"/>
          <w:highlight w:val="none"/>
        </w:rPr>
        <w:t>一</w:t>
      </w:r>
      <w:r>
        <w:rPr>
          <w:rStyle w:val="25"/>
          <w:rFonts w:hint="eastAsia" w:ascii="黑体" w:hAnsi="黑体" w:eastAsia="黑体"/>
          <w:b w:val="0"/>
          <w:color w:val="auto"/>
          <w:highlight w:val="none"/>
        </w:rPr>
        <w:t>般公共预算财政拨款基本支出决算情况说明</w:t>
      </w:r>
      <w:bookmarkEnd w:id="40"/>
      <w:bookmarkEnd w:id="41"/>
      <w:r>
        <w:rPr>
          <w:rStyle w:val="25"/>
          <w:rFonts w:ascii="黑体" w:hAnsi="黑体" w:eastAsia="黑体"/>
          <w:b w:val="0"/>
          <w:color w:val="auto"/>
          <w:highlight w:val="none"/>
        </w:rPr>
        <w:tab/>
      </w:r>
    </w:p>
    <w:p>
      <w:pPr>
        <w:spacing w:line="600" w:lineRule="exact"/>
        <w:ind w:firstLine="645"/>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年一般公共预算财政拨款基本支出</w:t>
      </w:r>
      <w:r>
        <w:rPr>
          <w:rFonts w:hint="eastAsia" w:ascii="仿宋" w:hAnsi="仿宋" w:eastAsia="仿宋"/>
          <w:color w:val="auto"/>
          <w:sz w:val="32"/>
          <w:szCs w:val="32"/>
          <w:highlight w:val="none"/>
          <w:lang w:val="en-US" w:eastAsia="zh-CN"/>
        </w:rPr>
        <w:t>66.7</w:t>
      </w:r>
      <w:r>
        <w:rPr>
          <w:rFonts w:hint="eastAsia" w:ascii="仿宋" w:hAnsi="仿宋" w:eastAsia="仿宋"/>
          <w:color w:val="auto"/>
          <w:sz w:val="32"/>
          <w:szCs w:val="32"/>
          <w:highlight w:val="none"/>
        </w:rPr>
        <w:t>万元，其中：</w:t>
      </w:r>
    </w:p>
    <w:p>
      <w:pPr>
        <w:spacing w:line="600" w:lineRule="exact"/>
        <w:ind w:firstLine="645"/>
        <w:rPr>
          <w:rFonts w:hint="eastAsia" w:ascii="仿宋" w:hAnsi="仿宋" w:eastAsia="仿宋"/>
          <w:color w:val="auto"/>
          <w:sz w:val="32"/>
          <w:szCs w:val="32"/>
          <w:highlight w:val="none"/>
          <w:lang w:eastAsia="zh-CN"/>
        </w:rPr>
      </w:pPr>
      <w:r>
        <w:rPr>
          <w:rFonts w:hint="eastAsia" w:ascii="仿宋" w:hAnsi="仿宋" w:eastAsia="仿宋"/>
          <w:color w:val="auto"/>
          <w:sz w:val="32"/>
          <w:szCs w:val="32"/>
          <w:highlight w:val="none"/>
        </w:rPr>
        <w:t>人员经费59.1万元，主要包括：基本工资、津贴补贴、奖金、伙食补助费、绩效工资、机关事业单位基本养老保险缴费、职业年金缴费、其他社会保障缴费、其他工资福利支出、离休费、退休费、抚恤金、生活补助、医疗费补助、奖励金、住房公积金、其他对个人和家庭的补助支出等。</w:t>
      </w:r>
    </w:p>
    <w:p>
      <w:pPr>
        <w:spacing w:line="600" w:lineRule="exact"/>
        <w:ind w:firstLine="645"/>
        <w:rPr>
          <w:rFonts w:ascii="仿宋" w:hAnsi="仿宋" w:eastAsia="仿宋"/>
          <w:b/>
          <w:color w:val="auto"/>
          <w:sz w:val="32"/>
          <w:szCs w:val="32"/>
          <w:highlight w:val="none"/>
        </w:rPr>
      </w:pPr>
      <w:r>
        <w:rPr>
          <w:rFonts w:hint="eastAsia" w:ascii="仿宋" w:hAnsi="仿宋" w:eastAsia="仿宋"/>
          <w:color w:val="auto"/>
          <w:sz w:val="32"/>
          <w:szCs w:val="32"/>
          <w:highlight w:val="none"/>
        </w:rPr>
        <w:t>公用经费7.6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pPr>
        <w:spacing w:line="600" w:lineRule="exact"/>
        <w:ind w:firstLine="640"/>
        <w:outlineLvl w:val="1"/>
        <w:rPr>
          <w:rStyle w:val="25"/>
          <w:rFonts w:ascii="黑体" w:hAnsi="黑体" w:eastAsia="黑体"/>
          <w:b w:val="0"/>
          <w:color w:val="auto"/>
          <w:highlight w:val="none"/>
        </w:rPr>
      </w:pPr>
      <w:bookmarkStart w:id="42" w:name="_Toc15377215"/>
      <w:bookmarkStart w:id="43" w:name="_Toc15396609"/>
      <w:r>
        <w:rPr>
          <w:rFonts w:hint="eastAsia" w:ascii="黑体" w:eastAsia="黑体"/>
          <w:color w:val="auto"/>
          <w:sz w:val="32"/>
          <w:szCs w:val="32"/>
          <w:highlight w:val="none"/>
        </w:rPr>
        <w:t>七、</w:t>
      </w:r>
      <w:r>
        <w:rPr>
          <w:rStyle w:val="25"/>
          <w:rFonts w:hint="eastAsia" w:ascii="黑体" w:hAnsi="黑体" w:eastAsia="黑体"/>
          <w:color w:val="auto"/>
          <w:highlight w:val="none"/>
        </w:rPr>
        <w:t>“</w:t>
      </w:r>
      <w:r>
        <w:rPr>
          <w:rStyle w:val="25"/>
          <w:rFonts w:hint="eastAsia" w:ascii="黑体" w:hAnsi="黑体" w:eastAsia="黑体"/>
          <w:b w:val="0"/>
          <w:color w:val="auto"/>
          <w:highlight w:val="none"/>
        </w:rPr>
        <w:t>三公”经费财政拨款支出决算情况说明</w:t>
      </w:r>
      <w:bookmarkEnd w:id="42"/>
      <w:bookmarkEnd w:id="43"/>
    </w:p>
    <w:p>
      <w:pPr>
        <w:spacing w:line="600" w:lineRule="exact"/>
        <w:ind w:firstLine="640"/>
        <w:outlineLvl w:val="2"/>
        <w:rPr>
          <w:rFonts w:ascii="仿宋" w:hAnsi="仿宋" w:eastAsia="仿宋"/>
          <w:b/>
          <w:color w:val="auto"/>
          <w:sz w:val="32"/>
          <w:szCs w:val="32"/>
          <w:highlight w:val="none"/>
        </w:rPr>
      </w:pPr>
      <w:bookmarkStart w:id="44" w:name="_Toc15377216"/>
      <w:r>
        <w:rPr>
          <w:rFonts w:hint="eastAsia" w:ascii="仿宋" w:hAnsi="仿宋" w:eastAsia="仿宋"/>
          <w:b/>
          <w:color w:val="auto"/>
          <w:sz w:val="32"/>
          <w:szCs w:val="32"/>
          <w:highlight w:val="none"/>
        </w:rPr>
        <w:t>（一）“三公”经费财政拨款支出决算总体情况说明</w:t>
      </w:r>
      <w:bookmarkEnd w:id="44"/>
    </w:p>
    <w:p>
      <w:pPr>
        <w:spacing w:line="600" w:lineRule="exact"/>
        <w:ind w:firstLine="640"/>
        <w:rPr>
          <w:rFonts w:hint="eastAsia" w:ascii="仿宋" w:hAnsi="仿宋" w:eastAsia="仿宋"/>
          <w:color w:val="auto"/>
          <w:sz w:val="32"/>
          <w:szCs w:val="32"/>
          <w:highlight w:val="none"/>
          <w:lang w:eastAsia="zh-CN"/>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年“三公”经费财政拨款支出决算为0.24万元，完成预算</w:t>
      </w:r>
      <w:r>
        <w:rPr>
          <w:rFonts w:hint="eastAsia" w:ascii="仿宋" w:hAnsi="仿宋" w:eastAsia="仿宋"/>
          <w:color w:val="auto"/>
          <w:sz w:val="32"/>
          <w:szCs w:val="32"/>
          <w:highlight w:val="none"/>
          <w:lang w:val="en-US" w:eastAsia="zh-CN"/>
        </w:rPr>
        <w:t>100</w:t>
      </w:r>
      <w:r>
        <w:rPr>
          <w:rFonts w:ascii="仿宋" w:hAnsi="仿宋" w:eastAsia="仿宋"/>
          <w:color w:val="auto"/>
          <w:sz w:val="32"/>
          <w:szCs w:val="32"/>
          <w:highlight w:val="none"/>
        </w:rPr>
        <w:t>%</w:t>
      </w:r>
      <w:r>
        <w:rPr>
          <w:rFonts w:hint="eastAsia" w:ascii="仿宋" w:hAnsi="仿宋" w:eastAsia="仿宋"/>
          <w:color w:val="auto"/>
          <w:sz w:val="32"/>
          <w:szCs w:val="32"/>
          <w:highlight w:val="none"/>
          <w:lang w:eastAsia="zh-CN"/>
        </w:rPr>
        <w:t>。</w:t>
      </w:r>
    </w:p>
    <w:p>
      <w:pPr>
        <w:spacing w:line="600" w:lineRule="exact"/>
        <w:ind w:firstLine="640"/>
        <w:outlineLvl w:val="2"/>
        <w:rPr>
          <w:rFonts w:ascii="仿宋" w:hAnsi="仿宋" w:eastAsia="仿宋"/>
          <w:b/>
          <w:color w:val="auto"/>
          <w:sz w:val="32"/>
          <w:szCs w:val="32"/>
          <w:highlight w:val="none"/>
        </w:rPr>
      </w:pPr>
      <w:bookmarkStart w:id="45" w:name="_Toc15377217"/>
      <w:r>
        <w:rPr>
          <w:rFonts w:hint="eastAsia" w:ascii="仿宋" w:hAnsi="仿宋" w:eastAsia="仿宋"/>
          <w:b/>
          <w:color w:val="auto"/>
          <w:sz w:val="32"/>
          <w:szCs w:val="32"/>
          <w:highlight w:val="none"/>
        </w:rPr>
        <w:t>（二）“三公”经费财政拨款支出决算具体情况说明</w:t>
      </w:r>
      <w:bookmarkEnd w:id="45"/>
    </w:p>
    <w:p>
      <w:pPr>
        <w:spacing w:line="600" w:lineRule="exact"/>
        <w:ind w:firstLine="640"/>
        <w:rPr>
          <w:rFonts w:hint="eastAsia" w:ascii="仿宋" w:hAnsi="仿宋" w:eastAsia="仿宋"/>
          <w:color w:val="000000" w:themeColor="text1"/>
          <w:sz w:val="32"/>
          <w:szCs w:val="32"/>
          <w:highlight w:val="none"/>
          <w14:textFill>
            <w14:solidFill>
              <w14:schemeClr w14:val="tx1"/>
            </w14:solidFill>
          </w14:textFill>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年“三公”经费财政拨款支出决算中，因公出国（境）费支出决算</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；公务用车购置及运行维护费支出决算</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；公务接待费支出决算</w:t>
      </w:r>
      <w:r>
        <w:rPr>
          <w:rFonts w:hint="eastAsia" w:ascii="仿宋" w:hAnsi="仿宋" w:eastAsia="仿宋"/>
          <w:color w:val="000000" w:themeColor="text1"/>
          <w:sz w:val="32"/>
          <w:szCs w:val="32"/>
          <w:highlight w:val="none"/>
          <w14:textFill>
            <w14:solidFill>
              <w14:schemeClr w14:val="tx1"/>
            </w14:solidFill>
          </w14:textFill>
        </w:rPr>
        <w:t>0.24万元，占</w:t>
      </w:r>
      <w:r>
        <w:rPr>
          <w:rFonts w:hint="eastAsia" w:ascii="仿宋" w:hAnsi="仿宋" w:eastAsia="仿宋"/>
          <w:color w:val="000000" w:themeColor="text1"/>
          <w:sz w:val="32"/>
          <w:szCs w:val="32"/>
          <w:highlight w:val="none"/>
          <w:lang w:val="en-US" w:eastAsia="zh-CN"/>
          <w14:textFill>
            <w14:solidFill>
              <w14:schemeClr w14:val="tx1"/>
            </w14:solidFill>
          </w14:textFill>
        </w:rPr>
        <w:t>100</w:t>
      </w:r>
      <w:r>
        <w:rPr>
          <w:rFonts w:ascii="仿宋" w:hAnsi="仿宋" w:eastAsia="仿宋"/>
          <w:color w:val="000000" w:themeColor="text1"/>
          <w:sz w:val="32"/>
          <w:szCs w:val="32"/>
          <w:highlight w:val="none"/>
          <w14:textFill>
            <w14:solidFill>
              <w14:schemeClr w14:val="tx1"/>
            </w14:solidFill>
          </w14:textFill>
        </w:rPr>
        <w:t>%</w:t>
      </w:r>
      <w:r>
        <w:rPr>
          <w:rFonts w:hint="eastAsia" w:ascii="仿宋" w:hAnsi="仿宋" w:eastAsia="仿宋"/>
          <w:color w:val="000000" w:themeColor="text1"/>
          <w:sz w:val="32"/>
          <w:szCs w:val="32"/>
          <w:highlight w:val="none"/>
          <w14:textFill>
            <w14:solidFill>
              <w14:schemeClr w14:val="tx1"/>
            </w14:solidFill>
          </w14:textFill>
        </w:rPr>
        <w:t>。具体情况如下：</w:t>
      </w:r>
    </w:p>
    <w:p>
      <w:r>
        <w:rPr>
          <w:rFonts w:ascii="仿宋" w:hAnsi="仿宋" w:eastAsia="仿宋"/>
          <w:sz w:val="32"/>
          <w:szCs w:val="32"/>
        </w:rPr>
        <w:drawing>
          <wp:anchor distT="0" distB="0" distL="0" distR="0" simplePos="0" relativeHeight="251659264" behindDoc="0" locked="0" layoutInCell="1" allowOverlap="1">
            <wp:simplePos x="0" y="0"/>
            <wp:positionH relativeFrom="column">
              <wp:posOffset>541655</wp:posOffset>
            </wp:positionH>
            <wp:positionV relativeFrom="paragraph">
              <wp:posOffset>90170</wp:posOffset>
            </wp:positionV>
            <wp:extent cx="3996055" cy="1927860"/>
            <wp:effectExtent l="4445" t="4445" r="7620" b="18415"/>
            <wp:wrapSquare wrapText="bothSides"/>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pPr>
        <w:spacing w:line="600" w:lineRule="exact"/>
        <w:ind w:firstLine="640"/>
        <w:rPr>
          <w:rFonts w:hint="eastAsia" w:ascii="仿宋" w:hAnsi="仿宋" w:eastAsia="仿宋"/>
          <w:color w:val="auto"/>
          <w:sz w:val="32"/>
          <w:szCs w:val="32"/>
          <w:highlight w:val="none"/>
        </w:rPr>
      </w:pPr>
    </w:p>
    <w:p>
      <w:pPr>
        <w:spacing w:line="600" w:lineRule="exact"/>
        <w:ind w:firstLine="640"/>
        <w:rPr>
          <w:rFonts w:hint="eastAsia" w:ascii="仿宋" w:hAnsi="仿宋" w:eastAsia="仿宋"/>
          <w:color w:val="auto"/>
          <w:sz w:val="32"/>
          <w:szCs w:val="32"/>
          <w:highlight w:val="none"/>
        </w:rPr>
      </w:pPr>
    </w:p>
    <w:p>
      <w:pPr>
        <w:spacing w:line="600" w:lineRule="exact"/>
        <w:ind w:firstLine="640"/>
        <w:rPr>
          <w:rFonts w:ascii="仿宋" w:hAnsi="仿宋" w:eastAsia="仿宋"/>
          <w:color w:val="auto"/>
          <w:sz w:val="32"/>
          <w:szCs w:val="32"/>
          <w:highlight w:val="none"/>
        </w:rPr>
      </w:pPr>
      <w:r>
        <w:rPr>
          <w:rFonts w:hint="eastAsia" w:ascii="仿宋" w:hAnsi="仿宋" w:eastAsia="仿宋"/>
          <w:color w:val="auto"/>
          <w:sz w:val="32"/>
          <w:szCs w:val="32"/>
          <w:highlight w:val="none"/>
        </w:rPr>
        <w:t>（图7：“三公”经费财政拨款支出结构）（饼状图）</w:t>
      </w:r>
    </w:p>
    <w:p>
      <w:pPr>
        <w:numPr>
          <w:ilvl w:val="0"/>
          <w:numId w:val="3"/>
        </w:numPr>
        <w:spacing w:line="600" w:lineRule="exact"/>
        <w:ind w:firstLine="640"/>
        <w:rPr>
          <w:rFonts w:hint="eastAsia" w:ascii="仿宋" w:hAnsi="仿宋" w:eastAsia="仿宋" w:cs="仿宋"/>
          <w:color w:val="auto"/>
          <w:sz w:val="32"/>
          <w:szCs w:val="32"/>
          <w:highlight w:val="none"/>
        </w:rPr>
      </w:pPr>
      <w:r>
        <w:rPr>
          <w:rFonts w:hint="eastAsia" w:ascii="仿宋_GB2312" w:eastAsia="仿宋_GB2312"/>
          <w:b/>
          <w:color w:val="auto"/>
          <w:sz w:val="32"/>
          <w:szCs w:val="32"/>
          <w:highlight w:val="none"/>
        </w:rPr>
        <w:t>因公出国（境）经费支出</w:t>
      </w:r>
      <w:r>
        <w:rPr>
          <w:rFonts w:hint="eastAsia" w:ascii="仿宋" w:hAnsi="仿宋" w:eastAsia="仿宋" w:cs="仿宋"/>
          <w:color w:val="auto"/>
          <w:sz w:val="32"/>
          <w:szCs w:val="32"/>
          <w:highlight w:val="none"/>
          <w:lang w:val="en-US" w:eastAsia="zh-CN"/>
        </w:rPr>
        <w:t>0</w:t>
      </w:r>
      <w:r>
        <w:rPr>
          <w:rFonts w:hint="eastAsia" w:ascii="仿宋" w:hAnsi="仿宋" w:eastAsia="仿宋" w:cs="仿宋"/>
          <w:color w:val="auto"/>
          <w:sz w:val="32"/>
          <w:szCs w:val="32"/>
          <w:highlight w:val="none"/>
        </w:rPr>
        <w:t>万元，</w:t>
      </w:r>
      <w:r>
        <w:rPr>
          <w:rStyle w:val="14"/>
          <w:rFonts w:hint="eastAsia" w:ascii="仿宋" w:hAnsi="仿宋" w:eastAsia="仿宋" w:cs="仿宋"/>
          <w:b w:val="0"/>
          <w:bCs/>
          <w:color w:val="auto"/>
          <w:sz w:val="32"/>
          <w:szCs w:val="32"/>
          <w:highlight w:val="none"/>
        </w:rPr>
        <w:t>完成预算</w:t>
      </w:r>
      <w:r>
        <w:rPr>
          <w:rStyle w:val="14"/>
          <w:rFonts w:hint="eastAsia" w:ascii="仿宋" w:hAnsi="仿宋" w:eastAsia="仿宋" w:cs="仿宋"/>
          <w:b w:val="0"/>
          <w:bCs/>
          <w:color w:val="auto"/>
          <w:sz w:val="32"/>
          <w:szCs w:val="32"/>
          <w:highlight w:val="none"/>
          <w:lang w:val="en-US" w:eastAsia="zh-CN"/>
        </w:rPr>
        <w:t>0</w:t>
      </w:r>
      <w:r>
        <w:rPr>
          <w:rStyle w:val="14"/>
          <w:rFonts w:hint="eastAsia" w:ascii="仿宋" w:hAnsi="仿宋" w:eastAsia="仿宋" w:cs="仿宋"/>
          <w:b w:val="0"/>
          <w:bCs/>
          <w:color w:val="auto"/>
          <w:sz w:val="32"/>
          <w:szCs w:val="32"/>
          <w:highlight w:val="none"/>
        </w:rPr>
        <w:t>%。</w:t>
      </w:r>
      <w:r>
        <w:rPr>
          <w:rFonts w:hint="eastAsia" w:ascii="仿宋" w:hAnsi="仿宋" w:eastAsia="仿宋" w:cs="仿宋"/>
          <w:color w:val="auto"/>
          <w:sz w:val="32"/>
          <w:szCs w:val="32"/>
          <w:highlight w:val="none"/>
        </w:rPr>
        <w:t>全年安排因公出国（境）团组</w:t>
      </w:r>
      <w:r>
        <w:rPr>
          <w:rFonts w:hint="eastAsia" w:ascii="仿宋" w:hAnsi="仿宋" w:eastAsia="仿宋" w:cs="仿宋"/>
          <w:color w:val="auto"/>
          <w:sz w:val="32"/>
          <w:szCs w:val="32"/>
          <w:highlight w:val="none"/>
          <w:lang w:val="en-US" w:eastAsia="zh-CN"/>
        </w:rPr>
        <w:t>0</w:t>
      </w:r>
      <w:r>
        <w:rPr>
          <w:rFonts w:hint="eastAsia" w:ascii="仿宋" w:hAnsi="仿宋" w:eastAsia="仿宋" w:cs="仿宋"/>
          <w:color w:val="auto"/>
          <w:sz w:val="32"/>
          <w:szCs w:val="32"/>
          <w:highlight w:val="none"/>
        </w:rPr>
        <w:t>次，出国（境）</w:t>
      </w:r>
      <w:r>
        <w:rPr>
          <w:rFonts w:hint="eastAsia" w:ascii="仿宋" w:hAnsi="仿宋" w:eastAsia="仿宋" w:cs="仿宋"/>
          <w:color w:val="auto"/>
          <w:sz w:val="32"/>
          <w:szCs w:val="32"/>
          <w:highlight w:val="none"/>
          <w:lang w:val="en-US" w:eastAsia="zh-CN"/>
        </w:rPr>
        <w:t>0</w:t>
      </w:r>
      <w:r>
        <w:rPr>
          <w:rFonts w:hint="eastAsia" w:ascii="仿宋" w:hAnsi="仿宋" w:eastAsia="仿宋" w:cs="仿宋"/>
          <w:color w:val="auto"/>
          <w:sz w:val="32"/>
          <w:szCs w:val="32"/>
          <w:highlight w:val="none"/>
        </w:rPr>
        <w:t>人</w:t>
      </w:r>
      <w:r>
        <w:rPr>
          <w:rFonts w:hint="eastAsia" w:ascii="仿宋" w:hAnsi="仿宋" w:eastAsia="仿宋" w:cs="仿宋"/>
          <w:color w:val="auto"/>
          <w:sz w:val="32"/>
          <w:szCs w:val="32"/>
          <w:highlight w:val="none"/>
          <w:lang w:eastAsia="zh-CN"/>
        </w:rPr>
        <w:t>。</w:t>
      </w:r>
    </w:p>
    <w:p>
      <w:pPr>
        <w:spacing w:line="600" w:lineRule="exact"/>
        <w:ind w:firstLine="643" w:firstLineChars="200"/>
        <w:rPr>
          <w:rFonts w:hint="eastAsia" w:ascii="仿宋" w:hAnsi="仿宋" w:eastAsia="仿宋" w:cs="仿宋"/>
          <w:b/>
          <w:color w:val="auto"/>
          <w:sz w:val="32"/>
          <w:szCs w:val="32"/>
          <w:highlight w:val="none"/>
          <w:lang w:eastAsia="zh-CN"/>
        </w:rPr>
      </w:pPr>
      <w:r>
        <w:rPr>
          <w:rFonts w:ascii="仿宋_GB2312" w:eastAsia="仿宋_GB2312"/>
          <w:b/>
          <w:color w:val="auto"/>
          <w:sz w:val="32"/>
          <w:szCs w:val="32"/>
          <w:highlight w:val="none"/>
        </w:rPr>
        <w:t>2.</w:t>
      </w:r>
      <w:r>
        <w:rPr>
          <w:rFonts w:hint="eastAsia" w:ascii="仿宋_GB2312" w:eastAsia="仿宋_GB2312"/>
          <w:b/>
          <w:color w:val="auto"/>
          <w:sz w:val="32"/>
          <w:szCs w:val="32"/>
          <w:highlight w:val="none"/>
        </w:rPr>
        <w:t>公务用车购置及运行维护费支出</w:t>
      </w:r>
      <w:r>
        <w:rPr>
          <w:rFonts w:hint="eastAsia" w:ascii="仿宋" w:hAnsi="仿宋" w:eastAsia="仿宋" w:cs="仿宋"/>
          <w:color w:val="auto"/>
          <w:sz w:val="32"/>
          <w:szCs w:val="32"/>
          <w:highlight w:val="none"/>
          <w:lang w:val="en-US" w:eastAsia="zh-CN"/>
        </w:rPr>
        <w:t>0</w:t>
      </w:r>
      <w:r>
        <w:rPr>
          <w:rFonts w:hint="eastAsia" w:ascii="仿宋" w:hAnsi="仿宋" w:eastAsia="仿宋" w:cs="仿宋"/>
          <w:color w:val="auto"/>
          <w:sz w:val="32"/>
          <w:szCs w:val="32"/>
          <w:highlight w:val="none"/>
        </w:rPr>
        <w:t>万元,</w:t>
      </w:r>
      <w:r>
        <w:rPr>
          <w:rStyle w:val="14"/>
          <w:rFonts w:hint="eastAsia" w:ascii="仿宋" w:hAnsi="仿宋" w:eastAsia="仿宋" w:cs="仿宋"/>
          <w:b w:val="0"/>
          <w:bCs/>
          <w:color w:val="auto"/>
          <w:sz w:val="32"/>
          <w:szCs w:val="32"/>
          <w:highlight w:val="none"/>
        </w:rPr>
        <w:t>完成预算</w:t>
      </w:r>
      <w:r>
        <w:rPr>
          <w:rStyle w:val="14"/>
          <w:rFonts w:hint="eastAsia" w:ascii="仿宋" w:hAnsi="仿宋" w:eastAsia="仿宋" w:cs="仿宋"/>
          <w:b w:val="0"/>
          <w:bCs/>
          <w:color w:val="auto"/>
          <w:sz w:val="32"/>
          <w:szCs w:val="32"/>
          <w:highlight w:val="none"/>
          <w:lang w:val="en-US" w:eastAsia="zh-CN"/>
        </w:rPr>
        <w:t>0</w:t>
      </w:r>
      <w:r>
        <w:rPr>
          <w:rStyle w:val="14"/>
          <w:rFonts w:hint="eastAsia" w:ascii="仿宋" w:hAnsi="仿宋" w:eastAsia="仿宋" w:cs="仿宋"/>
          <w:b w:val="0"/>
          <w:bCs/>
          <w:color w:val="auto"/>
          <w:sz w:val="32"/>
          <w:szCs w:val="32"/>
          <w:highlight w:val="none"/>
        </w:rPr>
        <w:t>%。</w:t>
      </w:r>
      <w:r>
        <w:rPr>
          <w:rFonts w:hint="eastAsia" w:ascii="仿宋" w:hAnsi="仿宋" w:eastAsia="仿宋" w:cs="仿宋"/>
          <w:color w:val="auto"/>
          <w:sz w:val="32"/>
          <w:szCs w:val="32"/>
          <w:highlight w:val="none"/>
        </w:rPr>
        <w:t>公务用车购置及运行维护费支出决算比20</w:t>
      </w:r>
      <w:r>
        <w:rPr>
          <w:rFonts w:hint="eastAsia" w:ascii="仿宋" w:hAnsi="仿宋" w:eastAsia="仿宋" w:cs="仿宋"/>
          <w:color w:val="auto"/>
          <w:sz w:val="32"/>
          <w:szCs w:val="32"/>
          <w:highlight w:val="none"/>
          <w:lang w:val="en-US" w:eastAsia="zh-CN"/>
        </w:rPr>
        <w:t>20</w:t>
      </w:r>
      <w:r>
        <w:rPr>
          <w:rFonts w:hint="eastAsia" w:ascii="仿宋" w:hAnsi="仿宋" w:eastAsia="仿宋" w:cs="仿宋"/>
          <w:color w:val="auto"/>
          <w:sz w:val="32"/>
          <w:szCs w:val="32"/>
          <w:highlight w:val="none"/>
        </w:rPr>
        <w:t>年</w:t>
      </w:r>
      <w:r>
        <w:rPr>
          <w:rFonts w:hint="eastAsia" w:ascii="仿宋" w:hAnsi="仿宋" w:eastAsia="仿宋" w:cs="仿宋"/>
          <w:color w:val="auto"/>
          <w:sz w:val="32"/>
          <w:szCs w:val="32"/>
          <w:highlight w:val="none"/>
          <w:lang w:eastAsia="zh-CN"/>
        </w:rPr>
        <w:t>持平。</w:t>
      </w:r>
    </w:p>
    <w:p>
      <w:pPr>
        <w:spacing w:line="600" w:lineRule="exact"/>
        <w:ind w:firstLine="640" w:firstLineChars="200"/>
        <w:rPr>
          <w:rFonts w:hint="eastAsia" w:ascii="仿宋" w:hAnsi="仿宋" w:eastAsia="仿宋" w:cs="仿宋"/>
          <w:b/>
          <w:color w:val="auto"/>
          <w:sz w:val="32"/>
          <w:szCs w:val="32"/>
          <w:highlight w:val="none"/>
        </w:rPr>
      </w:pPr>
      <w:r>
        <w:rPr>
          <w:rFonts w:hint="eastAsia" w:ascii="仿宋_GB2312" w:eastAsia="仿宋_GB2312"/>
          <w:color w:val="auto"/>
          <w:sz w:val="32"/>
          <w:szCs w:val="32"/>
          <w:highlight w:val="none"/>
        </w:rPr>
        <w:t>其中：</w:t>
      </w:r>
      <w:r>
        <w:rPr>
          <w:rFonts w:hint="eastAsia" w:ascii="仿宋_GB2312" w:eastAsia="仿宋_GB2312"/>
          <w:b/>
          <w:color w:val="auto"/>
          <w:sz w:val="32"/>
          <w:szCs w:val="32"/>
          <w:highlight w:val="none"/>
        </w:rPr>
        <w:t>公务用车购置支出</w:t>
      </w:r>
      <w:r>
        <w:rPr>
          <w:rFonts w:hint="eastAsia" w:ascii="仿宋" w:hAnsi="仿宋" w:eastAsia="仿宋" w:cs="仿宋"/>
          <w:color w:val="auto"/>
          <w:sz w:val="32"/>
          <w:szCs w:val="32"/>
          <w:highlight w:val="none"/>
          <w:lang w:val="en-US" w:eastAsia="zh-CN"/>
        </w:rPr>
        <w:t>0</w:t>
      </w:r>
      <w:r>
        <w:rPr>
          <w:rFonts w:hint="eastAsia" w:ascii="仿宋" w:hAnsi="仿宋" w:eastAsia="仿宋" w:cs="仿宋"/>
          <w:color w:val="auto"/>
          <w:sz w:val="32"/>
          <w:szCs w:val="32"/>
          <w:highlight w:val="none"/>
        </w:rPr>
        <w:t>万元。全年按规定更新购置公务用车</w:t>
      </w:r>
      <w:r>
        <w:rPr>
          <w:rFonts w:hint="eastAsia" w:ascii="仿宋" w:hAnsi="仿宋" w:eastAsia="仿宋" w:cs="仿宋"/>
          <w:color w:val="auto"/>
          <w:sz w:val="32"/>
          <w:szCs w:val="32"/>
          <w:highlight w:val="none"/>
          <w:lang w:val="en-US" w:eastAsia="zh-CN"/>
        </w:rPr>
        <w:t>0</w:t>
      </w:r>
      <w:r>
        <w:rPr>
          <w:rFonts w:hint="eastAsia" w:ascii="仿宋" w:hAnsi="仿宋" w:eastAsia="仿宋" w:cs="仿宋"/>
          <w:color w:val="auto"/>
          <w:sz w:val="32"/>
          <w:szCs w:val="32"/>
          <w:highlight w:val="none"/>
        </w:rPr>
        <w:t>辆，其中：轿车</w:t>
      </w:r>
      <w:r>
        <w:rPr>
          <w:rFonts w:hint="eastAsia" w:ascii="仿宋" w:hAnsi="仿宋" w:eastAsia="仿宋" w:cs="仿宋"/>
          <w:color w:val="auto"/>
          <w:sz w:val="32"/>
          <w:szCs w:val="32"/>
          <w:highlight w:val="none"/>
          <w:lang w:val="en-US" w:eastAsia="zh-CN"/>
        </w:rPr>
        <w:t>0</w:t>
      </w:r>
      <w:r>
        <w:rPr>
          <w:rFonts w:hint="eastAsia" w:ascii="仿宋" w:hAnsi="仿宋" w:eastAsia="仿宋" w:cs="仿宋"/>
          <w:color w:val="auto"/>
          <w:sz w:val="32"/>
          <w:szCs w:val="32"/>
          <w:highlight w:val="none"/>
        </w:rPr>
        <w:t>辆、金额</w:t>
      </w:r>
      <w:r>
        <w:rPr>
          <w:rFonts w:hint="eastAsia" w:ascii="仿宋" w:hAnsi="仿宋" w:eastAsia="仿宋" w:cs="仿宋"/>
          <w:color w:val="auto"/>
          <w:sz w:val="32"/>
          <w:szCs w:val="32"/>
          <w:highlight w:val="none"/>
          <w:lang w:val="en-US" w:eastAsia="zh-CN"/>
        </w:rPr>
        <w:t>0</w:t>
      </w:r>
      <w:r>
        <w:rPr>
          <w:rFonts w:hint="eastAsia" w:ascii="仿宋" w:hAnsi="仿宋" w:eastAsia="仿宋" w:cs="仿宋"/>
          <w:color w:val="auto"/>
          <w:sz w:val="32"/>
          <w:szCs w:val="32"/>
          <w:highlight w:val="none"/>
        </w:rPr>
        <w:t>万元，越野车</w:t>
      </w:r>
      <w:r>
        <w:rPr>
          <w:rFonts w:hint="eastAsia" w:ascii="仿宋" w:hAnsi="仿宋" w:eastAsia="仿宋" w:cs="仿宋"/>
          <w:color w:val="auto"/>
          <w:sz w:val="32"/>
          <w:szCs w:val="32"/>
          <w:highlight w:val="none"/>
          <w:lang w:val="en-US" w:eastAsia="zh-CN"/>
        </w:rPr>
        <w:t>0</w:t>
      </w:r>
      <w:r>
        <w:rPr>
          <w:rFonts w:hint="eastAsia" w:ascii="仿宋" w:hAnsi="仿宋" w:eastAsia="仿宋" w:cs="仿宋"/>
          <w:color w:val="auto"/>
          <w:sz w:val="32"/>
          <w:szCs w:val="32"/>
          <w:highlight w:val="none"/>
        </w:rPr>
        <w:t>辆、金额</w:t>
      </w:r>
      <w:r>
        <w:rPr>
          <w:rFonts w:hint="eastAsia" w:ascii="仿宋" w:hAnsi="仿宋" w:eastAsia="仿宋" w:cs="仿宋"/>
          <w:color w:val="auto"/>
          <w:sz w:val="32"/>
          <w:szCs w:val="32"/>
          <w:highlight w:val="none"/>
          <w:lang w:val="en-US" w:eastAsia="zh-CN"/>
        </w:rPr>
        <w:t>0</w:t>
      </w:r>
      <w:r>
        <w:rPr>
          <w:rFonts w:hint="eastAsia" w:ascii="仿宋" w:hAnsi="仿宋" w:eastAsia="仿宋" w:cs="仿宋"/>
          <w:color w:val="auto"/>
          <w:sz w:val="32"/>
          <w:szCs w:val="32"/>
          <w:highlight w:val="none"/>
        </w:rPr>
        <w:t>万元，载客汽车</w:t>
      </w:r>
      <w:r>
        <w:rPr>
          <w:rFonts w:hint="eastAsia" w:ascii="仿宋" w:hAnsi="仿宋" w:eastAsia="仿宋" w:cs="仿宋"/>
          <w:color w:val="auto"/>
          <w:sz w:val="32"/>
          <w:szCs w:val="32"/>
          <w:highlight w:val="none"/>
          <w:lang w:val="en-US" w:eastAsia="zh-CN"/>
        </w:rPr>
        <w:t>0</w:t>
      </w:r>
      <w:r>
        <w:rPr>
          <w:rFonts w:hint="eastAsia" w:ascii="仿宋" w:hAnsi="仿宋" w:eastAsia="仿宋" w:cs="仿宋"/>
          <w:color w:val="auto"/>
          <w:sz w:val="32"/>
          <w:szCs w:val="32"/>
          <w:highlight w:val="none"/>
        </w:rPr>
        <w:t>辆、金额</w:t>
      </w:r>
      <w:r>
        <w:rPr>
          <w:rFonts w:hint="eastAsia" w:ascii="仿宋" w:hAnsi="仿宋" w:eastAsia="仿宋" w:cs="仿宋"/>
          <w:color w:val="auto"/>
          <w:sz w:val="32"/>
          <w:szCs w:val="32"/>
          <w:highlight w:val="none"/>
          <w:lang w:val="en-US" w:eastAsia="zh-CN"/>
        </w:rPr>
        <w:t>0</w:t>
      </w:r>
      <w:r>
        <w:rPr>
          <w:rFonts w:hint="eastAsia" w:ascii="仿宋" w:hAnsi="仿宋" w:eastAsia="仿宋" w:cs="仿宋"/>
          <w:color w:val="auto"/>
          <w:sz w:val="32"/>
          <w:szCs w:val="32"/>
          <w:highlight w:val="none"/>
        </w:rPr>
        <w:t>万元。截至20</w:t>
      </w:r>
      <w:r>
        <w:rPr>
          <w:rFonts w:hint="eastAsia" w:ascii="仿宋" w:hAnsi="仿宋" w:eastAsia="仿宋" w:cs="仿宋"/>
          <w:color w:val="auto"/>
          <w:sz w:val="32"/>
          <w:szCs w:val="32"/>
          <w:highlight w:val="none"/>
          <w:lang w:val="en-US" w:eastAsia="zh-CN"/>
        </w:rPr>
        <w:t>21</w:t>
      </w:r>
      <w:r>
        <w:rPr>
          <w:rFonts w:hint="eastAsia" w:ascii="仿宋" w:hAnsi="仿宋" w:eastAsia="仿宋" w:cs="仿宋"/>
          <w:color w:val="auto"/>
          <w:sz w:val="32"/>
          <w:szCs w:val="32"/>
          <w:highlight w:val="none"/>
        </w:rPr>
        <w:t>年12月底，单位共有公务用车</w:t>
      </w:r>
      <w:r>
        <w:rPr>
          <w:rFonts w:hint="eastAsia" w:ascii="仿宋" w:hAnsi="仿宋" w:eastAsia="仿宋" w:cs="仿宋"/>
          <w:color w:val="auto"/>
          <w:sz w:val="32"/>
          <w:szCs w:val="32"/>
          <w:highlight w:val="none"/>
          <w:lang w:val="en-US" w:eastAsia="zh-CN"/>
        </w:rPr>
        <w:t>0</w:t>
      </w:r>
      <w:r>
        <w:rPr>
          <w:rFonts w:hint="eastAsia" w:ascii="仿宋" w:hAnsi="仿宋" w:eastAsia="仿宋" w:cs="仿宋"/>
          <w:color w:val="auto"/>
          <w:sz w:val="32"/>
          <w:szCs w:val="32"/>
          <w:highlight w:val="none"/>
        </w:rPr>
        <w:t>辆，其中：轿车</w:t>
      </w:r>
      <w:r>
        <w:rPr>
          <w:rFonts w:hint="eastAsia" w:ascii="仿宋" w:hAnsi="仿宋" w:eastAsia="仿宋" w:cs="仿宋"/>
          <w:color w:val="auto"/>
          <w:sz w:val="32"/>
          <w:szCs w:val="32"/>
          <w:highlight w:val="none"/>
          <w:lang w:val="en-US" w:eastAsia="zh-CN"/>
        </w:rPr>
        <w:t>0</w:t>
      </w:r>
      <w:r>
        <w:rPr>
          <w:rFonts w:hint="eastAsia" w:ascii="仿宋" w:hAnsi="仿宋" w:eastAsia="仿宋" w:cs="仿宋"/>
          <w:color w:val="auto"/>
          <w:sz w:val="32"/>
          <w:szCs w:val="32"/>
          <w:highlight w:val="none"/>
        </w:rPr>
        <w:t>辆、越野车</w:t>
      </w:r>
      <w:r>
        <w:rPr>
          <w:rFonts w:hint="eastAsia" w:ascii="仿宋" w:hAnsi="仿宋" w:eastAsia="仿宋" w:cs="仿宋"/>
          <w:color w:val="auto"/>
          <w:sz w:val="32"/>
          <w:szCs w:val="32"/>
          <w:highlight w:val="none"/>
          <w:lang w:val="en-US" w:eastAsia="zh-CN"/>
        </w:rPr>
        <w:t>0</w:t>
      </w:r>
      <w:r>
        <w:rPr>
          <w:rFonts w:hint="eastAsia" w:ascii="仿宋" w:hAnsi="仿宋" w:eastAsia="仿宋" w:cs="仿宋"/>
          <w:color w:val="auto"/>
          <w:sz w:val="32"/>
          <w:szCs w:val="32"/>
          <w:highlight w:val="none"/>
        </w:rPr>
        <w:t>辆、载客汽车</w:t>
      </w:r>
      <w:r>
        <w:rPr>
          <w:rFonts w:hint="eastAsia" w:ascii="仿宋" w:hAnsi="仿宋" w:eastAsia="仿宋" w:cs="仿宋"/>
          <w:color w:val="auto"/>
          <w:sz w:val="32"/>
          <w:szCs w:val="32"/>
          <w:highlight w:val="none"/>
          <w:lang w:val="en-US" w:eastAsia="zh-CN"/>
        </w:rPr>
        <w:t>0</w:t>
      </w:r>
      <w:r>
        <w:rPr>
          <w:rFonts w:hint="eastAsia" w:ascii="仿宋" w:hAnsi="仿宋" w:eastAsia="仿宋" w:cs="仿宋"/>
          <w:color w:val="auto"/>
          <w:sz w:val="32"/>
          <w:szCs w:val="32"/>
          <w:highlight w:val="none"/>
        </w:rPr>
        <w:t>辆。</w:t>
      </w:r>
    </w:p>
    <w:p>
      <w:pPr>
        <w:spacing w:line="600" w:lineRule="exact"/>
        <w:ind w:firstLine="640"/>
        <w:rPr>
          <w:rFonts w:hint="eastAsia" w:ascii="仿宋_GB2312" w:eastAsia="仿宋_GB2312"/>
          <w:color w:val="auto"/>
          <w:sz w:val="32"/>
          <w:szCs w:val="32"/>
          <w:highlight w:val="none"/>
        </w:rPr>
      </w:pPr>
      <w:r>
        <w:rPr>
          <w:rFonts w:hint="eastAsia" w:ascii="仿宋_GB2312" w:eastAsia="仿宋_GB2312"/>
          <w:b/>
          <w:color w:val="auto"/>
          <w:sz w:val="32"/>
          <w:szCs w:val="32"/>
          <w:highlight w:val="none"/>
        </w:rPr>
        <w:t>公务用车运行维护费支出</w:t>
      </w:r>
      <w:r>
        <w:rPr>
          <w:rFonts w:hint="eastAsia" w:ascii="仿宋" w:hAnsi="仿宋" w:eastAsia="仿宋" w:cs="仿宋"/>
          <w:color w:val="auto"/>
          <w:sz w:val="32"/>
          <w:szCs w:val="32"/>
          <w:highlight w:val="none"/>
          <w:lang w:val="en-US" w:eastAsia="zh-CN"/>
        </w:rPr>
        <w:t>0</w:t>
      </w:r>
      <w:r>
        <w:rPr>
          <w:rFonts w:hint="eastAsia" w:ascii="仿宋" w:hAnsi="仿宋" w:eastAsia="仿宋" w:cs="仿宋"/>
          <w:color w:val="auto"/>
          <w:sz w:val="32"/>
          <w:szCs w:val="32"/>
          <w:highlight w:val="none"/>
        </w:rPr>
        <w:t>万元。</w:t>
      </w:r>
    </w:p>
    <w:p>
      <w:pPr>
        <w:spacing w:line="600" w:lineRule="exact"/>
        <w:ind w:firstLine="640"/>
        <w:rPr>
          <w:rFonts w:hint="eastAsia" w:ascii="仿宋" w:hAnsi="仿宋" w:eastAsia="仿宋" w:cs="仿宋"/>
          <w:color w:val="auto"/>
          <w:sz w:val="32"/>
          <w:szCs w:val="32"/>
          <w:highlight w:val="none"/>
        </w:rPr>
      </w:pPr>
      <w:r>
        <w:rPr>
          <w:rFonts w:ascii="仿宋_GB2312" w:eastAsia="仿宋_GB2312"/>
          <w:b/>
          <w:color w:val="auto"/>
          <w:sz w:val="32"/>
          <w:szCs w:val="32"/>
          <w:highlight w:val="none"/>
        </w:rPr>
        <w:t>3.</w:t>
      </w:r>
      <w:r>
        <w:rPr>
          <w:rFonts w:hint="eastAsia" w:ascii="仿宋_GB2312" w:eastAsia="仿宋_GB2312"/>
          <w:b/>
          <w:color w:val="auto"/>
          <w:sz w:val="32"/>
          <w:szCs w:val="32"/>
          <w:highlight w:val="none"/>
        </w:rPr>
        <w:t>公务接待费支出</w:t>
      </w:r>
      <w:r>
        <w:rPr>
          <w:rFonts w:hint="eastAsia" w:ascii="仿宋" w:hAnsi="仿宋" w:eastAsia="仿宋" w:cs="仿宋"/>
          <w:color w:val="auto"/>
          <w:sz w:val="32"/>
          <w:szCs w:val="32"/>
          <w:highlight w:val="none"/>
          <w:lang w:val="en-US" w:eastAsia="zh-CN"/>
        </w:rPr>
        <w:t>0.24</w:t>
      </w:r>
      <w:r>
        <w:rPr>
          <w:rFonts w:hint="eastAsia" w:ascii="仿宋" w:hAnsi="仿宋" w:eastAsia="仿宋" w:cs="仿宋"/>
          <w:color w:val="auto"/>
          <w:sz w:val="32"/>
          <w:szCs w:val="32"/>
          <w:highlight w:val="none"/>
        </w:rPr>
        <w:t>万元，</w:t>
      </w:r>
      <w:r>
        <w:rPr>
          <w:rStyle w:val="14"/>
          <w:rFonts w:hint="eastAsia" w:ascii="仿宋" w:hAnsi="仿宋" w:eastAsia="仿宋" w:cs="仿宋"/>
          <w:b w:val="0"/>
          <w:bCs/>
          <w:color w:val="auto"/>
          <w:sz w:val="32"/>
          <w:szCs w:val="32"/>
          <w:highlight w:val="none"/>
        </w:rPr>
        <w:t>完成预算</w:t>
      </w:r>
      <w:r>
        <w:rPr>
          <w:rStyle w:val="14"/>
          <w:rFonts w:hint="eastAsia" w:ascii="仿宋" w:hAnsi="仿宋" w:eastAsia="仿宋" w:cs="仿宋"/>
          <w:b w:val="0"/>
          <w:bCs/>
          <w:color w:val="auto"/>
          <w:sz w:val="32"/>
          <w:szCs w:val="32"/>
          <w:highlight w:val="none"/>
          <w:lang w:val="en-US" w:eastAsia="zh-CN"/>
        </w:rPr>
        <w:t>100</w:t>
      </w:r>
      <w:r>
        <w:rPr>
          <w:rStyle w:val="14"/>
          <w:rFonts w:hint="eastAsia" w:ascii="仿宋" w:hAnsi="仿宋" w:eastAsia="仿宋" w:cs="仿宋"/>
          <w:b w:val="0"/>
          <w:bCs/>
          <w:color w:val="auto"/>
          <w:sz w:val="32"/>
          <w:szCs w:val="32"/>
          <w:highlight w:val="none"/>
        </w:rPr>
        <w:t>%。</w:t>
      </w:r>
      <w:r>
        <w:rPr>
          <w:rFonts w:hint="eastAsia" w:ascii="仿宋" w:hAnsi="仿宋" w:eastAsia="仿宋" w:cs="仿宋"/>
          <w:color w:val="auto"/>
          <w:sz w:val="32"/>
          <w:szCs w:val="32"/>
          <w:highlight w:val="none"/>
        </w:rPr>
        <w:t>公务接待费支出决算比20</w:t>
      </w:r>
      <w:r>
        <w:rPr>
          <w:rFonts w:hint="eastAsia" w:ascii="仿宋" w:hAnsi="仿宋" w:eastAsia="仿宋" w:cs="仿宋"/>
          <w:color w:val="auto"/>
          <w:sz w:val="32"/>
          <w:szCs w:val="32"/>
          <w:highlight w:val="none"/>
          <w:lang w:val="en-US" w:eastAsia="zh-CN"/>
        </w:rPr>
        <w:t>20</w:t>
      </w:r>
      <w:r>
        <w:rPr>
          <w:rFonts w:hint="eastAsia" w:ascii="仿宋" w:hAnsi="仿宋" w:eastAsia="仿宋" w:cs="仿宋"/>
          <w:color w:val="auto"/>
          <w:sz w:val="32"/>
          <w:szCs w:val="32"/>
          <w:highlight w:val="none"/>
        </w:rPr>
        <w:t>年</w:t>
      </w:r>
      <w:r>
        <w:rPr>
          <w:rFonts w:hint="eastAsia" w:ascii="仿宋" w:hAnsi="仿宋" w:eastAsia="仿宋" w:cs="仿宋"/>
          <w:color w:val="auto"/>
          <w:sz w:val="32"/>
          <w:szCs w:val="32"/>
          <w:highlight w:val="none"/>
          <w:lang w:eastAsia="zh-CN"/>
        </w:rPr>
        <w:t>减少</w:t>
      </w:r>
      <w:r>
        <w:rPr>
          <w:rFonts w:hint="eastAsia" w:ascii="仿宋" w:hAnsi="仿宋" w:eastAsia="仿宋" w:cs="仿宋"/>
          <w:color w:val="auto"/>
          <w:sz w:val="32"/>
          <w:szCs w:val="32"/>
          <w:highlight w:val="none"/>
          <w:lang w:val="en-US" w:eastAsia="zh-CN"/>
        </w:rPr>
        <w:t>0.49</w:t>
      </w:r>
      <w:r>
        <w:rPr>
          <w:rFonts w:hint="eastAsia" w:ascii="仿宋" w:hAnsi="仿宋" w:eastAsia="仿宋" w:cs="仿宋"/>
          <w:color w:val="auto"/>
          <w:sz w:val="32"/>
          <w:szCs w:val="32"/>
          <w:highlight w:val="none"/>
        </w:rPr>
        <w:t>万元，</w:t>
      </w:r>
      <w:r>
        <w:rPr>
          <w:rFonts w:hint="eastAsia" w:ascii="仿宋" w:hAnsi="仿宋" w:eastAsia="仿宋" w:cs="仿宋"/>
          <w:color w:val="auto"/>
          <w:sz w:val="32"/>
          <w:szCs w:val="32"/>
          <w:highlight w:val="none"/>
          <w:lang w:eastAsia="zh-CN"/>
        </w:rPr>
        <w:t>减少</w:t>
      </w:r>
      <w:r>
        <w:rPr>
          <w:rFonts w:hint="eastAsia" w:ascii="仿宋" w:hAnsi="仿宋" w:eastAsia="仿宋" w:cs="仿宋"/>
          <w:color w:val="auto"/>
          <w:sz w:val="32"/>
          <w:szCs w:val="32"/>
          <w:highlight w:val="none"/>
          <w:lang w:val="en-US" w:eastAsia="zh-CN"/>
        </w:rPr>
        <w:t>67</w:t>
      </w:r>
      <w:r>
        <w:rPr>
          <w:rFonts w:hint="eastAsia" w:ascii="仿宋" w:hAnsi="仿宋" w:eastAsia="仿宋" w:cs="仿宋"/>
          <w:color w:val="auto"/>
          <w:sz w:val="32"/>
          <w:szCs w:val="32"/>
          <w:highlight w:val="none"/>
        </w:rPr>
        <w:t>%。主要原因是</w:t>
      </w:r>
      <w:r>
        <w:rPr>
          <w:rFonts w:hint="eastAsia" w:ascii="仿宋" w:hAnsi="仿宋" w:eastAsia="仿宋" w:cs="仿宋"/>
          <w:color w:val="auto"/>
          <w:sz w:val="32"/>
          <w:szCs w:val="32"/>
          <w:highlight w:val="none"/>
          <w:lang w:val="en-US" w:eastAsia="zh-CN"/>
        </w:rPr>
        <w:t>2022年度</w:t>
      </w:r>
      <w:r>
        <w:rPr>
          <w:rFonts w:hint="eastAsia" w:ascii="仿宋_GB2312" w:eastAsia="仿宋_GB2312"/>
          <w:color w:val="auto"/>
          <w:sz w:val="32"/>
          <w:szCs w:val="32"/>
          <w:highlight w:val="none"/>
          <w:lang w:val="en-US" w:eastAsia="zh-CN"/>
        </w:rPr>
        <w:t>厉行节约</w:t>
      </w:r>
      <w:r>
        <w:rPr>
          <w:rFonts w:hint="eastAsia" w:ascii="仿宋" w:hAnsi="仿宋" w:eastAsia="仿宋" w:cs="仿宋"/>
          <w:color w:val="auto"/>
          <w:sz w:val="32"/>
          <w:szCs w:val="32"/>
          <w:highlight w:val="none"/>
        </w:rPr>
        <w:t>。</w:t>
      </w:r>
    </w:p>
    <w:p>
      <w:pPr>
        <w:spacing w:line="600" w:lineRule="exact"/>
        <w:ind w:firstLine="640"/>
        <w:rPr>
          <w:rFonts w:hint="eastAsia" w:ascii="仿宋_GB2312" w:eastAsia="仿宋_GB2312"/>
          <w:color w:val="auto"/>
          <w:sz w:val="32"/>
          <w:szCs w:val="32"/>
          <w:highlight w:val="none"/>
          <w:lang w:eastAsia="zh-CN"/>
        </w:rPr>
      </w:pPr>
      <w:r>
        <w:rPr>
          <w:rFonts w:hint="eastAsia" w:ascii="仿宋" w:hAnsi="仿宋" w:eastAsia="仿宋"/>
          <w:b/>
          <w:color w:val="auto"/>
          <w:sz w:val="32"/>
          <w:szCs w:val="32"/>
          <w:highlight w:val="none"/>
        </w:rPr>
        <w:t>国内公务接待支出</w:t>
      </w:r>
      <w:r>
        <w:rPr>
          <w:rFonts w:hint="eastAsia" w:ascii="仿宋" w:hAnsi="仿宋" w:eastAsia="仿宋"/>
          <w:color w:val="auto"/>
          <w:sz w:val="32"/>
          <w:szCs w:val="32"/>
          <w:highlight w:val="none"/>
          <w:lang w:val="en-US" w:eastAsia="zh-CN"/>
        </w:rPr>
        <w:t>0</w:t>
      </w:r>
      <w:r>
        <w:rPr>
          <w:rFonts w:hint="eastAsia" w:ascii="仿宋_GB2312" w:eastAsia="仿宋_GB2312"/>
          <w:color w:val="auto"/>
          <w:sz w:val="32"/>
          <w:szCs w:val="32"/>
          <w:highlight w:val="none"/>
        </w:rPr>
        <w:t>万元</w:t>
      </w:r>
      <w:r>
        <w:rPr>
          <w:rFonts w:hint="eastAsia" w:ascii="仿宋_GB2312" w:eastAsia="仿宋_GB2312"/>
          <w:color w:val="auto"/>
          <w:sz w:val="32"/>
          <w:szCs w:val="32"/>
          <w:highlight w:val="none"/>
          <w:lang w:eastAsia="zh-CN"/>
        </w:rPr>
        <w:t>。</w:t>
      </w:r>
    </w:p>
    <w:p>
      <w:pPr>
        <w:spacing w:line="600" w:lineRule="exact"/>
        <w:ind w:firstLine="643" w:firstLineChars="200"/>
        <w:rPr>
          <w:rFonts w:hint="eastAsia" w:ascii="仿宋_GB2312" w:eastAsia="仿宋_GB2312"/>
          <w:color w:val="auto"/>
          <w:sz w:val="32"/>
          <w:szCs w:val="32"/>
          <w:highlight w:val="none"/>
          <w:lang w:eastAsia="zh-CN"/>
        </w:rPr>
      </w:pPr>
      <w:r>
        <w:rPr>
          <w:rFonts w:hint="eastAsia" w:ascii="仿宋" w:hAnsi="仿宋" w:eastAsia="仿宋"/>
          <w:b/>
          <w:color w:val="auto"/>
          <w:sz w:val="32"/>
          <w:szCs w:val="32"/>
          <w:highlight w:val="none"/>
        </w:rPr>
        <w:t>外事接待支出</w:t>
      </w:r>
      <w:r>
        <w:rPr>
          <w:rFonts w:hint="eastAsia" w:ascii="仿宋" w:hAnsi="仿宋" w:eastAsia="仿宋"/>
          <w:color w:val="auto"/>
          <w:sz w:val="32"/>
          <w:szCs w:val="32"/>
          <w:highlight w:val="none"/>
          <w:lang w:val="en-US" w:eastAsia="zh-CN"/>
        </w:rPr>
        <w:t>0</w:t>
      </w:r>
      <w:r>
        <w:rPr>
          <w:rFonts w:hint="eastAsia" w:ascii="仿宋_GB2312" w:eastAsia="仿宋_GB2312"/>
          <w:color w:val="auto"/>
          <w:sz w:val="32"/>
          <w:szCs w:val="32"/>
          <w:highlight w:val="none"/>
        </w:rPr>
        <w:t>万元</w:t>
      </w:r>
      <w:r>
        <w:rPr>
          <w:rFonts w:hint="eastAsia" w:ascii="仿宋_GB2312" w:eastAsia="仿宋_GB2312"/>
          <w:color w:val="auto"/>
          <w:sz w:val="32"/>
          <w:szCs w:val="32"/>
          <w:highlight w:val="none"/>
          <w:lang w:eastAsia="zh-CN"/>
        </w:rPr>
        <w:t>。</w:t>
      </w:r>
    </w:p>
    <w:p>
      <w:pPr>
        <w:spacing w:line="600" w:lineRule="exact"/>
        <w:ind w:right="840" w:rightChars="400" w:firstLine="640"/>
        <w:outlineLvl w:val="1"/>
        <w:rPr>
          <w:rStyle w:val="25"/>
          <w:rFonts w:ascii="黑体" w:hAnsi="黑体" w:eastAsia="黑体"/>
          <w:color w:val="auto"/>
          <w:highlight w:val="none"/>
        </w:rPr>
      </w:pPr>
      <w:bookmarkStart w:id="46" w:name="_Toc15377218"/>
      <w:bookmarkStart w:id="47" w:name="_Toc15396610"/>
      <w:r>
        <w:rPr>
          <w:rFonts w:hint="eastAsia" w:ascii="黑体" w:eastAsia="黑体"/>
          <w:color w:val="auto"/>
          <w:sz w:val="32"/>
          <w:szCs w:val="32"/>
          <w:highlight w:val="none"/>
        </w:rPr>
        <w:t>八、</w:t>
      </w:r>
      <w:r>
        <w:rPr>
          <w:rStyle w:val="25"/>
          <w:rFonts w:hint="eastAsia" w:ascii="黑体" w:hAnsi="黑体" w:eastAsia="黑体"/>
          <w:b w:val="0"/>
          <w:color w:val="auto"/>
          <w:highlight w:val="none"/>
        </w:rPr>
        <w:t>政府性基金预算支出决算情况说明</w:t>
      </w:r>
      <w:bookmarkEnd w:id="46"/>
      <w:bookmarkEnd w:id="47"/>
    </w:p>
    <w:p>
      <w:pPr>
        <w:spacing w:line="600" w:lineRule="exact"/>
        <w:ind w:firstLine="640"/>
      </w:pPr>
      <w:r>
        <w:rPr>
          <w:rFonts w:hint="eastAsia" w:ascii="仿宋" w:hAnsi="仿宋" w:eastAsia="仿宋" w:cs="仿宋"/>
          <w:color w:val="auto"/>
          <w:sz w:val="32"/>
          <w:szCs w:val="32"/>
          <w:highlight w:val="none"/>
        </w:rPr>
        <w:t>20</w:t>
      </w:r>
      <w:r>
        <w:rPr>
          <w:rFonts w:hint="eastAsia" w:ascii="仿宋" w:hAnsi="仿宋" w:eastAsia="仿宋" w:cs="仿宋"/>
          <w:color w:val="auto"/>
          <w:sz w:val="32"/>
          <w:szCs w:val="32"/>
          <w:highlight w:val="none"/>
          <w:lang w:val="en-US" w:eastAsia="zh-CN"/>
        </w:rPr>
        <w:t>21</w:t>
      </w:r>
      <w:r>
        <w:rPr>
          <w:rFonts w:hint="eastAsia" w:ascii="仿宋" w:hAnsi="仿宋" w:eastAsia="仿宋" w:cs="仿宋"/>
          <w:color w:val="auto"/>
          <w:sz w:val="32"/>
          <w:szCs w:val="32"/>
          <w:highlight w:val="none"/>
        </w:rPr>
        <w:t>年政府性基金预算</w:t>
      </w:r>
      <w:r>
        <w:rPr>
          <w:rFonts w:hint="eastAsia" w:ascii="仿宋" w:hAnsi="仿宋" w:eastAsia="仿宋" w:cs="仿宋"/>
          <w:color w:val="auto"/>
          <w:sz w:val="32"/>
          <w:szCs w:val="32"/>
          <w:highlight w:val="none"/>
          <w:lang w:eastAsia="zh-CN"/>
        </w:rPr>
        <w:t>财政</w:t>
      </w:r>
      <w:r>
        <w:rPr>
          <w:rFonts w:hint="eastAsia" w:ascii="仿宋" w:hAnsi="仿宋" w:eastAsia="仿宋" w:cs="仿宋"/>
          <w:color w:val="auto"/>
          <w:sz w:val="32"/>
          <w:szCs w:val="32"/>
          <w:highlight w:val="none"/>
        </w:rPr>
        <w:t>拨款支出</w:t>
      </w:r>
      <w:r>
        <w:rPr>
          <w:rFonts w:hint="eastAsia" w:ascii="仿宋" w:hAnsi="仿宋" w:eastAsia="仿宋" w:cs="仿宋"/>
          <w:color w:val="auto"/>
          <w:sz w:val="32"/>
          <w:szCs w:val="32"/>
          <w:highlight w:val="none"/>
          <w:lang w:val="en-US" w:eastAsia="zh-CN"/>
        </w:rPr>
        <w:t>0</w:t>
      </w:r>
      <w:r>
        <w:rPr>
          <w:rFonts w:hint="eastAsia" w:ascii="仿宋" w:hAnsi="仿宋" w:eastAsia="仿宋" w:cs="仿宋"/>
          <w:color w:val="auto"/>
          <w:sz w:val="32"/>
          <w:szCs w:val="32"/>
          <w:highlight w:val="none"/>
        </w:rPr>
        <w:t>万元</w:t>
      </w:r>
      <w:r>
        <w:rPr>
          <w:rFonts w:hint="eastAsia" w:ascii="仿宋_GB2312" w:eastAsia="仿宋_GB2312"/>
          <w:color w:val="auto"/>
          <w:sz w:val="32"/>
          <w:szCs w:val="32"/>
          <w:highlight w:val="none"/>
        </w:rPr>
        <w:t>。</w:t>
      </w:r>
    </w:p>
    <w:p>
      <w:pPr>
        <w:numPr>
          <w:ilvl w:val="0"/>
          <w:numId w:val="4"/>
        </w:numPr>
        <w:spacing w:line="600" w:lineRule="exact"/>
        <w:ind w:firstLine="640"/>
        <w:outlineLvl w:val="1"/>
        <w:rPr>
          <w:rStyle w:val="25"/>
          <w:rFonts w:ascii="黑体" w:hAnsi="黑体" w:eastAsia="黑体"/>
          <w:b w:val="0"/>
          <w:color w:val="auto"/>
          <w:highlight w:val="none"/>
        </w:rPr>
      </w:pPr>
      <w:bookmarkStart w:id="48" w:name="_Toc15396611"/>
      <w:bookmarkStart w:id="49" w:name="_Toc15377219"/>
      <w:r>
        <w:rPr>
          <w:rStyle w:val="25"/>
          <w:rFonts w:hint="eastAsia" w:ascii="黑体" w:hAnsi="黑体" w:eastAsia="黑体"/>
          <w:b w:val="0"/>
          <w:color w:val="auto"/>
          <w:highlight w:val="none"/>
        </w:rPr>
        <w:t>国有资本经营预算支出决算情况说明</w:t>
      </w:r>
      <w:bookmarkEnd w:id="48"/>
      <w:bookmarkEnd w:id="49"/>
    </w:p>
    <w:p>
      <w:pPr>
        <w:spacing w:line="600" w:lineRule="exact"/>
        <w:ind w:firstLine="640"/>
        <w:rPr>
          <w:rFonts w:hint="eastAsia"/>
        </w:rPr>
      </w:pPr>
      <w:r>
        <w:rPr>
          <w:rFonts w:hint="eastAsia" w:ascii="仿宋" w:hAnsi="仿宋" w:eastAsia="仿宋" w:cs="仿宋"/>
          <w:color w:val="auto"/>
          <w:sz w:val="32"/>
          <w:szCs w:val="32"/>
          <w:highlight w:val="none"/>
        </w:rPr>
        <w:t>20</w:t>
      </w:r>
      <w:r>
        <w:rPr>
          <w:rFonts w:hint="eastAsia" w:ascii="仿宋" w:hAnsi="仿宋" w:eastAsia="仿宋" w:cs="仿宋"/>
          <w:color w:val="auto"/>
          <w:sz w:val="32"/>
          <w:szCs w:val="32"/>
          <w:highlight w:val="none"/>
          <w:lang w:val="en-US" w:eastAsia="zh-CN"/>
        </w:rPr>
        <w:t>21</w:t>
      </w:r>
      <w:r>
        <w:rPr>
          <w:rFonts w:hint="eastAsia" w:ascii="仿宋" w:hAnsi="仿宋" w:eastAsia="仿宋" w:cs="仿宋"/>
          <w:color w:val="auto"/>
          <w:sz w:val="32"/>
          <w:szCs w:val="32"/>
          <w:highlight w:val="none"/>
        </w:rPr>
        <w:t>年国有资本经营预算</w:t>
      </w:r>
      <w:r>
        <w:rPr>
          <w:rFonts w:hint="eastAsia" w:ascii="仿宋" w:hAnsi="仿宋" w:eastAsia="仿宋" w:cs="仿宋"/>
          <w:color w:val="auto"/>
          <w:sz w:val="32"/>
          <w:szCs w:val="32"/>
          <w:highlight w:val="none"/>
          <w:lang w:eastAsia="zh-CN"/>
        </w:rPr>
        <w:t>财政</w:t>
      </w:r>
      <w:r>
        <w:rPr>
          <w:rFonts w:hint="eastAsia" w:ascii="仿宋" w:hAnsi="仿宋" w:eastAsia="仿宋" w:cs="仿宋"/>
          <w:color w:val="auto"/>
          <w:sz w:val="32"/>
          <w:szCs w:val="32"/>
          <w:highlight w:val="none"/>
        </w:rPr>
        <w:t>拨款支出</w:t>
      </w:r>
      <w:r>
        <w:rPr>
          <w:rFonts w:hint="eastAsia" w:ascii="仿宋" w:hAnsi="仿宋" w:eastAsia="仿宋" w:cs="仿宋"/>
          <w:color w:val="auto"/>
          <w:sz w:val="32"/>
          <w:szCs w:val="32"/>
          <w:highlight w:val="none"/>
          <w:lang w:val="en-US" w:eastAsia="zh-CN"/>
        </w:rPr>
        <w:t>0</w:t>
      </w:r>
      <w:r>
        <w:rPr>
          <w:rFonts w:hint="eastAsia" w:ascii="仿宋" w:hAnsi="仿宋" w:eastAsia="仿宋" w:cs="仿宋"/>
          <w:color w:val="auto"/>
          <w:sz w:val="32"/>
          <w:szCs w:val="32"/>
          <w:highlight w:val="none"/>
        </w:rPr>
        <w:t>万元</w:t>
      </w:r>
      <w:r>
        <w:rPr>
          <w:rFonts w:hint="eastAsia" w:ascii="仿宋_GB2312" w:eastAsia="仿宋_GB2312"/>
          <w:color w:val="auto"/>
          <w:sz w:val="32"/>
          <w:szCs w:val="32"/>
          <w:highlight w:val="none"/>
        </w:rPr>
        <w:t>。</w:t>
      </w:r>
      <w:bookmarkStart w:id="50" w:name="_Toc15396612"/>
      <w:bookmarkStart w:id="51" w:name="_Toc15377221"/>
    </w:p>
    <w:p>
      <w:pPr>
        <w:numPr>
          <w:ilvl w:val="0"/>
          <w:numId w:val="4"/>
        </w:numPr>
        <w:spacing w:line="600" w:lineRule="exact"/>
        <w:ind w:firstLine="640"/>
        <w:outlineLvl w:val="1"/>
        <w:rPr>
          <w:rStyle w:val="25"/>
          <w:rFonts w:hint="eastAsia" w:ascii="黑体" w:hAnsi="黑体" w:eastAsia="黑体"/>
          <w:b w:val="0"/>
          <w:color w:val="auto"/>
          <w:highlight w:val="none"/>
        </w:rPr>
      </w:pPr>
      <w:r>
        <w:rPr>
          <w:rStyle w:val="25"/>
          <w:rFonts w:hint="eastAsia" w:ascii="黑体" w:hAnsi="黑体" w:eastAsia="黑体"/>
          <w:b w:val="0"/>
          <w:color w:val="auto"/>
          <w:highlight w:val="none"/>
          <w:lang w:val="en-US" w:eastAsia="zh-CN"/>
        </w:rPr>
        <w:t>预算绩效管理情况</w:t>
      </w:r>
    </w:p>
    <w:p>
      <w:pPr>
        <w:numPr>
          <w:ilvl w:val="0"/>
          <w:numId w:val="0"/>
        </w:numPr>
        <w:spacing w:line="600" w:lineRule="exact"/>
        <w:ind w:firstLine="640" w:firstLineChars="200"/>
        <w:outlineLvl w:val="1"/>
        <w:rPr>
          <w:rFonts w:hint="eastAsia" w:ascii="仿宋" w:hAnsi="仿宋" w:eastAsia="仿宋" w:cs="仿宋"/>
        </w:rPr>
      </w:pPr>
      <w:r>
        <w:rPr>
          <w:rFonts w:hint="eastAsia" w:ascii="仿宋" w:hAnsi="仿宋" w:eastAsia="仿宋" w:cs="仿宋"/>
          <w:color w:val="auto"/>
          <w:sz w:val="32"/>
          <w:szCs w:val="32"/>
          <w:highlight w:val="none"/>
        </w:rPr>
        <w:t>根据预算绩效管理要求，本部门在</w:t>
      </w:r>
      <w:r>
        <w:rPr>
          <w:rFonts w:hint="eastAsia" w:ascii="仿宋" w:hAnsi="仿宋" w:eastAsia="仿宋" w:cs="仿宋"/>
          <w:color w:val="auto"/>
          <w:sz w:val="32"/>
          <w:szCs w:val="32"/>
          <w:highlight w:val="none"/>
          <w:lang w:val="en-US" w:eastAsia="zh-CN"/>
        </w:rPr>
        <w:t>2021年度</w:t>
      </w:r>
      <w:r>
        <w:rPr>
          <w:rFonts w:hint="eastAsia" w:ascii="仿宋" w:hAnsi="仿宋" w:eastAsia="仿宋" w:cs="仿宋"/>
          <w:color w:val="auto"/>
          <w:sz w:val="32"/>
          <w:szCs w:val="32"/>
          <w:highlight w:val="none"/>
        </w:rPr>
        <w:t>预算编制阶段，组织对</w:t>
      </w:r>
      <w:r>
        <w:rPr>
          <w:rFonts w:hint="eastAsia" w:ascii="仿宋" w:hAnsi="仿宋" w:eastAsia="仿宋" w:cs="仿宋"/>
          <w:sz w:val="32"/>
          <w:szCs w:val="32"/>
          <w:lang w:eastAsia="zh-CN"/>
        </w:rPr>
        <w:t>婚姻家庭纠纷预防化解、妇儿专项工作、“六一”活动、“三八”活动、非贫困村第一书记、</w:t>
      </w:r>
      <w:r>
        <w:rPr>
          <w:rFonts w:hint="eastAsia" w:ascii="仿宋" w:hAnsi="仿宋" w:eastAsia="仿宋" w:cs="仿宋"/>
          <w:color w:val="auto"/>
          <w:sz w:val="32"/>
          <w:szCs w:val="32"/>
          <w:highlight w:val="none"/>
          <w:lang w:eastAsia="zh-CN"/>
        </w:rPr>
        <w:t>等</w:t>
      </w:r>
      <w:r>
        <w:rPr>
          <w:rFonts w:hint="eastAsia" w:ascii="仿宋" w:hAnsi="仿宋" w:eastAsia="仿宋" w:cs="仿宋"/>
          <w:color w:val="auto"/>
          <w:sz w:val="32"/>
          <w:szCs w:val="32"/>
          <w:highlight w:val="none"/>
          <w:lang w:val="en-US" w:eastAsia="zh-CN"/>
        </w:rPr>
        <w:t>5个项目</w:t>
      </w:r>
      <w:r>
        <w:rPr>
          <w:rFonts w:hint="eastAsia" w:ascii="仿宋" w:hAnsi="仿宋" w:eastAsia="仿宋" w:cs="仿宋"/>
          <w:color w:val="auto"/>
          <w:sz w:val="32"/>
          <w:szCs w:val="32"/>
          <w:highlight w:val="none"/>
        </w:rPr>
        <w:t>开展了预算事前绩效评估，对</w:t>
      </w:r>
      <w:r>
        <w:rPr>
          <w:rFonts w:hint="eastAsia" w:ascii="仿宋" w:hAnsi="仿宋" w:eastAsia="仿宋" w:cs="仿宋"/>
          <w:color w:val="auto"/>
          <w:sz w:val="32"/>
          <w:szCs w:val="32"/>
          <w:highlight w:val="none"/>
          <w:lang w:val="en-US" w:eastAsia="zh-CN"/>
        </w:rPr>
        <w:t>5</w:t>
      </w:r>
      <w:r>
        <w:rPr>
          <w:rFonts w:hint="eastAsia" w:ascii="仿宋" w:hAnsi="仿宋" w:eastAsia="仿宋" w:cs="仿宋"/>
          <w:color w:val="auto"/>
          <w:sz w:val="32"/>
          <w:szCs w:val="32"/>
          <w:highlight w:val="none"/>
        </w:rPr>
        <w:t>个项目编制了绩效目标，预算执行过程中，选取</w:t>
      </w:r>
      <w:r>
        <w:rPr>
          <w:rFonts w:hint="eastAsia" w:ascii="仿宋" w:hAnsi="仿宋" w:eastAsia="仿宋" w:cs="仿宋"/>
          <w:color w:val="auto"/>
          <w:sz w:val="32"/>
          <w:szCs w:val="32"/>
          <w:highlight w:val="none"/>
          <w:lang w:val="en-US" w:eastAsia="zh-CN"/>
        </w:rPr>
        <w:t>3</w:t>
      </w:r>
      <w:r>
        <w:rPr>
          <w:rFonts w:hint="eastAsia" w:ascii="仿宋" w:hAnsi="仿宋" w:eastAsia="仿宋" w:cs="仿宋"/>
          <w:color w:val="auto"/>
          <w:sz w:val="32"/>
          <w:szCs w:val="32"/>
          <w:highlight w:val="none"/>
        </w:rPr>
        <w:t>个项目开展绩效监控，年终执行完毕后，对</w:t>
      </w:r>
      <w:r>
        <w:rPr>
          <w:rFonts w:hint="eastAsia" w:ascii="仿宋" w:hAnsi="仿宋" w:eastAsia="仿宋" w:cs="仿宋"/>
          <w:color w:val="auto"/>
          <w:sz w:val="32"/>
          <w:szCs w:val="32"/>
          <w:highlight w:val="none"/>
          <w:lang w:val="en-US" w:eastAsia="zh-CN"/>
        </w:rPr>
        <w:t>3</w:t>
      </w:r>
      <w:r>
        <w:rPr>
          <w:rFonts w:hint="eastAsia" w:ascii="仿宋" w:hAnsi="仿宋" w:eastAsia="仿宋" w:cs="仿宋"/>
          <w:color w:val="auto"/>
          <w:sz w:val="32"/>
          <w:szCs w:val="32"/>
          <w:highlight w:val="none"/>
        </w:rPr>
        <w:t>个项目开展了绩效自评</w:t>
      </w:r>
      <w:r>
        <w:rPr>
          <w:rFonts w:hint="eastAsia" w:ascii="仿宋" w:hAnsi="仿宋" w:eastAsia="仿宋" w:cs="仿宋"/>
          <w:color w:val="auto"/>
          <w:sz w:val="32"/>
          <w:szCs w:val="32"/>
          <w:highlight w:val="none"/>
          <w:lang w:eastAsia="zh-CN"/>
        </w:rPr>
        <w:t>。同时，</w:t>
      </w:r>
      <w:r>
        <w:rPr>
          <w:rFonts w:hint="eastAsia" w:ascii="仿宋" w:hAnsi="仿宋" w:eastAsia="仿宋" w:cs="仿宋"/>
          <w:color w:val="auto"/>
          <w:sz w:val="32"/>
          <w:szCs w:val="32"/>
          <w:highlight w:val="none"/>
        </w:rPr>
        <w:t>本部门对20</w:t>
      </w:r>
      <w:r>
        <w:rPr>
          <w:rFonts w:hint="eastAsia" w:ascii="仿宋" w:hAnsi="仿宋" w:eastAsia="仿宋" w:cs="仿宋"/>
          <w:color w:val="auto"/>
          <w:sz w:val="32"/>
          <w:szCs w:val="32"/>
          <w:highlight w:val="none"/>
          <w:lang w:val="en-US" w:eastAsia="zh-CN"/>
        </w:rPr>
        <w:t>21</w:t>
      </w:r>
      <w:r>
        <w:rPr>
          <w:rFonts w:hint="eastAsia" w:ascii="仿宋" w:hAnsi="仿宋" w:eastAsia="仿宋" w:cs="仿宋"/>
          <w:color w:val="auto"/>
          <w:sz w:val="32"/>
          <w:szCs w:val="32"/>
          <w:highlight w:val="none"/>
        </w:rPr>
        <w:t>年部门整体开展绩效自评，《202</w:t>
      </w:r>
      <w:r>
        <w:rPr>
          <w:rFonts w:hint="eastAsia" w:ascii="仿宋" w:hAnsi="仿宋" w:eastAsia="仿宋" w:cs="仿宋"/>
          <w:color w:val="auto"/>
          <w:sz w:val="32"/>
          <w:szCs w:val="32"/>
          <w:highlight w:val="none"/>
          <w:lang w:val="en-US" w:eastAsia="zh-CN"/>
        </w:rPr>
        <w:t>1</w:t>
      </w:r>
      <w:r>
        <w:rPr>
          <w:rFonts w:hint="eastAsia" w:ascii="仿宋" w:hAnsi="仿宋" w:eastAsia="仿宋" w:cs="仿宋"/>
          <w:color w:val="auto"/>
          <w:sz w:val="32"/>
          <w:szCs w:val="32"/>
          <w:highlight w:val="none"/>
          <w:lang w:eastAsia="zh-CN"/>
        </w:rPr>
        <w:t>区妇联</w:t>
      </w:r>
      <w:r>
        <w:rPr>
          <w:rFonts w:hint="eastAsia" w:ascii="仿宋" w:hAnsi="仿宋" w:eastAsia="仿宋" w:cs="仿宋"/>
          <w:color w:val="auto"/>
          <w:sz w:val="32"/>
          <w:szCs w:val="32"/>
          <w:highlight w:val="none"/>
        </w:rPr>
        <w:t>部门整体绩效评价报告》见附件（</w:t>
      </w:r>
      <w:r>
        <w:rPr>
          <w:rFonts w:hint="eastAsia" w:ascii="仿宋" w:hAnsi="仿宋" w:eastAsia="仿宋" w:cs="仿宋"/>
          <w:color w:val="auto"/>
          <w:sz w:val="32"/>
          <w:szCs w:val="32"/>
          <w:highlight w:val="none"/>
          <w:lang w:eastAsia="zh-CN"/>
        </w:rPr>
        <w:t>第四部分</w:t>
      </w:r>
      <w:r>
        <w:rPr>
          <w:rFonts w:hint="eastAsia" w:ascii="仿宋" w:hAnsi="仿宋" w:eastAsia="仿宋" w:cs="仿宋"/>
          <w:color w:val="auto"/>
          <w:sz w:val="32"/>
          <w:szCs w:val="32"/>
          <w:highlight w:val="none"/>
        </w:rPr>
        <w:t>）。</w:t>
      </w:r>
    </w:p>
    <w:p>
      <w:pPr>
        <w:numPr>
          <w:ilvl w:val="0"/>
          <w:numId w:val="4"/>
        </w:numPr>
        <w:spacing w:line="600" w:lineRule="exact"/>
        <w:ind w:firstLine="640"/>
        <w:outlineLvl w:val="1"/>
        <w:rPr>
          <w:rStyle w:val="25"/>
          <w:rFonts w:hint="eastAsia" w:ascii="黑体" w:hAnsi="黑体" w:eastAsia="黑体"/>
          <w:b w:val="0"/>
          <w:color w:val="auto"/>
          <w:highlight w:val="none"/>
        </w:rPr>
      </w:pPr>
      <w:r>
        <w:rPr>
          <w:rStyle w:val="25"/>
          <w:rFonts w:hint="eastAsia" w:ascii="黑体" w:hAnsi="黑体" w:eastAsia="黑体"/>
          <w:b w:val="0"/>
          <w:color w:val="auto"/>
          <w:highlight w:val="none"/>
        </w:rPr>
        <w:t>其他重要事项的情况说明</w:t>
      </w:r>
      <w:bookmarkEnd w:id="50"/>
      <w:bookmarkEnd w:id="51"/>
    </w:p>
    <w:p>
      <w:pPr>
        <w:spacing w:line="600" w:lineRule="exact"/>
        <w:ind w:firstLine="643" w:firstLineChars="200"/>
        <w:outlineLvl w:val="2"/>
        <w:rPr>
          <w:rFonts w:ascii="仿宋" w:hAnsi="仿宋" w:eastAsia="仿宋"/>
          <w:color w:val="auto"/>
          <w:sz w:val="32"/>
          <w:szCs w:val="32"/>
          <w:highlight w:val="none"/>
        </w:rPr>
      </w:pPr>
      <w:bookmarkStart w:id="52" w:name="_Toc15377222"/>
      <w:r>
        <w:rPr>
          <w:rFonts w:hint="eastAsia" w:ascii="仿宋" w:hAnsi="仿宋" w:eastAsia="仿宋"/>
          <w:b/>
          <w:color w:val="auto"/>
          <w:sz w:val="32"/>
          <w:szCs w:val="32"/>
          <w:highlight w:val="none"/>
        </w:rPr>
        <w:t>（一）机关运行经费支出情况</w:t>
      </w:r>
      <w:bookmarkEnd w:id="52"/>
    </w:p>
    <w:p>
      <w:pPr>
        <w:spacing w:line="600" w:lineRule="exact"/>
        <w:ind w:firstLine="640" w:firstLineChars="200"/>
        <w:rPr>
          <w:rFonts w:hint="eastAsia"/>
          <w:lang w:val="en-US" w:eastAsia="zh-CN"/>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w:t>
      </w:r>
      <w:r>
        <w:rPr>
          <w:rFonts w:hint="eastAsia" w:ascii="仿宋_GB2312" w:eastAsia="仿宋_GB2312"/>
          <w:color w:val="auto"/>
          <w:sz w:val="32"/>
          <w:szCs w:val="32"/>
          <w:highlight w:val="none"/>
          <w:lang w:eastAsia="zh-CN"/>
        </w:rPr>
        <w:t>区妇联</w:t>
      </w:r>
      <w:r>
        <w:rPr>
          <w:rFonts w:hint="eastAsia" w:ascii="仿宋_GB2312" w:eastAsia="仿宋_GB2312"/>
          <w:color w:val="auto"/>
          <w:sz w:val="32"/>
          <w:szCs w:val="32"/>
          <w:highlight w:val="none"/>
        </w:rPr>
        <w:t>机关运行经费支出</w:t>
      </w:r>
      <w:r>
        <w:rPr>
          <w:rFonts w:hint="eastAsia" w:ascii="仿宋_GB2312" w:eastAsia="仿宋_GB2312"/>
          <w:color w:val="auto"/>
          <w:sz w:val="32"/>
          <w:szCs w:val="32"/>
          <w:highlight w:val="none"/>
          <w:lang w:val="en-US" w:eastAsia="zh-CN"/>
        </w:rPr>
        <w:t>7.6</w:t>
      </w:r>
      <w:r>
        <w:rPr>
          <w:rFonts w:hint="eastAsia" w:ascii="仿宋_GB2312" w:eastAsia="仿宋_GB2312"/>
          <w:color w:val="auto"/>
          <w:sz w:val="32"/>
          <w:szCs w:val="32"/>
          <w:highlight w:val="none"/>
        </w:rPr>
        <w:t>万元，</w:t>
      </w:r>
      <w:r>
        <w:rPr>
          <w:rFonts w:hint="eastAsia" w:ascii="仿宋_GB2312" w:eastAsia="仿宋_GB2312"/>
          <w:color w:val="auto"/>
          <w:sz w:val="32"/>
          <w:szCs w:val="32"/>
          <w:highlight w:val="none"/>
          <w:lang w:eastAsia="zh-CN"/>
        </w:rPr>
        <w:t>与</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20</w:t>
      </w:r>
      <w:r>
        <w:rPr>
          <w:rFonts w:hint="eastAsia" w:ascii="仿宋_GB2312" w:eastAsia="仿宋_GB2312"/>
          <w:color w:val="auto"/>
          <w:sz w:val="32"/>
          <w:szCs w:val="32"/>
          <w:highlight w:val="none"/>
        </w:rPr>
        <w:t>年</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20</w:t>
      </w:r>
      <w:r>
        <w:rPr>
          <w:rFonts w:hint="eastAsia" w:ascii="仿宋_GB2312" w:eastAsia="仿宋_GB2312"/>
          <w:color w:val="auto"/>
          <w:sz w:val="32"/>
          <w:szCs w:val="32"/>
          <w:highlight w:val="none"/>
        </w:rPr>
        <w:t>年决算数持平</w:t>
      </w:r>
      <w:r>
        <w:rPr>
          <w:rFonts w:hint="eastAsia" w:ascii="仿宋_GB2312" w:eastAsia="仿宋_GB2312"/>
          <w:color w:val="auto"/>
          <w:sz w:val="32"/>
          <w:szCs w:val="32"/>
          <w:highlight w:val="none"/>
          <w:lang w:eastAsia="zh-CN"/>
        </w:rPr>
        <w:t>。</w:t>
      </w:r>
    </w:p>
    <w:p>
      <w:pPr>
        <w:autoSpaceDE w:val="0"/>
        <w:autoSpaceDN w:val="0"/>
        <w:adjustRightInd w:val="0"/>
        <w:spacing w:line="600" w:lineRule="exact"/>
        <w:ind w:firstLine="643" w:firstLineChars="200"/>
        <w:jc w:val="left"/>
        <w:outlineLvl w:val="2"/>
        <w:rPr>
          <w:rFonts w:ascii="仿宋" w:hAnsi="仿宋" w:eastAsia="仿宋"/>
          <w:b/>
          <w:color w:val="auto"/>
          <w:sz w:val="32"/>
          <w:szCs w:val="32"/>
          <w:highlight w:val="none"/>
        </w:rPr>
      </w:pPr>
      <w:bookmarkStart w:id="53" w:name="_Toc15377223"/>
      <w:r>
        <w:rPr>
          <w:rFonts w:hint="eastAsia" w:ascii="仿宋" w:hAnsi="仿宋" w:eastAsia="仿宋"/>
          <w:b/>
          <w:color w:val="auto"/>
          <w:sz w:val="32"/>
          <w:szCs w:val="32"/>
          <w:highlight w:val="none"/>
        </w:rPr>
        <w:t>（二）政府采购支出情况</w:t>
      </w:r>
      <w:bookmarkEnd w:id="53"/>
    </w:p>
    <w:p>
      <w:pPr>
        <w:spacing w:line="60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w:t>
      </w:r>
      <w:r>
        <w:rPr>
          <w:rFonts w:hint="eastAsia" w:ascii="仿宋_GB2312" w:eastAsia="仿宋_GB2312"/>
          <w:color w:val="auto"/>
          <w:sz w:val="32"/>
          <w:szCs w:val="32"/>
          <w:highlight w:val="none"/>
          <w:lang w:eastAsia="zh-CN"/>
        </w:rPr>
        <w:t>区妇联</w:t>
      </w:r>
      <w:r>
        <w:rPr>
          <w:rFonts w:hint="eastAsia" w:ascii="仿宋_GB2312" w:eastAsia="仿宋_GB2312"/>
          <w:color w:val="auto"/>
          <w:sz w:val="32"/>
          <w:szCs w:val="32"/>
          <w:highlight w:val="none"/>
        </w:rPr>
        <w:t>政府采购支出总额</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万元，其中：政府采购货物支出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万元、政府采购工程支出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万元、政府采购服务支出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万元。授予中小企业合同金额</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万元，占政府采购支出总额的</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，其中：授予小微企业合同金额</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万元，占政府采购支出总额的</w:t>
      </w:r>
      <w:r>
        <w:rPr>
          <w:rFonts w:hint="eastAsia" w:ascii="仿宋_GB2312" w:eastAsia="仿宋_GB2312"/>
          <w:color w:val="auto"/>
          <w:sz w:val="32"/>
          <w:szCs w:val="32"/>
          <w:highlight w:val="none"/>
          <w:lang w:val="en-US" w:eastAsia="zh-CN"/>
        </w:rPr>
        <w:t>0</w:t>
      </w:r>
      <w:r>
        <w:rPr>
          <w:rFonts w:ascii="仿宋_GB2312" w:eastAsia="仿宋_GB2312"/>
          <w:color w:val="auto"/>
          <w:sz w:val="32"/>
          <w:szCs w:val="32"/>
          <w:highlight w:val="none"/>
        </w:rPr>
        <w:t>%</w:t>
      </w:r>
      <w:r>
        <w:rPr>
          <w:rFonts w:hint="eastAsia" w:ascii="仿宋_GB2312" w:eastAsia="仿宋_GB2312"/>
          <w:color w:val="auto"/>
          <w:sz w:val="32"/>
          <w:szCs w:val="32"/>
          <w:highlight w:val="none"/>
        </w:rPr>
        <w:t>。</w:t>
      </w:r>
    </w:p>
    <w:p>
      <w:pPr>
        <w:autoSpaceDE w:val="0"/>
        <w:autoSpaceDN w:val="0"/>
        <w:adjustRightInd w:val="0"/>
        <w:spacing w:line="600" w:lineRule="exact"/>
        <w:ind w:firstLine="643" w:firstLineChars="200"/>
        <w:jc w:val="left"/>
        <w:outlineLvl w:val="2"/>
        <w:rPr>
          <w:rFonts w:ascii="仿宋" w:hAnsi="仿宋" w:eastAsia="仿宋"/>
          <w:b/>
          <w:color w:val="auto"/>
          <w:sz w:val="32"/>
          <w:szCs w:val="32"/>
          <w:highlight w:val="none"/>
        </w:rPr>
      </w:pPr>
      <w:bookmarkStart w:id="54" w:name="_Toc15377224"/>
      <w:r>
        <w:rPr>
          <w:rFonts w:hint="eastAsia" w:ascii="仿宋" w:hAnsi="仿宋" w:eastAsia="仿宋"/>
          <w:b/>
          <w:color w:val="auto"/>
          <w:sz w:val="32"/>
          <w:szCs w:val="32"/>
          <w:highlight w:val="none"/>
        </w:rPr>
        <w:t>（三）国有资产占有使用情况</w:t>
      </w:r>
      <w:bookmarkEnd w:id="54"/>
    </w:p>
    <w:p>
      <w:pPr>
        <w:autoSpaceDE w:val="0"/>
        <w:autoSpaceDN w:val="0"/>
        <w:adjustRightInd w:val="0"/>
        <w:spacing w:line="600" w:lineRule="exact"/>
        <w:ind w:firstLine="640" w:firstLineChars="200"/>
        <w:jc w:val="left"/>
        <w:rPr>
          <w:rFonts w:ascii="仿宋_GB2312" w:eastAsia="仿宋_GB2312"/>
          <w:b/>
          <w:color w:val="auto"/>
          <w:sz w:val="32"/>
          <w:szCs w:val="32"/>
          <w:highlight w:val="none"/>
        </w:rPr>
      </w:pPr>
      <w:r>
        <w:rPr>
          <w:rFonts w:hint="eastAsia" w:ascii="仿宋_GB2312" w:eastAsia="仿宋_GB2312"/>
          <w:color w:val="auto"/>
          <w:sz w:val="32"/>
          <w:szCs w:val="32"/>
          <w:highlight w:val="none"/>
        </w:rPr>
        <w:t>截至</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w:t>
      </w:r>
      <w:r>
        <w:rPr>
          <w:rFonts w:ascii="仿宋_GB2312" w:eastAsia="仿宋_GB2312"/>
          <w:color w:val="auto"/>
          <w:sz w:val="32"/>
          <w:szCs w:val="32"/>
          <w:highlight w:val="none"/>
        </w:rPr>
        <w:t>12</w:t>
      </w:r>
      <w:r>
        <w:rPr>
          <w:rFonts w:hint="eastAsia" w:ascii="仿宋_GB2312" w:eastAsia="仿宋_GB2312"/>
          <w:color w:val="auto"/>
          <w:sz w:val="32"/>
          <w:szCs w:val="32"/>
          <w:highlight w:val="none"/>
        </w:rPr>
        <w:t>月</w:t>
      </w:r>
      <w:r>
        <w:rPr>
          <w:rFonts w:ascii="仿宋_GB2312" w:eastAsia="仿宋_GB2312"/>
          <w:color w:val="auto"/>
          <w:sz w:val="32"/>
          <w:szCs w:val="32"/>
          <w:highlight w:val="none"/>
        </w:rPr>
        <w:t>31</w:t>
      </w:r>
      <w:r>
        <w:rPr>
          <w:rFonts w:hint="eastAsia" w:ascii="仿宋_GB2312" w:eastAsia="仿宋_GB2312"/>
          <w:color w:val="auto"/>
          <w:sz w:val="32"/>
          <w:szCs w:val="32"/>
          <w:highlight w:val="none"/>
        </w:rPr>
        <w:t>日，</w:t>
      </w:r>
      <w:r>
        <w:rPr>
          <w:rFonts w:hint="eastAsia" w:ascii="仿宋_GB2312" w:eastAsia="仿宋_GB2312"/>
          <w:color w:val="auto"/>
          <w:sz w:val="32"/>
          <w:szCs w:val="32"/>
          <w:highlight w:val="none"/>
          <w:lang w:eastAsia="zh-CN"/>
        </w:rPr>
        <w:t>区妇联</w:t>
      </w:r>
      <w:r>
        <w:rPr>
          <w:rFonts w:hint="eastAsia" w:ascii="仿宋_GB2312" w:eastAsia="仿宋_GB2312"/>
          <w:color w:val="auto"/>
          <w:sz w:val="32"/>
          <w:szCs w:val="32"/>
          <w:highlight w:val="none"/>
        </w:rPr>
        <w:t>共有车辆</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辆，其中：主要领导干部用车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辆、机要通信用车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辆、应急保障用车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辆、其他用车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w:t>
      </w:r>
      <w:r>
        <w:rPr>
          <w:rFonts w:hint="eastAsia" w:ascii="仿宋_GB2312" w:eastAsia="仿宋_GB2312"/>
          <w:color w:val="auto"/>
          <w:sz w:val="32"/>
          <w:szCs w:val="32"/>
          <w:highlight w:val="none"/>
          <w:lang w:eastAsia="zh-CN"/>
        </w:rPr>
        <w:t>。</w:t>
      </w:r>
      <w:r>
        <w:rPr>
          <w:rFonts w:ascii="仿宋_GB2312" w:eastAsia="仿宋_GB2312"/>
          <w:b/>
          <w:color w:val="auto"/>
          <w:sz w:val="32"/>
          <w:szCs w:val="32"/>
          <w:highlight w:val="none"/>
        </w:rPr>
        <w:br w:type="page"/>
      </w:r>
    </w:p>
    <w:p>
      <w:pPr>
        <w:numPr>
          <w:ilvl w:val="0"/>
          <w:numId w:val="5"/>
        </w:numPr>
        <w:spacing w:line="600" w:lineRule="exact"/>
        <w:ind w:firstLine="660" w:firstLineChars="150"/>
        <w:jc w:val="center"/>
        <w:outlineLvl w:val="0"/>
        <w:rPr>
          <w:rStyle w:val="24"/>
          <w:rFonts w:ascii="黑体" w:hAnsi="黑体" w:eastAsia="黑体"/>
          <w:b w:val="0"/>
          <w:color w:val="auto"/>
          <w:highlight w:val="none"/>
        </w:rPr>
      </w:pPr>
      <w:bookmarkStart w:id="55" w:name="_Toc15377225"/>
      <w:bookmarkStart w:id="56" w:name="_Toc15396613"/>
      <w:r>
        <w:rPr>
          <w:rFonts w:hint="eastAsia" w:ascii="黑体" w:hAnsi="黑体" w:eastAsia="黑体"/>
          <w:color w:val="auto"/>
          <w:sz w:val="44"/>
          <w:szCs w:val="44"/>
          <w:highlight w:val="none"/>
        </w:rPr>
        <w:t>名</w:t>
      </w:r>
      <w:r>
        <w:rPr>
          <w:rStyle w:val="24"/>
          <w:rFonts w:hint="eastAsia" w:ascii="黑体" w:hAnsi="黑体" w:eastAsia="黑体"/>
          <w:b w:val="0"/>
          <w:color w:val="auto"/>
          <w:highlight w:val="none"/>
        </w:rPr>
        <w:t>词解释</w:t>
      </w:r>
      <w:bookmarkEnd w:id="55"/>
      <w:bookmarkEnd w:id="56"/>
    </w:p>
    <w:p>
      <w:pPr>
        <w:spacing w:line="600" w:lineRule="exact"/>
        <w:jc w:val="left"/>
        <w:rPr>
          <w:rFonts w:ascii="宋体"/>
          <w:b/>
          <w:color w:val="auto"/>
          <w:sz w:val="44"/>
          <w:szCs w:val="44"/>
          <w:highlight w:val="none"/>
        </w:rPr>
      </w:pPr>
    </w:p>
    <w:p>
      <w:pPr>
        <w:pStyle w:val="22"/>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1.</w:t>
      </w:r>
      <w:r>
        <w:rPr>
          <w:rFonts w:hint="eastAsia" w:ascii="仿宋_GB2312" w:eastAsia="仿宋_GB2312"/>
          <w:color w:val="auto"/>
          <w:sz w:val="32"/>
          <w:szCs w:val="32"/>
          <w:highlight w:val="none"/>
        </w:rPr>
        <w:t>财政拨款收入：指单位从同级财政部门取得的财政预算资金。</w:t>
      </w:r>
    </w:p>
    <w:p>
      <w:pPr>
        <w:pStyle w:val="22"/>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2.</w:t>
      </w:r>
      <w:r>
        <w:rPr>
          <w:rFonts w:hint="eastAsia" w:ascii="仿宋_GB2312" w:eastAsia="仿宋_GB2312"/>
          <w:color w:val="auto"/>
          <w:sz w:val="32"/>
          <w:szCs w:val="32"/>
          <w:highlight w:val="none"/>
        </w:rPr>
        <w:t>事业收入：指事业单位开展专业业务活动及辅助活动取得的收入。</w:t>
      </w:r>
    </w:p>
    <w:p>
      <w:pPr>
        <w:pStyle w:val="22"/>
        <w:spacing w:line="560" w:lineRule="exact"/>
        <w:ind w:firstLine="640" w:firstLineChars="200"/>
        <w:rPr>
          <w:rFonts w:hint="eastAsia" w:ascii="仿宋_GB2312" w:eastAsia="仿宋_GB2312"/>
          <w:color w:val="auto"/>
          <w:sz w:val="32"/>
          <w:szCs w:val="32"/>
          <w:highlight w:val="none"/>
        </w:rPr>
      </w:pPr>
      <w:r>
        <w:rPr>
          <w:rFonts w:ascii="仿宋_GB2312" w:eastAsia="仿宋_GB2312"/>
          <w:color w:val="auto"/>
          <w:sz w:val="32"/>
          <w:szCs w:val="32"/>
          <w:highlight w:val="none"/>
        </w:rPr>
        <w:t>3.</w:t>
      </w:r>
      <w:r>
        <w:rPr>
          <w:rFonts w:hint="eastAsia" w:ascii="仿宋_GB2312" w:eastAsia="仿宋_GB2312"/>
          <w:color w:val="auto"/>
          <w:sz w:val="32"/>
          <w:szCs w:val="32"/>
          <w:highlight w:val="none"/>
        </w:rPr>
        <w:t>经营收入：指事业单位在专业业务活动及其辅助活动之外开展非独立核算经营活动取得的收入。</w:t>
      </w:r>
    </w:p>
    <w:p>
      <w:pPr>
        <w:pStyle w:val="22"/>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4.</w:t>
      </w:r>
      <w:r>
        <w:rPr>
          <w:rFonts w:hint="eastAsia" w:ascii="仿宋_GB2312" w:eastAsia="仿宋_GB2312"/>
          <w:color w:val="auto"/>
          <w:sz w:val="32"/>
          <w:szCs w:val="32"/>
          <w:highlight w:val="none"/>
        </w:rPr>
        <w:t>其他收入：指单位取得的除上述收入以外的各项收入。</w:t>
      </w:r>
      <w:r>
        <w:rPr>
          <w:rFonts w:ascii="仿宋_GB2312" w:eastAsia="仿宋_GB2312"/>
          <w:color w:val="auto"/>
          <w:sz w:val="32"/>
          <w:szCs w:val="32"/>
          <w:highlight w:val="none"/>
        </w:rPr>
        <w:t xml:space="preserve"> </w:t>
      </w:r>
    </w:p>
    <w:p>
      <w:pPr>
        <w:pStyle w:val="22"/>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5.</w:t>
      </w:r>
      <w:r>
        <w:rPr>
          <w:rFonts w:hint="eastAsia" w:ascii="仿宋_GB2312" w:eastAsia="仿宋_GB2312"/>
          <w:color w:val="auto"/>
          <w:sz w:val="32"/>
          <w:szCs w:val="32"/>
          <w:highlight w:val="none"/>
          <w:lang w:eastAsia="zh-CN"/>
        </w:rPr>
        <w:t>使用非财政拨款结余</w:t>
      </w:r>
      <w:r>
        <w:rPr>
          <w:rFonts w:hint="eastAsia" w:ascii="仿宋_GB2312" w:eastAsia="仿宋_GB2312"/>
          <w:color w:val="auto"/>
          <w:sz w:val="32"/>
          <w:szCs w:val="32"/>
          <w:highlight w:val="none"/>
        </w:rPr>
        <w:t>：指事业单位</w:t>
      </w:r>
      <w:r>
        <w:rPr>
          <w:rFonts w:hint="eastAsia" w:ascii="仿宋_GB2312" w:eastAsia="仿宋_GB2312"/>
          <w:color w:val="auto"/>
          <w:sz w:val="32"/>
          <w:szCs w:val="32"/>
          <w:highlight w:val="none"/>
          <w:lang w:eastAsia="zh-CN"/>
        </w:rPr>
        <w:t>使用以前年度积累的非财政拨款结余弥补当年收支差额的金额。</w:t>
      </w:r>
      <w:r>
        <w:rPr>
          <w:rFonts w:ascii="仿宋_GB2312" w:eastAsia="仿宋_GB2312"/>
          <w:color w:val="auto"/>
          <w:sz w:val="32"/>
          <w:szCs w:val="32"/>
          <w:highlight w:val="none"/>
        </w:rPr>
        <w:t xml:space="preserve"> </w:t>
      </w:r>
    </w:p>
    <w:p>
      <w:pPr>
        <w:pStyle w:val="22"/>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6.</w:t>
      </w:r>
      <w:r>
        <w:rPr>
          <w:rFonts w:hint="eastAsia" w:ascii="仿宋_GB2312" w:eastAsia="仿宋_GB2312"/>
          <w:color w:val="auto"/>
          <w:sz w:val="32"/>
          <w:szCs w:val="32"/>
          <w:highlight w:val="none"/>
        </w:rPr>
        <w:t>年初结转和结余：指以前年度尚未完成、结转到本年按有关规定继续使用的资金。</w:t>
      </w:r>
      <w:r>
        <w:rPr>
          <w:rFonts w:ascii="仿宋_GB2312" w:eastAsia="仿宋_GB2312"/>
          <w:color w:val="auto"/>
          <w:sz w:val="32"/>
          <w:szCs w:val="32"/>
          <w:highlight w:val="none"/>
        </w:rPr>
        <w:t xml:space="preserve"> </w:t>
      </w:r>
    </w:p>
    <w:p>
      <w:pPr>
        <w:pStyle w:val="22"/>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7.</w:t>
      </w:r>
      <w:r>
        <w:rPr>
          <w:rFonts w:hint="eastAsia" w:ascii="仿宋_GB2312" w:eastAsia="仿宋_GB2312"/>
          <w:color w:val="auto"/>
          <w:sz w:val="32"/>
          <w:szCs w:val="32"/>
          <w:highlight w:val="none"/>
        </w:rPr>
        <w:t>结余分配：指事业单位按照会计制度规定</w:t>
      </w:r>
      <w:r>
        <w:rPr>
          <w:rFonts w:hint="eastAsia" w:ascii="仿宋_GB2312" w:eastAsia="仿宋_GB2312"/>
          <w:color w:val="auto"/>
          <w:sz w:val="32"/>
          <w:szCs w:val="32"/>
          <w:highlight w:val="none"/>
          <w:lang w:eastAsia="zh-CN"/>
        </w:rPr>
        <w:t>缴纳的所得税、提取的专用结余以及转入非财政拨款结余的金额</w:t>
      </w:r>
      <w:r>
        <w:rPr>
          <w:rFonts w:hint="eastAsia" w:ascii="仿宋_GB2312" w:eastAsia="仿宋_GB2312"/>
          <w:color w:val="auto"/>
          <w:sz w:val="32"/>
          <w:szCs w:val="32"/>
          <w:highlight w:val="none"/>
        </w:rPr>
        <w:t>等。</w:t>
      </w:r>
    </w:p>
    <w:p>
      <w:pPr>
        <w:pStyle w:val="22"/>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8</w:t>
      </w:r>
      <w:r>
        <w:rPr>
          <w:rFonts w:hint="eastAsia" w:ascii="仿宋_GB2312" w:eastAsia="仿宋_GB2312"/>
          <w:color w:val="auto"/>
          <w:sz w:val="32"/>
          <w:szCs w:val="32"/>
          <w:highlight w:val="none"/>
        </w:rPr>
        <w:t>、</w:t>
      </w:r>
      <w:r>
        <w:rPr>
          <w:rFonts w:hint="eastAsia" w:ascii="仿宋_GB2312" w:eastAsia="仿宋_GB2312"/>
          <w:color w:val="000000" w:themeColor="text1"/>
          <w:sz w:val="32"/>
          <w:szCs w:val="32"/>
          <w:highlight w:val="none"/>
          <w14:textFill>
            <w14:solidFill>
              <w14:schemeClr w14:val="tx1"/>
            </w14:solidFill>
          </w14:textFill>
        </w:rPr>
        <w:t>年末结转和结余：</w:t>
      </w:r>
      <w:r>
        <w:rPr>
          <w:rFonts w:hint="eastAsia" w:ascii="仿宋_GB2312" w:eastAsia="仿宋_GB2312"/>
          <w:color w:val="auto"/>
          <w:sz w:val="32"/>
          <w:szCs w:val="32"/>
          <w:highlight w:val="none"/>
        </w:rPr>
        <w:t>指单位按有关规定结转到下年或以后年度继续使用的资金。</w:t>
      </w:r>
    </w:p>
    <w:p>
      <w:pPr>
        <w:ind w:firstLine="640" w:firstLineChars="200"/>
        <w:rPr>
          <w:rFonts w:hint="eastAsia" w:ascii="仿宋_GB2312" w:hAnsi="Calibri" w:eastAsia="仿宋_GB2312" w:cs="仿宋"/>
          <w:color w:val="000000" w:themeColor="text1"/>
          <w:kern w:val="0"/>
          <w:sz w:val="32"/>
          <w:szCs w:val="32"/>
          <w:highlight w:val="none"/>
          <w:lang w:val="en-US" w:eastAsia="zh-CN" w:bidi="ar-SA"/>
          <w14:textFill>
            <w14:solidFill>
              <w14:schemeClr w14:val="tx1"/>
            </w14:solidFill>
          </w14:textFill>
        </w:rPr>
      </w:pPr>
      <w:r>
        <w:rPr>
          <w:rFonts w:ascii="仿宋_GB2312" w:eastAsia="仿宋_GB2312"/>
          <w:color w:val="000000" w:themeColor="text1"/>
          <w:sz w:val="32"/>
          <w:szCs w:val="32"/>
          <w:highlight w:val="none"/>
          <w14:textFill>
            <w14:solidFill>
              <w14:schemeClr w14:val="tx1"/>
            </w14:solidFill>
          </w14:textFill>
        </w:rPr>
        <w:t>9.</w:t>
      </w:r>
      <w:r>
        <w:rPr>
          <w:rFonts w:hint="eastAsia" w:ascii="仿宋_GB2312" w:hAnsi="Calibri" w:eastAsia="仿宋_GB2312" w:cs="仿宋"/>
          <w:color w:val="000000" w:themeColor="text1"/>
          <w:kern w:val="0"/>
          <w:sz w:val="32"/>
          <w:szCs w:val="32"/>
          <w:highlight w:val="none"/>
          <w:lang w:val="en-US" w:eastAsia="zh-CN" w:bidi="ar-SA"/>
          <w14:textFill>
            <w14:solidFill>
              <w14:schemeClr w14:val="tx1"/>
            </w14:solidFill>
          </w14:textFill>
        </w:rPr>
        <w:t>一般公共服务（类）群众团体事务（款）行政运行（项）指: 反映行政单位（包括实行公务员管理的事业单位）的基本支出。</w:t>
      </w:r>
    </w:p>
    <w:p>
      <w:pPr>
        <w:ind w:firstLine="640" w:firstLineChars="200"/>
        <w:rPr>
          <w:rFonts w:hint="eastAsia" w:ascii="仿宋_GB2312" w:hAnsi="Calibri" w:eastAsia="仿宋_GB2312" w:cs="仿宋"/>
          <w:color w:val="000000" w:themeColor="text1"/>
          <w:kern w:val="0"/>
          <w:sz w:val="32"/>
          <w:szCs w:val="32"/>
          <w:highlight w:val="none"/>
          <w:lang w:val="en-US" w:eastAsia="zh-CN" w:bidi="ar-SA"/>
          <w14:textFill>
            <w14:solidFill>
              <w14:schemeClr w14:val="tx1"/>
            </w14:solidFill>
          </w14:textFill>
        </w:rPr>
      </w:pPr>
      <w:r>
        <w:rPr>
          <w:rFonts w:hint="eastAsia" w:ascii="仿宋_GB2312" w:eastAsia="仿宋_GB2312"/>
          <w:color w:val="000000" w:themeColor="text1"/>
          <w:sz w:val="32"/>
          <w:szCs w:val="32"/>
          <w:highlight w:val="none"/>
          <w:lang w:val="en-US" w:eastAsia="zh-CN"/>
          <w14:textFill>
            <w14:solidFill>
              <w14:schemeClr w14:val="tx1"/>
            </w14:solidFill>
          </w14:textFill>
        </w:rPr>
        <w:t>10</w:t>
      </w:r>
      <w:r>
        <w:rPr>
          <w:rFonts w:hint="eastAsia" w:ascii="仿宋_GB2312" w:eastAsia="仿宋_GB2312"/>
          <w:color w:val="000000" w:themeColor="text1"/>
          <w:sz w:val="32"/>
          <w:szCs w:val="32"/>
          <w:highlight w:val="none"/>
          <w14:textFill>
            <w14:solidFill>
              <w14:schemeClr w14:val="tx1"/>
            </w14:solidFill>
          </w14:textFill>
        </w:rPr>
        <w:t>.</w:t>
      </w:r>
      <w:r>
        <w:rPr>
          <w:rFonts w:hint="eastAsia" w:ascii="仿宋_GB2312" w:hAnsi="Calibri" w:eastAsia="仿宋_GB2312" w:cs="仿宋"/>
          <w:color w:val="000000" w:themeColor="text1"/>
          <w:kern w:val="0"/>
          <w:sz w:val="32"/>
          <w:szCs w:val="32"/>
          <w:highlight w:val="none"/>
          <w:lang w:val="en-US" w:eastAsia="zh-CN" w:bidi="ar-SA"/>
          <w14:textFill>
            <w14:solidFill>
              <w14:schemeClr w14:val="tx1"/>
            </w14:solidFill>
          </w14:textFill>
        </w:rPr>
        <w:t>一般公共服务（类）群众团体事务（款）一般行政管理事务（项）指: 反映行政单位（包括实行公务员管理的事业单位），未单独设置项级科目的其他项目支出。</w:t>
      </w:r>
    </w:p>
    <w:p>
      <w:pPr>
        <w:ind w:firstLine="640" w:firstLineChars="200"/>
        <w:rPr>
          <w:rFonts w:hint="eastAsia" w:ascii="仿宋_GB2312" w:eastAsia="仿宋_GB2312"/>
          <w:color w:val="000000" w:themeColor="text1"/>
          <w:sz w:val="32"/>
          <w:szCs w:val="32"/>
          <w:highlight w:val="none"/>
          <w:lang w:eastAsia="zh-CN"/>
          <w14:textFill>
            <w14:solidFill>
              <w14:schemeClr w14:val="tx1"/>
            </w14:solidFill>
          </w14:textFill>
        </w:rPr>
      </w:pPr>
      <w:r>
        <w:rPr>
          <w:rFonts w:hint="eastAsia" w:ascii="仿宋_GB2312" w:eastAsia="仿宋_GB2312"/>
          <w:color w:val="000000" w:themeColor="text1"/>
          <w:sz w:val="32"/>
          <w:szCs w:val="32"/>
          <w:highlight w:val="none"/>
          <w:lang w:val="en-US" w:eastAsia="zh-CN"/>
          <w14:textFill>
            <w14:solidFill>
              <w14:schemeClr w14:val="tx1"/>
            </w14:solidFill>
          </w14:textFill>
        </w:rPr>
        <w:t>11</w:t>
      </w:r>
      <w:r>
        <w:rPr>
          <w:rFonts w:hint="eastAsia" w:ascii="仿宋_GB2312" w:eastAsia="仿宋_GB2312"/>
          <w:color w:val="000000" w:themeColor="text1"/>
          <w:sz w:val="32"/>
          <w:szCs w:val="32"/>
          <w:highlight w:val="none"/>
          <w14:textFill>
            <w14:solidFill>
              <w14:schemeClr w14:val="tx1"/>
            </w14:solidFill>
          </w14:textFill>
        </w:rPr>
        <w:t>.社会保障和就业（类）行政事业单位养老支出（款） 机关事业单位基本养老保险缴费支出（项）</w:t>
      </w:r>
      <w:r>
        <w:rPr>
          <w:rFonts w:hint="eastAsia" w:ascii="仿宋_GB2312" w:eastAsia="仿宋_GB2312"/>
          <w:color w:val="000000" w:themeColor="text1"/>
          <w:sz w:val="32"/>
          <w:szCs w:val="32"/>
          <w:highlight w:val="none"/>
          <w:lang w:val="en-US" w:eastAsia="zh-CN"/>
          <w14:textFill>
            <w14:solidFill>
              <w14:schemeClr w14:val="tx1"/>
            </w14:solidFill>
          </w14:textFill>
        </w:rPr>
        <w:t>指</w:t>
      </w:r>
      <w:r>
        <w:rPr>
          <w:rFonts w:hint="eastAsia" w:ascii="仿宋_GB2312" w:eastAsia="仿宋_GB2312"/>
          <w:color w:val="000000" w:themeColor="text1"/>
          <w:sz w:val="32"/>
          <w:szCs w:val="32"/>
          <w:highlight w:val="none"/>
          <w14:textFill>
            <w14:solidFill>
              <w14:schemeClr w14:val="tx1"/>
            </w14:solidFill>
          </w14:textFill>
        </w:rPr>
        <w:t>: 反映机关事业单位实施养老保险制度，由单位缴纳的基本养老保险费支出</w:t>
      </w:r>
      <w:r>
        <w:rPr>
          <w:rFonts w:hint="eastAsia" w:ascii="仿宋_GB2312" w:eastAsia="仿宋_GB2312"/>
          <w:color w:val="000000" w:themeColor="text1"/>
          <w:sz w:val="32"/>
          <w:szCs w:val="32"/>
          <w:highlight w:val="none"/>
          <w:lang w:eastAsia="zh-CN"/>
          <w14:textFill>
            <w14:solidFill>
              <w14:schemeClr w14:val="tx1"/>
            </w14:solidFill>
          </w14:textFill>
        </w:rPr>
        <w:t>。</w:t>
      </w:r>
    </w:p>
    <w:p>
      <w:pPr>
        <w:ind w:firstLine="640" w:firstLineChars="200"/>
        <w:rPr>
          <w:rFonts w:hint="eastAsia" w:ascii="仿宋_GB2312" w:eastAsia="仿宋_GB2312"/>
          <w:color w:val="000000" w:themeColor="text1"/>
          <w:sz w:val="32"/>
          <w:szCs w:val="32"/>
          <w:highlight w:val="none"/>
          <w:lang w:eastAsia="zh-CN"/>
          <w14:textFill>
            <w14:solidFill>
              <w14:schemeClr w14:val="tx1"/>
            </w14:solidFill>
          </w14:textFill>
        </w:rPr>
      </w:pPr>
      <w:r>
        <w:rPr>
          <w:rFonts w:hint="eastAsia" w:ascii="仿宋_GB2312" w:eastAsia="仿宋_GB2312"/>
          <w:color w:val="000000" w:themeColor="text1"/>
          <w:sz w:val="32"/>
          <w:szCs w:val="32"/>
          <w:highlight w:val="none"/>
          <w:lang w:val="en-US" w:eastAsia="zh-CN"/>
          <w14:textFill>
            <w14:solidFill>
              <w14:schemeClr w14:val="tx1"/>
            </w14:solidFill>
          </w14:textFill>
        </w:rPr>
        <w:t>12</w:t>
      </w:r>
      <w:r>
        <w:rPr>
          <w:rFonts w:hint="eastAsia" w:ascii="仿宋_GB2312" w:eastAsia="仿宋_GB2312"/>
          <w:color w:val="000000" w:themeColor="text1"/>
          <w:sz w:val="32"/>
          <w:szCs w:val="32"/>
          <w:highlight w:val="none"/>
          <w14:textFill>
            <w14:solidFill>
              <w14:schemeClr w14:val="tx1"/>
            </w14:solidFill>
          </w14:textFill>
        </w:rPr>
        <w:t>.社会保障和就业（类）其他社会保障和就业支出（款）   其他社会保障和就业支出（项）</w:t>
      </w:r>
      <w:r>
        <w:rPr>
          <w:rFonts w:hint="eastAsia" w:ascii="仿宋_GB2312" w:eastAsia="仿宋_GB2312"/>
          <w:color w:val="000000" w:themeColor="text1"/>
          <w:sz w:val="32"/>
          <w:szCs w:val="32"/>
          <w:highlight w:val="none"/>
          <w:lang w:val="en-US" w:eastAsia="zh-CN"/>
          <w14:textFill>
            <w14:solidFill>
              <w14:schemeClr w14:val="tx1"/>
            </w14:solidFill>
          </w14:textFill>
        </w:rPr>
        <w:t>指</w:t>
      </w:r>
      <w:r>
        <w:rPr>
          <w:rFonts w:hint="eastAsia" w:ascii="仿宋_GB2312" w:eastAsia="仿宋_GB2312"/>
          <w:color w:val="000000" w:themeColor="text1"/>
          <w:sz w:val="32"/>
          <w:szCs w:val="32"/>
          <w:highlight w:val="none"/>
          <w14:textFill>
            <w14:solidFill>
              <w14:schemeClr w14:val="tx1"/>
            </w14:solidFill>
          </w14:textFill>
        </w:rPr>
        <w:t>: 反映除上述项目以外的其他用于社会保障和就业方面的支出</w:t>
      </w:r>
      <w:r>
        <w:rPr>
          <w:rFonts w:hint="eastAsia" w:ascii="仿宋_GB2312" w:eastAsia="仿宋_GB2312"/>
          <w:color w:val="000000" w:themeColor="text1"/>
          <w:sz w:val="32"/>
          <w:szCs w:val="32"/>
          <w:highlight w:val="none"/>
          <w:lang w:eastAsia="zh-CN"/>
          <w14:textFill>
            <w14:solidFill>
              <w14:schemeClr w14:val="tx1"/>
            </w14:solidFill>
          </w14:textFill>
        </w:rPr>
        <w:t>。</w:t>
      </w:r>
    </w:p>
    <w:p>
      <w:pPr>
        <w:ind w:firstLine="640" w:firstLineChars="200"/>
        <w:rPr>
          <w:rFonts w:hint="eastAsia" w:ascii="仿宋_GB2312" w:eastAsia="仿宋_GB2312"/>
          <w:color w:val="000000" w:themeColor="text1"/>
          <w:sz w:val="32"/>
          <w:szCs w:val="32"/>
          <w:highlight w:val="none"/>
          <w:lang w:eastAsia="zh-CN"/>
          <w14:textFill>
            <w14:solidFill>
              <w14:schemeClr w14:val="tx1"/>
            </w14:solidFill>
          </w14:textFill>
        </w:rPr>
      </w:pPr>
      <w:r>
        <w:rPr>
          <w:rFonts w:hint="eastAsia" w:ascii="仿宋_GB2312" w:eastAsia="仿宋_GB2312"/>
          <w:color w:val="000000" w:themeColor="text1"/>
          <w:sz w:val="32"/>
          <w:szCs w:val="32"/>
          <w:highlight w:val="none"/>
          <w:lang w:val="en-US" w:eastAsia="zh-CN"/>
          <w14:textFill>
            <w14:solidFill>
              <w14:schemeClr w14:val="tx1"/>
            </w14:solidFill>
          </w14:textFill>
        </w:rPr>
        <w:t>13</w:t>
      </w:r>
      <w:r>
        <w:rPr>
          <w:rFonts w:hint="eastAsia" w:ascii="仿宋_GB2312" w:eastAsia="仿宋_GB2312"/>
          <w:color w:val="000000" w:themeColor="text1"/>
          <w:sz w:val="32"/>
          <w:szCs w:val="32"/>
          <w:highlight w:val="none"/>
          <w14:textFill>
            <w14:solidFill>
              <w14:schemeClr w14:val="tx1"/>
            </w14:solidFill>
          </w14:textFill>
        </w:rPr>
        <w:t>.卫生健康（类）卫生健康支出（款）公共卫生（项）</w:t>
      </w:r>
      <w:r>
        <w:rPr>
          <w:rFonts w:hint="eastAsia" w:ascii="仿宋_GB2312" w:eastAsia="仿宋_GB2312"/>
          <w:color w:val="000000" w:themeColor="text1"/>
          <w:sz w:val="32"/>
          <w:szCs w:val="32"/>
          <w:highlight w:val="none"/>
          <w:lang w:val="en-US" w:eastAsia="zh-CN"/>
          <w14:textFill>
            <w14:solidFill>
              <w14:schemeClr w14:val="tx1"/>
            </w14:solidFill>
          </w14:textFill>
        </w:rPr>
        <w:t>指</w:t>
      </w:r>
      <w:r>
        <w:rPr>
          <w:rFonts w:hint="eastAsia" w:ascii="仿宋_GB2312" w:eastAsia="仿宋_GB2312"/>
          <w:color w:val="000000" w:themeColor="text1"/>
          <w:sz w:val="32"/>
          <w:szCs w:val="32"/>
          <w:highlight w:val="none"/>
          <w14:textFill>
            <w14:solidFill>
              <w14:schemeClr w14:val="tx1"/>
            </w14:solidFill>
          </w14:textFill>
        </w:rPr>
        <w:t>:反映重大疾病</w:t>
      </w:r>
      <w:r>
        <w:rPr>
          <w:rFonts w:hint="eastAsia" w:ascii="仿宋_GB2312" w:eastAsia="仿宋_GB2312"/>
          <w:color w:val="000000" w:themeColor="text1"/>
          <w:sz w:val="32"/>
          <w:szCs w:val="32"/>
          <w:highlight w:val="none"/>
          <w:lang w:eastAsia="zh-CN"/>
          <w14:textFill>
            <w14:solidFill>
              <w14:schemeClr w14:val="tx1"/>
            </w14:solidFill>
          </w14:textFill>
        </w:rPr>
        <w:t>、</w:t>
      </w:r>
      <w:r>
        <w:rPr>
          <w:rFonts w:hint="eastAsia" w:ascii="仿宋_GB2312" w:eastAsia="仿宋_GB2312"/>
          <w:color w:val="000000" w:themeColor="text1"/>
          <w:sz w:val="32"/>
          <w:szCs w:val="32"/>
          <w:highlight w:val="none"/>
          <w14:textFill>
            <w14:solidFill>
              <w14:schemeClr w14:val="tx1"/>
            </w14:solidFill>
          </w14:textFill>
        </w:rPr>
        <w:t>重大传染病，预防控制等重大公共卫生服务项目支出</w:t>
      </w:r>
      <w:r>
        <w:rPr>
          <w:rFonts w:hint="eastAsia" w:ascii="仿宋_GB2312" w:eastAsia="仿宋_GB2312"/>
          <w:color w:val="000000" w:themeColor="text1"/>
          <w:sz w:val="32"/>
          <w:szCs w:val="32"/>
          <w:highlight w:val="none"/>
          <w:lang w:eastAsia="zh-CN"/>
          <w14:textFill>
            <w14:solidFill>
              <w14:schemeClr w14:val="tx1"/>
            </w14:solidFill>
          </w14:textFill>
        </w:rPr>
        <w:t>。</w:t>
      </w:r>
    </w:p>
    <w:p>
      <w:pPr>
        <w:ind w:firstLine="640" w:firstLineChars="200"/>
        <w:rPr>
          <w:rFonts w:hint="eastAsia" w:ascii="仿宋_GB2312" w:eastAsia="仿宋_GB2312"/>
          <w:color w:val="000000" w:themeColor="text1"/>
          <w:sz w:val="32"/>
          <w:szCs w:val="32"/>
          <w:highlight w:val="none"/>
          <w:lang w:eastAsia="zh-CN"/>
          <w14:textFill>
            <w14:solidFill>
              <w14:schemeClr w14:val="tx1"/>
            </w14:solidFill>
          </w14:textFill>
        </w:rPr>
      </w:pPr>
      <w:r>
        <w:rPr>
          <w:rFonts w:hint="eastAsia" w:ascii="仿宋_GB2312" w:eastAsia="仿宋_GB2312"/>
          <w:color w:val="000000" w:themeColor="text1"/>
          <w:sz w:val="32"/>
          <w:szCs w:val="32"/>
          <w:highlight w:val="none"/>
          <w:lang w:val="en-US" w:eastAsia="zh-CN"/>
          <w14:textFill>
            <w14:solidFill>
              <w14:schemeClr w14:val="tx1"/>
            </w14:solidFill>
          </w14:textFill>
        </w:rPr>
        <w:t>14</w:t>
      </w:r>
      <w:r>
        <w:rPr>
          <w:rFonts w:hint="eastAsia" w:ascii="仿宋_GB2312" w:eastAsia="仿宋_GB2312"/>
          <w:color w:val="000000" w:themeColor="text1"/>
          <w:sz w:val="32"/>
          <w:szCs w:val="32"/>
          <w:highlight w:val="none"/>
          <w14:textFill>
            <w14:solidFill>
              <w14:schemeClr w14:val="tx1"/>
            </w14:solidFill>
          </w14:textFill>
        </w:rPr>
        <w:t>.卫生健康（类）行政事业单位医疗（款）行政单位医疗（项）</w:t>
      </w:r>
      <w:r>
        <w:rPr>
          <w:rFonts w:hint="eastAsia" w:ascii="仿宋_GB2312" w:eastAsia="仿宋_GB2312"/>
          <w:color w:val="000000" w:themeColor="text1"/>
          <w:sz w:val="32"/>
          <w:szCs w:val="32"/>
          <w:highlight w:val="none"/>
          <w:lang w:val="en-US" w:eastAsia="zh-CN"/>
          <w14:textFill>
            <w14:solidFill>
              <w14:schemeClr w14:val="tx1"/>
            </w14:solidFill>
          </w14:textFill>
        </w:rPr>
        <w:t>指</w:t>
      </w:r>
      <w:r>
        <w:rPr>
          <w:rFonts w:hint="eastAsia" w:ascii="仿宋_GB2312" w:eastAsia="仿宋_GB2312"/>
          <w:color w:val="000000" w:themeColor="text1"/>
          <w:sz w:val="32"/>
          <w:szCs w:val="32"/>
          <w:highlight w:val="none"/>
          <w14:textFill>
            <w14:solidFill>
              <w14:schemeClr w14:val="tx1"/>
            </w14:solidFill>
          </w14:textFill>
        </w:rPr>
        <w:t>:反映财政部门安排的行政单位</w:t>
      </w:r>
      <w:r>
        <w:rPr>
          <w:rFonts w:hint="eastAsia" w:ascii="仿宋_GB2312" w:eastAsia="仿宋_GB2312"/>
          <w:color w:val="000000" w:themeColor="text1"/>
          <w:sz w:val="32"/>
          <w:szCs w:val="32"/>
          <w:highlight w:val="none"/>
          <w:lang w:eastAsia="zh-CN"/>
          <w14:textFill>
            <w14:solidFill>
              <w14:schemeClr w14:val="tx1"/>
            </w14:solidFill>
          </w14:textFill>
        </w:rPr>
        <w:t>（</w:t>
      </w:r>
      <w:r>
        <w:rPr>
          <w:rFonts w:hint="eastAsia" w:ascii="仿宋_GB2312" w:eastAsia="仿宋_GB2312"/>
          <w:color w:val="000000" w:themeColor="text1"/>
          <w:sz w:val="32"/>
          <w:szCs w:val="32"/>
          <w:highlight w:val="none"/>
          <w14:textFill>
            <w14:solidFill>
              <w14:schemeClr w14:val="tx1"/>
            </w14:solidFill>
          </w14:textFill>
        </w:rPr>
        <w:t>包括实行公务员管理的事业单位，下同</w:t>
      </w:r>
      <w:r>
        <w:rPr>
          <w:rFonts w:hint="eastAsia" w:ascii="仿宋_GB2312" w:eastAsia="仿宋_GB2312"/>
          <w:color w:val="000000" w:themeColor="text1"/>
          <w:sz w:val="32"/>
          <w:szCs w:val="32"/>
          <w:highlight w:val="none"/>
          <w:lang w:eastAsia="zh-CN"/>
          <w14:textFill>
            <w14:solidFill>
              <w14:schemeClr w14:val="tx1"/>
            </w14:solidFill>
          </w14:textFill>
        </w:rPr>
        <w:t>）</w:t>
      </w:r>
      <w:r>
        <w:rPr>
          <w:rFonts w:hint="eastAsia" w:ascii="仿宋_GB2312" w:eastAsia="仿宋_GB2312"/>
          <w:color w:val="000000" w:themeColor="text1"/>
          <w:sz w:val="32"/>
          <w:szCs w:val="32"/>
          <w:highlight w:val="none"/>
          <w14:textFill>
            <w14:solidFill>
              <w14:schemeClr w14:val="tx1"/>
            </w14:solidFill>
          </w14:textFill>
        </w:rPr>
        <w:t>基本医疗保险缴费经费，未参加医疗保险的行政单位的公费医疗经费</w:t>
      </w:r>
      <w:r>
        <w:rPr>
          <w:rFonts w:hint="eastAsia" w:ascii="仿宋_GB2312" w:eastAsia="仿宋_GB2312"/>
          <w:color w:val="000000" w:themeColor="text1"/>
          <w:sz w:val="32"/>
          <w:szCs w:val="32"/>
          <w:highlight w:val="none"/>
          <w:lang w:eastAsia="zh-CN"/>
          <w14:textFill>
            <w14:solidFill>
              <w14:schemeClr w14:val="tx1"/>
            </w14:solidFill>
          </w14:textFill>
        </w:rPr>
        <w:t>，</w:t>
      </w:r>
      <w:r>
        <w:rPr>
          <w:rFonts w:hint="eastAsia" w:ascii="仿宋_GB2312" w:eastAsia="仿宋_GB2312"/>
          <w:color w:val="000000" w:themeColor="text1"/>
          <w:sz w:val="32"/>
          <w:szCs w:val="32"/>
          <w:highlight w:val="none"/>
          <w14:textFill>
            <w14:solidFill>
              <w14:schemeClr w14:val="tx1"/>
            </w14:solidFill>
          </w14:textFill>
        </w:rPr>
        <w:t>按国家规定享受离休人员</w:t>
      </w:r>
      <w:r>
        <w:rPr>
          <w:rFonts w:hint="eastAsia" w:ascii="仿宋_GB2312" w:eastAsia="仿宋_GB2312"/>
          <w:color w:val="000000" w:themeColor="text1"/>
          <w:sz w:val="32"/>
          <w:szCs w:val="32"/>
          <w:highlight w:val="none"/>
          <w:lang w:eastAsia="zh-CN"/>
          <w14:textFill>
            <w14:solidFill>
              <w14:schemeClr w14:val="tx1"/>
            </w14:solidFill>
          </w14:textFill>
        </w:rPr>
        <w:t>、</w:t>
      </w:r>
      <w:r>
        <w:rPr>
          <w:rFonts w:hint="eastAsia" w:ascii="仿宋_GB2312" w:eastAsia="仿宋_GB2312"/>
          <w:color w:val="000000" w:themeColor="text1"/>
          <w:sz w:val="32"/>
          <w:szCs w:val="32"/>
          <w:highlight w:val="none"/>
          <w14:textFill>
            <w14:solidFill>
              <w14:schemeClr w14:val="tx1"/>
            </w14:solidFill>
          </w14:textFill>
        </w:rPr>
        <w:t>红军老战士待遇人员的医疗经费</w:t>
      </w:r>
      <w:r>
        <w:rPr>
          <w:rFonts w:hint="eastAsia" w:ascii="仿宋_GB2312" w:eastAsia="仿宋_GB2312"/>
          <w:color w:val="000000" w:themeColor="text1"/>
          <w:sz w:val="32"/>
          <w:szCs w:val="32"/>
          <w:highlight w:val="none"/>
          <w:lang w:eastAsia="zh-CN"/>
          <w14:textFill>
            <w14:solidFill>
              <w14:schemeClr w14:val="tx1"/>
            </w14:solidFill>
          </w14:textFill>
        </w:rPr>
        <w:t>。</w:t>
      </w:r>
    </w:p>
    <w:p>
      <w:pPr>
        <w:ind w:firstLine="640" w:firstLineChars="200"/>
        <w:rPr>
          <w:rFonts w:hint="eastAsia" w:ascii="仿宋_GB2312" w:eastAsia="仿宋_GB2312"/>
          <w:color w:val="000000" w:themeColor="text1"/>
          <w:sz w:val="32"/>
          <w:szCs w:val="32"/>
          <w:highlight w:val="none"/>
          <w:lang w:eastAsia="zh-CN"/>
          <w14:textFill>
            <w14:solidFill>
              <w14:schemeClr w14:val="tx1"/>
            </w14:solidFill>
          </w14:textFill>
        </w:rPr>
      </w:pPr>
      <w:r>
        <w:rPr>
          <w:rFonts w:hint="eastAsia" w:ascii="仿宋_GB2312" w:eastAsia="仿宋_GB2312"/>
          <w:color w:val="000000" w:themeColor="text1"/>
          <w:sz w:val="32"/>
          <w:szCs w:val="32"/>
          <w:highlight w:val="none"/>
          <w:lang w:val="en-US" w:eastAsia="zh-CN"/>
          <w14:textFill>
            <w14:solidFill>
              <w14:schemeClr w14:val="tx1"/>
            </w14:solidFill>
          </w14:textFill>
        </w:rPr>
        <w:t>15</w:t>
      </w:r>
      <w:r>
        <w:rPr>
          <w:rFonts w:hint="eastAsia" w:ascii="仿宋_GB2312" w:eastAsia="仿宋_GB2312"/>
          <w:color w:val="000000" w:themeColor="text1"/>
          <w:sz w:val="32"/>
          <w:szCs w:val="32"/>
          <w:highlight w:val="none"/>
          <w14:textFill>
            <w14:solidFill>
              <w14:schemeClr w14:val="tx1"/>
            </w14:solidFill>
          </w14:textFill>
        </w:rPr>
        <w:t>.卫生健康住房保障支出（类）住房改革支出（款）住房公积金（项）</w:t>
      </w:r>
      <w:r>
        <w:rPr>
          <w:rFonts w:hint="eastAsia" w:ascii="仿宋_GB2312" w:eastAsia="仿宋_GB2312"/>
          <w:color w:val="000000" w:themeColor="text1"/>
          <w:sz w:val="32"/>
          <w:szCs w:val="32"/>
          <w:highlight w:val="none"/>
          <w:lang w:val="en-US" w:eastAsia="zh-CN"/>
          <w14:textFill>
            <w14:solidFill>
              <w14:schemeClr w14:val="tx1"/>
            </w14:solidFill>
          </w14:textFill>
        </w:rPr>
        <w:t>指</w:t>
      </w:r>
      <w:r>
        <w:rPr>
          <w:rFonts w:hint="eastAsia" w:ascii="仿宋_GB2312" w:eastAsia="仿宋_GB2312"/>
          <w:color w:val="000000" w:themeColor="text1"/>
          <w:sz w:val="32"/>
          <w:szCs w:val="32"/>
          <w:highlight w:val="none"/>
          <w14:textFill>
            <w14:solidFill>
              <w14:schemeClr w14:val="tx1"/>
            </w14:solidFill>
          </w14:textFill>
        </w:rPr>
        <w:t>:反映行政单位按人力资源和社会保障部</w:t>
      </w:r>
      <w:r>
        <w:rPr>
          <w:rFonts w:hint="eastAsia" w:ascii="仿宋_GB2312" w:eastAsia="仿宋_GB2312"/>
          <w:color w:val="000000" w:themeColor="text1"/>
          <w:sz w:val="32"/>
          <w:szCs w:val="32"/>
          <w:highlight w:val="none"/>
          <w:lang w:eastAsia="zh-CN"/>
          <w14:textFill>
            <w14:solidFill>
              <w14:schemeClr w14:val="tx1"/>
            </w14:solidFill>
          </w14:textFill>
        </w:rPr>
        <w:t>、</w:t>
      </w:r>
      <w:r>
        <w:rPr>
          <w:rFonts w:hint="eastAsia" w:ascii="仿宋_GB2312" w:eastAsia="仿宋_GB2312"/>
          <w:color w:val="000000" w:themeColor="text1"/>
          <w:sz w:val="32"/>
          <w:szCs w:val="32"/>
          <w:highlight w:val="none"/>
          <w14:textFill>
            <w14:solidFill>
              <w14:schemeClr w14:val="tx1"/>
            </w14:solidFill>
          </w14:textFill>
        </w:rPr>
        <w:t>财政部规定的基本工资和津贴补贴以及规定比例为职工缴纳的住房公积金</w:t>
      </w:r>
      <w:r>
        <w:rPr>
          <w:rFonts w:hint="eastAsia" w:ascii="仿宋_GB2312" w:eastAsia="仿宋_GB2312"/>
          <w:color w:val="000000" w:themeColor="text1"/>
          <w:sz w:val="32"/>
          <w:szCs w:val="32"/>
          <w:highlight w:val="none"/>
          <w:lang w:eastAsia="zh-CN"/>
          <w14:textFill>
            <w14:solidFill>
              <w14:schemeClr w14:val="tx1"/>
            </w14:solidFill>
          </w14:textFill>
        </w:rPr>
        <w:t>。</w:t>
      </w:r>
    </w:p>
    <w:p>
      <w:pPr>
        <w:ind w:firstLine="640" w:firstLineChars="2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lang w:val="en-US" w:eastAsia="zh-CN"/>
        </w:rPr>
        <w:t>16</w:t>
      </w:r>
      <w:r>
        <w:rPr>
          <w:rFonts w:hint="eastAsia" w:ascii="仿宋" w:hAnsi="仿宋" w:eastAsia="仿宋" w:cs="仿宋"/>
          <w:color w:val="auto"/>
          <w:sz w:val="32"/>
          <w:szCs w:val="32"/>
          <w:highlight w:val="none"/>
        </w:rPr>
        <w:t>.基本支出：指为保障机构正常运转、完成日常工作任务而发生的人员支出和公用支出。</w:t>
      </w:r>
    </w:p>
    <w:p>
      <w:pPr>
        <w:ind w:firstLine="640" w:firstLineChars="2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lang w:val="en-US" w:eastAsia="zh-CN"/>
        </w:rPr>
        <w:t>17</w:t>
      </w:r>
      <w:r>
        <w:rPr>
          <w:rFonts w:hint="eastAsia" w:ascii="仿宋" w:hAnsi="仿宋" w:eastAsia="仿宋" w:cs="仿宋"/>
          <w:color w:val="auto"/>
          <w:sz w:val="32"/>
          <w:szCs w:val="32"/>
          <w:highlight w:val="none"/>
        </w:rPr>
        <w:t xml:space="preserve">.项目支出：指在基本支出之外为完成特定行政任务和事业发展目标所发生的支出。 </w:t>
      </w:r>
    </w:p>
    <w:p>
      <w:pPr>
        <w:ind w:firstLine="640" w:firstLineChars="2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lang w:val="en-US" w:eastAsia="zh-CN"/>
        </w:rPr>
        <w:t>18</w:t>
      </w:r>
      <w:r>
        <w:rPr>
          <w:rFonts w:hint="eastAsia" w:ascii="仿宋" w:hAnsi="仿宋" w:eastAsia="仿宋" w:cs="仿宋"/>
          <w:color w:val="auto"/>
          <w:sz w:val="32"/>
          <w:szCs w:val="32"/>
          <w:highlight w:val="none"/>
        </w:rPr>
        <w:t>.经营支出：指事业单位在专业业务活动及其辅助活动之外开展非独立核算经营活动发生的支出。</w:t>
      </w:r>
    </w:p>
    <w:p>
      <w:pPr>
        <w:pStyle w:val="22"/>
        <w:spacing w:line="560" w:lineRule="exact"/>
        <w:ind w:firstLine="640" w:firstLineChars="200"/>
        <w:rPr>
          <w:rFonts w:hint="eastAsia" w:ascii="仿宋" w:hAnsi="仿宋" w:eastAsia="仿宋" w:cs="仿宋"/>
          <w:color w:val="auto"/>
          <w:sz w:val="32"/>
          <w:szCs w:val="32"/>
          <w:highlight w:val="none"/>
        </w:rPr>
      </w:pPr>
      <w:r>
        <w:rPr>
          <w:rFonts w:hint="eastAsia" w:hAnsi="仿宋" w:cs="仿宋"/>
          <w:color w:val="auto"/>
          <w:sz w:val="32"/>
          <w:szCs w:val="32"/>
          <w:highlight w:val="none"/>
          <w:lang w:val="en-US" w:eastAsia="zh-CN"/>
        </w:rPr>
        <w:t>19</w:t>
      </w:r>
      <w:r>
        <w:rPr>
          <w:rFonts w:hint="eastAsia" w:ascii="仿宋" w:hAnsi="仿宋" w:eastAsia="仿宋" w:cs="仿宋"/>
          <w:color w:val="auto"/>
          <w:sz w:val="32"/>
          <w:szCs w:val="32"/>
          <w:highlight w:val="none"/>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2"/>
        <w:spacing w:line="560" w:lineRule="exact"/>
        <w:ind w:firstLine="640" w:firstLineChars="200"/>
        <w:rPr>
          <w:rFonts w:hint="eastAsia" w:ascii="仿宋" w:hAnsi="仿宋" w:eastAsia="仿宋" w:cs="仿宋"/>
          <w:color w:val="auto"/>
          <w:sz w:val="32"/>
          <w:szCs w:val="32"/>
          <w:highlight w:val="none"/>
        </w:rPr>
      </w:pPr>
      <w:r>
        <w:rPr>
          <w:rFonts w:hint="eastAsia" w:hAnsi="仿宋" w:cs="仿宋"/>
          <w:color w:val="auto"/>
          <w:sz w:val="32"/>
          <w:szCs w:val="32"/>
          <w:highlight w:val="none"/>
          <w:lang w:val="en-US" w:eastAsia="zh-CN"/>
        </w:rPr>
        <w:t>20</w:t>
      </w:r>
      <w:r>
        <w:rPr>
          <w:rFonts w:hint="eastAsia" w:ascii="仿宋" w:hAnsi="仿宋" w:eastAsia="仿宋" w:cs="仿宋"/>
          <w:color w:val="auto"/>
          <w:sz w:val="32"/>
          <w:szCs w:val="32"/>
          <w:highlight w:val="none"/>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22"/>
        <w:spacing w:line="560" w:lineRule="exact"/>
        <w:rPr>
          <w:rFonts w:hint="eastAsia" w:ascii="仿宋" w:hAnsi="仿宋" w:eastAsia="仿宋" w:cs="仿宋"/>
          <w:color w:val="auto"/>
          <w:sz w:val="32"/>
          <w:szCs w:val="32"/>
          <w:highlight w:val="none"/>
        </w:rPr>
      </w:pPr>
    </w:p>
    <w:p>
      <w:pPr>
        <w:spacing w:line="600" w:lineRule="exact"/>
        <w:jc w:val="center"/>
        <w:outlineLvl w:val="0"/>
        <w:rPr>
          <w:rStyle w:val="24"/>
          <w:rFonts w:hint="eastAsia" w:ascii="黑体" w:hAnsi="黑体" w:eastAsia="黑体"/>
          <w:b w:val="0"/>
          <w:color w:val="auto"/>
          <w:highlight w:val="none"/>
          <w:lang w:eastAsia="zh-CN"/>
        </w:rPr>
      </w:pPr>
      <w:bookmarkStart w:id="57" w:name="_Toc15377226"/>
      <w:r>
        <w:rPr>
          <w:rFonts w:hint="eastAsia" w:ascii="仿宋" w:hAnsi="仿宋" w:eastAsia="仿宋" w:cs="仿宋"/>
          <w:b/>
          <w:color w:val="auto"/>
          <w:sz w:val="32"/>
          <w:szCs w:val="32"/>
          <w:highlight w:val="none"/>
        </w:rPr>
        <w:br w:type="page"/>
      </w:r>
      <w:bookmarkStart w:id="58" w:name="_Toc15396614"/>
      <w:r>
        <w:rPr>
          <w:rFonts w:hint="eastAsia" w:ascii="黑体" w:hAnsi="黑体" w:eastAsia="黑体"/>
          <w:color w:val="auto"/>
          <w:sz w:val="44"/>
          <w:szCs w:val="44"/>
          <w:highlight w:val="none"/>
        </w:rPr>
        <w:t>第</w:t>
      </w:r>
      <w:r>
        <w:rPr>
          <w:rStyle w:val="24"/>
          <w:rFonts w:hint="eastAsia" w:ascii="黑体" w:hAnsi="黑体" w:eastAsia="黑体"/>
          <w:b w:val="0"/>
          <w:color w:val="auto"/>
          <w:highlight w:val="none"/>
        </w:rPr>
        <w:t>四部分 附件</w:t>
      </w:r>
      <w:bookmarkEnd w:id="58"/>
    </w:p>
    <w:p>
      <w:pPr>
        <w:keepNext w:val="0"/>
        <w:keepLines w:val="0"/>
        <w:pageBreakBefore w:val="0"/>
        <w:kinsoku/>
        <w:wordWrap/>
        <w:overflowPunct/>
        <w:topLinePunct w:val="0"/>
        <w:autoSpaceDE/>
        <w:autoSpaceDN/>
        <w:bidi w:val="0"/>
        <w:spacing w:line="572" w:lineRule="exact"/>
        <w:jc w:val="left"/>
        <w:textAlignment w:val="auto"/>
        <w:outlineLvl w:val="0"/>
        <w:rPr>
          <w:rFonts w:ascii="方正小标宋简体" w:hAnsi="方正小标宋简体" w:eastAsia="方正小标宋简体" w:cs="方正小标宋简体"/>
          <w:color w:val="auto"/>
          <w:sz w:val="44"/>
          <w:szCs w:val="44"/>
          <w:highlight w:val="none"/>
        </w:rPr>
      </w:pPr>
      <w:r>
        <w:rPr>
          <w:rFonts w:hint="eastAsia" w:ascii="黑体" w:hAnsi="黑体" w:eastAsia="黑体" w:cs="黑体"/>
          <w:color w:val="auto"/>
          <w:sz w:val="32"/>
          <w:szCs w:val="32"/>
          <w:highlight w:val="none"/>
        </w:rPr>
        <w:t>附件</w:t>
      </w:r>
    </w:p>
    <w:p>
      <w:pPr>
        <w:keepNext w:val="0"/>
        <w:keepLines w:val="0"/>
        <w:pageBreakBefore w:val="0"/>
        <w:kinsoku/>
        <w:wordWrap/>
        <w:overflowPunct/>
        <w:topLinePunct w:val="0"/>
        <w:autoSpaceDE/>
        <w:autoSpaceDN/>
        <w:bidi w:val="0"/>
        <w:spacing w:line="572" w:lineRule="exact"/>
        <w:jc w:val="center"/>
        <w:textAlignment w:val="auto"/>
        <w:rPr>
          <w:rFonts w:ascii="方正小标宋简体" w:hAnsi="宋体" w:eastAsia="方正小标宋简体"/>
          <w:color w:val="auto"/>
          <w:kern w:val="0"/>
          <w:sz w:val="40"/>
          <w:szCs w:val="44"/>
          <w:highlight w:val="none"/>
          <w:lang w:val="zh-CN"/>
        </w:rPr>
      </w:pPr>
      <w:r>
        <w:rPr>
          <w:rFonts w:hint="eastAsia" w:ascii="方正小标宋简体" w:hAnsi="宋体" w:eastAsia="方正小标宋简体"/>
          <w:color w:val="auto"/>
          <w:kern w:val="0"/>
          <w:sz w:val="40"/>
          <w:szCs w:val="44"/>
          <w:highlight w:val="none"/>
        </w:rPr>
        <w:t>202</w:t>
      </w:r>
      <w:r>
        <w:rPr>
          <w:rFonts w:hint="eastAsia" w:ascii="方正小标宋简体" w:hAnsi="宋体" w:eastAsia="方正小标宋简体"/>
          <w:color w:val="auto"/>
          <w:kern w:val="0"/>
          <w:sz w:val="40"/>
          <w:szCs w:val="44"/>
          <w:highlight w:val="none"/>
          <w:lang w:val="en-US" w:eastAsia="zh-CN"/>
        </w:rPr>
        <w:t>1</w:t>
      </w:r>
      <w:r>
        <w:rPr>
          <w:rFonts w:hint="eastAsia" w:ascii="方正小标宋简体" w:hAnsi="宋体" w:eastAsia="方正小标宋简体"/>
          <w:color w:val="auto"/>
          <w:kern w:val="0"/>
          <w:sz w:val="40"/>
          <w:szCs w:val="44"/>
          <w:highlight w:val="none"/>
        </w:rPr>
        <w:t>年</w:t>
      </w:r>
      <w:r>
        <w:rPr>
          <w:rFonts w:hint="eastAsia" w:ascii="方正小标宋简体" w:hAnsi="宋体" w:eastAsia="方正小标宋简体"/>
          <w:color w:val="auto"/>
          <w:kern w:val="0"/>
          <w:sz w:val="40"/>
          <w:szCs w:val="44"/>
          <w:highlight w:val="none"/>
          <w:lang w:eastAsia="zh-CN"/>
        </w:rPr>
        <w:t>区妇联</w:t>
      </w:r>
      <w:r>
        <w:rPr>
          <w:rFonts w:hint="eastAsia" w:ascii="方正小标宋简体" w:hAnsi="宋体" w:eastAsia="方正小标宋简体"/>
          <w:color w:val="auto"/>
          <w:kern w:val="0"/>
          <w:sz w:val="40"/>
          <w:szCs w:val="44"/>
          <w:highlight w:val="none"/>
        </w:rPr>
        <w:t>部门整体绩效评价报告</w:t>
      </w:r>
    </w:p>
    <w:p>
      <w:pPr>
        <w:pStyle w:val="2"/>
      </w:pPr>
    </w:p>
    <w:p>
      <w:pPr>
        <w:keepNext w:val="0"/>
        <w:keepLines w:val="0"/>
        <w:pageBreakBefore w:val="0"/>
        <w:widowControl/>
        <w:kinsoku/>
        <w:wordWrap/>
        <w:overflowPunct/>
        <w:topLinePunct w:val="0"/>
        <w:autoSpaceDE/>
        <w:autoSpaceDN/>
        <w:bidi w:val="0"/>
        <w:adjustRightInd w:val="0"/>
        <w:snapToGrid w:val="0"/>
        <w:spacing w:line="572" w:lineRule="exact"/>
        <w:ind w:firstLine="640" w:firstLineChars="200"/>
        <w:contextualSpacing/>
        <w:jc w:val="left"/>
        <w:textAlignment w:val="auto"/>
        <w:rPr>
          <w:rFonts w:ascii="黑体" w:hAnsi="宋体" w:eastAsia="黑体" w:cs="宋体"/>
          <w:color w:val="auto"/>
          <w:kern w:val="0"/>
          <w:sz w:val="32"/>
          <w:szCs w:val="32"/>
          <w:highlight w:val="none"/>
          <w:shd w:val="clear" w:color="auto" w:fill="FFFFFF"/>
          <w:lang w:val="zh-CN"/>
        </w:rPr>
      </w:pPr>
      <w:r>
        <w:rPr>
          <w:rFonts w:hint="eastAsia" w:ascii="黑体" w:hAnsi="宋体" w:eastAsia="黑体" w:cs="宋体"/>
          <w:color w:val="auto"/>
          <w:kern w:val="0"/>
          <w:sz w:val="32"/>
          <w:szCs w:val="32"/>
          <w:highlight w:val="none"/>
          <w:shd w:val="clear" w:color="auto" w:fill="FFFFFF"/>
        </w:rPr>
        <w:t>一、</w:t>
      </w:r>
      <w:r>
        <w:rPr>
          <w:rFonts w:hint="eastAsia" w:ascii="黑体" w:hAnsi="宋体" w:eastAsia="黑体" w:cs="宋体"/>
          <w:color w:val="auto"/>
          <w:kern w:val="0"/>
          <w:sz w:val="32"/>
          <w:szCs w:val="32"/>
          <w:highlight w:val="none"/>
          <w:shd w:val="clear" w:color="auto" w:fill="FFFFFF"/>
          <w:lang w:val="zh-CN"/>
        </w:rPr>
        <w:t>部门（单位）概况</w:t>
      </w:r>
    </w:p>
    <w:p>
      <w:pPr>
        <w:keepNext w:val="0"/>
        <w:keepLines w:val="0"/>
        <w:pageBreakBefore w:val="0"/>
        <w:widowControl/>
        <w:kinsoku/>
        <w:wordWrap/>
        <w:overflowPunct/>
        <w:topLinePunct w:val="0"/>
        <w:autoSpaceDE/>
        <w:autoSpaceDN/>
        <w:bidi w:val="0"/>
        <w:adjustRightInd w:val="0"/>
        <w:snapToGrid w:val="0"/>
        <w:spacing w:line="572" w:lineRule="exact"/>
        <w:ind w:firstLine="640" w:firstLineChars="200"/>
        <w:contextualSpacing/>
        <w:jc w:val="left"/>
        <w:textAlignment w:val="auto"/>
        <w:rPr>
          <w:rFonts w:hint="eastAsia" w:ascii="仿宋_GB2312" w:hAnsi="宋体" w:eastAsia="仿宋_GB2312" w:cs="宋体"/>
          <w:color w:val="auto"/>
          <w:kern w:val="0"/>
          <w:sz w:val="32"/>
          <w:szCs w:val="32"/>
          <w:highlight w:val="none"/>
          <w:shd w:val="clear" w:color="auto" w:fill="FFFFFF"/>
          <w:lang w:val="zh-CN"/>
        </w:rPr>
      </w:pPr>
      <w:r>
        <w:rPr>
          <w:rFonts w:hint="eastAsia" w:ascii="仿宋_GB2312" w:hAnsi="宋体" w:eastAsia="仿宋_GB2312" w:cs="宋体"/>
          <w:color w:val="auto"/>
          <w:kern w:val="0"/>
          <w:sz w:val="32"/>
          <w:szCs w:val="32"/>
          <w:highlight w:val="none"/>
          <w:shd w:val="clear" w:color="auto" w:fill="FFFFFF"/>
          <w:lang w:val="zh-CN"/>
        </w:rPr>
        <w:t>（一）机构组成。</w:t>
      </w:r>
    </w:p>
    <w:p>
      <w:pPr>
        <w:spacing w:line="580" w:lineRule="exact"/>
        <w:ind w:firstLine="640" w:firstLineChars="200"/>
        <w:rPr>
          <w:rFonts w:hint="eastAsia" w:ascii="仿宋" w:hAnsi="仿宋" w:eastAsia="仿宋" w:cs="仿宋"/>
          <w:sz w:val="32"/>
          <w:szCs w:val="32"/>
          <w:lang w:val="zh-CN"/>
        </w:rPr>
      </w:pPr>
      <w:r>
        <w:rPr>
          <w:rFonts w:hint="eastAsia" w:ascii="仿宋" w:hAnsi="仿宋" w:eastAsia="仿宋" w:cs="仿宋"/>
          <w:sz w:val="32"/>
          <w:szCs w:val="32"/>
        </w:rPr>
        <w:t>本部门是参照公务员法管理单位，属一级财政预算单位，受区委区政府领导，岗位设置为主席、副主席、办公室和妇女儿童权益办公室。</w:t>
      </w:r>
    </w:p>
    <w:p>
      <w:pPr>
        <w:keepNext w:val="0"/>
        <w:keepLines w:val="0"/>
        <w:pageBreakBefore w:val="0"/>
        <w:widowControl/>
        <w:numPr>
          <w:ilvl w:val="0"/>
          <w:numId w:val="6"/>
        </w:numPr>
        <w:kinsoku/>
        <w:wordWrap/>
        <w:overflowPunct/>
        <w:topLinePunct w:val="0"/>
        <w:autoSpaceDE/>
        <w:autoSpaceDN/>
        <w:bidi w:val="0"/>
        <w:adjustRightInd w:val="0"/>
        <w:snapToGrid w:val="0"/>
        <w:spacing w:line="572" w:lineRule="exact"/>
        <w:ind w:firstLine="640" w:firstLineChars="200"/>
        <w:contextualSpacing/>
        <w:jc w:val="left"/>
        <w:textAlignment w:val="auto"/>
        <w:rPr>
          <w:rFonts w:hint="eastAsia" w:ascii="仿宋_GB2312" w:hAnsi="宋体" w:eastAsia="仿宋_GB2312" w:cs="宋体"/>
          <w:color w:val="auto"/>
          <w:kern w:val="0"/>
          <w:sz w:val="32"/>
          <w:szCs w:val="32"/>
          <w:highlight w:val="none"/>
          <w:shd w:val="clear" w:color="auto" w:fill="FFFFFF"/>
          <w:lang w:val="zh-CN"/>
        </w:rPr>
      </w:pPr>
      <w:r>
        <w:rPr>
          <w:rFonts w:hint="eastAsia" w:ascii="仿宋_GB2312" w:hAnsi="宋体" w:eastAsia="仿宋_GB2312" w:cs="宋体"/>
          <w:color w:val="auto"/>
          <w:kern w:val="0"/>
          <w:sz w:val="32"/>
          <w:szCs w:val="32"/>
          <w:highlight w:val="none"/>
          <w:shd w:val="clear" w:color="auto" w:fill="FFFFFF"/>
          <w:lang w:val="zh-CN"/>
        </w:rPr>
        <w:t>机构职能。</w:t>
      </w:r>
    </w:p>
    <w:p>
      <w:pPr>
        <w:pStyle w:val="2"/>
        <w:adjustRightInd w:val="0"/>
        <w:snapToGrid w:val="0"/>
        <w:spacing w:before="93" w:line="600" w:lineRule="exact"/>
        <w:ind w:firstLine="640" w:firstLineChars="200"/>
        <w:outlineLvl w:val="2"/>
        <w:rPr>
          <w:rFonts w:hint="eastAsia" w:ascii="仿宋" w:hAnsi="仿宋" w:eastAsia="仿宋" w:cs="仿宋"/>
          <w:sz w:val="32"/>
          <w:szCs w:val="32"/>
          <w:lang w:val="zh-CN"/>
        </w:rPr>
      </w:pPr>
      <w:r>
        <w:rPr>
          <w:rFonts w:hint="eastAsia" w:ascii="仿宋" w:hAnsi="仿宋" w:eastAsia="仿宋" w:cs="仿宋"/>
          <w:sz w:val="32"/>
          <w:szCs w:val="32"/>
        </w:rPr>
        <w:t>根据党的中心作任务，指导各级妇联依据《中华全国妇女联合会章程》和妇女代表大会的决议，开展妇女儿童工作；联系团体会员，并给予业务指导；调查研究我区不同地区妇女儿童的情况、问题，及时向区委、区政府反映，提出建议；指导和推动全区农村妇女的“双学双赛”和城镇妇女的“巾帼建功”活动。组织、动员妇女投身改革开放和社会主义现代化建设；指导各级妇联的宣传舆论工作，教育、引导广大妇女增强自尊、自信、自立、自强的精神，表彰各行各业先进妇女，开展妇女职业技术培训和多层次的妇女理论培训，全面提高妇女素质，促进妇女人才成长；代表妇女参与国家和社会事务的民主管理，民主监督，促进妇女参政议政，贯彻执行有关妇女儿童法律、法规，切实维护妇女儿童的合法权益，加强与社会各界的联系，协调和推动社会各界为妇女儿童办实事、办好事；负责机关和本系统的精神文明建设以及党风廉政建设；承担区政府妇女儿童工作委员会的日常工作；承办区委、区政府交办的其它事项。</w:t>
      </w:r>
    </w:p>
    <w:p>
      <w:pPr>
        <w:keepNext w:val="0"/>
        <w:keepLines w:val="0"/>
        <w:pageBreakBefore w:val="0"/>
        <w:widowControl/>
        <w:numPr>
          <w:ilvl w:val="0"/>
          <w:numId w:val="6"/>
        </w:numPr>
        <w:kinsoku/>
        <w:wordWrap/>
        <w:overflowPunct/>
        <w:topLinePunct w:val="0"/>
        <w:autoSpaceDE/>
        <w:autoSpaceDN/>
        <w:bidi w:val="0"/>
        <w:adjustRightInd w:val="0"/>
        <w:snapToGrid w:val="0"/>
        <w:spacing w:line="572" w:lineRule="exact"/>
        <w:ind w:left="0" w:leftChars="0" w:firstLine="640" w:firstLineChars="200"/>
        <w:contextualSpacing/>
        <w:jc w:val="left"/>
        <w:textAlignment w:val="auto"/>
        <w:rPr>
          <w:rFonts w:hint="eastAsia" w:ascii="仿宋_GB2312" w:hAnsi="宋体" w:eastAsia="仿宋_GB2312" w:cs="宋体"/>
          <w:color w:val="auto"/>
          <w:kern w:val="0"/>
          <w:sz w:val="32"/>
          <w:szCs w:val="32"/>
          <w:highlight w:val="none"/>
          <w:shd w:val="clear" w:color="auto" w:fill="FFFFFF"/>
          <w:lang w:val="zh-CN"/>
        </w:rPr>
      </w:pPr>
      <w:r>
        <w:rPr>
          <w:rFonts w:hint="eastAsia" w:ascii="仿宋_GB2312" w:hAnsi="宋体" w:eastAsia="仿宋_GB2312" w:cs="宋体"/>
          <w:color w:val="auto"/>
          <w:kern w:val="0"/>
          <w:sz w:val="32"/>
          <w:szCs w:val="32"/>
          <w:highlight w:val="none"/>
          <w:shd w:val="clear" w:color="auto" w:fill="FFFFFF"/>
          <w:lang w:val="zh-CN"/>
        </w:rPr>
        <w:t>人员概况。</w:t>
      </w:r>
    </w:p>
    <w:p>
      <w:pPr>
        <w:spacing w:line="580" w:lineRule="exact"/>
        <w:ind w:firstLine="640" w:firstLineChars="200"/>
        <w:rPr>
          <w:lang w:val="zh-CN"/>
        </w:rPr>
      </w:pPr>
      <w:r>
        <w:rPr>
          <w:rFonts w:hint="eastAsia" w:ascii="仿宋" w:hAnsi="仿宋" w:eastAsia="仿宋" w:cs="仿宋"/>
          <w:kern w:val="0"/>
          <w:sz w:val="32"/>
          <w:szCs w:val="32"/>
          <w:lang w:val="en-US" w:eastAsia="zh-CN" w:bidi="ar-SA"/>
        </w:rPr>
        <w:t>本部门编制数4名，2020年在编人员4名，其4名行政编制，4名事业编制</w:t>
      </w:r>
      <w:r>
        <w:rPr>
          <w:rFonts w:hint="eastAsia" w:ascii="仿宋_GB2312" w:hAnsi="Calibri" w:eastAsia="方正仿宋简体"/>
          <w:color w:val="auto"/>
          <w:sz w:val="30"/>
          <w:szCs w:val="30"/>
        </w:rPr>
        <w:t>。</w:t>
      </w:r>
    </w:p>
    <w:p>
      <w:pPr>
        <w:keepNext w:val="0"/>
        <w:keepLines w:val="0"/>
        <w:pageBreakBefore w:val="0"/>
        <w:widowControl/>
        <w:kinsoku/>
        <w:wordWrap/>
        <w:overflowPunct/>
        <w:topLinePunct w:val="0"/>
        <w:autoSpaceDE/>
        <w:autoSpaceDN/>
        <w:bidi w:val="0"/>
        <w:adjustRightInd w:val="0"/>
        <w:snapToGrid w:val="0"/>
        <w:spacing w:line="572" w:lineRule="exact"/>
        <w:ind w:firstLine="640" w:firstLineChars="200"/>
        <w:contextualSpacing/>
        <w:jc w:val="left"/>
        <w:textAlignment w:val="auto"/>
        <w:rPr>
          <w:rFonts w:ascii="黑体" w:hAnsi="宋体" w:eastAsia="黑体" w:cs="宋体"/>
          <w:color w:val="auto"/>
          <w:kern w:val="0"/>
          <w:sz w:val="32"/>
          <w:szCs w:val="32"/>
          <w:highlight w:val="none"/>
          <w:shd w:val="clear" w:color="auto" w:fill="FFFFFF"/>
        </w:rPr>
      </w:pPr>
      <w:r>
        <w:rPr>
          <w:rFonts w:hint="eastAsia" w:ascii="黑体" w:hAnsi="宋体" w:eastAsia="黑体" w:cs="宋体"/>
          <w:color w:val="auto"/>
          <w:kern w:val="0"/>
          <w:sz w:val="32"/>
          <w:szCs w:val="32"/>
          <w:highlight w:val="none"/>
          <w:shd w:val="clear" w:color="auto" w:fill="FFFFFF"/>
        </w:rPr>
        <w:t>二、部门财政资金收支情况</w:t>
      </w:r>
    </w:p>
    <w:p>
      <w:pPr>
        <w:keepNext w:val="0"/>
        <w:keepLines w:val="0"/>
        <w:pageBreakBefore w:val="0"/>
        <w:widowControl/>
        <w:kinsoku/>
        <w:wordWrap/>
        <w:overflowPunct/>
        <w:topLinePunct w:val="0"/>
        <w:autoSpaceDE/>
        <w:autoSpaceDN/>
        <w:bidi w:val="0"/>
        <w:adjustRightInd w:val="0"/>
        <w:snapToGrid w:val="0"/>
        <w:spacing w:line="572" w:lineRule="exact"/>
        <w:ind w:firstLine="640" w:firstLineChars="200"/>
        <w:contextualSpacing/>
        <w:jc w:val="left"/>
        <w:textAlignment w:val="auto"/>
        <w:rPr>
          <w:rFonts w:hint="eastAsia" w:ascii="仿宋_GB2312" w:hAnsi="宋体" w:eastAsia="仿宋_GB2312" w:cs="宋体"/>
          <w:color w:val="auto"/>
          <w:kern w:val="0"/>
          <w:sz w:val="32"/>
          <w:szCs w:val="32"/>
          <w:highlight w:val="none"/>
          <w:shd w:val="clear" w:color="auto" w:fill="FFFFFF"/>
          <w:lang w:val="zh-CN"/>
        </w:rPr>
      </w:pPr>
      <w:r>
        <w:rPr>
          <w:rFonts w:hint="eastAsia" w:ascii="仿宋_GB2312" w:hAnsi="宋体" w:eastAsia="仿宋_GB2312" w:cs="宋体"/>
          <w:color w:val="auto"/>
          <w:kern w:val="0"/>
          <w:sz w:val="32"/>
          <w:szCs w:val="32"/>
          <w:highlight w:val="none"/>
          <w:shd w:val="clear" w:color="auto" w:fill="FFFFFF"/>
          <w:lang w:val="zh-CN"/>
        </w:rPr>
        <w:t>（一）部门财政资金收入情况。</w:t>
      </w:r>
    </w:p>
    <w:p>
      <w:pPr>
        <w:pStyle w:val="2"/>
        <w:ind w:firstLine="960" w:firstLineChars="300"/>
        <w:rPr>
          <w:rFonts w:hint="eastAsia" w:eastAsia="方正仿宋简体"/>
          <w:color w:val="FF0000"/>
          <w:lang w:val="zh-CN" w:eastAsia="zh-CN"/>
        </w:rPr>
      </w:pPr>
      <w:r>
        <w:rPr>
          <w:rFonts w:hint="eastAsia" w:ascii="仿宋" w:hAnsi="仿宋" w:eastAsia="仿宋" w:cs="仿宋"/>
          <w:color w:val="000000"/>
          <w:sz w:val="32"/>
          <w:szCs w:val="32"/>
        </w:rPr>
        <w:t>202</w:t>
      </w:r>
      <w:r>
        <w:rPr>
          <w:rFonts w:hint="eastAsia" w:ascii="仿宋" w:hAnsi="仿宋" w:eastAsia="仿宋" w:cs="仿宋"/>
          <w:color w:val="000000"/>
          <w:sz w:val="32"/>
          <w:szCs w:val="32"/>
          <w:lang w:val="en-US" w:eastAsia="zh-CN"/>
        </w:rPr>
        <w:t>1</w:t>
      </w:r>
      <w:r>
        <w:rPr>
          <w:rFonts w:hint="eastAsia" w:ascii="仿宋" w:hAnsi="仿宋" w:eastAsia="仿宋" w:cs="仿宋"/>
          <w:color w:val="000000"/>
          <w:sz w:val="32"/>
          <w:szCs w:val="32"/>
        </w:rPr>
        <w:t>年本年收入合计231.64万元</w:t>
      </w:r>
      <w:r>
        <w:rPr>
          <w:rFonts w:hint="eastAsia" w:ascii="仿宋" w:hAnsi="仿宋" w:eastAsia="仿宋" w:cs="仿宋"/>
          <w:color w:val="000000"/>
          <w:sz w:val="32"/>
          <w:szCs w:val="32"/>
          <w:lang w:eastAsia="zh-CN"/>
        </w:rPr>
        <w:t>。</w:t>
      </w:r>
    </w:p>
    <w:p>
      <w:pPr>
        <w:keepNext w:val="0"/>
        <w:keepLines w:val="0"/>
        <w:pageBreakBefore w:val="0"/>
        <w:widowControl/>
        <w:numPr>
          <w:ilvl w:val="0"/>
          <w:numId w:val="7"/>
        </w:numPr>
        <w:kinsoku/>
        <w:wordWrap/>
        <w:overflowPunct/>
        <w:topLinePunct w:val="0"/>
        <w:autoSpaceDE/>
        <w:autoSpaceDN/>
        <w:bidi w:val="0"/>
        <w:adjustRightInd w:val="0"/>
        <w:snapToGrid w:val="0"/>
        <w:spacing w:line="572" w:lineRule="exact"/>
        <w:ind w:firstLine="640" w:firstLineChars="200"/>
        <w:contextualSpacing/>
        <w:jc w:val="left"/>
        <w:textAlignment w:val="auto"/>
        <w:rPr>
          <w:rFonts w:hint="eastAsia" w:ascii="仿宋_GB2312" w:hAnsi="宋体" w:eastAsia="仿宋_GB2312" w:cs="宋体"/>
          <w:color w:val="auto"/>
          <w:kern w:val="0"/>
          <w:sz w:val="32"/>
          <w:szCs w:val="32"/>
          <w:highlight w:val="none"/>
          <w:shd w:val="clear" w:color="auto" w:fill="FFFFFF"/>
          <w:lang w:val="zh-CN"/>
        </w:rPr>
      </w:pPr>
      <w:r>
        <w:rPr>
          <w:rFonts w:hint="eastAsia" w:ascii="仿宋_GB2312" w:hAnsi="宋体" w:eastAsia="仿宋_GB2312" w:cs="宋体"/>
          <w:color w:val="auto"/>
          <w:kern w:val="0"/>
          <w:sz w:val="32"/>
          <w:szCs w:val="32"/>
          <w:highlight w:val="none"/>
          <w:shd w:val="clear" w:color="auto" w:fill="FFFFFF"/>
          <w:lang w:val="zh-CN"/>
        </w:rPr>
        <w:t>部门财政资金支出情况。</w:t>
      </w:r>
    </w:p>
    <w:p>
      <w:pPr>
        <w:pStyle w:val="2"/>
        <w:numPr>
          <w:ilvl w:val="0"/>
          <w:numId w:val="0"/>
        </w:numPr>
        <w:ind w:firstLine="960" w:firstLineChars="300"/>
        <w:rPr>
          <w:rFonts w:hint="eastAsia" w:ascii="仿宋" w:hAnsi="仿宋" w:eastAsia="仿宋" w:cs="仿宋"/>
          <w:color w:val="000000"/>
          <w:kern w:val="2"/>
          <w:sz w:val="32"/>
          <w:szCs w:val="32"/>
          <w:lang w:val="zh-CN" w:eastAsia="zh-CN" w:bidi="ar-SA"/>
        </w:rPr>
      </w:pPr>
      <w:r>
        <w:rPr>
          <w:rFonts w:hint="eastAsia" w:ascii="仿宋" w:hAnsi="仿宋" w:eastAsia="仿宋" w:cs="仿宋"/>
          <w:color w:val="000000"/>
          <w:kern w:val="2"/>
          <w:sz w:val="32"/>
          <w:szCs w:val="32"/>
          <w:lang w:val="en-US" w:eastAsia="zh-CN" w:bidi="ar-SA"/>
        </w:rPr>
        <w:t>2021年本年支出合计231.64万元。</w:t>
      </w:r>
    </w:p>
    <w:p>
      <w:pPr>
        <w:keepNext w:val="0"/>
        <w:keepLines w:val="0"/>
        <w:pageBreakBefore w:val="0"/>
        <w:widowControl/>
        <w:numPr>
          <w:ilvl w:val="0"/>
          <w:numId w:val="1"/>
        </w:numPr>
        <w:tabs>
          <w:tab w:val="left" w:pos="385"/>
          <w:tab w:val="left" w:pos="565"/>
        </w:tabs>
        <w:kinsoku/>
        <w:wordWrap/>
        <w:overflowPunct/>
        <w:topLinePunct w:val="0"/>
        <w:autoSpaceDE/>
        <w:autoSpaceDN/>
        <w:bidi w:val="0"/>
        <w:adjustRightInd w:val="0"/>
        <w:snapToGrid w:val="0"/>
        <w:spacing w:line="572" w:lineRule="exact"/>
        <w:ind w:left="1360" w:leftChars="0" w:hanging="720" w:firstLineChars="0"/>
        <w:contextualSpacing/>
        <w:jc w:val="left"/>
        <w:textAlignment w:val="auto"/>
        <w:rPr>
          <w:rFonts w:hint="eastAsia" w:ascii="黑体" w:hAnsi="宋体" w:eastAsia="黑体" w:cs="宋体"/>
          <w:color w:val="auto"/>
          <w:kern w:val="0"/>
          <w:sz w:val="32"/>
          <w:szCs w:val="32"/>
          <w:highlight w:val="none"/>
          <w:u w:val="none"/>
          <w:shd w:val="clear" w:color="auto" w:fill="FFFFFF"/>
        </w:rPr>
      </w:pPr>
      <w:r>
        <w:rPr>
          <w:rFonts w:hint="eastAsia" w:ascii="黑体" w:hAnsi="宋体" w:eastAsia="黑体" w:cs="宋体"/>
          <w:color w:val="auto"/>
          <w:kern w:val="0"/>
          <w:sz w:val="32"/>
          <w:szCs w:val="32"/>
          <w:highlight w:val="none"/>
          <w:u w:val="none"/>
          <w:shd w:val="clear" w:color="auto" w:fill="FFFFFF"/>
        </w:rPr>
        <w:t>部门整体预算绩效管理情况</w:t>
      </w:r>
    </w:p>
    <w:p>
      <w:pPr>
        <w:keepNext w:val="0"/>
        <w:keepLines w:val="0"/>
        <w:pageBreakBefore w:val="0"/>
        <w:widowControl/>
        <w:numPr>
          <w:ilvl w:val="0"/>
          <w:numId w:val="0"/>
        </w:numPr>
        <w:kinsoku/>
        <w:wordWrap/>
        <w:overflowPunct/>
        <w:topLinePunct w:val="0"/>
        <w:autoSpaceDE/>
        <w:autoSpaceDN/>
        <w:bidi w:val="0"/>
        <w:adjustRightInd w:val="0"/>
        <w:snapToGrid w:val="0"/>
        <w:spacing w:line="572" w:lineRule="exact"/>
        <w:ind w:left="640" w:leftChars="0"/>
        <w:contextualSpacing/>
        <w:jc w:val="left"/>
        <w:textAlignment w:val="auto"/>
        <w:rPr>
          <w:rFonts w:hint="eastAsia" w:ascii="仿宋" w:hAnsi="仿宋" w:eastAsia="仿宋" w:cs="仿宋"/>
          <w:color w:val="auto"/>
          <w:kern w:val="0"/>
          <w:sz w:val="32"/>
          <w:szCs w:val="32"/>
          <w:highlight w:val="none"/>
          <w:shd w:val="clear" w:color="auto" w:fill="FFFFFF"/>
          <w:lang w:val="zh-CN"/>
        </w:rPr>
      </w:pPr>
      <w:r>
        <w:rPr>
          <w:rFonts w:hint="eastAsia" w:ascii="仿宋_GB2312" w:hAnsi="宋体" w:eastAsia="仿宋_GB2312" w:cs="宋体"/>
          <w:color w:val="auto"/>
          <w:kern w:val="0"/>
          <w:sz w:val="32"/>
          <w:szCs w:val="32"/>
          <w:highlight w:val="none"/>
          <w:shd w:val="clear" w:color="auto" w:fill="FFFFFF"/>
          <w:lang w:val="zh-CN"/>
        </w:rPr>
        <w:t>（一）</w:t>
      </w:r>
      <w:r>
        <w:rPr>
          <w:rFonts w:hint="eastAsia" w:ascii="仿宋" w:hAnsi="仿宋" w:eastAsia="仿宋" w:cs="仿宋"/>
          <w:color w:val="auto"/>
          <w:kern w:val="0"/>
          <w:sz w:val="32"/>
          <w:szCs w:val="32"/>
          <w:highlight w:val="none"/>
          <w:shd w:val="clear" w:color="auto" w:fill="FFFFFF"/>
          <w:lang w:val="zh-CN"/>
        </w:rPr>
        <w:t>部门预算项目绩效管理。</w:t>
      </w:r>
    </w:p>
    <w:p>
      <w:pPr>
        <w:spacing w:line="600" w:lineRule="exact"/>
        <w:ind w:firstLine="640" w:firstLineChars="200"/>
        <w:outlineLvl w:val="1"/>
        <w:rPr>
          <w:rFonts w:hint="eastAsia" w:ascii="仿宋" w:hAnsi="仿宋" w:eastAsia="仿宋" w:cs="仿宋"/>
          <w:color w:val="000000"/>
          <w:sz w:val="32"/>
          <w:szCs w:val="32"/>
        </w:rPr>
      </w:pPr>
      <w:r>
        <w:rPr>
          <w:rFonts w:hint="eastAsia" w:ascii="仿宋" w:hAnsi="仿宋" w:eastAsia="仿宋" w:cs="仿宋"/>
          <w:color w:val="000000"/>
          <w:sz w:val="32"/>
          <w:szCs w:val="32"/>
        </w:rPr>
        <w:t>1.严格按区财政部门预算要求，按时按质编制我会部门预算，并报送对口业务股室。</w:t>
      </w:r>
    </w:p>
    <w:p>
      <w:pPr>
        <w:spacing w:line="600" w:lineRule="exact"/>
        <w:ind w:firstLine="640" w:firstLineChars="200"/>
        <w:outlineLvl w:val="1"/>
        <w:rPr>
          <w:rFonts w:hint="eastAsia" w:ascii="仿宋" w:hAnsi="仿宋" w:eastAsia="仿宋" w:cs="仿宋"/>
          <w:color w:val="000000"/>
          <w:sz w:val="32"/>
          <w:szCs w:val="32"/>
        </w:rPr>
      </w:pPr>
      <w:r>
        <w:rPr>
          <w:rFonts w:hint="eastAsia" w:ascii="仿宋" w:hAnsi="仿宋" w:eastAsia="仿宋" w:cs="仿宋"/>
          <w:color w:val="000000"/>
          <w:sz w:val="32"/>
          <w:szCs w:val="32"/>
        </w:rPr>
        <w:t xml:space="preserve">2. 部门整体绩效目标编制完整、合理，预算安排的基本支出保障了正常的工作运转。 </w:t>
      </w:r>
    </w:p>
    <w:p>
      <w:pPr>
        <w:spacing w:line="600" w:lineRule="exact"/>
        <w:ind w:firstLine="640" w:firstLineChars="200"/>
        <w:outlineLvl w:val="1"/>
        <w:rPr>
          <w:rFonts w:hint="eastAsia" w:ascii="仿宋" w:hAnsi="仿宋" w:eastAsia="仿宋" w:cs="仿宋"/>
          <w:color w:val="000000"/>
          <w:sz w:val="32"/>
          <w:szCs w:val="32"/>
        </w:rPr>
      </w:pPr>
      <w:r>
        <w:rPr>
          <w:rFonts w:hint="eastAsia" w:ascii="仿宋" w:hAnsi="仿宋" w:eastAsia="仿宋" w:cs="仿宋"/>
          <w:color w:val="000000"/>
          <w:sz w:val="32"/>
          <w:szCs w:val="32"/>
        </w:rPr>
        <w:t>3.严控制行政经费，压缩公务费开支，严格控制“三公”经费，资产的配置严格政府采购，按照预算科目和项目资金的规定使用财政资金，保证部门整体支出的规范化、制度化。</w:t>
      </w:r>
    </w:p>
    <w:p>
      <w:pPr>
        <w:keepNext w:val="0"/>
        <w:keepLines w:val="0"/>
        <w:pageBreakBefore w:val="0"/>
        <w:widowControl/>
        <w:kinsoku/>
        <w:wordWrap/>
        <w:overflowPunct/>
        <w:topLinePunct w:val="0"/>
        <w:autoSpaceDE/>
        <w:autoSpaceDN/>
        <w:bidi w:val="0"/>
        <w:adjustRightInd w:val="0"/>
        <w:snapToGrid w:val="0"/>
        <w:spacing w:line="572" w:lineRule="exact"/>
        <w:ind w:firstLine="640" w:firstLineChars="200"/>
        <w:contextualSpacing/>
        <w:jc w:val="left"/>
        <w:textAlignment w:val="auto"/>
        <w:rPr>
          <w:rFonts w:hint="eastAsia" w:ascii="仿宋" w:hAnsi="仿宋" w:eastAsia="仿宋" w:cs="仿宋"/>
          <w:color w:val="auto"/>
          <w:kern w:val="0"/>
          <w:sz w:val="32"/>
          <w:szCs w:val="32"/>
          <w:highlight w:val="none"/>
          <w:shd w:val="clear" w:color="auto" w:fill="FFFFFF"/>
          <w:lang w:val="zh-CN"/>
        </w:rPr>
      </w:pPr>
      <w:r>
        <w:rPr>
          <w:rFonts w:hint="eastAsia" w:ascii="仿宋" w:hAnsi="仿宋" w:eastAsia="仿宋" w:cs="仿宋"/>
          <w:color w:val="auto"/>
          <w:kern w:val="0"/>
          <w:sz w:val="32"/>
          <w:szCs w:val="32"/>
          <w:highlight w:val="none"/>
          <w:shd w:val="clear" w:color="auto" w:fill="FFFFFF"/>
          <w:lang w:val="zh-CN"/>
        </w:rPr>
        <w:t>（二）结果应用情况。</w:t>
      </w:r>
    </w:p>
    <w:p>
      <w:pPr>
        <w:spacing w:line="600" w:lineRule="exact"/>
        <w:ind w:firstLine="640" w:firstLineChars="200"/>
        <w:outlineLvl w:val="1"/>
        <w:rPr>
          <w:rFonts w:hint="eastAsia" w:ascii="仿宋" w:hAnsi="仿宋" w:eastAsia="仿宋" w:cs="仿宋"/>
          <w:color w:val="000000"/>
          <w:sz w:val="32"/>
          <w:szCs w:val="32"/>
        </w:rPr>
      </w:pPr>
      <w:r>
        <w:rPr>
          <w:rFonts w:hint="eastAsia" w:ascii="仿宋" w:hAnsi="仿宋" w:eastAsia="仿宋" w:cs="仿宋"/>
          <w:color w:val="000000"/>
          <w:sz w:val="32"/>
          <w:szCs w:val="32"/>
        </w:rPr>
        <w:t>从项目完成、项目效益、满意度等方面设置了绩效指标，综合反映项目预期完成的数量、成本、时效、质量，预期达到的社会效益、经济效益、生态效益、可持续影响以及服务对象满意度等情况。</w:t>
      </w:r>
    </w:p>
    <w:p>
      <w:pPr>
        <w:widowControl/>
        <w:numPr>
          <w:ilvl w:val="0"/>
          <w:numId w:val="8"/>
        </w:numPr>
        <w:adjustRightInd w:val="0"/>
        <w:snapToGrid w:val="0"/>
        <w:spacing w:line="580" w:lineRule="exact"/>
        <w:ind w:firstLine="640" w:firstLineChars="200"/>
        <w:contextualSpacing/>
        <w:jc w:val="left"/>
        <w:rPr>
          <w:rFonts w:hint="eastAsia" w:ascii="仿宋_GB2312" w:hAnsi="宋体" w:eastAsia="仿宋_GB2312" w:cs="宋体"/>
          <w:color w:val="auto"/>
          <w:kern w:val="0"/>
          <w:sz w:val="32"/>
          <w:szCs w:val="32"/>
          <w:highlight w:val="none"/>
          <w:u w:val="none"/>
          <w:shd w:val="clear" w:color="auto" w:fill="FFFFFF"/>
          <w:lang w:val="zh-CN"/>
        </w:rPr>
      </w:pPr>
      <w:r>
        <w:rPr>
          <w:rFonts w:hint="eastAsia" w:ascii="仿宋_GB2312" w:hAnsi="宋体" w:eastAsia="仿宋_GB2312" w:cs="宋体"/>
          <w:color w:val="auto"/>
          <w:kern w:val="0"/>
          <w:sz w:val="32"/>
          <w:szCs w:val="32"/>
          <w:highlight w:val="none"/>
          <w:u w:val="none"/>
          <w:shd w:val="clear" w:color="auto" w:fill="FFFFFF"/>
          <w:lang w:val="zh-CN"/>
        </w:rPr>
        <w:t>自评质量</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eastAsia" w:ascii="仿宋" w:hAnsi="仿宋" w:eastAsia="仿宋" w:cs="仿宋"/>
          <w:color w:val="auto"/>
          <w:kern w:val="0"/>
          <w:sz w:val="32"/>
          <w:szCs w:val="32"/>
          <w:highlight w:val="none"/>
          <w:shd w:val="clear" w:color="auto" w:fill="FFFFFF"/>
          <w:lang w:val="en-US" w:eastAsia="zh-CN"/>
        </w:rPr>
      </w:pPr>
      <w:r>
        <w:rPr>
          <w:rFonts w:hint="eastAsia" w:ascii="仿宋" w:hAnsi="仿宋" w:eastAsia="仿宋" w:cs="仿宋"/>
          <w:color w:val="auto"/>
          <w:kern w:val="0"/>
          <w:sz w:val="32"/>
          <w:szCs w:val="32"/>
          <w:highlight w:val="none"/>
          <w:shd w:val="clear" w:color="auto" w:fill="FFFFFF"/>
          <w:lang w:val="en-US" w:eastAsia="zh-CN"/>
        </w:rPr>
        <w:t xml:space="preserve"> </w:t>
      </w:r>
      <w:r>
        <w:rPr>
          <w:rFonts w:hint="eastAsia" w:ascii="仿宋" w:hAnsi="仿宋" w:eastAsia="仿宋" w:cs="仿宋"/>
          <w:sz w:val="32"/>
          <w:szCs w:val="32"/>
          <w:lang w:val="en-US" w:eastAsia="zh-CN" w:bidi="ar"/>
        </w:rPr>
        <w:t>按照《广元市朝天区财政局关于开展2022年部门、政策和项目支出绩效自评工作的通知》（广朝财发〔2022〕28号）文件要求，认真组织开展了2021年度项目支出绩效自评工作。</w:t>
      </w:r>
    </w:p>
    <w:p>
      <w:pPr>
        <w:keepNext w:val="0"/>
        <w:keepLines w:val="0"/>
        <w:pageBreakBefore w:val="0"/>
        <w:widowControl/>
        <w:kinsoku/>
        <w:wordWrap/>
        <w:overflowPunct/>
        <w:topLinePunct w:val="0"/>
        <w:autoSpaceDE/>
        <w:autoSpaceDN/>
        <w:bidi w:val="0"/>
        <w:adjustRightInd w:val="0"/>
        <w:snapToGrid w:val="0"/>
        <w:spacing w:line="576" w:lineRule="exact"/>
        <w:ind w:firstLine="640" w:firstLineChars="200"/>
        <w:contextualSpacing/>
        <w:jc w:val="left"/>
        <w:textAlignment w:val="auto"/>
        <w:rPr>
          <w:rFonts w:ascii="黑体" w:hAnsi="宋体" w:eastAsia="黑体" w:cs="宋体"/>
          <w:color w:val="auto"/>
          <w:kern w:val="0"/>
          <w:sz w:val="32"/>
          <w:szCs w:val="32"/>
          <w:highlight w:val="none"/>
          <w:shd w:val="clear" w:color="auto" w:fill="FFFFFF"/>
        </w:rPr>
      </w:pPr>
      <w:r>
        <w:rPr>
          <w:rFonts w:hint="eastAsia" w:ascii="黑体" w:hAnsi="宋体" w:eastAsia="黑体" w:cs="宋体"/>
          <w:color w:val="auto"/>
          <w:kern w:val="0"/>
          <w:sz w:val="32"/>
          <w:szCs w:val="32"/>
          <w:highlight w:val="none"/>
          <w:shd w:val="clear" w:color="auto" w:fill="FFFFFF"/>
        </w:rPr>
        <w:t>四、评价结论及建议</w:t>
      </w:r>
    </w:p>
    <w:p>
      <w:pPr>
        <w:keepNext w:val="0"/>
        <w:keepLines w:val="0"/>
        <w:pageBreakBefore w:val="0"/>
        <w:widowControl/>
        <w:kinsoku/>
        <w:wordWrap/>
        <w:overflowPunct/>
        <w:topLinePunct w:val="0"/>
        <w:autoSpaceDE/>
        <w:autoSpaceDN/>
        <w:bidi w:val="0"/>
        <w:adjustRightInd w:val="0"/>
        <w:snapToGrid w:val="0"/>
        <w:spacing w:line="576" w:lineRule="exact"/>
        <w:ind w:firstLine="640" w:firstLineChars="200"/>
        <w:contextualSpacing/>
        <w:jc w:val="left"/>
        <w:textAlignment w:val="auto"/>
        <w:rPr>
          <w:rFonts w:hint="eastAsia" w:ascii="仿宋_GB2312" w:hAnsi="宋体" w:eastAsia="仿宋_GB2312" w:cs="宋体"/>
          <w:color w:val="auto"/>
          <w:kern w:val="0"/>
          <w:sz w:val="32"/>
          <w:szCs w:val="32"/>
          <w:highlight w:val="none"/>
          <w:shd w:val="clear" w:color="auto" w:fill="FFFFFF"/>
          <w:lang w:val="zh-CN"/>
        </w:rPr>
      </w:pPr>
      <w:r>
        <w:rPr>
          <w:rFonts w:hint="eastAsia" w:ascii="仿宋_GB2312" w:hAnsi="宋体" w:eastAsia="仿宋_GB2312" w:cs="宋体"/>
          <w:color w:val="auto"/>
          <w:kern w:val="0"/>
          <w:sz w:val="32"/>
          <w:szCs w:val="32"/>
          <w:highlight w:val="none"/>
          <w:shd w:val="clear" w:color="auto" w:fill="FFFFFF"/>
          <w:lang w:val="zh-CN"/>
        </w:rPr>
        <w:t>（一）评价结论。</w:t>
      </w:r>
    </w:p>
    <w:p>
      <w:pPr>
        <w:pStyle w:val="2"/>
        <w:rPr>
          <w:rFonts w:hint="eastAsia" w:ascii="仿宋" w:hAnsi="仿宋" w:eastAsia="仿宋" w:cs="仿宋"/>
          <w:sz w:val="32"/>
          <w:szCs w:val="32"/>
          <w:lang w:val="zh-CN" w:eastAsia="zh-CN"/>
        </w:rPr>
      </w:pPr>
      <w:r>
        <w:rPr>
          <w:rFonts w:hint="eastAsia" w:ascii="仿宋" w:hAnsi="仿宋" w:eastAsia="仿宋" w:cs="仿宋"/>
          <w:color w:val="000000"/>
          <w:sz w:val="32"/>
          <w:szCs w:val="32"/>
        </w:rPr>
        <w:t>本部门全面</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全力推进妇联工作，维护妇女儿童合法权益，助力妇女创业发展，圆满的实施了巾帼心向党、巾帼维权服务、巾帼建新功、家庭文明建设四大提升行动任务，做好两纲工作，做好疫情防控工作，扎实推进了脱贫攻坚、民生工程的实施，较好的完成了妇联的其他各项工作，取得了较好的成绩。</w:t>
      </w:r>
    </w:p>
    <w:p>
      <w:pPr>
        <w:keepNext w:val="0"/>
        <w:keepLines w:val="0"/>
        <w:pageBreakBefore w:val="0"/>
        <w:widowControl/>
        <w:numPr>
          <w:ilvl w:val="0"/>
          <w:numId w:val="0"/>
        </w:numPr>
        <w:kinsoku/>
        <w:wordWrap/>
        <w:overflowPunct/>
        <w:topLinePunct w:val="0"/>
        <w:autoSpaceDE/>
        <w:autoSpaceDN/>
        <w:bidi w:val="0"/>
        <w:adjustRightInd w:val="0"/>
        <w:snapToGrid w:val="0"/>
        <w:spacing w:line="576" w:lineRule="exact"/>
        <w:ind w:leftChars="200"/>
        <w:contextualSpacing/>
        <w:jc w:val="left"/>
        <w:textAlignment w:val="auto"/>
        <w:rPr>
          <w:rFonts w:hint="eastAsia" w:ascii="仿宋_GB2312" w:hAnsi="宋体" w:eastAsia="仿宋_GB2312" w:cs="宋体"/>
          <w:color w:val="auto"/>
          <w:kern w:val="0"/>
          <w:sz w:val="32"/>
          <w:szCs w:val="32"/>
          <w:highlight w:val="none"/>
          <w:shd w:val="clear" w:color="auto" w:fill="FFFFFF"/>
          <w:lang w:val="zh-CN"/>
        </w:rPr>
      </w:pPr>
      <w:r>
        <w:rPr>
          <w:rFonts w:hint="eastAsia" w:ascii="仿宋_GB2312" w:hAnsi="宋体" w:eastAsia="仿宋_GB2312" w:cs="宋体"/>
          <w:color w:val="auto"/>
          <w:kern w:val="0"/>
          <w:sz w:val="32"/>
          <w:szCs w:val="32"/>
          <w:highlight w:val="none"/>
          <w:shd w:val="clear" w:color="auto" w:fill="FFFFFF"/>
          <w:lang w:val="zh-CN"/>
        </w:rPr>
        <w:t>（二）存在问题。</w:t>
      </w:r>
    </w:p>
    <w:p>
      <w:pPr>
        <w:pStyle w:val="2"/>
        <w:numPr>
          <w:ilvl w:val="0"/>
          <w:numId w:val="0"/>
        </w:numPr>
        <w:rPr>
          <w:rFonts w:hint="eastAsia" w:ascii="仿宋" w:hAnsi="仿宋" w:eastAsia="仿宋" w:cs="仿宋"/>
          <w:sz w:val="32"/>
          <w:szCs w:val="32"/>
          <w:lang w:val="zh-CN"/>
        </w:rPr>
      </w:pPr>
      <w:r>
        <w:rPr>
          <w:rFonts w:hint="eastAsia" w:ascii="仿宋" w:hAnsi="仿宋" w:eastAsia="仿宋" w:cs="仿宋"/>
          <w:color w:val="000000"/>
          <w:sz w:val="32"/>
          <w:szCs w:val="32"/>
        </w:rPr>
        <w:t>财务人员的业务能力还需加强，进一步适应新常态的财务工作，科学、有效地开展财务工作。</w:t>
      </w:r>
    </w:p>
    <w:p>
      <w:pPr>
        <w:keepNext w:val="0"/>
        <w:keepLines w:val="0"/>
        <w:pageBreakBefore w:val="0"/>
        <w:widowControl/>
        <w:numPr>
          <w:ilvl w:val="0"/>
          <w:numId w:val="7"/>
        </w:numPr>
        <w:kinsoku/>
        <w:wordWrap/>
        <w:overflowPunct/>
        <w:topLinePunct w:val="0"/>
        <w:autoSpaceDE/>
        <w:autoSpaceDN/>
        <w:bidi w:val="0"/>
        <w:adjustRightInd w:val="0"/>
        <w:snapToGrid w:val="0"/>
        <w:spacing w:line="576" w:lineRule="exact"/>
        <w:ind w:left="0" w:leftChars="0" w:firstLine="640" w:firstLineChars="200"/>
        <w:contextualSpacing/>
        <w:jc w:val="left"/>
        <w:textAlignment w:val="auto"/>
        <w:rPr>
          <w:rFonts w:hint="eastAsia" w:ascii="仿宋_GB2312" w:hAnsi="宋体" w:eastAsia="仿宋_GB2312" w:cs="宋体"/>
          <w:color w:val="auto"/>
          <w:kern w:val="0"/>
          <w:sz w:val="32"/>
          <w:szCs w:val="32"/>
          <w:highlight w:val="none"/>
          <w:shd w:val="clear" w:color="auto" w:fill="FFFFFF"/>
          <w:lang w:val="zh-CN"/>
        </w:rPr>
      </w:pPr>
      <w:r>
        <w:rPr>
          <w:rFonts w:hint="eastAsia" w:ascii="仿宋_GB2312" w:hAnsi="宋体" w:eastAsia="仿宋_GB2312" w:cs="宋体"/>
          <w:color w:val="auto"/>
          <w:kern w:val="0"/>
          <w:sz w:val="32"/>
          <w:szCs w:val="32"/>
          <w:highlight w:val="none"/>
          <w:shd w:val="clear" w:color="auto" w:fill="FFFFFF"/>
          <w:lang w:val="zh-CN"/>
        </w:rPr>
        <w:t>改进建议。</w:t>
      </w:r>
    </w:p>
    <w:p>
      <w:pPr>
        <w:spacing w:line="600" w:lineRule="exact"/>
        <w:ind w:firstLine="640" w:firstLineChars="200"/>
        <w:outlineLvl w:val="1"/>
        <w:rPr>
          <w:rFonts w:hint="eastAsia" w:ascii="仿宋" w:hAnsi="仿宋" w:eastAsia="仿宋" w:cs="仿宋"/>
          <w:color w:val="000000"/>
          <w:sz w:val="32"/>
          <w:szCs w:val="32"/>
        </w:rPr>
      </w:pPr>
      <w:r>
        <w:rPr>
          <w:rFonts w:hint="eastAsia" w:ascii="仿宋" w:hAnsi="仿宋" w:eastAsia="仿宋" w:cs="仿宋"/>
          <w:color w:val="000000"/>
          <w:sz w:val="32"/>
          <w:szCs w:val="32"/>
        </w:rPr>
        <w:t>1．加强财务知识学习，适应新常态下的财务工作，杜绝财务工作中出现问题。</w:t>
      </w:r>
    </w:p>
    <w:p>
      <w:pPr>
        <w:spacing w:line="600" w:lineRule="exact"/>
        <w:ind w:firstLine="640" w:firstLineChars="200"/>
        <w:outlineLvl w:val="1"/>
        <w:rPr>
          <w:rFonts w:hint="eastAsia" w:ascii="仿宋" w:hAnsi="仿宋" w:eastAsia="仿宋" w:cs="仿宋"/>
          <w:color w:val="000000"/>
          <w:sz w:val="32"/>
          <w:szCs w:val="32"/>
        </w:rPr>
      </w:pPr>
      <w:r>
        <w:rPr>
          <w:rFonts w:hint="eastAsia" w:ascii="仿宋" w:hAnsi="仿宋" w:eastAsia="仿宋" w:cs="仿宋"/>
          <w:color w:val="000000"/>
          <w:sz w:val="32"/>
          <w:szCs w:val="32"/>
        </w:rPr>
        <w:t>2．严格按照《预算法》及其实施条例的相关规定科学、合理编制预算，同时严格预算执行，提高资金使用效率。</w:t>
      </w:r>
    </w:p>
    <w:p>
      <w:pPr>
        <w:spacing w:line="600" w:lineRule="exact"/>
        <w:ind w:firstLine="640" w:firstLineChars="200"/>
        <w:outlineLvl w:val="1"/>
        <w:rPr>
          <w:rFonts w:hint="eastAsia" w:ascii="仿宋" w:hAnsi="仿宋" w:eastAsia="仿宋" w:cs="仿宋"/>
          <w:color w:val="000000"/>
          <w:sz w:val="32"/>
          <w:szCs w:val="32"/>
        </w:rPr>
      </w:pPr>
      <w:r>
        <w:rPr>
          <w:rFonts w:hint="eastAsia" w:ascii="仿宋" w:hAnsi="仿宋" w:eastAsia="仿宋" w:cs="仿宋"/>
          <w:color w:val="000000"/>
          <w:sz w:val="32"/>
          <w:szCs w:val="32"/>
        </w:rPr>
        <w:t>3．加强单位内控制度建设，建立健全财务内部控制制度，更好地发挥内部控制在提升单位内部治理水平、规范内部权力运行、促进依法行政、推进廉政建设中的重要作用。</w:t>
      </w:r>
    </w:p>
    <w:p>
      <w:pPr>
        <w:pStyle w:val="2"/>
        <w:numPr>
          <w:ilvl w:val="0"/>
          <w:numId w:val="0"/>
        </w:numPr>
        <w:ind w:leftChars="200"/>
        <w:rPr>
          <w:rFonts w:hint="eastAsia"/>
          <w:lang w:val="zh-CN"/>
        </w:rPr>
      </w:pPr>
    </w:p>
    <w:p>
      <w:pPr>
        <w:rPr>
          <w:rFonts w:hint="eastAsia"/>
          <w:lang w:val="zh-CN"/>
        </w:rPr>
      </w:pPr>
    </w:p>
    <w:p>
      <w:pPr>
        <w:pStyle w:val="2"/>
        <w:rPr>
          <w:rFonts w:hint="eastAsia"/>
          <w:lang w:val="zh-CN"/>
        </w:rPr>
      </w:pPr>
    </w:p>
    <w:p>
      <w:pPr>
        <w:rPr>
          <w:rFonts w:hint="eastAsia"/>
          <w:lang w:val="zh-CN"/>
        </w:rPr>
      </w:pPr>
    </w:p>
    <w:p>
      <w:pPr>
        <w:pStyle w:val="2"/>
        <w:rPr>
          <w:rFonts w:hint="eastAsia"/>
          <w:lang w:val="zh-CN"/>
        </w:rPr>
      </w:pPr>
    </w:p>
    <w:p>
      <w:pPr>
        <w:rPr>
          <w:rFonts w:hint="eastAsia"/>
          <w:lang w:val="zh-CN"/>
        </w:rPr>
      </w:pPr>
    </w:p>
    <w:p>
      <w:pPr>
        <w:pStyle w:val="2"/>
        <w:rPr>
          <w:rFonts w:hint="eastAsia"/>
          <w:lang w:val="zh-CN"/>
        </w:rPr>
      </w:pPr>
    </w:p>
    <w:p>
      <w:pPr>
        <w:rPr>
          <w:rFonts w:hint="eastAsia"/>
          <w:lang w:val="zh-CN"/>
        </w:rPr>
      </w:pPr>
    </w:p>
    <w:p>
      <w:pPr>
        <w:pStyle w:val="2"/>
        <w:rPr>
          <w:rFonts w:hint="eastAsia"/>
          <w:lang w:val="zh-CN"/>
        </w:rPr>
      </w:pPr>
    </w:p>
    <w:p>
      <w:pPr>
        <w:rPr>
          <w:rFonts w:hint="eastAsia"/>
          <w:lang w:val="zh-CN"/>
        </w:rPr>
      </w:pPr>
    </w:p>
    <w:p>
      <w:pPr>
        <w:pStyle w:val="2"/>
        <w:rPr>
          <w:rFonts w:hint="eastAsia"/>
          <w:lang w:val="zh-CN"/>
        </w:rPr>
      </w:pPr>
    </w:p>
    <w:p>
      <w:pPr>
        <w:rPr>
          <w:rFonts w:hint="eastAsia"/>
          <w:lang w:val="zh-CN"/>
        </w:rPr>
      </w:pPr>
    </w:p>
    <w:p>
      <w:pPr>
        <w:pStyle w:val="2"/>
        <w:rPr>
          <w:rFonts w:hint="eastAsia"/>
          <w:lang w:val="zh-CN"/>
        </w:rPr>
      </w:pPr>
    </w:p>
    <w:p>
      <w:pPr>
        <w:rPr>
          <w:rFonts w:hint="eastAsia"/>
          <w:lang w:val="zh-CN"/>
        </w:rPr>
      </w:pPr>
    </w:p>
    <w:p>
      <w:pPr>
        <w:pStyle w:val="2"/>
        <w:rPr>
          <w:rFonts w:hint="eastAsia"/>
          <w:lang w:val="zh-CN"/>
        </w:rPr>
      </w:pPr>
    </w:p>
    <w:p>
      <w:pPr>
        <w:rPr>
          <w:rFonts w:hint="eastAsia"/>
          <w:lang w:val="zh-CN"/>
        </w:rPr>
      </w:pPr>
    </w:p>
    <w:p>
      <w:pPr>
        <w:pStyle w:val="2"/>
        <w:rPr>
          <w:rFonts w:hint="eastAsia"/>
          <w:lang w:val="zh-CN"/>
        </w:rPr>
      </w:pPr>
    </w:p>
    <w:p>
      <w:pPr>
        <w:rPr>
          <w:rFonts w:hint="eastAsia"/>
          <w:lang w:val="zh-CN"/>
        </w:rPr>
      </w:pPr>
    </w:p>
    <w:p>
      <w:pPr>
        <w:pStyle w:val="2"/>
        <w:rPr>
          <w:rFonts w:hint="eastAsia"/>
          <w:lang w:val="zh-CN"/>
        </w:rPr>
      </w:pPr>
    </w:p>
    <w:p>
      <w:pPr>
        <w:rPr>
          <w:rFonts w:hint="eastAsia"/>
          <w:lang w:val="zh-CN"/>
        </w:rPr>
      </w:pPr>
    </w:p>
    <w:p>
      <w:pPr>
        <w:pStyle w:val="2"/>
        <w:rPr>
          <w:rFonts w:hint="eastAsia"/>
          <w:lang w:val="zh-CN"/>
        </w:rPr>
      </w:pPr>
    </w:p>
    <w:p>
      <w:pPr>
        <w:rPr>
          <w:rFonts w:hint="eastAsia"/>
          <w:lang w:val="zh-CN"/>
        </w:rPr>
      </w:pPr>
    </w:p>
    <w:p>
      <w:pPr>
        <w:pStyle w:val="2"/>
        <w:rPr>
          <w:rFonts w:hint="eastAsia"/>
          <w:lang w:val="zh-CN"/>
        </w:rPr>
      </w:pPr>
    </w:p>
    <w:p>
      <w:pPr>
        <w:rPr>
          <w:rFonts w:hint="eastAsia"/>
          <w:lang w:val="zh-CN"/>
        </w:rPr>
      </w:pPr>
    </w:p>
    <w:p>
      <w:pPr>
        <w:rPr>
          <w:rFonts w:hint="eastAsia"/>
          <w:lang w:val="zh-CN"/>
        </w:rPr>
      </w:pPr>
    </w:p>
    <w:p>
      <w:pPr>
        <w:pStyle w:val="2"/>
        <w:rPr>
          <w:rFonts w:hint="eastAsia"/>
          <w:lang w:val="zh-CN"/>
        </w:rPr>
      </w:pPr>
    </w:p>
    <w:p>
      <w:pPr>
        <w:pStyle w:val="2"/>
        <w:rPr>
          <w:rFonts w:hint="eastAsia" w:eastAsia="仿宋_GB2312"/>
          <w:color w:val="auto"/>
          <w:highlight w:val="none"/>
          <w:lang w:val="en-US" w:eastAsia="zh-CN"/>
        </w:rPr>
      </w:pPr>
      <w:r>
        <w:rPr>
          <w:rFonts w:hint="eastAsia" w:hAnsi="宋体" w:cs="宋体"/>
          <w:color w:val="auto"/>
          <w:kern w:val="0"/>
          <w:sz w:val="32"/>
          <w:szCs w:val="32"/>
          <w:highlight w:val="none"/>
          <w:shd w:val="clear" w:color="auto" w:fill="FFFFFF"/>
          <w:lang w:val="zh-CN"/>
        </w:rPr>
        <w:t>附件</w:t>
      </w:r>
      <w:r>
        <w:rPr>
          <w:rFonts w:hint="eastAsia" w:hAnsi="宋体" w:cs="宋体"/>
          <w:color w:val="auto"/>
          <w:kern w:val="0"/>
          <w:sz w:val="32"/>
          <w:szCs w:val="32"/>
          <w:highlight w:val="none"/>
          <w:shd w:val="clear" w:color="auto" w:fill="FFFFFF"/>
          <w:lang w:val="en-US" w:eastAsia="zh-CN"/>
        </w:rPr>
        <w:t>1</w:t>
      </w:r>
    </w:p>
    <w:p>
      <w:pPr>
        <w:keepNext w:val="0"/>
        <w:keepLines w:val="0"/>
        <w:pageBreakBefore w:val="0"/>
        <w:widowControl w:val="0"/>
        <w:kinsoku/>
        <w:wordWrap/>
        <w:overflowPunct/>
        <w:topLinePunct w:val="0"/>
        <w:autoSpaceDE/>
        <w:autoSpaceDN/>
        <w:bidi w:val="0"/>
        <w:spacing w:line="600" w:lineRule="exact"/>
        <w:jc w:val="center"/>
        <w:textAlignment w:val="auto"/>
        <w:rPr>
          <w:rFonts w:hint="eastAsia" w:ascii="方正小标宋简体" w:hAnsi="方正小标宋简体" w:eastAsia="方正小标宋简体" w:cs="方正小标宋简体"/>
          <w:color w:val="auto"/>
          <w:kern w:val="2"/>
          <w:sz w:val="40"/>
          <w:szCs w:val="40"/>
          <w:highlight w:val="none"/>
          <w:lang w:val="zh-CN" w:eastAsia="zh-CN" w:bidi="ar-SA"/>
        </w:rPr>
      </w:pPr>
      <w:r>
        <w:rPr>
          <w:rFonts w:hint="eastAsia" w:ascii="方正小标宋简体" w:hAnsi="方正小标宋简体" w:eastAsia="方正小标宋简体" w:cs="方正小标宋简体"/>
          <w:color w:val="auto"/>
          <w:kern w:val="2"/>
          <w:sz w:val="40"/>
          <w:szCs w:val="40"/>
          <w:highlight w:val="none"/>
          <w:lang w:val="en-US" w:eastAsia="zh-CN" w:bidi="ar-SA"/>
        </w:rPr>
        <w:t>2021年部门</w:t>
      </w:r>
      <w:r>
        <w:rPr>
          <w:rFonts w:hint="eastAsia" w:ascii="方正小标宋简体" w:hAnsi="方正小标宋简体" w:eastAsia="方正小标宋简体" w:cs="方正小标宋简体"/>
          <w:color w:val="auto"/>
          <w:kern w:val="2"/>
          <w:sz w:val="40"/>
          <w:szCs w:val="40"/>
          <w:highlight w:val="none"/>
          <w:lang w:val="zh-CN" w:eastAsia="zh-CN" w:bidi="ar-SA"/>
        </w:rPr>
        <w:t>预算“三八”活动项目支出绩效自评报告</w:t>
      </w:r>
    </w:p>
    <w:p>
      <w:pPr>
        <w:keepNext w:val="0"/>
        <w:keepLines w:val="0"/>
        <w:pageBreakBefore w:val="0"/>
        <w:widowControl w:val="0"/>
        <w:kinsoku/>
        <w:wordWrap/>
        <w:overflowPunct/>
        <w:topLinePunct w:val="0"/>
        <w:autoSpaceDE/>
        <w:autoSpaceDN/>
        <w:bidi w:val="0"/>
        <w:spacing w:line="600" w:lineRule="exact"/>
        <w:ind w:firstLine="640"/>
        <w:jc w:val="center"/>
        <w:textAlignment w:val="auto"/>
        <w:rPr>
          <w:rFonts w:ascii="宋体" w:hAnsi="宋体" w:eastAsia="宋体" w:cs="Times New Roman"/>
          <w:color w:val="auto"/>
          <w:kern w:val="2"/>
          <w:sz w:val="32"/>
          <w:szCs w:val="32"/>
          <w:highlight w:val="none"/>
          <w:lang w:val="zh-CN" w:eastAsia="zh-CN" w:bidi="ar-SA"/>
        </w:rPr>
      </w:pP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黑体" w:hAnsi="宋体" w:eastAsia="黑体" w:cs="Times New Roman"/>
          <w:color w:val="000000" w:themeColor="text1"/>
          <w:sz w:val="32"/>
          <w:szCs w:val="32"/>
          <w:highlight w:val="none"/>
          <w:lang w:val="zh-CN"/>
          <w14:textFill>
            <w14:solidFill>
              <w14:schemeClr w14:val="tx1"/>
            </w14:solidFill>
          </w14:textFill>
        </w:rPr>
      </w:pPr>
      <w:r>
        <w:rPr>
          <w:rFonts w:hint="eastAsia" w:ascii="黑体" w:hAnsi="宋体" w:eastAsia="黑体" w:cs="Times New Roman"/>
          <w:color w:val="000000" w:themeColor="text1"/>
          <w:sz w:val="32"/>
          <w:szCs w:val="32"/>
          <w:highlight w:val="none"/>
          <w14:textFill>
            <w14:solidFill>
              <w14:schemeClr w14:val="tx1"/>
            </w14:solidFill>
          </w14:textFill>
        </w:rPr>
        <w:t>一、</w:t>
      </w:r>
      <w:r>
        <w:rPr>
          <w:rFonts w:hint="eastAsia" w:ascii="黑体" w:hAnsi="宋体" w:eastAsia="黑体" w:cs="Times New Roman"/>
          <w:color w:val="000000" w:themeColor="text1"/>
          <w:sz w:val="32"/>
          <w:szCs w:val="32"/>
          <w:highlight w:val="none"/>
          <w:lang w:val="zh-CN"/>
          <w14:textFill>
            <w14:solidFill>
              <w14:schemeClr w14:val="tx1"/>
            </w14:solidFill>
          </w14:textFill>
        </w:rPr>
        <w:t>项目概况</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楷体_GB2312" w:hAnsi="宋体" w:eastAsia="楷体_GB2312" w:cs="Times New Roman"/>
          <w:b/>
          <w:color w:val="000000" w:themeColor="text1"/>
          <w:sz w:val="32"/>
          <w:szCs w:val="32"/>
          <w:highlight w:val="none"/>
          <w:lang w:val="zh-CN"/>
          <w14:textFill>
            <w14:solidFill>
              <w14:schemeClr w14:val="tx1"/>
            </w14:solidFill>
          </w14:textFill>
        </w:rPr>
      </w:pPr>
      <w:r>
        <w:rPr>
          <w:rFonts w:hint="eastAsia" w:ascii="楷体_GB2312" w:hAnsi="宋体" w:eastAsia="楷体_GB2312" w:cs="Times New Roman"/>
          <w:b/>
          <w:color w:val="000000" w:themeColor="text1"/>
          <w:sz w:val="32"/>
          <w:szCs w:val="32"/>
          <w:highlight w:val="none"/>
          <w:lang w:val="zh-CN"/>
          <w14:textFill>
            <w14:solidFill>
              <w14:schemeClr w14:val="tx1"/>
            </w14:solidFill>
          </w14:textFill>
        </w:rPr>
        <w:t>（一）项目基本情况。</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default" w:eastAsia="仿宋_GB2312"/>
          <w:color w:val="000000" w:themeColor="text1"/>
          <w:lang w:val="en-US" w:eastAsia="zh-CN"/>
          <w14:textFill>
            <w14:solidFill>
              <w14:schemeClr w14:val="tx1"/>
            </w14:solidFill>
          </w14:textFill>
        </w:rPr>
      </w:pPr>
      <w:r>
        <w:rPr>
          <w:rFonts w:hint="eastAsia" w:ascii="仿宋_GB2312" w:hAnsi="宋体" w:eastAsia="仿宋_GB2312" w:cs="Times New Roman"/>
          <w:color w:val="000000" w:themeColor="text1"/>
          <w:sz w:val="32"/>
          <w:szCs w:val="32"/>
          <w:highlight w:val="none"/>
          <w:lang w:val="zh-CN"/>
          <w14:textFill>
            <w14:solidFill>
              <w14:schemeClr w14:val="tx1"/>
            </w14:solidFill>
          </w14:textFill>
        </w:rPr>
        <w:t>1．项目主管部门广元市朝天区妇女联合会，主要实施该项目。</w:t>
      </w:r>
    </w:p>
    <w:p>
      <w:pPr>
        <w:keepNext w:val="0"/>
        <w:keepLines w:val="0"/>
        <w:pageBreakBefore w:val="0"/>
        <w:numPr>
          <w:ilvl w:val="0"/>
          <w:numId w:val="0"/>
        </w:numPr>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宋体" w:eastAsia="仿宋_GB2312" w:cs="Times New Roman"/>
          <w:color w:val="FF0000"/>
          <w:sz w:val="32"/>
          <w:szCs w:val="32"/>
          <w:highlight w:val="none"/>
          <w:lang w:val="zh-CN"/>
        </w:rPr>
      </w:pPr>
      <w:r>
        <w:rPr>
          <w:rFonts w:hint="eastAsia" w:ascii="仿宋_GB2312" w:hAnsi="宋体" w:eastAsia="仿宋_GB2312" w:cs="Times New Roman"/>
          <w:color w:val="000000" w:themeColor="text1"/>
          <w:sz w:val="32"/>
          <w:szCs w:val="32"/>
          <w:highlight w:val="none"/>
          <w:lang w:val="en-US" w:eastAsia="zh-CN"/>
          <w14:textFill>
            <w14:solidFill>
              <w14:schemeClr w14:val="tx1"/>
            </w14:solidFill>
          </w14:textFill>
        </w:rPr>
        <w:t>2.</w:t>
      </w:r>
      <w:r>
        <w:rPr>
          <w:rFonts w:hint="eastAsia" w:ascii="仿宋_GB2312" w:hAnsi="宋体" w:eastAsia="仿宋_GB2312" w:cs="Times New Roman"/>
          <w:color w:val="000000" w:themeColor="text1"/>
          <w:sz w:val="32"/>
          <w:szCs w:val="32"/>
          <w:highlight w:val="none"/>
          <w:lang w:val="zh-CN"/>
          <w14:textFill>
            <w14:solidFill>
              <w14:schemeClr w14:val="tx1"/>
            </w14:solidFill>
          </w14:textFill>
        </w:rPr>
        <w:t>项目立项、资金申报的依据</w:t>
      </w:r>
      <w:r>
        <w:rPr>
          <w:rFonts w:hint="eastAsia" w:ascii="仿宋_GB2312" w:hAnsi="宋体" w:eastAsia="仿宋_GB2312" w:cs="Times New Roman"/>
          <w:color w:val="FF0000"/>
          <w:sz w:val="32"/>
          <w:szCs w:val="32"/>
          <w:highlight w:val="none"/>
          <w:lang w:val="zh-CN"/>
        </w:rPr>
        <w:t>。</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color w:val="FF0000"/>
          <w:lang w:val="zh-CN"/>
        </w:rPr>
      </w:pPr>
      <w:r>
        <w:rPr>
          <w:rFonts w:hint="eastAsia" w:ascii="仿宋_GB2312" w:hAnsi="宋体" w:eastAsia="仿宋_GB2312" w:cs="Times New Roman"/>
          <w:color w:val="auto"/>
          <w:sz w:val="32"/>
          <w:szCs w:val="32"/>
          <w:highlight w:val="none"/>
          <w:lang w:val="en-US" w:eastAsia="zh-CN"/>
        </w:rPr>
        <w:t>2021年初，审报部门预算项目“三八”节活动经费10万元，符合主管部门的职能职责，后经区财政局批复部门预算项目“三八”节活动经费，年末无预算调整。</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lang w:val="zh-CN"/>
        </w:rPr>
      </w:pPr>
      <w:r>
        <w:rPr>
          <w:rFonts w:hint="eastAsia" w:ascii="仿宋_GB2312" w:hAnsi="宋体" w:eastAsia="仿宋_GB2312" w:cs="Times New Roman"/>
          <w:color w:val="auto"/>
          <w:sz w:val="32"/>
          <w:szCs w:val="32"/>
          <w:highlight w:val="none"/>
          <w:lang w:val="en-US" w:eastAsia="zh-CN"/>
        </w:rPr>
        <w:t>3.符合资金管理办法等相关规定。</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楷体_GB2312" w:hAnsi="宋体" w:eastAsia="楷体_GB2312" w:cs="Times New Roman"/>
          <w:b/>
          <w:color w:val="auto"/>
          <w:sz w:val="32"/>
          <w:szCs w:val="32"/>
          <w:highlight w:val="none"/>
          <w:lang w:val="zh-CN"/>
        </w:rPr>
      </w:pPr>
      <w:r>
        <w:rPr>
          <w:rFonts w:hint="eastAsia" w:ascii="楷体_GB2312" w:hAnsi="宋体" w:eastAsia="楷体_GB2312" w:cs="Times New Roman"/>
          <w:b/>
          <w:color w:val="auto"/>
          <w:sz w:val="32"/>
          <w:szCs w:val="32"/>
          <w:highlight w:val="none"/>
          <w:lang w:val="zh-CN"/>
        </w:rPr>
        <w:t>（二）项目绩效目标。</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eastAsia" w:ascii="仿宋_GB2312" w:hAnsi="宋体" w:eastAsia="仿宋_GB2312" w:cs="Times New Roman"/>
          <w:color w:val="auto"/>
          <w:sz w:val="32"/>
          <w:szCs w:val="32"/>
          <w:highlight w:val="none"/>
          <w:lang w:val="zh-CN"/>
        </w:rPr>
      </w:pPr>
      <w:r>
        <w:rPr>
          <w:rFonts w:hint="eastAsia" w:ascii="仿宋_GB2312" w:hAnsi="宋体" w:eastAsia="仿宋_GB2312" w:cs="Times New Roman"/>
          <w:color w:val="auto"/>
          <w:sz w:val="32"/>
          <w:szCs w:val="32"/>
          <w:highlight w:val="none"/>
          <w:lang w:val="zh-CN"/>
        </w:rPr>
        <w:t>1．项目主要内容。</w:t>
      </w:r>
    </w:p>
    <w:p>
      <w:pPr>
        <w:pStyle w:val="2"/>
        <w:ind w:firstLine="616" w:firstLineChars="200"/>
        <w:rPr>
          <w:lang w:val="zh-CN"/>
        </w:rPr>
      </w:pPr>
      <w:r>
        <w:rPr>
          <w:rFonts w:hint="eastAsia" w:ascii="仿宋_GB2312" w:hAnsi="Times New Roman" w:eastAsia="仿宋_GB2312" w:cs="Times New Roman"/>
          <w:spacing w:val="-6"/>
          <w:sz w:val="32"/>
          <w:szCs w:val="32"/>
          <w:lang w:val="en-US" w:eastAsia="zh-CN"/>
        </w:rPr>
        <w:t xml:space="preserve">全面完成“三八”任务  </w:t>
      </w:r>
    </w:p>
    <w:p>
      <w:pPr>
        <w:keepNext w:val="0"/>
        <w:keepLines w:val="0"/>
        <w:pageBreakBefore w:val="0"/>
        <w:numPr>
          <w:ilvl w:val="0"/>
          <w:numId w:val="9"/>
        </w:numPr>
        <w:kinsoku/>
        <w:wordWrap/>
        <w:overflowPunct/>
        <w:topLinePunct w:val="0"/>
        <w:autoSpaceDE/>
        <w:autoSpaceDN/>
        <w:bidi w:val="0"/>
        <w:adjustRightInd w:val="0"/>
        <w:snapToGrid w:val="0"/>
        <w:spacing w:line="600" w:lineRule="exact"/>
        <w:ind w:left="-90" w:leftChars="0" w:firstLine="720" w:firstLineChars="0"/>
        <w:textAlignment w:val="auto"/>
        <w:rPr>
          <w:rFonts w:hint="eastAsia" w:ascii="仿宋_GB2312" w:hAnsi="宋体" w:eastAsia="仿宋_GB2312" w:cs="Times New Roman"/>
          <w:color w:val="auto"/>
          <w:sz w:val="32"/>
          <w:szCs w:val="32"/>
          <w:highlight w:val="none"/>
          <w:lang w:val="zh-CN"/>
        </w:rPr>
      </w:pPr>
      <w:r>
        <w:rPr>
          <w:rFonts w:hint="eastAsia" w:ascii="仿宋_GB2312" w:hAnsi="宋体" w:eastAsia="仿宋_GB2312" w:cs="Times New Roman"/>
          <w:color w:val="auto"/>
          <w:sz w:val="32"/>
          <w:szCs w:val="32"/>
          <w:highlight w:val="none"/>
          <w:lang w:val="zh-CN"/>
        </w:rPr>
        <w:t>具体绩效目标</w:t>
      </w:r>
    </w:p>
    <w:p>
      <w:pPr>
        <w:autoSpaceDE w:val="0"/>
        <w:spacing w:line="540" w:lineRule="exact"/>
        <w:rPr>
          <w:rFonts w:hint="eastAsia" w:ascii="仿宋_GB2312" w:hAnsi="Times New Roman" w:eastAsia="仿宋_GB2312" w:cs="Times New Roman"/>
          <w:color w:val="auto"/>
          <w:spacing w:val="-6"/>
          <w:sz w:val="32"/>
          <w:szCs w:val="32"/>
          <w:lang w:val="en-US" w:eastAsia="zh-CN"/>
        </w:rPr>
      </w:pPr>
      <w:r>
        <w:rPr>
          <w:rFonts w:hint="eastAsia" w:ascii="仿宋_GB2312" w:hAnsi="Times New Roman" w:eastAsia="仿宋_GB2312" w:cs="Times New Roman"/>
          <w:color w:val="auto"/>
          <w:spacing w:val="-6"/>
          <w:sz w:val="32"/>
          <w:szCs w:val="32"/>
          <w:lang w:val="en-US" w:eastAsia="zh-CN"/>
        </w:rPr>
        <w:t>数量指标：全面完成“三八”任务提升妇女儿童幸福感。</w:t>
      </w:r>
    </w:p>
    <w:p>
      <w:pPr>
        <w:autoSpaceDE w:val="0"/>
        <w:spacing w:line="540" w:lineRule="exact"/>
        <w:rPr>
          <w:rFonts w:hint="eastAsia" w:ascii="仿宋_GB2312" w:hAnsi="Times New Roman" w:eastAsia="仿宋_GB2312" w:cs="Times New Roman"/>
          <w:color w:val="auto"/>
          <w:spacing w:val="-6"/>
          <w:sz w:val="32"/>
          <w:szCs w:val="32"/>
          <w:lang w:val="en-US" w:eastAsia="zh-CN"/>
        </w:rPr>
      </w:pPr>
      <w:r>
        <w:rPr>
          <w:rFonts w:hint="eastAsia" w:ascii="仿宋_GB2312" w:hAnsi="Times New Roman" w:eastAsia="仿宋_GB2312" w:cs="Times New Roman"/>
          <w:color w:val="auto"/>
          <w:spacing w:val="-6"/>
          <w:sz w:val="32"/>
          <w:szCs w:val="32"/>
          <w:lang w:val="en-US" w:eastAsia="zh-CN"/>
        </w:rPr>
        <w:t>质量指标：按指标完成“三八”任务。</w:t>
      </w:r>
    </w:p>
    <w:p>
      <w:pPr>
        <w:autoSpaceDE w:val="0"/>
        <w:spacing w:line="540" w:lineRule="exact"/>
        <w:rPr>
          <w:rFonts w:hint="eastAsia" w:ascii="仿宋_GB2312" w:hAnsi="Times New Roman" w:eastAsia="仿宋_GB2312" w:cs="Times New Roman"/>
          <w:color w:val="auto"/>
          <w:spacing w:val="-6"/>
          <w:sz w:val="32"/>
          <w:szCs w:val="32"/>
          <w:lang w:val="en-US" w:eastAsia="zh-CN"/>
        </w:rPr>
      </w:pPr>
      <w:r>
        <w:rPr>
          <w:rFonts w:hint="eastAsia" w:ascii="仿宋_GB2312" w:hAnsi="Times New Roman" w:eastAsia="仿宋_GB2312" w:cs="Times New Roman"/>
          <w:color w:val="auto"/>
          <w:spacing w:val="-6"/>
          <w:sz w:val="32"/>
          <w:szCs w:val="32"/>
          <w:lang w:val="en-US" w:eastAsia="zh-CN"/>
        </w:rPr>
        <w:t>时效指标：完成时间2021年。</w:t>
      </w:r>
    </w:p>
    <w:p>
      <w:pPr>
        <w:autoSpaceDE w:val="0"/>
        <w:spacing w:line="540" w:lineRule="exact"/>
        <w:rPr>
          <w:rFonts w:hint="eastAsia" w:ascii="仿宋_GB2312" w:hAnsi="Times New Roman" w:eastAsia="仿宋_GB2312" w:cs="Times New Roman"/>
          <w:color w:val="auto"/>
          <w:spacing w:val="-6"/>
          <w:sz w:val="32"/>
          <w:szCs w:val="32"/>
          <w:lang w:val="en-US" w:eastAsia="zh-CN"/>
        </w:rPr>
      </w:pPr>
      <w:r>
        <w:rPr>
          <w:rFonts w:hint="eastAsia" w:ascii="仿宋_GB2312" w:hAnsi="Times New Roman" w:eastAsia="仿宋_GB2312" w:cs="Times New Roman"/>
          <w:color w:val="auto"/>
          <w:spacing w:val="-6"/>
          <w:sz w:val="32"/>
          <w:szCs w:val="32"/>
          <w:lang w:val="en-US" w:eastAsia="zh-CN"/>
        </w:rPr>
        <w:t>成本指标：10万元。</w:t>
      </w:r>
    </w:p>
    <w:p>
      <w:pPr>
        <w:autoSpaceDE w:val="0"/>
        <w:spacing w:line="540" w:lineRule="exact"/>
        <w:rPr>
          <w:rFonts w:hint="eastAsia" w:ascii="仿宋_GB2312" w:hAnsi="Times New Roman" w:eastAsia="仿宋_GB2312" w:cs="Times New Roman"/>
          <w:color w:val="auto"/>
          <w:spacing w:val="-6"/>
          <w:sz w:val="32"/>
          <w:szCs w:val="32"/>
          <w:lang w:val="en-US" w:eastAsia="zh-CN"/>
        </w:rPr>
      </w:pPr>
      <w:r>
        <w:rPr>
          <w:rFonts w:hint="eastAsia" w:ascii="仿宋_GB2312" w:hAnsi="Times New Roman" w:eastAsia="仿宋_GB2312" w:cs="Times New Roman"/>
          <w:color w:val="auto"/>
          <w:spacing w:val="-6"/>
          <w:sz w:val="32"/>
          <w:szCs w:val="32"/>
          <w:lang w:val="en-US" w:eastAsia="zh-CN"/>
        </w:rPr>
        <w:t>经济效益：无。</w:t>
      </w:r>
    </w:p>
    <w:p>
      <w:pPr>
        <w:autoSpaceDE w:val="0"/>
        <w:spacing w:line="540" w:lineRule="exact"/>
        <w:rPr>
          <w:rFonts w:hint="eastAsia" w:ascii="仿宋_GB2312" w:hAnsi="Times New Roman" w:eastAsia="仿宋_GB2312" w:cs="Times New Roman"/>
          <w:color w:val="auto"/>
          <w:spacing w:val="-6"/>
          <w:sz w:val="32"/>
          <w:szCs w:val="32"/>
          <w:lang w:val="en-US" w:eastAsia="zh-CN"/>
        </w:rPr>
      </w:pPr>
      <w:r>
        <w:rPr>
          <w:rFonts w:hint="eastAsia" w:ascii="仿宋_GB2312" w:hAnsi="Times New Roman" w:eastAsia="仿宋_GB2312" w:cs="Times New Roman"/>
          <w:color w:val="auto"/>
          <w:spacing w:val="-6"/>
          <w:sz w:val="32"/>
          <w:szCs w:val="32"/>
          <w:lang w:val="en-US" w:eastAsia="zh-CN"/>
        </w:rPr>
        <w:t>可持续影响指标：1、优秀女性带头示范，巾帼建工新公；2、救助对象增强了生活的信心；3、女性干部工作生活清正廉洁；4、全区妇女法律意识进一步提升。</w:t>
      </w:r>
    </w:p>
    <w:p>
      <w:pPr>
        <w:autoSpaceDE w:val="0"/>
        <w:spacing w:line="540" w:lineRule="exact"/>
        <w:rPr>
          <w:lang w:val="zh-CN"/>
        </w:rPr>
      </w:pPr>
      <w:r>
        <w:rPr>
          <w:rFonts w:hint="eastAsia" w:ascii="仿宋_GB2312" w:hAnsi="Times New Roman" w:eastAsia="仿宋_GB2312" w:cs="Times New Roman"/>
          <w:color w:val="auto"/>
          <w:spacing w:val="-6"/>
          <w:sz w:val="32"/>
          <w:szCs w:val="32"/>
          <w:lang w:val="en-US" w:eastAsia="zh-CN"/>
        </w:rPr>
        <w:t>满意度指标：满意度达95%以上。</w:t>
      </w:r>
    </w:p>
    <w:p>
      <w:pPr>
        <w:keepNext w:val="0"/>
        <w:keepLines w:val="0"/>
        <w:pageBreakBefore w:val="0"/>
        <w:numPr>
          <w:ilvl w:val="0"/>
          <w:numId w:val="9"/>
        </w:numPr>
        <w:kinsoku/>
        <w:wordWrap/>
        <w:overflowPunct/>
        <w:topLinePunct w:val="0"/>
        <w:autoSpaceDE/>
        <w:autoSpaceDN/>
        <w:bidi w:val="0"/>
        <w:adjustRightInd w:val="0"/>
        <w:snapToGrid w:val="0"/>
        <w:spacing w:line="600" w:lineRule="exact"/>
        <w:ind w:left="-90" w:leftChars="0" w:firstLine="720" w:firstLineChars="0"/>
        <w:textAlignment w:val="auto"/>
        <w:rPr>
          <w:rFonts w:hint="eastAsia" w:ascii="仿宋_GB2312" w:hAnsi="宋体" w:eastAsia="仿宋_GB2312" w:cs="Times New Roman"/>
          <w:color w:val="auto"/>
          <w:sz w:val="32"/>
          <w:szCs w:val="32"/>
          <w:highlight w:val="none"/>
          <w:lang w:val="zh-CN"/>
        </w:rPr>
      </w:pPr>
      <w:r>
        <w:rPr>
          <w:rFonts w:hint="eastAsia" w:ascii="仿宋_GB2312" w:hAnsi="宋体" w:eastAsia="仿宋_GB2312" w:cs="Times New Roman"/>
          <w:color w:val="auto"/>
          <w:sz w:val="32"/>
          <w:szCs w:val="32"/>
          <w:highlight w:val="none"/>
          <w:lang w:val="zh-CN"/>
        </w:rPr>
        <w:t>分析评价申报内容与实际相符，申报目合理可行。</w:t>
      </w:r>
    </w:p>
    <w:p>
      <w:pPr>
        <w:pStyle w:val="2"/>
        <w:numPr>
          <w:ilvl w:val="0"/>
          <w:numId w:val="0"/>
        </w:numPr>
        <w:rPr>
          <w:rFonts w:hint="eastAsia" w:ascii="仿宋_GB2312" w:hAnsi="Times New Roman" w:eastAsia="仿宋_GB2312" w:cs="Times New Roman"/>
          <w:color w:val="auto"/>
          <w:spacing w:val="-6"/>
          <w:kern w:val="2"/>
          <w:sz w:val="32"/>
          <w:szCs w:val="32"/>
          <w:lang w:val="zh-CN" w:eastAsia="zh-CN" w:bidi="ar-SA"/>
        </w:rPr>
      </w:pPr>
      <w:r>
        <w:rPr>
          <w:rFonts w:hint="eastAsia" w:ascii="仿宋_GB2312" w:hAnsi="Times New Roman" w:eastAsia="仿宋_GB2312" w:cs="Times New Roman"/>
          <w:color w:val="auto"/>
          <w:spacing w:val="-6"/>
          <w:kern w:val="2"/>
          <w:sz w:val="32"/>
          <w:szCs w:val="32"/>
          <w:lang w:val="zh-CN" w:eastAsia="zh-CN" w:bidi="ar-SA"/>
        </w:rPr>
        <w:t>申报内容与实际内容相符，申报目标合理</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楷体_GB2312" w:hAnsi="宋体" w:eastAsia="楷体_GB2312" w:cs="Times New Roman"/>
          <w:b/>
          <w:color w:val="000000" w:themeColor="text1"/>
          <w:sz w:val="32"/>
          <w:szCs w:val="32"/>
          <w:highlight w:val="none"/>
          <w:lang w:val="zh-CN"/>
          <w14:textFill>
            <w14:solidFill>
              <w14:schemeClr w14:val="tx1"/>
            </w14:solidFill>
          </w14:textFill>
        </w:rPr>
      </w:pPr>
      <w:r>
        <w:rPr>
          <w:rFonts w:hint="eastAsia" w:ascii="楷体_GB2312" w:hAnsi="宋体" w:eastAsia="楷体_GB2312" w:cs="Times New Roman"/>
          <w:b/>
          <w:color w:val="000000" w:themeColor="text1"/>
          <w:sz w:val="32"/>
          <w:szCs w:val="32"/>
          <w:highlight w:val="none"/>
          <w:lang w:val="zh-CN"/>
          <w14:textFill>
            <w14:solidFill>
              <w14:schemeClr w14:val="tx1"/>
            </w14:solidFill>
          </w14:textFill>
        </w:rPr>
        <w:t>（三）项目自评步骤及方法。</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仿宋_GB2312" w:hAnsi="宋体" w:eastAsia="仿宋_GB2312" w:cs="Times New Roman"/>
          <w:color w:val="FF0000"/>
          <w:sz w:val="32"/>
          <w:szCs w:val="32"/>
          <w:highlight w:val="none"/>
          <w:lang w:val="zh-CN"/>
        </w:rPr>
      </w:pPr>
      <w:r>
        <w:rPr>
          <w:rFonts w:hint="eastAsia" w:ascii="仿宋_GB2312" w:hAnsi="仿宋_GB2312" w:eastAsia="仿宋_GB2312" w:cs="仿宋_GB2312"/>
          <w:sz w:val="32"/>
          <w:szCs w:val="32"/>
          <w:lang w:val="en-US" w:eastAsia="zh-CN" w:bidi="ar"/>
        </w:rPr>
        <w:t>按照《广元市朝天区财政局关于开展2022年部门、政策和项目支出绩效自评工作的通知》（广朝财发〔2022〕28号）文件要求，认真组织开展了2021年度项目支出绩效自评工作。</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黑体" w:hAnsi="宋体" w:eastAsia="黑体" w:cs="Times New Roman"/>
          <w:color w:val="auto"/>
          <w:sz w:val="32"/>
          <w:szCs w:val="32"/>
          <w:highlight w:val="none"/>
        </w:rPr>
      </w:pPr>
      <w:r>
        <w:rPr>
          <w:rFonts w:hint="eastAsia" w:ascii="黑体" w:hAnsi="宋体" w:eastAsia="黑体" w:cs="Times New Roman"/>
          <w:color w:val="auto"/>
          <w:sz w:val="32"/>
          <w:szCs w:val="32"/>
          <w:highlight w:val="none"/>
        </w:rPr>
        <w:t>二、项目资金申报及使用情况</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楷体_GB2312" w:hAnsi="宋体" w:eastAsia="楷体_GB2312" w:cs="Times New Roman"/>
          <w:b/>
          <w:color w:val="auto"/>
          <w:sz w:val="32"/>
          <w:szCs w:val="32"/>
          <w:highlight w:val="none"/>
          <w:lang w:val="zh-CN"/>
        </w:rPr>
      </w:pPr>
      <w:r>
        <w:rPr>
          <w:rFonts w:hint="eastAsia" w:ascii="楷体_GB2312" w:hAnsi="宋体" w:eastAsia="楷体_GB2312" w:cs="Times New Roman"/>
          <w:b/>
          <w:color w:val="auto"/>
          <w:sz w:val="32"/>
          <w:szCs w:val="32"/>
          <w:highlight w:val="none"/>
          <w:lang w:val="zh-CN"/>
        </w:rPr>
        <w:t>（一）项目资金申报及批复情况。</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eastAsia" w:ascii="仿宋_GB2312" w:hAnsi="Times New Roman" w:eastAsia="仿宋_GB2312" w:cs="Times New Roman"/>
          <w:color w:val="auto"/>
          <w:spacing w:val="-6"/>
          <w:sz w:val="32"/>
          <w:szCs w:val="32"/>
          <w:lang w:val="en-US" w:eastAsia="zh-CN"/>
        </w:rPr>
      </w:pPr>
      <w:r>
        <w:rPr>
          <w:rFonts w:hint="eastAsia" w:ascii="仿宋_GB2312" w:hAnsi="Times New Roman" w:eastAsia="仿宋_GB2312" w:cs="Times New Roman"/>
          <w:color w:val="auto"/>
          <w:spacing w:val="-6"/>
          <w:sz w:val="32"/>
          <w:szCs w:val="32"/>
          <w:lang w:val="en-US" w:eastAsia="zh-CN"/>
        </w:rPr>
        <w:t>2021年初，审报部门预算</w:t>
      </w:r>
      <w:r>
        <w:rPr>
          <w:rFonts w:hint="eastAsia" w:ascii="仿宋_GB2312" w:hAnsi="宋体" w:eastAsia="仿宋_GB2312" w:cs="Times New Roman"/>
          <w:spacing w:val="-6"/>
          <w:sz w:val="32"/>
          <w:szCs w:val="32"/>
        </w:rPr>
        <w:t>“</w:t>
      </w:r>
      <w:r>
        <w:rPr>
          <w:rFonts w:hint="eastAsia" w:ascii="仿宋_GB2312" w:hAnsi="宋体" w:eastAsia="仿宋_GB2312" w:cs="Times New Roman"/>
          <w:spacing w:val="-6"/>
          <w:sz w:val="32"/>
          <w:szCs w:val="32"/>
          <w:lang w:eastAsia="zh-CN"/>
        </w:rPr>
        <w:t>三八”</w:t>
      </w:r>
      <w:r>
        <w:rPr>
          <w:rFonts w:hint="eastAsia" w:ascii="仿宋_GB2312" w:hAnsi="Times New Roman" w:eastAsia="仿宋_GB2312" w:cs="Times New Roman"/>
          <w:color w:val="auto"/>
          <w:spacing w:val="-6"/>
          <w:sz w:val="32"/>
          <w:szCs w:val="32"/>
          <w:lang w:val="en-US" w:eastAsia="zh-CN"/>
        </w:rPr>
        <w:t>经费10万元，后经区财政局批复部门预算</w:t>
      </w:r>
      <w:r>
        <w:rPr>
          <w:rFonts w:hint="eastAsia" w:ascii="仿宋_GB2312" w:hAnsi="宋体" w:eastAsia="仿宋_GB2312" w:cs="Times New Roman"/>
          <w:spacing w:val="-6"/>
          <w:sz w:val="32"/>
          <w:szCs w:val="32"/>
        </w:rPr>
        <w:t>“</w:t>
      </w:r>
      <w:r>
        <w:rPr>
          <w:rFonts w:hint="eastAsia" w:ascii="仿宋_GB2312" w:hAnsi="宋体" w:eastAsia="仿宋_GB2312" w:cs="Times New Roman"/>
          <w:spacing w:val="-6"/>
          <w:sz w:val="32"/>
          <w:szCs w:val="32"/>
          <w:lang w:eastAsia="zh-CN"/>
        </w:rPr>
        <w:t>三八”活动</w:t>
      </w:r>
      <w:r>
        <w:rPr>
          <w:rFonts w:hint="eastAsia" w:ascii="仿宋_GB2312" w:hAnsi="Times New Roman" w:eastAsia="仿宋_GB2312" w:cs="Times New Roman"/>
          <w:color w:val="auto"/>
          <w:spacing w:val="-6"/>
          <w:sz w:val="32"/>
          <w:szCs w:val="32"/>
          <w:lang w:val="en-US" w:eastAsia="zh-CN"/>
        </w:rPr>
        <w:t>经费10万元，年末无预算调整，符合资金管理办法等相关规定。</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仿宋_GB2312" w:hAnsi="宋体" w:eastAsia="仿宋_GB2312" w:cs="Times New Roman"/>
          <w:color w:val="auto"/>
          <w:sz w:val="32"/>
          <w:szCs w:val="32"/>
          <w:highlight w:val="none"/>
          <w:lang w:val="zh-CN"/>
        </w:rPr>
      </w:pPr>
      <w:r>
        <w:rPr>
          <w:rFonts w:hint="eastAsia" w:ascii="楷体_GB2312" w:hAnsi="宋体" w:eastAsia="楷体_GB2312" w:cs="Times New Roman"/>
          <w:b/>
          <w:color w:val="auto"/>
          <w:sz w:val="32"/>
          <w:szCs w:val="32"/>
          <w:highlight w:val="none"/>
          <w:lang w:val="zh-CN"/>
        </w:rPr>
        <w:t>（二）资金计划、到位及使用情况（可用表格形式反映）。</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仿宋_GB2312" w:hAnsi="宋体" w:eastAsia="仿宋_GB2312" w:cs="Times New Roman"/>
          <w:color w:val="auto"/>
          <w:sz w:val="32"/>
          <w:szCs w:val="32"/>
          <w:highlight w:val="none"/>
          <w:lang w:val="zh-CN"/>
        </w:rPr>
      </w:pPr>
      <w:r>
        <w:rPr>
          <w:rFonts w:hint="eastAsia" w:ascii="楷体_GB2312" w:hAnsi="宋体" w:eastAsia="楷体_GB2312" w:cs="Times New Roman"/>
          <w:color w:val="auto"/>
          <w:sz w:val="32"/>
          <w:szCs w:val="32"/>
          <w:highlight w:val="none"/>
          <w:lang w:val="zh-CN"/>
        </w:rPr>
        <w:t>1．资金计划：</w:t>
      </w:r>
      <w:r>
        <w:rPr>
          <w:rFonts w:hint="eastAsia" w:ascii="仿宋_GB2312" w:hAnsi="Times New Roman" w:eastAsia="仿宋_GB2312" w:cs="Times New Roman"/>
          <w:color w:val="auto"/>
          <w:spacing w:val="-6"/>
          <w:sz w:val="32"/>
          <w:szCs w:val="32"/>
          <w:lang w:val="en-US" w:eastAsia="zh-CN"/>
        </w:rPr>
        <w:t>年初预算</w:t>
      </w:r>
      <w:r>
        <w:rPr>
          <w:rFonts w:hint="eastAsia" w:ascii="仿宋_GB2312" w:hAnsi="宋体" w:eastAsia="仿宋_GB2312" w:cs="Times New Roman"/>
          <w:spacing w:val="-6"/>
          <w:sz w:val="32"/>
          <w:szCs w:val="32"/>
          <w:lang w:eastAsia="zh-CN"/>
        </w:rPr>
        <w:t>“三八”活动费用</w:t>
      </w:r>
      <w:r>
        <w:rPr>
          <w:rFonts w:hint="eastAsia" w:ascii="仿宋_GB2312" w:hAnsi="宋体" w:eastAsia="仿宋_GB2312" w:cs="Times New Roman"/>
          <w:spacing w:val="-6"/>
          <w:sz w:val="32"/>
          <w:szCs w:val="32"/>
          <w:lang w:val="en-US" w:eastAsia="zh-CN"/>
        </w:rPr>
        <w:t>10</w:t>
      </w:r>
      <w:r>
        <w:rPr>
          <w:rFonts w:hint="eastAsia" w:ascii="仿宋_GB2312" w:hAnsi="Times New Roman" w:eastAsia="仿宋_GB2312" w:cs="Times New Roman"/>
          <w:color w:val="auto"/>
          <w:spacing w:val="-6"/>
          <w:sz w:val="32"/>
          <w:szCs w:val="32"/>
          <w:lang w:val="en-US" w:eastAsia="zh-CN"/>
        </w:rPr>
        <w:t>万元。到位10万元，资金到位率100%。</w:t>
      </w:r>
    </w:p>
    <w:p>
      <w:pPr>
        <w:keepNext w:val="0"/>
        <w:keepLines w:val="0"/>
        <w:pageBreakBefore w:val="0"/>
        <w:numPr>
          <w:ilvl w:val="0"/>
          <w:numId w:val="10"/>
        </w:numPr>
        <w:kinsoku/>
        <w:wordWrap/>
        <w:overflowPunct/>
        <w:topLinePunct w:val="0"/>
        <w:autoSpaceDE/>
        <w:autoSpaceDN/>
        <w:bidi w:val="0"/>
        <w:adjustRightInd w:val="0"/>
        <w:snapToGrid w:val="0"/>
        <w:spacing w:line="600" w:lineRule="exact"/>
        <w:ind w:firstLine="720"/>
        <w:textAlignment w:val="auto"/>
        <w:rPr>
          <w:lang w:val="zh-CN"/>
        </w:rPr>
      </w:pPr>
      <w:r>
        <w:rPr>
          <w:rFonts w:hint="eastAsia" w:ascii="楷体_GB2312" w:hAnsi="宋体" w:eastAsia="楷体_GB2312" w:cs="Times New Roman"/>
          <w:color w:val="auto"/>
          <w:sz w:val="32"/>
          <w:szCs w:val="32"/>
          <w:highlight w:val="none"/>
          <w:lang w:val="zh-CN"/>
        </w:rPr>
        <w:t>资金到位：</w:t>
      </w:r>
      <w:r>
        <w:rPr>
          <w:rFonts w:hint="eastAsia" w:ascii="仿宋_GB2312" w:hAnsi="Times New Roman" w:eastAsia="仿宋_GB2312" w:cs="Times New Roman"/>
          <w:color w:val="auto"/>
          <w:spacing w:val="-6"/>
          <w:sz w:val="32"/>
          <w:szCs w:val="32"/>
          <w:lang w:val="en-US" w:eastAsia="zh-CN"/>
        </w:rPr>
        <w:t>年初预算</w:t>
      </w:r>
      <w:r>
        <w:rPr>
          <w:rFonts w:hint="eastAsia" w:ascii="仿宋_GB2312" w:hAnsi="宋体" w:eastAsia="仿宋_GB2312" w:cs="Times New Roman"/>
          <w:spacing w:val="-6"/>
          <w:sz w:val="32"/>
          <w:szCs w:val="32"/>
          <w:lang w:eastAsia="zh-CN"/>
        </w:rPr>
        <w:t>“三八”活动费用</w:t>
      </w:r>
      <w:r>
        <w:rPr>
          <w:rFonts w:hint="eastAsia" w:ascii="仿宋_GB2312" w:hAnsi="宋体" w:eastAsia="仿宋_GB2312" w:cs="Times New Roman"/>
          <w:spacing w:val="-6"/>
          <w:sz w:val="32"/>
          <w:szCs w:val="32"/>
          <w:lang w:val="en-US" w:eastAsia="zh-CN"/>
        </w:rPr>
        <w:t>10</w:t>
      </w:r>
      <w:r>
        <w:rPr>
          <w:rFonts w:hint="eastAsia" w:ascii="仿宋_GB2312" w:hAnsi="Times New Roman" w:eastAsia="仿宋_GB2312" w:cs="Times New Roman"/>
          <w:color w:val="auto"/>
          <w:spacing w:val="-6"/>
          <w:sz w:val="32"/>
          <w:szCs w:val="32"/>
          <w:lang w:val="en-US" w:eastAsia="zh-CN"/>
        </w:rPr>
        <w:t>万元</w:t>
      </w:r>
      <w:r>
        <w:rPr>
          <w:rFonts w:hint="eastAsia" w:ascii="仿宋_GB2312" w:eastAsia="仿宋_GB2312" w:cs="Times New Roman"/>
          <w:color w:val="auto"/>
          <w:spacing w:val="-6"/>
          <w:sz w:val="32"/>
          <w:szCs w:val="32"/>
          <w:lang w:val="en-US" w:eastAsia="zh-CN"/>
        </w:rPr>
        <w:t>，</w:t>
      </w:r>
      <w:r>
        <w:rPr>
          <w:rFonts w:hint="eastAsia" w:ascii="仿宋_GB2312" w:hAnsi="Times New Roman" w:eastAsia="仿宋_GB2312" w:cs="Times New Roman"/>
          <w:color w:val="auto"/>
          <w:spacing w:val="-6"/>
          <w:sz w:val="32"/>
          <w:szCs w:val="32"/>
          <w:lang w:val="en-US" w:eastAsia="zh-CN"/>
        </w:rPr>
        <w:t>到位10万元，资金到位率100%。</w:t>
      </w:r>
    </w:p>
    <w:p>
      <w:pPr>
        <w:keepNext w:val="0"/>
        <w:keepLines w:val="0"/>
        <w:pageBreakBefore w:val="0"/>
        <w:numPr>
          <w:ilvl w:val="0"/>
          <w:numId w:val="10"/>
        </w:numPr>
        <w:kinsoku/>
        <w:wordWrap/>
        <w:overflowPunct/>
        <w:topLinePunct w:val="0"/>
        <w:autoSpaceDE/>
        <w:autoSpaceDN/>
        <w:bidi w:val="0"/>
        <w:adjustRightInd w:val="0"/>
        <w:snapToGrid w:val="0"/>
        <w:spacing w:line="600" w:lineRule="exact"/>
        <w:ind w:firstLine="720"/>
        <w:textAlignment w:val="auto"/>
        <w:rPr>
          <w:lang w:val="zh-CN"/>
        </w:rPr>
      </w:pPr>
      <w:r>
        <w:rPr>
          <w:rFonts w:hint="eastAsia" w:ascii="楷体_GB2312" w:hAnsi="宋体" w:eastAsia="楷体_GB2312" w:cs="Times New Roman"/>
          <w:color w:val="auto"/>
          <w:sz w:val="32"/>
          <w:szCs w:val="32"/>
          <w:highlight w:val="none"/>
          <w:lang w:val="zh-CN"/>
        </w:rPr>
        <w:t>资金使用：</w:t>
      </w:r>
      <w:r>
        <w:rPr>
          <w:rFonts w:hint="eastAsia" w:ascii="仿宋_GB2312" w:hAnsi="Times New Roman" w:eastAsia="仿宋_GB2312" w:cs="Times New Roman"/>
          <w:color w:val="auto"/>
          <w:spacing w:val="-6"/>
          <w:sz w:val="32"/>
          <w:szCs w:val="32"/>
          <w:lang w:val="en-US" w:eastAsia="zh-CN"/>
        </w:rPr>
        <w:t>年度实际支付10万元，</w:t>
      </w:r>
      <w:r>
        <w:rPr>
          <w:rFonts w:hint="eastAsia" w:ascii="仿宋_GB2312" w:hAnsi="Times New Roman" w:eastAsia="仿宋_GB2312" w:cs="Times New Roman"/>
          <w:color w:val="auto"/>
          <w:spacing w:val="-6"/>
          <w:sz w:val="32"/>
          <w:szCs w:val="32"/>
        </w:rPr>
        <w:t>支付依据合规合法，资金支付与预算相符。</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楷体_GB2312" w:hAnsi="宋体" w:eastAsia="楷体_GB2312" w:cs="Times New Roman"/>
          <w:b/>
          <w:color w:val="auto"/>
          <w:sz w:val="32"/>
          <w:szCs w:val="32"/>
          <w:highlight w:val="none"/>
          <w:lang w:val="zh-CN"/>
        </w:rPr>
      </w:pPr>
      <w:r>
        <w:rPr>
          <w:rFonts w:hint="eastAsia" w:ascii="楷体_GB2312" w:hAnsi="宋体" w:eastAsia="楷体_GB2312" w:cs="Times New Roman"/>
          <w:b/>
          <w:color w:val="auto"/>
          <w:sz w:val="32"/>
          <w:szCs w:val="32"/>
          <w:highlight w:val="none"/>
          <w:lang w:val="zh-CN"/>
        </w:rPr>
        <w:t>（三）项目财务管理情况。</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eastAsia" w:ascii="仿宋_GB2312" w:hAnsi="Times New Roman" w:eastAsia="仿宋_GB2312" w:cs="Times New Roman"/>
          <w:color w:val="auto"/>
          <w:spacing w:val="-6"/>
          <w:sz w:val="32"/>
          <w:szCs w:val="32"/>
        </w:rPr>
      </w:pPr>
      <w:r>
        <w:rPr>
          <w:rFonts w:hint="eastAsia" w:ascii="仿宋_GB2312" w:hAnsi="Times New Roman" w:eastAsia="仿宋_GB2312" w:cs="Times New Roman"/>
          <w:color w:val="auto"/>
          <w:spacing w:val="-6"/>
          <w:sz w:val="32"/>
          <w:szCs w:val="32"/>
        </w:rPr>
        <w:t>财务管理制度健全，严格执行财务管理制度，账务处理及时。会计核算规范。</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黑体" w:hAnsi="宋体" w:eastAsia="黑体" w:cs="Times New Roman"/>
          <w:color w:val="auto"/>
          <w:sz w:val="32"/>
          <w:szCs w:val="32"/>
          <w:highlight w:val="none"/>
        </w:rPr>
      </w:pPr>
      <w:r>
        <w:rPr>
          <w:rFonts w:hint="eastAsia" w:ascii="黑体" w:hAnsi="宋体" w:eastAsia="黑体" w:cs="Times New Roman"/>
          <w:color w:val="auto"/>
          <w:sz w:val="32"/>
          <w:szCs w:val="32"/>
          <w:highlight w:val="none"/>
        </w:rPr>
        <w:t>三、项目实施及管理情况</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eastAsia" w:ascii="仿宋_GB2312" w:hAnsi="Times New Roman" w:eastAsia="仿宋_GB2312" w:cs="Times New Roman"/>
          <w:color w:val="auto"/>
          <w:spacing w:val="-6"/>
          <w:sz w:val="32"/>
          <w:szCs w:val="32"/>
        </w:rPr>
      </w:pPr>
      <w:r>
        <w:rPr>
          <w:rFonts w:hint="eastAsia" w:ascii="仿宋_GB2312" w:hAnsi="Times New Roman" w:eastAsia="仿宋_GB2312" w:cs="Times New Roman"/>
          <w:color w:val="auto"/>
          <w:spacing w:val="-6"/>
          <w:sz w:val="32"/>
          <w:szCs w:val="32"/>
        </w:rPr>
        <w:t>立项目组织机构，认真落实职责，完善工作制度，加强项目管理和日常检查监督。</w:t>
      </w:r>
    </w:p>
    <w:p>
      <w:pPr>
        <w:keepNext w:val="0"/>
        <w:keepLines w:val="0"/>
        <w:pageBreakBefore w:val="0"/>
        <w:numPr>
          <w:ilvl w:val="0"/>
          <w:numId w:val="11"/>
        </w:numPr>
        <w:kinsoku/>
        <w:wordWrap/>
        <w:overflowPunct/>
        <w:topLinePunct w:val="0"/>
        <w:autoSpaceDE/>
        <w:autoSpaceDN/>
        <w:bidi w:val="0"/>
        <w:adjustRightInd w:val="0"/>
        <w:snapToGrid w:val="0"/>
        <w:spacing w:line="600" w:lineRule="exact"/>
        <w:ind w:firstLine="720"/>
        <w:textAlignment w:val="auto"/>
        <w:rPr>
          <w:rFonts w:hint="eastAsia" w:ascii="楷体_GB2312" w:hAnsi="宋体" w:eastAsia="楷体_GB2312" w:cs="Times New Roman"/>
          <w:b/>
          <w:color w:val="000000" w:themeColor="text1"/>
          <w:sz w:val="32"/>
          <w:szCs w:val="32"/>
          <w:highlight w:val="none"/>
          <w:lang w:val="zh-CN"/>
          <w14:textFill>
            <w14:solidFill>
              <w14:schemeClr w14:val="tx1"/>
            </w14:solidFill>
          </w14:textFill>
        </w:rPr>
      </w:pPr>
      <w:r>
        <w:rPr>
          <w:rFonts w:hint="eastAsia" w:ascii="楷体_GB2312" w:hAnsi="宋体" w:eastAsia="楷体_GB2312" w:cs="Times New Roman"/>
          <w:b/>
          <w:color w:val="000000" w:themeColor="text1"/>
          <w:sz w:val="32"/>
          <w:szCs w:val="32"/>
          <w:highlight w:val="none"/>
          <w:lang w:val="zh-CN"/>
          <w14:textFill>
            <w14:solidFill>
              <w14:schemeClr w14:val="tx1"/>
            </w14:solidFill>
          </w14:textFill>
        </w:rPr>
        <w:t>项目组织架构及实施流程。</w:t>
      </w:r>
    </w:p>
    <w:p>
      <w:pPr>
        <w:autoSpaceDE w:val="0"/>
        <w:spacing w:line="540" w:lineRule="exact"/>
        <w:ind w:firstLine="616" w:firstLineChars="200"/>
        <w:rPr>
          <w:rFonts w:hint="eastAsia" w:ascii="仿宋_GB2312" w:eastAsia="仿宋_GB2312" w:cs="Times New Roman"/>
          <w:color w:val="auto"/>
          <w:spacing w:val="-6"/>
          <w:sz w:val="32"/>
          <w:szCs w:val="32"/>
          <w:lang w:eastAsia="zh-CN"/>
        </w:rPr>
      </w:pPr>
      <w:r>
        <w:rPr>
          <w:rFonts w:hint="eastAsia" w:ascii="仿宋_GB2312" w:hAnsi="Times New Roman" w:eastAsia="仿宋_GB2312" w:cs="Times New Roman"/>
          <w:color w:val="auto"/>
          <w:spacing w:val="-6"/>
          <w:sz w:val="32"/>
          <w:szCs w:val="32"/>
        </w:rPr>
        <w:t>2021年度部门项目预算</w:t>
      </w:r>
      <w:r>
        <w:rPr>
          <w:rFonts w:hint="eastAsia" w:ascii="仿宋_GB2312" w:hAnsi="Times New Roman" w:eastAsia="仿宋_GB2312" w:cs="Times New Roman"/>
          <w:color w:val="auto"/>
          <w:spacing w:val="-6"/>
          <w:sz w:val="32"/>
          <w:szCs w:val="32"/>
          <w:lang w:eastAsia="zh-CN"/>
        </w:rPr>
        <w:t>“</w:t>
      </w:r>
      <w:r>
        <w:rPr>
          <w:rFonts w:hint="eastAsia" w:ascii="仿宋_GB2312" w:eastAsia="仿宋_GB2312" w:cs="Times New Roman"/>
          <w:color w:val="auto"/>
          <w:spacing w:val="-6"/>
          <w:sz w:val="32"/>
          <w:szCs w:val="32"/>
          <w:lang w:eastAsia="zh-CN"/>
        </w:rPr>
        <w:t>三八</w:t>
      </w:r>
      <w:r>
        <w:rPr>
          <w:rFonts w:hint="eastAsia" w:ascii="仿宋_GB2312" w:hAnsi="Times New Roman" w:eastAsia="仿宋_GB2312" w:cs="Times New Roman"/>
          <w:color w:val="auto"/>
          <w:spacing w:val="-6"/>
          <w:sz w:val="32"/>
          <w:szCs w:val="32"/>
          <w:lang w:eastAsia="zh-CN"/>
        </w:rPr>
        <w:t>”活动</w:t>
      </w:r>
      <w:r>
        <w:rPr>
          <w:rFonts w:hint="eastAsia" w:ascii="仿宋_GB2312" w:hAnsi="宋体" w:eastAsia="仿宋_GB2312" w:cs="Times New Roman"/>
          <w:spacing w:val="-6"/>
          <w:sz w:val="32"/>
          <w:szCs w:val="32"/>
        </w:rPr>
        <w:t>经</w:t>
      </w:r>
      <w:r>
        <w:rPr>
          <w:rFonts w:hint="eastAsia" w:ascii="仿宋_GB2312" w:hAnsi="宋体" w:eastAsia="仿宋_GB2312" w:cs="Times New Roman"/>
          <w:spacing w:val="-6"/>
          <w:sz w:val="32"/>
          <w:szCs w:val="32"/>
          <w:lang w:eastAsia="zh-CN"/>
        </w:rPr>
        <w:t>费</w:t>
      </w:r>
      <w:r>
        <w:rPr>
          <w:rFonts w:hint="eastAsia" w:ascii="仿宋_GB2312" w:hAnsi="Times New Roman" w:eastAsia="仿宋_GB2312" w:cs="Times New Roman"/>
          <w:color w:val="auto"/>
          <w:spacing w:val="-6"/>
          <w:sz w:val="32"/>
          <w:szCs w:val="32"/>
        </w:rPr>
        <w:t>，严格执行预算规定，符合法律法规，年初拟定用款计划，严格按照项目资金管理办法对资金进行计划申请、划拨、使用，及时、规范对收支进行账务处理和会计核算</w:t>
      </w:r>
      <w:r>
        <w:rPr>
          <w:rFonts w:hint="eastAsia" w:ascii="仿宋_GB2312" w:eastAsia="仿宋_GB2312" w:cs="Times New Roman"/>
          <w:color w:val="auto"/>
          <w:spacing w:val="-6"/>
          <w:sz w:val="32"/>
          <w:szCs w:val="32"/>
          <w:lang w:eastAsia="zh-CN"/>
        </w:rPr>
        <w:t>。</w:t>
      </w:r>
    </w:p>
    <w:p>
      <w:pPr>
        <w:pStyle w:val="2"/>
        <w:ind w:firstLine="928" w:firstLineChars="300"/>
        <w:rPr>
          <w:rFonts w:hint="eastAsia"/>
          <w:lang w:val="zh-CN" w:eastAsia="zh-CN"/>
        </w:rPr>
      </w:pPr>
      <w:r>
        <w:rPr>
          <w:rFonts w:hint="eastAsia" w:cs="Times New Roman"/>
          <w:b/>
          <w:bCs/>
          <w:color w:val="auto"/>
          <w:spacing w:val="-6"/>
          <w:sz w:val="32"/>
          <w:szCs w:val="32"/>
          <w:lang w:eastAsia="zh-CN"/>
        </w:rPr>
        <w:t>四</w:t>
      </w:r>
      <w:r>
        <w:rPr>
          <w:rFonts w:hint="eastAsia" w:cs="Times New Roman"/>
          <w:color w:val="auto"/>
          <w:spacing w:val="-6"/>
          <w:sz w:val="32"/>
          <w:szCs w:val="32"/>
          <w:lang w:eastAsia="zh-CN"/>
        </w:rPr>
        <w:t>、</w:t>
      </w:r>
      <w:r>
        <w:rPr>
          <w:rFonts w:hint="eastAsia" w:ascii="黑体" w:hAnsi="宋体" w:eastAsia="黑体" w:cs="Times New Roman"/>
          <w:color w:val="auto"/>
          <w:sz w:val="32"/>
          <w:szCs w:val="32"/>
          <w:highlight w:val="none"/>
        </w:rPr>
        <w:t>项目绩效情况</w:t>
      </w:r>
      <w:r>
        <w:rPr>
          <w:rFonts w:hint="eastAsia" w:ascii="仿宋_GB2312" w:hAnsi="宋体" w:eastAsia="仿宋_GB2312" w:cs="Times New Roman"/>
          <w:color w:val="auto"/>
          <w:sz w:val="32"/>
          <w:szCs w:val="32"/>
          <w:highlight w:val="none"/>
          <w:lang w:val="zh-CN"/>
        </w:rPr>
        <w:tab/>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楷体_GB2312" w:hAnsi="宋体" w:eastAsia="楷体_GB2312" w:cs="Times New Roman"/>
          <w:b/>
          <w:color w:val="auto"/>
          <w:sz w:val="32"/>
          <w:szCs w:val="32"/>
          <w:highlight w:val="none"/>
          <w:lang w:val="zh-CN"/>
        </w:rPr>
      </w:pPr>
      <w:r>
        <w:rPr>
          <w:rFonts w:hint="eastAsia" w:ascii="楷体_GB2312" w:hAnsi="宋体" w:eastAsia="楷体_GB2312" w:cs="Times New Roman"/>
          <w:b/>
          <w:color w:val="auto"/>
          <w:sz w:val="32"/>
          <w:szCs w:val="32"/>
          <w:highlight w:val="none"/>
          <w:lang w:val="zh-CN"/>
        </w:rPr>
        <w:t>（一）项目完成情况。</w:t>
      </w:r>
    </w:p>
    <w:p>
      <w:pPr>
        <w:autoSpaceDE w:val="0"/>
        <w:spacing w:line="540" w:lineRule="exact"/>
        <w:ind w:firstLine="616" w:firstLineChars="200"/>
        <w:rPr>
          <w:rFonts w:hint="eastAsia" w:ascii="仿宋_GB2312" w:hAnsi="Times New Roman" w:eastAsia="仿宋_GB2312" w:cs="Times New Roman"/>
          <w:color w:val="auto"/>
          <w:spacing w:val="-6"/>
          <w:sz w:val="32"/>
          <w:szCs w:val="32"/>
          <w:lang w:val="en-US" w:eastAsia="zh-CN"/>
        </w:rPr>
      </w:pPr>
      <w:r>
        <w:rPr>
          <w:rFonts w:hint="eastAsia" w:ascii="仿宋_GB2312" w:hAnsi="Times New Roman" w:eastAsia="仿宋_GB2312" w:cs="Times New Roman"/>
          <w:color w:val="auto"/>
          <w:spacing w:val="-6"/>
          <w:sz w:val="32"/>
          <w:szCs w:val="32"/>
          <w:lang w:val="en-US" w:eastAsia="zh-CN"/>
        </w:rPr>
        <w:t>数量指标：全面完成“三八”任务提升妇女儿童幸福感。</w:t>
      </w:r>
    </w:p>
    <w:p>
      <w:pPr>
        <w:autoSpaceDE w:val="0"/>
        <w:spacing w:line="540" w:lineRule="exact"/>
        <w:ind w:firstLine="616" w:firstLineChars="200"/>
        <w:rPr>
          <w:rFonts w:hint="eastAsia" w:ascii="仿宋_GB2312" w:hAnsi="Times New Roman" w:eastAsia="仿宋_GB2312" w:cs="Times New Roman"/>
          <w:color w:val="auto"/>
          <w:spacing w:val="-6"/>
          <w:sz w:val="32"/>
          <w:szCs w:val="32"/>
          <w:lang w:val="en-US" w:eastAsia="zh-CN"/>
        </w:rPr>
      </w:pPr>
      <w:r>
        <w:rPr>
          <w:rFonts w:hint="eastAsia" w:ascii="仿宋_GB2312" w:hAnsi="Times New Roman" w:eastAsia="仿宋_GB2312" w:cs="Times New Roman"/>
          <w:color w:val="auto"/>
          <w:spacing w:val="-6"/>
          <w:sz w:val="32"/>
          <w:szCs w:val="32"/>
          <w:lang w:val="en-US" w:eastAsia="zh-CN"/>
        </w:rPr>
        <w:t>质量指标：按指标完成“三八”任务。</w:t>
      </w:r>
    </w:p>
    <w:p>
      <w:pPr>
        <w:autoSpaceDE w:val="0"/>
        <w:spacing w:line="540" w:lineRule="exact"/>
        <w:ind w:firstLine="616" w:firstLineChars="200"/>
        <w:rPr>
          <w:rFonts w:hint="eastAsia" w:ascii="仿宋_GB2312" w:hAnsi="Times New Roman" w:eastAsia="仿宋_GB2312" w:cs="Times New Roman"/>
          <w:color w:val="auto"/>
          <w:spacing w:val="-6"/>
          <w:sz w:val="32"/>
          <w:szCs w:val="32"/>
          <w:lang w:val="en-US" w:eastAsia="zh-CN"/>
        </w:rPr>
      </w:pPr>
      <w:r>
        <w:rPr>
          <w:rFonts w:hint="eastAsia" w:ascii="仿宋_GB2312" w:hAnsi="Times New Roman" w:eastAsia="仿宋_GB2312" w:cs="Times New Roman"/>
          <w:color w:val="auto"/>
          <w:spacing w:val="-6"/>
          <w:sz w:val="32"/>
          <w:szCs w:val="32"/>
          <w:lang w:val="en-US" w:eastAsia="zh-CN"/>
        </w:rPr>
        <w:t>时效指标：完成时间2021年。</w:t>
      </w:r>
    </w:p>
    <w:p>
      <w:pPr>
        <w:autoSpaceDE w:val="0"/>
        <w:spacing w:line="540" w:lineRule="exact"/>
        <w:ind w:firstLine="616" w:firstLineChars="200"/>
        <w:rPr>
          <w:rFonts w:hint="eastAsia" w:ascii="仿宋_GB2312" w:hAnsi="Times New Roman" w:eastAsia="仿宋_GB2312" w:cs="Times New Roman"/>
          <w:color w:val="auto"/>
          <w:spacing w:val="-6"/>
          <w:sz w:val="32"/>
          <w:szCs w:val="32"/>
          <w:lang w:val="en-US" w:eastAsia="zh-CN"/>
        </w:rPr>
      </w:pPr>
      <w:r>
        <w:rPr>
          <w:rFonts w:hint="eastAsia" w:ascii="仿宋_GB2312" w:hAnsi="Times New Roman" w:eastAsia="仿宋_GB2312" w:cs="Times New Roman"/>
          <w:color w:val="auto"/>
          <w:spacing w:val="-6"/>
          <w:sz w:val="32"/>
          <w:szCs w:val="32"/>
          <w:lang w:val="en-US" w:eastAsia="zh-CN"/>
        </w:rPr>
        <w:t>成本指标：10万元。</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楷体_GB2312" w:hAnsi="宋体" w:eastAsia="楷体_GB2312" w:cs="Times New Roman"/>
          <w:b/>
          <w:color w:val="auto"/>
          <w:sz w:val="32"/>
          <w:szCs w:val="32"/>
          <w:highlight w:val="none"/>
          <w:lang w:val="zh-CN"/>
        </w:rPr>
      </w:pPr>
      <w:r>
        <w:rPr>
          <w:rFonts w:hint="eastAsia" w:ascii="楷体_GB2312" w:hAnsi="宋体" w:eastAsia="楷体_GB2312" w:cs="Times New Roman"/>
          <w:b/>
          <w:color w:val="auto"/>
          <w:sz w:val="32"/>
          <w:szCs w:val="32"/>
          <w:highlight w:val="none"/>
          <w:lang w:val="zh-CN"/>
        </w:rPr>
        <w:t>（二）项目效益情况。</w:t>
      </w:r>
    </w:p>
    <w:p>
      <w:pPr>
        <w:autoSpaceDE w:val="0"/>
        <w:spacing w:line="540" w:lineRule="exact"/>
        <w:ind w:firstLine="616" w:firstLineChars="200"/>
        <w:rPr>
          <w:rFonts w:hint="eastAsia" w:ascii="仿宋_GB2312" w:hAnsi="Times New Roman" w:eastAsia="仿宋_GB2312" w:cs="Times New Roman"/>
          <w:color w:val="auto"/>
          <w:spacing w:val="-6"/>
          <w:sz w:val="32"/>
          <w:szCs w:val="32"/>
          <w:lang w:val="en-US" w:eastAsia="zh-CN"/>
        </w:rPr>
      </w:pPr>
      <w:r>
        <w:rPr>
          <w:rFonts w:hint="eastAsia" w:ascii="仿宋_GB2312" w:hAnsi="Times New Roman" w:eastAsia="仿宋_GB2312" w:cs="Times New Roman"/>
          <w:color w:val="auto"/>
          <w:spacing w:val="-6"/>
          <w:sz w:val="32"/>
          <w:szCs w:val="32"/>
          <w:lang w:val="en-US" w:eastAsia="zh-CN"/>
        </w:rPr>
        <w:t>经济效益：无。</w:t>
      </w:r>
    </w:p>
    <w:p>
      <w:pPr>
        <w:autoSpaceDE w:val="0"/>
        <w:spacing w:line="540" w:lineRule="exact"/>
        <w:ind w:firstLine="616" w:firstLineChars="200"/>
        <w:rPr>
          <w:rFonts w:hint="eastAsia" w:ascii="仿宋_GB2312" w:hAnsi="Times New Roman" w:eastAsia="仿宋_GB2312" w:cs="Times New Roman"/>
          <w:color w:val="FF0000"/>
          <w:spacing w:val="-6"/>
          <w:sz w:val="32"/>
          <w:szCs w:val="32"/>
          <w:lang w:eastAsia="zh-CN"/>
        </w:rPr>
      </w:pPr>
      <w:r>
        <w:rPr>
          <w:rFonts w:hint="eastAsia" w:ascii="仿宋_GB2312" w:hAnsi="Times New Roman" w:eastAsia="仿宋_GB2312" w:cs="Times New Roman"/>
          <w:spacing w:val="-6"/>
          <w:sz w:val="32"/>
          <w:szCs w:val="32"/>
          <w:lang w:eastAsia="zh-CN"/>
        </w:rPr>
        <w:t>社会效益：</w:t>
      </w:r>
      <w:r>
        <w:rPr>
          <w:rFonts w:hint="eastAsia" w:ascii="仿宋_GB2312" w:hAnsi="Times New Roman" w:eastAsia="仿宋_GB2312" w:cs="Times New Roman"/>
          <w:color w:val="auto"/>
          <w:spacing w:val="-6"/>
          <w:sz w:val="32"/>
          <w:szCs w:val="32"/>
          <w:lang w:val="en-US" w:eastAsia="zh-CN"/>
        </w:rPr>
        <w:t>引领全区妇女身心健康</w:t>
      </w:r>
      <w:r>
        <w:rPr>
          <w:rFonts w:hint="eastAsia" w:ascii="仿宋_GB2312" w:eastAsia="仿宋_GB2312" w:cs="Times New Roman"/>
          <w:color w:val="auto"/>
          <w:spacing w:val="-6"/>
          <w:sz w:val="32"/>
          <w:szCs w:val="32"/>
          <w:lang w:val="en-US" w:eastAsia="zh-CN"/>
        </w:rPr>
        <w:t>。</w:t>
      </w:r>
    </w:p>
    <w:p>
      <w:pPr>
        <w:autoSpaceDE w:val="0"/>
        <w:spacing w:line="540" w:lineRule="exact"/>
        <w:ind w:firstLine="616" w:firstLineChars="200"/>
        <w:jc w:val="both"/>
        <w:rPr>
          <w:rFonts w:hint="eastAsia" w:ascii="仿宋_GB2312" w:hAnsi="Times New Roman" w:eastAsia="仿宋_GB2312" w:cs="Times New Roman"/>
          <w:color w:val="auto"/>
          <w:spacing w:val="-6"/>
          <w:sz w:val="32"/>
          <w:szCs w:val="32"/>
          <w:lang w:val="en-US" w:eastAsia="zh-CN"/>
        </w:rPr>
      </w:pPr>
      <w:r>
        <w:rPr>
          <w:rFonts w:hint="eastAsia" w:ascii="仿宋_GB2312" w:hAnsi="Times New Roman" w:eastAsia="仿宋_GB2312" w:cs="Times New Roman"/>
          <w:spacing w:val="-6"/>
          <w:sz w:val="32"/>
          <w:szCs w:val="32"/>
        </w:rPr>
        <w:t>生态效益</w:t>
      </w:r>
      <w:r>
        <w:rPr>
          <w:rFonts w:hint="eastAsia" w:ascii="仿宋_GB2312" w:hAnsi="Times New Roman" w:eastAsia="仿宋_GB2312" w:cs="Times New Roman"/>
          <w:color w:val="auto"/>
          <w:spacing w:val="-6"/>
          <w:sz w:val="32"/>
          <w:szCs w:val="32"/>
          <w:lang w:val="en-US" w:eastAsia="zh-CN"/>
        </w:rPr>
        <w:t>：无。</w:t>
      </w:r>
    </w:p>
    <w:p>
      <w:pPr>
        <w:autoSpaceDE w:val="0"/>
        <w:spacing w:line="540" w:lineRule="exact"/>
        <w:ind w:firstLine="616" w:firstLineChars="200"/>
        <w:rPr>
          <w:rFonts w:hint="eastAsia" w:ascii="仿宋_GB2312" w:hAnsi="Times New Roman" w:eastAsia="仿宋_GB2312" w:cs="Times New Roman"/>
          <w:color w:val="auto"/>
          <w:spacing w:val="-6"/>
          <w:sz w:val="32"/>
          <w:szCs w:val="32"/>
          <w:lang w:val="en-US" w:eastAsia="zh-CN"/>
        </w:rPr>
      </w:pPr>
      <w:r>
        <w:rPr>
          <w:rFonts w:hint="eastAsia" w:ascii="仿宋_GB2312" w:hAnsi="Times New Roman" w:eastAsia="仿宋_GB2312" w:cs="Times New Roman"/>
          <w:color w:val="auto"/>
          <w:spacing w:val="-6"/>
          <w:sz w:val="32"/>
          <w:szCs w:val="32"/>
          <w:lang w:val="en-US" w:eastAsia="zh-CN"/>
        </w:rPr>
        <w:t>可持续影响指标：、优秀女性带头示范，巾帼建工新公；2、救助对象增强了生活的信心；3、女性干部工作生活清正廉洁；4、全区妇女法律意识进一步提升。</w:t>
      </w:r>
    </w:p>
    <w:p>
      <w:pPr>
        <w:autoSpaceDE w:val="0"/>
        <w:spacing w:line="540" w:lineRule="exact"/>
        <w:ind w:firstLine="616" w:firstLineChars="200"/>
        <w:rPr>
          <w:rFonts w:ascii="仿宋_GB2312" w:hAnsi="宋体" w:eastAsia="仿宋_GB2312" w:cs="Times New Roman"/>
          <w:color w:val="auto"/>
          <w:sz w:val="32"/>
          <w:szCs w:val="32"/>
          <w:highlight w:val="none"/>
          <w:lang w:val="zh-CN"/>
        </w:rPr>
      </w:pPr>
      <w:r>
        <w:rPr>
          <w:rFonts w:hint="eastAsia" w:ascii="仿宋_GB2312" w:hAnsi="Times New Roman" w:eastAsia="仿宋_GB2312" w:cs="Times New Roman"/>
          <w:color w:val="auto"/>
          <w:spacing w:val="-6"/>
          <w:sz w:val="32"/>
          <w:szCs w:val="32"/>
          <w:lang w:val="en-US" w:eastAsia="zh-CN"/>
        </w:rPr>
        <w:t>满意度指标：满意度达95%以上。</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黑体" w:hAnsi="宋体" w:eastAsia="黑体" w:cs="Times New Roman"/>
          <w:color w:val="auto"/>
          <w:sz w:val="32"/>
          <w:szCs w:val="32"/>
          <w:highlight w:val="none"/>
        </w:rPr>
      </w:pPr>
      <w:r>
        <w:rPr>
          <w:rFonts w:hint="eastAsia" w:ascii="黑体" w:hAnsi="宋体" w:eastAsia="黑体" w:cs="Times New Roman"/>
          <w:color w:val="auto"/>
          <w:sz w:val="32"/>
          <w:szCs w:val="32"/>
          <w:highlight w:val="none"/>
        </w:rPr>
        <w:t>五、评价结论及建议</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楷体_GB2312" w:hAnsi="宋体" w:eastAsia="楷体_GB2312" w:cs="Times New Roman"/>
          <w:b/>
          <w:color w:val="000000" w:themeColor="text1"/>
          <w:sz w:val="32"/>
          <w:szCs w:val="32"/>
          <w:highlight w:val="none"/>
          <w:lang w:val="zh-CN"/>
          <w14:textFill>
            <w14:solidFill>
              <w14:schemeClr w14:val="tx1"/>
            </w14:solidFill>
          </w14:textFill>
        </w:rPr>
      </w:pPr>
      <w:r>
        <w:rPr>
          <w:rFonts w:hint="eastAsia" w:ascii="楷体_GB2312" w:hAnsi="宋体" w:eastAsia="楷体_GB2312" w:cs="Times New Roman"/>
          <w:b/>
          <w:color w:val="000000" w:themeColor="text1"/>
          <w:sz w:val="32"/>
          <w:szCs w:val="32"/>
          <w:highlight w:val="none"/>
          <w:lang w:val="zh-CN"/>
          <w14:textFill>
            <w14:solidFill>
              <w14:schemeClr w14:val="tx1"/>
            </w14:solidFill>
          </w14:textFill>
        </w:rPr>
        <w:t>（一）评价结论。</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ascii="仿宋_GB2312" w:hAnsi="宋体" w:eastAsia="仿宋_GB2312" w:cs="Times New Roman"/>
          <w:color w:val="auto"/>
          <w:sz w:val="32"/>
          <w:szCs w:val="32"/>
          <w:highlight w:val="none"/>
          <w:bdr w:val="single" w:color="auto" w:sz="4" w:space="0"/>
          <w:lang w:val="zh-CN"/>
        </w:rPr>
      </w:pPr>
      <w:r>
        <w:rPr>
          <w:rFonts w:hint="eastAsia" w:ascii="仿宋_GB2312" w:hAnsi="宋体" w:eastAsia="仿宋_GB2312" w:cs="Times New Roman"/>
          <w:color w:val="auto"/>
          <w:sz w:val="32"/>
          <w:szCs w:val="32"/>
          <w:highlight w:val="none"/>
          <w:lang w:val="zh-CN"/>
        </w:rPr>
        <w:t>通过对单位</w:t>
      </w:r>
      <w:r>
        <w:rPr>
          <w:rFonts w:hint="eastAsia" w:ascii="仿宋_GB2312" w:hAnsi="宋体" w:eastAsia="仿宋_GB2312" w:cs="Times New Roman"/>
          <w:color w:val="auto"/>
          <w:sz w:val="32"/>
          <w:szCs w:val="32"/>
          <w:highlight w:val="none"/>
          <w:lang w:val="en-US" w:eastAsia="zh-CN"/>
        </w:rPr>
        <w:t>项目</w:t>
      </w:r>
      <w:r>
        <w:rPr>
          <w:rFonts w:hint="eastAsia" w:ascii="仿宋_GB2312" w:hAnsi="宋体" w:eastAsia="仿宋_GB2312" w:cs="Times New Roman"/>
          <w:color w:val="auto"/>
          <w:sz w:val="32"/>
          <w:szCs w:val="32"/>
          <w:highlight w:val="none"/>
          <w:lang w:val="zh-CN"/>
        </w:rPr>
        <w:t>自评评分，评价结果</w:t>
      </w:r>
      <w:r>
        <w:rPr>
          <w:rFonts w:hint="eastAsia" w:ascii="仿宋_GB2312" w:hAnsi="宋体" w:eastAsia="仿宋_GB2312" w:cs="Times New Roman"/>
          <w:color w:val="auto"/>
          <w:sz w:val="32"/>
          <w:szCs w:val="32"/>
          <w:highlight w:val="none"/>
          <w:lang w:val="en-US" w:eastAsia="zh-CN"/>
        </w:rPr>
        <w:t>95</w:t>
      </w:r>
      <w:r>
        <w:rPr>
          <w:rFonts w:hint="eastAsia" w:ascii="仿宋_GB2312" w:hAnsi="宋体" w:eastAsia="仿宋_GB2312" w:cs="Times New Roman"/>
          <w:color w:val="auto"/>
          <w:sz w:val="32"/>
          <w:szCs w:val="32"/>
          <w:highlight w:val="none"/>
          <w:lang w:val="zh-CN"/>
        </w:rPr>
        <w:t>分以上。</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楷体_GB2312" w:hAnsi="宋体" w:eastAsia="楷体_GB2312" w:cs="Times New Roman"/>
          <w:b/>
          <w:color w:val="auto"/>
          <w:sz w:val="32"/>
          <w:szCs w:val="32"/>
          <w:highlight w:val="none"/>
          <w:lang w:val="zh-CN"/>
        </w:rPr>
      </w:pPr>
      <w:r>
        <w:rPr>
          <w:rFonts w:hint="eastAsia" w:ascii="楷体_GB2312" w:hAnsi="宋体" w:eastAsia="楷体_GB2312" w:cs="Times New Roman"/>
          <w:b/>
          <w:color w:val="auto"/>
          <w:sz w:val="32"/>
          <w:szCs w:val="32"/>
          <w:highlight w:val="none"/>
          <w:lang w:val="zh-CN"/>
        </w:rPr>
        <w:t>（二）存在的问题。</w:t>
      </w:r>
    </w:p>
    <w:p>
      <w:pPr>
        <w:keepNext w:val="0"/>
        <w:keepLines w:val="0"/>
        <w:pageBreakBefore w:val="0"/>
        <w:kinsoku/>
        <w:wordWrap/>
        <w:overflowPunct/>
        <w:topLinePunct w:val="0"/>
        <w:autoSpaceDE/>
        <w:autoSpaceDN/>
        <w:bidi w:val="0"/>
        <w:adjustRightInd w:val="0"/>
        <w:snapToGrid w:val="0"/>
        <w:spacing w:line="600" w:lineRule="exact"/>
        <w:ind w:firstLine="960" w:firstLineChars="300"/>
        <w:textAlignment w:val="auto"/>
        <w:rPr>
          <w:rFonts w:hint="eastAsia" w:ascii="仿宋_GB2312" w:hAnsi="宋体" w:eastAsia="仿宋_GB2312" w:cs="Times New Roman"/>
          <w:color w:val="auto"/>
          <w:sz w:val="32"/>
          <w:szCs w:val="32"/>
          <w:highlight w:val="none"/>
          <w:lang w:val="zh-CN"/>
        </w:rPr>
      </w:pPr>
      <w:r>
        <w:rPr>
          <w:rFonts w:hint="eastAsia" w:ascii="仿宋_GB2312" w:hAnsi="宋体" w:eastAsia="仿宋_GB2312" w:cs="Times New Roman"/>
          <w:color w:val="auto"/>
          <w:sz w:val="32"/>
          <w:szCs w:val="32"/>
          <w:highlight w:val="none"/>
          <w:lang w:val="zh-CN" w:eastAsia="zh-CN"/>
        </w:rPr>
        <w:t>无</w:t>
      </w:r>
      <w:r>
        <w:rPr>
          <w:rFonts w:hint="eastAsia" w:ascii="仿宋_GB2312" w:hAnsi="宋体" w:eastAsia="仿宋_GB2312" w:cs="Times New Roman"/>
          <w:color w:val="auto"/>
          <w:sz w:val="32"/>
          <w:szCs w:val="32"/>
          <w:highlight w:val="none"/>
          <w:lang w:val="zh-CN"/>
        </w:rPr>
        <w:tab/>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楷体_GB2312" w:hAnsi="宋体" w:eastAsia="楷体_GB2312" w:cs="Times New Roman"/>
          <w:b/>
          <w:color w:val="auto"/>
          <w:sz w:val="32"/>
          <w:szCs w:val="32"/>
          <w:highlight w:val="none"/>
          <w:lang w:val="zh-CN"/>
        </w:rPr>
      </w:pPr>
      <w:r>
        <w:rPr>
          <w:rFonts w:hint="eastAsia" w:ascii="楷体_GB2312" w:hAnsi="宋体" w:eastAsia="楷体_GB2312" w:cs="Times New Roman"/>
          <w:b/>
          <w:color w:val="auto"/>
          <w:sz w:val="32"/>
          <w:szCs w:val="32"/>
          <w:highlight w:val="none"/>
          <w:lang w:val="zh-CN"/>
        </w:rPr>
        <w:t>（三）相关建议。</w:t>
      </w:r>
    </w:p>
    <w:p>
      <w:pPr>
        <w:autoSpaceDE w:val="0"/>
        <w:spacing w:line="540" w:lineRule="exact"/>
        <w:rPr>
          <w:rFonts w:hint="eastAsia" w:ascii="仿宋_GB2312" w:hAnsi="Times New Roman" w:eastAsia="仿宋_GB2312" w:cs="Times New Roman"/>
          <w:color w:val="auto"/>
          <w:spacing w:val="-6"/>
          <w:sz w:val="32"/>
          <w:szCs w:val="32"/>
          <w:lang w:val="en-US" w:eastAsia="zh-CN"/>
        </w:rPr>
      </w:pPr>
      <w:r>
        <w:rPr>
          <w:rFonts w:hint="eastAsia" w:ascii="仿宋_GB2312" w:hAnsi="Times New Roman" w:eastAsia="仿宋_GB2312" w:cs="Times New Roman"/>
          <w:color w:val="auto"/>
          <w:spacing w:val="-6"/>
          <w:sz w:val="32"/>
          <w:szCs w:val="32"/>
          <w:lang w:val="en-US" w:eastAsia="zh-CN"/>
        </w:rPr>
        <w:t>后续将</w:t>
      </w:r>
      <w:r>
        <w:rPr>
          <w:rFonts w:hint="eastAsia" w:ascii="仿宋_GB2312" w:hAnsi="Times New Roman" w:eastAsia="仿宋_GB2312" w:cs="Times New Roman"/>
          <w:color w:val="auto"/>
          <w:spacing w:val="-6"/>
          <w:sz w:val="32"/>
          <w:szCs w:val="32"/>
        </w:rPr>
        <w:t>按照财政项目支出绩效管理的要求，</w:t>
      </w:r>
      <w:r>
        <w:rPr>
          <w:rFonts w:hint="eastAsia" w:ascii="仿宋_GB2312" w:hAnsi="Times New Roman" w:eastAsia="仿宋_GB2312" w:cs="Times New Roman"/>
          <w:color w:val="auto"/>
          <w:spacing w:val="-6"/>
          <w:sz w:val="32"/>
          <w:szCs w:val="32"/>
          <w:lang w:eastAsia="zh-CN"/>
        </w:rPr>
        <w:t>继续开展“三八”</w:t>
      </w:r>
      <w:r>
        <w:rPr>
          <w:rFonts w:hint="eastAsia" w:ascii="仿宋_GB2312" w:hAnsi="Times New Roman" w:eastAsia="仿宋_GB2312" w:cs="Times New Roman"/>
          <w:color w:val="auto"/>
          <w:spacing w:val="-6"/>
          <w:sz w:val="32"/>
          <w:szCs w:val="32"/>
          <w:lang w:val="en-US" w:eastAsia="zh-CN"/>
        </w:rPr>
        <w:t>工作，加强预算的执行力度。</w:t>
      </w:r>
    </w:p>
    <w:p>
      <w:pPr>
        <w:pStyle w:val="2"/>
        <w:rPr>
          <w:rFonts w:hint="eastAsia" w:ascii="仿宋_GB2312" w:hAnsi="Times New Roman" w:eastAsia="仿宋_GB2312" w:cs="Times New Roman"/>
          <w:color w:val="auto"/>
          <w:spacing w:val="-6"/>
          <w:sz w:val="32"/>
          <w:szCs w:val="32"/>
          <w:lang w:val="en-US" w:eastAsia="zh-CN"/>
        </w:rPr>
      </w:pPr>
    </w:p>
    <w:p>
      <w:pPr>
        <w:rPr>
          <w:rFonts w:hint="eastAsia" w:ascii="仿宋_GB2312" w:hAnsi="Times New Roman" w:eastAsia="仿宋_GB2312" w:cs="Times New Roman"/>
          <w:color w:val="auto"/>
          <w:spacing w:val="-6"/>
          <w:sz w:val="32"/>
          <w:szCs w:val="32"/>
          <w:lang w:val="en-US" w:eastAsia="zh-CN"/>
        </w:rPr>
      </w:pPr>
    </w:p>
    <w:p>
      <w:pPr>
        <w:pStyle w:val="2"/>
        <w:rPr>
          <w:rFonts w:hint="eastAsia" w:ascii="仿宋_GB2312" w:hAnsi="Times New Roman" w:eastAsia="仿宋_GB2312" w:cs="Times New Roman"/>
          <w:color w:val="auto"/>
          <w:spacing w:val="-6"/>
          <w:sz w:val="32"/>
          <w:szCs w:val="32"/>
          <w:lang w:val="en-US" w:eastAsia="zh-CN"/>
        </w:rPr>
      </w:pPr>
    </w:p>
    <w:p>
      <w:pPr>
        <w:rPr>
          <w:rFonts w:hint="eastAsia" w:ascii="仿宋_GB2312" w:hAnsi="Times New Roman" w:eastAsia="仿宋_GB2312" w:cs="Times New Roman"/>
          <w:color w:val="auto"/>
          <w:spacing w:val="-6"/>
          <w:sz w:val="32"/>
          <w:szCs w:val="32"/>
          <w:lang w:val="en-US" w:eastAsia="zh-CN"/>
        </w:rPr>
      </w:pPr>
    </w:p>
    <w:p>
      <w:pPr>
        <w:pStyle w:val="2"/>
        <w:rPr>
          <w:rFonts w:hint="eastAsia" w:ascii="仿宋_GB2312" w:hAnsi="Times New Roman" w:eastAsia="仿宋_GB2312" w:cs="Times New Roman"/>
          <w:color w:val="auto"/>
          <w:spacing w:val="-6"/>
          <w:sz w:val="32"/>
          <w:szCs w:val="32"/>
          <w:lang w:val="en-US" w:eastAsia="zh-CN"/>
        </w:rPr>
      </w:pPr>
    </w:p>
    <w:p>
      <w:pPr>
        <w:rPr>
          <w:rFonts w:hint="eastAsia" w:ascii="仿宋_GB2312" w:hAnsi="Times New Roman" w:eastAsia="仿宋_GB2312" w:cs="Times New Roman"/>
          <w:color w:val="auto"/>
          <w:spacing w:val="-6"/>
          <w:sz w:val="32"/>
          <w:szCs w:val="32"/>
          <w:lang w:val="en-US" w:eastAsia="zh-CN"/>
        </w:rPr>
      </w:pPr>
    </w:p>
    <w:p>
      <w:pPr>
        <w:pStyle w:val="2"/>
        <w:rPr>
          <w:rFonts w:hint="eastAsia" w:ascii="仿宋_GB2312" w:hAnsi="Times New Roman" w:eastAsia="仿宋_GB2312" w:cs="Times New Roman"/>
          <w:color w:val="auto"/>
          <w:spacing w:val="-6"/>
          <w:sz w:val="32"/>
          <w:szCs w:val="32"/>
          <w:lang w:val="en-US" w:eastAsia="zh-CN"/>
        </w:rPr>
      </w:pPr>
    </w:p>
    <w:p>
      <w:pPr>
        <w:rPr>
          <w:rFonts w:hint="eastAsia" w:ascii="仿宋_GB2312" w:hAnsi="Times New Roman" w:eastAsia="仿宋_GB2312" w:cs="Times New Roman"/>
          <w:color w:val="auto"/>
          <w:spacing w:val="-6"/>
          <w:sz w:val="32"/>
          <w:szCs w:val="32"/>
          <w:lang w:val="en-US" w:eastAsia="zh-CN"/>
        </w:rPr>
      </w:pPr>
    </w:p>
    <w:p>
      <w:pPr>
        <w:pStyle w:val="2"/>
        <w:rPr>
          <w:rFonts w:hint="eastAsia" w:ascii="仿宋_GB2312" w:hAnsi="Times New Roman" w:eastAsia="仿宋_GB2312" w:cs="Times New Roman"/>
          <w:color w:val="auto"/>
          <w:spacing w:val="-6"/>
          <w:sz w:val="32"/>
          <w:szCs w:val="32"/>
          <w:lang w:val="en-US" w:eastAsia="zh-CN"/>
        </w:rPr>
      </w:pPr>
    </w:p>
    <w:p>
      <w:pPr>
        <w:rPr>
          <w:rFonts w:hint="eastAsia" w:ascii="仿宋_GB2312" w:hAnsi="Times New Roman" w:eastAsia="仿宋_GB2312" w:cs="Times New Roman"/>
          <w:color w:val="auto"/>
          <w:spacing w:val="-6"/>
          <w:sz w:val="32"/>
          <w:szCs w:val="32"/>
          <w:lang w:val="en-US" w:eastAsia="zh-CN"/>
        </w:rPr>
      </w:pPr>
    </w:p>
    <w:p>
      <w:pPr>
        <w:pStyle w:val="2"/>
        <w:rPr>
          <w:rFonts w:hint="eastAsia" w:ascii="仿宋_GB2312" w:hAnsi="Times New Roman" w:eastAsia="仿宋_GB2312" w:cs="Times New Roman"/>
          <w:color w:val="auto"/>
          <w:spacing w:val="-6"/>
          <w:sz w:val="32"/>
          <w:szCs w:val="32"/>
          <w:lang w:val="en-US" w:eastAsia="zh-CN"/>
        </w:rPr>
      </w:pPr>
    </w:p>
    <w:p>
      <w:pPr>
        <w:pStyle w:val="2"/>
        <w:rPr>
          <w:rFonts w:hint="eastAsia" w:ascii="宋体" w:hAnsi="宋体" w:eastAsia="宋体" w:cs="宋体"/>
          <w:b/>
          <w:bCs/>
          <w:color w:val="000000"/>
          <w:kern w:val="0"/>
          <w:sz w:val="40"/>
          <w:szCs w:val="40"/>
          <w:lang w:val="en-US" w:eastAsia="zh-CN" w:bidi="ar"/>
        </w:rPr>
      </w:pPr>
    </w:p>
    <w:p>
      <w:pPr>
        <w:rPr>
          <w:rFonts w:hint="eastAsia" w:ascii="宋体" w:hAnsi="宋体" w:eastAsia="宋体" w:cs="宋体"/>
          <w:b/>
          <w:bCs/>
          <w:color w:val="000000"/>
          <w:kern w:val="0"/>
          <w:sz w:val="40"/>
          <w:szCs w:val="40"/>
          <w:lang w:val="en-US" w:eastAsia="zh-CN" w:bidi="ar"/>
        </w:rPr>
      </w:pPr>
    </w:p>
    <w:p>
      <w:pPr>
        <w:pStyle w:val="2"/>
        <w:rPr>
          <w:rFonts w:hint="default"/>
          <w:lang w:val="en-US" w:eastAsia="zh-CN"/>
        </w:rPr>
      </w:pPr>
      <w:r>
        <w:rPr>
          <w:rFonts w:hint="eastAsia"/>
          <w:lang w:val="en-US" w:eastAsia="zh-CN"/>
        </w:rPr>
        <w:t>附表1</w:t>
      </w:r>
    </w:p>
    <w:p>
      <w:pPr>
        <w:widowControl/>
        <w:jc w:val="center"/>
        <w:textAlignment w:val="center"/>
        <w:rPr>
          <w:rFonts w:hint="eastAsia" w:ascii="宋体" w:hAnsi="宋体" w:eastAsia="宋体" w:cs="宋体"/>
          <w:b/>
          <w:bCs/>
          <w:color w:val="000000"/>
          <w:kern w:val="0"/>
          <w:sz w:val="40"/>
          <w:szCs w:val="40"/>
          <w:lang w:eastAsia="zh-CN" w:bidi="ar"/>
        </w:rPr>
      </w:pPr>
      <w:r>
        <w:rPr>
          <w:rFonts w:hint="eastAsia" w:ascii="宋体" w:hAnsi="宋体" w:cs="宋体"/>
          <w:b/>
          <w:bCs/>
          <w:color w:val="000000"/>
          <w:kern w:val="0"/>
          <w:sz w:val="40"/>
          <w:szCs w:val="40"/>
          <w:lang w:bidi="ar"/>
        </w:rPr>
        <w:t>项目绩效目标完成情况表</w:t>
      </w:r>
    </w:p>
    <w:p>
      <w:pPr>
        <w:widowControl/>
        <w:jc w:val="center"/>
        <w:textAlignment w:val="center"/>
        <w:rPr>
          <w:rFonts w:ascii="宋体" w:hAnsi="宋体" w:cs="宋体"/>
          <w:color w:val="000000"/>
          <w:kern w:val="0"/>
          <w:sz w:val="36"/>
          <w:szCs w:val="36"/>
          <w:lang w:bidi="ar"/>
        </w:rPr>
      </w:pPr>
      <w:r>
        <w:rPr>
          <w:rFonts w:ascii="宋体" w:hAnsi="宋体" w:cs="宋体"/>
          <w:color w:val="000000"/>
          <w:kern w:val="0"/>
          <w:sz w:val="36"/>
          <w:szCs w:val="36"/>
          <w:lang w:bidi="ar"/>
        </w:rPr>
        <w:t>(202</w:t>
      </w:r>
      <w:r>
        <w:rPr>
          <w:rFonts w:hint="eastAsia" w:ascii="宋体" w:hAnsi="宋体" w:cs="宋体"/>
          <w:color w:val="000000"/>
          <w:kern w:val="0"/>
          <w:sz w:val="36"/>
          <w:szCs w:val="36"/>
          <w:lang w:val="en-US" w:eastAsia="zh-CN" w:bidi="ar"/>
        </w:rPr>
        <w:t>1</w:t>
      </w:r>
      <w:r>
        <w:rPr>
          <w:rFonts w:hint="eastAsia" w:ascii="宋体" w:hAnsi="宋体" w:cs="宋体"/>
          <w:color w:val="000000"/>
          <w:kern w:val="0"/>
          <w:sz w:val="36"/>
          <w:szCs w:val="36"/>
          <w:lang w:bidi="ar"/>
        </w:rPr>
        <w:t>年度</w:t>
      </w:r>
      <w:r>
        <w:rPr>
          <w:rFonts w:ascii="宋体" w:hAnsi="宋体" w:cs="宋体"/>
          <w:color w:val="000000"/>
          <w:kern w:val="0"/>
          <w:sz w:val="36"/>
          <w:szCs w:val="36"/>
          <w:lang w:bidi="ar"/>
        </w:rPr>
        <w:t>)</w:t>
      </w:r>
    </w:p>
    <w:tbl>
      <w:tblPr>
        <w:tblStyle w:val="12"/>
        <w:tblW w:w="631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1158"/>
        <w:gridCol w:w="1125"/>
        <w:gridCol w:w="870"/>
        <w:gridCol w:w="1987"/>
        <w:gridCol w:w="1982"/>
        <w:gridCol w:w="37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atLeast"/>
          <w:jc w:val="center"/>
        </w:trPr>
        <w:tc>
          <w:tcPr>
            <w:tcW w:w="1446" w:type="pct"/>
            <w:gridSpan w:val="3"/>
            <w:noWrap w:val="0"/>
            <w:tcMar>
              <w:top w:w="15" w:type="dxa"/>
              <w:left w:w="15" w:type="dxa"/>
              <w:bottom w:w="0"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项目名称</w:t>
            </w:r>
          </w:p>
        </w:tc>
        <w:tc>
          <w:tcPr>
            <w:tcW w:w="3553" w:type="pct"/>
            <w:gridSpan w:val="3"/>
            <w:noWrap w:val="0"/>
            <w:tcMar>
              <w:top w:w="15" w:type="dxa"/>
              <w:left w:w="15" w:type="dxa"/>
              <w:bottom w:w="0" w:type="dxa"/>
              <w:right w:w="15" w:type="dxa"/>
            </w:tcMar>
            <w:vAlign w:val="center"/>
          </w:tcPr>
          <w:p>
            <w:pPr>
              <w:widowControl/>
              <w:textAlignment w:val="center"/>
              <w:rPr>
                <w:rFonts w:hint="eastAsia" w:ascii="宋体" w:hAnsi="宋体" w:eastAsia="宋体" w:cs="宋体"/>
                <w:color w:val="000000"/>
                <w:sz w:val="18"/>
                <w:szCs w:val="18"/>
                <w:lang w:eastAsia="zh-CN"/>
              </w:rPr>
            </w:pPr>
            <w:r>
              <w:rPr>
                <w:rFonts w:hint="eastAsia" w:ascii="宋体" w:hAnsi="宋体" w:cs="宋体"/>
                <w:color w:val="000000"/>
                <w:sz w:val="18"/>
                <w:szCs w:val="18"/>
              </w:rPr>
              <w:t xml:space="preserve">                   </w:t>
            </w:r>
            <w:r>
              <w:rPr>
                <w:rFonts w:hint="eastAsia" w:ascii="宋体" w:hAnsi="宋体" w:cs="宋体"/>
                <w:color w:val="000000"/>
                <w:sz w:val="18"/>
                <w:szCs w:val="18"/>
                <w:lang w:eastAsia="zh-CN"/>
              </w:rPr>
              <w:t>“</w:t>
            </w:r>
            <w:r>
              <w:rPr>
                <w:rFonts w:hint="eastAsia" w:ascii="宋体" w:hAnsi="宋体" w:cs="宋体"/>
                <w:color w:val="000000"/>
                <w:sz w:val="18"/>
                <w:szCs w:val="18"/>
              </w:rPr>
              <w:t>三八</w:t>
            </w:r>
            <w:r>
              <w:rPr>
                <w:rFonts w:hint="eastAsia" w:ascii="宋体" w:hAnsi="宋体" w:cs="宋体"/>
                <w:color w:val="000000"/>
                <w:sz w:val="18"/>
                <w:szCs w:val="18"/>
                <w:lang w:eastAsia="zh-CN"/>
              </w:rPr>
              <w:t>”</w:t>
            </w:r>
            <w:r>
              <w:rPr>
                <w:rFonts w:hint="eastAsia" w:ascii="宋体" w:hAnsi="宋体" w:cs="宋体"/>
                <w:color w:val="000000"/>
                <w:sz w:val="18"/>
                <w:szCs w:val="18"/>
              </w:rPr>
              <w:t>节活动</w:t>
            </w:r>
            <w:r>
              <w:rPr>
                <w:rFonts w:hint="eastAsia" w:ascii="宋体" w:hAnsi="宋体" w:cs="宋体"/>
                <w:color w:val="000000"/>
                <w:sz w:val="18"/>
                <w:szCs w:val="18"/>
                <w:lang w:eastAsia="zh-CN"/>
              </w:rPr>
              <w:t>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atLeast"/>
          <w:jc w:val="center"/>
        </w:trPr>
        <w:tc>
          <w:tcPr>
            <w:tcW w:w="1446" w:type="pct"/>
            <w:gridSpan w:val="3"/>
            <w:noWrap w:val="0"/>
            <w:tcMar>
              <w:top w:w="15" w:type="dxa"/>
              <w:left w:w="15" w:type="dxa"/>
              <w:bottom w:w="0"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预算单位</w:t>
            </w:r>
          </w:p>
        </w:tc>
        <w:tc>
          <w:tcPr>
            <w:tcW w:w="3553" w:type="pct"/>
            <w:gridSpan w:val="3"/>
            <w:noWrap w:val="0"/>
            <w:tcMar>
              <w:top w:w="15" w:type="dxa"/>
              <w:left w:w="15" w:type="dxa"/>
              <w:bottom w:w="0" w:type="dxa"/>
              <w:right w:w="15" w:type="dxa"/>
            </w:tcMar>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广元市</w:t>
            </w:r>
            <w:r>
              <w:rPr>
                <w:rFonts w:hint="eastAsia" w:ascii="宋体" w:hAnsi="宋体" w:cs="宋体"/>
                <w:color w:val="000000"/>
                <w:sz w:val="18"/>
                <w:szCs w:val="18"/>
                <w:lang w:eastAsia="zh-CN"/>
              </w:rPr>
              <w:t>朝天</w:t>
            </w:r>
            <w:r>
              <w:rPr>
                <w:rFonts w:ascii="宋体" w:hAnsi="宋体" w:cs="宋体"/>
                <w:color w:val="000000"/>
                <w:sz w:val="18"/>
                <w:szCs w:val="18"/>
              </w:rPr>
              <w:t>区妇女联合会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atLeast"/>
          <w:jc w:val="center"/>
        </w:trPr>
        <w:tc>
          <w:tcPr>
            <w:tcW w:w="531" w:type="pct"/>
            <w:vMerge w:val="restart"/>
            <w:noWrap w:val="0"/>
            <w:tcMar>
              <w:top w:w="15" w:type="dxa"/>
              <w:left w:w="15" w:type="dxa"/>
              <w:bottom w:w="0"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预算执行情况(万元)</w:t>
            </w:r>
          </w:p>
        </w:tc>
        <w:tc>
          <w:tcPr>
            <w:tcW w:w="914" w:type="pct"/>
            <w:gridSpan w:val="2"/>
            <w:noWrap w:val="0"/>
            <w:tcMar>
              <w:top w:w="15" w:type="dxa"/>
              <w:left w:w="15" w:type="dxa"/>
              <w:bottom w:w="0"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预算数:</w:t>
            </w:r>
          </w:p>
        </w:tc>
        <w:tc>
          <w:tcPr>
            <w:tcW w:w="911" w:type="pct"/>
            <w:noWrap w:val="0"/>
            <w:tcMar>
              <w:top w:w="15" w:type="dxa"/>
              <w:left w:w="15" w:type="dxa"/>
              <w:bottom w:w="0" w:type="dxa"/>
              <w:right w:w="15" w:type="dxa"/>
            </w:tcMar>
            <w:vAlign w:val="center"/>
          </w:tcPr>
          <w:p>
            <w:pPr>
              <w:widowControl/>
              <w:jc w:val="center"/>
              <w:textAlignment w:val="cente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10万元</w:t>
            </w:r>
          </w:p>
        </w:tc>
        <w:tc>
          <w:tcPr>
            <w:tcW w:w="909" w:type="pct"/>
            <w:noWrap w:val="0"/>
            <w:tcMar>
              <w:top w:w="15" w:type="dxa"/>
              <w:left w:w="15" w:type="dxa"/>
              <w:bottom w:w="0"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执行数:</w:t>
            </w:r>
          </w:p>
        </w:tc>
        <w:tc>
          <w:tcPr>
            <w:tcW w:w="1732" w:type="pct"/>
            <w:noWrap w:val="0"/>
            <w:tcMar>
              <w:top w:w="15" w:type="dxa"/>
              <w:left w:w="15" w:type="dxa"/>
              <w:bottom w:w="0" w:type="dxa"/>
              <w:right w:w="15" w:type="dxa"/>
            </w:tcMar>
            <w:vAlign w:val="center"/>
          </w:tcPr>
          <w:p>
            <w:pPr>
              <w:widowControl/>
              <w:jc w:val="center"/>
              <w:textAlignment w:val="cente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10万元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atLeast"/>
          <w:jc w:val="center"/>
        </w:trPr>
        <w:tc>
          <w:tcPr>
            <w:tcW w:w="531" w:type="pct"/>
            <w:vMerge w:val="continue"/>
            <w:noWrap w:val="0"/>
            <w:vAlign w:val="center"/>
          </w:tcPr>
          <w:p>
            <w:pPr>
              <w:widowControl/>
              <w:jc w:val="left"/>
              <w:rPr>
                <w:rFonts w:ascii="宋体" w:hAnsi="宋体" w:cs="宋体"/>
                <w:color w:val="000000"/>
                <w:sz w:val="18"/>
                <w:szCs w:val="18"/>
              </w:rPr>
            </w:pPr>
          </w:p>
        </w:tc>
        <w:tc>
          <w:tcPr>
            <w:tcW w:w="914" w:type="pct"/>
            <w:gridSpan w:val="2"/>
            <w:noWrap w:val="0"/>
            <w:tcMar>
              <w:top w:w="15" w:type="dxa"/>
              <w:left w:w="15" w:type="dxa"/>
              <w:bottom w:w="0"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其中-财政拨款:</w:t>
            </w:r>
          </w:p>
        </w:tc>
        <w:tc>
          <w:tcPr>
            <w:tcW w:w="911" w:type="pct"/>
            <w:noWrap w:val="0"/>
            <w:tcMar>
              <w:top w:w="15" w:type="dxa"/>
              <w:left w:w="15" w:type="dxa"/>
              <w:bottom w:w="0" w:type="dxa"/>
              <w:right w:w="15" w:type="dxa"/>
            </w:tcMar>
            <w:vAlign w:val="center"/>
          </w:tcPr>
          <w:p>
            <w:pPr>
              <w:widowControl/>
              <w:jc w:val="center"/>
              <w:textAlignment w:val="cente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10万元</w:t>
            </w:r>
          </w:p>
        </w:tc>
        <w:tc>
          <w:tcPr>
            <w:tcW w:w="909" w:type="pct"/>
            <w:noWrap w:val="0"/>
            <w:tcMar>
              <w:top w:w="15" w:type="dxa"/>
              <w:left w:w="15" w:type="dxa"/>
              <w:bottom w:w="0"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其中-财政拨款:</w:t>
            </w:r>
          </w:p>
        </w:tc>
        <w:tc>
          <w:tcPr>
            <w:tcW w:w="1732" w:type="pct"/>
            <w:noWrap w:val="0"/>
            <w:tcMar>
              <w:top w:w="15" w:type="dxa"/>
              <w:left w:w="15" w:type="dxa"/>
              <w:bottom w:w="0" w:type="dxa"/>
              <w:right w:w="15" w:type="dxa"/>
            </w:tcMar>
            <w:vAlign w:val="center"/>
          </w:tcPr>
          <w:p>
            <w:pPr>
              <w:widowControl/>
              <w:jc w:val="center"/>
              <w:textAlignment w:val="cente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10万元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atLeast"/>
          <w:jc w:val="center"/>
        </w:trPr>
        <w:tc>
          <w:tcPr>
            <w:tcW w:w="531" w:type="pct"/>
            <w:vMerge w:val="continue"/>
            <w:noWrap w:val="0"/>
            <w:vAlign w:val="center"/>
          </w:tcPr>
          <w:p>
            <w:pPr>
              <w:widowControl/>
              <w:jc w:val="left"/>
              <w:rPr>
                <w:rFonts w:ascii="宋体" w:hAnsi="宋体" w:cs="宋体"/>
                <w:color w:val="000000"/>
                <w:sz w:val="18"/>
                <w:szCs w:val="18"/>
              </w:rPr>
            </w:pPr>
          </w:p>
        </w:tc>
        <w:tc>
          <w:tcPr>
            <w:tcW w:w="914" w:type="pct"/>
            <w:gridSpan w:val="2"/>
            <w:noWrap w:val="0"/>
            <w:tcMar>
              <w:top w:w="15" w:type="dxa"/>
              <w:left w:w="15" w:type="dxa"/>
              <w:bottom w:w="0"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其它资金:</w:t>
            </w:r>
          </w:p>
        </w:tc>
        <w:tc>
          <w:tcPr>
            <w:tcW w:w="911" w:type="pct"/>
            <w:noWrap w:val="0"/>
            <w:tcMar>
              <w:top w:w="15" w:type="dxa"/>
              <w:left w:w="15" w:type="dxa"/>
              <w:bottom w:w="0"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w:t>
            </w:r>
          </w:p>
        </w:tc>
        <w:tc>
          <w:tcPr>
            <w:tcW w:w="909" w:type="pct"/>
            <w:noWrap w:val="0"/>
            <w:tcMar>
              <w:top w:w="15" w:type="dxa"/>
              <w:left w:w="15" w:type="dxa"/>
              <w:bottom w:w="0"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其它资金:</w:t>
            </w:r>
          </w:p>
        </w:tc>
        <w:tc>
          <w:tcPr>
            <w:tcW w:w="1732" w:type="pct"/>
            <w:noWrap w:val="0"/>
            <w:tcMar>
              <w:top w:w="15" w:type="dxa"/>
              <w:left w:w="15" w:type="dxa"/>
              <w:bottom w:w="0" w:type="dxa"/>
              <w:right w:w="15" w:type="dxa"/>
            </w:tcMar>
            <w:vAlign w:val="center"/>
          </w:tcPr>
          <w:p>
            <w:pPr>
              <w:jc w:val="center"/>
              <w:rPr>
                <w:rFonts w:ascii="宋体" w:hAnsi="宋体" w:cs="宋体"/>
                <w:color w:val="000000"/>
                <w:sz w:val="18"/>
                <w:szCs w:val="18"/>
              </w:rPr>
            </w:pPr>
            <w:r>
              <w:rPr>
                <w:rFonts w:hint="eastAsia" w:ascii="宋体" w:hAnsi="宋体" w:cs="宋体"/>
                <w:color w:val="000000"/>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atLeast"/>
          <w:jc w:val="center"/>
        </w:trPr>
        <w:tc>
          <w:tcPr>
            <w:tcW w:w="531" w:type="pct"/>
            <w:vMerge w:val="restart"/>
            <w:noWrap w:val="0"/>
            <w:tcMar>
              <w:top w:w="15" w:type="dxa"/>
              <w:left w:w="15" w:type="dxa"/>
              <w:bottom w:w="0"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年度目标完成情况</w:t>
            </w:r>
          </w:p>
        </w:tc>
        <w:tc>
          <w:tcPr>
            <w:tcW w:w="1825" w:type="pct"/>
            <w:gridSpan w:val="3"/>
            <w:noWrap w:val="0"/>
            <w:tcMar>
              <w:top w:w="15" w:type="dxa"/>
              <w:left w:w="15" w:type="dxa"/>
              <w:bottom w:w="0"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预期目标</w:t>
            </w:r>
          </w:p>
        </w:tc>
        <w:tc>
          <w:tcPr>
            <w:tcW w:w="2642" w:type="pct"/>
            <w:gridSpan w:val="2"/>
            <w:noWrap w:val="0"/>
            <w:tcMar>
              <w:top w:w="15" w:type="dxa"/>
              <w:left w:w="15" w:type="dxa"/>
              <w:bottom w:w="0"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实际完成目标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atLeast"/>
          <w:jc w:val="center"/>
        </w:trPr>
        <w:tc>
          <w:tcPr>
            <w:tcW w:w="531" w:type="pct"/>
            <w:vMerge w:val="continue"/>
            <w:noWrap w:val="0"/>
            <w:vAlign w:val="center"/>
          </w:tcPr>
          <w:p>
            <w:pPr>
              <w:widowControl/>
              <w:jc w:val="left"/>
              <w:rPr>
                <w:rFonts w:ascii="宋体" w:hAnsi="宋体" w:cs="宋体"/>
                <w:color w:val="000000"/>
                <w:sz w:val="18"/>
                <w:szCs w:val="18"/>
              </w:rPr>
            </w:pPr>
          </w:p>
        </w:tc>
        <w:tc>
          <w:tcPr>
            <w:tcW w:w="1825" w:type="pct"/>
            <w:gridSpan w:val="3"/>
            <w:noWrap w:val="0"/>
            <w:tcMar>
              <w:top w:w="15" w:type="dxa"/>
              <w:left w:w="15" w:type="dxa"/>
              <w:bottom w:w="0" w:type="dxa"/>
              <w:right w:w="15" w:type="dxa"/>
            </w:tcMar>
            <w:vAlign w:val="center"/>
          </w:tcPr>
          <w:p>
            <w:pPr>
              <w:widowControl/>
              <w:jc w:val="center"/>
              <w:textAlignment w:val="cente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2021年顺利开展“三八”活动，一是评选表扬先进女性典型；二是送奖到基层活动；三是“三八“红旗巡讲；四是关爱救助工作；五是组织领导干部家属金女干部参加管家风馆活动；六是开展“三八维权宣传周”活动</w:t>
            </w:r>
          </w:p>
        </w:tc>
        <w:tc>
          <w:tcPr>
            <w:tcW w:w="2642" w:type="pct"/>
            <w:gridSpan w:val="2"/>
            <w:noWrap w:val="0"/>
            <w:tcMar>
              <w:top w:w="15" w:type="dxa"/>
              <w:left w:w="15" w:type="dxa"/>
              <w:bottom w:w="0"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lang w:val="en-US" w:eastAsia="zh-CN"/>
              </w:rPr>
              <w:t>2021年顺利开展“三八”活动，一是评选表扬先进女性典型；二是送奖到基层活动；三是“三八“红旗巡讲；四是关爱救助工作；五是组织领导干部家属金女干部参加管家风馆活动；六是开展“三八维权宣传周”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atLeast"/>
          <w:jc w:val="center"/>
        </w:trPr>
        <w:tc>
          <w:tcPr>
            <w:tcW w:w="531" w:type="pct"/>
            <w:vMerge w:val="restart"/>
            <w:noWrap w:val="0"/>
            <w:tcMar>
              <w:top w:w="15" w:type="dxa"/>
              <w:left w:w="15" w:type="dxa"/>
              <w:bottom w:w="0"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绩效指标完成情况</w:t>
            </w:r>
          </w:p>
        </w:tc>
        <w:tc>
          <w:tcPr>
            <w:tcW w:w="516" w:type="pct"/>
            <w:noWrap w:val="0"/>
            <w:tcMar>
              <w:top w:w="15" w:type="dxa"/>
              <w:left w:w="15" w:type="dxa"/>
              <w:bottom w:w="0"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一级指标</w:t>
            </w:r>
          </w:p>
        </w:tc>
        <w:tc>
          <w:tcPr>
            <w:tcW w:w="397" w:type="pct"/>
            <w:noWrap w:val="0"/>
            <w:tcMar>
              <w:top w:w="15" w:type="dxa"/>
              <w:left w:w="15" w:type="dxa"/>
              <w:bottom w:w="0"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二级指标</w:t>
            </w:r>
          </w:p>
        </w:tc>
        <w:tc>
          <w:tcPr>
            <w:tcW w:w="911" w:type="pct"/>
            <w:noWrap w:val="0"/>
            <w:tcMar>
              <w:top w:w="15" w:type="dxa"/>
              <w:left w:w="15" w:type="dxa"/>
              <w:bottom w:w="0"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三级指标</w:t>
            </w:r>
          </w:p>
        </w:tc>
        <w:tc>
          <w:tcPr>
            <w:tcW w:w="909" w:type="pct"/>
            <w:noWrap w:val="0"/>
            <w:tcMar>
              <w:top w:w="15" w:type="dxa"/>
              <w:left w:w="15" w:type="dxa"/>
              <w:bottom w:w="0"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预期指标值(包含数字及文字描述)</w:t>
            </w:r>
          </w:p>
        </w:tc>
        <w:tc>
          <w:tcPr>
            <w:tcW w:w="1732" w:type="pct"/>
            <w:noWrap w:val="0"/>
            <w:tcMar>
              <w:top w:w="15" w:type="dxa"/>
              <w:left w:w="15" w:type="dxa"/>
              <w:bottom w:w="0"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实际完成指标值(包含数字及文字描述)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atLeast"/>
          <w:jc w:val="center"/>
        </w:trPr>
        <w:tc>
          <w:tcPr>
            <w:tcW w:w="531" w:type="pct"/>
            <w:vMerge w:val="continue"/>
            <w:noWrap w:val="0"/>
            <w:vAlign w:val="center"/>
          </w:tcPr>
          <w:p>
            <w:pPr>
              <w:widowControl/>
              <w:jc w:val="left"/>
              <w:rPr>
                <w:rFonts w:ascii="宋体" w:hAnsi="宋体" w:cs="宋体"/>
                <w:color w:val="000000"/>
                <w:sz w:val="18"/>
                <w:szCs w:val="18"/>
              </w:rPr>
            </w:pPr>
          </w:p>
        </w:tc>
        <w:tc>
          <w:tcPr>
            <w:tcW w:w="516" w:type="pct"/>
            <w:noWrap w:val="0"/>
            <w:tcMar>
              <w:top w:w="15" w:type="dxa"/>
              <w:left w:w="15" w:type="dxa"/>
              <w:bottom w:w="0"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项目完成指标</w:t>
            </w:r>
          </w:p>
        </w:tc>
        <w:tc>
          <w:tcPr>
            <w:tcW w:w="397" w:type="pct"/>
            <w:noWrap w:val="0"/>
            <w:tcMar>
              <w:top w:w="15" w:type="dxa"/>
              <w:left w:w="15" w:type="dxa"/>
              <w:bottom w:w="0" w:type="dxa"/>
              <w:right w:w="15" w:type="dxa"/>
            </w:tcMar>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数量指标</w:t>
            </w:r>
          </w:p>
        </w:tc>
        <w:tc>
          <w:tcPr>
            <w:tcW w:w="911" w:type="pct"/>
            <w:noWrap w:val="0"/>
            <w:tcMar>
              <w:top w:w="15" w:type="dxa"/>
              <w:left w:w="15" w:type="dxa"/>
              <w:bottom w:w="0"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lang w:eastAsia="zh-CN"/>
              </w:rPr>
              <w:t>全面提升“三八</w:t>
            </w:r>
            <w:r>
              <w:rPr>
                <w:rFonts w:hint="default" w:ascii="宋体" w:hAnsi="宋体" w:cs="宋体"/>
                <w:color w:val="000000"/>
                <w:sz w:val="18"/>
                <w:szCs w:val="18"/>
                <w:lang w:val="en-US" w:eastAsia="zh-CN"/>
              </w:rPr>
              <w:t>”</w:t>
            </w:r>
            <w:r>
              <w:rPr>
                <w:rFonts w:hint="eastAsia" w:ascii="宋体" w:hAnsi="宋体" w:cs="宋体"/>
                <w:color w:val="000000"/>
                <w:sz w:val="18"/>
                <w:szCs w:val="18"/>
                <w:lang w:val="en-US" w:eastAsia="zh-CN"/>
              </w:rPr>
              <w:t>任务提升妇女儿童幸福感</w:t>
            </w:r>
          </w:p>
        </w:tc>
        <w:tc>
          <w:tcPr>
            <w:tcW w:w="909" w:type="pct"/>
            <w:noWrap w:val="0"/>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18"/>
                <w:szCs w:val="18"/>
                <w:lang w:eastAsia="zh-CN"/>
              </w:rPr>
            </w:pPr>
            <w:r>
              <w:rPr>
                <w:rFonts w:hint="eastAsia" w:ascii="宋体" w:hAnsi="宋体" w:cs="宋体"/>
                <w:color w:val="000000"/>
                <w:sz w:val="18"/>
                <w:szCs w:val="18"/>
                <w:lang w:eastAsia="zh-CN"/>
              </w:rPr>
              <w:t>按指标完成任务</w:t>
            </w:r>
          </w:p>
        </w:tc>
        <w:tc>
          <w:tcPr>
            <w:tcW w:w="1732" w:type="pct"/>
            <w:noWrap w:val="0"/>
            <w:tcMar>
              <w:top w:w="15" w:type="dxa"/>
              <w:left w:w="15" w:type="dxa"/>
              <w:bottom w:w="0"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lang w:eastAsia="zh-CN"/>
              </w:rPr>
              <w:t>按指标完成任务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atLeast"/>
          <w:jc w:val="center"/>
        </w:trPr>
        <w:tc>
          <w:tcPr>
            <w:tcW w:w="531" w:type="pct"/>
            <w:vMerge w:val="continue"/>
            <w:noWrap w:val="0"/>
            <w:vAlign w:val="center"/>
          </w:tcPr>
          <w:p>
            <w:pPr>
              <w:widowControl/>
              <w:jc w:val="left"/>
              <w:rPr>
                <w:rFonts w:ascii="宋体" w:hAnsi="宋体" w:cs="宋体"/>
                <w:color w:val="000000"/>
                <w:sz w:val="18"/>
                <w:szCs w:val="18"/>
              </w:rPr>
            </w:pPr>
          </w:p>
        </w:tc>
        <w:tc>
          <w:tcPr>
            <w:tcW w:w="516" w:type="pct"/>
            <w:noWrap w:val="0"/>
            <w:tcMar>
              <w:top w:w="15" w:type="dxa"/>
              <w:left w:w="15" w:type="dxa"/>
              <w:bottom w:w="0"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项目完成指标</w:t>
            </w:r>
          </w:p>
        </w:tc>
        <w:tc>
          <w:tcPr>
            <w:tcW w:w="397" w:type="pct"/>
            <w:noWrap w:val="0"/>
            <w:tcMar>
              <w:top w:w="15" w:type="dxa"/>
              <w:left w:w="15" w:type="dxa"/>
              <w:bottom w:w="0" w:type="dxa"/>
              <w:right w:w="15" w:type="dxa"/>
            </w:tcMar>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质量指标</w:t>
            </w:r>
          </w:p>
        </w:tc>
        <w:tc>
          <w:tcPr>
            <w:tcW w:w="911" w:type="pct"/>
            <w:noWrap w:val="0"/>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18"/>
                <w:szCs w:val="18"/>
                <w:lang w:eastAsia="zh-CN"/>
              </w:rPr>
            </w:pPr>
            <w:r>
              <w:rPr>
                <w:rFonts w:hint="eastAsia" w:ascii="宋体" w:hAnsi="宋体" w:cs="宋体"/>
                <w:color w:val="000000"/>
                <w:sz w:val="18"/>
                <w:szCs w:val="18"/>
                <w:lang w:eastAsia="zh-CN"/>
              </w:rPr>
              <w:t>高标准完成任务</w:t>
            </w:r>
          </w:p>
        </w:tc>
        <w:tc>
          <w:tcPr>
            <w:tcW w:w="909" w:type="pct"/>
            <w:noWrap w:val="0"/>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18"/>
                <w:szCs w:val="18"/>
                <w:lang w:eastAsia="zh-CN"/>
              </w:rPr>
            </w:pPr>
            <w:r>
              <w:rPr>
                <w:rFonts w:hint="eastAsia" w:ascii="宋体" w:hAnsi="宋体" w:cs="宋体"/>
                <w:color w:val="000000"/>
                <w:sz w:val="18"/>
                <w:szCs w:val="18"/>
                <w:lang w:eastAsia="zh-CN"/>
              </w:rPr>
              <w:t>一项</w:t>
            </w:r>
          </w:p>
        </w:tc>
        <w:tc>
          <w:tcPr>
            <w:tcW w:w="1732" w:type="pct"/>
            <w:noWrap w:val="0"/>
            <w:tcMar>
              <w:top w:w="15" w:type="dxa"/>
              <w:left w:w="15" w:type="dxa"/>
              <w:bottom w:w="0"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lang w:eastAsia="zh-CN"/>
              </w:rPr>
              <w:t>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atLeast"/>
          <w:jc w:val="center"/>
        </w:trPr>
        <w:tc>
          <w:tcPr>
            <w:tcW w:w="531" w:type="pct"/>
            <w:vMerge w:val="continue"/>
            <w:noWrap w:val="0"/>
            <w:vAlign w:val="center"/>
          </w:tcPr>
          <w:p>
            <w:pPr>
              <w:widowControl/>
              <w:jc w:val="left"/>
              <w:rPr>
                <w:rFonts w:ascii="宋体" w:hAnsi="宋体" w:cs="宋体"/>
                <w:color w:val="000000"/>
                <w:sz w:val="18"/>
                <w:szCs w:val="18"/>
              </w:rPr>
            </w:pPr>
          </w:p>
        </w:tc>
        <w:tc>
          <w:tcPr>
            <w:tcW w:w="516" w:type="pct"/>
            <w:noWrap w:val="0"/>
            <w:tcMar>
              <w:top w:w="15" w:type="dxa"/>
              <w:left w:w="15" w:type="dxa"/>
              <w:bottom w:w="0"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项目完成指标</w:t>
            </w:r>
          </w:p>
        </w:tc>
        <w:tc>
          <w:tcPr>
            <w:tcW w:w="397" w:type="pct"/>
            <w:noWrap w:val="0"/>
            <w:tcMar>
              <w:top w:w="15" w:type="dxa"/>
              <w:left w:w="15" w:type="dxa"/>
              <w:bottom w:w="0" w:type="dxa"/>
              <w:right w:w="15" w:type="dxa"/>
            </w:tcMar>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时效指标</w:t>
            </w:r>
          </w:p>
        </w:tc>
        <w:tc>
          <w:tcPr>
            <w:tcW w:w="911" w:type="pct"/>
            <w:noWrap w:val="0"/>
            <w:tcMar>
              <w:top w:w="15" w:type="dxa"/>
              <w:left w:w="15" w:type="dxa"/>
              <w:bottom w:w="0" w:type="dxa"/>
              <w:right w:w="15" w:type="dxa"/>
            </w:tcMar>
            <w:vAlign w:val="center"/>
          </w:tcPr>
          <w:p>
            <w:pPr>
              <w:widowControl/>
              <w:jc w:val="center"/>
              <w:textAlignment w:val="cente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2021年度</w:t>
            </w:r>
          </w:p>
        </w:tc>
        <w:tc>
          <w:tcPr>
            <w:tcW w:w="909" w:type="pct"/>
            <w:noWrap w:val="0"/>
            <w:tcMar>
              <w:top w:w="15" w:type="dxa"/>
              <w:left w:w="15" w:type="dxa"/>
              <w:bottom w:w="0" w:type="dxa"/>
              <w:right w:w="15" w:type="dxa"/>
            </w:tcMar>
            <w:vAlign w:val="center"/>
          </w:tcPr>
          <w:p>
            <w:pPr>
              <w:widowControl/>
              <w:jc w:val="center"/>
              <w:textAlignment w:val="cente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12个月</w:t>
            </w:r>
          </w:p>
        </w:tc>
        <w:tc>
          <w:tcPr>
            <w:tcW w:w="1732" w:type="pct"/>
            <w:noWrap w:val="0"/>
            <w:tcMar>
              <w:top w:w="15" w:type="dxa"/>
              <w:left w:w="15" w:type="dxa"/>
              <w:bottom w:w="0" w:type="dxa"/>
              <w:right w:w="15" w:type="dxa"/>
            </w:tcMar>
            <w:vAlign w:val="center"/>
          </w:tcPr>
          <w:p>
            <w:pPr>
              <w:widowControl/>
              <w:jc w:val="center"/>
              <w:textAlignment w:val="cente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12个月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atLeast"/>
          <w:jc w:val="center"/>
        </w:trPr>
        <w:tc>
          <w:tcPr>
            <w:tcW w:w="531" w:type="pct"/>
            <w:vMerge w:val="continue"/>
            <w:noWrap w:val="0"/>
            <w:vAlign w:val="center"/>
          </w:tcPr>
          <w:p>
            <w:pPr>
              <w:widowControl/>
              <w:jc w:val="left"/>
              <w:rPr>
                <w:rFonts w:ascii="宋体" w:hAnsi="宋体" w:cs="宋体"/>
                <w:color w:val="000000"/>
                <w:sz w:val="18"/>
                <w:szCs w:val="18"/>
              </w:rPr>
            </w:pPr>
          </w:p>
        </w:tc>
        <w:tc>
          <w:tcPr>
            <w:tcW w:w="516" w:type="pct"/>
            <w:noWrap w:val="0"/>
            <w:tcMar>
              <w:top w:w="15" w:type="dxa"/>
              <w:left w:w="15" w:type="dxa"/>
              <w:bottom w:w="0"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项目完成指标</w:t>
            </w:r>
          </w:p>
        </w:tc>
        <w:tc>
          <w:tcPr>
            <w:tcW w:w="397" w:type="pct"/>
            <w:noWrap w:val="0"/>
            <w:tcMar>
              <w:top w:w="15" w:type="dxa"/>
              <w:left w:w="15" w:type="dxa"/>
              <w:bottom w:w="0" w:type="dxa"/>
              <w:right w:w="15" w:type="dxa"/>
            </w:tcMar>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成本指标</w:t>
            </w:r>
          </w:p>
        </w:tc>
        <w:tc>
          <w:tcPr>
            <w:tcW w:w="911" w:type="pct"/>
            <w:noWrap w:val="0"/>
            <w:tcMar>
              <w:top w:w="15" w:type="dxa"/>
              <w:left w:w="15" w:type="dxa"/>
              <w:bottom w:w="0" w:type="dxa"/>
              <w:right w:w="15" w:type="dxa"/>
            </w:tcMar>
            <w:vAlign w:val="center"/>
          </w:tcPr>
          <w:p>
            <w:pPr>
              <w:widowControl/>
              <w:jc w:val="center"/>
              <w:textAlignment w:val="cente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10万元</w:t>
            </w:r>
          </w:p>
        </w:tc>
        <w:tc>
          <w:tcPr>
            <w:tcW w:w="909" w:type="pct"/>
            <w:noWrap w:val="0"/>
            <w:tcMar>
              <w:top w:w="15" w:type="dxa"/>
              <w:left w:w="15" w:type="dxa"/>
              <w:bottom w:w="0" w:type="dxa"/>
              <w:right w:w="15" w:type="dxa"/>
            </w:tcMar>
            <w:vAlign w:val="center"/>
          </w:tcPr>
          <w:p>
            <w:pPr>
              <w:widowControl/>
              <w:jc w:val="center"/>
              <w:textAlignment w:val="cente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10万元</w:t>
            </w:r>
          </w:p>
        </w:tc>
        <w:tc>
          <w:tcPr>
            <w:tcW w:w="1732" w:type="pct"/>
            <w:noWrap w:val="0"/>
            <w:tcMar>
              <w:top w:w="15" w:type="dxa"/>
              <w:left w:w="15" w:type="dxa"/>
              <w:bottom w:w="0" w:type="dxa"/>
              <w:right w:w="15" w:type="dxa"/>
            </w:tcMar>
            <w:vAlign w:val="center"/>
          </w:tcPr>
          <w:p>
            <w:pPr>
              <w:widowControl/>
              <w:jc w:val="center"/>
              <w:textAlignment w:val="cente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10万元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7" w:hRule="atLeast"/>
          <w:jc w:val="center"/>
        </w:trPr>
        <w:tc>
          <w:tcPr>
            <w:tcW w:w="531" w:type="pct"/>
            <w:vMerge w:val="continue"/>
            <w:noWrap w:val="0"/>
            <w:vAlign w:val="center"/>
          </w:tcPr>
          <w:p>
            <w:pPr>
              <w:widowControl/>
              <w:jc w:val="left"/>
              <w:rPr>
                <w:rFonts w:ascii="宋体" w:hAnsi="宋体" w:cs="宋体"/>
                <w:color w:val="000000"/>
                <w:sz w:val="18"/>
                <w:szCs w:val="18"/>
              </w:rPr>
            </w:pPr>
          </w:p>
        </w:tc>
        <w:tc>
          <w:tcPr>
            <w:tcW w:w="516" w:type="pct"/>
            <w:noWrap w:val="0"/>
            <w:tcMar>
              <w:top w:w="15" w:type="dxa"/>
              <w:left w:w="15" w:type="dxa"/>
              <w:bottom w:w="0"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效益指标</w:t>
            </w:r>
          </w:p>
        </w:tc>
        <w:tc>
          <w:tcPr>
            <w:tcW w:w="397" w:type="pct"/>
            <w:noWrap w:val="0"/>
            <w:tcMar>
              <w:top w:w="15" w:type="dxa"/>
              <w:left w:w="15" w:type="dxa"/>
              <w:bottom w:w="0" w:type="dxa"/>
              <w:right w:w="15" w:type="dxa"/>
            </w:tcMar>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社会效益</w:t>
            </w:r>
          </w:p>
        </w:tc>
        <w:tc>
          <w:tcPr>
            <w:tcW w:w="911" w:type="pct"/>
            <w:noWrap w:val="0"/>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18"/>
                <w:szCs w:val="18"/>
                <w:lang w:eastAsia="zh-CN"/>
              </w:rPr>
            </w:pPr>
            <w:r>
              <w:rPr>
                <w:rFonts w:hint="eastAsia" w:ascii="宋体" w:hAnsi="宋体" w:cs="宋体"/>
                <w:color w:val="000000"/>
                <w:sz w:val="18"/>
                <w:szCs w:val="18"/>
                <w:lang w:eastAsia="zh-CN"/>
              </w:rPr>
              <w:t>引领全区妇女身心健康</w:t>
            </w:r>
          </w:p>
        </w:tc>
        <w:tc>
          <w:tcPr>
            <w:tcW w:w="909" w:type="pct"/>
            <w:noWrap w:val="0"/>
            <w:tcMar>
              <w:top w:w="15" w:type="dxa"/>
              <w:left w:w="15" w:type="dxa"/>
              <w:bottom w:w="0" w:type="dxa"/>
              <w:right w:w="15" w:type="dxa"/>
            </w:tcMar>
            <w:vAlign w:val="center"/>
          </w:tcPr>
          <w:p>
            <w:pPr>
              <w:widowControl/>
              <w:jc w:val="center"/>
              <w:textAlignment w:val="cente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100%</w:t>
            </w:r>
          </w:p>
        </w:tc>
        <w:tc>
          <w:tcPr>
            <w:tcW w:w="1732" w:type="pct"/>
            <w:noWrap w:val="0"/>
            <w:tcMar>
              <w:top w:w="15" w:type="dxa"/>
              <w:left w:w="15" w:type="dxa"/>
              <w:bottom w:w="0"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atLeast"/>
          <w:jc w:val="center"/>
        </w:trPr>
        <w:tc>
          <w:tcPr>
            <w:tcW w:w="531" w:type="pct"/>
            <w:vMerge w:val="continue"/>
            <w:noWrap w:val="0"/>
            <w:vAlign w:val="center"/>
          </w:tcPr>
          <w:p>
            <w:pPr>
              <w:widowControl/>
              <w:jc w:val="left"/>
              <w:rPr>
                <w:rFonts w:ascii="宋体" w:hAnsi="宋体" w:cs="宋体"/>
                <w:color w:val="000000"/>
                <w:sz w:val="18"/>
                <w:szCs w:val="18"/>
              </w:rPr>
            </w:pPr>
          </w:p>
        </w:tc>
        <w:tc>
          <w:tcPr>
            <w:tcW w:w="516" w:type="pct"/>
            <w:noWrap w:val="0"/>
            <w:tcMar>
              <w:top w:w="15" w:type="dxa"/>
              <w:left w:w="15" w:type="dxa"/>
              <w:bottom w:w="0"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效益指标</w:t>
            </w:r>
          </w:p>
        </w:tc>
        <w:tc>
          <w:tcPr>
            <w:tcW w:w="397" w:type="pct"/>
            <w:noWrap w:val="0"/>
            <w:tcMar>
              <w:top w:w="15" w:type="dxa"/>
              <w:left w:w="15" w:type="dxa"/>
              <w:bottom w:w="0" w:type="dxa"/>
              <w:right w:w="15" w:type="dxa"/>
            </w:tcMar>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可持续效益</w:t>
            </w:r>
          </w:p>
        </w:tc>
        <w:tc>
          <w:tcPr>
            <w:tcW w:w="911" w:type="pct"/>
            <w:noWrap w:val="0"/>
            <w:tcMar>
              <w:top w:w="15" w:type="dxa"/>
              <w:left w:w="15" w:type="dxa"/>
              <w:bottom w:w="0"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sz w:val="18"/>
                <w:szCs w:val="18"/>
                <w:lang w:eastAsia="zh-CN"/>
              </w:rPr>
              <w:t>对全区妇女带来的影响</w:t>
            </w:r>
          </w:p>
        </w:tc>
        <w:tc>
          <w:tcPr>
            <w:tcW w:w="909" w:type="pct"/>
            <w:noWrap w:val="0"/>
            <w:tcMar>
              <w:top w:w="15" w:type="dxa"/>
              <w:left w:w="15" w:type="dxa"/>
              <w:bottom w:w="0"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sz w:val="18"/>
                <w:szCs w:val="18"/>
                <w:lang w:val="en-US" w:eastAsia="zh-CN"/>
              </w:rPr>
              <w:t>引领全区</w:t>
            </w:r>
            <w:r>
              <w:rPr>
                <w:rFonts w:hint="eastAsia" w:ascii="宋体" w:hAnsi="宋体" w:cs="宋体"/>
                <w:color w:val="000000"/>
                <w:sz w:val="18"/>
                <w:szCs w:val="18"/>
                <w:lang w:eastAsia="zh-CN"/>
              </w:rPr>
              <w:t>妇女身心健康</w:t>
            </w:r>
          </w:p>
        </w:tc>
        <w:tc>
          <w:tcPr>
            <w:tcW w:w="1732" w:type="pct"/>
            <w:noWrap w:val="0"/>
            <w:tcMar>
              <w:top w:w="15" w:type="dxa"/>
              <w:left w:w="15" w:type="dxa"/>
              <w:bottom w:w="0"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sz w:val="18"/>
                <w:szCs w:val="18"/>
                <w:lang w:val="en-US" w:eastAsia="zh-CN"/>
              </w:rPr>
              <w:t>1、优秀女性带头示范，巾帼建工新公：2、救助对象增强了生活的信心；3、女性干部工作生活清正廉洁；4、全区妇女法律意识增强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15" w:hRule="atLeast"/>
          <w:jc w:val="center"/>
        </w:trPr>
        <w:tc>
          <w:tcPr>
            <w:tcW w:w="531" w:type="pct"/>
            <w:vMerge w:val="continue"/>
            <w:noWrap w:val="0"/>
            <w:vAlign w:val="center"/>
          </w:tcPr>
          <w:p>
            <w:pPr>
              <w:widowControl/>
              <w:jc w:val="left"/>
              <w:rPr>
                <w:rFonts w:ascii="宋体" w:hAnsi="宋体" w:cs="宋体"/>
                <w:color w:val="000000"/>
                <w:sz w:val="18"/>
                <w:szCs w:val="18"/>
              </w:rPr>
            </w:pPr>
          </w:p>
        </w:tc>
        <w:tc>
          <w:tcPr>
            <w:tcW w:w="516" w:type="pct"/>
            <w:noWrap w:val="0"/>
            <w:tcMar>
              <w:top w:w="15" w:type="dxa"/>
              <w:left w:w="15" w:type="dxa"/>
              <w:bottom w:w="0"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满意度指标</w:t>
            </w:r>
          </w:p>
        </w:tc>
        <w:tc>
          <w:tcPr>
            <w:tcW w:w="397" w:type="pct"/>
            <w:noWrap w:val="0"/>
            <w:tcMar>
              <w:top w:w="15" w:type="dxa"/>
              <w:left w:w="15" w:type="dxa"/>
              <w:bottom w:w="0" w:type="dxa"/>
              <w:right w:w="15" w:type="dxa"/>
            </w:tcMar>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满意度指标</w:t>
            </w:r>
          </w:p>
        </w:tc>
        <w:tc>
          <w:tcPr>
            <w:tcW w:w="911" w:type="pct"/>
            <w:noWrap w:val="0"/>
            <w:tcMar>
              <w:top w:w="15" w:type="dxa"/>
              <w:left w:w="15" w:type="dxa"/>
              <w:bottom w:w="0"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98%</w:t>
            </w:r>
          </w:p>
        </w:tc>
        <w:tc>
          <w:tcPr>
            <w:tcW w:w="909" w:type="pct"/>
            <w:noWrap w:val="0"/>
            <w:tcMar>
              <w:top w:w="15" w:type="dxa"/>
              <w:left w:w="15" w:type="dxa"/>
              <w:bottom w:w="0"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98%</w:t>
            </w:r>
          </w:p>
        </w:tc>
        <w:tc>
          <w:tcPr>
            <w:tcW w:w="1732" w:type="pct"/>
            <w:noWrap w:val="0"/>
            <w:tcMar>
              <w:top w:w="15" w:type="dxa"/>
              <w:left w:w="15" w:type="dxa"/>
              <w:bottom w:w="0"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98%</w:t>
            </w:r>
          </w:p>
        </w:tc>
      </w:tr>
    </w:tbl>
    <w:p>
      <w:pPr>
        <w:pStyle w:val="2"/>
        <w:rPr>
          <w:rFonts w:hint="eastAsia" w:hAnsi="宋体" w:cs="宋体"/>
          <w:color w:val="auto"/>
          <w:kern w:val="0"/>
          <w:sz w:val="32"/>
          <w:szCs w:val="32"/>
          <w:highlight w:val="none"/>
          <w:shd w:val="clear" w:color="auto" w:fill="FFFFFF"/>
          <w:lang w:val="zh-CN"/>
        </w:rPr>
      </w:pPr>
    </w:p>
    <w:p>
      <w:pPr>
        <w:pStyle w:val="2"/>
        <w:rPr>
          <w:rFonts w:hint="eastAsia" w:eastAsia="仿宋_GB2312"/>
          <w:color w:val="auto"/>
          <w:highlight w:val="none"/>
          <w:lang w:val="en-US" w:eastAsia="zh-CN"/>
        </w:rPr>
      </w:pPr>
      <w:r>
        <w:rPr>
          <w:rFonts w:hint="eastAsia" w:hAnsi="宋体" w:cs="宋体"/>
          <w:color w:val="auto"/>
          <w:kern w:val="0"/>
          <w:sz w:val="32"/>
          <w:szCs w:val="32"/>
          <w:highlight w:val="none"/>
          <w:shd w:val="clear" w:color="auto" w:fill="FFFFFF"/>
          <w:lang w:val="zh-CN"/>
        </w:rPr>
        <w:t>附件</w:t>
      </w:r>
      <w:r>
        <w:rPr>
          <w:rFonts w:hint="eastAsia" w:hAnsi="宋体" w:cs="宋体"/>
          <w:color w:val="auto"/>
          <w:kern w:val="0"/>
          <w:sz w:val="32"/>
          <w:szCs w:val="32"/>
          <w:highlight w:val="none"/>
          <w:shd w:val="clear" w:color="auto" w:fill="FFFFFF"/>
          <w:lang w:val="en-US" w:eastAsia="zh-CN"/>
        </w:rPr>
        <w:t>2</w:t>
      </w:r>
    </w:p>
    <w:p>
      <w:pPr>
        <w:keepNext w:val="0"/>
        <w:keepLines w:val="0"/>
        <w:pageBreakBefore w:val="0"/>
        <w:widowControl w:val="0"/>
        <w:kinsoku/>
        <w:wordWrap/>
        <w:overflowPunct/>
        <w:topLinePunct w:val="0"/>
        <w:autoSpaceDE/>
        <w:autoSpaceDN/>
        <w:bidi w:val="0"/>
        <w:spacing w:line="600" w:lineRule="exact"/>
        <w:jc w:val="center"/>
        <w:textAlignment w:val="auto"/>
        <w:rPr>
          <w:rFonts w:ascii="宋体" w:hAnsi="宋体" w:eastAsia="宋体" w:cs="Times New Roman"/>
          <w:color w:val="auto"/>
          <w:kern w:val="2"/>
          <w:sz w:val="32"/>
          <w:szCs w:val="32"/>
          <w:highlight w:val="none"/>
          <w:lang w:val="zh-CN" w:eastAsia="zh-CN" w:bidi="ar-SA"/>
        </w:rPr>
      </w:pPr>
      <w:r>
        <w:rPr>
          <w:rFonts w:hint="eastAsia" w:ascii="方正小标宋简体" w:hAnsi="方正小标宋简体" w:eastAsia="方正小标宋简体" w:cs="方正小标宋简体"/>
          <w:color w:val="auto"/>
          <w:kern w:val="2"/>
          <w:sz w:val="40"/>
          <w:szCs w:val="40"/>
          <w:highlight w:val="none"/>
          <w:lang w:val="en-US" w:eastAsia="zh-CN" w:bidi="ar-SA"/>
        </w:rPr>
        <w:t>2021年</w:t>
      </w:r>
      <w:r>
        <w:rPr>
          <w:rFonts w:hint="eastAsia" w:ascii="方正小标宋简体" w:hAnsi="方正小标宋简体" w:eastAsia="方正小标宋简体" w:cs="方正小标宋简体"/>
          <w:color w:val="auto"/>
          <w:kern w:val="2"/>
          <w:sz w:val="40"/>
          <w:szCs w:val="40"/>
          <w:highlight w:val="none"/>
          <w:lang w:val="zh-CN" w:eastAsia="zh-CN" w:bidi="ar-SA"/>
        </w:rPr>
        <w:t>部门预算“六一”活动项目支出绩效自评报告</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黑体" w:hAnsi="宋体" w:eastAsia="黑体" w:cs="Times New Roman"/>
          <w:b/>
          <w:bCs/>
          <w:color w:val="000000" w:themeColor="text1"/>
          <w:sz w:val="32"/>
          <w:szCs w:val="32"/>
          <w:highlight w:val="none"/>
          <w:lang w:val="zh-CN"/>
          <w14:textFill>
            <w14:solidFill>
              <w14:schemeClr w14:val="tx1"/>
            </w14:solidFill>
          </w14:textFill>
        </w:rPr>
      </w:pPr>
      <w:r>
        <w:rPr>
          <w:rFonts w:hint="eastAsia" w:ascii="黑体" w:hAnsi="宋体" w:eastAsia="黑体" w:cs="Times New Roman"/>
          <w:b/>
          <w:bCs/>
          <w:color w:val="000000" w:themeColor="text1"/>
          <w:sz w:val="32"/>
          <w:szCs w:val="32"/>
          <w:highlight w:val="none"/>
          <w14:textFill>
            <w14:solidFill>
              <w14:schemeClr w14:val="tx1"/>
            </w14:solidFill>
          </w14:textFill>
        </w:rPr>
        <w:t>一、</w:t>
      </w:r>
      <w:r>
        <w:rPr>
          <w:rFonts w:hint="eastAsia" w:ascii="黑体" w:hAnsi="宋体" w:eastAsia="黑体" w:cs="Times New Roman"/>
          <w:b/>
          <w:bCs/>
          <w:color w:val="000000" w:themeColor="text1"/>
          <w:sz w:val="32"/>
          <w:szCs w:val="32"/>
          <w:highlight w:val="none"/>
          <w:lang w:val="zh-CN"/>
          <w14:textFill>
            <w14:solidFill>
              <w14:schemeClr w14:val="tx1"/>
            </w14:solidFill>
          </w14:textFill>
        </w:rPr>
        <w:t>项目概况</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楷体_GB2312" w:hAnsi="宋体" w:eastAsia="楷体_GB2312" w:cs="Times New Roman"/>
          <w:b/>
          <w:color w:val="FF0000"/>
          <w:sz w:val="32"/>
          <w:szCs w:val="32"/>
          <w:highlight w:val="none"/>
          <w:lang w:val="zh-CN"/>
        </w:rPr>
      </w:pPr>
      <w:r>
        <w:rPr>
          <w:rFonts w:hint="eastAsia" w:ascii="楷体_GB2312" w:hAnsi="宋体" w:eastAsia="楷体_GB2312" w:cs="Times New Roman"/>
          <w:b/>
          <w:color w:val="000000" w:themeColor="text1"/>
          <w:sz w:val="32"/>
          <w:szCs w:val="32"/>
          <w:highlight w:val="none"/>
          <w:lang w:val="zh-CN"/>
          <w14:textFill>
            <w14:solidFill>
              <w14:schemeClr w14:val="tx1"/>
            </w14:solidFill>
          </w14:textFill>
        </w:rPr>
        <w:t>（一）项目基本情况</w:t>
      </w:r>
      <w:r>
        <w:rPr>
          <w:rFonts w:hint="eastAsia" w:ascii="楷体_GB2312" w:hAnsi="宋体" w:eastAsia="楷体_GB2312" w:cs="Times New Roman"/>
          <w:b/>
          <w:color w:val="auto"/>
          <w:sz w:val="32"/>
          <w:szCs w:val="32"/>
          <w:highlight w:val="none"/>
          <w:lang w:val="zh-CN"/>
        </w:rPr>
        <w:t>。</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eastAsia" w:ascii="仿宋_GB2312" w:hAnsi="宋体" w:eastAsia="仿宋_GB2312" w:cs="Times New Roman"/>
          <w:color w:val="FF0000"/>
          <w:sz w:val="32"/>
          <w:szCs w:val="32"/>
          <w:highlight w:val="none"/>
          <w:lang w:val="zh-CN"/>
        </w:rPr>
      </w:pPr>
      <w:r>
        <w:rPr>
          <w:rFonts w:hint="eastAsia" w:ascii="仿宋_GB2312" w:hAnsi="宋体" w:eastAsia="仿宋_GB2312" w:cs="Times New Roman"/>
          <w:color w:val="000000" w:themeColor="text1"/>
          <w:sz w:val="32"/>
          <w:szCs w:val="32"/>
          <w:highlight w:val="none"/>
          <w:lang w:val="zh-CN"/>
          <w14:textFill>
            <w14:solidFill>
              <w14:schemeClr w14:val="tx1"/>
            </w14:solidFill>
          </w14:textFill>
        </w:rPr>
        <w:t>1．项目主管部门为广元市朝天区妇女联合会，主要实施该项目管理中的职能。</w:t>
      </w:r>
    </w:p>
    <w:p>
      <w:pPr>
        <w:keepNext w:val="0"/>
        <w:keepLines w:val="0"/>
        <w:pageBreakBefore w:val="0"/>
        <w:numPr>
          <w:ilvl w:val="0"/>
          <w:numId w:val="0"/>
        </w:numPr>
        <w:kinsoku/>
        <w:wordWrap/>
        <w:overflowPunct/>
        <w:topLinePunct w:val="0"/>
        <w:autoSpaceDE/>
        <w:autoSpaceDN/>
        <w:bidi w:val="0"/>
        <w:adjustRightInd w:val="0"/>
        <w:snapToGrid w:val="0"/>
        <w:spacing w:line="600" w:lineRule="exact"/>
        <w:ind w:left="720" w:leftChars="0"/>
        <w:textAlignment w:val="auto"/>
        <w:rPr>
          <w:rFonts w:hint="eastAsia" w:ascii="仿宋_GB2312" w:hAnsi="宋体" w:eastAsia="仿宋_GB2312" w:cs="Times New Roman"/>
          <w:color w:val="FF0000"/>
          <w:sz w:val="32"/>
          <w:szCs w:val="32"/>
          <w:highlight w:val="none"/>
          <w:lang w:val="zh-CN"/>
        </w:rPr>
      </w:pPr>
      <w:r>
        <w:rPr>
          <w:rFonts w:hint="eastAsia" w:ascii="仿宋_GB2312" w:hAnsi="宋体" w:eastAsia="仿宋_GB2312" w:cs="Times New Roman"/>
          <w:color w:val="000000" w:themeColor="text1"/>
          <w:sz w:val="32"/>
          <w:szCs w:val="32"/>
          <w:highlight w:val="none"/>
          <w:lang w:val="en-US" w:eastAsia="zh-CN"/>
          <w14:textFill>
            <w14:solidFill>
              <w14:schemeClr w14:val="tx1"/>
            </w14:solidFill>
          </w14:textFill>
        </w:rPr>
        <w:t>2、</w:t>
      </w:r>
      <w:r>
        <w:rPr>
          <w:rFonts w:hint="eastAsia" w:ascii="仿宋_GB2312" w:hAnsi="宋体" w:eastAsia="仿宋_GB2312" w:cs="Times New Roman"/>
          <w:color w:val="000000" w:themeColor="text1"/>
          <w:sz w:val="32"/>
          <w:szCs w:val="32"/>
          <w:highlight w:val="none"/>
          <w:lang w:val="zh-CN"/>
          <w14:textFill>
            <w14:solidFill>
              <w14:schemeClr w14:val="tx1"/>
            </w14:solidFill>
          </w14:textFill>
        </w:rPr>
        <w:t>项目立项、资金申报的依据。</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color w:val="FF0000"/>
          <w:lang w:val="zh-CN"/>
        </w:rPr>
      </w:pPr>
      <w:r>
        <w:rPr>
          <w:rFonts w:hint="eastAsia" w:ascii="仿宋_GB2312" w:hAnsi="宋体" w:eastAsia="仿宋_GB2312" w:cs="Times New Roman"/>
          <w:color w:val="auto"/>
          <w:sz w:val="32"/>
          <w:szCs w:val="32"/>
          <w:highlight w:val="none"/>
          <w:lang w:val="en-US" w:eastAsia="zh-CN"/>
        </w:rPr>
        <w:t>2021年初，审报部门预算项目“六一”活动经费1万元，符合主管部门的职能职责，后经区财政局批复部门预算项目“六一”活动经费1万元，年末无预算调整。</w:t>
      </w:r>
    </w:p>
    <w:p>
      <w:pPr>
        <w:keepNext w:val="0"/>
        <w:keepLines w:val="0"/>
        <w:pageBreakBefore w:val="0"/>
        <w:numPr>
          <w:ilvl w:val="0"/>
          <w:numId w:val="10"/>
        </w:numPr>
        <w:kinsoku/>
        <w:wordWrap/>
        <w:overflowPunct/>
        <w:topLinePunct w:val="0"/>
        <w:autoSpaceDE/>
        <w:autoSpaceDN/>
        <w:bidi w:val="0"/>
        <w:adjustRightInd w:val="0"/>
        <w:snapToGrid w:val="0"/>
        <w:spacing w:line="600" w:lineRule="exact"/>
        <w:ind w:left="0" w:leftChars="0" w:firstLine="720" w:firstLineChars="0"/>
        <w:textAlignment w:val="auto"/>
        <w:rPr>
          <w:rFonts w:hint="eastAsia" w:ascii="仿宋_GB2312" w:hAnsi="宋体" w:eastAsia="仿宋_GB2312" w:cs="Times New Roman"/>
          <w:color w:val="auto"/>
          <w:sz w:val="32"/>
          <w:szCs w:val="32"/>
          <w:highlight w:val="none"/>
          <w:lang w:val="en-US" w:eastAsia="zh-CN"/>
        </w:rPr>
      </w:pPr>
      <w:r>
        <w:rPr>
          <w:rFonts w:hint="eastAsia" w:ascii="仿宋_GB2312" w:hAnsi="宋体" w:eastAsia="仿宋_GB2312" w:cs="Times New Roman"/>
          <w:color w:val="auto"/>
          <w:sz w:val="32"/>
          <w:szCs w:val="32"/>
          <w:highlight w:val="none"/>
          <w:lang w:val="en-US" w:eastAsia="zh-CN"/>
        </w:rPr>
        <w:t>符合资金管理办法等相关规定。</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lang w:val="zh-CN"/>
        </w:rPr>
      </w:pPr>
      <w:r>
        <w:rPr>
          <w:rFonts w:hint="eastAsia" w:ascii="黑体" w:hAnsi="宋体" w:eastAsia="黑体" w:cs="Times New Roman"/>
          <w:color w:val="auto"/>
          <w:sz w:val="32"/>
          <w:szCs w:val="32"/>
          <w:highlight w:val="none"/>
        </w:rPr>
        <w:t>四、项目绩效情况</w:t>
      </w:r>
      <w:r>
        <w:rPr>
          <w:rFonts w:hint="eastAsia" w:ascii="仿宋_GB2312" w:hAnsi="宋体" w:eastAsia="仿宋_GB2312" w:cs="Times New Roman"/>
          <w:color w:val="auto"/>
          <w:sz w:val="32"/>
          <w:szCs w:val="32"/>
          <w:highlight w:val="none"/>
          <w:lang w:val="zh-CN"/>
        </w:rPr>
        <w:tab/>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lang w:val="zh-CN"/>
        </w:rPr>
      </w:pPr>
      <w:r>
        <w:rPr>
          <w:rFonts w:hint="eastAsia" w:ascii="楷体_GB2312" w:hAnsi="宋体" w:eastAsia="楷体_GB2312" w:cs="Times New Roman"/>
          <w:b/>
          <w:color w:val="auto"/>
          <w:sz w:val="32"/>
          <w:szCs w:val="32"/>
          <w:highlight w:val="none"/>
          <w:lang w:val="zh-CN"/>
        </w:rPr>
        <w:t>（一）项目完成情况。</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eastAsia" w:ascii="仿宋_GB2312" w:hAnsi="宋体" w:eastAsia="仿宋_GB2312" w:cs="Times New Roman"/>
          <w:color w:val="auto"/>
          <w:sz w:val="32"/>
          <w:szCs w:val="32"/>
          <w:highlight w:val="none"/>
          <w:lang w:val="zh-CN"/>
        </w:rPr>
      </w:pPr>
      <w:r>
        <w:rPr>
          <w:rFonts w:hint="eastAsia" w:ascii="仿宋_GB2312" w:hAnsi="宋体" w:eastAsia="仿宋_GB2312" w:cs="Times New Roman"/>
          <w:color w:val="auto"/>
          <w:sz w:val="32"/>
          <w:szCs w:val="32"/>
          <w:highlight w:val="none"/>
          <w:lang w:val="zh-CN"/>
        </w:rPr>
        <w:t>1．项目主要内容。</w:t>
      </w:r>
    </w:p>
    <w:p>
      <w:pPr>
        <w:pStyle w:val="2"/>
        <w:ind w:firstLine="616" w:firstLineChars="200"/>
        <w:rPr>
          <w:rFonts w:hint="eastAsia"/>
          <w:lang w:val="en-US" w:eastAsia="zh-CN"/>
        </w:rPr>
      </w:pPr>
      <w:r>
        <w:rPr>
          <w:rFonts w:hint="eastAsia" w:ascii="仿宋_GB2312" w:hAnsi="Times New Roman" w:eastAsia="仿宋_GB2312" w:cs="Times New Roman"/>
          <w:spacing w:val="-6"/>
          <w:sz w:val="32"/>
          <w:szCs w:val="32"/>
          <w:lang w:val="en-US" w:eastAsia="zh-CN"/>
        </w:rPr>
        <w:t xml:space="preserve">开展“六一”儿童全面覆盖慰问活动 </w:t>
      </w:r>
      <w:r>
        <w:rPr>
          <w:rFonts w:hint="eastAsia" w:hAnsi="Times New Roman" w:cs="Times New Roman"/>
          <w:spacing w:val="-6"/>
          <w:sz w:val="32"/>
          <w:szCs w:val="32"/>
          <w:lang w:val="en-US" w:eastAsia="zh-CN"/>
        </w:rPr>
        <w:t>。</w:t>
      </w:r>
    </w:p>
    <w:p>
      <w:pPr>
        <w:keepNext w:val="0"/>
        <w:keepLines w:val="0"/>
        <w:pageBreakBefore w:val="0"/>
        <w:numPr>
          <w:ilvl w:val="0"/>
          <w:numId w:val="12"/>
        </w:numPr>
        <w:kinsoku/>
        <w:wordWrap/>
        <w:overflowPunct/>
        <w:topLinePunct w:val="0"/>
        <w:autoSpaceDE/>
        <w:autoSpaceDN/>
        <w:bidi w:val="0"/>
        <w:adjustRightInd w:val="0"/>
        <w:snapToGrid w:val="0"/>
        <w:spacing w:line="600" w:lineRule="exact"/>
        <w:ind w:left="120" w:leftChars="0" w:firstLine="720" w:firstLineChars="0"/>
        <w:textAlignment w:val="auto"/>
        <w:rPr>
          <w:rFonts w:hint="eastAsia" w:ascii="仿宋_GB2312" w:hAnsi="宋体" w:eastAsia="仿宋_GB2312" w:cs="Times New Roman"/>
          <w:color w:val="auto"/>
          <w:sz w:val="32"/>
          <w:szCs w:val="32"/>
          <w:highlight w:val="none"/>
          <w:lang w:val="zh-CN"/>
        </w:rPr>
      </w:pPr>
      <w:r>
        <w:rPr>
          <w:rFonts w:hint="eastAsia" w:ascii="仿宋_GB2312" w:hAnsi="宋体" w:eastAsia="仿宋_GB2312" w:cs="Times New Roman"/>
          <w:color w:val="auto"/>
          <w:sz w:val="32"/>
          <w:szCs w:val="32"/>
          <w:highlight w:val="none"/>
          <w:lang w:val="zh-CN"/>
        </w:rPr>
        <w:t>项目应实现的具体绩效目标</w:t>
      </w:r>
    </w:p>
    <w:p>
      <w:pPr>
        <w:autoSpaceDE w:val="0"/>
        <w:spacing w:line="540" w:lineRule="exact"/>
        <w:ind w:firstLine="616" w:firstLineChars="200"/>
        <w:rPr>
          <w:rFonts w:hint="default" w:ascii="仿宋_GB2312" w:hAnsi="Times New Roman" w:eastAsia="仿宋_GB2312" w:cs="Times New Roman"/>
          <w:color w:val="auto"/>
          <w:spacing w:val="-6"/>
          <w:sz w:val="32"/>
          <w:szCs w:val="32"/>
          <w:lang w:val="en-US" w:eastAsia="zh-CN"/>
        </w:rPr>
      </w:pPr>
      <w:r>
        <w:rPr>
          <w:rFonts w:hint="eastAsia" w:ascii="仿宋_GB2312" w:hAnsi="Times New Roman" w:eastAsia="仿宋_GB2312" w:cs="Times New Roman"/>
          <w:color w:val="auto"/>
          <w:spacing w:val="-6"/>
          <w:sz w:val="32"/>
          <w:szCs w:val="32"/>
          <w:lang w:val="en-US" w:eastAsia="zh-CN"/>
        </w:rPr>
        <w:t>数量指标：本单位联合区级政府相关部门开展“六一”儿</w:t>
      </w:r>
      <w:r>
        <w:rPr>
          <w:rFonts w:hint="eastAsia" w:ascii="仿宋_GB2312" w:eastAsia="仿宋_GB2312" w:cs="Times New Roman"/>
          <w:color w:val="auto"/>
          <w:spacing w:val="-6"/>
          <w:sz w:val="32"/>
          <w:szCs w:val="32"/>
          <w:lang w:val="en-US" w:eastAsia="zh-CN"/>
        </w:rPr>
        <w:t xml:space="preserve"> </w:t>
      </w:r>
      <w:r>
        <w:rPr>
          <w:rFonts w:hint="eastAsia" w:ascii="仿宋_GB2312" w:hAnsi="Times New Roman" w:eastAsia="仿宋_GB2312" w:cs="Times New Roman"/>
          <w:color w:val="auto"/>
          <w:spacing w:val="-6"/>
          <w:sz w:val="32"/>
          <w:szCs w:val="32"/>
          <w:lang w:val="en-US" w:eastAsia="zh-CN"/>
        </w:rPr>
        <w:t>童</w:t>
      </w:r>
      <w:r>
        <w:rPr>
          <w:rFonts w:hint="eastAsia" w:ascii="仿宋_GB2312" w:eastAsia="仿宋_GB2312" w:cs="Times New Roman"/>
          <w:color w:val="auto"/>
          <w:spacing w:val="-6"/>
          <w:sz w:val="32"/>
          <w:szCs w:val="32"/>
          <w:lang w:val="en-US" w:eastAsia="zh-CN"/>
        </w:rPr>
        <w:t xml:space="preserve">  </w:t>
      </w:r>
      <w:r>
        <w:rPr>
          <w:rFonts w:hint="eastAsia" w:ascii="仿宋_GB2312" w:hAnsi="Times New Roman" w:eastAsia="仿宋_GB2312" w:cs="Times New Roman"/>
          <w:color w:val="auto"/>
          <w:spacing w:val="-6"/>
          <w:sz w:val="32"/>
          <w:szCs w:val="32"/>
          <w:lang w:val="en-US" w:eastAsia="zh-CN"/>
        </w:rPr>
        <w:t>全面慰问活动，活动场数：37场。</w:t>
      </w:r>
    </w:p>
    <w:p>
      <w:pPr>
        <w:autoSpaceDE w:val="0"/>
        <w:spacing w:line="540" w:lineRule="exact"/>
        <w:ind w:firstLine="924" w:firstLineChars="300"/>
        <w:rPr>
          <w:rFonts w:hint="eastAsia" w:ascii="仿宋_GB2312" w:hAnsi="Times New Roman" w:eastAsia="仿宋_GB2312" w:cs="Times New Roman"/>
          <w:color w:val="auto"/>
          <w:spacing w:val="-6"/>
          <w:sz w:val="32"/>
          <w:szCs w:val="32"/>
          <w:lang w:val="en-US" w:eastAsia="zh-CN"/>
        </w:rPr>
      </w:pPr>
      <w:r>
        <w:rPr>
          <w:rFonts w:hint="eastAsia" w:ascii="仿宋_GB2312" w:hAnsi="Times New Roman" w:eastAsia="仿宋_GB2312" w:cs="Times New Roman"/>
          <w:color w:val="auto"/>
          <w:spacing w:val="-6"/>
          <w:sz w:val="32"/>
          <w:szCs w:val="32"/>
          <w:lang w:val="en-US" w:eastAsia="zh-CN"/>
        </w:rPr>
        <w:t>质量指标：高标准完成各项任务。</w:t>
      </w:r>
    </w:p>
    <w:p>
      <w:pPr>
        <w:autoSpaceDE w:val="0"/>
        <w:spacing w:line="540" w:lineRule="exact"/>
        <w:ind w:firstLine="924" w:firstLineChars="300"/>
        <w:rPr>
          <w:rFonts w:hint="eastAsia" w:ascii="仿宋_GB2312" w:hAnsi="Times New Roman" w:eastAsia="仿宋_GB2312" w:cs="Times New Roman"/>
          <w:color w:val="auto"/>
          <w:spacing w:val="-6"/>
          <w:sz w:val="32"/>
          <w:szCs w:val="32"/>
          <w:lang w:val="en-US" w:eastAsia="zh-CN"/>
        </w:rPr>
      </w:pPr>
      <w:r>
        <w:rPr>
          <w:rFonts w:hint="eastAsia" w:ascii="仿宋_GB2312" w:hAnsi="Times New Roman" w:eastAsia="仿宋_GB2312" w:cs="Times New Roman"/>
          <w:color w:val="auto"/>
          <w:spacing w:val="-6"/>
          <w:sz w:val="32"/>
          <w:szCs w:val="32"/>
          <w:lang w:val="en-US" w:eastAsia="zh-CN"/>
        </w:rPr>
        <w:t>成本指标：1万元。</w:t>
      </w:r>
    </w:p>
    <w:p>
      <w:pPr>
        <w:autoSpaceDE w:val="0"/>
        <w:spacing w:line="540" w:lineRule="exact"/>
        <w:ind w:firstLine="924" w:firstLineChars="300"/>
        <w:rPr>
          <w:rFonts w:hint="eastAsia" w:ascii="仿宋_GB2312" w:hAnsi="Times New Roman" w:eastAsia="仿宋_GB2312" w:cs="Times New Roman"/>
          <w:color w:val="auto"/>
          <w:spacing w:val="-6"/>
          <w:sz w:val="32"/>
          <w:szCs w:val="32"/>
          <w:lang w:val="en-US" w:eastAsia="zh-CN"/>
        </w:rPr>
      </w:pPr>
      <w:r>
        <w:rPr>
          <w:rFonts w:hint="eastAsia" w:ascii="仿宋_GB2312" w:hAnsi="Times New Roman" w:eastAsia="仿宋_GB2312" w:cs="Times New Roman"/>
          <w:color w:val="auto"/>
          <w:spacing w:val="-6"/>
          <w:sz w:val="32"/>
          <w:szCs w:val="32"/>
          <w:lang w:val="en-US" w:eastAsia="zh-CN"/>
        </w:rPr>
        <w:t>经济效益：无。</w:t>
      </w:r>
    </w:p>
    <w:p>
      <w:pPr>
        <w:pStyle w:val="2"/>
        <w:ind w:firstLine="924" w:firstLineChars="300"/>
        <w:rPr>
          <w:rFonts w:hint="eastAsia"/>
          <w:lang w:val="en-US" w:eastAsia="zh-CN"/>
        </w:rPr>
      </w:pPr>
      <w:r>
        <w:rPr>
          <w:rFonts w:hint="eastAsia" w:ascii="仿宋_GB2312" w:eastAsia="仿宋_GB2312" w:cs="Times New Roman"/>
          <w:color w:val="auto"/>
          <w:spacing w:val="-6"/>
          <w:sz w:val="32"/>
          <w:szCs w:val="32"/>
          <w:lang w:val="en-US" w:eastAsia="zh-CN"/>
        </w:rPr>
        <w:t>社会</w:t>
      </w:r>
      <w:r>
        <w:rPr>
          <w:rFonts w:hint="eastAsia" w:ascii="仿宋_GB2312" w:hAnsi="Times New Roman" w:eastAsia="仿宋_GB2312" w:cs="Times New Roman"/>
          <w:color w:val="auto"/>
          <w:spacing w:val="-6"/>
          <w:sz w:val="32"/>
          <w:szCs w:val="32"/>
          <w:lang w:val="en-US" w:eastAsia="zh-CN"/>
        </w:rPr>
        <w:t>效益：</w:t>
      </w:r>
      <w:r>
        <w:rPr>
          <w:rFonts w:hint="eastAsia" w:ascii="仿宋_GB2312" w:hAnsi="Times New Roman" w:eastAsia="仿宋_GB2312" w:cs="Times New Roman"/>
          <w:color w:val="auto"/>
          <w:spacing w:val="-6"/>
          <w:kern w:val="2"/>
          <w:sz w:val="32"/>
          <w:szCs w:val="32"/>
          <w:lang w:val="en-US" w:eastAsia="zh-CN" w:bidi="ar-SA"/>
        </w:rPr>
        <w:t>满足儿童成长需要</w:t>
      </w:r>
    </w:p>
    <w:p>
      <w:pPr>
        <w:autoSpaceDE w:val="0"/>
        <w:spacing w:line="540" w:lineRule="exact"/>
        <w:ind w:firstLine="924" w:firstLineChars="300"/>
        <w:rPr>
          <w:rFonts w:hint="eastAsia" w:ascii="仿宋_GB2312" w:hAnsi="Times New Roman" w:eastAsia="仿宋_GB2312" w:cs="Times New Roman"/>
          <w:color w:val="auto"/>
          <w:spacing w:val="-6"/>
          <w:sz w:val="32"/>
          <w:szCs w:val="32"/>
          <w:lang w:val="en-US" w:eastAsia="zh-CN"/>
        </w:rPr>
      </w:pPr>
      <w:r>
        <w:rPr>
          <w:rFonts w:hint="eastAsia" w:ascii="仿宋_GB2312" w:hAnsi="Times New Roman" w:eastAsia="仿宋_GB2312" w:cs="Times New Roman"/>
          <w:color w:val="auto"/>
          <w:spacing w:val="-6"/>
          <w:sz w:val="32"/>
          <w:szCs w:val="32"/>
          <w:lang w:val="en-US" w:eastAsia="zh-CN"/>
        </w:rPr>
        <w:t>可持续影响指标：满足儿童成长需要，使儿童在健康和谐的环境中成长。</w:t>
      </w:r>
    </w:p>
    <w:p>
      <w:pPr>
        <w:pStyle w:val="2"/>
        <w:ind w:firstLine="924" w:firstLineChars="300"/>
        <w:rPr>
          <w:rFonts w:hint="eastAsia"/>
          <w:lang w:val="en-US" w:eastAsia="zh-CN"/>
        </w:rPr>
      </w:pPr>
      <w:r>
        <w:rPr>
          <w:rFonts w:hint="eastAsia" w:cs="Times New Roman"/>
          <w:color w:val="auto"/>
          <w:spacing w:val="-6"/>
          <w:sz w:val="32"/>
          <w:szCs w:val="32"/>
          <w:lang w:val="en-US" w:eastAsia="zh-CN"/>
        </w:rPr>
        <w:t>生态指标：无</w:t>
      </w:r>
    </w:p>
    <w:p>
      <w:pPr>
        <w:autoSpaceDE w:val="0"/>
        <w:spacing w:line="540" w:lineRule="exact"/>
        <w:ind w:firstLine="924" w:firstLineChars="300"/>
        <w:rPr>
          <w:rFonts w:hint="eastAsia" w:ascii="仿宋_GB2312" w:hAnsi="宋体" w:eastAsia="仿宋_GB2312" w:cs="Times New Roman"/>
          <w:color w:val="auto"/>
          <w:sz w:val="32"/>
          <w:szCs w:val="32"/>
          <w:highlight w:val="none"/>
          <w:lang w:val="zh-CN"/>
        </w:rPr>
      </w:pPr>
      <w:r>
        <w:rPr>
          <w:rFonts w:hint="eastAsia" w:ascii="仿宋_GB2312" w:hAnsi="Times New Roman" w:eastAsia="仿宋_GB2312" w:cs="Times New Roman"/>
          <w:color w:val="auto"/>
          <w:spacing w:val="-6"/>
          <w:sz w:val="32"/>
          <w:szCs w:val="32"/>
          <w:lang w:val="en-US" w:eastAsia="zh-CN"/>
        </w:rPr>
        <w:t>满意度指标：满意度达95%以上。</w:t>
      </w:r>
    </w:p>
    <w:p>
      <w:pPr>
        <w:keepNext w:val="0"/>
        <w:keepLines w:val="0"/>
        <w:pageBreakBefore w:val="0"/>
        <w:numPr>
          <w:ilvl w:val="0"/>
          <w:numId w:val="12"/>
        </w:numPr>
        <w:kinsoku/>
        <w:wordWrap/>
        <w:overflowPunct/>
        <w:topLinePunct w:val="0"/>
        <w:autoSpaceDE/>
        <w:autoSpaceDN/>
        <w:bidi w:val="0"/>
        <w:adjustRightInd w:val="0"/>
        <w:snapToGrid w:val="0"/>
        <w:spacing w:line="600" w:lineRule="exact"/>
        <w:ind w:left="120" w:leftChars="0" w:firstLine="720" w:firstLineChars="0"/>
        <w:textAlignment w:val="auto"/>
        <w:rPr>
          <w:rFonts w:hint="eastAsia" w:ascii="仿宋_GB2312" w:hAnsi="宋体" w:eastAsia="仿宋_GB2312" w:cs="Times New Roman"/>
          <w:color w:val="auto"/>
          <w:sz w:val="32"/>
          <w:szCs w:val="32"/>
          <w:highlight w:val="none"/>
          <w:lang w:val="zh-CN"/>
        </w:rPr>
      </w:pPr>
      <w:r>
        <w:rPr>
          <w:rFonts w:hint="eastAsia" w:ascii="仿宋_GB2312" w:hAnsi="宋体" w:eastAsia="仿宋_GB2312" w:cs="Times New Roman"/>
          <w:color w:val="auto"/>
          <w:sz w:val="32"/>
          <w:szCs w:val="32"/>
          <w:highlight w:val="none"/>
          <w:lang w:val="zh-CN"/>
        </w:rPr>
        <w:t>分析评价申报内容与实际相符，申报目标合理可行。</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楷体_GB2312" w:hAnsi="宋体" w:eastAsia="楷体_GB2312" w:cs="Times New Roman"/>
          <w:b/>
          <w:color w:val="000000" w:themeColor="text1"/>
          <w:sz w:val="32"/>
          <w:szCs w:val="32"/>
          <w:highlight w:val="none"/>
          <w:lang w:val="zh-CN"/>
          <w14:textFill>
            <w14:solidFill>
              <w14:schemeClr w14:val="tx1"/>
            </w14:solidFill>
          </w14:textFill>
        </w:rPr>
      </w:pPr>
      <w:r>
        <w:rPr>
          <w:rFonts w:hint="eastAsia" w:ascii="楷体_GB2312" w:hAnsi="宋体" w:eastAsia="楷体_GB2312" w:cs="Times New Roman"/>
          <w:b/>
          <w:color w:val="000000" w:themeColor="text1"/>
          <w:sz w:val="32"/>
          <w:szCs w:val="32"/>
          <w:highlight w:val="none"/>
          <w:lang w:val="zh-CN"/>
          <w14:textFill>
            <w14:solidFill>
              <w14:schemeClr w14:val="tx1"/>
            </w14:solidFill>
          </w14:textFill>
        </w:rPr>
        <w:t>（三）项目自评步骤及方法。</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仿宋_GB2312" w:hAnsi="宋体" w:eastAsia="仿宋_GB2312" w:cs="Times New Roman"/>
          <w:color w:val="FF0000"/>
          <w:sz w:val="32"/>
          <w:szCs w:val="32"/>
          <w:highlight w:val="none"/>
          <w:lang w:val="zh-CN"/>
        </w:rPr>
      </w:pPr>
      <w:r>
        <w:rPr>
          <w:rFonts w:hint="eastAsia" w:ascii="仿宋_GB2312" w:hAnsi="仿宋_GB2312" w:eastAsia="仿宋_GB2312" w:cs="仿宋_GB2312"/>
          <w:sz w:val="32"/>
          <w:szCs w:val="32"/>
          <w:lang w:val="en-US" w:eastAsia="zh-CN" w:bidi="ar"/>
        </w:rPr>
        <w:t>按照《广元市朝天区财政局关于开展2022年部门、政策和项目支出绩效自评工作的通知》（广朝财发〔2022〕28号）文件要求，认真组织开展了2021年度项目支出绩效自评工作。</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黑体" w:hAnsi="宋体" w:eastAsia="黑体" w:cs="Times New Roman"/>
          <w:color w:val="auto"/>
          <w:sz w:val="32"/>
          <w:szCs w:val="32"/>
          <w:highlight w:val="none"/>
        </w:rPr>
      </w:pPr>
      <w:r>
        <w:rPr>
          <w:rFonts w:hint="eastAsia" w:ascii="黑体" w:hAnsi="宋体" w:eastAsia="黑体" w:cs="Times New Roman"/>
          <w:color w:val="auto"/>
          <w:sz w:val="32"/>
          <w:szCs w:val="32"/>
          <w:highlight w:val="none"/>
        </w:rPr>
        <w:t>二、项目资金申报及使用情况</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楷体_GB2312" w:hAnsi="宋体" w:eastAsia="楷体_GB2312" w:cs="Times New Roman"/>
          <w:b/>
          <w:color w:val="auto"/>
          <w:sz w:val="32"/>
          <w:szCs w:val="32"/>
          <w:highlight w:val="none"/>
          <w:lang w:val="zh-CN"/>
        </w:rPr>
      </w:pPr>
      <w:r>
        <w:rPr>
          <w:rFonts w:hint="eastAsia" w:ascii="楷体_GB2312" w:hAnsi="宋体" w:eastAsia="楷体_GB2312" w:cs="Times New Roman"/>
          <w:b/>
          <w:color w:val="auto"/>
          <w:sz w:val="32"/>
          <w:szCs w:val="32"/>
          <w:highlight w:val="none"/>
          <w:lang w:val="zh-CN"/>
        </w:rPr>
        <w:t>（一）项目资金申报及批复情况。</w:t>
      </w:r>
    </w:p>
    <w:p>
      <w:pPr>
        <w:autoSpaceDE w:val="0"/>
        <w:spacing w:line="540" w:lineRule="exact"/>
        <w:rPr>
          <w:rFonts w:hint="eastAsia" w:ascii="仿宋_GB2312" w:hAnsi="Times New Roman" w:eastAsia="仿宋_GB2312" w:cs="Times New Roman"/>
          <w:color w:val="auto"/>
          <w:spacing w:val="-6"/>
          <w:sz w:val="32"/>
          <w:szCs w:val="32"/>
        </w:rPr>
      </w:pPr>
      <w:r>
        <w:rPr>
          <w:rFonts w:hint="eastAsia" w:ascii="仿宋_GB2312" w:hAnsi="Times New Roman" w:eastAsia="仿宋_GB2312" w:cs="Times New Roman"/>
          <w:color w:val="auto"/>
          <w:spacing w:val="-6"/>
          <w:sz w:val="32"/>
          <w:szCs w:val="32"/>
          <w:lang w:val="en-US" w:eastAsia="zh-CN"/>
        </w:rPr>
        <w:t>年初预算“六一”活动</w:t>
      </w:r>
      <w:r>
        <w:rPr>
          <w:rFonts w:hint="eastAsia" w:ascii="仿宋_GB2312" w:hAnsi="宋体" w:eastAsia="仿宋_GB2312" w:cs="Times New Roman"/>
          <w:spacing w:val="-6"/>
          <w:sz w:val="32"/>
          <w:szCs w:val="32"/>
          <w:lang w:eastAsia="zh-CN"/>
        </w:rPr>
        <w:t>费用</w:t>
      </w:r>
      <w:r>
        <w:rPr>
          <w:rFonts w:hint="eastAsia" w:ascii="仿宋_GB2312" w:hAnsi="宋体" w:eastAsia="仿宋_GB2312" w:cs="Times New Roman"/>
          <w:spacing w:val="-6"/>
          <w:sz w:val="32"/>
          <w:szCs w:val="32"/>
          <w:lang w:val="en-US" w:eastAsia="zh-CN"/>
        </w:rPr>
        <w:t>1</w:t>
      </w:r>
      <w:r>
        <w:rPr>
          <w:rFonts w:hint="eastAsia" w:ascii="仿宋_GB2312" w:hAnsi="Times New Roman" w:eastAsia="仿宋_GB2312" w:cs="Times New Roman"/>
          <w:color w:val="auto"/>
          <w:spacing w:val="-6"/>
          <w:sz w:val="32"/>
          <w:szCs w:val="32"/>
          <w:lang w:val="en-US" w:eastAsia="zh-CN"/>
        </w:rPr>
        <w:t>万元，到位1万元</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仿宋_GB2312" w:hAnsi="宋体" w:eastAsia="仿宋_GB2312" w:cs="Times New Roman"/>
          <w:color w:val="auto"/>
          <w:sz w:val="32"/>
          <w:szCs w:val="32"/>
          <w:highlight w:val="none"/>
          <w:lang w:val="zh-CN"/>
        </w:rPr>
      </w:pPr>
      <w:r>
        <w:rPr>
          <w:rFonts w:hint="eastAsia" w:ascii="楷体_GB2312" w:hAnsi="宋体" w:eastAsia="楷体_GB2312" w:cs="Times New Roman"/>
          <w:b/>
          <w:color w:val="auto"/>
          <w:sz w:val="32"/>
          <w:szCs w:val="32"/>
          <w:highlight w:val="none"/>
          <w:lang w:val="zh-CN"/>
        </w:rPr>
        <w:t>（二）资金计划、到位及使用情况（可用表格形式反映）。</w:t>
      </w:r>
    </w:p>
    <w:p>
      <w:pPr>
        <w:keepNext w:val="0"/>
        <w:keepLines w:val="0"/>
        <w:pageBreakBefore w:val="0"/>
        <w:kinsoku/>
        <w:wordWrap/>
        <w:overflowPunct/>
        <w:topLinePunct w:val="0"/>
        <w:autoSpaceDE/>
        <w:autoSpaceDN/>
        <w:bidi w:val="0"/>
        <w:adjustRightInd w:val="0"/>
        <w:snapToGrid w:val="0"/>
        <w:spacing w:line="600" w:lineRule="exact"/>
        <w:ind w:firstLine="720"/>
        <w:jc w:val="both"/>
        <w:textAlignment w:val="auto"/>
        <w:rPr>
          <w:rFonts w:ascii="仿宋_GB2312" w:hAnsi="宋体" w:eastAsia="仿宋_GB2312" w:cs="Times New Roman"/>
          <w:color w:val="auto"/>
          <w:sz w:val="32"/>
          <w:szCs w:val="32"/>
          <w:highlight w:val="none"/>
          <w:lang w:val="zh-CN"/>
        </w:rPr>
      </w:pPr>
      <w:r>
        <w:rPr>
          <w:rFonts w:hint="eastAsia" w:ascii="楷体_GB2312" w:hAnsi="宋体" w:eastAsia="楷体_GB2312" w:cs="Times New Roman"/>
          <w:color w:val="auto"/>
          <w:sz w:val="32"/>
          <w:szCs w:val="32"/>
          <w:highlight w:val="none"/>
          <w:lang w:val="zh-CN"/>
        </w:rPr>
        <w:t>1．资金计划：</w:t>
      </w:r>
      <w:r>
        <w:rPr>
          <w:rFonts w:hint="eastAsia" w:ascii="仿宋_GB2312" w:hAnsi="Times New Roman" w:eastAsia="仿宋_GB2312" w:cs="Times New Roman"/>
          <w:color w:val="auto"/>
          <w:spacing w:val="-6"/>
          <w:sz w:val="32"/>
          <w:szCs w:val="32"/>
          <w:lang w:val="en-US" w:eastAsia="zh-CN"/>
        </w:rPr>
        <w:t>年初资金计划1万元</w:t>
      </w:r>
      <w:r>
        <w:rPr>
          <w:rFonts w:hint="eastAsia" w:ascii="仿宋_GB2312" w:hAnsi="宋体" w:eastAsia="仿宋_GB2312" w:cs="Times New Roman"/>
          <w:color w:val="auto"/>
          <w:sz w:val="32"/>
          <w:szCs w:val="32"/>
          <w:highlight w:val="none"/>
          <w:lang w:val="zh-CN"/>
        </w:rPr>
        <w:t>。</w:t>
      </w:r>
    </w:p>
    <w:p>
      <w:pPr>
        <w:numPr>
          <w:ilvl w:val="0"/>
          <w:numId w:val="0"/>
        </w:numPr>
        <w:autoSpaceDE w:val="0"/>
        <w:spacing w:line="540" w:lineRule="exact"/>
        <w:ind w:firstLine="960" w:firstLineChars="300"/>
        <w:jc w:val="both"/>
        <w:rPr>
          <w:rFonts w:hint="eastAsia" w:ascii="仿宋_GB2312" w:hAnsi="Times New Roman" w:eastAsia="仿宋_GB2312" w:cs="Times New Roman"/>
          <w:color w:val="auto"/>
          <w:spacing w:val="-6"/>
          <w:sz w:val="32"/>
          <w:szCs w:val="32"/>
        </w:rPr>
      </w:pPr>
      <w:r>
        <w:rPr>
          <w:rFonts w:hint="eastAsia" w:ascii="楷体_GB2312" w:hAnsi="宋体" w:eastAsia="楷体_GB2312" w:cs="Times New Roman"/>
          <w:color w:val="auto"/>
          <w:sz w:val="32"/>
          <w:szCs w:val="32"/>
          <w:highlight w:val="none"/>
          <w:lang w:val="en-US" w:eastAsia="zh-CN"/>
        </w:rPr>
        <w:t>2.</w:t>
      </w:r>
      <w:r>
        <w:rPr>
          <w:rFonts w:hint="eastAsia" w:ascii="楷体_GB2312" w:hAnsi="宋体" w:eastAsia="楷体_GB2312" w:cs="Times New Roman"/>
          <w:color w:val="auto"/>
          <w:sz w:val="32"/>
          <w:szCs w:val="32"/>
          <w:highlight w:val="none"/>
          <w:lang w:val="zh-CN"/>
        </w:rPr>
        <w:t>资金到位：</w:t>
      </w:r>
      <w:r>
        <w:rPr>
          <w:rFonts w:hint="eastAsia" w:ascii="仿宋_GB2312" w:hAnsi="Times New Roman" w:eastAsia="仿宋_GB2312" w:cs="Times New Roman"/>
          <w:color w:val="auto"/>
          <w:spacing w:val="-6"/>
          <w:sz w:val="32"/>
          <w:szCs w:val="32"/>
          <w:lang w:val="en-US" w:eastAsia="zh-CN"/>
        </w:rPr>
        <w:t>到位1万元，到位率100%。</w:t>
      </w:r>
    </w:p>
    <w:p>
      <w:pPr>
        <w:keepNext w:val="0"/>
        <w:keepLines w:val="0"/>
        <w:pageBreakBefore w:val="0"/>
        <w:kinsoku/>
        <w:wordWrap/>
        <w:overflowPunct/>
        <w:topLinePunct w:val="0"/>
        <w:autoSpaceDE/>
        <w:autoSpaceDN/>
        <w:bidi w:val="0"/>
        <w:adjustRightInd w:val="0"/>
        <w:snapToGrid w:val="0"/>
        <w:spacing w:line="600" w:lineRule="exact"/>
        <w:ind w:firstLine="720"/>
        <w:jc w:val="both"/>
        <w:textAlignment w:val="auto"/>
        <w:rPr>
          <w:rFonts w:hint="eastAsia"/>
          <w:lang w:val="zh-CN"/>
        </w:rPr>
      </w:pPr>
      <w:r>
        <w:rPr>
          <w:rFonts w:hint="eastAsia" w:ascii="楷体_GB2312" w:hAnsi="宋体" w:eastAsia="楷体_GB2312" w:cs="Times New Roman"/>
          <w:color w:val="auto"/>
          <w:sz w:val="32"/>
          <w:szCs w:val="32"/>
          <w:highlight w:val="none"/>
          <w:lang w:val="en-US" w:eastAsia="zh-CN"/>
        </w:rPr>
        <w:t>3.</w:t>
      </w:r>
      <w:r>
        <w:rPr>
          <w:rFonts w:hint="eastAsia" w:ascii="楷体_GB2312" w:hAnsi="宋体" w:eastAsia="楷体_GB2312" w:cs="Times New Roman"/>
          <w:color w:val="auto"/>
          <w:sz w:val="32"/>
          <w:szCs w:val="32"/>
          <w:highlight w:val="none"/>
          <w:lang w:val="zh-CN"/>
        </w:rPr>
        <w:t>资金使用：</w:t>
      </w:r>
      <w:r>
        <w:rPr>
          <w:rFonts w:hint="eastAsia" w:ascii="仿宋_GB2312" w:hAnsi="Times New Roman" w:eastAsia="仿宋_GB2312" w:cs="Times New Roman"/>
          <w:color w:val="auto"/>
          <w:spacing w:val="-6"/>
          <w:sz w:val="32"/>
          <w:szCs w:val="32"/>
          <w:lang w:val="en-US" w:eastAsia="zh-CN"/>
        </w:rPr>
        <w:t>年度实际支付1万元，</w:t>
      </w:r>
      <w:r>
        <w:rPr>
          <w:rFonts w:hint="eastAsia" w:ascii="仿宋_GB2312" w:hAnsi="Times New Roman" w:eastAsia="仿宋_GB2312" w:cs="Times New Roman"/>
          <w:color w:val="auto"/>
          <w:spacing w:val="-6"/>
          <w:sz w:val="32"/>
          <w:szCs w:val="32"/>
        </w:rPr>
        <w:t>支付依据合规合法，资金支付与预算相符。</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楷体_GB2312" w:hAnsi="宋体" w:eastAsia="楷体_GB2312" w:cs="Times New Roman"/>
          <w:b/>
          <w:color w:val="FF0000"/>
          <w:sz w:val="32"/>
          <w:szCs w:val="32"/>
          <w:highlight w:val="none"/>
          <w:lang w:val="zh-CN"/>
        </w:rPr>
      </w:pPr>
      <w:r>
        <w:rPr>
          <w:rFonts w:hint="eastAsia" w:ascii="楷体_GB2312" w:hAnsi="宋体" w:eastAsia="楷体_GB2312" w:cs="Times New Roman"/>
          <w:b/>
          <w:color w:val="000000" w:themeColor="text1"/>
          <w:sz w:val="32"/>
          <w:szCs w:val="32"/>
          <w:highlight w:val="none"/>
          <w:lang w:val="zh-CN"/>
          <w14:textFill>
            <w14:solidFill>
              <w14:schemeClr w14:val="tx1"/>
            </w14:solidFill>
          </w14:textFill>
        </w:rPr>
        <w:t>（三）项目财务管理情况。</w:t>
      </w:r>
    </w:p>
    <w:p>
      <w:pPr>
        <w:autoSpaceDE w:val="0"/>
        <w:spacing w:line="540" w:lineRule="exact"/>
        <w:ind w:firstLine="616" w:firstLineChars="200"/>
        <w:rPr>
          <w:rFonts w:hint="eastAsia" w:ascii="仿宋_GB2312" w:hAnsi="Times New Roman" w:eastAsia="仿宋_GB2312" w:cs="Times New Roman"/>
          <w:color w:val="auto"/>
          <w:spacing w:val="-6"/>
          <w:kern w:val="0"/>
          <w:sz w:val="32"/>
          <w:szCs w:val="32"/>
          <w:lang w:val="en-US" w:eastAsia="zh-CN" w:bidi="ar-SA"/>
        </w:rPr>
      </w:pPr>
      <w:r>
        <w:rPr>
          <w:rFonts w:hint="eastAsia" w:ascii="仿宋_GB2312" w:hAnsi="Times New Roman" w:eastAsia="仿宋_GB2312" w:cs="Times New Roman"/>
          <w:color w:val="auto"/>
          <w:spacing w:val="-6"/>
          <w:kern w:val="0"/>
          <w:sz w:val="32"/>
          <w:szCs w:val="32"/>
          <w:lang w:val="en-US" w:eastAsia="zh-CN" w:bidi="ar-SA"/>
        </w:rPr>
        <w:t>财务管理制度健全，严格执行财务管理制度，账务处理及时。会计核算规范。</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黑体" w:hAnsi="宋体" w:eastAsia="黑体" w:cs="Times New Roman"/>
          <w:color w:val="auto"/>
          <w:sz w:val="32"/>
          <w:szCs w:val="32"/>
          <w:highlight w:val="none"/>
        </w:rPr>
      </w:pPr>
      <w:r>
        <w:rPr>
          <w:rFonts w:hint="eastAsia" w:ascii="黑体" w:hAnsi="宋体" w:eastAsia="黑体" w:cs="Times New Roman"/>
          <w:color w:val="auto"/>
          <w:sz w:val="32"/>
          <w:szCs w:val="32"/>
          <w:highlight w:val="none"/>
        </w:rPr>
        <w:t>三、项目实施及管理情况</w:t>
      </w:r>
    </w:p>
    <w:p>
      <w:pPr>
        <w:autoSpaceDE w:val="0"/>
        <w:spacing w:line="540" w:lineRule="exact"/>
        <w:ind w:firstLine="616" w:firstLineChars="200"/>
        <w:rPr>
          <w:rFonts w:ascii="仿宋_GB2312" w:hAnsi="宋体" w:eastAsia="仿宋_GB2312" w:cs="Times New Roman"/>
          <w:color w:val="auto"/>
          <w:sz w:val="32"/>
          <w:szCs w:val="32"/>
          <w:highlight w:val="none"/>
          <w:lang w:val="zh-CN"/>
        </w:rPr>
      </w:pPr>
      <w:r>
        <w:rPr>
          <w:rFonts w:hint="eastAsia" w:ascii="仿宋_GB2312" w:hAnsi="Times New Roman" w:eastAsia="仿宋_GB2312" w:cs="Times New Roman"/>
          <w:color w:val="auto"/>
          <w:spacing w:val="-6"/>
          <w:sz w:val="32"/>
          <w:szCs w:val="32"/>
        </w:rPr>
        <w:t>2021年度部门项目预算</w:t>
      </w:r>
      <w:r>
        <w:rPr>
          <w:rFonts w:hint="eastAsia" w:ascii="仿宋_GB2312" w:hAnsi="Times New Roman" w:eastAsia="仿宋_GB2312" w:cs="Times New Roman"/>
          <w:color w:val="auto"/>
          <w:spacing w:val="-6"/>
          <w:sz w:val="32"/>
          <w:szCs w:val="32"/>
          <w:lang w:eastAsia="zh-CN"/>
        </w:rPr>
        <w:t>“六一”活动</w:t>
      </w:r>
      <w:r>
        <w:rPr>
          <w:rFonts w:hint="eastAsia" w:ascii="仿宋_GB2312" w:hAnsi="宋体" w:eastAsia="仿宋_GB2312" w:cs="Times New Roman"/>
          <w:spacing w:val="-6"/>
          <w:sz w:val="32"/>
          <w:szCs w:val="32"/>
        </w:rPr>
        <w:t>经</w:t>
      </w:r>
      <w:r>
        <w:rPr>
          <w:rFonts w:hint="eastAsia" w:ascii="仿宋_GB2312" w:hAnsi="宋体" w:eastAsia="仿宋_GB2312" w:cs="Times New Roman"/>
          <w:spacing w:val="-6"/>
          <w:sz w:val="32"/>
          <w:szCs w:val="32"/>
          <w:lang w:eastAsia="zh-CN"/>
        </w:rPr>
        <w:t>费</w:t>
      </w:r>
      <w:r>
        <w:rPr>
          <w:rFonts w:hint="eastAsia" w:ascii="仿宋_GB2312" w:hAnsi="Times New Roman" w:eastAsia="仿宋_GB2312" w:cs="Times New Roman"/>
          <w:color w:val="auto"/>
          <w:spacing w:val="-6"/>
          <w:sz w:val="32"/>
          <w:szCs w:val="32"/>
        </w:rPr>
        <w:t>，严格执行预算规定，符合法律法规，年初拟定用款计划，严格按照项目资金管理办法对资金进行计划申请、划拨、使用，及时、规范对收支进行账务处理和会计核算。</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仿宋_GB2312" w:hAnsi="宋体" w:eastAsia="仿宋_GB2312" w:cs="Times New Roman"/>
          <w:color w:val="auto"/>
          <w:sz w:val="32"/>
          <w:szCs w:val="32"/>
          <w:highlight w:val="none"/>
          <w:lang w:val="zh-CN"/>
        </w:rPr>
      </w:pPr>
      <w:r>
        <w:rPr>
          <w:rFonts w:hint="eastAsia" w:ascii="黑体" w:hAnsi="宋体" w:eastAsia="黑体" w:cs="Times New Roman"/>
          <w:color w:val="auto"/>
          <w:sz w:val="32"/>
          <w:szCs w:val="32"/>
          <w:highlight w:val="none"/>
        </w:rPr>
        <w:t>四、项目绩效情况</w:t>
      </w:r>
      <w:r>
        <w:rPr>
          <w:rFonts w:hint="eastAsia" w:ascii="仿宋_GB2312" w:hAnsi="宋体" w:eastAsia="仿宋_GB2312" w:cs="Times New Roman"/>
          <w:color w:val="auto"/>
          <w:sz w:val="32"/>
          <w:szCs w:val="32"/>
          <w:highlight w:val="none"/>
          <w:lang w:val="zh-CN"/>
        </w:rPr>
        <w:tab/>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eastAsia" w:ascii="楷体_GB2312" w:hAnsi="宋体" w:eastAsia="楷体_GB2312" w:cs="Times New Roman"/>
          <w:b/>
          <w:color w:val="auto"/>
          <w:sz w:val="32"/>
          <w:szCs w:val="32"/>
          <w:highlight w:val="none"/>
          <w:lang w:val="zh-CN"/>
        </w:rPr>
      </w:pPr>
      <w:r>
        <w:rPr>
          <w:rFonts w:hint="eastAsia" w:ascii="楷体_GB2312" w:hAnsi="宋体" w:eastAsia="楷体_GB2312" w:cs="Times New Roman"/>
          <w:b/>
          <w:color w:val="auto"/>
          <w:sz w:val="32"/>
          <w:szCs w:val="32"/>
          <w:highlight w:val="none"/>
          <w:lang w:val="zh-CN"/>
        </w:rPr>
        <w:t>（一）项目完成情况。</w:t>
      </w:r>
    </w:p>
    <w:p>
      <w:pPr>
        <w:autoSpaceDE w:val="0"/>
        <w:spacing w:line="540" w:lineRule="exact"/>
        <w:ind w:left="1822" w:leftChars="281" w:hanging="1232" w:hangingChars="400"/>
        <w:rPr>
          <w:rFonts w:hint="default" w:ascii="仿宋_GB2312" w:hAnsi="Times New Roman" w:eastAsia="仿宋_GB2312" w:cs="Times New Roman"/>
          <w:color w:val="auto"/>
          <w:spacing w:val="-6"/>
          <w:sz w:val="32"/>
          <w:szCs w:val="32"/>
          <w:lang w:val="en-US" w:eastAsia="zh-CN"/>
        </w:rPr>
      </w:pPr>
      <w:r>
        <w:rPr>
          <w:rFonts w:hint="eastAsia" w:ascii="仿宋_GB2312" w:hAnsi="Times New Roman" w:eastAsia="仿宋_GB2312" w:cs="Times New Roman"/>
          <w:color w:val="auto"/>
          <w:spacing w:val="-6"/>
          <w:sz w:val="32"/>
          <w:szCs w:val="32"/>
          <w:lang w:val="en-US" w:eastAsia="zh-CN"/>
        </w:rPr>
        <w:t>数量指标：本单位联合区级政府相关部门开展“六一”儿童慰问活动，活动场数：37场。</w:t>
      </w:r>
    </w:p>
    <w:p>
      <w:pPr>
        <w:autoSpaceDE w:val="0"/>
        <w:spacing w:line="540" w:lineRule="exact"/>
        <w:ind w:firstLine="616" w:firstLineChars="200"/>
        <w:rPr>
          <w:rFonts w:hint="eastAsia" w:ascii="仿宋_GB2312" w:hAnsi="Times New Roman" w:eastAsia="仿宋_GB2312" w:cs="Times New Roman"/>
          <w:color w:val="auto"/>
          <w:spacing w:val="-6"/>
          <w:sz w:val="32"/>
          <w:szCs w:val="32"/>
          <w:lang w:val="en-US" w:eastAsia="zh-CN"/>
        </w:rPr>
      </w:pPr>
      <w:r>
        <w:rPr>
          <w:rFonts w:hint="eastAsia" w:ascii="仿宋_GB2312" w:hAnsi="Times New Roman" w:eastAsia="仿宋_GB2312" w:cs="Times New Roman"/>
          <w:color w:val="auto"/>
          <w:spacing w:val="-6"/>
          <w:sz w:val="32"/>
          <w:szCs w:val="32"/>
          <w:lang w:val="en-US" w:eastAsia="zh-CN"/>
        </w:rPr>
        <w:t>质量指标：高标准完成各项任务。</w:t>
      </w:r>
    </w:p>
    <w:p>
      <w:pPr>
        <w:autoSpaceDE w:val="0"/>
        <w:spacing w:line="540" w:lineRule="exact"/>
        <w:ind w:firstLine="616" w:firstLineChars="200"/>
        <w:rPr>
          <w:rFonts w:hint="eastAsia" w:ascii="仿宋_GB2312" w:hAnsi="Times New Roman" w:eastAsia="仿宋_GB2312" w:cs="Times New Roman"/>
          <w:color w:val="auto"/>
          <w:spacing w:val="-6"/>
          <w:sz w:val="32"/>
          <w:szCs w:val="32"/>
          <w:lang w:val="en-US" w:eastAsia="zh-CN"/>
        </w:rPr>
      </w:pPr>
      <w:r>
        <w:rPr>
          <w:rFonts w:hint="eastAsia" w:ascii="仿宋_GB2312" w:hAnsi="Times New Roman" w:eastAsia="仿宋_GB2312" w:cs="Times New Roman"/>
          <w:color w:val="auto"/>
          <w:spacing w:val="-6"/>
          <w:sz w:val="32"/>
          <w:szCs w:val="32"/>
          <w:lang w:val="en-US" w:eastAsia="zh-CN"/>
        </w:rPr>
        <w:t>时效指标：完成时间2021年。</w:t>
      </w:r>
    </w:p>
    <w:p>
      <w:pPr>
        <w:pStyle w:val="2"/>
        <w:ind w:firstLine="616" w:firstLineChars="200"/>
        <w:rPr>
          <w:lang w:val="zh-CN"/>
        </w:rPr>
      </w:pPr>
      <w:r>
        <w:rPr>
          <w:rFonts w:hint="eastAsia" w:ascii="仿宋_GB2312" w:hAnsi="Times New Roman" w:eastAsia="仿宋_GB2312" w:cs="Times New Roman"/>
          <w:color w:val="auto"/>
          <w:spacing w:val="-6"/>
          <w:sz w:val="32"/>
          <w:szCs w:val="32"/>
          <w:lang w:val="en-US" w:eastAsia="zh-CN"/>
        </w:rPr>
        <w:t>成本指标：1万元。</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楷体_GB2312" w:hAnsi="宋体" w:eastAsia="楷体_GB2312" w:cs="Times New Roman"/>
          <w:b/>
          <w:color w:val="auto"/>
          <w:sz w:val="32"/>
          <w:szCs w:val="32"/>
          <w:highlight w:val="none"/>
          <w:lang w:val="zh-CN"/>
        </w:rPr>
      </w:pPr>
      <w:r>
        <w:rPr>
          <w:rFonts w:hint="eastAsia" w:ascii="楷体_GB2312" w:hAnsi="宋体" w:eastAsia="楷体_GB2312" w:cs="Times New Roman"/>
          <w:b/>
          <w:color w:val="auto"/>
          <w:sz w:val="32"/>
          <w:szCs w:val="32"/>
          <w:highlight w:val="none"/>
          <w:lang w:val="zh-CN"/>
        </w:rPr>
        <w:t>（二）项目效益情况。</w:t>
      </w:r>
    </w:p>
    <w:p>
      <w:pPr>
        <w:autoSpaceDE w:val="0"/>
        <w:spacing w:line="540" w:lineRule="exact"/>
        <w:ind w:firstLine="616" w:firstLineChars="200"/>
        <w:rPr>
          <w:rFonts w:hint="eastAsia" w:ascii="仿宋_GB2312" w:hAnsi="Times New Roman" w:eastAsia="仿宋_GB2312" w:cs="Times New Roman"/>
          <w:color w:val="auto"/>
          <w:spacing w:val="-6"/>
          <w:sz w:val="32"/>
          <w:szCs w:val="32"/>
          <w:lang w:val="en-US" w:eastAsia="zh-CN"/>
        </w:rPr>
      </w:pPr>
      <w:r>
        <w:rPr>
          <w:rFonts w:hint="eastAsia" w:ascii="仿宋_GB2312" w:hAnsi="Times New Roman" w:eastAsia="仿宋_GB2312" w:cs="Times New Roman"/>
          <w:color w:val="auto"/>
          <w:spacing w:val="-6"/>
          <w:sz w:val="32"/>
          <w:szCs w:val="32"/>
          <w:lang w:val="en-US" w:eastAsia="zh-CN"/>
        </w:rPr>
        <w:t>经济效益：无。</w:t>
      </w:r>
    </w:p>
    <w:p>
      <w:pPr>
        <w:autoSpaceDE w:val="0"/>
        <w:spacing w:line="540" w:lineRule="exact"/>
        <w:ind w:firstLine="616" w:firstLineChars="200"/>
        <w:rPr>
          <w:rFonts w:hint="eastAsia" w:ascii="仿宋_GB2312" w:hAnsi="Times New Roman" w:eastAsia="仿宋_GB2312" w:cs="Times New Roman"/>
          <w:spacing w:val="-6"/>
          <w:sz w:val="32"/>
          <w:szCs w:val="32"/>
          <w:lang w:eastAsia="zh-CN"/>
        </w:rPr>
      </w:pPr>
      <w:r>
        <w:rPr>
          <w:rFonts w:hint="eastAsia" w:ascii="仿宋_GB2312" w:hAnsi="Times New Roman" w:eastAsia="仿宋_GB2312" w:cs="Times New Roman"/>
          <w:spacing w:val="-6"/>
          <w:sz w:val="32"/>
          <w:szCs w:val="32"/>
          <w:lang w:eastAsia="zh-CN"/>
        </w:rPr>
        <w:t>社会效益：确保全区儿童在和谐健康的环境中成长。</w:t>
      </w:r>
    </w:p>
    <w:p>
      <w:pPr>
        <w:autoSpaceDE w:val="0"/>
        <w:spacing w:line="540" w:lineRule="exact"/>
        <w:ind w:firstLine="616" w:firstLineChars="200"/>
        <w:rPr>
          <w:rFonts w:hint="eastAsia" w:ascii="仿宋_GB2312" w:hAnsi="Times New Roman" w:eastAsia="仿宋_GB2312" w:cs="Times New Roman"/>
          <w:color w:val="auto"/>
          <w:spacing w:val="-6"/>
          <w:sz w:val="32"/>
          <w:szCs w:val="32"/>
          <w:lang w:val="en-US" w:eastAsia="zh-CN"/>
        </w:rPr>
      </w:pPr>
      <w:r>
        <w:rPr>
          <w:rFonts w:hint="eastAsia" w:ascii="仿宋_GB2312" w:hAnsi="Times New Roman" w:eastAsia="仿宋_GB2312" w:cs="Times New Roman"/>
          <w:spacing w:val="-6"/>
          <w:sz w:val="32"/>
          <w:szCs w:val="32"/>
        </w:rPr>
        <w:t>生态效益</w:t>
      </w:r>
      <w:r>
        <w:rPr>
          <w:rFonts w:hint="eastAsia" w:ascii="仿宋_GB2312" w:hAnsi="Times New Roman" w:eastAsia="仿宋_GB2312" w:cs="Times New Roman"/>
          <w:color w:val="auto"/>
          <w:spacing w:val="-6"/>
          <w:sz w:val="32"/>
          <w:szCs w:val="32"/>
          <w:lang w:val="en-US" w:eastAsia="zh-CN"/>
        </w:rPr>
        <w:t>：无。</w:t>
      </w:r>
    </w:p>
    <w:p>
      <w:pPr>
        <w:autoSpaceDE w:val="0"/>
        <w:spacing w:line="540" w:lineRule="exact"/>
        <w:ind w:firstLine="616" w:firstLineChars="200"/>
        <w:rPr>
          <w:rFonts w:hint="eastAsia" w:ascii="仿宋_GB2312" w:hAnsi="Times New Roman" w:eastAsia="仿宋_GB2312" w:cs="Times New Roman"/>
          <w:color w:val="auto"/>
          <w:spacing w:val="-6"/>
          <w:sz w:val="32"/>
          <w:szCs w:val="32"/>
          <w:lang w:val="en-US" w:eastAsia="zh-CN"/>
        </w:rPr>
      </w:pPr>
      <w:r>
        <w:rPr>
          <w:rFonts w:hint="eastAsia" w:ascii="仿宋_GB2312" w:hAnsi="Times New Roman" w:eastAsia="仿宋_GB2312" w:cs="Times New Roman"/>
          <w:color w:val="auto"/>
          <w:spacing w:val="-6"/>
          <w:sz w:val="32"/>
          <w:szCs w:val="32"/>
          <w:lang w:val="en-US" w:eastAsia="zh-CN"/>
        </w:rPr>
        <w:t>可持续影响指标：满足儿童成长需要，使儿童在健康和谐的环境中成长。</w:t>
      </w:r>
    </w:p>
    <w:p>
      <w:pPr>
        <w:keepNext w:val="0"/>
        <w:keepLines w:val="0"/>
        <w:pageBreakBefore w:val="0"/>
        <w:kinsoku/>
        <w:wordWrap/>
        <w:overflowPunct/>
        <w:topLinePunct w:val="0"/>
        <w:autoSpaceDE/>
        <w:autoSpaceDN/>
        <w:bidi w:val="0"/>
        <w:adjustRightInd w:val="0"/>
        <w:snapToGrid w:val="0"/>
        <w:spacing w:line="600" w:lineRule="exact"/>
        <w:ind w:firstLine="616" w:firstLineChars="200"/>
        <w:textAlignment w:val="auto"/>
        <w:rPr>
          <w:rFonts w:hint="eastAsia" w:ascii="仿宋_GB2312" w:hAnsi="Times New Roman" w:eastAsia="仿宋_GB2312" w:cs="Times New Roman"/>
          <w:color w:val="auto"/>
          <w:spacing w:val="-6"/>
          <w:sz w:val="32"/>
          <w:szCs w:val="32"/>
          <w:lang w:val="en-US" w:eastAsia="zh-CN"/>
        </w:rPr>
      </w:pPr>
      <w:r>
        <w:rPr>
          <w:rFonts w:hint="eastAsia" w:ascii="仿宋_GB2312" w:hAnsi="Times New Roman" w:eastAsia="仿宋_GB2312" w:cs="Times New Roman"/>
          <w:color w:val="auto"/>
          <w:spacing w:val="-6"/>
          <w:sz w:val="32"/>
          <w:szCs w:val="32"/>
          <w:lang w:val="en-US" w:eastAsia="zh-CN"/>
        </w:rPr>
        <w:t>满意度指标：满意度达95%以上。</w:t>
      </w:r>
    </w:p>
    <w:p>
      <w:pPr>
        <w:keepNext w:val="0"/>
        <w:keepLines w:val="0"/>
        <w:pageBreakBefore w:val="0"/>
        <w:kinsoku/>
        <w:wordWrap/>
        <w:overflowPunct/>
        <w:topLinePunct w:val="0"/>
        <w:autoSpaceDE/>
        <w:autoSpaceDN/>
        <w:bidi w:val="0"/>
        <w:adjustRightInd w:val="0"/>
        <w:snapToGrid w:val="0"/>
        <w:spacing w:line="600" w:lineRule="exact"/>
        <w:textAlignment w:val="auto"/>
        <w:rPr>
          <w:rFonts w:ascii="黑体" w:hAnsi="宋体" w:eastAsia="黑体" w:cs="Times New Roman"/>
          <w:color w:val="auto"/>
          <w:sz w:val="32"/>
          <w:szCs w:val="32"/>
          <w:highlight w:val="none"/>
        </w:rPr>
      </w:pPr>
      <w:r>
        <w:rPr>
          <w:rFonts w:hint="eastAsia" w:ascii="黑体" w:hAnsi="宋体" w:eastAsia="黑体" w:cs="Times New Roman"/>
          <w:color w:val="auto"/>
          <w:sz w:val="32"/>
          <w:szCs w:val="32"/>
          <w:highlight w:val="none"/>
        </w:rPr>
        <w:t>五、评价结论及建议</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楷体_GB2312" w:hAnsi="宋体" w:eastAsia="楷体_GB2312" w:cs="Times New Roman"/>
          <w:b/>
          <w:color w:val="auto"/>
          <w:sz w:val="32"/>
          <w:szCs w:val="32"/>
          <w:highlight w:val="none"/>
          <w:lang w:val="zh-CN"/>
        </w:rPr>
      </w:pPr>
      <w:r>
        <w:rPr>
          <w:rFonts w:hint="eastAsia" w:ascii="楷体_GB2312" w:hAnsi="宋体" w:eastAsia="楷体_GB2312" w:cs="Times New Roman"/>
          <w:b/>
          <w:color w:val="auto"/>
          <w:sz w:val="32"/>
          <w:szCs w:val="32"/>
          <w:highlight w:val="none"/>
          <w:lang w:val="zh-CN"/>
        </w:rPr>
        <w:t>（一）评价结论。</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ascii="仿宋_GB2312" w:hAnsi="宋体" w:eastAsia="仿宋_GB2312" w:cs="Times New Roman"/>
          <w:color w:val="auto"/>
          <w:sz w:val="32"/>
          <w:szCs w:val="32"/>
          <w:highlight w:val="none"/>
          <w:bdr w:val="single" w:color="auto" w:sz="4" w:space="0"/>
          <w:lang w:val="zh-CN"/>
        </w:rPr>
      </w:pPr>
      <w:r>
        <w:rPr>
          <w:rFonts w:hint="eastAsia" w:ascii="仿宋_GB2312" w:hAnsi="宋体" w:eastAsia="仿宋_GB2312" w:cs="Times New Roman"/>
          <w:color w:val="auto"/>
          <w:sz w:val="32"/>
          <w:szCs w:val="32"/>
          <w:highlight w:val="none"/>
          <w:lang w:val="zh-CN"/>
        </w:rPr>
        <w:t>通过对单位</w:t>
      </w:r>
      <w:r>
        <w:rPr>
          <w:rFonts w:hint="eastAsia" w:ascii="仿宋_GB2312" w:hAnsi="宋体" w:eastAsia="仿宋_GB2312" w:cs="Times New Roman"/>
          <w:color w:val="auto"/>
          <w:sz w:val="32"/>
          <w:szCs w:val="32"/>
          <w:highlight w:val="none"/>
          <w:lang w:val="en-US" w:eastAsia="zh-CN"/>
        </w:rPr>
        <w:t>项目</w:t>
      </w:r>
      <w:r>
        <w:rPr>
          <w:rFonts w:hint="eastAsia" w:ascii="仿宋_GB2312" w:hAnsi="宋体" w:eastAsia="仿宋_GB2312" w:cs="Times New Roman"/>
          <w:color w:val="auto"/>
          <w:sz w:val="32"/>
          <w:szCs w:val="32"/>
          <w:highlight w:val="none"/>
          <w:lang w:val="zh-CN"/>
        </w:rPr>
        <w:t>自评评分，评价结果</w:t>
      </w:r>
      <w:r>
        <w:rPr>
          <w:rFonts w:hint="eastAsia" w:ascii="仿宋_GB2312" w:hAnsi="宋体" w:eastAsia="仿宋_GB2312" w:cs="Times New Roman"/>
          <w:color w:val="auto"/>
          <w:sz w:val="32"/>
          <w:szCs w:val="32"/>
          <w:highlight w:val="none"/>
          <w:lang w:val="en-US" w:eastAsia="zh-CN"/>
        </w:rPr>
        <w:t>95</w:t>
      </w:r>
      <w:r>
        <w:rPr>
          <w:rFonts w:hint="eastAsia" w:ascii="仿宋_GB2312" w:hAnsi="宋体" w:eastAsia="仿宋_GB2312" w:cs="Times New Roman"/>
          <w:color w:val="auto"/>
          <w:sz w:val="32"/>
          <w:szCs w:val="32"/>
          <w:highlight w:val="none"/>
          <w:lang w:val="zh-CN"/>
        </w:rPr>
        <w:t>分以上。</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楷体_GB2312" w:hAnsi="宋体" w:eastAsia="楷体_GB2312" w:cs="Times New Roman"/>
          <w:b/>
          <w:color w:val="auto"/>
          <w:sz w:val="32"/>
          <w:szCs w:val="32"/>
          <w:highlight w:val="none"/>
          <w:lang w:val="zh-CN"/>
        </w:rPr>
      </w:pPr>
      <w:r>
        <w:rPr>
          <w:rFonts w:hint="eastAsia" w:ascii="楷体_GB2312" w:hAnsi="宋体" w:eastAsia="楷体_GB2312" w:cs="Times New Roman"/>
          <w:b/>
          <w:color w:val="auto"/>
          <w:sz w:val="32"/>
          <w:szCs w:val="32"/>
          <w:highlight w:val="none"/>
          <w:lang w:val="zh-CN"/>
        </w:rPr>
        <w:t>（二）存在的问题。</w:t>
      </w:r>
    </w:p>
    <w:p>
      <w:pPr>
        <w:keepNext w:val="0"/>
        <w:keepLines w:val="0"/>
        <w:pageBreakBefore w:val="0"/>
        <w:kinsoku/>
        <w:wordWrap/>
        <w:overflowPunct/>
        <w:topLinePunct w:val="0"/>
        <w:autoSpaceDE/>
        <w:autoSpaceDN/>
        <w:bidi w:val="0"/>
        <w:adjustRightInd w:val="0"/>
        <w:snapToGrid w:val="0"/>
        <w:spacing w:line="600" w:lineRule="exact"/>
        <w:ind w:firstLine="1232" w:firstLineChars="400"/>
        <w:textAlignment w:val="auto"/>
        <w:rPr>
          <w:rFonts w:hint="eastAsia" w:ascii="楷体_GB2312" w:hAnsi="Times New Roman" w:eastAsia="楷体_GB2312" w:cs="Times New Roman"/>
          <w:bCs/>
          <w:spacing w:val="-6"/>
          <w:sz w:val="32"/>
          <w:szCs w:val="32"/>
          <w:lang w:eastAsia="zh-CN"/>
        </w:rPr>
      </w:pPr>
      <w:r>
        <w:rPr>
          <w:rFonts w:hint="eastAsia" w:ascii="楷体_GB2312" w:hAnsi="Times New Roman" w:eastAsia="楷体_GB2312" w:cs="Times New Roman"/>
          <w:bCs/>
          <w:spacing w:val="-6"/>
          <w:sz w:val="32"/>
          <w:szCs w:val="32"/>
          <w:lang w:eastAsia="zh-CN"/>
        </w:rPr>
        <w:t>无</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楷体_GB2312" w:hAnsi="宋体" w:eastAsia="楷体_GB2312" w:cs="Times New Roman"/>
          <w:b/>
          <w:color w:val="auto"/>
          <w:sz w:val="32"/>
          <w:szCs w:val="32"/>
          <w:highlight w:val="none"/>
          <w:lang w:val="zh-CN"/>
        </w:rPr>
      </w:pPr>
      <w:r>
        <w:rPr>
          <w:rFonts w:hint="eastAsia" w:ascii="楷体_GB2312" w:hAnsi="宋体" w:eastAsia="楷体_GB2312" w:cs="Times New Roman"/>
          <w:b/>
          <w:color w:val="auto"/>
          <w:sz w:val="32"/>
          <w:szCs w:val="32"/>
          <w:highlight w:val="none"/>
          <w:lang w:val="zh-CN"/>
        </w:rPr>
        <w:t>（三）相关建议。</w:t>
      </w:r>
    </w:p>
    <w:p>
      <w:pPr>
        <w:pStyle w:val="2"/>
        <w:rPr>
          <w:rFonts w:hint="eastAsia" w:ascii="仿宋_GB2312" w:hAnsi="Times New Roman" w:eastAsia="仿宋_GB2312" w:cs="Times New Roman"/>
          <w:color w:val="auto"/>
          <w:spacing w:val="-6"/>
          <w:sz w:val="32"/>
          <w:szCs w:val="32"/>
          <w:lang w:val="en-US" w:eastAsia="zh-CN"/>
        </w:rPr>
      </w:pPr>
      <w:r>
        <w:rPr>
          <w:rFonts w:hint="eastAsia" w:ascii="仿宋_GB2312" w:hAnsi="Times New Roman" w:eastAsia="仿宋_GB2312" w:cs="Times New Roman"/>
          <w:color w:val="auto"/>
          <w:spacing w:val="-6"/>
          <w:sz w:val="32"/>
          <w:szCs w:val="32"/>
          <w:lang w:val="en-US" w:eastAsia="zh-CN"/>
        </w:rPr>
        <w:t>后续将</w:t>
      </w:r>
      <w:r>
        <w:rPr>
          <w:rFonts w:hint="eastAsia" w:ascii="仿宋_GB2312" w:hAnsi="Times New Roman" w:eastAsia="仿宋_GB2312" w:cs="Times New Roman"/>
          <w:color w:val="auto"/>
          <w:spacing w:val="-6"/>
          <w:sz w:val="32"/>
          <w:szCs w:val="32"/>
        </w:rPr>
        <w:t>按照财政项目支出绩效管理的要求，</w:t>
      </w:r>
      <w:r>
        <w:rPr>
          <w:rFonts w:hint="eastAsia" w:ascii="仿宋_GB2312" w:hAnsi="Times New Roman" w:eastAsia="仿宋_GB2312" w:cs="Times New Roman"/>
          <w:color w:val="auto"/>
          <w:spacing w:val="-6"/>
          <w:sz w:val="32"/>
          <w:szCs w:val="32"/>
          <w:lang w:eastAsia="zh-CN"/>
        </w:rPr>
        <w:t>继续开展</w:t>
      </w:r>
      <w:r>
        <w:rPr>
          <w:rFonts w:hint="eastAsia" w:ascii="仿宋_GB2312" w:hAnsi="Times New Roman" w:eastAsia="仿宋_GB2312" w:cs="Times New Roman"/>
          <w:color w:val="auto"/>
          <w:spacing w:val="-6"/>
          <w:sz w:val="32"/>
          <w:szCs w:val="32"/>
          <w:lang w:val="en-US" w:eastAsia="zh-CN"/>
        </w:rPr>
        <w:t>六一工作，加强预算的执行力度。</w:t>
      </w:r>
    </w:p>
    <w:p>
      <w:pPr>
        <w:pStyle w:val="2"/>
        <w:rPr>
          <w:rFonts w:hint="default"/>
          <w:lang w:val="en-US" w:eastAsia="zh-CN"/>
        </w:rPr>
      </w:pPr>
      <w:r>
        <w:rPr>
          <w:rFonts w:hint="eastAsia"/>
          <w:lang w:val="en-US" w:eastAsia="zh-CN"/>
        </w:rPr>
        <w:t>附表2</w:t>
      </w:r>
    </w:p>
    <w:p>
      <w:pPr>
        <w:widowControl/>
        <w:ind w:right="-420" w:rightChars="-200"/>
        <w:jc w:val="center"/>
        <w:textAlignment w:val="center"/>
        <w:rPr>
          <w:rFonts w:hint="eastAsia"/>
          <w:lang w:eastAsia="zh-CN"/>
        </w:rPr>
      </w:pPr>
      <w:r>
        <w:rPr>
          <w:rFonts w:hint="eastAsia" w:ascii="宋体" w:hAnsi="宋体" w:cs="宋体"/>
          <w:b/>
          <w:bCs/>
          <w:color w:val="000000"/>
          <w:kern w:val="0"/>
          <w:sz w:val="40"/>
          <w:szCs w:val="40"/>
          <w:lang w:bidi="ar"/>
        </w:rPr>
        <w:t>项目绩效目标完成情况表</w:t>
      </w:r>
    </w:p>
    <w:p>
      <w:pPr>
        <w:widowControl/>
        <w:jc w:val="center"/>
        <w:textAlignment w:val="center"/>
        <w:rPr>
          <w:rFonts w:ascii="宋体" w:hAnsi="宋体" w:cs="宋体"/>
          <w:color w:val="000000"/>
          <w:kern w:val="0"/>
          <w:sz w:val="36"/>
          <w:szCs w:val="36"/>
          <w:lang w:bidi="ar"/>
        </w:rPr>
      </w:pPr>
      <w:r>
        <w:rPr>
          <w:rFonts w:ascii="宋体" w:hAnsi="宋体" w:cs="宋体"/>
          <w:color w:val="000000"/>
          <w:kern w:val="0"/>
          <w:sz w:val="36"/>
          <w:szCs w:val="36"/>
          <w:lang w:bidi="ar"/>
        </w:rPr>
        <w:t>(202</w:t>
      </w:r>
      <w:r>
        <w:rPr>
          <w:rFonts w:hint="eastAsia" w:ascii="宋体" w:hAnsi="宋体" w:cs="宋体"/>
          <w:color w:val="000000"/>
          <w:kern w:val="0"/>
          <w:sz w:val="36"/>
          <w:szCs w:val="36"/>
          <w:lang w:val="en-US" w:eastAsia="zh-CN" w:bidi="ar"/>
        </w:rPr>
        <w:t>1</w:t>
      </w:r>
      <w:r>
        <w:rPr>
          <w:rFonts w:hint="eastAsia" w:ascii="宋体" w:hAnsi="宋体" w:cs="宋体"/>
          <w:color w:val="000000"/>
          <w:kern w:val="0"/>
          <w:sz w:val="36"/>
          <w:szCs w:val="36"/>
          <w:lang w:bidi="ar"/>
        </w:rPr>
        <w:t>年度</w:t>
      </w:r>
      <w:r>
        <w:rPr>
          <w:rFonts w:ascii="宋体" w:hAnsi="宋体" w:cs="宋体"/>
          <w:color w:val="000000"/>
          <w:kern w:val="0"/>
          <w:sz w:val="36"/>
          <w:szCs w:val="36"/>
          <w:lang w:bidi="ar"/>
        </w:rPr>
        <w:t>)</w:t>
      </w:r>
    </w:p>
    <w:tbl>
      <w:tblPr>
        <w:tblStyle w:val="12"/>
        <w:tblW w:w="6450" w:type="pct"/>
        <w:jc w:val="center"/>
        <w:tblLayout w:type="autofit"/>
        <w:tblCellMar>
          <w:top w:w="0" w:type="dxa"/>
          <w:left w:w="0" w:type="dxa"/>
          <w:bottom w:w="0" w:type="dxa"/>
          <w:right w:w="0" w:type="dxa"/>
        </w:tblCellMar>
      </w:tblPr>
      <w:tblGrid>
        <w:gridCol w:w="1334"/>
        <w:gridCol w:w="1178"/>
        <w:gridCol w:w="893"/>
        <w:gridCol w:w="2071"/>
        <w:gridCol w:w="2125"/>
        <w:gridCol w:w="3532"/>
      </w:tblGrid>
      <w:tr>
        <w:tblPrEx>
          <w:tblCellMar>
            <w:top w:w="0" w:type="dxa"/>
            <w:left w:w="0" w:type="dxa"/>
            <w:bottom w:w="0" w:type="dxa"/>
            <w:right w:w="0" w:type="dxa"/>
          </w:tblCellMar>
        </w:tblPrEx>
        <w:trPr>
          <w:trHeight w:val="673" w:hRule="atLeast"/>
          <w:jc w:val="center"/>
        </w:trPr>
        <w:tc>
          <w:tcPr>
            <w:tcW w:w="1529" w:type="pct"/>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宋体" w:hAnsi="宋体" w:cs="宋体"/>
                <w:color w:val="000000"/>
                <w:sz w:val="18"/>
                <w:szCs w:val="18"/>
                <w:lang w:eastAsia="zh-CN"/>
              </w:rPr>
            </w:pPr>
            <w:r>
              <w:rPr>
                <w:rFonts w:hint="eastAsia" w:ascii="宋体" w:hAnsi="宋体" w:cs="宋体"/>
                <w:color w:val="000000"/>
                <w:sz w:val="18"/>
                <w:szCs w:val="18"/>
                <w:lang w:eastAsia="zh-CN"/>
              </w:rPr>
              <w:t>项目名称</w:t>
            </w:r>
          </w:p>
        </w:tc>
        <w:tc>
          <w:tcPr>
            <w:tcW w:w="3470" w:type="pct"/>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宋体" w:hAnsi="宋体" w:cs="宋体"/>
                <w:color w:val="000000"/>
                <w:sz w:val="18"/>
                <w:szCs w:val="18"/>
                <w:lang w:eastAsia="zh-CN"/>
              </w:rPr>
            </w:pPr>
            <w:r>
              <w:rPr>
                <w:rFonts w:hint="eastAsia" w:ascii="宋体" w:hAnsi="宋体" w:cs="宋体"/>
                <w:color w:val="000000"/>
                <w:sz w:val="18"/>
                <w:szCs w:val="18"/>
                <w:lang w:eastAsia="zh-CN"/>
              </w:rPr>
              <w:t>六一儿童节活动</w:t>
            </w:r>
          </w:p>
        </w:tc>
      </w:tr>
      <w:tr>
        <w:tblPrEx>
          <w:tblCellMar>
            <w:top w:w="0" w:type="dxa"/>
            <w:left w:w="0" w:type="dxa"/>
            <w:bottom w:w="0" w:type="dxa"/>
            <w:right w:w="0" w:type="dxa"/>
          </w:tblCellMar>
        </w:tblPrEx>
        <w:trPr>
          <w:trHeight w:val="624" w:hRule="atLeast"/>
          <w:jc w:val="center"/>
        </w:trPr>
        <w:tc>
          <w:tcPr>
            <w:tcW w:w="1529" w:type="pct"/>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宋体" w:hAnsi="宋体" w:cs="宋体"/>
                <w:color w:val="000000"/>
                <w:sz w:val="18"/>
                <w:szCs w:val="18"/>
                <w:lang w:eastAsia="zh-CN"/>
              </w:rPr>
            </w:pPr>
            <w:r>
              <w:rPr>
                <w:rFonts w:hint="eastAsia" w:ascii="宋体" w:hAnsi="宋体" w:cs="宋体"/>
                <w:color w:val="000000"/>
                <w:sz w:val="18"/>
                <w:szCs w:val="18"/>
                <w:lang w:eastAsia="zh-CN"/>
              </w:rPr>
              <w:t>预算单位</w:t>
            </w:r>
          </w:p>
        </w:tc>
        <w:tc>
          <w:tcPr>
            <w:tcW w:w="3470" w:type="pct"/>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宋体" w:hAnsi="宋体" w:cs="宋体"/>
                <w:color w:val="000000"/>
                <w:sz w:val="18"/>
                <w:szCs w:val="18"/>
                <w:lang w:eastAsia="zh-CN"/>
              </w:rPr>
            </w:pPr>
            <w:r>
              <w:rPr>
                <w:rFonts w:hint="eastAsia" w:ascii="宋体" w:hAnsi="宋体" w:cs="宋体"/>
                <w:color w:val="000000"/>
                <w:sz w:val="18"/>
                <w:szCs w:val="18"/>
                <w:lang w:eastAsia="zh-CN"/>
              </w:rPr>
              <w:t>广元市朝天区妇女联合会</w:t>
            </w:r>
          </w:p>
        </w:tc>
      </w:tr>
      <w:tr>
        <w:tblPrEx>
          <w:tblCellMar>
            <w:top w:w="0" w:type="dxa"/>
            <w:left w:w="0" w:type="dxa"/>
            <w:bottom w:w="0" w:type="dxa"/>
            <w:right w:w="0" w:type="dxa"/>
          </w:tblCellMar>
        </w:tblPrEx>
        <w:trPr>
          <w:trHeight w:val="624" w:hRule="atLeast"/>
          <w:jc w:val="center"/>
        </w:trPr>
        <w:tc>
          <w:tcPr>
            <w:tcW w:w="599"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宋体" w:hAnsi="宋体" w:cs="宋体"/>
                <w:color w:val="000000"/>
                <w:sz w:val="18"/>
                <w:szCs w:val="18"/>
                <w:lang w:eastAsia="zh-CN"/>
              </w:rPr>
            </w:pPr>
            <w:r>
              <w:rPr>
                <w:rFonts w:hint="eastAsia" w:ascii="宋体" w:hAnsi="宋体" w:cs="宋体"/>
                <w:color w:val="000000"/>
                <w:sz w:val="18"/>
                <w:szCs w:val="18"/>
                <w:lang w:eastAsia="zh-CN"/>
              </w:rPr>
              <w:t>预算执行情况(万元)</w:t>
            </w:r>
          </w:p>
        </w:tc>
        <w:tc>
          <w:tcPr>
            <w:tcW w:w="930"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宋体" w:hAnsi="宋体" w:cs="宋体"/>
                <w:color w:val="000000"/>
                <w:sz w:val="18"/>
                <w:szCs w:val="18"/>
                <w:lang w:eastAsia="zh-CN"/>
              </w:rPr>
            </w:pPr>
            <w:r>
              <w:rPr>
                <w:rFonts w:hint="eastAsia" w:ascii="宋体" w:hAnsi="宋体" w:cs="宋体"/>
                <w:color w:val="000000"/>
                <w:sz w:val="18"/>
                <w:szCs w:val="18"/>
                <w:lang w:eastAsia="zh-CN"/>
              </w:rPr>
              <w:t>预算数:</w:t>
            </w:r>
          </w:p>
        </w:tc>
        <w:tc>
          <w:tcPr>
            <w:tcW w:w="930" w:type="pc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宋体" w:hAnsi="宋体" w:cs="宋体"/>
                <w:color w:val="000000"/>
                <w:sz w:val="18"/>
                <w:szCs w:val="18"/>
                <w:lang w:eastAsia="zh-CN"/>
              </w:rPr>
            </w:pPr>
            <w:r>
              <w:rPr>
                <w:rFonts w:hint="eastAsia" w:ascii="宋体" w:hAnsi="宋体" w:cs="宋体"/>
                <w:color w:val="000000"/>
                <w:sz w:val="18"/>
                <w:szCs w:val="18"/>
                <w:lang w:eastAsia="zh-CN"/>
              </w:rPr>
              <w:t>1</w:t>
            </w:r>
            <w:r>
              <w:rPr>
                <w:rFonts w:hint="eastAsia" w:ascii="宋体" w:hAnsi="宋体" w:cs="宋体"/>
                <w:color w:val="000000"/>
                <w:sz w:val="18"/>
                <w:szCs w:val="18"/>
                <w:lang w:val="en-US" w:eastAsia="zh-CN"/>
              </w:rPr>
              <w:t>万元</w:t>
            </w:r>
          </w:p>
        </w:tc>
        <w:tc>
          <w:tcPr>
            <w:tcW w:w="954" w:type="pc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宋体" w:hAnsi="宋体" w:cs="宋体"/>
                <w:color w:val="000000"/>
                <w:sz w:val="18"/>
                <w:szCs w:val="18"/>
                <w:lang w:eastAsia="zh-CN"/>
              </w:rPr>
            </w:pPr>
            <w:r>
              <w:rPr>
                <w:rFonts w:hint="eastAsia" w:ascii="宋体" w:hAnsi="宋体" w:cs="宋体"/>
                <w:color w:val="000000"/>
                <w:sz w:val="18"/>
                <w:szCs w:val="18"/>
                <w:lang w:eastAsia="zh-CN"/>
              </w:rPr>
              <w:t>执行数:</w:t>
            </w:r>
          </w:p>
        </w:tc>
        <w:tc>
          <w:tcPr>
            <w:tcW w:w="1586" w:type="pc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宋体" w:hAnsi="宋体" w:cs="宋体"/>
                <w:color w:val="000000"/>
                <w:sz w:val="18"/>
                <w:szCs w:val="18"/>
                <w:lang w:eastAsia="zh-CN"/>
              </w:rPr>
            </w:pPr>
            <w:r>
              <w:rPr>
                <w:rFonts w:hint="eastAsia" w:ascii="宋体" w:hAnsi="宋体" w:cs="宋体"/>
                <w:color w:val="000000"/>
                <w:sz w:val="18"/>
                <w:szCs w:val="18"/>
                <w:lang w:eastAsia="zh-CN"/>
              </w:rPr>
              <w:t>1</w:t>
            </w:r>
            <w:r>
              <w:rPr>
                <w:rFonts w:hint="eastAsia" w:ascii="宋体" w:hAnsi="宋体" w:cs="宋体"/>
                <w:color w:val="000000"/>
                <w:sz w:val="18"/>
                <w:szCs w:val="18"/>
                <w:lang w:val="en-US" w:eastAsia="zh-CN"/>
              </w:rPr>
              <w:t>万元</w:t>
            </w:r>
          </w:p>
        </w:tc>
      </w:tr>
      <w:tr>
        <w:tblPrEx>
          <w:tblCellMar>
            <w:top w:w="0" w:type="dxa"/>
            <w:left w:w="0" w:type="dxa"/>
            <w:bottom w:w="0" w:type="dxa"/>
            <w:right w:w="0" w:type="dxa"/>
          </w:tblCellMar>
        </w:tblPrEx>
        <w:trPr>
          <w:trHeight w:val="624" w:hRule="atLeast"/>
          <w:jc w:val="center"/>
        </w:trPr>
        <w:tc>
          <w:tcPr>
            <w:tcW w:w="599" w:type="pct"/>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8"/>
                <w:szCs w:val="18"/>
                <w:lang w:eastAsia="zh-CN"/>
              </w:rPr>
            </w:pPr>
          </w:p>
        </w:tc>
        <w:tc>
          <w:tcPr>
            <w:tcW w:w="930"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宋体" w:hAnsi="宋体" w:cs="宋体"/>
                <w:color w:val="000000"/>
                <w:sz w:val="18"/>
                <w:szCs w:val="18"/>
                <w:lang w:eastAsia="zh-CN"/>
              </w:rPr>
            </w:pPr>
            <w:r>
              <w:rPr>
                <w:rFonts w:hint="eastAsia" w:ascii="宋体" w:hAnsi="宋体" w:cs="宋体"/>
                <w:color w:val="000000"/>
                <w:sz w:val="18"/>
                <w:szCs w:val="18"/>
                <w:lang w:eastAsia="zh-CN"/>
              </w:rPr>
              <w:t>其中-财政拨款:</w:t>
            </w:r>
          </w:p>
        </w:tc>
        <w:tc>
          <w:tcPr>
            <w:tcW w:w="930" w:type="pc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宋体" w:hAnsi="宋体" w:cs="宋体"/>
                <w:color w:val="000000"/>
                <w:sz w:val="18"/>
                <w:szCs w:val="18"/>
                <w:lang w:eastAsia="zh-CN"/>
              </w:rPr>
            </w:pPr>
            <w:r>
              <w:rPr>
                <w:rFonts w:hint="eastAsia" w:ascii="宋体" w:hAnsi="宋体" w:cs="宋体"/>
                <w:color w:val="000000"/>
                <w:sz w:val="18"/>
                <w:szCs w:val="18"/>
                <w:lang w:eastAsia="zh-CN"/>
              </w:rPr>
              <w:t>1</w:t>
            </w:r>
            <w:r>
              <w:rPr>
                <w:rFonts w:hint="eastAsia" w:ascii="宋体" w:hAnsi="宋体" w:cs="宋体"/>
                <w:color w:val="000000"/>
                <w:sz w:val="18"/>
                <w:szCs w:val="18"/>
                <w:lang w:val="en-US" w:eastAsia="zh-CN"/>
              </w:rPr>
              <w:t>万元</w:t>
            </w:r>
          </w:p>
        </w:tc>
        <w:tc>
          <w:tcPr>
            <w:tcW w:w="954" w:type="pc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宋体" w:hAnsi="宋体" w:cs="宋体"/>
                <w:color w:val="000000"/>
                <w:sz w:val="18"/>
                <w:szCs w:val="18"/>
                <w:lang w:eastAsia="zh-CN"/>
              </w:rPr>
            </w:pPr>
            <w:r>
              <w:rPr>
                <w:rFonts w:hint="eastAsia" w:ascii="宋体" w:hAnsi="宋体" w:cs="宋体"/>
                <w:color w:val="000000"/>
                <w:sz w:val="18"/>
                <w:szCs w:val="18"/>
                <w:lang w:eastAsia="zh-CN"/>
              </w:rPr>
              <w:t>其中-财政拨款:</w:t>
            </w:r>
          </w:p>
        </w:tc>
        <w:tc>
          <w:tcPr>
            <w:tcW w:w="1586" w:type="pc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宋体" w:hAnsi="宋体" w:cs="宋体"/>
                <w:color w:val="000000"/>
                <w:sz w:val="18"/>
                <w:szCs w:val="18"/>
                <w:lang w:eastAsia="zh-CN"/>
              </w:rPr>
            </w:pPr>
            <w:r>
              <w:rPr>
                <w:rFonts w:hint="eastAsia" w:ascii="宋体" w:hAnsi="宋体" w:cs="宋体"/>
                <w:color w:val="000000"/>
                <w:sz w:val="18"/>
                <w:szCs w:val="18"/>
                <w:lang w:eastAsia="zh-CN"/>
              </w:rPr>
              <w:t>1</w:t>
            </w:r>
            <w:r>
              <w:rPr>
                <w:rFonts w:hint="eastAsia" w:ascii="宋体" w:hAnsi="宋体" w:cs="宋体"/>
                <w:color w:val="000000"/>
                <w:sz w:val="18"/>
                <w:szCs w:val="18"/>
                <w:lang w:val="en-US" w:eastAsia="zh-CN"/>
              </w:rPr>
              <w:t>万元</w:t>
            </w:r>
          </w:p>
        </w:tc>
      </w:tr>
      <w:tr>
        <w:tblPrEx>
          <w:tblCellMar>
            <w:top w:w="0" w:type="dxa"/>
            <w:left w:w="0" w:type="dxa"/>
            <w:bottom w:w="0" w:type="dxa"/>
            <w:right w:w="0" w:type="dxa"/>
          </w:tblCellMar>
        </w:tblPrEx>
        <w:trPr>
          <w:trHeight w:val="624" w:hRule="atLeast"/>
          <w:jc w:val="center"/>
        </w:trPr>
        <w:tc>
          <w:tcPr>
            <w:tcW w:w="599" w:type="pct"/>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8"/>
                <w:szCs w:val="18"/>
                <w:lang w:eastAsia="zh-CN"/>
              </w:rPr>
            </w:pPr>
          </w:p>
        </w:tc>
        <w:tc>
          <w:tcPr>
            <w:tcW w:w="930"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宋体" w:hAnsi="宋体" w:cs="宋体"/>
                <w:color w:val="000000"/>
                <w:sz w:val="18"/>
                <w:szCs w:val="18"/>
                <w:lang w:eastAsia="zh-CN"/>
              </w:rPr>
            </w:pPr>
            <w:r>
              <w:rPr>
                <w:rFonts w:hint="eastAsia" w:ascii="宋体" w:hAnsi="宋体" w:cs="宋体"/>
                <w:color w:val="000000"/>
                <w:sz w:val="18"/>
                <w:szCs w:val="18"/>
                <w:lang w:eastAsia="zh-CN"/>
              </w:rPr>
              <w:t>其它资金:</w:t>
            </w:r>
          </w:p>
        </w:tc>
        <w:tc>
          <w:tcPr>
            <w:tcW w:w="930" w:type="pc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宋体" w:hAnsi="宋体" w:cs="宋体"/>
                <w:color w:val="000000"/>
                <w:sz w:val="18"/>
                <w:szCs w:val="18"/>
                <w:lang w:eastAsia="zh-CN"/>
              </w:rPr>
            </w:pPr>
            <w:r>
              <w:rPr>
                <w:rFonts w:hint="eastAsia" w:ascii="宋体" w:hAnsi="宋体" w:cs="宋体"/>
                <w:color w:val="000000"/>
                <w:sz w:val="18"/>
                <w:szCs w:val="18"/>
                <w:lang w:eastAsia="zh-CN"/>
              </w:rPr>
              <w:t>0</w:t>
            </w:r>
          </w:p>
        </w:tc>
        <w:tc>
          <w:tcPr>
            <w:tcW w:w="954" w:type="pc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宋体" w:hAnsi="宋体" w:cs="宋体"/>
                <w:color w:val="000000"/>
                <w:sz w:val="18"/>
                <w:szCs w:val="18"/>
                <w:lang w:eastAsia="zh-CN"/>
              </w:rPr>
            </w:pPr>
            <w:r>
              <w:rPr>
                <w:rFonts w:hint="eastAsia" w:ascii="宋体" w:hAnsi="宋体" w:cs="宋体"/>
                <w:color w:val="000000"/>
                <w:sz w:val="18"/>
                <w:szCs w:val="18"/>
                <w:lang w:eastAsia="zh-CN"/>
              </w:rPr>
              <w:t>其它资金:</w:t>
            </w:r>
          </w:p>
        </w:tc>
        <w:tc>
          <w:tcPr>
            <w:tcW w:w="1586" w:type="pc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宋体" w:hAnsi="宋体" w:cs="宋体"/>
                <w:color w:val="000000"/>
                <w:sz w:val="18"/>
                <w:szCs w:val="18"/>
                <w:lang w:eastAsia="zh-CN"/>
              </w:rPr>
            </w:pPr>
            <w:r>
              <w:rPr>
                <w:rFonts w:hint="eastAsia" w:ascii="宋体" w:hAnsi="宋体" w:cs="宋体"/>
                <w:color w:val="000000"/>
                <w:sz w:val="18"/>
                <w:szCs w:val="18"/>
                <w:lang w:eastAsia="zh-CN"/>
              </w:rPr>
              <w:t>0</w:t>
            </w:r>
          </w:p>
        </w:tc>
      </w:tr>
      <w:tr>
        <w:tblPrEx>
          <w:tblCellMar>
            <w:top w:w="0" w:type="dxa"/>
            <w:left w:w="0" w:type="dxa"/>
            <w:bottom w:w="0" w:type="dxa"/>
            <w:right w:w="0" w:type="dxa"/>
          </w:tblCellMar>
        </w:tblPrEx>
        <w:trPr>
          <w:trHeight w:val="624" w:hRule="atLeast"/>
          <w:jc w:val="center"/>
        </w:trPr>
        <w:tc>
          <w:tcPr>
            <w:tcW w:w="599"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宋体" w:hAnsi="宋体" w:cs="宋体"/>
                <w:color w:val="000000"/>
                <w:sz w:val="18"/>
                <w:szCs w:val="18"/>
                <w:lang w:eastAsia="zh-CN"/>
              </w:rPr>
            </w:pPr>
            <w:r>
              <w:rPr>
                <w:rFonts w:hint="eastAsia" w:ascii="宋体" w:hAnsi="宋体" w:cs="宋体"/>
                <w:color w:val="000000"/>
                <w:sz w:val="18"/>
                <w:szCs w:val="18"/>
                <w:lang w:eastAsia="zh-CN"/>
              </w:rPr>
              <w:t>年度目标完成情况</w:t>
            </w:r>
          </w:p>
        </w:tc>
        <w:tc>
          <w:tcPr>
            <w:tcW w:w="1860" w:type="pct"/>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宋体" w:hAnsi="宋体" w:cs="宋体"/>
                <w:color w:val="000000"/>
                <w:sz w:val="18"/>
                <w:szCs w:val="18"/>
                <w:lang w:eastAsia="zh-CN"/>
              </w:rPr>
            </w:pPr>
            <w:r>
              <w:rPr>
                <w:rFonts w:hint="eastAsia" w:ascii="宋体" w:hAnsi="宋体" w:cs="宋体"/>
                <w:color w:val="000000"/>
                <w:sz w:val="18"/>
                <w:szCs w:val="18"/>
                <w:lang w:eastAsia="zh-CN"/>
              </w:rPr>
              <w:t>预期目标</w:t>
            </w:r>
          </w:p>
        </w:tc>
        <w:tc>
          <w:tcPr>
            <w:tcW w:w="2540"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宋体" w:hAnsi="宋体" w:cs="宋体"/>
                <w:color w:val="000000"/>
                <w:sz w:val="18"/>
                <w:szCs w:val="18"/>
                <w:lang w:eastAsia="zh-CN"/>
              </w:rPr>
            </w:pPr>
            <w:r>
              <w:rPr>
                <w:rFonts w:hint="eastAsia" w:ascii="宋体" w:hAnsi="宋体" w:cs="宋体"/>
                <w:color w:val="000000"/>
                <w:sz w:val="18"/>
                <w:szCs w:val="18"/>
                <w:lang w:eastAsia="zh-CN"/>
              </w:rPr>
              <w:t>实际完成目标</w:t>
            </w:r>
          </w:p>
        </w:tc>
      </w:tr>
      <w:tr>
        <w:tblPrEx>
          <w:tblCellMar>
            <w:top w:w="0" w:type="dxa"/>
            <w:left w:w="0" w:type="dxa"/>
            <w:bottom w:w="0" w:type="dxa"/>
            <w:right w:w="0" w:type="dxa"/>
          </w:tblCellMar>
        </w:tblPrEx>
        <w:trPr>
          <w:trHeight w:val="624" w:hRule="atLeast"/>
          <w:jc w:val="center"/>
        </w:trPr>
        <w:tc>
          <w:tcPr>
            <w:tcW w:w="599" w:type="pct"/>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8"/>
                <w:szCs w:val="18"/>
                <w:lang w:eastAsia="zh-CN"/>
              </w:rPr>
            </w:pPr>
          </w:p>
        </w:tc>
        <w:tc>
          <w:tcPr>
            <w:tcW w:w="1860" w:type="pct"/>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开展“六一”儿童全面覆盖慰问活动</w:t>
            </w:r>
          </w:p>
        </w:tc>
        <w:tc>
          <w:tcPr>
            <w:tcW w:w="2540"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宋体" w:hAnsi="宋体" w:cs="宋体"/>
                <w:color w:val="000000"/>
                <w:sz w:val="18"/>
                <w:szCs w:val="18"/>
                <w:lang w:eastAsia="zh-CN"/>
              </w:rPr>
            </w:pPr>
            <w:r>
              <w:rPr>
                <w:rFonts w:hint="eastAsia" w:ascii="宋体" w:hAnsi="宋体" w:cs="宋体"/>
                <w:color w:val="000000"/>
                <w:sz w:val="18"/>
                <w:szCs w:val="18"/>
                <w:lang w:val="en-US" w:eastAsia="zh-CN"/>
              </w:rPr>
              <w:t>开展“六一”儿童全面覆盖慰问活动</w:t>
            </w:r>
          </w:p>
        </w:tc>
      </w:tr>
      <w:tr>
        <w:tblPrEx>
          <w:tblCellMar>
            <w:top w:w="0" w:type="dxa"/>
            <w:left w:w="0" w:type="dxa"/>
            <w:bottom w:w="0" w:type="dxa"/>
            <w:right w:w="0" w:type="dxa"/>
          </w:tblCellMar>
        </w:tblPrEx>
        <w:trPr>
          <w:trHeight w:val="624" w:hRule="atLeast"/>
          <w:jc w:val="center"/>
        </w:trPr>
        <w:tc>
          <w:tcPr>
            <w:tcW w:w="599"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宋体" w:hAnsi="宋体" w:cs="宋体"/>
                <w:color w:val="000000"/>
                <w:sz w:val="18"/>
                <w:szCs w:val="18"/>
                <w:lang w:eastAsia="zh-CN"/>
              </w:rPr>
            </w:pPr>
            <w:r>
              <w:rPr>
                <w:rFonts w:hint="eastAsia" w:ascii="宋体" w:hAnsi="宋体" w:cs="宋体"/>
                <w:color w:val="000000"/>
                <w:sz w:val="18"/>
                <w:szCs w:val="18"/>
                <w:lang w:eastAsia="zh-CN"/>
              </w:rPr>
              <w:t>绩效指标完成情况</w:t>
            </w:r>
          </w:p>
        </w:tc>
        <w:tc>
          <w:tcPr>
            <w:tcW w:w="529" w:type="pc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宋体" w:hAnsi="宋体" w:cs="宋体"/>
                <w:color w:val="000000"/>
                <w:sz w:val="18"/>
                <w:szCs w:val="18"/>
                <w:lang w:eastAsia="zh-CN"/>
              </w:rPr>
            </w:pPr>
            <w:r>
              <w:rPr>
                <w:rFonts w:hint="eastAsia" w:ascii="宋体" w:hAnsi="宋体" w:cs="宋体"/>
                <w:color w:val="000000"/>
                <w:sz w:val="18"/>
                <w:szCs w:val="18"/>
                <w:lang w:eastAsia="zh-CN"/>
              </w:rPr>
              <w:t>一级指标</w:t>
            </w:r>
          </w:p>
        </w:tc>
        <w:tc>
          <w:tcPr>
            <w:tcW w:w="400" w:type="pc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宋体" w:hAnsi="宋体" w:cs="宋体"/>
                <w:color w:val="000000"/>
                <w:sz w:val="18"/>
                <w:szCs w:val="18"/>
                <w:lang w:eastAsia="zh-CN"/>
              </w:rPr>
            </w:pPr>
            <w:r>
              <w:rPr>
                <w:rFonts w:hint="eastAsia" w:ascii="宋体" w:hAnsi="宋体" w:cs="宋体"/>
                <w:color w:val="000000"/>
                <w:sz w:val="18"/>
                <w:szCs w:val="18"/>
                <w:lang w:eastAsia="zh-CN"/>
              </w:rPr>
              <w:t>二级指标</w:t>
            </w:r>
          </w:p>
        </w:tc>
        <w:tc>
          <w:tcPr>
            <w:tcW w:w="930" w:type="pc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宋体" w:hAnsi="宋体" w:cs="宋体"/>
                <w:color w:val="000000"/>
                <w:sz w:val="18"/>
                <w:szCs w:val="18"/>
                <w:lang w:eastAsia="zh-CN"/>
              </w:rPr>
            </w:pPr>
            <w:r>
              <w:rPr>
                <w:rFonts w:hint="eastAsia" w:ascii="宋体" w:hAnsi="宋体" w:cs="宋体"/>
                <w:color w:val="000000"/>
                <w:sz w:val="18"/>
                <w:szCs w:val="18"/>
                <w:lang w:eastAsia="zh-CN"/>
              </w:rPr>
              <w:t>三级指标</w:t>
            </w:r>
          </w:p>
        </w:tc>
        <w:tc>
          <w:tcPr>
            <w:tcW w:w="954" w:type="pc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宋体" w:hAnsi="宋体" w:cs="宋体"/>
                <w:color w:val="000000"/>
                <w:sz w:val="18"/>
                <w:szCs w:val="18"/>
                <w:lang w:eastAsia="zh-CN"/>
              </w:rPr>
            </w:pPr>
            <w:r>
              <w:rPr>
                <w:rFonts w:hint="eastAsia" w:ascii="宋体" w:hAnsi="宋体" w:cs="宋体"/>
                <w:color w:val="000000"/>
                <w:sz w:val="18"/>
                <w:szCs w:val="18"/>
                <w:lang w:eastAsia="zh-CN"/>
              </w:rPr>
              <w:t>预期指标值(包含数字及文字描述)</w:t>
            </w:r>
          </w:p>
        </w:tc>
        <w:tc>
          <w:tcPr>
            <w:tcW w:w="1586" w:type="pc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宋体" w:hAnsi="宋体" w:cs="宋体"/>
                <w:color w:val="000000"/>
                <w:sz w:val="18"/>
                <w:szCs w:val="18"/>
                <w:lang w:eastAsia="zh-CN"/>
              </w:rPr>
            </w:pPr>
            <w:r>
              <w:rPr>
                <w:rFonts w:hint="eastAsia" w:ascii="宋体" w:hAnsi="宋体" w:cs="宋体"/>
                <w:color w:val="000000"/>
                <w:sz w:val="18"/>
                <w:szCs w:val="18"/>
                <w:lang w:eastAsia="zh-CN"/>
              </w:rPr>
              <w:t>实际完成指标值(包含数字及文字描述)</w:t>
            </w:r>
          </w:p>
        </w:tc>
      </w:tr>
      <w:tr>
        <w:tblPrEx>
          <w:tblCellMar>
            <w:top w:w="0" w:type="dxa"/>
            <w:left w:w="0" w:type="dxa"/>
            <w:bottom w:w="0" w:type="dxa"/>
            <w:right w:w="0" w:type="dxa"/>
          </w:tblCellMar>
        </w:tblPrEx>
        <w:trPr>
          <w:trHeight w:val="624" w:hRule="atLeast"/>
          <w:jc w:val="center"/>
        </w:trPr>
        <w:tc>
          <w:tcPr>
            <w:tcW w:w="599" w:type="pct"/>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8"/>
                <w:szCs w:val="18"/>
                <w:lang w:eastAsia="zh-CN"/>
              </w:rPr>
            </w:pPr>
          </w:p>
        </w:tc>
        <w:tc>
          <w:tcPr>
            <w:tcW w:w="529" w:type="pc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宋体" w:hAnsi="宋体" w:cs="宋体"/>
                <w:color w:val="000000"/>
                <w:sz w:val="18"/>
                <w:szCs w:val="18"/>
                <w:lang w:eastAsia="zh-CN"/>
              </w:rPr>
            </w:pPr>
            <w:r>
              <w:rPr>
                <w:rFonts w:hint="eastAsia" w:ascii="宋体" w:hAnsi="宋体" w:cs="宋体"/>
                <w:color w:val="000000"/>
                <w:sz w:val="18"/>
                <w:szCs w:val="18"/>
                <w:lang w:eastAsia="zh-CN"/>
              </w:rPr>
              <w:t>项目完成指标</w:t>
            </w:r>
          </w:p>
        </w:tc>
        <w:tc>
          <w:tcPr>
            <w:tcW w:w="400" w:type="pc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宋体" w:hAnsi="宋体" w:cs="宋体"/>
                <w:color w:val="000000"/>
                <w:sz w:val="18"/>
                <w:szCs w:val="18"/>
                <w:lang w:eastAsia="zh-CN"/>
              </w:rPr>
            </w:pPr>
            <w:r>
              <w:rPr>
                <w:rFonts w:hint="eastAsia" w:ascii="宋体" w:hAnsi="宋体" w:cs="宋体"/>
                <w:color w:val="000000"/>
                <w:sz w:val="18"/>
                <w:szCs w:val="18"/>
                <w:lang w:eastAsia="zh-CN"/>
              </w:rPr>
              <w:t>数量指标</w:t>
            </w:r>
          </w:p>
        </w:tc>
        <w:tc>
          <w:tcPr>
            <w:tcW w:w="930" w:type="pc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本单位联合区级政府相关部门开展“六一”儿童全面慰问活动</w:t>
            </w:r>
          </w:p>
        </w:tc>
        <w:tc>
          <w:tcPr>
            <w:tcW w:w="954" w:type="pc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37场</w:t>
            </w:r>
          </w:p>
        </w:tc>
        <w:tc>
          <w:tcPr>
            <w:tcW w:w="1586" w:type="pc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宋体" w:hAnsi="宋体" w:cs="宋体"/>
                <w:color w:val="000000"/>
                <w:sz w:val="18"/>
                <w:szCs w:val="18"/>
                <w:lang w:eastAsia="zh-CN"/>
              </w:rPr>
            </w:pPr>
            <w:r>
              <w:rPr>
                <w:rFonts w:hint="eastAsia" w:ascii="宋体" w:hAnsi="宋体" w:cs="宋体"/>
                <w:color w:val="000000"/>
                <w:sz w:val="18"/>
                <w:szCs w:val="18"/>
                <w:lang w:val="en-US" w:eastAsia="zh-CN"/>
              </w:rPr>
              <w:t>37场</w:t>
            </w:r>
          </w:p>
        </w:tc>
      </w:tr>
      <w:tr>
        <w:tblPrEx>
          <w:tblCellMar>
            <w:top w:w="0" w:type="dxa"/>
            <w:left w:w="0" w:type="dxa"/>
            <w:bottom w:w="0" w:type="dxa"/>
            <w:right w:w="0" w:type="dxa"/>
          </w:tblCellMar>
        </w:tblPrEx>
        <w:trPr>
          <w:trHeight w:val="624" w:hRule="atLeast"/>
          <w:jc w:val="center"/>
        </w:trPr>
        <w:tc>
          <w:tcPr>
            <w:tcW w:w="599" w:type="pct"/>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8"/>
                <w:szCs w:val="18"/>
                <w:lang w:eastAsia="zh-CN"/>
              </w:rPr>
            </w:pPr>
          </w:p>
        </w:tc>
        <w:tc>
          <w:tcPr>
            <w:tcW w:w="529" w:type="pc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宋体" w:hAnsi="宋体" w:cs="宋体"/>
                <w:color w:val="000000"/>
                <w:sz w:val="18"/>
                <w:szCs w:val="18"/>
                <w:lang w:eastAsia="zh-CN"/>
              </w:rPr>
            </w:pPr>
            <w:r>
              <w:rPr>
                <w:rFonts w:hint="eastAsia" w:ascii="宋体" w:hAnsi="宋体" w:cs="宋体"/>
                <w:color w:val="000000"/>
                <w:sz w:val="18"/>
                <w:szCs w:val="18"/>
                <w:lang w:eastAsia="zh-CN"/>
              </w:rPr>
              <w:t>项目完成指标</w:t>
            </w:r>
          </w:p>
        </w:tc>
        <w:tc>
          <w:tcPr>
            <w:tcW w:w="400" w:type="pc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宋体" w:hAnsi="宋体" w:cs="宋体"/>
                <w:color w:val="000000"/>
                <w:sz w:val="18"/>
                <w:szCs w:val="18"/>
                <w:lang w:eastAsia="zh-CN"/>
              </w:rPr>
            </w:pPr>
            <w:r>
              <w:rPr>
                <w:rFonts w:hint="eastAsia" w:ascii="宋体" w:hAnsi="宋体" w:cs="宋体"/>
                <w:color w:val="000000"/>
                <w:sz w:val="18"/>
                <w:szCs w:val="18"/>
                <w:lang w:eastAsia="zh-CN"/>
              </w:rPr>
              <w:t>质量指标</w:t>
            </w:r>
          </w:p>
        </w:tc>
        <w:tc>
          <w:tcPr>
            <w:tcW w:w="930" w:type="pc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宋体" w:hAnsi="宋体" w:cs="宋体"/>
                <w:color w:val="000000"/>
                <w:sz w:val="18"/>
                <w:szCs w:val="18"/>
                <w:lang w:eastAsia="zh-CN"/>
              </w:rPr>
            </w:pPr>
            <w:r>
              <w:rPr>
                <w:rFonts w:hint="eastAsia" w:ascii="宋体" w:hAnsi="宋体" w:cs="宋体"/>
                <w:color w:val="000000"/>
                <w:sz w:val="18"/>
                <w:szCs w:val="18"/>
                <w:lang w:eastAsia="zh-CN"/>
              </w:rPr>
              <w:t>高标准完成任务</w:t>
            </w:r>
          </w:p>
        </w:tc>
        <w:tc>
          <w:tcPr>
            <w:tcW w:w="954" w:type="pc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宋体" w:hAnsi="宋体" w:cs="宋体"/>
                <w:color w:val="000000"/>
                <w:sz w:val="18"/>
                <w:szCs w:val="18"/>
                <w:lang w:eastAsia="zh-CN"/>
              </w:rPr>
            </w:pPr>
            <w:r>
              <w:rPr>
                <w:rFonts w:hint="eastAsia" w:ascii="宋体" w:hAnsi="宋体" w:cs="宋体"/>
                <w:color w:val="000000"/>
                <w:sz w:val="18"/>
                <w:szCs w:val="18"/>
                <w:lang w:eastAsia="zh-CN"/>
              </w:rPr>
              <w:t>按质量要求完成</w:t>
            </w:r>
          </w:p>
        </w:tc>
        <w:tc>
          <w:tcPr>
            <w:tcW w:w="1586" w:type="pc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default" w:ascii="宋体" w:hAnsi="宋体" w:cs="宋体"/>
                <w:color w:val="000000"/>
                <w:sz w:val="18"/>
                <w:szCs w:val="18"/>
                <w:lang w:val="en-US" w:eastAsia="zh-CN"/>
              </w:rPr>
            </w:pPr>
            <w:r>
              <w:rPr>
                <w:rFonts w:hint="eastAsia" w:ascii="宋体" w:hAnsi="宋体" w:cs="宋体"/>
                <w:color w:val="000000"/>
                <w:sz w:val="18"/>
                <w:szCs w:val="18"/>
                <w:lang w:eastAsia="zh-CN"/>
              </w:rPr>
              <w:t>按质量要求完成，</w:t>
            </w:r>
            <w:r>
              <w:rPr>
                <w:rFonts w:hint="eastAsia" w:ascii="宋体" w:hAnsi="宋体" w:cs="宋体"/>
                <w:color w:val="000000"/>
                <w:sz w:val="18"/>
                <w:szCs w:val="18"/>
                <w:lang w:val="en-US" w:eastAsia="zh-CN"/>
              </w:rPr>
              <w:t>100%</w:t>
            </w:r>
          </w:p>
        </w:tc>
      </w:tr>
      <w:tr>
        <w:tblPrEx>
          <w:tblCellMar>
            <w:top w:w="0" w:type="dxa"/>
            <w:left w:w="0" w:type="dxa"/>
            <w:bottom w:w="0" w:type="dxa"/>
            <w:right w:w="0" w:type="dxa"/>
          </w:tblCellMar>
        </w:tblPrEx>
        <w:trPr>
          <w:trHeight w:val="624" w:hRule="atLeast"/>
          <w:jc w:val="center"/>
        </w:trPr>
        <w:tc>
          <w:tcPr>
            <w:tcW w:w="599" w:type="pct"/>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8"/>
                <w:szCs w:val="18"/>
                <w:lang w:eastAsia="zh-CN"/>
              </w:rPr>
            </w:pPr>
          </w:p>
        </w:tc>
        <w:tc>
          <w:tcPr>
            <w:tcW w:w="529" w:type="pc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宋体" w:hAnsi="宋体" w:cs="宋体"/>
                <w:color w:val="000000"/>
                <w:sz w:val="18"/>
                <w:szCs w:val="18"/>
                <w:lang w:eastAsia="zh-CN"/>
              </w:rPr>
            </w:pPr>
            <w:r>
              <w:rPr>
                <w:rFonts w:hint="eastAsia" w:ascii="宋体" w:hAnsi="宋体" w:cs="宋体"/>
                <w:color w:val="000000"/>
                <w:sz w:val="18"/>
                <w:szCs w:val="18"/>
                <w:lang w:eastAsia="zh-CN"/>
              </w:rPr>
              <w:t>项目完成指标</w:t>
            </w:r>
          </w:p>
        </w:tc>
        <w:tc>
          <w:tcPr>
            <w:tcW w:w="400" w:type="pc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宋体" w:hAnsi="宋体" w:cs="宋体"/>
                <w:color w:val="000000"/>
                <w:sz w:val="18"/>
                <w:szCs w:val="18"/>
                <w:lang w:eastAsia="zh-CN"/>
              </w:rPr>
            </w:pPr>
            <w:r>
              <w:rPr>
                <w:rFonts w:hint="eastAsia" w:ascii="宋体" w:hAnsi="宋体" w:cs="宋体"/>
                <w:color w:val="000000"/>
                <w:sz w:val="18"/>
                <w:szCs w:val="18"/>
                <w:lang w:eastAsia="zh-CN"/>
              </w:rPr>
              <w:t>时效指标</w:t>
            </w:r>
          </w:p>
        </w:tc>
        <w:tc>
          <w:tcPr>
            <w:tcW w:w="930" w:type="pc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2021年度</w:t>
            </w:r>
          </w:p>
        </w:tc>
        <w:tc>
          <w:tcPr>
            <w:tcW w:w="954" w:type="pc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12个月</w:t>
            </w:r>
          </w:p>
        </w:tc>
        <w:tc>
          <w:tcPr>
            <w:tcW w:w="1586" w:type="pc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宋体" w:hAnsi="宋体" w:cs="宋体"/>
                <w:color w:val="000000"/>
                <w:sz w:val="18"/>
                <w:szCs w:val="18"/>
                <w:lang w:eastAsia="zh-CN"/>
              </w:rPr>
            </w:pPr>
            <w:r>
              <w:rPr>
                <w:rFonts w:hint="eastAsia" w:ascii="宋体" w:hAnsi="宋体" w:cs="宋体"/>
                <w:color w:val="000000"/>
                <w:sz w:val="18"/>
                <w:szCs w:val="18"/>
                <w:lang w:val="en-US" w:eastAsia="zh-CN"/>
              </w:rPr>
              <w:t>12个月</w:t>
            </w:r>
          </w:p>
        </w:tc>
      </w:tr>
      <w:tr>
        <w:tblPrEx>
          <w:tblCellMar>
            <w:top w:w="0" w:type="dxa"/>
            <w:left w:w="0" w:type="dxa"/>
            <w:bottom w:w="0" w:type="dxa"/>
            <w:right w:w="0" w:type="dxa"/>
          </w:tblCellMar>
        </w:tblPrEx>
        <w:trPr>
          <w:trHeight w:val="624" w:hRule="atLeast"/>
          <w:jc w:val="center"/>
        </w:trPr>
        <w:tc>
          <w:tcPr>
            <w:tcW w:w="599" w:type="pct"/>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8"/>
                <w:szCs w:val="18"/>
                <w:lang w:eastAsia="zh-CN"/>
              </w:rPr>
            </w:pPr>
          </w:p>
        </w:tc>
        <w:tc>
          <w:tcPr>
            <w:tcW w:w="529" w:type="pc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宋体" w:hAnsi="宋体" w:cs="宋体"/>
                <w:color w:val="000000"/>
                <w:sz w:val="18"/>
                <w:szCs w:val="18"/>
                <w:lang w:eastAsia="zh-CN"/>
              </w:rPr>
            </w:pPr>
            <w:r>
              <w:rPr>
                <w:rFonts w:hint="eastAsia" w:ascii="宋体" w:hAnsi="宋体" w:cs="宋体"/>
                <w:color w:val="000000"/>
                <w:sz w:val="18"/>
                <w:szCs w:val="18"/>
                <w:lang w:eastAsia="zh-CN"/>
              </w:rPr>
              <w:t>项目完成指标</w:t>
            </w:r>
          </w:p>
        </w:tc>
        <w:tc>
          <w:tcPr>
            <w:tcW w:w="400" w:type="pc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宋体" w:hAnsi="宋体" w:cs="宋体"/>
                <w:color w:val="000000"/>
                <w:sz w:val="18"/>
                <w:szCs w:val="18"/>
                <w:lang w:eastAsia="zh-CN"/>
              </w:rPr>
            </w:pPr>
            <w:r>
              <w:rPr>
                <w:rFonts w:hint="eastAsia" w:ascii="宋体" w:hAnsi="宋体" w:cs="宋体"/>
                <w:color w:val="000000"/>
                <w:sz w:val="18"/>
                <w:szCs w:val="18"/>
                <w:lang w:eastAsia="zh-CN"/>
              </w:rPr>
              <w:t>成本指标</w:t>
            </w:r>
          </w:p>
        </w:tc>
        <w:tc>
          <w:tcPr>
            <w:tcW w:w="930" w:type="pc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宋体" w:hAnsi="宋体" w:cs="宋体"/>
                <w:color w:val="000000"/>
                <w:sz w:val="18"/>
                <w:szCs w:val="18"/>
                <w:lang w:eastAsia="zh-CN"/>
              </w:rPr>
            </w:pPr>
            <w:r>
              <w:rPr>
                <w:rFonts w:hint="eastAsia" w:ascii="宋体" w:hAnsi="宋体" w:cs="宋体"/>
                <w:color w:val="000000"/>
                <w:sz w:val="18"/>
                <w:szCs w:val="18"/>
                <w:lang w:eastAsia="zh-CN"/>
              </w:rPr>
              <w:t>1</w:t>
            </w:r>
            <w:r>
              <w:rPr>
                <w:rFonts w:hint="eastAsia" w:ascii="宋体" w:hAnsi="宋体" w:cs="宋体"/>
                <w:color w:val="000000"/>
                <w:sz w:val="18"/>
                <w:szCs w:val="18"/>
                <w:lang w:val="en-US" w:eastAsia="zh-CN"/>
              </w:rPr>
              <w:t>万元</w:t>
            </w:r>
          </w:p>
        </w:tc>
        <w:tc>
          <w:tcPr>
            <w:tcW w:w="954" w:type="pc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宋体" w:hAnsi="宋体" w:cs="宋体"/>
                <w:color w:val="000000"/>
                <w:sz w:val="18"/>
                <w:szCs w:val="18"/>
                <w:lang w:eastAsia="zh-CN"/>
              </w:rPr>
            </w:pPr>
            <w:r>
              <w:rPr>
                <w:rFonts w:hint="eastAsia" w:ascii="宋体" w:hAnsi="宋体" w:cs="宋体"/>
                <w:color w:val="000000"/>
                <w:sz w:val="18"/>
                <w:szCs w:val="18"/>
                <w:lang w:eastAsia="zh-CN"/>
              </w:rPr>
              <w:t>1</w:t>
            </w:r>
          </w:p>
        </w:tc>
        <w:tc>
          <w:tcPr>
            <w:tcW w:w="1586" w:type="pc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宋体" w:hAnsi="宋体" w:cs="宋体"/>
                <w:color w:val="000000"/>
                <w:sz w:val="18"/>
                <w:szCs w:val="18"/>
                <w:lang w:eastAsia="zh-CN"/>
              </w:rPr>
            </w:pPr>
            <w:r>
              <w:rPr>
                <w:rFonts w:hint="eastAsia" w:ascii="宋体" w:hAnsi="宋体" w:cs="宋体"/>
                <w:color w:val="000000"/>
                <w:sz w:val="18"/>
                <w:szCs w:val="18"/>
                <w:lang w:eastAsia="zh-CN"/>
              </w:rPr>
              <w:t>1</w:t>
            </w:r>
            <w:r>
              <w:rPr>
                <w:rFonts w:hint="eastAsia" w:ascii="宋体" w:hAnsi="宋体" w:cs="宋体"/>
                <w:color w:val="000000"/>
                <w:sz w:val="18"/>
                <w:szCs w:val="18"/>
                <w:lang w:val="en-US" w:eastAsia="zh-CN"/>
              </w:rPr>
              <w:t>万元</w:t>
            </w:r>
          </w:p>
        </w:tc>
      </w:tr>
      <w:tr>
        <w:tblPrEx>
          <w:tblCellMar>
            <w:top w:w="0" w:type="dxa"/>
            <w:left w:w="0" w:type="dxa"/>
            <w:bottom w:w="0" w:type="dxa"/>
            <w:right w:w="0" w:type="dxa"/>
          </w:tblCellMar>
        </w:tblPrEx>
        <w:trPr>
          <w:trHeight w:val="624" w:hRule="atLeast"/>
          <w:jc w:val="center"/>
        </w:trPr>
        <w:tc>
          <w:tcPr>
            <w:tcW w:w="599" w:type="pct"/>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8"/>
                <w:szCs w:val="18"/>
                <w:lang w:eastAsia="zh-CN"/>
              </w:rPr>
            </w:pPr>
          </w:p>
        </w:tc>
        <w:tc>
          <w:tcPr>
            <w:tcW w:w="529" w:type="pc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宋体" w:hAnsi="宋体" w:cs="宋体"/>
                <w:color w:val="000000"/>
                <w:sz w:val="18"/>
                <w:szCs w:val="18"/>
                <w:lang w:eastAsia="zh-CN"/>
              </w:rPr>
            </w:pPr>
            <w:r>
              <w:rPr>
                <w:rFonts w:hint="eastAsia" w:ascii="宋体" w:hAnsi="宋体" w:cs="宋体"/>
                <w:color w:val="000000"/>
                <w:sz w:val="18"/>
                <w:szCs w:val="18"/>
                <w:lang w:eastAsia="zh-CN"/>
              </w:rPr>
              <w:t>效益指标</w:t>
            </w:r>
          </w:p>
        </w:tc>
        <w:tc>
          <w:tcPr>
            <w:tcW w:w="400" w:type="pc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宋体" w:hAnsi="宋体" w:cs="宋体"/>
                <w:color w:val="000000"/>
                <w:sz w:val="18"/>
                <w:szCs w:val="18"/>
                <w:lang w:eastAsia="zh-CN"/>
              </w:rPr>
            </w:pPr>
            <w:r>
              <w:rPr>
                <w:rFonts w:hint="eastAsia" w:ascii="宋体" w:hAnsi="宋体" w:cs="宋体"/>
                <w:color w:val="000000"/>
                <w:sz w:val="18"/>
                <w:szCs w:val="18"/>
                <w:lang w:eastAsia="zh-CN"/>
              </w:rPr>
              <w:t>社会效益</w:t>
            </w:r>
          </w:p>
        </w:tc>
        <w:tc>
          <w:tcPr>
            <w:tcW w:w="930" w:type="pc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宋体" w:hAnsi="宋体" w:cs="宋体"/>
                <w:color w:val="000000"/>
                <w:sz w:val="18"/>
                <w:szCs w:val="18"/>
                <w:lang w:eastAsia="zh-CN"/>
              </w:rPr>
            </w:pPr>
            <w:r>
              <w:rPr>
                <w:rFonts w:hint="eastAsia" w:ascii="宋体" w:hAnsi="宋体" w:cs="宋体"/>
                <w:color w:val="000000"/>
                <w:sz w:val="18"/>
                <w:szCs w:val="18"/>
                <w:lang w:eastAsia="zh-CN"/>
              </w:rPr>
              <w:t>满足儿童成长需要</w:t>
            </w:r>
          </w:p>
        </w:tc>
        <w:tc>
          <w:tcPr>
            <w:tcW w:w="954" w:type="pc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宋体" w:hAnsi="宋体" w:cs="宋体"/>
                <w:color w:val="000000"/>
                <w:sz w:val="18"/>
                <w:szCs w:val="18"/>
                <w:lang w:eastAsia="zh-CN"/>
              </w:rPr>
            </w:pPr>
            <w:r>
              <w:rPr>
                <w:rFonts w:hint="eastAsia" w:ascii="宋体" w:hAnsi="宋体" w:cs="宋体"/>
                <w:color w:val="000000"/>
                <w:sz w:val="18"/>
                <w:szCs w:val="18"/>
                <w:lang w:val="en-US" w:eastAsia="zh-CN"/>
              </w:rPr>
              <w:t>100%</w:t>
            </w:r>
          </w:p>
        </w:tc>
        <w:tc>
          <w:tcPr>
            <w:tcW w:w="1586" w:type="pc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宋体" w:hAnsi="宋体" w:cs="宋体"/>
                <w:color w:val="000000"/>
                <w:sz w:val="18"/>
                <w:szCs w:val="18"/>
                <w:lang w:eastAsia="zh-CN"/>
              </w:rPr>
            </w:pPr>
            <w:r>
              <w:rPr>
                <w:rFonts w:hint="eastAsia" w:ascii="宋体" w:hAnsi="宋体" w:cs="宋体"/>
                <w:color w:val="000000"/>
                <w:sz w:val="18"/>
                <w:szCs w:val="18"/>
                <w:lang w:val="en-US" w:eastAsia="zh-CN"/>
              </w:rPr>
              <w:t>100%</w:t>
            </w:r>
          </w:p>
        </w:tc>
      </w:tr>
      <w:tr>
        <w:tblPrEx>
          <w:tblCellMar>
            <w:top w:w="0" w:type="dxa"/>
            <w:left w:w="0" w:type="dxa"/>
            <w:bottom w:w="0" w:type="dxa"/>
            <w:right w:w="0" w:type="dxa"/>
          </w:tblCellMar>
        </w:tblPrEx>
        <w:trPr>
          <w:trHeight w:val="624" w:hRule="atLeast"/>
          <w:jc w:val="center"/>
        </w:trPr>
        <w:tc>
          <w:tcPr>
            <w:tcW w:w="599" w:type="pct"/>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8"/>
                <w:szCs w:val="18"/>
                <w:lang w:eastAsia="zh-CN"/>
              </w:rPr>
            </w:pPr>
          </w:p>
        </w:tc>
        <w:tc>
          <w:tcPr>
            <w:tcW w:w="529" w:type="pc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宋体" w:hAnsi="宋体" w:cs="宋体"/>
                <w:color w:val="000000"/>
                <w:sz w:val="18"/>
                <w:szCs w:val="18"/>
                <w:lang w:eastAsia="zh-CN"/>
              </w:rPr>
            </w:pPr>
            <w:r>
              <w:rPr>
                <w:rFonts w:hint="eastAsia" w:ascii="宋体" w:hAnsi="宋体" w:cs="宋体"/>
                <w:color w:val="000000"/>
                <w:sz w:val="18"/>
                <w:szCs w:val="18"/>
                <w:lang w:eastAsia="zh-CN"/>
              </w:rPr>
              <w:t>效益指标</w:t>
            </w:r>
          </w:p>
        </w:tc>
        <w:tc>
          <w:tcPr>
            <w:tcW w:w="400" w:type="pc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宋体" w:hAnsi="宋体" w:cs="宋体"/>
                <w:color w:val="000000"/>
                <w:sz w:val="18"/>
                <w:szCs w:val="18"/>
                <w:lang w:eastAsia="zh-CN"/>
              </w:rPr>
            </w:pPr>
            <w:r>
              <w:rPr>
                <w:rFonts w:hint="eastAsia" w:ascii="宋体" w:hAnsi="宋体" w:cs="宋体"/>
                <w:color w:val="000000"/>
                <w:sz w:val="18"/>
                <w:szCs w:val="18"/>
                <w:lang w:eastAsia="zh-CN"/>
              </w:rPr>
              <w:t>可持续效益</w:t>
            </w:r>
          </w:p>
        </w:tc>
        <w:tc>
          <w:tcPr>
            <w:tcW w:w="930" w:type="pc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宋体" w:hAnsi="宋体" w:cs="宋体"/>
                <w:color w:val="000000"/>
                <w:sz w:val="18"/>
                <w:szCs w:val="18"/>
                <w:lang w:eastAsia="zh-CN"/>
              </w:rPr>
            </w:pPr>
            <w:r>
              <w:rPr>
                <w:rFonts w:hint="eastAsia" w:ascii="宋体" w:hAnsi="宋体" w:cs="宋体"/>
                <w:color w:val="000000"/>
                <w:sz w:val="18"/>
                <w:szCs w:val="18"/>
                <w:lang w:eastAsia="zh-CN"/>
              </w:rPr>
              <w:t>打造“儿童之家”阵地</w:t>
            </w:r>
          </w:p>
        </w:tc>
        <w:tc>
          <w:tcPr>
            <w:tcW w:w="954" w:type="pc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宋体" w:hAnsi="宋体" w:cs="宋体"/>
                <w:color w:val="000000"/>
                <w:sz w:val="18"/>
                <w:szCs w:val="18"/>
                <w:lang w:eastAsia="zh-CN"/>
              </w:rPr>
            </w:pPr>
            <w:r>
              <w:rPr>
                <w:rFonts w:hint="eastAsia" w:ascii="宋体" w:hAnsi="宋体" w:cs="宋体"/>
                <w:color w:val="000000"/>
                <w:sz w:val="18"/>
                <w:szCs w:val="18"/>
                <w:lang w:eastAsia="zh-CN"/>
              </w:rPr>
              <w:t>使儿童在健康和谐的环境中成长</w:t>
            </w:r>
          </w:p>
        </w:tc>
        <w:tc>
          <w:tcPr>
            <w:tcW w:w="1586" w:type="pc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宋体" w:hAnsi="宋体" w:cs="宋体"/>
                <w:color w:val="000000"/>
                <w:sz w:val="18"/>
                <w:szCs w:val="18"/>
                <w:lang w:eastAsia="zh-CN"/>
              </w:rPr>
            </w:pPr>
            <w:r>
              <w:rPr>
                <w:rFonts w:hint="eastAsia" w:ascii="宋体" w:hAnsi="宋体" w:cs="宋体"/>
                <w:color w:val="000000"/>
                <w:sz w:val="18"/>
                <w:szCs w:val="18"/>
                <w:lang w:eastAsia="zh-CN"/>
              </w:rPr>
              <w:t>使儿童在健康和谐的环境中成长</w:t>
            </w:r>
          </w:p>
        </w:tc>
      </w:tr>
      <w:tr>
        <w:tblPrEx>
          <w:tblCellMar>
            <w:top w:w="0" w:type="dxa"/>
            <w:left w:w="0" w:type="dxa"/>
            <w:bottom w:w="0" w:type="dxa"/>
            <w:right w:w="0" w:type="dxa"/>
          </w:tblCellMar>
        </w:tblPrEx>
        <w:trPr>
          <w:trHeight w:val="624" w:hRule="atLeast"/>
          <w:jc w:val="center"/>
        </w:trPr>
        <w:tc>
          <w:tcPr>
            <w:tcW w:w="599" w:type="pct"/>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8"/>
                <w:szCs w:val="18"/>
                <w:lang w:eastAsia="zh-CN"/>
              </w:rPr>
            </w:pPr>
          </w:p>
        </w:tc>
        <w:tc>
          <w:tcPr>
            <w:tcW w:w="529" w:type="pc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宋体" w:hAnsi="宋体" w:cs="宋体"/>
                <w:color w:val="000000"/>
                <w:sz w:val="18"/>
                <w:szCs w:val="18"/>
                <w:lang w:eastAsia="zh-CN"/>
              </w:rPr>
            </w:pPr>
            <w:r>
              <w:rPr>
                <w:rFonts w:hint="eastAsia" w:ascii="宋体" w:hAnsi="宋体" w:cs="宋体"/>
                <w:color w:val="000000"/>
                <w:sz w:val="18"/>
                <w:szCs w:val="18"/>
                <w:lang w:eastAsia="zh-CN"/>
              </w:rPr>
              <w:t>满意度指标</w:t>
            </w:r>
          </w:p>
        </w:tc>
        <w:tc>
          <w:tcPr>
            <w:tcW w:w="400" w:type="pc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宋体" w:hAnsi="宋体" w:cs="宋体"/>
                <w:color w:val="000000"/>
                <w:sz w:val="18"/>
                <w:szCs w:val="18"/>
                <w:lang w:eastAsia="zh-CN"/>
              </w:rPr>
            </w:pPr>
            <w:r>
              <w:rPr>
                <w:rFonts w:hint="eastAsia" w:ascii="宋体" w:hAnsi="宋体" w:cs="宋体"/>
                <w:color w:val="000000"/>
                <w:sz w:val="18"/>
                <w:szCs w:val="18"/>
                <w:lang w:eastAsia="zh-CN"/>
              </w:rPr>
              <w:t>满意度指标</w:t>
            </w:r>
          </w:p>
        </w:tc>
        <w:tc>
          <w:tcPr>
            <w:tcW w:w="930" w:type="pc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宋体" w:hAnsi="宋体" w:cs="宋体"/>
                <w:color w:val="000000"/>
                <w:sz w:val="18"/>
                <w:szCs w:val="18"/>
                <w:lang w:eastAsia="zh-CN"/>
              </w:rPr>
            </w:pPr>
            <w:r>
              <w:rPr>
                <w:rFonts w:hint="eastAsia" w:ascii="宋体" w:hAnsi="宋体" w:cs="宋体"/>
                <w:color w:val="000000"/>
                <w:sz w:val="18"/>
                <w:szCs w:val="18"/>
                <w:lang w:eastAsia="zh-CN"/>
              </w:rPr>
              <w:t>98%</w:t>
            </w:r>
          </w:p>
        </w:tc>
        <w:tc>
          <w:tcPr>
            <w:tcW w:w="954" w:type="pc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宋体" w:hAnsi="宋体" w:cs="宋体"/>
                <w:color w:val="000000"/>
                <w:sz w:val="18"/>
                <w:szCs w:val="18"/>
                <w:lang w:eastAsia="zh-CN"/>
              </w:rPr>
            </w:pPr>
            <w:r>
              <w:rPr>
                <w:rFonts w:hint="eastAsia" w:ascii="宋体" w:hAnsi="宋体" w:cs="宋体"/>
                <w:color w:val="000000"/>
                <w:sz w:val="18"/>
                <w:szCs w:val="18"/>
                <w:lang w:eastAsia="zh-CN"/>
              </w:rPr>
              <w:t>98%</w:t>
            </w:r>
          </w:p>
        </w:tc>
        <w:tc>
          <w:tcPr>
            <w:tcW w:w="1586" w:type="pc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宋体" w:hAnsi="宋体" w:cs="宋体"/>
                <w:color w:val="000000"/>
                <w:sz w:val="18"/>
                <w:szCs w:val="18"/>
                <w:lang w:eastAsia="zh-CN"/>
              </w:rPr>
            </w:pPr>
            <w:r>
              <w:rPr>
                <w:rFonts w:hint="eastAsia" w:ascii="宋体" w:hAnsi="宋体" w:cs="宋体"/>
                <w:color w:val="000000"/>
                <w:sz w:val="18"/>
                <w:szCs w:val="18"/>
                <w:lang w:eastAsia="zh-CN"/>
              </w:rPr>
              <w:t>98%</w:t>
            </w:r>
          </w:p>
        </w:tc>
      </w:tr>
    </w:tbl>
    <w:p>
      <w:pPr>
        <w:pStyle w:val="2"/>
        <w:rPr>
          <w:rFonts w:hint="eastAsia" w:ascii="仿宋_GB2312" w:hAnsi="Times New Roman" w:eastAsia="仿宋_GB2312" w:cs="Times New Roman"/>
          <w:color w:val="auto"/>
          <w:spacing w:val="-6"/>
          <w:sz w:val="32"/>
          <w:szCs w:val="32"/>
          <w:lang w:val="en-US" w:eastAsia="zh-CN"/>
        </w:rPr>
      </w:pPr>
    </w:p>
    <w:p>
      <w:pPr>
        <w:rPr>
          <w:rFonts w:hint="eastAsia" w:ascii="仿宋_GB2312" w:hAnsi="Times New Roman" w:eastAsia="仿宋_GB2312" w:cs="Times New Roman"/>
          <w:color w:val="auto"/>
          <w:spacing w:val="-6"/>
          <w:sz w:val="32"/>
          <w:szCs w:val="32"/>
          <w:lang w:val="en-US" w:eastAsia="zh-CN"/>
        </w:rPr>
      </w:pPr>
    </w:p>
    <w:p>
      <w:pPr>
        <w:pStyle w:val="2"/>
        <w:rPr>
          <w:rFonts w:hint="eastAsia" w:hAnsi="宋体" w:cs="宋体"/>
          <w:color w:val="auto"/>
          <w:kern w:val="0"/>
          <w:sz w:val="32"/>
          <w:szCs w:val="32"/>
          <w:highlight w:val="none"/>
          <w:shd w:val="clear" w:color="auto" w:fill="FFFFFF"/>
          <w:lang w:val="zh-CN"/>
        </w:rPr>
      </w:pPr>
    </w:p>
    <w:p>
      <w:pPr>
        <w:pStyle w:val="2"/>
        <w:rPr>
          <w:rFonts w:hint="eastAsia" w:eastAsia="仿宋_GB2312"/>
          <w:color w:val="auto"/>
          <w:highlight w:val="none"/>
          <w:lang w:val="en-US" w:eastAsia="zh-CN"/>
        </w:rPr>
      </w:pPr>
      <w:r>
        <w:rPr>
          <w:rFonts w:hint="eastAsia" w:hAnsi="宋体" w:cs="宋体"/>
          <w:color w:val="auto"/>
          <w:kern w:val="0"/>
          <w:sz w:val="32"/>
          <w:szCs w:val="32"/>
          <w:highlight w:val="none"/>
          <w:shd w:val="clear" w:color="auto" w:fill="FFFFFF"/>
          <w:lang w:val="zh-CN"/>
        </w:rPr>
        <w:t>附件</w:t>
      </w:r>
      <w:r>
        <w:rPr>
          <w:rFonts w:hint="eastAsia" w:hAnsi="宋体" w:cs="宋体"/>
          <w:color w:val="auto"/>
          <w:kern w:val="0"/>
          <w:sz w:val="32"/>
          <w:szCs w:val="32"/>
          <w:highlight w:val="none"/>
          <w:shd w:val="clear" w:color="auto" w:fill="FFFFFF"/>
          <w:lang w:val="en-US" w:eastAsia="zh-CN"/>
        </w:rPr>
        <w:t>3</w:t>
      </w:r>
    </w:p>
    <w:p>
      <w:pPr>
        <w:keepNext w:val="0"/>
        <w:keepLines w:val="0"/>
        <w:pageBreakBefore w:val="0"/>
        <w:widowControl w:val="0"/>
        <w:kinsoku/>
        <w:wordWrap/>
        <w:overflowPunct/>
        <w:topLinePunct w:val="0"/>
        <w:autoSpaceDE/>
        <w:autoSpaceDN/>
        <w:bidi w:val="0"/>
        <w:spacing w:line="600" w:lineRule="exact"/>
        <w:jc w:val="center"/>
        <w:textAlignment w:val="auto"/>
        <w:rPr>
          <w:rFonts w:ascii="宋体" w:hAnsi="宋体" w:eastAsia="宋体" w:cs="Times New Roman"/>
          <w:color w:val="auto"/>
          <w:kern w:val="2"/>
          <w:sz w:val="32"/>
          <w:szCs w:val="32"/>
          <w:highlight w:val="none"/>
          <w:lang w:val="zh-CN" w:eastAsia="zh-CN" w:bidi="ar-SA"/>
        </w:rPr>
      </w:pPr>
      <w:r>
        <w:rPr>
          <w:rFonts w:hint="eastAsia" w:ascii="方正小标宋简体" w:hAnsi="方正小标宋简体" w:eastAsia="方正小标宋简体" w:cs="方正小标宋简体"/>
          <w:color w:val="auto"/>
          <w:kern w:val="2"/>
          <w:sz w:val="40"/>
          <w:szCs w:val="40"/>
          <w:highlight w:val="none"/>
          <w:lang w:val="en-US" w:eastAsia="zh-CN" w:bidi="ar-SA"/>
        </w:rPr>
        <w:t>2021年部门</w:t>
      </w:r>
      <w:r>
        <w:rPr>
          <w:rFonts w:hint="eastAsia" w:ascii="方正小标宋简体" w:hAnsi="方正小标宋简体" w:eastAsia="方正小标宋简体" w:cs="方正小标宋简体"/>
          <w:color w:val="auto"/>
          <w:kern w:val="2"/>
          <w:sz w:val="40"/>
          <w:szCs w:val="40"/>
          <w:highlight w:val="none"/>
          <w:lang w:val="zh-CN" w:eastAsia="zh-CN" w:bidi="ar-SA"/>
        </w:rPr>
        <w:t>预算预防婚姻家庭矛盾纠纷项目支出绩效自评报告</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黑体" w:hAnsi="宋体" w:eastAsia="黑体" w:cs="Times New Roman"/>
          <w:color w:val="auto"/>
          <w:sz w:val="32"/>
          <w:szCs w:val="32"/>
          <w:highlight w:val="none"/>
          <w:lang w:val="zh-CN"/>
        </w:rPr>
      </w:pPr>
      <w:r>
        <w:rPr>
          <w:rFonts w:hint="eastAsia" w:ascii="黑体" w:hAnsi="宋体" w:eastAsia="黑体" w:cs="Times New Roman"/>
          <w:color w:val="auto"/>
          <w:sz w:val="32"/>
          <w:szCs w:val="32"/>
          <w:highlight w:val="none"/>
        </w:rPr>
        <w:t>一、</w:t>
      </w:r>
      <w:r>
        <w:rPr>
          <w:rFonts w:hint="eastAsia" w:ascii="黑体" w:hAnsi="宋体" w:eastAsia="黑体" w:cs="Times New Roman"/>
          <w:color w:val="auto"/>
          <w:sz w:val="32"/>
          <w:szCs w:val="32"/>
          <w:highlight w:val="none"/>
          <w:lang w:val="zh-CN"/>
        </w:rPr>
        <w:t>项目概况</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楷体_GB2312" w:hAnsi="宋体" w:eastAsia="楷体_GB2312" w:cs="Times New Roman"/>
          <w:b/>
          <w:color w:val="auto"/>
          <w:sz w:val="32"/>
          <w:szCs w:val="32"/>
          <w:highlight w:val="none"/>
          <w:lang w:val="zh-CN"/>
        </w:rPr>
      </w:pPr>
      <w:r>
        <w:rPr>
          <w:rFonts w:hint="eastAsia" w:ascii="楷体_GB2312" w:hAnsi="宋体" w:eastAsia="楷体_GB2312" w:cs="Times New Roman"/>
          <w:b/>
          <w:color w:val="auto"/>
          <w:sz w:val="32"/>
          <w:szCs w:val="32"/>
          <w:highlight w:val="none"/>
          <w:lang w:val="zh-CN"/>
        </w:rPr>
        <w:t>（一）项目基本情况。</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eastAsia" w:ascii="仿宋_GB2312" w:hAnsi="宋体" w:eastAsia="仿宋_GB2312" w:cs="Times New Roman"/>
          <w:color w:val="auto"/>
          <w:sz w:val="32"/>
          <w:szCs w:val="32"/>
          <w:highlight w:val="none"/>
          <w:lang w:val="zh-CN" w:eastAsia="zh-CN"/>
        </w:rPr>
      </w:pPr>
      <w:r>
        <w:rPr>
          <w:rFonts w:hint="eastAsia" w:ascii="仿宋_GB2312" w:hAnsi="宋体" w:eastAsia="仿宋_GB2312" w:cs="Times New Roman"/>
          <w:color w:val="auto"/>
          <w:sz w:val="32"/>
          <w:szCs w:val="32"/>
          <w:highlight w:val="none"/>
          <w:lang w:val="zh-CN" w:eastAsia="zh-CN"/>
        </w:rPr>
        <w:t>1</w:t>
      </w:r>
      <w:r>
        <w:rPr>
          <w:rFonts w:hint="eastAsia" w:ascii="仿宋_GB2312" w:hAnsi="宋体" w:eastAsia="仿宋_GB2312" w:cs="Times New Roman"/>
          <w:color w:val="auto"/>
          <w:sz w:val="32"/>
          <w:szCs w:val="32"/>
          <w:highlight w:val="none"/>
          <w:lang w:val="en-US" w:eastAsia="zh-CN"/>
        </w:rPr>
        <w:t>.</w:t>
      </w:r>
      <w:r>
        <w:rPr>
          <w:rFonts w:hint="eastAsia" w:ascii="仿宋_GB2312" w:hAnsi="宋体" w:eastAsia="仿宋_GB2312" w:cs="Times New Roman"/>
          <w:color w:val="auto"/>
          <w:sz w:val="32"/>
          <w:szCs w:val="32"/>
          <w:highlight w:val="none"/>
          <w:lang w:val="zh-CN" w:eastAsia="zh-CN"/>
        </w:rPr>
        <w:t>项目主管部门</w:t>
      </w:r>
      <w:r>
        <w:rPr>
          <w:rFonts w:hint="eastAsia" w:ascii="仿宋_GB2312" w:hAnsi="宋体" w:eastAsia="仿宋_GB2312" w:cs="Times New Roman"/>
          <w:color w:val="auto"/>
          <w:sz w:val="32"/>
          <w:szCs w:val="32"/>
          <w:highlight w:val="none"/>
          <w:lang w:val="en-US" w:eastAsia="zh-CN"/>
        </w:rPr>
        <w:t>为广元市朝天区妇女联合会，主要实施该项目</w:t>
      </w:r>
      <w:r>
        <w:rPr>
          <w:rFonts w:hint="eastAsia" w:ascii="仿宋_GB2312" w:hAnsi="宋体" w:eastAsia="仿宋_GB2312" w:cs="Times New Roman"/>
          <w:color w:val="auto"/>
          <w:sz w:val="32"/>
          <w:szCs w:val="32"/>
          <w:highlight w:val="none"/>
          <w:lang w:val="zh-CN" w:eastAsia="zh-CN"/>
        </w:rPr>
        <w:t>。</w:t>
      </w:r>
    </w:p>
    <w:p>
      <w:pPr>
        <w:keepNext w:val="0"/>
        <w:keepLines w:val="0"/>
        <w:pageBreakBefore w:val="0"/>
        <w:numPr>
          <w:ilvl w:val="0"/>
          <w:numId w:val="0"/>
        </w:numPr>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宋体" w:eastAsia="仿宋_GB2312" w:cs="Times New Roman"/>
          <w:color w:val="FF0000"/>
          <w:sz w:val="32"/>
          <w:szCs w:val="32"/>
          <w:highlight w:val="none"/>
          <w:lang w:val="zh-CN"/>
        </w:rPr>
      </w:pPr>
      <w:r>
        <w:rPr>
          <w:rFonts w:hint="eastAsia" w:ascii="仿宋_GB2312" w:hAnsi="宋体" w:eastAsia="仿宋_GB2312" w:cs="Times New Roman"/>
          <w:color w:val="auto"/>
          <w:sz w:val="32"/>
          <w:szCs w:val="32"/>
          <w:highlight w:val="none"/>
          <w:lang w:val="en-US" w:eastAsia="zh-CN"/>
        </w:rPr>
        <w:t>2.</w:t>
      </w:r>
      <w:r>
        <w:rPr>
          <w:rFonts w:hint="eastAsia" w:ascii="仿宋_GB2312" w:hAnsi="宋体" w:eastAsia="仿宋_GB2312" w:cs="Times New Roman"/>
          <w:color w:val="auto"/>
          <w:sz w:val="32"/>
          <w:szCs w:val="32"/>
          <w:highlight w:val="none"/>
          <w:lang w:val="zh-CN"/>
        </w:rPr>
        <w:t>项目立项、资金申报的依据。</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color w:val="FF0000"/>
          <w:lang w:val="zh-CN"/>
        </w:rPr>
      </w:pPr>
      <w:r>
        <w:rPr>
          <w:rFonts w:hint="eastAsia" w:ascii="仿宋_GB2312" w:hAnsi="宋体" w:eastAsia="仿宋_GB2312" w:cs="Times New Roman"/>
          <w:color w:val="auto"/>
          <w:sz w:val="32"/>
          <w:szCs w:val="32"/>
          <w:highlight w:val="none"/>
          <w:lang w:val="en-US" w:eastAsia="zh-CN"/>
        </w:rPr>
        <w:t>2021年初，审报部门预算项目婚姻家庭活动经费1万元，符合主管部门的职能职责，后经区财政局批复部门预算项目资产处置费1万元，年末无预算调整。</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color w:val="FF0000"/>
          <w:lang w:val="zh-CN"/>
        </w:rPr>
      </w:pPr>
      <w:r>
        <w:rPr>
          <w:rFonts w:hint="eastAsia" w:ascii="仿宋_GB2312" w:hAnsi="宋体" w:eastAsia="仿宋_GB2312" w:cs="Times New Roman"/>
          <w:color w:val="auto"/>
          <w:sz w:val="32"/>
          <w:szCs w:val="32"/>
          <w:highlight w:val="none"/>
          <w:lang w:val="en-US" w:eastAsia="zh-CN"/>
        </w:rPr>
        <w:t>3.符合资金管理办法等相关规定。</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楷体_GB2312" w:hAnsi="宋体" w:eastAsia="楷体_GB2312" w:cs="Times New Roman"/>
          <w:b/>
          <w:color w:val="auto"/>
          <w:sz w:val="32"/>
          <w:szCs w:val="32"/>
          <w:highlight w:val="none"/>
          <w:lang w:val="zh-CN"/>
        </w:rPr>
      </w:pPr>
      <w:r>
        <w:rPr>
          <w:rFonts w:hint="eastAsia" w:ascii="楷体_GB2312" w:hAnsi="宋体" w:eastAsia="楷体_GB2312" w:cs="Times New Roman"/>
          <w:b/>
          <w:color w:val="auto"/>
          <w:sz w:val="32"/>
          <w:szCs w:val="32"/>
          <w:highlight w:val="none"/>
          <w:lang w:val="zh-CN"/>
        </w:rPr>
        <w:t>（二）项目绩效目标。</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eastAsia" w:ascii="仿宋_GB2312" w:hAnsi="宋体" w:eastAsia="仿宋_GB2312" w:cs="Times New Roman"/>
          <w:color w:val="auto"/>
          <w:sz w:val="32"/>
          <w:szCs w:val="32"/>
          <w:highlight w:val="none"/>
          <w:lang w:val="zh-CN"/>
        </w:rPr>
      </w:pPr>
      <w:r>
        <w:rPr>
          <w:rFonts w:hint="eastAsia" w:ascii="仿宋_GB2312" w:hAnsi="宋体" w:eastAsia="仿宋_GB2312" w:cs="Times New Roman"/>
          <w:color w:val="auto"/>
          <w:sz w:val="32"/>
          <w:szCs w:val="32"/>
          <w:highlight w:val="none"/>
          <w:lang w:val="zh-CN"/>
        </w:rPr>
        <w:t>1．项目主要内容。</w:t>
      </w:r>
    </w:p>
    <w:p>
      <w:pPr>
        <w:autoSpaceDE w:val="0"/>
        <w:spacing w:line="540" w:lineRule="exact"/>
        <w:ind w:firstLine="616" w:firstLineChars="200"/>
        <w:rPr>
          <w:lang w:val="zh-CN"/>
        </w:rPr>
      </w:pPr>
      <w:r>
        <w:rPr>
          <w:rFonts w:hint="eastAsia" w:ascii="仿宋_GB2312" w:hAnsi="Times New Roman" w:eastAsia="仿宋_GB2312" w:cs="Times New Roman"/>
          <w:spacing w:val="-6"/>
          <w:sz w:val="32"/>
          <w:szCs w:val="32"/>
          <w:lang w:val="en-US" w:eastAsia="zh-CN"/>
        </w:rPr>
        <w:t>开展婚姻家庭纠纷预防化解工作。</w:t>
      </w:r>
    </w:p>
    <w:p>
      <w:pPr>
        <w:keepNext w:val="0"/>
        <w:keepLines w:val="0"/>
        <w:pageBreakBefore w:val="0"/>
        <w:numPr>
          <w:ilvl w:val="0"/>
          <w:numId w:val="13"/>
        </w:numPr>
        <w:kinsoku/>
        <w:wordWrap/>
        <w:overflowPunct/>
        <w:topLinePunct w:val="0"/>
        <w:autoSpaceDE/>
        <w:autoSpaceDN/>
        <w:bidi w:val="0"/>
        <w:adjustRightInd w:val="0"/>
        <w:snapToGrid w:val="0"/>
        <w:spacing w:line="600" w:lineRule="exact"/>
        <w:ind w:firstLine="720"/>
        <w:textAlignment w:val="auto"/>
        <w:rPr>
          <w:rFonts w:hint="eastAsia" w:ascii="仿宋_GB2312" w:hAnsi="宋体" w:eastAsia="仿宋_GB2312" w:cs="Times New Roman"/>
          <w:color w:val="auto"/>
          <w:sz w:val="32"/>
          <w:szCs w:val="32"/>
          <w:highlight w:val="none"/>
          <w:lang w:val="zh-CN"/>
        </w:rPr>
      </w:pPr>
      <w:r>
        <w:rPr>
          <w:rFonts w:hint="eastAsia" w:ascii="仿宋_GB2312" w:hAnsi="宋体" w:eastAsia="仿宋_GB2312" w:cs="Times New Roman"/>
          <w:color w:val="auto"/>
          <w:sz w:val="32"/>
          <w:szCs w:val="32"/>
          <w:highlight w:val="none"/>
          <w:lang w:val="zh-CN"/>
        </w:rPr>
        <w:t>项目应实现的具体绩效目标，包括目标的量化、细化情况以及项目实施进度计划等。</w:t>
      </w:r>
    </w:p>
    <w:p>
      <w:pPr>
        <w:autoSpaceDE w:val="0"/>
        <w:spacing w:line="540" w:lineRule="exact"/>
        <w:ind w:firstLine="616" w:firstLineChars="200"/>
        <w:rPr>
          <w:rFonts w:hint="eastAsia" w:ascii="仿宋_GB2312" w:hAnsi="Times New Roman" w:eastAsia="仿宋_GB2312" w:cs="Times New Roman"/>
          <w:color w:val="auto"/>
          <w:spacing w:val="-6"/>
          <w:sz w:val="32"/>
          <w:szCs w:val="32"/>
          <w:lang w:val="en-US" w:eastAsia="zh-CN"/>
        </w:rPr>
      </w:pPr>
      <w:r>
        <w:rPr>
          <w:rFonts w:hint="eastAsia" w:ascii="仿宋_GB2312" w:hAnsi="Times New Roman" w:eastAsia="仿宋_GB2312" w:cs="Times New Roman"/>
          <w:color w:val="auto"/>
          <w:spacing w:val="-6"/>
          <w:sz w:val="32"/>
          <w:szCs w:val="32"/>
          <w:lang w:val="en-US" w:eastAsia="zh-CN"/>
        </w:rPr>
        <w:t>数量指标：全年调解婚姻家庭纠纷家庭矛盾35件。</w:t>
      </w:r>
    </w:p>
    <w:p>
      <w:pPr>
        <w:autoSpaceDE w:val="0"/>
        <w:spacing w:line="540" w:lineRule="exact"/>
        <w:ind w:firstLine="616" w:firstLineChars="200"/>
        <w:rPr>
          <w:rFonts w:hint="eastAsia" w:ascii="仿宋_GB2312" w:hAnsi="Times New Roman" w:eastAsia="仿宋_GB2312" w:cs="Times New Roman"/>
          <w:color w:val="auto"/>
          <w:spacing w:val="-6"/>
          <w:sz w:val="32"/>
          <w:szCs w:val="32"/>
          <w:lang w:val="en-US" w:eastAsia="zh-CN"/>
        </w:rPr>
      </w:pPr>
      <w:r>
        <w:rPr>
          <w:rFonts w:hint="eastAsia" w:ascii="仿宋_GB2312" w:hAnsi="Times New Roman" w:eastAsia="仿宋_GB2312" w:cs="Times New Roman"/>
          <w:color w:val="auto"/>
          <w:spacing w:val="-6"/>
          <w:sz w:val="32"/>
          <w:szCs w:val="32"/>
          <w:lang w:val="en-US" w:eastAsia="zh-CN"/>
        </w:rPr>
        <w:t>质量指标：高标准完成调解婚姻家庭纠纷家庭矛盾。</w:t>
      </w:r>
    </w:p>
    <w:p>
      <w:pPr>
        <w:autoSpaceDE w:val="0"/>
        <w:spacing w:line="540" w:lineRule="exact"/>
        <w:ind w:firstLine="616" w:firstLineChars="200"/>
        <w:rPr>
          <w:rFonts w:hint="eastAsia" w:ascii="仿宋_GB2312" w:hAnsi="Times New Roman" w:eastAsia="仿宋_GB2312" w:cs="Times New Roman"/>
          <w:color w:val="auto"/>
          <w:spacing w:val="-6"/>
          <w:sz w:val="32"/>
          <w:szCs w:val="32"/>
          <w:lang w:val="en-US" w:eastAsia="zh-CN"/>
        </w:rPr>
      </w:pPr>
      <w:r>
        <w:rPr>
          <w:rFonts w:hint="eastAsia" w:ascii="仿宋_GB2312" w:hAnsi="Times New Roman" w:eastAsia="仿宋_GB2312" w:cs="Times New Roman"/>
          <w:color w:val="auto"/>
          <w:spacing w:val="-6"/>
          <w:sz w:val="32"/>
          <w:szCs w:val="32"/>
          <w:lang w:val="en-US" w:eastAsia="zh-CN"/>
        </w:rPr>
        <w:t>时效指标：完成时间2021年。</w:t>
      </w:r>
    </w:p>
    <w:p>
      <w:pPr>
        <w:autoSpaceDE w:val="0"/>
        <w:spacing w:line="540" w:lineRule="exact"/>
        <w:ind w:firstLine="616" w:firstLineChars="200"/>
        <w:rPr>
          <w:rFonts w:hint="eastAsia" w:ascii="仿宋_GB2312" w:hAnsi="Times New Roman" w:eastAsia="仿宋_GB2312" w:cs="Times New Roman"/>
          <w:color w:val="auto"/>
          <w:spacing w:val="-6"/>
          <w:sz w:val="32"/>
          <w:szCs w:val="32"/>
          <w:lang w:val="en-US" w:eastAsia="zh-CN"/>
        </w:rPr>
      </w:pPr>
      <w:r>
        <w:rPr>
          <w:rFonts w:hint="eastAsia" w:ascii="仿宋_GB2312" w:hAnsi="Times New Roman" w:eastAsia="仿宋_GB2312" w:cs="Times New Roman"/>
          <w:color w:val="auto"/>
          <w:spacing w:val="-6"/>
          <w:sz w:val="32"/>
          <w:szCs w:val="32"/>
          <w:lang w:val="en-US" w:eastAsia="zh-CN"/>
        </w:rPr>
        <w:t>成本指标：1万元。</w:t>
      </w:r>
    </w:p>
    <w:p>
      <w:pPr>
        <w:tabs>
          <w:tab w:val="left" w:pos="553"/>
        </w:tabs>
        <w:autoSpaceDE w:val="0"/>
        <w:spacing w:line="540" w:lineRule="exact"/>
        <w:ind w:firstLine="616" w:firstLineChars="200"/>
        <w:rPr>
          <w:rFonts w:hint="eastAsia" w:ascii="仿宋_GB2312" w:hAnsi="Times New Roman" w:eastAsia="仿宋_GB2312" w:cs="Times New Roman"/>
          <w:color w:val="auto"/>
          <w:spacing w:val="-6"/>
          <w:sz w:val="32"/>
          <w:szCs w:val="32"/>
          <w:lang w:val="en-US" w:eastAsia="zh-CN"/>
        </w:rPr>
      </w:pPr>
      <w:r>
        <w:rPr>
          <w:rFonts w:hint="eastAsia" w:ascii="仿宋_GB2312" w:hAnsi="Times New Roman" w:eastAsia="仿宋_GB2312" w:cs="Times New Roman"/>
          <w:color w:val="auto"/>
          <w:spacing w:val="-6"/>
          <w:sz w:val="32"/>
          <w:szCs w:val="32"/>
          <w:lang w:val="en-US" w:eastAsia="zh-CN"/>
        </w:rPr>
        <w:t>经济效益：无。</w:t>
      </w:r>
    </w:p>
    <w:p>
      <w:pPr>
        <w:autoSpaceDE w:val="0"/>
        <w:spacing w:line="540" w:lineRule="exact"/>
        <w:ind w:firstLine="616" w:firstLineChars="200"/>
        <w:rPr>
          <w:rFonts w:hint="eastAsia" w:ascii="仿宋_GB2312" w:hAnsi="Times New Roman" w:eastAsia="仿宋_GB2312" w:cs="Times New Roman"/>
          <w:spacing w:val="-6"/>
          <w:sz w:val="32"/>
          <w:szCs w:val="32"/>
          <w:lang w:eastAsia="zh-CN"/>
        </w:rPr>
      </w:pPr>
      <w:r>
        <w:rPr>
          <w:rFonts w:hint="eastAsia" w:ascii="仿宋_GB2312" w:hAnsi="Times New Roman" w:eastAsia="仿宋_GB2312" w:cs="Times New Roman"/>
          <w:spacing w:val="-6"/>
          <w:sz w:val="32"/>
          <w:szCs w:val="32"/>
          <w:lang w:eastAsia="zh-CN"/>
        </w:rPr>
        <w:t>社会效益：有利于家庭幸福，社会和谐。</w:t>
      </w:r>
    </w:p>
    <w:p>
      <w:pPr>
        <w:autoSpaceDE w:val="0"/>
        <w:spacing w:line="540" w:lineRule="exact"/>
        <w:ind w:firstLine="616" w:firstLineChars="200"/>
        <w:rPr>
          <w:rFonts w:hint="eastAsia" w:ascii="仿宋_GB2312" w:hAnsi="Times New Roman" w:eastAsia="仿宋_GB2312" w:cs="Times New Roman"/>
          <w:color w:val="auto"/>
          <w:spacing w:val="-6"/>
          <w:sz w:val="32"/>
          <w:szCs w:val="32"/>
          <w:lang w:val="en-US" w:eastAsia="zh-CN"/>
        </w:rPr>
      </w:pPr>
      <w:r>
        <w:rPr>
          <w:rFonts w:hint="eastAsia" w:ascii="仿宋_GB2312" w:hAnsi="Times New Roman" w:eastAsia="仿宋_GB2312" w:cs="Times New Roman"/>
          <w:spacing w:val="-6"/>
          <w:sz w:val="32"/>
          <w:szCs w:val="32"/>
        </w:rPr>
        <w:t>生态效益</w:t>
      </w:r>
      <w:r>
        <w:rPr>
          <w:rFonts w:hint="eastAsia" w:ascii="仿宋_GB2312" w:hAnsi="Times New Roman" w:eastAsia="仿宋_GB2312" w:cs="Times New Roman"/>
          <w:color w:val="auto"/>
          <w:spacing w:val="-6"/>
          <w:sz w:val="32"/>
          <w:szCs w:val="32"/>
          <w:lang w:val="en-US" w:eastAsia="zh-CN"/>
        </w:rPr>
        <w:t>：无。</w:t>
      </w:r>
    </w:p>
    <w:p>
      <w:pPr>
        <w:autoSpaceDE w:val="0"/>
        <w:spacing w:line="540" w:lineRule="exact"/>
        <w:ind w:firstLine="616" w:firstLineChars="200"/>
        <w:rPr>
          <w:rFonts w:hint="eastAsia" w:ascii="仿宋_GB2312" w:hAnsi="Times New Roman" w:eastAsia="仿宋_GB2312" w:cs="Times New Roman"/>
          <w:color w:val="auto"/>
          <w:spacing w:val="-6"/>
          <w:sz w:val="32"/>
          <w:szCs w:val="32"/>
          <w:lang w:val="en-US" w:eastAsia="zh-CN"/>
        </w:rPr>
      </w:pPr>
      <w:r>
        <w:rPr>
          <w:rFonts w:hint="eastAsia" w:ascii="仿宋_GB2312" w:hAnsi="Times New Roman" w:eastAsia="仿宋_GB2312" w:cs="Times New Roman"/>
          <w:color w:val="auto"/>
          <w:spacing w:val="-6"/>
          <w:sz w:val="32"/>
          <w:szCs w:val="32"/>
          <w:lang w:val="en-US" w:eastAsia="zh-CN"/>
        </w:rPr>
        <w:t>可持续影响指标：社会发展需要；满足妇女儿童发展需；服务全区，引领全区妇女儿童。</w:t>
      </w:r>
    </w:p>
    <w:p>
      <w:pPr>
        <w:autoSpaceDE w:val="0"/>
        <w:spacing w:line="540" w:lineRule="exact"/>
        <w:ind w:firstLine="616" w:firstLineChars="200"/>
        <w:rPr>
          <w:rFonts w:hint="eastAsia"/>
          <w:lang w:val="zh-CN" w:eastAsia="zh-CN"/>
        </w:rPr>
      </w:pPr>
      <w:r>
        <w:rPr>
          <w:rFonts w:hint="eastAsia" w:ascii="仿宋_GB2312" w:hAnsi="Times New Roman" w:eastAsia="仿宋_GB2312" w:cs="Times New Roman"/>
          <w:color w:val="auto"/>
          <w:spacing w:val="-6"/>
          <w:sz w:val="32"/>
          <w:szCs w:val="32"/>
          <w:lang w:val="en-US" w:eastAsia="zh-CN"/>
        </w:rPr>
        <w:t>满意度指标：满意度达95%以上。</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eastAsia" w:ascii="仿宋_GB2312" w:hAnsi="宋体" w:eastAsia="仿宋_GB2312" w:cs="Times New Roman"/>
          <w:color w:val="auto"/>
          <w:sz w:val="32"/>
          <w:szCs w:val="32"/>
          <w:highlight w:val="none"/>
          <w:lang w:val="en-US" w:eastAsia="zh-CN"/>
        </w:rPr>
      </w:pPr>
      <w:r>
        <w:rPr>
          <w:rFonts w:hint="eastAsia" w:ascii="仿宋_GB2312" w:hAnsi="宋体" w:eastAsia="仿宋_GB2312" w:cs="Times New Roman"/>
          <w:color w:val="auto"/>
          <w:sz w:val="32"/>
          <w:szCs w:val="32"/>
          <w:highlight w:val="none"/>
          <w:lang w:val="en-US" w:eastAsia="zh-CN"/>
        </w:rPr>
        <w:t>3.符合资金管理办法等相关规定。</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楷体_GB2312" w:hAnsi="宋体" w:eastAsia="楷体_GB2312" w:cs="Times New Roman"/>
          <w:b/>
          <w:color w:val="auto"/>
          <w:sz w:val="32"/>
          <w:szCs w:val="32"/>
          <w:highlight w:val="none"/>
          <w:lang w:val="zh-CN"/>
        </w:rPr>
      </w:pPr>
      <w:r>
        <w:rPr>
          <w:rFonts w:hint="eastAsia" w:ascii="楷体_GB2312" w:hAnsi="宋体" w:eastAsia="楷体_GB2312" w:cs="Times New Roman"/>
          <w:b/>
          <w:color w:val="auto"/>
          <w:sz w:val="32"/>
          <w:szCs w:val="32"/>
          <w:highlight w:val="none"/>
          <w:lang w:val="zh-CN"/>
        </w:rPr>
        <w:t>（三）项目自评步骤及方法。</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仿宋_GB2312" w:hAnsi="宋体" w:eastAsia="仿宋_GB2312" w:cs="Times New Roman"/>
          <w:color w:val="auto"/>
          <w:sz w:val="32"/>
          <w:szCs w:val="32"/>
          <w:highlight w:val="none"/>
          <w:lang w:val="zh-CN"/>
        </w:rPr>
      </w:pPr>
      <w:r>
        <w:rPr>
          <w:rFonts w:hint="eastAsia" w:ascii="仿宋_GB2312" w:hAnsi="仿宋_GB2312" w:eastAsia="仿宋_GB2312" w:cs="仿宋_GB2312"/>
          <w:sz w:val="32"/>
          <w:szCs w:val="32"/>
          <w:lang w:val="en-US" w:eastAsia="zh-CN" w:bidi="ar"/>
        </w:rPr>
        <w:t>按照《广元市朝天区财政局关于开展2022年部门、政策和项目支出绩效自评工作的通知》（广朝财发〔2022〕28号）文件要求，认真组织开展了2021年度项目支出绩效自评工作。</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黑体" w:hAnsi="宋体" w:eastAsia="黑体" w:cs="Times New Roman"/>
          <w:color w:val="auto"/>
          <w:sz w:val="32"/>
          <w:szCs w:val="32"/>
          <w:highlight w:val="none"/>
        </w:rPr>
      </w:pPr>
      <w:r>
        <w:rPr>
          <w:rFonts w:hint="eastAsia" w:ascii="黑体" w:hAnsi="宋体" w:eastAsia="黑体" w:cs="Times New Roman"/>
          <w:color w:val="auto"/>
          <w:sz w:val="32"/>
          <w:szCs w:val="32"/>
          <w:highlight w:val="none"/>
        </w:rPr>
        <w:t>二、项目资金申报及使用情况</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楷体_GB2312" w:hAnsi="宋体" w:eastAsia="楷体_GB2312" w:cs="Times New Roman"/>
          <w:b/>
          <w:color w:val="auto"/>
          <w:sz w:val="32"/>
          <w:szCs w:val="32"/>
          <w:highlight w:val="none"/>
          <w:lang w:val="zh-CN"/>
        </w:rPr>
      </w:pPr>
      <w:r>
        <w:rPr>
          <w:rFonts w:hint="eastAsia" w:ascii="楷体_GB2312" w:hAnsi="宋体" w:eastAsia="楷体_GB2312" w:cs="Times New Roman"/>
          <w:b/>
          <w:color w:val="auto"/>
          <w:sz w:val="32"/>
          <w:szCs w:val="32"/>
          <w:highlight w:val="none"/>
          <w:lang w:val="zh-CN"/>
        </w:rPr>
        <w:t>（一）项目资金申报及批复情况。</w:t>
      </w:r>
    </w:p>
    <w:p>
      <w:pPr>
        <w:autoSpaceDE w:val="0"/>
        <w:spacing w:line="540" w:lineRule="exact"/>
        <w:ind w:firstLine="924" w:firstLineChars="300"/>
        <w:rPr>
          <w:rFonts w:hint="eastAsia" w:ascii="仿宋_GB2312" w:hAnsi="Times New Roman" w:eastAsia="仿宋_GB2312" w:cs="Times New Roman"/>
          <w:color w:val="auto"/>
          <w:spacing w:val="-6"/>
          <w:sz w:val="32"/>
          <w:szCs w:val="32"/>
          <w:lang w:val="en-US" w:eastAsia="zh-CN"/>
        </w:rPr>
      </w:pPr>
      <w:r>
        <w:rPr>
          <w:rFonts w:hint="eastAsia" w:ascii="仿宋_GB2312" w:hAnsi="Times New Roman" w:eastAsia="仿宋_GB2312" w:cs="Times New Roman"/>
          <w:color w:val="auto"/>
          <w:spacing w:val="-6"/>
          <w:sz w:val="32"/>
          <w:szCs w:val="32"/>
          <w:lang w:val="en-US" w:eastAsia="zh-CN"/>
        </w:rPr>
        <w:t>2021年初，审报部门预算</w:t>
      </w:r>
      <w:r>
        <w:rPr>
          <w:rFonts w:hint="eastAsia" w:ascii="仿宋_GB2312" w:hAnsi="宋体" w:eastAsia="仿宋_GB2312" w:cs="Times New Roman"/>
          <w:spacing w:val="-6"/>
          <w:sz w:val="32"/>
          <w:szCs w:val="32"/>
        </w:rPr>
        <w:t>婚姻家庭纠纷预防化解</w:t>
      </w:r>
      <w:r>
        <w:rPr>
          <w:rFonts w:hint="eastAsia" w:ascii="仿宋_GB2312" w:hAnsi="Times New Roman" w:eastAsia="仿宋_GB2312" w:cs="Times New Roman"/>
          <w:color w:val="auto"/>
          <w:spacing w:val="-6"/>
          <w:sz w:val="32"/>
          <w:szCs w:val="32"/>
          <w:lang w:val="en-US" w:eastAsia="zh-CN"/>
        </w:rPr>
        <w:t>项目经费1万元，后经区财政局批复部门预算</w:t>
      </w:r>
      <w:r>
        <w:rPr>
          <w:rFonts w:hint="eastAsia" w:ascii="仿宋_GB2312" w:hAnsi="宋体" w:eastAsia="仿宋_GB2312" w:cs="Times New Roman"/>
          <w:spacing w:val="-6"/>
          <w:sz w:val="32"/>
          <w:szCs w:val="32"/>
        </w:rPr>
        <w:t>婚姻家庭纠纷预防化解</w:t>
      </w:r>
      <w:r>
        <w:rPr>
          <w:rFonts w:hint="eastAsia" w:ascii="仿宋_GB2312" w:hAnsi="Times New Roman" w:eastAsia="仿宋_GB2312" w:cs="Times New Roman"/>
          <w:color w:val="auto"/>
          <w:spacing w:val="-6"/>
          <w:sz w:val="32"/>
          <w:szCs w:val="32"/>
          <w:lang w:val="en-US" w:eastAsia="zh-CN"/>
        </w:rPr>
        <w:t>项目经费1万元，年末无预算调整，符合资金管理办法等相关规定。</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仿宋_GB2312" w:hAnsi="宋体" w:eastAsia="仿宋_GB2312" w:cs="Times New Roman"/>
          <w:color w:val="auto"/>
          <w:sz w:val="32"/>
          <w:szCs w:val="32"/>
          <w:highlight w:val="none"/>
          <w:lang w:val="zh-CN"/>
        </w:rPr>
      </w:pPr>
      <w:r>
        <w:rPr>
          <w:rFonts w:hint="eastAsia" w:ascii="楷体_GB2312" w:hAnsi="宋体" w:eastAsia="楷体_GB2312" w:cs="Times New Roman"/>
          <w:b/>
          <w:color w:val="auto"/>
          <w:sz w:val="32"/>
          <w:szCs w:val="32"/>
          <w:highlight w:val="none"/>
          <w:lang w:val="zh-CN"/>
        </w:rPr>
        <w:t>（二）资金计划、到位及使用情况（可用表格形式反映）。</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eastAsia" w:ascii="楷体_GB2312" w:hAnsi="宋体" w:eastAsia="楷体_GB2312" w:cs="Times New Roman"/>
          <w:color w:val="auto"/>
          <w:sz w:val="32"/>
          <w:szCs w:val="32"/>
          <w:highlight w:val="none"/>
          <w:lang w:val="zh-CN"/>
        </w:rPr>
      </w:pPr>
      <w:r>
        <w:rPr>
          <w:rFonts w:hint="eastAsia" w:ascii="楷体_GB2312" w:hAnsi="宋体" w:eastAsia="楷体_GB2312" w:cs="Times New Roman"/>
          <w:color w:val="auto"/>
          <w:sz w:val="32"/>
          <w:szCs w:val="32"/>
          <w:highlight w:val="none"/>
          <w:lang w:val="zh-CN"/>
        </w:rPr>
        <w:t>1．资金计划。</w:t>
      </w:r>
    </w:p>
    <w:p>
      <w:pPr>
        <w:pStyle w:val="2"/>
        <w:rPr>
          <w:rFonts w:hint="default" w:ascii="仿宋_GB2312" w:hAnsi="宋体" w:eastAsia="仿宋_GB2312" w:cs="Times New Roman"/>
          <w:color w:val="auto"/>
          <w:kern w:val="2"/>
          <w:sz w:val="32"/>
          <w:szCs w:val="32"/>
          <w:highlight w:val="none"/>
          <w:lang w:val="en-US" w:eastAsia="zh-CN" w:bidi="ar-SA"/>
        </w:rPr>
      </w:pPr>
      <w:r>
        <w:rPr>
          <w:rFonts w:hint="eastAsia" w:ascii="仿宋_GB2312" w:hAnsi="宋体" w:eastAsia="仿宋_GB2312" w:cs="Times New Roman"/>
          <w:color w:val="auto"/>
          <w:kern w:val="2"/>
          <w:sz w:val="32"/>
          <w:szCs w:val="32"/>
          <w:highlight w:val="none"/>
          <w:lang w:val="en-US" w:eastAsia="zh-CN" w:bidi="ar-SA"/>
        </w:rPr>
        <w:t>2021年年初申报计划1万元</w:t>
      </w:r>
    </w:p>
    <w:p>
      <w:pPr>
        <w:keepNext w:val="0"/>
        <w:keepLines w:val="0"/>
        <w:pageBreakBefore w:val="0"/>
        <w:numPr>
          <w:ilvl w:val="0"/>
          <w:numId w:val="14"/>
        </w:numPr>
        <w:kinsoku/>
        <w:wordWrap/>
        <w:overflowPunct/>
        <w:topLinePunct w:val="0"/>
        <w:autoSpaceDE/>
        <w:autoSpaceDN/>
        <w:bidi w:val="0"/>
        <w:adjustRightInd w:val="0"/>
        <w:snapToGrid w:val="0"/>
        <w:spacing w:line="600" w:lineRule="exact"/>
        <w:ind w:firstLine="720"/>
        <w:textAlignment w:val="auto"/>
        <w:rPr>
          <w:rFonts w:hint="eastAsia" w:ascii="楷体_GB2312" w:hAnsi="宋体" w:eastAsia="楷体_GB2312" w:cs="Times New Roman"/>
          <w:color w:val="auto"/>
          <w:sz w:val="32"/>
          <w:szCs w:val="32"/>
          <w:highlight w:val="none"/>
          <w:lang w:val="zh-CN"/>
        </w:rPr>
      </w:pPr>
      <w:r>
        <w:rPr>
          <w:rFonts w:hint="eastAsia" w:ascii="楷体_GB2312" w:hAnsi="宋体" w:eastAsia="楷体_GB2312" w:cs="Times New Roman"/>
          <w:color w:val="auto"/>
          <w:sz w:val="32"/>
          <w:szCs w:val="32"/>
          <w:highlight w:val="none"/>
          <w:lang w:val="zh-CN"/>
        </w:rPr>
        <w:t>资金到位。</w:t>
      </w:r>
    </w:p>
    <w:p>
      <w:pPr>
        <w:autoSpaceDE w:val="0"/>
        <w:spacing w:line="540" w:lineRule="exact"/>
        <w:rPr>
          <w:rFonts w:hint="eastAsia"/>
          <w:lang w:val="zh-CN"/>
        </w:rPr>
      </w:pPr>
      <w:r>
        <w:rPr>
          <w:rFonts w:hint="eastAsia" w:ascii="仿宋_GB2312" w:hAnsi="Times New Roman" w:eastAsia="仿宋_GB2312" w:cs="Times New Roman"/>
          <w:color w:val="auto"/>
          <w:spacing w:val="-6"/>
          <w:sz w:val="32"/>
          <w:szCs w:val="32"/>
          <w:lang w:val="en-US" w:eastAsia="zh-CN"/>
        </w:rPr>
        <w:t>到位1万元，资金到位率100%。</w:t>
      </w:r>
    </w:p>
    <w:p>
      <w:pPr>
        <w:numPr>
          <w:ilvl w:val="0"/>
          <w:numId w:val="14"/>
        </w:numPr>
        <w:autoSpaceDE w:val="0"/>
        <w:spacing w:line="540" w:lineRule="exact"/>
        <w:ind w:left="0" w:leftChars="0" w:firstLine="720" w:firstLineChars="0"/>
        <w:rPr>
          <w:rFonts w:hint="eastAsia" w:ascii="楷体_GB2312" w:hAnsi="宋体" w:eastAsia="楷体_GB2312" w:cs="Times New Roman"/>
          <w:color w:val="auto"/>
          <w:sz w:val="32"/>
          <w:szCs w:val="32"/>
          <w:highlight w:val="none"/>
          <w:lang w:val="zh-CN"/>
        </w:rPr>
      </w:pPr>
      <w:r>
        <w:rPr>
          <w:rFonts w:hint="eastAsia" w:ascii="楷体_GB2312" w:hAnsi="宋体" w:eastAsia="楷体_GB2312" w:cs="Times New Roman"/>
          <w:color w:val="auto"/>
          <w:sz w:val="32"/>
          <w:szCs w:val="32"/>
          <w:highlight w:val="none"/>
          <w:lang w:val="zh-CN"/>
        </w:rPr>
        <w:t>资金使用。</w:t>
      </w:r>
    </w:p>
    <w:p>
      <w:pPr>
        <w:numPr>
          <w:ilvl w:val="0"/>
          <w:numId w:val="0"/>
        </w:numPr>
        <w:autoSpaceDE w:val="0"/>
        <w:spacing w:line="540" w:lineRule="exact"/>
        <w:rPr>
          <w:rFonts w:hint="eastAsia" w:ascii="仿宋_GB2312" w:hAnsi="Times New Roman" w:eastAsia="仿宋_GB2312" w:cs="Times New Roman"/>
          <w:color w:val="auto"/>
          <w:spacing w:val="-6"/>
          <w:sz w:val="32"/>
          <w:szCs w:val="32"/>
        </w:rPr>
      </w:pPr>
      <w:r>
        <w:rPr>
          <w:rFonts w:hint="eastAsia" w:ascii="仿宋_GB2312" w:hAnsi="Times New Roman" w:eastAsia="仿宋_GB2312" w:cs="Times New Roman"/>
          <w:color w:val="auto"/>
          <w:spacing w:val="-6"/>
          <w:sz w:val="32"/>
          <w:szCs w:val="32"/>
          <w:lang w:val="en-US" w:eastAsia="zh-CN"/>
        </w:rPr>
        <w:t>年度实际支付1万元，</w:t>
      </w:r>
      <w:r>
        <w:rPr>
          <w:rFonts w:hint="eastAsia" w:ascii="仿宋_GB2312" w:hAnsi="Times New Roman" w:eastAsia="仿宋_GB2312" w:cs="Times New Roman"/>
          <w:color w:val="auto"/>
          <w:spacing w:val="-6"/>
          <w:sz w:val="32"/>
          <w:szCs w:val="32"/>
        </w:rPr>
        <w:t>支付依据合规合法，资金支付与预算相符。</w:t>
      </w:r>
    </w:p>
    <w:p>
      <w:pPr>
        <w:keepNext w:val="0"/>
        <w:keepLines w:val="0"/>
        <w:pageBreakBefore w:val="0"/>
        <w:numPr>
          <w:ilvl w:val="0"/>
          <w:numId w:val="0"/>
        </w:numPr>
        <w:kinsoku/>
        <w:wordWrap/>
        <w:overflowPunct/>
        <w:topLinePunct w:val="0"/>
        <w:autoSpaceDE/>
        <w:autoSpaceDN/>
        <w:bidi w:val="0"/>
        <w:adjustRightInd w:val="0"/>
        <w:snapToGrid w:val="0"/>
        <w:spacing w:line="600" w:lineRule="exact"/>
        <w:textAlignment w:val="auto"/>
        <w:rPr>
          <w:rFonts w:ascii="仿宋_GB2312" w:hAnsi="宋体" w:eastAsia="仿宋_GB2312" w:cs="Times New Roman"/>
          <w:color w:val="auto"/>
          <w:sz w:val="32"/>
          <w:szCs w:val="32"/>
          <w:highlight w:val="none"/>
          <w:lang w:val="zh-CN"/>
        </w:rPr>
      </w:pP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楷体_GB2312" w:hAnsi="宋体" w:eastAsia="楷体_GB2312" w:cs="Times New Roman"/>
          <w:b/>
          <w:color w:val="auto"/>
          <w:sz w:val="32"/>
          <w:szCs w:val="32"/>
          <w:highlight w:val="none"/>
          <w:lang w:val="zh-CN"/>
        </w:rPr>
      </w:pPr>
      <w:r>
        <w:rPr>
          <w:rFonts w:hint="eastAsia" w:ascii="楷体_GB2312" w:hAnsi="宋体" w:eastAsia="楷体_GB2312" w:cs="Times New Roman"/>
          <w:b/>
          <w:color w:val="auto"/>
          <w:sz w:val="32"/>
          <w:szCs w:val="32"/>
          <w:highlight w:val="none"/>
          <w:lang w:val="zh-CN"/>
        </w:rPr>
        <w:t>（三）项目财务管理情况。</w:t>
      </w:r>
    </w:p>
    <w:p>
      <w:pPr>
        <w:autoSpaceDE w:val="0"/>
        <w:spacing w:line="540" w:lineRule="exact"/>
        <w:ind w:firstLine="616" w:firstLineChars="200"/>
        <w:rPr>
          <w:rFonts w:ascii="仿宋_GB2312" w:hAnsi="宋体" w:eastAsia="仿宋_GB2312" w:cs="Times New Roman"/>
          <w:color w:val="auto"/>
          <w:sz w:val="32"/>
          <w:szCs w:val="32"/>
          <w:highlight w:val="none"/>
          <w:lang w:val="zh-CN"/>
        </w:rPr>
      </w:pPr>
      <w:r>
        <w:rPr>
          <w:rFonts w:hint="eastAsia" w:ascii="仿宋_GB2312" w:hAnsi="Times New Roman" w:eastAsia="仿宋_GB2312" w:cs="Times New Roman"/>
          <w:color w:val="auto"/>
          <w:spacing w:val="-6"/>
          <w:sz w:val="32"/>
          <w:szCs w:val="32"/>
        </w:rPr>
        <w:t>财务管理制度健全，严格执行财务管理制度，账务处理及时。会计核算规范。</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黑体" w:hAnsi="宋体" w:eastAsia="黑体" w:cs="Times New Roman"/>
          <w:color w:val="auto"/>
          <w:sz w:val="32"/>
          <w:szCs w:val="32"/>
          <w:highlight w:val="none"/>
        </w:rPr>
      </w:pPr>
      <w:r>
        <w:rPr>
          <w:rFonts w:hint="eastAsia" w:ascii="黑体" w:hAnsi="宋体" w:eastAsia="黑体" w:cs="Times New Roman"/>
          <w:color w:val="auto"/>
          <w:sz w:val="32"/>
          <w:szCs w:val="32"/>
          <w:highlight w:val="none"/>
        </w:rPr>
        <w:t>三、项目实施及管理情况</w:t>
      </w:r>
    </w:p>
    <w:p>
      <w:pPr>
        <w:autoSpaceDE w:val="0"/>
        <w:spacing w:line="540" w:lineRule="exact"/>
        <w:ind w:firstLine="616" w:firstLineChars="200"/>
        <w:rPr>
          <w:rFonts w:hint="eastAsia" w:ascii="仿宋_GB2312" w:hAnsi="Times New Roman" w:eastAsia="仿宋_GB2312" w:cs="Times New Roman"/>
          <w:color w:val="auto"/>
          <w:spacing w:val="-6"/>
          <w:sz w:val="32"/>
          <w:szCs w:val="32"/>
        </w:rPr>
      </w:pPr>
      <w:r>
        <w:rPr>
          <w:rFonts w:hint="eastAsia" w:ascii="仿宋_GB2312" w:hAnsi="Times New Roman" w:eastAsia="仿宋_GB2312" w:cs="Times New Roman"/>
          <w:color w:val="auto"/>
          <w:spacing w:val="-6"/>
          <w:sz w:val="32"/>
          <w:szCs w:val="32"/>
          <w:lang w:val="en-US" w:eastAsia="zh-CN"/>
        </w:rPr>
        <w:t>2</w:t>
      </w:r>
      <w:r>
        <w:rPr>
          <w:rFonts w:hint="eastAsia" w:ascii="仿宋_GB2312" w:hAnsi="Times New Roman" w:eastAsia="仿宋_GB2312" w:cs="Times New Roman"/>
          <w:color w:val="auto"/>
          <w:spacing w:val="-6"/>
          <w:sz w:val="32"/>
          <w:szCs w:val="32"/>
        </w:rPr>
        <w:t>021年度部门项目预算</w:t>
      </w:r>
      <w:r>
        <w:rPr>
          <w:rFonts w:hint="eastAsia" w:ascii="仿宋_GB2312" w:hAnsi="宋体" w:eastAsia="仿宋_GB2312" w:cs="Times New Roman"/>
          <w:spacing w:val="-6"/>
          <w:sz w:val="32"/>
          <w:szCs w:val="32"/>
        </w:rPr>
        <w:t>婚姻家庭纠纷预防化解</w:t>
      </w:r>
      <w:r>
        <w:rPr>
          <w:rFonts w:hint="eastAsia" w:ascii="仿宋_GB2312" w:hAnsi="宋体" w:eastAsia="仿宋_GB2312" w:cs="Times New Roman"/>
          <w:spacing w:val="-6"/>
          <w:sz w:val="32"/>
          <w:szCs w:val="32"/>
          <w:lang w:eastAsia="zh-CN"/>
        </w:rPr>
        <w:t>费用</w:t>
      </w:r>
      <w:r>
        <w:rPr>
          <w:rFonts w:hint="eastAsia" w:ascii="仿宋_GB2312" w:hAnsi="Times New Roman" w:eastAsia="仿宋_GB2312" w:cs="Times New Roman"/>
          <w:color w:val="auto"/>
          <w:spacing w:val="-6"/>
          <w:sz w:val="32"/>
          <w:szCs w:val="32"/>
        </w:rPr>
        <w:t>，严格执行预算规定，符合法律法规，年初拟定用款计划，严格按照项目资金管理办法对资金进行计划申请、划拨、使用，及时、规范对收支进行账务处理和会计核算。</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仿宋_GB2312" w:hAnsi="宋体" w:eastAsia="仿宋_GB2312" w:cs="Times New Roman"/>
          <w:color w:val="auto"/>
          <w:sz w:val="32"/>
          <w:szCs w:val="32"/>
          <w:highlight w:val="none"/>
          <w:lang w:val="zh-CN"/>
        </w:rPr>
      </w:pPr>
      <w:r>
        <w:rPr>
          <w:rFonts w:hint="eastAsia" w:ascii="黑体" w:hAnsi="宋体" w:eastAsia="黑体" w:cs="Times New Roman"/>
          <w:color w:val="auto"/>
          <w:sz w:val="32"/>
          <w:szCs w:val="32"/>
          <w:highlight w:val="none"/>
        </w:rPr>
        <w:t>四、项目绩效情况</w:t>
      </w:r>
      <w:r>
        <w:rPr>
          <w:rFonts w:hint="eastAsia" w:ascii="仿宋_GB2312" w:hAnsi="宋体" w:eastAsia="仿宋_GB2312" w:cs="Times New Roman"/>
          <w:color w:val="auto"/>
          <w:sz w:val="32"/>
          <w:szCs w:val="32"/>
          <w:highlight w:val="none"/>
          <w:lang w:val="zh-CN"/>
        </w:rPr>
        <w:tab/>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楷体_GB2312" w:hAnsi="宋体" w:eastAsia="楷体_GB2312" w:cs="Times New Roman"/>
          <w:b/>
          <w:color w:val="auto"/>
          <w:sz w:val="32"/>
          <w:szCs w:val="32"/>
          <w:highlight w:val="none"/>
          <w:lang w:val="zh-CN"/>
        </w:rPr>
      </w:pPr>
      <w:r>
        <w:rPr>
          <w:rFonts w:hint="eastAsia" w:ascii="楷体_GB2312" w:hAnsi="宋体" w:eastAsia="楷体_GB2312" w:cs="Times New Roman"/>
          <w:b/>
          <w:color w:val="auto"/>
          <w:sz w:val="32"/>
          <w:szCs w:val="32"/>
          <w:highlight w:val="none"/>
          <w:lang w:val="zh-CN"/>
        </w:rPr>
        <w:t>（一）项目完成情况。</w:t>
      </w:r>
    </w:p>
    <w:p>
      <w:pPr>
        <w:autoSpaceDE w:val="0"/>
        <w:spacing w:line="540" w:lineRule="exact"/>
        <w:rPr>
          <w:rFonts w:hint="eastAsia" w:ascii="仿宋_GB2312" w:hAnsi="Times New Roman" w:eastAsia="仿宋_GB2312" w:cs="Times New Roman"/>
          <w:color w:val="auto"/>
          <w:spacing w:val="-6"/>
          <w:sz w:val="32"/>
          <w:szCs w:val="32"/>
          <w:lang w:val="en-US" w:eastAsia="zh-CN"/>
        </w:rPr>
      </w:pPr>
      <w:r>
        <w:rPr>
          <w:rFonts w:hint="eastAsia" w:ascii="仿宋_GB2312" w:hAnsi="Times New Roman" w:eastAsia="仿宋_GB2312" w:cs="Times New Roman"/>
          <w:color w:val="auto"/>
          <w:spacing w:val="-6"/>
          <w:sz w:val="32"/>
          <w:szCs w:val="32"/>
          <w:lang w:val="en-US" w:eastAsia="zh-CN"/>
        </w:rPr>
        <w:t>数量指标：全年调解婚姻家庭纠纷家庭矛盾35件。</w:t>
      </w:r>
    </w:p>
    <w:p>
      <w:pPr>
        <w:autoSpaceDE w:val="0"/>
        <w:spacing w:line="540" w:lineRule="exact"/>
        <w:rPr>
          <w:rFonts w:hint="eastAsia" w:ascii="仿宋_GB2312" w:hAnsi="Times New Roman" w:eastAsia="仿宋_GB2312" w:cs="Times New Roman"/>
          <w:color w:val="auto"/>
          <w:spacing w:val="-6"/>
          <w:sz w:val="32"/>
          <w:szCs w:val="32"/>
          <w:lang w:val="en-US" w:eastAsia="zh-CN"/>
        </w:rPr>
      </w:pPr>
      <w:r>
        <w:rPr>
          <w:rFonts w:hint="eastAsia" w:ascii="仿宋_GB2312" w:hAnsi="Times New Roman" w:eastAsia="仿宋_GB2312" w:cs="Times New Roman"/>
          <w:color w:val="auto"/>
          <w:spacing w:val="-6"/>
          <w:sz w:val="32"/>
          <w:szCs w:val="32"/>
          <w:lang w:val="en-US" w:eastAsia="zh-CN"/>
        </w:rPr>
        <w:t>质量指标：高标准完成调解婚姻家庭纠纷家庭矛盾。</w:t>
      </w:r>
    </w:p>
    <w:p>
      <w:pPr>
        <w:autoSpaceDE w:val="0"/>
        <w:spacing w:line="540" w:lineRule="exact"/>
        <w:rPr>
          <w:rFonts w:hint="eastAsia" w:ascii="仿宋_GB2312" w:hAnsi="Times New Roman" w:eastAsia="仿宋_GB2312" w:cs="Times New Roman"/>
          <w:color w:val="auto"/>
          <w:spacing w:val="-6"/>
          <w:sz w:val="32"/>
          <w:szCs w:val="32"/>
          <w:lang w:val="en-US" w:eastAsia="zh-CN"/>
        </w:rPr>
      </w:pPr>
      <w:r>
        <w:rPr>
          <w:rFonts w:hint="eastAsia" w:ascii="仿宋_GB2312" w:hAnsi="Times New Roman" w:eastAsia="仿宋_GB2312" w:cs="Times New Roman"/>
          <w:color w:val="auto"/>
          <w:spacing w:val="-6"/>
          <w:sz w:val="32"/>
          <w:szCs w:val="32"/>
          <w:lang w:val="en-US" w:eastAsia="zh-CN"/>
        </w:rPr>
        <w:t>时效指标：完成时间2021年。</w:t>
      </w:r>
    </w:p>
    <w:p>
      <w:pPr>
        <w:autoSpaceDE w:val="0"/>
        <w:spacing w:line="540" w:lineRule="exact"/>
        <w:rPr>
          <w:rFonts w:ascii="楷体_GB2312" w:hAnsi="宋体" w:eastAsia="楷体_GB2312" w:cs="Times New Roman"/>
          <w:b/>
          <w:color w:val="auto"/>
          <w:sz w:val="32"/>
          <w:szCs w:val="32"/>
          <w:highlight w:val="none"/>
          <w:lang w:val="zh-CN"/>
        </w:rPr>
      </w:pPr>
      <w:r>
        <w:rPr>
          <w:rFonts w:hint="eastAsia" w:ascii="仿宋_GB2312" w:hAnsi="Times New Roman" w:eastAsia="仿宋_GB2312" w:cs="Times New Roman"/>
          <w:color w:val="auto"/>
          <w:spacing w:val="-6"/>
          <w:sz w:val="32"/>
          <w:szCs w:val="32"/>
          <w:lang w:val="en-US" w:eastAsia="zh-CN"/>
        </w:rPr>
        <w:t>成本指标：1万元。</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楷体_GB2312" w:hAnsi="宋体" w:eastAsia="楷体_GB2312" w:cs="Times New Roman"/>
          <w:b/>
          <w:color w:val="auto"/>
          <w:sz w:val="32"/>
          <w:szCs w:val="32"/>
          <w:highlight w:val="none"/>
          <w:lang w:val="zh-CN"/>
        </w:rPr>
      </w:pPr>
      <w:r>
        <w:rPr>
          <w:rFonts w:hint="eastAsia" w:ascii="楷体_GB2312" w:hAnsi="宋体" w:eastAsia="楷体_GB2312" w:cs="Times New Roman"/>
          <w:b/>
          <w:color w:val="auto"/>
          <w:sz w:val="32"/>
          <w:szCs w:val="32"/>
          <w:highlight w:val="none"/>
          <w:lang w:val="zh-CN"/>
        </w:rPr>
        <w:t>（二）项目效益情况。</w:t>
      </w:r>
    </w:p>
    <w:p>
      <w:pPr>
        <w:tabs>
          <w:tab w:val="left" w:pos="553"/>
        </w:tabs>
        <w:autoSpaceDE w:val="0"/>
        <w:spacing w:line="540" w:lineRule="exact"/>
        <w:rPr>
          <w:rFonts w:hint="eastAsia" w:ascii="仿宋_GB2312" w:hAnsi="Times New Roman" w:eastAsia="仿宋_GB2312" w:cs="Times New Roman"/>
          <w:color w:val="auto"/>
          <w:spacing w:val="-6"/>
          <w:sz w:val="32"/>
          <w:szCs w:val="32"/>
          <w:lang w:val="en-US" w:eastAsia="zh-CN"/>
        </w:rPr>
      </w:pPr>
      <w:r>
        <w:rPr>
          <w:rFonts w:hint="eastAsia" w:ascii="仿宋_GB2312" w:hAnsi="Times New Roman" w:eastAsia="仿宋_GB2312" w:cs="Times New Roman"/>
          <w:color w:val="auto"/>
          <w:spacing w:val="-6"/>
          <w:sz w:val="32"/>
          <w:szCs w:val="32"/>
          <w:lang w:val="en-US" w:eastAsia="zh-CN"/>
        </w:rPr>
        <w:t>经济效益：无。</w:t>
      </w:r>
    </w:p>
    <w:p>
      <w:pPr>
        <w:autoSpaceDE w:val="0"/>
        <w:spacing w:line="540" w:lineRule="exact"/>
        <w:rPr>
          <w:rFonts w:hint="eastAsia" w:ascii="仿宋_GB2312" w:hAnsi="Times New Roman" w:eastAsia="仿宋_GB2312" w:cs="Times New Roman"/>
          <w:spacing w:val="-6"/>
          <w:sz w:val="32"/>
          <w:szCs w:val="32"/>
          <w:lang w:eastAsia="zh-CN"/>
        </w:rPr>
      </w:pPr>
      <w:r>
        <w:rPr>
          <w:rFonts w:hint="eastAsia" w:ascii="仿宋_GB2312" w:hAnsi="Times New Roman" w:eastAsia="仿宋_GB2312" w:cs="Times New Roman"/>
          <w:spacing w:val="-6"/>
          <w:sz w:val="32"/>
          <w:szCs w:val="32"/>
          <w:lang w:eastAsia="zh-CN"/>
        </w:rPr>
        <w:t>社会效益：有利于家庭幸福，社会和谐。</w:t>
      </w:r>
    </w:p>
    <w:p>
      <w:pPr>
        <w:autoSpaceDE w:val="0"/>
        <w:spacing w:line="540" w:lineRule="exact"/>
        <w:rPr>
          <w:rFonts w:hint="eastAsia" w:ascii="仿宋_GB2312" w:hAnsi="Times New Roman" w:eastAsia="仿宋_GB2312" w:cs="Times New Roman"/>
          <w:color w:val="auto"/>
          <w:spacing w:val="-6"/>
          <w:sz w:val="32"/>
          <w:szCs w:val="32"/>
          <w:lang w:val="en-US" w:eastAsia="zh-CN"/>
        </w:rPr>
      </w:pPr>
      <w:r>
        <w:rPr>
          <w:rFonts w:hint="eastAsia" w:ascii="仿宋_GB2312" w:hAnsi="Times New Roman" w:eastAsia="仿宋_GB2312" w:cs="Times New Roman"/>
          <w:spacing w:val="-6"/>
          <w:sz w:val="32"/>
          <w:szCs w:val="32"/>
        </w:rPr>
        <w:t>生态效益</w:t>
      </w:r>
      <w:r>
        <w:rPr>
          <w:rFonts w:hint="eastAsia" w:ascii="仿宋_GB2312" w:hAnsi="Times New Roman" w:eastAsia="仿宋_GB2312" w:cs="Times New Roman"/>
          <w:color w:val="auto"/>
          <w:spacing w:val="-6"/>
          <w:sz w:val="32"/>
          <w:szCs w:val="32"/>
          <w:lang w:val="en-US" w:eastAsia="zh-CN"/>
        </w:rPr>
        <w:t>：无。</w:t>
      </w:r>
    </w:p>
    <w:p>
      <w:pPr>
        <w:autoSpaceDE w:val="0"/>
        <w:spacing w:line="540" w:lineRule="exact"/>
        <w:rPr>
          <w:rFonts w:hint="eastAsia" w:ascii="仿宋_GB2312" w:hAnsi="Times New Roman" w:eastAsia="仿宋_GB2312" w:cs="Times New Roman"/>
          <w:color w:val="auto"/>
          <w:spacing w:val="-6"/>
          <w:sz w:val="32"/>
          <w:szCs w:val="32"/>
          <w:lang w:val="en-US" w:eastAsia="zh-CN"/>
        </w:rPr>
      </w:pPr>
      <w:r>
        <w:rPr>
          <w:rFonts w:hint="eastAsia" w:ascii="仿宋_GB2312" w:hAnsi="Times New Roman" w:eastAsia="仿宋_GB2312" w:cs="Times New Roman"/>
          <w:color w:val="auto"/>
          <w:spacing w:val="-6"/>
          <w:sz w:val="32"/>
          <w:szCs w:val="32"/>
          <w:lang w:val="en-US" w:eastAsia="zh-CN"/>
        </w:rPr>
        <w:t>可持续影响指标：社会发展需要；满足妇女儿童发展需；服务全区，引领全区妇女儿童。</w:t>
      </w:r>
    </w:p>
    <w:p>
      <w:pPr>
        <w:autoSpaceDE w:val="0"/>
        <w:spacing w:line="540" w:lineRule="exact"/>
        <w:rPr>
          <w:rFonts w:hint="eastAsia" w:ascii="仿宋_GB2312" w:hAnsi="Times New Roman" w:eastAsia="仿宋_GB2312" w:cs="Times New Roman"/>
          <w:color w:val="auto"/>
          <w:spacing w:val="-6"/>
          <w:sz w:val="32"/>
          <w:szCs w:val="32"/>
          <w:lang w:val="en-US" w:eastAsia="zh-CN"/>
        </w:rPr>
      </w:pPr>
      <w:r>
        <w:rPr>
          <w:rFonts w:hint="eastAsia" w:ascii="仿宋_GB2312" w:hAnsi="Times New Roman" w:eastAsia="仿宋_GB2312" w:cs="Times New Roman"/>
          <w:color w:val="auto"/>
          <w:spacing w:val="-6"/>
          <w:sz w:val="32"/>
          <w:szCs w:val="32"/>
          <w:lang w:val="en-US" w:eastAsia="zh-CN"/>
        </w:rPr>
        <w:t>满意度指标：满意度达95%以上。</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黑体" w:hAnsi="宋体" w:eastAsia="黑体" w:cs="Times New Roman"/>
          <w:color w:val="auto"/>
          <w:sz w:val="32"/>
          <w:szCs w:val="32"/>
          <w:highlight w:val="none"/>
        </w:rPr>
      </w:pPr>
      <w:r>
        <w:rPr>
          <w:rFonts w:hint="eastAsia" w:ascii="黑体" w:hAnsi="宋体" w:eastAsia="黑体" w:cs="Times New Roman"/>
          <w:color w:val="auto"/>
          <w:sz w:val="32"/>
          <w:szCs w:val="32"/>
          <w:highlight w:val="none"/>
        </w:rPr>
        <w:t>五、评价结论及建议</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楷体_GB2312" w:hAnsi="宋体" w:eastAsia="楷体_GB2312" w:cs="Times New Roman"/>
          <w:b/>
          <w:color w:val="auto"/>
          <w:sz w:val="32"/>
          <w:szCs w:val="32"/>
          <w:highlight w:val="none"/>
          <w:lang w:val="zh-CN"/>
        </w:rPr>
      </w:pPr>
      <w:r>
        <w:rPr>
          <w:rFonts w:hint="eastAsia" w:ascii="楷体_GB2312" w:hAnsi="宋体" w:eastAsia="楷体_GB2312" w:cs="Times New Roman"/>
          <w:b/>
          <w:color w:val="auto"/>
          <w:sz w:val="32"/>
          <w:szCs w:val="32"/>
          <w:highlight w:val="none"/>
          <w:lang w:val="zh-CN"/>
        </w:rPr>
        <w:t>（一）评价结论。</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ascii="仿宋_GB2312" w:hAnsi="宋体" w:eastAsia="仿宋_GB2312" w:cs="Times New Roman"/>
          <w:color w:val="auto"/>
          <w:sz w:val="32"/>
          <w:szCs w:val="32"/>
          <w:highlight w:val="none"/>
          <w:bdr w:val="single" w:color="auto" w:sz="4" w:space="0"/>
          <w:lang w:val="zh-CN"/>
        </w:rPr>
      </w:pPr>
      <w:r>
        <w:rPr>
          <w:rFonts w:hint="eastAsia" w:ascii="仿宋_GB2312" w:hAnsi="宋体" w:eastAsia="仿宋_GB2312" w:cs="Times New Roman"/>
          <w:color w:val="auto"/>
          <w:sz w:val="32"/>
          <w:szCs w:val="32"/>
          <w:highlight w:val="none"/>
          <w:lang w:val="zh-CN"/>
        </w:rPr>
        <w:t>结合项目自身特点、评价重点及管理办法等要求，围绕专项项目支出绩效评价指标体系对项目进行总体评价。</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楷体_GB2312" w:hAnsi="宋体" w:eastAsia="楷体_GB2312" w:cs="Times New Roman"/>
          <w:b/>
          <w:color w:val="auto"/>
          <w:sz w:val="32"/>
          <w:szCs w:val="32"/>
          <w:highlight w:val="none"/>
          <w:lang w:val="zh-CN"/>
        </w:rPr>
      </w:pPr>
      <w:r>
        <w:rPr>
          <w:rFonts w:hint="eastAsia" w:ascii="楷体_GB2312" w:hAnsi="宋体" w:eastAsia="楷体_GB2312" w:cs="Times New Roman"/>
          <w:b/>
          <w:color w:val="auto"/>
          <w:sz w:val="32"/>
          <w:szCs w:val="32"/>
          <w:highlight w:val="none"/>
          <w:lang w:val="zh-CN"/>
        </w:rPr>
        <w:t>（二）存在的问题。</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ascii="仿宋_GB2312" w:hAnsi="宋体" w:eastAsia="仿宋_GB2312" w:cs="Times New Roman"/>
          <w:color w:val="auto"/>
          <w:sz w:val="32"/>
          <w:szCs w:val="32"/>
          <w:highlight w:val="none"/>
          <w:bdr w:val="single" w:color="auto" w:sz="4" w:space="0"/>
          <w:lang w:val="zh-CN"/>
        </w:rPr>
      </w:pPr>
      <w:r>
        <w:rPr>
          <w:rFonts w:hint="eastAsia" w:ascii="仿宋_GB2312" w:hAnsi="宋体" w:eastAsia="仿宋_GB2312" w:cs="Times New Roman"/>
          <w:color w:val="auto"/>
          <w:sz w:val="32"/>
          <w:szCs w:val="32"/>
          <w:highlight w:val="none"/>
          <w:lang w:val="zh-CN"/>
        </w:rPr>
        <w:t>通过对单位</w:t>
      </w:r>
      <w:r>
        <w:rPr>
          <w:rFonts w:hint="eastAsia" w:ascii="仿宋_GB2312" w:hAnsi="宋体" w:eastAsia="仿宋_GB2312" w:cs="Times New Roman"/>
          <w:color w:val="auto"/>
          <w:sz w:val="32"/>
          <w:szCs w:val="32"/>
          <w:highlight w:val="none"/>
          <w:lang w:val="en-US" w:eastAsia="zh-CN"/>
        </w:rPr>
        <w:t>项目</w:t>
      </w:r>
      <w:r>
        <w:rPr>
          <w:rFonts w:hint="eastAsia" w:ascii="仿宋_GB2312" w:hAnsi="宋体" w:eastAsia="仿宋_GB2312" w:cs="Times New Roman"/>
          <w:color w:val="auto"/>
          <w:sz w:val="32"/>
          <w:szCs w:val="32"/>
          <w:highlight w:val="none"/>
          <w:lang w:val="zh-CN"/>
        </w:rPr>
        <w:t>自评评分，评价结果</w:t>
      </w:r>
      <w:r>
        <w:rPr>
          <w:rFonts w:hint="eastAsia" w:ascii="仿宋_GB2312" w:hAnsi="宋体" w:eastAsia="仿宋_GB2312" w:cs="Times New Roman"/>
          <w:color w:val="auto"/>
          <w:sz w:val="32"/>
          <w:szCs w:val="32"/>
          <w:highlight w:val="none"/>
          <w:lang w:val="en-US" w:eastAsia="zh-CN"/>
        </w:rPr>
        <w:t>95</w:t>
      </w:r>
      <w:r>
        <w:rPr>
          <w:rFonts w:hint="eastAsia" w:ascii="仿宋_GB2312" w:hAnsi="宋体" w:eastAsia="仿宋_GB2312" w:cs="Times New Roman"/>
          <w:color w:val="auto"/>
          <w:sz w:val="32"/>
          <w:szCs w:val="32"/>
          <w:highlight w:val="none"/>
          <w:lang w:val="zh-CN"/>
        </w:rPr>
        <w:t>分以上。</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楷体_GB2312" w:hAnsi="宋体" w:eastAsia="楷体_GB2312" w:cs="Times New Roman"/>
          <w:b/>
          <w:color w:val="auto"/>
          <w:sz w:val="32"/>
          <w:szCs w:val="32"/>
          <w:highlight w:val="none"/>
          <w:lang w:val="zh-CN"/>
        </w:rPr>
      </w:pPr>
      <w:r>
        <w:rPr>
          <w:rFonts w:hint="eastAsia" w:ascii="楷体_GB2312" w:hAnsi="宋体" w:eastAsia="楷体_GB2312" w:cs="Times New Roman"/>
          <w:b/>
          <w:color w:val="auto"/>
          <w:sz w:val="32"/>
          <w:szCs w:val="32"/>
          <w:highlight w:val="none"/>
          <w:lang w:val="zh-CN"/>
        </w:rPr>
        <w:t>（三）相关建议。</w:t>
      </w:r>
    </w:p>
    <w:p>
      <w:pPr>
        <w:keepNext w:val="0"/>
        <w:keepLines w:val="0"/>
        <w:pageBreakBefore w:val="0"/>
        <w:kinsoku/>
        <w:wordWrap/>
        <w:overflowPunct/>
        <w:topLinePunct w:val="0"/>
        <w:autoSpaceDE/>
        <w:autoSpaceDN/>
        <w:bidi w:val="0"/>
        <w:adjustRightInd w:val="0"/>
        <w:snapToGrid w:val="0"/>
        <w:spacing w:line="600" w:lineRule="exact"/>
        <w:ind w:firstLine="1414" w:firstLineChars="442"/>
        <w:textAlignment w:val="auto"/>
        <w:rPr>
          <w:rFonts w:hint="eastAsia" w:ascii="仿宋_GB2312" w:hAnsi="宋体" w:eastAsia="仿宋_GB2312" w:cs="Times New Roman"/>
          <w:color w:val="auto"/>
          <w:sz w:val="32"/>
          <w:szCs w:val="32"/>
          <w:highlight w:val="none"/>
          <w:lang w:val="zh-CN"/>
        </w:rPr>
      </w:pPr>
      <w:r>
        <w:rPr>
          <w:rFonts w:hint="eastAsia" w:ascii="仿宋_GB2312" w:hAnsi="宋体" w:eastAsia="仿宋_GB2312" w:cs="Times New Roman"/>
          <w:color w:val="auto"/>
          <w:sz w:val="32"/>
          <w:szCs w:val="32"/>
          <w:highlight w:val="none"/>
          <w:lang w:val="zh-CN"/>
        </w:rPr>
        <w:t>无</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lang w:val="zh-CN"/>
        </w:rPr>
      </w:pPr>
      <w:r>
        <w:rPr>
          <w:rFonts w:hint="eastAsia" w:ascii="仿宋_GB2312" w:hAnsi="宋体" w:eastAsia="仿宋_GB2312" w:cs="Times New Roman"/>
          <w:color w:val="auto"/>
          <w:sz w:val="32"/>
          <w:szCs w:val="32"/>
          <w:highlight w:val="none"/>
          <w:lang w:val="zh-CN"/>
        </w:rPr>
        <w:t>2．项目立项、资金申报的依据。</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eastAsia" w:ascii="仿宋_GB2312" w:hAnsi="宋体" w:eastAsia="仿宋_GB2312" w:cs="Times New Roman"/>
          <w:color w:val="auto"/>
          <w:sz w:val="32"/>
          <w:szCs w:val="32"/>
          <w:highlight w:val="none"/>
          <w:lang w:val="zh-CN"/>
        </w:rPr>
      </w:pPr>
      <w:r>
        <w:rPr>
          <w:rFonts w:hint="eastAsia" w:ascii="仿宋_GB2312" w:hAnsi="宋体" w:eastAsia="仿宋_GB2312" w:cs="Times New Roman"/>
          <w:color w:val="auto"/>
          <w:sz w:val="32"/>
          <w:szCs w:val="32"/>
          <w:highlight w:val="none"/>
          <w:lang w:val="zh-CN"/>
        </w:rPr>
        <w:t>3．资金管理办法制定情况，资金支持具体项目的条件、范围与支持方式概况。</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lang w:val="zh-CN"/>
        </w:rPr>
      </w:pPr>
      <w:r>
        <w:rPr>
          <w:rFonts w:hint="eastAsia" w:ascii="仿宋_GB2312" w:hAnsi="宋体" w:eastAsia="仿宋_GB2312" w:cs="Times New Roman"/>
          <w:color w:val="auto"/>
          <w:sz w:val="32"/>
          <w:szCs w:val="32"/>
          <w:highlight w:val="none"/>
          <w:lang w:val="zh-CN"/>
        </w:rPr>
        <w:t>4．资金分配的原则及考虑因素。</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楷体_GB2312" w:hAnsi="宋体" w:eastAsia="楷体_GB2312" w:cs="Times New Roman"/>
          <w:b/>
          <w:color w:val="auto"/>
          <w:sz w:val="32"/>
          <w:szCs w:val="32"/>
          <w:highlight w:val="none"/>
          <w:lang w:val="zh-CN"/>
        </w:rPr>
      </w:pPr>
      <w:r>
        <w:rPr>
          <w:rFonts w:hint="eastAsia" w:ascii="楷体_GB2312" w:hAnsi="宋体" w:eastAsia="楷体_GB2312" w:cs="Times New Roman"/>
          <w:b/>
          <w:color w:val="auto"/>
          <w:sz w:val="32"/>
          <w:szCs w:val="32"/>
          <w:highlight w:val="none"/>
          <w:lang w:val="zh-CN"/>
        </w:rPr>
        <w:t>（二）项目绩效目标。</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eastAsia" w:ascii="仿宋_GB2312" w:hAnsi="宋体" w:eastAsia="仿宋_GB2312" w:cs="Times New Roman"/>
          <w:color w:val="auto"/>
          <w:sz w:val="32"/>
          <w:szCs w:val="32"/>
          <w:highlight w:val="none"/>
          <w:lang w:val="zh-CN"/>
        </w:rPr>
      </w:pPr>
      <w:r>
        <w:rPr>
          <w:rFonts w:hint="eastAsia" w:ascii="仿宋_GB2312" w:hAnsi="宋体" w:eastAsia="仿宋_GB2312" w:cs="Times New Roman"/>
          <w:color w:val="auto"/>
          <w:sz w:val="32"/>
          <w:szCs w:val="32"/>
          <w:highlight w:val="none"/>
          <w:lang w:val="zh-CN"/>
        </w:rPr>
        <w:t>1．项目主要内容。</w:t>
      </w:r>
    </w:p>
    <w:p>
      <w:pPr>
        <w:pStyle w:val="2"/>
        <w:rPr>
          <w:lang w:val="zh-CN"/>
        </w:rPr>
      </w:pPr>
      <w:r>
        <w:rPr>
          <w:rFonts w:hint="eastAsia" w:ascii="仿宋_GB2312" w:hAnsi="Times New Roman" w:eastAsia="仿宋_GB2312" w:cs="Times New Roman"/>
          <w:spacing w:val="-6"/>
          <w:sz w:val="32"/>
          <w:szCs w:val="32"/>
          <w:lang w:val="en-US" w:eastAsia="zh-CN"/>
        </w:rPr>
        <w:t>开展婚姻家庭纠纷预防化解工作。</w:t>
      </w:r>
    </w:p>
    <w:p>
      <w:pPr>
        <w:keepNext w:val="0"/>
        <w:keepLines w:val="0"/>
        <w:pageBreakBefore w:val="0"/>
        <w:numPr>
          <w:ilvl w:val="0"/>
          <w:numId w:val="12"/>
        </w:numPr>
        <w:kinsoku/>
        <w:wordWrap/>
        <w:overflowPunct/>
        <w:topLinePunct w:val="0"/>
        <w:autoSpaceDE/>
        <w:autoSpaceDN/>
        <w:bidi w:val="0"/>
        <w:adjustRightInd w:val="0"/>
        <w:snapToGrid w:val="0"/>
        <w:spacing w:line="600" w:lineRule="exact"/>
        <w:ind w:left="120" w:leftChars="0" w:firstLine="720" w:firstLineChars="0"/>
        <w:textAlignment w:val="auto"/>
        <w:rPr>
          <w:rFonts w:hint="eastAsia" w:ascii="仿宋_GB2312" w:hAnsi="宋体" w:eastAsia="仿宋_GB2312" w:cs="Times New Roman"/>
          <w:color w:val="auto"/>
          <w:sz w:val="32"/>
          <w:szCs w:val="32"/>
          <w:highlight w:val="none"/>
          <w:lang w:val="zh-CN"/>
        </w:rPr>
      </w:pPr>
      <w:r>
        <w:rPr>
          <w:rFonts w:hint="eastAsia" w:ascii="仿宋_GB2312" w:hAnsi="宋体" w:eastAsia="仿宋_GB2312" w:cs="Times New Roman"/>
          <w:color w:val="auto"/>
          <w:sz w:val="32"/>
          <w:szCs w:val="32"/>
          <w:highlight w:val="none"/>
          <w:lang w:val="zh-CN"/>
        </w:rPr>
        <w:t>项目应实现的具体绩效目标，包括目标的量化、细化情况以及项目实施进度计划等。</w:t>
      </w:r>
    </w:p>
    <w:p>
      <w:pPr>
        <w:autoSpaceDE w:val="0"/>
        <w:spacing w:line="540" w:lineRule="exact"/>
        <w:rPr>
          <w:rFonts w:hint="eastAsia" w:ascii="仿宋_GB2312" w:hAnsi="Times New Roman" w:eastAsia="仿宋_GB2312" w:cs="Times New Roman"/>
          <w:color w:val="auto"/>
          <w:spacing w:val="-6"/>
          <w:sz w:val="32"/>
          <w:szCs w:val="32"/>
          <w:lang w:val="en-US" w:eastAsia="zh-CN"/>
        </w:rPr>
      </w:pPr>
      <w:r>
        <w:rPr>
          <w:rFonts w:hint="eastAsia" w:ascii="仿宋_GB2312" w:hAnsi="Times New Roman" w:eastAsia="仿宋_GB2312" w:cs="Times New Roman"/>
          <w:color w:val="auto"/>
          <w:spacing w:val="-6"/>
          <w:sz w:val="32"/>
          <w:szCs w:val="32"/>
          <w:lang w:val="en-US" w:eastAsia="zh-CN"/>
        </w:rPr>
        <w:t>数量指标：全年调解婚姻家庭纠纷家庭矛盾35件。</w:t>
      </w:r>
    </w:p>
    <w:p>
      <w:pPr>
        <w:autoSpaceDE w:val="0"/>
        <w:spacing w:line="540" w:lineRule="exact"/>
        <w:rPr>
          <w:rFonts w:hint="eastAsia" w:ascii="仿宋_GB2312" w:hAnsi="Times New Roman" w:eastAsia="仿宋_GB2312" w:cs="Times New Roman"/>
          <w:color w:val="auto"/>
          <w:spacing w:val="-6"/>
          <w:sz w:val="32"/>
          <w:szCs w:val="32"/>
          <w:lang w:val="en-US" w:eastAsia="zh-CN"/>
        </w:rPr>
      </w:pPr>
      <w:r>
        <w:rPr>
          <w:rFonts w:hint="eastAsia" w:ascii="仿宋_GB2312" w:hAnsi="Times New Roman" w:eastAsia="仿宋_GB2312" w:cs="Times New Roman"/>
          <w:color w:val="auto"/>
          <w:spacing w:val="-6"/>
          <w:sz w:val="32"/>
          <w:szCs w:val="32"/>
          <w:lang w:val="en-US" w:eastAsia="zh-CN"/>
        </w:rPr>
        <w:t>质量指标：高标准完成调解婚姻家庭纠纷家庭矛盾。</w:t>
      </w:r>
    </w:p>
    <w:p>
      <w:pPr>
        <w:autoSpaceDE w:val="0"/>
        <w:spacing w:line="540" w:lineRule="exact"/>
        <w:rPr>
          <w:rFonts w:hint="eastAsia" w:ascii="仿宋_GB2312" w:hAnsi="Times New Roman" w:eastAsia="仿宋_GB2312" w:cs="Times New Roman"/>
          <w:color w:val="auto"/>
          <w:spacing w:val="-6"/>
          <w:sz w:val="32"/>
          <w:szCs w:val="32"/>
          <w:lang w:val="en-US" w:eastAsia="zh-CN"/>
        </w:rPr>
      </w:pPr>
      <w:r>
        <w:rPr>
          <w:rFonts w:hint="eastAsia" w:ascii="仿宋_GB2312" w:hAnsi="Times New Roman" w:eastAsia="仿宋_GB2312" w:cs="Times New Roman"/>
          <w:color w:val="auto"/>
          <w:spacing w:val="-6"/>
          <w:sz w:val="32"/>
          <w:szCs w:val="32"/>
          <w:lang w:val="en-US" w:eastAsia="zh-CN"/>
        </w:rPr>
        <w:t>时效指标：完成时间2021年。</w:t>
      </w:r>
    </w:p>
    <w:p>
      <w:pPr>
        <w:autoSpaceDE w:val="0"/>
        <w:spacing w:line="540" w:lineRule="exact"/>
        <w:rPr>
          <w:rFonts w:hint="eastAsia"/>
          <w:lang w:val="en-US" w:eastAsia="zh-CN"/>
        </w:rPr>
      </w:pPr>
      <w:r>
        <w:rPr>
          <w:rFonts w:hint="eastAsia" w:ascii="仿宋_GB2312" w:hAnsi="Times New Roman" w:eastAsia="仿宋_GB2312" w:cs="Times New Roman"/>
          <w:color w:val="auto"/>
          <w:spacing w:val="-6"/>
          <w:sz w:val="32"/>
          <w:szCs w:val="32"/>
          <w:lang w:val="en-US" w:eastAsia="zh-CN"/>
        </w:rPr>
        <w:t>成本指标：1万元。</w:t>
      </w:r>
    </w:p>
    <w:p>
      <w:pPr>
        <w:autoSpaceDE w:val="0"/>
        <w:spacing w:line="540" w:lineRule="exact"/>
        <w:rPr>
          <w:rFonts w:hint="eastAsia" w:ascii="仿宋_GB2312" w:hAnsi="Times New Roman" w:eastAsia="仿宋_GB2312" w:cs="Times New Roman"/>
          <w:color w:val="auto"/>
          <w:spacing w:val="-6"/>
          <w:sz w:val="32"/>
          <w:szCs w:val="32"/>
          <w:lang w:val="en-US" w:eastAsia="zh-CN"/>
        </w:rPr>
      </w:pPr>
      <w:r>
        <w:rPr>
          <w:rFonts w:hint="eastAsia" w:ascii="仿宋_GB2312" w:hAnsi="Times New Roman" w:eastAsia="仿宋_GB2312" w:cs="Times New Roman"/>
          <w:color w:val="auto"/>
          <w:spacing w:val="-6"/>
          <w:sz w:val="32"/>
          <w:szCs w:val="32"/>
          <w:lang w:val="en-US" w:eastAsia="zh-CN"/>
        </w:rPr>
        <w:t>经济效益：无。</w:t>
      </w:r>
    </w:p>
    <w:p>
      <w:pPr>
        <w:autoSpaceDE w:val="0"/>
        <w:spacing w:line="540" w:lineRule="exact"/>
        <w:jc w:val="both"/>
        <w:rPr>
          <w:rFonts w:hint="eastAsia" w:ascii="仿宋_GB2312" w:hAnsi="Times New Roman" w:eastAsia="仿宋_GB2312" w:cs="Times New Roman"/>
          <w:color w:val="auto"/>
          <w:spacing w:val="-6"/>
          <w:sz w:val="32"/>
          <w:szCs w:val="32"/>
          <w:lang w:val="en-US" w:eastAsia="zh-CN"/>
        </w:rPr>
      </w:pPr>
      <w:r>
        <w:rPr>
          <w:rFonts w:hint="eastAsia" w:ascii="仿宋_GB2312" w:hAnsi="Times New Roman" w:eastAsia="仿宋_GB2312" w:cs="Times New Roman"/>
          <w:color w:val="auto"/>
          <w:spacing w:val="-6"/>
          <w:sz w:val="32"/>
          <w:szCs w:val="32"/>
          <w:lang w:val="en-US" w:eastAsia="zh-CN"/>
        </w:rPr>
        <w:t>可持续影响指标：社会发展需要；满足妇女儿童发展需；服务全区，引领全区妇女儿童。</w:t>
      </w:r>
    </w:p>
    <w:p>
      <w:pPr>
        <w:pStyle w:val="2"/>
        <w:numPr>
          <w:ilvl w:val="0"/>
          <w:numId w:val="0"/>
        </w:numPr>
        <w:rPr>
          <w:lang w:val="zh-CN"/>
        </w:rPr>
      </w:pPr>
      <w:r>
        <w:rPr>
          <w:rFonts w:hint="eastAsia" w:ascii="仿宋_GB2312" w:hAnsi="Times New Roman" w:eastAsia="仿宋_GB2312" w:cs="Times New Roman"/>
          <w:color w:val="auto"/>
          <w:spacing w:val="-6"/>
          <w:sz w:val="32"/>
          <w:szCs w:val="32"/>
          <w:lang w:val="en-US" w:eastAsia="zh-CN"/>
        </w:rPr>
        <w:t>满意度指标：满意度达95%以上</w:t>
      </w:r>
      <w:r>
        <w:rPr>
          <w:rFonts w:hint="eastAsia" w:cs="Times New Roman"/>
          <w:color w:val="auto"/>
          <w:spacing w:val="-6"/>
          <w:sz w:val="32"/>
          <w:szCs w:val="32"/>
          <w:lang w:val="en-US" w:eastAsia="zh-CN"/>
        </w:rPr>
        <w:t>。</w:t>
      </w:r>
    </w:p>
    <w:p>
      <w:pPr>
        <w:keepNext w:val="0"/>
        <w:keepLines w:val="0"/>
        <w:pageBreakBefore w:val="0"/>
        <w:numPr>
          <w:ilvl w:val="0"/>
          <w:numId w:val="12"/>
        </w:numPr>
        <w:kinsoku/>
        <w:wordWrap/>
        <w:overflowPunct/>
        <w:topLinePunct w:val="0"/>
        <w:autoSpaceDE/>
        <w:autoSpaceDN/>
        <w:bidi w:val="0"/>
        <w:adjustRightInd w:val="0"/>
        <w:snapToGrid w:val="0"/>
        <w:spacing w:line="600" w:lineRule="exact"/>
        <w:ind w:left="120" w:leftChars="0" w:firstLine="720" w:firstLineChars="0"/>
        <w:textAlignment w:val="auto"/>
        <w:rPr>
          <w:rFonts w:hint="eastAsia" w:ascii="仿宋_GB2312" w:hAnsi="宋体" w:eastAsia="仿宋_GB2312" w:cs="Times New Roman"/>
          <w:color w:val="auto"/>
          <w:sz w:val="32"/>
          <w:szCs w:val="32"/>
          <w:highlight w:val="none"/>
          <w:lang w:val="zh-CN"/>
        </w:rPr>
      </w:pPr>
      <w:r>
        <w:rPr>
          <w:rFonts w:hint="eastAsia" w:ascii="仿宋_GB2312" w:hAnsi="宋体" w:eastAsia="仿宋_GB2312" w:cs="Times New Roman"/>
          <w:color w:val="auto"/>
          <w:sz w:val="32"/>
          <w:szCs w:val="32"/>
          <w:highlight w:val="none"/>
          <w:lang w:val="zh-CN"/>
        </w:rPr>
        <w:t>分析评价申报内容与实际相符，申报目标合理可行。</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黑体" w:hAnsi="宋体" w:eastAsia="黑体" w:cs="Times New Roman"/>
          <w:color w:val="auto"/>
          <w:sz w:val="32"/>
          <w:szCs w:val="32"/>
          <w:highlight w:val="none"/>
        </w:rPr>
      </w:pPr>
      <w:r>
        <w:rPr>
          <w:rFonts w:hint="eastAsia" w:ascii="黑体" w:hAnsi="宋体" w:eastAsia="黑体" w:cs="Times New Roman"/>
          <w:color w:val="auto"/>
          <w:sz w:val="32"/>
          <w:szCs w:val="32"/>
          <w:highlight w:val="none"/>
        </w:rPr>
        <w:t>二、项目资金申报及使用情况</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楷体_GB2312" w:hAnsi="宋体" w:eastAsia="楷体_GB2312" w:cs="Times New Roman"/>
          <w:b/>
          <w:color w:val="auto"/>
          <w:sz w:val="32"/>
          <w:szCs w:val="32"/>
          <w:highlight w:val="none"/>
          <w:lang w:val="zh-CN"/>
        </w:rPr>
      </w:pPr>
      <w:r>
        <w:rPr>
          <w:rFonts w:hint="eastAsia" w:ascii="楷体_GB2312" w:hAnsi="宋体" w:eastAsia="楷体_GB2312" w:cs="Times New Roman"/>
          <w:b/>
          <w:color w:val="auto"/>
          <w:sz w:val="32"/>
          <w:szCs w:val="32"/>
          <w:highlight w:val="none"/>
          <w:lang w:val="zh-CN"/>
        </w:rPr>
        <w:t>（一）项目资金申报及批复情况。</w:t>
      </w:r>
    </w:p>
    <w:p>
      <w:pPr>
        <w:autoSpaceDE w:val="0"/>
        <w:spacing w:line="540" w:lineRule="exact"/>
        <w:ind w:firstLine="924" w:firstLineChars="300"/>
        <w:rPr>
          <w:rFonts w:hint="eastAsia" w:ascii="仿宋_GB2312" w:hAnsi="Times New Roman" w:eastAsia="仿宋_GB2312" w:cs="Times New Roman"/>
          <w:color w:val="auto"/>
          <w:spacing w:val="-6"/>
          <w:sz w:val="32"/>
          <w:szCs w:val="32"/>
          <w:lang w:val="en-US" w:eastAsia="zh-CN"/>
        </w:rPr>
      </w:pPr>
      <w:r>
        <w:rPr>
          <w:rFonts w:hint="eastAsia" w:ascii="仿宋_GB2312" w:hAnsi="Times New Roman" w:eastAsia="仿宋_GB2312" w:cs="Times New Roman"/>
          <w:color w:val="auto"/>
          <w:spacing w:val="-6"/>
          <w:sz w:val="32"/>
          <w:szCs w:val="32"/>
          <w:lang w:val="en-US" w:eastAsia="zh-CN"/>
        </w:rPr>
        <w:t>2021年初，审报部门预算</w:t>
      </w:r>
      <w:r>
        <w:rPr>
          <w:rFonts w:hint="eastAsia" w:ascii="仿宋_GB2312" w:hAnsi="宋体" w:eastAsia="仿宋_GB2312" w:cs="Times New Roman"/>
          <w:spacing w:val="-6"/>
          <w:sz w:val="32"/>
          <w:szCs w:val="32"/>
        </w:rPr>
        <w:t>婚姻家庭纠纷预防化解</w:t>
      </w:r>
      <w:r>
        <w:rPr>
          <w:rFonts w:hint="eastAsia" w:ascii="仿宋_GB2312" w:hAnsi="Times New Roman" w:eastAsia="仿宋_GB2312" w:cs="Times New Roman"/>
          <w:color w:val="auto"/>
          <w:spacing w:val="-6"/>
          <w:sz w:val="32"/>
          <w:szCs w:val="32"/>
          <w:lang w:val="en-US" w:eastAsia="zh-CN"/>
        </w:rPr>
        <w:t>项目经费1万元，后经区财政局批复部门预算</w:t>
      </w:r>
      <w:r>
        <w:rPr>
          <w:rFonts w:hint="eastAsia" w:ascii="仿宋_GB2312" w:hAnsi="宋体" w:eastAsia="仿宋_GB2312" w:cs="Times New Roman"/>
          <w:spacing w:val="-6"/>
          <w:sz w:val="32"/>
          <w:szCs w:val="32"/>
        </w:rPr>
        <w:t>婚姻家庭纠纷预防化解</w:t>
      </w:r>
      <w:r>
        <w:rPr>
          <w:rFonts w:hint="eastAsia" w:ascii="仿宋_GB2312" w:hAnsi="Times New Roman" w:eastAsia="仿宋_GB2312" w:cs="Times New Roman"/>
          <w:color w:val="auto"/>
          <w:spacing w:val="-6"/>
          <w:sz w:val="32"/>
          <w:szCs w:val="32"/>
          <w:lang w:val="en-US" w:eastAsia="zh-CN"/>
        </w:rPr>
        <w:t>项目经费1万元，年末无预算调整，符合资金管理办法等相关规定。</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仿宋_GB2312" w:hAnsi="宋体" w:eastAsia="仿宋_GB2312" w:cs="Times New Roman"/>
          <w:color w:val="auto"/>
          <w:sz w:val="32"/>
          <w:szCs w:val="32"/>
          <w:highlight w:val="none"/>
          <w:lang w:val="zh-CN"/>
        </w:rPr>
      </w:pPr>
      <w:r>
        <w:rPr>
          <w:rFonts w:hint="eastAsia" w:ascii="楷体_GB2312" w:hAnsi="宋体" w:eastAsia="楷体_GB2312" w:cs="Times New Roman"/>
          <w:b/>
          <w:color w:val="auto"/>
          <w:sz w:val="32"/>
          <w:szCs w:val="32"/>
          <w:highlight w:val="none"/>
          <w:lang w:val="zh-CN"/>
        </w:rPr>
        <w:t>（二）资金计划、到位及使用情况（可用表格形式反映）。</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eastAsia" w:ascii="楷体_GB2312" w:hAnsi="宋体" w:eastAsia="楷体_GB2312" w:cs="Times New Roman"/>
          <w:color w:val="auto"/>
          <w:sz w:val="32"/>
          <w:szCs w:val="32"/>
          <w:highlight w:val="none"/>
          <w:lang w:val="zh-CN"/>
        </w:rPr>
      </w:pPr>
      <w:r>
        <w:rPr>
          <w:rFonts w:hint="eastAsia" w:ascii="楷体_GB2312" w:hAnsi="宋体" w:eastAsia="楷体_GB2312" w:cs="Times New Roman"/>
          <w:color w:val="auto"/>
          <w:sz w:val="32"/>
          <w:szCs w:val="32"/>
          <w:highlight w:val="none"/>
          <w:lang w:val="zh-CN"/>
        </w:rPr>
        <w:t>1．资金计划。</w:t>
      </w:r>
    </w:p>
    <w:p>
      <w:pPr>
        <w:keepNext w:val="0"/>
        <w:keepLines w:val="0"/>
        <w:pageBreakBefore w:val="0"/>
        <w:kinsoku/>
        <w:wordWrap/>
        <w:overflowPunct/>
        <w:topLinePunct w:val="0"/>
        <w:autoSpaceDE/>
        <w:autoSpaceDN/>
        <w:bidi w:val="0"/>
        <w:adjustRightInd w:val="0"/>
        <w:snapToGrid w:val="0"/>
        <w:spacing w:line="600" w:lineRule="exact"/>
        <w:textAlignment w:val="auto"/>
        <w:rPr>
          <w:rFonts w:hint="default" w:ascii="仿宋_GB2312" w:hAnsi="宋体" w:eastAsia="楷体_GB2312" w:cs="Times New Roman"/>
          <w:color w:val="auto"/>
          <w:sz w:val="32"/>
          <w:szCs w:val="32"/>
          <w:highlight w:val="none"/>
          <w:lang w:val="en-US" w:eastAsia="zh-CN"/>
        </w:rPr>
      </w:pPr>
      <w:r>
        <w:rPr>
          <w:rFonts w:hint="eastAsia" w:ascii="楷体_GB2312" w:hAnsi="宋体" w:eastAsia="楷体_GB2312" w:cs="Times New Roman"/>
          <w:color w:val="auto"/>
          <w:sz w:val="32"/>
          <w:szCs w:val="32"/>
          <w:highlight w:val="none"/>
          <w:lang w:val="zh-CN"/>
        </w:rPr>
        <w:t>朝天区妇联</w:t>
      </w:r>
      <w:r>
        <w:rPr>
          <w:rFonts w:hint="eastAsia" w:ascii="楷体_GB2312" w:hAnsi="宋体" w:eastAsia="楷体_GB2312" w:cs="Times New Roman"/>
          <w:color w:val="auto"/>
          <w:sz w:val="32"/>
          <w:szCs w:val="32"/>
          <w:highlight w:val="none"/>
          <w:lang w:val="en-US" w:eastAsia="zh-CN"/>
        </w:rPr>
        <w:t>2021年初申报至资金计划1万元</w:t>
      </w:r>
    </w:p>
    <w:p>
      <w:pPr>
        <w:keepNext w:val="0"/>
        <w:keepLines w:val="0"/>
        <w:pageBreakBefore w:val="0"/>
        <w:numPr>
          <w:ilvl w:val="0"/>
          <w:numId w:val="9"/>
        </w:numPr>
        <w:kinsoku/>
        <w:wordWrap/>
        <w:overflowPunct/>
        <w:topLinePunct w:val="0"/>
        <w:autoSpaceDE/>
        <w:autoSpaceDN/>
        <w:bidi w:val="0"/>
        <w:adjustRightInd w:val="0"/>
        <w:snapToGrid w:val="0"/>
        <w:spacing w:line="600" w:lineRule="exact"/>
        <w:ind w:left="-90" w:leftChars="0" w:firstLine="720" w:firstLineChars="0"/>
        <w:textAlignment w:val="auto"/>
        <w:rPr>
          <w:rFonts w:hint="eastAsia" w:ascii="楷体_GB2312" w:hAnsi="宋体" w:eastAsia="楷体_GB2312" w:cs="Times New Roman"/>
          <w:color w:val="auto"/>
          <w:sz w:val="32"/>
          <w:szCs w:val="32"/>
          <w:highlight w:val="none"/>
          <w:lang w:val="zh-CN"/>
        </w:rPr>
      </w:pPr>
      <w:r>
        <w:rPr>
          <w:rFonts w:hint="eastAsia" w:ascii="楷体_GB2312" w:hAnsi="宋体" w:eastAsia="楷体_GB2312" w:cs="Times New Roman"/>
          <w:color w:val="auto"/>
          <w:sz w:val="32"/>
          <w:szCs w:val="32"/>
          <w:highlight w:val="none"/>
          <w:lang w:val="zh-CN"/>
        </w:rPr>
        <w:t>资金到位。</w:t>
      </w:r>
    </w:p>
    <w:p>
      <w:pPr>
        <w:keepNext w:val="0"/>
        <w:keepLines w:val="0"/>
        <w:pageBreakBefore w:val="0"/>
        <w:numPr>
          <w:ilvl w:val="0"/>
          <w:numId w:val="0"/>
        </w:numPr>
        <w:kinsoku/>
        <w:wordWrap/>
        <w:overflowPunct/>
        <w:topLinePunct w:val="0"/>
        <w:autoSpaceDE/>
        <w:autoSpaceDN/>
        <w:bidi w:val="0"/>
        <w:adjustRightInd w:val="0"/>
        <w:snapToGrid w:val="0"/>
        <w:spacing w:line="600" w:lineRule="exact"/>
        <w:textAlignment w:val="auto"/>
        <w:rPr>
          <w:rFonts w:hint="eastAsia" w:ascii="仿宋_GB2312" w:hAnsi="Times New Roman" w:eastAsia="仿宋_GB2312" w:cs="Times New Roman"/>
          <w:color w:val="auto"/>
          <w:spacing w:val="-6"/>
          <w:sz w:val="32"/>
          <w:szCs w:val="32"/>
          <w:lang w:val="en-US" w:eastAsia="zh-CN"/>
        </w:rPr>
      </w:pPr>
      <w:r>
        <w:rPr>
          <w:rFonts w:hint="eastAsia" w:ascii="仿宋_GB2312" w:hAnsi="Times New Roman" w:eastAsia="仿宋_GB2312" w:cs="Times New Roman"/>
          <w:color w:val="auto"/>
          <w:spacing w:val="-6"/>
          <w:sz w:val="32"/>
          <w:szCs w:val="32"/>
          <w:lang w:val="en-US" w:eastAsia="zh-CN"/>
        </w:rPr>
        <w:t>年初预算</w:t>
      </w:r>
      <w:r>
        <w:rPr>
          <w:rFonts w:hint="eastAsia" w:ascii="仿宋_GB2312" w:hAnsi="宋体" w:eastAsia="仿宋_GB2312" w:cs="Times New Roman"/>
          <w:spacing w:val="-6"/>
          <w:sz w:val="32"/>
          <w:szCs w:val="32"/>
        </w:rPr>
        <w:t>婚姻家庭纠纷预防化解</w:t>
      </w:r>
      <w:r>
        <w:rPr>
          <w:rFonts w:hint="eastAsia" w:ascii="仿宋_GB2312" w:hAnsi="宋体" w:eastAsia="仿宋_GB2312" w:cs="Times New Roman"/>
          <w:spacing w:val="-6"/>
          <w:sz w:val="32"/>
          <w:szCs w:val="32"/>
          <w:lang w:eastAsia="zh-CN"/>
        </w:rPr>
        <w:t>费用</w:t>
      </w:r>
      <w:r>
        <w:rPr>
          <w:rFonts w:hint="eastAsia" w:ascii="仿宋_GB2312" w:hAnsi="宋体" w:eastAsia="仿宋_GB2312" w:cs="Times New Roman"/>
          <w:spacing w:val="-6"/>
          <w:sz w:val="32"/>
          <w:szCs w:val="32"/>
          <w:lang w:val="en-US" w:eastAsia="zh-CN"/>
        </w:rPr>
        <w:t>1</w:t>
      </w:r>
      <w:r>
        <w:rPr>
          <w:rFonts w:hint="eastAsia" w:ascii="仿宋_GB2312" w:hAnsi="Times New Roman" w:eastAsia="仿宋_GB2312" w:cs="Times New Roman"/>
          <w:color w:val="auto"/>
          <w:spacing w:val="-6"/>
          <w:sz w:val="32"/>
          <w:szCs w:val="32"/>
          <w:lang w:val="en-US" w:eastAsia="zh-CN"/>
        </w:rPr>
        <w:t>万元，到位1万元，资金到位率100%。</w:t>
      </w:r>
    </w:p>
    <w:p>
      <w:pPr>
        <w:numPr>
          <w:ilvl w:val="0"/>
          <w:numId w:val="9"/>
        </w:numPr>
        <w:autoSpaceDE w:val="0"/>
        <w:spacing w:line="540" w:lineRule="exact"/>
        <w:ind w:left="-90" w:leftChars="0" w:firstLine="720" w:firstLineChars="0"/>
        <w:rPr>
          <w:rFonts w:hint="eastAsia" w:ascii="楷体_GB2312" w:hAnsi="宋体" w:eastAsia="楷体_GB2312" w:cs="Times New Roman"/>
          <w:color w:val="auto"/>
          <w:sz w:val="32"/>
          <w:szCs w:val="32"/>
          <w:highlight w:val="none"/>
          <w:lang w:val="zh-CN"/>
        </w:rPr>
      </w:pPr>
      <w:r>
        <w:rPr>
          <w:rFonts w:hint="eastAsia" w:ascii="楷体_GB2312" w:hAnsi="宋体" w:eastAsia="楷体_GB2312" w:cs="Times New Roman"/>
          <w:color w:val="auto"/>
          <w:sz w:val="32"/>
          <w:szCs w:val="32"/>
          <w:highlight w:val="none"/>
          <w:lang w:val="zh-CN"/>
        </w:rPr>
        <w:t>资金使用。</w:t>
      </w:r>
    </w:p>
    <w:p>
      <w:pPr>
        <w:numPr>
          <w:ilvl w:val="0"/>
          <w:numId w:val="0"/>
        </w:numPr>
        <w:autoSpaceDE w:val="0"/>
        <w:spacing w:line="540" w:lineRule="exact"/>
        <w:rPr>
          <w:rFonts w:ascii="仿宋_GB2312" w:hAnsi="宋体" w:eastAsia="仿宋_GB2312" w:cs="Times New Roman"/>
          <w:color w:val="auto"/>
          <w:sz w:val="32"/>
          <w:szCs w:val="32"/>
          <w:highlight w:val="none"/>
          <w:lang w:val="zh-CN"/>
        </w:rPr>
      </w:pPr>
      <w:r>
        <w:rPr>
          <w:rFonts w:hint="eastAsia" w:ascii="仿宋_GB2312" w:hAnsi="Times New Roman" w:eastAsia="仿宋_GB2312" w:cs="Times New Roman"/>
          <w:color w:val="auto"/>
          <w:spacing w:val="-6"/>
          <w:sz w:val="32"/>
          <w:szCs w:val="32"/>
          <w:lang w:val="en-US" w:eastAsia="zh-CN"/>
        </w:rPr>
        <w:t>2021年度实际支付1万元，</w:t>
      </w:r>
      <w:r>
        <w:rPr>
          <w:rFonts w:hint="eastAsia" w:ascii="仿宋_GB2312" w:hAnsi="Times New Roman" w:eastAsia="仿宋_GB2312" w:cs="Times New Roman"/>
          <w:color w:val="auto"/>
          <w:spacing w:val="-6"/>
          <w:sz w:val="32"/>
          <w:szCs w:val="32"/>
        </w:rPr>
        <w:t>支付依据合规合法，资金支付与预算相符。</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楷体_GB2312" w:hAnsi="宋体" w:eastAsia="楷体_GB2312" w:cs="Times New Roman"/>
          <w:b/>
          <w:color w:val="auto"/>
          <w:sz w:val="32"/>
          <w:szCs w:val="32"/>
          <w:highlight w:val="none"/>
          <w:lang w:val="zh-CN"/>
        </w:rPr>
      </w:pPr>
      <w:r>
        <w:rPr>
          <w:rFonts w:hint="eastAsia" w:ascii="楷体_GB2312" w:hAnsi="宋体" w:eastAsia="楷体_GB2312" w:cs="Times New Roman"/>
          <w:b/>
          <w:color w:val="auto"/>
          <w:sz w:val="32"/>
          <w:szCs w:val="32"/>
          <w:highlight w:val="none"/>
          <w:lang w:val="zh-CN"/>
        </w:rPr>
        <w:t>（三）项目财务管理情况。</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eastAsia" w:ascii="仿宋_GB2312" w:hAnsi="Times New Roman" w:eastAsia="仿宋_GB2312" w:cs="Times New Roman"/>
          <w:color w:val="auto"/>
          <w:spacing w:val="-6"/>
          <w:sz w:val="32"/>
          <w:szCs w:val="32"/>
        </w:rPr>
      </w:pPr>
      <w:r>
        <w:rPr>
          <w:rFonts w:hint="eastAsia" w:ascii="仿宋_GB2312" w:hAnsi="Times New Roman" w:eastAsia="仿宋_GB2312" w:cs="Times New Roman"/>
          <w:color w:val="auto"/>
          <w:spacing w:val="-6"/>
          <w:sz w:val="32"/>
          <w:szCs w:val="32"/>
        </w:rPr>
        <w:t>财务管理制度健全，严格执行财务管理制度，账务处理及时。会计核算规范。</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黑体" w:hAnsi="宋体" w:eastAsia="黑体" w:cs="Times New Roman"/>
          <w:color w:val="auto"/>
          <w:sz w:val="32"/>
          <w:szCs w:val="32"/>
          <w:highlight w:val="none"/>
        </w:rPr>
      </w:pPr>
      <w:r>
        <w:rPr>
          <w:rFonts w:hint="eastAsia" w:ascii="黑体" w:hAnsi="宋体" w:eastAsia="黑体" w:cs="Times New Roman"/>
          <w:color w:val="auto"/>
          <w:sz w:val="32"/>
          <w:szCs w:val="32"/>
          <w:highlight w:val="none"/>
        </w:rPr>
        <w:t>三、项目实施及管理情况</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仿宋_GB2312" w:hAnsi="宋体" w:eastAsia="仿宋_GB2312" w:cs="Times New Roman"/>
          <w:color w:val="auto"/>
          <w:sz w:val="32"/>
          <w:szCs w:val="32"/>
          <w:highlight w:val="none"/>
          <w:lang w:val="zh-CN"/>
        </w:rPr>
      </w:pPr>
      <w:r>
        <w:rPr>
          <w:rFonts w:hint="eastAsia" w:ascii="仿宋_GB2312" w:hAnsi="宋体" w:eastAsia="仿宋_GB2312" w:cs="Times New Roman"/>
          <w:color w:val="auto"/>
          <w:sz w:val="32"/>
          <w:szCs w:val="32"/>
          <w:highlight w:val="none"/>
          <w:lang w:val="zh-CN"/>
        </w:rPr>
        <w:t>结合项目组织实施管理办法，重点围绕以下内容进行分析评价，并对自评中发现的问题分析说明。</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楷体_GB2312" w:hAnsi="宋体" w:eastAsia="楷体_GB2312" w:cs="Times New Roman"/>
          <w:b/>
          <w:color w:val="auto"/>
          <w:sz w:val="32"/>
          <w:szCs w:val="32"/>
          <w:highlight w:val="none"/>
          <w:lang w:val="zh-CN"/>
        </w:rPr>
      </w:pPr>
      <w:r>
        <w:rPr>
          <w:rFonts w:hint="eastAsia" w:ascii="楷体_GB2312" w:hAnsi="宋体" w:eastAsia="楷体_GB2312" w:cs="Times New Roman"/>
          <w:b/>
          <w:color w:val="auto"/>
          <w:sz w:val="32"/>
          <w:szCs w:val="32"/>
          <w:highlight w:val="none"/>
          <w:lang w:val="zh-CN"/>
        </w:rPr>
        <w:t>（一）项目组织架构及实施流程。</w:t>
      </w:r>
    </w:p>
    <w:p>
      <w:pPr>
        <w:autoSpaceDE w:val="0"/>
        <w:spacing w:line="540" w:lineRule="exact"/>
        <w:ind w:firstLine="643" w:firstLineChars="200"/>
        <w:rPr>
          <w:rFonts w:hint="eastAsia" w:ascii="楷体_GB2312" w:hAnsi="宋体" w:eastAsia="楷体_GB2312" w:cs="Times New Roman"/>
          <w:b/>
          <w:color w:val="auto"/>
          <w:sz w:val="32"/>
          <w:szCs w:val="32"/>
          <w:highlight w:val="none"/>
          <w:lang w:val="zh-CN"/>
        </w:rPr>
      </w:pPr>
      <w:r>
        <w:rPr>
          <w:rFonts w:hint="eastAsia" w:ascii="楷体_GB2312" w:hAnsi="宋体" w:eastAsia="楷体_GB2312" w:cs="Times New Roman"/>
          <w:b/>
          <w:color w:val="auto"/>
          <w:sz w:val="32"/>
          <w:szCs w:val="32"/>
          <w:highlight w:val="none"/>
          <w:lang w:val="zh-CN"/>
        </w:rPr>
        <w:t>（二）项目管理情况。</w:t>
      </w:r>
    </w:p>
    <w:p>
      <w:pPr>
        <w:autoSpaceDE w:val="0"/>
        <w:spacing w:line="540" w:lineRule="exact"/>
        <w:rPr>
          <w:rFonts w:hint="eastAsia" w:ascii="仿宋_GB2312" w:hAnsi="Times New Roman" w:eastAsia="仿宋_GB2312" w:cs="Times New Roman"/>
          <w:color w:val="auto"/>
          <w:spacing w:val="-6"/>
          <w:sz w:val="32"/>
          <w:szCs w:val="32"/>
        </w:rPr>
      </w:pPr>
      <w:r>
        <w:rPr>
          <w:rFonts w:hint="eastAsia" w:ascii="仿宋_GB2312" w:hAnsi="Times New Roman" w:eastAsia="仿宋_GB2312" w:cs="Times New Roman"/>
          <w:color w:val="auto"/>
          <w:spacing w:val="-6"/>
          <w:sz w:val="32"/>
          <w:szCs w:val="32"/>
        </w:rPr>
        <w:t>财务管理制度健全，严格执行财务管理制度，账务处理及时。会计核算规范。</w:t>
      </w:r>
    </w:p>
    <w:p>
      <w:pPr>
        <w:numPr>
          <w:ilvl w:val="0"/>
          <w:numId w:val="7"/>
        </w:numPr>
        <w:autoSpaceDE w:val="0"/>
        <w:spacing w:line="540" w:lineRule="exact"/>
        <w:ind w:left="0" w:leftChars="0" w:firstLine="643" w:firstLineChars="200"/>
        <w:rPr>
          <w:rFonts w:hint="eastAsia" w:ascii="楷体_GB2312" w:hAnsi="宋体" w:eastAsia="楷体_GB2312" w:cs="Times New Roman"/>
          <w:b/>
          <w:color w:val="auto"/>
          <w:sz w:val="32"/>
          <w:szCs w:val="32"/>
          <w:highlight w:val="none"/>
          <w:lang w:val="zh-CN"/>
        </w:rPr>
      </w:pPr>
      <w:r>
        <w:rPr>
          <w:rFonts w:hint="eastAsia" w:ascii="楷体_GB2312" w:hAnsi="宋体" w:eastAsia="楷体_GB2312" w:cs="Times New Roman"/>
          <w:b/>
          <w:color w:val="auto"/>
          <w:sz w:val="32"/>
          <w:szCs w:val="32"/>
          <w:highlight w:val="none"/>
          <w:lang w:val="zh-CN"/>
        </w:rPr>
        <w:t>项目监管情况。</w:t>
      </w:r>
    </w:p>
    <w:p>
      <w:pPr>
        <w:numPr>
          <w:ilvl w:val="0"/>
          <w:numId w:val="0"/>
        </w:numPr>
        <w:autoSpaceDE w:val="0"/>
        <w:spacing w:line="540" w:lineRule="exact"/>
        <w:rPr>
          <w:rFonts w:hint="eastAsia" w:ascii="仿宋_GB2312" w:hAnsi="Times New Roman" w:eastAsia="仿宋_GB2312" w:cs="Times New Roman"/>
          <w:color w:val="auto"/>
          <w:spacing w:val="-6"/>
          <w:sz w:val="32"/>
          <w:szCs w:val="32"/>
        </w:rPr>
      </w:pPr>
      <w:r>
        <w:rPr>
          <w:rFonts w:hint="eastAsia" w:ascii="仿宋_GB2312" w:hAnsi="Times New Roman" w:eastAsia="仿宋_GB2312" w:cs="Times New Roman"/>
          <w:color w:val="auto"/>
          <w:spacing w:val="-6"/>
          <w:sz w:val="32"/>
          <w:szCs w:val="32"/>
        </w:rPr>
        <w:t>2021年度部门项目预算</w:t>
      </w:r>
      <w:r>
        <w:rPr>
          <w:rFonts w:hint="eastAsia" w:ascii="仿宋_GB2312" w:hAnsi="宋体" w:eastAsia="仿宋_GB2312" w:cs="Times New Roman"/>
          <w:spacing w:val="-6"/>
          <w:sz w:val="32"/>
          <w:szCs w:val="32"/>
        </w:rPr>
        <w:t>婚姻家庭纠纷预防化解</w:t>
      </w:r>
      <w:r>
        <w:rPr>
          <w:rFonts w:hint="eastAsia" w:ascii="仿宋_GB2312" w:hAnsi="宋体" w:eastAsia="仿宋_GB2312" w:cs="Times New Roman"/>
          <w:spacing w:val="-6"/>
          <w:sz w:val="32"/>
          <w:szCs w:val="32"/>
          <w:lang w:eastAsia="zh-CN"/>
        </w:rPr>
        <w:t>费用</w:t>
      </w:r>
      <w:r>
        <w:rPr>
          <w:rFonts w:hint="eastAsia" w:ascii="仿宋_GB2312" w:hAnsi="Times New Roman" w:eastAsia="仿宋_GB2312" w:cs="Times New Roman"/>
          <w:color w:val="auto"/>
          <w:spacing w:val="-6"/>
          <w:sz w:val="32"/>
          <w:szCs w:val="32"/>
        </w:rPr>
        <w:t>，严格执行预算规定，符合法律法规，年初拟定用款计划，严格按照项目资金管理办法对资金进行计划申请、划拨、使用，及时、规范对收支进行账务处理和会计核算。</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仿宋_GB2312" w:hAnsi="宋体" w:eastAsia="仿宋_GB2312" w:cs="Times New Roman"/>
          <w:color w:val="auto"/>
          <w:sz w:val="32"/>
          <w:szCs w:val="32"/>
          <w:highlight w:val="none"/>
          <w:lang w:val="zh-CN"/>
        </w:rPr>
      </w:pPr>
      <w:r>
        <w:rPr>
          <w:rFonts w:hint="eastAsia" w:ascii="黑体" w:hAnsi="宋体" w:eastAsia="黑体" w:cs="Times New Roman"/>
          <w:color w:val="auto"/>
          <w:sz w:val="32"/>
          <w:szCs w:val="32"/>
          <w:highlight w:val="none"/>
        </w:rPr>
        <w:t>四、项目绩效情况</w:t>
      </w:r>
      <w:r>
        <w:rPr>
          <w:rFonts w:hint="eastAsia" w:ascii="仿宋_GB2312" w:hAnsi="宋体" w:eastAsia="仿宋_GB2312" w:cs="Times New Roman"/>
          <w:color w:val="auto"/>
          <w:sz w:val="32"/>
          <w:szCs w:val="32"/>
          <w:highlight w:val="none"/>
          <w:lang w:val="zh-CN"/>
        </w:rPr>
        <w:tab/>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楷体_GB2312" w:hAnsi="宋体" w:eastAsia="楷体_GB2312" w:cs="Times New Roman"/>
          <w:b/>
          <w:color w:val="auto"/>
          <w:sz w:val="32"/>
          <w:szCs w:val="32"/>
          <w:highlight w:val="none"/>
          <w:lang w:val="zh-CN"/>
        </w:rPr>
      </w:pPr>
      <w:r>
        <w:rPr>
          <w:rFonts w:hint="eastAsia" w:ascii="楷体_GB2312" w:hAnsi="宋体" w:eastAsia="楷体_GB2312" w:cs="Times New Roman"/>
          <w:b/>
          <w:color w:val="auto"/>
          <w:sz w:val="32"/>
          <w:szCs w:val="32"/>
          <w:highlight w:val="none"/>
          <w:lang w:val="zh-CN"/>
        </w:rPr>
        <w:t>（一）项目完成情况。</w:t>
      </w:r>
    </w:p>
    <w:p>
      <w:pPr>
        <w:autoSpaceDE w:val="0"/>
        <w:spacing w:line="540" w:lineRule="exact"/>
        <w:rPr>
          <w:rFonts w:hint="eastAsia" w:ascii="仿宋_GB2312" w:hAnsi="Times New Roman" w:eastAsia="仿宋_GB2312" w:cs="Times New Roman"/>
          <w:color w:val="auto"/>
          <w:spacing w:val="-6"/>
          <w:sz w:val="32"/>
          <w:szCs w:val="32"/>
          <w:lang w:val="en-US" w:eastAsia="zh-CN"/>
        </w:rPr>
      </w:pPr>
      <w:r>
        <w:rPr>
          <w:rFonts w:hint="eastAsia" w:ascii="仿宋_GB2312" w:hAnsi="Times New Roman" w:eastAsia="仿宋_GB2312" w:cs="Times New Roman"/>
          <w:color w:val="auto"/>
          <w:spacing w:val="-6"/>
          <w:sz w:val="32"/>
          <w:szCs w:val="32"/>
          <w:lang w:val="en-US" w:eastAsia="zh-CN"/>
        </w:rPr>
        <w:t>数量指标：全年调解婚姻家庭纠纷家庭矛盾35件。</w:t>
      </w:r>
    </w:p>
    <w:p>
      <w:pPr>
        <w:autoSpaceDE w:val="0"/>
        <w:spacing w:line="540" w:lineRule="exact"/>
        <w:rPr>
          <w:rFonts w:hint="eastAsia" w:ascii="仿宋_GB2312" w:hAnsi="Times New Roman" w:eastAsia="仿宋_GB2312" w:cs="Times New Roman"/>
          <w:color w:val="auto"/>
          <w:spacing w:val="-6"/>
          <w:sz w:val="32"/>
          <w:szCs w:val="32"/>
          <w:lang w:val="en-US" w:eastAsia="zh-CN"/>
        </w:rPr>
      </w:pPr>
      <w:r>
        <w:rPr>
          <w:rFonts w:hint="eastAsia" w:ascii="仿宋_GB2312" w:hAnsi="Times New Roman" w:eastAsia="仿宋_GB2312" w:cs="Times New Roman"/>
          <w:color w:val="auto"/>
          <w:spacing w:val="-6"/>
          <w:sz w:val="32"/>
          <w:szCs w:val="32"/>
          <w:lang w:val="en-US" w:eastAsia="zh-CN"/>
        </w:rPr>
        <w:t>质量指标：高标准完成调解婚姻家庭纠纷家庭矛盾。</w:t>
      </w:r>
    </w:p>
    <w:p>
      <w:pPr>
        <w:autoSpaceDE w:val="0"/>
        <w:spacing w:line="540" w:lineRule="exact"/>
        <w:rPr>
          <w:rFonts w:hint="eastAsia" w:ascii="仿宋_GB2312" w:hAnsi="Times New Roman" w:eastAsia="仿宋_GB2312" w:cs="Times New Roman"/>
          <w:color w:val="auto"/>
          <w:spacing w:val="-6"/>
          <w:sz w:val="32"/>
          <w:szCs w:val="32"/>
          <w:lang w:val="en-US" w:eastAsia="zh-CN"/>
        </w:rPr>
      </w:pPr>
      <w:r>
        <w:rPr>
          <w:rFonts w:hint="eastAsia" w:ascii="仿宋_GB2312" w:hAnsi="Times New Roman" w:eastAsia="仿宋_GB2312" w:cs="Times New Roman"/>
          <w:color w:val="auto"/>
          <w:spacing w:val="-6"/>
          <w:sz w:val="32"/>
          <w:szCs w:val="32"/>
          <w:lang w:val="en-US" w:eastAsia="zh-CN"/>
        </w:rPr>
        <w:t>时效指标：完成时间2021年。</w:t>
      </w:r>
    </w:p>
    <w:p>
      <w:pPr>
        <w:autoSpaceDE w:val="0"/>
        <w:spacing w:line="540" w:lineRule="exact"/>
        <w:rPr>
          <w:rFonts w:hint="eastAsia" w:ascii="仿宋_GB2312" w:hAnsi="Times New Roman" w:eastAsia="仿宋_GB2312" w:cs="Times New Roman"/>
          <w:color w:val="auto"/>
          <w:spacing w:val="-6"/>
          <w:sz w:val="32"/>
          <w:szCs w:val="32"/>
          <w:lang w:val="en-US" w:eastAsia="zh-CN"/>
        </w:rPr>
      </w:pPr>
      <w:r>
        <w:rPr>
          <w:rFonts w:hint="eastAsia" w:ascii="仿宋_GB2312" w:hAnsi="Times New Roman" w:eastAsia="仿宋_GB2312" w:cs="Times New Roman"/>
          <w:color w:val="auto"/>
          <w:spacing w:val="-6"/>
          <w:sz w:val="32"/>
          <w:szCs w:val="32"/>
          <w:lang w:val="en-US" w:eastAsia="zh-CN"/>
        </w:rPr>
        <w:t>成本指标：1万元。</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楷体_GB2312" w:hAnsi="宋体" w:eastAsia="楷体_GB2312" w:cs="Times New Roman"/>
          <w:b/>
          <w:color w:val="auto"/>
          <w:sz w:val="32"/>
          <w:szCs w:val="32"/>
          <w:highlight w:val="none"/>
          <w:lang w:val="zh-CN"/>
        </w:rPr>
      </w:pPr>
      <w:r>
        <w:rPr>
          <w:rFonts w:hint="eastAsia" w:ascii="楷体_GB2312" w:hAnsi="宋体" w:eastAsia="楷体_GB2312" w:cs="Times New Roman"/>
          <w:b/>
          <w:color w:val="auto"/>
          <w:sz w:val="32"/>
          <w:szCs w:val="32"/>
          <w:highlight w:val="none"/>
          <w:lang w:val="zh-CN"/>
        </w:rPr>
        <w:t>（二）项目效益情况。</w:t>
      </w:r>
    </w:p>
    <w:p>
      <w:pPr>
        <w:tabs>
          <w:tab w:val="left" w:pos="553"/>
        </w:tabs>
        <w:autoSpaceDE w:val="0"/>
        <w:spacing w:line="540" w:lineRule="exact"/>
        <w:rPr>
          <w:rFonts w:hint="eastAsia" w:ascii="仿宋_GB2312" w:hAnsi="Times New Roman" w:eastAsia="仿宋_GB2312" w:cs="Times New Roman"/>
          <w:color w:val="auto"/>
          <w:spacing w:val="-6"/>
          <w:sz w:val="32"/>
          <w:szCs w:val="32"/>
          <w:lang w:val="en-US" w:eastAsia="zh-CN"/>
        </w:rPr>
      </w:pPr>
      <w:r>
        <w:rPr>
          <w:rFonts w:hint="eastAsia" w:ascii="仿宋_GB2312" w:hAnsi="Times New Roman" w:eastAsia="仿宋_GB2312" w:cs="Times New Roman"/>
          <w:color w:val="auto"/>
          <w:spacing w:val="-6"/>
          <w:sz w:val="32"/>
          <w:szCs w:val="32"/>
          <w:lang w:val="en-US" w:eastAsia="zh-CN"/>
        </w:rPr>
        <w:t>经济效益：无。</w:t>
      </w:r>
    </w:p>
    <w:p>
      <w:pPr>
        <w:autoSpaceDE w:val="0"/>
        <w:spacing w:line="540" w:lineRule="exact"/>
        <w:rPr>
          <w:rFonts w:hint="eastAsia" w:ascii="仿宋_GB2312" w:hAnsi="Times New Roman" w:eastAsia="仿宋_GB2312" w:cs="Times New Roman"/>
          <w:spacing w:val="-6"/>
          <w:sz w:val="32"/>
          <w:szCs w:val="32"/>
          <w:lang w:eastAsia="zh-CN"/>
        </w:rPr>
      </w:pPr>
      <w:r>
        <w:rPr>
          <w:rFonts w:hint="eastAsia" w:ascii="仿宋_GB2312" w:hAnsi="Times New Roman" w:eastAsia="仿宋_GB2312" w:cs="Times New Roman"/>
          <w:spacing w:val="-6"/>
          <w:sz w:val="32"/>
          <w:szCs w:val="32"/>
          <w:lang w:eastAsia="zh-CN"/>
        </w:rPr>
        <w:t>社会效益：有利于家庭幸福，社会和谐。</w:t>
      </w:r>
    </w:p>
    <w:p>
      <w:pPr>
        <w:autoSpaceDE w:val="0"/>
        <w:spacing w:line="540" w:lineRule="exact"/>
        <w:rPr>
          <w:rFonts w:hint="eastAsia" w:ascii="仿宋_GB2312" w:hAnsi="Times New Roman" w:eastAsia="仿宋_GB2312" w:cs="Times New Roman"/>
          <w:color w:val="auto"/>
          <w:spacing w:val="-6"/>
          <w:sz w:val="32"/>
          <w:szCs w:val="32"/>
          <w:lang w:val="en-US" w:eastAsia="zh-CN"/>
        </w:rPr>
      </w:pPr>
      <w:r>
        <w:rPr>
          <w:rFonts w:hint="eastAsia" w:ascii="仿宋_GB2312" w:hAnsi="Times New Roman" w:eastAsia="仿宋_GB2312" w:cs="Times New Roman"/>
          <w:spacing w:val="-6"/>
          <w:sz w:val="32"/>
          <w:szCs w:val="32"/>
        </w:rPr>
        <w:t>生态效益</w:t>
      </w:r>
      <w:r>
        <w:rPr>
          <w:rFonts w:hint="eastAsia" w:ascii="仿宋_GB2312" w:hAnsi="Times New Roman" w:eastAsia="仿宋_GB2312" w:cs="Times New Roman"/>
          <w:color w:val="auto"/>
          <w:spacing w:val="-6"/>
          <w:sz w:val="32"/>
          <w:szCs w:val="32"/>
          <w:lang w:val="en-US" w:eastAsia="zh-CN"/>
        </w:rPr>
        <w:t>：无。</w:t>
      </w:r>
    </w:p>
    <w:p>
      <w:pPr>
        <w:autoSpaceDE w:val="0"/>
        <w:spacing w:line="540" w:lineRule="exact"/>
        <w:rPr>
          <w:rFonts w:hint="eastAsia" w:ascii="仿宋_GB2312" w:hAnsi="Times New Roman" w:eastAsia="仿宋_GB2312" w:cs="Times New Roman"/>
          <w:color w:val="auto"/>
          <w:spacing w:val="-6"/>
          <w:sz w:val="32"/>
          <w:szCs w:val="32"/>
          <w:lang w:val="en-US" w:eastAsia="zh-CN"/>
        </w:rPr>
      </w:pPr>
      <w:r>
        <w:rPr>
          <w:rFonts w:hint="eastAsia" w:ascii="仿宋_GB2312" w:hAnsi="Times New Roman" w:eastAsia="仿宋_GB2312" w:cs="Times New Roman"/>
          <w:color w:val="auto"/>
          <w:spacing w:val="-6"/>
          <w:sz w:val="32"/>
          <w:szCs w:val="32"/>
          <w:lang w:val="en-US" w:eastAsia="zh-CN"/>
        </w:rPr>
        <w:t>可持续影响指标：社会发展需要；满足妇女儿童发展需；服务全区，引领全区妇女儿童。</w:t>
      </w:r>
    </w:p>
    <w:p>
      <w:pPr>
        <w:autoSpaceDE w:val="0"/>
        <w:spacing w:line="540" w:lineRule="exact"/>
        <w:rPr>
          <w:rFonts w:hint="eastAsia" w:ascii="仿宋_GB2312" w:hAnsi="Times New Roman" w:eastAsia="仿宋_GB2312" w:cs="Times New Roman"/>
          <w:color w:val="auto"/>
          <w:spacing w:val="-6"/>
          <w:sz w:val="32"/>
          <w:szCs w:val="32"/>
          <w:lang w:val="en-US" w:eastAsia="zh-CN"/>
        </w:rPr>
      </w:pPr>
      <w:r>
        <w:rPr>
          <w:rFonts w:hint="eastAsia" w:ascii="仿宋_GB2312" w:hAnsi="Times New Roman" w:eastAsia="仿宋_GB2312" w:cs="Times New Roman"/>
          <w:color w:val="auto"/>
          <w:spacing w:val="-6"/>
          <w:sz w:val="32"/>
          <w:szCs w:val="32"/>
          <w:lang w:val="en-US" w:eastAsia="zh-CN"/>
        </w:rPr>
        <w:t>满意度指标：满意度达95%以上。</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黑体" w:hAnsi="宋体" w:eastAsia="黑体" w:cs="Times New Roman"/>
          <w:color w:val="auto"/>
          <w:sz w:val="32"/>
          <w:szCs w:val="32"/>
          <w:highlight w:val="none"/>
        </w:rPr>
      </w:pPr>
      <w:r>
        <w:rPr>
          <w:rFonts w:hint="eastAsia" w:ascii="黑体" w:hAnsi="宋体" w:eastAsia="黑体" w:cs="Times New Roman"/>
          <w:color w:val="auto"/>
          <w:sz w:val="32"/>
          <w:szCs w:val="32"/>
          <w:highlight w:val="none"/>
        </w:rPr>
        <w:t>五、评价结论及建议</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楷体_GB2312" w:hAnsi="宋体" w:eastAsia="楷体_GB2312" w:cs="Times New Roman"/>
          <w:b/>
          <w:color w:val="auto"/>
          <w:sz w:val="32"/>
          <w:szCs w:val="32"/>
          <w:highlight w:val="none"/>
          <w:lang w:val="zh-CN"/>
        </w:rPr>
      </w:pPr>
      <w:r>
        <w:rPr>
          <w:rFonts w:hint="eastAsia" w:ascii="楷体_GB2312" w:hAnsi="宋体" w:eastAsia="楷体_GB2312" w:cs="Times New Roman"/>
          <w:b/>
          <w:color w:val="auto"/>
          <w:sz w:val="32"/>
          <w:szCs w:val="32"/>
          <w:highlight w:val="none"/>
          <w:lang w:val="zh-CN"/>
        </w:rPr>
        <w:t>（一）评价结论。</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ascii="仿宋_GB2312" w:hAnsi="宋体" w:eastAsia="仿宋_GB2312" w:cs="Times New Roman"/>
          <w:color w:val="auto"/>
          <w:sz w:val="32"/>
          <w:szCs w:val="32"/>
          <w:highlight w:val="none"/>
          <w:bdr w:val="single" w:color="auto" w:sz="4" w:space="0"/>
          <w:lang w:val="zh-CN"/>
        </w:rPr>
      </w:pPr>
      <w:r>
        <w:rPr>
          <w:rFonts w:hint="eastAsia" w:ascii="仿宋_GB2312" w:hAnsi="宋体" w:eastAsia="仿宋_GB2312" w:cs="Times New Roman"/>
          <w:color w:val="auto"/>
          <w:sz w:val="32"/>
          <w:szCs w:val="32"/>
          <w:highlight w:val="none"/>
          <w:lang w:val="zh-CN"/>
        </w:rPr>
        <w:t>结合项目自身特点、评价重点及管理办法等要求，围绕专项项目支出绩效评价指标体系对项目进行总体评价。</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楷体_GB2312" w:hAnsi="宋体" w:eastAsia="楷体_GB2312" w:cs="Times New Roman"/>
          <w:b/>
          <w:color w:val="auto"/>
          <w:sz w:val="32"/>
          <w:szCs w:val="32"/>
          <w:highlight w:val="none"/>
          <w:lang w:val="zh-CN"/>
        </w:rPr>
      </w:pPr>
      <w:r>
        <w:rPr>
          <w:rFonts w:hint="eastAsia" w:ascii="楷体_GB2312" w:hAnsi="宋体" w:eastAsia="楷体_GB2312" w:cs="Times New Roman"/>
          <w:b/>
          <w:color w:val="auto"/>
          <w:sz w:val="32"/>
          <w:szCs w:val="32"/>
          <w:highlight w:val="none"/>
          <w:lang w:val="zh-CN"/>
        </w:rPr>
        <w:t>（二）存在的问题。</w:t>
      </w:r>
    </w:p>
    <w:p>
      <w:pPr>
        <w:keepNext w:val="0"/>
        <w:keepLines w:val="0"/>
        <w:pageBreakBefore w:val="0"/>
        <w:kinsoku/>
        <w:wordWrap/>
        <w:overflowPunct/>
        <w:topLinePunct w:val="0"/>
        <w:autoSpaceDE/>
        <w:autoSpaceDN/>
        <w:bidi w:val="0"/>
        <w:adjustRightInd w:val="0"/>
        <w:snapToGrid w:val="0"/>
        <w:spacing w:line="600" w:lineRule="exact"/>
        <w:ind w:firstLine="960" w:firstLineChars="300"/>
        <w:textAlignment w:val="auto"/>
        <w:rPr>
          <w:rFonts w:hint="eastAsia" w:ascii="仿宋_GB2312" w:hAnsi="宋体" w:eastAsia="仿宋_GB2312" w:cs="Times New Roman"/>
          <w:color w:val="auto"/>
          <w:sz w:val="32"/>
          <w:szCs w:val="32"/>
          <w:highlight w:val="none"/>
          <w:lang w:val="zh-CN"/>
        </w:rPr>
      </w:pPr>
      <w:r>
        <w:rPr>
          <w:rFonts w:hint="eastAsia" w:ascii="仿宋_GB2312" w:hAnsi="宋体" w:eastAsia="仿宋_GB2312" w:cs="Times New Roman"/>
          <w:color w:val="auto"/>
          <w:sz w:val="32"/>
          <w:szCs w:val="32"/>
          <w:highlight w:val="none"/>
          <w:lang w:val="zh-CN"/>
        </w:rPr>
        <w:t>无</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楷体_GB2312" w:hAnsi="宋体" w:eastAsia="楷体_GB2312" w:cs="Times New Roman"/>
          <w:b/>
          <w:color w:val="auto"/>
          <w:sz w:val="32"/>
          <w:szCs w:val="32"/>
          <w:highlight w:val="none"/>
          <w:lang w:val="zh-CN"/>
        </w:rPr>
      </w:pPr>
      <w:r>
        <w:rPr>
          <w:rFonts w:hint="eastAsia" w:ascii="楷体_GB2312" w:hAnsi="宋体" w:eastAsia="楷体_GB2312" w:cs="Times New Roman"/>
          <w:b/>
          <w:color w:val="auto"/>
          <w:sz w:val="32"/>
          <w:szCs w:val="32"/>
          <w:highlight w:val="none"/>
          <w:lang w:val="zh-CN"/>
        </w:rPr>
        <w:t>（三）相关建议。</w:t>
      </w:r>
    </w:p>
    <w:p>
      <w:pPr>
        <w:autoSpaceDE w:val="0"/>
        <w:spacing w:line="540" w:lineRule="exact"/>
      </w:pPr>
      <w:r>
        <w:rPr>
          <w:rFonts w:hint="eastAsia" w:ascii="仿宋_GB2312" w:hAnsi="Times New Roman" w:eastAsia="仿宋_GB2312" w:cs="Times New Roman"/>
          <w:color w:val="auto"/>
          <w:spacing w:val="-6"/>
          <w:sz w:val="32"/>
          <w:szCs w:val="32"/>
          <w:lang w:val="en-US" w:eastAsia="zh-CN"/>
        </w:rPr>
        <w:t>后续将</w:t>
      </w:r>
      <w:r>
        <w:rPr>
          <w:rFonts w:hint="eastAsia" w:ascii="仿宋_GB2312" w:hAnsi="Times New Roman" w:eastAsia="仿宋_GB2312" w:cs="Times New Roman"/>
          <w:color w:val="auto"/>
          <w:spacing w:val="-6"/>
          <w:sz w:val="32"/>
          <w:szCs w:val="32"/>
        </w:rPr>
        <w:t>按照财政项目支出绩效管理的要求，</w:t>
      </w:r>
      <w:r>
        <w:rPr>
          <w:rFonts w:hint="eastAsia" w:ascii="仿宋_GB2312" w:hAnsi="Times New Roman" w:eastAsia="仿宋_GB2312" w:cs="Times New Roman"/>
          <w:spacing w:val="-6"/>
          <w:sz w:val="32"/>
          <w:szCs w:val="32"/>
          <w:lang w:val="en-US" w:eastAsia="zh-CN"/>
        </w:rPr>
        <w:t>婚姻家庭纠纷预防化解工作</w:t>
      </w:r>
      <w:r>
        <w:rPr>
          <w:rFonts w:hint="eastAsia" w:ascii="仿宋_GB2312" w:hAnsi="Times New Roman" w:eastAsia="仿宋_GB2312" w:cs="Times New Roman"/>
          <w:color w:val="auto"/>
          <w:spacing w:val="-6"/>
          <w:sz w:val="32"/>
          <w:szCs w:val="32"/>
          <w:lang w:eastAsia="zh-CN"/>
        </w:rPr>
        <w:t>全面化解。</w:t>
      </w:r>
    </w:p>
    <w:p>
      <w:pPr>
        <w:pStyle w:val="2"/>
        <w:rPr>
          <w:rFonts w:hint="default"/>
          <w:lang w:val="en-US" w:eastAsia="zh-CN"/>
        </w:rPr>
      </w:pPr>
      <w:bookmarkStart w:id="59" w:name="_Toc15396618"/>
      <w:r>
        <w:rPr>
          <w:rFonts w:hint="eastAsia"/>
          <w:lang w:val="en-US" w:eastAsia="zh-CN"/>
        </w:rPr>
        <w:t>附表3</w:t>
      </w:r>
    </w:p>
    <w:p>
      <w:pPr>
        <w:widowControl/>
        <w:jc w:val="center"/>
        <w:textAlignment w:val="center"/>
        <w:rPr>
          <w:rFonts w:hint="eastAsia"/>
          <w:lang w:eastAsia="zh-CN"/>
        </w:rPr>
      </w:pPr>
      <w:r>
        <w:rPr>
          <w:rFonts w:hint="eastAsia" w:ascii="宋体" w:hAnsi="宋体" w:cs="宋体"/>
          <w:b/>
          <w:bCs/>
          <w:color w:val="000000"/>
          <w:kern w:val="0"/>
          <w:sz w:val="40"/>
          <w:szCs w:val="40"/>
          <w:lang w:bidi="ar"/>
        </w:rPr>
        <w:t>项目绩效目标完成情况表</w:t>
      </w:r>
    </w:p>
    <w:p>
      <w:pPr>
        <w:widowControl/>
        <w:jc w:val="center"/>
        <w:textAlignment w:val="center"/>
        <w:rPr>
          <w:rFonts w:ascii="宋体" w:hAnsi="宋体" w:cs="宋体"/>
          <w:color w:val="000000"/>
          <w:kern w:val="0"/>
          <w:sz w:val="36"/>
          <w:szCs w:val="36"/>
          <w:lang w:bidi="ar"/>
        </w:rPr>
      </w:pPr>
      <w:r>
        <w:rPr>
          <w:rFonts w:ascii="宋体" w:hAnsi="宋体" w:cs="宋体"/>
          <w:color w:val="000000"/>
          <w:kern w:val="0"/>
          <w:sz w:val="36"/>
          <w:szCs w:val="36"/>
          <w:lang w:bidi="ar"/>
        </w:rPr>
        <w:t>(202</w:t>
      </w:r>
      <w:r>
        <w:rPr>
          <w:rFonts w:hint="eastAsia" w:ascii="宋体" w:hAnsi="宋体" w:cs="宋体"/>
          <w:color w:val="000000"/>
          <w:kern w:val="0"/>
          <w:sz w:val="36"/>
          <w:szCs w:val="36"/>
          <w:lang w:val="en-US" w:eastAsia="zh-CN" w:bidi="ar"/>
        </w:rPr>
        <w:t>1</w:t>
      </w:r>
      <w:r>
        <w:rPr>
          <w:rFonts w:hint="eastAsia" w:ascii="宋体" w:hAnsi="宋体" w:cs="宋体"/>
          <w:color w:val="000000"/>
          <w:kern w:val="0"/>
          <w:sz w:val="36"/>
          <w:szCs w:val="36"/>
          <w:lang w:bidi="ar"/>
        </w:rPr>
        <w:t>年度</w:t>
      </w:r>
      <w:r>
        <w:rPr>
          <w:rFonts w:ascii="宋体" w:hAnsi="宋体" w:cs="宋体"/>
          <w:color w:val="000000"/>
          <w:kern w:val="0"/>
          <w:sz w:val="36"/>
          <w:szCs w:val="36"/>
          <w:lang w:bidi="ar"/>
        </w:rPr>
        <w:t>)</w:t>
      </w:r>
    </w:p>
    <w:tbl>
      <w:tblPr>
        <w:tblStyle w:val="12"/>
        <w:tblW w:w="6085" w:type="pct"/>
        <w:jc w:val="center"/>
        <w:tblLayout w:type="autofit"/>
        <w:tblCellMar>
          <w:top w:w="0" w:type="dxa"/>
          <w:left w:w="0" w:type="dxa"/>
          <w:bottom w:w="0" w:type="dxa"/>
          <w:right w:w="0" w:type="dxa"/>
        </w:tblCellMar>
      </w:tblPr>
      <w:tblGrid>
        <w:gridCol w:w="701"/>
        <w:gridCol w:w="1183"/>
        <w:gridCol w:w="891"/>
        <w:gridCol w:w="2072"/>
        <w:gridCol w:w="2074"/>
        <w:gridCol w:w="3582"/>
      </w:tblGrid>
      <w:tr>
        <w:tblPrEx>
          <w:tblCellMar>
            <w:top w:w="0" w:type="dxa"/>
            <w:left w:w="0" w:type="dxa"/>
            <w:bottom w:w="0" w:type="dxa"/>
            <w:right w:w="0" w:type="dxa"/>
          </w:tblCellMar>
        </w:tblPrEx>
        <w:trPr>
          <w:trHeight w:val="624" w:hRule="atLeast"/>
          <w:jc w:val="center"/>
        </w:trPr>
        <w:tc>
          <w:tcPr>
            <w:tcW w:w="1321" w:type="pct"/>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项目名称</w:t>
            </w:r>
          </w:p>
        </w:tc>
        <w:tc>
          <w:tcPr>
            <w:tcW w:w="3678" w:type="pct"/>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textAlignment w:val="center"/>
              <w:rPr>
                <w:rFonts w:hint="eastAsia" w:ascii="宋体" w:hAnsi="宋体" w:eastAsia="宋体" w:cs="宋体"/>
                <w:color w:val="000000"/>
                <w:sz w:val="18"/>
                <w:szCs w:val="18"/>
                <w:lang w:eastAsia="zh-CN"/>
              </w:rPr>
            </w:pPr>
            <w:r>
              <w:rPr>
                <w:rFonts w:hint="eastAsia" w:ascii="宋体" w:hAnsi="宋体" w:cs="宋体"/>
                <w:color w:val="000000"/>
                <w:sz w:val="18"/>
                <w:szCs w:val="18"/>
              </w:rPr>
              <w:t xml:space="preserve">                   </w:t>
            </w:r>
            <w:r>
              <w:rPr>
                <w:rFonts w:hint="eastAsia" w:ascii="宋体" w:hAnsi="宋体" w:cs="宋体"/>
                <w:color w:val="000000"/>
                <w:sz w:val="18"/>
                <w:szCs w:val="18"/>
                <w:lang w:eastAsia="zh-CN"/>
              </w:rPr>
              <w:t>婚姻家庭纠纷预防化解项目</w:t>
            </w:r>
          </w:p>
        </w:tc>
      </w:tr>
      <w:tr>
        <w:tblPrEx>
          <w:tblCellMar>
            <w:top w:w="0" w:type="dxa"/>
            <w:left w:w="0" w:type="dxa"/>
            <w:bottom w:w="0" w:type="dxa"/>
            <w:right w:w="0" w:type="dxa"/>
          </w:tblCellMar>
        </w:tblPrEx>
        <w:trPr>
          <w:trHeight w:val="624" w:hRule="atLeast"/>
          <w:jc w:val="center"/>
        </w:trPr>
        <w:tc>
          <w:tcPr>
            <w:tcW w:w="1321" w:type="pct"/>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预算单位</w:t>
            </w:r>
          </w:p>
        </w:tc>
        <w:tc>
          <w:tcPr>
            <w:tcW w:w="3678" w:type="pct"/>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广元市</w:t>
            </w:r>
            <w:r>
              <w:rPr>
                <w:rFonts w:hint="eastAsia" w:ascii="宋体" w:hAnsi="宋体" w:cs="宋体"/>
                <w:color w:val="000000"/>
                <w:sz w:val="18"/>
                <w:szCs w:val="18"/>
                <w:lang w:eastAsia="zh-CN"/>
              </w:rPr>
              <w:t>朝天</w:t>
            </w:r>
            <w:r>
              <w:rPr>
                <w:rFonts w:ascii="宋体" w:hAnsi="宋体" w:cs="宋体"/>
                <w:color w:val="000000"/>
                <w:sz w:val="18"/>
                <w:szCs w:val="18"/>
              </w:rPr>
              <w:t>区妇女联合会</w:t>
            </w:r>
          </w:p>
        </w:tc>
      </w:tr>
      <w:tr>
        <w:tblPrEx>
          <w:tblCellMar>
            <w:top w:w="0" w:type="dxa"/>
            <w:left w:w="0" w:type="dxa"/>
            <w:bottom w:w="0" w:type="dxa"/>
            <w:right w:w="0" w:type="dxa"/>
          </w:tblCellMar>
        </w:tblPrEx>
        <w:trPr>
          <w:trHeight w:val="624" w:hRule="atLeast"/>
          <w:jc w:val="center"/>
        </w:trPr>
        <w:tc>
          <w:tcPr>
            <w:tcW w:w="334"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预算执行情况(万元)</w:t>
            </w:r>
          </w:p>
        </w:tc>
        <w:tc>
          <w:tcPr>
            <w:tcW w:w="987"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预算数:</w:t>
            </w:r>
          </w:p>
        </w:tc>
        <w:tc>
          <w:tcPr>
            <w:tcW w:w="986" w:type="pc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1</w:t>
            </w:r>
            <w:r>
              <w:rPr>
                <w:rFonts w:hint="eastAsia" w:ascii="宋体" w:hAnsi="宋体" w:cs="宋体"/>
                <w:color w:val="000000"/>
                <w:sz w:val="18"/>
                <w:szCs w:val="18"/>
                <w:lang w:val="en-US" w:eastAsia="zh-CN"/>
              </w:rPr>
              <w:t>万元</w:t>
            </w:r>
          </w:p>
        </w:tc>
        <w:tc>
          <w:tcPr>
            <w:tcW w:w="987" w:type="pc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执行数:</w:t>
            </w:r>
          </w:p>
        </w:tc>
        <w:tc>
          <w:tcPr>
            <w:tcW w:w="1704" w:type="pc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1</w:t>
            </w:r>
            <w:r>
              <w:rPr>
                <w:rFonts w:hint="eastAsia" w:ascii="宋体" w:hAnsi="宋体" w:cs="宋体"/>
                <w:color w:val="000000"/>
                <w:sz w:val="18"/>
                <w:szCs w:val="18"/>
                <w:lang w:val="en-US" w:eastAsia="zh-CN"/>
              </w:rPr>
              <w:t>万元</w:t>
            </w:r>
          </w:p>
        </w:tc>
      </w:tr>
      <w:tr>
        <w:tblPrEx>
          <w:tblCellMar>
            <w:top w:w="0" w:type="dxa"/>
            <w:left w:w="0" w:type="dxa"/>
            <w:bottom w:w="0" w:type="dxa"/>
            <w:right w:w="0" w:type="dxa"/>
          </w:tblCellMar>
        </w:tblPrEx>
        <w:trPr>
          <w:trHeight w:val="624" w:hRule="atLeast"/>
          <w:jc w:val="center"/>
        </w:trPr>
        <w:tc>
          <w:tcPr>
            <w:tcW w:w="334" w:type="pct"/>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sz w:val="18"/>
                <w:szCs w:val="18"/>
              </w:rPr>
            </w:pPr>
          </w:p>
        </w:tc>
        <w:tc>
          <w:tcPr>
            <w:tcW w:w="987"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其中-财政拨款:</w:t>
            </w:r>
          </w:p>
        </w:tc>
        <w:tc>
          <w:tcPr>
            <w:tcW w:w="986" w:type="pc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1</w:t>
            </w:r>
            <w:r>
              <w:rPr>
                <w:rFonts w:hint="eastAsia" w:ascii="宋体" w:hAnsi="宋体" w:cs="宋体"/>
                <w:color w:val="000000"/>
                <w:sz w:val="18"/>
                <w:szCs w:val="18"/>
                <w:lang w:val="en-US" w:eastAsia="zh-CN"/>
              </w:rPr>
              <w:t>万元</w:t>
            </w:r>
          </w:p>
        </w:tc>
        <w:tc>
          <w:tcPr>
            <w:tcW w:w="987" w:type="pc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其中-财政拨款:</w:t>
            </w:r>
          </w:p>
        </w:tc>
        <w:tc>
          <w:tcPr>
            <w:tcW w:w="1704" w:type="pc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1</w:t>
            </w:r>
            <w:r>
              <w:rPr>
                <w:rFonts w:hint="eastAsia" w:ascii="宋体" w:hAnsi="宋体" w:cs="宋体"/>
                <w:color w:val="000000"/>
                <w:sz w:val="18"/>
                <w:szCs w:val="18"/>
                <w:lang w:val="en-US" w:eastAsia="zh-CN"/>
              </w:rPr>
              <w:t>万元</w:t>
            </w:r>
          </w:p>
        </w:tc>
      </w:tr>
      <w:tr>
        <w:tblPrEx>
          <w:tblCellMar>
            <w:top w:w="0" w:type="dxa"/>
            <w:left w:w="0" w:type="dxa"/>
            <w:bottom w:w="0" w:type="dxa"/>
            <w:right w:w="0" w:type="dxa"/>
          </w:tblCellMar>
        </w:tblPrEx>
        <w:trPr>
          <w:trHeight w:val="624" w:hRule="atLeast"/>
          <w:jc w:val="center"/>
        </w:trPr>
        <w:tc>
          <w:tcPr>
            <w:tcW w:w="334" w:type="pct"/>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sz w:val="18"/>
                <w:szCs w:val="18"/>
              </w:rPr>
            </w:pPr>
          </w:p>
        </w:tc>
        <w:tc>
          <w:tcPr>
            <w:tcW w:w="987"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其它资金:</w:t>
            </w:r>
          </w:p>
        </w:tc>
        <w:tc>
          <w:tcPr>
            <w:tcW w:w="986" w:type="pc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w:t>
            </w:r>
          </w:p>
        </w:tc>
        <w:tc>
          <w:tcPr>
            <w:tcW w:w="987" w:type="pc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其它资金:</w:t>
            </w:r>
          </w:p>
        </w:tc>
        <w:tc>
          <w:tcPr>
            <w:tcW w:w="1704" w:type="pc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jc w:val="center"/>
              <w:rPr>
                <w:rFonts w:ascii="宋体" w:hAnsi="宋体" w:cs="宋体"/>
                <w:color w:val="000000"/>
                <w:sz w:val="18"/>
                <w:szCs w:val="18"/>
              </w:rPr>
            </w:pPr>
            <w:r>
              <w:rPr>
                <w:rFonts w:hint="eastAsia" w:ascii="宋体" w:hAnsi="宋体" w:cs="宋体"/>
                <w:color w:val="000000"/>
                <w:sz w:val="18"/>
                <w:szCs w:val="18"/>
              </w:rPr>
              <w:t>0</w:t>
            </w:r>
          </w:p>
        </w:tc>
      </w:tr>
      <w:tr>
        <w:tblPrEx>
          <w:tblCellMar>
            <w:top w:w="0" w:type="dxa"/>
            <w:left w:w="0" w:type="dxa"/>
            <w:bottom w:w="0" w:type="dxa"/>
            <w:right w:w="0" w:type="dxa"/>
          </w:tblCellMar>
        </w:tblPrEx>
        <w:trPr>
          <w:trHeight w:val="624" w:hRule="atLeast"/>
          <w:jc w:val="center"/>
        </w:trPr>
        <w:tc>
          <w:tcPr>
            <w:tcW w:w="334"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年度目标完成情况</w:t>
            </w:r>
          </w:p>
        </w:tc>
        <w:tc>
          <w:tcPr>
            <w:tcW w:w="1973" w:type="pct"/>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预期目标</w:t>
            </w:r>
          </w:p>
        </w:tc>
        <w:tc>
          <w:tcPr>
            <w:tcW w:w="2691"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实际完成目标</w:t>
            </w:r>
          </w:p>
        </w:tc>
      </w:tr>
      <w:tr>
        <w:tblPrEx>
          <w:tblCellMar>
            <w:top w:w="0" w:type="dxa"/>
            <w:left w:w="0" w:type="dxa"/>
            <w:bottom w:w="0" w:type="dxa"/>
            <w:right w:w="0" w:type="dxa"/>
          </w:tblCellMar>
        </w:tblPrEx>
        <w:trPr>
          <w:trHeight w:val="624" w:hRule="atLeast"/>
          <w:jc w:val="center"/>
        </w:trPr>
        <w:tc>
          <w:tcPr>
            <w:tcW w:w="334" w:type="pct"/>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000000"/>
                <w:sz w:val="18"/>
                <w:szCs w:val="18"/>
              </w:rPr>
            </w:pPr>
          </w:p>
        </w:tc>
        <w:tc>
          <w:tcPr>
            <w:tcW w:w="1973" w:type="pct"/>
            <w:gridSpan w:val="3"/>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18"/>
                <w:szCs w:val="18"/>
                <w:lang w:val="en-US" w:eastAsia="zh-CN"/>
              </w:rPr>
            </w:pPr>
            <w:r>
              <w:rPr>
                <w:rFonts w:hint="eastAsia" w:ascii="宋体" w:hAnsi="宋体" w:cs="宋体"/>
                <w:color w:val="000000"/>
                <w:sz w:val="18"/>
                <w:szCs w:val="18"/>
                <w:lang w:val="en-US" w:eastAsia="zh-CN"/>
              </w:rPr>
              <w:t>开展婚姻家庭纠纷预防化解</w:t>
            </w:r>
          </w:p>
        </w:tc>
        <w:tc>
          <w:tcPr>
            <w:tcW w:w="2691"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lang w:val="en-US" w:eastAsia="zh-CN"/>
              </w:rPr>
              <w:t>全年开展婚姻家庭纠纷预防化解工作</w:t>
            </w:r>
          </w:p>
        </w:tc>
      </w:tr>
      <w:tr>
        <w:tblPrEx>
          <w:tblCellMar>
            <w:top w:w="0" w:type="dxa"/>
            <w:left w:w="0" w:type="dxa"/>
            <w:bottom w:w="0" w:type="dxa"/>
            <w:right w:w="0" w:type="dxa"/>
          </w:tblCellMar>
        </w:tblPrEx>
        <w:trPr>
          <w:trHeight w:val="624" w:hRule="atLeast"/>
          <w:jc w:val="center"/>
        </w:trPr>
        <w:tc>
          <w:tcPr>
            <w:tcW w:w="334"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绩效指标完成情况</w:t>
            </w:r>
          </w:p>
        </w:tc>
        <w:tc>
          <w:tcPr>
            <w:tcW w:w="563" w:type="pc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一级指标</w:t>
            </w:r>
          </w:p>
        </w:tc>
        <w:tc>
          <w:tcPr>
            <w:tcW w:w="423" w:type="pc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二级指标</w:t>
            </w:r>
          </w:p>
        </w:tc>
        <w:tc>
          <w:tcPr>
            <w:tcW w:w="986" w:type="pc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三级指标</w:t>
            </w:r>
          </w:p>
        </w:tc>
        <w:tc>
          <w:tcPr>
            <w:tcW w:w="987" w:type="pc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预期指标值(包含数字及文字描述)</w:t>
            </w:r>
          </w:p>
        </w:tc>
        <w:tc>
          <w:tcPr>
            <w:tcW w:w="1704" w:type="pc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实际完成指标值(包含数字及文字描述)</w:t>
            </w:r>
          </w:p>
        </w:tc>
      </w:tr>
      <w:tr>
        <w:tblPrEx>
          <w:tblCellMar>
            <w:top w:w="0" w:type="dxa"/>
            <w:left w:w="0" w:type="dxa"/>
            <w:bottom w:w="0" w:type="dxa"/>
            <w:right w:w="0" w:type="dxa"/>
          </w:tblCellMar>
        </w:tblPrEx>
        <w:trPr>
          <w:trHeight w:val="624" w:hRule="atLeast"/>
          <w:jc w:val="center"/>
        </w:trPr>
        <w:tc>
          <w:tcPr>
            <w:tcW w:w="334" w:type="pct"/>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8"/>
                <w:szCs w:val="18"/>
                <w:lang w:eastAsia="zh-CN"/>
              </w:rPr>
            </w:pPr>
          </w:p>
        </w:tc>
        <w:tc>
          <w:tcPr>
            <w:tcW w:w="563" w:type="pc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宋体" w:hAnsi="宋体" w:cs="宋体"/>
                <w:color w:val="000000"/>
                <w:sz w:val="18"/>
                <w:szCs w:val="18"/>
                <w:lang w:eastAsia="zh-CN"/>
              </w:rPr>
            </w:pPr>
            <w:r>
              <w:rPr>
                <w:rFonts w:hint="eastAsia" w:ascii="宋体" w:hAnsi="宋体" w:cs="宋体"/>
                <w:color w:val="000000"/>
                <w:sz w:val="18"/>
                <w:szCs w:val="18"/>
                <w:lang w:eastAsia="zh-CN"/>
              </w:rPr>
              <w:t>项目完成指标</w:t>
            </w:r>
          </w:p>
        </w:tc>
        <w:tc>
          <w:tcPr>
            <w:tcW w:w="423" w:type="pc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宋体" w:hAnsi="宋体" w:cs="宋体"/>
                <w:color w:val="000000"/>
                <w:sz w:val="18"/>
                <w:szCs w:val="18"/>
                <w:lang w:eastAsia="zh-CN"/>
              </w:rPr>
            </w:pPr>
            <w:r>
              <w:rPr>
                <w:rFonts w:hint="eastAsia" w:ascii="宋体" w:hAnsi="宋体" w:cs="宋体"/>
                <w:color w:val="000000"/>
                <w:sz w:val="18"/>
                <w:szCs w:val="18"/>
                <w:lang w:eastAsia="zh-CN"/>
              </w:rPr>
              <w:t>数量指标</w:t>
            </w:r>
          </w:p>
        </w:tc>
        <w:tc>
          <w:tcPr>
            <w:tcW w:w="986" w:type="pc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开展反家暴、防性侵、未成年人保护工作，及时受理辖区内婚姻家庭纠纷，积极帮助妇女维权</w:t>
            </w:r>
          </w:p>
        </w:tc>
        <w:tc>
          <w:tcPr>
            <w:tcW w:w="987" w:type="pc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35件</w:t>
            </w:r>
          </w:p>
        </w:tc>
        <w:tc>
          <w:tcPr>
            <w:tcW w:w="1704" w:type="pc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宋体" w:hAnsi="宋体" w:cs="宋体"/>
                <w:color w:val="000000"/>
                <w:sz w:val="18"/>
                <w:szCs w:val="18"/>
                <w:lang w:eastAsia="zh-CN"/>
              </w:rPr>
            </w:pPr>
            <w:r>
              <w:rPr>
                <w:rFonts w:hint="eastAsia" w:ascii="宋体" w:hAnsi="宋体" w:cs="宋体"/>
                <w:color w:val="000000"/>
                <w:sz w:val="18"/>
                <w:szCs w:val="18"/>
                <w:lang w:val="en-US" w:eastAsia="zh-CN"/>
              </w:rPr>
              <w:t>35件</w:t>
            </w:r>
          </w:p>
        </w:tc>
      </w:tr>
      <w:tr>
        <w:tblPrEx>
          <w:tblCellMar>
            <w:top w:w="0" w:type="dxa"/>
            <w:left w:w="0" w:type="dxa"/>
            <w:bottom w:w="0" w:type="dxa"/>
            <w:right w:w="0" w:type="dxa"/>
          </w:tblCellMar>
        </w:tblPrEx>
        <w:trPr>
          <w:trHeight w:val="624" w:hRule="atLeast"/>
          <w:jc w:val="center"/>
        </w:trPr>
        <w:tc>
          <w:tcPr>
            <w:tcW w:w="334" w:type="pct"/>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8"/>
                <w:szCs w:val="18"/>
                <w:lang w:eastAsia="zh-CN"/>
              </w:rPr>
            </w:pPr>
          </w:p>
        </w:tc>
        <w:tc>
          <w:tcPr>
            <w:tcW w:w="563" w:type="pc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宋体" w:hAnsi="宋体" w:cs="宋体"/>
                <w:color w:val="000000"/>
                <w:sz w:val="18"/>
                <w:szCs w:val="18"/>
                <w:lang w:eastAsia="zh-CN"/>
              </w:rPr>
            </w:pPr>
            <w:r>
              <w:rPr>
                <w:rFonts w:hint="eastAsia" w:ascii="宋体" w:hAnsi="宋体" w:cs="宋体"/>
                <w:color w:val="000000"/>
                <w:sz w:val="18"/>
                <w:szCs w:val="18"/>
                <w:lang w:eastAsia="zh-CN"/>
              </w:rPr>
              <w:t>项目完成指标</w:t>
            </w:r>
          </w:p>
        </w:tc>
        <w:tc>
          <w:tcPr>
            <w:tcW w:w="423" w:type="pc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宋体" w:hAnsi="宋体" w:cs="宋体"/>
                <w:color w:val="000000"/>
                <w:sz w:val="18"/>
                <w:szCs w:val="18"/>
                <w:lang w:eastAsia="zh-CN"/>
              </w:rPr>
            </w:pPr>
            <w:r>
              <w:rPr>
                <w:rFonts w:hint="eastAsia" w:ascii="宋体" w:hAnsi="宋体" w:cs="宋体"/>
                <w:color w:val="000000"/>
                <w:sz w:val="18"/>
                <w:szCs w:val="18"/>
                <w:lang w:eastAsia="zh-CN"/>
              </w:rPr>
              <w:t>质量指标</w:t>
            </w:r>
          </w:p>
        </w:tc>
        <w:tc>
          <w:tcPr>
            <w:tcW w:w="986" w:type="pc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default" w:ascii="宋体" w:hAnsi="宋体" w:cs="宋体"/>
                <w:color w:val="000000"/>
                <w:sz w:val="18"/>
                <w:szCs w:val="18"/>
                <w:lang w:val="en-US" w:eastAsia="zh-CN"/>
              </w:rPr>
            </w:pPr>
            <w:r>
              <w:rPr>
                <w:rFonts w:hint="eastAsia" w:ascii="宋体" w:hAnsi="宋体" w:cs="宋体"/>
                <w:color w:val="000000"/>
                <w:sz w:val="18"/>
                <w:szCs w:val="18"/>
                <w:lang w:eastAsia="zh-CN"/>
              </w:rPr>
              <w:t>高标准完成调解婚假家庭纠纷家庭矛盾纠纷</w:t>
            </w:r>
          </w:p>
        </w:tc>
        <w:tc>
          <w:tcPr>
            <w:tcW w:w="987" w:type="pc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宋体" w:hAnsi="宋体" w:cs="宋体"/>
                <w:color w:val="000000"/>
                <w:sz w:val="18"/>
                <w:szCs w:val="18"/>
                <w:lang w:eastAsia="zh-CN"/>
              </w:rPr>
            </w:pPr>
            <w:r>
              <w:rPr>
                <w:rFonts w:hint="eastAsia" w:ascii="宋体" w:hAnsi="宋体" w:cs="宋体"/>
                <w:color w:val="000000"/>
                <w:sz w:val="18"/>
                <w:szCs w:val="18"/>
                <w:lang w:val="en-US" w:eastAsia="zh-CN"/>
              </w:rPr>
              <w:t>1项</w:t>
            </w:r>
          </w:p>
        </w:tc>
        <w:tc>
          <w:tcPr>
            <w:tcW w:w="1704" w:type="pc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1项</w:t>
            </w:r>
          </w:p>
        </w:tc>
      </w:tr>
      <w:tr>
        <w:tblPrEx>
          <w:tblCellMar>
            <w:top w:w="0" w:type="dxa"/>
            <w:left w:w="0" w:type="dxa"/>
            <w:bottom w:w="0" w:type="dxa"/>
            <w:right w:w="0" w:type="dxa"/>
          </w:tblCellMar>
        </w:tblPrEx>
        <w:trPr>
          <w:trHeight w:val="624" w:hRule="atLeast"/>
          <w:jc w:val="center"/>
        </w:trPr>
        <w:tc>
          <w:tcPr>
            <w:tcW w:w="334" w:type="pct"/>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8"/>
                <w:szCs w:val="18"/>
                <w:lang w:eastAsia="zh-CN"/>
              </w:rPr>
            </w:pPr>
          </w:p>
        </w:tc>
        <w:tc>
          <w:tcPr>
            <w:tcW w:w="563" w:type="pc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宋体" w:hAnsi="宋体" w:cs="宋体"/>
                <w:color w:val="000000"/>
                <w:sz w:val="18"/>
                <w:szCs w:val="18"/>
                <w:lang w:eastAsia="zh-CN"/>
              </w:rPr>
            </w:pPr>
            <w:r>
              <w:rPr>
                <w:rFonts w:hint="eastAsia" w:ascii="宋体" w:hAnsi="宋体" w:cs="宋体"/>
                <w:color w:val="000000"/>
                <w:sz w:val="18"/>
                <w:szCs w:val="18"/>
                <w:lang w:eastAsia="zh-CN"/>
              </w:rPr>
              <w:t>项目完成指标</w:t>
            </w:r>
          </w:p>
        </w:tc>
        <w:tc>
          <w:tcPr>
            <w:tcW w:w="423" w:type="pc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宋体" w:hAnsi="宋体" w:cs="宋体"/>
                <w:color w:val="000000"/>
                <w:sz w:val="18"/>
                <w:szCs w:val="18"/>
                <w:lang w:eastAsia="zh-CN"/>
              </w:rPr>
            </w:pPr>
            <w:r>
              <w:rPr>
                <w:rFonts w:hint="eastAsia" w:ascii="宋体" w:hAnsi="宋体" w:cs="宋体"/>
                <w:color w:val="000000"/>
                <w:sz w:val="18"/>
                <w:szCs w:val="18"/>
                <w:lang w:eastAsia="zh-CN"/>
              </w:rPr>
              <w:t>时效指标</w:t>
            </w:r>
          </w:p>
        </w:tc>
        <w:tc>
          <w:tcPr>
            <w:tcW w:w="986" w:type="pc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2021年度</w:t>
            </w:r>
          </w:p>
        </w:tc>
        <w:tc>
          <w:tcPr>
            <w:tcW w:w="987" w:type="pc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12个月</w:t>
            </w:r>
          </w:p>
        </w:tc>
        <w:tc>
          <w:tcPr>
            <w:tcW w:w="1704" w:type="pc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宋体" w:hAnsi="宋体" w:cs="宋体"/>
                <w:color w:val="000000"/>
                <w:sz w:val="18"/>
                <w:szCs w:val="18"/>
                <w:lang w:eastAsia="zh-CN"/>
              </w:rPr>
            </w:pPr>
            <w:r>
              <w:rPr>
                <w:rFonts w:hint="eastAsia" w:ascii="宋体" w:hAnsi="宋体" w:cs="宋体"/>
                <w:color w:val="000000"/>
                <w:sz w:val="18"/>
                <w:szCs w:val="18"/>
                <w:lang w:val="en-US" w:eastAsia="zh-CN"/>
              </w:rPr>
              <w:t>12个月</w:t>
            </w:r>
          </w:p>
        </w:tc>
      </w:tr>
      <w:tr>
        <w:tblPrEx>
          <w:tblCellMar>
            <w:top w:w="0" w:type="dxa"/>
            <w:left w:w="0" w:type="dxa"/>
            <w:bottom w:w="0" w:type="dxa"/>
            <w:right w:w="0" w:type="dxa"/>
          </w:tblCellMar>
        </w:tblPrEx>
        <w:trPr>
          <w:trHeight w:val="624" w:hRule="atLeast"/>
          <w:jc w:val="center"/>
        </w:trPr>
        <w:tc>
          <w:tcPr>
            <w:tcW w:w="334" w:type="pct"/>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8"/>
                <w:szCs w:val="18"/>
                <w:lang w:eastAsia="zh-CN"/>
              </w:rPr>
            </w:pPr>
          </w:p>
        </w:tc>
        <w:tc>
          <w:tcPr>
            <w:tcW w:w="563" w:type="pc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宋体" w:hAnsi="宋体" w:cs="宋体"/>
                <w:color w:val="000000"/>
                <w:sz w:val="18"/>
                <w:szCs w:val="18"/>
                <w:lang w:eastAsia="zh-CN"/>
              </w:rPr>
            </w:pPr>
            <w:r>
              <w:rPr>
                <w:rFonts w:hint="eastAsia" w:ascii="宋体" w:hAnsi="宋体" w:cs="宋体"/>
                <w:color w:val="000000"/>
                <w:sz w:val="18"/>
                <w:szCs w:val="18"/>
                <w:lang w:eastAsia="zh-CN"/>
              </w:rPr>
              <w:t>项目完成指标</w:t>
            </w:r>
          </w:p>
        </w:tc>
        <w:tc>
          <w:tcPr>
            <w:tcW w:w="423" w:type="pc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宋体" w:hAnsi="宋体" w:cs="宋体"/>
                <w:color w:val="000000"/>
                <w:sz w:val="18"/>
                <w:szCs w:val="18"/>
                <w:lang w:eastAsia="zh-CN"/>
              </w:rPr>
            </w:pPr>
            <w:r>
              <w:rPr>
                <w:rFonts w:hint="eastAsia" w:ascii="宋体" w:hAnsi="宋体" w:cs="宋体"/>
                <w:color w:val="000000"/>
                <w:sz w:val="18"/>
                <w:szCs w:val="18"/>
                <w:lang w:eastAsia="zh-CN"/>
              </w:rPr>
              <w:t>成本指标</w:t>
            </w:r>
          </w:p>
        </w:tc>
        <w:tc>
          <w:tcPr>
            <w:tcW w:w="986" w:type="pc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宋体" w:hAnsi="宋体" w:cs="宋体"/>
                <w:color w:val="000000"/>
                <w:sz w:val="18"/>
                <w:szCs w:val="18"/>
                <w:lang w:eastAsia="zh-CN"/>
              </w:rPr>
            </w:pPr>
            <w:r>
              <w:rPr>
                <w:rFonts w:hint="eastAsia" w:ascii="宋体" w:hAnsi="宋体" w:cs="宋体"/>
                <w:color w:val="000000"/>
                <w:sz w:val="18"/>
                <w:szCs w:val="18"/>
                <w:lang w:eastAsia="zh-CN"/>
              </w:rPr>
              <w:t>1</w:t>
            </w:r>
            <w:r>
              <w:rPr>
                <w:rFonts w:hint="eastAsia" w:ascii="宋体" w:hAnsi="宋体" w:cs="宋体"/>
                <w:color w:val="000000"/>
                <w:sz w:val="18"/>
                <w:szCs w:val="18"/>
                <w:lang w:val="en-US" w:eastAsia="zh-CN"/>
              </w:rPr>
              <w:t>万元</w:t>
            </w:r>
          </w:p>
        </w:tc>
        <w:tc>
          <w:tcPr>
            <w:tcW w:w="987" w:type="pc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宋体" w:hAnsi="宋体" w:cs="宋体"/>
                <w:color w:val="000000"/>
                <w:sz w:val="18"/>
                <w:szCs w:val="18"/>
                <w:lang w:eastAsia="zh-CN"/>
              </w:rPr>
            </w:pPr>
            <w:r>
              <w:rPr>
                <w:rFonts w:hint="eastAsia" w:ascii="宋体" w:hAnsi="宋体" w:cs="宋体"/>
                <w:color w:val="000000"/>
                <w:sz w:val="18"/>
                <w:szCs w:val="18"/>
                <w:lang w:eastAsia="zh-CN"/>
              </w:rPr>
              <w:t>1</w:t>
            </w:r>
            <w:r>
              <w:rPr>
                <w:rFonts w:hint="eastAsia" w:ascii="宋体" w:hAnsi="宋体" w:cs="宋体"/>
                <w:color w:val="000000"/>
                <w:sz w:val="18"/>
                <w:szCs w:val="18"/>
                <w:lang w:val="en-US" w:eastAsia="zh-CN"/>
              </w:rPr>
              <w:t>万元</w:t>
            </w:r>
          </w:p>
        </w:tc>
        <w:tc>
          <w:tcPr>
            <w:tcW w:w="1704" w:type="pc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宋体" w:hAnsi="宋体" w:cs="宋体"/>
                <w:color w:val="000000"/>
                <w:sz w:val="18"/>
                <w:szCs w:val="18"/>
                <w:lang w:eastAsia="zh-CN"/>
              </w:rPr>
            </w:pPr>
            <w:r>
              <w:rPr>
                <w:rFonts w:hint="eastAsia" w:ascii="宋体" w:hAnsi="宋体" w:cs="宋体"/>
                <w:color w:val="000000"/>
                <w:sz w:val="18"/>
                <w:szCs w:val="18"/>
                <w:lang w:eastAsia="zh-CN"/>
              </w:rPr>
              <w:t>1</w:t>
            </w:r>
            <w:r>
              <w:rPr>
                <w:rFonts w:hint="eastAsia" w:ascii="宋体" w:hAnsi="宋体" w:cs="宋体"/>
                <w:color w:val="000000"/>
                <w:sz w:val="18"/>
                <w:szCs w:val="18"/>
                <w:lang w:val="en-US" w:eastAsia="zh-CN"/>
              </w:rPr>
              <w:t>万元</w:t>
            </w:r>
          </w:p>
        </w:tc>
      </w:tr>
      <w:tr>
        <w:tblPrEx>
          <w:tblCellMar>
            <w:top w:w="0" w:type="dxa"/>
            <w:left w:w="0" w:type="dxa"/>
            <w:bottom w:w="0" w:type="dxa"/>
            <w:right w:w="0" w:type="dxa"/>
          </w:tblCellMar>
        </w:tblPrEx>
        <w:trPr>
          <w:trHeight w:val="624" w:hRule="atLeast"/>
          <w:jc w:val="center"/>
        </w:trPr>
        <w:tc>
          <w:tcPr>
            <w:tcW w:w="334" w:type="pct"/>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8"/>
                <w:szCs w:val="18"/>
                <w:lang w:eastAsia="zh-CN"/>
              </w:rPr>
            </w:pPr>
          </w:p>
        </w:tc>
        <w:tc>
          <w:tcPr>
            <w:tcW w:w="563" w:type="pc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宋体" w:hAnsi="宋体" w:cs="宋体"/>
                <w:color w:val="000000"/>
                <w:sz w:val="18"/>
                <w:szCs w:val="18"/>
                <w:lang w:eastAsia="zh-CN"/>
              </w:rPr>
            </w:pPr>
            <w:r>
              <w:rPr>
                <w:rFonts w:hint="eastAsia" w:ascii="宋体" w:hAnsi="宋体" w:cs="宋体"/>
                <w:color w:val="000000"/>
                <w:sz w:val="18"/>
                <w:szCs w:val="18"/>
                <w:lang w:eastAsia="zh-CN"/>
              </w:rPr>
              <w:t>效益指标</w:t>
            </w:r>
          </w:p>
        </w:tc>
        <w:tc>
          <w:tcPr>
            <w:tcW w:w="423" w:type="pc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宋体" w:hAnsi="宋体" w:cs="宋体"/>
                <w:color w:val="000000"/>
                <w:sz w:val="18"/>
                <w:szCs w:val="18"/>
                <w:lang w:eastAsia="zh-CN"/>
              </w:rPr>
            </w:pPr>
            <w:r>
              <w:rPr>
                <w:rFonts w:hint="eastAsia" w:ascii="宋体" w:hAnsi="宋体" w:cs="宋体"/>
                <w:color w:val="000000"/>
                <w:sz w:val="18"/>
                <w:szCs w:val="18"/>
                <w:lang w:eastAsia="zh-CN"/>
              </w:rPr>
              <w:t>社会效益</w:t>
            </w:r>
          </w:p>
        </w:tc>
        <w:tc>
          <w:tcPr>
            <w:tcW w:w="986" w:type="pc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宋体" w:hAnsi="宋体" w:cs="宋体"/>
                <w:color w:val="000000"/>
                <w:sz w:val="18"/>
                <w:szCs w:val="18"/>
                <w:lang w:eastAsia="zh-CN"/>
              </w:rPr>
            </w:pPr>
            <w:r>
              <w:rPr>
                <w:rFonts w:hint="eastAsia" w:ascii="宋体" w:hAnsi="宋体" w:cs="宋体"/>
                <w:color w:val="000000"/>
                <w:sz w:val="18"/>
                <w:szCs w:val="18"/>
                <w:lang w:eastAsia="zh-CN"/>
              </w:rPr>
              <w:t>有利于家庭幸福，社会和谐</w:t>
            </w:r>
          </w:p>
        </w:tc>
        <w:tc>
          <w:tcPr>
            <w:tcW w:w="987" w:type="pc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宋体" w:hAnsi="宋体" w:cs="宋体"/>
                <w:color w:val="000000"/>
                <w:sz w:val="18"/>
                <w:szCs w:val="18"/>
                <w:lang w:eastAsia="zh-CN"/>
              </w:rPr>
            </w:pPr>
            <w:r>
              <w:rPr>
                <w:rFonts w:hint="eastAsia" w:ascii="宋体" w:hAnsi="宋体" w:cs="宋体"/>
                <w:color w:val="000000"/>
                <w:sz w:val="18"/>
                <w:szCs w:val="18"/>
                <w:lang w:val="en-US" w:eastAsia="zh-CN"/>
              </w:rPr>
              <w:t>100%</w:t>
            </w:r>
          </w:p>
        </w:tc>
        <w:tc>
          <w:tcPr>
            <w:tcW w:w="1704" w:type="pc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宋体" w:hAnsi="宋体" w:cs="宋体"/>
                <w:color w:val="000000"/>
                <w:sz w:val="18"/>
                <w:szCs w:val="18"/>
                <w:lang w:eastAsia="zh-CN"/>
              </w:rPr>
            </w:pPr>
            <w:r>
              <w:rPr>
                <w:rFonts w:hint="eastAsia" w:ascii="宋体" w:hAnsi="宋体" w:cs="宋体"/>
                <w:color w:val="000000"/>
                <w:sz w:val="18"/>
                <w:szCs w:val="18"/>
                <w:lang w:val="en-US" w:eastAsia="zh-CN"/>
              </w:rPr>
              <w:t>100%</w:t>
            </w:r>
          </w:p>
        </w:tc>
      </w:tr>
      <w:tr>
        <w:tblPrEx>
          <w:tblCellMar>
            <w:top w:w="0" w:type="dxa"/>
            <w:left w:w="0" w:type="dxa"/>
            <w:bottom w:w="0" w:type="dxa"/>
            <w:right w:w="0" w:type="dxa"/>
          </w:tblCellMar>
        </w:tblPrEx>
        <w:trPr>
          <w:trHeight w:val="624" w:hRule="atLeast"/>
          <w:jc w:val="center"/>
        </w:trPr>
        <w:tc>
          <w:tcPr>
            <w:tcW w:w="334" w:type="pct"/>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8"/>
                <w:szCs w:val="18"/>
                <w:lang w:eastAsia="zh-CN"/>
              </w:rPr>
            </w:pPr>
          </w:p>
        </w:tc>
        <w:tc>
          <w:tcPr>
            <w:tcW w:w="563" w:type="pc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宋体" w:hAnsi="宋体" w:cs="宋体"/>
                <w:color w:val="000000"/>
                <w:sz w:val="18"/>
                <w:szCs w:val="18"/>
                <w:lang w:eastAsia="zh-CN"/>
              </w:rPr>
            </w:pPr>
            <w:r>
              <w:rPr>
                <w:rFonts w:hint="eastAsia" w:ascii="宋体" w:hAnsi="宋体" w:cs="宋体"/>
                <w:color w:val="000000"/>
                <w:sz w:val="18"/>
                <w:szCs w:val="18"/>
                <w:lang w:eastAsia="zh-CN"/>
              </w:rPr>
              <w:t>效益指标</w:t>
            </w:r>
          </w:p>
        </w:tc>
        <w:tc>
          <w:tcPr>
            <w:tcW w:w="423" w:type="pc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宋体" w:hAnsi="宋体" w:cs="宋体"/>
                <w:color w:val="000000"/>
                <w:sz w:val="18"/>
                <w:szCs w:val="18"/>
                <w:lang w:eastAsia="zh-CN"/>
              </w:rPr>
            </w:pPr>
            <w:r>
              <w:rPr>
                <w:rFonts w:hint="eastAsia" w:ascii="宋体" w:hAnsi="宋体" w:cs="宋体"/>
                <w:color w:val="000000"/>
                <w:sz w:val="18"/>
                <w:szCs w:val="18"/>
                <w:lang w:eastAsia="zh-CN"/>
              </w:rPr>
              <w:t>可持续效益</w:t>
            </w:r>
          </w:p>
        </w:tc>
        <w:tc>
          <w:tcPr>
            <w:tcW w:w="986" w:type="pc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宋体" w:hAnsi="宋体" w:cs="宋体"/>
                <w:color w:val="000000"/>
                <w:sz w:val="18"/>
                <w:szCs w:val="18"/>
                <w:lang w:eastAsia="zh-CN"/>
              </w:rPr>
            </w:pPr>
            <w:r>
              <w:rPr>
                <w:rFonts w:hint="eastAsia" w:ascii="宋体" w:hAnsi="宋体" w:cs="宋体"/>
                <w:color w:val="000000"/>
                <w:sz w:val="18"/>
                <w:szCs w:val="18"/>
                <w:lang w:eastAsia="zh-CN"/>
              </w:rPr>
              <w:t>社会发展需要</w:t>
            </w:r>
          </w:p>
        </w:tc>
        <w:tc>
          <w:tcPr>
            <w:tcW w:w="987" w:type="pc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宋体" w:hAnsi="宋体" w:cs="宋体"/>
                <w:color w:val="000000"/>
                <w:sz w:val="18"/>
                <w:szCs w:val="18"/>
                <w:lang w:eastAsia="zh-CN"/>
              </w:rPr>
            </w:pPr>
            <w:r>
              <w:rPr>
                <w:rFonts w:hint="eastAsia" w:ascii="宋体" w:hAnsi="宋体" w:cs="宋体"/>
                <w:color w:val="000000"/>
                <w:sz w:val="18"/>
                <w:szCs w:val="18"/>
                <w:lang w:eastAsia="zh-CN"/>
              </w:rPr>
              <w:t>满足妇女儿童发展需要</w:t>
            </w:r>
          </w:p>
        </w:tc>
        <w:tc>
          <w:tcPr>
            <w:tcW w:w="1704" w:type="pc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宋体" w:hAnsi="宋体" w:cs="宋体"/>
                <w:color w:val="000000"/>
                <w:sz w:val="18"/>
                <w:szCs w:val="18"/>
                <w:lang w:eastAsia="zh-CN"/>
              </w:rPr>
            </w:pPr>
            <w:r>
              <w:rPr>
                <w:rFonts w:hint="eastAsia" w:ascii="宋体" w:hAnsi="宋体" w:cs="宋体"/>
                <w:color w:val="000000"/>
                <w:sz w:val="18"/>
                <w:szCs w:val="18"/>
                <w:lang w:eastAsia="zh-CN"/>
              </w:rPr>
              <w:t>服务全区，引领全区妇女儿童</w:t>
            </w:r>
          </w:p>
        </w:tc>
      </w:tr>
      <w:tr>
        <w:tblPrEx>
          <w:tblCellMar>
            <w:top w:w="0" w:type="dxa"/>
            <w:left w:w="0" w:type="dxa"/>
            <w:bottom w:w="0" w:type="dxa"/>
            <w:right w:w="0" w:type="dxa"/>
          </w:tblCellMar>
        </w:tblPrEx>
        <w:trPr>
          <w:trHeight w:val="624" w:hRule="atLeast"/>
          <w:jc w:val="center"/>
        </w:trPr>
        <w:tc>
          <w:tcPr>
            <w:tcW w:w="334" w:type="pct"/>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18"/>
                <w:szCs w:val="18"/>
                <w:lang w:eastAsia="zh-CN"/>
              </w:rPr>
            </w:pPr>
          </w:p>
        </w:tc>
        <w:tc>
          <w:tcPr>
            <w:tcW w:w="563" w:type="pc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宋体" w:hAnsi="宋体" w:cs="宋体"/>
                <w:color w:val="000000"/>
                <w:sz w:val="18"/>
                <w:szCs w:val="18"/>
                <w:lang w:eastAsia="zh-CN"/>
              </w:rPr>
            </w:pPr>
            <w:r>
              <w:rPr>
                <w:rFonts w:hint="eastAsia" w:ascii="宋体" w:hAnsi="宋体" w:cs="宋体"/>
                <w:color w:val="000000"/>
                <w:sz w:val="18"/>
                <w:szCs w:val="18"/>
                <w:lang w:eastAsia="zh-CN"/>
              </w:rPr>
              <w:t>满意度指标</w:t>
            </w:r>
          </w:p>
        </w:tc>
        <w:tc>
          <w:tcPr>
            <w:tcW w:w="423" w:type="pc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宋体" w:hAnsi="宋体" w:cs="宋体"/>
                <w:color w:val="000000"/>
                <w:sz w:val="18"/>
                <w:szCs w:val="18"/>
                <w:lang w:eastAsia="zh-CN"/>
              </w:rPr>
            </w:pPr>
            <w:r>
              <w:rPr>
                <w:rFonts w:hint="eastAsia" w:ascii="宋体" w:hAnsi="宋体" w:cs="宋体"/>
                <w:color w:val="000000"/>
                <w:sz w:val="18"/>
                <w:szCs w:val="18"/>
                <w:lang w:eastAsia="zh-CN"/>
              </w:rPr>
              <w:t>满意度指标</w:t>
            </w:r>
          </w:p>
        </w:tc>
        <w:tc>
          <w:tcPr>
            <w:tcW w:w="986" w:type="pc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宋体" w:hAnsi="宋体" w:cs="宋体"/>
                <w:color w:val="000000"/>
                <w:sz w:val="18"/>
                <w:szCs w:val="18"/>
                <w:lang w:eastAsia="zh-CN"/>
              </w:rPr>
            </w:pPr>
            <w:r>
              <w:rPr>
                <w:rFonts w:hint="eastAsia" w:ascii="宋体" w:hAnsi="宋体" w:cs="宋体"/>
                <w:color w:val="000000"/>
                <w:sz w:val="18"/>
                <w:szCs w:val="18"/>
                <w:lang w:eastAsia="zh-CN"/>
              </w:rPr>
              <w:t>98%</w:t>
            </w:r>
          </w:p>
        </w:tc>
        <w:tc>
          <w:tcPr>
            <w:tcW w:w="987" w:type="pc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宋体" w:hAnsi="宋体" w:cs="宋体"/>
                <w:color w:val="000000"/>
                <w:sz w:val="18"/>
                <w:szCs w:val="18"/>
                <w:lang w:eastAsia="zh-CN"/>
              </w:rPr>
            </w:pPr>
            <w:r>
              <w:rPr>
                <w:rFonts w:hint="eastAsia" w:ascii="宋体" w:hAnsi="宋体" w:cs="宋体"/>
                <w:color w:val="000000"/>
                <w:sz w:val="18"/>
                <w:szCs w:val="18"/>
                <w:lang w:eastAsia="zh-CN"/>
              </w:rPr>
              <w:t>98%</w:t>
            </w:r>
          </w:p>
        </w:tc>
        <w:tc>
          <w:tcPr>
            <w:tcW w:w="1704" w:type="pc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宋体" w:hAnsi="宋体" w:cs="宋体"/>
                <w:color w:val="000000"/>
                <w:sz w:val="18"/>
                <w:szCs w:val="18"/>
                <w:lang w:eastAsia="zh-CN"/>
              </w:rPr>
            </w:pPr>
            <w:r>
              <w:rPr>
                <w:rFonts w:hint="eastAsia" w:ascii="宋体" w:hAnsi="宋体" w:cs="宋体"/>
                <w:color w:val="000000"/>
                <w:sz w:val="18"/>
                <w:szCs w:val="18"/>
                <w:lang w:eastAsia="zh-CN"/>
              </w:rPr>
              <w:t>98%</w:t>
            </w:r>
          </w:p>
        </w:tc>
      </w:tr>
    </w:tbl>
    <w:p>
      <w:pPr>
        <w:widowControl/>
        <w:ind w:right="-420" w:rightChars="-200"/>
        <w:jc w:val="both"/>
        <w:textAlignment w:val="center"/>
        <w:rPr>
          <w:rFonts w:hint="eastAsia" w:ascii="宋体" w:hAnsi="宋体" w:cs="宋体"/>
          <w:b/>
          <w:bCs/>
          <w:color w:val="000000"/>
          <w:kern w:val="0"/>
          <w:sz w:val="40"/>
          <w:szCs w:val="40"/>
          <w:lang w:bidi="ar"/>
        </w:rPr>
      </w:pPr>
    </w:p>
    <w:p>
      <w:pPr>
        <w:pStyle w:val="2"/>
        <w:rPr>
          <w:rFonts w:hint="eastAsia"/>
        </w:rPr>
      </w:pPr>
    </w:p>
    <w:p>
      <w:pPr>
        <w:pStyle w:val="2"/>
        <w:rPr>
          <w:rFonts w:hint="eastAsia"/>
          <w:lang w:eastAsia="zh-CN"/>
        </w:rPr>
      </w:pPr>
    </w:p>
    <w:p>
      <w:pPr>
        <w:spacing w:line="600" w:lineRule="exact"/>
        <w:jc w:val="center"/>
        <w:outlineLvl w:val="0"/>
        <w:rPr>
          <w:rFonts w:hint="eastAsia" w:ascii="仿宋" w:hAnsi="仿宋" w:eastAsia="仿宋"/>
          <w:b w:val="0"/>
          <w:color w:val="auto"/>
          <w:highlight w:val="none"/>
        </w:rPr>
      </w:pPr>
      <w:r>
        <w:rPr>
          <w:rFonts w:hint="eastAsia" w:ascii="黑体" w:hAnsi="黑体" w:eastAsia="黑体"/>
          <w:color w:val="auto"/>
          <w:sz w:val="44"/>
          <w:szCs w:val="44"/>
          <w:highlight w:val="none"/>
        </w:rPr>
        <w:t>第</w:t>
      </w:r>
      <w:r>
        <w:rPr>
          <w:rStyle w:val="24"/>
          <w:rFonts w:hint="eastAsia" w:ascii="黑体" w:hAnsi="黑体" w:eastAsia="黑体"/>
          <w:b w:val="0"/>
          <w:color w:val="auto"/>
          <w:highlight w:val="none"/>
        </w:rPr>
        <w:t>五部分 附表</w:t>
      </w:r>
      <w:bookmarkEnd w:id="57"/>
      <w:bookmarkEnd w:id="59"/>
      <w:bookmarkStart w:id="60" w:name="_Toc15396619"/>
    </w:p>
    <w:p>
      <w:pPr>
        <w:pStyle w:val="4"/>
        <w:rPr>
          <w:rFonts w:ascii="仿宋" w:hAnsi="仿宋" w:eastAsia="仿宋"/>
          <w:color w:val="auto"/>
          <w:highlight w:val="none"/>
        </w:rPr>
      </w:pPr>
      <w:r>
        <w:rPr>
          <w:rFonts w:hint="eastAsia" w:ascii="仿宋" w:hAnsi="仿宋" w:eastAsia="仿宋"/>
          <w:b w:val="0"/>
          <w:color w:val="auto"/>
          <w:highlight w:val="none"/>
        </w:rPr>
        <w:t>一、收</w:t>
      </w:r>
      <w:r>
        <w:rPr>
          <w:rStyle w:val="25"/>
          <w:rFonts w:hint="eastAsia" w:ascii="仿宋" w:hAnsi="仿宋" w:eastAsia="仿宋"/>
          <w:b w:val="0"/>
          <w:bCs w:val="0"/>
          <w:color w:val="auto"/>
          <w:highlight w:val="none"/>
        </w:rPr>
        <w:t>入支出决算总表</w:t>
      </w:r>
      <w:bookmarkEnd w:id="60"/>
    </w:p>
    <w:p>
      <w:pPr>
        <w:pStyle w:val="4"/>
        <w:rPr>
          <w:rFonts w:ascii="仿宋" w:hAnsi="仿宋" w:eastAsia="仿宋"/>
          <w:color w:val="auto"/>
          <w:highlight w:val="none"/>
        </w:rPr>
      </w:pPr>
      <w:bookmarkStart w:id="61" w:name="_Toc15396620"/>
      <w:r>
        <w:rPr>
          <w:rFonts w:hint="eastAsia" w:ascii="仿宋" w:hAnsi="仿宋" w:eastAsia="仿宋"/>
          <w:b w:val="0"/>
          <w:color w:val="auto"/>
          <w:highlight w:val="none"/>
        </w:rPr>
        <w:t>二、收</w:t>
      </w:r>
      <w:r>
        <w:rPr>
          <w:rStyle w:val="25"/>
          <w:rFonts w:hint="eastAsia" w:ascii="仿宋" w:hAnsi="仿宋" w:eastAsia="仿宋"/>
          <w:b w:val="0"/>
          <w:bCs w:val="0"/>
          <w:color w:val="auto"/>
          <w:highlight w:val="none"/>
        </w:rPr>
        <w:t>入决算表</w:t>
      </w:r>
      <w:bookmarkEnd w:id="61"/>
    </w:p>
    <w:p>
      <w:pPr>
        <w:pStyle w:val="4"/>
        <w:rPr>
          <w:rFonts w:ascii="仿宋" w:hAnsi="仿宋" w:eastAsia="仿宋"/>
          <w:color w:val="auto"/>
          <w:highlight w:val="none"/>
        </w:rPr>
      </w:pPr>
      <w:bookmarkStart w:id="62" w:name="_Toc15396621"/>
      <w:r>
        <w:rPr>
          <w:rStyle w:val="25"/>
          <w:rFonts w:hint="eastAsia" w:ascii="仿宋" w:hAnsi="仿宋" w:eastAsia="仿宋"/>
          <w:b w:val="0"/>
          <w:bCs w:val="0"/>
          <w:color w:val="auto"/>
          <w:highlight w:val="none"/>
        </w:rPr>
        <w:t>三、</w:t>
      </w:r>
      <w:r>
        <w:rPr>
          <w:rFonts w:hint="eastAsia" w:ascii="仿宋" w:hAnsi="仿宋" w:eastAsia="仿宋"/>
          <w:b w:val="0"/>
          <w:color w:val="auto"/>
          <w:highlight w:val="none"/>
        </w:rPr>
        <w:t>支</w:t>
      </w:r>
      <w:r>
        <w:rPr>
          <w:rStyle w:val="25"/>
          <w:rFonts w:hint="eastAsia" w:ascii="仿宋" w:hAnsi="仿宋" w:eastAsia="仿宋"/>
          <w:b w:val="0"/>
          <w:bCs w:val="0"/>
          <w:color w:val="auto"/>
          <w:highlight w:val="none"/>
        </w:rPr>
        <w:t>出决算表</w:t>
      </w:r>
      <w:bookmarkEnd w:id="62"/>
    </w:p>
    <w:p>
      <w:pPr>
        <w:pStyle w:val="4"/>
        <w:rPr>
          <w:rFonts w:ascii="仿宋" w:hAnsi="仿宋" w:eastAsia="仿宋"/>
          <w:b w:val="0"/>
          <w:color w:val="auto"/>
          <w:highlight w:val="none"/>
        </w:rPr>
      </w:pPr>
      <w:bookmarkStart w:id="63" w:name="_Toc15396622"/>
      <w:r>
        <w:rPr>
          <w:rStyle w:val="25"/>
          <w:rFonts w:hint="eastAsia" w:ascii="仿宋" w:hAnsi="仿宋" w:eastAsia="仿宋"/>
          <w:b w:val="0"/>
          <w:bCs w:val="0"/>
          <w:color w:val="auto"/>
          <w:highlight w:val="none"/>
        </w:rPr>
        <w:t>四、</w:t>
      </w:r>
      <w:r>
        <w:rPr>
          <w:rFonts w:hint="eastAsia" w:ascii="仿宋" w:hAnsi="仿宋" w:eastAsia="仿宋"/>
          <w:b w:val="0"/>
          <w:color w:val="auto"/>
          <w:highlight w:val="none"/>
        </w:rPr>
        <w:t>财</w:t>
      </w:r>
      <w:r>
        <w:rPr>
          <w:rStyle w:val="25"/>
          <w:rFonts w:hint="eastAsia" w:ascii="仿宋" w:hAnsi="仿宋" w:eastAsia="仿宋"/>
          <w:b w:val="0"/>
          <w:bCs w:val="0"/>
          <w:color w:val="auto"/>
          <w:highlight w:val="none"/>
        </w:rPr>
        <w:t>政拨款收入支出决算总表</w:t>
      </w:r>
      <w:bookmarkEnd w:id="63"/>
    </w:p>
    <w:p>
      <w:pPr>
        <w:pStyle w:val="4"/>
        <w:rPr>
          <w:rStyle w:val="25"/>
          <w:rFonts w:ascii="仿宋" w:hAnsi="仿宋" w:eastAsia="仿宋"/>
          <w:b w:val="0"/>
          <w:bCs w:val="0"/>
          <w:color w:val="auto"/>
          <w:highlight w:val="none"/>
        </w:rPr>
      </w:pPr>
      <w:bookmarkStart w:id="64" w:name="_Toc15396623"/>
      <w:r>
        <w:rPr>
          <w:rStyle w:val="25"/>
          <w:rFonts w:hint="eastAsia" w:ascii="仿宋" w:hAnsi="仿宋" w:eastAsia="仿宋"/>
          <w:b w:val="0"/>
          <w:bCs w:val="0"/>
          <w:color w:val="auto"/>
          <w:highlight w:val="none"/>
        </w:rPr>
        <w:t>五、</w:t>
      </w:r>
      <w:r>
        <w:rPr>
          <w:rFonts w:hint="eastAsia" w:ascii="仿宋" w:hAnsi="仿宋" w:eastAsia="仿宋"/>
          <w:b w:val="0"/>
          <w:color w:val="auto"/>
          <w:highlight w:val="none"/>
        </w:rPr>
        <w:t>财</w:t>
      </w:r>
      <w:r>
        <w:rPr>
          <w:rStyle w:val="25"/>
          <w:rFonts w:hint="eastAsia" w:ascii="仿宋" w:hAnsi="仿宋" w:eastAsia="仿宋"/>
          <w:b w:val="0"/>
          <w:bCs w:val="0"/>
          <w:color w:val="auto"/>
          <w:highlight w:val="none"/>
        </w:rPr>
        <w:t>政拨款支出决算明细表</w:t>
      </w:r>
      <w:bookmarkEnd w:id="64"/>
      <w:bookmarkStart w:id="65" w:name="_Toc15396624"/>
    </w:p>
    <w:p>
      <w:pPr>
        <w:pStyle w:val="4"/>
        <w:rPr>
          <w:rFonts w:ascii="仿宋" w:hAnsi="仿宋" w:eastAsia="仿宋"/>
          <w:color w:val="auto"/>
          <w:highlight w:val="none"/>
        </w:rPr>
      </w:pPr>
      <w:r>
        <w:rPr>
          <w:rStyle w:val="25"/>
          <w:rFonts w:hint="eastAsia" w:ascii="仿宋" w:hAnsi="仿宋" w:eastAsia="仿宋"/>
          <w:b w:val="0"/>
          <w:bCs w:val="0"/>
          <w:color w:val="auto"/>
          <w:highlight w:val="none"/>
        </w:rPr>
        <w:t>六、</w:t>
      </w:r>
      <w:r>
        <w:rPr>
          <w:rFonts w:hint="eastAsia" w:ascii="仿宋" w:hAnsi="仿宋" w:eastAsia="仿宋"/>
          <w:b w:val="0"/>
          <w:color w:val="auto"/>
          <w:highlight w:val="none"/>
        </w:rPr>
        <w:t>一</w:t>
      </w:r>
      <w:r>
        <w:rPr>
          <w:rStyle w:val="25"/>
          <w:rFonts w:hint="eastAsia" w:ascii="仿宋" w:hAnsi="仿宋" w:eastAsia="仿宋"/>
          <w:b w:val="0"/>
          <w:bCs w:val="0"/>
          <w:color w:val="auto"/>
          <w:highlight w:val="none"/>
        </w:rPr>
        <w:t>般公共预算财政拨款支出决算表</w:t>
      </w:r>
      <w:bookmarkEnd w:id="65"/>
    </w:p>
    <w:p>
      <w:pPr>
        <w:pStyle w:val="4"/>
        <w:rPr>
          <w:rFonts w:ascii="仿宋" w:hAnsi="仿宋" w:eastAsia="仿宋"/>
          <w:color w:val="auto"/>
          <w:highlight w:val="none"/>
        </w:rPr>
      </w:pPr>
      <w:bookmarkStart w:id="66" w:name="_Toc15396625"/>
      <w:r>
        <w:rPr>
          <w:rStyle w:val="25"/>
          <w:rFonts w:hint="eastAsia" w:ascii="仿宋" w:hAnsi="仿宋" w:eastAsia="仿宋"/>
          <w:b w:val="0"/>
          <w:bCs w:val="0"/>
          <w:color w:val="auto"/>
          <w:highlight w:val="none"/>
        </w:rPr>
        <w:t>七、</w:t>
      </w:r>
      <w:r>
        <w:rPr>
          <w:rFonts w:hint="eastAsia" w:ascii="仿宋" w:hAnsi="仿宋" w:eastAsia="仿宋"/>
          <w:b w:val="0"/>
          <w:color w:val="auto"/>
          <w:highlight w:val="none"/>
        </w:rPr>
        <w:t>一</w:t>
      </w:r>
      <w:r>
        <w:rPr>
          <w:rStyle w:val="25"/>
          <w:rFonts w:hint="eastAsia" w:ascii="仿宋" w:hAnsi="仿宋" w:eastAsia="仿宋"/>
          <w:b w:val="0"/>
          <w:bCs w:val="0"/>
          <w:color w:val="auto"/>
          <w:highlight w:val="none"/>
        </w:rPr>
        <w:t>般公共预算财政拨款支出决算明细表</w:t>
      </w:r>
      <w:bookmarkEnd w:id="66"/>
    </w:p>
    <w:p>
      <w:pPr>
        <w:pStyle w:val="4"/>
        <w:rPr>
          <w:rFonts w:ascii="仿宋" w:hAnsi="仿宋" w:eastAsia="仿宋"/>
          <w:color w:val="auto"/>
          <w:highlight w:val="none"/>
        </w:rPr>
      </w:pPr>
      <w:bookmarkStart w:id="67" w:name="_Toc15396626"/>
      <w:r>
        <w:rPr>
          <w:rStyle w:val="25"/>
          <w:rFonts w:hint="eastAsia" w:ascii="仿宋" w:hAnsi="仿宋" w:eastAsia="仿宋"/>
          <w:b w:val="0"/>
          <w:bCs w:val="0"/>
          <w:color w:val="auto"/>
          <w:highlight w:val="none"/>
        </w:rPr>
        <w:t>八、</w:t>
      </w:r>
      <w:r>
        <w:rPr>
          <w:rFonts w:hint="eastAsia" w:ascii="仿宋" w:hAnsi="仿宋" w:eastAsia="仿宋"/>
          <w:b w:val="0"/>
          <w:color w:val="auto"/>
          <w:highlight w:val="none"/>
        </w:rPr>
        <w:t>一</w:t>
      </w:r>
      <w:r>
        <w:rPr>
          <w:rStyle w:val="25"/>
          <w:rFonts w:hint="eastAsia" w:ascii="仿宋" w:hAnsi="仿宋" w:eastAsia="仿宋"/>
          <w:b w:val="0"/>
          <w:bCs w:val="0"/>
          <w:color w:val="auto"/>
          <w:highlight w:val="none"/>
        </w:rPr>
        <w:t>般公共预算财政拨款基本支出决算表</w:t>
      </w:r>
      <w:bookmarkEnd w:id="67"/>
    </w:p>
    <w:p>
      <w:pPr>
        <w:pStyle w:val="4"/>
        <w:rPr>
          <w:rFonts w:ascii="仿宋" w:hAnsi="仿宋" w:eastAsia="仿宋"/>
          <w:color w:val="auto"/>
          <w:highlight w:val="none"/>
        </w:rPr>
      </w:pPr>
      <w:bookmarkStart w:id="68" w:name="_Toc15396627"/>
      <w:r>
        <w:rPr>
          <w:rStyle w:val="25"/>
          <w:rFonts w:hint="eastAsia" w:ascii="仿宋" w:hAnsi="仿宋" w:eastAsia="仿宋"/>
          <w:b w:val="0"/>
          <w:bCs w:val="0"/>
          <w:color w:val="auto"/>
          <w:highlight w:val="none"/>
        </w:rPr>
        <w:t>九、</w:t>
      </w:r>
      <w:r>
        <w:rPr>
          <w:rFonts w:hint="eastAsia" w:ascii="仿宋" w:hAnsi="仿宋" w:eastAsia="仿宋"/>
          <w:b w:val="0"/>
          <w:color w:val="auto"/>
          <w:highlight w:val="none"/>
        </w:rPr>
        <w:t>一</w:t>
      </w:r>
      <w:r>
        <w:rPr>
          <w:rStyle w:val="25"/>
          <w:rFonts w:hint="eastAsia" w:ascii="仿宋" w:hAnsi="仿宋" w:eastAsia="仿宋"/>
          <w:b w:val="0"/>
          <w:bCs w:val="0"/>
          <w:color w:val="auto"/>
          <w:highlight w:val="none"/>
        </w:rPr>
        <w:t>般公共预算财政拨款项目支出决算表</w:t>
      </w:r>
      <w:bookmarkEnd w:id="68"/>
    </w:p>
    <w:p>
      <w:pPr>
        <w:pStyle w:val="4"/>
        <w:rPr>
          <w:rFonts w:ascii="仿宋" w:hAnsi="仿宋" w:eastAsia="仿宋"/>
          <w:color w:val="auto"/>
          <w:highlight w:val="none"/>
        </w:rPr>
      </w:pPr>
      <w:bookmarkStart w:id="69" w:name="_Toc15396628"/>
      <w:r>
        <w:rPr>
          <w:rStyle w:val="25"/>
          <w:rFonts w:hint="eastAsia" w:ascii="仿宋" w:hAnsi="仿宋" w:eastAsia="仿宋"/>
          <w:b w:val="0"/>
          <w:bCs w:val="0"/>
          <w:color w:val="auto"/>
          <w:highlight w:val="none"/>
        </w:rPr>
        <w:t>十、</w:t>
      </w:r>
      <w:r>
        <w:rPr>
          <w:rFonts w:hint="eastAsia" w:ascii="仿宋" w:hAnsi="仿宋" w:eastAsia="仿宋"/>
          <w:b w:val="0"/>
          <w:color w:val="auto"/>
          <w:highlight w:val="none"/>
        </w:rPr>
        <w:t>一</w:t>
      </w:r>
      <w:r>
        <w:rPr>
          <w:rStyle w:val="25"/>
          <w:rFonts w:hint="eastAsia" w:ascii="仿宋" w:hAnsi="仿宋" w:eastAsia="仿宋"/>
          <w:b w:val="0"/>
          <w:bCs w:val="0"/>
          <w:color w:val="auto"/>
          <w:highlight w:val="none"/>
        </w:rPr>
        <w:t>般公共预算财政拨款“三公”经费支出决算表</w:t>
      </w:r>
      <w:bookmarkEnd w:id="69"/>
    </w:p>
    <w:p>
      <w:pPr>
        <w:pStyle w:val="4"/>
        <w:rPr>
          <w:rFonts w:ascii="仿宋" w:hAnsi="仿宋" w:eastAsia="仿宋"/>
          <w:color w:val="auto"/>
          <w:highlight w:val="none"/>
        </w:rPr>
      </w:pPr>
      <w:bookmarkStart w:id="70" w:name="_Toc15396629"/>
      <w:r>
        <w:rPr>
          <w:rStyle w:val="25"/>
          <w:rFonts w:hint="eastAsia" w:ascii="仿宋" w:hAnsi="仿宋" w:eastAsia="仿宋"/>
          <w:b w:val="0"/>
          <w:bCs w:val="0"/>
          <w:color w:val="auto"/>
          <w:highlight w:val="none"/>
        </w:rPr>
        <w:t>十一、</w:t>
      </w:r>
      <w:r>
        <w:rPr>
          <w:rFonts w:hint="eastAsia" w:ascii="仿宋" w:hAnsi="仿宋" w:eastAsia="仿宋"/>
          <w:b w:val="0"/>
          <w:color w:val="auto"/>
          <w:highlight w:val="none"/>
        </w:rPr>
        <w:t>政</w:t>
      </w:r>
      <w:r>
        <w:rPr>
          <w:rStyle w:val="25"/>
          <w:rFonts w:hint="eastAsia" w:ascii="仿宋" w:hAnsi="仿宋" w:eastAsia="仿宋"/>
          <w:b w:val="0"/>
          <w:bCs w:val="0"/>
          <w:color w:val="auto"/>
          <w:highlight w:val="none"/>
        </w:rPr>
        <w:t>府性基金预算财政拨款收入支出决算表</w:t>
      </w:r>
      <w:bookmarkEnd w:id="70"/>
    </w:p>
    <w:p>
      <w:pPr>
        <w:pStyle w:val="4"/>
        <w:rPr>
          <w:rFonts w:ascii="仿宋" w:hAnsi="仿宋" w:eastAsia="仿宋"/>
          <w:color w:val="auto"/>
          <w:highlight w:val="none"/>
        </w:rPr>
      </w:pPr>
      <w:bookmarkStart w:id="71" w:name="_Toc15396630"/>
      <w:r>
        <w:rPr>
          <w:rStyle w:val="25"/>
          <w:rFonts w:hint="eastAsia" w:ascii="仿宋" w:hAnsi="仿宋" w:eastAsia="仿宋"/>
          <w:b w:val="0"/>
          <w:bCs w:val="0"/>
          <w:color w:val="auto"/>
          <w:highlight w:val="none"/>
        </w:rPr>
        <w:t>十二、</w:t>
      </w:r>
      <w:r>
        <w:rPr>
          <w:rFonts w:hint="eastAsia" w:ascii="仿宋" w:hAnsi="仿宋" w:eastAsia="仿宋"/>
          <w:b w:val="0"/>
          <w:color w:val="auto"/>
          <w:highlight w:val="none"/>
        </w:rPr>
        <w:t>政</w:t>
      </w:r>
      <w:r>
        <w:rPr>
          <w:rStyle w:val="25"/>
          <w:rFonts w:hint="eastAsia" w:ascii="仿宋" w:hAnsi="仿宋" w:eastAsia="仿宋"/>
          <w:b w:val="0"/>
          <w:bCs w:val="0"/>
          <w:color w:val="auto"/>
          <w:highlight w:val="none"/>
        </w:rPr>
        <w:t>府性基金预算财政拨款“三公”经费支出决算表</w:t>
      </w:r>
      <w:bookmarkEnd w:id="71"/>
    </w:p>
    <w:p>
      <w:pPr>
        <w:pStyle w:val="4"/>
        <w:rPr>
          <w:rStyle w:val="25"/>
          <w:rFonts w:hint="eastAsia" w:ascii="仿宋" w:hAnsi="仿宋" w:eastAsia="仿宋"/>
          <w:b w:val="0"/>
          <w:bCs w:val="0"/>
          <w:color w:val="auto"/>
          <w:highlight w:val="none"/>
        </w:rPr>
      </w:pPr>
      <w:bookmarkStart w:id="72" w:name="_Toc15396631"/>
      <w:r>
        <w:rPr>
          <w:rStyle w:val="25"/>
          <w:rFonts w:hint="eastAsia" w:ascii="仿宋" w:hAnsi="仿宋" w:eastAsia="仿宋"/>
          <w:b w:val="0"/>
          <w:bCs w:val="0"/>
          <w:color w:val="auto"/>
          <w:highlight w:val="none"/>
        </w:rPr>
        <w:t>十三、</w:t>
      </w:r>
      <w:r>
        <w:rPr>
          <w:rFonts w:hint="eastAsia" w:ascii="仿宋" w:hAnsi="仿宋" w:eastAsia="仿宋"/>
          <w:b w:val="0"/>
          <w:color w:val="auto"/>
          <w:highlight w:val="none"/>
        </w:rPr>
        <w:t>国</w:t>
      </w:r>
      <w:r>
        <w:rPr>
          <w:rStyle w:val="25"/>
          <w:rFonts w:hint="eastAsia" w:ascii="仿宋" w:hAnsi="仿宋" w:eastAsia="仿宋"/>
          <w:b w:val="0"/>
          <w:bCs w:val="0"/>
          <w:color w:val="auto"/>
          <w:highlight w:val="none"/>
        </w:rPr>
        <w:t>有资本经营预算</w:t>
      </w:r>
      <w:r>
        <w:rPr>
          <w:rStyle w:val="25"/>
          <w:rFonts w:hint="eastAsia" w:ascii="仿宋" w:hAnsi="仿宋" w:eastAsia="仿宋"/>
          <w:b w:val="0"/>
          <w:bCs w:val="0"/>
          <w:color w:val="auto"/>
          <w:highlight w:val="none"/>
          <w:lang w:eastAsia="zh-CN"/>
        </w:rPr>
        <w:t>财政拨款收入</w:t>
      </w:r>
      <w:r>
        <w:rPr>
          <w:rStyle w:val="25"/>
          <w:rFonts w:hint="eastAsia" w:ascii="仿宋" w:hAnsi="仿宋" w:eastAsia="仿宋"/>
          <w:b w:val="0"/>
          <w:bCs w:val="0"/>
          <w:color w:val="auto"/>
          <w:highlight w:val="none"/>
        </w:rPr>
        <w:t>支出决算表</w:t>
      </w:r>
      <w:bookmarkEnd w:id="72"/>
    </w:p>
    <w:p>
      <w:pPr>
        <w:rPr>
          <w:rStyle w:val="25"/>
          <w:rFonts w:hint="eastAsia" w:ascii="仿宋" w:hAnsi="仿宋" w:eastAsia="仿宋"/>
          <w:b w:val="0"/>
          <w:bCs w:val="0"/>
          <w:color w:val="auto"/>
          <w:highlight w:val="none"/>
          <w:lang w:eastAsia="zh-CN"/>
        </w:rPr>
      </w:pPr>
      <w:r>
        <w:rPr>
          <w:rStyle w:val="25"/>
          <w:rFonts w:hint="eastAsia" w:ascii="仿宋" w:hAnsi="仿宋" w:eastAsia="仿宋"/>
          <w:b w:val="0"/>
          <w:bCs w:val="0"/>
          <w:color w:val="auto"/>
          <w:highlight w:val="none"/>
          <w:lang w:eastAsia="zh-CN"/>
        </w:rPr>
        <w:t>十四、国有资本经营预算财政拨款支出决算表</w:t>
      </w:r>
    </w:p>
    <w:p>
      <w:pPr>
        <w:rPr>
          <w:rFonts w:hint="eastAsia"/>
          <w:lang w:eastAsia="zh-CN"/>
        </w:rPr>
      </w:pPr>
    </w:p>
    <w:sectPr>
      <w:headerReference r:id="rId3" w:type="default"/>
      <w:footerReference r:id="rId4" w:type="default"/>
      <w:pgSz w:w="11906" w:h="16838"/>
      <w:pgMar w:top="1440" w:right="1686" w:bottom="1440" w:left="162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8"/>
          <w:jc w:val="center"/>
        </w:pPr>
        <w:r>
          <w:fldChar w:fldCharType="begin"/>
        </w:r>
        <w:r>
          <w:instrText xml:space="preserve">PAGE   \* MERGEFORMAT</w:instrText>
        </w:r>
        <w:r>
          <w:fldChar w:fldCharType="separate"/>
        </w:r>
        <w:r>
          <w:rPr>
            <w:lang w:val="zh-CN"/>
          </w:rPr>
          <w:t>8</w:t>
        </w:r>
        <w:r>
          <w:fldChar w:fldCharType="end"/>
        </w:r>
      </w:p>
    </w:sdtContent>
  </w:sdt>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5911F77"/>
    <w:multiLevelType w:val="singleLevel"/>
    <w:tmpl w:val="95911F77"/>
    <w:lvl w:ilvl="0" w:tentative="0">
      <w:start w:val="1"/>
      <w:numFmt w:val="chineseCounting"/>
      <w:suff w:val="nothing"/>
      <w:lvlText w:val="（%1）"/>
      <w:lvlJc w:val="left"/>
      <w:rPr>
        <w:rFonts w:hint="eastAsia"/>
      </w:rPr>
    </w:lvl>
  </w:abstractNum>
  <w:abstractNum w:abstractNumId="1">
    <w:nsid w:val="99EE7B03"/>
    <w:multiLevelType w:val="singleLevel"/>
    <w:tmpl w:val="99EE7B03"/>
    <w:lvl w:ilvl="0" w:tentative="0">
      <w:start w:val="1"/>
      <w:numFmt w:val="decimal"/>
      <w:lvlText w:val="%1."/>
      <w:lvlJc w:val="left"/>
      <w:pPr>
        <w:tabs>
          <w:tab w:val="left" w:pos="312"/>
        </w:tabs>
      </w:pPr>
    </w:lvl>
  </w:abstractNum>
  <w:abstractNum w:abstractNumId="2">
    <w:nsid w:val="BFC02A87"/>
    <w:multiLevelType w:val="singleLevel"/>
    <w:tmpl w:val="BFC02A87"/>
    <w:lvl w:ilvl="0" w:tentative="0">
      <w:start w:val="2"/>
      <w:numFmt w:val="chineseCounting"/>
      <w:suff w:val="nothing"/>
      <w:lvlText w:val="（%1）"/>
      <w:lvlJc w:val="left"/>
      <w:rPr>
        <w:rFonts w:hint="eastAsia"/>
      </w:rPr>
    </w:lvl>
  </w:abstractNum>
  <w:abstractNum w:abstractNumId="3">
    <w:nsid w:val="CF652CEC"/>
    <w:multiLevelType w:val="singleLevel"/>
    <w:tmpl w:val="CF652CEC"/>
    <w:lvl w:ilvl="0" w:tentative="0">
      <w:start w:val="9"/>
      <w:numFmt w:val="chineseCounting"/>
      <w:suff w:val="nothing"/>
      <w:lvlText w:val="%1、"/>
      <w:lvlJc w:val="left"/>
      <w:rPr>
        <w:rFonts w:hint="eastAsia"/>
      </w:rPr>
    </w:lvl>
  </w:abstractNum>
  <w:abstractNum w:abstractNumId="4">
    <w:nsid w:val="DDEAB1B6"/>
    <w:multiLevelType w:val="singleLevel"/>
    <w:tmpl w:val="DDEAB1B6"/>
    <w:lvl w:ilvl="0" w:tentative="0">
      <w:start w:val="2"/>
      <w:numFmt w:val="decimal"/>
      <w:suff w:val="nothing"/>
      <w:lvlText w:val="%1．"/>
      <w:lvlJc w:val="left"/>
    </w:lvl>
  </w:abstractNum>
  <w:abstractNum w:abstractNumId="5">
    <w:nsid w:val="E16F632B"/>
    <w:multiLevelType w:val="singleLevel"/>
    <w:tmpl w:val="E16F632B"/>
    <w:lvl w:ilvl="0" w:tentative="0">
      <w:start w:val="2"/>
      <w:numFmt w:val="decimal"/>
      <w:suff w:val="nothing"/>
      <w:lvlText w:val="%1．"/>
      <w:lvlJc w:val="left"/>
      <w:pPr>
        <w:ind w:left="120"/>
      </w:pPr>
    </w:lvl>
  </w:abstractNum>
  <w:abstractNum w:abstractNumId="6">
    <w:nsid w:val="E2FA047D"/>
    <w:multiLevelType w:val="singleLevel"/>
    <w:tmpl w:val="E2FA047D"/>
    <w:lvl w:ilvl="0" w:tentative="0">
      <w:start w:val="3"/>
      <w:numFmt w:val="chineseCounting"/>
      <w:suff w:val="space"/>
      <w:lvlText w:val="第%1部分"/>
      <w:lvlJc w:val="left"/>
      <w:rPr>
        <w:rFonts w:hint="eastAsia"/>
      </w:rPr>
    </w:lvl>
  </w:abstractNum>
  <w:abstractNum w:abstractNumId="7">
    <w:nsid w:val="001F729C"/>
    <w:multiLevelType w:val="singleLevel"/>
    <w:tmpl w:val="001F729C"/>
    <w:lvl w:ilvl="0" w:tentative="0">
      <w:start w:val="2"/>
      <w:numFmt w:val="decimal"/>
      <w:suff w:val="nothing"/>
      <w:lvlText w:val="%1．"/>
      <w:lvlJc w:val="left"/>
      <w:pPr>
        <w:ind w:left="-90"/>
      </w:pPr>
    </w:lvl>
  </w:abstractNum>
  <w:abstractNum w:abstractNumId="8">
    <w:nsid w:val="106E4F12"/>
    <w:multiLevelType w:val="singleLevel"/>
    <w:tmpl w:val="106E4F12"/>
    <w:lvl w:ilvl="0" w:tentative="0">
      <w:start w:val="2"/>
      <w:numFmt w:val="decimal"/>
      <w:suff w:val="nothing"/>
      <w:lvlText w:val="%1．"/>
      <w:lvlJc w:val="left"/>
    </w:lvl>
  </w:abstractNum>
  <w:abstractNum w:abstractNumId="9">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10">
    <w:nsid w:val="13C64D29"/>
    <w:multiLevelType w:val="singleLevel"/>
    <w:tmpl w:val="13C64D29"/>
    <w:lvl w:ilvl="0" w:tentative="0">
      <w:start w:val="2"/>
      <w:numFmt w:val="chineseCounting"/>
      <w:suff w:val="nothing"/>
      <w:lvlText w:val="（%1）"/>
      <w:lvlJc w:val="left"/>
      <w:rPr>
        <w:rFonts w:hint="eastAsia"/>
      </w:rPr>
    </w:lvl>
  </w:abstractNum>
  <w:abstractNum w:abstractNumId="11">
    <w:nsid w:val="3E794925"/>
    <w:multiLevelType w:val="singleLevel"/>
    <w:tmpl w:val="3E794925"/>
    <w:lvl w:ilvl="0" w:tentative="0">
      <w:start w:val="3"/>
      <w:numFmt w:val="chineseCounting"/>
      <w:suff w:val="nothing"/>
      <w:lvlText w:val="（%1）"/>
      <w:lvlJc w:val="left"/>
      <w:rPr>
        <w:rFonts w:hint="eastAsia"/>
      </w:rPr>
    </w:lvl>
  </w:abstractNum>
  <w:abstractNum w:abstractNumId="12">
    <w:nsid w:val="50C6E873"/>
    <w:multiLevelType w:val="singleLevel"/>
    <w:tmpl w:val="50C6E873"/>
    <w:lvl w:ilvl="0" w:tentative="0">
      <w:start w:val="1"/>
      <w:numFmt w:val="decimal"/>
      <w:lvlText w:val="%1."/>
      <w:lvlJc w:val="left"/>
      <w:pPr>
        <w:tabs>
          <w:tab w:val="left" w:pos="312"/>
        </w:tabs>
      </w:pPr>
    </w:lvl>
  </w:abstractNum>
  <w:abstractNum w:abstractNumId="13">
    <w:nsid w:val="60275B64"/>
    <w:multiLevelType w:val="singleLevel"/>
    <w:tmpl w:val="60275B64"/>
    <w:lvl w:ilvl="0" w:tentative="0">
      <w:start w:val="2"/>
      <w:numFmt w:val="decimal"/>
      <w:suff w:val="nothing"/>
      <w:lvlText w:val="%1．"/>
      <w:lvlJc w:val="left"/>
    </w:lvl>
  </w:abstractNum>
  <w:num w:numId="1">
    <w:abstractNumId w:val="9"/>
  </w:num>
  <w:num w:numId="2">
    <w:abstractNumId w:val="12"/>
  </w:num>
  <w:num w:numId="3">
    <w:abstractNumId w:val="1"/>
  </w:num>
  <w:num w:numId="4">
    <w:abstractNumId w:val="3"/>
  </w:num>
  <w:num w:numId="5">
    <w:abstractNumId w:val="6"/>
  </w:num>
  <w:num w:numId="6">
    <w:abstractNumId w:val="10"/>
  </w:num>
  <w:num w:numId="7">
    <w:abstractNumId w:val="2"/>
  </w:num>
  <w:num w:numId="8">
    <w:abstractNumId w:val="11"/>
  </w:num>
  <w:num w:numId="9">
    <w:abstractNumId w:val="7"/>
  </w:num>
  <w:num w:numId="10">
    <w:abstractNumId w:val="4"/>
  </w:num>
  <w:num w:numId="11">
    <w:abstractNumId w:val="0"/>
  </w:num>
  <w:num w:numId="12">
    <w:abstractNumId w:val="5"/>
  </w:num>
  <w:num w:numId="13">
    <w:abstractNumId w:val="8"/>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hkMmRhYmVmMWM1MDlkM2M5NGFkMTA3Njg5ZDhlZTYifQ=="/>
  </w:docVars>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D3B59"/>
    <w:rsid w:val="004E0A2D"/>
    <w:rsid w:val="004E206B"/>
    <w:rsid w:val="004E6DF7"/>
    <w:rsid w:val="004F0FBD"/>
    <w:rsid w:val="00505A47"/>
    <w:rsid w:val="00512FDA"/>
    <w:rsid w:val="00520DA0"/>
    <w:rsid w:val="005664BB"/>
    <w:rsid w:val="00566FFA"/>
    <w:rsid w:val="0057481D"/>
    <w:rsid w:val="0058486E"/>
    <w:rsid w:val="00585B33"/>
    <w:rsid w:val="0059014D"/>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047F"/>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11B06BB"/>
    <w:rsid w:val="017D4F5C"/>
    <w:rsid w:val="022950E4"/>
    <w:rsid w:val="02716EBA"/>
    <w:rsid w:val="02AC55FB"/>
    <w:rsid w:val="03836A76"/>
    <w:rsid w:val="052E5E88"/>
    <w:rsid w:val="05A32BC9"/>
    <w:rsid w:val="063A4913"/>
    <w:rsid w:val="065A0DDD"/>
    <w:rsid w:val="066E0107"/>
    <w:rsid w:val="06CB676A"/>
    <w:rsid w:val="07996F6E"/>
    <w:rsid w:val="09772BD9"/>
    <w:rsid w:val="0A2032A3"/>
    <w:rsid w:val="0A3C34DB"/>
    <w:rsid w:val="0A9F5F1D"/>
    <w:rsid w:val="0B845139"/>
    <w:rsid w:val="0B8E1B1C"/>
    <w:rsid w:val="0C9615C8"/>
    <w:rsid w:val="0CC94EBC"/>
    <w:rsid w:val="0D532E09"/>
    <w:rsid w:val="0DC40E67"/>
    <w:rsid w:val="0EA6283C"/>
    <w:rsid w:val="0FB87AA7"/>
    <w:rsid w:val="0FD429F9"/>
    <w:rsid w:val="101860EC"/>
    <w:rsid w:val="10C055FF"/>
    <w:rsid w:val="10DF3D25"/>
    <w:rsid w:val="118107EC"/>
    <w:rsid w:val="11B54C60"/>
    <w:rsid w:val="12557610"/>
    <w:rsid w:val="128C4DB6"/>
    <w:rsid w:val="134520F8"/>
    <w:rsid w:val="13933689"/>
    <w:rsid w:val="13D50BC4"/>
    <w:rsid w:val="16BB723D"/>
    <w:rsid w:val="1732013F"/>
    <w:rsid w:val="17827409"/>
    <w:rsid w:val="18FE477D"/>
    <w:rsid w:val="195919B3"/>
    <w:rsid w:val="19866520"/>
    <w:rsid w:val="19D37459"/>
    <w:rsid w:val="1A2E1092"/>
    <w:rsid w:val="1BD47A17"/>
    <w:rsid w:val="1BE8440E"/>
    <w:rsid w:val="1D155CEE"/>
    <w:rsid w:val="1DE1641B"/>
    <w:rsid w:val="1E036392"/>
    <w:rsid w:val="1FDE2C12"/>
    <w:rsid w:val="203D645B"/>
    <w:rsid w:val="216B6728"/>
    <w:rsid w:val="22347461"/>
    <w:rsid w:val="22963C78"/>
    <w:rsid w:val="23130E25"/>
    <w:rsid w:val="237D127F"/>
    <w:rsid w:val="23860B96"/>
    <w:rsid w:val="240371BF"/>
    <w:rsid w:val="244D419B"/>
    <w:rsid w:val="24C148B0"/>
    <w:rsid w:val="24E16D01"/>
    <w:rsid w:val="26633E71"/>
    <w:rsid w:val="288527C5"/>
    <w:rsid w:val="29194CBB"/>
    <w:rsid w:val="291E0523"/>
    <w:rsid w:val="292A336C"/>
    <w:rsid w:val="29372F6C"/>
    <w:rsid w:val="293E2974"/>
    <w:rsid w:val="29564161"/>
    <w:rsid w:val="29A033F0"/>
    <w:rsid w:val="29FD04D3"/>
    <w:rsid w:val="2AB4113F"/>
    <w:rsid w:val="2AD369D3"/>
    <w:rsid w:val="2AF8208B"/>
    <w:rsid w:val="2B6C37C8"/>
    <w:rsid w:val="2C8A61B5"/>
    <w:rsid w:val="2CAF20CB"/>
    <w:rsid w:val="2CD16330"/>
    <w:rsid w:val="2D0A13DA"/>
    <w:rsid w:val="2D8A262B"/>
    <w:rsid w:val="2DF04E50"/>
    <w:rsid w:val="2FDD42EC"/>
    <w:rsid w:val="30442F65"/>
    <w:rsid w:val="3073310C"/>
    <w:rsid w:val="309F39CA"/>
    <w:rsid w:val="31921AAF"/>
    <w:rsid w:val="319F7F4E"/>
    <w:rsid w:val="35284C04"/>
    <w:rsid w:val="359F7AA1"/>
    <w:rsid w:val="36AA5135"/>
    <w:rsid w:val="36C97D20"/>
    <w:rsid w:val="371A0C45"/>
    <w:rsid w:val="37E16F03"/>
    <w:rsid w:val="381A45AC"/>
    <w:rsid w:val="38754708"/>
    <w:rsid w:val="38B844F1"/>
    <w:rsid w:val="39D709A6"/>
    <w:rsid w:val="39FC040D"/>
    <w:rsid w:val="3A8E189D"/>
    <w:rsid w:val="3A944AE9"/>
    <w:rsid w:val="3AE138A5"/>
    <w:rsid w:val="3CEA615B"/>
    <w:rsid w:val="3D98207C"/>
    <w:rsid w:val="40FE0F0E"/>
    <w:rsid w:val="41217B68"/>
    <w:rsid w:val="41870F04"/>
    <w:rsid w:val="41EA22B2"/>
    <w:rsid w:val="42817701"/>
    <w:rsid w:val="42C31A1C"/>
    <w:rsid w:val="44E268DA"/>
    <w:rsid w:val="456B4699"/>
    <w:rsid w:val="45BD3146"/>
    <w:rsid w:val="463330A8"/>
    <w:rsid w:val="47022DDB"/>
    <w:rsid w:val="47272889"/>
    <w:rsid w:val="48A203D1"/>
    <w:rsid w:val="49153299"/>
    <w:rsid w:val="4A627F82"/>
    <w:rsid w:val="4B4F25DA"/>
    <w:rsid w:val="4BE068DB"/>
    <w:rsid w:val="4D1D5961"/>
    <w:rsid w:val="4D2E66D8"/>
    <w:rsid w:val="4D46134F"/>
    <w:rsid w:val="4D577224"/>
    <w:rsid w:val="4E1C29D4"/>
    <w:rsid w:val="4E81584E"/>
    <w:rsid w:val="4EAB630A"/>
    <w:rsid w:val="4ECE2238"/>
    <w:rsid w:val="4EFB083B"/>
    <w:rsid w:val="4F3B5B41"/>
    <w:rsid w:val="4F5C03C2"/>
    <w:rsid w:val="4F9A44F8"/>
    <w:rsid w:val="5023004A"/>
    <w:rsid w:val="50C3182D"/>
    <w:rsid w:val="50E4408C"/>
    <w:rsid w:val="51B20534"/>
    <w:rsid w:val="51FD2B1C"/>
    <w:rsid w:val="52195BA8"/>
    <w:rsid w:val="52373722"/>
    <w:rsid w:val="52727066"/>
    <w:rsid w:val="5358625C"/>
    <w:rsid w:val="54811383"/>
    <w:rsid w:val="54A26182"/>
    <w:rsid w:val="54D97871"/>
    <w:rsid w:val="55055F70"/>
    <w:rsid w:val="56206E5C"/>
    <w:rsid w:val="563D3E2F"/>
    <w:rsid w:val="56B714EC"/>
    <w:rsid w:val="56BC2FA6"/>
    <w:rsid w:val="57437223"/>
    <w:rsid w:val="585A65D3"/>
    <w:rsid w:val="596F5E5F"/>
    <w:rsid w:val="5AF92295"/>
    <w:rsid w:val="5BF00F3A"/>
    <w:rsid w:val="5CD71FC4"/>
    <w:rsid w:val="5CED3EB9"/>
    <w:rsid w:val="5E4A530F"/>
    <w:rsid w:val="5F1020E1"/>
    <w:rsid w:val="5F36141C"/>
    <w:rsid w:val="5FAD5B82"/>
    <w:rsid w:val="5FE452BC"/>
    <w:rsid w:val="60272E5A"/>
    <w:rsid w:val="60EC6236"/>
    <w:rsid w:val="619D5782"/>
    <w:rsid w:val="61BB4A54"/>
    <w:rsid w:val="6254174A"/>
    <w:rsid w:val="64E04304"/>
    <w:rsid w:val="65355DF9"/>
    <w:rsid w:val="66091638"/>
    <w:rsid w:val="66376316"/>
    <w:rsid w:val="670764F1"/>
    <w:rsid w:val="67472418"/>
    <w:rsid w:val="68093B71"/>
    <w:rsid w:val="6903792A"/>
    <w:rsid w:val="691E0173"/>
    <w:rsid w:val="6B6C68F1"/>
    <w:rsid w:val="6C4A05C8"/>
    <w:rsid w:val="6DB462B5"/>
    <w:rsid w:val="6DCF4F15"/>
    <w:rsid w:val="6E072901"/>
    <w:rsid w:val="6E7E3605"/>
    <w:rsid w:val="6F247264"/>
    <w:rsid w:val="6FF5CC65"/>
    <w:rsid w:val="710A4FCC"/>
    <w:rsid w:val="715C0E4B"/>
    <w:rsid w:val="71A36DE5"/>
    <w:rsid w:val="71E74F23"/>
    <w:rsid w:val="725325B9"/>
    <w:rsid w:val="72734D90"/>
    <w:rsid w:val="72C963D7"/>
    <w:rsid w:val="73307239"/>
    <w:rsid w:val="73781BAB"/>
    <w:rsid w:val="73AD73D5"/>
    <w:rsid w:val="73B6EB34"/>
    <w:rsid w:val="74092CB4"/>
    <w:rsid w:val="7419732E"/>
    <w:rsid w:val="74634609"/>
    <w:rsid w:val="7475486B"/>
    <w:rsid w:val="76066838"/>
    <w:rsid w:val="7651520C"/>
    <w:rsid w:val="76F27615"/>
    <w:rsid w:val="77FF2E6B"/>
    <w:rsid w:val="78852CB1"/>
    <w:rsid w:val="78DD2BDC"/>
    <w:rsid w:val="793F0B49"/>
    <w:rsid w:val="79E17BAC"/>
    <w:rsid w:val="79EE5BA4"/>
    <w:rsid w:val="7A3408FA"/>
    <w:rsid w:val="7A894339"/>
    <w:rsid w:val="7AC1208A"/>
    <w:rsid w:val="7B997698"/>
    <w:rsid w:val="7BDF6541"/>
    <w:rsid w:val="7E4A2079"/>
    <w:rsid w:val="7E890DAD"/>
    <w:rsid w:val="7EEF11D3"/>
    <w:rsid w:val="7F3A0243"/>
    <w:rsid w:val="7FA30C79"/>
    <w:rsid w:val="7FA93818"/>
    <w:rsid w:val="7FC96657"/>
    <w:rsid w:val="D8D6DB89"/>
    <w:rsid w:val="DB6F4CAB"/>
    <w:rsid w:val="DF6F978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4"/>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5"/>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28"/>
    <w:unhideWhenUsed/>
    <w:qFormat/>
    <w:uiPriority w:val="9"/>
    <w:pPr>
      <w:keepNext/>
      <w:keepLines/>
      <w:spacing w:before="260" w:after="260" w:line="416" w:lineRule="auto"/>
      <w:outlineLvl w:val="2"/>
    </w:pPr>
    <w:rPr>
      <w:b/>
      <w:bCs/>
      <w:sz w:val="32"/>
      <w:szCs w:val="32"/>
    </w:rPr>
  </w:style>
  <w:style w:type="character" w:default="1" w:styleId="13">
    <w:name w:val="Default Paragraph Font"/>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21"/>
    <w:qFormat/>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27"/>
    <w:semiHidden/>
    <w:unhideWhenUsed/>
    <w:qFormat/>
    <w:uiPriority w:val="99"/>
    <w:rPr>
      <w:sz w:val="18"/>
      <w:szCs w:val="18"/>
    </w:rPr>
  </w:style>
  <w:style w:type="paragraph" w:styleId="8">
    <w:name w:val="footer"/>
    <w:basedOn w:val="1"/>
    <w:link w:val="19"/>
    <w:qFormat/>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17"/>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character" w:styleId="14">
    <w:name w:val="Strong"/>
    <w:basedOn w:val="13"/>
    <w:qFormat/>
    <w:uiPriority w:val="99"/>
    <w:rPr>
      <w:b/>
    </w:rPr>
  </w:style>
  <w:style w:type="character" w:styleId="15">
    <w:name w:val="Hyperlink"/>
    <w:basedOn w:val="13"/>
    <w:unhideWhenUsed/>
    <w:qFormat/>
    <w:uiPriority w:val="99"/>
    <w:rPr>
      <w:color w:val="0000FF" w:themeColor="hyperlink"/>
      <w:u w:val="single"/>
      <w14:textFill>
        <w14:solidFill>
          <w14:schemeClr w14:val="hlink"/>
        </w14:solidFill>
      </w14:textFill>
    </w:rPr>
  </w:style>
  <w:style w:type="character" w:customStyle="1" w:styleId="16">
    <w:name w:val="Header Char"/>
    <w:basedOn w:val="13"/>
    <w:semiHidden/>
    <w:qFormat/>
    <w:uiPriority w:val="99"/>
    <w:rPr>
      <w:rFonts w:ascii="Times New Roman" w:hAnsi="Times New Roman"/>
      <w:sz w:val="18"/>
      <w:szCs w:val="18"/>
    </w:rPr>
  </w:style>
  <w:style w:type="character" w:customStyle="1" w:styleId="17">
    <w:name w:val="页眉 Char"/>
    <w:link w:val="9"/>
    <w:semiHidden/>
    <w:qFormat/>
    <w:locked/>
    <w:uiPriority w:val="99"/>
    <w:rPr>
      <w:sz w:val="18"/>
    </w:rPr>
  </w:style>
  <w:style w:type="character" w:customStyle="1" w:styleId="18">
    <w:name w:val="Footer Char"/>
    <w:basedOn w:val="13"/>
    <w:semiHidden/>
    <w:qFormat/>
    <w:uiPriority w:val="99"/>
    <w:rPr>
      <w:rFonts w:ascii="Times New Roman" w:hAnsi="Times New Roman"/>
      <w:sz w:val="18"/>
      <w:szCs w:val="18"/>
    </w:rPr>
  </w:style>
  <w:style w:type="character" w:customStyle="1" w:styleId="19">
    <w:name w:val="页脚 Char"/>
    <w:link w:val="8"/>
    <w:qFormat/>
    <w:locked/>
    <w:uiPriority w:val="99"/>
    <w:rPr>
      <w:sz w:val="18"/>
    </w:rPr>
  </w:style>
  <w:style w:type="character" w:customStyle="1" w:styleId="20">
    <w:name w:val="Body Text Char"/>
    <w:basedOn w:val="13"/>
    <w:semiHidden/>
    <w:qFormat/>
    <w:uiPriority w:val="99"/>
    <w:rPr>
      <w:rFonts w:ascii="Times New Roman" w:hAnsi="Times New Roman"/>
      <w:szCs w:val="24"/>
    </w:rPr>
  </w:style>
  <w:style w:type="character" w:customStyle="1" w:styleId="21">
    <w:name w:val="正文文本 Char"/>
    <w:link w:val="2"/>
    <w:qFormat/>
    <w:locked/>
    <w:uiPriority w:val="99"/>
    <w:rPr>
      <w:rFonts w:ascii="仿宋_GB2312" w:hAnsi="Times New Roman" w:eastAsia="仿宋_GB2312"/>
      <w:sz w:val="24"/>
    </w:rPr>
  </w:style>
  <w:style w:type="paragraph" w:customStyle="1" w:styleId="22">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3">
    <w:name w:val="List Paragraph"/>
    <w:basedOn w:val="1"/>
    <w:qFormat/>
    <w:uiPriority w:val="34"/>
    <w:pPr>
      <w:ind w:firstLine="420" w:firstLineChars="200"/>
    </w:pPr>
  </w:style>
  <w:style w:type="character" w:customStyle="1" w:styleId="24">
    <w:name w:val="标题 1 Char"/>
    <w:basedOn w:val="13"/>
    <w:link w:val="3"/>
    <w:qFormat/>
    <w:uiPriority w:val="9"/>
    <w:rPr>
      <w:rFonts w:ascii="Times New Roman" w:hAnsi="Times New Roman"/>
      <w:b/>
      <w:bCs/>
      <w:kern w:val="44"/>
      <w:sz w:val="44"/>
      <w:szCs w:val="44"/>
    </w:rPr>
  </w:style>
  <w:style w:type="character" w:customStyle="1" w:styleId="25">
    <w:name w:val="标题 2 Char"/>
    <w:basedOn w:val="13"/>
    <w:link w:val="4"/>
    <w:qFormat/>
    <w:uiPriority w:val="9"/>
    <w:rPr>
      <w:rFonts w:asciiTheme="majorHAnsi" w:hAnsiTheme="majorHAnsi" w:eastAsiaTheme="majorEastAsia" w:cstheme="majorBidi"/>
      <w:b/>
      <w:bCs/>
      <w:kern w:val="2"/>
      <w:sz w:val="32"/>
      <w:szCs w:val="32"/>
    </w:rPr>
  </w:style>
  <w:style w:type="paragraph" w:customStyle="1" w:styleId="26">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7">
    <w:name w:val="批注框文本 Char"/>
    <w:basedOn w:val="13"/>
    <w:link w:val="7"/>
    <w:semiHidden/>
    <w:qFormat/>
    <w:uiPriority w:val="99"/>
    <w:rPr>
      <w:rFonts w:ascii="Times New Roman" w:hAnsi="Times New Roman"/>
      <w:kern w:val="2"/>
      <w:sz w:val="18"/>
      <w:szCs w:val="18"/>
    </w:rPr>
  </w:style>
  <w:style w:type="character" w:customStyle="1" w:styleId="28">
    <w:name w:val="标题 3 Char"/>
    <w:basedOn w:val="13"/>
    <w:link w:val="5"/>
    <w:qFormat/>
    <w:uiPriority w:val="9"/>
    <w:rPr>
      <w:rFonts w:ascii="Times New Roman" w:hAnsi="Times New Roman"/>
      <w:b/>
      <w:bCs/>
      <w:kern w:val="2"/>
      <w:sz w:val="32"/>
      <w:szCs w:val="32"/>
    </w:rPr>
  </w:style>
  <w:style w:type="paragraph" w:customStyle="1" w:styleId="29">
    <w:name w:val="TOC Heading"/>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Workbook1.xlsx"/></Relationships>
</file>

<file path=word/charts/_rels/chart2.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H:\&#21407;&#36164;&#26009;\2020&#24180;&#36130;&#21153;&#36164;&#26009;\2019&#20915;&#31639;&#20844;&#24320;\&#20915;&#31639;&#22270;.xlsx" TargetMode="External"/></Relationships>
</file>

<file path=word/charts/_rels/chart3.xml.rels><?xml version="1.0" encoding="UTF-8" standalone="yes"?>
<Relationships xmlns="http://schemas.openxmlformats.org/package/2006/relationships"><Relationship Id="rId1" Type="http://schemas.openxmlformats.org/officeDocument/2006/relationships/package" Target="../embeddings/Workbook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Workbook4.xlsx"/></Relationships>
</file>

<file path=word/charts/_rels/chart5.xml.rels><?xml version="1.0" encoding="UTF-8" standalone="yes"?>
<Relationships xmlns="http://schemas.openxmlformats.org/package/2006/relationships"><Relationship Id="rId2" Type="http://schemas.openxmlformats.org/officeDocument/2006/relationships/themeOverride" Target="../theme/themeOverride1.xml"/><Relationship Id="rId1" Type="http://schemas.openxmlformats.org/officeDocument/2006/relationships/package" Target="../embeddings/Workbook3.xlsx"/></Relationships>
</file>

<file path=word/charts/_rels/chart6.xml.rels><?xml version="1.0" encoding="UTF-8" standalone="yes"?>
<Relationships xmlns="http://schemas.openxmlformats.org/package/2006/relationships"><Relationship Id="rId1" Type="http://schemas.openxmlformats.org/officeDocument/2006/relationships/package" Target="../embeddings/Workbook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79286694101509"/>
          <c:y val="0.0394209572546143"/>
          <c:w val="0.719615912208505"/>
          <c:h val="0.865559246954596"/>
        </c:manualLayout>
      </c:layout>
      <c:barChart>
        <c:barDir val="col"/>
        <c:grouping val="clustered"/>
        <c:varyColors val="0"/>
        <c:ser>
          <c:idx val="0"/>
          <c:order val="0"/>
          <c:tx>
            <c:strRef>
              <c:f>Sheet1!$B$1</c:f>
              <c:strCache>
                <c:ptCount val="1"/>
                <c:pt idx="0">
                  <c:v>收入</c:v>
                </c:pt>
              </c:strCache>
            </c:strRef>
          </c:tx>
          <c:invertIfNegative val="0"/>
          <c:dLbls>
            <c:delete val="1"/>
          </c:dLbls>
          <c:cat>
            <c:strRef>
              <c:f>Sheet1!$A$2:$A$5</c:f>
              <c:strCache>
                <c:ptCount val="4"/>
                <c:pt idx="0">
                  <c:v>2020年</c:v>
                </c:pt>
                <c:pt idx="1">
                  <c:v>2021年</c:v>
                </c:pt>
              </c:strCache>
            </c:strRef>
          </c:cat>
          <c:val>
            <c:numRef>
              <c:f>Sheet1!$B$2:$B$5</c:f>
              <c:numCache>
                <c:formatCode>General</c:formatCode>
                <c:ptCount val="4"/>
                <c:pt idx="0">
                  <c:v>227.61</c:v>
                </c:pt>
                <c:pt idx="1">
                  <c:v>231.64</c:v>
                </c:pt>
              </c:numCache>
            </c:numRef>
          </c:val>
        </c:ser>
        <c:ser>
          <c:idx val="1"/>
          <c:order val="1"/>
          <c:tx>
            <c:strRef>
              <c:f>Sheet1!$C$1</c:f>
              <c:strCache>
                <c:ptCount val="1"/>
                <c:pt idx="0">
                  <c:v>支出</c:v>
                </c:pt>
              </c:strCache>
            </c:strRef>
          </c:tx>
          <c:spPr>
            <a:ln>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a:effectLst>
              <a:outerShdw blurRad="50800" dist="50800" dir="5400000" algn="ctr" rotWithShape="0">
                <a:schemeClr val="bg1"/>
              </a:outerShdw>
            </a:effectLst>
          </c:spPr>
          <c:invertIfNegative val="0"/>
          <c:dLbls>
            <c:dLbl>
              <c:idx val="0"/>
              <c:layout>
                <c:manualLayout>
                  <c:x val="-0.0373831775700935"/>
                  <c:y val="0.010376134889753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352678743125264"/>
                  <c:y val="0.022890663825679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Sheet1!$A$2:$A$5</c:f>
              <c:strCache>
                <c:ptCount val="4"/>
                <c:pt idx="0">
                  <c:v>2020年</c:v>
                </c:pt>
                <c:pt idx="1">
                  <c:v>2021年</c:v>
                </c:pt>
              </c:strCache>
            </c:strRef>
          </c:cat>
          <c:val>
            <c:numRef>
              <c:f>Sheet1!$C$2:$C$5</c:f>
              <c:numCache>
                <c:formatCode>General</c:formatCode>
                <c:ptCount val="4"/>
                <c:pt idx="0">
                  <c:v>227.61</c:v>
                </c:pt>
                <c:pt idx="1">
                  <c:v>231.64</c:v>
                </c:pt>
              </c:numCache>
            </c:numRef>
          </c:val>
        </c:ser>
        <c:dLbls>
          <c:showLegendKey val="0"/>
          <c:showVal val="0"/>
          <c:showCatName val="0"/>
          <c:showSerName val="0"/>
          <c:showPercent val="0"/>
          <c:showBubbleSize val="0"/>
        </c:dLbls>
        <c:gapWidth val="80"/>
        <c:overlap val="-20"/>
        <c:axId val="148131200"/>
        <c:axId val="148132992"/>
      </c:barChart>
      <c:catAx>
        <c:axId val="148131200"/>
        <c:scaling>
          <c:orientation val="minMax"/>
        </c:scaling>
        <c:delete val="0"/>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48132992"/>
        <c:crosses val="autoZero"/>
        <c:auto val="1"/>
        <c:lblAlgn val="ctr"/>
        <c:lblOffset val="100"/>
        <c:noMultiLvlLbl val="0"/>
      </c:catAx>
      <c:valAx>
        <c:axId val="148132992"/>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48131200"/>
        <c:crosses val="autoZero"/>
        <c:crossBetween val="between"/>
      </c:valAx>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rgbClr val="595959">
                    <a:lumMod val="65000"/>
                    <a:lumOff val="35000"/>
                  </a:srgbClr>
                </a:solidFill>
                <a:latin typeface="+mn-lt"/>
                <a:ea typeface="+mn-ea"/>
                <a:cs typeface="+mn-cs"/>
              </a:defRPr>
            </a:pPr>
            <a:r>
              <a:rPr sz="1800" b="1"/>
              <a:t>收入决算结构图</a:t>
            </a:r>
            <a:endParaRPr sz="1800" b="1"/>
          </a:p>
        </c:rich>
      </c:tx>
      <c:layout>
        <c:manualLayout>
          <c:xMode val="edge"/>
          <c:yMode val="edge"/>
          <c:x val="0.372942937722145"/>
          <c:y val="0.016283679784945"/>
        </c:manualLayout>
      </c:layout>
      <c:overlay val="0"/>
      <c:spPr>
        <a:noFill/>
        <a:ln>
          <a:noFill/>
        </a:ln>
        <a:effectLst/>
      </c:spPr>
    </c:title>
    <c:autoTitleDeleted val="0"/>
    <c:plotArea>
      <c:layout/>
      <c:pieChart>
        <c:varyColors val="1"/>
        <c:ser>
          <c:idx val="0"/>
          <c:order val="0"/>
          <c:spPr/>
          <c:explosion val="0"/>
          <c:dPt>
            <c:idx val="0"/>
            <c:bubble3D val="0"/>
            <c:spPr>
              <a:solidFill>
                <a:srgbClr val="4F81BD"/>
              </a:solidFill>
              <a:ln w="19050">
                <a:solidFill>
                  <a:srgbClr val="FFFFFF"/>
                </a:solidFill>
              </a:ln>
              <a:effectLst/>
            </c:spPr>
          </c:dPt>
          <c:dPt>
            <c:idx val="1"/>
            <c:bubble3D val="0"/>
            <c:spPr>
              <a:solidFill>
                <a:srgbClr val="C0504D"/>
              </a:solidFill>
              <a:ln w="19050">
                <a:solidFill>
                  <a:srgbClr val="FFFFFF"/>
                </a:solidFill>
              </a:ln>
              <a:effectLst/>
            </c:spPr>
          </c:dPt>
          <c:dPt>
            <c:idx val="2"/>
            <c:bubble3D val="0"/>
            <c:spPr>
              <a:solidFill>
                <a:srgbClr val="9BBB59"/>
              </a:solidFill>
              <a:ln w="19050">
                <a:solidFill>
                  <a:srgbClr val="FFFFFF"/>
                </a:solidFill>
              </a:ln>
              <a:effectLst/>
            </c:spPr>
          </c:dPt>
          <c:dPt>
            <c:idx val="3"/>
            <c:bubble3D val="0"/>
            <c:spPr>
              <a:solidFill>
                <a:srgbClr val="8064A2"/>
              </a:solidFill>
              <a:ln w="19050">
                <a:solidFill>
                  <a:srgbClr val="FFFFFF"/>
                </a:solidFill>
              </a:ln>
              <a:effectLst/>
            </c:spPr>
          </c:dPt>
          <c:dPt>
            <c:idx val="4"/>
            <c:bubble3D val="0"/>
            <c:spPr>
              <a:solidFill>
                <a:srgbClr val="4BACC6"/>
              </a:solidFill>
              <a:ln w="19050">
                <a:solidFill>
                  <a:srgbClr val="FFFFFF"/>
                </a:solidFill>
              </a:ln>
              <a:effectLst/>
            </c:spPr>
          </c:dPt>
          <c:dPt>
            <c:idx val="5"/>
            <c:bubble3D val="0"/>
            <c:spPr>
              <a:solidFill>
                <a:srgbClr val="F79646"/>
              </a:solidFill>
              <a:ln w="19050">
                <a:solidFill>
                  <a:srgbClr val="FFFFFF"/>
                </a:solidFill>
              </a:ln>
              <a:effectLst/>
            </c:spPr>
          </c:dPt>
          <c:dPt>
            <c:idx val="6"/>
            <c:bubble3D val="0"/>
            <c:spPr>
              <a:solidFill>
                <a:srgbClr val="2C4D75">
                  <a:lumMod val="60000"/>
                </a:srgbClr>
              </a:solidFill>
              <a:ln w="19050">
                <a:solidFill>
                  <a:srgbClr val="FFFFFF"/>
                </a:solidFill>
              </a:ln>
              <a:effectLst/>
            </c:spPr>
          </c:dPt>
          <c:dLbls>
            <c:dLbl>
              <c:idx val="0"/>
              <c:layout>
                <c:manualLayout>
                  <c:x val="-0.00125028427830567"/>
                  <c:y val="-0.0617411654590374"/>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1"/>
              <c:layout>
                <c:manualLayout>
                  <c:x val="-0.0828931420187203"/>
                  <c:y val="-0.0104787482490724"/>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2"/>
              <c:layout>
                <c:manualLayout>
                  <c:x val="0.0817800151440057"/>
                  <c:y val="0.0170784680050145"/>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3"/>
              <c:layout>
                <c:manualLayout>
                  <c:x val="0.0231700640203099"/>
                  <c:y val="-0.0285299178390756"/>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4"/>
              <c:layout>
                <c:manualLayout>
                  <c:x val="-0.108333567566771"/>
                  <c:y val="0.031933207901571"/>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5"/>
              <c:layout>
                <c:manualLayout>
                  <c:x val="0.100284690816787"/>
                  <c:y val="0.0506605546061248"/>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6"/>
              <c:layout>
                <c:manualLayout>
                  <c:x val="-0.0149830421456613"/>
                  <c:y val="-0.0335890531285434"/>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rgbClr val="404040">
                        <a:lumMod val="75000"/>
                        <a:lumOff val="25000"/>
                      </a:srgbClr>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rgbClr val="A6A6A6">
                          <a:lumMod val="35000"/>
                          <a:lumOff val="65000"/>
                        </a:srgbClr>
                      </a:solidFill>
                      <a:round/>
                    </a:ln>
                    <a:effectLst/>
                  </c:spPr>
                </c15:leaderLines>
              </c:ext>
            </c:extLst>
          </c:dLbls>
          <c:cat>
            <c:strRef>
              <c:f>[决算图.xlsx]Sheet2!$A$2:$G$2</c:f>
              <c:strCache>
                <c:ptCount val="7"/>
                <c:pt idx="0">
                  <c:v>一般公共预算财政拨款</c:v>
                </c:pt>
                <c:pt idx="1">
                  <c:v>政府性基金预算财政拨款</c:v>
                </c:pt>
                <c:pt idx="2">
                  <c:v>上级补助</c:v>
                </c:pt>
                <c:pt idx="3">
                  <c:v>事业收入</c:v>
                </c:pt>
                <c:pt idx="4">
                  <c:v>经营收入</c:v>
                </c:pt>
                <c:pt idx="5">
                  <c:v>附属单位上缴收入</c:v>
                </c:pt>
                <c:pt idx="6">
                  <c:v>其他收入</c:v>
                </c:pt>
              </c:strCache>
            </c:strRef>
          </c:cat>
          <c:val>
            <c:numRef>
              <c:f>[决算图.xlsx]Sheet2!$A$3:$G$3</c:f>
              <c:numCache>
                <c:formatCode>General</c:formatCode>
                <c:ptCount val="7"/>
                <c:pt idx="0">
                  <c:v>179.96</c:v>
                </c:pt>
                <c:pt idx="1">
                  <c:v>0</c:v>
                </c:pt>
                <c:pt idx="2">
                  <c:v>0</c:v>
                </c:pt>
                <c:pt idx="3">
                  <c:v>0</c:v>
                </c:pt>
                <c:pt idx="4">
                  <c:v>0</c:v>
                </c:pt>
                <c:pt idx="5">
                  <c:v>0</c:v>
                </c:pt>
                <c:pt idx="6">
                  <c:v>0</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p>
      </c:txPr>
    </c:legend>
    <c:plotVisOnly val="1"/>
    <c:dispBlanksAs val="gap"/>
    <c:showDLblsOverMax val="0"/>
  </c:chart>
  <c:spPr>
    <a:solidFill>
      <a:srgbClr val="FFFFFF"/>
    </a:solidFill>
    <a:ln w="9525" cap="flat" cmpd="sng" algn="ctr">
      <a:solidFill>
        <a:srgbClr val="D9D9D9">
          <a:lumMod val="15000"/>
          <a:lumOff val="85000"/>
        </a:srgb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9212491513917"/>
          <c:y val="0.0466560227071137"/>
          <c:w val="0.61683638832315"/>
          <c:h val="0.865708710306901"/>
        </c:manualLayout>
      </c:layout>
      <c:barChart>
        <c:barDir val="col"/>
        <c:grouping val="clustered"/>
        <c:varyColors val="0"/>
        <c:ser>
          <c:idx val="0"/>
          <c:order val="0"/>
          <c:tx>
            <c:strRef>
              <c:f>Sheet1!$B$1</c:f>
              <c:strCache>
                <c:ptCount val="1"/>
                <c:pt idx="0">
                  <c:v>财政拨款收入</c:v>
                </c:pt>
              </c:strCache>
            </c:strRef>
          </c:tx>
          <c:invertIfNegative val="0"/>
          <c:dLbls>
            <c:delete val="1"/>
          </c:dLbls>
          <c:cat>
            <c:strRef>
              <c:f>Sheet1!$A$2:$A$5</c:f>
              <c:strCache>
                <c:ptCount val="4"/>
                <c:pt idx="0">
                  <c:v>2020年</c:v>
                </c:pt>
                <c:pt idx="1">
                  <c:v>2021年</c:v>
                </c:pt>
              </c:strCache>
            </c:strRef>
          </c:cat>
          <c:val>
            <c:numRef>
              <c:f>Sheet1!$B$2:$B$5</c:f>
              <c:numCache>
                <c:formatCode>General</c:formatCode>
                <c:ptCount val="4"/>
                <c:pt idx="0">
                  <c:v>227.61</c:v>
                </c:pt>
                <c:pt idx="1">
                  <c:v>231.64</c:v>
                </c:pt>
              </c:numCache>
            </c:numRef>
          </c:val>
        </c:ser>
        <c:ser>
          <c:idx val="1"/>
          <c:order val="1"/>
          <c:tx>
            <c:strRef>
              <c:f>Sheet1!$C$1</c:f>
              <c:strCache>
                <c:ptCount val="1"/>
                <c:pt idx="0">
                  <c:v>财政拨款支出</c:v>
                </c:pt>
              </c:strCache>
            </c:strRef>
          </c:tx>
          <c:spPr>
            <a:ln>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a:effectLst>
              <a:outerShdw blurRad="50800" dist="50800" dir="5400000" algn="ctr" rotWithShape="0">
                <a:schemeClr val="bg1"/>
              </a:outerShdw>
            </a:effectLst>
          </c:spPr>
          <c:invertIfNegative val="0"/>
          <c:dLbls>
            <c:dLbl>
              <c:idx val="0"/>
              <c:layout>
                <c:manualLayout>
                  <c:x val="-0.0373831775700935"/>
                  <c:y val="0.0103761348897536"/>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220555671875694"/>
                  <c:y val="0.0199122114931294"/>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Sheet1!$A$2:$A$5</c:f>
              <c:strCache>
                <c:ptCount val="4"/>
                <c:pt idx="0">
                  <c:v>2020年</c:v>
                </c:pt>
                <c:pt idx="1">
                  <c:v>2021年</c:v>
                </c:pt>
              </c:strCache>
            </c:strRef>
          </c:cat>
          <c:val>
            <c:numRef>
              <c:f>Sheet1!$C$2:$C$5</c:f>
              <c:numCache>
                <c:formatCode>General</c:formatCode>
                <c:ptCount val="4"/>
                <c:pt idx="0">
                  <c:v>227.61</c:v>
                </c:pt>
                <c:pt idx="1">
                  <c:v>231.64</c:v>
                </c:pt>
              </c:numCache>
            </c:numRef>
          </c:val>
        </c:ser>
        <c:dLbls>
          <c:showLegendKey val="0"/>
          <c:showVal val="0"/>
          <c:showCatName val="0"/>
          <c:showSerName val="0"/>
          <c:showPercent val="0"/>
          <c:showBubbleSize val="0"/>
        </c:dLbls>
        <c:gapWidth val="80"/>
        <c:overlap val="-20"/>
        <c:axId val="322771968"/>
        <c:axId val="322818816"/>
      </c:barChart>
      <c:catAx>
        <c:axId val="322771968"/>
        <c:scaling>
          <c:orientation val="minMax"/>
        </c:scaling>
        <c:delete val="0"/>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322818816"/>
        <c:crosses val="autoZero"/>
        <c:auto val="1"/>
        <c:lblAlgn val="ctr"/>
        <c:lblOffset val="100"/>
        <c:noMultiLvlLbl val="0"/>
      </c:catAx>
      <c:valAx>
        <c:axId val="322818816"/>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322771968"/>
        <c:crosses val="autoZero"/>
        <c:crossBetween val="between"/>
      </c:valAx>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p>
      </c:txPr>
    </c:title>
    <c:autoTitleDeleted val="0"/>
    <c:plotArea>
      <c:layout>
        <c:manualLayout>
          <c:layoutTarget val="inner"/>
          <c:xMode val="edge"/>
          <c:yMode val="edge"/>
          <c:x val="0.0692101740294511"/>
          <c:y val="0.218242720948209"/>
          <c:w val="0.599866131191432"/>
          <c:h val="0.620716310229322"/>
        </c:manualLayout>
      </c:layout>
      <c:barChart>
        <c:barDir val="col"/>
        <c:grouping val="clustered"/>
        <c:varyColors val="0"/>
        <c:ser>
          <c:idx val="0"/>
          <c:order val="0"/>
          <c:tx>
            <c:strRef>
              <c:f>Sheet1!$B$1</c:f>
              <c:strCache>
                <c:ptCount val="1"/>
                <c:pt idx="0">
                  <c:v>一般公共预算财政拨款</c:v>
                </c:pt>
              </c:strCache>
            </c:strRef>
          </c:tx>
          <c:invertIfNegative val="0"/>
          <c:dLbls>
            <c:dLbl>
              <c:idx val="0"/>
              <c:layout>
                <c:manualLayout>
                  <c:x val="0.00669344042838019"/>
                  <c:y val="0.0213862406596238"/>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Sheet1!$A$2:$A$3</c:f>
              <c:strCache>
                <c:ptCount val="2"/>
                <c:pt idx="0">
                  <c:v>2020年</c:v>
                </c:pt>
                <c:pt idx="1">
                  <c:v>2021年</c:v>
                </c:pt>
              </c:strCache>
            </c:strRef>
          </c:cat>
          <c:val>
            <c:numRef>
              <c:f>Sheet1!$B$2:$B$3</c:f>
              <c:numCache>
                <c:formatCode>General</c:formatCode>
                <c:ptCount val="2"/>
                <c:pt idx="0">
                  <c:v>227.61</c:v>
                </c:pt>
                <c:pt idx="1">
                  <c:v>231.64</c:v>
                </c:pt>
              </c:numCache>
            </c:numRef>
          </c:val>
        </c:ser>
        <c:dLbls>
          <c:showLegendKey val="0"/>
          <c:showVal val="0"/>
          <c:showCatName val="0"/>
          <c:showSerName val="0"/>
          <c:showPercent val="0"/>
          <c:showBubbleSize val="0"/>
        </c:dLbls>
        <c:gapWidth val="150"/>
        <c:axId val="323044096"/>
        <c:axId val="323045632"/>
      </c:barChart>
      <c:catAx>
        <c:axId val="323044096"/>
        <c:scaling>
          <c:orientation val="minMax"/>
        </c:scaling>
        <c:delete val="0"/>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323045632"/>
        <c:crosses val="autoZero"/>
        <c:auto val="1"/>
        <c:lblAlgn val="ctr"/>
        <c:lblOffset val="100"/>
        <c:noMultiLvlLbl val="0"/>
      </c:catAx>
      <c:valAx>
        <c:axId val="323045632"/>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323044096"/>
        <c:crosses val="autoZero"/>
        <c:crossBetween val="between"/>
      </c:valAx>
    </c:plotArea>
    <c:legend>
      <c:legendPos val="r"/>
      <c:layout>
        <c:manualLayout>
          <c:xMode val="edge"/>
          <c:yMode val="edge"/>
          <c:x val="0.68995983935743"/>
          <c:y val="0.412264880185519"/>
          <c:w val="0.293975903614458"/>
          <c:h val="0.198402473589281"/>
        </c:manualLayout>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overlay val="0"/>
      <c:txPr>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p>
      </c:txPr>
    </c:title>
    <c:autoTitleDeleted val="0"/>
    <c:plotArea>
      <c:layout/>
      <c:pieChart>
        <c:varyColors val="1"/>
        <c:ser>
          <c:idx val="0"/>
          <c:order val="0"/>
          <c:tx>
            <c:strRef>
              <c:f>Sheet1!$B$1</c:f>
              <c:strCache>
                <c:ptCount val="1"/>
                <c:pt idx="0">
                  <c:v>一般公共预算财政拨款支出</c:v>
                </c:pt>
              </c:strCache>
            </c:strRef>
          </c:tx>
          <c:explosion val="6"/>
          <c:dPt>
            <c:idx val="0"/>
            <c:bubble3D val="0"/>
          </c:dPt>
          <c:dPt>
            <c:idx val="1"/>
            <c:bubble3D val="0"/>
          </c:dPt>
          <c:dPt>
            <c:idx val="2"/>
            <c:bubble3D val="0"/>
          </c:dPt>
          <c:dPt>
            <c:idx val="3"/>
            <c:bubble3D val="0"/>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ext>
            </c:extLst>
          </c:dLbls>
          <c:cat>
            <c:strRef>
              <c:f>Sheet1!$A$2:$A$5</c:f>
              <c:strCache>
                <c:ptCount val="4"/>
                <c:pt idx="0">
                  <c:v>社会保障和就业（类）</c:v>
                </c:pt>
                <c:pt idx="1">
                  <c:v>卫生健康支出（类）</c:v>
                </c:pt>
                <c:pt idx="2">
                  <c:v>一般公共服务（类）</c:v>
                </c:pt>
                <c:pt idx="3">
                  <c:v>卫生健康支出（类）</c:v>
                </c:pt>
              </c:strCache>
            </c:strRef>
          </c:cat>
          <c:val>
            <c:numRef>
              <c:f>Sheet1!$B$2:$B$5</c:f>
              <c:numCache>
                <c:formatCode>0.00%</c:formatCode>
                <c:ptCount val="4"/>
                <c:pt idx="0">
                  <c:v>0.62</c:v>
                </c:pt>
                <c:pt idx="1">
                  <c:v>0.34</c:v>
                </c:pt>
                <c:pt idx="2">
                  <c:v>0.014</c:v>
                </c:pt>
                <c:pt idx="3">
                  <c:v>0.024</c:v>
                </c:pt>
              </c:numCache>
            </c:numRef>
          </c:val>
        </c:ser>
        <c:dLbls>
          <c:showLegendKey val="0"/>
          <c:showVal val="0"/>
          <c:showCatName val="0"/>
          <c:showSerName val="0"/>
          <c:showPercent val="0"/>
          <c:showBubbleSize val="0"/>
          <c:showLeaderLines val="1"/>
        </c:dLbls>
        <c:firstSliceAng val="42"/>
      </c:pieChart>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p>
      </c:txPr>
    </c:title>
    <c:autoTitleDeleted val="0"/>
    <c:plotArea>
      <c:layout/>
      <c:pieChart>
        <c:varyColors val="1"/>
        <c:ser>
          <c:idx val="0"/>
          <c:order val="0"/>
          <c:tx>
            <c:strRef>
              <c:f>Sheet1!$B$1</c:f>
              <c:strCache>
                <c:ptCount val="1"/>
                <c:pt idx="0">
                  <c:v>“三公经费”</c:v>
                </c:pt>
              </c:strCache>
            </c:strRef>
          </c:tx>
          <c:explosion val="0"/>
          <c:dPt>
            <c:idx val="0"/>
            <c:bubble3D val="0"/>
          </c:dPt>
          <c:dLbls>
            <c:dLbl>
              <c:idx val="0"/>
              <c:layout>
                <c:manualLayout>
                  <c:x val="0.168074076577338"/>
                  <c:y val="-0.471708492578779"/>
                </c:manualLayout>
              </c:layout>
              <c:dLblPos val="bestFit"/>
              <c:showLegendKey val="0"/>
              <c:showVal val="1"/>
              <c:showCatName val="1"/>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1"/>
            <c:showCatName val="1"/>
            <c:showSerName val="0"/>
            <c:showPercent val="0"/>
            <c:showBubbleSize val="0"/>
            <c:showLeaderLines val="1"/>
            <c:extLst>
              <c:ext xmlns:c15="http://schemas.microsoft.com/office/drawing/2012/chart" uri="{CE6537A1-D6FC-4f65-9D91-7224C49458BB}">
                <c15:layout/>
                <c15:showLeaderLines val="1"/>
                <c15:leaderLines/>
              </c:ext>
            </c:extLst>
          </c:dLbls>
          <c:cat>
            <c:strRef>
              <c:f>Sheet1!$A$2</c:f>
              <c:strCache>
                <c:ptCount val="1"/>
                <c:pt idx="0">
                  <c:v>公务接待费</c:v>
                </c:pt>
              </c:strCache>
            </c:strRef>
          </c:cat>
          <c:val>
            <c:numRef>
              <c:f>Sheet1!$B$2</c:f>
              <c:numCache>
                <c:formatCode>0%</c:formatCode>
                <c:ptCount val="1"/>
                <c:pt idx="0">
                  <c:v>1</c:v>
                </c:pt>
              </c:numCache>
            </c:numRef>
          </c:val>
        </c:ser>
        <c:dLbls>
          <c:showLegendKey val="0"/>
          <c:showVal val="0"/>
          <c:showCatName val="0"/>
          <c:showSerName val="0"/>
          <c:showPercent val="0"/>
          <c:showBubbleSize val="0"/>
          <c:showLeaderLines val="1"/>
        </c:dLbls>
        <c:firstSliceAng val="0"/>
      </c:pieChart>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rgbClr val="4F81BD"/>
  <a:srgbClr val="C0504D"/>
  <a:srgbClr val="9BBB59"/>
  <a:srgbClr val="8064A2"/>
  <a:srgbClr val="4BACC6"/>
  <a:srgbClr val="F7964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rgbClr val="595959">
        <a:lumMod val="65000"/>
        <a:lumOff val="35000"/>
      </a:srgbClr>
    </cs:fontRef>
    <cs:defRPr sz="1000" kern="1200"/>
  </cs:axisTitle>
  <cs:categoryAxis>
    <cs:lnRef idx="0"/>
    <cs:fillRef idx="0"/>
    <cs:effectRef idx="0"/>
    <cs:fontRef idx="minor">
      <a:srgbClr val="595959">
        <a:lumMod val="65000"/>
        <a:lumOff val="35000"/>
      </a:srgbClr>
    </cs:fontRef>
    <cs:spPr>
      <a:ln w="9525" cap="flat" cmpd="sng" algn="ctr">
        <a:solidFill>
          <a:srgbClr val="D9D9D9">
            <a:lumMod val="15000"/>
            <a:lumOff val="85000"/>
          </a:srgbClr>
        </a:solidFill>
        <a:round/>
      </a:ln>
    </cs:spPr>
    <cs:defRPr sz="900" kern="1200"/>
  </cs:categoryAxis>
  <cs:chartArea mods="allowNoFillOverride allowNoLineOverride">
    <cs:lnRef idx="0"/>
    <cs:fillRef idx="0"/>
    <cs:effectRef idx="0"/>
    <cs:fontRef idx="minor">
      <a:srgbClr val="000000"/>
    </cs:fontRef>
    <cs:spPr>
      <a:solidFill>
        <a:srgbClr val="FFFFFF"/>
      </a:solidFill>
      <a:ln w="9525" cap="flat" cmpd="sng" algn="ctr">
        <a:solidFill>
          <a:srgbClr val="D9D9D9">
            <a:lumMod val="15000"/>
            <a:lumOff val="85000"/>
          </a:srgbClr>
        </a:solidFill>
        <a:round/>
      </a:ln>
    </cs:spPr>
    <cs:defRPr sz="900" kern="1200"/>
  </cs:chartArea>
  <cs:dataLabel>
    <cs:lnRef idx="0"/>
    <cs:fillRef idx="0"/>
    <cs:effectRef idx="0"/>
    <cs:fontRef idx="minor">
      <a:srgbClr val="404040">
        <a:lumMod val="75000"/>
        <a:lumOff val="25000"/>
      </a:srgbClr>
    </cs:fontRef>
    <cs:defRPr sz="900" kern="1200"/>
  </cs:dataLabel>
  <cs:dataLabelCallout>
    <cs:lnRef idx="0"/>
    <cs:fillRef idx="0"/>
    <cs:effectRef idx="0"/>
    <cs:fontRef idx="minor">
      <a:srgbClr val="595959">
        <a:lumMod val="65000"/>
        <a:lumOff val="35000"/>
      </a:srgbClr>
    </cs:fontRef>
    <cs:spPr>
      <a:solidFill>
        <a:srgbClr val="FFFFFF"/>
      </a:solidFill>
      <a:ln>
        <a:solidFill>
          <a:srgbClr val="BFBFBF">
            <a:lumMod val="25000"/>
            <a:lumOff val="75000"/>
          </a:srgb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rgbClr val="000000"/>
    </cs:fontRef>
    <cs:spPr>
      <a:ln w="19050">
        <a:solidFill>
          <a:srgbClr val="FFFFFF"/>
        </a:solidFill>
      </a:ln>
    </cs:spPr>
  </cs:dataPoint>
  <cs:dataPoint3D>
    <cs:lnRef idx="0"/>
    <cs:fillRef idx="1">
      <cs:styleClr val="auto"/>
    </cs:fillRef>
    <cs:effectRef idx="0"/>
    <cs:fontRef idx="minor">
      <a:srgbClr val="000000"/>
    </cs:fontRef>
    <cs:spPr>
      <a:ln w="25400">
        <a:solidFill>
          <a:srgbClr val="FFFFFF"/>
        </a:solidFill>
      </a:ln>
    </cs:spPr>
  </cs:dataPoint3D>
  <cs:dataPointLine>
    <cs:lnRef idx="0">
      <cs:styleClr val="auto"/>
    </cs:lnRef>
    <cs:fillRef idx="0"/>
    <cs:effectRef idx="0"/>
    <cs:fontRef idx="minor">
      <a:srgbClr val="000000"/>
    </cs:fontRef>
    <cs:spPr>
      <a:ln w="28575" cap="rnd">
        <a:solidFill>
          <a:srgbClr val="FFFFFF"/>
        </a:solidFill>
        <a:round/>
      </a:ln>
    </cs:spPr>
  </cs:dataPointLine>
  <cs:dataPointMarker>
    <cs:lnRef idx="0">
      <cs:styleClr val="auto"/>
    </cs:lnRef>
    <cs:fillRef idx="1">
      <cs:styleClr val="auto"/>
    </cs:fillRef>
    <cs:effectRef idx="0"/>
    <cs:fontRef idx="minor">
      <a:srgbClr val="000000"/>
    </cs:fontRef>
    <cs:spPr>
      <a:ln w="9525">
        <a:solidFill>
          <a:srgbClr val="FFFFFF"/>
        </a:solidFill>
      </a:ln>
    </cs:spPr>
  </cs:dataPointMarker>
  <cs:dataPointMarkerLayout symbol="circle" size="5"/>
  <cs:dataPointWireframe>
    <cs:lnRef idx="0">
      <cs:styleClr val="auto"/>
    </cs:lnRef>
    <cs:fillRef idx="0"/>
    <cs:effectRef idx="0"/>
    <cs:fontRef idx="minor">
      <a:srgbClr val="000000"/>
    </cs:fontRef>
    <cs:spPr>
      <a:ln w="9525" cap="rnd">
        <a:solidFill>
          <a:srgbClr val="FFFFFF"/>
        </a:solidFill>
        <a:round/>
      </a:ln>
    </cs:spPr>
  </cs:dataPointWireframe>
  <cs:dataTable>
    <cs:lnRef idx="0"/>
    <cs:fillRef idx="0"/>
    <cs:effectRef idx="0"/>
    <cs:fontRef idx="minor">
      <a:srgbClr val="595959">
        <a:lumMod val="65000"/>
        <a:lumOff val="35000"/>
      </a:srgbClr>
    </cs:fontRef>
    <cs:spPr>
      <a:noFill/>
      <a:ln w="9525" cap="flat" cmpd="sng" algn="ctr">
        <a:solidFill>
          <a:srgbClr val="D9D9D9">
            <a:lumMod val="15000"/>
            <a:lumOff val="85000"/>
          </a:srgbClr>
        </a:solidFill>
        <a:round/>
      </a:ln>
    </cs:spPr>
    <cs:defRPr sz="900" kern="1200"/>
  </cs:dataTable>
  <cs:downBar>
    <cs:lnRef idx="0"/>
    <cs:fillRef idx="0"/>
    <cs:effectRef idx="0"/>
    <cs:fontRef idx="minor">
      <a:srgbClr val="000000"/>
    </cs:fontRef>
    <cs:spPr>
      <a:solidFill>
        <a:srgbClr val="404040">
          <a:lumMod val="75000"/>
          <a:lumOff val="25000"/>
        </a:srgbClr>
      </a:solidFill>
      <a:ln w="9525" cap="flat" cmpd="sng" algn="ctr">
        <a:solidFill>
          <a:srgbClr val="595959">
            <a:lumMod val="65000"/>
            <a:lumOff val="35000"/>
          </a:srgbClr>
        </a:solidFill>
        <a:round/>
      </a:ln>
    </cs:spPr>
  </cs:downBar>
  <cs:dropLine>
    <cs:lnRef idx="0"/>
    <cs:fillRef idx="0"/>
    <cs:effectRef idx="0"/>
    <cs:fontRef idx="minor">
      <a:srgbClr val="000000"/>
    </cs:fontRef>
    <cs:spPr>
      <a:ln w="9525" cap="flat" cmpd="sng" algn="ctr">
        <a:solidFill>
          <a:srgbClr val="A6A6A6">
            <a:lumMod val="35000"/>
            <a:lumOff val="65000"/>
          </a:srgbClr>
        </a:solidFill>
        <a:round/>
      </a:ln>
    </cs:spPr>
  </cs:dropLine>
  <cs:errorBar>
    <cs:lnRef idx="0"/>
    <cs:fillRef idx="0"/>
    <cs:effectRef idx="0"/>
    <cs:fontRef idx="minor">
      <a:srgbClr val="000000"/>
    </cs:fontRef>
    <cs:spPr>
      <a:ln w="9525" cap="flat" cmpd="sng" algn="ctr">
        <a:solidFill>
          <a:srgbClr val="595959">
            <a:lumMod val="65000"/>
            <a:lumOff val="35000"/>
          </a:srgbClr>
        </a:solidFill>
        <a:round/>
      </a:ln>
    </cs:spPr>
  </cs:errorBar>
  <cs:floor>
    <cs:lnRef idx="0"/>
    <cs:fillRef idx="0"/>
    <cs:effectRef idx="0"/>
    <cs:fontRef idx="minor">
      <a:srgbClr val="000000"/>
    </cs:fontRef>
    <cs:spPr>
      <a:noFill/>
      <a:ln>
        <a:noFill/>
      </a:ln>
    </cs:spPr>
  </cs:floor>
  <cs:gridlineMajor>
    <cs:lnRef idx="0"/>
    <cs:fillRef idx="0"/>
    <cs:effectRef idx="0"/>
    <cs:fontRef idx="minor">
      <a:srgbClr val="000000"/>
    </cs:fontRef>
    <cs:spPr>
      <a:ln w="9525" cap="flat" cmpd="sng" algn="ctr">
        <a:solidFill>
          <a:srgbClr val="D9D9D9">
            <a:lumMod val="15000"/>
            <a:lumOff val="85000"/>
          </a:srgbClr>
        </a:solidFill>
        <a:round/>
      </a:ln>
    </cs:spPr>
  </cs:gridlineMajor>
  <cs:gridlineMinor>
    <cs:lnRef idx="0"/>
    <cs:fillRef idx="0"/>
    <cs:effectRef idx="0"/>
    <cs:fontRef idx="minor">
      <a:srgbClr val="000000"/>
    </cs:fontRef>
    <cs:spPr>
      <a:ln w="9525" cap="flat" cmpd="sng" algn="ctr">
        <a:solidFill>
          <a:srgbClr val="F2F2F2">
            <a:lumMod val="5000"/>
            <a:lumOff val="95000"/>
          </a:srgbClr>
        </a:solidFill>
        <a:round/>
      </a:ln>
    </cs:spPr>
  </cs:gridlineMinor>
  <cs:hiLoLine>
    <cs:lnRef idx="0"/>
    <cs:fillRef idx="0"/>
    <cs:effectRef idx="0"/>
    <cs:fontRef idx="minor">
      <a:srgbClr val="000000"/>
    </cs:fontRef>
    <cs:spPr>
      <a:ln w="9525" cap="flat" cmpd="sng" algn="ctr">
        <a:solidFill>
          <a:srgbClr val="808080">
            <a:lumMod val="50000"/>
            <a:lumOff val="50000"/>
          </a:srgbClr>
        </a:solidFill>
        <a:round/>
      </a:ln>
    </cs:spPr>
  </cs:hiLoLine>
  <cs:leaderLine>
    <cs:lnRef idx="0"/>
    <cs:fillRef idx="0"/>
    <cs:effectRef idx="0"/>
    <cs:fontRef idx="minor">
      <a:srgbClr val="000000"/>
    </cs:fontRef>
    <cs:spPr>
      <a:ln w="9525" cap="flat" cmpd="sng" algn="ctr">
        <a:solidFill>
          <a:srgbClr val="A6A6A6">
            <a:lumMod val="35000"/>
            <a:lumOff val="65000"/>
          </a:srgbClr>
        </a:solidFill>
        <a:round/>
      </a:ln>
    </cs:spPr>
  </cs:leaderLine>
  <cs:legend>
    <cs:lnRef idx="0"/>
    <cs:fillRef idx="0"/>
    <cs:effectRef idx="0"/>
    <cs:fontRef idx="minor">
      <a:srgbClr val="595959">
        <a:lumMod val="65000"/>
        <a:lumOff val="35000"/>
      </a:srgbClr>
    </cs:fontRef>
    <cs:defRPr sz="900" kern="1200"/>
  </cs:legend>
  <cs:plotArea mods="allowNoFillOverride allowNoLineOverride">
    <cs:lnRef idx="0"/>
    <cs:fillRef idx="0"/>
    <cs:effectRef idx="0"/>
    <cs:fontRef idx="minor">
      <a:srgbClr val="000000"/>
    </cs:fontRef>
  </cs:plotArea>
  <cs:plotArea3D mods="allowNoFillOverride allowNoLineOverride">
    <cs:lnRef idx="0"/>
    <cs:fillRef idx="0"/>
    <cs:effectRef idx="0"/>
    <cs:fontRef idx="minor">
      <a:srgbClr val="000000"/>
    </cs:fontRef>
  </cs:plotArea3D>
  <cs:seriesAxis>
    <cs:lnRef idx="0"/>
    <cs:fillRef idx="0"/>
    <cs:effectRef idx="0"/>
    <cs:fontRef idx="minor">
      <a:srgbClr val="595959">
        <a:lumMod val="65000"/>
        <a:lumOff val="35000"/>
      </a:srgbClr>
    </cs:fontRef>
    <cs:defRPr sz="900" kern="1200"/>
  </cs:seriesAxis>
  <cs:seriesLine>
    <cs:lnRef idx="0"/>
    <cs:fillRef idx="0"/>
    <cs:effectRef idx="0"/>
    <cs:fontRef idx="minor">
      <a:srgbClr val="000000"/>
    </cs:fontRef>
    <cs:spPr>
      <a:ln w="9525" cap="flat" cmpd="sng" algn="ctr">
        <a:solidFill>
          <a:srgbClr val="A6A6A6">
            <a:lumMod val="35000"/>
            <a:lumOff val="65000"/>
          </a:srgbClr>
        </a:solidFill>
        <a:round/>
      </a:ln>
    </cs:spPr>
  </cs:seriesLine>
  <cs:title>
    <cs:lnRef idx="0"/>
    <cs:fillRef idx="0"/>
    <cs:effectRef idx="0"/>
    <cs:fontRef idx="minor">
      <a:srgbClr val="595959">
        <a:lumMod val="65000"/>
        <a:lumOff val="35000"/>
      </a:srgbClr>
    </cs:fontRef>
    <cs:defRPr sz="1400" b="0" kern="1200" spc="0" baseline="0"/>
  </cs:title>
  <cs:trendline>
    <cs:lnRef idx="0">
      <cs:styleClr val="auto"/>
    </cs:lnRef>
    <cs:fillRef idx="0"/>
    <cs:effectRef idx="0"/>
    <cs:fontRef idx="minor">
      <a:srgbClr val="000000"/>
    </cs:fontRef>
    <cs:spPr>
      <a:ln w="19050" cap="rnd">
        <a:solidFill>
          <a:srgbClr val="FFFFFF"/>
        </a:solidFill>
        <a:prstDash val="sysDot"/>
      </a:ln>
    </cs:spPr>
  </cs:trendline>
  <cs:trendlineLabel>
    <cs:lnRef idx="0"/>
    <cs:fillRef idx="0"/>
    <cs:effectRef idx="0"/>
    <cs:fontRef idx="minor">
      <a:srgbClr val="595959">
        <a:lumMod val="65000"/>
        <a:lumOff val="35000"/>
      </a:srgbClr>
    </cs:fontRef>
    <cs:defRPr sz="900" kern="1200"/>
  </cs:trendlineLabel>
  <cs:upBar>
    <cs:lnRef idx="0"/>
    <cs:fillRef idx="0"/>
    <cs:effectRef idx="0"/>
    <cs:fontRef idx="minor">
      <a:srgbClr val="000000"/>
    </cs:fontRef>
    <cs:spPr>
      <a:solidFill>
        <a:srgbClr val="FFFFFF"/>
      </a:solidFill>
      <a:ln w="9525" cap="flat" cmpd="sng" algn="ctr">
        <a:solidFill>
          <a:srgbClr val="595959">
            <a:lumMod val="65000"/>
            <a:lumOff val="35000"/>
          </a:srgbClr>
        </a:solidFill>
        <a:round/>
      </a:ln>
    </cs:spPr>
  </cs:upBar>
  <cs:valueAxis>
    <cs:lnRef idx="0"/>
    <cs:fillRef idx="0"/>
    <cs:effectRef idx="0"/>
    <cs:fontRef idx="minor">
      <a:srgbClr val="595959">
        <a:lumMod val="65000"/>
        <a:lumOff val="35000"/>
      </a:srgbClr>
    </cs:fontRef>
    <cs:defRPr sz="900" kern="1200"/>
  </cs:valueAxis>
  <cs:wall>
    <cs:lnRef idx="0"/>
    <cs:fillRef idx="0"/>
    <cs:effectRef idx="0"/>
    <cs:fontRef idx="minor">
      <a:srgbClr val="000000"/>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word/theme/themeOverride1.xml><?xml version="1.0" encoding="utf-8"?>
<a:themeOverride xmlns:a="http://schemas.openxmlformats.org/drawingml/2006/main">
  <a:clrScheme name="基本">
    <a:dk1>
      <a:srgbClr val="000000"/>
    </a:dk1>
    <a:lt1>
      <a:srgbClr val="FFFFFF"/>
    </a:lt1>
    <a:dk2>
      <a:srgbClr val="D1282E"/>
    </a:dk2>
    <a:lt2>
      <a:srgbClr val="C8C8B1"/>
    </a:lt2>
    <a:accent1>
      <a:srgbClr val="7A7A7A"/>
    </a:accent1>
    <a:accent2>
      <a:srgbClr val="F5C201"/>
    </a:accent2>
    <a:accent3>
      <a:srgbClr val="526DB0"/>
    </a:accent3>
    <a:accent4>
      <a:srgbClr val="989AAC"/>
    </a:accent4>
    <a:accent5>
      <a:srgbClr val="DC5924"/>
    </a:accent5>
    <a:accent6>
      <a:srgbClr val="B4B392"/>
    </a:accent6>
    <a:hlink>
      <a:srgbClr val="CC9900"/>
    </a:hlink>
    <a:folHlink>
      <a:srgbClr val="969696"/>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Company>四川省财政厅</Company>
  <Pages>38</Pages>
  <Words>13433</Words>
  <Characters>14107</Characters>
  <Lines>61</Lines>
  <Paragraphs>17</Paragraphs>
  <TotalTime>20</TotalTime>
  <ScaleCrop>false</ScaleCrop>
  <LinksUpToDate>false</LinksUpToDate>
  <CharactersWithSpaces>14199</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馨</cp:lastModifiedBy>
  <cp:lastPrinted>2022-09-23T08:38:00Z</cp:lastPrinted>
  <dcterms:modified xsi:type="dcterms:W3CDTF">2022-09-26T07:57:10Z</dcterms:modified>
  <dc:title>四川省***</dc:title>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FAA789BEAF6B49B0A5F6DF72F85E7297</vt:lpwstr>
  </property>
</Properties>
</file>