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96597"/>
      <w:bookmarkStart w:id="2" w:name="_Toc15377193"/>
      <w:bookmarkStart w:id="3" w:name="_Toc1539647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96598"/>
      <w:bookmarkStart w:id="8" w:name="_Toc15396476"/>
      <w:bookmarkStart w:id="9" w:name="_Toc15377194"/>
      <w:bookmarkStart w:id="10" w:name="_Toc15306268"/>
      <w:bookmarkStart w:id="11" w:name="_Toc15378442"/>
      <w:r>
        <w:rPr>
          <w:rFonts w:hint="eastAsia" w:ascii="方正小标宋简体" w:hAnsi="方正小标宋简体" w:eastAsia="方正小标宋简体" w:cs="方正小标宋简体"/>
          <w:color w:val="auto"/>
          <w:sz w:val="72"/>
          <w:szCs w:val="72"/>
          <w:highlight w:val="none"/>
          <w:lang w:eastAsia="zh-CN"/>
        </w:rPr>
        <w:t>广元市朝天区统计局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2"/>
        <w:adjustRightInd w:val="0"/>
        <w:snapToGrid w:val="0"/>
        <w:spacing w:before="0" w:line="440" w:lineRule="exact"/>
        <w:jc w:val="distribute"/>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color w:val="auto"/>
          <w:sz w:val="24"/>
          <w:highlight w:val="none"/>
          <w:lang w:val="en-US" w:eastAsia="zh-CN"/>
        </w:rPr>
        <w:t>..................................................4</w:t>
      </w:r>
    </w:p>
    <w:p>
      <w:pPr>
        <w:pStyle w:val="14"/>
        <w:adjustRightInd w:val="0"/>
        <w:snapToGrid w:val="0"/>
        <w:spacing w:line="440" w:lineRule="exact"/>
        <w:jc w:val="distribute"/>
        <w:rPr>
          <w:rFonts w:hint="default" w:ascii="仿宋" w:hAnsi="仿宋" w:eastAsia="宋体"/>
          <w:color w:val="auto"/>
          <w:sz w:val="24"/>
          <w:highlight w:val="none"/>
          <w:lang w:val="en-US" w:eastAsia="zh-CN"/>
        </w:rPr>
      </w:pPr>
      <w:r>
        <w:rPr>
          <w:rFonts w:hint="eastAsia"/>
          <w:color w:val="auto"/>
          <w:sz w:val="24"/>
          <w:highlight w:val="none"/>
        </w:rPr>
        <w:t>一、基本职能及主要工作</w:t>
      </w:r>
      <w:r>
        <w:rPr>
          <w:rFonts w:hint="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4</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二、机构设置</w:t>
      </w:r>
      <w:r>
        <w:rPr>
          <w:rFonts w:hint="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7</w:t>
      </w:r>
    </w:p>
    <w:p>
      <w:pPr>
        <w:pStyle w:val="12"/>
        <w:adjustRightInd w:val="0"/>
        <w:snapToGrid w:val="0"/>
        <w:spacing w:before="0" w:line="440" w:lineRule="exact"/>
        <w:jc w:val="distribute"/>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rPr>
          <w:rFonts w:hint="eastAsia"/>
          <w:color w:val="auto"/>
          <w:sz w:val="24"/>
          <w:highlight w:val="none"/>
          <w:lang w:val="en-US" w:eastAsia="zh-CN"/>
        </w:rPr>
        <w:t>.........................8</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8</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8</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9</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9</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10</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12</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13</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14</w:t>
      </w:r>
    </w:p>
    <w:p>
      <w:pPr>
        <w:pStyle w:val="14"/>
        <w:adjustRightInd w:val="0"/>
        <w:snapToGrid w:val="0"/>
        <w:spacing w:line="440" w:lineRule="exact"/>
        <w:ind w:leftChars="0"/>
        <w:jc w:val="distribute"/>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lang w:val="en-US" w:eastAsia="zh-CN"/>
        </w:rPr>
        <w:t>............................14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distribute"/>
        <w:textAlignment w:val="auto"/>
        <w:rPr>
          <w:rFonts w:hint="default" w:asciiTheme="minorEastAsia" w:hAnsiTheme="minorEastAsia" w:eastAsiaTheme="minorEastAsia" w:cstheme="minorEastAsia"/>
          <w:color w:val="auto"/>
          <w:sz w:val="24"/>
          <w:highlight w:val="none"/>
          <w:lang w:val="en-US" w:eastAsia="zh-CN"/>
        </w:rPr>
      </w:pPr>
      <w:r>
        <w:rPr>
          <w:rStyle w:val="19"/>
          <w:rFonts w:hint="eastAsia" w:asciiTheme="minorEastAsia" w:hAnsiTheme="minorEastAsia" w:eastAsiaTheme="minorEastAsia" w:cstheme="minorEastAsia"/>
          <w:color w:val="auto"/>
          <w:sz w:val="24"/>
          <w:highlight w:val="none"/>
          <w:u w:val="none"/>
          <w:lang w:eastAsia="zh-CN"/>
        </w:rPr>
        <w:t>十</w:t>
      </w:r>
      <w:r>
        <w:rPr>
          <w:rStyle w:val="19"/>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预算绩效管理情况............................................14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distribute"/>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lang w:val="en-US" w:eastAsia="zh-CN"/>
        </w:rPr>
        <w:t>....................................15</w:t>
      </w:r>
    </w:p>
    <w:p>
      <w:pPr>
        <w:pStyle w:val="12"/>
        <w:adjustRightInd w:val="0"/>
        <w:snapToGrid w:val="0"/>
        <w:spacing w:before="0" w:line="440" w:lineRule="exact"/>
        <w:jc w:val="distribute"/>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........................................16</w:t>
      </w:r>
    </w:p>
    <w:p>
      <w:pPr>
        <w:pStyle w:val="12"/>
        <w:adjustRightInd w:val="0"/>
        <w:snapToGrid w:val="0"/>
        <w:spacing w:before="0" w:line="440" w:lineRule="exact"/>
        <w:jc w:val="distribute"/>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..............................................18</w:t>
      </w:r>
    </w:p>
    <w:p>
      <w:pPr>
        <w:pStyle w:val="12"/>
        <w:adjustRightInd w:val="0"/>
        <w:snapToGrid w:val="0"/>
        <w:spacing w:before="0" w:line="440" w:lineRule="exact"/>
        <w:jc w:val="distribute"/>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...............................................51</w:t>
      </w:r>
    </w:p>
    <w:p>
      <w:pPr>
        <w:pStyle w:val="14"/>
        <w:adjustRightInd w:val="0"/>
        <w:snapToGrid w:val="0"/>
        <w:spacing w:line="440" w:lineRule="exact"/>
        <w:jc w:val="distribute"/>
        <w:rPr>
          <w:rFonts w:hint="default" w:ascii="仿宋" w:hAnsi="仿宋" w:eastAsia="宋体" w:cstheme="minorBidi"/>
          <w:color w:val="auto"/>
          <w:sz w:val="24"/>
          <w:highlight w:val="none"/>
          <w:lang w:val="en-US" w:eastAsia="zh-CN"/>
        </w:rPr>
      </w:pPr>
      <w:r>
        <w:rPr>
          <w:rFonts w:hint="eastAsia" w:ascii="仿宋" w:hAnsi="仿宋" w:eastAsia="仿宋"/>
          <w:color w:val="auto"/>
          <w:sz w:val="24"/>
          <w:highlight w:val="none"/>
        </w:rPr>
        <w:t>一、</w:t>
      </w:r>
      <w:r>
        <w:rPr>
          <w:rFonts w:hint="eastAsia"/>
          <w:color w:val="auto"/>
          <w:sz w:val="24"/>
          <w:highlight w:val="none"/>
        </w:rPr>
        <w:t>收入支出决算总表</w:t>
      </w:r>
      <w:r>
        <w:rPr>
          <w:rFonts w:hint="eastAsia" w:asciiTheme="minorEastAsia" w:hAnsiTheme="minorEastAsia" w:eastAsiaTheme="minorEastAsia" w:cstheme="minorEastAsia"/>
          <w:color w:val="auto"/>
          <w:sz w:val="24"/>
          <w:highlight w:val="none"/>
          <w:lang w:val="en-US" w:eastAsia="zh-CN"/>
        </w:rPr>
        <w:t>............................................</w:t>
      </w:r>
      <w:r>
        <w:rPr>
          <w:rFonts w:hint="eastAsia"/>
          <w:color w:val="auto"/>
          <w:sz w:val="24"/>
          <w:highlight w:val="none"/>
          <w:lang w:val="en-US" w:eastAsia="zh-CN"/>
        </w:rPr>
        <w:t>51</w:t>
      </w:r>
    </w:p>
    <w:p>
      <w:pPr>
        <w:pStyle w:val="14"/>
        <w:adjustRightInd w:val="0"/>
        <w:snapToGrid w:val="0"/>
        <w:spacing w:line="440" w:lineRule="exact"/>
        <w:jc w:val="distribute"/>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二、收入决算表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三、支出决算表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distribute"/>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r>
        <w:rPr>
          <w:rFonts w:hint="eastAsia" w:asciiTheme="minorEastAsia" w:hAnsiTheme="minorEastAsia" w:eastAsiaTheme="minorEastAsia" w:cstheme="minorEastAsia"/>
          <w:color w:val="auto"/>
          <w:sz w:val="24"/>
          <w:highlight w:val="none"/>
          <w:lang w:val="en-US" w:eastAsia="zh-CN"/>
        </w:rPr>
        <w:t>...................51</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十四、国有资本经营预算财政拨款支出决算表.......................51</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4"/>
        <w:pageBreakBefore w:val="0"/>
        <w:kinsoku/>
        <w:wordWrap/>
        <w:overflowPunct/>
        <w:topLinePunct w:val="0"/>
        <w:bidi w:val="0"/>
        <w:spacing w:before="0" w:after="0" w:line="576" w:lineRule="exact"/>
        <w:ind w:left="0" w:right="0"/>
        <w:jc w:val="center"/>
        <w:textAlignment w:val="auto"/>
        <w:rPr>
          <w:rStyle w:val="28"/>
          <w:rFonts w:ascii="黑体" w:hAnsi="黑体" w:eastAsia="黑体"/>
          <w:b w:val="0"/>
          <w:bCs/>
          <w:color w:val="auto"/>
          <w:highlight w:val="none"/>
        </w:rPr>
      </w:pPr>
      <w:r>
        <w:rPr>
          <w:rFonts w:hint="eastAsia" w:ascii="黑体" w:hAnsi="黑体" w:eastAsia="黑体"/>
          <w:b w:val="0"/>
          <w:bCs/>
          <w:color w:val="auto"/>
          <w:highlight w:val="none"/>
        </w:rPr>
        <w:t xml:space="preserve">第一部分 </w:t>
      </w:r>
      <w:r>
        <w:rPr>
          <w:rStyle w:val="28"/>
          <w:rFonts w:hint="eastAsia" w:ascii="黑体" w:hAnsi="黑体" w:eastAsia="黑体"/>
          <w:b w:val="0"/>
          <w:bCs/>
          <w:color w:val="auto"/>
          <w:highlight w:val="none"/>
        </w:rPr>
        <w:t>部门概况</w:t>
      </w:r>
      <w:bookmarkEnd w:id="12"/>
      <w:bookmarkEnd w:id="13"/>
    </w:p>
    <w:p>
      <w:pPr>
        <w:pageBreakBefore w:val="0"/>
        <w:widowControl/>
        <w:kinsoku/>
        <w:wordWrap/>
        <w:overflowPunct/>
        <w:topLinePunct w:val="0"/>
        <w:bidi w:val="0"/>
        <w:spacing w:line="576" w:lineRule="exact"/>
        <w:ind w:left="0" w:right="0"/>
        <w:jc w:val="left"/>
        <w:textAlignment w:val="auto"/>
        <w:rPr>
          <w:rFonts w:ascii="黑体" w:eastAsia="黑体"/>
          <w:color w:val="auto"/>
          <w:sz w:val="32"/>
          <w:szCs w:val="32"/>
          <w:highlight w:val="none"/>
        </w:rPr>
      </w:pPr>
    </w:p>
    <w:p>
      <w:pPr>
        <w:pStyle w:val="5"/>
        <w:pageBreakBefore w:val="0"/>
        <w:kinsoku/>
        <w:wordWrap/>
        <w:overflowPunct/>
        <w:topLinePunct w:val="0"/>
        <w:bidi w:val="0"/>
        <w:spacing w:before="0" w:after="0" w:line="576" w:lineRule="exact"/>
        <w:ind w:right="0" w:firstLine="640" w:firstLineChars="200"/>
        <w:textAlignment w:val="auto"/>
        <w:rPr>
          <w:rStyle w:val="29"/>
          <w:rFonts w:ascii="仿宋" w:hAnsi="仿宋" w:eastAsia="仿宋"/>
          <w:b w:val="0"/>
          <w:bCs/>
          <w:color w:val="auto"/>
          <w:highlight w:val="none"/>
        </w:rPr>
      </w:pPr>
      <w:bookmarkStart w:id="14" w:name="_Toc15377197"/>
      <w:bookmarkStart w:id="15" w:name="_Toc15396600"/>
      <w:r>
        <w:rPr>
          <w:rFonts w:hint="eastAsia" w:ascii="黑体" w:hAnsi="黑体" w:eastAsia="黑体"/>
          <w:b w:val="0"/>
          <w:bCs/>
          <w:color w:val="auto"/>
          <w:highlight w:val="none"/>
        </w:rPr>
        <w:t>一、基</w:t>
      </w:r>
      <w:r>
        <w:rPr>
          <w:rStyle w:val="29"/>
          <w:rFonts w:hint="eastAsia" w:ascii="黑体" w:hAnsi="黑体" w:eastAsia="黑体"/>
          <w:b w:val="0"/>
          <w:bCs/>
          <w:color w:val="auto"/>
          <w:highlight w:val="none"/>
        </w:rPr>
        <w:t>本职能及主要工作</w:t>
      </w:r>
      <w:bookmarkEnd w:id="14"/>
      <w:bookmarkEnd w:id="15"/>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right="0" w:firstLine="640" w:firstLineChars="200"/>
        <w:textAlignment w:val="auto"/>
        <w:rPr>
          <w:rFonts w:hint="eastAsia" w:ascii="黑体" w:hAnsi="黑体" w:eastAsia="黑体" w:cs="黑体"/>
          <w:bCs/>
          <w:color w:val="auto"/>
          <w:sz w:val="32"/>
          <w:szCs w:val="32"/>
          <w:highlight w:val="none"/>
        </w:rPr>
      </w:pPr>
      <w:bookmarkStart w:id="16" w:name="_Toc15377198"/>
      <w:bookmarkStart w:id="17" w:name="_Toc15378445"/>
      <w:r>
        <w:rPr>
          <w:rFonts w:hint="eastAsia" w:ascii="黑体" w:hAnsi="黑体" w:eastAsia="黑体" w:cs="黑体"/>
          <w:bCs/>
          <w:color w:val="auto"/>
          <w:sz w:val="32"/>
          <w:szCs w:val="32"/>
          <w:highlight w:val="none"/>
        </w:rPr>
        <w:t>（一）主要职能</w:t>
      </w:r>
      <w:bookmarkEnd w:id="16"/>
      <w:bookmarkEnd w:id="17"/>
      <w:bookmarkStart w:id="18" w:name="_Toc15377199"/>
      <w:bookmarkStart w:id="19" w:name="_Toc15378446"/>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贯彻执行国家、省、市统计工作的方针、政策和法律、法规以及统计制度、统计标准，起草地方统计规章草案，制订全区统计规划以及地方统计制度、统计标准，审批乡镇、区级各部门的地方统计调查项目以及涉外统计调查机构和项目，组织领导和协调全区统计工作，确保统计数据真实、准确、及时。</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2.建立健全全区国民经济核算体系，组织实施全区国民经济核算制度，核算全区地区生产总值，整理提供国民经济核算资料，开展分析研究，指导、监督乡镇国民经济核算工作。</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组织实施农林牧渔业、工业、建筑业、批发和零售业、住宿和餐饮业、房地产业等国民经济行业以及能源、投资、人口、收入、科技、社会发展基本情况、环境基本状况等领域的统计调查，建立全区经济社会发展监测评价制度及指标体系，对重点区域和重要领域实施监测评价，牵头综合整理和提供资源、房屋、旅游、教育、卫生、邮电、交通运输、社会保障、公用事业、对外贸易、对外经济等全区基本统计资料。</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4.组织实施人口、经济、农业等普查和重大国情国力专项调查，组织实施全区投入产出调查。</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5.建立健全全区统计数据质量审核、监控和评估制度，依法对乡镇、区级各部门和企事业单位重要统计数据进行审核、监控和评估，组织指导统计基层基础建设。</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6.对国民经济、社会发展、科技进步和资源环境等情况进行统计分析和预测，定期发布全区经济社会发展情况的统计信息，向区委、区政府及有关部门提供统计咨询建议，向社会公众提供统计信息服务。</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7.会同有关部门组织管理全区统计专业资格考试、职务评聘和从业资格认定工作，指导全区统计专业人才队伍建设，开展统计交流与合作。</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8.组织制订全区、区级部门统计数据库和网络的基本标准和运行规则，建立健全全区统计数据库系统和统计信息自动化系统，建立健全区级部门统计信息共享制度，指导地方统计信息化建设。</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9.承担区政府公布的有关审批和服务事项。</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hint="default"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bidi="ar-SA"/>
        </w:rPr>
        <w:t>10.承办区政府交办的其他事项。</w:t>
      </w:r>
    </w:p>
    <w:p>
      <w:pPr>
        <w:pStyle w:val="5"/>
        <w:pageBreakBefore w:val="0"/>
        <w:kinsoku/>
        <w:wordWrap/>
        <w:overflowPunct/>
        <w:topLinePunct w:val="0"/>
        <w:bidi w:val="0"/>
        <w:spacing w:before="0" w:after="0" w:line="576" w:lineRule="exact"/>
        <w:ind w:right="0" w:firstLine="640" w:firstLineChars="200"/>
        <w:textAlignment w:val="auto"/>
        <w:rPr>
          <w:rStyle w:val="29"/>
          <w:rFonts w:hint="eastAsia" w:ascii="黑体" w:hAnsi="黑体" w:eastAsia="黑体"/>
          <w:b w:val="0"/>
          <w:bCs w:val="0"/>
          <w:color w:val="auto"/>
          <w:highlight w:val="none"/>
          <w:lang w:val="en-US" w:eastAsia="zh-CN"/>
        </w:rPr>
      </w:pPr>
      <w:r>
        <w:rPr>
          <w:rStyle w:val="29"/>
          <w:rFonts w:hint="eastAsia" w:ascii="黑体" w:hAnsi="黑体" w:eastAsia="黑体"/>
          <w:b w:val="0"/>
          <w:bCs w:val="0"/>
          <w:color w:val="auto"/>
          <w:highlight w:val="none"/>
          <w:lang w:val="en-US" w:eastAsia="zh-CN"/>
        </w:rPr>
        <w:t>（二）2021年重点工作完成情况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lang w:eastAsia="zh-CN"/>
        </w:rPr>
        <w:t>严守数据质量底线，高标准完成统计业务工作</w:t>
      </w:r>
      <w:r>
        <w:rPr>
          <w:rFonts w:hint="eastAsia" w:ascii="Times New Roman" w:hAnsi="Times New Roman" w:eastAsia="楷体" w:cs="楷体"/>
          <w:sz w:val="32"/>
          <w:szCs w:val="32"/>
          <w:lang w:eastAsia="zh-CN"/>
        </w:rPr>
        <w:t>。</w:t>
      </w:r>
      <w:r>
        <w:rPr>
          <w:rFonts w:hint="eastAsia" w:ascii="Times New Roman" w:hAnsi="Times New Roman" w:eastAsia="仿宋_GB2312" w:cs="仿宋_GB2312"/>
          <w:b w:val="0"/>
          <w:bCs w:val="0"/>
          <w:color w:val="auto"/>
          <w:kern w:val="2"/>
          <w:sz w:val="32"/>
          <w:szCs w:val="32"/>
          <w:highlight w:val="none"/>
          <w:lang w:val="en-US" w:eastAsia="zh-CN" w:bidi="ar-SA"/>
        </w:rPr>
        <w:t>一是扎实做好日常业务。紧盯全区目标任务，加强经济指标动态监测，按时按质按量完成了40多个专业的月报、季报、年报任务以及“全面小康村”监测、乡镇综合实力评价和乡村两级农民人均可支配收入等区内创新调查任务，并积极主动指导相关单位抓好规上企业和固定资产投资项目入库申报工作。全年完成“四上”企业入库14家，超市下目标任务3家，入库固定资产投资项目119个，总投资60.75亿元。二是压实数据质量责任。严把统计数据采集、汇总、审核、评估、上报、对外公布等各环节“关口”，100余家（次）企业单位及项目顺利通过国家、省、市执法检查和查询，全年未发生重大数据质量事故。三是有序推进国情调查。按七人普工作时间节点要求，如期完成了数据比对复查、审核纠错、跨市跨省数据处理、普查设备回收和普查资料整理等工作，并将全区第七次全国人口普查主要数据情况通过区电视台、政府门户网站、天下朝天公众号等媒体平台对外公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楷体_GB2312" w:cs="楷体_GB2312"/>
          <w:sz w:val="32"/>
          <w:szCs w:val="32"/>
          <w:lang w:val="en-US" w:eastAsia="zh-CN"/>
        </w:rPr>
        <w:t>2.</w:t>
      </w:r>
      <w:r>
        <w:rPr>
          <w:rFonts w:hint="eastAsia" w:ascii="Times New Roman" w:hAnsi="Times New Roman" w:eastAsia="楷体_GB2312" w:cs="楷体_GB2312"/>
          <w:sz w:val="32"/>
          <w:szCs w:val="32"/>
          <w:lang w:eastAsia="zh-CN"/>
        </w:rPr>
        <w:t>加强经济分析研判，高水平发挥统计服务作用。</w:t>
      </w:r>
      <w:r>
        <w:rPr>
          <w:rFonts w:hint="eastAsia" w:ascii="Times New Roman" w:hAnsi="Times New Roman" w:eastAsia="仿宋_GB2312" w:cs="仿宋_GB2312"/>
          <w:b w:val="0"/>
          <w:bCs w:val="0"/>
          <w:color w:val="auto"/>
          <w:kern w:val="2"/>
          <w:sz w:val="32"/>
          <w:szCs w:val="32"/>
          <w:highlight w:val="none"/>
          <w:lang w:val="en-US" w:eastAsia="zh-CN" w:bidi="ar-SA"/>
        </w:rPr>
        <w:t>一是及时对外公布数据。以统计月报、季报的形式对外公布主要经济指标运行情况，印发《统计快报》11期，《统计季报》3期，及时完成了朝天区《2021年国民经济和社会发展统计公报》和《2021年朝天统计年鉴》的编排和印制。二是认真做好统计分析。动态监测，客观分析经济发展趋势，不断健全经济形势预警机制。全年组织专业人员撰写统计分析20余篇，印制《统计内参》12期，积极为区委、区政府宏观决策提供参考。三是充分满足社会需求。局班子成员带领各专业人员“上门”提供统计业务指导，全年共走访企业40余家、项目30余个、城乡住户100余户。在网站、报刊等平台发布统计数据信息及分析文章50余条（篇），向社会各界提供数据查询咨询服务600余人次。</w:t>
      </w:r>
    </w:p>
    <w:p>
      <w:pPr>
        <w:pStyle w:val="7"/>
        <w:pageBreakBefore w:val="0"/>
        <w:kinsoku/>
        <w:wordWrap/>
        <w:overflowPunct/>
        <w:topLinePunct w:val="0"/>
        <w:bidi w:val="0"/>
        <w:adjustRightInd w:val="0"/>
        <w:snapToGrid w:val="0"/>
        <w:spacing w:beforeLines="0" w:line="576" w:lineRule="exact"/>
        <w:ind w:left="0" w:right="0" w:firstLine="672" w:firstLineChars="210"/>
        <w:textAlignment w:val="auto"/>
        <w:outlineLvl w:val="2"/>
        <w:rPr>
          <w:rFonts w:hint="eastAsia" w:ascii="仿宋" w:hAnsi="仿宋" w:eastAsia="仿宋"/>
          <w:bCs/>
          <w:color w:val="auto"/>
          <w:sz w:val="32"/>
          <w:szCs w:val="32"/>
          <w:highlight w:val="none"/>
        </w:rPr>
      </w:pPr>
      <w:r>
        <w:rPr>
          <w:rFonts w:hint="eastAsia" w:ascii="Times New Roman" w:hAnsi="Times New Roman" w:eastAsia="楷体_GB2312" w:cs="楷体_GB2312"/>
          <w:sz w:val="32"/>
          <w:szCs w:val="32"/>
          <w:lang w:val="en-US" w:eastAsia="zh-CN"/>
        </w:rPr>
        <w:t>3.夯实</w:t>
      </w:r>
      <w:r>
        <w:rPr>
          <w:rFonts w:hint="eastAsia" w:ascii="Times New Roman" w:hAnsi="Times New Roman" w:eastAsia="楷体_GB2312" w:cs="楷体_GB2312"/>
          <w:sz w:val="32"/>
          <w:szCs w:val="32"/>
          <w:lang w:eastAsia="zh-CN"/>
        </w:rPr>
        <w:t>统计基层基础，高质量开展统计体制改革。</w:t>
      </w:r>
      <w:r>
        <w:rPr>
          <w:rFonts w:hint="eastAsia" w:ascii="Times New Roman" w:hAnsi="Times New Roman" w:eastAsia="仿宋_GB2312" w:cs="仿宋_GB2312"/>
          <w:b w:val="0"/>
          <w:bCs w:val="0"/>
          <w:color w:val="auto"/>
          <w:kern w:val="2"/>
          <w:sz w:val="32"/>
          <w:szCs w:val="32"/>
          <w:highlight w:val="none"/>
          <w:lang w:val="en-US" w:eastAsia="zh-CN" w:bidi="ar-SA"/>
        </w:rPr>
        <w:t>一是积极开展规范化建设。深入开展“统计基层基础规范化建设年”活动，全区12个乡镇全面达到了有领导、有人员、有场所、有设备、有制度、有经费的“六有”规范化建设目标，同时部门统计的数据采集、质量控制、数据发布等环节作业得到进一步规范完善。二是不断加强统计队伍建设。通过专业业务培训会、企业现场核查指导等方式，全年共组织各类业务培训会议30余次，现场核查指导20余次，发放各类业务学习资料1000余份，进一步提升基层统计干部综合业务能力。三是严格兑现激励政策。认真执行《朝天区“四上”企业培育奖励办法》相关规定，对新进规企业、在库企业上台阶等情况，凡统计基础资料规范、台账健全并按要求及时上报统计资料的，经行业主管部门核实认定，</w:t>
      </w:r>
      <w:r>
        <w:rPr>
          <w:rFonts w:hint="eastAsia" w:ascii="Times New Roman" w:cs="仿宋_GB2312"/>
          <w:b w:val="0"/>
          <w:bCs w:val="0"/>
          <w:color w:val="auto"/>
          <w:kern w:val="2"/>
          <w:sz w:val="32"/>
          <w:szCs w:val="32"/>
          <w:highlight w:val="none"/>
          <w:lang w:val="en-US" w:eastAsia="zh-CN" w:bidi="ar-SA"/>
        </w:rPr>
        <w:t>由区人民政府给予规定金额</w:t>
      </w:r>
      <w:r>
        <w:rPr>
          <w:rFonts w:hint="eastAsia" w:ascii="Times New Roman" w:hAnsi="Times New Roman" w:eastAsia="仿宋_GB2312" w:cs="仿宋_GB2312"/>
          <w:b w:val="0"/>
          <w:bCs w:val="0"/>
          <w:color w:val="auto"/>
          <w:kern w:val="2"/>
          <w:sz w:val="32"/>
          <w:szCs w:val="32"/>
          <w:highlight w:val="none"/>
          <w:lang w:val="en-US" w:eastAsia="zh-CN" w:bidi="ar-SA"/>
        </w:rPr>
        <w:t>的</w:t>
      </w:r>
      <w:r>
        <w:rPr>
          <w:rFonts w:hint="eastAsia" w:ascii="Times New Roman" w:cs="仿宋_GB2312"/>
          <w:b w:val="0"/>
          <w:bCs w:val="0"/>
          <w:color w:val="auto"/>
          <w:kern w:val="2"/>
          <w:sz w:val="32"/>
          <w:szCs w:val="32"/>
          <w:highlight w:val="none"/>
          <w:lang w:val="en-US" w:eastAsia="zh-CN" w:bidi="ar-SA"/>
        </w:rPr>
        <w:t>奖补</w:t>
      </w:r>
      <w:r>
        <w:rPr>
          <w:rFonts w:hint="eastAsia" w:ascii="Times New Roman" w:hAnsi="Times New Roman" w:eastAsia="仿宋_GB2312" w:cs="仿宋_GB2312"/>
          <w:b w:val="0"/>
          <w:bCs w:val="0"/>
          <w:color w:val="auto"/>
          <w:kern w:val="2"/>
          <w:sz w:val="32"/>
          <w:szCs w:val="32"/>
          <w:highlight w:val="none"/>
          <w:lang w:val="en-US" w:eastAsia="zh-CN" w:bidi="ar-SA"/>
        </w:rPr>
        <w:t>。</w:t>
      </w:r>
    </w:p>
    <w:p>
      <w:pPr>
        <w:pStyle w:val="5"/>
        <w:pageBreakBefore w:val="0"/>
        <w:kinsoku/>
        <w:wordWrap/>
        <w:overflowPunct/>
        <w:topLinePunct w:val="0"/>
        <w:bidi w:val="0"/>
        <w:spacing w:before="0" w:after="0" w:line="576" w:lineRule="exact"/>
        <w:ind w:left="0" w:right="0" w:firstLine="640" w:firstLineChars="200"/>
        <w:textAlignment w:val="auto"/>
        <w:rPr>
          <w:rStyle w:val="29"/>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p>
    <w:p>
      <w:pPr>
        <w:pageBreakBefore w:val="0"/>
        <w:kinsoku/>
        <w:wordWrap/>
        <w:overflowPunct/>
        <w:topLinePunct w:val="0"/>
        <w:bidi w:val="0"/>
        <w:spacing w:line="576" w:lineRule="exact"/>
        <w:ind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广元市朝天区统计局下属二级单位0个，其中行政单位0个，参照公务员法管理的事业单位0个，其他事业单位0个。</w:t>
      </w:r>
    </w:p>
    <w:p>
      <w:pPr>
        <w:pageBreakBefore w:val="0"/>
        <w:widowControl/>
        <w:kinsoku/>
        <w:wordWrap/>
        <w:overflowPunct/>
        <w:topLinePunct w:val="0"/>
        <w:bidi w:val="0"/>
        <w:spacing w:line="576" w:lineRule="exact"/>
        <w:ind w:left="0" w:right="0"/>
        <w:jc w:val="left"/>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10"/>
        <w:pageBreakBefore w:val="0"/>
        <w:kinsoku/>
        <w:wordWrap/>
        <w:overflowPunct/>
        <w:topLinePunct w:val="0"/>
        <w:bidi w:val="0"/>
        <w:spacing w:line="576" w:lineRule="exact"/>
        <w:ind w:left="0" w:right="0"/>
        <w:textAlignment w:val="auto"/>
        <w:rPr>
          <w:rFonts w:ascii="仿宋" w:hAnsi="仿宋" w:eastAsia="仿宋"/>
          <w:color w:val="auto"/>
          <w:kern w:val="0"/>
          <w:sz w:val="32"/>
          <w:szCs w:val="32"/>
          <w:highlight w:val="none"/>
        </w:rPr>
      </w:pPr>
    </w:p>
    <w:p>
      <w:pPr>
        <w:pStyle w:val="4"/>
        <w:pageBreakBefore w:val="0"/>
        <w:kinsoku/>
        <w:wordWrap/>
        <w:overflowPunct/>
        <w:topLinePunct w:val="0"/>
        <w:bidi w:val="0"/>
        <w:spacing w:before="0" w:after="0" w:line="576" w:lineRule="exact"/>
        <w:ind w:left="0" w:right="0"/>
        <w:jc w:val="center"/>
        <w:textAlignment w:val="auto"/>
        <w:rPr>
          <w:rStyle w:val="28"/>
          <w:rFonts w:hint="eastAsia" w:ascii="黑体" w:hAnsi="黑体" w:eastAsia="黑体"/>
          <w:b w:val="0"/>
          <w:bCs/>
          <w:color w:val="auto"/>
          <w:highlight w:val="none"/>
        </w:rPr>
      </w:pPr>
      <w:bookmarkStart w:id="22" w:name="_Toc15377204"/>
      <w:bookmarkStart w:id="23" w:name="_Toc15396602"/>
      <w:r>
        <w:rPr>
          <w:rStyle w:val="28"/>
          <w:rFonts w:hint="eastAsia" w:ascii="黑体" w:hAnsi="黑体" w:eastAsia="黑体"/>
          <w:b w:val="0"/>
          <w:bCs/>
          <w:color w:val="auto"/>
          <w:highlight w:val="none"/>
        </w:rPr>
        <w:t xml:space="preserve">第二部分 </w:t>
      </w:r>
      <w:r>
        <w:rPr>
          <w:rStyle w:val="28"/>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rPr>
        <w:t>部门决算情况说明</w:t>
      </w:r>
      <w:bookmarkEnd w:id="22"/>
      <w:bookmarkEnd w:id="23"/>
    </w:p>
    <w:p>
      <w:pPr>
        <w:pStyle w:val="27"/>
        <w:pageBreakBefore w:val="0"/>
        <w:widowControl w:val="0"/>
        <w:numPr>
          <w:ilvl w:val="0"/>
          <w:numId w:val="0"/>
        </w:numPr>
        <w:kinsoku/>
        <w:wordWrap/>
        <w:overflowPunct/>
        <w:topLinePunct w:val="0"/>
        <w:autoSpaceDE/>
        <w:autoSpaceDN/>
        <w:bidi w:val="0"/>
        <w:adjustRightInd/>
        <w:snapToGrid/>
        <w:spacing w:line="560" w:lineRule="exact"/>
        <w:ind w:left="-720" w:leftChars="0" w:right="0" w:rightChars="0" w:firstLine="1280" w:firstLineChars="400"/>
        <w:textAlignment w:val="auto"/>
        <w:outlineLvl w:val="1"/>
        <w:rPr>
          <w:rFonts w:hint="eastAsia" w:ascii="黑体" w:hAnsi="黑体" w:eastAsia="黑体"/>
          <w:color w:val="auto"/>
          <w:sz w:val="32"/>
          <w:szCs w:val="32"/>
          <w:highlight w:val="none"/>
          <w:lang w:eastAsia="zh-CN"/>
        </w:rPr>
      </w:pPr>
      <w:bookmarkStart w:id="24" w:name="_Toc15396603"/>
      <w:bookmarkStart w:id="25" w:name="_Toc15377205"/>
    </w:p>
    <w:p>
      <w:pPr>
        <w:pStyle w:val="27"/>
        <w:pageBreakBefore w:val="0"/>
        <w:widowControl w:val="0"/>
        <w:numPr>
          <w:ilvl w:val="0"/>
          <w:numId w:val="0"/>
        </w:numPr>
        <w:kinsoku/>
        <w:wordWrap/>
        <w:overflowPunct/>
        <w:topLinePunct w:val="0"/>
        <w:autoSpaceDE/>
        <w:autoSpaceDN/>
        <w:bidi w:val="0"/>
        <w:adjustRightInd/>
        <w:snapToGrid/>
        <w:spacing w:line="560" w:lineRule="exact"/>
        <w:ind w:left="-720" w:leftChars="0" w:right="0" w:rightChars="0" w:firstLine="1280" w:firstLineChars="400"/>
        <w:textAlignment w:val="auto"/>
        <w:outlineLvl w:val="1"/>
        <w:rPr>
          <w:rStyle w:val="29"/>
          <w:rFonts w:ascii="黑体" w:hAnsi="黑体" w:eastAsia="黑体"/>
          <w:b w:val="0"/>
          <w:color w:val="auto"/>
          <w:highlight w:val="none"/>
        </w:rPr>
      </w:pP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4"/>
      <w:bookmarkEnd w:id="25"/>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2021年度收、支总计542.85万元。与2020年相比，收、支总计各减少343.31万元，下降38.74%。主要变动原因是脱贫攻坚普查工作结束、第七次全国人口普查经费减少。</w:t>
      </w:r>
    </w:p>
    <w:p>
      <w:pPr>
        <w:jc w:val="center"/>
        <w:rPr>
          <w:rFonts w:hint="eastAsia" w:ascii="仿宋" w:hAnsi="仿宋" w:eastAsia="仿宋"/>
          <w:color w:val="auto"/>
          <w:sz w:val="32"/>
          <w:szCs w:val="32"/>
          <w:highlight w:val="none"/>
        </w:rPr>
      </w:pPr>
      <w:r>
        <w:drawing>
          <wp:inline distT="0" distB="0" distL="114300" distR="114300">
            <wp:extent cx="4353560" cy="2400300"/>
            <wp:effectExtent l="4445" t="4445" r="2349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ageBreakBefore w:val="0"/>
        <w:kinsoku/>
        <w:wordWrap/>
        <w:overflowPunct/>
        <w:topLinePunct w:val="0"/>
        <w:bidi w:val="0"/>
        <w:spacing w:line="576" w:lineRule="exact"/>
        <w:ind w:left="0" w:right="0"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7"/>
        <w:pageBreakBefore w:val="0"/>
        <w:numPr>
          <w:ilvl w:val="0"/>
          <w:numId w:val="0"/>
        </w:numPr>
        <w:kinsoku/>
        <w:wordWrap/>
        <w:overflowPunct/>
        <w:topLinePunct w:val="0"/>
        <w:bidi w:val="0"/>
        <w:spacing w:line="576" w:lineRule="exact"/>
        <w:ind w:left="-720" w:leftChars="0" w:right="0" w:rightChars="0" w:firstLine="1280" w:firstLineChars="400"/>
        <w:textAlignment w:val="auto"/>
        <w:outlineLvl w:val="1"/>
        <w:rPr>
          <w:rStyle w:val="29"/>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6"/>
      <w:bookmarkEnd w:id="27"/>
    </w:p>
    <w:p>
      <w:pPr>
        <w:pageBreakBefore w:val="0"/>
        <w:kinsoku/>
        <w:wordWrap/>
        <w:overflowPunct/>
        <w:topLinePunct w:val="0"/>
        <w:bidi w:val="0"/>
        <w:spacing w:line="576" w:lineRule="exact"/>
        <w:ind w:left="0" w:right="0" w:firstLine="640" w:firstLineChars="200"/>
        <w:textAlignment w:val="auto"/>
        <w:outlineLvl w:val="1"/>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2021年本年收入合计327.46万元，其中：一般公共预算财政拨款收入327.46万元，占100%。</w:t>
      </w:r>
    </w:p>
    <w:p>
      <w:pPr>
        <w:pageBreakBefore w:val="0"/>
        <w:kinsoku/>
        <w:wordWrap/>
        <w:overflowPunct/>
        <w:topLinePunct w:val="0"/>
        <w:bidi w:val="0"/>
        <w:spacing w:line="576" w:lineRule="exact"/>
        <w:ind w:left="0" w:right="0" w:firstLine="420" w:firstLineChars="200"/>
        <w:textAlignment w:val="auto"/>
        <w:outlineLvl w:val="1"/>
        <w:rPr>
          <w:rFonts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614045</wp:posOffset>
            </wp:positionH>
            <wp:positionV relativeFrom="paragraph">
              <wp:posOffset>53340</wp:posOffset>
            </wp:positionV>
            <wp:extent cx="4114800" cy="2219325"/>
            <wp:effectExtent l="4445" t="4445" r="14605" b="508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
      <w:pPr>
        <w:pStyle w:val="2"/>
      </w:pPr>
    </w:p>
    <w:p>
      <w:pPr>
        <w:pageBreakBefore w:val="0"/>
        <w:kinsoku/>
        <w:wordWrap/>
        <w:overflowPunct/>
        <w:topLinePunct w:val="0"/>
        <w:bidi w:val="0"/>
        <w:spacing w:line="576" w:lineRule="exact"/>
        <w:ind w:right="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7"/>
        <w:pageBreakBefore w:val="0"/>
        <w:numPr>
          <w:ilvl w:val="0"/>
          <w:numId w:val="0"/>
        </w:numPr>
        <w:kinsoku/>
        <w:wordWrap/>
        <w:overflowPunct/>
        <w:topLinePunct w:val="0"/>
        <w:bidi w:val="0"/>
        <w:spacing w:line="576" w:lineRule="exact"/>
        <w:ind w:left="-720" w:leftChars="0" w:right="0" w:rightChars="0" w:firstLine="1280" w:firstLineChars="400"/>
        <w:textAlignment w:val="auto"/>
        <w:outlineLvl w:val="1"/>
        <w:rPr>
          <w:rStyle w:val="29"/>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8"/>
      <w:bookmarkEnd w:id="29"/>
    </w:p>
    <w:p>
      <w:pPr>
        <w:pageBreakBefore w:val="0"/>
        <w:kinsoku/>
        <w:wordWrap/>
        <w:overflowPunct/>
        <w:topLinePunct w:val="0"/>
        <w:bidi w:val="0"/>
        <w:spacing w:line="576" w:lineRule="exact"/>
        <w:ind w:left="0" w:right="0" w:firstLine="640" w:firstLineChars="200"/>
        <w:textAlignment w:val="auto"/>
        <w:outlineLvl w:val="1"/>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2021年本年支出合计542.85万元，其中：基本支出322.29万元，占59.37%；项目支出220.56万元，占40.63%。</w:t>
      </w:r>
    </w:p>
    <w:p>
      <w:pPr>
        <w:jc w:val="center"/>
      </w:pPr>
      <w:r>
        <w:drawing>
          <wp:inline distT="0" distB="0" distL="114300" distR="114300">
            <wp:extent cx="4076700" cy="25146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76" w:lineRule="exact"/>
        <w:ind w:right="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ageBreakBefore w:val="0"/>
        <w:kinsoku/>
        <w:wordWrap/>
        <w:overflowPunct/>
        <w:topLinePunct w:val="0"/>
        <w:bidi w:val="0"/>
        <w:spacing w:line="576" w:lineRule="exact"/>
        <w:ind w:left="0" w:right="0" w:firstLine="640" w:firstLineChars="200"/>
        <w:textAlignment w:val="auto"/>
        <w:outlineLvl w:val="1"/>
        <w:rPr>
          <w:rStyle w:val="29"/>
          <w:rFonts w:ascii="黑体" w:hAnsi="黑体" w:eastAsia="黑体"/>
          <w:b w:val="0"/>
          <w:color w:val="auto"/>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0"/>
      <w:bookmarkEnd w:id="31"/>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drawing>
          <wp:anchor distT="0" distB="0" distL="114300" distR="114300" simplePos="0" relativeHeight="251660288" behindDoc="0" locked="0" layoutInCell="1" allowOverlap="1">
            <wp:simplePos x="0" y="0"/>
            <wp:positionH relativeFrom="column">
              <wp:posOffset>410845</wp:posOffset>
            </wp:positionH>
            <wp:positionV relativeFrom="paragraph">
              <wp:posOffset>1543685</wp:posOffset>
            </wp:positionV>
            <wp:extent cx="4133850" cy="2343150"/>
            <wp:effectExtent l="5080" t="4445" r="13970" b="1460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imes New Roman" w:hAnsi="Times New Roman" w:eastAsia="仿宋_GB2312" w:cs="仿宋_GB2312"/>
          <w:b w:val="0"/>
          <w:bCs w:val="0"/>
          <w:color w:val="auto"/>
          <w:kern w:val="2"/>
          <w:sz w:val="32"/>
          <w:szCs w:val="32"/>
          <w:highlight w:val="none"/>
          <w:lang w:val="en-US" w:eastAsia="zh-CN" w:bidi="ar-SA"/>
        </w:rPr>
        <w:t>2021年财政拨款收、支总计542.85万元。与2020年相比，财政拨款收、支总计各减少343.31万元，下降38.74%。主要变动原因是脱贫攻坚普查工作结束、第七次全国人口普查经费减少。</w:t>
      </w:r>
    </w:p>
    <w:p>
      <w:pPr>
        <w:pageBreakBefore w:val="0"/>
        <w:kinsoku/>
        <w:wordWrap/>
        <w:overflowPunct/>
        <w:topLinePunct w:val="0"/>
        <w:bidi w:val="0"/>
        <w:spacing w:line="576" w:lineRule="exact"/>
        <w:ind w:right="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ageBreakBefore w:val="0"/>
        <w:kinsoku/>
        <w:wordWrap/>
        <w:overflowPunct/>
        <w:topLinePunct w:val="0"/>
        <w:bidi w:val="0"/>
        <w:spacing w:line="576" w:lineRule="exact"/>
        <w:ind w:right="0" w:firstLine="640" w:firstLineChars="200"/>
        <w:textAlignment w:val="auto"/>
        <w:outlineLvl w:val="1"/>
        <w:rPr>
          <w:rStyle w:val="29"/>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2"/>
      <w:bookmarkEnd w:id="33"/>
    </w:p>
    <w:p>
      <w:pPr>
        <w:pageBreakBefore w:val="0"/>
        <w:kinsoku/>
        <w:wordWrap/>
        <w:overflowPunct/>
        <w:topLinePunct w:val="0"/>
        <w:bidi w:val="0"/>
        <w:spacing w:line="576" w:lineRule="exact"/>
        <w:ind w:left="0" w:right="0" w:firstLine="643" w:firstLineChars="200"/>
        <w:textAlignment w:val="auto"/>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2021年一般公共预算财政拨款支出542.85万元，占本年支出合计的100%。与2020年相比，一般公共预算财政拨款支出减少343.31万元，下降38.74%。主要变动原因是脱贫攻坚普查工作结束、第七次全国人口普查经费减少。</w:t>
      </w:r>
    </w:p>
    <w:p>
      <w:pPr>
        <w:jc w:val="center"/>
      </w:pPr>
      <w:r>
        <w:drawing>
          <wp:inline distT="0" distB="0" distL="114300" distR="114300">
            <wp:extent cx="4429125" cy="2609850"/>
            <wp:effectExtent l="4445" t="4445" r="5080"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exact"/>
        <w:ind w:right="0"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ageBreakBefore w:val="0"/>
        <w:kinsoku/>
        <w:wordWrap/>
        <w:overflowPunct/>
        <w:topLinePunct w:val="0"/>
        <w:bidi w:val="0"/>
        <w:spacing w:line="576" w:lineRule="exact"/>
        <w:ind w:left="0" w:right="0" w:firstLine="643" w:firstLineChars="200"/>
        <w:textAlignment w:val="auto"/>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pageBreakBefore w:val="0"/>
        <w:kinsoku/>
        <w:wordWrap/>
        <w:overflowPunct/>
        <w:topLinePunct w:val="0"/>
        <w:bidi w:val="0"/>
        <w:spacing w:line="576" w:lineRule="exact"/>
        <w:ind w:left="0" w:right="0" w:firstLine="640"/>
        <w:textAlignment w:val="auto"/>
        <w:rPr>
          <w:rFonts w:hint="eastAsia" w:ascii="仿宋" w:hAnsi="仿宋" w:eastAsia="仿宋"/>
          <w:color w:val="auto"/>
          <w:sz w:val="32"/>
          <w:szCs w:val="32"/>
          <w:highlight w:val="none"/>
        </w:rPr>
      </w:pPr>
      <w:r>
        <w:rPr>
          <w:rFonts w:hint="eastAsia" w:ascii="Times New Roman" w:hAnsi="Times New Roman" w:eastAsia="仿宋_GB2312" w:cs="仿宋_GB2312"/>
          <w:b w:val="0"/>
          <w:bCs w:val="0"/>
          <w:color w:val="auto"/>
          <w:kern w:val="2"/>
          <w:sz w:val="32"/>
          <w:szCs w:val="32"/>
          <w:highlight w:val="none"/>
          <w:lang w:val="en-US" w:eastAsia="zh-CN" w:bidi="ar-SA"/>
        </w:rPr>
        <w:t>2021年一般公共预算财政拨款支出542.85万元，主要用于以下方面:</w:t>
      </w:r>
      <w:r>
        <w:rPr>
          <w:rFonts w:hint="eastAsia" w:ascii="仿宋" w:hAnsi="仿宋" w:eastAsia="仿宋"/>
          <w:b/>
          <w:color w:val="auto"/>
          <w:sz w:val="32"/>
          <w:szCs w:val="32"/>
          <w:highlight w:val="none"/>
        </w:rPr>
        <w:t>一般公共服务（类）</w:t>
      </w:r>
      <w:r>
        <w:rPr>
          <w:rFonts w:hint="eastAsia" w:ascii="Times New Roman" w:hAnsi="Times New Roman" w:eastAsia="仿宋_GB2312" w:cs="仿宋_GB2312"/>
          <w:b w:val="0"/>
          <w:bCs w:val="0"/>
          <w:color w:val="auto"/>
          <w:kern w:val="2"/>
          <w:sz w:val="32"/>
          <w:szCs w:val="32"/>
          <w:highlight w:val="none"/>
          <w:lang w:val="en-US" w:eastAsia="zh-CN" w:bidi="ar-SA"/>
        </w:rPr>
        <w:t>支出485.82万元，占89.5%；</w:t>
      </w:r>
      <w:r>
        <w:rPr>
          <w:rFonts w:hint="eastAsia" w:ascii="仿宋" w:hAnsi="仿宋" w:eastAsia="仿宋"/>
          <w:b/>
          <w:color w:val="auto"/>
          <w:sz w:val="32"/>
          <w:szCs w:val="32"/>
          <w:highlight w:val="none"/>
        </w:rPr>
        <w:t>社会保障和就业（类）</w:t>
      </w:r>
      <w:r>
        <w:rPr>
          <w:rFonts w:hint="eastAsia" w:ascii="Times New Roman" w:hAnsi="Times New Roman" w:eastAsia="仿宋_GB2312" w:cs="仿宋_GB2312"/>
          <w:b w:val="0"/>
          <w:bCs w:val="0"/>
          <w:color w:val="auto"/>
          <w:kern w:val="2"/>
          <w:sz w:val="32"/>
          <w:szCs w:val="32"/>
          <w:highlight w:val="none"/>
          <w:lang w:val="en-US" w:eastAsia="zh-CN" w:bidi="ar-SA"/>
        </w:rPr>
        <w:t>支出27.18万元，占5%；</w:t>
      </w:r>
      <w:r>
        <w:rPr>
          <w:rFonts w:hint="eastAsia" w:ascii="仿宋" w:hAnsi="仿宋" w:eastAsia="仿宋"/>
          <w:b/>
          <w:bCs/>
          <w:color w:val="auto"/>
          <w:sz w:val="32"/>
          <w:szCs w:val="32"/>
          <w:highlight w:val="none"/>
        </w:rPr>
        <w:t>卫生健康支出</w:t>
      </w:r>
      <w:r>
        <w:rPr>
          <w:rFonts w:hint="eastAsia" w:ascii="Times New Roman" w:hAnsi="Times New Roman" w:eastAsia="仿宋_GB2312" w:cs="仿宋_GB2312"/>
          <w:b w:val="0"/>
          <w:bCs w:val="0"/>
          <w:color w:val="auto"/>
          <w:kern w:val="2"/>
          <w:sz w:val="32"/>
          <w:szCs w:val="32"/>
          <w:highlight w:val="none"/>
          <w:lang w:val="en-US" w:eastAsia="zh-CN" w:bidi="ar-SA"/>
        </w:rPr>
        <w:t>12.23万元，占2.25%；</w:t>
      </w:r>
      <w:r>
        <w:rPr>
          <w:rFonts w:hint="eastAsia" w:ascii="仿宋" w:hAnsi="仿宋" w:eastAsia="仿宋" w:cs="Times New Roman"/>
          <w:b/>
          <w:bCs/>
          <w:color w:val="auto"/>
          <w:sz w:val="32"/>
          <w:szCs w:val="32"/>
          <w:highlight w:val="none"/>
        </w:rPr>
        <w:t>住房保障支出</w:t>
      </w:r>
      <w:r>
        <w:rPr>
          <w:rFonts w:hint="eastAsia" w:ascii="Times New Roman" w:hAnsi="Times New Roman" w:eastAsia="仿宋_GB2312" w:cs="仿宋_GB2312"/>
          <w:b w:val="0"/>
          <w:bCs w:val="0"/>
          <w:color w:val="auto"/>
          <w:kern w:val="2"/>
          <w:sz w:val="32"/>
          <w:szCs w:val="32"/>
          <w:highlight w:val="none"/>
          <w:lang w:val="en-US" w:eastAsia="zh-CN" w:bidi="ar-SA"/>
        </w:rPr>
        <w:t>17.63万元，占3.25%。</w:t>
      </w:r>
    </w:p>
    <w:p>
      <w:pPr>
        <w:pageBreakBefore w:val="0"/>
        <w:kinsoku/>
        <w:wordWrap/>
        <w:overflowPunct/>
        <w:topLinePunct w:val="0"/>
        <w:bidi w:val="0"/>
        <w:spacing w:line="576" w:lineRule="exact"/>
        <w:ind w:left="0" w:right="0" w:firstLine="640"/>
        <w:textAlignment w:val="auto"/>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pPr>
      <w:r>
        <w:drawing>
          <wp:anchor distT="0" distB="0" distL="114300" distR="114300" simplePos="0" relativeHeight="251661312" behindDoc="0" locked="0" layoutInCell="1" allowOverlap="1">
            <wp:simplePos x="0" y="0"/>
            <wp:positionH relativeFrom="column">
              <wp:posOffset>537845</wp:posOffset>
            </wp:positionH>
            <wp:positionV relativeFrom="paragraph">
              <wp:posOffset>-2198370</wp:posOffset>
            </wp:positionV>
            <wp:extent cx="4334510" cy="2467610"/>
            <wp:effectExtent l="4445" t="4445" r="23495" b="2349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76" w:lineRule="exact"/>
        <w:ind w:left="0" w:right="0"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576" w:lineRule="exact"/>
        <w:ind w:left="0" w:right="0" w:firstLine="643" w:firstLineChars="200"/>
        <w:textAlignment w:val="auto"/>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pageBreakBefore w:val="0"/>
        <w:kinsoku/>
        <w:wordWrap/>
        <w:overflowPunct/>
        <w:topLinePunct w:val="0"/>
        <w:bidi w:val="0"/>
        <w:spacing w:line="576" w:lineRule="exact"/>
        <w:ind w:left="0" w:right="0" w:firstLine="643" w:firstLineChars="200"/>
        <w:textAlignment w:val="auto"/>
        <w:outlineLvl w:val="2"/>
        <w:rPr>
          <w:rFonts w:ascii="仿宋" w:hAnsi="仿宋" w:eastAsia="仿宋"/>
          <w:color w:val="auto"/>
          <w:sz w:val="32"/>
          <w:szCs w:val="32"/>
          <w:highlight w:val="none"/>
        </w:rPr>
      </w:pPr>
      <w:bookmarkStart w:id="37" w:name="_Toc15377444"/>
      <w:bookmarkStart w:id="38" w:name="_Toc15377213"/>
      <w:bookmarkStart w:id="39"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542.85万元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7"/>
      <w:bookmarkEnd w:id="38"/>
      <w:bookmarkEnd w:id="39"/>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ascii="仿宋" w:hAnsi="仿宋" w:eastAsia="仿宋"/>
          <w:bCs/>
          <w:color w:val="auto"/>
          <w:sz w:val="32"/>
          <w:szCs w:val="32"/>
          <w:highlight w:val="none"/>
        </w:rPr>
        <w:t>1.</w:t>
      </w:r>
      <w:r>
        <w:rPr>
          <w:rStyle w:val="18"/>
          <w:rFonts w:hint="eastAsia" w:ascii="仿宋" w:hAnsi="仿宋" w:eastAsia="仿宋"/>
          <w:bCs/>
          <w:color w:val="auto"/>
          <w:sz w:val="32"/>
          <w:szCs w:val="32"/>
          <w:highlight w:val="none"/>
        </w:rPr>
        <w:t>一般公共服务（类）统计信息事务（款）行政运行（项）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Fonts w:hint="eastAsia" w:ascii="Times New Roman" w:hAnsi="Times New Roman" w:eastAsia="仿宋_GB2312" w:cs="仿宋_GB2312"/>
          <w:b w:val="0"/>
          <w:bCs w:val="0"/>
          <w:color w:val="auto"/>
          <w:kern w:val="2"/>
          <w:sz w:val="32"/>
          <w:szCs w:val="32"/>
          <w:highlight w:val="none"/>
          <w:lang w:val="en-US" w:eastAsia="zh-CN" w:bidi="ar-SA"/>
        </w:rPr>
        <w:t>支出决算为103.47万元，完成预算100%，决算数等于预算数。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ascii="仿宋" w:hAnsi="仿宋" w:eastAsia="仿宋"/>
          <w:bCs/>
          <w:color w:val="auto"/>
          <w:sz w:val="32"/>
          <w:szCs w:val="32"/>
          <w:highlight w:val="none"/>
        </w:rPr>
        <w:t>2.</w:t>
      </w:r>
      <w:r>
        <w:rPr>
          <w:rStyle w:val="18"/>
          <w:rFonts w:hint="eastAsia" w:ascii="仿宋" w:hAnsi="仿宋" w:eastAsia="仿宋"/>
          <w:bCs/>
          <w:color w:val="auto"/>
          <w:sz w:val="32"/>
          <w:szCs w:val="32"/>
          <w:highlight w:val="none"/>
        </w:rPr>
        <w:t>一般公共服务（类）统计信息事务（款）一般行政管理事务（项）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Fonts w:hint="eastAsia" w:ascii="Times New Roman" w:hAnsi="Times New Roman" w:eastAsia="仿宋_GB2312" w:cs="仿宋_GB2312"/>
          <w:b w:val="0"/>
          <w:bCs w:val="0"/>
          <w:color w:val="auto"/>
          <w:kern w:val="2"/>
          <w:sz w:val="32"/>
          <w:szCs w:val="32"/>
          <w:highlight w:val="none"/>
          <w:lang w:val="en-US" w:eastAsia="zh-CN" w:bidi="ar-SA"/>
        </w:rPr>
        <w:t>支出决算为2.14万元，完成预算100%，决算数等于预算数。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ascii="仿宋" w:hAnsi="仿宋" w:eastAsia="仿宋"/>
          <w:bCs/>
          <w:color w:val="auto"/>
          <w:sz w:val="32"/>
          <w:szCs w:val="32"/>
          <w:highlight w:val="none"/>
        </w:rPr>
        <w:t>3.</w:t>
      </w:r>
      <w:r>
        <w:rPr>
          <w:rStyle w:val="18"/>
          <w:rFonts w:hint="eastAsia" w:ascii="仿宋" w:hAnsi="仿宋" w:eastAsia="仿宋"/>
          <w:bCs/>
          <w:color w:val="auto"/>
          <w:sz w:val="32"/>
          <w:szCs w:val="32"/>
          <w:highlight w:val="none"/>
        </w:rPr>
        <w:t>一般公共服务（类）统计信息事务（款）专项统计业务（项）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Fonts w:hint="eastAsia" w:ascii="Times New Roman" w:hAnsi="Times New Roman" w:eastAsia="仿宋_GB2312" w:cs="仿宋_GB2312"/>
          <w:b w:val="0"/>
          <w:bCs w:val="0"/>
          <w:color w:val="auto"/>
          <w:kern w:val="2"/>
          <w:sz w:val="32"/>
          <w:szCs w:val="32"/>
          <w:highlight w:val="none"/>
          <w:lang w:val="en-US" w:eastAsia="zh-CN" w:bidi="ar-SA"/>
        </w:rPr>
        <w:t>支出决算为88.42万元，完成预算100%，决算数等于预算数。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ascii="仿宋" w:hAnsi="仿宋" w:eastAsia="仿宋"/>
          <w:bCs/>
          <w:color w:val="auto"/>
          <w:sz w:val="32"/>
          <w:szCs w:val="32"/>
          <w:highlight w:val="none"/>
        </w:rPr>
        <w:t>4.</w:t>
      </w:r>
      <w:r>
        <w:rPr>
          <w:rStyle w:val="18"/>
          <w:rFonts w:hint="eastAsia" w:ascii="仿宋" w:hAnsi="仿宋" w:eastAsia="仿宋"/>
          <w:bCs/>
          <w:color w:val="auto"/>
          <w:sz w:val="32"/>
          <w:szCs w:val="32"/>
          <w:highlight w:val="none"/>
        </w:rPr>
        <w:t>一般公共服务（类）统计信息事务（款）专项普查活动（项）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Fonts w:hint="eastAsia" w:ascii="Times New Roman" w:hAnsi="Times New Roman" w:eastAsia="仿宋_GB2312" w:cs="仿宋_GB2312"/>
          <w:b w:val="0"/>
          <w:bCs w:val="0"/>
          <w:color w:val="auto"/>
          <w:kern w:val="2"/>
          <w:sz w:val="32"/>
          <w:szCs w:val="32"/>
          <w:highlight w:val="none"/>
          <w:lang w:val="en-US" w:eastAsia="zh-CN" w:bidi="ar-SA"/>
        </w:rPr>
        <w:t>支出决算为130万元，完成预算100%，决算数等于预算数。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ascii="仿宋" w:hAnsi="仿宋" w:eastAsia="仿宋"/>
          <w:bCs/>
          <w:color w:val="auto"/>
          <w:sz w:val="32"/>
          <w:szCs w:val="32"/>
          <w:highlight w:val="none"/>
        </w:rPr>
        <w:t>5.</w:t>
      </w:r>
      <w:r>
        <w:rPr>
          <w:rStyle w:val="18"/>
          <w:rFonts w:hint="eastAsia" w:ascii="仿宋" w:hAnsi="仿宋" w:eastAsia="仿宋"/>
          <w:bCs/>
          <w:color w:val="auto"/>
          <w:sz w:val="32"/>
          <w:szCs w:val="32"/>
          <w:highlight w:val="none"/>
        </w:rPr>
        <w:t>一般公共服务（类）统计信息事务（款）事业运行（项）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Fonts w:hint="eastAsia" w:ascii="Times New Roman" w:hAnsi="Times New Roman" w:eastAsia="仿宋_GB2312" w:cs="仿宋_GB2312"/>
          <w:b w:val="0"/>
          <w:bCs w:val="0"/>
          <w:color w:val="auto"/>
          <w:kern w:val="2"/>
          <w:sz w:val="32"/>
          <w:szCs w:val="32"/>
          <w:highlight w:val="none"/>
          <w:lang w:val="en-US" w:eastAsia="zh-CN" w:bidi="ar-SA"/>
        </w:rPr>
        <w:t>支出决算为161.79万元，完成预算100%，决算数等于预算数。</w:t>
      </w:r>
    </w:p>
    <w:p>
      <w:pPr>
        <w:pageBreakBefore w:val="0"/>
        <w:kinsoku/>
        <w:wordWrap/>
        <w:overflowPunct/>
        <w:topLinePunct w:val="0"/>
        <w:bidi w:val="0"/>
        <w:spacing w:line="576" w:lineRule="exact"/>
        <w:ind w:left="0" w:right="0" w:firstLine="643" w:firstLineChars="200"/>
        <w:textAlignment w:val="auto"/>
        <w:rPr>
          <w:rFonts w:ascii="仿宋" w:hAnsi="仿宋" w:eastAsia="仿宋"/>
          <w:b/>
          <w:color w:val="auto"/>
          <w:sz w:val="32"/>
          <w:szCs w:val="32"/>
          <w:highlight w:val="none"/>
        </w:rPr>
      </w:pPr>
      <w:r>
        <w:rPr>
          <w:rStyle w:val="18"/>
          <w:rFonts w:ascii="仿宋" w:hAnsi="仿宋" w:eastAsia="仿宋"/>
          <w:bCs/>
          <w:color w:val="auto"/>
          <w:sz w:val="32"/>
          <w:szCs w:val="32"/>
          <w:highlight w:val="none"/>
        </w:rPr>
        <w:t>6.</w:t>
      </w:r>
      <w:r>
        <w:rPr>
          <w:rFonts w:hint="eastAsia" w:ascii="仿宋" w:hAnsi="仿宋" w:eastAsia="仿宋"/>
          <w:b/>
          <w:bCs/>
          <w:color w:val="auto"/>
          <w:sz w:val="32"/>
          <w:szCs w:val="32"/>
          <w:highlight w:val="none"/>
        </w:rPr>
        <w:t>社会保障和就业支出</w:t>
      </w:r>
      <w:r>
        <w:rPr>
          <w:rStyle w:val="18"/>
          <w:rFonts w:hint="eastAsia" w:ascii="仿宋" w:hAnsi="仿宋" w:eastAsia="仿宋"/>
          <w:bCs/>
          <w:color w:val="auto"/>
          <w:sz w:val="32"/>
          <w:szCs w:val="32"/>
          <w:highlight w:val="none"/>
        </w:rPr>
        <w:t>（类）行政事业单位养老支出（款）机关事业单位基本养老保险缴费支出（项）</w:t>
      </w:r>
      <w:r>
        <w:rPr>
          <w:rStyle w:val="18"/>
          <w:rFonts w:ascii="仿宋" w:hAnsi="仿宋" w:eastAsia="仿宋"/>
          <w:bCs/>
          <w:color w:val="auto"/>
          <w:sz w:val="32"/>
          <w:szCs w:val="32"/>
          <w:highlight w:val="none"/>
        </w:rPr>
        <w:t>:</w:t>
      </w:r>
      <w:r>
        <w:rPr>
          <w:rFonts w:hint="eastAsia" w:ascii="Times New Roman" w:hAnsi="Times New Roman" w:eastAsia="仿宋_GB2312" w:cs="仿宋_GB2312"/>
          <w:b w:val="0"/>
          <w:bCs w:val="0"/>
          <w:color w:val="auto"/>
          <w:kern w:val="2"/>
          <w:sz w:val="32"/>
          <w:szCs w:val="32"/>
          <w:highlight w:val="none"/>
          <w:lang w:val="en-US" w:eastAsia="zh-CN" w:bidi="ar-SA"/>
        </w:rPr>
        <w:t>支出决算为23.9万元，完成预算100%，决算数等于预算数。</w:t>
      </w:r>
    </w:p>
    <w:p>
      <w:pPr>
        <w:pageBreakBefore w:val="0"/>
        <w:kinsoku/>
        <w:wordWrap/>
        <w:overflowPunct/>
        <w:topLinePunct w:val="0"/>
        <w:bidi w:val="0"/>
        <w:spacing w:line="576" w:lineRule="exact"/>
        <w:ind w:left="0" w:right="0" w:firstLine="643" w:firstLineChars="200"/>
        <w:textAlignment w:val="auto"/>
        <w:rPr>
          <w:rStyle w:val="18"/>
          <w:rFonts w:hint="eastAsia" w:ascii="仿宋" w:hAnsi="仿宋" w:eastAsia="仿宋"/>
          <w:b w:val="0"/>
          <w:bCs/>
          <w:color w:val="auto"/>
          <w:sz w:val="32"/>
          <w:szCs w:val="32"/>
          <w:highlight w:val="none"/>
          <w:lang w:val="en-US" w:eastAsia="zh-CN"/>
        </w:rPr>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社会保障和就业支出</w:t>
      </w:r>
      <w:r>
        <w:rPr>
          <w:rStyle w:val="18"/>
          <w:rFonts w:hint="eastAsia" w:ascii="仿宋" w:hAnsi="仿宋" w:eastAsia="仿宋"/>
          <w:bCs/>
          <w:color w:val="auto"/>
          <w:sz w:val="32"/>
          <w:szCs w:val="32"/>
          <w:highlight w:val="none"/>
        </w:rPr>
        <w:t>（类）行政事业单位养老支出（款）机关事业单位职业年金缴费支出（项）</w:t>
      </w:r>
      <w:r>
        <w:rPr>
          <w:rStyle w:val="18"/>
          <w:rFonts w:ascii="仿宋" w:hAnsi="仿宋" w:eastAsia="仿宋"/>
          <w:bCs/>
          <w:color w:val="auto"/>
          <w:sz w:val="32"/>
          <w:szCs w:val="32"/>
          <w:highlight w:val="none"/>
        </w:rPr>
        <w:t>:</w:t>
      </w:r>
      <w:r>
        <w:rPr>
          <w:rFonts w:hint="eastAsia" w:ascii="Times New Roman" w:hAnsi="Times New Roman" w:eastAsia="仿宋_GB2312" w:cs="仿宋_GB2312"/>
          <w:b w:val="0"/>
          <w:bCs w:val="0"/>
          <w:color w:val="auto"/>
          <w:kern w:val="2"/>
          <w:sz w:val="32"/>
          <w:szCs w:val="32"/>
          <w:highlight w:val="none"/>
          <w:lang w:val="en-US" w:eastAsia="zh-CN" w:bidi="ar-SA"/>
        </w:rPr>
        <w:t>支出决算为3.28万元，完成预算100%，决算数等于预算数。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卫生健康支出</w:t>
      </w:r>
      <w:r>
        <w:rPr>
          <w:rStyle w:val="18"/>
          <w:rFonts w:hint="eastAsia" w:ascii="仿宋" w:hAnsi="仿宋" w:eastAsia="仿宋"/>
          <w:bCs/>
          <w:color w:val="auto"/>
          <w:sz w:val="32"/>
          <w:szCs w:val="32"/>
          <w:highlight w:val="none"/>
        </w:rPr>
        <w:t>（类）卫生健康管理事务（款）行政运行（项）</w:t>
      </w:r>
      <w:r>
        <w:rPr>
          <w:rStyle w:val="18"/>
          <w:rFonts w:ascii="仿宋" w:hAnsi="仿宋" w:eastAsia="仿宋"/>
          <w:bCs/>
          <w:color w:val="auto"/>
          <w:sz w:val="32"/>
          <w:szCs w:val="32"/>
          <w:highlight w:val="none"/>
        </w:rPr>
        <w:t>:</w:t>
      </w:r>
      <w:r>
        <w:rPr>
          <w:rFonts w:hint="eastAsia" w:ascii="Times New Roman" w:hAnsi="Times New Roman" w:eastAsia="仿宋_GB2312" w:cs="仿宋_GB2312"/>
          <w:b w:val="0"/>
          <w:bCs w:val="0"/>
          <w:color w:val="auto"/>
          <w:kern w:val="2"/>
          <w:sz w:val="32"/>
          <w:szCs w:val="32"/>
          <w:highlight w:val="none"/>
          <w:lang w:val="en-US" w:eastAsia="zh-CN" w:bidi="ar-SA"/>
        </w:rPr>
        <w:t>支出决算为12.23万元，完成预算100%，决算数等于预算数。</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Style w:val="18"/>
          <w:rFonts w:hint="eastAsia" w:ascii="仿宋" w:hAnsi="仿宋" w:eastAsia="仿宋"/>
          <w:bCs/>
          <w:color w:val="auto"/>
          <w:sz w:val="32"/>
          <w:szCs w:val="32"/>
          <w:highlight w:val="none"/>
          <w:lang w:val="en-US" w:eastAsia="zh-CN"/>
        </w:rPr>
        <w:t>9</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住房保障支出</w:t>
      </w:r>
      <w:r>
        <w:rPr>
          <w:rStyle w:val="18"/>
          <w:rFonts w:hint="eastAsia" w:ascii="仿宋" w:hAnsi="仿宋" w:eastAsia="仿宋"/>
          <w:bCs/>
          <w:color w:val="auto"/>
          <w:sz w:val="32"/>
          <w:szCs w:val="32"/>
          <w:highlight w:val="none"/>
        </w:rPr>
        <w:t>（类）住房改革支出（款）住房公积金（项）</w:t>
      </w:r>
      <w:r>
        <w:rPr>
          <w:rStyle w:val="18"/>
          <w:rFonts w:ascii="仿宋" w:hAnsi="仿宋" w:eastAsia="仿宋"/>
          <w:bCs/>
          <w:color w:val="auto"/>
          <w:sz w:val="32"/>
          <w:szCs w:val="32"/>
          <w:highlight w:val="none"/>
        </w:rPr>
        <w:t>:</w:t>
      </w:r>
      <w:r>
        <w:rPr>
          <w:rFonts w:hint="eastAsia" w:ascii="Times New Roman" w:hAnsi="Times New Roman" w:eastAsia="仿宋_GB2312" w:cs="仿宋_GB2312"/>
          <w:b w:val="0"/>
          <w:bCs w:val="0"/>
          <w:color w:val="auto"/>
          <w:kern w:val="2"/>
          <w:sz w:val="32"/>
          <w:szCs w:val="32"/>
          <w:highlight w:val="none"/>
          <w:lang w:val="en-US" w:eastAsia="zh-CN" w:bidi="ar-SA"/>
        </w:rPr>
        <w:t>支出决算为17.63万元，完成预算100%，决算数等于预算数。</w:t>
      </w:r>
    </w:p>
    <w:p>
      <w:pPr>
        <w:pageBreakBefore w:val="0"/>
        <w:tabs>
          <w:tab w:val="right" w:pos="8306"/>
        </w:tabs>
        <w:kinsoku/>
        <w:wordWrap/>
        <w:overflowPunct/>
        <w:topLinePunct w:val="0"/>
        <w:bidi w:val="0"/>
        <w:spacing w:line="576" w:lineRule="exact"/>
        <w:ind w:left="0" w:right="0" w:firstLine="640"/>
        <w:textAlignment w:val="auto"/>
        <w:outlineLvl w:val="1"/>
        <w:rPr>
          <w:rStyle w:val="29"/>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40"/>
      <w:bookmarkEnd w:id="41"/>
      <w:r>
        <w:rPr>
          <w:rStyle w:val="29"/>
          <w:rFonts w:ascii="黑体" w:hAnsi="黑体" w:eastAsia="黑体"/>
          <w:b w:val="0"/>
          <w:color w:val="auto"/>
          <w:highlight w:val="none"/>
        </w:rPr>
        <w:tab/>
      </w:r>
    </w:p>
    <w:p>
      <w:pPr>
        <w:pageBreakBefore w:val="0"/>
        <w:kinsoku/>
        <w:wordWrap/>
        <w:overflowPunct/>
        <w:topLinePunct w:val="0"/>
        <w:bidi w:val="0"/>
        <w:spacing w:line="576" w:lineRule="exact"/>
        <w:ind w:left="0" w:right="0" w:firstLine="645"/>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2021年一般公共预算财政拨款基本支出322.29万元，其中：</w:t>
      </w:r>
    </w:p>
    <w:p>
      <w:pPr>
        <w:pageBreakBefore w:val="0"/>
        <w:kinsoku/>
        <w:wordWrap/>
        <w:overflowPunct/>
        <w:topLinePunct w:val="0"/>
        <w:bidi w:val="0"/>
        <w:spacing w:line="576" w:lineRule="exact"/>
        <w:ind w:left="0" w:right="0" w:firstLine="645"/>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人员经费290.95万元，主要包括：基本工资、津贴补贴、奖金、绩效工资、机关事业单位基本养老保险缴费、职业年金缴费、职工基本医疗保险缴费、其他社会保障缴费、其他工资福利支出、生活补助、奖励金、住房公积金等。</w:t>
      </w:r>
    </w:p>
    <w:p>
      <w:pPr>
        <w:pageBreakBefore w:val="0"/>
        <w:kinsoku/>
        <w:wordWrap/>
        <w:overflowPunct/>
        <w:topLinePunct w:val="0"/>
        <w:bidi w:val="0"/>
        <w:spacing w:line="576" w:lineRule="exact"/>
        <w:ind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公用经费31.34万元，主要包括：办公费、印刷费、电费、差旅费、租赁费、会议费、培训费、公务接待费、其他交通费。</w:t>
      </w:r>
    </w:p>
    <w:p>
      <w:pPr>
        <w:pageBreakBefore w:val="0"/>
        <w:kinsoku/>
        <w:wordWrap/>
        <w:overflowPunct/>
        <w:topLinePunct w:val="0"/>
        <w:bidi w:val="0"/>
        <w:spacing w:line="576" w:lineRule="exact"/>
        <w:ind w:left="0" w:right="0" w:firstLine="640"/>
        <w:textAlignment w:val="auto"/>
        <w:outlineLvl w:val="1"/>
        <w:rPr>
          <w:rStyle w:val="29"/>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42"/>
      <w:bookmarkEnd w:id="43"/>
    </w:p>
    <w:p>
      <w:pPr>
        <w:pageBreakBefore w:val="0"/>
        <w:kinsoku/>
        <w:wordWrap/>
        <w:overflowPunct/>
        <w:topLinePunct w:val="0"/>
        <w:bidi w:val="0"/>
        <w:spacing w:line="576" w:lineRule="exact"/>
        <w:ind w:left="0" w:right="0" w:firstLine="640"/>
        <w:textAlignment w:val="auto"/>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pageBreakBefore w:val="0"/>
        <w:kinsoku/>
        <w:wordWrap/>
        <w:overflowPunct/>
        <w:topLinePunct w:val="0"/>
        <w:bidi w:val="0"/>
        <w:spacing w:line="576" w:lineRule="exact"/>
        <w:ind w:left="0" w:right="0" w:firstLine="640"/>
        <w:textAlignment w:val="auto"/>
        <w:rPr>
          <w:rFonts w:ascii="仿宋" w:hAnsi="仿宋" w:eastAsia="仿宋"/>
          <w:color w:val="auto"/>
          <w:sz w:val="32"/>
          <w:szCs w:val="32"/>
          <w:highlight w:val="none"/>
        </w:rPr>
      </w:pPr>
      <w:r>
        <w:rPr>
          <w:rFonts w:hint="eastAsia" w:ascii="Times New Roman" w:hAnsi="Times New Roman" w:eastAsia="仿宋_GB2312" w:cs="仿宋_GB2312"/>
          <w:b w:val="0"/>
          <w:bCs w:val="0"/>
          <w:color w:val="auto"/>
          <w:kern w:val="2"/>
          <w:sz w:val="32"/>
          <w:szCs w:val="32"/>
          <w:highlight w:val="none"/>
          <w:lang w:val="en-US" w:eastAsia="zh-CN" w:bidi="ar-SA"/>
        </w:rPr>
        <w:t>2021年“三公”经费财政拨款支出决算为4.04万元，完成预算100%，决算数与预算数持平。</w:t>
      </w:r>
    </w:p>
    <w:p>
      <w:pPr>
        <w:pageBreakBefore w:val="0"/>
        <w:kinsoku/>
        <w:wordWrap/>
        <w:overflowPunct/>
        <w:topLinePunct w:val="0"/>
        <w:bidi w:val="0"/>
        <w:spacing w:line="576" w:lineRule="exact"/>
        <w:ind w:left="0" w:right="0" w:firstLine="640"/>
        <w:textAlignment w:val="auto"/>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2021年“三公”经费财政拨款支出决算中，因公出国（境）费支出决算0万元，占0%；公务用车购置及运行维护费支出决算0万元，占0%；公务接待费支出决算4.04万元，占100%。具体情况如下：</w:t>
      </w:r>
    </w:p>
    <w:p>
      <w:pPr>
        <w:pageBreakBefore w:val="0"/>
        <w:kinsoku/>
        <w:wordWrap/>
        <w:overflowPunct/>
        <w:topLinePunct w:val="0"/>
        <w:bidi w:val="0"/>
        <w:spacing w:line="576" w:lineRule="exact"/>
        <w:ind w:right="0"/>
        <w:jc w:val="center"/>
        <w:textAlignment w:val="auto"/>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385445</wp:posOffset>
            </wp:positionH>
            <wp:positionV relativeFrom="page">
              <wp:posOffset>5043805</wp:posOffset>
            </wp:positionV>
            <wp:extent cx="4429125" cy="2600960"/>
            <wp:effectExtent l="4445" t="4445" r="5080" b="2349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（图7：“三公”经费财政拨款支出结构）（饼状图）</w:t>
      </w:r>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1.因公出国（境）支出决算较2020年无变化。</w:t>
      </w:r>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Times New Roman" w:hAnsi="Times New Roman" w:eastAsia="仿宋_GB2312" w:cs="仿宋_GB2312"/>
          <w:b w:val="0"/>
          <w:bCs w:val="0"/>
          <w:color w:val="auto"/>
          <w:kern w:val="2"/>
          <w:sz w:val="32"/>
          <w:szCs w:val="32"/>
          <w:highlight w:val="none"/>
          <w:lang w:val="en-US" w:eastAsia="zh-CN" w:bidi="ar-SA"/>
        </w:rPr>
        <w:t>0万元,完成预算0%。公务用车购置及运行维护费支出决算比2020年增加0万元，增长0%。</w:t>
      </w:r>
    </w:p>
    <w:p>
      <w:pPr>
        <w:pageBreakBefore w:val="0"/>
        <w:kinsoku/>
        <w:wordWrap/>
        <w:overflowPunct/>
        <w:topLinePunct w:val="0"/>
        <w:bidi w:val="0"/>
        <w:spacing w:line="576" w:lineRule="exact"/>
        <w:ind w:left="0" w:right="0" w:firstLine="640" w:firstLineChars="200"/>
        <w:textAlignment w:val="auto"/>
        <w:rPr>
          <w:rFonts w:ascii="仿宋_GB2312" w:eastAsia="仿宋_GB2312"/>
          <w:b/>
          <w:color w:val="auto"/>
          <w:sz w:val="32"/>
          <w:szCs w:val="32"/>
          <w:highlight w:val="none"/>
        </w:rPr>
      </w:pPr>
      <w:r>
        <w:rPr>
          <w:rFonts w:hint="eastAsia" w:ascii="Times New Roman" w:hAnsi="Times New Roman" w:eastAsia="仿宋_GB2312" w:cs="仿宋_GB2312"/>
          <w:b w:val="0"/>
          <w:bCs w:val="0"/>
          <w:color w:val="auto"/>
          <w:kern w:val="2"/>
          <w:sz w:val="32"/>
          <w:szCs w:val="32"/>
          <w:highlight w:val="none"/>
          <w:lang w:val="en-US" w:eastAsia="zh-CN" w:bidi="ar-SA"/>
        </w:rPr>
        <w:t>其中：</w:t>
      </w:r>
      <w:r>
        <w:rPr>
          <w:rFonts w:hint="eastAsia" w:ascii="仿宋_GB2312" w:eastAsia="仿宋_GB2312"/>
          <w:b/>
          <w:color w:val="auto"/>
          <w:sz w:val="32"/>
          <w:szCs w:val="32"/>
          <w:highlight w:val="none"/>
        </w:rPr>
        <w:t>公务用车购置支出</w:t>
      </w:r>
      <w:r>
        <w:rPr>
          <w:rFonts w:hint="eastAsia" w:ascii="Times New Roman" w:hAnsi="Times New Roman" w:eastAsia="仿宋_GB2312" w:cs="仿宋_GB2312"/>
          <w:b w:val="0"/>
          <w:bCs w:val="0"/>
          <w:color w:val="auto"/>
          <w:kern w:val="2"/>
          <w:sz w:val="32"/>
          <w:szCs w:val="32"/>
          <w:highlight w:val="none"/>
          <w:lang w:val="en-US" w:eastAsia="zh-CN" w:bidi="ar-SA"/>
        </w:rPr>
        <w:t>0万元。</w:t>
      </w:r>
    </w:p>
    <w:p>
      <w:pPr>
        <w:pageBreakBefore w:val="0"/>
        <w:kinsoku/>
        <w:wordWrap/>
        <w:overflowPunct/>
        <w:topLinePunct w:val="0"/>
        <w:bidi w:val="0"/>
        <w:spacing w:line="576" w:lineRule="exact"/>
        <w:ind w:left="0" w:right="0" w:firstLine="64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Times New Roman" w:hAnsi="Times New Roman" w:eastAsia="仿宋_GB2312" w:cs="仿宋_GB2312"/>
          <w:b w:val="0"/>
          <w:bCs w:val="0"/>
          <w:color w:val="auto"/>
          <w:kern w:val="2"/>
          <w:sz w:val="32"/>
          <w:szCs w:val="32"/>
          <w:highlight w:val="none"/>
          <w:lang w:val="en-US" w:eastAsia="zh-CN" w:bidi="ar-SA"/>
        </w:rPr>
        <w:t>0万元。</w:t>
      </w:r>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Times New Roman" w:hAnsi="Times New Roman" w:eastAsia="仿宋_GB2312" w:cs="仿宋_GB2312"/>
          <w:b w:val="0"/>
          <w:bCs w:val="0"/>
          <w:color w:val="auto"/>
          <w:kern w:val="2"/>
          <w:sz w:val="32"/>
          <w:szCs w:val="32"/>
          <w:highlight w:val="none"/>
          <w:lang w:val="en-US" w:eastAsia="zh-CN" w:bidi="ar-SA"/>
        </w:rPr>
        <w:t>4.04万元，完成预算100%。公务接待费支出决算比2020年增加0.34万元，增长9.19%。</w:t>
      </w:r>
      <w:r>
        <w:rPr>
          <w:rFonts w:hint="eastAsia" w:eastAsia="仿宋_GB2312" w:cs="仿宋_GB2312"/>
          <w:b w:val="0"/>
          <w:bCs w:val="0"/>
          <w:color w:val="auto"/>
          <w:kern w:val="2"/>
          <w:sz w:val="32"/>
          <w:szCs w:val="32"/>
          <w:highlight w:val="none"/>
          <w:lang w:val="en-US" w:eastAsia="zh-CN" w:bidi="ar-SA"/>
        </w:rPr>
        <w:t>增加的</w:t>
      </w:r>
      <w:r>
        <w:rPr>
          <w:rFonts w:hint="eastAsia" w:ascii="Times New Roman" w:hAnsi="Times New Roman" w:eastAsia="仿宋_GB2312" w:cs="仿宋_GB2312"/>
          <w:b w:val="0"/>
          <w:bCs w:val="0"/>
          <w:color w:val="auto"/>
          <w:kern w:val="2"/>
          <w:sz w:val="32"/>
          <w:szCs w:val="32"/>
          <w:highlight w:val="none"/>
          <w:lang w:val="en-US" w:eastAsia="zh-CN" w:bidi="ar-SA"/>
        </w:rPr>
        <w:t>主要原因是</w:t>
      </w:r>
      <w:r>
        <w:rPr>
          <w:rFonts w:hint="eastAsia" w:eastAsia="仿宋_GB2312" w:cs="仿宋_GB2312"/>
          <w:b w:val="0"/>
          <w:bCs w:val="0"/>
          <w:color w:val="auto"/>
          <w:kern w:val="2"/>
          <w:sz w:val="32"/>
          <w:szCs w:val="32"/>
          <w:highlight w:val="none"/>
          <w:lang w:val="en-US" w:eastAsia="zh-CN" w:bidi="ar-SA"/>
        </w:rPr>
        <w:t>随着统计体制改革的深入，开展的统计专业增多，如新增了城镇劳动力月度调查；承接了部分改革试点任务，如名录库改革试点等；同时，各级调研、检查等频次也有所增多，</w:t>
      </w:r>
      <w:r>
        <w:rPr>
          <w:rFonts w:hint="eastAsia" w:ascii="Times New Roman" w:hAnsi="Times New Roman" w:eastAsia="仿宋_GB2312" w:cs="仿宋_GB2312"/>
          <w:b w:val="0"/>
          <w:bCs w:val="0"/>
          <w:color w:val="auto"/>
          <w:kern w:val="2"/>
          <w:sz w:val="32"/>
          <w:szCs w:val="32"/>
          <w:highlight w:val="none"/>
          <w:lang w:val="en-US" w:eastAsia="zh-CN" w:bidi="ar-SA"/>
        </w:rPr>
        <w:t>接待次数增加。</w:t>
      </w:r>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仿宋" w:hAnsi="仿宋" w:eastAsia="仿宋"/>
          <w:b/>
          <w:color w:val="auto"/>
          <w:sz w:val="32"/>
          <w:szCs w:val="32"/>
          <w:highlight w:val="none"/>
        </w:rPr>
        <w:t>国内公务接待支出</w:t>
      </w:r>
      <w:r>
        <w:rPr>
          <w:rFonts w:hint="eastAsia" w:ascii="Times New Roman" w:hAnsi="Times New Roman" w:eastAsia="仿宋_GB2312" w:cs="仿宋_GB2312"/>
          <w:b w:val="0"/>
          <w:bCs w:val="0"/>
          <w:color w:val="auto"/>
          <w:kern w:val="2"/>
          <w:sz w:val="32"/>
          <w:szCs w:val="32"/>
          <w:highlight w:val="none"/>
          <w:lang w:val="en-US" w:eastAsia="zh-CN" w:bidi="ar-SA"/>
        </w:rPr>
        <w:t>4.04万元，主要用于执行公务、开展业务活动开支的交通费、住宿费、用餐费等。国内公务接待</w:t>
      </w:r>
      <w:r>
        <w:rPr>
          <w:rFonts w:hint="eastAsia" w:eastAsia="仿宋_GB2312" w:cs="仿宋_GB2312"/>
          <w:b w:val="0"/>
          <w:bCs w:val="0"/>
          <w:color w:val="auto"/>
          <w:kern w:val="2"/>
          <w:sz w:val="32"/>
          <w:szCs w:val="32"/>
          <w:highlight w:val="none"/>
          <w:lang w:val="en-US" w:eastAsia="zh-CN" w:bidi="ar-SA"/>
        </w:rPr>
        <w:t>48</w:t>
      </w:r>
      <w:r>
        <w:rPr>
          <w:rFonts w:hint="eastAsia" w:ascii="Times New Roman" w:hAnsi="Times New Roman" w:eastAsia="仿宋_GB2312" w:cs="仿宋_GB2312"/>
          <w:b w:val="0"/>
          <w:bCs w:val="0"/>
          <w:color w:val="auto"/>
          <w:kern w:val="2"/>
          <w:sz w:val="32"/>
          <w:szCs w:val="32"/>
          <w:highlight w:val="none"/>
          <w:lang w:val="en-US" w:eastAsia="zh-CN" w:bidi="ar-SA"/>
        </w:rPr>
        <w:t>批次，</w:t>
      </w:r>
      <w:r>
        <w:rPr>
          <w:rFonts w:hint="eastAsia" w:eastAsia="仿宋_GB2312" w:cs="仿宋_GB2312"/>
          <w:b w:val="0"/>
          <w:bCs w:val="0"/>
          <w:color w:val="auto"/>
          <w:kern w:val="2"/>
          <w:sz w:val="32"/>
          <w:szCs w:val="32"/>
          <w:highlight w:val="none"/>
          <w:lang w:val="en-US" w:eastAsia="zh-CN" w:bidi="ar-SA"/>
        </w:rPr>
        <w:t>392</w:t>
      </w:r>
      <w:bookmarkStart w:id="73" w:name="_GoBack"/>
      <w:bookmarkEnd w:id="73"/>
      <w:r>
        <w:rPr>
          <w:rFonts w:hint="eastAsia" w:ascii="Times New Roman" w:hAnsi="Times New Roman" w:eastAsia="仿宋_GB2312" w:cs="仿宋_GB2312"/>
          <w:b w:val="0"/>
          <w:bCs w:val="0"/>
          <w:color w:val="auto"/>
          <w:kern w:val="2"/>
          <w:sz w:val="32"/>
          <w:szCs w:val="32"/>
          <w:highlight w:val="none"/>
          <w:lang w:val="en-US" w:eastAsia="zh-CN" w:bidi="ar-SA"/>
        </w:rPr>
        <w:t>人次（不包括陪同人员），共计支出4.04万元，具体内容包括：住户调查、劳动力调查、各统计专业工作调研、督查等。</w:t>
      </w:r>
    </w:p>
    <w:p>
      <w:pPr>
        <w:pageBreakBefore w:val="0"/>
        <w:kinsoku/>
        <w:wordWrap/>
        <w:overflowPunct/>
        <w:topLinePunct w:val="0"/>
        <w:bidi w:val="0"/>
        <w:spacing w:line="576" w:lineRule="exact"/>
        <w:ind w:left="0" w:right="0" w:firstLine="643"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仿宋" w:hAnsi="仿宋" w:eastAsia="仿宋"/>
          <w:b/>
          <w:color w:val="auto"/>
          <w:sz w:val="32"/>
          <w:szCs w:val="32"/>
          <w:highlight w:val="none"/>
        </w:rPr>
        <w:t>外事接待支出</w:t>
      </w:r>
      <w:r>
        <w:rPr>
          <w:rFonts w:hint="eastAsia" w:ascii="Times New Roman" w:hAnsi="Times New Roman" w:eastAsia="仿宋_GB2312" w:cs="仿宋_GB2312"/>
          <w:b w:val="0"/>
          <w:bCs w:val="0"/>
          <w:color w:val="auto"/>
          <w:kern w:val="2"/>
          <w:sz w:val="32"/>
          <w:szCs w:val="32"/>
          <w:highlight w:val="none"/>
          <w:lang w:val="en-US" w:eastAsia="zh-CN" w:bidi="ar-SA"/>
        </w:rPr>
        <w:t>0万元，外事接待0批次，0人，共计支出0万元。</w:t>
      </w:r>
    </w:p>
    <w:p>
      <w:pPr>
        <w:pageBreakBefore w:val="0"/>
        <w:kinsoku/>
        <w:wordWrap/>
        <w:overflowPunct/>
        <w:topLinePunct w:val="0"/>
        <w:bidi w:val="0"/>
        <w:spacing w:line="576" w:lineRule="exact"/>
        <w:ind w:left="0" w:right="0" w:firstLine="640"/>
        <w:textAlignment w:val="auto"/>
        <w:outlineLvl w:val="1"/>
        <w:rPr>
          <w:rStyle w:val="29"/>
          <w:rFonts w:ascii="黑体" w:hAnsi="黑体" w:eastAsia="黑体"/>
          <w:color w:val="auto"/>
          <w:highlight w:val="none"/>
        </w:rPr>
      </w:pPr>
      <w:bookmarkStart w:id="46" w:name="_Toc15396610"/>
      <w:bookmarkStart w:id="47" w:name="_Toc15377218"/>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46"/>
      <w:bookmarkEnd w:id="47"/>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2021年政府性基金预算财政拨款支出0万元。</w:t>
      </w:r>
    </w:p>
    <w:p>
      <w:pPr>
        <w:pageBreakBefore w:val="0"/>
        <w:numPr>
          <w:ilvl w:val="0"/>
          <w:numId w:val="1"/>
        </w:numPr>
        <w:kinsoku/>
        <w:wordWrap/>
        <w:overflowPunct/>
        <w:topLinePunct w:val="0"/>
        <w:bidi w:val="0"/>
        <w:spacing w:line="576" w:lineRule="exact"/>
        <w:ind w:left="0" w:right="0" w:firstLine="640"/>
        <w:textAlignment w:val="auto"/>
        <w:outlineLvl w:val="1"/>
        <w:rPr>
          <w:rStyle w:val="29"/>
          <w:rFonts w:ascii="黑体" w:hAnsi="黑体" w:eastAsia="黑体"/>
          <w:b w:val="0"/>
          <w:color w:val="auto"/>
          <w:highlight w:val="none"/>
        </w:rPr>
      </w:pPr>
      <w:bookmarkStart w:id="48" w:name="_Toc15396611"/>
      <w:bookmarkStart w:id="49" w:name="_Toc15377219"/>
      <w:r>
        <w:rPr>
          <w:rStyle w:val="29"/>
          <w:rFonts w:hint="eastAsia" w:ascii="黑体" w:hAnsi="黑体" w:eastAsia="黑体"/>
          <w:b w:val="0"/>
          <w:color w:val="auto"/>
          <w:highlight w:val="none"/>
        </w:rPr>
        <w:t>国有资本经营预算支出决算情况说明</w:t>
      </w:r>
      <w:bookmarkEnd w:id="48"/>
      <w:bookmarkEnd w:id="49"/>
    </w:p>
    <w:p>
      <w:pPr>
        <w:pageBreakBefore w:val="0"/>
        <w:kinsoku/>
        <w:wordWrap/>
        <w:overflowPunct/>
        <w:topLinePunct w:val="0"/>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2021年国有资本经营预算财政拨款支出0万元。</w:t>
      </w:r>
      <w:bookmarkStart w:id="50" w:name="_Toc15396612"/>
      <w:bookmarkStart w:id="51" w:name="_Toc15377221"/>
    </w:p>
    <w:p>
      <w:pPr>
        <w:pageBreakBefore w:val="0"/>
        <w:numPr>
          <w:ilvl w:val="0"/>
          <w:numId w:val="1"/>
        </w:numPr>
        <w:kinsoku/>
        <w:wordWrap/>
        <w:overflowPunct/>
        <w:topLinePunct w:val="0"/>
        <w:bidi w:val="0"/>
        <w:spacing w:line="576" w:lineRule="exact"/>
        <w:ind w:left="0" w:right="0" w:firstLine="640"/>
        <w:textAlignment w:val="auto"/>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lang w:val="en-US" w:eastAsia="zh-CN"/>
        </w:rPr>
        <w:t>预算绩效管理情况</w:t>
      </w:r>
    </w:p>
    <w:p>
      <w:pPr>
        <w:pageBreakBefore w:val="0"/>
        <w:numPr>
          <w:ilvl w:val="0"/>
          <w:numId w:val="0"/>
        </w:numPr>
        <w:kinsoku/>
        <w:wordWrap/>
        <w:overflowPunct/>
        <w:topLinePunct w:val="0"/>
        <w:bidi w:val="0"/>
        <w:spacing w:line="576" w:lineRule="exact"/>
        <w:ind w:left="0" w:right="0" w:firstLine="640" w:firstLineChars="200"/>
        <w:textAlignment w:val="auto"/>
        <w:outlineLvl w:val="1"/>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根据预算绩效管理要求，本部门在2021年度预算编制阶段，组织对统计专线网络维护费，国家、省住户调查纸质记账业务费，国家、省住户调查电子+纸质记账补助，人口普查项目等4个项目开展了预算事前绩效评估，对4个项目编制了绩效目标，预算执行过程中，选取4个项目开展绩效监控，年终执行完毕后，对4个项目开展了绩效自评。同时，本部门对2021年部门整体开展绩效自评，《2021年广元市朝天区统计局部门整体绩效评价报告》见附件（第四部分）。</w:t>
      </w:r>
    </w:p>
    <w:p>
      <w:pPr>
        <w:pageBreakBefore w:val="0"/>
        <w:numPr>
          <w:ilvl w:val="0"/>
          <w:numId w:val="1"/>
        </w:numPr>
        <w:kinsoku/>
        <w:wordWrap/>
        <w:overflowPunct/>
        <w:topLinePunct w:val="0"/>
        <w:bidi w:val="0"/>
        <w:spacing w:line="576" w:lineRule="exact"/>
        <w:ind w:left="0" w:right="0" w:firstLine="640"/>
        <w:textAlignment w:val="auto"/>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rPr>
        <w:t>其他重要事项的情况说明</w:t>
      </w:r>
      <w:bookmarkEnd w:id="50"/>
      <w:bookmarkEnd w:id="51"/>
    </w:p>
    <w:p>
      <w:pPr>
        <w:pageBreakBefore w:val="0"/>
        <w:kinsoku/>
        <w:wordWrap/>
        <w:overflowPunct/>
        <w:topLinePunct w:val="0"/>
        <w:bidi w:val="0"/>
        <w:spacing w:line="576" w:lineRule="exact"/>
        <w:ind w:left="0" w:right="0" w:firstLine="643" w:firstLineChars="200"/>
        <w:textAlignment w:val="auto"/>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2021年，广元市朝天区统计局机关运行经费支出31.34万元，比2020年增加1.92万元，增长6.53%。主要原因是人员增加。</w:t>
      </w:r>
    </w:p>
    <w:p>
      <w:pPr>
        <w:pageBreakBefore w:val="0"/>
        <w:kinsoku/>
        <w:wordWrap/>
        <w:overflowPunct/>
        <w:topLinePunct w:val="0"/>
        <w:autoSpaceDE w:val="0"/>
        <w:autoSpaceDN w:val="0"/>
        <w:bidi w:val="0"/>
        <w:adjustRightInd w:val="0"/>
        <w:spacing w:line="576" w:lineRule="exact"/>
        <w:ind w:left="0" w:right="0" w:firstLine="643" w:firstLineChars="200"/>
        <w:jc w:val="left"/>
        <w:textAlignment w:val="auto"/>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广元市朝天区统计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ageBreakBefore w:val="0"/>
        <w:kinsoku/>
        <w:wordWrap/>
        <w:overflowPunct/>
        <w:topLinePunct w:val="0"/>
        <w:autoSpaceDE w:val="0"/>
        <w:autoSpaceDN w:val="0"/>
        <w:bidi w:val="0"/>
        <w:adjustRightInd w:val="0"/>
        <w:spacing w:line="576" w:lineRule="exact"/>
        <w:ind w:left="0" w:right="0" w:firstLine="643" w:firstLineChars="200"/>
        <w:jc w:val="left"/>
        <w:textAlignment w:val="auto"/>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pageBreakBefore w:val="0"/>
        <w:kinsoku/>
        <w:wordWrap/>
        <w:overflowPunct/>
        <w:topLinePunct w:val="0"/>
        <w:autoSpaceDE w:val="0"/>
        <w:autoSpaceDN w:val="0"/>
        <w:bidi w:val="0"/>
        <w:adjustRightInd w:val="0"/>
        <w:spacing w:line="576" w:lineRule="exact"/>
        <w:ind w:left="0" w:right="0" w:firstLine="640" w:firstLineChars="200"/>
        <w:jc w:val="left"/>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截至2021年12月31日，广元市朝天区统计局共有车辆0辆，其中：主要领导干部用车0辆、机要通信用车0辆、应急保障用车0辆、其他用车0辆、单价50万元以上通用设备0台（套），单价100万元以上专用设备0台（套）。</w:t>
      </w:r>
    </w:p>
    <w:p>
      <w:pPr>
        <w:pageBreakBefore w:val="0"/>
        <w:widowControl/>
        <w:kinsoku/>
        <w:wordWrap/>
        <w:overflowPunct/>
        <w:topLinePunct w:val="0"/>
        <w:bidi w:val="0"/>
        <w:spacing w:line="576" w:lineRule="exact"/>
        <w:ind w:left="0" w:right="0"/>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2"/>
        </w:numPr>
        <w:kinsoku/>
        <w:wordWrap/>
        <w:overflowPunct/>
        <w:topLinePunct w:val="0"/>
        <w:bidi w:val="0"/>
        <w:spacing w:line="576" w:lineRule="exact"/>
        <w:ind w:left="0" w:right="0" w:firstLine="660" w:firstLineChars="150"/>
        <w:jc w:val="center"/>
        <w:textAlignment w:val="auto"/>
        <w:outlineLvl w:val="0"/>
        <w:rPr>
          <w:rStyle w:val="28"/>
          <w:rFonts w:ascii="黑体" w:hAnsi="黑体" w:eastAsia="黑体"/>
          <w:b w:val="0"/>
          <w:color w:val="auto"/>
          <w:highlight w:val="none"/>
        </w:rPr>
      </w:pPr>
      <w:bookmarkStart w:id="55" w:name="_Toc15396613"/>
      <w:bookmarkStart w:id="56"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55"/>
      <w:bookmarkEnd w:id="56"/>
    </w:p>
    <w:p>
      <w:pPr>
        <w:pageBreakBefore w:val="0"/>
        <w:kinsoku/>
        <w:wordWrap/>
        <w:overflowPunct/>
        <w:topLinePunct w:val="0"/>
        <w:bidi w:val="0"/>
        <w:spacing w:line="576" w:lineRule="exact"/>
        <w:ind w:left="0" w:right="0"/>
        <w:jc w:val="left"/>
        <w:textAlignment w:val="auto"/>
        <w:rPr>
          <w:rFonts w:ascii="宋体"/>
          <w:b/>
          <w:color w:val="auto"/>
          <w:sz w:val="44"/>
          <w:szCs w:val="44"/>
          <w:highlight w:val="none"/>
        </w:rPr>
      </w:pPr>
    </w:p>
    <w:p>
      <w:pPr>
        <w:pStyle w:val="26"/>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1.财政拨款收入：指单位从同级财政部门取得的财政预算资金。</w:t>
      </w:r>
    </w:p>
    <w:p>
      <w:pPr>
        <w:pStyle w:val="26"/>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 xml:space="preserve">2.年初结转和结余：指以前年度尚未完成、结转到本年按有关规定继续使用的资金。 </w:t>
      </w:r>
    </w:p>
    <w:p>
      <w:pPr>
        <w:keepNext w:val="0"/>
        <w:keepLines w:val="0"/>
        <w:pageBreakBefore w:val="0"/>
        <w:numPr>
          <w:ilvl w:val="0"/>
          <w:numId w:val="0"/>
        </w:numPr>
        <w:kinsoku/>
        <w:wordWrap/>
        <w:overflowPunct/>
        <w:topLinePunct w:val="0"/>
        <w:bidi w:val="0"/>
        <w:snapToGrid/>
        <w:spacing w:line="576" w:lineRule="exact"/>
        <w:ind w:right="0" w:rightChars="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3.一般公共服务（类）统计信息事务（款）行政运行（项）：指行政单位的基本支出。</w:t>
      </w:r>
    </w:p>
    <w:p>
      <w:pPr>
        <w:keepNext w:val="0"/>
        <w:keepLines w:val="0"/>
        <w:pageBreakBefore w:val="0"/>
        <w:numPr>
          <w:ilvl w:val="0"/>
          <w:numId w:val="0"/>
        </w:numPr>
        <w:kinsoku/>
        <w:wordWrap/>
        <w:overflowPunct/>
        <w:topLinePunct w:val="0"/>
        <w:bidi w:val="0"/>
        <w:snapToGrid/>
        <w:spacing w:line="576" w:lineRule="exact"/>
        <w:ind w:right="0" w:rightChars="0"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4.一般公共服务（类）统计信息事务（款）一般行政管理事务（项）: 指行政单位未单独设置项级科目的其他项目支出。</w:t>
      </w:r>
    </w:p>
    <w:p>
      <w:pPr>
        <w:keepNext w:val="0"/>
        <w:keepLines w:val="0"/>
        <w:pageBreakBefore w:val="0"/>
        <w:kinsoku/>
        <w:wordWrap/>
        <w:overflowPunct/>
        <w:topLinePunct w:val="0"/>
        <w:bidi w:val="0"/>
        <w:snapToGrid/>
        <w:spacing w:line="576" w:lineRule="exact"/>
        <w:ind w:right="0"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5.一般公共服务（类）统计信息事务（款）专项统计业务（项）: 指单位在日常业务之外开展专项统计工作的支出。</w:t>
      </w:r>
    </w:p>
    <w:p>
      <w:pPr>
        <w:keepNext w:val="0"/>
        <w:keepLines w:val="0"/>
        <w:pageBreakBefore w:val="0"/>
        <w:kinsoku/>
        <w:wordWrap/>
        <w:overflowPunct/>
        <w:topLinePunct w:val="0"/>
        <w:bidi w:val="0"/>
        <w:snapToGrid/>
        <w:spacing w:line="576" w:lineRule="exact"/>
        <w:ind w:left="0" w:right="0"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6.一般公共服务（类）统计信息事务（款）专项普查活动（项）: 指开展人口普查、经济普查、农业普查、投入产出调查等周期性普查工作的支出。</w:t>
      </w:r>
    </w:p>
    <w:p>
      <w:pPr>
        <w:keepNext w:val="0"/>
        <w:keepLines w:val="0"/>
        <w:pageBreakBefore w:val="0"/>
        <w:kinsoku/>
        <w:wordWrap/>
        <w:overflowPunct/>
        <w:topLinePunct w:val="0"/>
        <w:bidi w:val="0"/>
        <w:snapToGrid/>
        <w:spacing w:line="576" w:lineRule="exact"/>
        <w:ind w:left="0" w:right="0"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7.一般公共服务（类）统计信息事务（款）事业运行（项）:指事业单位的基本支出，不包括行政单位后勤服务中心、医务室等附属事业单位。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8.社会保障和就业（类）行政事业单位养老支出（款）机关事业单位基本养老保险缴费支出（项）: 指机关事业单位实施养老保险制度由单位缴纳的基本养老保险费支出。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9.社会保障和就业（类）行政事业单位养老支出（款）机关事业单位职业年金缴费支出（项）:指机关事业单位实施养老保险制度由单位实际缴纳的职业年金支出。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10.卫生健康（类）卫生健康管理事务（款）行政运行（项）:指行政单位的基本支出。</w:t>
      </w:r>
    </w:p>
    <w:p>
      <w:pPr>
        <w:pStyle w:val="26"/>
        <w:keepNext w:val="0"/>
        <w:keepLines w:val="0"/>
        <w:pageBreakBefore w:val="0"/>
        <w:numPr>
          <w:ilvl w:val="0"/>
          <w:numId w:val="0"/>
        </w:numPr>
        <w:kinsoku/>
        <w:wordWrap/>
        <w:overflowPunct/>
        <w:topLinePunct w:val="0"/>
        <w:bidi w:val="0"/>
        <w:snapToGrid/>
        <w:spacing w:line="576" w:lineRule="exact"/>
        <w:ind w:right="0" w:rightChars="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11.住房保障（类）住房改革支出（款）住房公积金（项）:指行政事业单位按人力资源和社会保障部、财政部规定的基本工资和津贴补贴以及规定比例为职工缴纳的住房公积金。</w:t>
      </w:r>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12.基本支出：指为保障机构正常运转、完成日常工作任务而发生的人员支出和公用支出。</w:t>
      </w:r>
    </w:p>
    <w:p>
      <w:pPr>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 xml:space="preserve">13.项目支出：指在基本支出之外为完成特定行政任务和事业发展目标所发生的支出。 </w:t>
      </w:r>
    </w:p>
    <w:p>
      <w:pPr>
        <w:pStyle w:val="26"/>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pageBreakBefore w:val="0"/>
        <w:kinsoku/>
        <w:wordWrap/>
        <w:overflowPunct/>
        <w:topLinePunct w:val="0"/>
        <w:bidi w:val="0"/>
        <w:spacing w:line="576" w:lineRule="exact"/>
        <w:ind w:left="0" w:right="0" w:firstLine="640"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76" w:lineRule="exact"/>
        <w:ind w:left="0" w:right="0"/>
        <w:jc w:val="center"/>
        <w:textAlignment w:val="auto"/>
        <w:outlineLvl w:val="0"/>
        <w:rPr>
          <w:rStyle w:val="28"/>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6" w:lineRule="exact"/>
        <w:ind w:left="0" w:right="0"/>
        <w:jc w:val="left"/>
        <w:textAlignment w:val="auto"/>
        <w:outlineLvl w:val="0"/>
        <w:rPr>
          <w:rFonts w:ascii="方正小标宋简体" w:hAnsi="方正小标宋简体" w:eastAsia="方正小标宋简体" w:cs="方正小标宋简体"/>
          <w:color w:val="auto"/>
          <w:sz w:val="44"/>
          <w:szCs w:val="44"/>
          <w:highlight w:val="none"/>
        </w:rPr>
      </w:pPr>
    </w:p>
    <w:p>
      <w:pPr>
        <w:keepNext w:val="0"/>
        <w:keepLines w:val="0"/>
        <w:pageBreakBefore w:val="0"/>
        <w:widowControl/>
        <w:kinsoku/>
        <w:wordWrap/>
        <w:overflowPunct/>
        <w:topLinePunct w:val="0"/>
        <w:autoSpaceDE/>
        <w:autoSpaceDN/>
        <w:bidi w:val="0"/>
        <w:adjustRightInd w:val="0"/>
        <w:snapToGrid w:val="0"/>
        <w:spacing w:line="576" w:lineRule="exact"/>
        <w:ind w:right="0"/>
        <w:contextualSpacing/>
        <w:jc w:val="center"/>
        <w:textAlignment w:val="auto"/>
        <w:rPr>
          <w:rFonts w:hint="eastAsia" w:ascii="黑体" w:hAnsi="宋体" w:eastAsia="黑体" w:cs="宋体"/>
          <w:color w:val="auto"/>
          <w:kern w:val="0"/>
          <w:sz w:val="24"/>
          <w:szCs w:val="32"/>
          <w:highlight w:val="none"/>
          <w:shd w:val="clear" w:color="auto" w:fill="FFFFFF"/>
          <w:lang w:eastAsia="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广元市朝天区统计局</w:t>
      </w:r>
      <w:r>
        <w:rPr>
          <w:rFonts w:hint="eastAsia" w:ascii="方正小标宋简体" w:hAnsi="宋体" w:eastAsia="方正小标宋简体"/>
          <w:color w:val="auto"/>
          <w:kern w:val="0"/>
          <w:sz w:val="40"/>
          <w:szCs w:val="44"/>
          <w:highlight w:val="none"/>
        </w:rPr>
        <w:t>部门整体绩效评价报</w:t>
      </w:r>
      <w:r>
        <w:rPr>
          <w:rFonts w:hint="eastAsia" w:ascii="方正小标宋简体" w:hAnsi="宋体" w:eastAsia="方正小标宋简体"/>
          <w:color w:val="auto"/>
          <w:kern w:val="0"/>
          <w:sz w:val="40"/>
          <w:szCs w:val="44"/>
          <w:highlight w:val="none"/>
          <w:lang w:val="en-US" w:eastAsia="zh-CN"/>
        </w:rPr>
        <w:t xml:space="preserve">  </w:t>
      </w:r>
      <w:r>
        <w:rPr>
          <w:rFonts w:hint="eastAsia" w:ascii="方正小标宋简体" w:hAnsi="宋体" w:eastAsia="方正小标宋简体"/>
          <w:color w:val="auto"/>
          <w:kern w:val="0"/>
          <w:sz w:val="40"/>
          <w:szCs w:val="44"/>
          <w:highlight w:val="none"/>
        </w:rPr>
        <w:t>告</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pStyle w:val="2"/>
        <w:keepNext w:val="0"/>
        <w:keepLines w:val="0"/>
        <w:pageBreakBefore w:val="0"/>
        <w:kinsoku/>
        <w:wordWrap/>
        <w:overflowPunct/>
        <w:topLinePunct w:val="0"/>
        <w:autoSpaceDE/>
        <w:autoSpaceDN/>
        <w:bidi w:val="0"/>
        <w:spacing w:line="576" w:lineRule="exact"/>
        <w:ind w:left="0" w:leftChars="0" w:firstLine="640" w:firstLineChars="200"/>
        <w:textAlignment w:val="auto"/>
        <w:rPr>
          <w:rFonts w:hint="eastAsia" w:ascii="Times New Roman" w:hAnsi="Times New Roman" w:eastAsia="仿宋_GB2312" w:cs="仿宋_GB2312"/>
          <w:b w:val="0"/>
          <w:bCs w:val="0"/>
          <w:color w:val="auto"/>
          <w:kern w:val="2"/>
          <w:sz w:val="32"/>
          <w:szCs w:val="32"/>
          <w:highlight w:val="none"/>
          <w:lang w:val="zh-CN" w:eastAsia="zh-CN" w:bidi="ar-SA"/>
        </w:rPr>
      </w:pPr>
      <w:r>
        <w:rPr>
          <w:rFonts w:hint="eastAsia" w:ascii="仿宋_GB2312" w:hAnsi="宋体" w:eastAsia="仿宋_GB2312" w:cs="宋体"/>
          <w:color w:val="auto"/>
          <w:kern w:val="0"/>
          <w:sz w:val="32"/>
          <w:szCs w:val="32"/>
          <w:highlight w:val="none"/>
          <w:shd w:val="clear" w:color="auto" w:fill="FFFFFF"/>
          <w:lang w:val="zh-CN"/>
        </w:rPr>
        <w:t>（一）机构组成。</w:t>
      </w:r>
      <w:r>
        <w:rPr>
          <w:rFonts w:hint="eastAsia" w:ascii="Times New Roman" w:hAnsi="Times New Roman" w:eastAsia="仿宋_GB2312" w:cs="仿宋_GB2312"/>
          <w:b w:val="0"/>
          <w:bCs w:val="0"/>
          <w:color w:val="auto"/>
          <w:kern w:val="2"/>
          <w:sz w:val="32"/>
          <w:szCs w:val="32"/>
          <w:highlight w:val="none"/>
          <w:lang w:val="zh-CN" w:eastAsia="zh-CN" w:bidi="ar-SA"/>
        </w:rPr>
        <w:t>我</w:t>
      </w:r>
      <w:r>
        <w:rPr>
          <w:rFonts w:hint="eastAsia" w:ascii="Times New Roman" w:hAnsi="Times New Roman" w:eastAsia="仿宋_GB2312" w:cs="仿宋_GB2312"/>
          <w:b w:val="0"/>
          <w:bCs w:val="0"/>
          <w:color w:val="auto"/>
          <w:kern w:val="2"/>
          <w:sz w:val="32"/>
          <w:szCs w:val="32"/>
          <w:highlight w:val="none"/>
          <w:lang w:val="en-US" w:eastAsia="zh-CN" w:bidi="ar-SA"/>
        </w:rPr>
        <w:t>局</w:t>
      </w:r>
      <w:r>
        <w:rPr>
          <w:rFonts w:hint="eastAsia" w:ascii="Times New Roman" w:hAnsi="Times New Roman" w:eastAsia="仿宋_GB2312" w:cs="仿宋_GB2312"/>
          <w:b w:val="0"/>
          <w:bCs w:val="0"/>
          <w:color w:val="auto"/>
          <w:kern w:val="2"/>
          <w:sz w:val="32"/>
          <w:szCs w:val="32"/>
          <w:highlight w:val="none"/>
          <w:lang w:val="zh-CN" w:eastAsia="zh-CN" w:bidi="ar-SA"/>
        </w:rPr>
        <w:t>隶属朝天区人民政府，一级财政拨款收入预算单位，</w:t>
      </w:r>
      <w:r>
        <w:rPr>
          <w:rFonts w:hint="eastAsia" w:ascii="Times New Roman" w:hAnsi="Times New Roman" w:eastAsia="仿宋_GB2312" w:cs="仿宋_GB2312"/>
          <w:b w:val="0"/>
          <w:bCs w:val="0"/>
          <w:color w:val="auto"/>
          <w:kern w:val="2"/>
          <w:sz w:val="32"/>
          <w:szCs w:val="32"/>
          <w:highlight w:val="none"/>
          <w:lang w:val="en-US" w:eastAsia="zh-CN" w:bidi="ar-SA"/>
        </w:rPr>
        <w:t>内设机构4个，即：办公室、政策法规股（区统计局执法队）、综合核算股（工业能源股）、投资服务业股（农业股），以及普查中心、信息中心、统计调查大队。</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zh-CN" w:eastAsia="zh-CN" w:bidi="ar-SA"/>
        </w:rPr>
      </w:pPr>
      <w:r>
        <w:rPr>
          <w:rFonts w:hint="eastAsia" w:ascii="Times New Roman" w:hAnsi="Times New Roman" w:eastAsia="仿宋_GB2312" w:cs="仿宋_GB2312"/>
          <w:b w:val="0"/>
          <w:bCs w:val="0"/>
          <w:color w:val="auto"/>
          <w:kern w:val="2"/>
          <w:sz w:val="32"/>
          <w:szCs w:val="32"/>
          <w:highlight w:val="none"/>
          <w:lang w:val="zh-CN" w:eastAsia="zh-CN" w:bidi="ar-SA"/>
        </w:rPr>
        <w:t>（二）机构职能</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贯彻执行国家、省、市统计工作的方针、政策和法律、法规以及统计制度、统计标准，起草地方统计规章草案，制订全区统计规划以及地方统计制度、统计标准，审批乡镇、区级各部门的地方统计调查项目以及涉外统计调查机构和项目，组织领导和协调全区统计工作，确保统计数据真实、准确、及时。</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2.建立健全全区国民经济核算体系，组织实施全区国民经济核算制度，核算全区地区生产总值，整理提供国民经济核算资料，开展分析研究，指导、监督乡镇国民经济核算工作。</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组织实施农林牧渔业、工业、建筑业、批发和零售业、住宿和餐饮业、房地产业等国民经济行业以及能源、投资、人口、收入、科技、社会发展基本情况、环境基本状况等领域的统计调查，建立全区经济社会发展监测评价制度及指标体系，对重点区域和重要领域实施监测评价，牵头综合整理和提供资源、房屋、旅游、教育、卫生、邮电、交通运输、社会保障、公用事业、对外贸易、对外经济等全区基本统计资料。</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4.组织实施人口、经济、农业等普查和重大国情国力专项调查，组织实施全区投入产出调查。</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5.建立健全全区统计数据质量审核、监控和评估制度，依法对乡镇、区级各部门和企事业单位重要统计数据进行审核、监控和评估，组织指导统计基层基础建设。</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6.对国民经济、社会发展、科技进步和资源环境等情况进行统计分析和预测，定期发布全区经济社会发展情况的统计信息，向区委、区政府及有关部门提供统计咨询建议，向社会公众提供统计信息服务。</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7.会同有关部门组织管理全区统计专业资格考试、职务评聘和从业资格认定工作，指导全区统计专业人才队伍建设，开展统计交流与合作。</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8.组织制订全区、区级部门统计数据库和网络的基本标准和运行规则，建立健全全区统计数据库系统和统计信息自动化系统，建立健全区级部门统计信息共享制度，指导地方统计信息化建设。</w:t>
      </w:r>
    </w:p>
    <w:p>
      <w:pPr>
        <w:pStyle w:val="15"/>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right="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9.承担区政府公布的有关审批和服务事项。</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kern w:val="2"/>
          <w:sz w:val="32"/>
          <w:szCs w:val="32"/>
          <w:lang w:val="en-US" w:eastAsia="zh-CN" w:bidi="ar-SA"/>
        </w:rPr>
        <w:t>10.承办区政府交办的其他事项。</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r>
        <w:rPr>
          <w:rFonts w:hint="eastAsia" w:ascii="仿宋_GB2312" w:hAnsi="仿宋_GB2312" w:eastAsia="仿宋_GB2312" w:cs="仿宋_GB2312"/>
          <w:kern w:val="2"/>
          <w:sz w:val="32"/>
          <w:szCs w:val="32"/>
          <w:lang w:val="en-US" w:eastAsia="zh-CN" w:bidi="ar-SA"/>
        </w:rPr>
        <w:t>2021年底实有在职人员23人,其中：行政人员9人，事业人员13人，工勤人员1人。</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kinsoku/>
        <w:wordWrap/>
        <w:overflowPunct/>
        <w:topLinePunct w:val="0"/>
        <w:autoSpaceDN/>
        <w:bidi w:val="0"/>
        <w:spacing w:line="576" w:lineRule="exact"/>
        <w:ind w:left="0" w:right="0" w:firstLine="64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zh-CN" w:eastAsia="zh-CN" w:bidi="ar-SA"/>
        </w:rPr>
        <w:t>（一）部门财政资金收入情况。</w:t>
      </w:r>
      <w:r>
        <w:rPr>
          <w:rFonts w:hint="eastAsia" w:ascii="Times New Roman" w:hAnsi="Times New Roman" w:eastAsia="仿宋_GB2312" w:cs="仿宋_GB2312"/>
          <w:b w:val="0"/>
          <w:bCs w:val="0"/>
          <w:color w:val="auto"/>
          <w:kern w:val="2"/>
          <w:sz w:val="32"/>
          <w:szCs w:val="32"/>
          <w:highlight w:val="none"/>
          <w:lang w:val="en-US" w:eastAsia="zh-CN" w:bidi="ar-SA"/>
        </w:rPr>
        <w:t>我局2021年度财政拨款收入总计542.85万元。</w:t>
      </w:r>
    </w:p>
    <w:p>
      <w:pPr>
        <w:pStyle w:val="2"/>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宋体" w:eastAsia="仿宋_GB2312" w:cs="宋体"/>
          <w:color w:val="auto"/>
          <w:kern w:val="0"/>
          <w:sz w:val="32"/>
          <w:szCs w:val="32"/>
          <w:highlight w:val="none"/>
          <w:shd w:val="clear" w:color="auto" w:fill="FFFFFF"/>
          <w:lang w:val="zh-CN"/>
        </w:rPr>
        <w:t>（二）部门财政资金支出情况。</w:t>
      </w:r>
      <w:r>
        <w:rPr>
          <w:rFonts w:hint="eastAsia" w:ascii="仿宋_GB2312" w:hAnsi="仿宋_GB2312" w:eastAsia="仿宋_GB2312" w:cs="仿宋_GB2312"/>
          <w:kern w:val="2"/>
          <w:sz w:val="32"/>
          <w:szCs w:val="32"/>
          <w:lang w:val="en-US" w:eastAsia="zh-CN" w:bidi="ar-SA"/>
        </w:rPr>
        <w:t>截止2021年度，既定的工作目标和项目均已实施完成，各项目资金共计542.85万元全部执行完毕。</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eastAsia="楷体_GB2312" w:cs="Times New Roman"/>
          <w:color w:val="auto"/>
          <w:kern w:val="0"/>
          <w:sz w:val="32"/>
          <w:szCs w:val="32"/>
          <w:shd w:val="clear" w:color="auto" w:fill="FFFFFF"/>
          <w:lang w:val="en-US" w:eastAsia="zh-CN"/>
        </w:rPr>
        <w:t>1.</w:t>
      </w:r>
      <w:r>
        <w:rPr>
          <w:rFonts w:hint="eastAsia" w:ascii="楷体_GB2312" w:hAnsi="Times New Roman" w:eastAsia="楷体_GB2312" w:cs="Times New Roman"/>
          <w:color w:val="auto"/>
          <w:kern w:val="0"/>
          <w:sz w:val="32"/>
          <w:szCs w:val="32"/>
          <w:shd w:val="clear" w:color="auto" w:fill="FFFFFF"/>
        </w:rPr>
        <w:t>预算编制</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编制质量</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结合本单位实际，严格按照预算管理的相关规定要求,科学合理编制202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年预算,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预算配置</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我局2021年度部门预算542.85万元。其中：人员类工作经费295.29元，保障单位办公运转的公用经费为25.14万元，三大产业奖励金4万元，国家、省住户调查电子+纸质记账补助70.8万元，国家、省住户调查纸质记账业务费10万元，统计专线网络维护费7.62元，人口普查130万元元。</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eastAsia="楷体_GB2312" w:cs="Times New Roman"/>
          <w:color w:val="auto"/>
          <w:kern w:val="0"/>
          <w:sz w:val="32"/>
          <w:szCs w:val="32"/>
          <w:shd w:val="clear" w:color="auto" w:fill="FFFFFF"/>
          <w:lang w:val="en-US" w:eastAsia="zh-CN"/>
        </w:rPr>
        <w:t>2.</w:t>
      </w:r>
      <w:r>
        <w:rPr>
          <w:rFonts w:hint="eastAsia" w:ascii="楷体_GB2312" w:hAnsi="Times New Roman" w:eastAsia="楷体_GB2312" w:cs="Times New Roman"/>
          <w:color w:val="auto"/>
          <w:kern w:val="0"/>
          <w:sz w:val="32"/>
          <w:szCs w:val="32"/>
          <w:shd w:val="clear" w:color="auto" w:fill="FFFFFF"/>
        </w:rPr>
        <w:t>预算执行</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执行进度</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年度收入</w:t>
      </w:r>
      <w:r>
        <w:rPr>
          <w:rFonts w:hint="eastAsia" w:ascii="仿宋_GB2312" w:hAnsi="仿宋_GB2312" w:eastAsia="仿宋_GB2312" w:cs="仿宋_GB2312"/>
          <w:color w:val="auto"/>
          <w:sz w:val="32"/>
          <w:szCs w:val="32"/>
          <w:lang w:val="en-US" w:eastAsia="zh-CN"/>
        </w:rPr>
        <w:t>542.85</w:t>
      </w:r>
      <w:r>
        <w:rPr>
          <w:rFonts w:hint="eastAsia" w:ascii="仿宋_GB2312" w:hAnsi="仿宋_GB2312" w:eastAsia="仿宋_GB2312" w:cs="仿宋_GB2312"/>
          <w:color w:val="auto"/>
          <w:sz w:val="32"/>
          <w:szCs w:val="32"/>
        </w:rPr>
        <w:t>万元，支出</w:t>
      </w:r>
      <w:r>
        <w:rPr>
          <w:rFonts w:hint="eastAsia" w:ascii="仿宋_GB2312" w:hAnsi="仿宋_GB2312" w:eastAsia="仿宋_GB2312" w:cs="仿宋_GB2312"/>
          <w:color w:val="auto"/>
          <w:sz w:val="32"/>
          <w:szCs w:val="32"/>
          <w:lang w:val="en-US" w:eastAsia="zh-CN"/>
        </w:rPr>
        <w:t>542.85</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324.43</w:t>
      </w:r>
      <w:r>
        <w:rPr>
          <w:rFonts w:hint="eastAsia" w:ascii="仿宋_GB2312" w:hAnsi="仿宋_GB2312" w:eastAsia="仿宋_GB2312" w:cs="仿宋_GB2312"/>
          <w:color w:val="auto"/>
          <w:sz w:val="32"/>
          <w:szCs w:val="32"/>
        </w:rPr>
        <w:t>万元，项目支出</w:t>
      </w:r>
      <w:r>
        <w:rPr>
          <w:rFonts w:hint="eastAsia" w:ascii="仿宋_GB2312" w:hAnsi="仿宋_GB2312" w:eastAsia="仿宋_GB2312" w:cs="仿宋_GB2312"/>
          <w:color w:val="auto"/>
          <w:sz w:val="32"/>
          <w:szCs w:val="32"/>
          <w:lang w:val="en-US" w:eastAsia="zh-CN"/>
        </w:rPr>
        <w:t>218.42</w:t>
      </w:r>
      <w:r>
        <w:rPr>
          <w:rFonts w:hint="eastAsia" w:ascii="仿宋_GB2312" w:hAnsi="仿宋_GB2312" w:eastAsia="仿宋_GB2312" w:cs="仿宋_GB2312"/>
          <w:color w:val="auto"/>
          <w:sz w:val="32"/>
          <w:szCs w:val="32"/>
        </w:rPr>
        <w:t>万元，预算执行率100%。</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预算调整</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调整</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经费控制</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方正仿宋简体" w:hAnsi="宋体" w:eastAsia="方正仿宋简体" w:cs="宋体"/>
          <w:color w:val="auto"/>
          <w:kern w:val="0"/>
          <w:szCs w:val="32"/>
        </w:rPr>
      </w:pPr>
      <w:r>
        <w:rPr>
          <w:rFonts w:hint="eastAsia" w:ascii="仿宋_GB2312" w:hAnsi="仿宋_GB2312" w:eastAsia="仿宋_GB2312" w:cs="仿宋_GB2312"/>
          <w:color w:val="auto"/>
          <w:sz w:val="32"/>
          <w:szCs w:val="32"/>
          <w:lang w:val="en-US" w:eastAsia="zh-CN"/>
        </w:rPr>
        <w:t>2021年度，我局建章立制，按照“三重一大”制度、财务管理制度、内控制度等严格使用项目资金，坚决杜绝超范围、超标准使用项目专项经费，严格执行年初预算，认真履职，以严实的优良工作作风做好职能职责范围内的工作。</w:t>
      </w:r>
    </w:p>
    <w:p>
      <w:pPr>
        <w:keepNext w:val="0"/>
        <w:keepLines w:val="0"/>
        <w:pageBreakBefore w:val="0"/>
        <w:numPr>
          <w:ilvl w:val="0"/>
          <w:numId w:val="0"/>
        </w:numPr>
        <w:kinsoku/>
        <w:wordWrap/>
        <w:overflowPunct/>
        <w:topLinePunct w:val="0"/>
        <w:autoSpaceDN/>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政府采购</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2021年度无采购。</w:t>
      </w:r>
    </w:p>
    <w:p>
      <w:pPr>
        <w:keepNext w:val="0"/>
        <w:keepLines w:val="0"/>
        <w:pageBreakBefore w:val="0"/>
        <w:kinsoku/>
        <w:wordWrap/>
        <w:overflowPunct/>
        <w:topLinePunct w:val="0"/>
        <w:autoSpaceDN/>
        <w:bidi w:val="0"/>
        <w:snapToGrid/>
        <w:spacing w:line="57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预算管理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使用合规，符合国家财经法规和财务管理制度规定以及有关专项资金管理办法规定，资金的拨付严格审批程序和手续，不存在截留、挤占、挪用、虚列支出等情况。资金使用合理，预算资金使用与批准的预算内容相符合。管理制度比较健全，基础信息完善，制度执行总体较好，但仍需进一步强化。</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eastAsia="楷体_GB2312" w:cs="Times New Roman"/>
          <w:color w:val="auto"/>
          <w:kern w:val="0"/>
          <w:sz w:val="32"/>
          <w:szCs w:val="32"/>
          <w:shd w:val="clear" w:color="auto" w:fill="FFFFFF"/>
          <w:lang w:val="en-US" w:eastAsia="zh-CN"/>
        </w:rPr>
        <w:t>3.</w:t>
      </w:r>
      <w:r>
        <w:rPr>
          <w:rFonts w:hint="eastAsia" w:ascii="楷体_GB2312" w:hAnsi="Times New Roman" w:eastAsia="楷体_GB2312" w:cs="Times New Roman"/>
          <w:color w:val="auto"/>
          <w:kern w:val="0"/>
          <w:sz w:val="32"/>
          <w:szCs w:val="32"/>
          <w:shd w:val="clear" w:color="auto" w:fill="FFFFFF"/>
        </w:rPr>
        <w:t>综合管理情况</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加强资产管理，规范资产管理制度</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将所有资产纳入资产信息系统管理，按要求及时、准确、全面开展资产清查工作，按时完成资产月报、年报工作。</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部门内部控制制度健全情况。</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内部控制制度健全完整，在本年度没有因内控制度不健全或执行不到位，造成单位出现廉政风险和发生重大责任事故。</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预决算及绩效信息公开情况。</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按要求依法公开了预算、决算和整体绩效自评报告。</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绩效评价开展、评价结果报告及问题整改情况。</w:t>
      </w:r>
    </w:p>
    <w:p>
      <w:pPr>
        <w:keepNext w:val="0"/>
        <w:keepLines w:val="0"/>
        <w:pageBreakBefore w:val="0"/>
        <w:kinsoku/>
        <w:wordWrap/>
        <w:overflowPunct/>
        <w:topLinePunct w:val="0"/>
        <w:autoSpaceDN/>
        <w:bidi w:val="0"/>
        <w:snapToGrid/>
        <w:spacing w:line="576"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我单位将202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个项目进行了绩效评价（即：国家、省住户调查电子+纸质记账补助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国家、省住户调查纸质记账业务费</w:t>
      </w:r>
      <w:r>
        <w:rPr>
          <w:rFonts w:hint="eastAsia" w:ascii="仿宋_GB2312" w:hAnsi="仿宋_GB2312" w:eastAsia="仿宋_GB2312" w:cs="仿宋_GB2312"/>
          <w:color w:val="auto"/>
          <w:sz w:val="32"/>
          <w:szCs w:val="32"/>
          <w:lang w:eastAsia="zh-CN"/>
        </w:rPr>
        <w:t>，统计专线网络维护费，人口普查</w:t>
      </w:r>
      <w:r>
        <w:rPr>
          <w:rFonts w:hint="eastAsia" w:ascii="仿宋_GB2312" w:hAnsi="仿宋_GB2312" w:eastAsia="仿宋_GB2312" w:cs="仿宋_GB2312"/>
          <w:color w:val="auto"/>
          <w:sz w:val="32"/>
          <w:szCs w:val="32"/>
        </w:rPr>
        <w:t>），并按要求向财政部门报告自评报告及相关绩效信息，对绩效评价发现</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问题制定整改措施，并整改落实到位。</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auto"/>
          <w:kern w:val="0"/>
          <w:sz w:val="32"/>
          <w:szCs w:val="32"/>
          <w:shd w:val="clear" w:color="auto" w:fill="FFFFFF"/>
        </w:rPr>
      </w:pPr>
      <w:r>
        <w:rPr>
          <w:rFonts w:hint="eastAsia" w:ascii="楷体_GB2312" w:eastAsia="楷体_GB2312" w:cs="Times New Roman"/>
          <w:color w:val="auto"/>
          <w:kern w:val="0"/>
          <w:sz w:val="32"/>
          <w:szCs w:val="32"/>
          <w:shd w:val="clear" w:color="auto" w:fill="FFFFFF"/>
          <w:lang w:val="en-US" w:eastAsia="zh-CN"/>
        </w:rPr>
        <w:t>4.</w:t>
      </w:r>
      <w:r>
        <w:rPr>
          <w:rFonts w:hint="eastAsia" w:ascii="楷体_GB2312" w:hAnsi="Times New Roman" w:eastAsia="楷体_GB2312" w:cs="Times New Roman"/>
          <w:color w:val="auto"/>
          <w:kern w:val="0"/>
          <w:sz w:val="32"/>
          <w:szCs w:val="32"/>
          <w:shd w:val="clear" w:color="auto" w:fill="FFFFFF"/>
        </w:rPr>
        <w:t>部门整体效益情况</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履职完成情况：</w:t>
      </w:r>
      <w:r>
        <w:rPr>
          <w:rFonts w:hint="eastAsia" w:ascii="仿宋_GB2312" w:hAnsi="仿宋_GB2312" w:eastAsia="仿宋_GB2312" w:cs="仿宋_GB2312"/>
          <w:color w:val="auto"/>
          <w:sz w:val="32"/>
          <w:szCs w:val="32"/>
          <w:lang w:val="en-US" w:eastAsia="zh-CN"/>
        </w:rPr>
        <w:t>2021年度，我局完成了各项专项经费的使用，根据实际工作情况，按时足额的进行了拨付，无超支、超标准、超范围使用项目资金情况发生。截止2021年底，我局全面完成了年度各项工作安排，在有限的经费下，高效的完成了区委区政府下达的任务。</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履职效果情况：</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经济效益：增加领取补助人员经济效益。</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社会效益：按时按质完成了各项统计工作，对全区各项经济指标进行了分析并定期对外发布，使社会了解全区经济发展情况，并为全区制定民生政策提供数据支撑。</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社会满意度及可持续性影响。</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可持续影响指标</w:t>
      </w:r>
      <w:r>
        <w:rPr>
          <w:rFonts w:hint="eastAsia" w:ascii="仿宋_GB2312" w:hAnsi="仿宋_GB2312" w:eastAsia="仿宋_GB2312" w:cs="仿宋_GB2312"/>
          <w:color w:val="auto"/>
          <w:sz w:val="32"/>
          <w:szCs w:val="32"/>
          <w:lang w:eastAsia="zh-CN"/>
        </w:rPr>
        <w:t>：项目完成度和项目完成质量及后续延伸。</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color w:val="auto"/>
          <w:sz w:val="32"/>
          <w:szCs w:val="32"/>
          <w:lang w:eastAsia="zh-CN"/>
        </w:rPr>
        <w:t>满意度指标：</w:t>
      </w:r>
      <w:r>
        <w:rPr>
          <w:rFonts w:hint="eastAsia" w:ascii="仿宋_GB2312" w:hAnsi="仿宋_GB2312" w:eastAsia="仿宋_GB2312" w:cs="仿宋_GB2312"/>
          <w:color w:val="auto"/>
          <w:sz w:val="32"/>
          <w:szCs w:val="32"/>
          <w:lang w:val="en-US" w:eastAsia="zh-CN"/>
        </w:rPr>
        <w:t>群众满意度100%。</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1、内部应用</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我局开展整体支出绩效自评，旨在全方位了解年度内资金使用情况、整体效益等，以便预算资金数据化，为今后的工作开展提供参考，提高资金使用效率，规避资金浪费风险和项目运行不良影响。</w:t>
      </w:r>
    </w:p>
    <w:p>
      <w:pPr>
        <w:keepNext w:val="0"/>
        <w:keepLines w:val="0"/>
        <w:pageBreakBefore w:val="0"/>
        <w:widowControl/>
        <w:numPr>
          <w:ilvl w:val="0"/>
          <w:numId w:val="3"/>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自评公开</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contextualSpacing/>
        <w:jc w:val="left"/>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 xml:space="preserve">    按照区委区政府的决策部署，在区财政局的指导下，我中心将适时对2021年度整体支出绩效评价做好社会公开，接受社会监督。</w:t>
      </w:r>
    </w:p>
    <w:p>
      <w:pPr>
        <w:keepNext w:val="0"/>
        <w:keepLines w:val="0"/>
        <w:pageBreakBefore w:val="0"/>
        <w:widowControl/>
        <w:numPr>
          <w:ilvl w:val="0"/>
          <w:numId w:val="3"/>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问题整改</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contextualSpacing/>
        <w:jc w:val="left"/>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 xml:space="preserve">    针对自评中反映的问题，我局将组织内控小组，按照局内部控制建设实施方案，对问题进行梳理和整改。</w:t>
      </w:r>
    </w:p>
    <w:p>
      <w:pPr>
        <w:keepNext w:val="0"/>
        <w:keepLines w:val="0"/>
        <w:pageBreakBefore w:val="0"/>
        <w:widowControl/>
        <w:numPr>
          <w:ilvl w:val="0"/>
          <w:numId w:val="4"/>
        </w:numPr>
        <w:kinsoku/>
        <w:wordWrap/>
        <w:overflowPunct/>
        <w:topLinePunct w:val="0"/>
        <w:autoSpaceDN/>
        <w:bidi w:val="0"/>
        <w:adjustRightInd w:val="0"/>
        <w:snapToGrid w:val="0"/>
        <w:spacing w:line="576" w:lineRule="exact"/>
        <w:ind w:left="0" w:right="0" w:firstLine="640" w:firstLineChars="200"/>
        <w:contextualSpacing/>
        <w:jc w:val="left"/>
        <w:textAlignment w:val="auto"/>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widowControl/>
        <w:kinsoku/>
        <w:wordWrap/>
        <w:overflowPunct/>
        <w:topLinePunct w:val="0"/>
        <w:autoSpaceDN/>
        <w:bidi w:val="0"/>
        <w:adjustRightInd w:val="0"/>
        <w:snapToGrid w:val="0"/>
        <w:spacing w:line="576" w:lineRule="exact"/>
        <w:contextualSpacing/>
        <w:jc w:val="left"/>
        <w:textAlignment w:val="auto"/>
        <w:rPr>
          <w:rFonts w:ascii="仿宋_GB2312" w:hAnsi="宋体" w:eastAsia="仿宋_GB2312" w:cs="宋体"/>
          <w:kern w:val="0"/>
          <w:sz w:val="32"/>
          <w:szCs w:val="32"/>
          <w:shd w:val="clear" w:color="auto" w:fill="FFFFFF"/>
        </w:rPr>
      </w:pPr>
      <w:r>
        <w:rPr>
          <w:rFonts w:hint="eastAsia" w:ascii="仿宋_GB2312" w:hAnsi="宋体" w:eastAsia="仿宋_GB2312" w:cs="宋体"/>
          <w:color w:val="0000FF"/>
          <w:kern w:val="0"/>
          <w:sz w:val="32"/>
          <w:szCs w:val="32"/>
          <w:highlight w:val="none"/>
          <w:shd w:val="clear" w:color="auto" w:fill="FFFFFF"/>
          <w:lang w:val="en-US" w:eastAsia="zh-CN"/>
        </w:rPr>
        <w:t xml:space="preserve">    </w:t>
      </w:r>
      <w:r>
        <w:rPr>
          <w:rFonts w:hint="eastAsia" w:ascii="仿宋_GB2312" w:hAnsi="Times New Roman" w:eastAsia="仿宋_GB2312" w:cs="Times New Roman"/>
          <w:color w:val="000000"/>
          <w:kern w:val="0"/>
          <w:sz w:val="32"/>
          <w:szCs w:val="32"/>
          <w:shd w:val="clear" w:color="auto" w:fill="FFFFFF"/>
          <w:lang w:val="en-US" w:eastAsia="zh-CN"/>
        </w:rPr>
        <w:t>我局按照区财政局的统一要求，开展好2021年度部门整体支出绩效自评工作，自评方案合理合规，自评方式纵深结合，自评结果优秀，自评质量较高。</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000000"/>
          <w:kern w:val="0"/>
          <w:sz w:val="32"/>
          <w:szCs w:val="32"/>
          <w:shd w:val="clear" w:color="auto" w:fill="FFFFFF"/>
          <w:lang w:val="zh-CN"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本次部门整体绩效支出自评工作结果较好，质量较高，完整和清晰的反应出我局在2021年度预算执行情况、资金使用情况和部门整体支出效益。</w:t>
      </w:r>
    </w:p>
    <w:p>
      <w:pPr>
        <w:keepNext w:val="0"/>
        <w:keepLines w:val="0"/>
        <w:pageBreakBefore w:val="0"/>
        <w:numPr>
          <w:ilvl w:val="0"/>
          <w:numId w:val="5"/>
        </w:numPr>
        <w:kinsoku/>
        <w:wordWrap/>
        <w:overflowPunct/>
        <w:topLinePunct w:val="0"/>
        <w:autoSpaceDN/>
        <w:bidi w:val="0"/>
        <w:snapToGrid/>
        <w:spacing w:line="576" w:lineRule="exact"/>
        <w:ind w:left="0" w:firstLine="640" w:firstLineChars="200"/>
        <w:textAlignment w:val="auto"/>
        <w:rPr>
          <w:rFonts w:hint="eastAsia" w:ascii="仿宋_GB2312" w:hAnsi="Times New Roman" w:eastAsia="仿宋_GB2312" w:cs="Times New Roman"/>
          <w:color w:val="000000"/>
          <w:kern w:val="0"/>
          <w:sz w:val="32"/>
          <w:szCs w:val="32"/>
          <w:shd w:val="clear" w:color="auto" w:fill="FFFFFF"/>
          <w:lang w:val="zh-CN" w:eastAsia="zh-CN" w:bidi="ar-SA"/>
        </w:rPr>
      </w:pPr>
      <w:r>
        <w:rPr>
          <w:rFonts w:hint="eastAsia" w:ascii="仿宋_GB2312" w:hAnsi="Times New Roman" w:eastAsia="仿宋_GB2312" w:cs="Times New Roman"/>
          <w:color w:val="000000"/>
          <w:kern w:val="0"/>
          <w:sz w:val="32"/>
          <w:szCs w:val="32"/>
          <w:shd w:val="clear" w:color="auto" w:fill="FFFFFF"/>
          <w:lang w:val="zh-CN" w:eastAsia="zh-CN" w:bidi="ar-SA"/>
        </w:rPr>
        <w:t>存在问题。</w:t>
      </w:r>
    </w:p>
    <w:p>
      <w:pPr>
        <w:keepNext w:val="0"/>
        <w:keepLines w:val="0"/>
        <w:pageBreakBefore w:val="0"/>
        <w:numPr>
          <w:ilvl w:val="0"/>
          <w:numId w:val="0"/>
        </w:numPr>
        <w:kinsoku/>
        <w:wordWrap/>
        <w:overflowPunct/>
        <w:topLinePunct w:val="0"/>
        <w:autoSpaceDN/>
        <w:bidi w:val="0"/>
        <w:snapToGrid/>
        <w:spacing w:line="576" w:lineRule="exact"/>
        <w:ind w:firstLine="640" w:firstLineChars="200"/>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通过前述对我单位整体支出情况的分析，反映出目前在整体支出中还存在一些问题和不足：预算编制具体项目的细化程度和精准度不够高，合理性有待进一步加强。资金使用效益有待进一步提</w:t>
      </w:r>
      <w:r>
        <w:rPr>
          <w:rFonts w:hint="eastAsia" w:ascii="仿宋_GB2312" w:eastAsia="仿宋_GB2312" w:cs="Times New Roman"/>
          <w:color w:val="000000"/>
          <w:kern w:val="0"/>
          <w:sz w:val="32"/>
          <w:szCs w:val="32"/>
          <w:shd w:val="clear" w:color="auto" w:fill="FFFFFF"/>
          <w:lang w:val="en-US" w:eastAsia="zh-CN" w:bidi="ar-SA"/>
        </w:rPr>
        <w:t>升</w:t>
      </w:r>
      <w:r>
        <w:rPr>
          <w:rFonts w:hint="eastAsia" w:ascii="仿宋_GB2312" w:hAnsi="Times New Roman" w:eastAsia="仿宋_GB2312" w:cs="Times New Roman"/>
          <w:color w:val="000000"/>
          <w:kern w:val="0"/>
          <w:sz w:val="32"/>
          <w:szCs w:val="32"/>
          <w:shd w:val="clear" w:color="auto" w:fill="FFFFFF"/>
          <w:lang w:val="en-US" w:eastAsia="zh-CN" w:bidi="ar-SA"/>
        </w:rPr>
        <w:t>，绩效目标</w:t>
      </w:r>
      <w:r>
        <w:rPr>
          <w:rFonts w:hint="eastAsia" w:ascii="仿宋_GB2312" w:eastAsia="仿宋_GB2312" w:cs="Times New Roman"/>
          <w:color w:val="000000"/>
          <w:kern w:val="0"/>
          <w:sz w:val="32"/>
          <w:szCs w:val="32"/>
          <w:shd w:val="clear" w:color="auto" w:fill="FFFFFF"/>
          <w:lang w:val="en-US" w:eastAsia="zh-CN" w:bidi="ar-SA"/>
        </w:rPr>
        <w:t>的</w:t>
      </w:r>
      <w:r>
        <w:rPr>
          <w:rFonts w:hint="eastAsia" w:ascii="仿宋_GB2312" w:hAnsi="Times New Roman" w:eastAsia="仿宋_GB2312" w:cs="Times New Roman"/>
          <w:color w:val="000000"/>
          <w:kern w:val="0"/>
          <w:sz w:val="32"/>
          <w:szCs w:val="32"/>
          <w:shd w:val="clear" w:color="auto" w:fill="FFFFFF"/>
          <w:lang w:val="en-US" w:eastAsia="zh-CN" w:bidi="ar-SA"/>
        </w:rPr>
        <w:t>设立</w:t>
      </w:r>
      <w:r>
        <w:rPr>
          <w:rFonts w:hint="eastAsia" w:ascii="仿宋_GB2312" w:eastAsia="仿宋_GB2312" w:cs="Times New Roman"/>
          <w:color w:val="000000"/>
          <w:kern w:val="0"/>
          <w:sz w:val="32"/>
          <w:szCs w:val="32"/>
          <w:shd w:val="clear" w:color="auto" w:fill="FFFFFF"/>
          <w:lang w:val="en-US" w:eastAsia="zh-CN" w:bidi="ar-SA"/>
        </w:rPr>
        <w:t>还</w:t>
      </w:r>
      <w:r>
        <w:rPr>
          <w:rFonts w:hint="eastAsia" w:ascii="仿宋_GB2312" w:hAnsi="Times New Roman" w:eastAsia="仿宋_GB2312" w:cs="Times New Roman"/>
          <w:color w:val="000000"/>
          <w:kern w:val="0"/>
          <w:sz w:val="32"/>
          <w:szCs w:val="32"/>
          <w:shd w:val="clear" w:color="auto" w:fill="FFFFFF"/>
          <w:lang w:val="en-US" w:eastAsia="zh-CN" w:bidi="ar-SA"/>
        </w:rPr>
        <w:t>不够明确、细化和量化。</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zh-CN" w:eastAsia="zh-CN" w:bidi="ar-SA"/>
        </w:rPr>
      </w:pPr>
      <w:r>
        <w:rPr>
          <w:rFonts w:hint="eastAsia" w:ascii="仿宋_GB2312" w:hAnsi="Times New Roman" w:eastAsia="仿宋_GB2312" w:cs="Times New Roman"/>
          <w:color w:val="000000"/>
          <w:kern w:val="0"/>
          <w:sz w:val="32"/>
          <w:szCs w:val="32"/>
          <w:shd w:val="clear" w:color="auto" w:fill="FFFFFF"/>
          <w:lang w:val="zh-CN" w:eastAsia="zh-CN" w:bidi="ar-SA"/>
        </w:rPr>
        <w:t>改进建议。</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imes New Roman"/>
          <w:color w:val="000000"/>
          <w:kern w:val="0"/>
          <w:sz w:val="32"/>
          <w:szCs w:val="32"/>
          <w:shd w:val="clear" w:color="auto" w:fill="FFFFFF"/>
          <w:lang w:val="en-US" w:eastAsia="zh-CN" w:bidi="ar-SA"/>
        </w:rPr>
        <w:t>1.严格制度执行。要严格执行预算管理、支出开支、审批、报销等各项制度和程序，</w:t>
      </w:r>
      <w:r>
        <w:rPr>
          <w:rFonts w:hint="eastAsia" w:ascii="仿宋_GB2312" w:hAnsi="仿宋_GB2312" w:eastAsia="仿宋_GB2312" w:cs="仿宋_GB2312"/>
          <w:color w:val="auto"/>
          <w:sz w:val="32"/>
          <w:szCs w:val="32"/>
        </w:rPr>
        <w:t>强化开支的计划性，最大限度的提高各项预算资金的使用效率。</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加强业务学习。</w:t>
      </w:r>
      <w:r>
        <w:rPr>
          <w:rFonts w:hint="eastAsia" w:ascii="仿宋_GB2312" w:hAnsi="仿宋_GB2312" w:eastAsia="仿宋_GB2312" w:cs="仿宋_GB2312"/>
          <w:color w:val="auto"/>
          <w:sz w:val="32"/>
          <w:szCs w:val="32"/>
        </w:rPr>
        <w:t>财务人员应加强学习财务知识，多进行调查研究，钻研学习，更好地结合单位实际情况编制部门预算，提高预算编制的细化程度、精准度和合理性，从而提高资金使用的使用效率，</w:t>
      </w:r>
      <w:r>
        <w:rPr>
          <w:rFonts w:hint="eastAsia" w:ascii="仿宋_GB2312" w:hAnsi="仿宋_GB2312" w:eastAsia="仿宋_GB2312" w:cs="仿宋_GB2312"/>
          <w:color w:val="auto"/>
          <w:sz w:val="32"/>
          <w:szCs w:val="32"/>
          <w:lang w:eastAsia="zh-CN"/>
        </w:rPr>
        <w:t>增强预算刚性，</w:t>
      </w:r>
      <w:r>
        <w:rPr>
          <w:rFonts w:hint="eastAsia" w:ascii="仿宋_GB2312" w:hAnsi="仿宋_GB2312" w:eastAsia="仿宋_GB2312" w:cs="仿宋_GB2312"/>
          <w:color w:val="auto"/>
          <w:sz w:val="32"/>
          <w:szCs w:val="32"/>
        </w:rPr>
        <w:t>减少追加。</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细化绩效目标。</w:t>
      </w:r>
      <w:r>
        <w:rPr>
          <w:rFonts w:hint="eastAsia" w:ascii="仿宋_GB2312" w:hAnsi="仿宋_GB2312" w:eastAsia="仿宋_GB2312" w:cs="仿宋_GB2312"/>
          <w:color w:val="auto"/>
          <w:sz w:val="32"/>
          <w:szCs w:val="32"/>
        </w:rPr>
        <w:t>单位要加强绩效目标设立、细化和量化工作力度，进一步提高资金使用效率。</w:t>
      </w:r>
    </w:p>
    <w:p>
      <w:pPr>
        <w:keepNext w:val="0"/>
        <w:keepLines w:val="0"/>
        <w:pageBreakBefore w:val="0"/>
        <w:kinsoku/>
        <w:wordWrap/>
        <w:overflowPunct/>
        <w:topLinePunct w:val="0"/>
        <w:autoSpaceDN/>
        <w:bidi w:val="0"/>
        <w:snapToGrid/>
        <w:spacing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4.项目结束后立即对项目进行测评，检验项目结果与预期目标的偏差值，偏差值不在范围内的，要认真分析项目执行发生偏离的原因，并总结项目运行经验，避免在今后类似的项目中发生相同的预算偏差。</w:t>
      </w:r>
    </w:p>
    <w:p>
      <w:pPr>
        <w:pStyle w:val="7"/>
        <w:numPr>
          <w:ilvl w:val="0"/>
          <w:numId w:val="0"/>
        </w:numPr>
        <w:ind w:leftChars="200"/>
        <w:rPr>
          <w:rFonts w:hint="eastAsia"/>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广元市朝天区统计局</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2021年统计专线网络维护费</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w:t>
      </w: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w:t>
      </w:r>
      <w:r>
        <w:rPr>
          <w:rFonts w:hint="eastAsia" w:ascii="方正小标宋简体" w:hAnsi="方正小标宋简体" w:eastAsia="方正小标宋简体" w:cs="方正小标宋简体"/>
          <w:color w:val="auto"/>
          <w:kern w:val="2"/>
          <w:sz w:val="40"/>
          <w:szCs w:val="40"/>
          <w:highlight w:val="none"/>
          <w:lang w:val="zh-CN" w:eastAsia="zh-CN" w:bidi="ar-SA"/>
        </w:rPr>
        <w:t>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pageBreakBefore w:val="0"/>
        <w:widowControl w:val="0"/>
        <w:kinsoku/>
        <w:wordWrap/>
        <w:overflowPunct/>
        <w:topLinePunct w:val="0"/>
        <w:autoSpaceDE w:val="0"/>
        <w:autoSpaceDN/>
        <w:bidi w:val="0"/>
        <w:spacing w:line="576" w:lineRule="exact"/>
        <w:ind w:firstLine="640" w:firstLineChars="200"/>
        <w:textAlignment w:val="auto"/>
        <w:rPr>
          <w:rFonts w:hint="eastAsia" w:ascii="楷体_GB2312" w:hAnsi="Times New Roman" w:eastAsia="楷体_GB2312" w:cs="Times New Roman"/>
          <w:bCs/>
          <w:color w:val="auto"/>
          <w:spacing w:val="-6"/>
          <w:sz w:val="32"/>
          <w:szCs w:val="32"/>
        </w:rPr>
      </w:pPr>
      <w:r>
        <w:rPr>
          <w:rFonts w:hint="eastAsia" w:ascii="仿宋_GB2312" w:hAnsi="仿宋" w:eastAsia="仿宋_GB2312" w:cs="Times New Roman"/>
          <w:color w:val="auto"/>
          <w:sz w:val="32"/>
          <w:szCs w:val="32"/>
          <w:highlight w:val="none"/>
          <w:lang w:val="en-US" w:eastAsia="zh-CN"/>
        </w:rPr>
        <w:t>统计工作是一项通过搜集、汇总和计算统计数据对事物的面貌与发展规律进行反映的重要工作，其对党政决策和国计民生影响巨大，为了更好的开展此项工作，保障数据的正常汇总上报，我区专门接通了统计专网</w:t>
      </w:r>
      <w:r>
        <w:rPr>
          <w:rFonts w:ascii="微软雅黑" w:hAnsi="微软雅黑" w:eastAsia="微软雅黑" w:cs="微软雅黑"/>
          <w:i w:val="0"/>
          <w:iCs w:val="0"/>
          <w:caps w:val="0"/>
          <w:color w:val="auto"/>
          <w:spacing w:val="0"/>
          <w:sz w:val="24"/>
          <w:szCs w:val="24"/>
          <w:highlight w:val="none"/>
          <w:shd w:val="clear" w:color="auto" w:fill="FFFFFF"/>
        </w:rPr>
        <w:t>。</w:t>
      </w:r>
      <w:r>
        <w:rPr>
          <w:rFonts w:hint="eastAsia" w:ascii="仿宋_GB2312" w:hAnsi="仿宋" w:eastAsia="仿宋_GB2312" w:cs="Times New Roman"/>
          <w:color w:val="auto"/>
          <w:sz w:val="32"/>
          <w:szCs w:val="32"/>
          <w:highlight w:val="none"/>
          <w:lang w:val="en-US" w:eastAsia="zh-CN"/>
        </w:rPr>
        <w:t>该项工作由我局牵头负责，工作经费主要是为了保障统计专线网络的正常运行，用以解决在日常运行过程中产生的网络费、维修（护）费等。该项目实施周期为2021年度，根据工作实际发生情况，及时拨付使用。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pageBreakBefore w:val="0"/>
        <w:widowControl w:val="0"/>
        <w:numPr>
          <w:ilvl w:val="0"/>
          <w:numId w:val="0"/>
        </w:numPr>
        <w:kinsoku/>
        <w:wordWrap/>
        <w:overflowPunct/>
        <w:topLinePunct w:val="0"/>
        <w:autoSpaceDE w:val="0"/>
        <w:autoSpaceDN/>
        <w:bidi w:val="0"/>
        <w:spacing w:line="576" w:lineRule="exact"/>
        <w:ind w:firstLine="640" w:firstLineChars="200"/>
        <w:textAlignment w:val="auto"/>
        <w:rPr>
          <w:rFonts w:hint="eastAsia" w:ascii="黑体" w:hAnsi="黑体" w:eastAsia="黑体" w:cs="Times New Roman"/>
          <w:color w:val="auto"/>
          <w:spacing w:val="-6"/>
          <w:sz w:val="32"/>
          <w:szCs w:val="32"/>
        </w:rPr>
      </w:pPr>
      <w:r>
        <w:rPr>
          <w:rFonts w:hint="eastAsia" w:ascii="仿宋_GB2312" w:hAnsi="仿宋" w:eastAsia="仿宋_GB2312" w:cs="Times New Roman"/>
          <w:color w:val="auto"/>
          <w:sz w:val="32"/>
          <w:szCs w:val="32"/>
          <w:highlight w:val="none"/>
          <w:lang w:val="en-US" w:eastAsia="zh-CN"/>
        </w:rPr>
        <w:t>我局负责统计专网工作，该项工作工作经费年度预算</w:t>
      </w:r>
      <w:r>
        <w:rPr>
          <w:rFonts w:hint="eastAsia" w:ascii="仿宋_GB2312" w:hAnsi="Times New Roman" w:eastAsia="仿宋_GB2312" w:cs="Times New Roman"/>
          <w:color w:val="auto"/>
          <w:spacing w:val="-6"/>
          <w:sz w:val="32"/>
          <w:szCs w:val="32"/>
          <w:lang w:val="en-US" w:eastAsia="zh-CN"/>
        </w:rPr>
        <w:t>7.62万元</w:t>
      </w:r>
      <w:r>
        <w:rPr>
          <w:rFonts w:hint="eastAsia" w:ascii="仿宋_GB2312" w:hAnsi="仿宋" w:eastAsia="仿宋_GB2312" w:cs="Times New Roman"/>
          <w:color w:val="auto"/>
          <w:sz w:val="32"/>
          <w:szCs w:val="32"/>
          <w:highlight w:val="none"/>
          <w:lang w:val="en-US" w:eastAsia="zh-CN"/>
        </w:rPr>
        <w:t>。该项目为保障性项目支出，年内项目根据实际工作开展情况，进行拨付。截止2021年底，我局对该项目预算已全额拨付。</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广元市朝天区</w:t>
      </w:r>
      <w:r>
        <w:rPr>
          <w:rFonts w:hint="eastAsia" w:ascii="仿宋_GB2312" w:hAnsi="宋体" w:eastAsia="仿宋_GB2312" w:cs="Times New Roman"/>
          <w:color w:val="auto"/>
          <w:sz w:val="32"/>
          <w:szCs w:val="32"/>
          <w:highlight w:val="none"/>
          <w:lang w:val="en-US" w:eastAsia="zh-CN"/>
        </w:rPr>
        <w:t>统计局</w:t>
      </w:r>
      <w:r>
        <w:rPr>
          <w:rFonts w:hint="eastAsia" w:ascii="仿宋_GB2312" w:hAnsi="宋体" w:eastAsia="仿宋_GB2312" w:cs="Times New Roman"/>
          <w:color w:val="auto"/>
          <w:sz w:val="32"/>
          <w:szCs w:val="32"/>
          <w:highlight w:val="none"/>
          <w:lang w:val="zh-CN"/>
        </w:rPr>
        <w:t>年初</w:t>
      </w:r>
      <w:r>
        <w:rPr>
          <w:rFonts w:hint="eastAsia" w:ascii="仿宋_GB2312" w:hAnsi="宋体" w:eastAsia="仿宋_GB2312" w:cs="Times New Roman"/>
          <w:color w:val="auto"/>
          <w:sz w:val="32"/>
          <w:szCs w:val="32"/>
          <w:highlight w:val="none"/>
          <w:lang w:val="en-US" w:eastAsia="zh-CN"/>
        </w:rPr>
        <w:t>统计专线网络维护费</w:t>
      </w:r>
      <w:r>
        <w:rPr>
          <w:rFonts w:hint="eastAsia" w:ascii="仿宋_GB2312" w:hAnsi="宋体" w:eastAsia="仿宋_GB2312" w:cs="Times New Roman"/>
          <w:color w:val="auto"/>
          <w:sz w:val="32"/>
          <w:szCs w:val="32"/>
          <w:highlight w:val="none"/>
          <w:lang w:val="zh-CN"/>
        </w:rPr>
        <w:t>预算</w:t>
      </w:r>
      <w:r>
        <w:rPr>
          <w:rFonts w:hint="eastAsia" w:ascii="仿宋_GB2312" w:hAnsi="宋体" w:eastAsia="仿宋_GB2312" w:cs="Times New Roman"/>
          <w:color w:val="auto"/>
          <w:sz w:val="32"/>
          <w:szCs w:val="32"/>
          <w:highlight w:val="none"/>
          <w:lang w:val="en-US" w:eastAsia="zh-CN"/>
        </w:rPr>
        <w:t>7.62万元，按年度进行申报。资金及时批复到位。符合资金管理办法等相关规定。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1.</w:t>
      </w:r>
      <w:r>
        <w:rPr>
          <w:rFonts w:hint="eastAsia" w:ascii="楷体_GB2312" w:hAnsi="宋体" w:eastAsia="楷体_GB2312" w:cs="Times New Roman"/>
          <w:color w:val="auto"/>
          <w:sz w:val="32"/>
          <w:szCs w:val="32"/>
          <w:highlight w:val="none"/>
          <w:lang w:val="zh-CN"/>
        </w:rPr>
        <w:t>资金计划。</w:t>
      </w:r>
      <w:r>
        <w:rPr>
          <w:rFonts w:hint="eastAsia" w:ascii="仿宋_GB2312" w:hAnsi="仿宋_GB2312" w:eastAsia="仿宋_GB2312" w:cs="仿宋_GB2312"/>
          <w:color w:val="auto"/>
          <w:sz w:val="32"/>
          <w:szCs w:val="32"/>
          <w:lang w:eastAsia="zh-CN"/>
        </w:rPr>
        <w:t>该项目</w:t>
      </w:r>
      <w:r>
        <w:rPr>
          <w:rFonts w:hint="eastAsia" w:ascii="仿宋_GB2312" w:hAnsi="仿宋_GB2312" w:eastAsia="仿宋_GB2312" w:cs="仿宋_GB2312"/>
          <w:color w:val="auto"/>
          <w:sz w:val="32"/>
          <w:szCs w:val="32"/>
        </w:rPr>
        <w:t>财政局年初预算安排</w:t>
      </w:r>
      <w:r>
        <w:rPr>
          <w:rFonts w:hint="eastAsia" w:ascii="仿宋_GB2312" w:hAnsi="仿宋_GB2312" w:eastAsia="仿宋_GB2312" w:cs="仿宋_GB2312"/>
          <w:color w:val="auto"/>
          <w:sz w:val="32"/>
          <w:szCs w:val="32"/>
          <w:lang w:val="en-US" w:eastAsia="zh-CN"/>
        </w:rPr>
        <w:t>7.62</w:t>
      </w:r>
      <w:r>
        <w:rPr>
          <w:rFonts w:hint="eastAsia" w:ascii="仿宋_GB2312" w:hAnsi="仿宋_GB2312" w:eastAsia="仿宋_GB2312" w:cs="仿宋_GB2312"/>
          <w:color w:val="auto"/>
          <w:sz w:val="32"/>
          <w:szCs w:val="32"/>
        </w:rPr>
        <w:t>万元下拨至我</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，用于</w:t>
      </w:r>
      <w:r>
        <w:rPr>
          <w:rFonts w:hint="eastAsia" w:ascii="仿宋_GB2312" w:hAnsi="仿宋_GB2312" w:eastAsia="仿宋_GB2312" w:cs="仿宋_GB2312"/>
          <w:color w:val="auto"/>
          <w:sz w:val="32"/>
          <w:szCs w:val="32"/>
          <w:lang w:eastAsia="zh-CN"/>
        </w:rPr>
        <w:t>保障统计专网正常运行</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仿宋_GB2312" w:eastAsia="仿宋_GB2312" w:cs="仿宋_GB2312"/>
          <w:color w:val="auto"/>
          <w:sz w:val="32"/>
          <w:szCs w:val="32"/>
          <w:lang w:eastAsia="zh-CN"/>
        </w:rPr>
        <w:t>项目资金已足额到账，</w:t>
      </w:r>
      <w:r>
        <w:rPr>
          <w:rFonts w:hint="eastAsia" w:ascii="仿宋_GB2312" w:hAnsi="仿宋_GB2312" w:eastAsia="仿宋_GB2312" w:cs="仿宋_GB2312"/>
          <w:color w:val="auto"/>
          <w:sz w:val="32"/>
          <w:szCs w:val="32"/>
        </w:rPr>
        <w:t>资金到位率100%</w:t>
      </w:r>
      <w:r>
        <w:rPr>
          <w:rFonts w:hint="eastAsia" w:ascii="仿宋_GB2312" w:hAnsi="宋体" w:eastAsia="仿宋_GB2312" w:cs="Times New Roman"/>
          <w:color w:val="auto"/>
          <w:sz w:val="32"/>
          <w:szCs w:val="32"/>
          <w:highlight w:val="none"/>
          <w:lang w:val="zh-CN"/>
        </w:rPr>
        <w:t>。</w:t>
      </w:r>
    </w:p>
    <w:p>
      <w:pPr>
        <w:pageBreakBefore w:val="0"/>
        <w:widowControl w:val="0"/>
        <w:kinsoku/>
        <w:wordWrap/>
        <w:overflowPunct/>
        <w:topLinePunct w:val="0"/>
        <w:autoSpaceDN/>
        <w:bidi w:val="0"/>
        <w:spacing w:line="576" w:lineRule="exact"/>
        <w:ind w:firstLine="640" w:firstLineChars="200"/>
        <w:textAlignment w:val="auto"/>
        <w:rPr>
          <w:rFonts w:hint="default" w:eastAsia="仿宋_GB2312"/>
          <w:lang w:val="en-US" w:eastAsia="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楷体_GB2312" w:hAnsi="宋体" w:eastAsia="楷体_GB2312" w:cs="Times New Roman"/>
          <w:color w:val="FF0000"/>
          <w:sz w:val="32"/>
          <w:szCs w:val="32"/>
          <w:highlight w:val="none"/>
          <w:lang w:val="zh-CN"/>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7.62</w:t>
      </w:r>
      <w:r>
        <w:rPr>
          <w:rFonts w:hint="eastAsia" w:ascii="仿宋_GB2312" w:hAnsi="仿宋_GB2312" w:eastAsia="仿宋_GB2312" w:cs="仿宋_GB2312"/>
          <w:sz w:val="32"/>
          <w:szCs w:val="32"/>
        </w:rPr>
        <w:t>万元，资金使用率100%</w:t>
      </w:r>
      <w:r>
        <w:rPr>
          <w:rFonts w:hint="eastAsia" w:ascii="仿宋_GB2312" w:hAnsi="仿宋_GB2312" w:eastAsia="仿宋_GB2312" w:cs="仿宋_GB2312"/>
          <w:sz w:val="32"/>
          <w:szCs w:val="32"/>
          <w:lang w:eastAsia="zh-CN"/>
        </w:rPr>
        <w:t>，资金支付依据合规合法与预算相符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sz w:val="32"/>
          <w:szCs w:val="32"/>
          <w:lang w:val="en-US" w:eastAsia="zh-CN"/>
        </w:rPr>
        <w:t>我局财务管理制度健全，并严格执行财务管理制度，账务处理及时，会计核算规范。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仿宋" w:eastAsia="仿宋_GB2312"/>
          <w:color w:val="auto"/>
          <w:sz w:val="32"/>
          <w:szCs w:val="32"/>
          <w:highlight w:val="none"/>
          <w:lang w:val="en-US" w:eastAsia="zh-CN"/>
        </w:rPr>
        <w:t>根据我局工作实际，经局党组会研究讨论决定，由信息中心牵头负责此项工作，保障专线网络的正常运行。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仿宋" w:eastAsia="仿宋_GB2312"/>
          <w:color w:val="auto"/>
          <w:sz w:val="32"/>
          <w:szCs w:val="32"/>
          <w:highlight w:val="none"/>
          <w:lang w:val="en-US" w:eastAsia="zh-CN"/>
        </w:rPr>
        <w:t>该项目为保障性经费支出项目，无招投标等项目建设情况，日常检查监督维护工作由信息中心负责。</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仿宋" w:eastAsia="仿宋_GB2312" w:cs="Times New Roman"/>
          <w:color w:val="auto"/>
          <w:sz w:val="32"/>
          <w:szCs w:val="32"/>
          <w:highlight w:val="none"/>
          <w:lang w:val="en-US" w:eastAsia="zh-CN"/>
        </w:rPr>
        <w:t>该项目为保障性经费支出项目，其项目管理制度合并在我局财务管理制度、内控管理制度等规范性财务制度之下，未单独建立项目管理制度。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2021年度，我局完成了对统计专线费用的使用，根据工作实际情况，按时足额的进行了拨付，无超支、超标准、超范围使用项目资金情况发生。截止2021年底，统计专网运行正常，确保了数据的及时汇总上报</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pageBreakBefore w:val="0"/>
        <w:widowControl w:val="0"/>
        <w:kinsoku/>
        <w:wordWrap/>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eastAsia="zh-CN"/>
        </w:rPr>
      </w:pPr>
      <w:r>
        <w:rPr>
          <w:rFonts w:hint="eastAsia" w:ascii="仿宋_GB2312" w:hAnsi="Times New Roman" w:eastAsia="仿宋_GB2312" w:cs="Times New Roman"/>
          <w:color w:val="auto"/>
          <w:spacing w:val="-6"/>
          <w:sz w:val="32"/>
          <w:szCs w:val="32"/>
        </w:rPr>
        <w:t>社会效益指标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lang w:val="en-US" w:eastAsia="zh-CN"/>
        </w:rPr>
        <w:t>1.</w:t>
      </w:r>
      <w:r>
        <w:rPr>
          <w:rFonts w:hint="eastAsia" w:ascii="仿宋_GB2312" w:hAnsi="Times New Roman" w:eastAsia="仿宋_GB2312" w:cs="Times New Roman"/>
          <w:color w:val="auto"/>
          <w:spacing w:val="-6"/>
          <w:sz w:val="32"/>
          <w:szCs w:val="32"/>
          <w:lang w:eastAsia="zh-CN"/>
        </w:rPr>
        <w:t>保证统计专网长期正常运行；</w:t>
      </w:r>
    </w:p>
    <w:p>
      <w:pPr>
        <w:pageBreakBefore w:val="0"/>
        <w:widowControl w:val="0"/>
        <w:numPr>
          <w:ilvl w:val="0"/>
          <w:numId w:val="0"/>
        </w:numPr>
        <w:kinsoku/>
        <w:wordWrap/>
        <w:overflowPunct/>
        <w:topLinePunct w:val="0"/>
        <w:autoSpaceDE w:val="0"/>
        <w:autoSpaceDN/>
        <w:bidi w:val="0"/>
        <w:spacing w:line="576" w:lineRule="exact"/>
        <w:ind w:firstLine="2772" w:firstLineChars="9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2.提升统计数据汇总效率。</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default" w:ascii="仿宋_GB2312" w:hAnsi="Times New Roman" w:eastAsia="仿宋_GB2312" w:cs="Times New Roman"/>
          <w:color w:val="auto"/>
          <w:spacing w:val="-6"/>
          <w:sz w:val="32"/>
          <w:szCs w:val="32"/>
          <w:lang w:val="en-US" w:eastAsia="zh-CN"/>
        </w:rPr>
        <w:t>满意度指标</w:t>
      </w:r>
      <w:r>
        <w:rPr>
          <w:rFonts w:hint="eastAsia" w:ascii="仿宋_GB2312" w:hAnsi="Times New Roman" w:eastAsia="仿宋_GB2312" w:cs="Times New Roman"/>
          <w:color w:val="auto"/>
          <w:spacing w:val="-6"/>
          <w:sz w:val="32"/>
          <w:szCs w:val="32"/>
          <w:lang w:val="en-US" w:eastAsia="zh-CN"/>
        </w:rPr>
        <w:t>：使用专网人员满意度100%。</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auto"/>
          <w:kern w:val="0"/>
          <w:sz w:val="32"/>
          <w:szCs w:val="32"/>
          <w:shd w:val="clear" w:color="auto" w:fill="FFFFFF"/>
          <w:lang w:val="zh-CN" w:eastAsia="zh-CN" w:bidi="ar-SA"/>
        </w:rPr>
      </w:pPr>
      <w:r>
        <w:rPr>
          <w:rFonts w:hint="eastAsia" w:hAnsi="Times New Roman" w:cs="Times New Roman"/>
          <w:color w:val="auto"/>
          <w:kern w:val="0"/>
          <w:sz w:val="32"/>
          <w:szCs w:val="32"/>
          <w:shd w:val="clear" w:color="auto" w:fill="FFFFFF"/>
          <w:lang w:val="en-US" w:eastAsia="zh-CN" w:bidi="ar-SA"/>
        </w:rPr>
        <w:t>该项目</w:t>
      </w:r>
      <w:r>
        <w:rPr>
          <w:rFonts w:hint="eastAsia" w:ascii="仿宋_GB2312" w:hAnsi="Times New Roman" w:eastAsia="仿宋_GB2312" w:cs="Times New Roman"/>
          <w:color w:val="auto"/>
          <w:kern w:val="0"/>
          <w:sz w:val="32"/>
          <w:szCs w:val="32"/>
          <w:shd w:val="clear" w:color="auto" w:fill="FFFFFF"/>
          <w:lang w:val="en-US" w:eastAsia="zh-CN" w:bidi="ar-SA"/>
        </w:rPr>
        <w:t>支出自评工作结果较好，质量较高，完整和清晰的反应出我局在2021年度预算</w:t>
      </w:r>
      <w:r>
        <w:rPr>
          <w:rFonts w:hint="eastAsia" w:hAnsi="Times New Roman" w:cs="Times New Roman"/>
          <w:color w:val="auto"/>
          <w:kern w:val="0"/>
          <w:sz w:val="32"/>
          <w:szCs w:val="32"/>
          <w:shd w:val="clear" w:color="auto" w:fill="FFFFFF"/>
          <w:lang w:val="en-US" w:eastAsia="zh-CN" w:bidi="ar-SA"/>
        </w:rPr>
        <w:t>项目</w:t>
      </w:r>
      <w:r>
        <w:rPr>
          <w:rFonts w:hint="eastAsia" w:ascii="仿宋_GB2312" w:hAnsi="Times New Roman" w:eastAsia="仿宋_GB2312" w:cs="Times New Roman"/>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rPr>
          <w:rFonts w:hint="eastAsia"/>
          <w:lang w:val="zh-CN"/>
        </w:rPr>
      </w:pP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34"/>
        <w:gridCol w:w="151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2021年统计专线网络维护费</w:t>
            </w:r>
            <w:r>
              <w:rPr>
                <w:rFonts w:hint="eastAsia" w:ascii="宋体" w:hAnsi="宋体" w:cs="宋体"/>
                <w:b/>
                <w:i w:val="0"/>
                <w:color w:val="auto"/>
                <w:sz w:val="32"/>
                <w:szCs w:val="32"/>
                <w:highlight w:val="none"/>
                <w:u w:val="none"/>
                <w:lang w:val="en-US" w:eastAsia="zh-CN"/>
              </w:rPr>
              <w:t>部门</w:t>
            </w:r>
            <w:r>
              <w:rPr>
                <w:rFonts w:hint="eastAsia" w:ascii="宋体" w:hAnsi="宋体" w:eastAsia="宋体" w:cs="宋体"/>
                <w:b/>
                <w:i w:val="0"/>
                <w:color w:val="auto"/>
                <w:sz w:val="32"/>
                <w:szCs w:val="32"/>
                <w:highlight w:val="none"/>
                <w:u w:val="none"/>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eastAsia="zh-CN"/>
              </w:rPr>
              <w:t>广元市朝天区统计局</w:t>
            </w:r>
            <w:r>
              <w:rPr>
                <w:rFonts w:hint="eastAsia" w:ascii="宋体" w:hAnsi="宋体" w:eastAsia="宋体" w:cs="宋体"/>
                <w:i w:val="0"/>
                <w:color w:val="auto"/>
                <w:sz w:val="21"/>
                <w:szCs w:val="21"/>
                <w:highlight w:val="none"/>
                <w:u w:val="none"/>
                <w:lang w:val="en-US" w:eastAsia="zh-CN"/>
              </w:rPr>
              <w:t>316301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广元市朝天区统计局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（万元）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7.62</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7.62</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rPr>
              <w:t>保障2条统计专网的稳定运行，确保统计数据的上报、汇总高效及时</w:t>
            </w:r>
            <w:r>
              <w:rPr>
                <w:rFonts w:hint="eastAsia" w:ascii="宋体" w:hAnsi="宋体" w:eastAsia="宋体" w:cs="宋体"/>
                <w:i w:val="0"/>
                <w:color w:val="auto"/>
                <w:sz w:val="21"/>
                <w:szCs w:val="21"/>
                <w:highlight w:val="none"/>
                <w:u w:val="none"/>
                <w:lang w:eastAsia="zh-CN"/>
              </w:rPr>
              <w:t>。</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保障了统计专网的稳定运行，确保了统计数据的上报、汇总高效及时。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年度绩效指标完成情况</w:t>
            </w:r>
          </w:p>
        </w:tc>
        <w:tc>
          <w:tcPr>
            <w:tcW w:w="8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维护专线网络条数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质量指标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网络畅通率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工作完成时限</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网络费用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≤6.62万元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6.62万元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3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维护费用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313" w:beforeLines="100" w:after="313" w:afterLines="100" w:line="320" w:lineRule="exact"/>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效益</w:t>
            </w:r>
          </w:p>
          <w:p>
            <w:pPr>
              <w:keepNext w:val="0"/>
              <w:keepLines w:val="0"/>
              <w:pageBreakBefore w:val="0"/>
              <w:kinsoku/>
              <w:wordWrap/>
              <w:overflowPunct/>
              <w:topLinePunct w:val="0"/>
              <w:autoSpaceDE/>
              <w:autoSpaceDN/>
              <w:bidi w:val="0"/>
              <w:adjustRightInd/>
              <w:snapToGrid/>
              <w:spacing w:before="313" w:beforeLines="100" w:after="313" w:afterLines="100" w:line="320" w:lineRule="exact"/>
              <w:jc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3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13" w:beforeLines="100" w:after="625" w:afterLines="20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保证专网正常运行</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313" w:beforeLines="100" w:after="313" w:afterLines="100" w:line="320" w:lineRule="exact"/>
              <w:jc w:val="center"/>
              <w:rPr>
                <w:rFonts w:hint="eastAsia" w:ascii="宋体" w:hAnsi="宋体" w:eastAsia="宋体" w:cs="宋体"/>
                <w:i w:val="0"/>
                <w:color w:val="auto"/>
                <w:sz w:val="21"/>
                <w:szCs w:val="21"/>
                <w:highlight w:val="none"/>
                <w:u w:val="none"/>
              </w:rPr>
            </w:pPr>
          </w:p>
        </w:tc>
        <w:tc>
          <w:tcPr>
            <w:tcW w:w="163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313" w:afterLines="100" w:line="320" w:lineRule="exact"/>
              <w:ind w:left="393" w:leftChars="87" w:hanging="210" w:hangingChars="100"/>
              <w:jc w:val="center"/>
              <w:textAlignment w:val="bottom"/>
              <w:rPr>
                <w:rFonts w:hint="eastAsia" w:ascii="宋体" w:hAnsi="宋体" w:eastAsia="宋体" w:cs="宋体"/>
                <w:i w:val="0"/>
                <w:color w:val="auto"/>
                <w:sz w:val="21"/>
                <w:szCs w:val="21"/>
                <w:highlight w:val="none"/>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提升统计数据汇总效率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显著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度指标</w:t>
            </w:r>
          </w:p>
        </w:tc>
        <w:tc>
          <w:tcPr>
            <w:tcW w:w="16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313" w:afterLines="100"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满意度指标</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使用专网人员满意度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r>
    </w:tbl>
    <w:p>
      <w:pPr>
        <w:pStyle w:val="7"/>
        <w:pageBreakBefore w:val="0"/>
        <w:kinsoku/>
        <w:wordWrap/>
        <w:overflowPunct/>
        <w:topLinePunct w:val="0"/>
        <w:bidi w:val="0"/>
        <w:spacing w:beforeLines="0" w:line="576" w:lineRule="exact"/>
        <w:ind w:left="0" w:right="0"/>
        <w:textAlignment w:val="auto"/>
        <w:rPr>
          <w:rFonts w:hint="eastAsia" w:hAnsi="宋体" w:eastAsia="仿宋_GB2312"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en-US" w:eastAsia="zh-CN"/>
        </w:rPr>
        <w:t>附表</w:t>
      </w:r>
    </w:p>
    <w:p>
      <w:pPr>
        <w:pStyle w:val="7"/>
        <w:pageBreakBefore w:val="0"/>
        <w:kinsoku/>
        <w:wordWrap/>
        <w:overflowPunct/>
        <w:topLinePunct w:val="0"/>
        <w:bidi w:val="0"/>
        <w:spacing w:beforeLines="0" w:line="576" w:lineRule="exact"/>
        <w:ind w:left="0" w:right="0"/>
        <w:textAlignment w:val="auto"/>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广元市朝天区统计局</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2021年金财网络维护费</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pageBreakBefore w:val="0"/>
        <w:widowControl w:val="0"/>
        <w:kinsoku/>
        <w:wordWrap/>
        <w:overflowPunct/>
        <w:topLinePunct w:val="0"/>
        <w:autoSpaceDE w:val="0"/>
        <w:autoSpaceDN/>
        <w:bidi w:val="0"/>
        <w:spacing w:line="576" w:lineRule="exact"/>
        <w:ind w:firstLine="640" w:firstLineChars="200"/>
        <w:textAlignment w:val="auto"/>
        <w:rPr>
          <w:rFonts w:hint="eastAsia" w:ascii="楷体_GB2312" w:hAnsi="Times New Roman" w:eastAsia="楷体_GB2312" w:cs="Times New Roman"/>
          <w:bCs/>
          <w:color w:val="auto"/>
          <w:spacing w:val="-6"/>
          <w:sz w:val="32"/>
          <w:szCs w:val="32"/>
        </w:rPr>
      </w:pPr>
      <w:r>
        <w:rPr>
          <w:rFonts w:hint="eastAsia" w:ascii="仿宋_GB2312" w:hAnsi="仿宋" w:eastAsia="仿宋_GB2312" w:cs="Times New Roman"/>
          <w:color w:val="auto"/>
          <w:sz w:val="32"/>
          <w:szCs w:val="32"/>
          <w:highlight w:val="none"/>
          <w:lang w:val="en-US" w:eastAsia="zh-CN"/>
        </w:rPr>
        <w:t>金财网络维护费，主要用于保障财务专网的正常使用，保证各项财政资金使用渠道畅通。该项工作由我局财务室负责，工作经费主要用以解决在日常运行过程中产生的维修（护）费等。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pageBreakBefore w:val="0"/>
        <w:widowControl w:val="0"/>
        <w:numPr>
          <w:ilvl w:val="0"/>
          <w:numId w:val="0"/>
        </w:numPr>
        <w:kinsoku/>
        <w:wordWrap/>
        <w:overflowPunct/>
        <w:topLinePunct w:val="0"/>
        <w:autoSpaceDE w:val="0"/>
        <w:autoSpaceDN/>
        <w:bidi w:val="0"/>
        <w:spacing w:line="576" w:lineRule="exact"/>
        <w:ind w:firstLine="640" w:firstLineChars="200"/>
        <w:textAlignment w:val="auto"/>
        <w:rPr>
          <w:rFonts w:hint="eastAsia" w:ascii="黑体" w:hAnsi="黑体" w:eastAsia="黑体" w:cs="Times New Roman"/>
          <w:color w:val="auto"/>
          <w:spacing w:val="-6"/>
          <w:sz w:val="32"/>
          <w:szCs w:val="32"/>
        </w:rPr>
      </w:pPr>
      <w:r>
        <w:rPr>
          <w:rFonts w:hint="eastAsia" w:ascii="仿宋_GB2312" w:hAnsi="仿宋" w:eastAsia="仿宋_GB2312" w:cs="Times New Roman"/>
          <w:color w:val="auto"/>
          <w:sz w:val="32"/>
          <w:szCs w:val="32"/>
          <w:highlight w:val="none"/>
          <w:lang w:val="en-US" w:eastAsia="zh-CN"/>
        </w:rPr>
        <w:t>该项工作工作经费年度预算</w:t>
      </w:r>
      <w:r>
        <w:rPr>
          <w:rFonts w:hint="eastAsia" w:ascii="仿宋_GB2312" w:eastAsia="仿宋_GB2312" w:cs="Times New Roman"/>
          <w:color w:val="auto"/>
          <w:spacing w:val="-6"/>
          <w:sz w:val="32"/>
          <w:szCs w:val="32"/>
          <w:lang w:val="en-US" w:eastAsia="zh-CN"/>
        </w:rPr>
        <w:t>0.24</w:t>
      </w:r>
      <w:r>
        <w:rPr>
          <w:rFonts w:hint="eastAsia" w:ascii="仿宋_GB2312" w:hAnsi="Times New Roman" w:eastAsia="仿宋_GB2312" w:cs="Times New Roman"/>
          <w:color w:val="auto"/>
          <w:spacing w:val="-6"/>
          <w:sz w:val="32"/>
          <w:szCs w:val="32"/>
          <w:lang w:val="en-US" w:eastAsia="zh-CN"/>
        </w:rPr>
        <w:t>万元</w:t>
      </w:r>
      <w:r>
        <w:rPr>
          <w:rFonts w:hint="eastAsia" w:ascii="仿宋_GB2312" w:hAnsi="仿宋" w:eastAsia="仿宋_GB2312" w:cs="Times New Roman"/>
          <w:color w:val="auto"/>
          <w:sz w:val="32"/>
          <w:szCs w:val="32"/>
          <w:highlight w:val="none"/>
          <w:lang w:val="en-US" w:eastAsia="zh-CN"/>
        </w:rPr>
        <w:t>。该项目为保障性项目支出，年内项目根据实际工作开展情况，进行拨付。截止2021年底，我局对该项目预算已全额拨付。</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广元市朝天区</w:t>
      </w:r>
      <w:r>
        <w:rPr>
          <w:rFonts w:hint="eastAsia" w:ascii="仿宋_GB2312" w:hAnsi="宋体" w:eastAsia="仿宋_GB2312" w:cs="Times New Roman"/>
          <w:color w:val="auto"/>
          <w:sz w:val="32"/>
          <w:szCs w:val="32"/>
          <w:highlight w:val="none"/>
          <w:lang w:val="en-US" w:eastAsia="zh-CN"/>
        </w:rPr>
        <w:t>统计局</w:t>
      </w:r>
      <w:r>
        <w:rPr>
          <w:rFonts w:hint="eastAsia" w:ascii="仿宋_GB2312" w:hAnsi="宋体" w:eastAsia="仿宋_GB2312" w:cs="Times New Roman"/>
          <w:color w:val="auto"/>
          <w:sz w:val="32"/>
          <w:szCs w:val="32"/>
          <w:highlight w:val="none"/>
          <w:lang w:val="zh-CN"/>
        </w:rPr>
        <w:t>年初</w:t>
      </w:r>
      <w:r>
        <w:rPr>
          <w:rFonts w:hint="eastAsia" w:ascii="仿宋_GB2312" w:hAnsi="仿宋" w:eastAsia="仿宋_GB2312" w:cs="Times New Roman"/>
          <w:color w:val="auto"/>
          <w:sz w:val="32"/>
          <w:szCs w:val="32"/>
          <w:highlight w:val="none"/>
          <w:lang w:val="en-US" w:eastAsia="zh-CN"/>
        </w:rPr>
        <w:t>金财网络维护费</w:t>
      </w:r>
      <w:r>
        <w:rPr>
          <w:rFonts w:hint="eastAsia" w:ascii="仿宋_GB2312" w:hAnsi="宋体" w:eastAsia="仿宋_GB2312" w:cs="Times New Roman"/>
          <w:color w:val="auto"/>
          <w:sz w:val="32"/>
          <w:szCs w:val="32"/>
          <w:highlight w:val="none"/>
          <w:lang w:val="zh-CN"/>
        </w:rPr>
        <w:t>预算</w:t>
      </w:r>
      <w:r>
        <w:rPr>
          <w:rFonts w:hint="eastAsia" w:ascii="仿宋_GB2312" w:hAnsi="宋体" w:eastAsia="仿宋_GB2312" w:cs="Times New Roman"/>
          <w:color w:val="auto"/>
          <w:sz w:val="32"/>
          <w:szCs w:val="32"/>
          <w:highlight w:val="none"/>
          <w:lang w:val="en-US" w:eastAsia="zh-CN"/>
        </w:rPr>
        <w:t>0.24万元，按年度进行申报。资金及时批复到位。符合资金管理办法等相关规定。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1.</w:t>
      </w:r>
      <w:r>
        <w:rPr>
          <w:rFonts w:hint="eastAsia" w:ascii="楷体_GB2312" w:hAnsi="宋体" w:eastAsia="楷体_GB2312" w:cs="Times New Roman"/>
          <w:color w:val="auto"/>
          <w:sz w:val="32"/>
          <w:szCs w:val="32"/>
          <w:highlight w:val="none"/>
          <w:lang w:val="zh-CN"/>
        </w:rPr>
        <w:t>资金计划。</w:t>
      </w:r>
      <w:r>
        <w:rPr>
          <w:rFonts w:hint="eastAsia" w:ascii="仿宋_GB2312" w:hAnsi="仿宋_GB2312" w:eastAsia="仿宋_GB2312" w:cs="仿宋_GB2312"/>
          <w:color w:val="auto"/>
          <w:sz w:val="32"/>
          <w:szCs w:val="32"/>
          <w:lang w:eastAsia="zh-CN"/>
        </w:rPr>
        <w:t>该项目</w:t>
      </w:r>
      <w:r>
        <w:rPr>
          <w:rFonts w:hint="eastAsia" w:ascii="仿宋_GB2312" w:hAnsi="仿宋_GB2312" w:eastAsia="仿宋_GB2312" w:cs="仿宋_GB2312"/>
          <w:color w:val="auto"/>
          <w:sz w:val="32"/>
          <w:szCs w:val="32"/>
        </w:rPr>
        <w:t>财政局年初预算安排</w:t>
      </w:r>
      <w:r>
        <w:rPr>
          <w:rFonts w:hint="eastAsia" w:ascii="仿宋_GB2312" w:hAnsi="仿宋_GB2312" w:eastAsia="仿宋_GB2312" w:cs="仿宋_GB2312"/>
          <w:color w:val="auto"/>
          <w:sz w:val="32"/>
          <w:szCs w:val="32"/>
          <w:lang w:val="en-US" w:eastAsia="zh-CN"/>
        </w:rPr>
        <w:t>0.24</w:t>
      </w:r>
      <w:r>
        <w:rPr>
          <w:rFonts w:hint="eastAsia" w:ascii="仿宋_GB2312" w:hAnsi="仿宋_GB2312" w:eastAsia="仿宋_GB2312" w:cs="仿宋_GB2312"/>
          <w:color w:val="auto"/>
          <w:sz w:val="32"/>
          <w:szCs w:val="32"/>
        </w:rPr>
        <w:t>万元下拨至我</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，用于</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lang w:val="en-US" w:eastAsia="zh-CN"/>
        </w:rPr>
        <w:t>财政</w:t>
      </w:r>
      <w:r>
        <w:rPr>
          <w:rFonts w:hint="eastAsia" w:ascii="仿宋_GB2312" w:hAnsi="仿宋_GB2312" w:eastAsia="仿宋_GB2312" w:cs="仿宋_GB2312"/>
          <w:color w:val="auto"/>
          <w:sz w:val="32"/>
          <w:szCs w:val="32"/>
          <w:lang w:eastAsia="zh-CN"/>
        </w:rPr>
        <w:t>专网正常运行</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仿宋_GB2312" w:eastAsia="仿宋_GB2312" w:cs="仿宋_GB2312"/>
          <w:color w:val="auto"/>
          <w:sz w:val="32"/>
          <w:szCs w:val="32"/>
          <w:lang w:eastAsia="zh-CN"/>
        </w:rPr>
        <w:t>项目资金已足额到账，</w:t>
      </w:r>
      <w:r>
        <w:rPr>
          <w:rFonts w:hint="eastAsia" w:ascii="仿宋_GB2312" w:hAnsi="仿宋_GB2312" w:eastAsia="仿宋_GB2312" w:cs="仿宋_GB2312"/>
          <w:color w:val="auto"/>
          <w:sz w:val="32"/>
          <w:szCs w:val="32"/>
        </w:rPr>
        <w:t>资金到位率100%</w:t>
      </w:r>
      <w:r>
        <w:rPr>
          <w:rFonts w:hint="eastAsia" w:ascii="仿宋_GB2312" w:hAnsi="宋体" w:eastAsia="仿宋_GB2312" w:cs="Times New Roman"/>
          <w:color w:val="auto"/>
          <w:sz w:val="32"/>
          <w:szCs w:val="32"/>
          <w:highlight w:val="none"/>
          <w:lang w:val="zh-CN"/>
        </w:rPr>
        <w:t>。</w:t>
      </w:r>
    </w:p>
    <w:p>
      <w:pPr>
        <w:pageBreakBefore w:val="0"/>
        <w:widowControl w:val="0"/>
        <w:kinsoku/>
        <w:wordWrap/>
        <w:overflowPunct/>
        <w:topLinePunct w:val="0"/>
        <w:autoSpaceDN/>
        <w:bidi w:val="0"/>
        <w:spacing w:line="576" w:lineRule="exact"/>
        <w:ind w:firstLine="640" w:firstLineChars="200"/>
        <w:textAlignment w:val="auto"/>
        <w:rPr>
          <w:rFonts w:hint="default" w:eastAsia="仿宋_GB2312"/>
          <w:color w:val="auto"/>
          <w:lang w:val="en-US" w:eastAsia="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仿宋_GB2312" w:hAnsi="仿宋_GB2312" w:eastAsia="仿宋_GB2312" w:cs="仿宋_GB2312"/>
          <w:color w:val="auto"/>
          <w:sz w:val="32"/>
          <w:szCs w:val="32"/>
        </w:rPr>
        <w:t>截至202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w:t>
      </w:r>
      <w:r>
        <w:rPr>
          <w:rFonts w:hint="eastAsia" w:ascii="仿宋_GB2312" w:hAnsi="仿宋_GB2312" w:eastAsia="仿宋_GB2312" w:cs="仿宋_GB2312"/>
          <w:color w:val="auto"/>
          <w:sz w:val="32"/>
          <w:szCs w:val="32"/>
          <w:lang w:eastAsia="zh-CN"/>
        </w:rPr>
        <w:t>该</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lang w:val="en-US" w:eastAsia="zh-CN"/>
        </w:rPr>
        <w:t>0.24</w:t>
      </w:r>
      <w:r>
        <w:rPr>
          <w:rFonts w:hint="eastAsia" w:ascii="仿宋_GB2312" w:hAnsi="仿宋_GB2312" w:eastAsia="仿宋_GB2312" w:cs="仿宋_GB2312"/>
          <w:color w:val="auto"/>
          <w:sz w:val="32"/>
          <w:szCs w:val="32"/>
        </w:rPr>
        <w:t>万元，资金使用率100%</w:t>
      </w:r>
      <w:r>
        <w:rPr>
          <w:rFonts w:hint="eastAsia" w:ascii="仿宋_GB2312" w:hAnsi="仿宋_GB2312" w:eastAsia="仿宋_GB2312" w:cs="仿宋_GB2312"/>
          <w:color w:val="auto"/>
          <w:sz w:val="32"/>
          <w:szCs w:val="32"/>
          <w:lang w:eastAsia="zh-CN"/>
        </w:rPr>
        <w:t>，资金支付依据合规合法与预算相符</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color w:val="auto"/>
          <w:sz w:val="32"/>
          <w:szCs w:val="32"/>
          <w:lang w:val="en-US" w:eastAsia="zh-CN"/>
        </w:rPr>
        <w:t>我局财务管理制度健全，并严格执行财务管理制度，账务处理及时，会计核算规范。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仿宋" w:eastAsia="仿宋_GB2312"/>
          <w:color w:val="auto"/>
          <w:sz w:val="32"/>
          <w:szCs w:val="32"/>
          <w:highlight w:val="none"/>
          <w:lang w:val="en-US" w:eastAsia="zh-CN"/>
        </w:rPr>
        <w:t>根据我局工作实际，经局党组会研究讨论决定，由财务牵头负责此项工作，保障专线网络的正常运行。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仿宋" w:eastAsia="仿宋_GB2312"/>
          <w:color w:val="auto"/>
          <w:sz w:val="32"/>
          <w:szCs w:val="32"/>
          <w:highlight w:val="none"/>
          <w:lang w:val="en-US" w:eastAsia="zh-CN"/>
        </w:rPr>
        <w:t>该项目为保障性经费支出项目，无招投标等情况，日常检查监督维护工作由财务负责。</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仿宋" w:eastAsia="仿宋_GB2312" w:cs="Times New Roman"/>
          <w:color w:val="auto"/>
          <w:sz w:val="32"/>
          <w:szCs w:val="32"/>
          <w:highlight w:val="none"/>
          <w:lang w:val="en-US" w:eastAsia="zh-CN"/>
        </w:rPr>
        <w:t>该项目为保障性经费支出项目，其项目管理制度合并在我局财务管理制度、内控管理制度等规范性财务制度之下，未单独建立项目管理制度。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2021年度，我局完成了对金财网络维护费的使用，根据工作实际情况，按时足额的进行了拨付，无超支、超标准、超范围使用项目资金情况发生。截止2021年底，财务专网运行正常，确保了各项财政资金使用渠道畅通</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pageBreakBefore w:val="0"/>
        <w:widowControl w:val="0"/>
        <w:kinsoku/>
        <w:wordWrap/>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eastAsia="zh-CN"/>
        </w:rPr>
      </w:pPr>
      <w:r>
        <w:rPr>
          <w:rFonts w:hint="eastAsia" w:ascii="仿宋_GB2312" w:hAnsi="Times New Roman" w:eastAsia="仿宋_GB2312" w:cs="Times New Roman"/>
          <w:color w:val="auto"/>
          <w:spacing w:val="-6"/>
          <w:sz w:val="32"/>
          <w:szCs w:val="32"/>
        </w:rPr>
        <w:t>社会效益指标</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lang w:val="en-US" w:eastAsia="zh-CN"/>
        </w:rPr>
        <w:t>保障专网正常运行</w:t>
      </w:r>
      <w:r>
        <w:rPr>
          <w:rFonts w:hint="eastAsia" w:ascii="仿宋_GB2312" w:hAnsi="Times New Roman" w:eastAsia="仿宋_GB2312" w:cs="Times New Roman"/>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ascii="仿宋_GB2312" w:hAnsi="宋体" w:eastAsia="仿宋_GB2312" w:cs="Times New Roman"/>
          <w:color w:val="auto"/>
          <w:sz w:val="32"/>
          <w:szCs w:val="32"/>
          <w:highlight w:val="none"/>
          <w:lang w:val="zh-CN"/>
        </w:rPr>
      </w:pPr>
      <w:r>
        <w:rPr>
          <w:rFonts w:hint="default" w:ascii="仿宋_GB2312" w:hAnsi="Times New Roman" w:eastAsia="仿宋_GB2312" w:cs="Times New Roman"/>
          <w:color w:val="auto"/>
          <w:spacing w:val="-6"/>
          <w:sz w:val="32"/>
          <w:szCs w:val="32"/>
          <w:lang w:val="en-US" w:eastAsia="zh-CN"/>
        </w:rPr>
        <w:t>满意度指标</w:t>
      </w:r>
      <w:r>
        <w:rPr>
          <w:rFonts w:hint="eastAsia" w:ascii="仿宋_GB2312" w:hAnsi="Times New Roman" w:eastAsia="仿宋_GB2312" w:cs="Times New Roman"/>
          <w:color w:val="auto"/>
          <w:spacing w:val="-6"/>
          <w:sz w:val="32"/>
          <w:szCs w:val="32"/>
          <w:lang w:val="en-US" w:eastAsia="zh-CN"/>
        </w:rPr>
        <w:t>：使用专网人员满意度100%。</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auto"/>
          <w:kern w:val="0"/>
          <w:sz w:val="32"/>
          <w:szCs w:val="32"/>
          <w:shd w:val="clear" w:color="auto" w:fill="FFFFFF"/>
          <w:lang w:val="zh-CN" w:eastAsia="zh-CN" w:bidi="ar-SA"/>
        </w:rPr>
      </w:pPr>
      <w:r>
        <w:rPr>
          <w:rFonts w:hint="eastAsia" w:hAnsi="Times New Roman" w:cs="Times New Roman"/>
          <w:color w:val="auto"/>
          <w:kern w:val="0"/>
          <w:sz w:val="32"/>
          <w:szCs w:val="32"/>
          <w:shd w:val="clear" w:color="auto" w:fill="FFFFFF"/>
          <w:lang w:val="en-US" w:eastAsia="zh-CN" w:bidi="ar-SA"/>
        </w:rPr>
        <w:t>该项目</w:t>
      </w:r>
      <w:r>
        <w:rPr>
          <w:rFonts w:hint="eastAsia" w:ascii="仿宋_GB2312" w:hAnsi="Times New Roman" w:eastAsia="仿宋_GB2312" w:cs="Times New Roman"/>
          <w:color w:val="auto"/>
          <w:kern w:val="0"/>
          <w:sz w:val="32"/>
          <w:szCs w:val="32"/>
          <w:shd w:val="clear" w:color="auto" w:fill="FFFFFF"/>
          <w:lang w:val="en-US" w:eastAsia="zh-CN" w:bidi="ar-SA"/>
        </w:rPr>
        <w:t>支出自评工作结果较好，质量较高，完整和清晰的反应出我局在2021年度预算</w:t>
      </w:r>
      <w:r>
        <w:rPr>
          <w:rFonts w:hint="eastAsia" w:hAnsi="Times New Roman" w:cs="Times New Roman"/>
          <w:color w:val="auto"/>
          <w:kern w:val="0"/>
          <w:sz w:val="32"/>
          <w:szCs w:val="32"/>
          <w:shd w:val="clear" w:color="auto" w:fill="FFFFFF"/>
          <w:lang w:val="en-US" w:eastAsia="zh-CN" w:bidi="ar-SA"/>
        </w:rPr>
        <w:t>项目</w:t>
      </w:r>
      <w:r>
        <w:rPr>
          <w:rFonts w:hint="eastAsia" w:ascii="仿宋_GB2312" w:hAnsi="Times New Roman" w:eastAsia="仿宋_GB2312" w:cs="Times New Roman"/>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pStyle w:val="2"/>
        <w:rPr>
          <w:rFonts w:hint="eastAsia"/>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t>附表</w:t>
      </w: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64"/>
        <w:gridCol w:w="148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2021年金财网络维护费</w:t>
            </w:r>
            <w:r>
              <w:rPr>
                <w:rFonts w:hint="eastAsia" w:ascii="宋体" w:hAnsi="宋体" w:cs="宋体"/>
                <w:b/>
                <w:i w:val="0"/>
                <w:color w:val="auto"/>
                <w:sz w:val="32"/>
                <w:szCs w:val="32"/>
                <w:highlight w:val="none"/>
                <w:u w:val="none"/>
                <w:lang w:val="en-US" w:eastAsia="zh-CN"/>
              </w:rPr>
              <w:t>部门</w:t>
            </w:r>
            <w:r>
              <w:rPr>
                <w:rFonts w:hint="eastAsia" w:ascii="宋体" w:hAnsi="宋体" w:eastAsia="宋体" w:cs="宋体"/>
                <w:b/>
                <w:i w:val="0"/>
                <w:color w:val="auto"/>
                <w:sz w:val="32"/>
                <w:szCs w:val="32"/>
                <w:highlight w:val="none"/>
                <w:u w:val="none"/>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eastAsia="zh-CN"/>
              </w:rPr>
              <w:t>广元市朝天区统计局</w:t>
            </w:r>
            <w:r>
              <w:rPr>
                <w:rFonts w:hint="eastAsia" w:ascii="宋体" w:hAnsi="宋体" w:eastAsia="宋体" w:cs="宋体"/>
                <w:i w:val="0"/>
                <w:color w:val="auto"/>
                <w:sz w:val="21"/>
                <w:szCs w:val="21"/>
                <w:highlight w:val="none"/>
                <w:u w:val="none"/>
                <w:lang w:val="en-US" w:eastAsia="zh-CN"/>
              </w:rPr>
              <w:t>316301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广元市朝天区统计局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（万元）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0.24</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0.24</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lang w:eastAsia="zh-CN"/>
              </w:rPr>
            </w:pPr>
            <w:r>
              <w:rPr>
                <w:rFonts w:hint="eastAsia" w:ascii="宋体" w:hAnsi="宋体" w:eastAsia="宋体" w:cs="宋体"/>
                <w:color w:val="000000"/>
                <w:kern w:val="0"/>
                <w:sz w:val="21"/>
                <w:szCs w:val="21"/>
                <w:lang w:eastAsia="zh-CN"/>
              </w:rPr>
              <w:t>维护金财网运行正常，保证各项财政资金使用渠道畅通。</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rPr>
            </w:pPr>
            <w:r>
              <w:rPr>
                <w:rFonts w:hint="eastAsia" w:ascii="宋体" w:hAnsi="宋体" w:eastAsia="宋体" w:cs="宋体"/>
                <w:color w:val="000000"/>
                <w:kern w:val="0"/>
                <w:sz w:val="21"/>
                <w:szCs w:val="21"/>
                <w:lang w:eastAsia="zh-CN"/>
              </w:rPr>
              <w:t>维护了金财网正常运行，保证了各项财政资金使用渠道畅通。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77"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年度绩效指标完成情况</w:t>
            </w:r>
          </w:p>
        </w:tc>
        <w:tc>
          <w:tcPr>
            <w:tcW w:w="8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维护网络条数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1</w:t>
            </w:r>
            <w:r>
              <w:rPr>
                <w:rFonts w:hint="eastAsia" w:ascii="宋体" w:hAnsi="宋体" w:eastAsia="宋体" w:cs="宋体"/>
                <w:i w:val="0"/>
                <w:color w:val="auto"/>
                <w:sz w:val="21"/>
                <w:szCs w:val="21"/>
                <w:highlight w:val="none"/>
                <w:u w:val="none"/>
              </w:rPr>
              <w:t>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1</w:t>
            </w:r>
            <w:r>
              <w:rPr>
                <w:rFonts w:hint="eastAsia" w:ascii="宋体" w:hAnsi="宋体" w:eastAsia="宋体" w:cs="宋体"/>
                <w:i w:val="0"/>
                <w:color w:val="auto"/>
                <w:sz w:val="21"/>
                <w:szCs w:val="21"/>
                <w:highlight w:val="none"/>
                <w:u w:val="none"/>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网络畅通率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工作完成时限</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c>
          <w:tcPr>
            <w:tcW w:w="166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维护费用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0.24</w:t>
            </w:r>
            <w:r>
              <w:rPr>
                <w:rFonts w:hint="eastAsia" w:ascii="宋体" w:hAnsi="宋体" w:eastAsia="宋体" w:cs="宋体"/>
                <w:i w:val="0"/>
                <w:color w:val="auto"/>
                <w:sz w:val="21"/>
                <w:szCs w:val="21"/>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0.24</w:t>
            </w:r>
            <w:r>
              <w:rPr>
                <w:rFonts w:hint="eastAsia" w:ascii="宋体" w:hAnsi="宋体" w:eastAsia="宋体" w:cs="宋体"/>
                <w:i w:val="0"/>
                <w:color w:val="auto"/>
                <w:sz w:val="21"/>
                <w:szCs w:val="21"/>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效益</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color w:val="000000"/>
                <w:kern w:val="0"/>
                <w:sz w:val="21"/>
                <w:szCs w:val="21"/>
                <w:lang w:val="en-US" w:eastAsia="zh-CN"/>
              </w:rPr>
              <w:t>保障专网正常运行</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度指标</w:t>
            </w:r>
          </w:p>
        </w:tc>
        <w:tc>
          <w:tcPr>
            <w:tcW w:w="16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使用专网人员满意度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cs="宋体"/>
                <w:i w:val="0"/>
                <w:color w:val="auto"/>
                <w:sz w:val="21"/>
                <w:szCs w:val="21"/>
                <w:highlight w:val="none"/>
                <w:u w:val="none"/>
                <w:lang w:val="en-US" w:eastAsia="zh-CN"/>
              </w:rPr>
              <w:t>100</w:t>
            </w:r>
            <w:r>
              <w:rPr>
                <w:rFonts w:hint="eastAsia" w:ascii="宋体" w:hAnsi="宋体" w:eastAsia="宋体" w:cs="宋体"/>
                <w:i w:val="0"/>
                <w:color w:val="auto"/>
                <w:sz w:val="21"/>
                <w:szCs w:val="21"/>
                <w:highlight w:val="none"/>
                <w:u w:val="none"/>
              </w:rPr>
              <w:t>%</w:t>
            </w:r>
          </w:p>
        </w:tc>
      </w:tr>
    </w:tbl>
    <w:p>
      <w:pPr>
        <w:pStyle w:val="2"/>
        <w:rPr>
          <w:rFonts w:hint="eastAsia"/>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广元市朝天区统计局</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2021年国家、省住户调查纸质记账业务费</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pageBreakBefore w:val="0"/>
        <w:widowControl w:val="0"/>
        <w:kinsoku/>
        <w:overflowPunct/>
        <w:topLinePunct w:val="0"/>
        <w:autoSpaceDE w:val="0"/>
        <w:autoSpaceDN/>
        <w:bidi w:val="0"/>
        <w:spacing w:line="576" w:lineRule="exact"/>
        <w:ind w:firstLine="640" w:firstLineChars="200"/>
        <w:textAlignment w:val="auto"/>
        <w:rPr>
          <w:rFonts w:hint="default" w:ascii="仿宋_GB2312" w:hAnsi="仿宋" w:eastAsia="仿宋_GB2312" w:cs="Times New Roman"/>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为全面、准确、及时了解我区城乡居民收入、消费及其他生活状况，客观监测居民收入分配格局和不同收入层次居民的生活质量，更好地满足研究制定城乡统筹政策和民生政策的需要，为国民经济核算和居民消费价格指数权重制定提供基础数据，按照国家、省、市要求，开展住户收支与生活状况调查。该项工作由我局牵头</w:t>
      </w:r>
      <w:r>
        <w:rPr>
          <w:rFonts w:hint="eastAsia" w:ascii="仿宋_GB2312" w:hAnsi="仿宋" w:eastAsia="仿宋_GB2312" w:cs="Times New Roman"/>
          <w:color w:val="auto"/>
          <w:sz w:val="32"/>
          <w:szCs w:val="32"/>
          <w:highlight w:val="none"/>
          <w:lang w:val="en-US" w:eastAsia="zh-CN"/>
        </w:rPr>
        <w:t>负责，工作经费主要是为了购置流量卡保障电子记账户记账及时。该项目实施周期为2021年度，根据工作实际发生情况，及时拨付使用。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我局负责住户调查工作，该项工作工作经费年度预算</w:t>
      </w:r>
      <w:r>
        <w:rPr>
          <w:rFonts w:hint="eastAsia" w:ascii="仿宋_GB2312" w:hAnsi="Times New Roman" w:eastAsia="仿宋_GB2312" w:cs="Times New Roman"/>
          <w:color w:val="auto"/>
          <w:spacing w:val="-6"/>
          <w:sz w:val="32"/>
          <w:szCs w:val="32"/>
          <w:lang w:val="en-US" w:eastAsia="zh-CN"/>
        </w:rPr>
        <w:t>10万元</w:t>
      </w:r>
      <w:r>
        <w:rPr>
          <w:rFonts w:hint="eastAsia" w:ascii="仿宋_GB2312" w:hAnsi="仿宋" w:eastAsia="仿宋_GB2312" w:cs="Times New Roman"/>
          <w:color w:val="auto"/>
          <w:sz w:val="32"/>
          <w:szCs w:val="32"/>
          <w:highlight w:val="none"/>
          <w:lang w:val="en-US" w:eastAsia="zh-CN"/>
        </w:rPr>
        <w:t>。该项目为保障性项目支出，年内项目根据实际工作开展情况，进行拨付。截止2021年底，我局对该项目预算已全额拨付。</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广元市朝天区</w:t>
      </w:r>
      <w:r>
        <w:rPr>
          <w:rFonts w:hint="eastAsia" w:ascii="仿宋_GB2312" w:hAnsi="宋体" w:eastAsia="仿宋_GB2312" w:cs="Times New Roman"/>
          <w:color w:val="auto"/>
          <w:sz w:val="32"/>
          <w:szCs w:val="32"/>
          <w:highlight w:val="none"/>
          <w:lang w:val="en-US" w:eastAsia="zh-CN"/>
        </w:rPr>
        <w:t>统计局</w:t>
      </w:r>
      <w:r>
        <w:rPr>
          <w:rFonts w:hint="eastAsia" w:ascii="仿宋_GB2312" w:hAnsi="宋体" w:eastAsia="仿宋_GB2312" w:cs="Times New Roman"/>
          <w:color w:val="auto"/>
          <w:sz w:val="32"/>
          <w:szCs w:val="32"/>
          <w:highlight w:val="none"/>
          <w:lang w:val="zh-CN"/>
        </w:rPr>
        <w:t>年初</w:t>
      </w:r>
      <w:r>
        <w:rPr>
          <w:rFonts w:hint="eastAsia" w:ascii="仿宋_GB2312" w:hAnsi="宋体" w:eastAsia="仿宋_GB2312" w:cs="Times New Roman"/>
          <w:color w:val="auto"/>
          <w:sz w:val="32"/>
          <w:szCs w:val="32"/>
          <w:highlight w:val="none"/>
          <w:lang w:val="en-US" w:eastAsia="zh-CN"/>
        </w:rPr>
        <w:t>国家、省住户调查纸质记账业务费</w:t>
      </w:r>
      <w:r>
        <w:rPr>
          <w:rFonts w:hint="eastAsia" w:ascii="仿宋_GB2312" w:hAnsi="宋体" w:eastAsia="仿宋_GB2312" w:cs="Times New Roman"/>
          <w:color w:val="auto"/>
          <w:sz w:val="32"/>
          <w:szCs w:val="32"/>
          <w:highlight w:val="none"/>
          <w:lang w:val="zh-CN"/>
        </w:rPr>
        <w:t>预算</w:t>
      </w:r>
      <w:r>
        <w:rPr>
          <w:rFonts w:hint="eastAsia" w:ascii="仿宋_GB2312" w:hAnsi="宋体" w:eastAsia="仿宋_GB2312" w:cs="Times New Roman"/>
          <w:color w:val="auto"/>
          <w:sz w:val="32"/>
          <w:szCs w:val="32"/>
          <w:highlight w:val="none"/>
          <w:lang w:val="en-US" w:eastAsia="zh-CN"/>
        </w:rPr>
        <w:t>7.62万元，按年度进行申报。资金及时批复到位。符合资金管理办法等相关规定。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1.</w:t>
      </w:r>
      <w:r>
        <w:rPr>
          <w:rFonts w:hint="eastAsia" w:ascii="楷体_GB2312" w:hAnsi="宋体" w:eastAsia="楷体_GB2312" w:cs="Times New Roman"/>
          <w:color w:val="auto"/>
          <w:sz w:val="32"/>
          <w:szCs w:val="32"/>
          <w:highlight w:val="none"/>
          <w:lang w:val="zh-CN"/>
        </w:rPr>
        <w:t>资金计划。</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财政局年初预算安排</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万元下拨至我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保障电子记账户流量充足、记账及时</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仿宋_GB2312" w:eastAsia="仿宋_GB2312" w:cs="仿宋_GB2312"/>
          <w:color w:val="auto"/>
          <w:sz w:val="32"/>
          <w:szCs w:val="32"/>
          <w:lang w:eastAsia="zh-CN"/>
        </w:rPr>
        <w:t>项目资金已足额到账，</w:t>
      </w:r>
      <w:r>
        <w:rPr>
          <w:rFonts w:hint="eastAsia" w:ascii="仿宋_GB2312" w:hAnsi="仿宋_GB2312" w:eastAsia="仿宋_GB2312" w:cs="仿宋_GB2312"/>
          <w:color w:val="auto"/>
          <w:sz w:val="32"/>
          <w:szCs w:val="32"/>
        </w:rPr>
        <w:t>资金到位率100%</w:t>
      </w:r>
      <w:r>
        <w:rPr>
          <w:rFonts w:hint="eastAsia" w:ascii="仿宋_GB2312" w:hAnsi="宋体" w:eastAsia="仿宋_GB2312" w:cs="Times New Roman"/>
          <w:color w:val="auto"/>
          <w:sz w:val="32"/>
          <w:szCs w:val="32"/>
          <w:highlight w:val="none"/>
          <w:lang w:val="zh-CN"/>
        </w:rPr>
        <w:t>。</w:t>
      </w:r>
    </w:p>
    <w:p>
      <w:pPr>
        <w:pageBreakBefore w:val="0"/>
        <w:widowControl w:val="0"/>
        <w:kinsoku/>
        <w:wordWrap/>
        <w:overflowPunct/>
        <w:topLinePunct w:val="0"/>
        <w:autoSpaceDN/>
        <w:bidi w:val="0"/>
        <w:spacing w:line="576" w:lineRule="exact"/>
        <w:ind w:firstLine="640" w:firstLineChars="200"/>
        <w:textAlignment w:val="auto"/>
        <w:rPr>
          <w:rFonts w:hint="default" w:eastAsia="仿宋_GB2312"/>
          <w:lang w:val="en-US" w:eastAsia="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楷体_GB2312" w:hAnsi="宋体" w:eastAsia="楷体_GB2312" w:cs="Times New Roman"/>
          <w:color w:val="FF0000"/>
          <w:sz w:val="32"/>
          <w:szCs w:val="32"/>
          <w:highlight w:val="none"/>
          <w:lang w:val="zh-CN"/>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万元，资金使用率100%</w:t>
      </w:r>
      <w:r>
        <w:rPr>
          <w:rFonts w:hint="eastAsia" w:ascii="仿宋_GB2312" w:hAnsi="仿宋_GB2312" w:eastAsia="仿宋_GB2312" w:cs="仿宋_GB2312"/>
          <w:sz w:val="32"/>
          <w:szCs w:val="32"/>
          <w:lang w:eastAsia="zh-CN"/>
        </w:rPr>
        <w:t>，资金支付依据合规合法与预算相符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sz w:val="32"/>
          <w:szCs w:val="32"/>
          <w:lang w:val="en-US" w:eastAsia="zh-CN"/>
        </w:rPr>
        <w:t>我局财务管理制度健全，并严格执行财务管理制度，账务处理及时，会计核算规范。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pageBreakBefore w:val="0"/>
        <w:widowControl w:val="0"/>
        <w:kinsoku/>
        <w:wordWrap/>
        <w:overflowPunct/>
        <w:topLinePunct w:val="0"/>
        <w:autoSpaceDE/>
        <w:autoSpaceDN/>
        <w:bidi w:val="0"/>
        <w:adjustRightInd/>
        <w:snapToGrid/>
        <w:spacing w:line="576" w:lineRule="exact"/>
        <w:ind w:firstLine="660"/>
        <w:textAlignment w:val="auto"/>
        <w:rPr>
          <w:rFonts w:hint="default" w:ascii="仿宋_GB2312" w:hAnsi="仿宋" w:eastAsia="仿宋_GB2312"/>
          <w:sz w:val="32"/>
          <w:szCs w:val="32"/>
          <w:lang w:val="en-US" w:eastAsia="zh-CN"/>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仿宋" w:eastAsia="仿宋_GB2312"/>
          <w:sz w:val="32"/>
          <w:szCs w:val="32"/>
          <w:lang w:val="en-US" w:eastAsia="zh-CN"/>
        </w:rPr>
        <w:t>根据我局工作实际，经局党组会研究讨论决定，责成2名专人负责住户调查工作，保障此项工作高效运行。</w:t>
      </w:r>
    </w:p>
    <w:p>
      <w:pPr>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仿宋" w:eastAsia="仿宋_GB2312"/>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仿宋" w:eastAsia="仿宋_GB2312" w:cs="Times New Roman"/>
          <w:color w:val="auto"/>
          <w:sz w:val="32"/>
          <w:szCs w:val="32"/>
          <w:highlight w:val="none"/>
          <w:lang w:val="en-US" w:eastAsia="zh-CN"/>
        </w:rPr>
        <w:t>该项目为保障性经费支出项目，其项目管理制度合并在我局财务管理制度、内控管理制度等规范性财务制度之下，未单独建立项目管理制度。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2021年度，我局完成了对国家、省住户调查纸质记账业务费的使用，根据工作实际情况，按时足额的进行了拨付，无超支、超标准、超范围使用项目资金情况发生。截止2021年底，该项目运行正常，确保了记账户记账数据及时上传</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社会效益指标：通过调查为全区制定民生政策提供数据支撑。</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可持续影响指标：了解全区城乡居民可支配收入情况。</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default" w:ascii="仿宋_GB2312" w:hAnsi="Times New Roman" w:eastAsia="仿宋_GB2312" w:cs="Times New Roman"/>
          <w:color w:val="auto"/>
          <w:spacing w:val="-6"/>
          <w:sz w:val="32"/>
          <w:szCs w:val="32"/>
          <w:lang w:val="en-US" w:eastAsia="zh-CN"/>
        </w:rPr>
        <w:t>满意度指标</w:t>
      </w:r>
      <w:r>
        <w:rPr>
          <w:rFonts w:hint="eastAsia" w:ascii="仿宋_GB2312" w:hAnsi="Times New Roman" w:eastAsia="仿宋_GB2312" w:cs="Times New Roman"/>
          <w:color w:val="auto"/>
          <w:spacing w:val="-6"/>
          <w:sz w:val="32"/>
          <w:szCs w:val="32"/>
          <w:lang w:val="en-US" w:eastAsia="zh-CN"/>
        </w:rPr>
        <w:t>：</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1.制定民生政策认可度100%；</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2. 群众满意度100%。</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auto"/>
          <w:kern w:val="0"/>
          <w:sz w:val="32"/>
          <w:szCs w:val="32"/>
          <w:shd w:val="clear" w:color="auto" w:fill="FFFFFF"/>
          <w:lang w:val="zh-CN" w:eastAsia="zh-CN" w:bidi="ar-SA"/>
        </w:rPr>
      </w:pPr>
      <w:r>
        <w:rPr>
          <w:rFonts w:hint="eastAsia" w:hAnsi="Times New Roman" w:cs="Times New Roman"/>
          <w:color w:val="auto"/>
          <w:kern w:val="0"/>
          <w:sz w:val="32"/>
          <w:szCs w:val="32"/>
          <w:shd w:val="clear" w:color="auto" w:fill="FFFFFF"/>
          <w:lang w:val="en-US" w:eastAsia="zh-CN" w:bidi="ar-SA"/>
        </w:rPr>
        <w:t>该项目</w:t>
      </w:r>
      <w:r>
        <w:rPr>
          <w:rFonts w:hint="eastAsia" w:ascii="仿宋_GB2312" w:hAnsi="Times New Roman" w:eastAsia="仿宋_GB2312" w:cs="Times New Roman"/>
          <w:color w:val="auto"/>
          <w:kern w:val="0"/>
          <w:sz w:val="32"/>
          <w:szCs w:val="32"/>
          <w:shd w:val="clear" w:color="auto" w:fill="FFFFFF"/>
          <w:lang w:val="en-US" w:eastAsia="zh-CN" w:bidi="ar-SA"/>
        </w:rPr>
        <w:t>支出自评工作结果较好，质量较高，完整和清晰的反应出我局在2021年度预算</w:t>
      </w:r>
      <w:r>
        <w:rPr>
          <w:rFonts w:hint="eastAsia" w:hAnsi="Times New Roman" w:cs="Times New Roman"/>
          <w:color w:val="auto"/>
          <w:kern w:val="0"/>
          <w:sz w:val="32"/>
          <w:szCs w:val="32"/>
          <w:shd w:val="clear" w:color="auto" w:fill="FFFFFF"/>
          <w:lang w:val="en-US" w:eastAsia="zh-CN" w:bidi="ar-SA"/>
        </w:rPr>
        <w:t>项目</w:t>
      </w:r>
      <w:r>
        <w:rPr>
          <w:rFonts w:hint="eastAsia" w:ascii="仿宋_GB2312" w:hAnsi="Times New Roman" w:eastAsia="仿宋_GB2312" w:cs="Times New Roman"/>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en-US" w:eastAsia="zh-CN"/>
        </w:rPr>
        <w:t>附表</w:t>
      </w: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319"/>
        <w:gridCol w:w="1500"/>
        <w:gridCol w:w="1770"/>
        <w:gridCol w:w="2163"/>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2021年国家、省住户调查纸质记账业务费预算项目绩效目标自评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主管部门及代码</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eastAsia="zh-CN"/>
              </w:rPr>
              <w:t>广元市朝天区统计局</w:t>
            </w:r>
            <w:r>
              <w:rPr>
                <w:rFonts w:hint="eastAsia" w:ascii="宋体" w:hAnsi="宋体" w:eastAsia="宋体" w:cs="宋体"/>
                <w:i w:val="0"/>
                <w:color w:val="auto"/>
                <w:sz w:val="21"/>
                <w:szCs w:val="21"/>
                <w:highlight w:val="none"/>
                <w:u w:val="none"/>
                <w:lang w:val="en-US" w:eastAsia="zh-CN"/>
              </w:rPr>
              <w:t>316301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实施单位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广元市朝天区统计局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（万元）</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执行数：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完成情况</w:t>
            </w:r>
          </w:p>
        </w:tc>
        <w:tc>
          <w:tcPr>
            <w:tcW w:w="3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预期目标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36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rPr>
              <w:t>保障记账户流量充足，及时记账并上传；确保记账工作顺利开展。</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充分保障了记账卡流量充足，确保记账户记账及时，数据汇总高效。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年度绩效指标完成情况</w:t>
            </w:r>
          </w:p>
        </w:tc>
        <w:tc>
          <w:tcPr>
            <w:tcW w:w="8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预期指标值</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31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流量卡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所有电子记账户及辅助调查员等</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110张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流量卡有效使用率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资金</w:t>
            </w:r>
            <w:r>
              <w:rPr>
                <w:rFonts w:hint="eastAsia" w:ascii="宋体" w:hAnsi="宋体" w:eastAsia="宋体" w:cs="宋体"/>
                <w:i w:val="0"/>
                <w:color w:val="auto"/>
                <w:sz w:val="21"/>
                <w:szCs w:val="21"/>
                <w:highlight w:val="none"/>
                <w:u w:val="none"/>
                <w:lang w:eastAsia="zh-CN"/>
              </w:rPr>
              <w:t>使用</w:t>
            </w:r>
            <w:r>
              <w:rPr>
                <w:rFonts w:hint="eastAsia" w:ascii="宋体" w:hAnsi="宋体" w:eastAsia="宋体" w:cs="宋体"/>
                <w:i w:val="0"/>
                <w:color w:val="auto"/>
                <w:sz w:val="21"/>
                <w:szCs w:val="21"/>
                <w:highlight w:val="none"/>
                <w:u w:val="none"/>
              </w:rPr>
              <w:t>时效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电子记账流量费</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≤10万元</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效益</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319"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通过调查为全区制定民生政策提供数据支撑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按时按质完成数据汇总，对外公布城乡居民人均可支配收入，方便群众了解全区城乡居民收入情况。</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按时按质完成数据汇总，对外公布城乡居民人均可支配收入，方便群众了解全区城乡居民收入情况。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sz w:val="21"/>
                <w:szCs w:val="21"/>
              </w:rPr>
              <w:t>可持续影响指标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了解全区城乡居民可支配收入情况</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为我区制定民生政策提供数据支撑。</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为我区制定民生政策提供数据支撑。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31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影响时效</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度指标</w:t>
            </w:r>
          </w:p>
        </w:tc>
        <w:tc>
          <w:tcPr>
            <w:tcW w:w="13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制定民生政策认可度</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7"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84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31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群众满意度</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100%</w:t>
            </w:r>
          </w:p>
        </w:tc>
      </w:tr>
    </w:tbl>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76" w:lineRule="exact"/>
        <w:ind w:left="0" w:right="0"/>
        <w:textAlignment w:val="auto"/>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广元市朝天区统计局</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2021年国家、省住户调查电子+纸质记账补助</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pageBreakBefore w:val="0"/>
        <w:widowControl w:val="0"/>
        <w:kinsoku/>
        <w:overflowPunct/>
        <w:topLinePunct w:val="0"/>
        <w:autoSpaceDE w:val="0"/>
        <w:autoSpaceDN/>
        <w:bidi w:val="0"/>
        <w:spacing w:line="576" w:lineRule="exact"/>
        <w:ind w:firstLine="640"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为全面、准确、及时了解我区城乡居民收入、消费及其他生活状况，客观监测居民收入分配格局和不同收入层次居民的生活质量，更好地满足研究制定城乡统筹政策和民生政策的需要，为国民经济核算和居民消费价格指数权重制定提供基础数据，按照国家、省、市要求，开展住户收支与生活状况调查。该项工作由我局牵头</w:t>
      </w:r>
      <w:r>
        <w:rPr>
          <w:rFonts w:hint="eastAsia" w:ascii="仿宋_GB2312" w:hAnsi="仿宋" w:eastAsia="仿宋_GB2312" w:cs="Times New Roman"/>
          <w:color w:val="auto"/>
          <w:sz w:val="32"/>
          <w:szCs w:val="32"/>
          <w:highlight w:val="none"/>
          <w:lang w:val="en-US" w:eastAsia="zh-CN"/>
        </w:rPr>
        <w:t>负责，工作经费主要是保障工作的正常开展，用以解决在日常运行过程中产生的办公费、印刷费、邮电费、差旅费、培训费、公务接待费、劳务费、其他交通费用等。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我局负责住户调查工作，该项工作工作经费年度预算</w:t>
      </w:r>
      <w:r>
        <w:rPr>
          <w:rFonts w:hint="eastAsia" w:ascii="仿宋_GB2312" w:hAnsi="Times New Roman" w:eastAsia="仿宋_GB2312" w:cs="Times New Roman"/>
          <w:color w:val="auto"/>
          <w:spacing w:val="-6"/>
          <w:sz w:val="32"/>
          <w:szCs w:val="32"/>
          <w:lang w:val="en-US" w:eastAsia="zh-CN"/>
        </w:rPr>
        <w:t>70.8万元</w:t>
      </w:r>
      <w:r>
        <w:rPr>
          <w:rFonts w:hint="eastAsia" w:ascii="仿宋_GB2312" w:hAnsi="仿宋" w:eastAsia="仿宋_GB2312" w:cs="Times New Roman"/>
          <w:color w:val="auto"/>
          <w:sz w:val="32"/>
          <w:szCs w:val="32"/>
          <w:highlight w:val="none"/>
          <w:lang w:val="en-US" w:eastAsia="zh-CN"/>
        </w:rPr>
        <w:t>。该项目为保障性项目支出，年内项目根据实际工作开展情况，进行拨付。截止2021年底，我局对该项目预算已全额拨付。</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pageBreakBefore w:val="0"/>
        <w:widowControl w:val="0"/>
        <w:kinsoku/>
        <w:overflowPunct/>
        <w:topLinePunct w:val="0"/>
        <w:autoSpaceDN/>
        <w:bidi w:val="0"/>
        <w:adjustRightInd w:val="0"/>
        <w:snapToGrid w:val="0"/>
        <w:spacing w:line="576" w:lineRule="exact"/>
        <w:ind w:firstLine="616" w:firstLineChars="200"/>
        <w:textAlignment w:val="auto"/>
        <w:rPr>
          <w:rFonts w:hint="eastAsia" w:ascii="仿宋_GB2312" w:hAnsi="宋体" w:eastAsia="仿宋_GB2312" w:cs="Times New Roman"/>
          <w:color w:val="auto"/>
          <w:spacing w:val="-6"/>
          <w:sz w:val="32"/>
          <w:szCs w:val="32"/>
        </w:rPr>
      </w:pPr>
      <w:r>
        <w:rPr>
          <w:rFonts w:hint="eastAsia" w:ascii="仿宋_GB2312" w:hAnsi="宋体" w:eastAsia="仿宋_GB2312" w:cs="Times New Roman"/>
          <w:color w:val="auto"/>
          <w:spacing w:val="-6"/>
          <w:sz w:val="32"/>
          <w:szCs w:val="32"/>
          <w:lang w:val="en-US" w:eastAsia="zh-CN"/>
        </w:rPr>
        <w:t>2021年度</w:t>
      </w:r>
      <w:r>
        <w:rPr>
          <w:rFonts w:hint="eastAsia" w:ascii="仿宋_GB2312" w:hAnsi="宋体" w:eastAsia="仿宋_GB2312" w:cs="Times New Roman"/>
          <w:color w:val="auto"/>
          <w:spacing w:val="-6"/>
          <w:sz w:val="32"/>
          <w:szCs w:val="32"/>
        </w:rPr>
        <w:t>国家、省住户调查电子+纸质记账补助</w:t>
      </w:r>
      <w:r>
        <w:rPr>
          <w:rFonts w:hint="eastAsia" w:ascii="仿宋_GB2312" w:hAnsi="宋体" w:eastAsia="仿宋_GB2312" w:cs="Times New Roman"/>
          <w:color w:val="auto"/>
          <w:spacing w:val="-6"/>
          <w:sz w:val="32"/>
          <w:szCs w:val="32"/>
          <w:lang w:val="en-US" w:eastAsia="zh-CN"/>
        </w:rPr>
        <w:t>项目预算资金为70.8万元，</w:t>
      </w:r>
      <w:r>
        <w:rPr>
          <w:rFonts w:hint="eastAsia" w:ascii="仿宋_GB2312" w:hAnsi="宋体" w:eastAsia="仿宋_GB2312" w:cs="Times New Roman"/>
          <w:color w:val="auto"/>
          <w:spacing w:val="-6"/>
          <w:sz w:val="32"/>
          <w:szCs w:val="32"/>
        </w:rPr>
        <w:t>按年度进行申报，资金及时批复到位，申报程序符合资金管理办法相关规定。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1.</w:t>
      </w:r>
      <w:r>
        <w:rPr>
          <w:rFonts w:hint="eastAsia" w:ascii="楷体_GB2312" w:hAnsi="宋体" w:eastAsia="楷体_GB2312" w:cs="Times New Roman"/>
          <w:color w:val="auto"/>
          <w:sz w:val="32"/>
          <w:szCs w:val="32"/>
          <w:highlight w:val="none"/>
          <w:lang w:val="zh-CN"/>
        </w:rPr>
        <w:t>资金计划。</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财政局年初预算安排</w:t>
      </w:r>
      <w:r>
        <w:rPr>
          <w:rFonts w:hint="eastAsia" w:ascii="仿宋_GB2312" w:hAnsi="仿宋_GB2312" w:eastAsia="仿宋_GB2312" w:cs="仿宋_GB2312"/>
          <w:sz w:val="32"/>
          <w:szCs w:val="32"/>
          <w:lang w:val="en-US" w:eastAsia="zh-CN"/>
        </w:rPr>
        <w:t>70.8</w:t>
      </w:r>
      <w:r>
        <w:rPr>
          <w:rFonts w:hint="eastAsia" w:ascii="仿宋_GB2312" w:hAnsi="仿宋_GB2312" w:eastAsia="仿宋_GB2312" w:cs="仿宋_GB2312"/>
          <w:sz w:val="32"/>
          <w:szCs w:val="32"/>
        </w:rPr>
        <w:t>万元下拨至我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保障住户调查工作正常运行</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仿宋_GB2312" w:eastAsia="仿宋_GB2312" w:cs="仿宋_GB2312"/>
          <w:color w:val="auto"/>
          <w:sz w:val="32"/>
          <w:szCs w:val="32"/>
          <w:lang w:eastAsia="zh-CN"/>
        </w:rPr>
        <w:t>项目资金已足额到账，</w:t>
      </w:r>
      <w:r>
        <w:rPr>
          <w:rFonts w:hint="eastAsia" w:ascii="仿宋_GB2312" w:hAnsi="仿宋_GB2312" w:eastAsia="仿宋_GB2312" w:cs="仿宋_GB2312"/>
          <w:color w:val="auto"/>
          <w:sz w:val="32"/>
          <w:szCs w:val="32"/>
        </w:rPr>
        <w:t>资金到位率100%</w:t>
      </w:r>
      <w:r>
        <w:rPr>
          <w:rFonts w:hint="eastAsia" w:ascii="仿宋_GB2312" w:hAnsi="宋体" w:eastAsia="仿宋_GB2312" w:cs="Times New Roman"/>
          <w:color w:val="auto"/>
          <w:sz w:val="32"/>
          <w:szCs w:val="32"/>
          <w:highlight w:val="none"/>
          <w:lang w:val="zh-CN"/>
        </w:rPr>
        <w:t>。</w:t>
      </w:r>
    </w:p>
    <w:p>
      <w:pPr>
        <w:pageBreakBefore w:val="0"/>
        <w:widowControl w:val="0"/>
        <w:kinsoku/>
        <w:wordWrap/>
        <w:overflowPunct/>
        <w:topLinePunct w:val="0"/>
        <w:autoSpaceDN/>
        <w:bidi w:val="0"/>
        <w:spacing w:line="576" w:lineRule="exact"/>
        <w:ind w:firstLine="640" w:firstLineChars="200"/>
        <w:textAlignment w:val="auto"/>
        <w:rPr>
          <w:rFonts w:hint="default" w:eastAsia="仿宋_GB2312"/>
          <w:lang w:val="en-US" w:eastAsia="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楷体_GB2312" w:hAnsi="宋体" w:eastAsia="楷体_GB2312" w:cs="Times New Roman"/>
          <w:color w:val="FF0000"/>
          <w:sz w:val="32"/>
          <w:szCs w:val="32"/>
          <w:highlight w:val="none"/>
          <w:lang w:val="zh-CN"/>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70.8</w:t>
      </w:r>
      <w:r>
        <w:rPr>
          <w:rFonts w:hint="eastAsia" w:ascii="仿宋_GB2312" w:hAnsi="仿宋_GB2312" w:eastAsia="仿宋_GB2312" w:cs="仿宋_GB2312"/>
          <w:sz w:val="32"/>
          <w:szCs w:val="32"/>
        </w:rPr>
        <w:t>万元，资金使用率100%</w:t>
      </w:r>
      <w:r>
        <w:rPr>
          <w:rFonts w:hint="eastAsia" w:ascii="仿宋_GB2312" w:hAnsi="仿宋_GB2312" w:eastAsia="仿宋_GB2312" w:cs="仿宋_GB2312"/>
          <w:sz w:val="32"/>
          <w:szCs w:val="32"/>
          <w:lang w:eastAsia="zh-CN"/>
        </w:rPr>
        <w:t>，资金支付依据合规合法与预算相符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sz w:val="32"/>
          <w:szCs w:val="32"/>
          <w:lang w:val="en-US" w:eastAsia="zh-CN"/>
        </w:rPr>
        <w:t>我局财务管理制度健全，并严格执行财务管理制度，账务处理及时，会计核算规范。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pageBreakBefore w:val="0"/>
        <w:widowControl w:val="0"/>
        <w:kinsoku/>
        <w:wordWrap/>
        <w:overflowPunct/>
        <w:topLinePunct w:val="0"/>
        <w:autoSpaceDE/>
        <w:autoSpaceDN/>
        <w:bidi w:val="0"/>
        <w:adjustRightInd/>
        <w:snapToGrid/>
        <w:spacing w:line="576" w:lineRule="exact"/>
        <w:ind w:firstLine="660"/>
        <w:textAlignment w:val="auto"/>
        <w:rPr>
          <w:rFonts w:hint="default" w:ascii="仿宋_GB2312" w:hAnsi="仿宋" w:eastAsia="仿宋_GB2312"/>
          <w:sz w:val="32"/>
          <w:szCs w:val="32"/>
          <w:lang w:val="en-US" w:eastAsia="zh-CN"/>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仿宋" w:eastAsia="仿宋_GB2312"/>
          <w:sz w:val="32"/>
          <w:szCs w:val="32"/>
          <w:lang w:val="en-US" w:eastAsia="zh-CN"/>
        </w:rPr>
        <w:t>根据我局工作实际，经局党组会研究讨论决定，责成2名专人负责住户调查工作，保障此项工作高效运行。</w:t>
      </w:r>
    </w:p>
    <w:p>
      <w:pPr>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仿宋" w:eastAsia="仿宋_GB2312"/>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仿宋" w:eastAsia="仿宋_GB2312" w:cs="Times New Roman"/>
          <w:color w:val="auto"/>
          <w:sz w:val="32"/>
          <w:szCs w:val="32"/>
          <w:highlight w:val="none"/>
          <w:lang w:val="en-US" w:eastAsia="zh-CN"/>
        </w:rPr>
        <w:t>该项目为保障性经费支出项目，其项目管理制度合并在我局财务管理制度、内控管理制度等规范性财务制度之下，未单独建立项目管理制度。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2021年度，我局完成了对城乡住户调查工作经费的使用，根据工作实际情况，按时足额的进行了拨付，无超支、超标准、超范围使用项目资金情况发生。截止2021年底，我局很好的完成了住户调查工作，工作成效显著，农村居民人均可支配收入增幅位居全市第一，城镇居民人均可支配收入增幅位居全市第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经济效益指标：增加领取补助人员经济收入。</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社会效益指标：通过调查为全区制定民生政策提供数据支撑。</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default" w:ascii="仿宋_GB2312" w:hAnsi="Times New Roman" w:eastAsia="仿宋_GB2312" w:cs="Times New Roman"/>
          <w:color w:val="auto"/>
          <w:spacing w:val="-6"/>
          <w:sz w:val="32"/>
          <w:szCs w:val="32"/>
          <w:lang w:val="en-US" w:eastAsia="zh-CN"/>
        </w:rPr>
        <w:t>满意度指标</w:t>
      </w:r>
      <w:r>
        <w:rPr>
          <w:rFonts w:hint="eastAsia" w:ascii="仿宋_GB2312" w:hAnsi="Times New Roman" w:eastAsia="仿宋_GB2312" w:cs="Times New Roman"/>
          <w:color w:val="auto"/>
          <w:spacing w:val="-6"/>
          <w:sz w:val="32"/>
          <w:szCs w:val="32"/>
          <w:lang w:val="en-US" w:eastAsia="zh-CN"/>
        </w:rPr>
        <w:t>：</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1.记账户满意度100%；</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2.补助对象满意度100%。</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auto"/>
          <w:kern w:val="0"/>
          <w:sz w:val="32"/>
          <w:szCs w:val="32"/>
          <w:shd w:val="clear" w:color="auto" w:fill="FFFFFF"/>
          <w:lang w:val="zh-CN" w:eastAsia="zh-CN" w:bidi="ar-SA"/>
        </w:rPr>
      </w:pPr>
      <w:r>
        <w:rPr>
          <w:rFonts w:hint="eastAsia" w:hAnsi="Times New Roman" w:cs="Times New Roman"/>
          <w:color w:val="auto"/>
          <w:kern w:val="0"/>
          <w:sz w:val="32"/>
          <w:szCs w:val="32"/>
          <w:shd w:val="clear" w:color="auto" w:fill="FFFFFF"/>
          <w:lang w:val="en-US" w:eastAsia="zh-CN" w:bidi="ar-SA"/>
        </w:rPr>
        <w:t>该项目</w:t>
      </w:r>
      <w:r>
        <w:rPr>
          <w:rFonts w:hint="eastAsia" w:ascii="仿宋_GB2312" w:hAnsi="Times New Roman" w:eastAsia="仿宋_GB2312" w:cs="Times New Roman"/>
          <w:color w:val="auto"/>
          <w:kern w:val="0"/>
          <w:sz w:val="32"/>
          <w:szCs w:val="32"/>
          <w:shd w:val="clear" w:color="auto" w:fill="FFFFFF"/>
          <w:lang w:val="en-US" w:eastAsia="zh-CN" w:bidi="ar-SA"/>
        </w:rPr>
        <w:t>支出自评工作结果较好，质量较高，完整和清晰的反应出我局在2021年度预算</w:t>
      </w:r>
      <w:r>
        <w:rPr>
          <w:rFonts w:hint="eastAsia" w:hAnsi="Times New Roman" w:cs="Times New Roman"/>
          <w:color w:val="auto"/>
          <w:kern w:val="0"/>
          <w:sz w:val="32"/>
          <w:szCs w:val="32"/>
          <w:shd w:val="clear" w:color="auto" w:fill="FFFFFF"/>
          <w:lang w:val="en-US" w:eastAsia="zh-CN" w:bidi="ar-SA"/>
        </w:rPr>
        <w:t>项目</w:t>
      </w:r>
      <w:r>
        <w:rPr>
          <w:rFonts w:hint="eastAsia" w:ascii="仿宋_GB2312" w:hAnsi="Times New Roman" w:eastAsia="仿宋_GB2312" w:cs="Times New Roman"/>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eastAsia="仿宋_GB2312"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en-US" w:eastAsia="zh-CN"/>
        </w:rPr>
        <w:t>附表</w:t>
      </w:r>
    </w:p>
    <w:tbl>
      <w:tblPr>
        <w:tblStyle w:val="16"/>
        <w:tblpPr w:leftFromText="180" w:rightFromText="180" w:vertAnchor="text" w:horzAnchor="page" w:tblpX="1281" w:tblpY="660"/>
        <w:tblOverlap w:val="never"/>
        <w:tblW w:w="9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772"/>
        <w:gridCol w:w="1230"/>
        <w:gridCol w:w="1740"/>
        <w:gridCol w:w="1725"/>
        <w:gridCol w:w="2133"/>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2021年国家、省住户调查电子+纸质记账补助</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i w:val="0"/>
                <w:color w:val="auto"/>
                <w:sz w:val="32"/>
                <w:szCs w:val="32"/>
                <w:highlight w:val="none"/>
                <w:u w:val="none"/>
                <w:lang w:val="en-US" w:eastAsia="zh-CN"/>
              </w:rPr>
              <w:t>部门</w:t>
            </w:r>
            <w:r>
              <w:rPr>
                <w:rFonts w:hint="eastAsia" w:ascii="宋体" w:hAnsi="宋体" w:eastAsia="宋体" w:cs="宋体"/>
                <w:b/>
                <w:i w:val="0"/>
                <w:color w:val="auto"/>
                <w:sz w:val="32"/>
                <w:szCs w:val="32"/>
                <w:highlight w:val="none"/>
                <w:u w:val="none"/>
                <w:lang w:val="en-US" w:eastAsia="zh-CN"/>
              </w:rPr>
              <w:t>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7"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主管部门及代码</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eastAsia="zh-CN"/>
              </w:rPr>
              <w:t>广元市朝天区统计局</w:t>
            </w:r>
            <w:r>
              <w:rPr>
                <w:rFonts w:hint="eastAsia" w:ascii="宋体" w:hAnsi="宋体" w:eastAsia="宋体" w:cs="宋体"/>
                <w:i w:val="0"/>
                <w:color w:val="auto"/>
                <w:sz w:val="21"/>
                <w:szCs w:val="21"/>
                <w:highlight w:val="none"/>
                <w:u w:val="none"/>
                <w:lang w:val="en-US" w:eastAsia="zh-CN"/>
              </w:rPr>
              <w:t>316301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实施单位</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广元市朝天区统计局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7" w:hRule="atLeast"/>
        </w:trPr>
        <w:tc>
          <w:tcPr>
            <w:tcW w:w="27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auto"/>
                <w:sz w:val="21"/>
                <w:szCs w:val="21"/>
                <w:highlight w:val="none"/>
                <w:u w:val="none"/>
                <w:lang w:val="en-US" w:eastAsia="zh-CN"/>
              </w:rPr>
              <w:t>70.8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执行数：</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7" w:hRule="atLeast"/>
        </w:trPr>
        <w:tc>
          <w:tcPr>
            <w:tcW w:w="2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70.8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7" w:hRule="atLeast"/>
        </w:trPr>
        <w:tc>
          <w:tcPr>
            <w:tcW w:w="2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完成情况</w:t>
            </w:r>
          </w:p>
        </w:tc>
        <w:tc>
          <w:tcPr>
            <w:tcW w:w="3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预期目标</w:t>
            </w:r>
          </w:p>
        </w:tc>
        <w:tc>
          <w:tcPr>
            <w:tcW w:w="3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3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目标1：按时足额发放记账补助；</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目标2：确保电子记账户记账流量充足，数据上报及时；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目标3：为提升数据质量，定期召开培训会及数据复核会，并实现每季度全覆盖走访；</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目标4：为提升记账户重视度，印制宣传资料、打造活动网点及不定期入户开展慰问工作；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rPr>
              <w:t>目标5：确保城乡居民人均可支配数据真实可靠，及时对外公布全区城乡居民可支配收入情况。</w:t>
            </w:r>
          </w:p>
        </w:tc>
        <w:tc>
          <w:tcPr>
            <w:tcW w:w="3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1.按时足额发放了记账户记账补助；</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2.确保了电子记账户流量充足；</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3.定时不定时召开培训会及复核会，保障了数据质量；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4.每季度全覆盖走访，不定时慰问，业务培训到户；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5.宣传到位，提升了记账户认可度和重视度；</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6.确保了统计数据真实可靠，并及时对外公布了城乡居民人均可支配收入情况。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年度绩效指标完成情况</w:t>
            </w:r>
          </w:p>
        </w:tc>
        <w:tc>
          <w:tcPr>
            <w:tcW w:w="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预期指标值</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调查户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100户</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rPr>
              <w:t>辅助</w:t>
            </w:r>
            <w:r>
              <w:rPr>
                <w:rFonts w:hint="eastAsia" w:ascii="宋体" w:hAnsi="宋体" w:eastAsia="宋体" w:cs="宋体"/>
                <w:i w:val="0"/>
                <w:color w:val="auto"/>
                <w:sz w:val="21"/>
                <w:szCs w:val="21"/>
                <w:highlight w:val="none"/>
                <w:u w:val="none"/>
                <w:lang w:eastAsia="zh-CN"/>
              </w:rPr>
              <w:t>调查员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10人</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记账户记账合格率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≥98%</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6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补助发放标准合格率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工作完成时限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记账户记账补贴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260元/月/户（纸质记账户200元/月/户，电子记账户260元/月/户）</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辅助调查员补贴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500元/月/人</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电子记账流量费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≤2.48万元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住户调查业务培训费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≤5.28万元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住户调查数据复核会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≤3.84万元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3.84万元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访户检查、上级调研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≤1.5万元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资料印刷费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≤8.5万元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阵地建设维护费用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电子记账操作手册及培训资料等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sz w:val="21"/>
                <w:szCs w:val="21"/>
              </w:rPr>
              <w:t>≤2万元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办公用品购置及慰问等费用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≤5万元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效益</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2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经济效益指标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增加领取补助人员经济收入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增加记账户及辅助调查员收入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23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通过调查为全区制定民生政策提供数据支撑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提供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为全区制定政策提供了数据支撑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度指标</w:t>
            </w: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满意度指标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记账户满意度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≥98%</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补助对象满意度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rPr>
              <w:t>≥98%</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100%</w:t>
            </w:r>
          </w:p>
        </w:tc>
      </w:tr>
    </w:tbl>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76" w:lineRule="exact"/>
        <w:ind w:left="0" w:right="0"/>
        <w:textAlignment w:val="auto"/>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广元市朝天区统计局</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2021年人口普查</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pageBreakBefore w:val="0"/>
        <w:widowControl w:val="0"/>
        <w:kinsoku/>
        <w:overflowPunct/>
        <w:topLinePunct w:val="0"/>
        <w:autoSpaceDE w:val="0"/>
        <w:autoSpaceDN/>
        <w:bidi w:val="0"/>
        <w:spacing w:line="576" w:lineRule="exact"/>
        <w:ind w:firstLine="640" w:firstLineChars="200"/>
        <w:textAlignment w:val="auto"/>
        <w:rPr>
          <w:rFonts w:hint="default"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人口普查可以摸清我国人口家底，推动经济高质量发展，完善人口发展战略和政策体系。及时开展人口普查，全面查清我国人口数量、结构、分布等方面的最新情况，既是制定和完善未来收入、消费、教育、就业、养老、医疗、社会保障等政策措施的基础，也为教育和医疗机构布局、儿童和老年人服务设施建设等提供决策依据，我区高度重视此项工作，严格按照国家、省、市要求，开展人口普查工作。该项工作由我局牵头负责，工作经费主要是为了普查工作的正常运行，用以解决在日常运行过程中产生的各项费用。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我局负责人口普查工作，该项工作工作经费年度预算</w:t>
      </w:r>
      <w:r>
        <w:rPr>
          <w:rFonts w:hint="eastAsia" w:ascii="仿宋_GB2312" w:hAnsi="Times New Roman" w:eastAsia="仿宋_GB2312" w:cs="Times New Roman"/>
          <w:color w:val="auto"/>
          <w:spacing w:val="-6"/>
          <w:sz w:val="32"/>
          <w:szCs w:val="32"/>
          <w:lang w:val="en-US" w:eastAsia="zh-CN"/>
        </w:rPr>
        <w:t>130万元</w:t>
      </w:r>
      <w:r>
        <w:rPr>
          <w:rFonts w:hint="eastAsia" w:ascii="仿宋_GB2312" w:hAnsi="仿宋" w:eastAsia="仿宋_GB2312" w:cs="Times New Roman"/>
          <w:color w:val="auto"/>
          <w:sz w:val="32"/>
          <w:szCs w:val="32"/>
          <w:highlight w:val="none"/>
          <w:lang w:val="en-US" w:eastAsia="zh-CN"/>
        </w:rPr>
        <w:t>。该项目为保障性项目支出，年内项目根据实际工作开展情况，进行拨付。截止2021年底，我局对该项目预算已全额拨付。</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pageBreakBefore w:val="0"/>
        <w:widowControl w:val="0"/>
        <w:kinsoku/>
        <w:overflowPunct/>
        <w:topLinePunct w:val="0"/>
        <w:autoSpaceDN/>
        <w:bidi w:val="0"/>
        <w:adjustRightInd w:val="0"/>
        <w:snapToGrid w:val="0"/>
        <w:spacing w:line="576" w:lineRule="exact"/>
        <w:ind w:firstLine="616" w:firstLineChars="200"/>
        <w:textAlignment w:val="auto"/>
        <w:rPr>
          <w:rFonts w:hint="eastAsia" w:ascii="仿宋_GB2312" w:hAnsi="宋体" w:eastAsia="仿宋_GB2312" w:cs="Times New Roman"/>
          <w:color w:val="auto"/>
          <w:spacing w:val="-6"/>
          <w:sz w:val="32"/>
          <w:szCs w:val="32"/>
        </w:rPr>
      </w:pPr>
      <w:r>
        <w:rPr>
          <w:rFonts w:hint="eastAsia" w:ascii="仿宋_GB2312" w:hAnsi="宋体" w:eastAsia="仿宋_GB2312" w:cs="Times New Roman"/>
          <w:color w:val="auto"/>
          <w:spacing w:val="-6"/>
          <w:sz w:val="32"/>
          <w:szCs w:val="32"/>
          <w:lang w:val="en-US" w:eastAsia="zh-CN"/>
        </w:rPr>
        <w:t>2021年度</w:t>
      </w:r>
      <w:r>
        <w:rPr>
          <w:rFonts w:hint="eastAsia" w:ascii="仿宋_GB2312" w:hAnsi="宋体" w:eastAsia="仿宋_GB2312" w:cs="Times New Roman"/>
          <w:color w:val="auto"/>
          <w:spacing w:val="-6"/>
          <w:sz w:val="32"/>
          <w:szCs w:val="32"/>
          <w:lang w:eastAsia="zh-CN"/>
        </w:rPr>
        <w:t>人口普查</w:t>
      </w:r>
      <w:r>
        <w:rPr>
          <w:rFonts w:hint="eastAsia" w:ascii="仿宋_GB2312" w:hAnsi="宋体" w:eastAsia="仿宋_GB2312" w:cs="Times New Roman"/>
          <w:color w:val="auto"/>
          <w:spacing w:val="-6"/>
          <w:sz w:val="32"/>
          <w:szCs w:val="32"/>
          <w:lang w:val="en-US" w:eastAsia="zh-CN"/>
        </w:rPr>
        <w:t>项目预算资金为130万元，</w:t>
      </w:r>
      <w:r>
        <w:rPr>
          <w:rFonts w:hint="eastAsia" w:ascii="仿宋_GB2312" w:hAnsi="宋体" w:eastAsia="仿宋_GB2312" w:cs="Times New Roman"/>
          <w:color w:val="auto"/>
          <w:spacing w:val="-6"/>
          <w:sz w:val="32"/>
          <w:szCs w:val="32"/>
        </w:rPr>
        <w:t>按年度进行申报，资金及时批复到位，申报程序符合资金管理办法相关规定。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1.</w:t>
      </w:r>
      <w:r>
        <w:rPr>
          <w:rFonts w:hint="eastAsia" w:ascii="楷体_GB2312" w:hAnsi="宋体" w:eastAsia="楷体_GB2312" w:cs="Times New Roman"/>
          <w:color w:val="auto"/>
          <w:sz w:val="32"/>
          <w:szCs w:val="32"/>
          <w:highlight w:val="none"/>
          <w:lang w:val="zh-CN"/>
        </w:rPr>
        <w:t>资金计划。</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财政局年初预算安排</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万元下拨至我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保障人口普查工作正常运行</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仿宋_GB2312" w:eastAsia="仿宋_GB2312" w:cs="仿宋_GB2312"/>
          <w:color w:val="auto"/>
          <w:sz w:val="32"/>
          <w:szCs w:val="32"/>
          <w:lang w:eastAsia="zh-CN"/>
        </w:rPr>
        <w:t>项目资金已足额到账，</w:t>
      </w:r>
      <w:r>
        <w:rPr>
          <w:rFonts w:hint="eastAsia" w:ascii="仿宋_GB2312" w:hAnsi="仿宋_GB2312" w:eastAsia="仿宋_GB2312" w:cs="仿宋_GB2312"/>
          <w:color w:val="auto"/>
          <w:sz w:val="32"/>
          <w:szCs w:val="32"/>
        </w:rPr>
        <w:t>资金到位率100%</w:t>
      </w:r>
      <w:r>
        <w:rPr>
          <w:rFonts w:hint="eastAsia" w:ascii="仿宋_GB2312" w:hAnsi="宋体" w:eastAsia="仿宋_GB2312" w:cs="Times New Roman"/>
          <w:color w:val="auto"/>
          <w:sz w:val="32"/>
          <w:szCs w:val="32"/>
          <w:highlight w:val="none"/>
          <w:lang w:val="zh-CN"/>
        </w:rPr>
        <w:t>。</w:t>
      </w:r>
    </w:p>
    <w:p>
      <w:pPr>
        <w:pageBreakBefore w:val="0"/>
        <w:widowControl w:val="0"/>
        <w:kinsoku/>
        <w:wordWrap/>
        <w:overflowPunct/>
        <w:topLinePunct w:val="0"/>
        <w:autoSpaceDN/>
        <w:bidi w:val="0"/>
        <w:spacing w:line="576" w:lineRule="exact"/>
        <w:ind w:firstLine="640" w:firstLineChars="200"/>
        <w:textAlignment w:val="auto"/>
        <w:rPr>
          <w:rFonts w:hint="default" w:eastAsia="仿宋_GB2312"/>
          <w:lang w:val="en-US" w:eastAsia="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楷体_GB2312" w:hAnsi="宋体" w:eastAsia="楷体_GB2312" w:cs="Times New Roman"/>
          <w:color w:val="FF0000"/>
          <w:sz w:val="32"/>
          <w:szCs w:val="32"/>
          <w:highlight w:val="none"/>
          <w:lang w:val="zh-CN"/>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万元，资金使用率100%</w:t>
      </w:r>
      <w:r>
        <w:rPr>
          <w:rFonts w:hint="eastAsia" w:ascii="仿宋_GB2312" w:hAnsi="仿宋_GB2312" w:eastAsia="仿宋_GB2312" w:cs="仿宋_GB2312"/>
          <w:sz w:val="32"/>
          <w:szCs w:val="32"/>
          <w:lang w:eastAsia="zh-CN"/>
        </w:rPr>
        <w:t>，资金支付依据合规合法与预算相符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Times New Roman" w:eastAsia="仿宋_GB2312" w:cs="Times New Roman"/>
          <w:color w:val="auto"/>
          <w:spacing w:val="-6"/>
          <w:sz w:val="32"/>
          <w:szCs w:val="32"/>
        </w:rPr>
      </w:pPr>
      <w:r>
        <w:rPr>
          <w:rFonts w:hint="eastAsia" w:ascii="仿宋_GB2312" w:hAnsi="仿宋_GB2312" w:eastAsia="仿宋_GB2312" w:cs="仿宋_GB2312"/>
          <w:sz w:val="32"/>
          <w:szCs w:val="32"/>
          <w:lang w:val="en-US" w:eastAsia="zh-CN"/>
        </w:rPr>
        <w:t>我局财务管理制度健全，并严格执行财务管理制度，账务处理及时，会计核算规范。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pageBreakBefore w:val="0"/>
        <w:widowControl w:val="0"/>
        <w:kinsoku/>
        <w:wordWrap/>
        <w:overflowPunct/>
        <w:topLinePunct w:val="0"/>
        <w:autoSpaceDE/>
        <w:autoSpaceDN/>
        <w:bidi w:val="0"/>
        <w:adjustRightInd/>
        <w:snapToGrid/>
        <w:spacing w:line="576" w:lineRule="exact"/>
        <w:ind w:firstLine="660"/>
        <w:textAlignment w:val="auto"/>
        <w:rPr>
          <w:rFonts w:hint="default" w:ascii="仿宋_GB2312" w:hAnsi="仿宋" w:eastAsia="仿宋_GB2312"/>
          <w:sz w:val="32"/>
          <w:szCs w:val="32"/>
          <w:lang w:val="en-US" w:eastAsia="zh-CN"/>
        </w:rPr>
      </w:pPr>
      <w:r>
        <w:rPr>
          <w:rFonts w:hint="eastAsia" w:ascii="楷体_GB2312" w:hAnsi="宋体" w:eastAsia="楷体_GB2312" w:cs="Times New Roman"/>
          <w:b/>
          <w:color w:val="auto"/>
          <w:sz w:val="32"/>
          <w:szCs w:val="32"/>
          <w:highlight w:val="none"/>
          <w:lang w:val="zh-CN"/>
        </w:rPr>
        <w:t>（一）项目组织架构及实施流程。</w:t>
      </w:r>
      <w:r>
        <w:rPr>
          <w:rFonts w:hint="eastAsia" w:ascii="仿宋_GB2312" w:hAnsi="仿宋" w:eastAsia="仿宋_GB2312"/>
          <w:color w:val="auto"/>
          <w:sz w:val="32"/>
          <w:szCs w:val="32"/>
          <w:highlight w:val="none"/>
          <w:lang w:val="en-US" w:eastAsia="zh-CN"/>
        </w:rPr>
        <w:t>根据我局工作实际，经局党组会讨论研究决定，由普查中心牵头负责此项工作，保障此项工作正常运行</w:t>
      </w:r>
      <w:r>
        <w:rPr>
          <w:rFonts w:hint="eastAsia" w:ascii="仿宋_GB2312" w:hAnsi="仿宋" w:eastAsia="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仿宋" w:eastAsia="仿宋_GB2312"/>
          <w:sz w:val="32"/>
          <w:szCs w:val="32"/>
          <w:lang w:val="en-US" w:eastAsia="zh-CN"/>
        </w:rPr>
        <w:t>该该项目为保障性经费支出项目，无招投标等情况，日常检查监督按专业制度执行。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仿宋" w:eastAsia="仿宋_GB2312" w:cs="Times New Roman"/>
          <w:color w:val="auto"/>
          <w:sz w:val="32"/>
          <w:szCs w:val="32"/>
          <w:highlight w:val="none"/>
          <w:lang w:val="en-US" w:eastAsia="zh-CN"/>
        </w:rPr>
        <w:t>该项目为保障性经费支出项目，其项目管理制度合并在我局财务管理制度、内控管理制度等规范性财务制度之下，未单独建立项目管理制度。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2021年度，我局完成了对人口普查费用的使用，根据工作实际情况，按时足额的进行了拨付，无超支、超标准、超范围使用项目资金情况发生。截止2021年底，全面完成了人口普查“两员”补助发放及后期数据开发使用，为全区制定保障政策提供了依据</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经济效益指标：增加领取补助人员经济收入。</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社会效益指标：统计全区人口数量，有利于我区科学制定社会保障政策，也为教育医疗提供决策依据。</w:t>
      </w:r>
    </w:p>
    <w:p>
      <w:pPr>
        <w:pageBreakBefore w:val="0"/>
        <w:widowControl w:val="0"/>
        <w:numPr>
          <w:ilvl w:val="0"/>
          <w:numId w:val="0"/>
        </w:numPr>
        <w:kinsoku/>
        <w:overflowPunct/>
        <w:topLinePunct w:val="0"/>
        <w:autoSpaceDE w:val="0"/>
        <w:autoSpaceDN/>
        <w:bidi w:val="0"/>
        <w:spacing w:line="576"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default" w:ascii="仿宋_GB2312" w:hAnsi="Times New Roman" w:eastAsia="仿宋_GB2312" w:cs="Times New Roman"/>
          <w:color w:val="auto"/>
          <w:spacing w:val="-6"/>
          <w:sz w:val="32"/>
          <w:szCs w:val="32"/>
          <w:lang w:val="en-US" w:eastAsia="zh-CN"/>
        </w:rPr>
        <w:t>满意度指标</w:t>
      </w:r>
      <w:r>
        <w:rPr>
          <w:rFonts w:hint="eastAsia" w:ascii="仿宋_GB2312" w:hAnsi="Times New Roman" w:eastAsia="仿宋_GB2312" w:cs="Times New Roman"/>
          <w:color w:val="auto"/>
          <w:spacing w:val="-6"/>
          <w:sz w:val="32"/>
          <w:szCs w:val="32"/>
          <w:lang w:val="en-US" w:eastAsia="zh-CN"/>
        </w:rPr>
        <w:t>：1.群众对开展人口普查工作认可度100%；</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2.社会满意度100%。</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color w:val="auto"/>
          <w:kern w:val="0"/>
          <w:sz w:val="32"/>
          <w:szCs w:val="32"/>
          <w:shd w:val="clear" w:color="auto" w:fill="FFFFFF"/>
          <w:lang w:val="zh-CN" w:eastAsia="zh-CN" w:bidi="ar-SA"/>
        </w:rPr>
      </w:pPr>
      <w:r>
        <w:rPr>
          <w:rFonts w:hint="eastAsia" w:hAnsi="Times New Roman" w:cs="Times New Roman"/>
          <w:color w:val="auto"/>
          <w:kern w:val="0"/>
          <w:sz w:val="32"/>
          <w:szCs w:val="32"/>
          <w:shd w:val="clear" w:color="auto" w:fill="FFFFFF"/>
          <w:lang w:val="en-US" w:eastAsia="zh-CN" w:bidi="ar-SA"/>
        </w:rPr>
        <w:t>该项目</w:t>
      </w:r>
      <w:r>
        <w:rPr>
          <w:rFonts w:hint="eastAsia" w:ascii="仿宋_GB2312" w:hAnsi="Times New Roman" w:eastAsia="仿宋_GB2312" w:cs="Times New Roman"/>
          <w:color w:val="auto"/>
          <w:kern w:val="0"/>
          <w:sz w:val="32"/>
          <w:szCs w:val="32"/>
          <w:shd w:val="clear" w:color="auto" w:fill="FFFFFF"/>
          <w:lang w:val="en-US" w:eastAsia="zh-CN" w:bidi="ar-SA"/>
        </w:rPr>
        <w:t>支出自评工作结果较好，质量较高，完整和清晰的反应出我局在2021年度预算</w:t>
      </w:r>
      <w:r>
        <w:rPr>
          <w:rFonts w:hint="eastAsia" w:hAnsi="Times New Roman" w:cs="Times New Roman"/>
          <w:color w:val="auto"/>
          <w:kern w:val="0"/>
          <w:sz w:val="32"/>
          <w:szCs w:val="32"/>
          <w:shd w:val="clear" w:color="auto" w:fill="FFFFFF"/>
          <w:lang w:val="en-US" w:eastAsia="zh-CN" w:bidi="ar-SA"/>
        </w:rPr>
        <w:t>项目</w:t>
      </w:r>
      <w:r>
        <w:rPr>
          <w:rFonts w:hint="eastAsia" w:ascii="仿宋_GB2312" w:hAnsi="Times New Roman" w:eastAsia="仿宋_GB2312" w:cs="Times New Roman"/>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pStyle w:val="2"/>
        <w:rPr>
          <w:rStyle w:val="28"/>
          <w:rFonts w:ascii="黑体" w:hAnsi="黑体" w:eastAsia="黑体"/>
          <w:b w:val="0"/>
          <w:color w:val="auto"/>
          <w:highlight w:val="none"/>
        </w:rPr>
      </w:pPr>
    </w:p>
    <w:p>
      <w:pPr>
        <w:pStyle w:val="2"/>
      </w:pPr>
    </w:p>
    <w:p/>
    <w:p>
      <w:pPr>
        <w:pStyle w:val="7"/>
        <w:pageBreakBefore w:val="0"/>
        <w:kinsoku/>
        <w:wordWrap/>
        <w:overflowPunct/>
        <w:topLinePunct w:val="0"/>
        <w:bidi w:val="0"/>
        <w:spacing w:beforeLines="0" w:line="576" w:lineRule="exact"/>
        <w:ind w:left="0" w:right="0"/>
        <w:textAlignment w:val="auto"/>
        <w:rPr>
          <w:rFonts w:hint="eastAsia" w:hAnsi="宋体" w:eastAsia="仿宋_GB2312"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en-US" w:eastAsia="zh-CN"/>
        </w:rPr>
        <w:t>附表</w:t>
      </w: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787"/>
        <w:gridCol w:w="1140"/>
        <w:gridCol w:w="1680"/>
        <w:gridCol w:w="1830"/>
        <w:gridCol w:w="2163"/>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w:t>
            </w:r>
            <w:r>
              <w:rPr>
                <w:rFonts w:hint="eastAsia" w:ascii="宋体" w:hAnsi="宋体" w:cs="宋体"/>
                <w:b/>
                <w:i w:val="0"/>
                <w:color w:val="auto"/>
                <w:sz w:val="32"/>
                <w:szCs w:val="32"/>
                <w:highlight w:val="none"/>
                <w:u w:val="none"/>
                <w:lang w:val="en-US" w:eastAsia="zh-CN"/>
              </w:rPr>
              <w:t>人口普查</w:t>
            </w:r>
            <w:r>
              <w:rPr>
                <w:rFonts w:hint="eastAsia" w:ascii="宋体" w:hAnsi="宋体" w:eastAsia="宋体" w:cs="宋体"/>
                <w:b/>
                <w:i w:val="0"/>
                <w:color w:val="auto"/>
                <w:sz w:val="32"/>
                <w:szCs w:val="32"/>
                <w:highlight w:val="none"/>
                <w:u w:val="none"/>
                <w:lang w:val="en-US" w:eastAsia="zh-CN"/>
              </w:rPr>
              <w:t>预算</w:t>
            </w:r>
            <w:r>
              <w:rPr>
                <w:rFonts w:hint="eastAsia" w:ascii="宋体" w:hAnsi="宋体" w:cs="宋体"/>
                <w:b/>
                <w:i w:val="0"/>
                <w:color w:val="auto"/>
                <w:sz w:val="32"/>
                <w:szCs w:val="32"/>
                <w:highlight w:val="none"/>
                <w:u w:val="none"/>
                <w:lang w:val="en-US" w:eastAsia="zh-CN"/>
              </w:rPr>
              <w:t>部门</w:t>
            </w:r>
            <w:r>
              <w:rPr>
                <w:rFonts w:hint="eastAsia" w:ascii="宋体" w:hAnsi="宋体" w:eastAsia="宋体" w:cs="宋体"/>
                <w:b/>
                <w:i w:val="0"/>
                <w:color w:val="auto"/>
                <w:sz w:val="32"/>
                <w:szCs w:val="32"/>
                <w:highlight w:val="none"/>
                <w:u w:val="none"/>
                <w:lang w:val="en-US" w:eastAsia="zh-CN"/>
              </w:rPr>
              <w:t>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主管部门及代码</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eastAsia="zh-CN"/>
              </w:rPr>
              <w:t>广元市朝天区统计局</w:t>
            </w:r>
            <w:r>
              <w:rPr>
                <w:rFonts w:hint="eastAsia" w:ascii="宋体" w:hAnsi="宋体" w:eastAsia="宋体" w:cs="宋体"/>
                <w:i w:val="0"/>
                <w:color w:val="auto"/>
                <w:sz w:val="21"/>
                <w:szCs w:val="21"/>
                <w:highlight w:val="none"/>
                <w:u w:val="none"/>
                <w:lang w:val="en-US" w:eastAsia="zh-CN"/>
              </w:rPr>
              <w:t>316301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实施单位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广元市朝天区统计局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7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auto"/>
                <w:sz w:val="21"/>
                <w:szCs w:val="21"/>
                <w:highlight w:val="none"/>
                <w:u w:val="none"/>
                <w:lang w:val="en-US" w:eastAsia="zh-CN"/>
              </w:rPr>
              <w:t>130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执行数：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其他资金</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完成情况</w:t>
            </w:r>
          </w:p>
        </w:tc>
        <w:tc>
          <w:tcPr>
            <w:tcW w:w="36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预期目标</w:t>
            </w:r>
          </w:p>
        </w:tc>
        <w:tc>
          <w:tcPr>
            <w:tcW w:w="3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36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目标1：完成“两员”补助发放（普查员及普查指导员）；</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目标2：完成人口普查后期数据开发使用；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目标3：全面查清我区人口数量、结构、分布、城乡住房等方面情况，为完善人口发展战略和政策体系，促进人口长期均衡发展，科学制定国民经济和社会发展规划，推动经济高质量发展，提供科学准确的统计信息支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lang w:eastAsia="zh-CN"/>
              </w:rPr>
            </w:pPr>
          </w:p>
        </w:tc>
        <w:tc>
          <w:tcPr>
            <w:tcW w:w="3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完成了对“两员”的补助发放及后期的数据开发使用。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年度绩效指标完成情况</w:t>
            </w:r>
          </w:p>
        </w:tc>
        <w:tc>
          <w:tcPr>
            <w:tcW w:w="7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预期指标值</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完成普查员及普查指导员补助发放</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摸底登记人数229303人，短表登记人数226131人，长表登记人数21693人。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477127人次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完成人口普查工作会议</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数据评估会1次，表彰大会1次。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完成人口普查培训</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数据验收培训1次，数据资料开发培训1次，数据质量评估纠错1次，数据审核处理培训1次。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完成人口普查广告宣传</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根据工作需要开展宣传工作。</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以实际开展宣传工作为准。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完成人口普查资料印刷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根据需要印制人口普查所需资料。</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以实际印制人口普查所需资料为准。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两员补助兑现率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6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培训效率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宣传效率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工作完成时限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成本指标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普查成本</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≤32.4万元</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32.4万元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普查员、普查指导员补助</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摸底登记补助2元/人，短表登记补助2元/人，长表登记补助3元/人。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效益</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指标</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经济效益指标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增加领取补助人员经济效益</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增加普查员及普查指导员收入。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社会效益指标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为制定相关政策提供数据支撑</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统计全区人口数量，有利于我区科学制定社会保障政策，也为教育医疗提供决策依据。</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统计全区人口数量，有利于我区科学制定社会保障政策，也为教育医疗提供决策依据。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114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影响时效</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度指标</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群众对开展人口普查工作认可度</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100</w:t>
            </w:r>
            <w:r>
              <w:rPr>
                <w:rFonts w:hint="eastAsia" w:ascii="宋体" w:hAnsi="宋体" w:eastAsia="宋体" w:cs="宋体"/>
                <w:i w:val="0"/>
                <w:color w:val="auto"/>
                <w:sz w:val="21"/>
                <w:szCs w:val="21"/>
                <w:highlight w:val="none"/>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highlight w:val="none"/>
                <w:u w:val="none"/>
              </w:rPr>
            </w:pPr>
          </w:p>
        </w:tc>
        <w:tc>
          <w:tcPr>
            <w:tcW w:w="7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1"/>
                <w:szCs w:val="21"/>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社会满意度</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rPr>
              <w:t>≥99%</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sz w:val="21"/>
                <w:szCs w:val="21"/>
                <w:highlight w:val="none"/>
                <w:u w:val="none"/>
                <w:lang w:val="en-US" w:eastAsia="zh-CN"/>
              </w:rPr>
              <w:t>100</w:t>
            </w:r>
            <w:r>
              <w:rPr>
                <w:rFonts w:hint="eastAsia" w:ascii="宋体" w:hAnsi="宋体" w:eastAsia="宋体" w:cs="宋体"/>
                <w:i w:val="0"/>
                <w:color w:val="auto"/>
                <w:sz w:val="21"/>
                <w:szCs w:val="21"/>
                <w:highlight w:val="none"/>
                <w:u w:val="none"/>
              </w:rPr>
              <w:t>%</w:t>
            </w:r>
          </w:p>
        </w:tc>
      </w:tr>
    </w:tbl>
    <w:p/>
    <w:p>
      <w:pPr>
        <w:pStyle w:val="2"/>
      </w:pPr>
    </w:p>
    <w:p/>
    <w:p>
      <w:pPr>
        <w:pStyle w:val="2"/>
      </w:pPr>
    </w:p>
    <w:p/>
    <w:p>
      <w:pPr>
        <w:pStyle w:val="2"/>
      </w:pPr>
    </w:p>
    <w:p/>
    <w:p>
      <w:pPr>
        <w:pStyle w:val="2"/>
        <w:rPr>
          <w:rFonts w:hint="eastAsia" w:eastAsia="宋体"/>
          <w:lang w:eastAsia="zh-CN"/>
        </w:rPr>
      </w:pPr>
    </w:p>
    <w:p>
      <w:pPr>
        <w:rPr>
          <w:rFonts w:hint="eastAsia" w:eastAsia="宋体"/>
          <w:lang w:eastAsia="zh-CN"/>
        </w:rPr>
      </w:pPr>
    </w:p>
    <w:p>
      <w:pPr>
        <w:spacing w:line="600" w:lineRule="exact"/>
        <w:jc w:val="center"/>
        <w:outlineLvl w:val="0"/>
        <w:rPr>
          <w:rFonts w:hint="eastAsia" w:ascii="仿宋" w:hAnsi="仿宋" w:eastAsia="仿宋"/>
          <w:b w:val="0"/>
          <w:color w:val="auto"/>
          <w:highlight w:val="none"/>
        </w:rPr>
      </w:pPr>
      <w:bookmarkStart w:id="59"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7"/>
      <w:bookmarkEnd w:id="59"/>
      <w:bookmarkStart w:id="60"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60"/>
    </w:p>
    <w:p>
      <w:pPr>
        <w:pStyle w:val="5"/>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61"/>
    </w:p>
    <w:p>
      <w:pPr>
        <w:pStyle w:val="5"/>
        <w:rPr>
          <w:rFonts w:ascii="仿宋" w:hAnsi="仿宋" w:eastAsia="仿宋"/>
          <w:color w:val="auto"/>
          <w:highlight w:val="none"/>
        </w:rPr>
      </w:pPr>
      <w:bookmarkStart w:id="62"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62"/>
    </w:p>
    <w:p>
      <w:pPr>
        <w:pStyle w:val="5"/>
        <w:rPr>
          <w:rFonts w:ascii="仿宋" w:hAnsi="仿宋" w:eastAsia="仿宋"/>
          <w:b w:val="0"/>
          <w:color w:val="auto"/>
          <w:highlight w:val="none"/>
        </w:rPr>
      </w:pPr>
      <w:bookmarkStart w:id="63"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63"/>
    </w:p>
    <w:p>
      <w:pPr>
        <w:pStyle w:val="5"/>
        <w:rPr>
          <w:rStyle w:val="29"/>
          <w:rFonts w:ascii="仿宋" w:hAnsi="仿宋" w:eastAsia="仿宋"/>
          <w:b w:val="0"/>
          <w:bCs w:val="0"/>
          <w:color w:val="auto"/>
          <w:highlight w:val="none"/>
        </w:rPr>
      </w:pPr>
      <w:bookmarkStart w:id="64"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64"/>
      <w:bookmarkStart w:id="65" w:name="_Toc15396624"/>
    </w:p>
    <w:p>
      <w:pPr>
        <w:pStyle w:val="5"/>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65"/>
    </w:p>
    <w:p>
      <w:pPr>
        <w:pStyle w:val="5"/>
        <w:rPr>
          <w:rFonts w:ascii="仿宋" w:hAnsi="仿宋" w:eastAsia="仿宋"/>
          <w:color w:val="auto"/>
          <w:highlight w:val="none"/>
        </w:rPr>
      </w:pPr>
      <w:bookmarkStart w:id="66"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66"/>
    </w:p>
    <w:p>
      <w:pPr>
        <w:pStyle w:val="5"/>
        <w:rPr>
          <w:rFonts w:ascii="仿宋" w:hAnsi="仿宋" w:eastAsia="仿宋"/>
          <w:color w:val="auto"/>
          <w:highlight w:val="none"/>
        </w:rPr>
      </w:pPr>
      <w:bookmarkStart w:id="67"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67"/>
    </w:p>
    <w:p>
      <w:pPr>
        <w:pStyle w:val="5"/>
        <w:rPr>
          <w:rFonts w:ascii="仿宋" w:hAnsi="仿宋" w:eastAsia="仿宋"/>
          <w:color w:val="auto"/>
          <w:highlight w:val="none"/>
        </w:rPr>
      </w:pPr>
      <w:bookmarkStart w:id="68"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8"/>
    </w:p>
    <w:p>
      <w:pPr>
        <w:pStyle w:val="5"/>
        <w:rPr>
          <w:rFonts w:ascii="仿宋" w:hAnsi="仿宋" w:eastAsia="仿宋"/>
          <w:color w:val="auto"/>
          <w:highlight w:val="none"/>
        </w:rPr>
      </w:pPr>
      <w:bookmarkStart w:id="69"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69"/>
    </w:p>
    <w:p>
      <w:pPr>
        <w:pStyle w:val="5"/>
        <w:rPr>
          <w:rFonts w:ascii="仿宋" w:hAnsi="仿宋" w:eastAsia="仿宋"/>
          <w:color w:val="auto"/>
          <w:highlight w:val="none"/>
        </w:rPr>
      </w:pPr>
      <w:bookmarkStart w:id="70"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70"/>
    </w:p>
    <w:p>
      <w:pPr>
        <w:pStyle w:val="5"/>
        <w:rPr>
          <w:rFonts w:ascii="仿宋" w:hAnsi="仿宋" w:eastAsia="仿宋"/>
          <w:color w:val="auto"/>
          <w:highlight w:val="none"/>
        </w:rPr>
      </w:pPr>
      <w:bookmarkStart w:id="71"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71"/>
    </w:p>
    <w:p>
      <w:pPr>
        <w:pStyle w:val="5"/>
        <w:rPr>
          <w:rStyle w:val="29"/>
          <w:rFonts w:hint="eastAsia" w:ascii="仿宋" w:hAnsi="仿宋" w:eastAsia="仿宋"/>
          <w:b w:val="0"/>
          <w:bCs w:val="0"/>
          <w:color w:val="auto"/>
          <w:highlight w:val="none"/>
        </w:rPr>
      </w:pPr>
      <w:bookmarkStart w:id="72"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3D9E35C9"/>
    <w:multiLevelType w:val="singleLevel"/>
    <w:tmpl w:val="3D9E35C9"/>
    <w:lvl w:ilvl="0" w:tentative="0">
      <w:start w:val="2"/>
      <w:numFmt w:val="decimal"/>
      <w:suff w:val="nothing"/>
      <w:lvlText w:val="%1、"/>
      <w:lvlJc w:val="left"/>
    </w:lvl>
  </w:abstractNum>
  <w:abstractNum w:abstractNumId="3">
    <w:nsid w:val="3E794925"/>
    <w:multiLevelType w:val="singleLevel"/>
    <w:tmpl w:val="3E794925"/>
    <w:lvl w:ilvl="0" w:tentative="0">
      <w:start w:val="3"/>
      <w:numFmt w:val="chineseCounting"/>
      <w:suff w:val="nothing"/>
      <w:lvlText w:val="（%1）"/>
      <w:lvlJc w:val="left"/>
      <w:rPr>
        <w:rFonts w:hint="eastAsia"/>
      </w:rPr>
    </w:lvl>
  </w:abstractNum>
  <w:abstractNum w:abstractNumId="4">
    <w:nsid w:val="7868BFA6"/>
    <w:multiLevelType w:val="singleLevel"/>
    <w:tmpl w:val="7868BFA6"/>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GJhYjE2ZWVkMjkyNzgzZDFlYjgxMjAxMmE1O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822CFE"/>
    <w:rsid w:val="066E0107"/>
    <w:rsid w:val="06B73465"/>
    <w:rsid w:val="070D01EE"/>
    <w:rsid w:val="07996F6E"/>
    <w:rsid w:val="08870AB5"/>
    <w:rsid w:val="08C2594B"/>
    <w:rsid w:val="0A2032A3"/>
    <w:rsid w:val="0BA558E2"/>
    <w:rsid w:val="0E36529E"/>
    <w:rsid w:val="0E5937AB"/>
    <w:rsid w:val="0EE521C7"/>
    <w:rsid w:val="101860EC"/>
    <w:rsid w:val="10C055FF"/>
    <w:rsid w:val="118107EC"/>
    <w:rsid w:val="12557610"/>
    <w:rsid w:val="13D50BC4"/>
    <w:rsid w:val="14220022"/>
    <w:rsid w:val="14F45C4A"/>
    <w:rsid w:val="15AD04C1"/>
    <w:rsid w:val="162B0F4B"/>
    <w:rsid w:val="16BB723D"/>
    <w:rsid w:val="17E0546E"/>
    <w:rsid w:val="18F551B7"/>
    <w:rsid w:val="19C5529B"/>
    <w:rsid w:val="1A45112F"/>
    <w:rsid w:val="1BE8440E"/>
    <w:rsid w:val="1C5C0973"/>
    <w:rsid w:val="1D155CEE"/>
    <w:rsid w:val="23860B96"/>
    <w:rsid w:val="240371BF"/>
    <w:rsid w:val="25846F3B"/>
    <w:rsid w:val="29FD04D3"/>
    <w:rsid w:val="2C8A61B5"/>
    <w:rsid w:val="2DF04E50"/>
    <w:rsid w:val="319F7F4E"/>
    <w:rsid w:val="31A72521"/>
    <w:rsid w:val="340663CB"/>
    <w:rsid w:val="359F7AA1"/>
    <w:rsid w:val="35D25498"/>
    <w:rsid w:val="35E8565A"/>
    <w:rsid w:val="35FC6BDB"/>
    <w:rsid w:val="36AA5135"/>
    <w:rsid w:val="37E16F03"/>
    <w:rsid w:val="37F61BBD"/>
    <w:rsid w:val="394E1F18"/>
    <w:rsid w:val="3BBF5B96"/>
    <w:rsid w:val="3C1557B6"/>
    <w:rsid w:val="3D257C7B"/>
    <w:rsid w:val="3D98207C"/>
    <w:rsid w:val="3F467E33"/>
    <w:rsid w:val="3F540BEA"/>
    <w:rsid w:val="3F8E1B07"/>
    <w:rsid w:val="44E268DA"/>
    <w:rsid w:val="46706EA4"/>
    <w:rsid w:val="469B504C"/>
    <w:rsid w:val="4A627F82"/>
    <w:rsid w:val="4B4F25DA"/>
    <w:rsid w:val="4BE068DB"/>
    <w:rsid w:val="4D577224"/>
    <w:rsid w:val="4EAB630A"/>
    <w:rsid w:val="4ECE2238"/>
    <w:rsid w:val="51257E59"/>
    <w:rsid w:val="55EF4D31"/>
    <w:rsid w:val="5AF92295"/>
    <w:rsid w:val="5CD71FC4"/>
    <w:rsid w:val="5D526036"/>
    <w:rsid w:val="624D73C5"/>
    <w:rsid w:val="637C3299"/>
    <w:rsid w:val="6522595E"/>
    <w:rsid w:val="66376316"/>
    <w:rsid w:val="6A8008F0"/>
    <w:rsid w:val="6BA31452"/>
    <w:rsid w:val="6C4A05C8"/>
    <w:rsid w:val="6D3371AE"/>
    <w:rsid w:val="6E7E3605"/>
    <w:rsid w:val="6FF5CC65"/>
    <w:rsid w:val="71591D18"/>
    <w:rsid w:val="715C0E4B"/>
    <w:rsid w:val="72734D90"/>
    <w:rsid w:val="73AD73D5"/>
    <w:rsid w:val="73B6EB34"/>
    <w:rsid w:val="749649DF"/>
    <w:rsid w:val="74CC145C"/>
    <w:rsid w:val="759E3CA5"/>
    <w:rsid w:val="76435517"/>
    <w:rsid w:val="79EE5BA4"/>
    <w:rsid w:val="7A894339"/>
    <w:rsid w:val="7B3361D5"/>
    <w:rsid w:val="7E6F235F"/>
    <w:rsid w:val="7EEF11D3"/>
    <w:rsid w:val="7F3B0FE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576" w:lineRule="exact"/>
      <w:ind w:firstLine="420" w:firstLineChars="200"/>
    </w:pPr>
    <w:rPr>
      <w:rFonts w:ascii="Calibri" w:hAnsi="Calibri"/>
    </w:rPr>
  </w:style>
  <w:style w:type="paragraph" w:styleId="3">
    <w:name w:val="Body Text Indent"/>
    <w:basedOn w:val="1"/>
    <w:semiHidden/>
    <w:qFormat/>
    <w:uiPriority w:val="0"/>
    <w:pPr>
      <w:spacing w:after="120"/>
      <w:ind w:left="420" w:leftChars="200"/>
    </w:pPr>
  </w:style>
  <w:style w:type="paragraph" w:styleId="7">
    <w:name w:val="Body Text"/>
    <w:basedOn w:val="1"/>
    <w:next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Chars="200" w:hanging="200" w:hangingChars="200"/>
    </w:pPr>
    <w:rPr>
      <w:szCs w:val="22"/>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Autospacing="1" w:afterAutospacing="1"/>
      <w:jc w:val="left"/>
    </w:pPr>
    <w:rPr>
      <w:rFonts w:ascii="Calibri" w:hAnsi="Calibri"/>
      <w:kern w:val="0"/>
      <w:sz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4"/>
    <w:qFormat/>
    <w:uiPriority w:val="9"/>
    <w:rPr>
      <w:rFonts w:ascii="Times New Roman" w:hAnsi="Times New Roman"/>
      <w:b/>
      <w:bCs/>
      <w:kern w:val="44"/>
      <w:sz w:val="44"/>
      <w:szCs w:val="44"/>
    </w:rPr>
  </w:style>
  <w:style w:type="character" w:customStyle="1" w:styleId="29">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022&#24180;&#36130;&#21153;\2021&#24180;&#20915;&#31639;&#20844;&#24320;\&#32479;&#35745;&#23616;&#20915;&#31639;&#20844;&#24320;9.23\&#22270;&#34920;202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022&#24180;&#36130;&#21153;\2021&#24180;&#20915;&#31639;&#20844;&#24320;\&#32479;&#35745;&#23616;&#20915;&#31639;&#20844;&#24320;9.23\&#22270;&#34920;202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2&#24180;&#36130;&#21153;\2021&#24180;&#20915;&#31639;&#20844;&#24320;\&#32479;&#35745;&#23616;&#20915;&#31639;&#20844;&#24320;9.23\&#22270;&#34920;202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022&#24180;&#36130;&#21153;\2021&#24180;&#20915;&#31639;&#20844;&#24320;\&#32479;&#35745;&#23616;&#20915;&#31639;&#20844;&#24320;9.23\&#22270;&#34920;202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022&#24180;&#36130;&#21153;\2021&#24180;&#20915;&#31639;&#20844;&#24320;\&#32479;&#35745;&#23616;&#20915;&#31639;&#20844;&#24320;9.23\&#22270;&#34920;202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022&#24180;&#36130;&#21153;\2021&#24180;&#20915;&#31639;&#20844;&#24320;\&#32479;&#35745;&#23616;&#20915;&#31639;&#20844;&#24320;9.23\&#22270;&#34920;202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2022&#24180;&#36130;&#21153;\2021&#24180;&#20915;&#31639;&#20844;&#24320;\&#32479;&#35745;&#23616;&#20915;&#31639;&#20844;&#24320;9.23\&#22270;&#349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effectLst/>
                <a:latin typeface="+mn-lt"/>
                <a:ea typeface="+mn-ea"/>
                <a:cs typeface="+mn-cs"/>
              </a:defRPr>
            </a:pPr>
            <a:r>
              <a:rPr>
                <a:solidFill>
                  <a:schemeClr val="tx1"/>
                </a:solidFill>
                <a:effectLst/>
                <a:uFillTx/>
                <a:latin typeface="宋体" panose="02010600030101010101" charset="-122"/>
                <a:ea typeface="宋体" panose="02010600030101010101" charset="-122"/>
                <a:cs typeface="宋体" panose="02010600030101010101" charset="-122"/>
              </a:rPr>
              <a:t>收、支决算总计变动情况图</a:t>
            </a:r>
            <a:endParaRPr>
              <a:solidFill>
                <a:schemeClr val="tx1"/>
              </a:solidFill>
              <a:effectLst/>
              <a:uFillTx/>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effectLst/>
                <a:latin typeface="+mn-lt"/>
                <a:ea typeface="+mn-ea"/>
                <a:cs typeface="+mn-cs"/>
              </a:defRPr>
            </a:pPr>
            <a:r>
              <a:rPr sz="1100">
                <a:solidFill>
                  <a:schemeClr val="tx1"/>
                </a:solidFill>
                <a:effectLst/>
                <a:uFillTx/>
                <a:latin typeface="宋体" panose="02010600030101010101" charset="-122"/>
                <a:ea typeface="宋体" panose="02010600030101010101" charset="-122"/>
                <a:cs typeface="宋体" panose="02010600030101010101" charset="-122"/>
              </a:rPr>
              <a:t>（单位：万元）</a:t>
            </a:r>
            <a:endParaRPr sz="1100">
              <a:solidFill>
                <a:schemeClr val="tx1"/>
              </a:solidFill>
              <a:effectLst/>
              <a:uFillTx/>
              <a:latin typeface="宋体" panose="02010600030101010101" charset="-122"/>
              <a:ea typeface="宋体" panose="02010600030101010101" charset="-122"/>
              <a:cs typeface="宋体" panose="02010600030101010101" charset="-122"/>
            </a:endParaRPr>
          </a:p>
        </c:rich>
      </c:tx>
      <c:layout>
        <c:manualLayout>
          <c:xMode val="edge"/>
          <c:yMode val="edge"/>
          <c:x val="0.249722222222222"/>
          <c:y val="0.01388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effectLst/>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[图表2021.xlsx]Sheet1!$A$1:$B$2</c:f>
              <c:multiLvlStrCache>
                <c:ptCount val="2"/>
                <c:lvl>
                  <c:pt idx="0">
                    <c:v>2021年</c:v>
                  </c:pt>
                  <c:pt idx="1">
                    <c:v>2010年</c:v>
                  </c:pt>
                </c:lvl>
                <c:lvl/>
              </c:multiLvlStrCache>
            </c:multiLvlStrRef>
          </c:cat>
          <c:val>
            <c:numRef>
              <c:f>[图表2021.xlsx]Sheet1!$A$3:$B$3</c:f>
              <c:numCache>
                <c:formatCode>General</c:formatCode>
                <c:ptCount val="2"/>
                <c:pt idx="0">
                  <c:v>542.85</c:v>
                </c:pt>
                <c:pt idx="1">
                  <c:v>886.16</c:v>
                </c:pt>
              </c:numCache>
            </c:numRef>
          </c:val>
        </c:ser>
        <c:dLbls>
          <c:showLegendKey val="0"/>
          <c:showVal val="1"/>
          <c:showCatName val="0"/>
          <c:showSerName val="0"/>
          <c:showPercent val="0"/>
          <c:showBubbleSize val="0"/>
        </c:dLbls>
        <c:gapWidth val="219"/>
        <c:overlap val="-27"/>
        <c:axId val="414951099"/>
        <c:axId val="445233447"/>
      </c:barChart>
      <c:catAx>
        <c:axId val="4149510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effectLst/>
                <a:latin typeface="+mn-lt"/>
                <a:ea typeface="+mn-ea"/>
                <a:cs typeface="+mn-cs"/>
              </a:defRPr>
            </a:pPr>
          </a:p>
        </c:txPr>
        <c:crossAx val="445233447"/>
        <c:crosses val="autoZero"/>
        <c:auto val="1"/>
        <c:lblAlgn val="ctr"/>
        <c:lblOffset val="100"/>
        <c:noMultiLvlLbl val="0"/>
      </c:catAx>
      <c:valAx>
        <c:axId val="445233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effectLst/>
                <a:latin typeface="+mn-lt"/>
                <a:ea typeface="+mn-ea"/>
                <a:cs typeface="+mn-cs"/>
              </a:defRPr>
            </a:pPr>
          </a:p>
        </c:txPr>
        <c:crossAx val="4149510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effectLst/>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收入决算结构图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[图表2021.xlsx]Sheet1!$A$20:$A$26</c:f>
              <c:strCache>
                <c:ptCount val="7"/>
                <c:pt idx="0">
                  <c:v>一般公共预算财政拨款收入</c:v>
                </c:pt>
              </c:strCache>
            </c:strRef>
          </c:cat>
          <c:val>
            <c:numRef>
              <c:f>[图表2021.xlsx]Sheet1!$B$20:$B$26</c:f>
              <c:numCache>
                <c:formatCode>General</c:formatCode>
                <c:ptCount val="7"/>
                <c:pt idx="0">
                  <c:v>327.46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337569444444444"/>
          <c:y val="0.88472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支出决算结构图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[图表2021.xlsx]Sheet1!$A$36:$A$40</c:f>
              <c:strCache>
                <c:ptCount val="5"/>
                <c:pt idx="0">
                  <c:v>基本支出</c:v>
                </c:pt>
                <c:pt idx="1">
                  <c:v>项目支出</c:v>
                </c:pt>
              </c:strCache>
            </c:strRef>
          </c:cat>
          <c:val>
            <c:numRef>
              <c:f>[图表2021.xlsx]Sheet1!$B$36:$B$40</c:f>
              <c:numCache>
                <c:formatCode>General</c:formatCode>
                <c:ptCount val="5"/>
                <c:pt idx="0">
                  <c:v>322.29</c:v>
                </c:pt>
                <c:pt idx="1">
                  <c:v>220.56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财政拨款收、支决算总计变动情况图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[图表2021.xlsx]Sheet1!$A$55:$B$55</c:f>
              <c:strCache>
                <c:ptCount val="2"/>
                <c:pt idx="0">
                  <c:v>2021年</c:v>
                </c:pt>
                <c:pt idx="1">
                  <c:v>2020年</c:v>
                </c:pt>
              </c:strCache>
            </c:strRef>
          </c:cat>
          <c:val>
            <c:numRef>
              <c:f>[图表2021.xlsx]Sheet1!$A$56:$B$56</c:f>
              <c:numCache>
                <c:formatCode>General</c:formatCode>
                <c:ptCount val="2"/>
                <c:pt idx="0">
                  <c:v>542.85</c:v>
                </c:pt>
                <c:pt idx="1">
                  <c:v>886.16</c:v>
                </c:pt>
              </c:numCache>
            </c:numRef>
          </c:val>
        </c:ser>
        <c:dLbls>
          <c:showLegendKey val="0"/>
          <c:showVal val="1"/>
          <c:showCatName val="0"/>
          <c:showSerName val="0"/>
          <c:showPercent val="0"/>
          <c:showBubbleSize val="0"/>
        </c:dLbls>
        <c:gapWidth val="219"/>
        <c:overlap val="-27"/>
        <c:axId val="607522251"/>
        <c:axId val="78490159"/>
      </c:barChart>
      <c:catAx>
        <c:axId val="6075222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90159"/>
        <c:crosses val="autoZero"/>
        <c:auto val="1"/>
        <c:lblAlgn val="ctr"/>
        <c:lblOffset val="100"/>
        <c:noMultiLvlLbl val="0"/>
      </c:catAx>
      <c:valAx>
        <c:axId val="78490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5222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一般公共预算财政拨款支出决算变动情况</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manualLayout>
          <c:xMode val="edge"/>
          <c:yMode val="edge"/>
          <c:x val="0.12125"/>
          <c:y val="0.038194444444444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[图表2021.xlsx]Sheet1!$A$76:$B$76</c:f>
              <c:strCache>
                <c:ptCount val="2"/>
                <c:pt idx="0">
                  <c:v>2021年</c:v>
                </c:pt>
                <c:pt idx="1">
                  <c:v>2020年</c:v>
                </c:pt>
              </c:strCache>
            </c:strRef>
          </c:cat>
          <c:val>
            <c:numRef>
              <c:f>[图表2021.xlsx]Sheet1!$A$77:$B$77</c:f>
              <c:numCache>
                <c:formatCode>General</c:formatCode>
                <c:ptCount val="2"/>
                <c:pt idx="0">
                  <c:v>542.85</c:v>
                </c:pt>
                <c:pt idx="1">
                  <c:v>886.16</c:v>
                </c:pt>
              </c:numCache>
            </c:numRef>
          </c:val>
        </c:ser>
        <c:dLbls>
          <c:showLegendKey val="0"/>
          <c:showVal val="1"/>
          <c:showCatName val="0"/>
          <c:showSerName val="0"/>
          <c:showPercent val="0"/>
          <c:showBubbleSize val="0"/>
        </c:dLbls>
        <c:gapWidth val="219"/>
        <c:overlap val="-27"/>
        <c:axId val="171429808"/>
        <c:axId val="933817304"/>
      </c:barChart>
      <c:catAx>
        <c:axId val="1714298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817304"/>
        <c:crosses val="autoZero"/>
        <c:auto val="1"/>
        <c:lblAlgn val="ctr"/>
        <c:lblOffset val="100"/>
        <c:noMultiLvlLbl val="0"/>
      </c:catAx>
      <c:valAx>
        <c:axId val="933817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42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一般公共预算财政拨款支出决算结构</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941795480402088"/>
                  <c:y val="0.022157743969071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6893516058563"/>
                  <c:y val="-0.01247660145291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8903794675521"/>
                  <c:y val="-0.02633378571805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7115262112013"/>
                  <c:y val="0.004941380933042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[图表2021.xlsx]Sheet1!$A$96:$A$100</c:f>
              <c:strCache>
                <c:ptCount val="5"/>
                <c:pt idx="0">
                  <c:v>一般公共服务</c:v>
                </c:pt>
                <c:pt idx="1">
                  <c:v>社会保障和就业</c:v>
                </c:pt>
                <c:pt idx="2">
                  <c:v>卫生健康</c:v>
                </c:pt>
                <c:pt idx="4">
                  <c:v>住房保障</c:v>
                </c:pt>
              </c:strCache>
            </c:strRef>
          </c:cat>
          <c:val>
            <c:numRef>
              <c:f>[图表2021.xlsx]Sheet1!$B$96:$B$100</c:f>
              <c:numCache>
                <c:formatCode>General</c:formatCode>
                <c:ptCount val="5"/>
                <c:pt idx="0">
                  <c:v>485.82</c:v>
                </c:pt>
                <c:pt idx="1">
                  <c:v>27.18</c:v>
                </c:pt>
                <c:pt idx="2">
                  <c:v>12.23</c:v>
                </c:pt>
                <c:pt idx="4">
                  <c:v>17.63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宋体" panose="02010600030101010101" charset="-122"/>
                <a:ea typeface="宋体" panose="02010600030101010101" charset="-122"/>
                <a:cs typeface="宋体" panose="02010600030101010101" charset="-122"/>
              </a:rPr>
              <a:t>“三公”经费财政拨款支出结构</a:t>
            </a:r>
            <a:endParaRPr>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latin typeface="宋体" panose="02010600030101010101" charset="-122"/>
                <a:ea typeface="宋体" panose="02010600030101010101" charset="-122"/>
                <a:cs typeface="宋体" panose="02010600030101010101" charset="-122"/>
              </a:rPr>
              <a:t>（单位：万元）</a:t>
            </a:r>
            <a:endParaRPr sz="1100">
              <a:latin typeface="宋体" panose="02010600030101010101" charset="-122"/>
              <a:ea typeface="宋体" panose="02010600030101010101" charset="-122"/>
              <a:cs typeface="宋体" panose="02010600030101010101" charset="-122"/>
            </a:endParaRPr>
          </a:p>
        </c:rich>
      </c:tx>
      <c:layout>
        <c:manualLayout>
          <c:xMode val="edge"/>
          <c:yMode val="edge"/>
          <c:x val="0.217916666666667"/>
          <c:y val="0.027777777777777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[图表2021.xlsx]Sheet1!$A$117:$A$119</c:f>
              <c:strCache>
                <c:ptCount val="3"/>
                <c:pt idx="0">
                  <c:v>公务接待费支出</c:v>
                </c:pt>
                <c:pt idx="1">
                  <c:v>因公出国（境）费支出</c:v>
                </c:pt>
                <c:pt idx="2">
                  <c:v>公务用车购置及运行维护费支出</c:v>
                </c:pt>
              </c:strCache>
            </c:strRef>
          </c:cat>
          <c:val>
            <c:numRef>
              <c:f>[图表2021.xlsx]Sheet1!$B$117:$B$119</c:f>
              <c:numCache>
                <c:formatCode>General</c:formatCode>
                <c:ptCount val="3"/>
                <c:pt idx="0">
                  <c:v>4.04</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51</Pages>
  <Words>18423</Words>
  <Characters>20660</Characters>
  <Lines>61</Lines>
  <Paragraphs>17</Paragraphs>
  <TotalTime>30</TotalTime>
  <ScaleCrop>false</ScaleCrop>
  <LinksUpToDate>false</LinksUpToDate>
  <CharactersWithSpaces>20719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欢乐马</cp:lastModifiedBy>
  <cp:lastPrinted>2022-09-26T01:05:00Z</cp:lastPrinted>
  <dcterms:modified xsi:type="dcterms:W3CDTF">2022-09-26T02:32:10Z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5B8360A171A24CD08AAA1C22C0F3DDB1</vt:lpwstr>
  </property>
</Properties>
</file>