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eastAsia="方正小标宋简体"/>
          <w:sz w:val="72"/>
          <w:szCs w:val="72"/>
        </w:rPr>
      </w:pPr>
      <w:bookmarkStart w:id="0" w:name="_Toc15306267"/>
    </w:p>
    <w:p>
      <w:pPr>
        <w:spacing w:line="600" w:lineRule="exact"/>
        <w:jc w:val="center"/>
        <w:outlineLvl w:val="0"/>
        <w:rPr>
          <w:rFonts w:ascii="方正小标宋简体" w:eastAsia="方正小标宋简体"/>
          <w:sz w:val="72"/>
          <w:szCs w:val="72"/>
        </w:rPr>
      </w:pPr>
    </w:p>
    <w:p>
      <w:pPr>
        <w:spacing w:line="600" w:lineRule="exact"/>
        <w:jc w:val="center"/>
        <w:outlineLvl w:val="0"/>
        <w:rPr>
          <w:rFonts w:ascii="方正小标宋简体" w:eastAsia="方正小标宋简体"/>
          <w:sz w:val="72"/>
          <w:szCs w:val="72"/>
        </w:rPr>
      </w:pPr>
    </w:p>
    <w:p>
      <w:pPr>
        <w:spacing w:line="600" w:lineRule="exact"/>
        <w:jc w:val="center"/>
        <w:outlineLvl w:val="0"/>
        <w:rPr>
          <w:rFonts w:ascii="方正小标宋简体" w:eastAsia="方正小标宋简体"/>
          <w:sz w:val="72"/>
          <w:szCs w:val="72"/>
        </w:rPr>
      </w:pPr>
    </w:p>
    <w:p>
      <w:pPr>
        <w:jc w:val="center"/>
        <w:rPr>
          <w:rFonts w:ascii="方正小标宋简体" w:hAnsi="方正小标宋简体" w:eastAsia="方正小标宋简体" w:cs="方正小标宋简体"/>
          <w:sz w:val="72"/>
          <w:szCs w:val="144"/>
        </w:rPr>
      </w:pPr>
      <w:bookmarkStart w:id="1" w:name="_Toc15378441"/>
      <w:bookmarkStart w:id="2" w:name="_Toc15396475"/>
      <w:bookmarkStart w:id="3" w:name="_Toc15396597"/>
      <w:bookmarkStart w:id="4" w:name="_Toc15377425"/>
      <w:bookmarkStart w:id="5" w:name="_Toc15377193"/>
      <w:r>
        <w:rPr>
          <w:rFonts w:hint="eastAsia" w:ascii="方正小标宋简体" w:hAnsi="方正小标宋简体" w:eastAsia="方正小标宋简体" w:cs="方正小标宋简体"/>
          <w:sz w:val="72"/>
          <w:szCs w:val="144"/>
        </w:rPr>
        <w:t>2021年度</w:t>
      </w:r>
      <w:bookmarkEnd w:id="1"/>
      <w:bookmarkEnd w:id="2"/>
      <w:bookmarkEnd w:id="3"/>
      <w:bookmarkEnd w:id="4"/>
      <w:bookmarkEnd w:id="5"/>
    </w:p>
    <w:p>
      <w:pPr>
        <w:jc w:val="center"/>
        <w:rPr>
          <w:rFonts w:ascii="方正小标宋简体" w:hAnsi="方正小标宋简体" w:eastAsia="方正小标宋简体" w:cs="方正小标宋简体"/>
          <w:sz w:val="72"/>
          <w:szCs w:val="144"/>
        </w:rPr>
      </w:pPr>
      <w:bookmarkStart w:id="6" w:name="_Toc15378442"/>
      <w:bookmarkStart w:id="7" w:name="_Toc15396476"/>
      <w:bookmarkStart w:id="8" w:name="_Toc15396598"/>
      <w:bookmarkStart w:id="9" w:name="_Toc15377426"/>
      <w:bookmarkStart w:id="10" w:name="_Toc15377194"/>
      <w:r>
        <w:rPr>
          <w:rFonts w:hint="eastAsia" w:ascii="方正小标宋简体" w:hAnsi="方正小标宋简体" w:eastAsia="方正小标宋简体" w:cs="方正小标宋简体"/>
          <w:sz w:val="72"/>
          <w:szCs w:val="144"/>
        </w:rPr>
        <w:t>四川省</w:t>
      </w:r>
      <w:bookmarkEnd w:id="0"/>
      <w:bookmarkStart w:id="11" w:name="_Toc15306268"/>
      <w:r>
        <w:rPr>
          <w:rFonts w:hint="eastAsia" w:ascii="方正小标宋简体" w:hAnsi="方正小标宋简体" w:eastAsia="方正小标宋简体" w:cs="方正小标宋简体"/>
          <w:sz w:val="72"/>
          <w:szCs w:val="144"/>
        </w:rPr>
        <w:t>广元市朝天区</w:t>
      </w:r>
    </w:p>
    <w:p>
      <w:pPr>
        <w:jc w:val="center"/>
        <w:rPr>
          <w:rFonts w:ascii="方正小标宋简体" w:hAnsi="方正小标宋简体" w:eastAsia="方正小标宋简体" w:cs="方正小标宋简体"/>
          <w:sz w:val="72"/>
          <w:szCs w:val="144"/>
        </w:rPr>
      </w:pPr>
      <w:r>
        <w:rPr>
          <w:rFonts w:hint="eastAsia" w:ascii="方正小标宋简体" w:hAnsi="方正小标宋简体" w:eastAsia="方正小标宋简体" w:cs="方正小标宋简体"/>
          <w:sz w:val="72"/>
          <w:szCs w:val="144"/>
        </w:rPr>
        <w:t>防震减灾中心</w:t>
      </w:r>
      <w:r>
        <w:rPr>
          <w:rFonts w:hint="eastAsia" w:ascii="方正小标宋简体" w:hAnsi="方正小标宋简体" w:eastAsia="方正小标宋简体" w:cs="方正小标宋简体"/>
          <w:sz w:val="72"/>
          <w:szCs w:val="144"/>
          <w:lang w:eastAsia="zh-CN"/>
        </w:rPr>
        <w:t>部门</w:t>
      </w:r>
      <w:bookmarkStart w:id="109" w:name="_GoBack"/>
      <w:bookmarkEnd w:id="109"/>
      <w:r>
        <w:rPr>
          <w:rFonts w:hint="eastAsia" w:ascii="方正小标宋简体" w:hAnsi="方正小标宋简体" w:eastAsia="方正小标宋简体" w:cs="方正小标宋简体"/>
          <w:sz w:val="72"/>
          <w:szCs w:val="144"/>
        </w:rPr>
        <w:t>决算</w:t>
      </w:r>
      <w:bookmarkEnd w:id="6"/>
      <w:bookmarkEnd w:id="7"/>
      <w:bookmarkEnd w:id="8"/>
      <w:bookmarkEnd w:id="9"/>
      <w:bookmarkEnd w:id="10"/>
      <w:bookmarkEnd w:id="11"/>
    </w:p>
    <w:p>
      <w:pPr>
        <w:pStyle w:val="7"/>
        <w:spacing w:before="97"/>
      </w:pPr>
    </w:p>
    <w:p>
      <w:pPr>
        <w:jc w:val="center"/>
        <w:rPr>
          <w:rFonts w:ascii="方正小标宋简体" w:eastAsia="方正小标宋简体"/>
          <w:sz w:val="36"/>
          <w:szCs w:val="36"/>
        </w:rPr>
      </w:pPr>
      <w:r>
        <w:rPr>
          <w:rFonts w:ascii="方正小标宋简体" w:eastAsia="方正小标宋简体"/>
          <w:sz w:val="36"/>
          <w:szCs w:val="36"/>
        </w:rPr>
        <w:br w:type="page"/>
      </w:r>
    </w:p>
    <w:p>
      <w:pPr>
        <w:jc w:val="center"/>
        <w:rPr>
          <w:rFonts w:ascii="黑体" w:hAnsi="黑体" w:eastAsia="黑体"/>
          <w:sz w:val="48"/>
          <w:szCs w:val="48"/>
        </w:rPr>
      </w:pPr>
      <w:r>
        <w:rPr>
          <w:rFonts w:hint="eastAsia" w:ascii="黑体" w:hAnsi="黑体" w:eastAsia="黑体"/>
          <w:sz w:val="48"/>
          <w:szCs w:val="48"/>
        </w:rPr>
        <w:t>目录</w:t>
      </w:r>
    </w:p>
    <w:p>
      <w:pPr>
        <w:pStyle w:val="14"/>
        <w:spacing w:line="400" w:lineRule="exact"/>
        <w:jc w:val="center"/>
      </w:pPr>
      <w:r>
        <w:rPr>
          <w:rFonts w:hint="eastAsia"/>
        </w:rPr>
        <w:t>公开时间：2022年10月10日</w:t>
      </w:r>
    </w:p>
    <w:p>
      <w:pPr>
        <w:pStyle w:val="14"/>
        <w:tabs>
          <w:tab w:val="right" w:leader="dot" w:pos="8834"/>
        </w:tabs>
        <w:rPr>
          <w:rFonts w:eastAsiaTheme="minorEastAsia" w:cstheme="minorBidi"/>
          <w:b w:val="0"/>
          <w:bCs w:val="0"/>
          <w:caps w:val="0"/>
          <w:kern w:val="2"/>
          <w:sz w:val="21"/>
          <w:szCs w:val="24"/>
        </w:rPr>
      </w:pPr>
      <w:r>
        <w:rPr>
          <w:rFonts w:ascii="仿宋" w:hAnsi="仿宋" w:eastAsia="仿宋"/>
          <w:b w:val="0"/>
          <w:bCs w:val="0"/>
          <w:caps w:val="0"/>
          <w:sz w:val="28"/>
          <w:szCs w:val="28"/>
        </w:rPr>
        <w:fldChar w:fldCharType="begin"/>
      </w:r>
      <w:r>
        <w:rPr>
          <w:rFonts w:ascii="仿宋" w:hAnsi="仿宋" w:eastAsia="仿宋"/>
          <w:b w:val="0"/>
          <w:bCs w:val="0"/>
          <w:caps w:val="0"/>
          <w:sz w:val="28"/>
          <w:szCs w:val="28"/>
        </w:rPr>
        <w:instrText xml:space="preserve"> TOC \o "1-2" \h \z \u </w:instrText>
      </w:r>
      <w:r>
        <w:rPr>
          <w:rFonts w:ascii="仿宋" w:hAnsi="仿宋" w:eastAsia="仿宋"/>
          <w:b w:val="0"/>
          <w:bCs w:val="0"/>
          <w:caps w:val="0"/>
          <w:sz w:val="28"/>
          <w:szCs w:val="28"/>
        </w:rPr>
        <w:fldChar w:fldCharType="separate"/>
      </w:r>
      <w:r>
        <w:fldChar w:fldCharType="begin"/>
      </w:r>
      <w:r>
        <w:instrText xml:space="preserve"> HYPERLINK \l "_Toc115203630" </w:instrText>
      </w:r>
      <w:r>
        <w:fldChar w:fldCharType="separate"/>
      </w:r>
      <w:r>
        <w:rPr>
          <w:rStyle w:val="23"/>
          <w:rFonts w:ascii="黑体" w:hAnsi="黑体"/>
        </w:rPr>
        <w:t>第一部分单位概况</w:t>
      </w:r>
      <w:r>
        <w:tab/>
      </w:r>
      <w:r>
        <w:fldChar w:fldCharType="begin"/>
      </w:r>
      <w:r>
        <w:instrText xml:space="preserve"> PAGEREF _Toc115203630 \h </w:instrText>
      </w:r>
      <w:r>
        <w:fldChar w:fldCharType="separate"/>
      </w:r>
      <w:r>
        <w:t>3</w:t>
      </w:r>
      <w:r>
        <w:fldChar w:fldCharType="end"/>
      </w:r>
      <w:r>
        <w:fldChar w:fldCharType="end"/>
      </w:r>
    </w:p>
    <w:p>
      <w:pPr>
        <w:pStyle w:val="17"/>
        <w:tabs>
          <w:tab w:val="right" w:leader="dot" w:pos="8834"/>
        </w:tabs>
        <w:rPr>
          <w:rFonts w:eastAsiaTheme="minorEastAsia" w:cstheme="minorBidi"/>
          <w:smallCaps w:val="0"/>
          <w:kern w:val="2"/>
          <w:sz w:val="21"/>
          <w:szCs w:val="24"/>
        </w:rPr>
      </w:pPr>
      <w:r>
        <w:fldChar w:fldCharType="begin"/>
      </w:r>
      <w:r>
        <w:instrText xml:space="preserve"> HYPERLINK \l "_Toc115203631" </w:instrText>
      </w:r>
      <w:r>
        <w:fldChar w:fldCharType="separate"/>
      </w:r>
      <w:r>
        <w:rPr>
          <w:rStyle w:val="23"/>
          <w:rFonts w:ascii="黑体" w:hAnsi="黑体"/>
        </w:rPr>
        <w:t>一、基本职能及主要工作</w:t>
      </w:r>
      <w:r>
        <w:tab/>
      </w:r>
      <w:r>
        <w:fldChar w:fldCharType="begin"/>
      </w:r>
      <w:r>
        <w:instrText xml:space="preserve"> PAGEREF _Toc115203631 \h </w:instrText>
      </w:r>
      <w:r>
        <w:fldChar w:fldCharType="separate"/>
      </w:r>
      <w:r>
        <w:t>3</w:t>
      </w:r>
      <w:r>
        <w:fldChar w:fldCharType="end"/>
      </w:r>
      <w:r>
        <w:fldChar w:fldCharType="end"/>
      </w:r>
    </w:p>
    <w:p>
      <w:pPr>
        <w:pStyle w:val="17"/>
        <w:tabs>
          <w:tab w:val="right" w:leader="dot" w:pos="8834"/>
        </w:tabs>
        <w:rPr>
          <w:rFonts w:eastAsiaTheme="minorEastAsia" w:cstheme="minorBidi"/>
          <w:smallCaps w:val="0"/>
          <w:kern w:val="2"/>
          <w:sz w:val="21"/>
          <w:szCs w:val="24"/>
        </w:rPr>
      </w:pPr>
      <w:r>
        <w:fldChar w:fldCharType="begin"/>
      </w:r>
      <w:r>
        <w:instrText xml:space="preserve"> HYPERLINK \l "_Toc115203632" </w:instrText>
      </w:r>
      <w:r>
        <w:fldChar w:fldCharType="separate"/>
      </w:r>
      <w:r>
        <w:rPr>
          <w:rStyle w:val="23"/>
          <w:rFonts w:ascii="黑体"/>
        </w:rPr>
        <w:t>二、</w:t>
      </w:r>
      <w:r>
        <w:rPr>
          <w:rStyle w:val="23"/>
          <w:rFonts w:ascii="黑体" w:hAnsi="黑体"/>
        </w:rPr>
        <w:t>机构设置</w:t>
      </w:r>
      <w:r>
        <w:tab/>
      </w:r>
      <w:r>
        <w:fldChar w:fldCharType="begin"/>
      </w:r>
      <w:r>
        <w:instrText xml:space="preserve"> PAGEREF _Toc115203632 \h </w:instrText>
      </w:r>
      <w:r>
        <w:fldChar w:fldCharType="separate"/>
      </w:r>
      <w:r>
        <w:t>8</w:t>
      </w:r>
      <w:r>
        <w:fldChar w:fldCharType="end"/>
      </w:r>
      <w:r>
        <w:fldChar w:fldCharType="end"/>
      </w:r>
    </w:p>
    <w:p>
      <w:pPr>
        <w:pStyle w:val="14"/>
        <w:tabs>
          <w:tab w:val="right" w:leader="dot" w:pos="8834"/>
        </w:tabs>
        <w:rPr>
          <w:rFonts w:eastAsiaTheme="minorEastAsia" w:cstheme="minorBidi"/>
          <w:b w:val="0"/>
          <w:bCs w:val="0"/>
          <w:caps w:val="0"/>
          <w:kern w:val="2"/>
          <w:sz w:val="21"/>
          <w:szCs w:val="24"/>
        </w:rPr>
      </w:pPr>
      <w:r>
        <w:fldChar w:fldCharType="begin"/>
      </w:r>
      <w:r>
        <w:instrText xml:space="preserve"> HYPERLINK \l "_Toc115203633" </w:instrText>
      </w:r>
      <w:r>
        <w:fldChar w:fldCharType="separate"/>
      </w:r>
      <w:r>
        <w:rPr>
          <w:rStyle w:val="23"/>
          <w:rFonts w:ascii="黑体" w:hAnsi="黑体"/>
        </w:rPr>
        <w:t>第二部分 2021年度单位决算情况说明</w:t>
      </w:r>
      <w:r>
        <w:tab/>
      </w:r>
      <w:r>
        <w:fldChar w:fldCharType="begin"/>
      </w:r>
      <w:r>
        <w:instrText xml:space="preserve"> PAGEREF _Toc115203633 \h </w:instrText>
      </w:r>
      <w:r>
        <w:fldChar w:fldCharType="separate"/>
      </w:r>
      <w:r>
        <w:t>9</w:t>
      </w:r>
      <w:r>
        <w:fldChar w:fldCharType="end"/>
      </w:r>
      <w:r>
        <w:fldChar w:fldCharType="end"/>
      </w:r>
    </w:p>
    <w:p>
      <w:pPr>
        <w:pStyle w:val="17"/>
        <w:tabs>
          <w:tab w:val="right" w:leader="dot" w:pos="8834"/>
        </w:tabs>
        <w:rPr>
          <w:rFonts w:eastAsiaTheme="minorEastAsia" w:cstheme="minorBidi"/>
          <w:smallCaps w:val="0"/>
          <w:kern w:val="2"/>
          <w:sz w:val="21"/>
          <w:szCs w:val="24"/>
        </w:rPr>
      </w:pPr>
      <w:r>
        <w:fldChar w:fldCharType="begin"/>
      </w:r>
      <w:r>
        <w:instrText xml:space="preserve"> HYPERLINK \l "_Toc115203634" </w:instrText>
      </w:r>
      <w:r>
        <w:fldChar w:fldCharType="separate"/>
      </w:r>
      <w:r>
        <w:rPr>
          <w:rStyle w:val="23"/>
        </w:rPr>
        <w:t>一、收</w:t>
      </w:r>
      <w:r>
        <w:rPr>
          <w:rStyle w:val="23"/>
          <w:rFonts w:ascii="黑体" w:hAnsi="黑体"/>
        </w:rPr>
        <w:t>入支出决算总体情况说明</w:t>
      </w:r>
      <w:r>
        <w:tab/>
      </w:r>
      <w:r>
        <w:fldChar w:fldCharType="begin"/>
      </w:r>
      <w:r>
        <w:instrText xml:space="preserve"> PAGEREF _Toc115203634 \h </w:instrText>
      </w:r>
      <w:r>
        <w:fldChar w:fldCharType="separate"/>
      </w:r>
      <w:r>
        <w:t>9</w:t>
      </w:r>
      <w:r>
        <w:fldChar w:fldCharType="end"/>
      </w:r>
      <w:r>
        <w:fldChar w:fldCharType="end"/>
      </w:r>
    </w:p>
    <w:p>
      <w:pPr>
        <w:pStyle w:val="17"/>
        <w:tabs>
          <w:tab w:val="right" w:leader="dot" w:pos="8834"/>
        </w:tabs>
        <w:rPr>
          <w:rFonts w:eastAsiaTheme="minorEastAsia" w:cstheme="minorBidi"/>
          <w:smallCaps w:val="0"/>
          <w:kern w:val="2"/>
          <w:sz w:val="21"/>
          <w:szCs w:val="24"/>
        </w:rPr>
      </w:pPr>
      <w:r>
        <w:fldChar w:fldCharType="begin"/>
      </w:r>
      <w:r>
        <w:instrText xml:space="preserve"> HYPERLINK \l "_Toc115203635" </w:instrText>
      </w:r>
      <w:r>
        <w:fldChar w:fldCharType="separate"/>
      </w:r>
      <w:r>
        <w:rPr>
          <w:rStyle w:val="23"/>
        </w:rPr>
        <w:t>二、收</w:t>
      </w:r>
      <w:r>
        <w:rPr>
          <w:rStyle w:val="23"/>
          <w:rFonts w:ascii="黑体" w:hAnsi="黑体"/>
        </w:rPr>
        <w:t>入决算情况说明</w:t>
      </w:r>
      <w:r>
        <w:tab/>
      </w:r>
      <w:r>
        <w:fldChar w:fldCharType="begin"/>
      </w:r>
      <w:r>
        <w:instrText xml:space="preserve"> PAGEREF _Toc115203635 \h </w:instrText>
      </w:r>
      <w:r>
        <w:fldChar w:fldCharType="separate"/>
      </w:r>
      <w:r>
        <w:t>9</w:t>
      </w:r>
      <w:r>
        <w:fldChar w:fldCharType="end"/>
      </w:r>
      <w:r>
        <w:fldChar w:fldCharType="end"/>
      </w:r>
    </w:p>
    <w:p>
      <w:pPr>
        <w:pStyle w:val="17"/>
        <w:tabs>
          <w:tab w:val="right" w:leader="dot" w:pos="8834"/>
        </w:tabs>
        <w:rPr>
          <w:rFonts w:eastAsiaTheme="minorEastAsia" w:cstheme="minorBidi"/>
          <w:smallCaps w:val="0"/>
          <w:kern w:val="2"/>
          <w:sz w:val="21"/>
          <w:szCs w:val="24"/>
        </w:rPr>
      </w:pPr>
      <w:r>
        <w:fldChar w:fldCharType="begin"/>
      </w:r>
      <w:r>
        <w:instrText xml:space="preserve"> HYPERLINK \l "_Toc115203636" </w:instrText>
      </w:r>
      <w:r>
        <w:fldChar w:fldCharType="separate"/>
      </w:r>
      <w:r>
        <w:rPr>
          <w:rStyle w:val="23"/>
        </w:rPr>
        <w:t>三、支</w:t>
      </w:r>
      <w:r>
        <w:rPr>
          <w:rStyle w:val="23"/>
          <w:rFonts w:ascii="黑体" w:hAnsi="黑体"/>
        </w:rPr>
        <w:t>出决算情况说明</w:t>
      </w:r>
      <w:r>
        <w:tab/>
      </w:r>
      <w:r>
        <w:fldChar w:fldCharType="begin"/>
      </w:r>
      <w:r>
        <w:instrText xml:space="preserve"> PAGEREF _Toc115203636 \h </w:instrText>
      </w:r>
      <w:r>
        <w:fldChar w:fldCharType="separate"/>
      </w:r>
      <w:r>
        <w:t>10</w:t>
      </w:r>
      <w:r>
        <w:fldChar w:fldCharType="end"/>
      </w:r>
      <w:r>
        <w:fldChar w:fldCharType="end"/>
      </w:r>
    </w:p>
    <w:p>
      <w:pPr>
        <w:pStyle w:val="17"/>
        <w:tabs>
          <w:tab w:val="right" w:leader="dot" w:pos="8834"/>
        </w:tabs>
        <w:rPr>
          <w:rFonts w:eastAsiaTheme="minorEastAsia" w:cstheme="minorBidi"/>
          <w:smallCaps w:val="0"/>
          <w:kern w:val="2"/>
          <w:sz w:val="21"/>
          <w:szCs w:val="24"/>
        </w:rPr>
      </w:pPr>
      <w:r>
        <w:fldChar w:fldCharType="begin"/>
      </w:r>
      <w:r>
        <w:instrText xml:space="preserve"> HYPERLINK \l "_Toc115203637" </w:instrText>
      </w:r>
      <w:r>
        <w:fldChar w:fldCharType="separate"/>
      </w:r>
      <w:r>
        <w:rPr>
          <w:rStyle w:val="23"/>
        </w:rPr>
        <w:t>四、财</w:t>
      </w:r>
      <w:r>
        <w:rPr>
          <w:rStyle w:val="23"/>
          <w:rFonts w:ascii="黑体" w:hAnsi="黑体"/>
        </w:rPr>
        <w:t>政拨款收入支出决算总体情况说明</w:t>
      </w:r>
      <w:r>
        <w:tab/>
      </w:r>
      <w:r>
        <w:fldChar w:fldCharType="begin"/>
      </w:r>
      <w:r>
        <w:instrText xml:space="preserve"> PAGEREF _Toc115203637 \h </w:instrText>
      </w:r>
      <w:r>
        <w:fldChar w:fldCharType="separate"/>
      </w:r>
      <w:r>
        <w:t>11</w:t>
      </w:r>
      <w:r>
        <w:fldChar w:fldCharType="end"/>
      </w:r>
      <w:r>
        <w:fldChar w:fldCharType="end"/>
      </w:r>
    </w:p>
    <w:p>
      <w:pPr>
        <w:pStyle w:val="17"/>
        <w:tabs>
          <w:tab w:val="right" w:leader="dot" w:pos="8834"/>
        </w:tabs>
        <w:rPr>
          <w:rFonts w:eastAsiaTheme="minorEastAsia" w:cstheme="minorBidi"/>
          <w:smallCaps w:val="0"/>
          <w:kern w:val="2"/>
          <w:sz w:val="21"/>
          <w:szCs w:val="24"/>
        </w:rPr>
      </w:pPr>
      <w:r>
        <w:fldChar w:fldCharType="begin"/>
      </w:r>
      <w:r>
        <w:instrText xml:space="preserve"> HYPERLINK \l "_Toc115203638" </w:instrText>
      </w:r>
      <w:r>
        <w:fldChar w:fldCharType="separate"/>
      </w:r>
      <w:r>
        <w:rPr>
          <w:rStyle w:val="23"/>
        </w:rPr>
        <w:t>五、</w:t>
      </w:r>
      <w:r>
        <w:rPr>
          <w:rStyle w:val="23"/>
          <w:b/>
        </w:rPr>
        <w:t>一</w:t>
      </w:r>
      <w:r>
        <w:rPr>
          <w:rStyle w:val="23"/>
          <w:rFonts w:ascii="黑体" w:hAnsi="黑体"/>
        </w:rPr>
        <w:t>般公共预算财政拨款支出决算情况说明</w:t>
      </w:r>
      <w:r>
        <w:tab/>
      </w:r>
      <w:r>
        <w:fldChar w:fldCharType="begin"/>
      </w:r>
      <w:r>
        <w:instrText xml:space="preserve"> PAGEREF _Toc115203638 \h </w:instrText>
      </w:r>
      <w:r>
        <w:fldChar w:fldCharType="separate"/>
      </w:r>
      <w:r>
        <w:t>11</w:t>
      </w:r>
      <w:r>
        <w:fldChar w:fldCharType="end"/>
      </w:r>
      <w:r>
        <w:fldChar w:fldCharType="end"/>
      </w:r>
    </w:p>
    <w:p>
      <w:pPr>
        <w:pStyle w:val="17"/>
        <w:tabs>
          <w:tab w:val="right" w:leader="dot" w:pos="8834"/>
        </w:tabs>
        <w:rPr>
          <w:rFonts w:eastAsiaTheme="minorEastAsia" w:cstheme="minorBidi"/>
          <w:smallCaps w:val="0"/>
          <w:kern w:val="2"/>
          <w:sz w:val="21"/>
          <w:szCs w:val="24"/>
        </w:rPr>
      </w:pPr>
      <w:r>
        <w:fldChar w:fldCharType="begin"/>
      </w:r>
      <w:r>
        <w:instrText xml:space="preserve"> HYPERLINK \l "_Toc115203639" </w:instrText>
      </w:r>
      <w:r>
        <w:fldChar w:fldCharType="separate"/>
      </w:r>
      <w:r>
        <w:rPr>
          <w:rStyle w:val="23"/>
        </w:rPr>
        <w:t>六</w:t>
      </w:r>
      <w:r>
        <w:rPr>
          <w:rStyle w:val="23"/>
          <w:b/>
        </w:rPr>
        <w:t>、一</w:t>
      </w:r>
      <w:r>
        <w:rPr>
          <w:rStyle w:val="23"/>
          <w:rFonts w:ascii="黑体" w:hAnsi="黑体"/>
        </w:rPr>
        <w:t>般公共预算财政拨款基本支出决算情况说明</w:t>
      </w:r>
      <w:r>
        <w:tab/>
      </w:r>
      <w:r>
        <w:fldChar w:fldCharType="begin"/>
      </w:r>
      <w:r>
        <w:instrText xml:space="preserve"> PAGEREF _Toc115203639 \h </w:instrText>
      </w:r>
      <w:r>
        <w:fldChar w:fldCharType="separate"/>
      </w:r>
      <w:r>
        <w:t>13</w:t>
      </w:r>
      <w:r>
        <w:fldChar w:fldCharType="end"/>
      </w:r>
      <w:r>
        <w:fldChar w:fldCharType="end"/>
      </w:r>
    </w:p>
    <w:p>
      <w:pPr>
        <w:pStyle w:val="17"/>
        <w:tabs>
          <w:tab w:val="right" w:leader="dot" w:pos="8834"/>
        </w:tabs>
        <w:rPr>
          <w:rFonts w:eastAsiaTheme="minorEastAsia" w:cstheme="minorBidi"/>
          <w:smallCaps w:val="0"/>
          <w:kern w:val="2"/>
          <w:sz w:val="21"/>
          <w:szCs w:val="24"/>
        </w:rPr>
      </w:pPr>
      <w:r>
        <w:fldChar w:fldCharType="begin"/>
      </w:r>
      <w:r>
        <w:instrText xml:space="preserve"> HYPERLINK \l "_Toc115203640" </w:instrText>
      </w:r>
      <w:r>
        <w:fldChar w:fldCharType="separate"/>
      </w:r>
      <w:r>
        <w:rPr>
          <w:rStyle w:val="23"/>
        </w:rPr>
        <w:t>七、</w:t>
      </w:r>
      <w:r>
        <w:rPr>
          <w:rStyle w:val="23"/>
          <w:rFonts w:ascii="黑体" w:hAnsi="黑体"/>
        </w:rPr>
        <w:t>“三公”经费财政拨款支出决算情况说明</w:t>
      </w:r>
      <w:r>
        <w:tab/>
      </w:r>
      <w:r>
        <w:fldChar w:fldCharType="begin"/>
      </w:r>
      <w:r>
        <w:instrText xml:space="preserve"> PAGEREF _Toc115203640 \h </w:instrText>
      </w:r>
      <w:r>
        <w:fldChar w:fldCharType="separate"/>
      </w:r>
      <w:r>
        <w:t>14</w:t>
      </w:r>
      <w:r>
        <w:fldChar w:fldCharType="end"/>
      </w:r>
      <w:r>
        <w:fldChar w:fldCharType="end"/>
      </w:r>
    </w:p>
    <w:p>
      <w:pPr>
        <w:pStyle w:val="17"/>
        <w:tabs>
          <w:tab w:val="right" w:leader="dot" w:pos="8834"/>
        </w:tabs>
        <w:rPr>
          <w:rFonts w:eastAsiaTheme="minorEastAsia" w:cstheme="minorBidi"/>
          <w:smallCaps w:val="0"/>
          <w:kern w:val="2"/>
          <w:sz w:val="21"/>
          <w:szCs w:val="24"/>
        </w:rPr>
      </w:pPr>
      <w:r>
        <w:fldChar w:fldCharType="begin"/>
      </w:r>
      <w:r>
        <w:instrText xml:space="preserve"> HYPERLINK \l "_Toc115203641" </w:instrText>
      </w:r>
      <w:r>
        <w:fldChar w:fldCharType="separate"/>
      </w:r>
      <w:r>
        <w:rPr>
          <w:rStyle w:val="23"/>
        </w:rPr>
        <w:t>八、</w:t>
      </w:r>
      <w:r>
        <w:rPr>
          <w:rStyle w:val="23"/>
          <w:rFonts w:ascii="黑体" w:hAnsi="黑体"/>
        </w:rPr>
        <w:t>政府性基金预算支出决算情况说明</w:t>
      </w:r>
      <w:r>
        <w:tab/>
      </w:r>
      <w:r>
        <w:fldChar w:fldCharType="begin"/>
      </w:r>
      <w:r>
        <w:instrText xml:space="preserve"> PAGEREF _Toc115203641 \h </w:instrText>
      </w:r>
      <w:r>
        <w:fldChar w:fldCharType="separate"/>
      </w:r>
      <w:r>
        <w:t>15</w:t>
      </w:r>
      <w:r>
        <w:fldChar w:fldCharType="end"/>
      </w:r>
      <w:r>
        <w:fldChar w:fldCharType="end"/>
      </w:r>
    </w:p>
    <w:p>
      <w:pPr>
        <w:pStyle w:val="17"/>
        <w:tabs>
          <w:tab w:val="right" w:leader="dot" w:pos="8834"/>
        </w:tabs>
        <w:rPr>
          <w:rFonts w:eastAsiaTheme="minorEastAsia" w:cstheme="minorBidi"/>
          <w:smallCaps w:val="0"/>
          <w:kern w:val="2"/>
          <w:sz w:val="21"/>
          <w:szCs w:val="24"/>
        </w:rPr>
      </w:pPr>
      <w:r>
        <w:fldChar w:fldCharType="begin"/>
      </w:r>
      <w:r>
        <w:instrText xml:space="preserve"> HYPERLINK \l "_Toc115203642" </w:instrText>
      </w:r>
      <w:r>
        <w:fldChar w:fldCharType="separate"/>
      </w:r>
      <w:r>
        <w:rPr>
          <w:rStyle w:val="23"/>
          <w:rFonts w:ascii="黑体" w:hAnsi="黑体"/>
        </w:rPr>
        <w:t>九、国有资本经营预算支出决算情况说明</w:t>
      </w:r>
      <w:r>
        <w:tab/>
      </w:r>
      <w:r>
        <w:fldChar w:fldCharType="begin"/>
      </w:r>
      <w:r>
        <w:instrText xml:space="preserve"> PAGEREF _Toc115203642 \h </w:instrText>
      </w:r>
      <w:r>
        <w:fldChar w:fldCharType="separate"/>
      </w:r>
      <w:r>
        <w:t>16</w:t>
      </w:r>
      <w:r>
        <w:fldChar w:fldCharType="end"/>
      </w:r>
      <w:r>
        <w:fldChar w:fldCharType="end"/>
      </w:r>
    </w:p>
    <w:p>
      <w:pPr>
        <w:pStyle w:val="17"/>
        <w:tabs>
          <w:tab w:val="right" w:leader="dot" w:pos="8834"/>
        </w:tabs>
        <w:rPr>
          <w:rFonts w:eastAsiaTheme="minorEastAsia" w:cstheme="minorBidi"/>
          <w:smallCaps w:val="0"/>
          <w:kern w:val="2"/>
          <w:sz w:val="21"/>
          <w:szCs w:val="24"/>
        </w:rPr>
      </w:pPr>
      <w:r>
        <w:fldChar w:fldCharType="begin"/>
      </w:r>
      <w:r>
        <w:instrText xml:space="preserve"> HYPERLINK \l "_Toc115203643" </w:instrText>
      </w:r>
      <w:r>
        <w:fldChar w:fldCharType="separate"/>
      </w:r>
      <w:r>
        <w:rPr>
          <w:rStyle w:val="23"/>
          <w:rFonts w:ascii="黑体" w:hAnsi="黑体"/>
        </w:rPr>
        <w:t>十、预算绩效管理情况</w:t>
      </w:r>
      <w:r>
        <w:tab/>
      </w:r>
      <w:r>
        <w:fldChar w:fldCharType="begin"/>
      </w:r>
      <w:r>
        <w:instrText xml:space="preserve"> PAGEREF _Toc115203643 \h </w:instrText>
      </w:r>
      <w:r>
        <w:fldChar w:fldCharType="separate"/>
      </w:r>
      <w:r>
        <w:t>16</w:t>
      </w:r>
      <w:r>
        <w:fldChar w:fldCharType="end"/>
      </w:r>
      <w:r>
        <w:fldChar w:fldCharType="end"/>
      </w:r>
    </w:p>
    <w:p>
      <w:pPr>
        <w:pStyle w:val="17"/>
        <w:tabs>
          <w:tab w:val="right" w:leader="dot" w:pos="8834"/>
        </w:tabs>
        <w:rPr>
          <w:rFonts w:eastAsiaTheme="minorEastAsia" w:cstheme="minorBidi"/>
          <w:smallCaps w:val="0"/>
          <w:kern w:val="2"/>
          <w:sz w:val="21"/>
          <w:szCs w:val="24"/>
        </w:rPr>
      </w:pPr>
      <w:r>
        <w:fldChar w:fldCharType="begin"/>
      </w:r>
      <w:r>
        <w:instrText xml:space="preserve"> HYPERLINK \l "_Toc115203644" </w:instrText>
      </w:r>
      <w:r>
        <w:fldChar w:fldCharType="separate"/>
      </w:r>
      <w:r>
        <w:rPr>
          <w:rStyle w:val="23"/>
          <w:rFonts w:ascii="黑体" w:hAnsi="黑体"/>
        </w:rPr>
        <w:t>十一、其他重要事项的情况说明</w:t>
      </w:r>
      <w:r>
        <w:tab/>
      </w:r>
      <w:r>
        <w:fldChar w:fldCharType="begin"/>
      </w:r>
      <w:r>
        <w:instrText xml:space="preserve"> PAGEREF _Toc115203644 \h </w:instrText>
      </w:r>
      <w:r>
        <w:fldChar w:fldCharType="separate"/>
      </w:r>
      <w:r>
        <w:t>16</w:t>
      </w:r>
      <w:r>
        <w:fldChar w:fldCharType="end"/>
      </w:r>
      <w:r>
        <w:fldChar w:fldCharType="end"/>
      </w:r>
    </w:p>
    <w:p>
      <w:pPr>
        <w:pStyle w:val="14"/>
        <w:tabs>
          <w:tab w:val="right" w:leader="dot" w:pos="8834"/>
        </w:tabs>
        <w:rPr>
          <w:rFonts w:eastAsiaTheme="minorEastAsia" w:cstheme="minorBidi"/>
          <w:b w:val="0"/>
          <w:bCs w:val="0"/>
          <w:caps w:val="0"/>
          <w:kern w:val="2"/>
          <w:sz w:val="21"/>
          <w:szCs w:val="24"/>
        </w:rPr>
      </w:pPr>
      <w:r>
        <w:fldChar w:fldCharType="begin"/>
      </w:r>
      <w:r>
        <w:instrText xml:space="preserve"> HYPERLINK \l "_Toc115203645" </w:instrText>
      </w:r>
      <w:r>
        <w:fldChar w:fldCharType="separate"/>
      </w:r>
      <w:r>
        <w:rPr>
          <w:rStyle w:val="23"/>
          <w:rFonts w:ascii="黑体" w:hAnsi="黑体" w:cs="黑体"/>
        </w:rPr>
        <w:t>第三部分</w:t>
      </w:r>
      <w:r>
        <w:rPr>
          <w:rStyle w:val="23"/>
          <w:rFonts w:ascii="黑体" w:hAnsi="黑体"/>
        </w:rPr>
        <w:t>名词解释</w:t>
      </w:r>
      <w:r>
        <w:tab/>
      </w:r>
      <w:r>
        <w:fldChar w:fldCharType="begin"/>
      </w:r>
      <w:r>
        <w:instrText xml:space="preserve"> PAGEREF _Toc115203645 \h </w:instrText>
      </w:r>
      <w:r>
        <w:fldChar w:fldCharType="separate"/>
      </w:r>
      <w:r>
        <w:t>18</w:t>
      </w:r>
      <w:r>
        <w:fldChar w:fldCharType="end"/>
      </w:r>
      <w:r>
        <w:fldChar w:fldCharType="end"/>
      </w:r>
    </w:p>
    <w:p>
      <w:pPr>
        <w:pStyle w:val="14"/>
        <w:tabs>
          <w:tab w:val="right" w:leader="dot" w:pos="8834"/>
        </w:tabs>
        <w:rPr>
          <w:rFonts w:eastAsiaTheme="minorEastAsia" w:cstheme="minorBidi"/>
          <w:b w:val="0"/>
          <w:bCs w:val="0"/>
          <w:caps w:val="0"/>
          <w:kern w:val="2"/>
          <w:sz w:val="21"/>
          <w:szCs w:val="24"/>
        </w:rPr>
      </w:pPr>
      <w:r>
        <w:fldChar w:fldCharType="begin"/>
      </w:r>
      <w:r>
        <w:instrText xml:space="preserve"> HYPERLINK \l "_Toc115203646" </w:instrText>
      </w:r>
      <w:r>
        <w:fldChar w:fldCharType="separate"/>
      </w:r>
      <w:r>
        <w:rPr>
          <w:rStyle w:val="23"/>
        </w:rPr>
        <w:t>第四部分附件</w:t>
      </w:r>
      <w:r>
        <w:tab/>
      </w:r>
      <w:r>
        <w:fldChar w:fldCharType="begin"/>
      </w:r>
      <w:r>
        <w:instrText xml:space="preserve"> PAGEREF _Toc115203646 \h </w:instrText>
      </w:r>
      <w:r>
        <w:fldChar w:fldCharType="separate"/>
      </w:r>
      <w:r>
        <w:t>20</w:t>
      </w:r>
      <w:r>
        <w:fldChar w:fldCharType="end"/>
      </w:r>
      <w:r>
        <w:fldChar w:fldCharType="end"/>
      </w:r>
    </w:p>
    <w:p>
      <w:pPr>
        <w:pStyle w:val="14"/>
        <w:tabs>
          <w:tab w:val="right" w:leader="dot" w:pos="8834"/>
        </w:tabs>
        <w:rPr>
          <w:rFonts w:eastAsiaTheme="minorEastAsia" w:cstheme="minorBidi"/>
          <w:b w:val="0"/>
          <w:bCs w:val="0"/>
          <w:caps w:val="0"/>
          <w:kern w:val="2"/>
          <w:sz w:val="21"/>
          <w:szCs w:val="24"/>
        </w:rPr>
      </w:pPr>
      <w:r>
        <w:fldChar w:fldCharType="begin"/>
      </w:r>
      <w:r>
        <w:instrText xml:space="preserve"> HYPERLINK \l "_Toc115203647" </w:instrText>
      </w:r>
      <w:r>
        <w:fldChar w:fldCharType="separate"/>
      </w:r>
      <w:r>
        <w:rPr>
          <w:rStyle w:val="23"/>
          <w:rFonts w:ascii="黑体" w:hAnsi="黑体"/>
        </w:rPr>
        <w:t>第五部分附表</w:t>
      </w:r>
      <w:r>
        <w:tab/>
      </w:r>
      <w:r>
        <w:fldChar w:fldCharType="begin"/>
      </w:r>
      <w:r>
        <w:instrText xml:space="preserve"> PAGEREF _Toc115203647 \h </w:instrText>
      </w:r>
      <w:r>
        <w:fldChar w:fldCharType="separate"/>
      </w:r>
      <w:r>
        <w:t>37</w:t>
      </w:r>
      <w:r>
        <w:fldChar w:fldCharType="end"/>
      </w:r>
      <w:r>
        <w:fldChar w:fldCharType="end"/>
      </w:r>
    </w:p>
    <w:p>
      <w:pPr>
        <w:pStyle w:val="17"/>
        <w:tabs>
          <w:tab w:val="right" w:leader="dot" w:pos="8834"/>
        </w:tabs>
        <w:rPr>
          <w:rFonts w:eastAsiaTheme="minorEastAsia" w:cstheme="minorBidi"/>
          <w:smallCaps w:val="0"/>
          <w:kern w:val="2"/>
          <w:sz w:val="21"/>
          <w:szCs w:val="24"/>
        </w:rPr>
      </w:pPr>
      <w:r>
        <w:fldChar w:fldCharType="begin"/>
      </w:r>
      <w:r>
        <w:instrText xml:space="preserve"> HYPERLINK \l "_Toc115203648" </w:instrText>
      </w:r>
      <w:r>
        <w:fldChar w:fldCharType="separate"/>
      </w:r>
      <w:r>
        <w:rPr>
          <w:rStyle w:val="23"/>
        </w:rPr>
        <w:t>一、收入支出决算总表</w:t>
      </w:r>
      <w:r>
        <w:tab/>
      </w:r>
      <w:r>
        <w:fldChar w:fldCharType="begin"/>
      </w:r>
      <w:r>
        <w:instrText xml:space="preserve"> PAGEREF _Toc115203648 \h </w:instrText>
      </w:r>
      <w:r>
        <w:fldChar w:fldCharType="separate"/>
      </w:r>
      <w:r>
        <w:t>37</w:t>
      </w:r>
      <w:r>
        <w:fldChar w:fldCharType="end"/>
      </w:r>
      <w:r>
        <w:fldChar w:fldCharType="end"/>
      </w:r>
    </w:p>
    <w:p>
      <w:pPr>
        <w:pStyle w:val="17"/>
        <w:tabs>
          <w:tab w:val="right" w:leader="dot" w:pos="8834"/>
        </w:tabs>
        <w:rPr>
          <w:rFonts w:eastAsiaTheme="minorEastAsia" w:cstheme="minorBidi"/>
          <w:smallCaps w:val="0"/>
          <w:kern w:val="2"/>
          <w:sz w:val="21"/>
          <w:szCs w:val="24"/>
        </w:rPr>
      </w:pPr>
      <w:r>
        <w:fldChar w:fldCharType="begin"/>
      </w:r>
      <w:r>
        <w:instrText xml:space="preserve"> HYPERLINK \l "_Toc115203649" </w:instrText>
      </w:r>
      <w:r>
        <w:fldChar w:fldCharType="separate"/>
      </w:r>
      <w:r>
        <w:rPr>
          <w:rStyle w:val="23"/>
        </w:rPr>
        <w:t>二、收入决算表</w:t>
      </w:r>
      <w:r>
        <w:tab/>
      </w:r>
      <w:r>
        <w:fldChar w:fldCharType="begin"/>
      </w:r>
      <w:r>
        <w:instrText xml:space="preserve"> PAGEREF _Toc115203649 \h </w:instrText>
      </w:r>
      <w:r>
        <w:fldChar w:fldCharType="separate"/>
      </w:r>
      <w:r>
        <w:t>37</w:t>
      </w:r>
      <w:r>
        <w:fldChar w:fldCharType="end"/>
      </w:r>
      <w:r>
        <w:fldChar w:fldCharType="end"/>
      </w:r>
    </w:p>
    <w:p>
      <w:pPr>
        <w:pStyle w:val="17"/>
        <w:tabs>
          <w:tab w:val="right" w:leader="dot" w:pos="8834"/>
        </w:tabs>
        <w:rPr>
          <w:rFonts w:eastAsiaTheme="minorEastAsia" w:cstheme="minorBidi"/>
          <w:smallCaps w:val="0"/>
          <w:kern w:val="2"/>
          <w:sz w:val="21"/>
          <w:szCs w:val="24"/>
        </w:rPr>
      </w:pPr>
      <w:r>
        <w:fldChar w:fldCharType="begin"/>
      </w:r>
      <w:r>
        <w:instrText xml:space="preserve"> HYPERLINK \l "_Toc115203650" </w:instrText>
      </w:r>
      <w:r>
        <w:fldChar w:fldCharType="separate"/>
      </w:r>
      <w:r>
        <w:rPr>
          <w:rStyle w:val="23"/>
        </w:rPr>
        <w:t>三、支出决算表</w:t>
      </w:r>
      <w:r>
        <w:tab/>
      </w:r>
      <w:r>
        <w:fldChar w:fldCharType="begin"/>
      </w:r>
      <w:r>
        <w:instrText xml:space="preserve"> PAGEREF _Toc115203650 \h </w:instrText>
      </w:r>
      <w:r>
        <w:fldChar w:fldCharType="separate"/>
      </w:r>
      <w:r>
        <w:t>37</w:t>
      </w:r>
      <w:r>
        <w:fldChar w:fldCharType="end"/>
      </w:r>
      <w:r>
        <w:fldChar w:fldCharType="end"/>
      </w:r>
    </w:p>
    <w:p>
      <w:pPr>
        <w:pStyle w:val="17"/>
        <w:tabs>
          <w:tab w:val="right" w:leader="dot" w:pos="8834"/>
        </w:tabs>
        <w:rPr>
          <w:rFonts w:eastAsiaTheme="minorEastAsia" w:cstheme="minorBidi"/>
          <w:smallCaps w:val="0"/>
          <w:kern w:val="2"/>
          <w:sz w:val="21"/>
          <w:szCs w:val="24"/>
        </w:rPr>
      </w:pPr>
      <w:r>
        <w:fldChar w:fldCharType="begin"/>
      </w:r>
      <w:r>
        <w:instrText xml:space="preserve"> HYPERLINK \l "_Toc115203651" </w:instrText>
      </w:r>
      <w:r>
        <w:fldChar w:fldCharType="separate"/>
      </w:r>
      <w:r>
        <w:rPr>
          <w:rStyle w:val="23"/>
        </w:rPr>
        <w:t>四、财政拨款收入支出决算总表</w:t>
      </w:r>
      <w:r>
        <w:tab/>
      </w:r>
      <w:r>
        <w:fldChar w:fldCharType="begin"/>
      </w:r>
      <w:r>
        <w:instrText xml:space="preserve"> PAGEREF _Toc115203651 \h </w:instrText>
      </w:r>
      <w:r>
        <w:fldChar w:fldCharType="separate"/>
      </w:r>
      <w:r>
        <w:t>37</w:t>
      </w:r>
      <w:r>
        <w:fldChar w:fldCharType="end"/>
      </w:r>
      <w:r>
        <w:fldChar w:fldCharType="end"/>
      </w:r>
    </w:p>
    <w:p>
      <w:pPr>
        <w:pStyle w:val="17"/>
        <w:tabs>
          <w:tab w:val="right" w:leader="dot" w:pos="8834"/>
        </w:tabs>
        <w:rPr>
          <w:rFonts w:eastAsiaTheme="minorEastAsia" w:cstheme="minorBidi"/>
          <w:smallCaps w:val="0"/>
          <w:kern w:val="2"/>
          <w:sz w:val="21"/>
          <w:szCs w:val="24"/>
        </w:rPr>
      </w:pPr>
      <w:r>
        <w:fldChar w:fldCharType="begin"/>
      </w:r>
      <w:r>
        <w:instrText xml:space="preserve"> HYPERLINK \l "_Toc115203652" </w:instrText>
      </w:r>
      <w:r>
        <w:fldChar w:fldCharType="separate"/>
      </w:r>
      <w:r>
        <w:rPr>
          <w:rStyle w:val="23"/>
        </w:rPr>
        <w:t>五、财政拨款支出决算明细表</w:t>
      </w:r>
      <w:r>
        <w:tab/>
      </w:r>
      <w:r>
        <w:fldChar w:fldCharType="begin"/>
      </w:r>
      <w:r>
        <w:instrText xml:space="preserve"> PAGEREF _Toc115203652 \h </w:instrText>
      </w:r>
      <w:r>
        <w:fldChar w:fldCharType="separate"/>
      </w:r>
      <w:r>
        <w:t>37</w:t>
      </w:r>
      <w:r>
        <w:fldChar w:fldCharType="end"/>
      </w:r>
      <w:r>
        <w:fldChar w:fldCharType="end"/>
      </w:r>
    </w:p>
    <w:p>
      <w:pPr>
        <w:pStyle w:val="17"/>
        <w:tabs>
          <w:tab w:val="right" w:leader="dot" w:pos="8834"/>
        </w:tabs>
        <w:rPr>
          <w:rFonts w:eastAsiaTheme="minorEastAsia" w:cstheme="minorBidi"/>
          <w:smallCaps w:val="0"/>
          <w:kern w:val="2"/>
          <w:sz w:val="21"/>
          <w:szCs w:val="24"/>
        </w:rPr>
      </w:pPr>
      <w:r>
        <w:fldChar w:fldCharType="begin"/>
      </w:r>
      <w:r>
        <w:instrText xml:space="preserve"> HYPERLINK \l "_Toc115203653" </w:instrText>
      </w:r>
      <w:r>
        <w:fldChar w:fldCharType="separate"/>
      </w:r>
      <w:r>
        <w:rPr>
          <w:rStyle w:val="23"/>
        </w:rPr>
        <w:t>六、一般公共预算财政拨款支出决算表</w:t>
      </w:r>
      <w:r>
        <w:tab/>
      </w:r>
      <w:r>
        <w:fldChar w:fldCharType="begin"/>
      </w:r>
      <w:r>
        <w:instrText xml:space="preserve"> PAGEREF _Toc115203653 \h </w:instrText>
      </w:r>
      <w:r>
        <w:fldChar w:fldCharType="separate"/>
      </w:r>
      <w:r>
        <w:t>37</w:t>
      </w:r>
      <w:r>
        <w:fldChar w:fldCharType="end"/>
      </w:r>
      <w:r>
        <w:fldChar w:fldCharType="end"/>
      </w:r>
    </w:p>
    <w:p>
      <w:pPr>
        <w:pStyle w:val="17"/>
        <w:tabs>
          <w:tab w:val="right" w:leader="dot" w:pos="8834"/>
        </w:tabs>
        <w:rPr>
          <w:rFonts w:eastAsiaTheme="minorEastAsia" w:cstheme="minorBidi"/>
          <w:smallCaps w:val="0"/>
          <w:kern w:val="2"/>
          <w:sz w:val="21"/>
          <w:szCs w:val="24"/>
        </w:rPr>
      </w:pPr>
      <w:r>
        <w:fldChar w:fldCharType="begin"/>
      </w:r>
      <w:r>
        <w:instrText xml:space="preserve"> HYPERLINK \l "_Toc115203654" </w:instrText>
      </w:r>
      <w:r>
        <w:fldChar w:fldCharType="separate"/>
      </w:r>
      <w:r>
        <w:rPr>
          <w:rStyle w:val="23"/>
        </w:rPr>
        <w:t>七、一般公共预算财政拨款支出决算明细表</w:t>
      </w:r>
      <w:r>
        <w:tab/>
      </w:r>
      <w:r>
        <w:fldChar w:fldCharType="begin"/>
      </w:r>
      <w:r>
        <w:instrText xml:space="preserve"> PAGEREF _Toc115203654 \h </w:instrText>
      </w:r>
      <w:r>
        <w:fldChar w:fldCharType="separate"/>
      </w:r>
      <w:r>
        <w:t>37</w:t>
      </w:r>
      <w:r>
        <w:fldChar w:fldCharType="end"/>
      </w:r>
      <w:r>
        <w:fldChar w:fldCharType="end"/>
      </w:r>
    </w:p>
    <w:p>
      <w:pPr>
        <w:pStyle w:val="17"/>
        <w:tabs>
          <w:tab w:val="right" w:leader="dot" w:pos="8834"/>
        </w:tabs>
        <w:rPr>
          <w:rFonts w:eastAsiaTheme="minorEastAsia" w:cstheme="minorBidi"/>
          <w:smallCaps w:val="0"/>
          <w:kern w:val="2"/>
          <w:sz w:val="21"/>
          <w:szCs w:val="24"/>
        </w:rPr>
      </w:pPr>
      <w:r>
        <w:fldChar w:fldCharType="begin"/>
      </w:r>
      <w:r>
        <w:instrText xml:space="preserve"> HYPERLINK \l "_Toc115203655" </w:instrText>
      </w:r>
      <w:r>
        <w:fldChar w:fldCharType="separate"/>
      </w:r>
      <w:r>
        <w:rPr>
          <w:rStyle w:val="23"/>
        </w:rPr>
        <w:t>八、一般公共预算财政拨款基本支出决算表</w:t>
      </w:r>
      <w:r>
        <w:tab/>
      </w:r>
      <w:r>
        <w:fldChar w:fldCharType="begin"/>
      </w:r>
      <w:r>
        <w:instrText xml:space="preserve"> PAGEREF _Toc115203655 \h </w:instrText>
      </w:r>
      <w:r>
        <w:fldChar w:fldCharType="separate"/>
      </w:r>
      <w:r>
        <w:t>37</w:t>
      </w:r>
      <w:r>
        <w:fldChar w:fldCharType="end"/>
      </w:r>
      <w:r>
        <w:fldChar w:fldCharType="end"/>
      </w:r>
    </w:p>
    <w:p>
      <w:pPr>
        <w:pStyle w:val="17"/>
        <w:tabs>
          <w:tab w:val="right" w:leader="dot" w:pos="8834"/>
        </w:tabs>
        <w:rPr>
          <w:rFonts w:eastAsiaTheme="minorEastAsia" w:cstheme="minorBidi"/>
          <w:smallCaps w:val="0"/>
          <w:kern w:val="2"/>
          <w:sz w:val="21"/>
          <w:szCs w:val="24"/>
        </w:rPr>
      </w:pPr>
      <w:r>
        <w:fldChar w:fldCharType="begin"/>
      </w:r>
      <w:r>
        <w:instrText xml:space="preserve"> HYPERLINK \l "_Toc115203656" </w:instrText>
      </w:r>
      <w:r>
        <w:fldChar w:fldCharType="separate"/>
      </w:r>
      <w:r>
        <w:rPr>
          <w:rStyle w:val="23"/>
        </w:rPr>
        <w:t>九、一般公共预算财政拨款项目支出决算表</w:t>
      </w:r>
      <w:r>
        <w:tab/>
      </w:r>
      <w:r>
        <w:fldChar w:fldCharType="begin"/>
      </w:r>
      <w:r>
        <w:instrText xml:space="preserve"> PAGEREF _Toc115203656 \h </w:instrText>
      </w:r>
      <w:r>
        <w:fldChar w:fldCharType="separate"/>
      </w:r>
      <w:r>
        <w:t>37</w:t>
      </w:r>
      <w:r>
        <w:fldChar w:fldCharType="end"/>
      </w:r>
      <w:r>
        <w:fldChar w:fldCharType="end"/>
      </w:r>
    </w:p>
    <w:p>
      <w:pPr>
        <w:pStyle w:val="17"/>
        <w:tabs>
          <w:tab w:val="right" w:leader="dot" w:pos="8834"/>
        </w:tabs>
        <w:rPr>
          <w:rFonts w:eastAsiaTheme="minorEastAsia" w:cstheme="minorBidi"/>
          <w:smallCaps w:val="0"/>
          <w:kern w:val="2"/>
          <w:sz w:val="21"/>
          <w:szCs w:val="24"/>
        </w:rPr>
      </w:pPr>
      <w:r>
        <w:fldChar w:fldCharType="begin"/>
      </w:r>
      <w:r>
        <w:instrText xml:space="preserve"> HYPERLINK \l "_Toc115203657" </w:instrText>
      </w:r>
      <w:r>
        <w:fldChar w:fldCharType="separate"/>
      </w:r>
      <w:r>
        <w:rPr>
          <w:rStyle w:val="23"/>
        </w:rPr>
        <w:t>十、一般公共预算财政拨款“三公”经费支出决算表</w:t>
      </w:r>
      <w:r>
        <w:tab/>
      </w:r>
      <w:r>
        <w:fldChar w:fldCharType="begin"/>
      </w:r>
      <w:r>
        <w:instrText xml:space="preserve"> PAGEREF _Toc115203657 \h </w:instrText>
      </w:r>
      <w:r>
        <w:fldChar w:fldCharType="separate"/>
      </w:r>
      <w:r>
        <w:t>37</w:t>
      </w:r>
      <w:r>
        <w:fldChar w:fldCharType="end"/>
      </w:r>
      <w:r>
        <w:fldChar w:fldCharType="end"/>
      </w:r>
    </w:p>
    <w:p>
      <w:pPr>
        <w:pStyle w:val="17"/>
        <w:tabs>
          <w:tab w:val="right" w:leader="dot" w:pos="8834"/>
        </w:tabs>
        <w:rPr>
          <w:rFonts w:eastAsiaTheme="minorEastAsia" w:cstheme="minorBidi"/>
          <w:smallCaps w:val="0"/>
          <w:kern w:val="2"/>
          <w:sz w:val="21"/>
          <w:szCs w:val="24"/>
        </w:rPr>
      </w:pPr>
      <w:r>
        <w:fldChar w:fldCharType="begin"/>
      </w:r>
      <w:r>
        <w:instrText xml:space="preserve"> HYPERLINK \l "_Toc115203658" </w:instrText>
      </w:r>
      <w:r>
        <w:fldChar w:fldCharType="separate"/>
      </w:r>
      <w:r>
        <w:rPr>
          <w:rStyle w:val="23"/>
        </w:rPr>
        <w:t>十一、政府性基金预算财政拨款收入支出决算表</w:t>
      </w:r>
      <w:r>
        <w:tab/>
      </w:r>
      <w:r>
        <w:fldChar w:fldCharType="begin"/>
      </w:r>
      <w:r>
        <w:instrText xml:space="preserve"> PAGEREF _Toc115203658 \h </w:instrText>
      </w:r>
      <w:r>
        <w:fldChar w:fldCharType="separate"/>
      </w:r>
      <w:r>
        <w:t>37</w:t>
      </w:r>
      <w:r>
        <w:fldChar w:fldCharType="end"/>
      </w:r>
      <w:r>
        <w:fldChar w:fldCharType="end"/>
      </w:r>
    </w:p>
    <w:p>
      <w:pPr>
        <w:pStyle w:val="17"/>
        <w:tabs>
          <w:tab w:val="right" w:leader="dot" w:pos="8834"/>
        </w:tabs>
        <w:rPr>
          <w:rFonts w:eastAsiaTheme="minorEastAsia" w:cstheme="minorBidi"/>
          <w:smallCaps w:val="0"/>
          <w:kern w:val="2"/>
          <w:sz w:val="21"/>
          <w:szCs w:val="24"/>
        </w:rPr>
      </w:pPr>
      <w:r>
        <w:fldChar w:fldCharType="begin"/>
      </w:r>
      <w:r>
        <w:instrText xml:space="preserve"> HYPERLINK \l "_Toc115203659" </w:instrText>
      </w:r>
      <w:r>
        <w:fldChar w:fldCharType="separate"/>
      </w:r>
      <w:r>
        <w:rPr>
          <w:rStyle w:val="23"/>
        </w:rPr>
        <w:t>十二、政府性基金预算财政拨款“三公”经费支出决算表</w:t>
      </w:r>
      <w:r>
        <w:tab/>
      </w:r>
      <w:r>
        <w:fldChar w:fldCharType="begin"/>
      </w:r>
      <w:r>
        <w:instrText xml:space="preserve"> PAGEREF _Toc115203659 \h </w:instrText>
      </w:r>
      <w:r>
        <w:fldChar w:fldCharType="separate"/>
      </w:r>
      <w:r>
        <w:t>37</w:t>
      </w:r>
      <w:r>
        <w:fldChar w:fldCharType="end"/>
      </w:r>
      <w:r>
        <w:fldChar w:fldCharType="end"/>
      </w:r>
    </w:p>
    <w:p>
      <w:pPr>
        <w:pStyle w:val="17"/>
        <w:tabs>
          <w:tab w:val="right" w:leader="dot" w:pos="8834"/>
        </w:tabs>
        <w:rPr>
          <w:rFonts w:eastAsiaTheme="minorEastAsia" w:cstheme="minorBidi"/>
          <w:smallCaps w:val="0"/>
          <w:kern w:val="2"/>
          <w:sz w:val="21"/>
          <w:szCs w:val="24"/>
        </w:rPr>
      </w:pPr>
      <w:r>
        <w:fldChar w:fldCharType="begin"/>
      </w:r>
      <w:r>
        <w:instrText xml:space="preserve"> HYPERLINK \l "_Toc115203660" </w:instrText>
      </w:r>
      <w:r>
        <w:fldChar w:fldCharType="separate"/>
      </w:r>
      <w:r>
        <w:rPr>
          <w:rStyle w:val="23"/>
        </w:rPr>
        <w:t>十三、国有资本经营预算财政拨款收入支出决算表</w:t>
      </w:r>
      <w:r>
        <w:tab/>
      </w:r>
      <w:r>
        <w:fldChar w:fldCharType="begin"/>
      </w:r>
      <w:r>
        <w:instrText xml:space="preserve"> PAGEREF _Toc115203660 \h </w:instrText>
      </w:r>
      <w:r>
        <w:fldChar w:fldCharType="separate"/>
      </w:r>
      <w:r>
        <w:t>37</w:t>
      </w:r>
      <w:r>
        <w:fldChar w:fldCharType="end"/>
      </w:r>
      <w:r>
        <w:fldChar w:fldCharType="end"/>
      </w:r>
    </w:p>
    <w:p>
      <w:pPr>
        <w:pStyle w:val="17"/>
        <w:tabs>
          <w:tab w:val="right" w:leader="dot" w:pos="8834"/>
        </w:tabs>
        <w:rPr>
          <w:rFonts w:eastAsiaTheme="minorEastAsia" w:cstheme="minorBidi"/>
          <w:smallCaps w:val="0"/>
          <w:kern w:val="2"/>
          <w:sz w:val="21"/>
          <w:szCs w:val="24"/>
        </w:rPr>
      </w:pPr>
      <w:r>
        <w:fldChar w:fldCharType="begin"/>
      </w:r>
      <w:r>
        <w:instrText xml:space="preserve"> HYPERLINK \l "_Toc115203661" </w:instrText>
      </w:r>
      <w:r>
        <w:fldChar w:fldCharType="separate"/>
      </w:r>
      <w:r>
        <w:rPr>
          <w:rStyle w:val="23"/>
        </w:rPr>
        <w:t>十四、国有资本经营预算财政拨款支出决算表</w:t>
      </w:r>
      <w:r>
        <w:tab/>
      </w:r>
      <w:r>
        <w:fldChar w:fldCharType="begin"/>
      </w:r>
      <w:r>
        <w:instrText xml:space="preserve"> PAGEREF _Toc115203661 \h </w:instrText>
      </w:r>
      <w:r>
        <w:fldChar w:fldCharType="separate"/>
      </w:r>
      <w:r>
        <w:t>37</w:t>
      </w:r>
      <w:r>
        <w:fldChar w:fldCharType="end"/>
      </w:r>
      <w:r>
        <w:fldChar w:fldCharType="end"/>
      </w:r>
    </w:p>
    <w:p>
      <w:pPr>
        <w:spacing w:line="400" w:lineRule="exact"/>
      </w:pPr>
      <w:r>
        <w:rPr>
          <w:rFonts w:ascii="仿宋" w:hAnsi="仿宋" w:eastAsia="仿宋" w:cstheme="minorHAnsi"/>
          <w:b/>
          <w:bCs/>
          <w:caps/>
          <w:sz w:val="28"/>
          <w:szCs w:val="28"/>
        </w:rPr>
        <w:fldChar w:fldCharType="end"/>
      </w:r>
      <w:bookmarkStart w:id="12" w:name="_Toc15396599"/>
      <w:bookmarkStart w:id="13" w:name="_Toc15377196"/>
    </w:p>
    <w:p>
      <w:pPr>
        <w:pStyle w:val="2"/>
        <w:rPr>
          <w:rFonts w:ascii="黑体" w:hAnsi="黑体"/>
          <w:bCs w:val="0"/>
        </w:rPr>
      </w:pPr>
      <w:bookmarkStart w:id="14" w:name="_Toc115203630"/>
      <w:r>
        <w:rPr>
          <w:rFonts w:hint="eastAsia" w:ascii="黑体" w:hAnsi="黑体"/>
          <w:b w:val="0"/>
        </w:rPr>
        <w:t>第一部分 单位</w:t>
      </w:r>
      <w:r>
        <w:rPr>
          <w:rStyle w:val="32"/>
          <w:rFonts w:hint="eastAsia" w:ascii="黑体" w:hAnsi="黑体"/>
          <w:b w:val="0"/>
          <w:bCs w:val="0"/>
        </w:rPr>
        <w:t>概况</w:t>
      </w:r>
      <w:bookmarkEnd w:id="12"/>
      <w:bookmarkEnd w:id="13"/>
      <w:bookmarkEnd w:id="14"/>
    </w:p>
    <w:p>
      <w:pPr>
        <w:pStyle w:val="3"/>
        <w:ind w:left="640" w:firstLine="0" w:firstLineChars="0"/>
        <w:rPr>
          <w:rStyle w:val="33"/>
          <w:rFonts w:ascii="黑体" w:hAnsi="黑体"/>
          <w:bCs w:val="0"/>
        </w:rPr>
      </w:pPr>
      <w:bookmarkStart w:id="15" w:name="_Toc15377197"/>
      <w:bookmarkStart w:id="16" w:name="_Toc15396600"/>
      <w:bookmarkStart w:id="17" w:name="_Toc115203631"/>
      <w:r>
        <w:rPr>
          <w:rStyle w:val="33"/>
          <w:rFonts w:hint="eastAsia" w:ascii="黑体" w:hAnsi="黑体"/>
          <w:bCs w:val="0"/>
        </w:rPr>
        <w:t>一、</w:t>
      </w:r>
      <w:bookmarkEnd w:id="15"/>
      <w:bookmarkEnd w:id="16"/>
      <w:bookmarkStart w:id="18" w:name="_Toc15377198"/>
      <w:bookmarkStart w:id="19" w:name="_Toc15378445"/>
      <w:bookmarkStart w:id="20" w:name="_Toc15377204"/>
      <w:bookmarkStart w:id="21" w:name="_Toc15396602"/>
      <w:r>
        <w:rPr>
          <w:rFonts w:hint="eastAsia" w:ascii="黑体" w:hAnsi="黑体"/>
        </w:rPr>
        <w:t>基</w:t>
      </w:r>
      <w:r>
        <w:rPr>
          <w:rStyle w:val="33"/>
          <w:rFonts w:hint="eastAsia" w:ascii="黑体" w:hAnsi="黑体"/>
          <w:bCs w:val="0"/>
        </w:rPr>
        <w:t>本职能及主要工作</w:t>
      </w:r>
      <w:bookmarkEnd w:id="17"/>
    </w:p>
    <w:p>
      <w:pPr>
        <w:spacing w:line="600" w:lineRule="exact"/>
        <w:ind w:firstLine="640"/>
        <w:rPr>
          <w:rFonts w:ascii="仿宋" w:hAnsi="仿宋" w:eastAsia="仿宋"/>
          <w:sz w:val="32"/>
          <w:szCs w:val="32"/>
        </w:rPr>
      </w:pPr>
      <w:r>
        <w:rPr>
          <w:rFonts w:hint="eastAsia" w:ascii="仿宋" w:hAnsi="仿宋" w:eastAsia="仿宋"/>
          <w:sz w:val="32"/>
          <w:szCs w:val="32"/>
        </w:rPr>
        <w:t>（一）主要职能。</w:t>
      </w:r>
      <w:bookmarkEnd w:id="18"/>
      <w:bookmarkEnd w:id="19"/>
      <w:bookmarkStart w:id="22" w:name="_Toc15377199"/>
      <w:bookmarkStart w:id="23" w:name="_Toc15378446"/>
    </w:p>
    <w:p>
      <w:pPr>
        <w:spacing w:line="600" w:lineRule="exact"/>
        <w:ind w:firstLine="640"/>
        <w:rPr>
          <w:rFonts w:ascii="仿宋" w:hAnsi="仿宋" w:eastAsia="仿宋"/>
          <w:sz w:val="32"/>
          <w:szCs w:val="32"/>
        </w:rPr>
      </w:pPr>
      <w:r>
        <w:rPr>
          <w:rFonts w:hint="eastAsia" w:ascii="仿宋" w:hAnsi="仿宋" w:eastAsia="仿宋"/>
          <w:sz w:val="32"/>
          <w:szCs w:val="32"/>
        </w:rPr>
        <w:t>贯彻落实国家和省、市有关防震减灾工作的方针、政策、法律、法规、规章和行业标准。</w:t>
      </w:r>
    </w:p>
    <w:p>
      <w:pPr>
        <w:spacing w:line="600" w:lineRule="exact"/>
        <w:ind w:firstLine="64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拟订全区地震监测中长期发展规划和年度计划，并组织实施。</w:t>
      </w:r>
    </w:p>
    <w:p>
      <w:pPr>
        <w:spacing w:line="600" w:lineRule="exact"/>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做好地震监测预警预报工作；负责提出辖区内及邻近地区地震趋势意见；负责地震群测群防工作；负责地震短临跟踪及震情趋势研判；负责震情速报工作；配合上级地震主管部门进行地 震烈度调查。</w:t>
      </w:r>
    </w:p>
    <w:p>
      <w:pPr>
        <w:spacing w:line="600" w:lineRule="exact"/>
        <w:ind w:firstLine="64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推进地震监测科技现代化；组织地震监测科学技术研究与攻关、科技成果的推广应用；开展学术交流,负责本辖区内地震台的监测业务工作。</w:t>
      </w:r>
    </w:p>
    <w:p>
      <w:pPr>
        <w:spacing w:line="600" w:lineRule="exact"/>
        <w:ind w:firstLine="64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会同有关部门开展防震减灾宣传教育工作，普及防震减灾 知识，提高全社会的防震减灾意识。</w:t>
      </w:r>
    </w:p>
    <w:p>
      <w:pPr>
        <w:spacing w:line="600" w:lineRule="exact"/>
        <w:ind w:firstLine="640"/>
        <w:rPr>
          <w:rFonts w:ascii="仿宋" w:hAnsi="仿宋" w:eastAsia="仿宋"/>
          <w:sz w:val="32"/>
          <w:szCs w:val="32"/>
        </w:rPr>
      </w:pPr>
      <w:r>
        <w:rPr>
          <w:rFonts w:hint="eastAsia" w:ascii="仿宋" w:hAnsi="仿宋" w:eastAsia="仿宋"/>
          <w:sz w:val="32"/>
          <w:szCs w:val="32"/>
        </w:rPr>
        <w:t>5.完成区委、区政府交办的其他任务。</w:t>
      </w:r>
    </w:p>
    <w:p>
      <w:pPr>
        <w:pStyle w:val="7"/>
        <w:adjustRightInd w:val="0"/>
        <w:snapToGrid w:val="0"/>
        <w:spacing w:before="97" w:line="600" w:lineRule="exact"/>
        <w:ind w:firstLine="672" w:firstLineChars="210"/>
        <w:outlineLvl w:val="2"/>
        <w:rPr>
          <w:rFonts w:ascii="仿宋" w:hAnsi="仿宋" w:eastAsia="仿宋"/>
          <w:bCs/>
          <w:sz w:val="32"/>
          <w:szCs w:val="32"/>
        </w:rPr>
      </w:pPr>
      <w:r>
        <w:rPr>
          <w:rFonts w:hint="eastAsia" w:ascii="仿宋" w:hAnsi="仿宋" w:eastAsia="仿宋"/>
          <w:bCs/>
          <w:sz w:val="32"/>
          <w:szCs w:val="32"/>
        </w:rPr>
        <w:t>（二）</w:t>
      </w:r>
      <w:r>
        <w:rPr>
          <w:rFonts w:ascii="仿宋" w:hAnsi="仿宋" w:eastAsia="仿宋"/>
          <w:bCs/>
          <w:sz w:val="32"/>
          <w:szCs w:val="32"/>
        </w:rPr>
        <w:t>20</w:t>
      </w:r>
      <w:r>
        <w:rPr>
          <w:rFonts w:hint="eastAsia" w:ascii="仿宋" w:hAnsi="仿宋" w:eastAsia="仿宋"/>
          <w:bCs/>
          <w:sz w:val="32"/>
          <w:szCs w:val="32"/>
        </w:rPr>
        <w:t>21年重点工作完成情况。</w:t>
      </w:r>
      <w:bookmarkEnd w:id="22"/>
      <w:bookmarkEnd w:id="23"/>
    </w:p>
    <w:p>
      <w:pPr>
        <w:ind w:firstLine="640" w:firstLineChars="200"/>
        <w:rPr>
          <w:rFonts w:ascii="仿宋" w:hAnsi="仿宋" w:eastAsia="仿宋" w:cs="仿宋"/>
          <w:sz w:val="32"/>
          <w:szCs w:val="32"/>
        </w:rPr>
      </w:pPr>
      <w:r>
        <w:rPr>
          <w:rFonts w:hint="eastAsia" w:ascii="仿宋" w:hAnsi="仿宋" w:eastAsia="仿宋" w:cs="仿宋"/>
          <w:sz w:val="32"/>
          <w:szCs w:val="32"/>
        </w:rPr>
        <w:t>2021年，朝天区以党的十九大精神为指针，认真贯彻落实习近平总书记防灾减灾救灾重要指示精神和国家、省、市决策部署，坚持以防为主、防抗救相结合，坚持常态减灾和非常态救灾相统一，突出灾前预防，重视风险防范，进一步提升了全区抵御地震灾害的综合防范能力，为朝天经济建设和社会发展提供了地震安全保障。现就我区2021年防震减灾工作开展情况汇报如下：</w:t>
      </w:r>
    </w:p>
    <w:p>
      <w:pPr>
        <w:ind w:firstLine="643" w:firstLineChars="200"/>
        <w:rPr>
          <w:rFonts w:ascii="仿宋" w:hAnsi="仿宋" w:eastAsia="仿宋" w:cs="仿宋"/>
          <w:sz w:val="32"/>
          <w:szCs w:val="32"/>
        </w:rPr>
      </w:pPr>
      <w:r>
        <w:rPr>
          <w:rFonts w:hint="eastAsia" w:ascii="仿宋" w:hAnsi="仿宋" w:eastAsia="仿宋" w:cs="仿宋"/>
          <w:b/>
          <w:bCs/>
          <w:sz w:val="32"/>
          <w:szCs w:val="32"/>
        </w:rPr>
        <w:t>一、</w:t>
      </w:r>
      <w:bookmarkStart w:id="24" w:name="OLE_LINK28"/>
      <w:bookmarkStart w:id="25" w:name="OLE_LINK29"/>
      <w:r>
        <w:rPr>
          <w:rFonts w:hint="eastAsia" w:ascii="仿宋" w:hAnsi="仿宋" w:eastAsia="仿宋" w:cs="仿宋"/>
          <w:b/>
          <w:bCs/>
          <w:sz w:val="32"/>
          <w:szCs w:val="32"/>
        </w:rPr>
        <w:t>领导重视，把防震减灾工作列入重要议事日程</w:t>
      </w:r>
    </w:p>
    <w:p>
      <w:pPr>
        <w:ind w:firstLine="640" w:firstLineChars="200"/>
        <w:rPr>
          <w:rFonts w:ascii="仿宋" w:hAnsi="仿宋" w:eastAsia="仿宋" w:cs="仿宋"/>
          <w:sz w:val="32"/>
          <w:szCs w:val="32"/>
        </w:rPr>
      </w:pPr>
      <w:r>
        <w:rPr>
          <w:rFonts w:hint="eastAsia" w:ascii="仿宋" w:hAnsi="仿宋" w:eastAsia="仿宋" w:cs="仿宋"/>
          <w:sz w:val="32"/>
          <w:szCs w:val="32"/>
        </w:rPr>
        <w:t>区委、区政府高度重视防震减灾工作，把防震减灾工作列入重要工作日程。</w:t>
      </w:r>
      <w:r>
        <w:rPr>
          <w:rFonts w:hint="eastAsia" w:ascii="仿宋" w:hAnsi="仿宋" w:eastAsia="仿宋" w:cs="仿宋"/>
          <w:b/>
          <w:bCs/>
          <w:sz w:val="32"/>
          <w:szCs w:val="32"/>
        </w:rPr>
        <w:t>一是</w:t>
      </w:r>
      <w:r>
        <w:rPr>
          <w:rFonts w:hint="eastAsia" w:ascii="仿宋" w:hAnsi="仿宋" w:eastAsia="仿宋" w:cs="仿宋"/>
          <w:sz w:val="32"/>
          <w:szCs w:val="32"/>
        </w:rPr>
        <w:t>年初，区政府召开抗震救灾指挥部成员单位会议，回顾总结2020年全区防震减灾工作，通报2021震情趋势，安排部署全年重点工作；</w:t>
      </w:r>
      <w:r>
        <w:rPr>
          <w:rFonts w:hint="eastAsia" w:ascii="仿宋" w:hAnsi="仿宋" w:eastAsia="仿宋" w:cs="仿宋"/>
          <w:b/>
          <w:bCs/>
          <w:sz w:val="32"/>
          <w:szCs w:val="32"/>
        </w:rPr>
        <w:t>二是</w:t>
      </w:r>
      <w:r>
        <w:rPr>
          <w:rFonts w:hint="eastAsia" w:ascii="仿宋" w:hAnsi="仿宋" w:eastAsia="仿宋" w:cs="仿宋"/>
          <w:sz w:val="32"/>
          <w:szCs w:val="32"/>
        </w:rPr>
        <w:t>为认真贯彻落实国家、省、市、区防震减灾工作会议精神，区抗震救灾指挥部印发了《关于做好2021年度全区防震减灾工作通知》，将全年防震减灾工作任务，细化、分解落实到各成员单位和乡镇，并签订目标责任书，纳入年度目标考核；</w:t>
      </w:r>
      <w:r>
        <w:rPr>
          <w:rFonts w:hint="eastAsia" w:ascii="仿宋" w:hAnsi="仿宋" w:eastAsia="仿宋" w:cs="仿宋"/>
          <w:b/>
          <w:bCs/>
          <w:sz w:val="32"/>
          <w:szCs w:val="32"/>
        </w:rPr>
        <w:t>三是</w:t>
      </w:r>
      <w:r>
        <w:rPr>
          <w:rFonts w:hint="eastAsia" w:ascii="仿宋" w:hAnsi="仿宋" w:eastAsia="仿宋" w:cs="仿宋"/>
          <w:sz w:val="32"/>
          <w:szCs w:val="32"/>
        </w:rPr>
        <w:t>政府换届后，因人事变动，及时调整充实区抗震救灾指挥部的组成人员，切实加强防震减灾工作的领导；</w:t>
      </w:r>
      <w:r>
        <w:rPr>
          <w:rFonts w:hint="eastAsia" w:ascii="仿宋" w:hAnsi="仿宋" w:eastAsia="仿宋" w:cs="仿宋"/>
          <w:b/>
          <w:bCs/>
          <w:sz w:val="32"/>
          <w:szCs w:val="32"/>
        </w:rPr>
        <w:t>四</w:t>
      </w:r>
      <w:r>
        <w:rPr>
          <w:rFonts w:hint="eastAsia" w:ascii="仿宋" w:hAnsi="仿宋" w:eastAsia="仿宋" w:cs="仿宋"/>
          <w:sz w:val="32"/>
          <w:szCs w:val="32"/>
        </w:rPr>
        <w:t>区财政将防震减灾经费纳入财政预算，基本满足年度防震减灾工作经费需求。</w:t>
      </w:r>
      <w:bookmarkEnd w:id="24"/>
      <w:bookmarkEnd w:id="25"/>
    </w:p>
    <w:p>
      <w:pPr>
        <w:ind w:firstLine="643" w:firstLineChars="200"/>
        <w:rPr>
          <w:rFonts w:ascii="仿宋" w:hAnsi="仿宋" w:eastAsia="仿宋" w:cs="仿宋"/>
          <w:sz w:val="32"/>
          <w:szCs w:val="32"/>
        </w:rPr>
      </w:pPr>
      <w:r>
        <w:rPr>
          <w:rFonts w:hint="eastAsia" w:ascii="仿宋" w:hAnsi="仿宋" w:eastAsia="仿宋" w:cs="仿宋"/>
          <w:b/>
          <w:bCs/>
          <w:sz w:val="32"/>
          <w:szCs w:val="32"/>
        </w:rPr>
        <w:t>二、夯实地震监测基础，着力提升地震监视跟踪能力</w:t>
      </w:r>
    </w:p>
    <w:p>
      <w:pPr>
        <w:ind w:firstLine="640" w:firstLineChars="200"/>
        <w:rPr>
          <w:rFonts w:ascii="仿宋" w:hAnsi="仿宋" w:eastAsia="仿宋" w:cs="仿宋"/>
          <w:sz w:val="32"/>
          <w:szCs w:val="32"/>
        </w:rPr>
      </w:pPr>
      <w:r>
        <w:rPr>
          <w:rFonts w:hint="eastAsia" w:ascii="仿宋" w:hAnsi="仿宋" w:eastAsia="仿宋" w:cs="仿宋"/>
          <w:sz w:val="32"/>
          <w:szCs w:val="32"/>
        </w:rPr>
        <w:t>（一）监测台网进一步优化。今年，共投入80余万元，协助市防震减灾中完成了曾家地震监测站的标准化改造、新建AETA多分量地震监测试验站3个、搬迁AETA多分量地震监测试验站1个的建设工作。随着辖区地震监测台网建设的不断推进，全区地震监测台网密度进一步加大、布局更加合理，观测环境得到改善，地震监测质量明显提高。</w:t>
      </w:r>
    </w:p>
    <w:p>
      <w:pPr>
        <w:ind w:firstLine="640" w:firstLineChars="200"/>
        <w:rPr>
          <w:rFonts w:ascii="仿宋" w:hAnsi="仿宋" w:eastAsia="仿宋" w:cs="仿宋"/>
          <w:sz w:val="32"/>
          <w:szCs w:val="32"/>
        </w:rPr>
      </w:pPr>
      <w:r>
        <w:rPr>
          <w:rFonts w:hint="eastAsia" w:ascii="仿宋" w:hAnsi="仿宋" w:eastAsia="仿宋" w:cs="仿宋"/>
          <w:sz w:val="32"/>
          <w:szCs w:val="32"/>
        </w:rPr>
        <w:t>（二）抓实台网运维管理。按照地震台网运维管理的相关要求，每月均对地震监测台网的观测环境和监测设备进行一次巡检和维护。今年，一是投入3万元对东溪河地震台供电系统和防雷设施进行了改造；二是投入2万余元对曾家山地震台地倾斜监测手段的井下探头进行了一次全面检修。全年区域地震监测台网运行率达在96%以上，数据连续率为98%，数据可用率达100%；三是协助省地震局做好辖区国家地震烈度速报与预警台网的运维管理，确保正常运行。</w:t>
      </w:r>
    </w:p>
    <w:p>
      <w:pPr>
        <w:ind w:firstLine="640" w:firstLineChars="200"/>
        <w:rPr>
          <w:rFonts w:ascii="仿宋" w:hAnsi="仿宋" w:eastAsia="仿宋" w:cs="仿宋"/>
          <w:sz w:val="32"/>
          <w:szCs w:val="32"/>
        </w:rPr>
      </w:pPr>
      <w:r>
        <w:rPr>
          <w:rFonts w:hint="eastAsia" w:ascii="仿宋" w:hAnsi="仿宋" w:eastAsia="仿宋" w:cs="仿宋"/>
          <w:sz w:val="32"/>
          <w:szCs w:val="32"/>
        </w:rPr>
        <w:t>（三）抓实震情监视和短临跟踪。一是严格按照省市震情跟踪的相关要求，编制了《朝天区2021年度震情监视跟踪方案》和《朝天区地震紧急应对方案》，进一步细化落实乡镇、区级相关单位责任分工；二是坚持24小时值班制度、领导带班制度，值班人员每日定时转换、处理监测数据并上报，中心每月定期开展1次震情会商，研判震情趋势，对出现的疑似异常现象及时登记，并上报市地震监测科；三是抓实疑似异常现象核实工作。对出现的异常现象，首先分析可能影响出现异常的因素，其次派专业人员深入监测台站检查设备运行状况和开展观测环境核实等工作，并在规定时限上报异常核实和分析研判情况。2021年，我区共处理疑似异常现象分析研判4次，参加全市重要时段震情趋势会商1次，做到了异常现象早发现、早分析。</w:t>
      </w:r>
    </w:p>
    <w:p>
      <w:pPr>
        <w:ind w:firstLine="640" w:firstLineChars="200"/>
        <w:rPr>
          <w:rFonts w:ascii="仿宋" w:hAnsi="仿宋" w:eastAsia="仿宋" w:cs="仿宋"/>
          <w:sz w:val="32"/>
          <w:szCs w:val="32"/>
        </w:rPr>
      </w:pPr>
      <w:r>
        <w:rPr>
          <w:rFonts w:hint="eastAsia" w:ascii="仿宋" w:hAnsi="仿宋" w:eastAsia="仿宋" w:cs="仿宋"/>
          <w:sz w:val="32"/>
          <w:szCs w:val="32"/>
        </w:rPr>
        <w:t>（四）抓实地震观测环境保护。坚持常态化管理，定时开展观测环境检查，及时排查、治理影响观测环境的安全隐患。今年，我区投入3万元，对东溪河地震台周边的排洪沟进行了整治，新建排洪沟75米，确保了该台观测环境和监测设施、设备在汛期的安全。</w:t>
      </w:r>
    </w:p>
    <w:p>
      <w:pPr>
        <w:ind w:firstLine="640" w:firstLineChars="200"/>
        <w:rPr>
          <w:rFonts w:ascii="仿宋_GB2312" w:hAnsi="仿宋_GB2312" w:eastAsia="仿宋_GB2312" w:cs="仿宋_GB2312"/>
          <w:sz w:val="32"/>
          <w:szCs w:val="32"/>
        </w:rPr>
      </w:pPr>
      <w:r>
        <w:rPr>
          <w:rFonts w:hint="eastAsia" w:ascii="仿宋" w:hAnsi="仿宋" w:eastAsia="仿宋" w:cs="仿宋"/>
          <w:sz w:val="32"/>
          <w:szCs w:val="32"/>
        </w:rPr>
        <w:t>（五）抓实地震群测群防工作。按照“横向到边、纵向到底”的要求，积极探索并推进群测群防队伍建设和日常管理。为进一步优化辖区地震宏观观测点的布局，实现数字化、视频化的宏观监测目标，我区争取到了四川省地震局基于5G传输的标准化地震宏观观测综合线路建设项目。目前，该项目已完成了政府采购的相关程序，预计在今年年底全面完成设备的安装、调试并投入使用，为震情跟踪监视工作提供了坚实基础。</w:t>
      </w:r>
    </w:p>
    <w:p>
      <w:pPr>
        <w:ind w:firstLine="640"/>
        <w:rPr>
          <w:rFonts w:ascii="仿宋" w:hAnsi="仿宋" w:eastAsia="仿宋" w:cs="仿宋"/>
          <w:sz w:val="32"/>
          <w:szCs w:val="32"/>
        </w:rPr>
      </w:pPr>
      <w:r>
        <w:rPr>
          <w:rFonts w:hint="eastAsia" w:ascii="仿宋" w:hAnsi="仿宋" w:eastAsia="仿宋" w:cs="仿宋"/>
          <w:b/>
          <w:bCs/>
          <w:sz w:val="32"/>
          <w:szCs w:val="32"/>
        </w:rPr>
        <w:t>三、</w:t>
      </w:r>
      <w:r>
        <w:rPr>
          <w:rFonts w:ascii="仿宋" w:hAnsi="仿宋" w:eastAsia="仿宋" w:cs="仿宋"/>
          <w:b/>
          <w:sz w:val="32"/>
          <w:szCs w:val="32"/>
        </w:rPr>
        <w:t>强化宣传，不断增强公众防震减灾意识。</w:t>
      </w:r>
    </w:p>
    <w:p>
      <w:pPr>
        <w:ind w:firstLine="640"/>
        <w:rPr>
          <w:rFonts w:ascii="仿宋" w:hAnsi="仿宋" w:eastAsia="仿宋" w:cs="仿宋"/>
          <w:sz w:val="32"/>
          <w:szCs w:val="32"/>
        </w:rPr>
      </w:pPr>
      <w:r>
        <w:rPr>
          <w:rFonts w:ascii="仿宋" w:hAnsi="仿宋" w:eastAsia="仿宋" w:cs="仿宋"/>
          <w:sz w:val="32"/>
          <w:szCs w:val="32"/>
        </w:rPr>
        <w:t>（一）坚持“五纳入”抓实宣传教育。一是纳入科技下乡开展宣传活动。充分利用赶场天，深入到各乡镇场镇，通过搭设咨询台、摆放宣传展板、发放宣传资料等方式向广大公众宣传防震减灾法律法规、地震科普知识，提升公众的防震减灾意识；二是纳入学校教学内容。区内各中小学校，均将防震减灾知识列入课堂教学，每学期不少于5课时的要求，真正达到“教育一个孩子，带动一个家庭，影响整个社会”的教育效果；三是纳入知识竞赛内容。今年我区在5月、9月期间，分别在学校、机关单位开展了2次防震减灾科普知识竞赛活动，参赛人数余4000人次，获奖人数120人。逐步提高了师生和机关干部的防震减灾意识；四是纳入示范创建纳入。在示范创建学校，严格按照示学校范创建要求，在校园内开展唱地震儿歌、绘制手抄报、办黑板报、应急演练等系列活动，示范创建各项工作有序推进，取得了良好的效果。今年，曾家小学成功创建为省级防震减灾科普师范学校。同时，对区内已创建的国家、省级科普示范学校进行一次巡检，确保到达示范引领作用；五是纳入乡镇、村干部安全生产培训纳入。抓住乡镇、村干部的安全生产工作培训的契机，将防震减灾法律法规、地震科普知识纳入培训内容，指派专人深入乡镇开展授课，累计授课12堂，参培人数600余人，全面提升了乡村干部的防震减灾意识。</w:t>
      </w:r>
    </w:p>
    <w:p>
      <w:pPr>
        <w:ind w:firstLine="640"/>
        <w:rPr>
          <w:rFonts w:ascii="仿宋" w:hAnsi="仿宋" w:eastAsia="仿宋" w:cs="仿宋"/>
          <w:sz w:val="32"/>
          <w:szCs w:val="32"/>
        </w:rPr>
      </w:pPr>
      <w:r>
        <w:rPr>
          <w:rFonts w:ascii="仿宋" w:hAnsi="仿宋" w:eastAsia="仿宋" w:cs="仿宋"/>
          <w:sz w:val="32"/>
          <w:szCs w:val="32"/>
        </w:rPr>
        <w:t>（二）借助“两馆一心”抓实宣传教育。免费开放地震陈列馆、地震体验馆、安全体验中心，不断引导市民、机关干部、师生进馆参观体验，通过观看视频、展板和身临其境的体验，进一步增强公众的减灾意识和自救能力。全年共接待进馆参观、体验人数余3000人次。</w:t>
      </w:r>
    </w:p>
    <w:p>
      <w:pPr>
        <w:ind w:firstLine="640"/>
        <w:rPr>
          <w:rFonts w:ascii="仿宋" w:hAnsi="仿宋" w:eastAsia="仿宋" w:cs="仿宋"/>
          <w:sz w:val="32"/>
          <w:szCs w:val="32"/>
        </w:rPr>
      </w:pPr>
      <w:r>
        <w:rPr>
          <w:rFonts w:ascii="仿宋" w:hAnsi="仿宋" w:eastAsia="仿宋" w:cs="仿宋"/>
          <w:sz w:val="32"/>
          <w:szCs w:val="32"/>
        </w:rPr>
        <w:t>（三）强化“三网一员”人员培训。按照三网一员”培训要求，今年，我区召开了2次“三网一员”培训会议，参培人员120人次，有效提高了“三网一员”人员的业务知识和操作能力。</w:t>
      </w:r>
    </w:p>
    <w:p>
      <w:pPr>
        <w:pStyle w:val="3"/>
        <w:rPr>
          <w:rStyle w:val="33"/>
          <w:bCs w:val="0"/>
        </w:rPr>
      </w:pPr>
      <w:bookmarkStart w:id="26" w:name="_Toc15377200"/>
      <w:bookmarkStart w:id="27" w:name="_Toc15396601"/>
      <w:bookmarkStart w:id="28" w:name="_Toc115203632"/>
      <w:r>
        <w:rPr>
          <w:rFonts w:hint="eastAsia" w:ascii="黑体"/>
        </w:rPr>
        <w:t>二、</w:t>
      </w:r>
      <w:r>
        <w:rPr>
          <w:rFonts w:hint="eastAsia" w:ascii="黑体" w:hAnsi="黑体"/>
        </w:rPr>
        <w:t>机</w:t>
      </w:r>
      <w:r>
        <w:rPr>
          <w:rStyle w:val="33"/>
          <w:rFonts w:hint="eastAsia" w:ascii="黑体" w:hAnsi="黑体"/>
          <w:bCs w:val="0"/>
        </w:rPr>
        <w:t>构设置</w:t>
      </w:r>
      <w:bookmarkEnd w:id="26"/>
      <w:bookmarkEnd w:id="27"/>
      <w:bookmarkEnd w:id="28"/>
    </w:p>
    <w:p>
      <w:pPr>
        <w:ind w:firstLine="800" w:firstLineChars="250"/>
        <w:rPr>
          <w:rFonts w:ascii="仿宋" w:hAnsi="仿宋" w:eastAsia="仿宋"/>
          <w:sz w:val="32"/>
          <w:szCs w:val="32"/>
        </w:rPr>
      </w:pPr>
      <w:r>
        <w:rPr>
          <w:rFonts w:hint="eastAsia" w:ascii="仿宋" w:hAnsi="仿宋" w:eastAsia="仿宋" w:cs="仿宋"/>
          <w:sz w:val="32"/>
          <w:szCs w:val="32"/>
        </w:rPr>
        <w:t>防震减灾中心属财政一级预算单位，本预算包括人员类项目支出预算、运转类项目支出预算、特定目标类项目支出预算等相关预算。</w:t>
      </w:r>
      <w:r>
        <w:rPr>
          <w:rFonts w:hint="eastAsia" w:ascii="仿宋" w:hAnsi="仿宋" w:eastAsia="仿宋"/>
          <w:sz w:val="32"/>
          <w:szCs w:val="32"/>
        </w:rPr>
        <w:t>下属二级单位</w:t>
      </w:r>
      <w:r>
        <w:rPr>
          <w:rFonts w:ascii="仿宋" w:hAnsi="仿宋" w:eastAsia="仿宋"/>
          <w:sz w:val="32"/>
          <w:szCs w:val="32"/>
        </w:rPr>
        <w:t>0</w:t>
      </w:r>
      <w:r>
        <w:rPr>
          <w:rFonts w:hint="eastAsia" w:ascii="仿宋" w:hAnsi="仿宋" w:eastAsia="仿宋"/>
          <w:sz w:val="32"/>
          <w:szCs w:val="32"/>
        </w:rPr>
        <w:t>个。</w:t>
      </w:r>
    </w:p>
    <w:p>
      <w:pPr>
        <w:pStyle w:val="7"/>
        <w:spacing w:before="97"/>
      </w:pPr>
    </w:p>
    <w:p>
      <w:pPr>
        <w:pStyle w:val="7"/>
        <w:spacing w:before="97"/>
      </w:pPr>
    </w:p>
    <w:p>
      <w:pPr>
        <w:pStyle w:val="7"/>
        <w:spacing w:before="97"/>
      </w:pPr>
    </w:p>
    <w:p>
      <w:pPr>
        <w:pStyle w:val="7"/>
        <w:spacing w:before="97"/>
      </w:pPr>
    </w:p>
    <w:p>
      <w:pPr>
        <w:pStyle w:val="7"/>
        <w:spacing w:before="97"/>
      </w:pPr>
    </w:p>
    <w:p>
      <w:pPr>
        <w:pStyle w:val="2"/>
        <w:rPr>
          <w:rFonts w:ascii="黑体" w:hAnsi="黑体"/>
          <w:b w:val="0"/>
        </w:rPr>
      </w:pPr>
      <w:bookmarkStart w:id="29" w:name="_Toc115203633"/>
      <w:r>
        <w:rPr>
          <w:rFonts w:hint="eastAsia" w:ascii="黑体" w:hAnsi="黑体"/>
          <w:b w:val="0"/>
        </w:rPr>
        <w:t>第二部分 2021年度</w:t>
      </w:r>
      <w:r>
        <w:rPr>
          <w:rStyle w:val="32"/>
          <w:rFonts w:hint="eastAsia" w:ascii="黑体" w:hAnsi="黑体"/>
          <w:b w:val="0"/>
          <w:bCs/>
        </w:rPr>
        <w:t>单位决算情况说明</w:t>
      </w:r>
      <w:bookmarkEnd w:id="20"/>
      <w:bookmarkEnd w:id="21"/>
      <w:bookmarkEnd w:id="29"/>
    </w:p>
    <w:p>
      <w:pPr>
        <w:pStyle w:val="3"/>
        <w:rPr>
          <w:rStyle w:val="33"/>
          <w:rFonts w:ascii="黑体" w:hAnsi="黑体"/>
          <w:bCs/>
        </w:rPr>
      </w:pPr>
      <w:bookmarkStart w:id="30" w:name="_Toc15396603"/>
      <w:bookmarkStart w:id="31" w:name="_Toc15377205"/>
      <w:bookmarkStart w:id="32" w:name="_Toc115203634"/>
      <w:r>
        <w:rPr>
          <w:rFonts w:hint="eastAsia"/>
        </w:rPr>
        <w:t>一、收</w:t>
      </w:r>
      <w:r>
        <w:rPr>
          <w:rStyle w:val="33"/>
          <w:rFonts w:hint="eastAsia" w:ascii="黑体" w:hAnsi="黑体"/>
          <w:bCs/>
        </w:rPr>
        <w:t>入支出决算总体情况说明</w:t>
      </w:r>
      <w:bookmarkEnd w:id="30"/>
      <w:bookmarkEnd w:id="31"/>
      <w:bookmarkEnd w:id="32"/>
    </w:p>
    <w:p>
      <w:pPr>
        <w:spacing w:line="600" w:lineRule="exact"/>
        <w:ind w:firstLine="640"/>
        <w:rPr>
          <w:rFonts w:ascii="仿宋" w:hAnsi="仿宋" w:eastAsia="仿宋"/>
          <w:sz w:val="32"/>
          <w:szCs w:val="32"/>
        </w:rPr>
      </w:pPr>
      <w:r>
        <w:rPr>
          <w:rFonts w:hint="eastAsia" w:ascii="仿宋" w:hAnsi="仿宋" w:eastAsia="仿宋"/>
          <w:sz w:val="32"/>
          <w:szCs w:val="32"/>
        </w:rPr>
        <w:t>2021年度收、支总计141.88万元。与2020年相比，收、支总计各减少30.05万元，下降21</w:t>
      </w:r>
      <w:r>
        <w:rPr>
          <w:rFonts w:ascii="仿宋" w:hAnsi="仿宋" w:eastAsia="仿宋"/>
          <w:sz w:val="32"/>
          <w:szCs w:val="32"/>
        </w:rPr>
        <w:t>%</w:t>
      </w:r>
      <w:r>
        <w:rPr>
          <w:rFonts w:hint="eastAsia" w:ascii="仿宋" w:hAnsi="仿宋" w:eastAsia="仿宋"/>
          <w:sz w:val="32"/>
          <w:szCs w:val="32"/>
        </w:rPr>
        <w:t>。主要变动原因是人员变动，调出1人，调进1人。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7"/>
        <w:spacing w:before="97"/>
        <w:rPr>
          <w:rFonts w:ascii="仿宋" w:hAnsi="仿宋" w:eastAsia="仿宋"/>
          <w:sz w:val="32"/>
          <w:szCs w:val="32"/>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453390</wp:posOffset>
            </wp:positionV>
            <wp:extent cx="4298315" cy="3308350"/>
            <wp:effectExtent l="0" t="0" r="0" b="0"/>
            <wp:wrapTopAndBottom/>
            <wp:docPr id="4" name="图片 3"/>
            <wp:cNvGraphicFramePr/>
            <a:graphic xmlns:a="http://schemas.openxmlformats.org/drawingml/2006/main">
              <a:graphicData uri="http://schemas.openxmlformats.org/drawingml/2006/picture">
                <pic:pic xmlns:pic="http://schemas.openxmlformats.org/drawingml/2006/picture">
                  <pic:nvPicPr>
                    <pic:cNvPr id="4" name="图片 3"/>
                    <pic:cNvPicPr/>
                  </pic:nvPicPr>
                  <pic:blipFill>
                    <a:blip r:embed="rId6"/>
                    <a:stretch>
                      <a:fillRect/>
                    </a:stretch>
                  </pic:blipFill>
                  <pic:spPr>
                    <a:xfrm>
                      <a:off x="0" y="0"/>
                      <a:ext cx="4298400" cy="3308400"/>
                    </a:xfrm>
                    <a:prstGeom prst="rect">
                      <a:avLst/>
                    </a:prstGeom>
                  </pic:spPr>
                </pic:pic>
              </a:graphicData>
            </a:graphic>
          </wp:anchor>
        </w:drawing>
      </w:r>
    </w:p>
    <w:p>
      <w:pPr>
        <w:pStyle w:val="3"/>
        <w:rPr>
          <w:rStyle w:val="33"/>
          <w:rFonts w:ascii="黑体" w:hAnsi="黑体"/>
          <w:bCs/>
        </w:rPr>
      </w:pPr>
      <w:bookmarkStart w:id="33" w:name="_Toc15396604"/>
      <w:bookmarkStart w:id="34" w:name="_Toc15377206"/>
      <w:bookmarkStart w:id="35" w:name="_Toc115203635"/>
      <w:r>
        <w:rPr>
          <w:rFonts w:hint="eastAsia"/>
        </w:rPr>
        <w:t>二、收</w:t>
      </w:r>
      <w:r>
        <w:rPr>
          <w:rStyle w:val="33"/>
          <w:rFonts w:hint="eastAsia" w:ascii="黑体" w:hAnsi="黑体"/>
          <w:bCs/>
        </w:rPr>
        <w:t>入决算情况说明</w:t>
      </w:r>
      <w:bookmarkEnd w:id="33"/>
      <w:bookmarkEnd w:id="34"/>
      <w:bookmarkEnd w:id="35"/>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2021年本年收入合计141.88万元，其中：一般公共预算财政拨款收入141.88万元，占100%；</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rPr>
          <w:rFonts w:ascii="仿宋_GB2312" w:eastAsia="仿宋_GB2312"/>
          <w:sz w:val="32"/>
          <w:szCs w:val="32"/>
        </w:rPr>
      </w:pPr>
      <w:r>
        <w:drawing>
          <wp:inline distT="0" distB="0" distL="114300" distR="114300">
            <wp:extent cx="4572000" cy="2743200"/>
            <wp:effectExtent l="4445" t="4445" r="10795" b="10795"/>
            <wp:docPr id="10" name="图表 5" descr="7b0a202020202263686172745265734964223a2022343532363834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3"/>
        <w:rPr>
          <w:rStyle w:val="33"/>
          <w:rFonts w:ascii="黑体" w:hAnsi="黑体"/>
          <w:bCs/>
        </w:rPr>
      </w:pPr>
      <w:bookmarkStart w:id="36" w:name="_Toc15377207"/>
      <w:bookmarkStart w:id="37" w:name="_Toc115203636"/>
      <w:bookmarkStart w:id="38" w:name="_Toc15396605"/>
      <w:r>
        <w:rPr>
          <w:rFonts w:hint="eastAsia"/>
        </w:rPr>
        <w:t>三、支</w:t>
      </w:r>
      <w:r>
        <w:rPr>
          <w:rStyle w:val="33"/>
          <w:rFonts w:hint="eastAsia" w:ascii="黑体" w:hAnsi="黑体"/>
          <w:bCs/>
        </w:rPr>
        <w:t>出决算情况说明</w:t>
      </w:r>
      <w:bookmarkEnd w:id="36"/>
      <w:bookmarkEnd w:id="37"/>
      <w:bookmarkEnd w:id="38"/>
    </w:p>
    <w:p>
      <w:pPr>
        <w:ind w:firstLine="640" w:firstLineChars="200"/>
        <w:rPr>
          <w:sz w:val="32"/>
          <w:szCs w:val="40"/>
        </w:rPr>
      </w:pPr>
      <w:r>
        <w:rPr>
          <w:sz w:val="32"/>
          <w:szCs w:val="40"/>
        </w:rPr>
        <w:t>20</w:t>
      </w:r>
      <w:r>
        <w:rPr>
          <w:rFonts w:hint="eastAsia"/>
          <w:sz w:val="32"/>
          <w:szCs w:val="40"/>
        </w:rPr>
        <w:t>21年本年支出合计141.88万元，其中：基本支出102.04万元，占72</w:t>
      </w:r>
      <w:r>
        <w:rPr>
          <w:sz w:val="32"/>
          <w:szCs w:val="40"/>
        </w:rPr>
        <w:t>%</w:t>
      </w:r>
      <w:r>
        <w:rPr>
          <w:rFonts w:hint="eastAsia"/>
          <w:sz w:val="32"/>
          <w:szCs w:val="40"/>
        </w:rPr>
        <w:t>；项目支出39.84万元，占28</w:t>
      </w:r>
      <w:r>
        <w:rPr>
          <w:sz w:val="32"/>
          <w:szCs w:val="40"/>
        </w:rPr>
        <w:t>%</w:t>
      </w:r>
      <w:r>
        <w:rPr>
          <w:rFonts w:hint="eastAsia"/>
          <w:sz w:val="32"/>
          <w:szCs w:val="40"/>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pStyle w:val="7"/>
        <w:spacing w:before="97"/>
      </w:pPr>
      <w:r>
        <w:drawing>
          <wp:inline distT="0" distB="0" distL="114300" distR="114300">
            <wp:extent cx="4168775" cy="2944495"/>
            <wp:effectExtent l="0" t="0" r="9525" b="14605"/>
            <wp:docPr id="6" name="图表 3" descr="7b0a202020202263686172745265734964223a20223837333737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3"/>
        <w:rPr>
          <w:rStyle w:val="33"/>
          <w:rFonts w:ascii="黑体" w:hAnsi="黑体"/>
          <w:bCs/>
        </w:rPr>
      </w:pPr>
      <w:bookmarkStart w:id="39" w:name="_Toc115203637"/>
      <w:bookmarkStart w:id="40" w:name="_Toc15377208"/>
      <w:bookmarkStart w:id="41" w:name="_Toc15396606"/>
      <w:r>
        <w:rPr>
          <w:rFonts w:hint="eastAsia"/>
        </w:rPr>
        <w:t>四、财</w:t>
      </w:r>
      <w:r>
        <w:rPr>
          <w:rStyle w:val="33"/>
          <w:rFonts w:hint="eastAsia" w:ascii="黑体" w:hAnsi="黑体"/>
          <w:bCs/>
        </w:rPr>
        <w:t>政拨款收入支出决算总体情况说明</w:t>
      </w:r>
      <w:bookmarkEnd w:id="39"/>
      <w:bookmarkEnd w:id="40"/>
      <w:bookmarkEnd w:id="41"/>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21年财政拨款收、支总计141.88万元。与</w:t>
      </w:r>
      <w:r>
        <w:rPr>
          <w:rFonts w:ascii="仿宋" w:hAnsi="仿宋" w:eastAsia="仿宋"/>
          <w:sz w:val="32"/>
          <w:szCs w:val="32"/>
        </w:rPr>
        <w:t>20</w:t>
      </w:r>
      <w:r>
        <w:rPr>
          <w:rFonts w:hint="eastAsia" w:ascii="仿宋" w:hAnsi="仿宋" w:eastAsia="仿宋"/>
          <w:sz w:val="32"/>
          <w:szCs w:val="32"/>
        </w:rPr>
        <w:t>20年相比，财政拨款收、支总计各减少30.05万元，下降21</w:t>
      </w:r>
      <w:r>
        <w:rPr>
          <w:rFonts w:ascii="仿宋" w:hAnsi="仿宋" w:eastAsia="仿宋"/>
          <w:sz w:val="32"/>
          <w:szCs w:val="32"/>
        </w:rPr>
        <w:t>%</w:t>
      </w:r>
      <w:r>
        <w:rPr>
          <w:rFonts w:hint="eastAsia" w:ascii="仿宋" w:hAnsi="仿宋" w:eastAsia="仿宋"/>
          <w:sz w:val="32"/>
          <w:szCs w:val="32"/>
        </w:rPr>
        <w:t>。主要变动原因是人员变动频繁，调出1人，调进1人。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pStyle w:val="7"/>
        <w:spacing w:before="97"/>
      </w:pPr>
      <w:r>
        <w:drawing>
          <wp:inline distT="0" distB="0" distL="114300" distR="114300">
            <wp:extent cx="4298315" cy="3307080"/>
            <wp:effectExtent l="0" t="0" r="14605" b="0"/>
            <wp:docPr id="1" name="图片 3"/>
            <wp:cNvGraphicFramePr/>
            <a:graphic xmlns:a="http://schemas.openxmlformats.org/drawingml/2006/main">
              <a:graphicData uri="http://schemas.openxmlformats.org/drawingml/2006/picture">
                <pic:pic xmlns:pic="http://schemas.openxmlformats.org/drawingml/2006/picture">
                  <pic:nvPicPr>
                    <pic:cNvPr id="1" name="图片 3"/>
                    <pic:cNvPicPr/>
                  </pic:nvPicPr>
                  <pic:blipFill>
                    <a:blip r:embed="rId6"/>
                    <a:stretch>
                      <a:fillRect/>
                    </a:stretch>
                  </pic:blipFill>
                  <pic:spPr>
                    <a:xfrm>
                      <a:off x="0" y="0"/>
                      <a:ext cx="4298315" cy="3307080"/>
                    </a:xfrm>
                    <a:prstGeom prst="rect">
                      <a:avLst/>
                    </a:prstGeom>
                  </pic:spPr>
                </pic:pic>
              </a:graphicData>
            </a:graphic>
          </wp:inline>
        </w:drawing>
      </w:r>
    </w:p>
    <w:p>
      <w:pPr>
        <w:spacing w:line="600" w:lineRule="exact"/>
        <w:ind w:firstLine="640"/>
        <w:rPr>
          <w:rFonts w:ascii="仿宋" w:hAnsi="仿宋" w:eastAsia="仿宋"/>
          <w:b/>
          <w:sz w:val="32"/>
          <w:szCs w:val="32"/>
        </w:rPr>
      </w:pPr>
    </w:p>
    <w:p>
      <w:pPr>
        <w:pStyle w:val="3"/>
        <w:rPr>
          <w:rStyle w:val="33"/>
          <w:rFonts w:ascii="黑体" w:hAnsi="黑体"/>
          <w:bCs/>
        </w:rPr>
      </w:pPr>
      <w:bookmarkStart w:id="42" w:name="_Toc15396607"/>
      <w:bookmarkStart w:id="43" w:name="_Toc15377209"/>
      <w:bookmarkStart w:id="44" w:name="_Toc115203638"/>
      <w:r>
        <w:rPr>
          <w:rFonts w:hint="eastAsia"/>
        </w:rPr>
        <w:t>五、</w:t>
      </w:r>
      <w:r>
        <w:rPr>
          <w:rFonts w:hint="eastAsia"/>
          <w:b/>
        </w:rPr>
        <w:t>一</w:t>
      </w:r>
      <w:r>
        <w:rPr>
          <w:rStyle w:val="33"/>
          <w:rFonts w:hint="eastAsia" w:ascii="黑体" w:hAnsi="黑体"/>
          <w:bCs/>
        </w:rPr>
        <w:t>般公共预算财政拨款支出决算情况说明</w:t>
      </w:r>
      <w:bookmarkEnd w:id="42"/>
      <w:bookmarkEnd w:id="43"/>
      <w:bookmarkEnd w:id="44"/>
    </w:p>
    <w:p>
      <w:pPr>
        <w:ind w:firstLine="643" w:firstLineChars="200"/>
        <w:outlineLvl w:val="2"/>
        <w:rPr>
          <w:rFonts w:ascii="仿宋" w:hAnsi="仿宋" w:eastAsia="仿宋"/>
          <w:b/>
          <w:sz w:val="32"/>
          <w:szCs w:val="32"/>
        </w:rPr>
      </w:pPr>
      <w:bookmarkStart w:id="45" w:name="_Toc15377210"/>
      <w:r>
        <w:rPr>
          <w:rFonts w:hint="eastAsia" w:ascii="仿宋" w:hAnsi="仿宋" w:eastAsia="仿宋"/>
          <w:b/>
          <w:sz w:val="32"/>
          <w:szCs w:val="32"/>
        </w:rPr>
        <w:t>（一）一般公共预算财政拨款支出决算总体情况</w:t>
      </w:r>
      <w:bookmarkEnd w:id="45"/>
    </w:p>
    <w:p>
      <w:pPr>
        <w:ind w:firstLine="640" w:firstLineChars="200"/>
        <w:outlineLvl w:val="2"/>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21年一般公共预算财政拨款支出141.88万元，占本年支出合计的100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20年相比，一般公共预算财政拨款支出减少30.05万元，下降21</w:t>
      </w:r>
      <w:r>
        <w:rPr>
          <w:rFonts w:ascii="仿宋" w:hAnsi="仿宋" w:eastAsia="仿宋"/>
          <w:sz w:val="32"/>
          <w:szCs w:val="32"/>
        </w:rPr>
        <w:t>%</w:t>
      </w:r>
      <w:r>
        <w:rPr>
          <w:rFonts w:hint="eastAsia" w:ascii="仿宋" w:hAnsi="仿宋" w:eastAsia="仿宋"/>
          <w:sz w:val="32"/>
          <w:szCs w:val="32"/>
        </w:rPr>
        <w:t>。主要变动原因是人员变动较大，调出1人，调进1人。</w:t>
      </w:r>
    </w:p>
    <w:p>
      <w:pPr>
        <w:spacing w:line="600" w:lineRule="exact"/>
        <w:ind w:firstLine="480" w:firstLineChars="200"/>
        <w:rPr>
          <w:rFonts w:ascii="仿宋" w:hAnsi="仿宋" w:eastAsia="仿宋"/>
          <w:sz w:val="32"/>
          <w:szCs w:val="32"/>
        </w:rPr>
      </w:pPr>
      <w:r>
        <w:drawing>
          <wp:anchor distT="0" distB="0" distL="114300" distR="114300" simplePos="0" relativeHeight="251660288" behindDoc="0" locked="0" layoutInCell="1" allowOverlap="1">
            <wp:simplePos x="0" y="0"/>
            <wp:positionH relativeFrom="column">
              <wp:posOffset>344170</wp:posOffset>
            </wp:positionH>
            <wp:positionV relativeFrom="paragraph">
              <wp:posOffset>762635</wp:posOffset>
            </wp:positionV>
            <wp:extent cx="4298315" cy="3308350"/>
            <wp:effectExtent l="0" t="0" r="0" b="0"/>
            <wp:wrapTopAndBottom/>
            <wp:docPr id="7" name="图片 3"/>
            <wp:cNvGraphicFramePr/>
            <a:graphic xmlns:a="http://schemas.openxmlformats.org/drawingml/2006/main">
              <a:graphicData uri="http://schemas.openxmlformats.org/drawingml/2006/picture">
                <pic:pic xmlns:pic="http://schemas.openxmlformats.org/drawingml/2006/picture">
                  <pic:nvPicPr>
                    <pic:cNvPr id="7" name="图片 3"/>
                    <pic:cNvPicPr/>
                  </pic:nvPicPr>
                  <pic:blipFill>
                    <a:blip r:embed="rId6"/>
                    <a:stretch>
                      <a:fillRect/>
                    </a:stretch>
                  </pic:blipFill>
                  <pic:spPr>
                    <a:xfrm>
                      <a:off x="0" y="0"/>
                      <a:ext cx="4298400" cy="3308400"/>
                    </a:xfrm>
                    <a:prstGeom prst="rect">
                      <a:avLst/>
                    </a:prstGeom>
                  </pic:spPr>
                </pic:pic>
              </a:graphicData>
            </a:graphic>
          </wp:anchor>
        </w:drawing>
      </w:r>
      <w:r>
        <w:rPr>
          <w:rFonts w:hint="eastAsia" w:ascii="仿宋" w:hAnsi="仿宋" w:eastAsia="仿宋"/>
          <w:sz w:val="32"/>
          <w:szCs w:val="32"/>
        </w:rPr>
        <w:t>（图5：一般公共预算财政拨款支出决算变动情况）（柱状图）</w:t>
      </w:r>
    </w:p>
    <w:p>
      <w:pPr>
        <w:spacing w:line="600" w:lineRule="exact"/>
      </w:pPr>
    </w:p>
    <w:p>
      <w:pPr>
        <w:spacing w:line="600" w:lineRule="exact"/>
        <w:ind w:firstLine="643" w:firstLineChars="200"/>
        <w:outlineLvl w:val="2"/>
        <w:rPr>
          <w:rFonts w:ascii="仿宋" w:hAnsi="仿宋" w:eastAsia="仿宋"/>
          <w:b/>
          <w:sz w:val="32"/>
          <w:szCs w:val="32"/>
        </w:rPr>
      </w:pPr>
      <w:bookmarkStart w:id="46" w:name="_Toc15377211"/>
      <w:r>
        <w:rPr>
          <w:rFonts w:hint="eastAsia" w:ascii="仿宋" w:hAnsi="仿宋" w:eastAsia="仿宋"/>
          <w:b/>
          <w:sz w:val="32"/>
          <w:szCs w:val="32"/>
        </w:rPr>
        <w:t>（二）一般公共预算财政拨款支出决算结构情况</w:t>
      </w:r>
      <w:bookmarkEnd w:id="46"/>
    </w:p>
    <w:p>
      <w:pPr>
        <w:spacing w:line="600" w:lineRule="exact"/>
        <w:ind w:firstLine="640"/>
      </w:pPr>
      <w:r>
        <w:rPr>
          <w:rFonts w:ascii="仿宋" w:hAnsi="仿宋" w:eastAsia="仿宋"/>
          <w:sz w:val="32"/>
          <w:szCs w:val="32"/>
        </w:rPr>
        <w:t>20</w:t>
      </w:r>
      <w:r>
        <w:rPr>
          <w:rFonts w:hint="eastAsia" w:ascii="仿宋" w:hAnsi="仿宋" w:eastAsia="仿宋"/>
          <w:sz w:val="32"/>
          <w:szCs w:val="32"/>
        </w:rPr>
        <w:t>21年一般公共预算财政拨款支出141.88万元，主要用于以下方面</w:t>
      </w:r>
      <w:r>
        <w:rPr>
          <w:rFonts w:ascii="仿宋" w:hAnsi="仿宋" w:eastAsia="仿宋"/>
          <w:sz w:val="32"/>
          <w:szCs w:val="32"/>
        </w:rPr>
        <w:t>:</w:t>
      </w:r>
      <w:r>
        <w:rPr>
          <w:rFonts w:hint="eastAsia" w:ascii="仿宋" w:hAnsi="仿宋" w:eastAsia="仿宋"/>
          <w:sz w:val="32"/>
          <w:szCs w:val="32"/>
        </w:rPr>
        <w:t>灾害防治及应急管理支出118.31万元，占83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支出10.89万元，占8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5.06万元，占4</w:t>
      </w:r>
      <w:r>
        <w:rPr>
          <w:rFonts w:ascii="仿宋" w:hAnsi="仿宋" w:eastAsia="仿宋"/>
          <w:sz w:val="32"/>
          <w:szCs w:val="32"/>
        </w:rPr>
        <w:t>%</w:t>
      </w:r>
      <w:r>
        <w:rPr>
          <w:rFonts w:hint="eastAsia" w:ascii="仿宋" w:hAnsi="仿宋" w:eastAsia="仿宋"/>
          <w:sz w:val="32"/>
          <w:szCs w:val="32"/>
        </w:rPr>
        <w:t>；住房保障支出7.62万元，占5</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p>
    <w:p>
      <w:pPr>
        <w:spacing w:line="600" w:lineRule="exact"/>
        <w:ind w:firstLine="643" w:firstLineChars="200"/>
        <w:outlineLvl w:val="2"/>
        <w:rPr>
          <w:rFonts w:ascii="仿宋" w:hAnsi="仿宋" w:eastAsia="仿宋"/>
          <w:sz w:val="32"/>
          <w:szCs w:val="32"/>
        </w:rPr>
      </w:pPr>
      <w:r>
        <w:rPr>
          <w:rFonts w:hint="eastAsia" w:ascii="仿宋" w:hAnsi="仿宋" w:eastAsia="仿宋"/>
          <w:b/>
          <w:sz w:val="32"/>
          <w:szCs w:val="32"/>
        </w:rPr>
        <w:t>2021年一般公共预算支出决算数为141.88</w:t>
      </w:r>
      <w:r>
        <w:rPr>
          <w:rFonts w:hint="eastAsia" w:ascii="仿宋" w:hAnsi="仿宋" w:eastAsia="仿宋"/>
          <w:sz w:val="32"/>
          <w:szCs w:val="32"/>
        </w:rPr>
        <w:t>，</w:t>
      </w:r>
      <w:r>
        <w:rPr>
          <w:rStyle w:val="22"/>
          <w:rFonts w:hint="eastAsia" w:ascii="仿宋" w:hAnsi="仿宋" w:eastAsia="仿宋"/>
          <w:bCs/>
          <w:sz w:val="32"/>
          <w:szCs w:val="32"/>
        </w:rPr>
        <w:t>完成预算100</w:t>
      </w:r>
      <w:r>
        <w:rPr>
          <w:rStyle w:val="22"/>
          <w:rFonts w:ascii="仿宋" w:hAnsi="仿宋" w:eastAsia="仿宋"/>
          <w:bCs/>
          <w:sz w:val="32"/>
          <w:szCs w:val="32"/>
        </w:rPr>
        <w:t>%</w:t>
      </w:r>
      <w:r>
        <w:rPr>
          <w:rStyle w:val="22"/>
          <w:rFonts w:hint="eastAsia" w:ascii="仿宋" w:hAnsi="仿宋" w:eastAsia="仿宋"/>
          <w:bCs/>
          <w:sz w:val="32"/>
          <w:szCs w:val="32"/>
        </w:rPr>
        <w:t>。其中：</w:t>
      </w:r>
    </w:p>
    <w:p>
      <w:pPr>
        <w:spacing w:line="600" w:lineRule="exact"/>
        <w:ind w:firstLine="643" w:firstLineChars="200"/>
        <w:rPr>
          <w:rFonts w:ascii="仿宋" w:hAnsi="仿宋" w:eastAsia="仿宋"/>
          <w:b/>
          <w:sz w:val="32"/>
          <w:szCs w:val="32"/>
        </w:rPr>
      </w:pPr>
      <w:r>
        <w:rPr>
          <w:rStyle w:val="22"/>
          <w:rFonts w:ascii="仿宋" w:hAnsi="仿宋" w:eastAsia="仿宋"/>
          <w:bCs/>
          <w:sz w:val="32"/>
          <w:szCs w:val="32"/>
        </w:rPr>
        <w:t>1.</w:t>
      </w:r>
      <w:r>
        <w:rPr>
          <w:rFonts w:hint="eastAsia" w:ascii="仿宋" w:hAnsi="仿宋" w:eastAsia="仿宋"/>
          <w:b/>
          <w:bCs/>
          <w:sz w:val="32"/>
          <w:szCs w:val="32"/>
        </w:rPr>
        <w:t>灾害防治及应急管理</w:t>
      </w:r>
      <w:r>
        <w:rPr>
          <w:rStyle w:val="22"/>
          <w:rFonts w:hint="eastAsia" w:ascii="仿宋" w:hAnsi="仿宋" w:eastAsia="仿宋"/>
          <w:bCs/>
          <w:sz w:val="32"/>
          <w:szCs w:val="32"/>
        </w:rPr>
        <w:t>支出类：</w:t>
      </w:r>
      <w:r>
        <w:rPr>
          <w:rStyle w:val="22"/>
          <w:rFonts w:hint="eastAsia" w:ascii="仿宋" w:hAnsi="仿宋" w:eastAsia="仿宋"/>
          <w:b w:val="0"/>
          <w:sz w:val="32"/>
          <w:szCs w:val="32"/>
        </w:rPr>
        <w:t>支出</w:t>
      </w:r>
      <w:r>
        <w:rPr>
          <w:rStyle w:val="22"/>
          <w:rFonts w:hint="eastAsia" w:ascii="仿宋" w:hAnsi="仿宋" w:eastAsia="仿宋"/>
          <w:b w:val="0"/>
          <w:bCs/>
          <w:sz w:val="32"/>
          <w:szCs w:val="32"/>
        </w:rPr>
        <w:t>决算为118.31万元，完成预算100</w:t>
      </w:r>
      <w:r>
        <w:rPr>
          <w:rStyle w:val="22"/>
          <w:rFonts w:ascii="仿宋" w:hAnsi="仿宋" w:eastAsia="仿宋"/>
          <w:b w:val="0"/>
          <w:bCs/>
          <w:sz w:val="32"/>
          <w:szCs w:val="32"/>
        </w:rPr>
        <w:t>%</w:t>
      </w:r>
      <w:r>
        <w:rPr>
          <w:rStyle w:val="22"/>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22"/>
          <w:rFonts w:hint="eastAsia" w:ascii="仿宋" w:hAnsi="仿宋" w:eastAsia="仿宋"/>
          <w:bCs/>
          <w:sz w:val="32"/>
          <w:szCs w:val="32"/>
        </w:rPr>
        <w:t>2</w:t>
      </w:r>
      <w:r>
        <w:rPr>
          <w:rStyle w:val="22"/>
          <w:rFonts w:ascii="仿宋" w:hAnsi="仿宋" w:eastAsia="仿宋"/>
          <w:bCs/>
          <w:sz w:val="32"/>
          <w:szCs w:val="32"/>
        </w:rPr>
        <w:t>.</w:t>
      </w:r>
      <w:r>
        <w:rPr>
          <w:rFonts w:hint="eastAsia" w:ascii="仿宋" w:hAnsi="仿宋" w:eastAsia="仿宋"/>
          <w:b/>
          <w:sz w:val="32"/>
          <w:szCs w:val="32"/>
        </w:rPr>
        <w:t>社会保障和就业（类）</w:t>
      </w:r>
      <w:r>
        <w:rPr>
          <w:rStyle w:val="22"/>
          <w:rFonts w:ascii="仿宋" w:hAnsi="仿宋" w:eastAsia="仿宋"/>
          <w:bCs/>
          <w:sz w:val="32"/>
          <w:szCs w:val="32"/>
        </w:rPr>
        <w:t>:</w:t>
      </w:r>
      <w:r>
        <w:rPr>
          <w:rStyle w:val="22"/>
          <w:rFonts w:hint="eastAsia" w:ascii="仿宋" w:hAnsi="仿宋" w:eastAsia="仿宋"/>
          <w:b w:val="0"/>
          <w:bCs/>
          <w:sz w:val="32"/>
          <w:szCs w:val="32"/>
        </w:rPr>
        <w:t>支出决算为10.89万元，完成预算100</w:t>
      </w:r>
      <w:r>
        <w:rPr>
          <w:rStyle w:val="22"/>
          <w:rFonts w:ascii="仿宋" w:hAnsi="仿宋" w:eastAsia="仿宋"/>
          <w:b w:val="0"/>
          <w:bCs/>
          <w:sz w:val="32"/>
          <w:szCs w:val="32"/>
        </w:rPr>
        <w:t>%</w:t>
      </w:r>
      <w:r>
        <w:rPr>
          <w:rStyle w:val="22"/>
          <w:rFonts w:hint="eastAsia" w:ascii="仿宋" w:hAnsi="仿宋" w:eastAsia="仿宋"/>
          <w:b w:val="0"/>
          <w:bCs/>
          <w:sz w:val="32"/>
          <w:szCs w:val="32"/>
        </w:rPr>
        <w:t>。</w:t>
      </w:r>
    </w:p>
    <w:p>
      <w:pPr>
        <w:spacing w:line="600" w:lineRule="exact"/>
        <w:ind w:firstLine="643" w:firstLineChars="200"/>
        <w:rPr>
          <w:rStyle w:val="22"/>
          <w:rFonts w:ascii="仿宋" w:hAnsi="仿宋" w:eastAsia="仿宋"/>
          <w:b w:val="0"/>
          <w:bCs/>
          <w:sz w:val="32"/>
          <w:szCs w:val="32"/>
        </w:rPr>
      </w:pPr>
      <w:r>
        <w:rPr>
          <w:rStyle w:val="22"/>
          <w:rFonts w:hint="eastAsia" w:ascii="仿宋" w:hAnsi="仿宋" w:eastAsia="仿宋"/>
          <w:bCs/>
          <w:sz w:val="32"/>
          <w:szCs w:val="32"/>
        </w:rPr>
        <w:t>3</w:t>
      </w:r>
      <w:r>
        <w:rPr>
          <w:rStyle w:val="22"/>
          <w:rFonts w:ascii="仿宋" w:hAnsi="仿宋" w:eastAsia="仿宋"/>
          <w:bCs/>
          <w:sz w:val="32"/>
          <w:szCs w:val="32"/>
        </w:rPr>
        <w:t>.</w:t>
      </w:r>
      <w:r>
        <w:rPr>
          <w:rFonts w:hint="eastAsia" w:ascii="仿宋" w:hAnsi="仿宋" w:eastAsia="仿宋"/>
          <w:b/>
          <w:bCs/>
          <w:sz w:val="32"/>
          <w:szCs w:val="32"/>
        </w:rPr>
        <w:t>卫生健康</w:t>
      </w:r>
      <w:r>
        <w:rPr>
          <w:rStyle w:val="22"/>
          <w:rFonts w:hint="eastAsia" w:ascii="仿宋" w:hAnsi="仿宋" w:eastAsia="仿宋"/>
          <w:bCs/>
          <w:sz w:val="32"/>
          <w:szCs w:val="32"/>
        </w:rPr>
        <w:t>（类）</w:t>
      </w:r>
      <w:r>
        <w:rPr>
          <w:rStyle w:val="22"/>
          <w:rFonts w:ascii="仿宋" w:hAnsi="仿宋" w:eastAsia="仿宋"/>
          <w:bCs/>
          <w:sz w:val="32"/>
          <w:szCs w:val="32"/>
        </w:rPr>
        <w:t>:</w:t>
      </w:r>
      <w:r>
        <w:rPr>
          <w:rStyle w:val="22"/>
          <w:rFonts w:hint="eastAsia" w:ascii="仿宋" w:hAnsi="仿宋" w:eastAsia="仿宋"/>
          <w:b w:val="0"/>
          <w:bCs/>
          <w:sz w:val="32"/>
          <w:szCs w:val="32"/>
        </w:rPr>
        <w:t>支出决算为5.06万元，完成预算100</w:t>
      </w:r>
      <w:r>
        <w:rPr>
          <w:rStyle w:val="22"/>
          <w:rFonts w:ascii="仿宋" w:hAnsi="仿宋" w:eastAsia="仿宋"/>
          <w:b w:val="0"/>
          <w:bCs/>
          <w:sz w:val="32"/>
          <w:szCs w:val="32"/>
        </w:rPr>
        <w:t>%</w:t>
      </w:r>
      <w:r>
        <w:rPr>
          <w:rStyle w:val="22"/>
          <w:rFonts w:hint="eastAsia" w:ascii="仿宋" w:hAnsi="仿宋" w:eastAsia="仿宋"/>
          <w:b w:val="0"/>
          <w:bCs/>
          <w:sz w:val="32"/>
          <w:szCs w:val="32"/>
        </w:rPr>
        <w:t>。</w:t>
      </w:r>
    </w:p>
    <w:p>
      <w:pPr>
        <w:spacing w:line="600" w:lineRule="exact"/>
        <w:ind w:firstLine="640"/>
        <w:rPr>
          <w:rFonts w:ascii="仿宋" w:hAnsi="仿宋" w:eastAsia="仿宋"/>
          <w:sz w:val="32"/>
          <w:szCs w:val="32"/>
        </w:rPr>
      </w:pPr>
      <w:r>
        <w:rPr>
          <w:rStyle w:val="22"/>
          <w:rFonts w:hint="eastAsia" w:ascii="仿宋" w:hAnsi="仿宋" w:eastAsia="仿宋"/>
          <w:b w:val="0"/>
          <w:bCs/>
          <w:sz w:val="32"/>
          <w:szCs w:val="32"/>
        </w:rPr>
        <w:t>4.</w:t>
      </w:r>
      <w:r>
        <w:rPr>
          <w:rFonts w:hint="eastAsia" w:ascii="仿宋" w:hAnsi="仿宋" w:eastAsia="仿宋"/>
          <w:b/>
          <w:bCs/>
          <w:sz w:val="32"/>
          <w:szCs w:val="32"/>
        </w:rPr>
        <w:t>住房保障（类）</w:t>
      </w:r>
      <w:r>
        <w:rPr>
          <w:rFonts w:hint="eastAsia" w:ascii="仿宋" w:hAnsi="仿宋" w:eastAsia="仿宋"/>
          <w:sz w:val="32"/>
          <w:szCs w:val="32"/>
        </w:rPr>
        <w:t>：支出7.62万元，</w:t>
      </w:r>
      <w:r>
        <w:rPr>
          <w:rStyle w:val="22"/>
          <w:rFonts w:hint="eastAsia" w:ascii="仿宋" w:hAnsi="仿宋" w:eastAsia="仿宋"/>
          <w:b w:val="0"/>
          <w:bCs/>
          <w:sz w:val="32"/>
          <w:szCs w:val="32"/>
        </w:rPr>
        <w:t>完成预算100</w:t>
      </w:r>
      <w:r>
        <w:rPr>
          <w:rStyle w:val="22"/>
          <w:rFonts w:ascii="仿宋" w:hAnsi="仿宋" w:eastAsia="仿宋"/>
          <w:b w:val="0"/>
          <w:bCs/>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pStyle w:val="7"/>
        <w:spacing w:before="97"/>
        <w:jc w:val="center"/>
      </w:pPr>
      <w:r>
        <w:drawing>
          <wp:inline distT="0" distB="0" distL="114300" distR="114300">
            <wp:extent cx="4572000" cy="2743200"/>
            <wp:effectExtent l="4445" t="4445" r="10795" b="10795"/>
            <wp:docPr id="2" name="图表 1" descr="7b0a202020202263686172745265734964223a2022343532363834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sz w:val="32"/>
          <w:szCs w:val="32"/>
        </w:rPr>
      </w:pPr>
    </w:p>
    <w:p>
      <w:pPr>
        <w:pStyle w:val="3"/>
        <w:rPr>
          <w:rStyle w:val="33"/>
          <w:bCs/>
        </w:rPr>
      </w:pPr>
      <w:bookmarkStart w:id="47" w:name="_Toc15396608"/>
      <w:bookmarkStart w:id="48" w:name="_Toc15377214"/>
      <w:bookmarkStart w:id="49" w:name="_Toc115203639"/>
      <w:r>
        <w:rPr>
          <w:rFonts w:hint="eastAsia"/>
        </w:rPr>
        <w:t>六</w:t>
      </w:r>
      <w:r>
        <w:rPr>
          <w:rFonts w:hint="eastAsia"/>
          <w:b/>
        </w:rPr>
        <w:t>、一</w:t>
      </w:r>
      <w:r>
        <w:rPr>
          <w:rStyle w:val="33"/>
          <w:rFonts w:hint="eastAsia" w:ascii="黑体" w:hAnsi="黑体"/>
          <w:bCs/>
        </w:rPr>
        <w:t>般公共预算财政拨款基本支出决算情况说明</w:t>
      </w:r>
      <w:bookmarkEnd w:id="47"/>
      <w:bookmarkEnd w:id="48"/>
      <w:bookmarkEnd w:id="49"/>
      <w:r>
        <w:rPr>
          <w:rStyle w:val="33"/>
          <w:rFonts w:ascii="黑体" w:hAnsi="黑体"/>
          <w:bCs/>
        </w:rPr>
        <w:tab/>
      </w:r>
    </w:p>
    <w:p>
      <w:pPr>
        <w:ind w:firstLine="640" w:firstLineChars="200"/>
        <w:rPr>
          <w:rFonts w:hint="eastAsia" w:ascii="仿宋" w:hAnsi="仿宋" w:eastAsia="仿宋"/>
          <w:sz w:val="32"/>
          <w:szCs w:val="32"/>
          <w:lang w:eastAsia="zh-CN"/>
        </w:rPr>
      </w:pPr>
      <w:r>
        <w:rPr>
          <w:rFonts w:ascii="仿宋" w:hAnsi="仿宋" w:eastAsia="仿宋"/>
          <w:sz w:val="32"/>
          <w:szCs w:val="32"/>
        </w:rPr>
        <w:t>20</w:t>
      </w:r>
      <w:r>
        <w:rPr>
          <w:rFonts w:hint="eastAsia" w:ascii="仿宋" w:hAnsi="仿宋" w:eastAsia="仿宋"/>
          <w:sz w:val="32"/>
          <w:szCs w:val="32"/>
        </w:rPr>
        <w:t>21年一般公共预算财政拨款基本支出102.04万元，其中：人员经费90.53万元，主要包括：基本工资、津贴补贴、奖金、伙食补助费、绩效工资、机关事业单位基本养老保险缴费、职业年金缴费、其他社会保障缴费、其他工资福利支出等。</w:t>
      </w:r>
    </w:p>
    <w:p>
      <w:pPr>
        <w:ind w:firstLine="640" w:firstLineChars="200"/>
        <w:rPr>
          <w:rFonts w:ascii="仿宋" w:hAnsi="仿宋" w:eastAsia="仿宋"/>
          <w:sz w:val="32"/>
          <w:szCs w:val="32"/>
        </w:rPr>
      </w:pPr>
      <w:r>
        <w:rPr>
          <w:rFonts w:hint="eastAsia" w:ascii="仿宋" w:hAnsi="仿宋" w:eastAsia="仿宋"/>
          <w:sz w:val="32"/>
          <w:szCs w:val="32"/>
        </w:rPr>
        <w:t>　　公用经费11.51万元，主要包括：办公费、印刷费、水费、电费、邮电费、差旅费、维修（护）费、租赁费、会议费、培训费、公务接待费、劳务费、委托业务费、工会经费、其他交通费、其他商品和服务支出等。</w:t>
      </w:r>
    </w:p>
    <w:p>
      <w:pPr>
        <w:pStyle w:val="3"/>
        <w:rPr>
          <w:rStyle w:val="33"/>
          <w:rFonts w:ascii="黑体" w:hAnsi="黑体"/>
          <w:bCs/>
        </w:rPr>
      </w:pPr>
      <w:bookmarkStart w:id="50" w:name="_Toc115203640"/>
      <w:bookmarkStart w:id="51" w:name="_Toc15396609"/>
      <w:bookmarkStart w:id="52" w:name="_Toc15377215"/>
      <w:r>
        <w:rPr>
          <w:rFonts w:hint="eastAsia"/>
        </w:rPr>
        <w:t>七、</w:t>
      </w:r>
      <w:r>
        <w:rPr>
          <w:rStyle w:val="33"/>
          <w:rFonts w:hint="eastAsia" w:ascii="黑体" w:hAnsi="黑体"/>
          <w:bCs/>
        </w:rPr>
        <w:t>“三公”经费财政拨款支出决算情况说明</w:t>
      </w:r>
      <w:bookmarkEnd w:id="50"/>
      <w:bookmarkEnd w:id="51"/>
      <w:bookmarkEnd w:id="52"/>
    </w:p>
    <w:p>
      <w:pPr>
        <w:spacing w:line="600" w:lineRule="exact"/>
        <w:ind w:firstLine="640"/>
        <w:outlineLvl w:val="2"/>
        <w:rPr>
          <w:rFonts w:ascii="仿宋" w:hAnsi="仿宋" w:eastAsia="仿宋"/>
          <w:b/>
          <w:sz w:val="32"/>
          <w:szCs w:val="32"/>
        </w:rPr>
      </w:pPr>
      <w:bookmarkStart w:id="53" w:name="_Toc15377216"/>
      <w:r>
        <w:rPr>
          <w:rFonts w:hint="eastAsia" w:ascii="仿宋" w:hAnsi="仿宋" w:eastAsia="仿宋"/>
          <w:b/>
          <w:sz w:val="32"/>
          <w:szCs w:val="32"/>
        </w:rPr>
        <w:t>（一）“三公”经费财政拨款支出决算总体情况说明</w:t>
      </w:r>
      <w:bookmarkEnd w:id="5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21年“三公”经费财政拨款支出决算为0.39万元，完成预算100</w:t>
      </w:r>
      <w:r>
        <w:rPr>
          <w:rFonts w:ascii="仿宋" w:hAnsi="仿宋" w:eastAsia="仿宋"/>
          <w:sz w:val="32"/>
          <w:szCs w:val="32"/>
        </w:rPr>
        <w:t>%</w:t>
      </w:r>
      <w:r>
        <w:rPr>
          <w:rFonts w:hint="eastAsia" w:ascii="仿宋" w:hAnsi="仿宋" w:eastAsia="仿宋"/>
          <w:sz w:val="32"/>
          <w:szCs w:val="32"/>
        </w:rPr>
        <w:t>，决算数与预算数持平。</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（注：上述“预算”口径为调整预算数，包括一般公共预算和政府性基金预算财政拨款支出决算情况。）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54" w:name="_Toc15377217"/>
      <w:r>
        <w:rPr>
          <w:rFonts w:hint="eastAsia" w:ascii="仿宋" w:hAnsi="仿宋" w:eastAsia="仿宋"/>
          <w:b/>
          <w:sz w:val="32"/>
          <w:szCs w:val="32"/>
        </w:rPr>
        <w:t>（二）“三公”经费财政拨款支出决算具体情况说明</w:t>
      </w:r>
      <w:bookmarkEnd w:id="5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21年“三公”经费财政拨款支出决算中，因公出国（境）费支出决算0万元，年初未安排预算；公务用车购置及运行维护费支出决算0万元，年初未安排预算；公务接待费支出决算0.38万元，占100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pStyle w:val="7"/>
        <w:spacing w:before="97"/>
        <w:jc w:val="center"/>
      </w:pPr>
      <w:r>
        <w:drawing>
          <wp:inline distT="0" distB="0" distL="114300" distR="114300">
            <wp:extent cx="4572000" cy="2743200"/>
            <wp:effectExtent l="4445" t="4445" r="10795" b="10795"/>
            <wp:docPr id="8" name="图表 4" descr="7b0a202020202263686172745265734964223a20223837333737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因公出国（境）经费支出0万元，年初未安排预算</w:t>
      </w:r>
    </w:p>
    <w:p>
      <w:pPr>
        <w:spacing w:line="600" w:lineRule="exact"/>
        <w:ind w:firstLine="64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公务用车购置及运行维护费支出0万元,年初未安排预算。</w:t>
      </w:r>
    </w:p>
    <w:p>
      <w:pPr>
        <w:spacing w:line="600" w:lineRule="exact"/>
        <w:ind w:firstLine="64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公务接待费支出0.38万元，</w:t>
      </w:r>
      <w:r>
        <w:rPr>
          <w:rFonts w:hint="eastAsia"/>
        </w:rPr>
        <w:t>完成预算100</w:t>
      </w:r>
      <w:r>
        <w:t>%</w:t>
      </w:r>
      <w:r>
        <w:rPr>
          <w:rFonts w:hint="eastAsia"/>
        </w:rPr>
        <w:t>。</w:t>
      </w:r>
      <w:r>
        <w:rPr>
          <w:rFonts w:hint="eastAsia" w:ascii="仿宋" w:hAnsi="仿宋" w:eastAsia="仿宋"/>
          <w:sz w:val="32"/>
          <w:szCs w:val="32"/>
        </w:rPr>
        <w:t>公务接待费支出决算比</w:t>
      </w:r>
      <w:r>
        <w:rPr>
          <w:rFonts w:ascii="仿宋" w:hAnsi="仿宋" w:eastAsia="仿宋"/>
          <w:sz w:val="32"/>
          <w:szCs w:val="32"/>
        </w:rPr>
        <w:t>20</w:t>
      </w:r>
      <w:r>
        <w:rPr>
          <w:rFonts w:hint="eastAsia" w:ascii="仿宋" w:hAnsi="仿宋" w:eastAsia="仿宋"/>
          <w:sz w:val="32"/>
          <w:szCs w:val="32"/>
        </w:rPr>
        <w:t>20年持平。</w:t>
      </w:r>
    </w:p>
    <w:p>
      <w:pPr>
        <w:spacing w:line="600" w:lineRule="exact"/>
        <w:ind w:firstLine="640"/>
        <w:rPr>
          <w:rFonts w:ascii="仿宋" w:hAnsi="仿宋" w:eastAsia="仿宋"/>
          <w:sz w:val="32"/>
          <w:szCs w:val="32"/>
        </w:rPr>
      </w:pPr>
      <w:r>
        <w:rPr>
          <w:rFonts w:hint="eastAsia" w:ascii="仿宋" w:hAnsi="仿宋" w:eastAsia="仿宋"/>
          <w:sz w:val="32"/>
          <w:szCs w:val="32"/>
        </w:rPr>
        <w:t>国内公务接待支出0.38万元，主要用于执行公务、开展业务活动开支的交通费、住宿费、用餐费等。国内公务接待6批次，27人次（不包括陪同人员），共计支出0.39万元，具体内容包括：检查曾家地震台工作、应急演练6人次820元；市局9人参观地震前兆监测项目800元；市防震减灾中心4人检查曾家地震台站280元；调研地震宏观观测点座谈交流4人650元；检查中心工作4人750元；检查东溪河台站建设6人620元.</w:t>
      </w:r>
    </w:p>
    <w:p>
      <w:pPr>
        <w:pStyle w:val="3"/>
        <w:rPr>
          <w:rStyle w:val="33"/>
          <w:rFonts w:ascii="黑体" w:hAnsi="黑体"/>
          <w:bCs/>
        </w:rPr>
      </w:pPr>
      <w:bookmarkStart w:id="55" w:name="_Toc15396610"/>
      <w:bookmarkStart w:id="56" w:name="_Toc115203641"/>
      <w:bookmarkStart w:id="57" w:name="_Toc15377218"/>
      <w:r>
        <w:rPr>
          <w:rFonts w:hint="eastAsia"/>
        </w:rPr>
        <w:t>八、</w:t>
      </w:r>
      <w:r>
        <w:rPr>
          <w:rStyle w:val="33"/>
          <w:rFonts w:hint="eastAsia" w:ascii="黑体" w:hAnsi="黑体"/>
          <w:bCs/>
        </w:rPr>
        <w:t>政府性基金预算支出决算情况说明</w:t>
      </w:r>
      <w:bookmarkEnd w:id="55"/>
      <w:bookmarkEnd w:id="56"/>
      <w:bookmarkEnd w:id="57"/>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21年政府性基金预算财政拨款支出0万元。</w:t>
      </w:r>
    </w:p>
    <w:p>
      <w:pPr>
        <w:pStyle w:val="3"/>
        <w:numPr>
          <w:ilvl w:val="0"/>
          <w:numId w:val="1"/>
        </w:numPr>
        <w:ind w:firstLineChars="0"/>
        <w:rPr>
          <w:rStyle w:val="33"/>
          <w:rFonts w:ascii="黑体" w:hAnsi="黑体"/>
          <w:bCs/>
        </w:rPr>
      </w:pPr>
      <w:bookmarkStart w:id="58" w:name="_Toc115203642"/>
      <w:bookmarkStart w:id="59" w:name="_Toc15396611"/>
      <w:bookmarkStart w:id="60" w:name="_Toc15377219"/>
      <w:r>
        <w:rPr>
          <w:rStyle w:val="33"/>
          <w:rFonts w:hint="eastAsia" w:ascii="黑体" w:hAnsi="黑体"/>
          <w:bCs/>
        </w:rPr>
        <w:t>国有资本经营预算支出决算情况说明</w:t>
      </w:r>
      <w:bookmarkEnd w:id="58"/>
      <w:bookmarkEnd w:id="59"/>
      <w:bookmarkEnd w:id="60"/>
    </w:p>
    <w:p>
      <w:pPr>
        <w:spacing w:line="56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21年国有资本经营预算财政拨款支出0万元。</w:t>
      </w:r>
    </w:p>
    <w:p>
      <w:pPr>
        <w:pStyle w:val="3"/>
        <w:numPr>
          <w:ilvl w:val="0"/>
          <w:numId w:val="1"/>
        </w:numPr>
        <w:ind w:firstLineChars="0"/>
        <w:rPr>
          <w:rStyle w:val="33"/>
          <w:rFonts w:ascii="黑体" w:hAnsi="黑体"/>
          <w:bCs/>
        </w:rPr>
      </w:pPr>
      <w:bookmarkStart w:id="61" w:name="_Toc115203643"/>
      <w:bookmarkStart w:id="62" w:name="_Toc15377221"/>
      <w:bookmarkStart w:id="63" w:name="_Toc15396612"/>
      <w:r>
        <w:rPr>
          <w:rStyle w:val="33"/>
          <w:rFonts w:hint="eastAsia" w:ascii="黑体" w:hAnsi="黑体"/>
          <w:bCs/>
        </w:rPr>
        <w:t>预算绩效管理情况</w:t>
      </w:r>
      <w:bookmarkEnd w:id="61"/>
    </w:p>
    <w:p>
      <w:pPr>
        <w:spacing w:line="560" w:lineRule="exact"/>
        <w:ind w:firstLine="640"/>
        <w:rPr>
          <w:rFonts w:ascii="仿宋" w:hAnsi="仿宋" w:eastAsia="仿宋"/>
          <w:sz w:val="32"/>
          <w:szCs w:val="32"/>
        </w:rPr>
      </w:pPr>
      <w:r>
        <w:rPr>
          <w:rFonts w:hint="eastAsia" w:ascii="仿宋" w:hAnsi="仿宋" w:eastAsia="仿宋"/>
          <w:sz w:val="32"/>
          <w:szCs w:val="32"/>
        </w:rPr>
        <w:t>根据预算绩效管理要求，本单位在2021年度预算编制阶段，组织对地震监测项目（项目名称）1个项目开展了预算事前绩效评估，对4个项目编制了绩效目标，预算执行过程中，选取1个项目开展绩效监控，年终执行完毕后，对1个项目开展了绩效自评，2021年部门预算项目绩效目标自评表见附件（第四部分）。</w:t>
      </w:r>
    </w:p>
    <w:p>
      <w:pPr>
        <w:pStyle w:val="3"/>
        <w:numPr>
          <w:ilvl w:val="0"/>
          <w:numId w:val="1"/>
        </w:numPr>
        <w:ind w:firstLineChars="0"/>
        <w:rPr>
          <w:rStyle w:val="33"/>
          <w:rFonts w:ascii="黑体" w:hAnsi="黑体"/>
          <w:bCs/>
        </w:rPr>
      </w:pPr>
      <w:bookmarkStart w:id="64" w:name="_Toc115203644"/>
      <w:r>
        <w:rPr>
          <w:rStyle w:val="33"/>
          <w:rFonts w:hint="eastAsia" w:ascii="黑体" w:hAnsi="黑体"/>
          <w:bCs/>
        </w:rPr>
        <w:t>其他重要事项的情况说明</w:t>
      </w:r>
      <w:bookmarkEnd w:id="62"/>
      <w:bookmarkEnd w:id="63"/>
      <w:bookmarkEnd w:id="64"/>
    </w:p>
    <w:p>
      <w:pPr>
        <w:spacing w:line="560" w:lineRule="exact"/>
        <w:ind w:firstLine="643" w:firstLineChars="200"/>
        <w:outlineLvl w:val="2"/>
        <w:rPr>
          <w:rFonts w:ascii="仿宋" w:hAnsi="仿宋" w:eastAsia="仿宋"/>
          <w:sz w:val="32"/>
          <w:szCs w:val="32"/>
        </w:rPr>
      </w:pPr>
      <w:bookmarkStart w:id="65" w:name="_Toc15377222"/>
      <w:r>
        <w:rPr>
          <w:rFonts w:hint="eastAsia" w:ascii="仿宋" w:hAnsi="仿宋" w:eastAsia="仿宋"/>
          <w:b/>
          <w:sz w:val="32"/>
          <w:szCs w:val="32"/>
        </w:rPr>
        <w:t>（一）机关运行经费支出情况</w:t>
      </w:r>
      <w:bookmarkEnd w:id="65"/>
    </w:p>
    <w:p>
      <w:pPr>
        <w:spacing w:line="56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21年，广元市朝天区防震减灾中心机关运行经费支出11.5万元，比</w:t>
      </w:r>
      <w:r>
        <w:rPr>
          <w:rFonts w:ascii="仿宋" w:hAnsi="仿宋" w:eastAsia="仿宋"/>
          <w:sz w:val="32"/>
          <w:szCs w:val="32"/>
        </w:rPr>
        <w:t>20</w:t>
      </w:r>
      <w:r>
        <w:rPr>
          <w:rFonts w:hint="eastAsia" w:ascii="仿宋" w:hAnsi="仿宋" w:eastAsia="仿宋"/>
          <w:sz w:val="32"/>
          <w:szCs w:val="32"/>
        </w:rPr>
        <w:t>20年减少1.5万元，下降13</w:t>
      </w:r>
      <w:r>
        <w:rPr>
          <w:rFonts w:ascii="仿宋" w:hAnsi="仿宋" w:eastAsia="仿宋"/>
          <w:sz w:val="32"/>
          <w:szCs w:val="32"/>
        </w:rPr>
        <w:t>%</w:t>
      </w:r>
      <w:r>
        <w:rPr>
          <w:rFonts w:hint="eastAsia" w:ascii="仿宋" w:hAnsi="仿宋" w:eastAsia="仿宋"/>
          <w:sz w:val="32"/>
          <w:szCs w:val="32"/>
        </w:rPr>
        <w:t>。主要原因是人员有变动（公务员调出1人，调进1人）</w:t>
      </w:r>
    </w:p>
    <w:p>
      <w:pPr>
        <w:autoSpaceDE w:val="0"/>
        <w:autoSpaceDN w:val="0"/>
        <w:adjustRightInd w:val="0"/>
        <w:spacing w:line="560" w:lineRule="exact"/>
        <w:ind w:firstLine="643" w:firstLineChars="200"/>
        <w:outlineLvl w:val="2"/>
        <w:rPr>
          <w:rFonts w:ascii="仿宋" w:hAnsi="仿宋" w:eastAsia="仿宋"/>
          <w:b/>
          <w:sz w:val="32"/>
          <w:szCs w:val="32"/>
        </w:rPr>
      </w:pPr>
      <w:bookmarkStart w:id="66" w:name="_Toc15377223"/>
      <w:r>
        <w:rPr>
          <w:rFonts w:hint="eastAsia" w:ascii="仿宋" w:hAnsi="仿宋" w:eastAsia="仿宋"/>
          <w:b/>
          <w:sz w:val="32"/>
          <w:szCs w:val="32"/>
        </w:rPr>
        <w:t>（二）政府采购支出情况</w:t>
      </w:r>
      <w:bookmarkEnd w:id="66"/>
    </w:p>
    <w:p>
      <w:pPr>
        <w:spacing w:line="56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21年，广元市朝天区防震减灾中心政府采购支出总额0万元，其中：政府采购货物支出0万元、政府采购工程支出0万元、政府采购服务支出0万元。</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560" w:lineRule="exact"/>
        <w:ind w:firstLine="643" w:firstLineChars="200"/>
        <w:outlineLvl w:val="2"/>
        <w:rPr>
          <w:rFonts w:ascii="仿宋" w:hAnsi="仿宋" w:eastAsia="仿宋"/>
          <w:b/>
          <w:sz w:val="32"/>
          <w:szCs w:val="32"/>
        </w:rPr>
      </w:pPr>
      <w:bookmarkStart w:id="67" w:name="_Toc15377224"/>
      <w:r>
        <w:rPr>
          <w:rFonts w:hint="eastAsia" w:ascii="仿宋" w:hAnsi="仿宋" w:eastAsia="仿宋"/>
          <w:b/>
          <w:sz w:val="32"/>
          <w:szCs w:val="32"/>
        </w:rPr>
        <w:t>（三）国有资产占有使用情况</w:t>
      </w:r>
      <w:bookmarkEnd w:id="67"/>
    </w:p>
    <w:p>
      <w:pPr>
        <w:spacing w:line="560" w:lineRule="exact"/>
        <w:ind w:firstLine="64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rPr>
        <w:t>21年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日，广元市朝天区防震减灾中心共有车辆0辆，其中：主要领导干部用车0辆、机要通信用车0辆、应急保障用车0辆、其他用车0辆。</w:t>
      </w:r>
    </w:p>
    <w:p>
      <w:pPr>
        <w:autoSpaceDE w:val="0"/>
        <w:autoSpaceDN w:val="0"/>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pPr>
        <w:pStyle w:val="7"/>
        <w:spacing w:before="97" w:line="560" w:lineRule="exact"/>
        <w:rPr>
          <w:highlight w:val="yellow"/>
        </w:rPr>
      </w:pPr>
    </w:p>
    <w:p>
      <w:pPr>
        <w:spacing w:line="560" w:lineRule="exact"/>
        <w:rPr>
          <w:rFonts w:ascii="仿宋_GB2312" w:eastAsia="仿宋_GB2312"/>
          <w:b/>
          <w:sz w:val="32"/>
          <w:szCs w:val="32"/>
        </w:rPr>
      </w:pPr>
      <w:r>
        <w:rPr>
          <w:rFonts w:ascii="仿宋_GB2312" w:eastAsia="仿宋_GB2312"/>
          <w:b/>
          <w:sz w:val="32"/>
          <w:szCs w:val="32"/>
        </w:rPr>
        <w:br w:type="page"/>
      </w:r>
    </w:p>
    <w:p>
      <w:pPr>
        <w:pStyle w:val="2"/>
        <w:numPr>
          <w:ilvl w:val="0"/>
          <w:numId w:val="2"/>
        </w:numPr>
        <w:rPr>
          <w:rFonts w:ascii="黑体" w:hAnsi="黑体"/>
          <w:b w:val="0"/>
        </w:rPr>
      </w:pPr>
      <w:bookmarkStart w:id="68" w:name="_Toc115203645"/>
      <w:bookmarkStart w:id="69" w:name="_Toc15377225"/>
      <w:bookmarkStart w:id="70" w:name="_Toc15396613"/>
      <w:r>
        <w:rPr>
          <w:rFonts w:hint="eastAsia" w:ascii="黑体" w:hAnsi="黑体"/>
        </w:rPr>
        <w:t>名</w:t>
      </w:r>
      <w:r>
        <w:rPr>
          <w:rStyle w:val="32"/>
          <w:rFonts w:hint="eastAsia" w:ascii="黑体" w:hAnsi="黑体"/>
          <w:b w:val="0"/>
          <w:bCs/>
        </w:rPr>
        <w:t>词解释</w:t>
      </w:r>
      <w:bookmarkEnd w:id="68"/>
      <w:bookmarkEnd w:id="69"/>
      <w:bookmarkEnd w:id="70"/>
    </w:p>
    <w:p>
      <w:pPr>
        <w:spacing w:line="600" w:lineRule="exact"/>
        <w:ind w:firstLine="64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财政拨款收入：指单位从同级财政部门取得的财政预算资金。</w:t>
      </w:r>
    </w:p>
    <w:p>
      <w:pPr>
        <w:spacing w:line="600" w:lineRule="exact"/>
        <w:ind w:firstLine="64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事业收入：指事业单位开展专业业务活动及辅助活动取得的收入。如…（二级预算单位事业收入情况）等。</w:t>
      </w:r>
    </w:p>
    <w:p>
      <w:pPr>
        <w:spacing w:line="600" w:lineRule="exact"/>
        <w:ind w:firstLine="64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经营收入：指事业单位在专业业务活动及其辅助活动之外开展非独立核算经营活动取得的收入。如…（二级预算单位经营收入情况）等。</w:t>
      </w:r>
    </w:p>
    <w:p>
      <w:pPr>
        <w:spacing w:line="600" w:lineRule="exact"/>
        <w:ind w:firstLine="64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其他收入：指单位取得的除上述收入以外的各项收入。主要是…（收入类型）等。</w:t>
      </w:r>
    </w:p>
    <w:p>
      <w:pPr>
        <w:spacing w:line="600" w:lineRule="exact"/>
        <w:ind w:firstLine="64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使用非财政拨款结余：指事业单位使用以前年度积累的非财政拨款结余弥补当年收支差额的金额。</w:t>
      </w:r>
    </w:p>
    <w:p>
      <w:pPr>
        <w:spacing w:line="600" w:lineRule="exact"/>
        <w:ind w:firstLine="64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年初结转和结余：指以前年度尚未完成、结转到本年按有关规定继续使用的资金。</w:t>
      </w:r>
    </w:p>
    <w:p>
      <w:pPr>
        <w:spacing w:line="600" w:lineRule="exact"/>
        <w:ind w:firstLine="64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结余分配：指事业单位按照会计制度规定缴纳的所得税、提取的专用结余以及转入非财政拨款结余的金额等。</w:t>
      </w:r>
    </w:p>
    <w:p>
      <w:pPr>
        <w:spacing w:line="600" w:lineRule="exact"/>
        <w:ind w:firstLine="64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年末结转和结余：指单位按有关规定结转到下年或以后年度继续使用的资金。</w:t>
      </w:r>
    </w:p>
    <w:p>
      <w:pPr>
        <w:spacing w:line="600" w:lineRule="exact"/>
        <w:ind w:firstLine="640"/>
        <w:rPr>
          <w:rFonts w:ascii="仿宋" w:hAnsi="仿宋" w:eastAsia="仿宋"/>
          <w:sz w:val="32"/>
          <w:szCs w:val="32"/>
        </w:rPr>
      </w:pPr>
      <w:r>
        <w:rPr>
          <w:rFonts w:ascii="仿宋" w:hAnsi="仿宋" w:eastAsia="仿宋"/>
          <w:sz w:val="32"/>
          <w:szCs w:val="32"/>
        </w:rPr>
        <w:t>27.</w:t>
      </w:r>
      <w:r>
        <w:rPr>
          <w:rFonts w:hint="eastAsia" w:ascii="仿宋" w:hAnsi="仿宋" w:eastAsia="仿宋"/>
          <w:sz w:val="32"/>
          <w:szCs w:val="32"/>
        </w:rPr>
        <w:t>基本支出：指为保障机构正常运转、完成日常工作任务而发生的人员支出和公用支出。</w:t>
      </w:r>
    </w:p>
    <w:p>
      <w:pPr>
        <w:spacing w:line="600" w:lineRule="exact"/>
        <w:ind w:firstLine="640"/>
        <w:rPr>
          <w:rFonts w:ascii="仿宋" w:hAnsi="仿宋" w:eastAsia="仿宋"/>
          <w:sz w:val="32"/>
          <w:szCs w:val="32"/>
        </w:rPr>
      </w:pPr>
      <w:r>
        <w:rPr>
          <w:rFonts w:ascii="仿宋" w:hAnsi="仿宋" w:eastAsia="仿宋"/>
          <w:sz w:val="32"/>
          <w:szCs w:val="32"/>
        </w:rPr>
        <w:t>28.</w:t>
      </w:r>
      <w:r>
        <w:rPr>
          <w:rFonts w:hint="eastAsia" w:ascii="仿宋" w:hAnsi="仿宋" w:eastAsia="仿宋"/>
          <w:sz w:val="32"/>
          <w:szCs w:val="32"/>
        </w:rPr>
        <w:t>项目支出：指在基本支出之外为完成特定行政任务和事业发展目标所发生的支出。</w:t>
      </w:r>
    </w:p>
    <w:p>
      <w:pPr>
        <w:spacing w:line="600" w:lineRule="exact"/>
        <w:ind w:firstLine="640"/>
        <w:rPr>
          <w:rFonts w:ascii="仿宋" w:hAnsi="仿宋" w:eastAsia="仿宋"/>
          <w:sz w:val="32"/>
          <w:szCs w:val="32"/>
        </w:rPr>
      </w:pPr>
      <w:r>
        <w:rPr>
          <w:rFonts w:ascii="仿宋" w:hAnsi="仿宋" w:eastAsia="仿宋"/>
          <w:sz w:val="32"/>
          <w:szCs w:val="32"/>
        </w:rPr>
        <w:t>29.</w:t>
      </w:r>
      <w:r>
        <w:rPr>
          <w:rFonts w:hint="eastAsia" w:ascii="仿宋" w:hAnsi="仿宋" w:eastAsia="仿宋"/>
          <w:sz w:val="32"/>
          <w:szCs w:val="32"/>
        </w:rPr>
        <w:t>经营支出：指事业单位在专业业务活动及其辅助活动之外开展非独立核算经营活动发生的支出。</w:t>
      </w:r>
    </w:p>
    <w:p>
      <w:pPr>
        <w:spacing w:line="600" w:lineRule="exact"/>
        <w:ind w:firstLine="640"/>
        <w:rPr>
          <w:rFonts w:ascii="仿宋" w:hAnsi="仿宋" w:eastAsia="仿宋"/>
          <w:sz w:val="32"/>
          <w:szCs w:val="32"/>
        </w:rPr>
      </w:pPr>
      <w:r>
        <w:rPr>
          <w:rFonts w:ascii="仿宋" w:hAnsi="仿宋" w:eastAsia="仿宋"/>
          <w:sz w:val="32"/>
          <w:szCs w:val="32"/>
        </w:rPr>
        <w:t>30.</w:t>
      </w:r>
      <w:r>
        <w:rPr>
          <w:rFonts w:hint="eastAsia" w:ascii="仿宋" w:hAnsi="仿宋" w:eastAsia="仿宋"/>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ascii="仿宋" w:hAnsi="仿宋" w:eastAsia="仿宋"/>
          <w:sz w:val="32"/>
          <w:szCs w:val="32"/>
        </w:rPr>
      </w:pPr>
      <w:r>
        <w:rPr>
          <w:rFonts w:ascii="仿宋" w:hAnsi="仿宋" w:eastAsia="仿宋"/>
          <w:sz w:val="32"/>
          <w:szCs w:val="32"/>
        </w:rPr>
        <w:t>31.</w:t>
      </w:r>
      <w:r>
        <w:rPr>
          <w:rFonts w:hint="eastAsia" w:ascii="仿宋" w:hAnsi="仿宋" w:eastAsia="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pPr>
      <w:bookmarkStart w:id="71" w:name="_Toc15377226"/>
      <w:r>
        <w:br w:type="page"/>
      </w:r>
      <w:bookmarkStart w:id="72" w:name="_Toc115203646"/>
      <w:bookmarkStart w:id="73" w:name="_Toc15396614"/>
      <w:r>
        <w:rPr>
          <w:rFonts w:hint="eastAsia"/>
        </w:rPr>
        <w:t>第四部分附件</w:t>
      </w:r>
      <w:bookmarkEnd w:id="72"/>
      <w:bookmarkEnd w:id="73"/>
    </w:p>
    <w:p>
      <w:pPr>
        <w:adjustRightInd w:val="0"/>
        <w:snapToGrid w:val="0"/>
        <w:spacing w:line="576" w:lineRule="exact"/>
        <w:contextualSpacing/>
        <w:rPr>
          <w:rFonts w:ascii="黑体" w:eastAsia="黑体"/>
          <w:color w:val="000000"/>
          <w:sz w:val="32"/>
          <w:szCs w:val="32"/>
          <w:shd w:val="clear" w:color="auto" w:fill="FFFFFF"/>
          <w:lang w:val="zh-CN"/>
        </w:rPr>
      </w:pPr>
      <w:r>
        <w:rPr>
          <w:rFonts w:hint="eastAsia" w:ascii="黑体" w:eastAsia="黑体"/>
          <w:color w:val="000000"/>
          <w:sz w:val="32"/>
          <w:szCs w:val="32"/>
          <w:shd w:val="clear" w:color="auto" w:fill="FFFFFF"/>
          <w:lang w:val="zh-CN"/>
        </w:rPr>
        <w:t>附件1：</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广元市朝天区防震减灾中心</w:t>
      </w:r>
    </w:p>
    <w:p>
      <w:pPr>
        <w:spacing w:line="600" w:lineRule="exact"/>
        <w:jc w:val="center"/>
        <w:rPr>
          <w:rFonts w:ascii="方正小标宋简体" w:hAnsi="方正小标宋简体" w:eastAsia="方正小标宋简体" w:cs="方正小标宋简体"/>
          <w:sz w:val="40"/>
          <w:szCs w:val="40"/>
          <w:lang w:val="zh-CN"/>
        </w:rPr>
      </w:pPr>
      <w:r>
        <w:rPr>
          <w:rFonts w:ascii="方正小标宋简体" w:hAnsi="方正小标宋简体" w:eastAsia="方正小标宋简体" w:cs="方正小标宋简体"/>
          <w:sz w:val="40"/>
          <w:szCs w:val="40"/>
          <w:lang w:val="zh-CN"/>
        </w:rPr>
        <w:t>2021</w:t>
      </w:r>
      <w:r>
        <w:rPr>
          <w:rFonts w:hint="eastAsia" w:ascii="方正小标宋简体" w:hAnsi="方正小标宋简体" w:eastAsia="方正小标宋简体" w:cs="方正小标宋简体"/>
          <w:sz w:val="40"/>
          <w:szCs w:val="40"/>
          <w:lang w:val="zh-CN"/>
        </w:rPr>
        <w:t>年部门整体支出绩效评价报告</w:t>
      </w:r>
    </w:p>
    <w:p>
      <w:pPr>
        <w:spacing w:line="600" w:lineRule="exact"/>
        <w:jc w:val="center"/>
        <w:rPr>
          <w:rFonts w:ascii="方正小标宋简体" w:eastAsia="方正小标宋简体"/>
          <w:color w:val="000000"/>
          <w:w w:val="90"/>
          <w:sz w:val="40"/>
          <w:szCs w:val="44"/>
          <w:lang w:val="zh-CN"/>
        </w:rPr>
      </w:pPr>
    </w:p>
    <w:p>
      <w:pPr>
        <w:adjustRightInd w:val="0"/>
        <w:snapToGrid w:val="0"/>
        <w:spacing w:line="576" w:lineRule="exact"/>
        <w:ind w:firstLine="640" w:firstLineChars="200"/>
        <w:contextualSpacing/>
        <w:rPr>
          <w:rFonts w:ascii="黑体" w:eastAsia="黑体"/>
          <w:color w:val="000000"/>
          <w:sz w:val="32"/>
          <w:szCs w:val="32"/>
          <w:shd w:val="clear" w:color="auto" w:fill="FFFFFF"/>
          <w:lang w:val="zh-CN"/>
        </w:rPr>
      </w:pPr>
      <w:r>
        <w:rPr>
          <w:rFonts w:hint="eastAsia" w:ascii="黑体" w:eastAsia="黑体"/>
          <w:color w:val="000000"/>
          <w:sz w:val="32"/>
          <w:szCs w:val="32"/>
          <w:shd w:val="clear" w:color="auto" w:fill="FFFFFF"/>
        </w:rPr>
        <w:t>一、</w:t>
      </w:r>
      <w:r>
        <w:rPr>
          <w:rFonts w:hint="eastAsia" w:ascii="黑体" w:eastAsia="黑体"/>
          <w:color w:val="000000"/>
          <w:sz w:val="32"/>
          <w:szCs w:val="32"/>
          <w:shd w:val="clear" w:color="auto" w:fill="FFFFFF"/>
          <w:lang w:val="zh-CN"/>
        </w:rPr>
        <w:t>部门（单位）概况</w:t>
      </w:r>
    </w:p>
    <w:p>
      <w:pPr>
        <w:adjustRightInd w:val="0"/>
        <w:snapToGrid w:val="0"/>
        <w:spacing w:line="572" w:lineRule="exact"/>
        <w:ind w:firstLine="640" w:firstLineChars="200"/>
        <w:contextualSpacing/>
        <w:rPr>
          <w:rFonts w:ascii="仿宋_GB2312" w:eastAsia="仿宋_GB2312"/>
          <w:sz w:val="32"/>
          <w:szCs w:val="32"/>
          <w:shd w:val="clear" w:color="auto" w:fill="FFFFFF"/>
          <w:lang w:val="zh-CN"/>
        </w:rPr>
      </w:pPr>
      <w:r>
        <w:rPr>
          <w:rFonts w:hint="eastAsia" w:ascii="仿宋_GB2312" w:eastAsia="仿宋_GB2312"/>
          <w:sz w:val="32"/>
          <w:szCs w:val="32"/>
          <w:shd w:val="clear" w:color="auto" w:fill="FFFFFF"/>
          <w:lang w:val="zh-CN"/>
        </w:rPr>
        <w:t>（一）机构组成。</w:t>
      </w:r>
      <w:r>
        <w:rPr>
          <w:rFonts w:hint="eastAsia" w:ascii="仿宋" w:hAnsi="仿宋" w:eastAsia="仿宋"/>
          <w:sz w:val="32"/>
          <w:szCs w:val="32"/>
        </w:rPr>
        <w:t>2019年机构改革后，由区政府直属正科级事业单位防震减灾局改成区政府直属副科级事业单位区防震减灾中心，与朝天区地震台两块牌子，一套人马，合署办公，同时，兼负朝天区地震陈列馆日常工作。</w:t>
      </w:r>
    </w:p>
    <w:p>
      <w:pPr>
        <w:adjustRightInd w:val="0"/>
        <w:snapToGrid w:val="0"/>
        <w:spacing w:line="572" w:lineRule="exact"/>
        <w:ind w:firstLine="640" w:firstLineChars="200"/>
        <w:contextualSpacing/>
        <w:rPr>
          <w:rFonts w:ascii="仿宋_GB2312" w:eastAsia="仿宋_GB2312"/>
          <w:sz w:val="32"/>
          <w:szCs w:val="32"/>
          <w:shd w:val="clear" w:color="auto" w:fill="FFFFFF"/>
          <w:lang w:val="zh-CN"/>
        </w:rPr>
      </w:pPr>
      <w:r>
        <w:rPr>
          <w:rFonts w:hint="eastAsia" w:ascii="仿宋_GB2312" w:eastAsia="仿宋_GB2312"/>
          <w:color w:val="000000"/>
          <w:sz w:val="32"/>
          <w:szCs w:val="32"/>
          <w:shd w:val="clear" w:color="auto" w:fill="FFFFFF"/>
          <w:lang w:val="zh-CN"/>
        </w:rPr>
        <w:t>（二）机构职能。</w:t>
      </w:r>
      <w:r>
        <w:rPr>
          <w:rFonts w:hint="eastAsia" w:ascii="仿宋" w:hAnsi="仿宋" w:eastAsia="仿宋"/>
          <w:sz w:val="32"/>
          <w:szCs w:val="32"/>
        </w:rPr>
        <w:t>贯彻落实国家和省、市有关防震减灾工作的方针、政策、法律、法规、规章和行业标准。</w:t>
      </w:r>
    </w:p>
    <w:p>
      <w:pPr>
        <w:spacing w:line="600" w:lineRule="exact"/>
        <w:ind w:firstLine="64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拟订全区地震监测中长期发展规划和年度计划，并组织实施。</w:t>
      </w:r>
    </w:p>
    <w:p>
      <w:pPr>
        <w:spacing w:line="600" w:lineRule="exact"/>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做好地震监测预警预报工作；负责提出辖区内及邻近地区地震趋势意见；负责地震群测群防工作；负责地震短临跟踪及震情趋势研判；负责震情速报工作；配合上级地震主管部门进行地 震烈度调查。</w:t>
      </w:r>
    </w:p>
    <w:p>
      <w:pPr>
        <w:spacing w:line="600" w:lineRule="exact"/>
        <w:ind w:firstLine="64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推进地震监测科技现代化；组织地震监测科学技术研究与攻关、科技成果的推广应用；开展学术交流,负责本辖区内地震台的监测业务工作。</w:t>
      </w:r>
    </w:p>
    <w:p>
      <w:pPr>
        <w:spacing w:line="600" w:lineRule="exact"/>
        <w:ind w:firstLine="64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会同有关部门开展防震减灾宣传教育工作，普及防震减灾 知识，提高全社会的防震减灾意识。</w:t>
      </w:r>
    </w:p>
    <w:p>
      <w:pPr>
        <w:spacing w:line="600" w:lineRule="exact"/>
        <w:ind w:firstLine="640"/>
        <w:rPr>
          <w:rFonts w:ascii="仿宋" w:hAnsi="仿宋" w:eastAsia="仿宋"/>
          <w:sz w:val="32"/>
          <w:szCs w:val="32"/>
        </w:rPr>
      </w:pPr>
      <w:r>
        <w:rPr>
          <w:rFonts w:hint="eastAsia" w:ascii="仿宋" w:hAnsi="仿宋" w:eastAsia="仿宋"/>
          <w:sz w:val="32"/>
          <w:szCs w:val="32"/>
        </w:rPr>
        <w:t>5.完成区委、区政府交办的其他任务。</w:t>
      </w:r>
    </w:p>
    <w:p>
      <w:pPr>
        <w:adjustRightInd w:val="0"/>
        <w:snapToGrid w:val="0"/>
        <w:spacing w:line="576" w:lineRule="exact"/>
        <w:ind w:firstLine="640" w:firstLineChars="200"/>
        <w:contextualSpacing/>
        <w:rPr>
          <w:rFonts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（三）人员概况。</w:t>
      </w:r>
      <w:r>
        <w:rPr>
          <w:rFonts w:hint="eastAsia" w:ascii="仿宋" w:hAnsi="仿宋" w:eastAsia="仿宋"/>
          <w:sz w:val="32"/>
          <w:szCs w:val="32"/>
        </w:rPr>
        <w:t>人员编制情况。区防震减灾中心是政府直属事业单位，参照公务员管理编制5人。</w:t>
      </w:r>
    </w:p>
    <w:p>
      <w:pPr>
        <w:adjustRightInd w:val="0"/>
        <w:snapToGrid w:val="0"/>
        <w:spacing w:line="576" w:lineRule="exact"/>
        <w:ind w:firstLine="640" w:firstLineChars="200"/>
        <w:contextualSpacing/>
        <w:rPr>
          <w:rFonts w:ascii="黑体" w:eastAsia="黑体"/>
          <w:color w:val="000000"/>
          <w:sz w:val="32"/>
          <w:szCs w:val="32"/>
          <w:shd w:val="clear" w:color="auto" w:fill="FFFFFF"/>
        </w:rPr>
      </w:pPr>
      <w:r>
        <w:rPr>
          <w:rFonts w:hint="eastAsia" w:ascii="黑体" w:eastAsia="黑体"/>
          <w:color w:val="000000"/>
          <w:sz w:val="32"/>
          <w:szCs w:val="32"/>
          <w:shd w:val="clear" w:color="auto" w:fill="FFFFFF"/>
        </w:rPr>
        <w:t>二、部门财政资金收支情况</w:t>
      </w:r>
    </w:p>
    <w:p>
      <w:pPr>
        <w:adjustRightInd w:val="0"/>
        <w:snapToGrid w:val="0"/>
        <w:spacing w:line="576" w:lineRule="exact"/>
        <w:ind w:firstLine="640" w:firstLineChars="200"/>
        <w:contextualSpacing/>
        <w:rPr>
          <w:rFonts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（一）部门财政资金收入情况。</w:t>
      </w:r>
    </w:p>
    <w:p>
      <w:pPr>
        <w:adjustRightInd w:val="0"/>
        <w:snapToGrid w:val="0"/>
        <w:spacing w:line="576" w:lineRule="exact"/>
        <w:ind w:firstLine="640" w:firstLineChars="200"/>
        <w:contextualSpacing/>
        <w:rPr>
          <w:rFonts w:ascii="仿宋_GB2312" w:eastAsia="仿宋_GB2312"/>
          <w:color w:val="000000"/>
          <w:sz w:val="32"/>
          <w:szCs w:val="32"/>
          <w:shd w:val="clear" w:color="auto" w:fill="FFFFFF"/>
          <w:lang w:val="zh-CN"/>
        </w:rPr>
      </w:pPr>
      <w:r>
        <w:rPr>
          <w:rFonts w:hint="eastAsia" w:ascii="仿宋" w:hAnsi="仿宋" w:eastAsia="仿宋"/>
          <w:sz w:val="32"/>
          <w:szCs w:val="32"/>
        </w:rPr>
        <w:t>全年收入合计为</w:t>
      </w:r>
      <w:r>
        <w:rPr>
          <w:rFonts w:ascii="仿宋" w:hAnsi="仿宋" w:eastAsia="仿宋"/>
          <w:sz w:val="32"/>
          <w:szCs w:val="32"/>
        </w:rPr>
        <w:t>141.88</w:t>
      </w:r>
      <w:r>
        <w:rPr>
          <w:rFonts w:hint="eastAsia" w:ascii="仿宋" w:hAnsi="仿宋" w:eastAsia="仿宋"/>
          <w:sz w:val="32"/>
          <w:szCs w:val="32"/>
        </w:rPr>
        <w:t>万元。</w:t>
      </w:r>
    </w:p>
    <w:p>
      <w:pPr>
        <w:pStyle w:val="39"/>
        <w:tabs>
          <w:tab w:val="left" w:pos="845"/>
        </w:tabs>
        <w:spacing w:line="576" w:lineRule="exact"/>
        <w:ind w:firstLine="640" w:firstLineChars="200"/>
        <w:rPr>
          <w:rFonts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（二）部门财政资金支出情况。</w:t>
      </w:r>
    </w:p>
    <w:p>
      <w:pPr>
        <w:adjustRightInd w:val="0"/>
        <w:snapToGrid w:val="0"/>
        <w:spacing w:line="576" w:lineRule="exact"/>
        <w:ind w:firstLine="640" w:firstLineChars="200"/>
        <w:contextualSpacing/>
        <w:rPr>
          <w:rFonts w:ascii="仿宋_GB2312" w:eastAsia="仿宋_GB2312"/>
          <w:color w:val="000000"/>
          <w:sz w:val="32"/>
          <w:szCs w:val="32"/>
          <w:shd w:val="clear" w:color="auto" w:fill="FFFFFF"/>
          <w:lang w:val="zh-CN"/>
        </w:rPr>
      </w:pPr>
      <w:r>
        <w:rPr>
          <w:rFonts w:hint="eastAsia" w:ascii="仿宋" w:hAnsi="仿宋" w:eastAsia="仿宋"/>
          <w:sz w:val="32"/>
          <w:szCs w:val="32"/>
        </w:rPr>
        <w:t>全年收入合计为</w:t>
      </w:r>
      <w:r>
        <w:rPr>
          <w:rFonts w:ascii="仿宋" w:hAnsi="仿宋" w:eastAsia="仿宋"/>
          <w:sz w:val="32"/>
          <w:szCs w:val="32"/>
        </w:rPr>
        <w:t>141.88</w:t>
      </w:r>
      <w:r>
        <w:rPr>
          <w:rFonts w:hint="eastAsia" w:ascii="仿宋" w:hAnsi="仿宋" w:eastAsia="仿宋"/>
          <w:sz w:val="32"/>
          <w:szCs w:val="32"/>
        </w:rPr>
        <w:t>万元。</w:t>
      </w:r>
    </w:p>
    <w:p>
      <w:pPr>
        <w:pStyle w:val="39"/>
        <w:tabs>
          <w:tab w:val="left" w:pos="845"/>
        </w:tabs>
        <w:spacing w:line="576" w:lineRule="exact"/>
        <w:ind w:firstLine="640" w:firstLineChars="200"/>
        <w:rPr>
          <w:rFonts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一是基本支出。基本支出用于为保障机构正常运转、完成日常工作任务而发生的支出，包括人员经费和公用经费。202</w:t>
      </w:r>
      <w:r>
        <w:rPr>
          <w:rFonts w:ascii="仿宋" w:hAnsi="仿宋" w:eastAsia="仿宋" w:cs="Times New Roman"/>
          <w:sz w:val="32"/>
          <w:szCs w:val="32"/>
          <w:lang w:val="en-US" w:eastAsia="zh-CN" w:bidi="ar-SA"/>
        </w:rPr>
        <w:t>1</w:t>
      </w:r>
      <w:r>
        <w:rPr>
          <w:rFonts w:hint="eastAsia" w:ascii="仿宋" w:hAnsi="仿宋" w:eastAsia="仿宋" w:cs="Times New Roman"/>
          <w:sz w:val="32"/>
          <w:szCs w:val="32"/>
          <w:lang w:val="en-US" w:eastAsia="zh-CN" w:bidi="ar-SA"/>
        </w:rPr>
        <w:t>年财政预算基本支出为</w:t>
      </w:r>
      <w:r>
        <w:rPr>
          <w:rFonts w:hint="eastAsia"/>
          <w:sz w:val="32"/>
          <w:szCs w:val="40"/>
        </w:rPr>
        <w:t>102.04万元</w:t>
      </w:r>
      <w:r>
        <w:rPr>
          <w:rFonts w:hint="eastAsia" w:ascii="仿宋" w:hAnsi="仿宋" w:eastAsia="仿宋" w:cs="Times New Roman"/>
          <w:sz w:val="32"/>
          <w:szCs w:val="32"/>
          <w:lang w:val="en-US" w:eastAsia="zh-CN" w:bidi="ar-SA"/>
        </w:rPr>
        <w:t>。</w:t>
      </w:r>
    </w:p>
    <w:p>
      <w:pPr>
        <w:pStyle w:val="39"/>
        <w:tabs>
          <w:tab w:val="left" w:pos="845"/>
        </w:tabs>
        <w:spacing w:line="576" w:lineRule="exact"/>
        <w:ind w:firstLine="640" w:firstLineChars="200"/>
        <w:rPr>
          <w:rFonts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二是项目支出。项目支出是在基本支出之外为完成其特定的行政工作任务而发生的支出，主要用于地震灾情预警系统正常维护、地震陈列馆运行维护、单位引进专业硕士研究生安家补助、防震减灾知识宣传科普、金财网络正常运行、区内地震台站监测系统日常维护、保障脱贫攻坚工作顺利开展。202</w:t>
      </w:r>
      <w:r>
        <w:rPr>
          <w:rFonts w:ascii="仿宋" w:hAnsi="仿宋" w:eastAsia="仿宋" w:cs="Times New Roman"/>
          <w:sz w:val="32"/>
          <w:szCs w:val="32"/>
          <w:lang w:val="en-US" w:eastAsia="zh-CN" w:bidi="ar-SA"/>
        </w:rPr>
        <w:t>1</w:t>
      </w:r>
      <w:r>
        <w:rPr>
          <w:rFonts w:hint="eastAsia" w:ascii="仿宋" w:hAnsi="仿宋" w:eastAsia="仿宋" w:cs="Times New Roman"/>
          <w:sz w:val="32"/>
          <w:szCs w:val="32"/>
          <w:lang w:val="en-US" w:eastAsia="zh-CN" w:bidi="ar-SA"/>
        </w:rPr>
        <w:t>年财政预算项目支出为39.84万元。</w:t>
      </w:r>
    </w:p>
    <w:p>
      <w:pPr>
        <w:pStyle w:val="39"/>
        <w:tabs>
          <w:tab w:val="left" w:pos="845"/>
        </w:tabs>
        <w:spacing w:line="576" w:lineRule="exact"/>
        <w:ind w:firstLine="640" w:firstLineChars="200"/>
        <w:rPr>
          <w:rFonts w:ascii="仿宋" w:hAnsi="仿宋" w:eastAsia="仿宋"/>
          <w:sz w:val="32"/>
          <w:szCs w:val="32"/>
        </w:rPr>
      </w:pPr>
      <w:r>
        <w:rPr>
          <w:rFonts w:hint="eastAsia" w:ascii="仿宋" w:hAnsi="仿宋" w:eastAsia="仿宋" w:cs="Times New Roman"/>
          <w:sz w:val="32"/>
          <w:szCs w:val="32"/>
          <w:lang w:val="en-US" w:eastAsia="zh-CN" w:bidi="ar-SA"/>
        </w:rPr>
        <w:t>全年收入合计为</w:t>
      </w:r>
      <w:r>
        <w:rPr>
          <w:rFonts w:ascii="仿宋" w:hAnsi="仿宋" w:eastAsia="仿宋" w:cs="Times New Roman"/>
          <w:sz w:val="32"/>
          <w:szCs w:val="32"/>
          <w:lang w:val="en-US" w:eastAsia="zh-CN" w:bidi="ar-SA"/>
        </w:rPr>
        <w:t>141.88</w:t>
      </w:r>
      <w:r>
        <w:rPr>
          <w:rFonts w:hint="eastAsia" w:ascii="仿宋" w:hAnsi="仿宋" w:eastAsia="仿宋"/>
          <w:sz w:val="32"/>
          <w:szCs w:val="32"/>
        </w:rPr>
        <w:t>万元，全年支出为</w:t>
      </w:r>
      <w:r>
        <w:rPr>
          <w:rFonts w:ascii="仿宋" w:hAnsi="仿宋" w:eastAsia="仿宋"/>
          <w:sz w:val="32"/>
          <w:szCs w:val="32"/>
        </w:rPr>
        <w:t>141.88</w:t>
      </w:r>
      <w:r>
        <w:rPr>
          <w:rFonts w:hint="eastAsia" w:ascii="仿宋" w:hAnsi="仿宋" w:eastAsia="仿宋"/>
          <w:sz w:val="32"/>
          <w:szCs w:val="32"/>
        </w:rPr>
        <w:t>万元，本年收支差额0万元。</w:t>
      </w:r>
    </w:p>
    <w:p>
      <w:pPr>
        <w:adjustRightInd w:val="0"/>
        <w:snapToGrid w:val="0"/>
        <w:spacing w:line="576" w:lineRule="exact"/>
        <w:ind w:firstLine="640" w:firstLineChars="200"/>
        <w:contextualSpacing/>
        <w:rPr>
          <w:rFonts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三、部门整体预算绩效管理情况</w:t>
      </w:r>
    </w:p>
    <w:p>
      <w:pPr>
        <w:adjustRightInd w:val="0"/>
        <w:snapToGrid w:val="0"/>
        <w:spacing w:line="576" w:lineRule="exact"/>
        <w:ind w:firstLine="640" w:firstLineChars="200"/>
        <w:contextualSpacing/>
        <w:rPr>
          <w:rFonts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（一）部门预算项目绩效管理。</w:t>
      </w:r>
    </w:p>
    <w:p>
      <w:pPr>
        <w:adjustRightInd w:val="0"/>
        <w:snapToGrid w:val="0"/>
        <w:spacing w:line="580" w:lineRule="exact"/>
        <w:ind w:firstLine="640" w:firstLineChars="200"/>
        <w:contextualSpacing/>
        <w:rPr>
          <w:rFonts w:ascii="仿宋" w:hAnsi="仿宋" w:eastAsia="仿宋"/>
          <w:sz w:val="32"/>
          <w:szCs w:val="32"/>
        </w:rPr>
      </w:pPr>
      <w:r>
        <w:rPr>
          <w:rFonts w:hint="eastAsia" w:ascii="仿宋" w:hAnsi="仿宋" w:eastAsia="仿宋"/>
          <w:sz w:val="32"/>
          <w:szCs w:val="32"/>
        </w:rPr>
        <w:t>预算编制：预算编制合理性。预算编制符合本部门职责、符合区委区政府的方针政策和工作要求，编制项目资金预算能按照轻重缓急原则，结合实际，深入调研，精准测算，编实编细各类项目预算。202</w:t>
      </w:r>
      <w:r>
        <w:rPr>
          <w:rFonts w:ascii="仿宋" w:hAnsi="仿宋" w:eastAsia="仿宋"/>
          <w:sz w:val="32"/>
          <w:szCs w:val="32"/>
        </w:rPr>
        <w:t>1</w:t>
      </w:r>
      <w:r>
        <w:rPr>
          <w:rFonts w:hint="eastAsia" w:ascii="仿宋" w:hAnsi="仿宋" w:eastAsia="仿宋"/>
          <w:sz w:val="32"/>
          <w:szCs w:val="32"/>
        </w:rPr>
        <w:t>年初预算编制收入</w:t>
      </w:r>
      <w:r>
        <w:rPr>
          <w:rFonts w:ascii="仿宋" w:hAnsi="仿宋" w:eastAsia="仿宋"/>
          <w:sz w:val="32"/>
          <w:szCs w:val="32"/>
        </w:rPr>
        <w:t>141.88</w:t>
      </w:r>
      <w:r>
        <w:rPr>
          <w:rFonts w:hint="eastAsia" w:ascii="仿宋" w:hAnsi="仿宋" w:eastAsia="仿宋"/>
          <w:sz w:val="32"/>
          <w:szCs w:val="32"/>
        </w:rPr>
        <w:t>万元，编制支出</w:t>
      </w:r>
      <w:r>
        <w:rPr>
          <w:rFonts w:ascii="仿宋" w:hAnsi="仿宋" w:eastAsia="仿宋"/>
          <w:sz w:val="32"/>
          <w:szCs w:val="32"/>
        </w:rPr>
        <w:t>141.88</w:t>
      </w:r>
      <w:r>
        <w:rPr>
          <w:rFonts w:hint="eastAsia" w:ascii="仿宋" w:hAnsi="仿宋" w:eastAsia="仿宋"/>
          <w:sz w:val="32"/>
          <w:szCs w:val="32"/>
        </w:rPr>
        <w:t>万元。</w:t>
      </w:r>
    </w:p>
    <w:p>
      <w:pPr>
        <w:adjustRightInd w:val="0"/>
        <w:snapToGrid w:val="0"/>
        <w:spacing w:line="580" w:lineRule="exact"/>
        <w:ind w:firstLine="640" w:firstLineChars="200"/>
        <w:contextualSpacing/>
        <w:rPr>
          <w:rFonts w:ascii="仿宋" w:hAnsi="仿宋" w:eastAsia="仿宋"/>
          <w:sz w:val="32"/>
          <w:szCs w:val="32"/>
        </w:rPr>
      </w:pPr>
      <w:r>
        <w:rPr>
          <w:rFonts w:hint="eastAsia" w:ascii="仿宋" w:hAnsi="仿宋" w:eastAsia="仿宋"/>
          <w:sz w:val="32"/>
          <w:szCs w:val="32"/>
        </w:rPr>
        <w:t>目标完整性。本单位能按要求准时申报项目绩效目标和设置部门整体绩效目标，并对整体绩效目标能分解成具体工作任务，对预期产出和效益进行充分、恰当的描述。绩效指标中包含能够明确体现单位履职效果的社会经济效益指标；绩效指标具有清晰、可衡量的指标值，且设置了可量化的指标；绩效目标的目标值测算有依据，符合客观实际。</w:t>
      </w:r>
    </w:p>
    <w:p>
      <w:pPr>
        <w:adjustRightInd w:val="0"/>
        <w:snapToGrid w:val="0"/>
        <w:spacing w:line="580" w:lineRule="exact"/>
        <w:ind w:firstLine="640" w:firstLineChars="200"/>
        <w:contextualSpacing/>
        <w:rPr>
          <w:rFonts w:ascii="仿宋" w:hAnsi="仿宋" w:eastAsia="仿宋"/>
          <w:sz w:val="32"/>
          <w:szCs w:val="32"/>
        </w:rPr>
      </w:pPr>
      <w:r>
        <w:rPr>
          <w:rFonts w:hint="eastAsia" w:ascii="仿宋" w:hAnsi="仿宋" w:eastAsia="仿宋"/>
          <w:sz w:val="32"/>
          <w:szCs w:val="32"/>
        </w:rPr>
        <w:t>预算执行情况：本单位除对预算执行情况相应指标进行分析外，结合项目绩效自评情况，分项对区级财政预算安排的部门重点项目支出的项目管理、项目实施、资金使用和项目绩效进行重点分析。</w:t>
      </w:r>
    </w:p>
    <w:p>
      <w:pPr>
        <w:adjustRightInd w:val="0"/>
        <w:snapToGrid w:val="0"/>
        <w:spacing w:line="580" w:lineRule="exact"/>
        <w:ind w:firstLine="640" w:firstLineChars="200"/>
        <w:contextualSpacing/>
        <w:rPr>
          <w:rFonts w:ascii="仿宋" w:hAnsi="仿宋" w:eastAsia="仿宋"/>
          <w:sz w:val="32"/>
          <w:szCs w:val="32"/>
        </w:rPr>
      </w:pPr>
      <w:r>
        <w:rPr>
          <w:rFonts w:hint="eastAsia" w:ascii="仿宋" w:hAnsi="仿宋" w:eastAsia="仿宋"/>
          <w:sz w:val="32"/>
          <w:szCs w:val="32"/>
        </w:rPr>
        <w:t>预算完成情况：支出完成率100%。</w:t>
      </w:r>
    </w:p>
    <w:p>
      <w:pPr>
        <w:adjustRightInd w:val="0"/>
        <w:snapToGrid w:val="0"/>
        <w:spacing w:line="580" w:lineRule="exact"/>
        <w:ind w:firstLine="640" w:firstLineChars="200"/>
        <w:contextualSpacing/>
        <w:rPr>
          <w:rFonts w:ascii="仿宋" w:hAnsi="仿宋" w:eastAsia="仿宋"/>
          <w:sz w:val="32"/>
          <w:szCs w:val="32"/>
        </w:rPr>
      </w:pPr>
      <w:r>
        <w:rPr>
          <w:rFonts w:hint="eastAsia" w:ascii="仿宋" w:hAnsi="仿宋" w:eastAsia="仿宋"/>
          <w:sz w:val="32"/>
          <w:szCs w:val="32"/>
        </w:rPr>
        <w:t>违规记录：无违规情况。</w:t>
      </w:r>
    </w:p>
    <w:p>
      <w:pPr>
        <w:adjustRightInd w:val="0"/>
        <w:snapToGrid w:val="0"/>
        <w:spacing w:line="576" w:lineRule="exact"/>
        <w:ind w:firstLine="640" w:firstLineChars="200"/>
        <w:contextualSpacing/>
        <w:rPr>
          <w:rFonts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（二）结果应用情况。</w:t>
      </w:r>
    </w:p>
    <w:p>
      <w:pPr>
        <w:adjustRightInd w:val="0"/>
        <w:snapToGrid w:val="0"/>
        <w:spacing w:line="580" w:lineRule="exact"/>
        <w:ind w:firstLine="640" w:firstLineChars="200"/>
        <w:contextualSpacing/>
        <w:rPr>
          <w:rFonts w:ascii="仿宋" w:hAnsi="仿宋" w:eastAsia="仿宋"/>
          <w:sz w:val="32"/>
          <w:szCs w:val="32"/>
        </w:rPr>
      </w:pPr>
      <w:r>
        <w:rPr>
          <w:rFonts w:hint="eastAsia" w:ascii="仿宋" w:hAnsi="仿宋" w:eastAsia="仿宋"/>
          <w:sz w:val="32"/>
          <w:szCs w:val="32"/>
        </w:rPr>
        <w:t>待上级部门考核后，严格按照要求整改出现问题并及时反馈整改结果。</w:t>
      </w:r>
    </w:p>
    <w:p>
      <w:pPr>
        <w:adjustRightInd w:val="0"/>
        <w:snapToGrid w:val="0"/>
        <w:spacing w:line="576" w:lineRule="exact"/>
        <w:ind w:firstLine="640" w:firstLineChars="200"/>
        <w:contextualSpacing/>
        <w:rPr>
          <w:rFonts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（三）</w:t>
      </w:r>
      <w:r>
        <w:rPr>
          <w:rFonts w:hint="eastAsia" w:ascii="仿宋_GB2312" w:eastAsia="仿宋_GB2312"/>
          <w:sz w:val="32"/>
          <w:szCs w:val="32"/>
          <w:shd w:val="clear" w:color="auto" w:fill="FFFFFF"/>
          <w:lang w:val="zh-CN"/>
        </w:rPr>
        <w:t>自评质量</w:t>
      </w:r>
    </w:p>
    <w:p>
      <w:pPr>
        <w:adjustRightInd w:val="0"/>
        <w:snapToGrid w:val="0"/>
        <w:spacing w:line="580" w:lineRule="exact"/>
        <w:ind w:firstLine="640" w:firstLineChars="200"/>
        <w:contextualSpacing/>
        <w:rPr>
          <w:rFonts w:ascii="仿宋" w:hAnsi="仿宋" w:eastAsia="仿宋"/>
          <w:sz w:val="32"/>
          <w:szCs w:val="32"/>
        </w:rPr>
      </w:pPr>
      <w:r>
        <w:rPr>
          <w:rFonts w:hint="eastAsia" w:ascii="仿宋" w:hAnsi="仿宋" w:eastAsia="仿宋"/>
          <w:sz w:val="32"/>
          <w:szCs w:val="32"/>
        </w:rPr>
        <w:t>自评结论为“良好”。</w:t>
      </w:r>
    </w:p>
    <w:p>
      <w:pPr>
        <w:adjustRightInd w:val="0"/>
        <w:snapToGrid w:val="0"/>
        <w:spacing w:line="576" w:lineRule="exact"/>
        <w:ind w:firstLine="640" w:firstLineChars="200"/>
        <w:contextualSpacing/>
        <w:rPr>
          <w:rFonts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四、评价结论及建议</w:t>
      </w:r>
    </w:p>
    <w:p>
      <w:pPr>
        <w:adjustRightInd w:val="0"/>
        <w:snapToGrid w:val="0"/>
        <w:spacing w:line="580" w:lineRule="exact"/>
        <w:ind w:firstLine="640" w:firstLineChars="200"/>
        <w:contextualSpacing/>
        <w:rPr>
          <w:rFonts w:ascii="仿宋" w:hAnsi="仿宋" w:eastAsia="仿宋"/>
          <w:sz w:val="32"/>
          <w:szCs w:val="32"/>
        </w:rPr>
      </w:pPr>
      <w:r>
        <w:rPr>
          <w:rFonts w:hint="eastAsia" w:ascii="仿宋_GB2312" w:eastAsia="仿宋_GB2312"/>
          <w:sz w:val="32"/>
          <w:szCs w:val="32"/>
          <w:shd w:val="clear" w:color="auto" w:fill="FFFFFF"/>
          <w:lang w:val="zh-CN"/>
        </w:rPr>
        <w:t>（一）评价结论。</w:t>
      </w:r>
      <w:r>
        <w:rPr>
          <w:rFonts w:hint="eastAsia" w:ascii="仿宋" w:hAnsi="仿宋" w:eastAsia="仿宋"/>
          <w:sz w:val="32"/>
          <w:szCs w:val="32"/>
        </w:rPr>
        <w:t>自评结论为“良好”。</w:t>
      </w:r>
    </w:p>
    <w:p>
      <w:pPr>
        <w:adjustRightInd w:val="0"/>
        <w:snapToGrid w:val="0"/>
        <w:spacing w:line="580" w:lineRule="exact"/>
        <w:ind w:firstLine="640" w:firstLineChars="200"/>
        <w:contextualSpacing/>
        <w:rPr>
          <w:rFonts w:ascii="仿宋" w:hAnsi="仿宋" w:eastAsia="仿宋"/>
          <w:sz w:val="32"/>
          <w:szCs w:val="32"/>
        </w:rPr>
      </w:pPr>
      <w:r>
        <w:rPr>
          <w:rFonts w:hint="eastAsia" w:ascii="仿宋_GB2312" w:eastAsia="仿宋_GB2312"/>
          <w:sz w:val="32"/>
          <w:szCs w:val="32"/>
          <w:shd w:val="clear" w:color="auto" w:fill="FFFFFF"/>
          <w:lang w:val="zh-CN"/>
        </w:rPr>
        <w:t>（二）存在问题。</w:t>
      </w:r>
      <w:r>
        <w:rPr>
          <w:rFonts w:hint="eastAsia" w:ascii="仿宋" w:hAnsi="仿宋" w:eastAsia="仿宋"/>
          <w:sz w:val="32"/>
          <w:szCs w:val="32"/>
        </w:rPr>
        <w:t>制度完善、经费审批、规范支出标准与范围、业务学习有待进一步加强，预算编制的合理性有待提高。</w:t>
      </w:r>
    </w:p>
    <w:p>
      <w:pPr>
        <w:adjustRightInd w:val="0"/>
        <w:snapToGrid w:val="0"/>
        <w:spacing w:line="580" w:lineRule="exact"/>
        <w:ind w:firstLine="640" w:firstLineChars="200"/>
        <w:contextualSpacing/>
        <w:rPr>
          <w:rFonts w:ascii="仿宋" w:hAnsi="仿宋" w:eastAsia="仿宋"/>
          <w:sz w:val="32"/>
          <w:szCs w:val="32"/>
        </w:rPr>
      </w:pPr>
      <w:r>
        <w:rPr>
          <w:rFonts w:hint="eastAsia" w:ascii="仿宋" w:hAnsi="仿宋" w:eastAsia="仿宋"/>
          <w:sz w:val="32"/>
          <w:szCs w:val="32"/>
        </w:rPr>
        <w:t>（</w:t>
      </w:r>
      <w:r>
        <w:rPr>
          <w:rFonts w:hint="eastAsia" w:ascii="仿宋_GB2312" w:eastAsia="仿宋_GB2312"/>
          <w:sz w:val="32"/>
          <w:szCs w:val="32"/>
          <w:shd w:val="clear" w:color="auto" w:fill="FFFFFF"/>
          <w:lang w:val="zh-CN"/>
        </w:rPr>
        <w:t>三）改进建议。</w:t>
      </w:r>
      <w:r>
        <w:rPr>
          <w:rFonts w:hint="eastAsia" w:ascii="仿宋" w:hAnsi="仿宋" w:eastAsia="仿宋"/>
          <w:sz w:val="32"/>
          <w:szCs w:val="32"/>
        </w:rPr>
        <w:t>一是本着“实事求是、勤俭节约、量入为出、收支平衡”的原则进行预算编制，严格预算编制的相关制度和要求,规范预算编制程序。进一步提高中心各内设科室、二级机构预算编制的参与意识和参与程度,形成“编制全面参与、成果全面共享”的良好局面，不断提高预算编制的科学化和精细化水平。</w:t>
      </w:r>
    </w:p>
    <w:p>
      <w:pPr>
        <w:adjustRightInd w:val="0"/>
        <w:snapToGrid w:val="0"/>
        <w:spacing w:line="580" w:lineRule="exact"/>
        <w:ind w:firstLine="640" w:firstLineChars="200"/>
        <w:contextualSpacing/>
        <w:rPr>
          <w:rFonts w:ascii="仿宋" w:hAnsi="仿宋" w:eastAsia="仿宋"/>
          <w:sz w:val="32"/>
          <w:szCs w:val="32"/>
        </w:rPr>
      </w:pPr>
      <w:r>
        <w:rPr>
          <w:rFonts w:hint="eastAsia" w:ascii="仿宋" w:hAnsi="仿宋" w:eastAsia="仿宋"/>
          <w:sz w:val="32"/>
          <w:szCs w:val="32"/>
        </w:rPr>
        <w:t>二是进一步强化预算执行和预算约束，严把预算追加关，做到“无预算不开支”；坚持目标导向，积极开展预算支出绩效评价，确保完成既定绩效目标,做到“花钱必问效”。</w:t>
      </w:r>
    </w:p>
    <w:p>
      <w:pPr>
        <w:pStyle w:val="7"/>
        <w:spacing w:before="97"/>
        <w:rPr>
          <w:rFonts w:hint="eastAsia"/>
        </w:rPr>
      </w:pPr>
    </w:p>
    <w:p>
      <w:pPr>
        <w:pStyle w:val="7"/>
        <w:spacing w:before="97"/>
      </w:pPr>
    </w:p>
    <w:p>
      <w:pPr>
        <w:pStyle w:val="7"/>
        <w:spacing w:before="97"/>
        <w:rPr>
          <w:lang w:val="zh-CN"/>
        </w:rPr>
      </w:pPr>
      <w:r>
        <w:rPr>
          <w:rFonts w:hint="eastAsia"/>
          <w:sz w:val="32"/>
          <w:szCs w:val="32"/>
          <w:shd w:val="clear" w:color="auto" w:fill="FFFFFF"/>
          <w:lang w:val="zh-CN"/>
        </w:rPr>
        <w:t>附件2：</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2022年</w:t>
      </w:r>
      <w:r>
        <w:rPr>
          <w:rFonts w:hint="eastAsia" w:ascii="方正小标宋简体" w:hAnsi="方正小标宋简体" w:eastAsia="方正小标宋简体" w:cs="方正小标宋简体"/>
          <w:sz w:val="40"/>
          <w:szCs w:val="40"/>
          <w:lang w:val="zh-CN"/>
        </w:rPr>
        <w:t>专项预算项目支出绩效自评报告</w:t>
      </w:r>
    </w:p>
    <w:p>
      <w:pPr>
        <w:spacing w:line="600" w:lineRule="exact"/>
        <w:ind w:firstLine="883"/>
        <w:jc w:val="center"/>
        <w:rPr>
          <w:rFonts w:ascii="仿宋_GB2312" w:eastAsia="仿宋_GB2312"/>
          <w:sz w:val="32"/>
          <w:szCs w:val="32"/>
          <w:lang w:val="zh-CN"/>
        </w:rPr>
      </w:pPr>
      <w:r>
        <w:rPr>
          <w:rFonts w:hint="eastAsia" w:ascii="仿宋_GB2312" w:eastAsia="仿宋_GB2312"/>
          <w:sz w:val="32"/>
          <w:szCs w:val="32"/>
          <w:lang w:val="zh-CN"/>
        </w:rPr>
        <w:t>（1</w:t>
      </w:r>
      <w:r>
        <w:rPr>
          <w:rFonts w:ascii="仿宋_GB2312" w:eastAsia="仿宋_GB2312"/>
          <w:sz w:val="32"/>
          <w:szCs w:val="32"/>
          <w:lang w:val="zh-CN"/>
        </w:rPr>
        <w:t>.</w:t>
      </w:r>
      <w:r>
        <w:rPr>
          <w:rFonts w:hint="eastAsia" w:ascii="仿宋_GB2312" w:eastAsia="仿宋_GB2312"/>
          <w:sz w:val="32"/>
          <w:szCs w:val="32"/>
          <w:lang w:val="zh-CN"/>
        </w:rPr>
        <w:t>地震监测项目）</w:t>
      </w:r>
    </w:p>
    <w:p>
      <w:pPr>
        <w:ind w:firstLine="640" w:firstLineChars="200"/>
        <w:rPr>
          <w:rFonts w:ascii="黑体" w:hAnsi="黑体" w:eastAsia="黑体"/>
          <w:sz w:val="32"/>
        </w:rPr>
      </w:pPr>
      <w:r>
        <w:rPr>
          <w:rFonts w:hint="eastAsia" w:ascii="黑体" w:hAnsi="黑体" w:eastAsia="黑体"/>
          <w:sz w:val="32"/>
        </w:rPr>
        <w:t>一、项目概况</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（一）项目基本情况</w:t>
      </w:r>
    </w:p>
    <w:p>
      <w:pPr>
        <w:ind w:firstLine="640" w:firstLineChars="200"/>
        <w:rPr>
          <w:rFonts w:ascii="仿宋" w:hAnsi="仿宋" w:eastAsia="仿宋"/>
          <w:sz w:val="32"/>
          <w:szCs w:val="32"/>
        </w:rPr>
      </w:pPr>
      <w:r>
        <w:rPr>
          <w:rFonts w:hint="eastAsia" w:ascii="仿宋" w:hAnsi="仿宋" w:eastAsia="仿宋"/>
          <w:sz w:val="32"/>
          <w:szCs w:val="32"/>
        </w:rPr>
        <w:t>项目</w:t>
      </w:r>
      <w:r>
        <w:rPr>
          <w:rFonts w:hint="eastAsia" w:ascii="仿宋" w:hAnsi="仿宋" w:eastAsia="仿宋" w:cs="Times New Roman"/>
          <w:kern w:val="2"/>
          <w:sz w:val="32"/>
          <w:szCs w:val="32"/>
        </w:rPr>
        <w:t>工作目标，牢固树立宁可千日不震，不可一日不防的思想，坚持以预防为主，防抗结合的工作原则，坚持常态化减灾与非常态化救灾相结合，重视风险防范，强化综合治理，加强地震台站建设、运行、维护、数据产出等全过程科学管理,依法保护地震监测工作的正常进行。</w:t>
      </w:r>
    </w:p>
    <w:p>
      <w:pPr>
        <w:ind w:firstLine="640" w:firstLineChars="200"/>
        <w:rPr>
          <w:rFonts w:ascii="楷体_GB2312" w:eastAsia="楷体_GB2312"/>
          <w:b/>
          <w:sz w:val="32"/>
          <w:szCs w:val="32"/>
          <w:lang w:val="zh-CN"/>
        </w:rPr>
      </w:pPr>
      <w:r>
        <w:rPr>
          <w:rFonts w:ascii="仿宋" w:hAnsi="仿宋" w:eastAsia="仿宋"/>
          <w:sz w:val="32"/>
          <w:szCs w:val="32"/>
        </w:rPr>
        <w:t>（</w:t>
      </w:r>
      <w:r>
        <w:rPr>
          <w:rFonts w:ascii="楷体_GB2312" w:eastAsia="楷体_GB2312"/>
          <w:b/>
          <w:sz w:val="32"/>
          <w:szCs w:val="32"/>
          <w:lang w:val="zh-CN"/>
        </w:rPr>
        <w:t>二）项目绩效目标。</w:t>
      </w:r>
    </w:p>
    <w:p>
      <w:pPr>
        <w:ind w:firstLine="640" w:firstLineChars="200"/>
        <w:rPr>
          <w:rFonts w:ascii="仿宋" w:hAnsi="仿宋" w:eastAsia="仿宋"/>
          <w:sz w:val="32"/>
          <w:szCs w:val="32"/>
        </w:rPr>
      </w:pPr>
      <w:r>
        <w:rPr>
          <w:rFonts w:ascii="仿宋" w:hAnsi="仿宋" w:eastAsia="仿宋"/>
          <w:sz w:val="32"/>
          <w:szCs w:val="32"/>
        </w:rPr>
        <w:t>认真贯彻落实省市区安全会议精神，围绕部门工作目标，牢固树立宁可千日不震，不可一日不防的思想，坚持以预防为主，防抗结合的工作原则，坚持常态化减灾与非常态化救灾相结合，重视风险防范，强化综合治理，加强地震台站建设、运行、维护、数据产出等全过程科学管理,健全地震监测法律法规,依法保护地震监测工作的正常进行。</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（三）项目自评步骤及方法。</w:t>
      </w:r>
    </w:p>
    <w:p>
      <w:pPr>
        <w:ind w:firstLine="640" w:firstLineChars="200"/>
        <w:rPr>
          <w:rFonts w:ascii="仿宋" w:hAnsi="仿宋" w:eastAsia="仿宋" w:cs="仿宋"/>
          <w:sz w:val="32"/>
          <w:szCs w:val="32"/>
        </w:rPr>
      </w:pPr>
      <w:r>
        <w:rPr>
          <w:rFonts w:hint="eastAsia" w:ascii="仿宋" w:hAnsi="仿宋" w:eastAsia="仿宋" w:cs="仿宋"/>
          <w:sz w:val="32"/>
          <w:szCs w:val="32"/>
        </w:rPr>
        <w:t>按照《广元市朝天区财政局关于开展2022年部门、政策和项目支出绩效自评工作的通知》（广朝财发〔2022〕28号）文件要求，</w:t>
      </w:r>
      <w:r>
        <w:rPr>
          <w:rFonts w:hint="eastAsia" w:ascii="仿宋" w:hAnsi="仿宋" w:eastAsia="仿宋"/>
          <w:sz w:val="32"/>
          <w:szCs w:val="32"/>
        </w:rPr>
        <w:t>对照</w:t>
      </w:r>
      <w:r>
        <w:rPr>
          <w:rFonts w:ascii="仿宋" w:hAnsi="仿宋" w:eastAsia="仿宋" w:cs="仿宋"/>
          <w:sz w:val="32"/>
          <w:szCs w:val="32"/>
        </w:rPr>
        <w:t>202</w:t>
      </w:r>
      <w:r>
        <w:rPr>
          <w:rFonts w:hint="eastAsia" w:ascii="仿宋" w:hAnsi="仿宋" w:eastAsia="仿宋" w:cs="仿宋"/>
          <w:sz w:val="32"/>
          <w:szCs w:val="32"/>
        </w:rPr>
        <w:t>1年度</w:t>
      </w:r>
      <w:r>
        <w:rPr>
          <w:rFonts w:ascii="仿宋" w:hAnsi="仿宋" w:eastAsia="仿宋" w:cs="仿宋"/>
          <w:sz w:val="32"/>
          <w:szCs w:val="32"/>
        </w:rPr>
        <w:t>部门预算项目支出绩效自评评分表</w:t>
      </w:r>
      <w:r>
        <w:rPr>
          <w:rFonts w:hint="eastAsia" w:ascii="仿宋" w:hAnsi="仿宋" w:eastAsia="仿宋" w:cs="仿宋"/>
          <w:sz w:val="32"/>
          <w:szCs w:val="32"/>
        </w:rPr>
        <w:t>，开展项目自评。</w:t>
      </w:r>
    </w:p>
    <w:p>
      <w:pPr>
        <w:ind w:firstLine="640" w:firstLineChars="200"/>
        <w:rPr>
          <w:rFonts w:ascii="黑体" w:eastAsia="黑体"/>
          <w:sz w:val="32"/>
          <w:szCs w:val="32"/>
        </w:rPr>
      </w:pPr>
      <w:r>
        <w:rPr>
          <w:rFonts w:hint="eastAsia" w:ascii="黑体" w:eastAsia="黑体"/>
          <w:sz w:val="32"/>
          <w:szCs w:val="32"/>
        </w:rPr>
        <w:t>二、项目资金申报及使用情况</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（一）项目资金申报及批复情况。</w:t>
      </w:r>
    </w:p>
    <w:p>
      <w:pPr>
        <w:ind w:firstLine="640" w:firstLineChars="200"/>
        <w:rPr>
          <w:rFonts w:ascii="仿宋" w:hAnsi="仿宋" w:eastAsia="仿宋"/>
          <w:sz w:val="32"/>
          <w:szCs w:val="32"/>
        </w:rPr>
      </w:pPr>
      <w:r>
        <w:rPr>
          <w:rFonts w:hint="eastAsia" w:ascii="仿宋" w:hAnsi="仿宋" w:eastAsia="仿宋"/>
          <w:sz w:val="32"/>
          <w:szCs w:val="32"/>
        </w:rPr>
        <w:t>该项目系本级财政预算资金，项目实施单位是朝天区防震减灾中心，实施内容主要是对地震监测台站进行维护运行。</w:t>
      </w:r>
    </w:p>
    <w:p>
      <w:pPr>
        <w:ind w:firstLine="640" w:firstLineChars="200"/>
        <w:rPr>
          <w:rFonts w:ascii="仿宋" w:hAnsi="仿宋" w:eastAsia="仿宋"/>
          <w:sz w:val="32"/>
          <w:szCs w:val="32"/>
        </w:rPr>
      </w:pPr>
      <w:r>
        <w:rPr>
          <w:rFonts w:ascii="仿宋" w:hAnsi="仿宋" w:eastAsia="仿宋"/>
          <w:sz w:val="32"/>
          <w:szCs w:val="32"/>
        </w:rPr>
        <w:t>项目资金申报相符性。项目申报内容与具体实施内容相符、申报目标合理可行。</w:t>
      </w:r>
    </w:p>
    <w:p>
      <w:pPr>
        <w:adjustRightInd w:val="0"/>
        <w:snapToGrid w:val="0"/>
        <w:spacing w:line="600" w:lineRule="exact"/>
        <w:ind w:firstLine="720"/>
        <w:rPr>
          <w:rFonts w:ascii="楷体_GB2312" w:eastAsia="楷体_GB2312"/>
          <w:b/>
          <w:sz w:val="32"/>
          <w:szCs w:val="32"/>
          <w:lang w:val="zh-CN"/>
        </w:rPr>
      </w:pPr>
      <w:r>
        <w:rPr>
          <w:rFonts w:ascii="楷体_GB2312" w:eastAsia="楷体_GB2312"/>
          <w:b/>
          <w:sz w:val="32"/>
          <w:szCs w:val="32"/>
          <w:lang w:val="zh-CN"/>
        </w:rPr>
        <w:t>（</w:t>
      </w:r>
      <w:r>
        <w:rPr>
          <w:rFonts w:hint="eastAsia" w:ascii="楷体_GB2312" w:eastAsia="楷体_GB2312"/>
          <w:b/>
          <w:sz w:val="32"/>
          <w:szCs w:val="32"/>
          <w:lang w:val="zh-CN"/>
        </w:rPr>
        <w:t>二</w:t>
      </w:r>
      <w:r>
        <w:rPr>
          <w:rFonts w:ascii="楷体_GB2312" w:eastAsia="楷体_GB2312"/>
          <w:b/>
          <w:sz w:val="32"/>
          <w:szCs w:val="32"/>
          <w:lang w:val="zh-CN"/>
        </w:rPr>
        <w:t>）资金计划、到位及使用情况</w:t>
      </w:r>
    </w:p>
    <w:p>
      <w:pPr>
        <w:ind w:firstLine="640" w:firstLineChars="200"/>
        <w:rPr>
          <w:rFonts w:ascii="仿宋" w:hAnsi="仿宋" w:eastAsia="仿宋"/>
          <w:sz w:val="32"/>
          <w:szCs w:val="32"/>
        </w:rPr>
      </w:pPr>
      <w:r>
        <w:rPr>
          <w:rFonts w:ascii="仿宋" w:hAnsi="仿宋" w:eastAsia="仿宋"/>
          <w:sz w:val="32"/>
          <w:szCs w:val="32"/>
        </w:rPr>
        <w:t>1.资金计划。该项目资金预算</w:t>
      </w:r>
      <w:r>
        <w:rPr>
          <w:rFonts w:hint="eastAsia" w:ascii="仿宋" w:hAnsi="仿宋" w:eastAsia="仿宋"/>
          <w:sz w:val="32"/>
          <w:szCs w:val="32"/>
        </w:rPr>
        <w:t>3</w:t>
      </w:r>
      <w:r>
        <w:rPr>
          <w:rFonts w:ascii="仿宋" w:hAnsi="仿宋" w:eastAsia="仿宋"/>
          <w:sz w:val="32"/>
          <w:szCs w:val="32"/>
        </w:rPr>
        <w:t>万元</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资金到位。</w:t>
      </w:r>
      <w:r>
        <w:rPr>
          <w:rFonts w:ascii="仿宋" w:hAnsi="仿宋" w:eastAsia="仿宋"/>
          <w:sz w:val="32"/>
          <w:szCs w:val="32"/>
        </w:rPr>
        <w:t>该项目资金</w:t>
      </w:r>
      <w:r>
        <w:rPr>
          <w:rFonts w:hint="eastAsia" w:ascii="仿宋" w:hAnsi="仿宋" w:eastAsia="仿宋"/>
          <w:sz w:val="32"/>
          <w:szCs w:val="32"/>
        </w:rPr>
        <w:t>计划3</w:t>
      </w:r>
      <w:r>
        <w:rPr>
          <w:rFonts w:ascii="仿宋" w:hAnsi="仿宋" w:eastAsia="仿宋"/>
          <w:sz w:val="32"/>
          <w:szCs w:val="32"/>
        </w:rPr>
        <w:t>万元，实际</w:t>
      </w:r>
      <w:r>
        <w:rPr>
          <w:rFonts w:hint="eastAsia" w:ascii="仿宋" w:hAnsi="仿宋" w:eastAsia="仿宋"/>
          <w:sz w:val="32"/>
          <w:szCs w:val="32"/>
        </w:rPr>
        <w:t>到达3</w:t>
      </w:r>
      <w:r>
        <w:rPr>
          <w:rFonts w:ascii="仿宋" w:hAnsi="仿宋" w:eastAsia="仿宋"/>
          <w:sz w:val="32"/>
          <w:szCs w:val="32"/>
        </w:rPr>
        <w:t>万元</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3.资金使用。</w:t>
      </w:r>
      <w:bookmarkStart w:id="74" w:name="OLE_LINK5"/>
      <w:bookmarkStart w:id="75" w:name="OLE_LINK6"/>
      <w:r>
        <w:rPr>
          <w:rFonts w:ascii="仿宋" w:hAnsi="仿宋" w:eastAsia="仿宋"/>
          <w:sz w:val="32"/>
          <w:szCs w:val="32"/>
        </w:rPr>
        <w:t>该项目资金预算</w:t>
      </w:r>
      <w:r>
        <w:rPr>
          <w:rFonts w:hint="eastAsia" w:ascii="仿宋" w:hAnsi="仿宋" w:eastAsia="仿宋"/>
          <w:sz w:val="32"/>
          <w:szCs w:val="32"/>
        </w:rPr>
        <w:t>3</w:t>
      </w:r>
      <w:r>
        <w:rPr>
          <w:rFonts w:ascii="仿宋" w:hAnsi="仿宋" w:eastAsia="仿宋"/>
          <w:sz w:val="32"/>
          <w:szCs w:val="32"/>
        </w:rPr>
        <w:t>万元，实际支出</w:t>
      </w:r>
      <w:r>
        <w:rPr>
          <w:rFonts w:hint="eastAsia" w:ascii="仿宋" w:hAnsi="仿宋" w:eastAsia="仿宋"/>
          <w:sz w:val="32"/>
          <w:szCs w:val="32"/>
        </w:rPr>
        <w:t>3</w:t>
      </w:r>
      <w:r>
        <w:rPr>
          <w:rFonts w:ascii="仿宋" w:hAnsi="仿宋" w:eastAsia="仿宋"/>
          <w:sz w:val="32"/>
          <w:szCs w:val="32"/>
        </w:rPr>
        <w:t>万元</w:t>
      </w:r>
      <w:bookmarkEnd w:id="74"/>
      <w:bookmarkEnd w:id="75"/>
      <w:r>
        <w:rPr>
          <w:rFonts w:ascii="仿宋" w:hAnsi="仿宋" w:eastAsia="仿宋"/>
          <w:sz w:val="32"/>
          <w:szCs w:val="32"/>
        </w:rPr>
        <w:t>，主要用于地震台站监测工作费用，如看管人员劳务费、电费、设备维护费、交通费等；支付依据合规合法，资金支付与预算相符。</w:t>
      </w:r>
    </w:p>
    <w:p>
      <w:pPr>
        <w:ind w:firstLine="640" w:firstLineChars="200"/>
        <w:rPr>
          <w:rFonts w:ascii="仿宋" w:hAnsi="仿宋" w:eastAsia="仿宋"/>
          <w:sz w:val="32"/>
          <w:szCs w:val="32"/>
        </w:rPr>
      </w:pPr>
      <w:r>
        <w:rPr>
          <w:rFonts w:ascii="仿宋" w:hAnsi="仿宋" w:eastAsia="仿宋"/>
          <w:sz w:val="32"/>
          <w:szCs w:val="32"/>
        </w:rPr>
        <w:t>资金计划及到位。该项目系本级财政预算资金，资金到位情况与预算下达一致。</w:t>
      </w:r>
    </w:p>
    <w:p>
      <w:pPr>
        <w:adjustRightInd w:val="0"/>
        <w:snapToGrid w:val="0"/>
        <w:spacing w:line="600" w:lineRule="exact"/>
        <w:ind w:firstLine="720"/>
        <w:rPr>
          <w:rFonts w:ascii="楷体_GB2312" w:eastAsia="楷体_GB2312"/>
          <w:b/>
          <w:sz w:val="32"/>
          <w:szCs w:val="32"/>
          <w:lang w:val="zh-CN"/>
        </w:rPr>
      </w:pPr>
      <w:r>
        <w:rPr>
          <w:rFonts w:ascii="楷体_GB2312" w:eastAsia="楷体_GB2312"/>
          <w:b/>
          <w:sz w:val="32"/>
          <w:szCs w:val="32"/>
          <w:lang w:val="zh-CN"/>
        </w:rPr>
        <w:t>（</w:t>
      </w:r>
      <w:r>
        <w:rPr>
          <w:rFonts w:hint="eastAsia" w:ascii="楷体_GB2312" w:eastAsia="楷体_GB2312"/>
          <w:b/>
          <w:sz w:val="32"/>
          <w:szCs w:val="32"/>
          <w:lang w:val="zh-CN"/>
        </w:rPr>
        <w:t>三</w:t>
      </w:r>
      <w:r>
        <w:rPr>
          <w:rFonts w:ascii="楷体_GB2312" w:eastAsia="楷体_GB2312"/>
          <w:b/>
          <w:sz w:val="32"/>
          <w:szCs w:val="32"/>
          <w:lang w:val="zh-CN"/>
        </w:rPr>
        <w:t>）项目财务管理情况</w:t>
      </w:r>
    </w:p>
    <w:p>
      <w:pPr>
        <w:adjustRightInd w:val="0"/>
        <w:snapToGrid w:val="0"/>
        <w:spacing w:line="600" w:lineRule="exact"/>
        <w:ind w:firstLine="720"/>
        <w:rPr>
          <w:rFonts w:ascii="楷体_GB2312" w:eastAsia="楷体_GB2312"/>
          <w:b/>
          <w:sz w:val="32"/>
          <w:szCs w:val="32"/>
          <w:lang w:val="zh-CN"/>
        </w:rPr>
      </w:pPr>
      <w:r>
        <w:rPr>
          <w:rFonts w:ascii="仿宋" w:hAnsi="仿宋" w:eastAsia="仿宋"/>
          <w:sz w:val="32"/>
          <w:szCs w:val="32"/>
        </w:rPr>
        <w:t>对照项目资金管理办法，该项目严格执行财务管理制度、及时进行会计核算，并接受各项资金检查。系专款专用，无虚列支出、截留挤占挪用、超标准开支、无超预算等情况。</w:t>
      </w:r>
    </w:p>
    <w:p>
      <w:pPr>
        <w:autoSpaceDE w:val="0"/>
        <w:ind w:firstLine="616" w:firstLineChars="200"/>
        <w:rPr>
          <w:rFonts w:eastAsia="黑体"/>
          <w:spacing w:val="-6"/>
          <w:sz w:val="32"/>
          <w:szCs w:val="32"/>
        </w:rPr>
      </w:pPr>
      <w:r>
        <w:rPr>
          <w:rFonts w:eastAsia="黑体"/>
          <w:spacing w:val="-6"/>
          <w:sz w:val="32"/>
          <w:szCs w:val="32"/>
        </w:rPr>
        <w:t>三、项目</w:t>
      </w:r>
      <w:r>
        <w:rPr>
          <w:rFonts w:hint="eastAsia" w:eastAsia="黑体"/>
          <w:spacing w:val="-6"/>
          <w:sz w:val="32"/>
          <w:szCs w:val="32"/>
        </w:rPr>
        <w:t>实施及管理情况</w:t>
      </w:r>
    </w:p>
    <w:p>
      <w:pPr>
        <w:adjustRightInd w:val="0"/>
        <w:snapToGrid w:val="0"/>
        <w:spacing w:line="600" w:lineRule="exact"/>
        <w:ind w:firstLine="720"/>
        <w:rPr>
          <w:rFonts w:eastAsia="楷体_GB2312"/>
          <w:bCs/>
          <w:spacing w:val="-6"/>
          <w:sz w:val="32"/>
          <w:szCs w:val="32"/>
        </w:rPr>
      </w:pPr>
      <w:r>
        <w:rPr>
          <w:rFonts w:ascii="楷体_GB2312" w:eastAsia="楷体_GB2312"/>
          <w:b/>
          <w:sz w:val="32"/>
          <w:szCs w:val="32"/>
          <w:lang w:val="zh-CN"/>
        </w:rPr>
        <w:t>（</w:t>
      </w:r>
      <w:r>
        <w:rPr>
          <w:rFonts w:hint="eastAsia" w:ascii="楷体_GB2312" w:eastAsia="楷体_GB2312"/>
          <w:b/>
          <w:sz w:val="32"/>
          <w:szCs w:val="32"/>
          <w:lang w:val="zh-CN"/>
        </w:rPr>
        <w:t>一</w:t>
      </w:r>
      <w:r>
        <w:rPr>
          <w:rFonts w:ascii="楷体_GB2312" w:eastAsia="楷体_GB2312"/>
          <w:b/>
          <w:sz w:val="32"/>
          <w:szCs w:val="32"/>
          <w:lang w:val="zh-CN"/>
        </w:rPr>
        <w:t>）项目组织</w:t>
      </w:r>
      <w:r>
        <w:rPr>
          <w:rFonts w:hint="eastAsia" w:ascii="楷体_GB2312" w:eastAsia="楷体_GB2312"/>
          <w:b/>
          <w:sz w:val="32"/>
          <w:szCs w:val="32"/>
          <w:lang w:val="zh-CN"/>
        </w:rPr>
        <w:t>构架及实施流程</w:t>
      </w:r>
    </w:p>
    <w:p>
      <w:pPr>
        <w:ind w:firstLine="640" w:firstLineChars="200"/>
        <w:rPr>
          <w:rFonts w:ascii="仿宋" w:hAnsi="仿宋" w:eastAsia="仿宋"/>
          <w:sz w:val="32"/>
          <w:szCs w:val="32"/>
        </w:rPr>
      </w:pPr>
      <w:r>
        <w:rPr>
          <w:rFonts w:ascii="仿宋" w:hAnsi="仿宋" w:eastAsia="仿宋"/>
          <w:sz w:val="32"/>
          <w:szCs w:val="32"/>
        </w:rPr>
        <w:t>严格按照年初制定的实施方案组织实施项目。</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（二）项目管理情况</w:t>
      </w:r>
    </w:p>
    <w:p>
      <w:pPr>
        <w:ind w:firstLine="640" w:firstLineChars="200"/>
        <w:rPr>
          <w:rFonts w:ascii="仿宋" w:hAnsi="仿宋" w:eastAsia="仿宋"/>
          <w:sz w:val="32"/>
          <w:szCs w:val="32"/>
        </w:rPr>
      </w:pPr>
      <w:r>
        <w:rPr>
          <w:rFonts w:ascii="仿宋" w:hAnsi="仿宋" w:eastAsia="仿宋"/>
          <w:sz w:val="32"/>
          <w:szCs w:val="32"/>
        </w:rPr>
        <w:t>对</w:t>
      </w:r>
      <w:r>
        <w:rPr>
          <w:rFonts w:hint="eastAsia" w:ascii="仿宋" w:hAnsi="仿宋" w:eastAsia="仿宋"/>
          <w:sz w:val="32"/>
          <w:szCs w:val="32"/>
        </w:rPr>
        <w:t>该</w:t>
      </w:r>
      <w:r>
        <w:rPr>
          <w:rFonts w:ascii="仿宋" w:hAnsi="仿宋" w:eastAsia="仿宋"/>
          <w:sz w:val="32"/>
          <w:szCs w:val="32"/>
        </w:rPr>
        <w:t>项目进行合理科学的预算控制</w:t>
      </w:r>
      <w:r>
        <w:rPr>
          <w:rFonts w:hint="eastAsia" w:ascii="仿宋" w:hAnsi="仿宋" w:eastAsia="仿宋"/>
          <w:sz w:val="32"/>
          <w:szCs w:val="32"/>
        </w:rPr>
        <w:t>，按时按质完成项目，科学规范管理。</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（三）项目监管情况</w:t>
      </w:r>
    </w:p>
    <w:p>
      <w:pPr>
        <w:ind w:firstLine="640" w:firstLineChars="200"/>
        <w:rPr>
          <w:rFonts w:ascii="仿宋" w:hAnsi="仿宋" w:eastAsia="仿宋"/>
          <w:sz w:val="32"/>
          <w:szCs w:val="32"/>
        </w:rPr>
      </w:pPr>
      <w:r>
        <w:rPr>
          <w:rFonts w:hint="eastAsia" w:ascii="仿宋" w:hAnsi="仿宋" w:eastAsia="仿宋"/>
          <w:sz w:val="32"/>
          <w:szCs w:val="32"/>
        </w:rPr>
        <w:t>按照职能职责，对该项目进行严格的监督管理，发现问题及时整改。</w:t>
      </w:r>
    </w:p>
    <w:p>
      <w:pPr>
        <w:autoSpaceDE w:val="0"/>
        <w:ind w:firstLine="616" w:firstLineChars="200"/>
        <w:rPr>
          <w:rFonts w:eastAsia="黑体"/>
          <w:spacing w:val="-6"/>
          <w:sz w:val="32"/>
          <w:szCs w:val="32"/>
        </w:rPr>
      </w:pPr>
      <w:r>
        <w:rPr>
          <w:rFonts w:hint="eastAsia" w:eastAsia="黑体"/>
          <w:spacing w:val="-6"/>
          <w:sz w:val="32"/>
          <w:szCs w:val="32"/>
        </w:rPr>
        <w:t>四、项目绩效情况</w:t>
      </w:r>
    </w:p>
    <w:p>
      <w:pPr>
        <w:autoSpaceDE w:val="0"/>
        <w:ind w:firstLine="616" w:firstLineChars="200"/>
        <w:rPr>
          <w:rFonts w:eastAsia="楷体_GB2312"/>
          <w:bCs/>
          <w:spacing w:val="-6"/>
          <w:sz w:val="32"/>
          <w:szCs w:val="32"/>
        </w:rPr>
      </w:pPr>
      <w:r>
        <w:rPr>
          <w:rFonts w:eastAsia="楷体_GB2312"/>
          <w:bCs/>
          <w:spacing w:val="-6"/>
          <w:sz w:val="32"/>
          <w:szCs w:val="32"/>
        </w:rPr>
        <w:t>（</w:t>
      </w:r>
      <w:r>
        <w:rPr>
          <w:rFonts w:ascii="楷体_GB2312" w:eastAsia="楷体_GB2312"/>
          <w:b/>
          <w:sz w:val="32"/>
          <w:szCs w:val="32"/>
          <w:lang w:val="zh-CN"/>
        </w:rPr>
        <w:t>一）项目完成情况</w:t>
      </w:r>
      <w:r>
        <w:rPr>
          <w:rFonts w:hint="eastAsia" w:ascii="楷体_GB2312" w:eastAsia="楷体_GB2312"/>
          <w:b/>
          <w:sz w:val="32"/>
          <w:szCs w:val="32"/>
          <w:lang w:val="zh-CN"/>
        </w:rPr>
        <w:t>。</w:t>
      </w:r>
      <w:r>
        <w:rPr>
          <w:rFonts w:ascii="仿宋" w:hAnsi="仿宋" w:eastAsia="仿宋"/>
          <w:sz w:val="32"/>
          <w:szCs w:val="32"/>
        </w:rPr>
        <w:t>区防震减灾中心地震监测项目在数量、质量、时效、成本等方面全部完成。</w:t>
      </w:r>
    </w:p>
    <w:p>
      <w:pPr>
        <w:autoSpaceDE w:val="0"/>
        <w:ind w:firstLine="616" w:firstLineChars="200"/>
        <w:rPr>
          <w:rFonts w:ascii="楷体_GB2312" w:eastAsia="楷体_GB2312"/>
          <w:b/>
          <w:sz w:val="32"/>
          <w:szCs w:val="32"/>
          <w:lang w:val="zh-CN"/>
        </w:rPr>
      </w:pPr>
      <w:r>
        <w:rPr>
          <w:rFonts w:eastAsia="楷体_GB2312"/>
          <w:bCs/>
          <w:spacing w:val="-6"/>
          <w:sz w:val="32"/>
          <w:szCs w:val="32"/>
        </w:rPr>
        <w:t>（</w:t>
      </w:r>
      <w:r>
        <w:rPr>
          <w:rFonts w:ascii="楷体_GB2312" w:eastAsia="楷体_GB2312"/>
          <w:b/>
          <w:sz w:val="32"/>
          <w:szCs w:val="32"/>
          <w:lang w:val="zh-CN"/>
        </w:rPr>
        <w:t>二）项目效益情况</w:t>
      </w:r>
      <w:r>
        <w:rPr>
          <w:rFonts w:hint="eastAsia" w:ascii="楷体_GB2312" w:eastAsia="楷体_GB2312"/>
          <w:b/>
          <w:sz w:val="32"/>
          <w:szCs w:val="32"/>
          <w:lang w:val="zh-CN"/>
        </w:rPr>
        <w:t>。</w:t>
      </w:r>
    </w:p>
    <w:p>
      <w:pPr>
        <w:autoSpaceDE w:val="0"/>
        <w:ind w:firstLine="640" w:firstLineChars="200"/>
        <w:rPr>
          <w:rFonts w:eastAsia="楷体_GB2312"/>
          <w:bCs/>
          <w:spacing w:val="-6"/>
          <w:sz w:val="32"/>
          <w:szCs w:val="32"/>
        </w:rPr>
      </w:pPr>
      <w:r>
        <w:rPr>
          <w:rFonts w:ascii="仿宋" w:hAnsi="仿宋" w:eastAsia="仿宋"/>
          <w:sz w:val="32"/>
          <w:szCs w:val="32"/>
        </w:rPr>
        <w:t>从整体情况来看，我中心严格按照年初部门预算安排和预算调整进行部门整体支出。在支出过程中，能严格遵守各项规章制度。在地震监测专项经费支出上，确保专款专用，按项目实施进度进行资金拨付，无截留、无挪用等现象。</w:t>
      </w:r>
    </w:p>
    <w:p>
      <w:pPr>
        <w:autoSpaceDE w:val="0"/>
        <w:ind w:firstLine="616" w:firstLineChars="200"/>
        <w:rPr>
          <w:rFonts w:eastAsia="黑体"/>
          <w:spacing w:val="-6"/>
          <w:sz w:val="32"/>
          <w:szCs w:val="32"/>
        </w:rPr>
      </w:pPr>
      <w:r>
        <w:rPr>
          <w:rFonts w:hint="eastAsia" w:eastAsia="黑体"/>
          <w:spacing w:val="-6"/>
          <w:sz w:val="32"/>
          <w:szCs w:val="32"/>
        </w:rPr>
        <w:t>五</w:t>
      </w:r>
      <w:r>
        <w:rPr>
          <w:rFonts w:eastAsia="黑体"/>
          <w:spacing w:val="-6"/>
          <w:sz w:val="32"/>
          <w:szCs w:val="32"/>
        </w:rPr>
        <w:t>、问题及建议</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（一）评价结论。</w:t>
      </w:r>
    </w:p>
    <w:p>
      <w:pPr>
        <w:autoSpaceDE w:val="0"/>
        <w:ind w:firstLine="640" w:firstLineChars="200"/>
        <w:rPr>
          <w:rFonts w:ascii="仿宋" w:hAnsi="仿宋" w:eastAsia="仿宋"/>
          <w:sz w:val="32"/>
          <w:szCs w:val="32"/>
        </w:rPr>
      </w:pPr>
      <w:r>
        <w:rPr>
          <w:rFonts w:hint="eastAsia" w:ascii="仿宋" w:hAnsi="仿宋" w:eastAsia="仿宋"/>
          <w:sz w:val="32"/>
          <w:szCs w:val="32"/>
        </w:rPr>
        <w:t>自评结论为“良好”。</w:t>
      </w:r>
    </w:p>
    <w:p>
      <w:pPr>
        <w:adjustRightInd w:val="0"/>
        <w:snapToGrid w:val="0"/>
        <w:spacing w:line="600" w:lineRule="exact"/>
        <w:ind w:firstLine="720"/>
        <w:rPr>
          <w:rFonts w:ascii="楷体_GB2312" w:eastAsia="楷体_GB2312"/>
          <w:b/>
          <w:sz w:val="32"/>
          <w:szCs w:val="32"/>
          <w:lang w:val="zh-CN"/>
        </w:rPr>
      </w:pPr>
      <w:r>
        <w:rPr>
          <w:rFonts w:ascii="楷体_GB2312" w:eastAsia="楷体_GB2312"/>
          <w:b/>
          <w:sz w:val="32"/>
          <w:szCs w:val="32"/>
          <w:lang w:val="zh-CN"/>
        </w:rPr>
        <w:t>（</w:t>
      </w:r>
      <w:r>
        <w:rPr>
          <w:rFonts w:hint="eastAsia" w:ascii="楷体_GB2312" w:eastAsia="楷体_GB2312"/>
          <w:b/>
          <w:sz w:val="32"/>
          <w:szCs w:val="32"/>
          <w:lang w:val="zh-CN"/>
        </w:rPr>
        <w:t>二</w:t>
      </w:r>
      <w:r>
        <w:rPr>
          <w:rFonts w:ascii="楷体_GB2312" w:eastAsia="楷体_GB2312"/>
          <w:b/>
          <w:sz w:val="32"/>
          <w:szCs w:val="32"/>
          <w:lang w:val="zh-CN"/>
        </w:rPr>
        <w:t>）存在的问题。</w:t>
      </w:r>
    </w:p>
    <w:p>
      <w:pPr>
        <w:autoSpaceDE w:val="0"/>
        <w:ind w:firstLine="640" w:firstLineChars="200"/>
        <w:rPr>
          <w:rFonts w:ascii="仿宋" w:hAnsi="仿宋" w:eastAsia="仿宋"/>
          <w:sz w:val="32"/>
          <w:szCs w:val="32"/>
        </w:rPr>
      </w:pPr>
      <w:r>
        <w:rPr>
          <w:rFonts w:ascii="仿宋" w:hAnsi="仿宋" w:eastAsia="仿宋"/>
          <w:sz w:val="32"/>
          <w:szCs w:val="32"/>
        </w:rPr>
        <w:t>从本项目实施情况看，整个项目在资金安排、方案策划、组织实施等方面均有充分考虑，且较好地达到项目预期目标。我中心将通过此项目建设，逐步积累经验，不断强化项目资金预算编制管理，进而使预算项目资金得到更合理的安排与使用，增强预算执行的时效性和均衡性，提高财政资金的使用效率。</w:t>
      </w:r>
    </w:p>
    <w:p>
      <w:pPr>
        <w:adjustRightInd w:val="0"/>
        <w:snapToGrid w:val="0"/>
        <w:spacing w:line="600" w:lineRule="exact"/>
        <w:ind w:firstLine="720"/>
        <w:rPr>
          <w:rFonts w:ascii="楷体_GB2312" w:eastAsia="楷体_GB2312"/>
          <w:b/>
          <w:kern w:val="2"/>
          <w:sz w:val="32"/>
          <w:szCs w:val="32"/>
          <w:lang w:val="zh-CN"/>
        </w:rPr>
      </w:pPr>
      <w:r>
        <w:rPr>
          <w:rFonts w:ascii="楷体_GB2312" w:eastAsia="楷体_GB2312"/>
          <w:b/>
          <w:kern w:val="2"/>
          <w:sz w:val="32"/>
          <w:szCs w:val="32"/>
          <w:lang w:val="zh-CN"/>
        </w:rPr>
        <w:t>（</w:t>
      </w:r>
      <w:r>
        <w:rPr>
          <w:rFonts w:hint="eastAsia" w:ascii="楷体_GB2312" w:eastAsia="楷体_GB2312"/>
          <w:b/>
          <w:kern w:val="2"/>
          <w:sz w:val="32"/>
          <w:szCs w:val="32"/>
          <w:lang w:val="zh-CN"/>
        </w:rPr>
        <w:t>三</w:t>
      </w:r>
      <w:r>
        <w:rPr>
          <w:rFonts w:ascii="楷体_GB2312" w:eastAsia="楷体_GB2312"/>
          <w:b/>
          <w:kern w:val="2"/>
          <w:sz w:val="32"/>
          <w:szCs w:val="32"/>
          <w:lang w:val="zh-CN"/>
        </w:rPr>
        <w:t>）相关建议。</w:t>
      </w:r>
    </w:p>
    <w:p>
      <w:pPr>
        <w:adjustRightInd w:val="0"/>
        <w:snapToGrid w:val="0"/>
        <w:spacing w:line="600" w:lineRule="exact"/>
        <w:ind w:firstLine="720"/>
        <w:rPr>
          <w:sz w:val="32"/>
          <w:szCs w:val="32"/>
          <w:lang w:val="zh-CN"/>
        </w:rPr>
      </w:pPr>
      <w:r>
        <w:rPr>
          <w:sz w:val="32"/>
          <w:szCs w:val="32"/>
          <w:lang w:val="zh-CN"/>
        </w:rPr>
        <w:t>无</w:t>
      </w:r>
      <w:r>
        <w:rPr>
          <w:rFonts w:hint="eastAsia"/>
          <w:sz w:val="32"/>
          <w:szCs w:val="32"/>
          <w:lang w:val="zh-CN"/>
        </w:rPr>
        <w:t>。</w:t>
      </w:r>
    </w:p>
    <w:p>
      <w:pPr>
        <w:adjustRightInd w:val="0"/>
        <w:snapToGrid w:val="0"/>
        <w:spacing w:line="600" w:lineRule="exact"/>
        <w:ind w:firstLine="720"/>
        <w:rPr>
          <w:rFonts w:eastAsia="楷体_GB2312"/>
          <w:bCs/>
          <w:spacing w:val="-6"/>
          <w:sz w:val="32"/>
          <w:szCs w:val="32"/>
        </w:rPr>
      </w:pPr>
    </w:p>
    <w:p>
      <w:pPr>
        <w:adjustRightInd w:val="0"/>
        <w:snapToGrid w:val="0"/>
        <w:spacing w:line="600" w:lineRule="exact"/>
        <w:ind w:firstLine="720"/>
        <w:rPr>
          <w:rFonts w:eastAsia="楷体_GB2312"/>
          <w:bCs/>
          <w:spacing w:val="-6"/>
          <w:sz w:val="32"/>
          <w:szCs w:val="32"/>
        </w:rPr>
      </w:pPr>
    </w:p>
    <w:p>
      <w:pPr>
        <w:adjustRightInd w:val="0"/>
        <w:snapToGrid w:val="0"/>
        <w:spacing w:line="600" w:lineRule="exact"/>
        <w:ind w:firstLine="720"/>
        <w:rPr>
          <w:rFonts w:eastAsia="楷体_GB2312"/>
          <w:bCs/>
          <w:spacing w:val="-6"/>
          <w:sz w:val="32"/>
          <w:szCs w:val="32"/>
        </w:rPr>
      </w:pPr>
    </w:p>
    <w:p>
      <w:pPr>
        <w:adjustRightInd w:val="0"/>
        <w:snapToGrid w:val="0"/>
        <w:spacing w:line="600" w:lineRule="exact"/>
        <w:ind w:firstLine="720"/>
        <w:rPr>
          <w:rFonts w:eastAsia="楷体_GB2312"/>
          <w:bCs/>
          <w:spacing w:val="-6"/>
          <w:sz w:val="32"/>
          <w:szCs w:val="32"/>
        </w:rPr>
      </w:pPr>
    </w:p>
    <w:p>
      <w:pPr>
        <w:adjustRightInd w:val="0"/>
        <w:snapToGrid w:val="0"/>
        <w:spacing w:line="600" w:lineRule="exact"/>
        <w:ind w:firstLine="720"/>
        <w:rPr>
          <w:rFonts w:eastAsia="楷体_GB2312"/>
          <w:bCs/>
          <w:spacing w:val="-6"/>
          <w:sz w:val="32"/>
          <w:szCs w:val="32"/>
        </w:rPr>
      </w:pPr>
    </w:p>
    <w:p>
      <w:pPr>
        <w:adjustRightInd w:val="0"/>
        <w:snapToGrid w:val="0"/>
        <w:spacing w:line="600" w:lineRule="exact"/>
        <w:ind w:firstLine="720"/>
        <w:rPr>
          <w:rFonts w:eastAsia="楷体_GB2312"/>
          <w:bCs/>
          <w:spacing w:val="-6"/>
          <w:sz w:val="32"/>
          <w:szCs w:val="32"/>
        </w:rPr>
      </w:pPr>
    </w:p>
    <w:p>
      <w:pPr>
        <w:adjustRightInd w:val="0"/>
        <w:snapToGrid w:val="0"/>
        <w:spacing w:line="600" w:lineRule="exact"/>
        <w:ind w:firstLine="720"/>
        <w:rPr>
          <w:rFonts w:eastAsia="楷体_GB2312"/>
          <w:bCs/>
          <w:spacing w:val="-6"/>
          <w:sz w:val="32"/>
          <w:szCs w:val="32"/>
        </w:rPr>
      </w:pPr>
    </w:p>
    <w:p>
      <w:pPr>
        <w:adjustRightInd w:val="0"/>
        <w:snapToGrid w:val="0"/>
        <w:spacing w:line="600" w:lineRule="exact"/>
        <w:ind w:firstLine="720"/>
        <w:rPr>
          <w:rFonts w:hint="eastAsia" w:eastAsia="楷体_GB2312"/>
          <w:bCs/>
          <w:spacing w:val="-6"/>
          <w:sz w:val="32"/>
          <w:szCs w:val="32"/>
        </w:rPr>
      </w:pPr>
    </w:p>
    <w:p>
      <w:pPr>
        <w:adjustRightInd w:val="0"/>
        <w:snapToGrid w:val="0"/>
        <w:spacing w:line="600" w:lineRule="exact"/>
        <w:ind w:firstLine="720"/>
        <w:rPr>
          <w:rFonts w:hint="eastAsia" w:eastAsia="楷体_GB2312"/>
          <w:bCs/>
          <w:spacing w:val="-6"/>
          <w:sz w:val="32"/>
          <w:szCs w:val="32"/>
        </w:rPr>
      </w:pPr>
    </w:p>
    <w:p>
      <w:pPr>
        <w:adjustRightInd w:val="0"/>
        <w:snapToGrid w:val="0"/>
        <w:spacing w:line="600" w:lineRule="exact"/>
        <w:ind w:firstLine="720"/>
        <w:rPr>
          <w:rFonts w:hint="eastAsia" w:eastAsia="楷体_GB2312"/>
          <w:bCs/>
          <w:spacing w:val="-6"/>
          <w:sz w:val="32"/>
          <w:szCs w:val="32"/>
        </w:rPr>
      </w:pPr>
    </w:p>
    <w:p>
      <w:pPr>
        <w:adjustRightInd w:val="0"/>
        <w:snapToGrid w:val="0"/>
        <w:spacing w:line="600" w:lineRule="exact"/>
        <w:ind w:firstLine="720"/>
        <w:rPr>
          <w:rFonts w:hint="eastAsia" w:eastAsia="楷体_GB2312"/>
          <w:bCs/>
          <w:spacing w:val="-6"/>
          <w:sz w:val="32"/>
          <w:szCs w:val="32"/>
        </w:rPr>
      </w:pPr>
    </w:p>
    <w:p>
      <w:pPr>
        <w:adjustRightInd w:val="0"/>
        <w:snapToGrid w:val="0"/>
        <w:spacing w:line="600" w:lineRule="exact"/>
        <w:ind w:firstLine="720"/>
        <w:rPr>
          <w:rFonts w:eastAsia="楷体_GB2312"/>
          <w:bCs/>
          <w:spacing w:val="-6"/>
          <w:sz w:val="32"/>
          <w:szCs w:val="32"/>
        </w:rPr>
      </w:pPr>
    </w:p>
    <w:p>
      <w:pPr>
        <w:pStyle w:val="7"/>
        <w:spacing w:beforeLines="0"/>
      </w:pPr>
      <w:r>
        <w:rPr>
          <w:rFonts w:hint="eastAsia"/>
        </w:rPr>
        <w:t>附表：2021年部门预算项目绩效目标自评</w:t>
      </w:r>
    </w:p>
    <w:p>
      <w:pPr>
        <w:pStyle w:val="7"/>
        <w:spacing w:beforeLines="0"/>
        <w:jc w:val="center"/>
        <w:rPr>
          <w:rFonts w:hAnsi="Times New Roman"/>
        </w:rPr>
      </w:pPr>
      <w:r>
        <w:rPr>
          <w:rFonts w:hint="eastAsia" w:ascii="仿宋" w:hAnsi="仿宋" w:eastAsia="仿宋"/>
          <w:sz w:val="32"/>
          <w:szCs w:val="32"/>
        </w:rPr>
        <w:t>（</w:t>
      </w:r>
      <w:bookmarkStart w:id="76" w:name="OLE_LINK2"/>
      <w:bookmarkStart w:id="77" w:name="OLE_LINK1"/>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地震监测项目</w:t>
      </w:r>
      <w:bookmarkEnd w:id="76"/>
      <w:bookmarkEnd w:id="77"/>
      <w:r>
        <w:rPr>
          <w:rFonts w:hint="eastAsia" w:ascii="仿宋" w:hAnsi="仿宋" w:eastAsia="仿宋"/>
          <w:sz w:val="32"/>
          <w:szCs w:val="32"/>
        </w:rPr>
        <w:t>）</w:t>
      </w:r>
    </w:p>
    <w:tbl>
      <w:tblPr>
        <w:tblStyle w:val="20"/>
        <w:tblW w:w="9776" w:type="dxa"/>
        <w:jc w:val="center"/>
        <w:tblLayout w:type="fixed"/>
        <w:tblCellMar>
          <w:top w:w="0" w:type="dxa"/>
          <w:left w:w="108" w:type="dxa"/>
          <w:bottom w:w="0" w:type="dxa"/>
          <w:right w:w="108" w:type="dxa"/>
        </w:tblCellMar>
      </w:tblPr>
      <w:tblGrid>
        <w:gridCol w:w="2025"/>
        <w:gridCol w:w="1136"/>
        <w:gridCol w:w="34"/>
        <w:gridCol w:w="1128"/>
        <w:gridCol w:w="547"/>
        <w:gridCol w:w="1221"/>
        <w:gridCol w:w="1559"/>
        <w:gridCol w:w="425"/>
        <w:gridCol w:w="1701"/>
      </w:tblGrid>
      <w:tr>
        <w:tblPrEx>
          <w:tblCellMar>
            <w:top w:w="0" w:type="dxa"/>
            <w:left w:w="108" w:type="dxa"/>
            <w:bottom w:w="0" w:type="dxa"/>
            <w:right w:w="108" w:type="dxa"/>
          </w:tblCellMar>
        </w:tblPrEx>
        <w:trPr>
          <w:trHeight w:val="254" w:hRule="atLeast"/>
          <w:jc w:val="center"/>
        </w:trPr>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主管部门及代码</w:t>
            </w:r>
          </w:p>
        </w:tc>
        <w:tc>
          <w:tcPr>
            <w:tcW w:w="28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413401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实施单位</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朝天区防震减灾中心</w:t>
            </w:r>
          </w:p>
        </w:tc>
      </w:tr>
      <w:tr>
        <w:tblPrEx>
          <w:tblCellMar>
            <w:top w:w="0" w:type="dxa"/>
            <w:left w:w="108" w:type="dxa"/>
            <w:bottom w:w="0" w:type="dxa"/>
            <w:right w:w="108" w:type="dxa"/>
          </w:tblCellMar>
        </w:tblPrEx>
        <w:trPr>
          <w:trHeight w:val="341" w:hRule="atLeast"/>
          <w:jc w:val="center"/>
        </w:trPr>
        <w:tc>
          <w:tcPr>
            <w:tcW w:w="31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项目预算</w:t>
            </w:r>
          </w:p>
          <w:p>
            <w:pPr>
              <w:spacing w:line="320" w:lineRule="exact"/>
              <w:jc w:val="center"/>
              <w:textAlignment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执行情况</w:t>
            </w:r>
          </w:p>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（万元）</w:t>
            </w:r>
          </w:p>
        </w:tc>
        <w:tc>
          <w:tcPr>
            <w:tcW w:w="1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预算数：</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执行数：</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r>
      <w:tr>
        <w:tblPrEx>
          <w:tblCellMar>
            <w:top w:w="0" w:type="dxa"/>
            <w:left w:w="108" w:type="dxa"/>
            <w:bottom w:w="0" w:type="dxa"/>
            <w:right w:w="108" w:type="dxa"/>
          </w:tblCellMar>
        </w:tblPrEx>
        <w:trPr>
          <w:trHeight w:val="538" w:hRule="atLeast"/>
          <w:jc w:val="center"/>
        </w:trPr>
        <w:tc>
          <w:tcPr>
            <w:tcW w:w="31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sz w:val="21"/>
                <w:szCs w:val="21"/>
              </w:rPr>
            </w:pPr>
          </w:p>
        </w:tc>
        <w:tc>
          <w:tcPr>
            <w:tcW w:w="1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其中：</w:t>
            </w:r>
          </w:p>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财政拨款</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其中：</w:t>
            </w:r>
          </w:p>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财政拨款</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r>
      <w:tr>
        <w:tblPrEx>
          <w:tblCellMar>
            <w:top w:w="0" w:type="dxa"/>
            <w:left w:w="108" w:type="dxa"/>
            <w:bottom w:w="0" w:type="dxa"/>
            <w:right w:w="108" w:type="dxa"/>
          </w:tblCellMar>
        </w:tblPrEx>
        <w:trPr>
          <w:trHeight w:val="359" w:hRule="atLeast"/>
          <w:jc w:val="center"/>
        </w:trPr>
        <w:tc>
          <w:tcPr>
            <w:tcW w:w="31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sz w:val="21"/>
                <w:szCs w:val="21"/>
              </w:rPr>
            </w:pPr>
          </w:p>
        </w:tc>
        <w:tc>
          <w:tcPr>
            <w:tcW w:w="1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其他资金</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其他资金</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0</w:t>
            </w:r>
          </w:p>
        </w:tc>
      </w:tr>
      <w:tr>
        <w:tblPrEx>
          <w:tblCellMar>
            <w:top w:w="0" w:type="dxa"/>
            <w:left w:w="108" w:type="dxa"/>
            <w:bottom w:w="0" w:type="dxa"/>
            <w:right w:w="108" w:type="dxa"/>
          </w:tblCellMar>
        </w:tblPrEx>
        <w:trPr>
          <w:trHeight w:val="217" w:hRule="atLeast"/>
          <w:jc w:val="center"/>
        </w:trPr>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年度总体目标</w:t>
            </w:r>
          </w:p>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完成情况</w:t>
            </w:r>
          </w:p>
        </w:tc>
        <w:tc>
          <w:tcPr>
            <w:tcW w:w="40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预期目标</w:t>
            </w: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目标实际完成情况</w:t>
            </w:r>
          </w:p>
        </w:tc>
      </w:tr>
      <w:tr>
        <w:tblPrEx>
          <w:tblCellMar>
            <w:top w:w="0" w:type="dxa"/>
            <w:left w:w="108" w:type="dxa"/>
            <w:bottom w:w="0" w:type="dxa"/>
            <w:right w:w="108" w:type="dxa"/>
          </w:tblCellMar>
        </w:tblPrEx>
        <w:trPr>
          <w:trHeight w:val="797" w:hRule="atLeast"/>
          <w:jc w:val="center"/>
        </w:trPr>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sz w:val="21"/>
                <w:szCs w:val="21"/>
              </w:rPr>
            </w:pPr>
          </w:p>
        </w:tc>
        <w:tc>
          <w:tcPr>
            <w:tcW w:w="40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认真贯彻落实省市区安全会议精神，围绕部门工作目标，牢固树立宁可千日不震，不可一日不防的思想，坚持以预防为主，防抗结合的工作原则，坚持常态化减灾与非常态化救灾相结合，重视风险防范，强化综合治理，加强地震台站建设、运行、维护、数据产出等全过程科学管理,依法保护地震监测工作的正常进行。</w:t>
            </w: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科学管理地震台站建设、运行、维护、数据产出等全过程,地震监测工作的正常进行。</w:t>
            </w:r>
          </w:p>
        </w:tc>
      </w:tr>
      <w:tr>
        <w:tblPrEx>
          <w:tblCellMar>
            <w:top w:w="0" w:type="dxa"/>
            <w:left w:w="108" w:type="dxa"/>
            <w:bottom w:w="0" w:type="dxa"/>
            <w:right w:w="108" w:type="dxa"/>
          </w:tblCellMar>
        </w:tblPrEx>
        <w:trPr>
          <w:trHeight w:val="437" w:hRule="atLeast"/>
          <w:jc w:val="center"/>
        </w:trPr>
        <w:tc>
          <w:tcPr>
            <w:tcW w:w="2025" w:type="dxa"/>
            <w:vMerge w:val="restart"/>
            <w:tcBorders>
              <w:top w:val="single" w:color="000000" w:sz="4" w:space="0"/>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年度绩效指标完成情况</w:t>
            </w:r>
          </w:p>
        </w:tc>
        <w:tc>
          <w:tcPr>
            <w:tcW w:w="1136" w:type="dxa"/>
            <w:tcBorders>
              <w:top w:val="single" w:color="000000" w:sz="4" w:space="0"/>
              <w:left w:val="nil"/>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一级指标</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二级指标</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三级指标</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预期指标值</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实际完成指标值</w:t>
            </w:r>
          </w:p>
        </w:tc>
      </w:tr>
      <w:tr>
        <w:tblPrEx>
          <w:tblCellMar>
            <w:top w:w="0" w:type="dxa"/>
            <w:left w:w="108" w:type="dxa"/>
            <w:bottom w:w="0" w:type="dxa"/>
            <w:right w:w="108" w:type="dxa"/>
          </w:tblCellMar>
        </w:tblPrEx>
        <w:trPr>
          <w:trHeight w:val="713" w:hRule="atLeast"/>
          <w:jc w:val="center"/>
        </w:trPr>
        <w:tc>
          <w:tcPr>
            <w:tcW w:w="2025" w:type="dxa"/>
            <w:vMerge w:val="continue"/>
            <w:tcBorders>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完成</w:t>
            </w:r>
          </w:p>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指标</w:t>
            </w:r>
          </w:p>
        </w:tc>
        <w:tc>
          <w:tcPr>
            <w:tcW w:w="1162" w:type="dxa"/>
            <w:gridSpan w:val="2"/>
            <w:vMerge w:val="restart"/>
            <w:tcBorders>
              <w:top w:val="single" w:color="000000" w:sz="4" w:space="0"/>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数量指标</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台站数量</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数字化台站10个，一般站26个</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数字化台站10个，一般站26个</w:t>
            </w:r>
          </w:p>
        </w:tc>
      </w:tr>
      <w:tr>
        <w:tblPrEx>
          <w:tblCellMar>
            <w:top w:w="0" w:type="dxa"/>
            <w:left w:w="108" w:type="dxa"/>
            <w:bottom w:w="0" w:type="dxa"/>
            <w:right w:w="108" w:type="dxa"/>
          </w:tblCellMar>
        </w:tblPrEx>
        <w:trPr>
          <w:trHeight w:val="415" w:hRule="atLeast"/>
          <w:jc w:val="center"/>
        </w:trPr>
        <w:tc>
          <w:tcPr>
            <w:tcW w:w="2025" w:type="dxa"/>
            <w:vMerge w:val="continue"/>
            <w:tcBorders>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p>
        </w:tc>
        <w:tc>
          <w:tcPr>
            <w:tcW w:w="1162" w:type="dxa"/>
            <w:gridSpan w:val="2"/>
            <w:vMerge w:val="continue"/>
            <w:tcBorders>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监测天（次）数</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365天</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365天</w:t>
            </w:r>
          </w:p>
        </w:tc>
      </w:tr>
      <w:tr>
        <w:tblPrEx>
          <w:tblCellMar>
            <w:top w:w="0" w:type="dxa"/>
            <w:left w:w="108" w:type="dxa"/>
            <w:bottom w:w="0" w:type="dxa"/>
            <w:right w:w="108" w:type="dxa"/>
          </w:tblCellMar>
        </w:tblPrEx>
        <w:trPr>
          <w:trHeight w:val="415" w:hRule="atLeast"/>
          <w:jc w:val="center"/>
        </w:trPr>
        <w:tc>
          <w:tcPr>
            <w:tcW w:w="2025" w:type="dxa"/>
            <w:vMerge w:val="continue"/>
            <w:tcBorders>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质量指标</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管理计划完成度</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100%</w:t>
            </w:r>
          </w:p>
        </w:tc>
      </w:tr>
      <w:tr>
        <w:tblPrEx>
          <w:tblCellMar>
            <w:top w:w="0" w:type="dxa"/>
            <w:left w:w="108" w:type="dxa"/>
            <w:bottom w:w="0" w:type="dxa"/>
            <w:right w:w="108" w:type="dxa"/>
          </w:tblCellMar>
        </w:tblPrEx>
        <w:trPr>
          <w:trHeight w:val="415" w:hRule="atLeast"/>
          <w:jc w:val="center"/>
        </w:trPr>
        <w:tc>
          <w:tcPr>
            <w:tcW w:w="2025" w:type="dxa"/>
            <w:vMerge w:val="continue"/>
            <w:tcBorders>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时效指标</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监测设备运行率</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正常运行100%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正常运行100%</w:t>
            </w:r>
          </w:p>
        </w:tc>
      </w:tr>
      <w:tr>
        <w:tblPrEx>
          <w:tblCellMar>
            <w:top w:w="0" w:type="dxa"/>
            <w:left w:w="108" w:type="dxa"/>
            <w:bottom w:w="0" w:type="dxa"/>
            <w:right w:w="108" w:type="dxa"/>
          </w:tblCellMar>
        </w:tblPrEx>
        <w:trPr>
          <w:trHeight w:val="480" w:hRule="atLeast"/>
          <w:jc w:val="center"/>
        </w:trPr>
        <w:tc>
          <w:tcPr>
            <w:tcW w:w="2025" w:type="dxa"/>
            <w:vMerge w:val="continue"/>
            <w:tcBorders>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成本指标</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财政预算</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3万元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3万元</w:t>
            </w:r>
          </w:p>
        </w:tc>
      </w:tr>
      <w:tr>
        <w:tblPrEx>
          <w:tblCellMar>
            <w:top w:w="0" w:type="dxa"/>
            <w:left w:w="108" w:type="dxa"/>
            <w:bottom w:w="0" w:type="dxa"/>
            <w:right w:w="108" w:type="dxa"/>
          </w:tblCellMar>
        </w:tblPrEx>
        <w:trPr>
          <w:trHeight w:val="493" w:hRule="atLeast"/>
          <w:jc w:val="center"/>
        </w:trPr>
        <w:tc>
          <w:tcPr>
            <w:tcW w:w="2025" w:type="dxa"/>
            <w:vMerge w:val="continue"/>
            <w:tcBorders>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效益</w:t>
            </w:r>
          </w:p>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指标</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经济效益指标</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提供就业岗位</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12个</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12个</w:t>
            </w:r>
          </w:p>
        </w:tc>
      </w:tr>
      <w:tr>
        <w:tblPrEx>
          <w:tblCellMar>
            <w:top w:w="0" w:type="dxa"/>
            <w:left w:w="108" w:type="dxa"/>
            <w:bottom w:w="0" w:type="dxa"/>
            <w:right w:w="108" w:type="dxa"/>
          </w:tblCellMar>
        </w:tblPrEx>
        <w:trPr>
          <w:trHeight w:val="262" w:hRule="atLeast"/>
          <w:jc w:val="center"/>
        </w:trPr>
        <w:tc>
          <w:tcPr>
            <w:tcW w:w="2025" w:type="dxa"/>
            <w:vMerge w:val="continue"/>
            <w:tcBorders>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社会效益指标</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地震预测预报水平</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能力提高</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能力提高</w:t>
            </w:r>
          </w:p>
        </w:tc>
      </w:tr>
      <w:tr>
        <w:tblPrEx>
          <w:tblCellMar>
            <w:top w:w="0" w:type="dxa"/>
            <w:left w:w="108" w:type="dxa"/>
            <w:bottom w:w="0" w:type="dxa"/>
            <w:right w:w="108" w:type="dxa"/>
          </w:tblCellMar>
        </w:tblPrEx>
        <w:trPr>
          <w:trHeight w:val="945" w:hRule="atLeast"/>
          <w:jc w:val="center"/>
        </w:trPr>
        <w:tc>
          <w:tcPr>
            <w:tcW w:w="2025" w:type="dxa"/>
            <w:vMerge w:val="continue"/>
            <w:tcBorders>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生态效益指标</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台站监测设施和监测环境</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有效维护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有效维护</w:t>
            </w:r>
          </w:p>
        </w:tc>
      </w:tr>
      <w:tr>
        <w:tblPrEx>
          <w:tblCellMar>
            <w:top w:w="0" w:type="dxa"/>
            <w:left w:w="108" w:type="dxa"/>
            <w:bottom w:w="0" w:type="dxa"/>
            <w:right w:w="108" w:type="dxa"/>
          </w:tblCellMar>
        </w:tblPrEx>
        <w:trPr>
          <w:trHeight w:val="659" w:hRule="atLeast"/>
          <w:jc w:val="center"/>
        </w:trPr>
        <w:tc>
          <w:tcPr>
            <w:tcW w:w="2025" w:type="dxa"/>
            <w:vMerge w:val="continue"/>
            <w:tcBorders>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可持续影响指标</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台站运行及监测数据入库可持续</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可持续</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可持续</w:t>
            </w:r>
          </w:p>
        </w:tc>
      </w:tr>
      <w:tr>
        <w:tblPrEx>
          <w:tblCellMar>
            <w:top w:w="0" w:type="dxa"/>
            <w:left w:w="108" w:type="dxa"/>
            <w:bottom w:w="0" w:type="dxa"/>
            <w:right w:w="108" w:type="dxa"/>
          </w:tblCellMar>
        </w:tblPrEx>
        <w:trPr>
          <w:trHeight w:val="410" w:hRule="atLeast"/>
          <w:jc w:val="center"/>
        </w:trPr>
        <w:tc>
          <w:tcPr>
            <w:tcW w:w="2025"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满意度</w:t>
            </w:r>
          </w:p>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指标</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满意度</w:t>
            </w:r>
          </w:p>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指标</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服务对象满意度</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≥90%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100%</w:t>
            </w:r>
          </w:p>
        </w:tc>
      </w:tr>
    </w:tbl>
    <w:p>
      <w:pPr>
        <w:autoSpaceDE w:val="0"/>
        <w:spacing w:line="576" w:lineRule="exact"/>
        <w:jc w:val="center"/>
        <w:rPr>
          <w:rFonts w:ascii="黑体" w:hAnsi="黑体" w:eastAsia="黑体"/>
          <w:sz w:val="32"/>
          <w:szCs w:val="32"/>
          <w:lang w:val="zh-CN"/>
        </w:rPr>
      </w:pPr>
      <w:r>
        <w:rPr>
          <w:rFonts w:hint="eastAsia" w:ascii="黑体" w:hAnsi="黑体" w:eastAsia="黑体"/>
          <w:sz w:val="32"/>
          <w:szCs w:val="32"/>
          <w:lang w:val="zh-CN"/>
        </w:rPr>
        <w:t>2021年部门预算项目支出绩效自评报告</w:t>
      </w:r>
    </w:p>
    <w:p>
      <w:pPr>
        <w:autoSpaceDE w:val="0"/>
        <w:spacing w:line="576" w:lineRule="exact"/>
        <w:ind w:firstLine="560" w:firstLineChars="200"/>
        <w:jc w:val="center"/>
        <w:rPr>
          <w:sz w:val="28"/>
          <w:szCs w:val="32"/>
          <w:lang w:val="zh-CN"/>
        </w:rPr>
      </w:pPr>
      <w:r>
        <w:rPr>
          <w:sz w:val="28"/>
          <w:szCs w:val="32"/>
          <w:lang w:val="zh-CN"/>
        </w:rPr>
        <w:t>（</w:t>
      </w:r>
      <w:r>
        <w:rPr>
          <w:rFonts w:hint="eastAsia"/>
          <w:sz w:val="28"/>
          <w:szCs w:val="32"/>
          <w:lang w:val="zh-CN"/>
        </w:rPr>
        <w:t>2</w:t>
      </w:r>
      <w:r>
        <w:rPr>
          <w:sz w:val="28"/>
          <w:szCs w:val="32"/>
          <w:lang w:val="zh-CN"/>
        </w:rPr>
        <w:t>.</w:t>
      </w:r>
      <w:r>
        <w:rPr>
          <w:rFonts w:hint="eastAsia"/>
          <w:sz w:val="28"/>
          <w:szCs w:val="32"/>
          <w:lang w:val="zh-CN"/>
        </w:rPr>
        <w:t>灾情PDA维护和防震减灾信息管理项目</w:t>
      </w:r>
      <w:r>
        <w:rPr>
          <w:sz w:val="28"/>
          <w:szCs w:val="32"/>
          <w:lang w:val="zh-CN"/>
        </w:rPr>
        <w:t>）</w:t>
      </w:r>
    </w:p>
    <w:p>
      <w:pPr>
        <w:autoSpaceDE w:val="0"/>
        <w:spacing w:line="576" w:lineRule="exact"/>
        <w:ind w:firstLine="616" w:firstLineChars="200"/>
        <w:rPr>
          <w:rFonts w:ascii="黑体" w:hAnsi="黑体" w:eastAsia="黑体"/>
          <w:spacing w:val="-6"/>
          <w:sz w:val="32"/>
          <w:szCs w:val="32"/>
        </w:rPr>
      </w:pPr>
      <w:r>
        <w:rPr>
          <w:rFonts w:hint="eastAsia" w:ascii="黑体" w:hAnsi="黑体" w:eastAsia="黑体"/>
          <w:spacing w:val="-6"/>
          <w:sz w:val="32"/>
          <w:szCs w:val="32"/>
        </w:rPr>
        <w:t>一、项目概况</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（一）项目基本情况。</w:t>
      </w:r>
    </w:p>
    <w:p>
      <w:pPr>
        <w:ind w:firstLine="640" w:firstLineChars="200"/>
        <w:rPr>
          <w:rFonts w:ascii="仿宋" w:hAnsi="仿宋" w:eastAsia="仿宋" w:cs="仿宋"/>
          <w:sz w:val="32"/>
          <w:szCs w:val="32"/>
        </w:rPr>
      </w:pPr>
      <w:r>
        <w:rPr>
          <w:rFonts w:hint="eastAsia" w:ascii="仿宋" w:hAnsi="仿宋" w:eastAsia="仿宋" w:cs="仿宋"/>
          <w:sz w:val="32"/>
          <w:szCs w:val="32"/>
        </w:rPr>
        <w:t>该项目系本级财政预算资金，项目实施单位是朝天区防震减灾中心，实施内容主要是对灾情预警系统进行维护，保障正常运行；进学校、进社区、进村宣传防震减灾知识。</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（二）项目绩效目标。</w:t>
      </w:r>
    </w:p>
    <w:p>
      <w:pPr>
        <w:ind w:firstLine="640" w:firstLineChars="200"/>
        <w:rPr>
          <w:rFonts w:ascii="仿宋" w:hAnsi="仿宋" w:eastAsia="仿宋" w:cs="仿宋"/>
          <w:sz w:val="32"/>
          <w:szCs w:val="32"/>
        </w:rPr>
      </w:pPr>
      <w:r>
        <w:rPr>
          <w:rFonts w:hint="eastAsia" w:ascii="仿宋" w:hAnsi="仿宋" w:eastAsia="仿宋" w:cs="仿宋"/>
          <w:sz w:val="32"/>
          <w:szCs w:val="32"/>
        </w:rPr>
        <w:t>根据规定，确保地震灾报PDA通信可靠稳定，让公众及时知晓地震发生情况、震情灾情准，确发出地震预警信息；开展防震减灾科普宣传，提高人民群众防震减灾意识。</w:t>
      </w:r>
    </w:p>
    <w:p>
      <w:pPr>
        <w:adjustRightInd w:val="0"/>
        <w:snapToGrid w:val="0"/>
        <w:spacing w:line="600" w:lineRule="exact"/>
        <w:ind w:firstLine="720"/>
        <w:rPr>
          <w:rFonts w:ascii="楷体_GB2312" w:eastAsia="楷体_GB2312"/>
          <w:b/>
          <w:sz w:val="32"/>
          <w:szCs w:val="32"/>
          <w:lang w:val="zh-CN"/>
        </w:rPr>
      </w:pPr>
      <w:bookmarkStart w:id="78" w:name="OLE_LINK4"/>
      <w:bookmarkStart w:id="79" w:name="OLE_LINK3"/>
      <w:r>
        <w:rPr>
          <w:rFonts w:hint="eastAsia" w:ascii="楷体_GB2312" w:eastAsia="楷体_GB2312"/>
          <w:b/>
          <w:sz w:val="32"/>
          <w:szCs w:val="32"/>
          <w:lang w:val="zh-CN"/>
        </w:rPr>
        <w:t>（三）项目自评步骤及方法。</w:t>
      </w:r>
    </w:p>
    <w:p>
      <w:pPr>
        <w:ind w:firstLine="640" w:firstLineChars="200"/>
        <w:rPr>
          <w:rFonts w:ascii="仿宋" w:hAnsi="仿宋" w:eastAsia="仿宋" w:cs="仿宋"/>
          <w:sz w:val="32"/>
          <w:szCs w:val="32"/>
        </w:rPr>
      </w:pPr>
      <w:r>
        <w:rPr>
          <w:rFonts w:hint="eastAsia" w:ascii="仿宋" w:hAnsi="仿宋" w:eastAsia="仿宋" w:cs="仿宋"/>
          <w:sz w:val="32"/>
          <w:szCs w:val="32"/>
        </w:rPr>
        <w:t>按照《广元市朝天区财政局关于开展2022年部门、政策和项目支出绩效自评工作的通知》（广朝财发〔2022〕28号）文件要求，</w:t>
      </w:r>
      <w:r>
        <w:rPr>
          <w:rFonts w:hint="eastAsia" w:ascii="仿宋" w:hAnsi="仿宋" w:eastAsia="仿宋"/>
          <w:sz w:val="32"/>
          <w:szCs w:val="32"/>
        </w:rPr>
        <w:t>对照</w:t>
      </w:r>
      <w:r>
        <w:rPr>
          <w:rFonts w:ascii="仿宋" w:hAnsi="仿宋" w:eastAsia="仿宋" w:cs="仿宋"/>
          <w:sz w:val="32"/>
          <w:szCs w:val="32"/>
        </w:rPr>
        <w:t>202</w:t>
      </w:r>
      <w:r>
        <w:rPr>
          <w:rFonts w:hint="eastAsia" w:ascii="仿宋" w:hAnsi="仿宋" w:eastAsia="仿宋" w:cs="仿宋"/>
          <w:sz w:val="32"/>
          <w:szCs w:val="32"/>
        </w:rPr>
        <w:t>1年度</w:t>
      </w:r>
      <w:r>
        <w:rPr>
          <w:rFonts w:ascii="仿宋" w:hAnsi="仿宋" w:eastAsia="仿宋" w:cs="仿宋"/>
          <w:sz w:val="32"/>
          <w:szCs w:val="32"/>
        </w:rPr>
        <w:t>部门预算项目支出绩效自评评分表</w:t>
      </w:r>
      <w:r>
        <w:rPr>
          <w:rFonts w:hint="eastAsia" w:ascii="仿宋" w:hAnsi="仿宋" w:eastAsia="仿宋" w:cs="仿宋"/>
          <w:sz w:val="32"/>
          <w:szCs w:val="32"/>
        </w:rPr>
        <w:t>，开展项目自评。</w:t>
      </w:r>
    </w:p>
    <w:bookmarkEnd w:id="78"/>
    <w:bookmarkEnd w:id="79"/>
    <w:p>
      <w:pPr>
        <w:adjustRightInd w:val="0"/>
        <w:snapToGrid w:val="0"/>
        <w:spacing w:line="600" w:lineRule="exact"/>
        <w:ind w:firstLine="720"/>
        <w:rPr>
          <w:rFonts w:ascii="黑体" w:eastAsia="黑体"/>
          <w:sz w:val="32"/>
          <w:szCs w:val="32"/>
        </w:rPr>
      </w:pPr>
      <w:r>
        <w:rPr>
          <w:rFonts w:hint="eastAsia" w:ascii="黑体" w:eastAsia="黑体"/>
          <w:sz w:val="32"/>
          <w:szCs w:val="32"/>
        </w:rPr>
        <w:t>二、项目资金申报及使用情况</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（一）项目资金申报及批复情况。</w:t>
      </w:r>
    </w:p>
    <w:p>
      <w:pPr>
        <w:autoSpaceDE w:val="0"/>
        <w:spacing w:line="576" w:lineRule="exact"/>
        <w:ind w:firstLine="640" w:firstLineChars="200"/>
        <w:rPr>
          <w:sz w:val="32"/>
          <w:szCs w:val="32"/>
          <w:lang w:val="zh-CN"/>
        </w:rPr>
      </w:pPr>
      <w:r>
        <w:rPr>
          <w:rFonts w:hint="eastAsia"/>
          <w:sz w:val="32"/>
          <w:szCs w:val="32"/>
          <w:lang w:val="zh-CN"/>
        </w:rPr>
        <w:t>该项目系本级财政预算资金，项目实施单位是朝天区防震减灾中心，实施内容主要是对灾情预警系统进行维护，保障正常运行；进学校、进社区、进村宣传防震减灾知识。已批复。</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（二）资金计划、到位及使用情况</w:t>
      </w:r>
    </w:p>
    <w:p>
      <w:pPr>
        <w:spacing w:line="576" w:lineRule="exact"/>
        <w:ind w:firstLine="640" w:firstLineChars="200"/>
        <w:rPr>
          <w:sz w:val="32"/>
          <w:szCs w:val="32"/>
          <w:lang w:val="zh-CN"/>
        </w:rPr>
      </w:pPr>
      <w:r>
        <w:rPr>
          <w:rFonts w:hint="eastAsia"/>
          <w:sz w:val="32"/>
          <w:szCs w:val="32"/>
          <w:lang w:val="zh-CN"/>
        </w:rPr>
        <w:t>1.资金计划。该项目计划资金4万元。</w:t>
      </w:r>
    </w:p>
    <w:p>
      <w:pPr>
        <w:spacing w:line="576" w:lineRule="exact"/>
        <w:ind w:firstLine="640" w:firstLineChars="200"/>
        <w:rPr>
          <w:sz w:val="32"/>
          <w:szCs w:val="32"/>
          <w:lang w:val="zh-CN"/>
        </w:rPr>
      </w:pPr>
      <w:r>
        <w:rPr>
          <w:rFonts w:hint="eastAsia"/>
          <w:sz w:val="32"/>
          <w:szCs w:val="32"/>
          <w:lang w:val="zh-CN"/>
        </w:rPr>
        <w:t>2</w:t>
      </w:r>
      <w:r>
        <w:rPr>
          <w:sz w:val="32"/>
          <w:szCs w:val="32"/>
          <w:lang w:val="zh-CN"/>
        </w:rPr>
        <w:t>.</w:t>
      </w:r>
      <w:r>
        <w:rPr>
          <w:rFonts w:hint="eastAsia"/>
          <w:sz w:val="32"/>
          <w:szCs w:val="32"/>
          <w:lang w:val="zh-CN"/>
        </w:rPr>
        <w:t>资金到位。该项目系本级财政预算资金，资金到位情况与预算下达一致。</w:t>
      </w:r>
    </w:p>
    <w:p>
      <w:pPr>
        <w:spacing w:line="576" w:lineRule="exact"/>
        <w:ind w:firstLine="640" w:firstLineChars="200"/>
        <w:rPr>
          <w:sz w:val="32"/>
          <w:szCs w:val="32"/>
          <w:lang w:val="zh-CN"/>
        </w:rPr>
      </w:pPr>
      <w:r>
        <w:rPr>
          <w:sz w:val="32"/>
          <w:szCs w:val="32"/>
          <w:lang w:val="zh-CN"/>
        </w:rPr>
        <w:t>3</w:t>
      </w:r>
      <w:r>
        <w:rPr>
          <w:rFonts w:hint="eastAsia"/>
          <w:sz w:val="32"/>
          <w:szCs w:val="32"/>
          <w:lang w:val="zh-CN"/>
        </w:rPr>
        <w:t>.资金使用。该项目资金预算4万元，实际支出4万元，主要用于地震灾情预警系统的正常运行，与上级部门通讯正常连接；大力宣传防震减灾知识；支付依据合规合法，资金支付与预算相符。</w:t>
      </w:r>
    </w:p>
    <w:p>
      <w:pPr>
        <w:spacing w:line="576" w:lineRule="exact"/>
        <w:ind w:firstLine="640" w:firstLineChars="200"/>
        <w:rPr>
          <w:sz w:val="32"/>
          <w:szCs w:val="32"/>
          <w:lang w:val="zh-CN"/>
        </w:rPr>
      </w:pPr>
      <w:r>
        <w:rPr>
          <w:rFonts w:hint="eastAsia"/>
          <w:sz w:val="32"/>
          <w:szCs w:val="32"/>
          <w:lang w:val="zh-CN"/>
        </w:rPr>
        <w:t>该项目申报内容与具体实施内容相符、申报目标合理可行。</w:t>
      </w:r>
    </w:p>
    <w:p>
      <w:pPr>
        <w:autoSpaceDE w:val="0"/>
        <w:ind w:firstLine="616" w:firstLineChars="200"/>
        <w:rPr>
          <w:rFonts w:eastAsia="黑体"/>
          <w:spacing w:val="-6"/>
          <w:sz w:val="32"/>
          <w:szCs w:val="32"/>
        </w:rPr>
      </w:pPr>
      <w:r>
        <w:rPr>
          <w:rFonts w:eastAsia="黑体"/>
          <w:spacing w:val="-6"/>
          <w:sz w:val="32"/>
          <w:szCs w:val="32"/>
        </w:rPr>
        <w:t>三、项目</w:t>
      </w:r>
      <w:r>
        <w:rPr>
          <w:rFonts w:hint="eastAsia" w:eastAsia="黑体"/>
          <w:spacing w:val="-6"/>
          <w:sz w:val="32"/>
          <w:szCs w:val="32"/>
        </w:rPr>
        <w:t>实施及管理情况</w:t>
      </w:r>
    </w:p>
    <w:p>
      <w:pPr>
        <w:adjustRightInd w:val="0"/>
        <w:snapToGrid w:val="0"/>
        <w:spacing w:line="600" w:lineRule="exact"/>
        <w:ind w:firstLine="720"/>
        <w:rPr>
          <w:rFonts w:eastAsia="楷体_GB2312"/>
          <w:bCs/>
          <w:spacing w:val="-6"/>
          <w:sz w:val="32"/>
          <w:szCs w:val="32"/>
        </w:rPr>
      </w:pPr>
      <w:r>
        <w:rPr>
          <w:rFonts w:ascii="楷体_GB2312" w:eastAsia="楷体_GB2312"/>
          <w:b/>
          <w:sz w:val="32"/>
          <w:szCs w:val="32"/>
          <w:lang w:val="zh-CN"/>
        </w:rPr>
        <w:t>（</w:t>
      </w:r>
      <w:r>
        <w:rPr>
          <w:rFonts w:hint="eastAsia" w:ascii="楷体_GB2312" w:eastAsia="楷体_GB2312"/>
          <w:b/>
          <w:sz w:val="32"/>
          <w:szCs w:val="32"/>
          <w:lang w:val="zh-CN"/>
        </w:rPr>
        <w:t>一</w:t>
      </w:r>
      <w:r>
        <w:rPr>
          <w:rFonts w:ascii="楷体_GB2312" w:eastAsia="楷体_GB2312"/>
          <w:b/>
          <w:sz w:val="32"/>
          <w:szCs w:val="32"/>
          <w:lang w:val="zh-CN"/>
        </w:rPr>
        <w:t>）项目组织</w:t>
      </w:r>
      <w:r>
        <w:rPr>
          <w:rFonts w:hint="eastAsia" w:ascii="楷体_GB2312" w:eastAsia="楷体_GB2312"/>
          <w:b/>
          <w:sz w:val="32"/>
          <w:szCs w:val="32"/>
          <w:lang w:val="zh-CN"/>
        </w:rPr>
        <w:t>构架及实施流程</w:t>
      </w:r>
    </w:p>
    <w:p>
      <w:pPr>
        <w:ind w:firstLine="640" w:firstLineChars="200"/>
        <w:rPr>
          <w:rFonts w:ascii="仿宋" w:hAnsi="仿宋" w:eastAsia="仿宋"/>
          <w:sz w:val="32"/>
          <w:szCs w:val="32"/>
        </w:rPr>
      </w:pPr>
      <w:r>
        <w:rPr>
          <w:rFonts w:ascii="仿宋" w:hAnsi="仿宋" w:eastAsia="仿宋"/>
          <w:sz w:val="32"/>
          <w:szCs w:val="32"/>
        </w:rPr>
        <w:t>严格按照年初制定的实施方案组织实施项目。</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（二）项目管理情况</w:t>
      </w:r>
    </w:p>
    <w:p>
      <w:pPr>
        <w:ind w:firstLine="640" w:firstLineChars="200"/>
        <w:rPr>
          <w:rFonts w:ascii="仿宋" w:hAnsi="仿宋" w:eastAsia="仿宋"/>
          <w:sz w:val="32"/>
          <w:szCs w:val="32"/>
        </w:rPr>
      </w:pPr>
      <w:r>
        <w:rPr>
          <w:rFonts w:ascii="仿宋" w:hAnsi="仿宋" w:eastAsia="仿宋"/>
          <w:sz w:val="32"/>
          <w:szCs w:val="32"/>
        </w:rPr>
        <w:t>对</w:t>
      </w:r>
      <w:r>
        <w:rPr>
          <w:rFonts w:hint="eastAsia" w:ascii="仿宋" w:hAnsi="仿宋" w:eastAsia="仿宋"/>
          <w:sz w:val="32"/>
          <w:szCs w:val="32"/>
        </w:rPr>
        <w:t>该</w:t>
      </w:r>
      <w:r>
        <w:rPr>
          <w:rFonts w:ascii="仿宋" w:hAnsi="仿宋" w:eastAsia="仿宋"/>
          <w:sz w:val="32"/>
          <w:szCs w:val="32"/>
        </w:rPr>
        <w:t>项目进行合理科学的预算控制</w:t>
      </w:r>
      <w:r>
        <w:rPr>
          <w:rFonts w:hint="eastAsia" w:ascii="仿宋" w:hAnsi="仿宋" w:eastAsia="仿宋"/>
          <w:sz w:val="32"/>
          <w:szCs w:val="32"/>
        </w:rPr>
        <w:t>，按时按质完成项目，科学规范管理。</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（三）项目监管情况</w:t>
      </w:r>
    </w:p>
    <w:p>
      <w:pPr>
        <w:ind w:firstLine="640" w:firstLineChars="200"/>
        <w:rPr>
          <w:rFonts w:ascii="仿宋" w:hAnsi="仿宋" w:eastAsia="仿宋"/>
          <w:sz w:val="32"/>
          <w:szCs w:val="32"/>
        </w:rPr>
      </w:pPr>
      <w:r>
        <w:rPr>
          <w:rFonts w:hint="eastAsia" w:ascii="仿宋" w:hAnsi="仿宋" w:eastAsia="仿宋"/>
          <w:sz w:val="32"/>
          <w:szCs w:val="32"/>
        </w:rPr>
        <w:t>按照职能职责，对该项目进行严格的监督管理，发现问题及时整改。</w:t>
      </w:r>
    </w:p>
    <w:p>
      <w:pPr>
        <w:autoSpaceDE w:val="0"/>
        <w:ind w:firstLine="616" w:firstLineChars="200"/>
        <w:rPr>
          <w:rFonts w:eastAsia="黑体"/>
          <w:spacing w:val="-6"/>
          <w:sz w:val="32"/>
          <w:szCs w:val="32"/>
        </w:rPr>
      </w:pPr>
      <w:r>
        <w:rPr>
          <w:rFonts w:hint="eastAsia" w:eastAsia="黑体"/>
          <w:spacing w:val="-6"/>
          <w:sz w:val="32"/>
          <w:szCs w:val="32"/>
        </w:rPr>
        <w:t>四、项目绩效情况</w:t>
      </w:r>
    </w:p>
    <w:p>
      <w:pPr>
        <w:autoSpaceDE w:val="0"/>
        <w:ind w:firstLine="616" w:firstLineChars="200"/>
        <w:rPr>
          <w:rFonts w:ascii="楷体_GB2312" w:eastAsia="楷体_GB2312"/>
          <w:b/>
          <w:sz w:val="32"/>
          <w:szCs w:val="32"/>
          <w:lang w:val="zh-CN"/>
        </w:rPr>
      </w:pPr>
      <w:r>
        <w:rPr>
          <w:rFonts w:eastAsia="楷体_GB2312"/>
          <w:bCs/>
          <w:spacing w:val="-6"/>
          <w:sz w:val="32"/>
          <w:szCs w:val="32"/>
        </w:rPr>
        <w:t>（</w:t>
      </w:r>
      <w:r>
        <w:rPr>
          <w:rFonts w:ascii="楷体_GB2312" w:eastAsia="楷体_GB2312"/>
          <w:b/>
          <w:sz w:val="32"/>
          <w:szCs w:val="32"/>
          <w:lang w:val="zh-CN"/>
        </w:rPr>
        <w:t>一）项目完成情况</w:t>
      </w:r>
      <w:r>
        <w:rPr>
          <w:rFonts w:hint="eastAsia" w:ascii="楷体_GB2312" w:eastAsia="楷体_GB2312"/>
          <w:b/>
          <w:sz w:val="32"/>
          <w:szCs w:val="32"/>
          <w:lang w:val="zh-CN"/>
        </w:rPr>
        <w:t>。</w:t>
      </w:r>
    </w:p>
    <w:p>
      <w:pPr>
        <w:spacing w:line="576" w:lineRule="exact"/>
        <w:ind w:firstLine="640" w:firstLineChars="200"/>
        <w:rPr>
          <w:sz w:val="32"/>
          <w:szCs w:val="32"/>
          <w:lang w:val="zh-CN"/>
        </w:rPr>
      </w:pPr>
      <w:r>
        <w:rPr>
          <w:rFonts w:hint="eastAsia"/>
          <w:sz w:val="32"/>
          <w:szCs w:val="32"/>
          <w:lang w:val="zh-CN"/>
        </w:rPr>
        <w:t>灾情PDA维护和防震减灾信息管理项目在完成数量、质量、时效、成本等方面，对照项目计划高标准高质量完成目标任务，任务量完成、质量标准、进度计划、成本控制均达到优秀。</w:t>
      </w:r>
    </w:p>
    <w:p>
      <w:pPr>
        <w:spacing w:line="576" w:lineRule="exact"/>
        <w:ind w:firstLine="643" w:firstLineChars="200"/>
        <w:rPr>
          <w:rFonts w:ascii="楷体_GB2312" w:eastAsia="楷体_GB2312"/>
          <w:b/>
          <w:sz w:val="32"/>
          <w:szCs w:val="32"/>
          <w:lang w:val="zh-CN"/>
        </w:rPr>
      </w:pPr>
      <w:r>
        <w:rPr>
          <w:rFonts w:ascii="楷体_GB2312" w:eastAsia="楷体_GB2312"/>
          <w:b/>
          <w:sz w:val="32"/>
          <w:szCs w:val="32"/>
          <w:lang w:val="zh-CN"/>
        </w:rPr>
        <w:t>（</w:t>
      </w:r>
      <w:r>
        <w:rPr>
          <w:rFonts w:hint="eastAsia" w:ascii="楷体_GB2312" w:eastAsia="楷体_GB2312"/>
          <w:b/>
          <w:sz w:val="32"/>
          <w:szCs w:val="32"/>
          <w:lang w:val="zh-CN"/>
        </w:rPr>
        <w:t>二</w:t>
      </w:r>
      <w:r>
        <w:rPr>
          <w:rFonts w:ascii="楷体_GB2312" w:eastAsia="楷体_GB2312"/>
          <w:b/>
          <w:sz w:val="32"/>
          <w:szCs w:val="32"/>
          <w:lang w:val="zh-CN"/>
        </w:rPr>
        <w:t>）</w:t>
      </w:r>
      <w:r>
        <w:rPr>
          <w:rFonts w:hint="eastAsia" w:ascii="楷体_GB2312" w:eastAsia="楷体_GB2312"/>
          <w:b/>
          <w:sz w:val="32"/>
          <w:szCs w:val="32"/>
          <w:lang w:val="zh-CN"/>
        </w:rPr>
        <w:t>项目效益情况。</w:t>
      </w:r>
    </w:p>
    <w:p>
      <w:pPr>
        <w:spacing w:line="576" w:lineRule="exact"/>
        <w:ind w:firstLine="640" w:firstLineChars="200"/>
        <w:jc w:val="both"/>
        <w:rPr>
          <w:sz w:val="32"/>
          <w:szCs w:val="32"/>
          <w:lang w:val="zh-CN"/>
        </w:rPr>
      </w:pPr>
      <w:r>
        <w:rPr>
          <w:rFonts w:hint="eastAsia"/>
          <w:sz w:val="32"/>
          <w:szCs w:val="32"/>
          <w:lang w:val="zh-CN"/>
        </w:rPr>
        <w:t>我中心严格按照年初部门预算安排和预算调整进行部门整体支出。在支出过程中，能严格遵守各项规章制度。在灾情PDA维护和防震减灾信息管理项目经费支出上，确保专款专用，按项目实施进度进行资金拨付，无截留、无挪用等现象。</w:t>
      </w:r>
    </w:p>
    <w:p>
      <w:pPr>
        <w:autoSpaceDE w:val="0"/>
        <w:spacing w:line="576" w:lineRule="exact"/>
        <w:ind w:firstLine="616" w:firstLineChars="200"/>
        <w:rPr>
          <w:rFonts w:ascii="黑体" w:hAnsi="黑体" w:eastAsia="黑体"/>
          <w:spacing w:val="-6"/>
          <w:sz w:val="32"/>
          <w:szCs w:val="32"/>
        </w:rPr>
      </w:pPr>
      <w:r>
        <w:rPr>
          <w:rFonts w:hint="eastAsia" w:ascii="黑体" w:hAnsi="黑体" w:eastAsia="黑体"/>
          <w:spacing w:val="-6"/>
          <w:sz w:val="32"/>
          <w:szCs w:val="32"/>
        </w:rPr>
        <w:t>五、评价结论及建议</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（一）评价结论。</w:t>
      </w:r>
    </w:p>
    <w:p>
      <w:pPr>
        <w:autoSpaceDE w:val="0"/>
        <w:ind w:firstLine="640" w:firstLineChars="200"/>
        <w:rPr>
          <w:rFonts w:ascii="仿宋" w:hAnsi="仿宋" w:eastAsia="仿宋"/>
          <w:sz w:val="32"/>
          <w:szCs w:val="32"/>
        </w:rPr>
      </w:pPr>
      <w:r>
        <w:rPr>
          <w:rFonts w:hint="eastAsia" w:ascii="仿宋" w:hAnsi="仿宋" w:eastAsia="仿宋"/>
          <w:sz w:val="32"/>
          <w:szCs w:val="32"/>
        </w:rPr>
        <w:t>自评结论为“良好”。</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（二）存在的问题。</w:t>
      </w:r>
    </w:p>
    <w:p>
      <w:pPr>
        <w:autoSpaceDE w:val="0"/>
        <w:spacing w:line="576" w:lineRule="exact"/>
        <w:ind w:firstLine="640" w:firstLineChars="200"/>
        <w:rPr>
          <w:rFonts w:ascii="仿宋_GB2312" w:eastAsia="仿宋_GB2312"/>
          <w:spacing w:val="-6"/>
          <w:sz w:val="32"/>
          <w:szCs w:val="32"/>
        </w:rPr>
      </w:pPr>
      <w:r>
        <w:rPr>
          <w:rFonts w:hint="eastAsia"/>
          <w:sz w:val="32"/>
          <w:szCs w:val="32"/>
          <w:lang w:val="zh-CN"/>
        </w:rPr>
        <w:t>专业维护设备人员较少，专业性较弱。</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（三）相关建议。</w:t>
      </w:r>
    </w:p>
    <w:p>
      <w:pPr>
        <w:autoSpaceDE w:val="0"/>
        <w:spacing w:line="576" w:lineRule="exact"/>
        <w:ind w:firstLine="640" w:firstLineChars="200"/>
        <w:rPr>
          <w:sz w:val="32"/>
          <w:szCs w:val="32"/>
          <w:lang w:val="zh-CN"/>
        </w:rPr>
      </w:pPr>
      <w:r>
        <w:rPr>
          <w:rFonts w:hint="eastAsia"/>
          <w:sz w:val="32"/>
          <w:szCs w:val="32"/>
          <w:lang w:val="zh-CN"/>
        </w:rPr>
        <w:t>加强设备人员专业知识培训。</w:t>
      </w:r>
    </w:p>
    <w:p>
      <w:pPr>
        <w:textAlignment w:val="center"/>
        <w:rPr>
          <w:rFonts w:hint="eastAsia" w:asciiTheme="minorEastAsia" w:hAnsiTheme="minorEastAsia" w:eastAsiaTheme="minorEastAsia"/>
          <w:sz w:val="40"/>
          <w:szCs w:val="32"/>
        </w:rPr>
      </w:pPr>
    </w:p>
    <w:p>
      <w:pPr>
        <w:textAlignment w:val="center"/>
        <w:rPr>
          <w:rFonts w:hint="eastAsia" w:asciiTheme="minorEastAsia" w:hAnsiTheme="minorEastAsia" w:eastAsiaTheme="minorEastAsia"/>
          <w:sz w:val="40"/>
          <w:szCs w:val="32"/>
        </w:rPr>
      </w:pPr>
    </w:p>
    <w:p>
      <w:pPr>
        <w:textAlignment w:val="center"/>
        <w:rPr>
          <w:rFonts w:hint="eastAsia" w:asciiTheme="minorEastAsia" w:hAnsiTheme="minorEastAsia" w:eastAsiaTheme="minorEastAsia"/>
          <w:sz w:val="40"/>
          <w:szCs w:val="32"/>
        </w:rPr>
      </w:pPr>
    </w:p>
    <w:p>
      <w:pPr>
        <w:textAlignment w:val="center"/>
        <w:rPr>
          <w:rFonts w:asciiTheme="minorEastAsia" w:hAnsiTheme="minorEastAsia" w:eastAsiaTheme="minorEastAsia"/>
          <w:sz w:val="40"/>
          <w:szCs w:val="32"/>
        </w:rPr>
      </w:pPr>
    </w:p>
    <w:p>
      <w:pPr>
        <w:jc w:val="center"/>
        <w:textAlignment w:val="center"/>
        <w:rPr>
          <w:rFonts w:asciiTheme="minorEastAsia" w:hAnsiTheme="minorEastAsia" w:eastAsiaTheme="minorEastAsia"/>
          <w:sz w:val="36"/>
          <w:szCs w:val="32"/>
        </w:rPr>
      </w:pPr>
      <w:r>
        <w:rPr>
          <w:rFonts w:hint="eastAsia" w:asciiTheme="minorEastAsia" w:hAnsiTheme="minorEastAsia" w:eastAsiaTheme="minorEastAsia"/>
          <w:sz w:val="36"/>
          <w:szCs w:val="32"/>
        </w:rPr>
        <w:t>2021年部门预算项目绩效目标自评</w:t>
      </w:r>
    </w:p>
    <w:p>
      <w:pPr>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灾情PDA信息维护与防震减灾信息管理）</w:t>
      </w:r>
    </w:p>
    <w:tbl>
      <w:tblPr>
        <w:tblStyle w:val="20"/>
        <w:tblW w:w="10201" w:type="dxa"/>
        <w:jc w:val="center"/>
        <w:tblLayout w:type="fixed"/>
        <w:tblCellMar>
          <w:top w:w="0" w:type="dxa"/>
          <w:left w:w="108" w:type="dxa"/>
          <w:bottom w:w="0" w:type="dxa"/>
          <w:right w:w="108" w:type="dxa"/>
        </w:tblCellMar>
      </w:tblPr>
      <w:tblGrid>
        <w:gridCol w:w="2025"/>
        <w:gridCol w:w="1231"/>
        <w:gridCol w:w="1134"/>
        <w:gridCol w:w="480"/>
        <w:gridCol w:w="1646"/>
        <w:gridCol w:w="1276"/>
        <w:gridCol w:w="708"/>
        <w:gridCol w:w="1701"/>
      </w:tblGrid>
      <w:tr>
        <w:tblPrEx>
          <w:tblCellMar>
            <w:top w:w="0" w:type="dxa"/>
            <w:left w:w="108" w:type="dxa"/>
            <w:bottom w:w="0" w:type="dxa"/>
            <w:right w:w="108" w:type="dxa"/>
          </w:tblCellMar>
        </w:tblPrEx>
        <w:trPr>
          <w:trHeight w:val="254" w:hRule="atLeast"/>
          <w:jc w:val="center"/>
        </w:trPr>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主管部门及代码</w:t>
            </w:r>
          </w:p>
        </w:tc>
        <w:tc>
          <w:tcPr>
            <w:tcW w:w="3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413401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实施单位</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朝天区防震减灾中心</w:t>
            </w:r>
          </w:p>
        </w:tc>
      </w:tr>
      <w:tr>
        <w:tblPrEx>
          <w:tblCellMar>
            <w:top w:w="0" w:type="dxa"/>
            <w:left w:w="108" w:type="dxa"/>
            <w:bottom w:w="0" w:type="dxa"/>
            <w:right w:w="108" w:type="dxa"/>
          </w:tblCellMar>
        </w:tblPrEx>
        <w:trPr>
          <w:trHeight w:val="341" w:hRule="atLeast"/>
          <w:jc w:val="center"/>
        </w:trPr>
        <w:tc>
          <w:tcPr>
            <w:tcW w:w="32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项目预算</w:t>
            </w:r>
          </w:p>
          <w:p>
            <w:pPr>
              <w:spacing w:line="320" w:lineRule="exact"/>
              <w:jc w:val="center"/>
              <w:textAlignment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执行情况</w:t>
            </w:r>
          </w:p>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（万元）</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预算数：</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执行数：</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r>
      <w:tr>
        <w:tblPrEx>
          <w:tblCellMar>
            <w:top w:w="0" w:type="dxa"/>
            <w:left w:w="108" w:type="dxa"/>
            <w:bottom w:w="0" w:type="dxa"/>
            <w:right w:w="108" w:type="dxa"/>
          </w:tblCellMar>
        </w:tblPrEx>
        <w:trPr>
          <w:trHeight w:val="538" w:hRule="atLeast"/>
          <w:jc w:val="center"/>
        </w:trPr>
        <w:tc>
          <w:tcPr>
            <w:tcW w:w="32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sz w:val="21"/>
                <w:szCs w:val="21"/>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其中：</w:t>
            </w:r>
          </w:p>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财政拨款</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其中：</w:t>
            </w:r>
          </w:p>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财政拨款</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r>
      <w:tr>
        <w:tblPrEx>
          <w:tblCellMar>
            <w:top w:w="0" w:type="dxa"/>
            <w:left w:w="108" w:type="dxa"/>
            <w:bottom w:w="0" w:type="dxa"/>
            <w:right w:w="108" w:type="dxa"/>
          </w:tblCellMar>
        </w:tblPrEx>
        <w:trPr>
          <w:trHeight w:val="359" w:hRule="atLeast"/>
          <w:jc w:val="center"/>
        </w:trPr>
        <w:tc>
          <w:tcPr>
            <w:tcW w:w="32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sz w:val="21"/>
                <w:szCs w:val="21"/>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其他资金</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其他资金</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0</w:t>
            </w:r>
          </w:p>
        </w:tc>
      </w:tr>
      <w:tr>
        <w:tblPrEx>
          <w:tblCellMar>
            <w:top w:w="0" w:type="dxa"/>
            <w:left w:w="108" w:type="dxa"/>
            <w:bottom w:w="0" w:type="dxa"/>
            <w:right w:w="108" w:type="dxa"/>
          </w:tblCellMar>
        </w:tblPrEx>
        <w:trPr>
          <w:trHeight w:val="217" w:hRule="atLeast"/>
          <w:jc w:val="center"/>
        </w:trPr>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年度总体目标</w:t>
            </w:r>
          </w:p>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完成情况</w:t>
            </w:r>
          </w:p>
        </w:tc>
        <w:tc>
          <w:tcPr>
            <w:tcW w:w="44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预期目标</w:t>
            </w: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目标实际完成情况</w:t>
            </w:r>
          </w:p>
        </w:tc>
      </w:tr>
      <w:tr>
        <w:tblPrEx>
          <w:tblCellMar>
            <w:top w:w="0" w:type="dxa"/>
            <w:left w:w="108" w:type="dxa"/>
            <w:bottom w:w="0" w:type="dxa"/>
            <w:right w:w="108" w:type="dxa"/>
          </w:tblCellMar>
        </w:tblPrEx>
        <w:trPr>
          <w:trHeight w:val="797" w:hRule="atLeast"/>
          <w:jc w:val="center"/>
        </w:trPr>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sz w:val="21"/>
                <w:szCs w:val="21"/>
              </w:rPr>
            </w:pPr>
          </w:p>
        </w:tc>
        <w:tc>
          <w:tcPr>
            <w:tcW w:w="44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根据规定，确保地震灾报PDA通信可靠稳定，让公众及时知晓地震发生情况、震情灾情准，发出地震预警信息；开展防震减灾科普宣传，提高人民群众防震减灾意识。</w:t>
            </w: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预期目标完成</w:t>
            </w:r>
          </w:p>
        </w:tc>
      </w:tr>
      <w:tr>
        <w:tblPrEx>
          <w:tblCellMar>
            <w:top w:w="0" w:type="dxa"/>
            <w:left w:w="108" w:type="dxa"/>
            <w:bottom w:w="0" w:type="dxa"/>
            <w:right w:w="108" w:type="dxa"/>
          </w:tblCellMar>
        </w:tblPrEx>
        <w:trPr>
          <w:trHeight w:val="324" w:hRule="atLeast"/>
          <w:jc w:val="center"/>
        </w:trPr>
        <w:tc>
          <w:tcPr>
            <w:tcW w:w="2025" w:type="dxa"/>
            <w:vMerge w:val="restart"/>
            <w:tcBorders>
              <w:top w:val="single" w:color="000000" w:sz="4" w:space="0"/>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年度绩效指标完成情况</w:t>
            </w:r>
          </w:p>
        </w:tc>
        <w:tc>
          <w:tcPr>
            <w:tcW w:w="1231" w:type="dxa"/>
            <w:tcBorders>
              <w:top w:val="single" w:color="000000" w:sz="4" w:space="0"/>
              <w:left w:val="nil"/>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一级指标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二级指标</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三级指标</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预期指标值</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实际完成指标值</w:t>
            </w:r>
          </w:p>
        </w:tc>
      </w:tr>
      <w:tr>
        <w:tblPrEx>
          <w:tblCellMar>
            <w:top w:w="0" w:type="dxa"/>
            <w:left w:w="108" w:type="dxa"/>
            <w:bottom w:w="0" w:type="dxa"/>
            <w:right w:w="108" w:type="dxa"/>
          </w:tblCellMar>
        </w:tblPrEx>
        <w:trPr>
          <w:trHeight w:val="272" w:hRule="atLeast"/>
          <w:jc w:val="center"/>
        </w:trPr>
        <w:tc>
          <w:tcPr>
            <w:tcW w:w="2025" w:type="dxa"/>
            <w:vMerge w:val="continue"/>
            <w:tcBorders>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完成</w:t>
            </w:r>
          </w:p>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指标</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数量指标</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预警次数</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Arial" w:asciiTheme="minorEastAsia" w:hAnsiTheme="minorEastAsia" w:eastAsiaTheme="minorEastAsia"/>
                <w:color w:val="000000"/>
                <w:sz w:val="21"/>
                <w:szCs w:val="21"/>
              </w:rPr>
            </w:pPr>
            <w:r>
              <w:rPr>
                <w:rStyle w:val="38"/>
                <w:rFonts w:asciiTheme="minorEastAsia" w:hAnsiTheme="minorEastAsia" w:eastAsiaTheme="minorEastAsia"/>
                <w:sz w:val="21"/>
                <w:szCs w:val="21"/>
              </w:rPr>
              <w:t>3</w:t>
            </w:r>
            <w:r>
              <w:rPr>
                <w:rFonts w:hint="eastAsia" w:asciiTheme="minorEastAsia" w:hAnsiTheme="minorEastAsia" w:eastAsiaTheme="minorEastAsia"/>
                <w:color w:val="000000"/>
                <w:sz w:val="21"/>
                <w:szCs w:val="21"/>
              </w:rPr>
              <w:t>级震级阀值预警</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达3级震级阀值全部预警</w:t>
            </w:r>
          </w:p>
        </w:tc>
      </w:tr>
      <w:tr>
        <w:tblPrEx>
          <w:tblCellMar>
            <w:top w:w="0" w:type="dxa"/>
            <w:left w:w="108" w:type="dxa"/>
            <w:bottom w:w="0" w:type="dxa"/>
            <w:right w:w="108" w:type="dxa"/>
          </w:tblCellMar>
        </w:tblPrEx>
        <w:trPr>
          <w:trHeight w:val="234" w:hRule="atLeast"/>
          <w:jc w:val="center"/>
        </w:trPr>
        <w:tc>
          <w:tcPr>
            <w:tcW w:w="2025" w:type="dxa"/>
            <w:vMerge w:val="continue"/>
            <w:tcBorders>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p>
        </w:tc>
        <w:tc>
          <w:tcPr>
            <w:tcW w:w="1134" w:type="dxa"/>
            <w:vMerge w:val="continue"/>
            <w:tcBorders>
              <w:top w:val="single" w:color="000000" w:sz="4" w:space="0"/>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维护次数</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Arial" w:asciiTheme="minorEastAsia" w:hAnsiTheme="minorEastAsia" w:eastAsiaTheme="minorEastAsia"/>
                <w:color w:val="000000"/>
                <w:sz w:val="21"/>
                <w:szCs w:val="21"/>
              </w:rPr>
            </w:pPr>
            <w:r>
              <w:rPr>
                <w:rFonts w:cs="Arial" w:asciiTheme="minorEastAsia" w:hAnsiTheme="minorEastAsia" w:eastAsiaTheme="minorEastAsia"/>
                <w:color w:val="000000"/>
                <w:sz w:val="21"/>
                <w:szCs w:val="21"/>
              </w:rPr>
              <w:t>32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32</w:t>
            </w:r>
          </w:p>
        </w:tc>
      </w:tr>
      <w:tr>
        <w:tblPrEx>
          <w:tblCellMar>
            <w:top w:w="0" w:type="dxa"/>
            <w:left w:w="108" w:type="dxa"/>
            <w:bottom w:w="0" w:type="dxa"/>
            <w:right w:w="108" w:type="dxa"/>
          </w:tblCellMar>
        </w:tblPrEx>
        <w:trPr>
          <w:trHeight w:val="452" w:hRule="atLeast"/>
          <w:jc w:val="center"/>
        </w:trPr>
        <w:tc>
          <w:tcPr>
            <w:tcW w:w="2025" w:type="dxa"/>
            <w:vMerge w:val="continue"/>
            <w:tcBorders>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宣传普及人数</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1500</w:t>
            </w:r>
          </w:p>
        </w:tc>
      </w:tr>
      <w:tr>
        <w:tblPrEx>
          <w:tblCellMar>
            <w:top w:w="0" w:type="dxa"/>
            <w:left w:w="108" w:type="dxa"/>
            <w:bottom w:w="0" w:type="dxa"/>
            <w:right w:w="108" w:type="dxa"/>
          </w:tblCellMar>
        </w:tblPrEx>
        <w:trPr>
          <w:trHeight w:val="377" w:hRule="atLeast"/>
          <w:jc w:val="center"/>
        </w:trPr>
        <w:tc>
          <w:tcPr>
            <w:tcW w:w="2025" w:type="dxa"/>
            <w:vMerge w:val="continue"/>
            <w:tcBorders>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质量指标</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发生地震预警准确率</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Arial" w:asciiTheme="minorEastAsia" w:hAnsiTheme="minorEastAsia" w:eastAsiaTheme="minorEastAsia"/>
                <w:color w:val="000000"/>
                <w:sz w:val="21"/>
                <w:szCs w:val="21"/>
              </w:rPr>
            </w:pPr>
            <w:r>
              <w:rPr>
                <w:rFonts w:cs="Arial" w:asciiTheme="minorEastAsia" w:hAnsiTheme="minorEastAsia" w:eastAsiaTheme="minorEastAsia"/>
                <w:color w:val="000000"/>
                <w:sz w:val="21"/>
                <w:szCs w:val="21"/>
              </w:rPr>
              <w:t>100%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100%</w:t>
            </w:r>
          </w:p>
        </w:tc>
      </w:tr>
      <w:tr>
        <w:tblPrEx>
          <w:tblCellMar>
            <w:top w:w="0" w:type="dxa"/>
            <w:left w:w="108" w:type="dxa"/>
            <w:bottom w:w="0" w:type="dxa"/>
            <w:right w:w="108" w:type="dxa"/>
          </w:tblCellMar>
        </w:tblPrEx>
        <w:trPr>
          <w:trHeight w:val="571" w:hRule="atLeast"/>
          <w:jc w:val="center"/>
        </w:trPr>
        <w:tc>
          <w:tcPr>
            <w:tcW w:w="2025" w:type="dxa"/>
            <w:vMerge w:val="continue"/>
            <w:tcBorders>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受教育群众防震减灾意识提高率</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Arial" w:asciiTheme="minorEastAsia" w:hAnsiTheme="minorEastAsia" w:eastAsiaTheme="minorEastAsia"/>
                <w:color w:val="000000"/>
                <w:sz w:val="21"/>
                <w:szCs w:val="21"/>
              </w:rPr>
            </w:pPr>
            <w:r>
              <w:rPr>
                <w:rFonts w:cs="Arial" w:asciiTheme="minorEastAsia" w:hAnsiTheme="minorEastAsia" w:eastAsiaTheme="minorEastAsia"/>
                <w:color w:val="000000"/>
                <w:sz w:val="21"/>
                <w:szCs w:val="21"/>
              </w:rPr>
              <w:t>100%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100%</w:t>
            </w:r>
          </w:p>
        </w:tc>
      </w:tr>
      <w:tr>
        <w:tblPrEx>
          <w:tblCellMar>
            <w:top w:w="0" w:type="dxa"/>
            <w:left w:w="108" w:type="dxa"/>
            <w:bottom w:w="0" w:type="dxa"/>
            <w:right w:w="108" w:type="dxa"/>
          </w:tblCellMar>
        </w:tblPrEx>
        <w:trPr>
          <w:trHeight w:val="217" w:hRule="atLeast"/>
          <w:jc w:val="center"/>
        </w:trPr>
        <w:tc>
          <w:tcPr>
            <w:tcW w:w="2025" w:type="dxa"/>
            <w:vMerge w:val="continue"/>
            <w:tcBorders>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时效指标</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发生地震预警及时率</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Arial" w:asciiTheme="minorEastAsia" w:hAnsiTheme="minorEastAsia" w:eastAsiaTheme="minorEastAsia"/>
                <w:color w:val="000000"/>
                <w:sz w:val="21"/>
                <w:szCs w:val="21"/>
              </w:rPr>
            </w:pPr>
            <w:r>
              <w:rPr>
                <w:rFonts w:cs="Arial" w:asciiTheme="minorEastAsia" w:hAnsiTheme="minorEastAsia" w:eastAsiaTheme="minorEastAsia"/>
                <w:color w:val="000000"/>
                <w:sz w:val="21"/>
                <w:szCs w:val="21"/>
              </w:rPr>
              <w:t>100%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100%</w:t>
            </w:r>
          </w:p>
        </w:tc>
      </w:tr>
      <w:tr>
        <w:tblPrEx>
          <w:tblCellMar>
            <w:top w:w="0" w:type="dxa"/>
            <w:left w:w="108" w:type="dxa"/>
            <w:bottom w:w="0" w:type="dxa"/>
            <w:right w:w="108" w:type="dxa"/>
          </w:tblCellMar>
        </w:tblPrEx>
        <w:trPr>
          <w:trHeight w:val="308" w:hRule="atLeast"/>
          <w:jc w:val="center"/>
        </w:trPr>
        <w:tc>
          <w:tcPr>
            <w:tcW w:w="2025" w:type="dxa"/>
            <w:vMerge w:val="continue"/>
            <w:tcBorders>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科普宣传及时率</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Arial" w:asciiTheme="minorEastAsia" w:hAnsiTheme="minorEastAsia" w:eastAsiaTheme="minorEastAsia"/>
                <w:color w:val="000000"/>
                <w:sz w:val="21"/>
                <w:szCs w:val="21"/>
              </w:rPr>
            </w:pPr>
            <w:r>
              <w:rPr>
                <w:rFonts w:cs="Arial" w:asciiTheme="minorEastAsia" w:hAnsiTheme="minorEastAsia" w:eastAsiaTheme="minorEastAsia"/>
                <w:color w:val="000000"/>
                <w:sz w:val="21"/>
                <w:szCs w:val="21"/>
              </w:rPr>
              <w:t>100%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100%</w:t>
            </w:r>
          </w:p>
        </w:tc>
      </w:tr>
      <w:tr>
        <w:tblPrEx>
          <w:tblCellMar>
            <w:top w:w="0" w:type="dxa"/>
            <w:left w:w="108" w:type="dxa"/>
            <w:bottom w:w="0" w:type="dxa"/>
            <w:right w:w="108" w:type="dxa"/>
          </w:tblCellMar>
        </w:tblPrEx>
        <w:trPr>
          <w:trHeight w:val="256" w:hRule="atLeast"/>
          <w:jc w:val="center"/>
        </w:trPr>
        <w:tc>
          <w:tcPr>
            <w:tcW w:w="2025" w:type="dxa"/>
            <w:vMerge w:val="continue"/>
            <w:tcBorders>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成本指标</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预计总成本</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Arial" w:asciiTheme="minorEastAsia" w:hAnsiTheme="minorEastAsia" w:eastAsiaTheme="minorEastAsia"/>
                <w:color w:val="000000"/>
                <w:sz w:val="21"/>
                <w:szCs w:val="21"/>
              </w:rPr>
            </w:pPr>
            <w:r>
              <w:rPr>
                <w:rStyle w:val="38"/>
                <w:rFonts w:asciiTheme="minorEastAsia" w:hAnsiTheme="minorEastAsia" w:eastAsiaTheme="minorEastAsia"/>
                <w:sz w:val="21"/>
                <w:szCs w:val="21"/>
              </w:rPr>
              <w:t>4</w:t>
            </w:r>
            <w:r>
              <w:rPr>
                <w:rFonts w:hint="eastAsia" w:asciiTheme="minorEastAsia" w:hAnsiTheme="minorEastAsia" w:eastAsiaTheme="minorEastAsia"/>
                <w:color w:val="000000"/>
                <w:sz w:val="21"/>
                <w:szCs w:val="21"/>
              </w:rPr>
              <w:t>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Arial" w:asciiTheme="minorEastAsia" w:hAnsiTheme="minorEastAsia" w:eastAsiaTheme="minorEastAsia"/>
                <w:color w:val="000000"/>
                <w:sz w:val="21"/>
                <w:szCs w:val="21"/>
              </w:rPr>
            </w:pPr>
            <w:r>
              <w:rPr>
                <w:rStyle w:val="38"/>
                <w:rFonts w:asciiTheme="minorEastAsia" w:hAnsiTheme="minorEastAsia" w:eastAsiaTheme="minorEastAsia"/>
                <w:sz w:val="21"/>
                <w:szCs w:val="21"/>
              </w:rPr>
              <w:t>4</w:t>
            </w:r>
            <w:r>
              <w:rPr>
                <w:rFonts w:hint="eastAsia" w:asciiTheme="minorEastAsia" w:hAnsiTheme="minorEastAsia" w:eastAsiaTheme="minorEastAsia"/>
                <w:color w:val="000000"/>
                <w:sz w:val="21"/>
                <w:szCs w:val="21"/>
              </w:rPr>
              <w:t>万</w:t>
            </w:r>
          </w:p>
        </w:tc>
      </w:tr>
      <w:tr>
        <w:tblPrEx>
          <w:tblCellMar>
            <w:top w:w="0" w:type="dxa"/>
            <w:left w:w="108" w:type="dxa"/>
            <w:bottom w:w="0" w:type="dxa"/>
            <w:right w:w="108" w:type="dxa"/>
          </w:tblCellMar>
        </w:tblPrEx>
        <w:trPr>
          <w:trHeight w:val="493" w:hRule="atLeast"/>
          <w:jc w:val="center"/>
        </w:trPr>
        <w:tc>
          <w:tcPr>
            <w:tcW w:w="2025" w:type="dxa"/>
            <w:vMerge w:val="continue"/>
            <w:tcBorders>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效益</w:t>
            </w:r>
          </w:p>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经济效益指标</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地震灾害带来的经济损失</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有效减少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有效减少</w:t>
            </w:r>
          </w:p>
        </w:tc>
      </w:tr>
      <w:tr>
        <w:tblPrEx>
          <w:tblCellMar>
            <w:top w:w="0" w:type="dxa"/>
            <w:left w:w="108" w:type="dxa"/>
            <w:bottom w:w="0" w:type="dxa"/>
            <w:right w:w="108" w:type="dxa"/>
          </w:tblCellMar>
        </w:tblPrEx>
        <w:trPr>
          <w:trHeight w:val="262" w:hRule="atLeast"/>
          <w:jc w:val="center"/>
        </w:trPr>
        <w:tc>
          <w:tcPr>
            <w:tcW w:w="2025" w:type="dxa"/>
            <w:vMerge w:val="continue"/>
            <w:tcBorders>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社会效益指标</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人民群众安全意识提升</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明显提升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明显提升</w:t>
            </w:r>
          </w:p>
        </w:tc>
      </w:tr>
      <w:tr>
        <w:tblPrEx>
          <w:tblCellMar>
            <w:top w:w="0" w:type="dxa"/>
            <w:left w:w="108" w:type="dxa"/>
            <w:bottom w:w="0" w:type="dxa"/>
            <w:right w:w="108" w:type="dxa"/>
          </w:tblCellMar>
        </w:tblPrEx>
        <w:trPr>
          <w:trHeight w:val="503" w:hRule="atLeast"/>
          <w:jc w:val="center"/>
        </w:trPr>
        <w:tc>
          <w:tcPr>
            <w:tcW w:w="2025" w:type="dxa"/>
            <w:vMerge w:val="continue"/>
            <w:tcBorders>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生态效益指标</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PDA通信可靠稳定</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持续稳定</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持续稳定</w:t>
            </w:r>
          </w:p>
        </w:tc>
      </w:tr>
      <w:tr>
        <w:tblPrEx>
          <w:tblCellMar>
            <w:top w:w="0" w:type="dxa"/>
            <w:left w:w="108" w:type="dxa"/>
            <w:bottom w:w="0" w:type="dxa"/>
            <w:right w:w="108" w:type="dxa"/>
          </w:tblCellMar>
        </w:tblPrEx>
        <w:trPr>
          <w:trHeight w:val="771" w:hRule="atLeast"/>
          <w:jc w:val="center"/>
        </w:trPr>
        <w:tc>
          <w:tcPr>
            <w:tcW w:w="2025" w:type="dxa"/>
            <w:vMerge w:val="continue"/>
            <w:tcBorders>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可持续影响指标</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可持续性良好</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可持续发挥作用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可持续发挥作用</w:t>
            </w:r>
          </w:p>
        </w:tc>
      </w:tr>
      <w:tr>
        <w:tblPrEx>
          <w:tblCellMar>
            <w:top w:w="0" w:type="dxa"/>
            <w:left w:w="108" w:type="dxa"/>
            <w:bottom w:w="0" w:type="dxa"/>
            <w:right w:w="108" w:type="dxa"/>
          </w:tblCellMar>
        </w:tblPrEx>
        <w:trPr>
          <w:trHeight w:val="712" w:hRule="atLeast"/>
          <w:jc w:val="center"/>
        </w:trPr>
        <w:tc>
          <w:tcPr>
            <w:tcW w:w="2025"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满意度</w:t>
            </w:r>
          </w:p>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满意度</w:t>
            </w:r>
          </w:p>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指标</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服务对象满意度</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100%</w:t>
            </w:r>
          </w:p>
        </w:tc>
      </w:tr>
    </w:tbl>
    <w:p>
      <w:pPr>
        <w:jc w:val="center"/>
        <w:textAlignment w:val="center"/>
        <w:rPr>
          <w:rFonts w:asciiTheme="minorEastAsia" w:hAnsiTheme="minorEastAsia" w:eastAsiaTheme="minorEastAsia"/>
          <w:sz w:val="40"/>
          <w:szCs w:val="32"/>
        </w:rPr>
      </w:pPr>
    </w:p>
    <w:p>
      <w:pPr>
        <w:spacing w:line="576" w:lineRule="exact"/>
        <w:jc w:val="center"/>
        <w:textAlignment w:val="top"/>
        <w:rPr>
          <w:rFonts w:ascii="方正大标宋_GBK" w:hAnsi="方正大标宋_GBK" w:eastAsia="方正大标宋_GBK" w:cs="方正大标宋_GBK"/>
          <w:b/>
          <w:bCs/>
          <w:color w:val="000000"/>
          <w:sz w:val="40"/>
          <w:szCs w:val="40"/>
        </w:rPr>
      </w:pPr>
      <w:r>
        <w:rPr>
          <w:rFonts w:hint="eastAsia" w:ascii="方正大标宋_GBK" w:hAnsi="方正大标宋_GBK" w:eastAsia="方正大标宋_GBK" w:cs="方正大标宋_GBK"/>
          <w:b/>
          <w:bCs/>
          <w:color w:val="000000"/>
          <w:sz w:val="40"/>
          <w:szCs w:val="40"/>
        </w:rPr>
        <w:t>2021年部门预算项目支出绩效自评报告</w:t>
      </w:r>
    </w:p>
    <w:p>
      <w:pPr>
        <w:autoSpaceDE w:val="0"/>
        <w:spacing w:line="576" w:lineRule="exact"/>
        <w:jc w:val="center"/>
        <w:rPr>
          <w:sz w:val="32"/>
          <w:szCs w:val="32"/>
          <w:lang w:val="zh-CN"/>
        </w:rPr>
      </w:pPr>
      <w:r>
        <w:rPr>
          <w:rFonts w:hint="eastAsia"/>
          <w:sz w:val="32"/>
          <w:szCs w:val="32"/>
          <w:lang w:val="zh-CN"/>
        </w:rPr>
        <w:t>（</w:t>
      </w:r>
      <w:r>
        <w:rPr>
          <w:sz w:val="32"/>
          <w:szCs w:val="32"/>
          <w:lang w:val="zh-CN"/>
        </w:rPr>
        <w:t>3.</w:t>
      </w:r>
      <w:r>
        <w:rPr>
          <w:rFonts w:hint="eastAsia"/>
          <w:sz w:val="32"/>
          <w:szCs w:val="32"/>
          <w:lang w:val="zh-CN"/>
        </w:rPr>
        <w:t>地震陈列馆运行项目）</w:t>
      </w:r>
    </w:p>
    <w:p>
      <w:pPr>
        <w:autoSpaceDE w:val="0"/>
        <w:spacing w:line="576" w:lineRule="exact"/>
        <w:ind w:firstLine="616" w:firstLineChars="200"/>
        <w:rPr>
          <w:rFonts w:ascii="黑体" w:hAnsi="黑体" w:eastAsia="黑体"/>
          <w:spacing w:val="-6"/>
          <w:sz w:val="32"/>
          <w:szCs w:val="32"/>
        </w:rPr>
      </w:pPr>
      <w:r>
        <w:rPr>
          <w:rFonts w:hint="eastAsia" w:ascii="黑体" w:hAnsi="黑体" w:eastAsia="黑体"/>
          <w:spacing w:val="-6"/>
          <w:sz w:val="32"/>
          <w:szCs w:val="32"/>
        </w:rPr>
        <w:t>一、项目概况</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（一）项目基本情况。</w:t>
      </w:r>
    </w:p>
    <w:p>
      <w:pPr>
        <w:adjustRightInd w:val="0"/>
        <w:snapToGrid w:val="0"/>
        <w:spacing w:line="600" w:lineRule="exact"/>
        <w:ind w:firstLine="720"/>
        <w:rPr>
          <w:rFonts w:ascii="楷体_GB2312" w:eastAsia="楷体_GB2312"/>
          <w:b/>
          <w:sz w:val="32"/>
          <w:szCs w:val="32"/>
          <w:lang w:val="zh-CN"/>
        </w:rPr>
      </w:pPr>
      <w:r>
        <w:rPr>
          <w:rFonts w:hint="eastAsia"/>
          <w:sz w:val="32"/>
          <w:szCs w:val="32"/>
          <w:lang w:val="zh-CN"/>
        </w:rPr>
        <w:t>该项目是地震陈列馆正常运行保障，包括设备的检测维修，环境卫生打扫以及供电、通讯设备正常运行等。</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（二）项目绩效目标。</w:t>
      </w:r>
    </w:p>
    <w:p>
      <w:pPr>
        <w:adjustRightInd w:val="0"/>
        <w:snapToGrid w:val="0"/>
        <w:spacing w:line="600" w:lineRule="exact"/>
        <w:ind w:firstLine="720"/>
        <w:rPr>
          <w:rFonts w:asciiTheme="minorEastAsia" w:hAnsiTheme="minorEastAsia" w:eastAsiaTheme="minorEastAsia"/>
          <w:sz w:val="32"/>
          <w:szCs w:val="32"/>
        </w:rPr>
      </w:pPr>
      <w:r>
        <w:rPr>
          <w:rFonts w:hint="eastAsia" w:asciiTheme="minorEastAsia" w:hAnsiTheme="minorEastAsia" w:eastAsiaTheme="minorEastAsia"/>
          <w:sz w:val="32"/>
          <w:szCs w:val="32"/>
        </w:rPr>
        <w:t>定期开展隐患排查与整治，确保安全按时对外免费提供群众缅怀遇难同胞，弘扬抗震救灾精神，传承感恩文化，提高人民群众防震减灾安全意识。</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（三）项目自评步骤及方法。</w:t>
      </w:r>
    </w:p>
    <w:p>
      <w:pPr>
        <w:ind w:firstLine="640" w:firstLineChars="200"/>
        <w:rPr>
          <w:rFonts w:ascii="仿宋" w:hAnsi="仿宋" w:eastAsia="仿宋" w:cs="仿宋"/>
          <w:sz w:val="32"/>
          <w:szCs w:val="32"/>
        </w:rPr>
      </w:pPr>
      <w:r>
        <w:rPr>
          <w:rFonts w:hint="eastAsia" w:ascii="仿宋" w:hAnsi="仿宋" w:eastAsia="仿宋" w:cs="仿宋"/>
          <w:sz w:val="32"/>
          <w:szCs w:val="32"/>
        </w:rPr>
        <w:t>按照《广元市朝天区财政局关于开展2022年部门、政策和项目支出绩效自评工作的通知》（广朝财发〔2022〕28号）文件要求，</w:t>
      </w:r>
      <w:r>
        <w:rPr>
          <w:rFonts w:hint="eastAsia" w:ascii="仿宋" w:hAnsi="仿宋" w:eastAsia="仿宋"/>
          <w:sz w:val="32"/>
          <w:szCs w:val="32"/>
        </w:rPr>
        <w:t>对照</w:t>
      </w:r>
      <w:r>
        <w:rPr>
          <w:rFonts w:ascii="仿宋" w:hAnsi="仿宋" w:eastAsia="仿宋" w:cs="仿宋"/>
          <w:sz w:val="32"/>
          <w:szCs w:val="32"/>
        </w:rPr>
        <w:t>202</w:t>
      </w:r>
      <w:r>
        <w:rPr>
          <w:rFonts w:hint="eastAsia" w:ascii="仿宋" w:hAnsi="仿宋" w:eastAsia="仿宋" w:cs="仿宋"/>
          <w:sz w:val="32"/>
          <w:szCs w:val="32"/>
        </w:rPr>
        <w:t>1年度</w:t>
      </w:r>
      <w:r>
        <w:rPr>
          <w:rFonts w:ascii="仿宋" w:hAnsi="仿宋" w:eastAsia="仿宋" w:cs="仿宋"/>
          <w:sz w:val="32"/>
          <w:szCs w:val="32"/>
        </w:rPr>
        <w:t>部门预算项目支出绩效自评评分表</w:t>
      </w:r>
      <w:r>
        <w:rPr>
          <w:rFonts w:hint="eastAsia" w:ascii="仿宋" w:hAnsi="仿宋" w:eastAsia="仿宋" w:cs="仿宋"/>
          <w:sz w:val="32"/>
          <w:szCs w:val="32"/>
        </w:rPr>
        <w:t>，开展项目自评。</w:t>
      </w:r>
    </w:p>
    <w:p>
      <w:pPr>
        <w:adjustRightInd w:val="0"/>
        <w:snapToGrid w:val="0"/>
        <w:spacing w:line="600" w:lineRule="exact"/>
        <w:ind w:firstLine="720"/>
        <w:rPr>
          <w:rFonts w:ascii="黑体" w:eastAsia="黑体"/>
          <w:sz w:val="32"/>
          <w:szCs w:val="32"/>
        </w:rPr>
      </w:pPr>
      <w:r>
        <w:rPr>
          <w:rFonts w:hint="eastAsia" w:ascii="黑体" w:eastAsia="黑体"/>
          <w:sz w:val="32"/>
          <w:szCs w:val="32"/>
        </w:rPr>
        <w:t>二、项目资金申报及使用情况</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（一）项目资金申报及批复情况。</w:t>
      </w:r>
    </w:p>
    <w:p>
      <w:pPr>
        <w:autoSpaceDE w:val="0"/>
        <w:spacing w:line="576" w:lineRule="exact"/>
        <w:ind w:firstLine="640" w:firstLineChars="200"/>
        <w:rPr>
          <w:sz w:val="32"/>
          <w:szCs w:val="32"/>
          <w:lang w:val="zh-CN"/>
        </w:rPr>
      </w:pPr>
      <w:r>
        <w:rPr>
          <w:rFonts w:hint="eastAsia"/>
          <w:sz w:val="32"/>
          <w:szCs w:val="32"/>
          <w:lang w:val="zh-CN"/>
        </w:rPr>
        <w:t>该项目系本级财政预算资金，项目实施单位是朝天区防震减灾中心。</w:t>
      </w:r>
    </w:p>
    <w:p>
      <w:pPr>
        <w:autoSpaceDE w:val="0"/>
        <w:spacing w:line="576" w:lineRule="exact"/>
        <w:ind w:firstLine="643" w:firstLineChars="200"/>
        <w:rPr>
          <w:rFonts w:ascii="仿宋_GB2312" w:eastAsia="仿宋_GB2312"/>
          <w:spacing w:val="-6"/>
          <w:sz w:val="32"/>
          <w:szCs w:val="32"/>
        </w:rPr>
      </w:pPr>
      <w:r>
        <w:rPr>
          <w:rFonts w:hint="eastAsia" w:ascii="楷体_GB2312" w:eastAsia="楷体_GB2312"/>
          <w:b/>
          <w:sz w:val="32"/>
          <w:szCs w:val="32"/>
          <w:lang w:val="zh-CN"/>
        </w:rPr>
        <w:t>（二）资金计划、到位及使用情况</w:t>
      </w:r>
    </w:p>
    <w:p>
      <w:pPr>
        <w:autoSpaceDE w:val="0"/>
        <w:spacing w:line="576" w:lineRule="exact"/>
        <w:ind w:firstLine="640" w:firstLineChars="200"/>
        <w:rPr>
          <w:sz w:val="32"/>
          <w:szCs w:val="32"/>
          <w:lang w:val="zh-CN"/>
        </w:rPr>
      </w:pPr>
      <w:r>
        <w:rPr>
          <w:rFonts w:hint="eastAsia"/>
          <w:sz w:val="32"/>
          <w:szCs w:val="32"/>
          <w:lang w:val="zh-CN"/>
        </w:rPr>
        <w:t>1.资金计划。该项目计划资金3万元。</w:t>
      </w:r>
    </w:p>
    <w:p>
      <w:pPr>
        <w:autoSpaceDE w:val="0"/>
        <w:spacing w:line="576" w:lineRule="exact"/>
        <w:ind w:firstLine="640" w:firstLineChars="200"/>
        <w:rPr>
          <w:sz w:val="32"/>
          <w:szCs w:val="32"/>
          <w:lang w:val="zh-CN"/>
        </w:rPr>
      </w:pPr>
      <w:r>
        <w:rPr>
          <w:rFonts w:hint="eastAsia"/>
          <w:sz w:val="32"/>
          <w:szCs w:val="32"/>
          <w:lang w:val="zh-CN"/>
        </w:rPr>
        <w:t>2</w:t>
      </w:r>
      <w:r>
        <w:rPr>
          <w:sz w:val="32"/>
          <w:szCs w:val="32"/>
          <w:lang w:val="zh-CN"/>
        </w:rPr>
        <w:t>.</w:t>
      </w:r>
      <w:r>
        <w:rPr>
          <w:rFonts w:hint="eastAsia"/>
          <w:sz w:val="32"/>
          <w:szCs w:val="32"/>
          <w:lang w:val="zh-CN"/>
        </w:rPr>
        <w:t>资金到位。该项目系本级财政预算资金，资金到位情况与预算下达一致。</w:t>
      </w:r>
    </w:p>
    <w:p>
      <w:pPr>
        <w:autoSpaceDE w:val="0"/>
        <w:spacing w:line="576" w:lineRule="exact"/>
        <w:ind w:firstLine="640" w:firstLineChars="200"/>
        <w:rPr>
          <w:sz w:val="32"/>
          <w:szCs w:val="32"/>
          <w:lang w:val="zh-CN"/>
        </w:rPr>
      </w:pPr>
      <w:r>
        <w:rPr>
          <w:rFonts w:hint="eastAsia"/>
          <w:sz w:val="32"/>
          <w:szCs w:val="32"/>
          <w:lang w:val="zh-CN"/>
        </w:rPr>
        <w:t>2.资金使用。该项目资金预算3万元，实际支出3万元，主要用于地震台站监测工作费用，如看管人员劳务费、电费、设备维护费、交通费等；支付依据合规合法，资金支付与预算相符。</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（三）项目财务管理情况。</w:t>
      </w:r>
    </w:p>
    <w:p>
      <w:pPr>
        <w:autoSpaceDE w:val="0"/>
        <w:spacing w:line="576" w:lineRule="exact"/>
        <w:ind w:firstLine="640" w:firstLineChars="200"/>
        <w:rPr>
          <w:sz w:val="32"/>
          <w:szCs w:val="32"/>
          <w:lang w:val="zh-CN"/>
        </w:rPr>
      </w:pPr>
      <w:r>
        <w:rPr>
          <w:rFonts w:hint="eastAsia"/>
          <w:sz w:val="32"/>
          <w:szCs w:val="32"/>
          <w:lang w:val="zh-CN"/>
        </w:rPr>
        <w:t>对照项目资金管理办法，该项目严格执行财务管理制度、及时进行会计核算，并接受各项资金检查。系专款专用，无虚列支出、截留挤占挪用、超标准开支、无超预算等情况。</w:t>
      </w:r>
    </w:p>
    <w:p>
      <w:pPr>
        <w:autoSpaceDE w:val="0"/>
        <w:ind w:firstLine="616" w:firstLineChars="200"/>
        <w:rPr>
          <w:rFonts w:eastAsia="黑体"/>
          <w:spacing w:val="-6"/>
          <w:sz w:val="32"/>
          <w:szCs w:val="32"/>
        </w:rPr>
      </w:pPr>
      <w:r>
        <w:rPr>
          <w:rFonts w:eastAsia="黑体"/>
          <w:spacing w:val="-6"/>
          <w:sz w:val="32"/>
          <w:szCs w:val="32"/>
        </w:rPr>
        <w:t>三、项目</w:t>
      </w:r>
      <w:r>
        <w:rPr>
          <w:rFonts w:hint="eastAsia" w:eastAsia="黑体"/>
          <w:spacing w:val="-6"/>
          <w:sz w:val="32"/>
          <w:szCs w:val="32"/>
        </w:rPr>
        <w:t>实施及管理情况</w:t>
      </w:r>
    </w:p>
    <w:p>
      <w:pPr>
        <w:adjustRightInd w:val="0"/>
        <w:snapToGrid w:val="0"/>
        <w:spacing w:line="600" w:lineRule="exact"/>
        <w:ind w:firstLine="720"/>
        <w:rPr>
          <w:rFonts w:eastAsia="楷体_GB2312"/>
          <w:bCs/>
          <w:spacing w:val="-6"/>
          <w:sz w:val="32"/>
          <w:szCs w:val="32"/>
        </w:rPr>
      </w:pPr>
      <w:r>
        <w:rPr>
          <w:rFonts w:ascii="楷体_GB2312" w:eastAsia="楷体_GB2312"/>
          <w:b/>
          <w:sz w:val="32"/>
          <w:szCs w:val="32"/>
          <w:lang w:val="zh-CN"/>
        </w:rPr>
        <w:t>（</w:t>
      </w:r>
      <w:r>
        <w:rPr>
          <w:rFonts w:hint="eastAsia" w:ascii="楷体_GB2312" w:eastAsia="楷体_GB2312"/>
          <w:b/>
          <w:sz w:val="32"/>
          <w:szCs w:val="32"/>
          <w:lang w:val="zh-CN"/>
        </w:rPr>
        <w:t>一</w:t>
      </w:r>
      <w:r>
        <w:rPr>
          <w:rFonts w:ascii="楷体_GB2312" w:eastAsia="楷体_GB2312"/>
          <w:b/>
          <w:sz w:val="32"/>
          <w:szCs w:val="32"/>
          <w:lang w:val="zh-CN"/>
        </w:rPr>
        <w:t>）项目组织</w:t>
      </w:r>
      <w:r>
        <w:rPr>
          <w:rFonts w:hint="eastAsia" w:ascii="楷体_GB2312" w:eastAsia="楷体_GB2312"/>
          <w:b/>
          <w:sz w:val="32"/>
          <w:szCs w:val="32"/>
          <w:lang w:val="zh-CN"/>
        </w:rPr>
        <w:t>构架及实施流程</w:t>
      </w:r>
    </w:p>
    <w:p>
      <w:pPr>
        <w:ind w:firstLine="640" w:firstLineChars="200"/>
        <w:rPr>
          <w:rFonts w:ascii="仿宋" w:hAnsi="仿宋" w:eastAsia="仿宋"/>
          <w:sz w:val="32"/>
          <w:szCs w:val="32"/>
        </w:rPr>
      </w:pPr>
      <w:r>
        <w:rPr>
          <w:rFonts w:ascii="仿宋" w:hAnsi="仿宋" w:eastAsia="仿宋"/>
          <w:sz w:val="32"/>
          <w:szCs w:val="32"/>
        </w:rPr>
        <w:t>严格按照年初制定的实施方案组织实施项目。</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（二）项目管理情况</w:t>
      </w:r>
    </w:p>
    <w:p>
      <w:pPr>
        <w:ind w:firstLine="640" w:firstLineChars="200"/>
        <w:rPr>
          <w:rFonts w:ascii="仿宋" w:hAnsi="仿宋" w:eastAsia="仿宋"/>
          <w:sz w:val="32"/>
          <w:szCs w:val="32"/>
        </w:rPr>
      </w:pPr>
      <w:r>
        <w:rPr>
          <w:rFonts w:ascii="仿宋" w:hAnsi="仿宋" w:eastAsia="仿宋"/>
          <w:sz w:val="32"/>
          <w:szCs w:val="32"/>
        </w:rPr>
        <w:t>对</w:t>
      </w:r>
      <w:r>
        <w:rPr>
          <w:rFonts w:hint="eastAsia" w:ascii="仿宋" w:hAnsi="仿宋" w:eastAsia="仿宋"/>
          <w:sz w:val="32"/>
          <w:szCs w:val="32"/>
        </w:rPr>
        <w:t>该</w:t>
      </w:r>
      <w:r>
        <w:rPr>
          <w:rFonts w:ascii="仿宋" w:hAnsi="仿宋" w:eastAsia="仿宋"/>
          <w:sz w:val="32"/>
          <w:szCs w:val="32"/>
        </w:rPr>
        <w:t>项目进行合理科学的预算控制</w:t>
      </w:r>
      <w:r>
        <w:rPr>
          <w:rFonts w:hint="eastAsia" w:ascii="仿宋" w:hAnsi="仿宋" w:eastAsia="仿宋"/>
          <w:sz w:val="32"/>
          <w:szCs w:val="32"/>
        </w:rPr>
        <w:t>，按时按质完成项目，科学规范管理。</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（三）项目监管情况</w:t>
      </w:r>
    </w:p>
    <w:p>
      <w:pPr>
        <w:ind w:firstLine="640" w:firstLineChars="200"/>
        <w:rPr>
          <w:rFonts w:ascii="仿宋" w:hAnsi="仿宋" w:eastAsia="仿宋"/>
          <w:sz w:val="32"/>
          <w:szCs w:val="32"/>
        </w:rPr>
      </w:pPr>
      <w:r>
        <w:rPr>
          <w:rFonts w:hint="eastAsia" w:ascii="仿宋" w:hAnsi="仿宋" w:eastAsia="仿宋"/>
          <w:sz w:val="32"/>
          <w:szCs w:val="32"/>
        </w:rPr>
        <w:t>按照职能职责，对该项目进行严格的监督管理，发现问题及时整改。</w:t>
      </w:r>
    </w:p>
    <w:p>
      <w:pPr>
        <w:autoSpaceDE w:val="0"/>
        <w:spacing w:line="576" w:lineRule="exact"/>
        <w:ind w:firstLine="616"/>
        <w:rPr>
          <w:rFonts w:ascii="黑体" w:hAnsi="黑体" w:eastAsia="黑体"/>
          <w:spacing w:val="-6"/>
          <w:sz w:val="32"/>
          <w:szCs w:val="32"/>
        </w:rPr>
      </w:pPr>
      <w:r>
        <w:rPr>
          <w:rFonts w:hint="eastAsia" w:ascii="黑体" w:hAnsi="黑体" w:eastAsia="黑体"/>
          <w:spacing w:val="-6"/>
          <w:sz w:val="32"/>
          <w:szCs w:val="32"/>
        </w:rPr>
        <w:t>四、项目绩效情况</w:t>
      </w:r>
      <w:r>
        <w:rPr>
          <w:rFonts w:hint="eastAsia" w:ascii="黑体" w:hAnsi="黑体" w:eastAsia="黑体"/>
          <w:spacing w:val="-6"/>
          <w:sz w:val="32"/>
          <w:szCs w:val="32"/>
        </w:rPr>
        <w:tab/>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（一）项目完成情况。</w:t>
      </w:r>
    </w:p>
    <w:p>
      <w:pPr>
        <w:autoSpaceDE w:val="0"/>
        <w:spacing w:line="576" w:lineRule="exact"/>
        <w:ind w:firstLine="640" w:firstLineChars="200"/>
        <w:rPr>
          <w:sz w:val="32"/>
          <w:szCs w:val="32"/>
          <w:lang w:val="zh-CN"/>
        </w:rPr>
      </w:pPr>
      <w:r>
        <w:rPr>
          <w:rFonts w:hint="eastAsia"/>
          <w:sz w:val="32"/>
          <w:szCs w:val="32"/>
          <w:lang w:val="zh-CN"/>
        </w:rPr>
        <w:t>地震陈列馆运行项目在完成数量、质量、时效、成本等方面，对照项目计划高标准高质量完成目标任务，任务量完成、质量标准、进度计划、成本控制均达到优秀。</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（二）项目效益情况。</w:t>
      </w:r>
    </w:p>
    <w:p>
      <w:pPr>
        <w:autoSpaceDE w:val="0"/>
        <w:spacing w:line="576" w:lineRule="exact"/>
        <w:ind w:firstLine="640" w:firstLineChars="200"/>
        <w:rPr>
          <w:sz w:val="32"/>
          <w:szCs w:val="32"/>
          <w:lang w:val="zh-CN"/>
        </w:rPr>
      </w:pPr>
      <w:r>
        <w:rPr>
          <w:rFonts w:hint="eastAsia"/>
          <w:sz w:val="32"/>
          <w:szCs w:val="32"/>
          <w:lang w:val="zh-CN"/>
        </w:rPr>
        <w:t>我中心严格按照年初部门预算安排和预算调整进行部门整体支出。在支出过程中，能严格遵守各项规章制度。在地震陈列馆运行项目经费支出上，确保专款专用，按项目实施进度进行资金拨付，无截留、无挪用等现象。</w:t>
      </w:r>
    </w:p>
    <w:p>
      <w:pPr>
        <w:autoSpaceDE w:val="0"/>
        <w:spacing w:line="576" w:lineRule="exact"/>
        <w:ind w:firstLine="616"/>
        <w:rPr>
          <w:rFonts w:ascii="黑体" w:hAnsi="黑体" w:eastAsia="黑体"/>
          <w:spacing w:val="-6"/>
          <w:sz w:val="32"/>
          <w:szCs w:val="32"/>
        </w:rPr>
      </w:pPr>
      <w:r>
        <w:rPr>
          <w:rFonts w:hint="eastAsia" w:ascii="黑体" w:hAnsi="黑体" w:eastAsia="黑体"/>
          <w:spacing w:val="-6"/>
          <w:sz w:val="32"/>
          <w:szCs w:val="32"/>
        </w:rPr>
        <w:t>五、评价结论及建议</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（一）评价结论。</w:t>
      </w:r>
    </w:p>
    <w:p>
      <w:pPr>
        <w:autoSpaceDE w:val="0"/>
        <w:spacing w:line="576" w:lineRule="exact"/>
        <w:ind w:firstLine="616"/>
        <w:rPr>
          <w:rFonts w:ascii="黑体" w:hAnsi="黑体" w:eastAsia="黑体"/>
          <w:spacing w:val="-6"/>
          <w:sz w:val="32"/>
          <w:szCs w:val="32"/>
        </w:rPr>
      </w:pPr>
      <w:r>
        <w:rPr>
          <w:rFonts w:hint="eastAsia" w:ascii="黑体" w:hAnsi="黑体" w:eastAsia="黑体"/>
          <w:spacing w:val="-6"/>
          <w:sz w:val="32"/>
          <w:szCs w:val="32"/>
        </w:rPr>
        <w:t>自评结论为“良好”</w:t>
      </w:r>
    </w:p>
    <w:p>
      <w:pPr>
        <w:autoSpaceDE w:val="0"/>
        <w:spacing w:line="576" w:lineRule="exact"/>
        <w:ind w:firstLine="643" w:firstLineChars="200"/>
        <w:rPr>
          <w:sz w:val="32"/>
          <w:szCs w:val="32"/>
          <w:lang w:val="zh-CN"/>
        </w:rPr>
      </w:pPr>
      <w:r>
        <w:rPr>
          <w:rFonts w:hint="eastAsia" w:ascii="楷体_GB2312" w:eastAsia="楷体_GB2312"/>
          <w:b/>
          <w:sz w:val="32"/>
          <w:szCs w:val="32"/>
          <w:lang w:val="zh-CN"/>
        </w:rPr>
        <w:t>（二）存在的问题。</w:t>
      </w:r>
      <w:r>
        <w:rPr>
          <w:rFonts w:hint="eastAsia"/>
          <w:sz w:val="32"/>
          <w:szCs w:val="32"/>
          <w:lang w:val="zh-CN"/>
        </w:rPr>
        <w:t>无</w:t>
      </w:r>
    </w:p>
    <w:p>
      <w:pPr>
        <w:autoSpaceDE w:val="0"/>
        <w:spacing w:line="576" w:lineRule="exact"/>
        <w:ind w:firstLine="643" w:firstLineChars="200"/>
        <w:rPr>
          <w:sz w:val="32"/>
          <w:szCs w:val="32"/>
          <w:lang w:val="zh-CN"/>
        </w:rPr>
      </w:pPr>
      <w:r>
        <w:rPr>
          <w:rFonts w:hint="eastAsia" w:ascii="楷体_GB2312" w:eastAsia="楷体_GB2312"/>
          <w:b/>
          <w:sz w:val="32"/>
          <w:szCs w:val="32"/>
          <w:lang w:val="zh-CN"/>
        </w:rPr>
        <w:t>（三）相关建议。</w:t>
      </w:r>
      <w:r>
        <w:rPr>
          <w:rFonts w:hint="eastAsia"/>
          <w:sz w:val="32"/>
          <w:szCs w:val="32"/>
          <w:lang w:val="zh-CN"/>
        </w:rPr>
        <w:t>无</w:t>
      </w:r>
    </w:p>
    <w:p>
      <w:pPr>
        <w:autoSpaceDE w:val="0"/>
        <w:spacing w:line="576" w:lineRule="exact"/>
        <w:ind w:firstLine="640" w:firstLineChars="200"/>
        <w:rPr>
          <w:sz w:val="32"/>
          <w:szCs w:val="32"/>
          <w:lang w:val="zh-CN"/>
        </w:rPr>
      </w:pPr>
    </w:p>
    <w:p>
      <w:pPr>
        <w:autoSpaceDE w:val="0"/>
        <w:spacing w:line="576" w:lineRule="exact"/>
        <w:ind w:firstLine="640" w:firstLineChars="200"/>
        <w:rPr>
          <w:sz w:val="32"/>
          <w:szCs w:val="32"/>
          <w:lang w:val="zh-CN"/>
        </w:rPr>
      </w:pPr>
    </w:p>
    <w:p>
      <w:pPr>
        <w:autoSpaceDE w:val="0"/>
        <w:spacing w:line="576" w:lineRule="exact"/>
        <w:ind w:firstLine="640" w:firstLineChars="200"/>
        <w:rPr>
          <w:sz w:val="32"/>
          <w:szCs w:val="32"/>
          <w:lang w:val="zh-CN"/>
        </w:rPr>
      </w:pPr>
    </w:p>
    <w:p>
      <w:pPr>
        <w:autoSpaceDE w:val="0"/>
        <w:spacing w:line="576" w:lineRule="exact"/>
        <w:ind w:firstLine="640" w:firstLineChars="200"/>
        <w:rPr>
          <w:sz w:val="32"/>
          <w:szCs w:val="32"/>
          <w:lang w:val="zh-CN"/>
        </w:rPr>
      </w:pPr>
    </w:p>
    <w:p>
      <w:pPr>
        <w:autoSpaceDE w:val="0"/>
        <w:spacing w:line="576" w:lineRule="exact"/>
        <w:ind w:firstLine="640" w:firstLineChars="200"/>
        <w:rPr>
          <w:sz w:val="32"/>
          <w:szCs w:val="32"/>
          <w:lang w:val="zh-CN"/>
        </w:rPr>
      </w:pPr>
    </w:p>
    <w:p>
      <w:pPr>
        <w:autoSpaceDE w:val="0"/>
        <w:spacing w:line="576" w:lineRule="exact"/>
        <w:ind w:firstLine="640" w:firstLineChars="200"/>
        <w:rPr>
          <w:sz w:val="32"/>
          <w:szCs w:val="32"/>
          <w:lang w:val="zh-CN"/>
        </w:rPr>
      </w:pPr>
    </w:p>
    <w:p>
      <w:pPr>
        <w:autoSpaceDE w:val="0"/>
        <w:spacing w:line="576" w:lineRule="exact"/>
        <w:ind w:firstLine="640" w:firstLineChars="200"/>
        <w:rPr>
          <w:sz w:val="32"/>
          <w:szCs w:val="32"/>
          <w:lang w:val="zh-CN"/>
        </w:rPr>
      </w:pPr>
    </w:p>
    <w:p>
      <w:pPr>
        <w:autoSpaceDE w:val="0"/>
        <w:spacing w:line="576" w:lineRule="exact"/>
        <w:ind w:firstLine="640" w:firstLineChars="200"/>
        <w:rPr>
          <w:sz w:val="32"/>
          <w:szCs w:val="32"/>
          <w:lang w:val="zh-CN"/>
        </w:rPr>
      </w:pPr>
    </w:p>
    <w:p>
      <w:pPr>
        <w:autoSpaceDE w:val="0"/>
        <w:spacing w:line="576" w:lineRule="exact"/>
        <w:ind w:firstLine="640" w:firstLineChars="200"/>
        <w:rPr>
          <w:sz w:val="32"/>
          <w:szCs w:val="32"/>
          <w:lang w:val="zh-CN"/>
        </w:rPr>
      </w:pPr>
    </w:p>
    <w:p>
      <w:pPr>
        <w:jc w:val="center"/>
        <w:textAlignment w:val="center"/>
        <w:rPr>
          <w:rFonts w:asciiTheme="minorEastAsia" w:hAnsiTheme="minorEastAsia" w:eastAsiaTheme="minorEastAsia"/>
          <w:sz w:val="40"/>
          <w:szCs w:val="32"/>
        </w:rPr>
      </w:pPr>
      <w:r>
        <w:rPr>
          <w:rFonts w:hint="eastAsia" w:asciiTheme="minorEastAsia" w:hAnsiTheme="minorEastAsia" w:eastAsiaTheme="minorEastAsia"/>
          <w:sz w:val="40"/>
          <w:szCs w:val="32"/>
        </w:rPr>
        <w:t>2021年部门预算项目绩效目标自评</w:t>
      </w:r>
    </w:p>
    <w:p>
      <w:pPr>
        <w:pStyle w:val="7"/>
        <w:spacing w:beforeLines="0"/>
        <w:jc w:val="center"/>
      </w:pPr>
      <w:r>
        <w:rPr>
          <w:rFonts w:hint="eastAsia"/>
        </w:rPr>
        <w:t>（</w:t>
      </w:r>
      <w:r>
        <w:rPr>
          <w:rFonts w:hint="eastAsia" w:asciiTheme="minorEastAsia" w:hAnsiTheme="minorEastAsia" w:eastAsiaTheme="minorEastAsia"/>
          <w:kern w:val="2"/>
          <w:sz w:val="28"/>
        </w:rPr>
        <w:t>3</w:t>
      </w:r>
      <w:r>
        <w:rPr>
          <w:rFonts w:asciiTheme="minorEastAsia" w:hAnsiTheme="minorEastAsia" w:eastAsiaTheme="minorEastAsia"/>
          <w:kern w:val="2"/>
          <w:sz w:val="28"/>
        </w:rPr>
        <w:t>.</w:t>
      </w:r>
      <w:r>
        <w:rPr>
          <w:rFonts w:hint="eastAsia" w:asciiTheme="minorEastAsia" w:hAnsiTheme="minorEastAsia" w:eastAsiaTheme="minorEastAsia"/>
          <w:kern w:val="2"/>
          <w:sz w:val="28"/>
        </w:rPr>
        <w:t>地震陈列馆运行项目）</w:t>
      </w:r>
    </w:p>
    <w:tbl>
      <w:tblPr>
        <w:tblStyle w:val="20"/>
        <w:tblW w:w="9634" w:type="dxa"/>
        <w:jc w:val="center"/>
        <w:tblLayout w:type="fixed"/>
        <w:tblCellMar>
          <w:top w:w="0" w:type="dxa"/>
          <w:left w:w="108" w:type="dxa"/>
          <w:bottom w:w="0" w:type="dxa"/>
          <w:right w:w="108" w:type="dxa"/>
        </w:tblCellMar>
      </w:tblPr>
      <w:tblGrid>
        <w:gridCol w:w="2025"/>
        <w:gridCol w:w="1136"/>
        <w:gridCol w:w="34"/>
        <w:gridCol w:w="1053"/>
        <w:gridCol w:w="622"/>
        <w:gridCol w:w="1504"/>
        <w:gridCol w:w="1145"/>
        <w:gridCol w:w="435"/>
        <w:gridCol w:w="1680"/>
      </w:tblGrid>
      <w:tr>
        <w:tblPrEx>
          <w:tblCellMar>
            <w:top w:w="0" w:type="dxa"/>
            <w:left w:w="108" w:type="dxa"/>
            <w:bottom w:w="0" w:type="dxa"/>
            <w:right w:w="108" w:type="dxa"/>
          </w:tblCellMar>
        </w:tblPrEx>
        <w:trPr>
          <w:trHeight w:val="254" w:hRule="atLeast"/>
          <w:jc w:val="center"/>
        </w:trPr>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主管部门及代码</w:t>
            </w:r>
          </w:p>
        </w:tc>
        <w:tc>
          <w:tcPr>
            <w:tcW w:w="31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413401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实施单位</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朝天区防震减灾中心</w:t>
            </w:r>
          </w:p>
        </w:tc>
      </w:tr>
      <w:tr>
        <w:tblPrEx>
          <w:tblCellMar>
            <w:top w:w="0" w:type="dxa"/>
            <w:left w:w="108" w:type="dxa"/>
            <w:bottom w:w="0" w:type="dxa"/>
            <w:right w:w="108" w:type="dxa"/>
          </w:tblCellMar>
        </w:tblPrEx>
        <w:trPr>
          <w:trHeight w:val="341" w:hRule="atLeast"/>
          <w:jc w:val="center"/>
        </w:trPr>
        <w:tc>
          <w:tcPr>
            <w:tcW w:w="31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项目预算</w:t>
            </w:r>
          </w:p>
          <w:p>
            <w:pPr>
              <w:spacing w:line="320" w:lineRule="exact"/>
              <w:jc w:val="center"/>
              <w:textAlignment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执行情况</w:t>
            </w:r>
          </w:p>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（万元）</w:t>
            </w:r>
          </w:p>
        </w:tc>
        <w:tc>
          <w:tcPr>
            <w:tcW w:w="1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预算数：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执行数：</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r>
      <w:tr>
        <w:tblPrEx>
          <w:tblCellMar>
            <w:top w:w="0" w:type="dxa"/>
            <w:left w:w="108" w:type="dxa"/>
            <w:bottom w:w="0" w:type="dxa"/>
            <w:right w:w="108" w:type="dxa"/>
          </w:tblCellMar>
        </w:tblPrEx>
        <w:trPr>
          <w:trHeight w:val="538" w:hRule="atLeast"/>
          <w:jc w:val="center"/>
        </w:trPr>
        <w:tc>
          <w:tcPr>
            <w:tcW w:w="31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sz w:val="21"/>
                <w:szCs w:val="21"/>
              </w:rPr>
            </w:pPr>
          </w:p>
        </w:tc>
        <w:tc>
          <w:tcPr>
            <w:tcW w:w="1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其中：</w:t>
            </w:r>
          </w:p>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财政拨款</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其中：</w:t>
            </w:r>
          </w:p>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财政拨款</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r>
      <w:tr>
        <w:tblPrEx>
          <w:tblCellMar>
            <w:top w:w="0" w:type="dxa"/>
            <w:left w:w="108" w:type="dxa"/>
            <w:bottom w:w="0" w:type="dxa"/>
            <w:right w:w="108" w:type="dxa"/>
          </w:tblCellMar>
        </w:tblPrEx>
        <w:trPr>
          <w:trHeight w:val="359" w:hRule="atLeast"/>
          <w:jc w:val="center"/>
        </w:trPr>
        <w:tc>
          <w:tcPr>
            <w:tcW w:w="31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sz w:val="21"/>
                <w:szCs w:val="21"/>
              </w:rPr>
            </w:pPr>
          </w:p>
        </w:tc>
        <w:tc>
          <w:tcPr>
            <w:tcW w:w="1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其他资金</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其他资金</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0</w:t>
            </w:r>
          </w:p>
        </w:tc>
      </w:tr>
      <w:tr>
        <w:tblPrEx>
          <w:tblCellMar>
            <w:top w:w="0" w:type="dxa"/>
            <w:left w:w="108" w:type="dxa"/>
            <w:bottom w:w="0" w:type="dxa"/>
            <w:right w:w="108" w:type="dxa"/>
          </w:tblCellMar>
        </w:tblPrEx>
        <w:trPr>
          <w:trHeight w:val="217" w:hRule="atLeast"/>
          <w:jc w:val="center"/>
        </w:trPr>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年度总体目标</w:t>
            </w:r>
          </w:p>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完成情况</w:t>
            </w:r>
          </w:p>
        </w:tc>
        <w:tc>
          <w:tcPr>
            <w:tcW w:w="43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预期目标</w:t>
            </w:r>
          </w:p>
        </w:tc>
        <w:tc>
          <w:tcPr>
            <w:tcW w:w="3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目标实际完成情况</w:t>
            </w:r>
          </w:p>
        </w:tc>
      </w:tr>
      <w:tr>
        <w:tblPrEx>
          <w:tblCellMar>
            <w:top w:w="0" w:type="dxa"/>
            <w:left w:w="108" w:type="dxa"/>
            <w:bottom w:w="0" w:type="dxa"/>
            <w:right w:w="108" w:type="dxa"/>
          </w:tblCellMar>
        </w:tblPrEx>
        <w:trPr>
          <w:trHeight w:val="797" w:hRule="atLeast"/>
          <w:jc w:val="center"/>
        </w:trPr>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sz w:val="21"/>
                <w:szCs w:val="21"/>
              </w:rPr>
            </w:pPr>
          </w:p>
        </w:tc>
        <w:tc>
          <w:tcPr>
            <w:tcW w:w="43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定期开展隐患排查与整治，确保安全按时对外免费提供群众缅怀遇难同胞，弘扬抗震救灾精神，传承感恩文化，提高人民群众防震减灾安全意识。</w:t>
            </w:r>
          </w:p>
        </w:tc>
        <w:tc>
          <w:tcPr>
            <w:tcW w:w="3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预期目标完成</w:t>
            </w:r>
          </w:p>
        </w:tc>
      </w:tr>
      <w:tr>
        <w:tblPrEx>
          <w:tblCellMar>
            <w:top w:w="0" w:type="dxa"/>
            <w:left w:w="108" w:type="dxa"/>
            <w:bottom w:w="0" w:type="dxa"/>
            <w:right w:w="108" w:type="dxa"/>
          </w:tblCellMar>
        </w:tblPrEx>
        <w:trPr>
          <w:trHeight w:val="437" w:hRule="atLeast"/>
          <w:jc w:val="center"/>
        </w:trPr>
        <w:tc>
          <w:tcPr>
            <w:tcW w:w="2025" w:type="dxa"/>
            <w:vMerge w:val="restart"/>
            <w:tcBorders>
              <w:top w:val="single" w:color="000000" w:sz="4" w:space="0"/>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年度绩效指标完成情况</w:t>
            </w:r>
          </w:p>
        </w:tc>
        <w:tc>
          <w:tcPr>
            <w:tcW w:w="1136" w:type="dxa"/>
            <w:tcBorders>
              <w:top w:val="single" w:color="000000" w:sz="4" w:space="0"/>
              <w:left w:val="nil"/>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一级指标</w:t>
            </w: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二级指标</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三级指标</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预期指标值</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实际完成指标值</w:t>
            </w:r>
          </w:p>
        </w:tc>
      </w:tr>
      <w:tr>
        <w:tblPrEx>
          <w:tblCellMar>
            <w:top w:w="0" w:type="dxa"/>
            <w:left w:w="108" w:type="dxa"/>
            <w:bottom w:w="0" w:type="dxa"/>
            <w:right w:w="108" w:type="dxa"/>
          </w:tblCellMar>
        </w:tblPrEx>
        <w:trPr>
          <w:trHeight w:val="446" w:hRule="atLeast"/>
          <w:jc w:val="center"/>
        </w:trPr>
        <w:tc>
          <w:tcPr>
            <w:tcW w:w="2025" w:type="dxa"/>
            <w:vMerge w:val="continue"/>
            <w:tcBorders>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完成</w:t>
            </w:r>
          </w:p>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指标</w:t>
            </w:r>
          </w:p>
        </w:tc>
        <w:tc>
          <w:tcPr>
            <w:tcW w:w="1087" w:type="dxa"/>
            <w:gridSpan w:val="2"/>
            <w:vMerge w:val="restart"/>
            <w:tcBorders>
              <w:top w:val="single" w:color="000000" w:sz="4" w:space="0"/>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数量指标</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陈列馆参观人数</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3000人次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3500人次</w:t>
            </w:r>
          </w:p>
        </w:tc>
      </w:tr>
      <w:tr>
        <w:tblPrEx>
          <w:tblCellMar>
            <w:top w:w="0" w:type="dxa"/>
            <w:left w:w="108" w:type="dxa"/>
            <w:bottom w:w="0" w:type="dxa"/>
            <w:right w:w="108" w:type="dxa"/>
          </w:tblCellMar>
        </w:tblPrEx>
        <w:trPr>
          <w:trHeight w:val="552" w:hRule="atLeast"/>
          <w:jc w:val="center"/>
        </w:trPr>
        <w:tc>
          <w:tcPr>
            <w:tcW w:w="2025" w:type="dxa"/>
            <w:vMerge w:val="continue"/>
            <w:tcBorders>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p>
        </w:tc>
        <w:tc>
          <w:tcPr>
            <w:tcW w:w="1087" w:type="dxa"/>
            <w:gridSpan w:val="2"/>
            <w:vMerge w:val="continue"/>
            <w:tcBorders>
              <w:top w:val="single" w:color="000000" w:sz="4" w:space="0"/>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陈列馆隐患排查处理</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10条</w:t>
            </w:r>
          </w:p>
        </w:tc>
      </w:tr>
      <w:tr>
        <w:tblPrEx>
          <w:tblCellMar>
            <w:top w:w="0" w:type="dxa"/>
            <w:left w:w="108" w:type="dxa"/>
            <w:bottom w:w="0" w:type="dxa"/>
            <w:right w:w="108" w:type="dxa"/>
          </w:tblCellMar>
        </w:tblPrEx>
        <w:trPr>
          <w:trHeight w:val="416" w:hRule="atLeast"/>
          <w:jc w:val="center"/>
        </w:trPr>
        <w:tc>
          <w:tcPr>
            <w:tcW w:w="2025" w:type="dxa"/>
            <w:vMerge w:val="continue"/>
            <w:tcBorders>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p>
        </w:tc>
        <w:tc>
          <w:tcPr>
            <w:tcW w:w="1087" w:type="dxa"/>
            <w:gridSpan w:val="2"/>
            <w:tcBorders>
              <w:top w:val="single" w:color="000000" w:sz="4" w:space="0"/>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质量指标</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群众防震减灾能力</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逐渐提高</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逐渐提高</w:t>
            </w:r>
          </w:p>
        </w:tc>
      </w:tr>
      <w:tr>
        <w:tblPrEx>
          <w:tblCellMar>
            <w:top w:w="0" w:type="dxa"/>
            <w:left w:w="108" w:type="dxa"/>
            <w:bottom w:w="0" w:type="dxa"/>
            <w:right w:w="108" w:type="dxa"/>
          </w:tblCellMar>
        </w:tblPrEx>
        <w:trPr>
          <w:trHeight w:val="415" w:hRule="atLeast"/>
          <w:jc w:val="center"/>
        </w:trPr>
        <w:tc>
          <w:tcPr>
            <w:tcW w:w="2025" w:type="dxa"/>
            <w:vMerge w:val="continue"/>
            <w:tcBorders>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p>
        </w:tc>
        <w:tc>
          <w:tcPr>
            <w:tcW w:w="1087" w:type="dxa"/>
            <w:gridSpan w:val="2"/>
            <w:tcBorders>
              <w:top w:val="single" w:color="000000" w:sz="4" w:space="0"/>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时效指标</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资金支付及时率</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2021年底支付完毕</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100%</w:t>
            </w:r>
          </w:p>
        </w:tc>
      </w:tr>
      <w:tr>
        <w:tblPrEx>
          <w:tblCellMar>
            <w:top w:w="0" w:type="dxa"/>
            <w:left w:w="108" w:type="dxa"/>
            <w:bottom w:w="0" w:type="dxa"/>
            <w:right w:w="108" w:type="dxa"/>
          </w:tblCellMar>
        </w:tblPrEx>
        <w:trPr>
          <w:trHeight w:val="480" w:hRule="atLeast"/>
          <w:jc w:val="center"/>
        </w:trPr>
        <w:tc>
          <w:tcPr>
            <w:tcW w:w="2025" w:type="dxa"/>
            <w:vMerge w:val="continue"/>
            <w:tcBorders>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成本指标</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预计总成本</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3万元</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3万元</w:t>
            </w:r>
          </w:p>
        </w:tc>
      </w:tr>
      <w:tr>
        <w:tblPrEx>
          <w:tblCellMar>
            <w:top w:w="0" w:type="dxa"/>
            <w:left w:w="108" w:type="dxa"/>
            <w:bottom w:w="0" w:type="dxa"/>
            <w:right w:w="108" w:type="dxa"/>
          </w:tblCellMar>
        </w:tblPrEx>
        <w:trPr>
          <w:trHeight w:val="493" w:hRule="atLeast"/>
          <w:jc w:val="center"/>
        </w:trPr>
        <w:tc>
          <w:tcPr>
            <w:tcW w:w="2025" w:type="dxa"/>
            <w:vMerge w:val="continue"/>
            <w:tcBorders>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效益</w:t>
            </w:r>
          </w:p>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指标</w:t>
            </w: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经济效益指标</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经济效益明显提升</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明显提升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明显提升</w:t>
            </w:r>
          </w:p>
        </w:tc>
      </w:tr>
      <w:tr>
        <w:tblPrEx>
          <w:tblCellMar>
            <w:top w:w="0" w:type="dxa"/>
            <w:left w:w="108" w:type="dxa"/>
            <w:bottom w:w="0" w:type="dxa"/>
            <w:right w:w="108" w:type="dxa"/>
          </w:tblCellMar>
        </w:tblPrEx>
        <w:trPr>
          <w:trHeight w:val="262" w:hRule="atLeast"/>
          <w:jc w:val="center"/>
        </w:trPr>
        <w:tc>
          <w:tcPr>
            <w:tcW w:w="2025" w:type="dxa"/>
            <w:vMerge w:val="continue"/>
            <w:tcBorders>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社会效益指标</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群众防震减灾意识明显提升</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持续提升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持续提升</w:t>
            </w:r>
          </w:p>
        </w:tc>
      </w:tr>
      <w:tr>
        <w:tblPrEx>
          <w:tblCellMar>
            <w:top w:w="0" w:type="dxa"/>
            <w:left w:w="108" w:type="dxa"/>
            <w:bottom w:w="0" w:type="dxa"/>
            <w:right w:w="108" w:type="dxa"/>
          </w:tblCellMar>
        </w:tblPrEx>
        <w:trPr>
          <w:trHeight w:val="945" w:hRule="atLeast"/>
          <w:jc w:val="center"/>
        </w:trPr>
        <w:tc>
          <w:tcPr>
            <w:tcW w:w="2025" w:type="dxa"/>
            <w:vMerge w:val="continue"/>
            <w:tcBorders>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生态效益指标</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陈列馆运维规范</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有效促进</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有效促进</w:t>
            </w:r>
          </w:p>
        </w:tc>
      </w:tr>
      <w:tr>
        <w:tblPrEx>
          <w:tblCellMar>
            <w:top w:w="0" w:type="dxa"/>
            <w:left w:w="108" w:type="dxa"/>
            <w:bottom w:w="0" w:type="dxa"/>
            <w:right w:w="108" w:type="dxa"/>
          </w:tblCellMar>
        </w:tblPrEx>
        <w:trPr>
          <w:trHeight w:val="997" w:hRule="atLeast"/>
          <w:jc w:val="center"/>
        </w:trPr>
        <w:tc>
          <w:tcPr>
            <w:tcW w:w="2025" w:type="dxa"/>
            <w:vMerge w:val="continue"/>
            <w:tcBorders>
              <w:left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可持续影响指标</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群众防震减灾意识持续好转</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可持续</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可持续</w:t>
            </w:r>
          </w:p>
        </w:tc>
      </w:tr>
      <w:tr>
        <w:tblPrEx>
          <w:tblCellMar>
            <w:top w:w="0" w:type="dxa"/>
            <w:left w:w="108" w:type="dxa"/>
            <w:bottom w:w="0" w:type="dxa"/>
            <w:right w:w="108" w:type="dxa"/>
          </w:tblCellMar>
        </w:tblPrEx>
        <w:trPr>
          <w:trHeight w:val="917" w:hRule="atLeast"/>
          <w:jc w:val="center"/>
        </w:trPr>
        <w:tc>
          <w:tcPr>
            <w:tcW w:w="2025"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textAlignment w:val="center"/>
              <w:rPr>
                <w:rFonts w:asciiTheme="minorEastAsia" w:hAnsiTheme="minorEastAsia" w:eastAsiaTheme="minorEastAsia"/>
                <w:sz w:val="21"/>
                <w:szCs w:val="21"/>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满意度</w:t>
            </w:r>
          </w:p>
          <w:p>
            <w:pPr>
              <w:spacing w:line="320" w:lineRule="exact"/>
              <w:jc w:val="center"/>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指标</w:t>
            </w: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满意度</w:t>
            </w:r>
          </w:p>
          <w:p>
            <w:pP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指标</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服务对象满意度</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100%</w:t>
            </w:r>
          </w:p>
        </w:tc>
      </w:tr>
    </w:tbl>
    <w:p>
      <w:pPr>
        <w:pStyle w:val="2"/>
        <w:rPr>
          <w:rFonts w:ascii="仿宋" w:hAnsi="仿宋" w:eastAsia="仿宋"/>
          <w:b w:val="0"/>
        </w:rPr>
      </w:pPr>
      <w:bookmarkStart w:id="80" w:name="_Toc15396618"/>
      <w:bookmarkStart w:id="81" w:name="_Toc115203647"/>
      <w:r>
        <w:rPr>
          <w:rFonts w:hint="eastAsia" w:ascii="黑体" w:hAnsi="黑体"/>
        </w:rPr>
        <w:t>第</w:t>
      </w:r>
      <w:r>
        <w:rPr>
          <w:rStyle w:val="32"/>
          <w:rFonts w:hint="eastAsia" w:ascii="黑体" w:hAnsi="黑体"/>
          <w:b w:val="0"/>
          <w:bCs/>
        </w:rPr>
        <w:t>五部分 附表</w:t>
      </w:r>
      <w:bookmarkEnd w:id="71"/>
      <w:bookmarkEnd w:id="80"/>
      <w:bookmarkEnd w:id="81"/>
      <w:bookmarkStart w:id="82" w:name="_Toc15396619"/>
    </w:p>
    <w:p>
      <w:pPr>
        <w:pStyle w:val="3"/>
      </w:pPr>
      <w:bookmarkStart w:id="83" w:name="_Toc115203648"/>
      <w:r>
        <w:rPr>
          <w:rFonts w:hint="eastAsia"/>
        </w:rPr>
        <w:t>一、收入支出决算总表</w:t>
      </w:r>
      <w:bookmarkEnd w:id="82"/>
      <w:bookmarkEnd w:id="83"/>
    </w:p>
    <w:p>
      <w:pPr>
        <w:pStyle w:val="3"/>
      </w:pPr>
      <w:bookmarkStart w:id="84" w:name="_Toc115203649"/>
      <w:bookmarkStart w:id="85" w:name="_Toc15396620"/>
      <w:r>
        <w:rPr>
          <w:rFonts w:hint="eastAsia"/>
        </w:rPr>
        <w:t>二、收入决算表</w:t>
      </w:r>
      <w:bookmarkEnd w:id="84"/>
      <w:bookmarkEnd w:id="85"/>
    </w:p>
    <w:p>
      <w:pPr>
        <w:pStyle w:val="3"/>
      </w:pPr>
      <w:bookmarkStart w:id="86" w:name="_Toc115203650"/>
      <w:bookmarkStart w:id="87" w:name="_Toc15396621"/>
      <w:r>
        <w:rPr>
          <w:rFonts w:hint="eastAsia"/>
        </w:rPr>
        <w:t>三、支出决算表</w:t>
      </w:r>
      <w:bookmarkEnd w:id="86"/>
      <w:bookmarkEnd w:id="87"/>
    </w:p>
    <w:p>
      <w:pPr>
        <w:pStyle w:val="3"/>
      </w:pPr>
      <w:bookmarkStart w:id="88" w:name="_Toc15396622"/>
      <w:bookmarkStart w:id="89" w:name="_Toc115203651"/>
      <w:r>
        <w:rPr>
          <w:rFonts w:hint="eastAsia"/>
        </w:rPr>
        <w:t>四、财政拨款收入支出决算总表</w:t>
      </w:r>
      <w:bookmarkEnd w:id="88"/>
      <w:bookmarkEnd w:id="89"/>
    </w:p>
    <w:p>
      <w:pPr>
        <w:pStyle w:val="3"/>
      </w:pPr>
      <w:bookmarkStart w:id="90" w:name="_Toc115203652"/>
      <w:bookmarkStart w:id="91" w:name="_Toc15396623"/>
      <w:r>
        <w:rPr>
          <w:rFonts w:hint="eastAsia"/>
        </w:rPr>
        <w:t>五、财政拨款支出决算明细表</w:t>
      </w:r>
      <w:bookmarkEnd w:id="90"/>
      <w:bookmarkEnd w:id="91"/>
      <w:bookmarkStart w:id="92" w:name="_Toc15396624"/>
    </w:p>
    <w:p>
      <w:pPr>
        <w:pStyle w:val="3"/>
      </w:pPr>
      <w:bookmarkStart w:id="93" w:name="_Toc115203653"/>
      <w:r>
        <w:rPr>
          <w:rFonts w:hint="eastAsia"/>
        </w:rPr>
        <w:t>六、一般公共预算财政拨款支出决算表</w:t>
      </w:r>
      <w:bookmarkEnd w:id="92"/>
      <w:bookmarkEnd w:id="93"/>
    </w:p>
    <w:p>
      <w:pPr>
        <w:pStyle w:val="3"/>
      </w:pPr>
      <w:bookmarkStart w:id="94" w:name="_Toc15396625"/>
      <w:bookmarkStart w:id="95" w:name="_Toc115203654"/>
      <w:r>
        <w:rPr>
          <w:rFonts w:hint="eastAsia"/>
        </w:rPr>
        <w:t>七、一般公共预算财政拨款支出决算明细表</w:t>
      </w:r>
      <w:bookmarkEnd w:id="94"/>
      <w:bookmarkEnd w:id="95"/>
    </w:p>
    <w:p>
      <w:pPr>
        <w:pStyle w:val="3"/>
      </w:pPr>
      <w:bookmarkStart w:id="96" w:name="_Toc15396626"/>
      <w:bookmarkStart w:id="97" w:name="_Toc115203655"/>
      <w:r>
        <w:rPr>
          <w:rFonts w:hint="eastAsia"/>
        </w:rPr>
        <w:t>八、一般公共预算财政拨款基本支出决算表</w:t>
      </w:r>
      <w:bookmarkEnd w:id="96"/>
      <w:bookmarkEnd w:id="97"/>
    </w:p>
    <w:p>
      <w:pPr>
        <w:pStyle w:val="3"/>
      </w:pPr>
      <w:bookmarkStart w:id="98" w:name="_Toc115203656"/>
      <w:bookmarkStart w:id="99" w:name="_Toc15396627"/>
      <w:r>
        <w:rPr>
          <w:rFonts w:hint="eastAsia"/>
        </w:rPr>
        <w:t>九、一般公共预算财政拨款项目支出决算表</w:t>
      </w:r>
      <w:bookmarkEnd w:id="98"/>
      <w:bookmarkEnd w:id="99"/>
    </w:p>
    <w:p>
      <w:pPr>
        <w:pStyle w:val="3"/>
      </w:pPr>
      <w:bookmarkStart w:id="100" w:name="_Toc15396628"/>
      <w:bookmarkStart w:id="101" w:name="_Toc115203657"/>
      <w:r>
        <w:rPr>
          <w:rFonts w:hint="eastAsia"/>
        </w:rPr>
        <w:t>十、一般公共预算财政拨款“三公”经费支出决算表</w:t>
      </w:r>
      <w:bookmarkEnd w:id="100"/>
      <w:bookmarkEnd w:id="101"/>
    </w:p>
    <w:p>
      <w:pPr>
        <w:pStyle w:val="3"/>
      </w:pPr>
      <w:bookmarkStart w:id="102" w:name="_Toc115203658"/>
      <w:bookmarkStart w:id="103" w:name="_Toc15396629"/>
      <w:r>
        <w:rPr>
          <w:rFonts w:hint="eastAsia"/>
        </w:rPr>
        <w:t>十一、政府性基金预算财政拨款收入支出决算表</w:t>
      </w:r>
      <w:bookmarkEnd w:id="102"/>
      <w:bookmarkEnd w:id="103"/>
    </w:p>
    <w:p>
      <w:pPr>
        <w:pStyle w:val="3"/>
      </w:pPr>
      <w:bookmarkStart w:id="104" w:name="_Toc15396630"/>
      <w:bookmarkStart w:id="105" w:name="_Toc115203659"/>
      <w:r>
        <w:rPr>
          <w:rFonts w:hint="eastAsia"/>
        </w:rPr>
        <w:t>十二、政府性基金预算财政拨款“三公”经费支出决算表</w:t>
      </w:r>
      <w:bookmarkEnd w:id="104"/>
      <w:bookmarkEnd w:id="105"/>
    </w:p>
    <w:p>
      <w:pPr>
        <w:pStyle w:val="3"/>
      </w:pPr>
      <w:bookmarkStart w:id="106" w:name="_Toc15396631"/>
      <w:bookmarkStart w:id="107" w:name="_Toc115203660"/>
      <w:r>
        <w:rPr>
          <w:rFonts w:hint="eastAsia"/>
        </w:rPr>
        <w:t>十三、国有资本经营预算财政拨款收入支出决算表</w:t>
      </w:r>
      <w:bookmarkEnd w:id="106"/>
      <w:bookmarkEnd w:id="107"/>
    </w:p>
    <w:p>
      <w:pPr>
        <w:pStyle w:val="3"/>
      </w:pPr>
      <w:bookmarkStart w:id="108" w:name="_Toc115203661"/>
      <w:r>
        <w:rPr>
          <w:rFonts w:hint="eastAsia"/>
        </w:rPr>
        <w:t>十四、国有资本经营预算财政拨款支出决算表</w:t>
      </w:r>
      <w:bookmarkEnd w:id="108"/>
    </w:p>
    <w:sectPr>
      <w:headerReference r:id="rId3" w:type="default"/>
      <w:footerReference r:id="rId4" w:type="default"/>
      <w:pgSz w:w="11906" w:h="16838"/>
      <w:pgMar w:top="2098" w:right="1474" w:bottom="1985" w:left="1588" w:header="851" w:footer="992" w:gutter="0"/>
      <w:pgNumType w:start="1"/>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A0204"/>
    <w:charset w:val="00"/>
    <w:family w:val="roman"/>
    <w:pitch w:val="default"/>
    <w:sig w:usb0="E00002FF" w:usb1="4000045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auto"/>
    <w:pitch w:val="default"/>
    <w:sig w:usb0="00000000" w:usb1="00000000" w:usb2="00000019" w:usb3="00000000" w:csb0="000401FF" w:csb1="00000000"/>
  </w:font>
  <w:font w:name="方正大标宋_GBK">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EndPr>
      <w:rPr>
        <w:sz w:val="24"/>
      </w:rPr>
    </w:sdtEndPr>
    <w:sdtContent>
      <w:p>
        <w:pPr>
          <w:pStyle w:val="12"/>
          <w:jc w:val="center"/>
          <w:rPr>
            <w:sz w:val="24"/>
          </w:rPr>
        </w:pPr>
        <w:r>
          <w:rPr>
            <w:sz w:val="24"/>
          </w:rPr>
          <w:fldChar w:fldCharType="begin"/>
        </w:r>
        <w:r>
          <w:rPr>
            <w:sz w:val="24"/>
          </w:rPr>
          <w:instrText xml:space="preserve">PAGE   \* MERGEFORMAT</w:instrText>
        </w:r>
        <w:r>
          <w:rPr>
            <w:sz w:val="24"/>
          </w:rPr>
          <w:fldChar w:fldCharType="separate"/>
        </w:r>
        <w:r>
          <w:rPr>
            <w:sz w:val="24"/>
            <w:lang w:val="zh-CN"/>
          </w:rPr>
          <w:t>21</w:t>
        </w:r>
        <w:r>
          <w:rPr>
            <w:sz w:val="24"/>
          </w:rP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lODBkY2Q0YmYwNzE3NWZjMDU1YzQxMjFhZjdhMDMifQ=="/>
  </w:docVars>
  <w:rsids>
    <w:rsidRoot w:val="00F1361C"/>
    <w:rsid w:val="000222C6"/>
    <w:rsid w:val="0002549F"/>
    <w:rsid w:val="000468DB"/>
    <w:rsid w:val="0006487A"/>
    <w:rsid w:val="00065F8F"/>
    <w:rsid w:val="00070A43"/>
    <w:rsid w:val="000768F2"/>
    <w:rsid w:val="00081B48"/>
    <w:rsid w:val="0009184B"/>
    <w:rsid w:val="00094236"/>
    <w:rsid w:val="0009593C"/>
    <w:rsid w:val="00096087"/>
    <w:rsid w:val="00097322"/>
    <w:rsid w:val="000A6A92"/>
    <w:rsid w:val="000B047F"/>
    <w:rsid w:val="000B5923"/>
    <w:rsid w:val="000B5A48"/>
    <w:rsid w:val="000B6FF3"/>
    <w:rsid w:val="000C3467"/>
    <w:rsid w:val="000C3CA6"/>
    <w:rsid w:val="000D1267"/>
    <w:rsid w:val="000D1D50"/>
    <w:rsid w:val="000D5782"/>
    <w:rsid w:val="000D702C"/>
    <w:rsid w:val="000E6613"/>
    <w:rsid w:val="000E7119"/>
    <w:rsid w:val="00114E9B"/>
    <w:rsid w:val="00142216"/>
    <w:rsid w:val="00144D6A"/>
    <w:rsid w:val="0014729F"/>
    <w:rsid w:val="00157BAB"/>
    <w:rsid w:val="001654D1"/>
    <w:rsid w:val="00174518"/>
    <w:rsid w:val="0018106D"/>
    <w:rsid w:val="001877A7"/>
    <w:rsid w:val="00191536"/>
    <w:rsid w:val="00196687"/>
    <w:rsid w:val="001A1EEB"/>
    <w:rsid w:val="001A3B5B"/>
    <w:rsid w:val="001C0962"/>
    <w:rsid w:val="001D7531"/>
    <w:rsid w:val="001E66D2"/>
    <w:rsid w:val="001E737D"/>
    <w:rsid w:val="001F0592"/>
    <w:rsid w:val="001F7506"/>
    <w:rsid w:val="002006CD"/>
    <w:rsid w:val="00202B36"/>
    <w:rsid w:val="00204B7A"/>
    <w:rsid w:val="00204CDE"/>
    <w:rsid w:val="0021101A"/>
    <w:rsid w:val="00220536"/>
    <w:rsid w:val="00235629"/>
    <w:rsid w:val="00260C38"/>
    <w:rsid w:val="002616C0"/>
    <w:rsid w:val="00262D28"/>
    <w:rsid w:val="00265372"/>
    <w:rsid w:val="002662AA"/>
    <w:rsid w:val="00280496"/>
    <w:rsid w:val="00294DC9"/>
    <w:rsid w:val="00295495"/>
    <w:rsid w:val="002A31DE"/>
    <w:rsid w:val="002B2613"/>
    <w:rsid w:val="002D6D05"/>
    <w:rsid w:val="002D71EA"/>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F3334"/>
    <w:rsid w:val="00406254"/>
    <w:rsid w:val="004223DE"/>
    <w:rsid w:val="00434489"/>
    <w:rsid w:val="00437085"/>
    <w:rsid w:val="00443880"/>
    <w:rsid w:val="004464F4"/>
    <w:rsid w:val="00471401"/>
    <w:rsid w:val="00473F31"/>
    <w:rsid w:val="0048263A"/>
    <w:rsid w:val="00485175"/>
    <w:rsid w:val="00487E5D"/>
    <w:rsid w:val="004A711F"/>
    <w:rsid w:val="004B199D"/>
    <w:rsid w:val="004B4690"/>
    <w:rsid w:val="004B4DBB"/>
    <w:rsid w:val="004E0A2D"/>
    <w:rsid w:val="004E206B"/>
    <w:rsid w:val="004E6DF7"/>
    <w:rsid w:val="004F0FBD"/>
    <w:rsid w:val="00505A47"/>
    <w:rsid w:val="00512FDA"/>
    <w:rsid w:val="00520DA0"/>
    <w:rsid w:val="0055316B"/>
    <w:rsid w:val="00555EAC"/>
    <w:rsid w:val="005664BB"/>
    <w:rsid w:val="00566FFA"/>
    <w:rsid w:val="0057481D"/>
    <w:rsid w:val="0058486E"/>
    <w:rsid w:val="00585B33"/>
    <w:rsid w:val="0059014D"/>
    <w:rsid w:val="005A7983"/>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7A03"/>
    <w:rsid w:val="0066343B"/>
    <w:rsid w:val="00664777"/>
    <w:rsid w:val="006748A4"/>
    <w:rsid w:val="006758B9"/>
    <w:rsid w:val="00681A31"/>
    <w:rsid w:val="00683E73"/>
    <w:rsid w:val="006A3141"/>
    <w:rsid w:val="006A5E34"/>
    <w:rsid w:val="006B2422"/>
    <w:rsid w:val="006B2B9A"/>
    <w:rsid w:val="006C1937"/>
    <w:rsid w:val="006F020C"/>
    <w:rsid w:val="006F1CCB"/>
    <w:rsid w:val="007127B7"/>
    <w:rsid w:val="0071798E"/>
    <w:rsid w:val="007416B6"/>
    <w:rsid w:val="00746F48"/>
    <w:rsid w:val="0075404D"/>
    <w:rsid w:val="0076182A"/>
    <w:rsid w:val="00767B7E"/>
    <w:rsid w:val="00772407"/>
    <w:rsid w:val="007770C3"/>
    <w:rsid w:val="00784D24"/>
    <w:rsid w:val="00785FBA"/>
    <w:rsid w:val="00786E4A"/>
    <w:rsid w:val="007875EB"/>
    <w:rsid w:val="0079426B"/>
    <w:rsid w:val="007A2575"/>
    <w:rsid w:val="007C1A47"/>
    <w:rsid w:val="007D1682"/>
    <w:rsid w:val="007D312A"/>
    <w:rsid w:val="007D3F19"/>
    <w:rsid w:val="007E23B0"/>
    <w:rsid w:val="007E23E5"/>
    <w:rsid w:val="007F0882"/>
    <w:rsid w:val="007F1991"/>
    <w:rsid w:val="007F2C2F"/>
    <w:rsid w:val="007F36D9"/>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23CE"/>
    <w:rsid w:val="008939CD"/>
    <w:rsid w:val="008A5ABA"/>
    <w:rsid w:val="008B768C"/>
    <w:rsid w:val="008B7CDF"/>
    <w:rsid w:val="008C4DB1"/>
    <w:rsid w:val="008C4EAF"/>
    <w:rsid w:val="008C5176"/>
    <w:rsid w:val="008C7FD0"/>
    <w:rsid w:val="008D4306"/>
    <w:rsid w:val="008E1DE7"/>
    <w:rsid w:val="008E707C"/>
    <w:rsid w:val="008F3B21"/>
    <w:rsid w:val="00900B08"/>
    <w:rsid w:val="00902155"/>
    <w:rsid w:val="00902FA3"/>
    <w:rsid w:val="00923564"/>
    <w:rsid w:val="0092392E"/>
    <w:rsid w:val="009315F9"/>
    <w:rsid w:val="00933499"/>
    <w:rsid w:val="00935C98"/>
    <w:rsid w:val="00935FDA"/>
    <w:rsid w:val="00946945"/>
    <w:rsid w:val="00951248"/>
    <w:rsid w:val="0095152F"/>
    <w:rsid w:val="00954BE9"/>
    <w:rsid w:val="00954C49"/>
    <w:rsid w:val="00955E37"/>
    <w:rsid w:val="0097099F"/>
    <w:rsid w:val="00971997"/>
    <w:rsid w:val="00971E2A"/>
    <w:rsid w:val="00971FFC"/>
    <w:rsid w:val="0098660A"/>
    <w:rsid w:val="009931C3"/>
    <w:rsid w:val="009B2C43"/>
    <w:rsid w:val="009B4EAE"/>
    <w:rsid w:val="009B7573"/>
    <w:rsid w:val="009C0F2A"/>
    <w:rsid w:val="009C22F4"/>
    <w:rsid w:val="009C2A4B"/>
    <w:rsid w:val="009C2E98"/>
    <w:rsid w:val="009D3447"/>
    <w:rsid w:val="009D4711"/>
    <w:rsid w:val="009F1185"/>
    <w:rsid w:val="009F18CD"/>
    <w:rsid w:val="009F2A13"/>
    <w:rsid w:val="009F6ABA"/>
    <w:rsid w:val="009F7527"/>
    <w:rsid w:val="00A04EB0"/>
    <w:rsid w:val="00A13CC1"/>
    <w:rsid w:val="00A16847"/>
    <w:rsid w:val="00A237D8"/>
    <w:rsid w:val="00A25C0A"/>
    <w:rsid w:val="00A268C4"/>
    <w:rsid w:val="00A307CD"/>
    <w:rsid w:val="00A331C8"/>
    <w:rsid w:val="00A40A00"/>
    <w:rsid w:val="00A4142F"/>
    <w:rsid w:val="00A422EB"/>
    <w:rsid w:val="00A45BB7"/>
    <w:rsid w:val="00A56DF2"/>
    <w:rsid w:val="00A56E6E"/>
    <w:rsid w:val="00A67AB5"/>
    <w:rsid w:val="00A733B2"/>
    <w:rsid w:val="00A741C2"/>
    <w:rsid w:val="00A807E6"/>
    <w:rsid w:val="00A819B6"/>
    <w:rsid w:val="00A91760"/>
    <w:rsid w:val="00A93B00"/>
    <w:rsid w:val="00A93C21"/>
    <w:rsid w:val="00A9610F"/>
    <w:rsid w:val="00AB64C9"/>
    <w:rsid w:val="00AC3C6A"/>
    <w:rsid w:val="00AD5620"/>
    <w:rsid w:val="00AD656B"/>
    <w:rsid w:val="00AD7C1B"/>
    <w:rsid w:val="00AE16BA"/>
    <w:rsid w:val="00AE1EBE"/>
    <w:rsid w:val="00B03C9D"/>
    <w:rsid w:val="00B060AE"/>
    <w:rsid w:val="00B10517"/>
    <w:rsid w:val="00B14A09"/>
    <w:rsid w:val="00B14E76"/>
    <w:rsid w:val="00B161B8"/>
    <w:rsid w:val="00B2048C"/>
    <w:rsid w:val="00B310B9"/>
    <w:rsid w:val="00B31A85"/>
    <w:rsid w:val="00B32015"/>
    <w:rsid w:val="00B35F3F"/>
    <w:rsid w:val="00B36CBB"/>
    <w:rsid w:val="00B425E0"/>
    <w:rsid w:val="00B440AA"/>
    <w:rsid w:val="00B44B70"/>
    <w:rsid w:val="00B53C56"/>
    <w:rsid w:val="00B57DAF"/>
    <w:rsid w:val="00B77EA6"/>
    <w:rsid w:val="00B81598"/>
    <w:rsid w:val="00B841F1"/>
    <w:rsid w:val="00B84914"/>
    <w:rsid w:val="00B944D6"/>
    <w:rsid w:val="00BB4DF0"/>
    <w:rsid w:val="00BC289F"/>
    <w:rsid w:val="00BC2D50"/>
    <w:rsid w:val="00BC5361"/>
    <w:rsid w:val="00BC5460"/>
    <w:rsid w:val="00BC6B50"/>
    <w:rsid w:val="00BD0E25"/>
    <w:rsid w:val="00BF5BD6"/>
    <w:rsid w:val="00C03E31"/>
    <w:rsid w:val="00C33E72"/>
    <w:rsid w:val="00C354B2"/>
    <w:rsid w:val="00C35554"/>
    <w:rsid w:val="00C40748"/>
    <w:rsid w:val="00C42709"/>
    <w:rsid w:val="00C533CC"/>
    <w:rsid w:val="00C5751C"/>
    <w:rsid w:val="00C61BFC"/>
    <w:rsid w:val="00C62B85"/>
    <w:rsid w:val="00C65438"/>
    <w:rsid w:val="00C776EC"/>
    <w:rsid w:val="00C80DAE"/>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4F29"/>
    <w:rsid w:val="00D51276"/>
    <w:rsid w:val="00D7035F"/>
    <w:rsid w:val="00D826E3"/>
    <w:rsid w:val="00D90142"/>
    <w:rsid w:val="00DA634F"/>
    <w:rsid w:val="00DA65AC"/>
    <w:rsid w:val="00DB1913"/>
    <w:rsid w:val="00DC0990"/>
    <w:rsid w:val="00DC3D01"/>
    <w:rsid w:val="00DC410D"/>
    <w:rsid w:val="00DC5A81"/>
    <w:rsid w:val="00DC68CA"/>
    <w:rsid w:val="00DC7CBA"/>
    <w:rsid w:val="00DD1A20"/>
    <w:rsid w:val="00DD21EB"/>
    <w:rsid w:val="00DD4261"/>
    <w:rsid w:val="00DD73B7"/>
    <w:rsid w:val="00DF28BC"/>
    <w:rsid w:val="00DF2C1F"/>
    <w:rsid w:val="00DF34B9"/>
    <w:rsid w:val="00E01053"/>
    <w:rsid w:val="00E07ACF"/>
    <w:rsid w:val="00E21BBD"/>
    <w:rsid w:val="00E331A1"/>
    <w:rsid w:val="00E33202"/>
    <w:rsid w:val="00E336A9"/>
    <w:rsid w:val="00E472B1"/>
    <w:rsid w:val="00E50624"/>
    <w:rsid w:val="00E568DF"/>
    <w:rsid w:val="00E64269"/>
    <w:rsid w:val="00E82267"/>
    <w:rsid w:val="00E853CE"/>
    <w:rsid w:val="00E867B6"/>
    <w:rsid w:val="00EA010F"/>
    <w:rsid w:val="00EB3F31"/>
    <w:rsid w:val="00ED1B63"/>
    <w:rsid w:val="00ED3C1F"/>
    <w:rsid w:val="00ED4085"/>
    <w:rsid w:val="00ED420E"/>
    <w:rsid w:val="00ED6FBE"/>
    <w:rsid w:val="00EE2F57"/>
    <w:rsid w:val="00EE47CB"/>
    <w:rsid w:val="00EF3E73"/>
    <w:rsid w:val="00EF4C34"/>
    <w:rsid w:val="00EF77C6"/>
    <w:rsid w:val="00F035D5"/>
    <w:rsid w:val="00F05438"/>
    <w:rsid w:val="00F1361C"/>
    <w:rsid w:val="00F156F0"/>
    <w:rsid w:val="00F160C7"/>
    <w:rsid w:val="00F2408F"/>
    <w:rsid w:val="00F240E9"/>
    <w:rsid w:val="00F36D8F"/>
    <w:rsid w:val="00F4044E"/>
    <w:rsid w:val="00F417B1"/>
    <w:rsid w:val="00F45853"/>
    <w:rsid w:val="00F602DF"/>
    <w:rsid w:val="00F754A1"/>
    <w:rsid w:val="00F75DF4"/>
    <w:rsid w:val="00F81FD9"/>
    <w:rsid w:val="00F841AA"/>
    <w:rsid w:val="00F84A94"/>
    <w:rsid w:val="00F87E96"/>
    <w:rsid w:val="00FA23E8"/>
    <w:rsid w:val="00FA7740"/>
    <w:rsid w:val="00FB1E06"/>
    <w:rsid w:val="00FB423E"/>
    <w:rsid w:val="00FD2AC7"/>
    <w:rsid w:val="00FD3CC1"/>
    <w:rsid w:val="00FE5765"/>
    <w:rsid w:val="00FF1E02"/>
    <w:rsid w:val="00FF30B4"/>
    <w:rsid w:val="0351574A"/>
    <w:rsid w:val="07BE007D"/>
    <w:rsid w:val="0A2032A3"/>
    <w:rsid w:val="0B8A37D8"/>
    <w:rsid w:val="0F20786F"/>
    <w:rsid w:val="10C055FF"/>
    <w:rsid w:val="118107EC"/>
    <w:rsid w:val="11DD6519"/>
    <w:rsid w:val="16BB723D"/>
    <w:rsid w:val="18015F3F"/>
    <w:rsid w:val="1BE13EE2"/>
    <w:rsid w:val="1BE8440E"/>
    <w:rsid w:val="1D155CEE"/>
    <w:rsid w:val="20F57F95"/>
    <w:rsid w:val="23000C34"/>
    <w:rsid w:val="240371BF"/>
    <w:rsid w:val="253D426E"/>
    <w:rsid w:val="25C741E6"/>
    <w:rsid w:val="270417E3"/>
    <w:rsid w:val="27842671"/>
    <w:rsid w:val="29A30B6B"/>
    <w:rsid w:val="29FD04D3"/>
    <w:rsid w:val="2ABE7A3E"/>
    <w:rsid w:val="2EFA178C"/>
    <w:rsid w:val="30B46D73"/>
    <w:rsid w:val="319F7F4E"/>
    <w:rsid w:val="35234C2C"/>
    <w:rsid w:val="390F7E89"/>
    <w:rsid w:val="39AE70AB"/>
    <w:rsid w:val="3C0C0783"/>
    <w:rsid w:val="3F3D5750"/>
    <w:rsid w:val="3F795B0E"/>
    <w:rsid w:val="3F9F3A96"/>
    <w:rsid w:val="44B722DC"/>
    <w:rsid w:val="493C27E9"/>
    <w:rsid w:val="496F39ED"/>
    <w:rsid w:val="49FF41D3"/>
    <w:rsid w:val="4A185DC8"/>
    <w:rsid w:val="4BE068DB"/>
    <w:rsid w:val="4BF6002B"/>
    <w:rsid w:val="4ECE2238"/>
    <w:rsid w:val="51DB4B86"/>
    <w:rsid w:val="55333C3E"/>
    <w:rsid w:val="598D235A"/>
    <w:rsid w:val="5B751A8B"/>
    <w:rsid w:val="64CA39A1"/>
    <w:rsid w:val="65EB11B2"/>
    <w:rsid w:val="6C4A05C8"/>
    <w:rsid w:val="720158B9"/>
    <w:rsid w:val="72734D90"/>
    <w:rsid w:val="79E7B28D"/>
    <w:rsid w:val="7ABE4C8F"/>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2"/>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link w:val="33"/>
    <w:unhideWhenUsed/>
    <w:qFormat/>
    <w:uiPriority w:val="9"/>
    <w:pPr>
      <w:keepNext/>
      <w:keepLines/>
      <w:spacing w:line="576" w:lineRule="exact"/>
      <w:ind w:firstLine="640" w:firstLineChars="200"/>
      <w:outlineLvl w:val="1"/>
    </w:pPr>
    <w:rPr>
      <w:rFonts w:eastAsia="黑体" w:asciiTheme="majorHAnsi" w:hAnsiTheme="majorHAnsi" w:cstheme="majorBidi"/>
      <w:bCs/>
      <w:sz w:val="32"/>
      <w:szCs w:val="32"/>
      <w:shd w:val="clear" w:color="auto" w:fill="FFFFFF"/>
      <w:lang w:val="zh-CN"/>
    </w:rPr>
  </w:style>
  <w:style w:type="paragraph" w:styleId="4">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uiPriority w:val="39"/>
    <w:pPr>
      <w:ind w:left="1260"/>
    </w:pPr>
    <w:rPr>
      <w:rFonts w:asciiTheme="minorHAnsi" w:hAnsiTheme="minorHAnsi" w:cstheme="minorHAnsi"/>
      <w:sz w:val="18"/>
      <w:szCs w:val="18"/>
    </w:rPr>
  </w:style>
  <w:style w:type="paragraph" w:styleId="6">
    <w:name w:val="Salutation"/>
    <w:basedOn w:val="1"/>
    <w:next w:val="1"/>
    <w:qFormat/>
    <w:uiPriority w:val="0"/>
  </w:style>
  <w:style w:type="paragraph" w:styleId="7">
    <w:name w:val="Body Text"/>
    <w:basedOn w:val="1"/>
    <w:link w:val="29"/>
    <w:qFormat/>
    <w:uiPriority w:val="99"/>
    <w:pPr>
      <w:spacing w:beforeLines="30"/>
    </w:pPr>
    <w:rPr>
      <w:rFonts w:ascii="仿宋_GB2312" w:eastAsia="仿宋_GB2312"/>
      <w:sz w:val="30"/>
    </w:rPr>
  </w:style>
  <w:style w:type="paragraph" w:styleId="8">
    <w:name w:val="toc 5"/>
    <w:basedOn w:val="1"/>
    <w:next w:val="1"/>
    <w:unhideWhenUsed/>
    <w:uiPriority w:val="39"/>
    <w:pPr>
      <w:ind w:left="840"/>
    </w:pPr>
    <w:rPr>
      <w:rFonts w:asciiTheme="minorHAnsi" w:hAnsiTheme="minorHAnsi" w:cstheme="minorHAnsi"/>
      <w:sz w:val="18"/>
      <w:szCs w:val="18"/>
    </w:rPr>
  </w:style>
  <w:style w:type="paragraph" w:styleId="9">
    <w:name w:val="toc 3"/>
    <w:basedOn w:val="1"/>
    <w:next w:val="1"/>
    <w:unhideWhenUsed/>
    <w:qFormat/>
    <w:uiPriority w:val="39"/>
    <w:pPr>
      <w:ind w:left="420"/>
    </w:pPr>
    <w:rPr>
      <w:rFonts w:asciiTheme="minorHAnsi" w:hAnsiTheme="minorHAnsi" w:cstheme="minorHAnsi"/>
      <w:i/>
      <w:iCs/>
      <w:sz w:val="20"/>
      <w:szCs w:val="20"/>
    </w:rPr>
  </w:style>
  <w:style w:type="paragraph" w:styleId="10">
    <w:name w:val="toc 8"/>
    <w:basedOn w:val="1"/>
    <w:next w:val="1"/>
    <w:unhideWhenUsed/>
    <w:uiPriority w:val="39"/>
    <w:pPr>
      <w:ind w:left="1470"/>
    </w:pPr>
    <w:rPr>
      <w:rFonts w:asciiTheme="minorHAnsi" w:hAnsiTheme="minorHAnsi" w:cstheme="minorHAnsi"/>
      <w:sz w:val="18"/>
      <w:szCs w:val="18"/>
    </w:rPr>
  </w:style>
  <w:style w:type="paragraph" w:styleId="11">
    <w:name w:val="Balloon Text"/>
    <w:basedOn w:val="1"/>
    <w:link w:val="35"/>
    <w:semiHidden/>
    <w:unhideWhenUsed/>
    <w:qFormat/>
    <w:uiPriority w:val="99"/>
    <w:rPr>
      <w:sz w:val="18"/>
      <w:szCs w:val="18"/>
    </w:rPr>
  </w:style>
  <w:style w:type="paragraph" w:styleId="12">
    <w:name w:val="footer"/>
    <w:basedOn w:val="1"/>
    <w:link w:val="27"/>
    <w:qFormat/>
    <w:uiPriority w:val="99"/>
    <w:pPr>
      <w:tabs>
        <w:tab w:val="center" w:pos="4153"/>
        <w:tab w:val="right" w:pos="8306"/>
      </w:tabs>
      <w:snapToGrid w:val="0"/>
    </w:pPr>
    <w:rPr>
      <w:rFonts w:ascii="Calibri" w:hAnsi="Calibri"/>
      <w:sz w:val="18"/>
      <w:szCs w:val="18"/>
    </w:rPr>
  </w:style>
  <w:style w:type="paragraph" w:styleId="13">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toc 1"/>
    <w:basedOn w:val="1"/>
    <w:next w:val="1"/>
    <w:unhideWhenUsed/>
    <w:qFormat/>
    <w:uiPriority w:val="39"/>
    <w:pPr>
      <w:spacing w:before="120" w:after="120"/>
    </w:pPr>
    <w:rPr>
      <w:rFonts w:asciiTheme="minorHAnsi" w:hAnsiTheme="minorHAnsi" w:cstheme="minorHAnsi"/>
      <w:b/>
      <w:bCs/>
      <w:caps/>
      <w:sz w:val="20"/>
      <w:szCs w:val="20"/>
    </w:rPr>
  </w:style>
  <w:style w:type="paragraph" w:styleId="15">
    <w:name w:val="toc 4"/>
    <w:basedOn w:val="1"/>
    <w:next w:val="1"/>
    <w:unhideWhenUsed/>
    <w:uiPriority w:val="39"/>
    <w:pPr>
      <w:ind w:left="630"/>
    </w:pPr>
    <w:rPr>
      <w:rFonts w:asciiTheme="minorHAnsi" w:hAnsiTheme="minorHAnsi" w:cstheme="minorHAnsi"/>
      <w:sz w:val="18"/>
      <w:szCs w:val="18"/>
    </w:rPr>
  </w:style>
  <w:style w:type="paragraph" w:styleId="16">
    <w:name w:val="toc 6"/>
    <w:basedOn w:val="1"/>
    <w:next w:val="1"/>
    <w:unhideWhenUsed/>
    <w:uiPriority w:val="39"/>
    <w:pPr>
      <w:ind w:left="1050"/>
    </w:pPr>
    <w:rPr>
      <w:rFonts w:asciiTheme="minorHAnsi" w:hAnsiTheme="minorHAnsi" w:cstheme="minorHAnsi"/>
      <w:sz w:val="18"/>
      <w:szCs w:val="18"/>
    </w:rPr>
  </w:style>
  <w:style w:type="paragraph" w:styleId="17">
    <w:name w:val="toc 2"/>
    <w:basedOn w:val="1"/>
    <w:next w:val="1"/>
    <w:unhideWhenUsed/>
    <w:qFormat/>
    <w:uiPriority w:val="39"/>
    <w:pPr>
      <w:ind w:left="210"/>
    </w:pPr>
    <w:rPr>
      <w:rFonts w:asciiTheme="minorHAnsi" w:hAnsiTheme="minorHAnsi" w:cstheme="minorHAnsi"/>
      <w:smallCaps/>
      <w:sz w:val="20"/>
      <w:szCs w:val="20"/>
    </w:rPr>
  </w:style>
  <w:style w:type="paragraph" w:styleId="18">
    <w:name w:val="toc 9"/>
    <w:basedOn w:val="1"/>
    <w:next w:val="1"/>
    <w:unhideWhenUsed/>
    <w:uiPriority w:val="39"/>
    <w:pPr>
      <w:ind w:left="1680"/>
    </w:pPr>
    <w:rPr>
      <w:rFonts w:asciiTheme="minorHAnsi" w:hAnsiTheme="minorHAnsi" w:cstheme="minorHAnsi"/>
      <w:sz w:val="18"/>
      <w:szCs w:val="18"/>
    </w:rPr>
  </w:style>
  <w:style w:type="paragraph" w:styleId="19">
    <w:name w:val="Normal (Web)"/>
    <w:basedOn w:val="1"/>
    <w:unhideWhenUsed/>
    <w:qFormat/>
    <w:uiPriority w:val="99"/>
    <w:pPr>
      <w:spacing w:before="100" w:beforeAutospacing="1" w:after="100" w:afterAutospacing="1"/>
    </w:pPr>
  </w:style>
  <w:style w:type="character" w:styleId="22">
    <w:name w:val="Strong"/>
    <w:basedOn w:val="21"/>
    <w:qFormat/>
    <w:uiPriority w:val="99"/>
    <w:rPr>
      <w:b/>
    </w:rPr>
  </w:style>
  <w:style w:type="character" w:styleId="23">
    <w:name w:val="Hyperlink"/>
    <w:basedOn w:val="21"/>
    <w:unhideWhenUsed/>
    <w:qFormat/>
    <w:uiPriority w:val="99"/>
    <w:rPr>
      <w:color w:val="0000FF" w:themeColor="hyperlink"/>
      <w:u w:val="single"/>
      <w14:textFill>
        <w14:solidFill>
          <w14:schemeClr w14:val="hlink"/>
        </w14:solidFill>
      </w14:textFill>
    </w:rPr>
  </w:style>
  <w:style w:type="character" w:customStyle="1" w:styleId="24">
    <w:name w:val="Header Char"/>
    <w:basedOn w:val="21"/>
    <w:semiHidden/>
    <w:qFormat/>
    <w:uiPriority w:val="99"/>
    <w:rPr>
      <w:rFonts w:ascii="Times New Roman" w:hAnsi="Times New Roman"/>
      <w:sz w:val="18"/>
      <w:szCs w:val="18"/>
    </w:rPr>
  </w:style>
  <w:style w:type="character" w:customStyle="1" w:styleId="25">
    <w:name w:val="页眉 Char"/>
    <w:link w:val="13"/>
    <w:semiHidden/>
    <w:qFormat/>
    <w:locked/>
    <w:uiPriority w:val="99"/>
    <w:rPr>
      <w:sz w:val="18"/>
    </w:rPr>
  </w:style>
  <w:style w:type="character" w:customStyle="1" w:styleId="26">
    <w:name w:val="Footer Char"/>
    <w:basedOn w:val="21"/>
    <w:semiHidden/>
    <w:qFormat/>
    <w:uiPriority w:val="99"/>
    <w:rPr>
      <w:rFonts w:ascii="Times New Roman" w:hAnsi="Times New Roman"/>
      <w:sz w:val="18"/>
      <w:szCs w:val="18"/>
    </w:rPr>
  </w:style>
  <w:style w:type="character" w:customStyle="1" w:styleId="27">
    <w:name w:val="页脚 Char"/>
    <w:link w:val="12"/>
    <w:qFormat/>
    <w:locked/>
    <w:uiPriority w:val="99"/>
    <w:rPr>
      <w:sz w:val="18"/>
    </w:rPr>
  </w:style>
  <w:style w:type="character" w:customStyle="1" w:styleId="28">
    <w:name w:val="Body Text Char"/>
    <w:basedOn w:val="21"/>
    <w:semiHidden/>
    <w:qFormat/>
    <w:uiPriority w:val="99"/>
    <w:rPr>
      <w:rFonts w:ascii="Times New Roman" w:hAnsi="Times New Roman"/>
      <w:szCs w:val="24"/>
    </w:rPr>
  </w:style>
  <w:style w:type="character" w:customStyle="1" w:styleId="29">
    <w:name w:val="正文文本 Char"/>
    <w:link w:val="7"/>
    <w:qFormat/>
    <w:locked/>
    <w:uiPriority w:val="99"/>
    <w:rPr>
      <w:rFonts w:ascii="仿宋_GB2312" w:hAnsi="Times New Roman" w:eastAsia="仿宋_GB2312"/>
      <w:sz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1">
    <w:name w:val="List Paragraph"/>
    <w:basedOn w:val="1"/>
    <w:qFormat/>
    <w:uiPriority w:val="34"/>
    <w:pPr>
      <w:ind w:firstLine="420" w:firstLineChars="200"/>
    </w:pPr>
  </w:style>
  <w:style w:type="character" w:customStyle="1" w:styleId="32">
    <w:name w:val="标题 1 Char"/>
    <w:basedOn w:val="21"/>
    <w:link w:val="2"/>
    <w:qFormat/>
    <w:uiPriority w:val="9"/>
    <w:rPr>
      <w:rFonts w:ascii="Times New Roman" w:hAnsi="Times New Roman" w:eastAsia="黑体"/>
      <w:b/>
      <w:bCs/>
      <w:kern w:val="44"/>
      <w:sz w:val="44"/>
      <w:szCs w:val="44"/>
    </w:rPr>
  </w:style>
  <w:style w:type="character" w:customStyle="1" w:styleId="33">
    <w:name w:val="标题 2 Char"/>
    <w:basedOn w:val="21"/>
    <w:link w:val="3"/>
    <w:qFormat/>
    <w:uiPriority w:val="9"/>
    <w:rPr>
      <w:rFonts w:eastAsia="黑体" w:asciiTheme="majorHAnsi" w:hAnsiTheme="majorHAnsi" w:cstheme="majorBidi"/>
      <w:bCs/>
      <w:kern w:val="2"/>
      <w:sz w:val="32"/>
      <w:szCs w:val="32"/>
      <w:lang w:val="zh-CN"/>
    </w:rPr>
  </w:style>
  <w:style w:type="paragraph" w:customStyle="1" w:styleId="34">
    <w:name w:val="TOC 标题1"/>
    <w:basedOn w:val="2"/>
    <w:next w:val="1"/>
    <w:unhideWhenUsed/>
    <w:qFormat/>
    <w:uiPriority w:val="39"/>
    <w:pPr>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批注框文本 Char"/>
    <w:basedOn w:val="21"/>
    <w:link w:val="11"/>
    <w:semiHidden/>
    <w:qFormat/>
    <w:uiPriority w:val="99"/>
    <w:rPr>
      <w:rFonts w:ascii="Times New Roman" w:hAnsi="Times New Roman"/>
      <w:kern w:val="2"/>
      <w:sz w:val="18"/>
      <w:szCs w:val="18"/>
    </w:rPr>
  </w:style>
  <w:style w:type="character" w:customStyle="1" w:styleId="36">
    <w:name w:val="标题 3 Char"/>
    <w:basedOn w:val="21"/>
    <w:link w:val="4"/>
    <w:qFormat/>
    <w:uiPriority w:val="9"/>
    <w:rPr>
      <w:rFonts w:ascii="Times New Roman" w:hAnsi="Times New Roman"/>
      <w:b/>
      <w:bCs/>
      <w:kern w:val="2"/>
      <w:sz w:val="32"/>
      <w:szCs w:val="32"/>
    </w:rPr>
  </w:style>
  <w:style w:type="paragraph" w:customStyle="1" w:styleId="37">
    <w:name w:val="TOC 标题2"/>
    <w:basedOn w:val="2"/>
    <w:next w:val="1"/>
    <w:unhideWhenUsed/>
    <w:qFormat/>
    <w:uiPriority w:val="39"/>
    <w:pPr>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8">
    <w:name w:val="font71"/>
    <w:basedOn w:val="21"/>
    <w:qFormat/>
    <w:uiPriority w:val="0"/>
    <w:rPr>
      <w:rFonts w:hint="default" w:ascii="Arial" w:hAnsi="Arial" w:cs="Arial"/>
      <w:color w:val="000000"/>
      <w:sz w:val="18"/>
      <w:szCs w:val="18"/>
      <w:u w:val="none"/>
    </w:rPr>
  </w:style>
  <w:style w:type="paragraph" w:customStyle="1" w:styleId="39">
    <w:name w:val="Body text|1"/>
    <w:basedOn w:val="1"/>
    <w:qFormat/>
    <w:uiPriority w:val="0"/>
    <w:pPr>
      <w:spacing w:line="422" w:lineRule="auto"/>
      <w:ind w:firstLine="400"/>
    </w:pPr>
    <w:rPr>
      <w:sz w:val="18"/>
      <w:szCs w:val="1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file:///C:\Users\Administrator.SC-201803121001\Desktop\&#26032;&#24314;%20XLS%20&#24037;&#20316;&#34920;.xls" TargetMode="External"/></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C:\Users\Administrator.SC-201803121001\Desktop\&#26032;&#24314;%20XLS%20&#24037;&#20316;&#34920;.xls" TargetMode="External"/></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oleObject" Target="file:///C:\Users\Administrator.SC-201803121001\Desktop\&#26032;&#24314;%20XLS%20&#24037;&#20316;&#34920;.xls" TargetMode="External"/></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oleObject" Target="file:///C:\Users\Administrator.SC-201803121001\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mn-cs"/>
              </a:defRPr>
            </a:pPr>
            <a:r>
              <a:rPr lang="zh-CN" altLang="en-US"/>
              <a:t>本年收入</a:t>
            </a:r>
            <a:r>
              <a:rPr lang="en-US" altLang="zh-CN"/>
              <a:t>141.88</a:t>
            </a:r>
            <a:r>
              <a:rPr lang="zh-CN" altLang="en-US"/>
              <a:t>万元</a:t>
            </a:r>
            <a:endParaRPr lang="zh-CN" altLang="en-US"/>
          </a:p>
        </c:rich>
      </c:tx>
      <c:layout/>
      <c:overlay val="0"/>
      <c:spPr>
        <a:noFill/>
        <a:ln>
          <a:noFill/>
        </a:ln>
        <a:effectLst/>
      </c:spPr>
    </c:title>
    <c:autoTitleDeleted val="0"/>
    <c:plotArea>
      <c:layout/>
      <c:pieChart>
        <c:varyColors val="1"/>
        <c:ser>
          <c:idx val="0"/>
          <c:order val="0"/>
          <c:spPr>
            <a:ln w="19050">
              <a:noFill/>
            </a:ln>
            <a:effectLst>
              <a:outerShdw blurRad="50800" dist="38100" dir="2700000" algn="tl" rotWithShape="0">
                <a:prstClr val="black">
                  <a:alpha val="40000"/>
                </a:prstClr>
              </a:outerShdw>
            </a:effectLst>
          </c:spPr>
          <c:explosion val="4"/>
          <c:dPt>
            <c:idx val="0"/>
            <c:bubble3D val="0"/>
            <c:explosion val="0"/>
            <c:spPr>
              <a:solidFill>
                <a:srgbClr val="C7C114"/>
              </a:solidFill>
              <a:ln w="19050">
                <a:noFill/>
              </a:ln>
              <a:effectLst>
                <a:outerShdw blurRad="50800" dist="38100" dir="2700000" algn="tl" rotWithShape="0">
                  <a:prstClr val="black">
                    <a:alpha val="40000"/>
                  </a:prstClr>
                </a:outerShdw>
              </a:effectLst>
            </c:spPr>
          </c:dPt>
          <c:dPt>
            <c:idx val="1"/>
            <c:bubble3D val="0"/>
            <c:explosion val="0"/>
            <c:spPr>
              <a:solidFill>
                <a:srgbClr val="77B50D"/>
              </a:solidFill>
              <a:ln w="19050">
                <a:noFill/>
              </a:ln>
              <a:effectLst>
                <a:outerShdw blurRad="50800" dist="38100" dir="2700000" algn="tl" rotWithShape="0">
                  <a:prstClr val="black">
                    <a:alpha val="40000"/>
                  </a:prstClr>
                </a:outerShdw>
              </a:effectLst>
            </c:spPr>
          </c:dPt>
          <c:dPt>
            <c:idx val="2"/>
            <c:bubble3D val="0"/>
            <c:explosion val="0"/>
            <c:spPr>
              <a:solidFill>
                <a:srgbClr val="2CA308"/>
              </a:solidFill>
              <a:ln w="19050">
                <a:noFill/>
              </a:ln>
              <a:effectLst>
                <a:outerShdw blurRad="50800" dist="38100" dir="2700000" algn="tl" rotWithShape="0">
                  <a:prstClr val="black">
                    <a:alpha val="40000"/>
                  </a:prstClr>
                </a:outerShdw>
              </a:effectLst>
            </c:spPr>
          </c:dPt>
          <c:dPt>
            <c:idx val="3"/>
            <c:bubble3D val="0"/>
            <c:explosion val="0"/>
            <c:spPr>
              <a:solidFill>
                <a:srgbClr val="03911B"/>
              </a:solidFill>
              <a:ln w="19050">
                <a:noFill/>
              </a:ln>
              <a:effectLst>
                <a:outerShdw blurRad="50800" dist="38100" dir="2700000" algn="tl" rotWithShape="0">
                  <a:prstClr val="black">
                    <a:alpha val="40000"/>
                  </a:prstClr>
                </a:outerShdw>
              </a:effectLst>
            </c:spPr>
          </c:dPt>
          <c:dPt>
            <c:idx val="4"/>
            <c:bubble3D val="0"/>
            <c:explosion val="0"/>
            <c:spPr>
              <a:solidFill>
                <a:srgbClr val="008248"/>
              </a:solidFill>
              <a:ln w="19050">
                <a:noFill/>
              </a:ln>
              <a:effectLst>
                <a:outerShdw blurRad="50800" dist="38100" dir="2700000" algn="tl" rotWithShape="0">
                  <a:prstClr val="black">
                    <a:alpha val="40000"/>
                  </a:prstClr>
                </a:outerShdw>
              </a:effectLst>
            </c:spPr>
          </c:dPt>
          <c:dPt>
            <c:idx val="5"/>
            <c:bubble3D val="0"/>
            <c:spPr>
              <a:solidFill>
                <a:schemeClr val="accent6"/>
              </a:solidFill>
              <a:ln w="19050">
                <a:noFill/>
              </a:ln>
              <a:effectLst>
                <a:outerShdw blurRad="50800" dist="38100" dir="2700000" algn="tl" rotWithShape="0">
                  <a:prstClr val="black">
                    <a:alpha val="40000"/>
                  </a:prstClr>
                </a:outerShdw>
              </a:effectLst>
            </c:spPr>
          </c:dPt>
          <c:dPt>
            <c:idx val="6"/>
            <c:bubble3D val="0"/>
            <c:spPr>
              <a:solidFill>
                <a:schemeClr val="accent1">
                  <a:lumMod val="60000"/>
                </a:schemeClr>
              </a:solidFill>
              <a:ln w="19050">
                <a:noFill/>
              </a:ln>
              <a:effectLst>
                <a:outerShdw blurRad="50800" dist="38100" dir="2700000" algn="tl" rotWithShape="0">
                  <a:prstClr val="black">
                    <a:alpha val="40000"/>
                  </a:prstClr>
                </a:outerShdw>
              </a:effectLst>
            </c:spPr>
          </c:dPt>
          <c:dPt>
            <c:idx val="7"/>
            <c:bubble3D val="0"/>
            <c:spPr>
              <a:solidFill>
                <a:schemeClr val="accent2">
                  <a:lumMod val="60000"/>
                </a:schemeClr>
              </a:solidFill>
              <a:ln w="19050">
                <a:noFill/>
              </a:ln>
              <a:effectLst>
                <a:outerShdw blurRad="50800" dist="38100" dir="2700000" algn="tl" rotWithShape="0">
                  <a:prstClr val="black">
                    <a:alpha val="40000"/>
                  </a:prstClr>
                </a:outerShdw>
              </a:effectLst>
            </c:spPr>
          </c:dPt>
          <c:dLbls>
            <c:delete val="1"/>
          </c:dLbls>
          <c:cat>
            <c:multiLvlStrRef>
              <c:f>'[新建 XLS 工作表.xls]Sheet1'!$F$9:$M$10</c:f>
              <c:multiLvlStrCache>
                <c:ptCount val="8"/>
                <c:lvl>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lvl>
                <c:lvl>
                  <c:pt idx="0">
                    <c:v>列1</c:v>
                  </c:pt>
                  <c:pt idx="1">
                    <c:v>列2</c:v>
                  </c:pt>
                  <c:pt idx="2">
                    <c:v>列3</c:v>
                  </c:pt>
                  <c:pt idx="3">
                    <c:v>列4</c:v>
                  </c:pt>
                  <c:pt idx="4">
                    <c:v>列5</c:v>
                  </c:pt>
                  <c:pt idx="5">
                    <c:v>列6</c:v>
                  </c:pt>
                  <c:pt idx="6">
                    <c:v>列7</c:v>
                  </c:pt>
                  <c:pt idx="7">
                    <c:v>列8</c:v>
                  </c:pt>
                </c:lvl>
              </c:multiLvlStrCache>
            </c:multiLvlStrRef>
          </c:cat>
          <c:val>
            <c:numRef>
              <c:f>'[新建 XLS 工作表.xls]Sheet1'!$F$11:$M$11</c:f>
              <c:numCache>
                <c:formatCode>0%</c:formatCode>
                <c:ptCount val="8"/>
                <c:pt idx="0">
                  <c:v>1</c:v>
                </c:pt>
                <c:pt idx="1" c:formatCode="General">
                  <c:v>0</c:v>
                </c:pt>
                <c:pt idx="2">
                  <c:v>0</c:v>
                </c:pt>
                <c:pt idx="3" c:formatCode="General">
                  <c:v>0</c:v>
                </c:pt>
                <c:pt idx="4" c:formatCode="General">
                  <c:v>0</c:v>
                </c:pt>
                <c:pt idx="5" c:formatCode="General">
                  <c:v>0</c:v>
                </c:pt>
                <c:pt idx="6" c:formatCode="General">
                  <c:v>0</c:v>
                </c:pt>
                <c:pt idx="7" c:formatCode="General">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gradFill flip="none" rotWithShape="1">
      <a:gsLst>
        <a:gs pos="0">
          <a:schemeClr val="bg1">
            <a:lumMod val="95000"/>
          </a:schemeClr>
        </a:gs>
        <a:gs pos="100000">
          <a:schemeClr val="bg1">
            <a:lumMod val="50000"/>
          </a:schemeClr>
        </a:gs>
      </a:gsLst>
      <a:path path="circle">
        <a:fillToRect l="50000" t="50000" r="50000" b="50000"/>
      </a:path>
      <a:tileRect/>
    </a:gra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1" i="0" u="none" strike="noStrike" kern="1200" baseline="0">
                <a:solidFill>
                  <a:schemeClr val="dk1">
                    <a:lumMod val="75000"/>
                    <a:lumOff val="25000"/>
                  </a:schemeClr>
                </a:solidFill>
                <a:latin typeface="+mn-lt"/>
                <a:ea typeface="+mn-ea"/>
                <a:cs typeface="+mn-cs"/>
              </a:defRPr>
            </a:pPr>
            <a:r>
              <a:rPr lang="zh-CN" altLang="en-US"/>
              <a:t>本年支出</a:t>
            </a:r>
            <a:endParaRPr lang="zh-CN" altLang="en-US"/>
          </a:p>
        </c:rich>
      </c:tx>
      <c:layout/>
      <c:overlay val="0"/>
      <c:spPr>
        <a:noFill/>
        <a:ln>
          <a:noFill/>
        </a:ln>
        <a:effectLst/>
      </c:spPr>
    </c:title>
    <c:autoTitleDeleted val="0"/>
    <c:plotArea>
      <c:layout/>
      <c:pieChart>
        <c:varyColors val="1"/>
        <c:ser>
          <c:idx val="0"/>
          <c:order val="0"/>
          <c:explosion val="0"/>
          <c:dPt>
            <c:idx val="0"/>
            <c:bubble3D val="0"/>
            <c:spPr>
              <a:solidFill>
                <a:schemeClr val="accent1">
                  <a:shade val="53333"/>
                </a:schemeClr>
              </a:solidFill>
              <a:ln>
                <a:noFill/>
              </a:ln>
              <a:effectLst>
                <a:outerShdw blurRad="254000" sx="102000" sy="102000" algn="ctr" rotWithShape="0">
                  <a:prstClr val="black">
                    <a:alpha val="20000"/>
                  </a:prstClr>
                </a:outerShdw>
              </a:effectLst>
            </c:spPr>
          </c:dPt>
          <c:dPt>
            <c:idx val="1"/>
            <c:bubble3D val="0"/>
            <c:spPr>
              <a:solidFill>
                <a:schemeClr val="accent1">
                  <a:shade val="76667"/>
                </a:schemeClr>
              </a:solidFill>
              <a:ln>
                <a:noFill/>
              </a:ln>
              <a:effectLst>
                <a:outerShdw blurRad="254000" sx="102000" sy="102000" algn="ctr" rotWithShape="0">
                  <a:prstClr val="black">
                    <a:alpha val="20000"/>
                  </a:prstClr>
                </a:outerShdw>
              </a:effectLst>
            </c:spPr>
          </c:dPt>
          <c:dLbls>
            <c:delete val="1"/>
          </c:dLbls>
          <c:cat>
            <c:multiLvlStrRef>
              <c:f>'[新建 XLS 工作表.xls]Sheet1'!$G$9:$H$10</c:f>
              <c:multiLvlStrCache>
                <c:ptCount val="2"/>
                <c:lvl>
                  <c:pt idx="0">
                    <c:v>基本支出102.04万元</c:v>
                  </c:pt>
                  <c:pt idx="1">
                    <c:v>项目支出39.84万元</c:v>
                  </c:pt>
                </c:lvl>
                <c:lvl>
                  <c:pt idx="0">
                    <c:v>列1</c:v>
                  </c:pt>
                  <c:pt idx="1">
                    <c:v>列2</c:v>
                  </c:pt>
                </c:lvl>
              </c:multiLvlStrCache>
            </c:multiLvlStrRef>
          </c:cat>
          <c:val>
            <c:numRef>
              <c:f>'[新建 XLS 工作表.xls]Sheet1'!$G$11:$H$11</c:f>
              <c:numCache>
                <c:formatCode>0%</c:formatCode>
                <c:ptCount val="2"/>
                <c:pt idx="0">
                  <c:v>0.720000000000001</c:v>
                </c:pt>
                <c:pt idx="1">
                  <c:v>0.18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forceAA="0"/>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mn-cs"/>
              </a:defRPr>
            </a:pPr>
            <a:r>
              <a:rPr lang="zh-CN" altLang="en-US" sz="1000"/>
              <a:t>一般公共预算财政拨款支出决算结构情况</a:t>
            </a:r>
            <a:endParaRPr lang="zh-CN" altLang="en-US" sz="1000"/>
          </a:p>
        </c:rich>
      </c:tx>
      <c:layout>
        <c:manualLayout>
          <c:xMode val="edge"/>
          <c:yMode val="edge"/>
          <c:x val="0.417777777777779"/>
          <c:y val="0.0277777777777779"/>
        </c:manualLayout>
      </c:layout>
      <c:overlay val="0"/>
      <c:spPr>
        <a:noFill/>
        <a:ln>
          <a:noFill/>
        </a:ln>
        <a:effectLst/>
      </c:spPr>
    </c:title>
    <c:autoTitleDeleted val="0"/>
    <c:plotArea>
      <c:layout/>
      <c:pieChart>
        <c:varyColors val="1"/>
        <c:ser>
          <c:idx val="0"/>
          <c:order val="0"/>
          <c:spPr>
            <a:ln w="19050">
              <a:noFill/>
            </a:ln>
            <a:effectLst>
              <a:outerShdw blurRad="50800" dist="38100" dir="2700000" algn="tl" rotWithShape="0">
                <a:prstClr val="black">
                  <a:alpha val="40000"/>
                </a:prstClr>
              </a:outerShdw>
            </a:effectLst>
          </c:spPr>
          <c:explosion val="4"/>
          <c:dPt>
            <c:idx val="0"/>
            <c:bubble3D val="0"/>
            <c:explosion val="0"/>
            <c:spPr>
              <a:solidFill>
                <a:srgbClr val="C7C114"/>
              </a:solidFill>
              <a:ln w="19050">
                <a:noFill/>
              </a:ln>
              <a:effectLst>
                <a:outerShdw blurRad="50800" dist="38100" dir="2700000" algn="tl" rotWithShape="0">
                  <a:prstClr val="black">
                    <a:alpha val="40000"/>
                  </a:prstClr>
                </a:outerShdw>
              </a:effectLst>
            </c:spPr>
          </c:dPt>
          <c:dPt>
            <c:idx val="1"/>
            <c:bubble3D val="0"/>
            <c:explosion val="0"/>
            <c:spPr>
              <a:solidFill>
                <a:srgbClr val="77B50D"/>
              </a:solidFill>
              <a:ln w="19050">
                <a:noFill/>
              </a:ln>
              <a:effectLst>
                <a:outerShdw blurRad="50800" dist="38100" dir="2700000" algn="tl" rotWithShape="0">
                  <a:prstClr val="black">
                    <a:alpha val="40000"/>
                  </a:prstClr>
                </a:outerShdw>
              </a:effectLst>
            </c:spPr>
          </c:dPt>
          <c:dPt>
            <c:idx val="2"/>
            <c:bubble3D val="0"/>
            <c:explosion val="0"/>
            <c:spPr>
              <a:solidFill>
                <a:srgbClr val="2CA308"/>
              </a:solidFill>
              <a:ln w="19050">
                <a:noFill/>
              </a:ln>
              <a:effectLst>
                <a:outerShdw blurRad="50800" dist="38100" dir="2700000" algn="tl" rotWithShape="0">
                  <a:prstClr val="black">
                    <a:alpha val="40000"/>
                  </a:prstClr>
                </a:outerShdw>
              </a:effectLst>
            </c:spPr>
          </c:dPt>
          <c:dPt>
            <c:idx val="3"/>
            <c:bubble3D val="0"/>
            <c:explosion val="0"/>
            <c:spPr>
              <a:solidFill>
                <a:srgbClr val="03911B"/>
              </a:solidFill>
              <a:ln w="19050">
                <a:noFill/>
              </a:ln>
              <a:effectLst>
                <a:outerShdw blurRad="50800" dist="38100" dir="2700000" algn="tl" rotWithShape="0">
                  <a:prstClr val="black">
                    <a:alpha val="40000"/>
                  </a:prstClr>
                </a:outerShdw>
              </a:effectLst>
            </c:spPr>
          </c:dPt>
          <c:dPt>
            <c:idx val="4"/>
            <c:bubble3D val="0"/>
            <c:explosion val="0"/>
            <c:spPr>
              <a:solidFill>
                <a:srgbClr val="008248"/>
              </a:solidFill>
              <a:ln w="19050">
                <a:noFill/>
              </a:ln>
              <a:effectLst>
                <a:outerShdw blurRad="50800" dist="38100" dir="2700000" algn="tl" rotWithShape="0">
                  <a:prstClr val="black">
                    <a:alpha val="40000"/>
                  </a:prstClr>
                </a:outerShdw>
              </a:effectLst>
            </c:spPr>
          </c:dPt>
          <c:dLbls>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bg1"/>
                    </a:solidFill>
                    <a:latin typeface="微软雅黑" panose="020B0503020204020204" charset="-122"/>
                    <a:ea typeface="微软雅黑" panose="020B0503020204020204" charset="-122"/>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 工作表.xls]Sheet1'!$F$8:$J$8</c:f>
              <c:strCache>
                <c:ptCount val="5"/>
                <c:pt idx="0">
                  <c:v>灾害防治及应急管理支出</c:v>
                </c:pt>
                <c:pt idx="1">
                  <c:v>社会保障和就业（类）支出</c:v>
                </c:pt>
                <c:pt idx="2">
                  <c:v>卫生健康支出</c:v>
                </c:pt>
                <c:pt idx="3">
                  <c:v>住房保障支出</c:v>
                </c:pt>
                <c:pt idx="4">
                  <c:v>列1</c:v>
                </c:pt>
              </c:strCache>
            </c:strRef>
          </c:cat>
          <c:val>
            <c:numRef>
              <c:f>'[新建 XLS 工作表.xls]Sheet1'!$F$9:$J$9</c:f>
              <c:numCache>
                <c:formatCode>0%</c:formatCode>
                <c:ptCount val="5"/>
                <c:pt idx="0">
                  <c:v>0.830000000000001</c:v>
                </c:pt>
                <c:pt idx="1">
                  <c:v>0.08</c:v>
                </c:pt>
                <c:pt idx="2">
                  <c:v>0.04</c:v>
                </c:pt>
                <c:pt idx="3">
                  <c:v>0.05</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gradFill flip="none" rotWithShape="1">
      <a:gsLst>
        <a:gs pos="0">
          <a:schemeClr val="bg1">
            <a:lumMod val="95000"/>
          </a:schemeClr>
        </a:gs>
        <a:gs pos="100000">
          <a:schemeClr val="bg1">
            <a:lumMod val="50000"/>
          </a:schemeClr>
        </a:gs>
      </a:gsLst>
      <a:path path="circle">
        <a:fillToRect l="50000" t="50000" r="50000" b="50000"/>
      </a:path>
      <a:tileRect/>
    </a:gra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1" i="0" u="none" strike="noStrike" kern="1200" baseline="0">
                <a:solidFill>
                  <a:schemeClr val="dk1">
                    <a:lumMod val="75000"/>
                    <a:lumOff val="25000"/>
                  </a:schemeClr>
                </a:solidFill>
                <a:latin typeface="+mn-lt"/>
                <a:ea typeface="+mn-ea"/>
                <a:cs typeface="+mn-cs"/>
              </a:defRPr>
            </a:pPr>
            <a:r>
              <a:rPr lang="zh-CN" altLang="en-US"/>
              <a:t>标题</a:t>
            </a:r>
            <a:endParaRPr lang="zh-CN" altLang="en-US"/>
          </a:p>
        </c:rich>
      </c:tx>
      <c:layout/>
      <c:overlay val="0"/>
      <c:spPr>
        <a:noFill/>
        <a:ln>
          <a:noFill/>
        </a:ln>
        <a:effectLst/>
      </c:spPr>
    </c:title>
    <c:autoTitleDeleted val="0"/>
    <c:plotArea>
      <c:layout/>
      <c:pieChart>
        <c:varyColors val="1"/>
        <c:ser>
          <c:idx val="0"/>
          <c:order val="0"/>
          <c:explosion val="0"/>
          <c:dPt>
            <c:idx val="0"/>
            <c:bubble3D val="0"/>
            <c:spPr>
              <a:solidFill>
                <a:schemeClr val="accent1">
                  <a:shade val="53333"/>
                </a:schemeClr>
              </a:solidFill>
              <a:ln>
                <a:noFill/>
              </a:ln>
              <a:effectLst>
                <a:outerShdw blurRad="254000" sx="102000" sy="102000" algn="ctr" rotWithShape="0">
                  <a:prstClr val="black">
                    <a:alpha val="20000"/>
                  </a:prstClr>
                </a:outerShdw>
              </a:effectLst>
            </c:spPr>
          </c:dPt>
          <c:dPt>
            <c:idx val="1"/>
            <c:bubble3D val="0"/>
            <c:spPr>
              <a:solidFill>
                <a:schemeClr val="accent1">
                  <a:shade val="76667"/>
                </a:schemeClr>
              </a:solidFill>
              <a:ln>
                <a:noFill/>
              </a:ln>
              <a:effectLst>
                <a:outerShdw blurRad="254000" sx="102000" sy="102000" algn="ctr" rotWithShape="0">
                  <a:prstClr val="black">
                    <a:alpha val="20000"/>
                  </a:prstClr>
                </a:outerShdw>
              </a:effectLst>
            </c:spPr>
          </c:dPt>
          <c:dPt>
            <c:idx val="2"/>
            <c:bubble3D val="0"/>
            <c:spPr>
              <a:solidFill>
                <a:schemeClr val="accent1">
                  <a:tint val="86000"/>
                </a:schemeClr>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'[新建 XLS 工作表.xls]Sheet1'!$F$9:$H$9</c:f>
              <c:strCache>
                <c:ptCount val="3"/>
                <c:pt idx="0">
                  <c:v>公务用车</c:v>
                </c:pt>
                <c:pt idx="1">
                  <c:v>公务出国</c:v>
                </c:pt>
                <c:pt idx="2">
                  <c:v>公务接待</c:v>
                </c:pt>
              </c:strCache>
            </c:strRef>
          </c:cat>
          <c:val>
            <c:numRef>
              <c:f>'[新建 XLS 工作表.xls]Sheet1'!$F$10:$H$10</c:f>
              <c:numCache>
                <c:formatCode>General</c:formatCode>
                <c:ptCount val="3"/>
                <c:pt idx="0">
                  <c:v>0</c:v>
                </c:pt>
                <c:pt idx="1">
                  <c:v>0</c:v>
                </c:pt>
                <c:pt idx="2" c:formatCode="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forceAA="0"/>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基本">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基本">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2758AE-744F-48B1-B354-092591253205}">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37</Pages>
  <Words>2349</Words>
  <Characters>13391</Characters>
  <Lines>111</Lines>
  <Paragraphs>31</Paragraphs>
  <TotalTime>76</TotalTime>
  <ScaleCrop>false</ScaleCrop>
  <LinksUpToDate>false</LinksUpToDate>
  <CharactersWithSpaces>15709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2022-09-27T09:48:00Z</dcterms:created>
  <dc:creator>曹颖</dc:creator>
  <cp:lastModifiedBy>Administrator</cp:lastModifiedBy>
  <cp:lastPrinted>2022-09-27T05:08:00Z</cp:lastPrinted>
  <dcterms:modified xsi:type="dcterms:W3CDTF">2022-09-28T08:40:06Z</dcterms:modified>
  <dc:title>四川省***</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AB3D3C9ABB2F4371A9BD2B1E50CD5B7D</vt:lpwstr>
  </property>
</Properties>
</file>