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78441"/>
      <w:bookmarkStart w:id="2" w:name="_Toc15396597"/>
      <w:bookmarkStart w:id="3" w:name="_Toc15377425"/>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06268"/>
      <w:bookmarkStart w:id="7" w:name="_Toc15396476"/>
      <w:bookmarkStart w:id="8" w:name="_Toc15377426"/>
      <w:bookmarkStart w:id="9" w:name="_Toc15396598"/>
      <w:bookmarkStart w:id="10" w:name="_Toc15377194"/>
      <w:bookmarkStart w:id="11" w:name="_Toc15378442"/>
      <w:r>
        <w:rPr>
          <w:rFonts w:hint="eastAsia" w:ascii="方正小标宋简体" w:hAnsi="方正小标宋简体" w:eastAsia="方正小标宋简体" w:cs="方正小标宋简体"/>
          <w:sz w:val="72"/>
          <w:szCs w:val="72"/>
        </w:rPr>
        <w:t>广元市朝天区土地房屋征收拆迁事务中心</w:t>
      </w:r>
      <w:r>
        <w:rPr>
          <w:rFonts w:hint="eastAsia" w:ascii="方正小标宋简体" w:hAnsi="方正小标宋简体" w:eastAsia="方正小标宋简体" w:cs="方正小标宋简体"/>
          <w:sz w:val="72"/>
          <w:szCs w:val="72"/>
          <w:lang w:eastAsia="zh-CN"/>
        </w:rPr>
        <w:t>部门</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决</w:t>
      </w:r>
      <w:r>
        <w:rPr>
          <w:rFonts w:hint="eastAsia" w:ascii="方正小标宋简体" w:hAnsi="方正小标宋简体" w:eastAsia="方正小标宋简体" w:cs="方正小标宋简体"/>
          <w:sz w:val="72"/>
          <w:szCs w:val="72"/>
          <w:lang w:val="en-US" w:eastAsia="zh-CN"/>
        </w:rPr>
        <w:t xml:space="preserve"> </w:t>
      </w:r>
      <w:r>
        <w:rPr>
          <w:rFonts w:hint="eastAsia" w:ascii="方正小标宋简体" w:hAnsi="方正小标宋简体" w:eastAsia="方正小标宋简体" w:cs="方正小标宋简体"/>
          <w:sz w:val="72"/>
          <w:szCs w:val="72"/>
        </w:rPr>
        <w:t>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w:t>
      </w:r>
      <w:r>
        <w:rPr>
          <w:rFonts w:hint="eastAsia"/>
          <w:lang w:val="en-US" w:eastAsia="zh-CN"/>
        </w:rPr>
        <w:t xml:space="preserve"> 27</w:t>
      </w:r>
      <w:r>
        <w:rPr>
          <w:rFonts w:hint="eastAsia"/>
        </w:rPr>
        <w:t>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2"/>
        <w:adjustRightInd w:val="0"/>
        <w:snapToGrid w:val="0"/>
        <w:spacing w:line="440" w:lineRule="exact"/>
        <w:jc w:val="left"/>
        <w:rPr>
          <w:rFonts w:ascii="仿宋" w:hAnsi="仿宋" w:eastAsia="仿宋"/>
          <w:sz w:val="24"/>
        </w:rPr>
      </w:pPr>
      <w:r>
        <w:rPr>
          <w:rFonts w:hint="eastAsia"/>
          <w:sz w:val="24"/>
        </w:rPr>
        <w:t>一、基本职能及主要工作</w:t>
      </w:r>
      <w:bookmarkStart w:id="60" w:name="_GoBack"/>
      <w:bookmarkEnd w:id="60"/>
    </w:p>
    <w:p>
      <w:pPr>
        <w:pStyle w:val="12"/>
        <w:adjustRightInd w:val="0"/>
        <w:snapToGrid w:val="0"/>
        <w:spacing w:line="440" w:lineRule="exact"/>
        <w:jc w:val="left"/>
        <w:rPr>
          <w:rFonts w:ascii="仿宋" w:hAnsi="仿宋" w:eastAsia="仿宋" w:cstheme="minorBidi"/>
          <w:sz w:val="24"/>
        </w:rPr>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 2021年度部门决算情况说明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七、“三公”经费财政拨款支出决算情况说明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7"/>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预算绩效管理情况</w:t>
      </w:r>
      <w:r>
        <w:rPr>
          <w:rFonts w:hint="eastAsia" w:asciiTheme="minorEastAsia" w:hAnsiTheme="minorEastAsia" w:eastAsiaTheme="minorEastAsia" w:cstheme="minorEastAsia"/>
          <w:sz w:val="24"/>
        </w:rPr>
        <w:tab/>
      </w:r>
    </w:p>
    <w:p>
      <w:pPr>
        <w:adjustRightInd w:val="0"/>
        <w:snapToGrid w:val="0"/>
        <w:spacing w:line="440" w:lineRule="exact"/>
        <w:ind w:firstLine="420" w:firstLineChars="175"/>
        <w:jc w:val="left"/>
        <w:rPr>
          <w:rFonts w:eastAsiaTheme="minorEastAsia"/>
        </w:rPr>
      </w:pPr>
      <w:r>
        <w:rPr>
          <w:rFonts w:hint="eastAsia" w:asciiTheme="minorEastAsia" w:hAnsiTheme="minorEastAsia" w:eastAsiaTheme="minorEastAsia" w:cstheme="minorEastAsia"/>
          <w:sz w:val="24"/>
        </w:rPr>
        <w:t>十一、其他重要事项的情况说明</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二、收入决算表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五、财政拨款支出决算明细表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七、一般公共预算财政拨款支出决算明细表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八、一般公共预算财政拨款基本支出决算表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十、一般公共预算财政拨款“三公”经费支出决算表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十一、政府性基金预算财政拨款收入支出决算表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十二、政府性基金预算财政拨款“三公”经费支出决算表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十三、国有资本经营预算财政拨款收入支出决算表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十四、国有资本经营预算财政拨款支出决算表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请部门根据实际注明页码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pStyle w:val="4"/>
        <w:rPr>
          <w:rStyle w:val="27"/>
          <w:rFonts w:ascii="仿宋" w:hAnsi="仿宋" w:eastAsia="仿宋"/>
          <w:b w:val="0"/>
          <w:bCs w:val="0"/>
        </w:rPr>
      </w:pPr>
      <w:bookmarkStart w:id="14" w:name="_Toc15396600"/>
      <w:bookmarkStart w:id="15" w:name="_Toc15377197"/>
      <w:r>
        <w:rPr>
          <w:rFonts w:hint="eastAsia" w:ascii="黑体" w:hAnsi="黑体" w:eastAsia="黑体"/>
          <w:b w:val="0"/>
        </w:rPr>
        <w:t>一、基</w:t>
      </w:r>
      <w:r>
        <w:rPr>
          <w:rStyle w:val="27"/>
          <w:rFonts w:hint="eastAsia" w:ascii="黑体" w:hAnsi="黑体" w:eastAsia="黑体"/>
          <w:b w:val="0"/>
          <w:bCs w:val="0"/>
        </w:rPr>
        <w:t>本职能及主要工作</w:t>
      </w:r>
      <w:bookmarkEnd w:id="14"/>
      <w:bookmarkEnd w:id="15"/>
    </w:p>
    <w:p>
      <w:pPr>
        <w:ind w:firstLine="640" w:firstLineChars="200"/>
        <w:rPr>
          <w:rFonts w:hint="eastAsia" w:ascii="仿宋" w:hAnsi="仿宋" w:eastAsia="仿宋" w:cs="仿宋"/>
          <w:sz w:val="32"/>
          <w:szCs w:val="32"/>
          <w:lang w:val="en-US" w:eastAsia="zh-CN"/>
        </w:rPr>
      </w:pPr>
      <w:bookmarkStart w:id="16" w:name="_Toc15378445"/>
      <w:bookmarkStart w:id="17" w:name="_Toc15377198"/>
      <w:r>
        <w:rPr>
          <w:rFonts w:hint="eastAsia" w:ascii="仿宋" w:hAnsi="仿宋" w:eastAsia="仿宋"/>
          <w:bCs/>
          <w:sz w:val="32"/>
          <w:szCs w:val="32"/>
        </w:rPr>
        <w:t>（一）主要职能。</w:t>
      </w:r>
      <w:bookmarkEnd w:id="16"/>
      <w:bookmarkEnd w:id="17"/>
      <w:bookmarkStart w:id="18" w:name="_Toc15378446"/>
      <w:bookmarkStart w:id="19" w:name="_Toc15377199"/>
      <w:r>
        <w:rPr>
          <w:rFonts w:hint="eastAsia" w:ascii="仿宋" w:hAnsi="仿宋" w:eastAsia="仿宋" w:cs="仿宋"/>
          <w:sz w:val="32"/>
          <w:szCs w:val="32"/>
        </w:rPr>
        <w:t>负责宣传贯彻执行国家、省、市、区关于土地房屋征收拆迁安置的法律、法规及政策，拟定和完善本辖区内有关政策规定；负责本辖区内集体土地、国有土地房屋征收及拆迁补偿安置工作；负责统筹协调兑付土地、房屋征收拆迁安置补偿资金；负责对征收从业人员进行教育培训、做好征收工作信息化建设；负责征收工作中的协调、安全、信访和稳定工作；承办区政府</w:t>
      </w:r>
      <w:r>
        <w:rPr>
          <w:rFonts w:hint="eastAsia"/>
          <w:bCs/>
          <w:color w:val="000000"/>
          <w:sz w:val="32"/>
          <w:szCs w:val="32"/>
        </w:rPr>
        <w:t>交</w:t>
      </w:r>
      <w:r>
        <w:rPr>
          <w:rFonts w:hint="eastAsia" w:ascii="仿宋" w:hAnsi="仿宋" w:eastAsia="仿宋" w:cs="仿宋"/>
          <w:sz w:val="32"/>
          <w:szCs w:val="32"/>
        </w:rPr>
        <w:t>办的其它事项</w:t>
      </w:r>
      <w:r>
        <w:rPr>
          <w:rFonts w:hint="eastAsia" w:ascii="仿宋" w:hAnsi="仿宋" w:eastAsia="仿宋" w:cs="仿宋"/>
          <w:sz w:val="32"/>
          <w:szCs w:val="32"/>
          <w:lang w:val="en-US" w:eastAsia="zh-CN"/>
        </w:rPr>
        <w:t>.</w:t>
      </w:r>
    </w:p>
    <w:p>
      <w:pPr>
        <w:widowControl/>
        <w:shd w:val="clear" w:color="auto" w:fill="FFFFFF"/>
        <w:spacing w:line="580" w:lineRule="exact"/>
        <w:ind w:firstLine="643" w:firstLineChars="201"/>
        <w:jc w:val="left"/>
        <w:outlineLvl w:val="1"/>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18"/>
      <w:bookmarkEnd w:id="19"/>
    </w:p>
    <w:p>
      <w:pPr>
        <w:widowControl/>
        <w:shd w:val="clear" w:color="auto" w:fill="FFFFFF"/>
        <w:spacing w:line="580" w:lineRule="exact"/>
        <w:ind w:firstLine="643" w:firstLineChars="201"/>
        <w:jc w:val="left"/>
        <w:outlineLvl w:val="1"/>
        <w:rPr>
          <w:rFonts w:ascii="仿宋_GB2312" w:eastAsia="仿宋_GB2312"/>
          <w:color w:val="auto"/>
          <w:sz w:val="32"/>
          <w:szCs w:val="32"/>
        </w:rPr>
      </w:pPr>
      <w:bookmarkStart w:id="20" w:name="_Toc15396601"/>
      <w:bookmarkStart w:id="21" w:name="_Toc15377200"/>
      <w:r>
        <w:rPr>
          <w:rFonts w:hint="eastAsia" w:ascii="仿宋_GB2312" w:eastAsia="仿宋_GB2312"/>
          <w:color w:val="auto"/>
          <w:sz w:val="32"/>
          <w:szCs w:val="32"/>
        </w:rPr>
        <w:t>全力推进集体土地征收。加快推进了曾家山嘉仁康旅</w:t>
      </w:r>
      <w:r>
        <w:rPr>
          <w:rFonts w:hint="eastAsia" w:ascii="仿宋_GB2312" w:eastAsia="仿宋_GB2312"/>
          <w:color w:val="auto"/>
          <w:sz w:val="32"/>
          <w:szCs w:val="32"/>
          <w:lang w:eastAsia="zh-CN"/>
        </w:rPr>
        <w:t>、芳地坪（罗圈岩）、金堆新区、蜀山天养居、荣乐国际康养度假区、云天里、原乡、田博园</w:t>
      </w:r>
      <w:r>
        <w:rPr>
          <w:rFonts w:hint="eastAsia" w:ascii="仿宋_GB2312" w:eastAsia="仿宋_GB2312"/>
          <w:color w:val="auto"/>
          <w:sz w:val="32"/>
          <w:szCs w:val="32"/>
        </w:rPr>
        <w:t>等旅游项目土地征收；稳妥推进七曾公路</w:t>
      </w:r>
      <w:r>
        <w:rPr>
          <w:rFonts w:hint="eastAsia" w:ascii="仿宋_GB2312" w:eastAsia="仿宋_GB2312"/>
          <w:color w:val="auto"/>
          <w:sz w:val="32"/>
          <w:szCs w:val="32"/>
          <w:lang w:eastAsia="zh-CN"/>
        </w:rPr>
        <w:t>、中子超级服务区、七盘关新泽物流</w:t>
      </w:r>
      <w:r>
        <w:rPr>
          <w:rFonts w:hint="eastAsia" w:ascii="仿宋_GB2312" w:eastAsia="仿宋_GB2312"/>
          <w:color w:val="auto"/>
          <w:sz w:val="32"/>
          <w:szCs w:val="32"/>
        </w:rPr>
        <w:t>等交通项目土地征收；积极推进</w:t>
      </w:r>
      <w:r>
        <w:rPr>
          <w:rFonts w:hint="eastAsia" w:ascii="仿宋_GB2312" w:eastAsia="仿宋_GB2312"/>
          <w:color w:val="auto"/>
          <w:sz w:val="32"/>
          <w:szCs w:val="32"/>
          <w:lang w:eastAsia="zh-CN"/>
        </w:rPr>
        <w:t>羊木工业园</w:t>
      </w:r>
      <w:r>
        <w:rPr>
          <w:rFonts w:hint="eastAsia" w:ascii="仿宋_GB2312" w:eastAsia="仿宋_GB2312"/>
          <w:color w:val="auto"/>
          <w:sz w:val="32"/>
          <w:szCs w:val="32"/>
        </w:rPr>
        <w:t>等工业项目土地征收；及时完成了大滩镇李家河坝河堤、</w:t>
      </w:r>
      <w:r>
        <w:rPr>
          <w:rFonts w:hint="eastAsia" w:ascii="仿宋_GB2312" w:eastAsia="仿宋_GB2312"/>
          <w:color w:val="auto"/>
          <w:sz w:val="32"/>
          <w:szCs w:val="32"/>
          <w:lang w:eastAsia="zh-CN"/>
        </w:rPr>
        <w:t>三滩河堤李家河段、大沟水库等</w:t>
      </w:r>
      <w:r>
        <w:rPr>
          <w:rFonts w:hint="eastAsia" w:ascii="仿宋_GB2312" w:eastAsia="仿宋_GB2312"/>
          <w:color w:val="auto"/>
          <w:sz w:val="32"/>
          <w:szCs w:val="32"/>
        </w:rPr>
        <w:t>水利</w:t>
      </w:r>
      <w:r>
        <w:rPr>
          <w:rFonts w:hint="eastAsia" w:ascii="仿宋_GB2312" w:eastAsia="仿宋_GB2312"/>
          <w:color w:val="auto"/>
          <w:sz w:val="32"/>
          <w:szCs w:val="32"/>
          <w:lang w:eastAsia="zh-CN"/>
        </w:rPr>
        <w:t>水电</w:t>
      </w:r>
      <w:r>
        <w:rPr>
          <w:rFonts w:hint="eastAsia" w:ascii="仿宋_GB2312" w:eastAsia="仿宋_GB2312"/>
          <w:color w:val="auto"/>
          <w:sz w:val="32"/>
          <w:szCs w:val="32"/>
        </w:rPr>
        <w:t>项目土地征收。</w:t>
      </w:r>
    </w:p>
    <w:p>
      <w:pPr>
        <w:widowControl/>
        <w:shd w:val="clear" w:color="auto" w:fill="FFFFFF"/>
        <w:spacing w:line="580" w:lineRule="exact"/>
        <w:ind w:firstLine="643" w:firstLineChars="201"/>
        <w:jc w:val="left"/>
        <w:outlineLvl w:val="1"/>
        <w:rPr>
          <w:rFonts w:ascii="仿宋_GB2312" w:eastAsia="仿宋_GB2312"/>
          <w:color w:val="auto"/>
          <w:sz w:val="32"/>
          <w:szCs w:val="32"/>
        </w:rPr>
      </w:pPr>
      <w:r>
        <w:rPr>
          <w:rFonts w:hint="eastAsia" w:ascii="仿宋_GB2312" w:eastAsia="仿宋_GB2312"/>
          <w:color w:val="auto"/>
          <w:sz w:val="32"/>
          <w:szCs w:val="32"/>
        </w:rPr>
        <w:t>经统计,20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年实施集体土地征收项目</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宗，征地面积</w:t>
      </w:r>
      <w:r>
        <w:rPr>
          <w:rFonts w:hint="eastAsia" w:ascii="仿宋_GB2312" w:eastAsia="仿宋_GB2312"/>
          <w:color w:val="auto"/>
          <w:sz w:val="32"/>
          <w:szCs w:val="32"/>
          <w:lang w:val="en-US" w:eastAsia="zh-CN"/>
        </w:rPr>
        <w:t>772.7404</w:t>
      </w:r>
      <w:r>
        <w:rPr>
          <w:rFonts w:hint="eastAsia" w:ascii="仿宋_GB2312" w:eastAsia="仿宋_GB2312"/>
          <w:color w:val="auto"/>
          <w:sz w:val="32"/>
          <w:szCs w:val="32"/>
        </w:rPr>
        <w:t>亩，</w:t>
      </w:r>
      <w:r>
        <w:rPr>
          <w:rFonts w:hint="eastAsia" w:ascii="仿宋_GB2312" w:eastAsia="仿宋_GB2312"/>
          <w:color w:val="auto"/>
          <w:sz w:val="32"/>
          <w:szCs w:val="32"/>
          <w:lang w:eastAsia="zh-CN"/>
        </w:rPr>
        <w:t>兑付资金</w:t>
      </w:r>
      <w:r>
        <w:rPr>
          <w:rFonts w:hint="eastAsia" w:ascii="仿宋_GB2312" w:eastAsia="仿宋_GB2312"/>
          <w:color w:val="auto"/>
          <w:sz w:val="32"/>
          <w:szCs w:val="32"/>
          <w:lang w:val="en-US" w:eastAsia="zh-CN"/>
        </w:rPr>
        <w:t>4036.3万元。</w:t>
      </w:r>
      <w:r>
        <w:rPr>
          <w:rFonts w:hint="eastAsia" w:ascii="仿宋_GB2312" w:eastAsia="仿宋_GB2312"/>
          <w:color w:val="auto"/>
          <w:sz w:val="32"/>
          <w:szCs w:val="32"/>
        </w:rPr>
        <w:t>拆迁房屋</w:t>
      </w:r>
      <w:r>
        <w:rPr>
          <w:rFonts w:hint="eastAsia" w:ascii="仿宋_GB2312" w:eastAsia="仿宋_GB2312"/>
          <w:color w:val="auto"/>
          <w:sz w:val="32"/>
          <w:szCs w:val="32"/>
          <w:lang w:val="en-US" w:eastAsia="zh-CN"/>
        </w:rPr>
        <w:t>86</w:t>
      </w:r>
      <w:r>
        <w:rPr>
          <w:rFonts w:hint="eastAsia" w:ascii="仿宋_GB2312" w:eastAsia="仿宋_GB2312"/>
          <w:color w:val="auto"/>
          <w:sz w:val="32"/>
          <w:szCs w:val="32"/>
        </w:rPr>
        <w:t>户</w:t>
      </w:r>
      <w:r>
        <w:rPr>
          <w:rFonts w:hint="eastAsia" w:ascii="仿宋_GB2312" w:eastAsia="仿宋_GB2312"/>
          <w:color w:val="auto"/>
          <w:sz w:val="32"/>
          <w:szCs w:val="32"/>
          <w:lang w:val="en-US" w:eastAsia="zh-CN"/>
        </w:rPr>
        <w:t>2.91</w:t>
      </w:r>
      <w:r>
        <w:rPr>
          <w:rFonts w:hint="eastAsia" w:ascii="仿宋_GB2312" w:eastAsia="仿宋_GB2312"/>
          <w:color w:val="auto"/>
          <w:sz w:val="32"/>
          <w:szCs w:val="32"/>
        </w:rPr>
        <w:t>万平方米。拆迁安置人口</w:t>
      </w:r>
      <w:r>
        <w:rPr>
          <w:rFonts w:hint="eastAsia" w:ascii="仿宋_GB2312" w:eastAsia="仿宋_GB2312"/>
          <w:color w:val="auto"/>
          <w:sz w:val="32"/>
          <w:szCs w:val="32"/>
          <w:lang w:val="en-US" w:eastAsia="zh-CN"/>
        </w:rPr>
        <w:t>207</w:t>
      </w:r>
      <w:r>
        <w:rPr>
          <w:rFonts w:hint="eastAsia" w:ascii="仿宋_GB2312" w:eastAsia="仿宋_GB2312"/>
          <w:color w:val="auto"/>
          <w:sz w:val="32"/>
          <w:szCs w:val="32"/>
        </w:rPr>
        <w:t>人，流转土地或提供临时用地</w:t>
      </w:r>
      <w:r>
        <w:rPr>
          <w:rFonts w:hint="eastAsia" w:ascii="仿宋_GB2312" w:eastAsia="仿宋_GB2312"/>
          <w:color w:val="auto"/>
          <w:sz w:val="32"/>
          <w:szCs w:val="32"/>
          <w:lang w:val="en-US" w:eastAsia="zh-CN"/>
        </w:rPr>
        <w:t>68.4234</w:t>
      </w:r>
      <w:r>
        <w:rPr>
          <w:rFonts w:hint="eastAsia" w:ascii="仿宋_GB2312" w:eastAsia="仿宋_GB2312"/>
          <w:color w:val="auto"/>
          <w:sz w:val="32"/>
          <w:szCs w:val="32"/>
        </w:rPr>
        <w:t>亩。</w:t>
      </w:r>
    </w:p>
    <w:p>
      <w:pPr>
        <w:pStyle w:val="4"/>
        <w:rPr>
          <w:rStyle w:val="27"/>
          <w:b w:val="0"/>
          <w:bCs w:val="0"/>
        </w:rPr>
      </w:pPr>
      <w:r>
        <w:rPr>
          <w:rFonts w:hint="eastAsia" w:ascii="黑体" w:eastAsia="黑体"/>
          <w:b w:val="0"/>
        </w:rPr>
        <w:t>二、</w:t>
      </w:r>
      <w:r>
        <w:rPr>
          <w:rFonts w:hint="eastAsia" w:ascii="黑体" w:hAnsi="黑体" w:eastAsia="黑体"/>
          <w:b w:val="0"/>
        </w:rPr>
        <w:t>机</w:t>
      </w:r>
      <w:r>
        <w:rPr>
          <w:rStyle w:val="27"/>
          <w:rFonts w:hint="eastAsia" w:ascii="黑体" w:hAnsi="黑体" w:eastAsia="黑体"/>
          <w:b w:val="0"/>
          <w:bCs w:val="0"/>
        </w:rPr>
        <w:t>构设置</w:t>
      </w:r>
      <w:bookmarkEnd w:id="20"/>
      <w:bookmarkEnd w:id="21"/>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征拆事务中心属财政一级预算单位。</w:t>
      </w:r>
      <w:r>
        <w:rPr>
          <w:rFonts w:hint="eastAsia" w:ascii="仿宋" w:hAnsi="仿宋" w:eastAsia="仿宋" w:cs="仿宋"/>
          <w:sz w:val="32"/>
          <w:szCs w:val="32"/>
          <w:lang w:eastAsia="zh-CN"/>
        </w:rPr>
        <w:t>无</w:t>
      </w:r>
      <w:r>
        <w:rPr>
          <w:rFonts w:hint="eastAsia" w:ascii="仿宋" w:hAnsi="仿宋" w:eastAsia="仿宋" w:cs="仿宋"/>
          <w:sz w:val="32"/>
          <w:szCs w:val="32"/>
        </w:rPr>
        <w:t>下属二级预算单位，</w:t>
      </w:r>
      <w:r>
        <w:rPr>
          <w:rFonts w:hint="eastAsia" w:ascii="仿宋" w:hAnsi="仿宋" w:eastAsia="仿宋" w:cs="仿宋"/>
          <w:sz w:val="32"/>
          <w:szCs w:val="32"/>
          <w:lang w:eastAsia="zh-CN"/>
        </w:rPr>
        <w:t>无</w:t>
      </w:r>
      <w:r>
        <w:rPr>
          <w:rFonts w:hint="eastAsia" w:ascii="仿宋" w:hAnsi="仿宋" w:eastAsia="仿宋" w:cs="仿宋"/>
          <w:sz w:val="32"/>
          <w:szCs w:val="32"/>
        </w:rPr>
        <w:t>其中参照公务员法管理的事业单位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编制</w:t>
      </w:r>
      <w:r>
        <w:rPr>
          <w:rFonts w:hint="eastAsia" w:ascii="仿宋" w:hAnsi="仿宋" w:eastAsia="仿宋" w:cs="仿宋"/>
          <w:sz w:val="32"/>
          <w:szCs w:val="32"/>
          <w:lang w:val="en-US" w:eastAsia="zh-CN"/>
        </w:rPr>
        <w:t>10</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0</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10</w:t>
      </w:r>
      <w:r>
        <w:rPr>
          <w:rFonts w:hint="eastAsia" w:ascii="仿宋" w:hAnsi="仿宋" w:eastAsia="仿宋" w:cs="仿宋"/>
          <w:sz w:val="32"/>
          <w:szCs w:val="32"/>
        </w:rPr>
        <w:t>人，工勤人员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r>
        <w:rPr>
          <w:rFonts w:hint="eastAsia" w:ascii="仿宋" w:hAnsi="仿宋" w:eastAsia="仿宋" w:cs="仿宋"/>
          <w:sz w:val="32"/>
          <w:szCs w:val="32"/>
          <w:lang w:eastAsia="zh-CN"/>
        </w:rPr>
        <w:t>2022</w:t>
      </w:r>
      <w:r>
        <w:rPr>
          <w:rFonts w:hint="eastAsia" w:ascii="仿宋" w:hAnsi="仿宋" w:eastAsia="仿宋" w:cs="仿宋"/>
          <w:sz w:val="32"/>
          <w:szCs w:val="32"/>
        </w:rPr>
        <w:t>年初实有在职人员</w:t>
      </w:r>
      <w:r>
        <w:rPr>
          <w:rFonts w:hint="eastAsia" w:ascii="仿宋" w:hAnsi="仿宋" w:eastAsia="仿宋" w:cs="仿宋"/>
          <w:sz w:val="32"/>
          <w:szCs w:val="32"/>
          <w:lang w:val="en-US" w:eastAsia="zh-CN"/>
        </w:rPr>
        <w:t>17</w:t>
      </w:r>
      <w:r>
        <w:rPr>
          <w:rFonts w:hint="eastAsia" w:ascii="仿宋" w:hAnsi="仿宋" w:eastAsia="仿宋" w:cs="仿宋"/>
          <w:sz w:val="32"/>
          <w:szCs w:val="32"/>
        </w:rPr>
        <w:t>人,其中：行政人员</w:t>
      </w:r>
      <w:r>
        <w:rPr>
          <w:rFonts w:hint="eastAsia" w:ascii="仿宋" w:hAnsi="仿宋" w:eastAsia="仿宋" w:cs="仿宋"/>
          <w:sz w:val="32"/>
          <w:szCs w:val="32"/>
          <w:lang w:val="en-US" w:eastAsia="zh-CN"/>
        </w:rPr>
        <w:t>0</w:t>
      </w:r>
      <w:r>
        <w:rPr>
          <w:rFonts w:hint="eastAsia" w:ascii="仿宋" w:hAnsi="仿宋" w:eastAsia="仿宋" w:cs="仿宋"/>
          <w:sz w:val="32"/>
          <w:szCs w:val="32"/>
        </w:rPr>
        <w:t>人，事业人员</w:t>
      </w:r>
      <w:r>
        <w:rPr>
          <w:rFonts w:hint="eastAsia" w:ascii="仿宋" w:hAnsi="仿宋" w:eastAsia="仿宋" w:cs="仿宋"/>
          <w:sz w:val="32"/>
          <w:szCs w:val="32"/>
          <w:lang w:val="en-US" w:eastAsia="zh-CN"/>
        </w:rPr>
        <w:t>10</w:t>
      </w:r>
      <w:r>
        <w:rPr>
          <w:rFonts w:hint="eastAsia" w:ascii="仿宋" w:hAnsi="仿宋" w:eastAsia="仿宋" w:cs="仿宋"/>
          <w:sz w:val="32"/>
          <w:szCs w:val="32"/>
        </w:rPr>
        <w:t>人，</w:t>
      </w:r>
      <w:r>
        <w:rPr>
          <w:rFonts w:hint="eastAsia" w:ascii="仿宋" w:hAnsi="仿宋" w:eastAsia="仿宋" w:cs="仿宋"/>
          <w:sz w:val="32"/>
          <w:szCs w:val="32"/>
          <w:lang w:eastAsia="zh-CN"/>
        </w:rPr>
        <w:t>定补</w:t>
      </w:r>
      <w:r>
        <w:rPr>
          <w:rFonts w:hint="eastAsia" w:ascii="仿宋" w:hAnsi="仿宋" w:eastAsia="仿宋" w:cs="仿宋"/>
          <w:sz w:val="32"/>
          <w:szCs w:val="32"/>
        </w:rPr>
        <w:t>人员</w:t>
      </w:r>
      <w:r>
        <w:rPr>
          <w:rFonts w:hint="eastAsia" w:ascii="仿宋" w:hAnsi="仿宋" w:eastAsia="仿宋" w:cs="仿宋"/>
          <w:sz w:val="32"/>
          <w:szCs w:val="32"/>
          <w:lang w:val="en-US" w:eastAsia="zh-CN"/>
        </w:rPr>
        <w:t>7</w:t>
      </w:r>
      <w:r>
        <w:rPr>
          <w:rFonts w:hint="eastAsia" w:ascii="仿宋" w:hAnsi="仿宋" w:eastAsia="仿宋" w:cs="仿宋"/>
          <w:sz w:val="32"/>
          <w:szCs w:val="32"/>
        </w:rPr>
        <w:t>人。固定资产总额</w:t>
      </w:r>
      <w:r>
        <w:rPr>
          <w:rFonts w:hint="eastAsia" w:ascii="仿宋" w:hAnsi="仿宋" w:eastAsia="仿宋" w:cs="仿宋"/>
          <w:sz w:val="32"/>
          <w:szCs w:val="32"/>
          <w:lang w:val="en-US" w:eastAsia="zh-CN"/>
        </w:rPr>
        <w:t>10.6</w:t>
      </w:r>
      <w:r>
        <w:rPr>
          <w:rFonts w:hint="eastAsia" w:ascii="仿宋" w:hAnsi="仿宋" w:eastAsia="仿宋" w:cs="仿宋"/>
          <w:sz w:val="32"/>
          <w:szCs w:val="32"/>
        </w:rPr>
        <w:t>万元。</w:t>
      </w:r>
    </w:p>
    <w:p>
      <w:pPr>
        <w:pStyle w:val="3"/>
        <w:ind w:right="440"/>
        <w:jc w:val="center"/>
        <w:rPr>
          <w:rStyle w:val="26"/>
          <w:rFonts w:ascii="黑体" w:hAnsi="黑体" w:eastAsia="黑体"/>
          <w:b w:val="0"/>
          <w:bCs/>
        </w:rPr>
      </w:pPr>
      <w:bookmarkStart w:id="22" w:name="_Toc15396602"/>
      <w:bookmarkStart w:id="23" w:name="_Toc15377204"/>
      <w:r>
        <w:rPr>
          <w:rFonts w:hint="eastAsia" w:ascii="黑体" w:hAnsi="黑体" w:eastAsia="黑体"/>
          <w:b w:val="0"/>
        </w:rPr>
        <w:t>第二部分 2021年度</w:t>
      </w:r>
      <w:r>
        <w:rPr>
          <w:rStyle w:val="26"/>
          <w:rFonts w:hint="eastAsia" w:ascii="黑体" w:hAnsi="黑体" w:eastAsia="黑体"/>
          <w:b w:val="0"/>
          <w:bCs/>
        </w:rPr>
        <w:t>部门决算情况说明</w:t>
      </w:r>
      <w:bookmarkEnd w:id="22"/>
      <w:bookmarkEnd w:id="23"/>
    </w:p>
    <w:p/>
    <w:p>
      <w:pPr>
        <w:pStyle w:val="25"/>
        <w:numPr>
          <w:ilvl w:val="0"/>
          <w:numId w:val="1"/>
        </w:numPr>
        <w:spacing w:line="600" w:lineRule="exact"/>
        <w:ind w:firstLineChars="0"/>
        <w:outlineLvl w:val="1"/>
        <w:rPr>
          <w:rStyle w:val="27"/>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7"/>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2021年度收、支总计167.23万元。与2020年相比，收、支总计各增加27.61万元，增长16.5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人员增加，工作量增加。</w:t>
      </w:r>
    </w:p>
    <w:p>
      <w:pPr>
        <w:spacing w:line="600" w:lineRule="exact"/>
        <w:ind w:firstLine="420" w:firstLineChars="200"/>
        <w:jc w:val="left"/>
        <w:rPr>
          <w:rFonts w:ascii="仿宋_GB2312" w:eastAsia="仿宋_GB2312"/>
          <w:sz w:val="32"/>
          <w:szCs w:val="32"/>
        </w:rPr>
      </w:pPr>
      <w:r>
        <w:drawing>
          <wp:anchor distT="0" distB="0" distL="114300" distR="114300" simplePos="0" relativeHeight="251659264" behindDoc="1" locked="0" layoutInCell="1" allowOverlap="1">
            <wp:simplePos x="0" y="0"/>
            <wp:positionH relativeFrom="column">
              <wp:posOffset>252095</wp:posOffset>
            </wp:positionH>
            <wp:positionV relativeFrom="paragraph">
              <wp:posOffset>17145</wp:posOffset>
            </wp:positionV>
            <wp:extent cx="4572000" cy="2743200"/>
            <wp:effectExtent l="0" t="0" r="0" b="0"/>
            <wp:wrapTight wrapText="bothSides">
              <wp:wrapPolygon>
                <wp:start x="0" y="0"/>
                <wp:lineTo x="0" y="21450"/>
                <wp:lineTo x="21510" y="21450"/>
                <wp:lineTo x="21510" y="0"/>
                <wp:lineTo x="0" y="0"/>
              </wp:wrapPolygon>
            </wp:wrapTight>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5"/>
        <w:numPr>
          <w:ilvl w:val="0"/>
          <w:numId w:val="1"/>
        </w:numPr>
        <w:spacing w:line="600" w:lineRule="exact"/>
        <w:ind w:firstLineChars="0"/>
        <w:outlineLvl w:val="1"/>
        <w:rPr>
          <w:rStyle w:val="27"/>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21年本年收入合计167.23万元，其中：一般公共预算财政拨款收入167.23万元，占100</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_GB2312" w:eastAsia="仿宋_GB2312"/>
          <w:sz w:val="32"/>
          <w:szCs w:val="32"/>
        </w:rPr>
      </w:pPr>
      <w:r>
        <w:drawing>
          <wp:anchor distT="0" distB="0" distL="114300" distR="114300" simplePos="0" relativeHeight="251662336" behindDoc="1" locked="0" layoutInCell="1" allowOverlap="1">
            <wp:simplePos x="0" y="0"/>
            <wp:positionH relativeFrom="column">
              <wp:posOffset>610235</wp:posOffset>
            </wp:positionH>
            <wp:positionV relativeFrom="paragraph">
              <wp:posOffset>177165</wp:posOffset>
            </wp:positionV>
            <wp:extent cx="3375025" cy="2520950"/>
            <wp:effectExtent l="4445" t="5080" r="68580" b="45720"/>
            <wp:wrapTight wrapText="bothSides">
              <wp:wrapPolygon>
                <wp:start x="-28" y="-44"/>
                <wp:lineTo x="-28" y="21502"/>
                <wp:lineTo x="21551" y="21502"/>
                <wp:lineTo x="21551" y="-44"/>
                <wp:lineTo x="-28" y="-44"/>
              </wp:wrapPolygon>
            </wp:wrapTight>
            <wp:docPr id="5" name="图表 4" descr="7b0a202020202263686172745265734964223a2022343532363833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32"/>
          <w:szCs w:val="32"/>
        </w:rPr>
      </w:pPr>
    </w:p>
    <w:p>
      <w:pPr>
        <w:pStyle w:val="25"/>
        <w:numPr>
          <w:ilvl w:val="0"/>
          <w:numId w:val="1"/>
        </w:numPr>
        <w:spacing w:line="600" w:lineRule="exact"/>
        <w:ind w:firstLineChars="0"/>
        <w:outlineLvl w:val="1"/>
        <w:rPr>
          <w:rStyle w:val="27"/>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7"/>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21年本年支出合计167.23万元，其中：基本支出</w:t>
      </w:r>
      <w:r>
        <w:rPr>
          <w:rFonts w:hint="eastAsia" w:ascii="仿宋" w:hAnsi="仿宋" w:eastAsia="仿宋"/>
          <w:color w:val="0000FF"/>
          <w:sz w:val="32"/>
          <w:szCs w:val="32"/>
          <w:lang w:val="en-US" w:eastAsia="zh-CN"/>
        </w:rPr>
        <w:t>127.33</w:t>
      </w:r>
      <w:r>
        <w:rPr>
          <w:rFonts w:hint="eastAsia" w:ascii="仿宋" w:hAnsi="仿宋" w:eastAsia="仿宋"/>
          <w:color w:val="0000FF"/>
          <w:sz w:val="32"/>
          <w:szCs w:val="32"/>
        </w:rPr>
        <w:t>万元，占</w:t>
      </w:r>
      <w:r>
        <w:rPr>
          <w:rFonts w:hint="eastAsia" w:ascii="仿宋" w:hAnsi="仿宋" w:eastAsia="仿宋"/>
          <w:color w:val="0000FF"/>
          <w:sz w:val="32"/>
          <w:szCs w:val="32"/>
          <w:lang w:val="en-US" w:eastAsia="zh-CN"/>
        </w:rPr>
        <w:t>76.1</w:t>
      </w:r>
      <w:r>
        <w:rPr>
          <w:rFonts w:ascii="仿宋" w:hAnsi="仿宋" w:eastAsia="仿宋"/>
          <w:color w:val="0000FF"/>
          <w:sz w:val="32"/>
          <w:szCs w:val="32"/>
        </w:rPr>
        <w:t>%</w:t>
      </w:r>
      <w:r>
        <w:rPr>
          <w:rFonts w:hint="eastAsia" w:ascii="仿宋" w:hAnsi="仿宋" w:eastAsia="仿宋"/>
          <w:color w:val="0000FF"/>
          <w:sz w:val="32"/>
          <w:szCs w:val="32"/>
        </w:rPr>
        <w:t>；项目支出</w:t>
      </w:r>
      <w:r>
        <w:rPr>
          <w:rFonts w:hint="eastAsia" w:ascii="仿宋" w:hAnsi="仿宋" w:eastAsia="仿宋"/>
          <w:color w:val="0000FF"/>
          <w:sz w:val="32"/>
          <w:szCs w:val="32"/>
          <w:lang w:val="en-US" w:eastAsia="zh-CN"/>
        </w:rPr>
        <w:t>39.9</w:t>
      </w:r>
      <w:r>
        <w:rPr>
          <w:rFonts w:hint="eastAsia" w:ascii="仿宋" w:hAnsi="仿宋" w:eastAsia="仿宋"/>
          <w:color w:val="0000FF"/>
          <w:sz w:val="32"/>
          <w:szCs w:val="32"/>
        </w:rPr>
        <w:t>万元，占</w:t>
      </w:r>
      <w:r>
        <w:rPr>
          <w:rFonts w:hint="eastAsia" w:ascii="仿宋" w:hAnsi="仿宋" w:eastAsia="仿宋"/>
          <w:color w:val="0000FF"/>
          <w:sz w:val="32"/>
          <w:szCs w:val="32"/>
          <w:lang w:val="en-US" w:eastAsia="zh-CN"/>
        </w:rPr>
        <w:t>23.9</w:t>
      </w:r>
      <w:r>
        <w:rPr>
          <w:rFonts w:ascii="仿宋" w:hAnsi="仿宋" w:eastAsia="仿宋"/>
          <w:color w:val="0000FF"/>
          <w:sz w:val="32"/>
          <w:szCs w:val="32"/>
        </w:rPr>
        <w:t>%</w:t>
      </w:r>
      <w:r>
        <w:rPr>
          <w:rFonts w:hint="eastAsia" w:ascii="仿宋" w:hAnsi="仿宋" w:eastAsia="仿宋"/>
          <w:color w:val="0000FF"/>
          <w:sz w:val="32"/>
          <w:szCs w:val="32"/>
        </w:rPr>
        <w:t>。</w:t>
      </w:r>
    </w:p>
    <w:p>
      <w:pPr>
        <w:pStyle w:val="2"/>
        <w:keepNext w:val="0"/>
        <w:keepLines w:val="0"/>
        <w:pageBreakBefore w:val="0"/>
        <w:widowControl w:val="0"/>
        <w:kinsoku/>
        <w:wordWrap/>
        <w:overflowPunct/>
        <w:topLinePunct w:val="0"/>
        <w:autoSpaceDE/>
        <w:autoSpaceDN/>
        <w:bidi w:val="0"/>
        <w:adjustRightInd/>
        <w:snapToGrid/>
        <w:textAlignment w:val="auto"/>
      </w:pPr>
      <w:r>
        <w:rPr>
          <w:rFonts w:hint="eastAsia"/>
          <w:lang w:val="en-US" w:eastAsia="zh-CN"/>
        </w:rPr>
        <w:t xml:space="preserve">     </w:t>
      </w:r>
      <w:r>
        <w:drawing>
          <wp:inline distT="0" distB="0" distL="114300" distR="114300">
            <wp:extent cx="3687445" cy="2261870"/>
            <wp:effectExtent l="4445" t="4445" r="22860" b="19685"/>
            <wp:docPr id="6" name="图表 5" descr="7b0a202020202263686172745265734964223a2022343532363833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7"/>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30"/>
      <w:bookmarkEnd w:id="31"/>
    </w:p>
    <w:p>
      <w:pPr>
        <w:spacing w:line="600" w:lineRule="exact"/>
        <w:ind w:firstLine="640"/>
        <w:rPr>
          <w:rFonts w:hint="eastAsia" w:ascii="仿宋" w:hAnsi="仿宋" w:eastAsia="仿宋"/>
          <w:color w:val="000000"/>
          <w:sz w:val="32"/>
          <w:szCs w:val="32"/>
        </w:rPr>
      </w:pPr>
      <w:r>
        <w:rPr>
          <w:rFonts w:ascii="仿宋" w:hAnsi="仿宋" w:eastAsia="仿宋"/>
          <w:sz w:val="32"/>
          <w:szCs w:val="32"/>
        </w:rPr>
        <w:t>20</w:t>
      </w:r>
      <w:r>
        <w:rPr>
          <w:rFonts w:hint="eastAsia" w:ascii="仿宋" w:hAnsi="仿宋" w:eastAsia="仿宋"/>
          <w:sz w:val="32"/>
          <w:szCs w:val="32"/>
        </w:rPr>
        <w:t>21年财政拨款收、支总计167.23万元。与</w:t>
      </w:r>
      <w:r>
        <w:rPr>
          <w:rFonts w:ascii="仿宋" w:hAnsi="仿宋" w:eastAsia="仿宋"/>
          <w:sz w:val="32"/>
          <w:szCs w:val="32"/>
        </w:rPr>
        <w:t>20</w:t>
      </w:r>
      <w:r>
        <w:rPr>
          <w:rFonts w:hint="eastAsia" w:ascii="仿宋" w:hAnsi="仿宋" w:eastAsia="仿宋"/>
          <w:sz w:val="32"/>
          <w:szCs w:val="32"/>
        </w:rPr>
        <w:t>20年相比，财政拨款收、支总计各增加27.61万元，增长16.5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人员增加，</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增加。</w:t>
      </w:r>
    </w:p>
    <w:p>
      <w:pPr>
        <w:spacing w:line="600" w:lineRule="exact"/>
        <w:ind w:firstLine="640"/>
        <w:rPr>
          <w:rFonts w:ascii="仿宋" w:hAnsi="仿宋" w:eastAsia="仿宋"/>
          <w:b/>
          <w:sz w:val="32"/>
          <w:szCs w:val="32"/>
        </w:rPr>
      </w:pPr>
      <w:r>
        <w:drawing>
          <wp:anchor distT="0" distB="0" distL="114300" distR="114300" simplePos="0" relativeHeight="251660288" behindDoc="1" locked="0" layoutInCell="1" allowOverlap="1">
            <wp:simplePos x="0" y="0"/>
            <wp:positionH relativeFrom="column">
              <wp:posOffset>544195</wp:posOffset>
            </wp:positionH>
            <wp:positionV relativeFrom="paragraph">
              <wp:posOffset>207645</wp:posOffset>
            </wp:positionV>
            <wp:extent cx="4194810" cy="2334895"/>
            <wp:effectExtent l="4445" t="5080" r="67945" b="41275"/>
            <wp:wrapTight wrapText="bothSides">
              <wp:wrapPolygon>
                <wp:start x="-23" y="-47"/>
                <wp:lineTo x="-23" y="21453"/>
                <wp:lineTo x="21557" y="21453"/>
                <wp:lineTo x="21557" y="-47"/>
                <wp:lineTo x="-23" y="-47"/>
              </wp:wrapPolygon>
            </wp:wrapTight>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7"/>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sz w:val="32"/>
          <w:szCs w:val="32"/>
        </w:rPr>
        <w:t>20</w:t>
      </w:r>
      <w:r>
        <w:rPr>
          <w:rFonts w:hint="eastAsia" w:ascii="仿宋" w:hAnsi="仿宋" w:eastAsia="仿宋"/>
          <w:sz w:val="32"/>
          <w:szCs w:val="32"/>
        </w:rPr>
        <w:t>21年一般公共预算财政拨款支出167.23万元，占本年支出合计的100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20年相比，一般公共预算财政拨款支出增加27.61万元，增长16.5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人员增加，</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增加。</w:t>
      </w:r>
      <w:bookmarkStart w:id="35" w:name="_Toc15377211"/>
    </w:p>
    <w:p>
      <w:pPr>
        <w:spacing w:line="600" w:lineRule="exact"/>
        <w:rPr>
          <w:rFonts w:ascii="仿宋" w:hAnsi="仿宋" w:eastAsia="仿宋"/>
          <w:b/>
          <w:sz w:val="32"/>
          <w:szCs w:val="32"/>
        </w:rPr>
      </w:pPr>
      <w:r>
        <w:drawing>
          <wp:anchor distT="0" distB="0" distL="114300" distR="114300" simplePos="0" relativeHeight="251661312" behindDoc="0" locked="0" layoutInCell="1" allowOverlap="1">
            <wp:simplePos x="0" y="0"/>
            <wp:positionH relativeFrom="column">
              <wp:posOffset>483235</wp:posOffset>
            </wp:positionH>
            <wp:positionV relativeFrom="paragraph">
              <wp:posOffset>98425</wp:posOffset>
            </wp:positionV>
            <wp:extent cx="4128135" cy="2711450"/>
            <wp:effectExtent l="4445" t="4445" r="20320" b="8255"/>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auto"/>
          <w:sz w:val="32"/>
          <w:szCs w:val="32"/>
        </w:rPr>
      </w:pPr>
      <w:r>
        <w:rPr>
          <w:rFonts w:hint="eastAsia" w:ascii="仿宋" w:hAnsi="仿宋" w:eastAsia="仿宋"/>
          <w:b/>
          <w:color w:val="auto"/>
          <w:sz w:val="32"/>
          <w:szCs w:val="32"/>
        </w:rPr>
        <w:t>（二）一般公共预算财政拨款支出决算结构情况</w:t>
      </w:r>
      <w:bookmarkEnd w:id="35"/>
    </w:p>
    <w:p>
      <w:pPr>
        <w:spacing w:line="600" w:lineRule="exact"/>
        <w:ind w:firstLine="640" w:firstLineChars="200"/>
        <w:rPr>
          <w:rFonts w:ascii="仿宋" w:hAnsi="仿宋" w:eastAsia="仿宋"/>
          <w:b/>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21年一般公共预算财政拨款支出167.23万元，主要用于以下方面</w:t>
      </w:r>
      <w:r>
        <w:rPr>
          <w:rFonts w:ascii="仿宋" w:hAnsi="仿宋" w:eastAsia="仿宋"/>
          <w:color w:val="auto"/>
          <w:sz w:val="32"/>
          <w:szCs w:val="32"/>
        </w:rPr>
        <w:t>:</w:t>
      </w:r>
      <w:r>
        <w:rPr>
          <w:rFonts w:hint="eastAsia" w:ascii="仿宋" w:hAnsi="仿宋" w:eastAsia="仿宋"/>
          <w:color w:val="auto"/>
          <w:sz w:val="32"/>
          <w:szCs w:val="32"/>
          <w:lang w:val="en-US" w:eastAsia="zh-CN"/>
        </w:rPr>
        <w:t>1，</w:t>
      </w:r>
      <w:r>
        <w:rPr>
          <w:rFonts w:hint="eastAsia" w:ascii="仿宋" w:hAnsi="仿宋" w:eastAsia="仿宋"/>
          <w:b/>
          <w:bCs/>
          <w:color w:val="auto"/>
          <w:sz w:val="32"/>
          <w:szCs w:val="32"/>
          <w:lang w:eastAsia="zh-CN"/>
        </w:rPr>
        <w:t>自然资源海洋气象支出</w:t>
      </w:r>
      <w:r>
        <w:rPr>
          <w:rFonts w:hint="eastAsia" w:ascii="仿宋" w:hAnsi="仿宋" w:eastAsia="仿宋"/>
          <w:b w:val="0"/>
          <w:bCs w:val="0"/>
          <w:color w:val="0000FF"/>
          <w:sz w:val="32"/>
          <w:szCs w:val="32"/>
          <w:lang w:val="en-US" w:eastAsia="zh-CN"/>
        </w:rPr>
        <w:t>104.93</w:t>
      </w:r>
      <w:r>
        <w:rPr>
          <w:rFonts w:hint="eastAsia" w:ascii="仿宋" w:hAnsi="仿宋" w:eastAsia="仿宋"/>
          <w:b w:val="0"/>
          <w:bCs w:val="0"/>
          <w:color w:val="auto"/>
          <w:sz w:val="32"/>
          <w:szCs w:val="32"/>
          <w:lang w:val="en-US" w:eastAsia="zh-CN"/>
        </w:rPr>
        <w:t>万元，占63%；2，</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支出10.3</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万元，占6.2</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val="en-US" w:eastAsia="zh-CN"/>
        </w:rPr>
        <w:t>3，</w:t>
      </w:r>
      <w:r>
        <w:rPr>
          <w:rFonts w:hint="eastAsia" w:ascii="仿宋" w:hAnsi="仿宋" w:eastAsia="仿宋"/>
          <w:b/>
          <w:bCs/>
          <w:color w:val="auto"/>
          <w:sz w:val="32"/>
          <w:szCs w:val="32"/>
        </w:rPr>
        <w:t>卫生健康支出</w:t>
      </w:r>
      <w:r>
        <w:rPr>
          <w:rFonts w:hint="eastAsia" w:ascii="仿宋" w:hAnsi="仿宋" w:eastAsia="仿宋"/>
          <w:color w:val="auto"/>
          <w:sz w:val="32"/>
          <w:szCs w:val="32"/>
        </w:rPr>
        <w:t>4.8</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万元，占2.9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val="en-US" w:eastAsia="zh-CN"/>
        </w:rPr>
        <w:t>4，</w:t>
      </w:r>
      <w:r>
        <w:rPr>
          <w:rFonts w:hint="eastAsia" w:ascii="仿宋" w:hAnsi="仿宋" w:eastAsia="仿宋"/>
          <w:b/>
          <w:bCs/>
          <w:color w:val="auto"/>
          <w:sz w:val="32"/>
          <w:szCs w:val="32"/>
        </w:rPr>
        <w:t>住房保障支出</w:t>
      </w:r>
      <w:r>
        <w:rPr>
          <w:rFonts w:hint="eastAsia" w:ascii="仿宋" w:hAnsi="仿宋" w:eastAsia="仿宋"/>
          <w:color w:val="auto"/>
          <w:sz w:val="32"/>
          <w:szCs w:val="32"/>
        </w:rPr>
        <w:t>7.2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万元，占4.3</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val="en-US" w:eastAsia="zh-CN"/>
        </w:rPr>
        <w:t>5，</w:t>
      </w:r>
      <w:r>
        <w:rPr>
          <w:rFonts w:hint="eastAsia" w:ascii="仿宋" w:hAnsi="仿宋" w:eastAsia="仿宋"/>
          <w:b/>
          <w:bCs/>
          <w:color w:val="auto"/>
          <w:sz w:val="32"/>
          <w:szCs w:val="32"/>
          <w:lang w:eastAsia="zh-CN"/>
        </w:rPr>
        <w:t>农林水支出</w:t>
      </w:r>
      <w:r>
        <w:rPr>
          <w:rFonts w:hint="eastAsia" w:ascii="仿宋" w:hAnsi="仿宋" w:eastAsia="仿宋"/>
          <w:color w:val="auto"/>
          <w:sz w:val="32"/>
          <w:szCs w:val="32"/>
          <w:lang w:val="en-US" w:eastAsia="zh-CN"/>
        </w:rPr>
        <w:t>0.4万元，占 0.01%；6，</w:t>
      </w:r>
      <w:r>
        <w:rPr>
          <w:rFonts w:hint="eastAsia" w:ascii="仿宋" w:hAnsi="仿宋" w:eastAsia="仿宋"/>
          <w:b/>
          <w:bCs/>
          <w:color w:val="auto"/>
          <w:sz w:val="32"/>
          <w:szCs w:val="32"/>
          <w:lang w:val="en-US" w:eastAsia="zh-CN"/>
        </w:rPr>
        <w:t>城乡社区服务支出</w:t>
      </w:r>
      <w:r>
        <w:rPr>
          <w:rFonts w:hint="eastAsia" w:ascii="仿宋" w:hAnsi="仿宋" w:eastAsia="仿宋"/>
          <w:b/>
          <w:bCs/>
          <w:color w:val="0000FF"/>
          <w:sz w:val="32"/>
          <w:szCs w:val="32"/>
          <w:lang w:val="en-US" w:eastAsia="zh-CN"/>
        </w:rPr>
        <w:t>39.9</w:t>
      </w:r>
      <w:r>
        <w:rPr>
          <w:rFonts w:hint="eastAsia" w:ascii="仿宋" w:hAnsi="仿宋" w:eastAsia="仿宋"/>
          <w:color w:val="auto"/>
          <w:sz w:val="32"/>
          <w:szCs w:val="32"/>
          <w:lang w:val="en-US" w:eastAsia="zh-CN"/>
        </w:rPr>
        <w:t>万元，占23.6%。</w:t>
      </w:r>
    </w:p>
    <w:p>
      <w:pPr>
        <w:pStyle w:val="2"/>
        <w:spacing w:before="93"/>
        <w:rPr>
          <w:rFonts w:ascii="仿宋" w:hAnsi="仿宋" w:eastAsia="仿宋"/>
          <w:sz w:val="32"/>
          <w:szCs w:val="32"/>
        </w:rPr>
      </w:pPr>
      <w:r>
        <w:rPr>
          <w:rFonts w:hint="eastAsia"/>
          <w:lang w:val="en-US" w:eastAsia="zh-CN"/>
        </w:rPr>
        <w:t xml:space="preserve">      </w:t>
      </w:r>
      <w:r>
        <w:drawing>
          <wp:inline distT="0" distB="0" distL="114300" distR="114300">
            <wp:extent cx="4533900" cy="3323590"/>
            <wp:effectExtent l="4445" t="4445" r="14605" b="5715"/>
            <wp:docPr id="12" name="图表 11" descr="7b0a202020202263686172745265734964223a2022343532363833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8460"/>
      <w:bookmarkStart w:id="39" w:name="_Toc15377444"/>
      <w:r>
        <w:rPr>
          <w:rFonts w:hint="eastAsia" w:ascii="仿宋" w:hAnsi="仿宋" w:eastAsia="仿宋"/>
          <w:b/>
          <w:sz w:val="32"/>
          <w:szCs w:val="32"/>
        </w:rPr>
        <w:t>2021年一般公共预算支出决算数为167.23</w:t>
      </w:r>
      <w:r>
        <w:rPr>
          <w:rFonts w:hint="eastAsia" w:ascii="仿宋" w:hAnsi="仿宋" w:eastAsia="仿宋"/>
          <w:sz w:val="32"/>
          <w:szCs w:val="32"/>
        </w:rPr>
        <w:t>，</w:t>
      </w:r>
      <w:r>
        <w:rPr>
          <w:rStyle w:val="16"/>
          <w:rFonts w:hint="eastAsia" w:ascii="仿宋" w:hAnsi="仿宋" w:eastAsia="仿宋"/>
          <w:bCs/>
          <w:sz w:val="32"/>
          <w:szCs w:val="32"/>
        </w:rPr>
        <w:t>完成预算100</w:t>
      </w:r>
      <w:r>
        <w:rPr>
          <w:rStyle w:val="16"/>
          <w:rFonts w:ascii="仿宋" w:hAnsi="仿宋" w:eastAsia="仿宋"/>
          <w:bCs/>
          <w:sz w:val="32"/>
          <w:szCs w:val="32"/>
        </w:rPr>
        <w:t>%</w:t>
      </w:r>
      <w:r>
        <w:rPr>
          <w:rStyle w:val="16"/>
          <w:rFonts w:hint="eastAsia" w:ascii="仿宋" w:hAnsi="仿宋" w:eastAsia="仿宋"/>
          <w:bCs/>
          <w:sz w:val="32"/>
          <w:szCs w:val="32"/>
        </w:rPr>
        <w:t>。其中：</w:t>
      </w:r>
      <w:bookmarkEnd w:id="37"/>
      <w:bookmarkEnd w:id="38"/>
      <w:bookmarkEnd w:id="39"/>
    </w:p>
    <w:p>
      <w:pPr>
        <w:spacing w:line="600" w:lineRule="exact"/>
        <w:ind w:firstLine="643" w:firstLineChars="200"/>
        <w:rPr>
          <w:rStyle w:val="16"/>
          <w:rFonts w:ascii="仿宋" w:hAnsi="仿宋" w:eastAsia="仿宋"/>
          <w:b w:val="0"/>
          <w:bCs/>
          <w:color w:val="auto"/>
          <w:sz w:val="32"/>
          <w:szCs w:val="32"/>
        </w:rPr>
      </w:pPr>
      <w:r>
        <w:rPr>
          <w:rStyle w:val="16"/>
          <w:rFonts w:ascii="仿宋" w:hAnsi="仿宋" w:eastAsia="仿宋"/>
          <w:bCs/>
          <w:color w:val="auto"/>
          <w:sz w:val="32"/>
          <w:szCs w:val="32"/>
        </w:rPr>
        <w:t>1.</w:t>
      </w:r>
      <w:r>
        <w:rPr>
          <w:rFonts w:hint="eastAsia" w:ascii="仿宋" w:hAnsi="仿宋" w:eastAsia="仿宋"/>
          <w:b/>
          <w:bCs/>
          <w:color w:val="auto"/>
          <w:sz w:val="32"/>
          <w:szCs w:val="32"/>
          <w:lang w:eastAsia="zh-CN"/>
        </w:rPr>
        <w:t>自然资源海洋气象</w:t>
      </w:r>
      <w:r>
        <w:rPr>
          <w:rFonts w:hint="eastAsia" w:ascii="仿宋" w:hAnsi="仿宋" w:eastAsia="仿宋"/>
          <w:b/>
          <w:bCs/>
          <w:color w:val="auto"/>
          <w:sz w:val="32"/>
          <w:szCs w:val="32"/>
          <w:lang w:val="en-US" w:eastAsia="zh-CN"/>
        </w:rPr>
        <w:t>220</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)03</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Fonts w:hint="eastAsia" w:ascii="仿宋" w:hAnsi="仿宋" w:eastAsia="仿宋"/>
          <w:color w:val="auto"/>
          <w:sz w:val="32"/>
          <w:szCs w:val="32"/>
          <w:lang w:val="en-US" w:eastAsia="zh-CN"/>
        </w:rPr>
        <w:t>104.93</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rPr>
        <w:t>2.社会保障和就业</w:t>
      </w:r>
      <w:r>
        <w:rPr>
          <w:rStyle w:val="16"/>
          <w:rFonts w:hint="eastAsia" w:ascii="仿宋" w:hAnsi="仿宋" w:eastAsia="仿宋"/>
          <w:bCs/>
          <w:color w:val="auto"/>
          <w:sz w:val="32"/>
          <w:szCs w:val="32"/>
          <w:lang w:val="en-US" w:eastAsia="zh-CN"/>
        </w:rPr>
        <w:t>208</w:t>
      </w:r>
      <w:r>
        <w:rPr>
          <w:rStyle w:val="16"/>
          <w:rFonts w:hint="eastAsia" w:ascii="仿宋" w:hAnsi="仿宋" w:eastAsia="仿宋"/>
          <w:bCs/>
          <w:color w:val="auto"/>
          <w:sz w:val="32"/>
          <w:szCs w:val="32"/>
        </w:rPr>
        <w:t>（类）05（款）06（项）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9.6</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3" w:firstLineChars="200"/>
        <w:rPr>
          <w:rStyle w:val="16"/>
          <w:rFonts w:ascii="仿宋" w:hAnsi="仿宋" w:eastAsia="仿宋"/>
          <w:b w:val="0"/>
          <w:bCs/>
          <w:color w:val="auto"/>
          <w:sz w:val="32"/>
          <w:szCs w:val="32"/>
        </w:rPr>
      </w:pPr>
      <w:r>
        <w:rPr>
          <w:rStyle w:val="16"/>
          <w:rFonts w:hint="eastAsia" w:ascii="仿宋" w:hAnsi="仿宋" w:eastAsia="仿宋"/>
          <w:bCs/>
          <w:color w:val="auto"/>
          <w:sz w:val="32"/>
          <w:szCs w:val="32"/>
          <w:lang w:val="en-US" w:eastAsia="zh-CN"/>
        </w:rPr>
        <w:t>3</w:t>
      </w:r>
      <w:r>
        <w:rPr>
          <w:rStyle w:val="16"/>
          <w:rFonts w:hint="eastAsia" w:ascii="仿宋" w:hAnsi="仿宋" w:eastAsia="仿宋"/>
          <w:bCs/>
          <w:color w:val="auto"/>
          <w:sz w:val="32"/>
          <w:szCs w:val="32"/>
        </w:rPr>
        <w:t>.社会保障和就业</w:t>
      </w:r>
      <w:r>
        <w:rPr>
          <w:rStyle w:val="16"/>
          <w:rFonts w:hint="eastAsia" w:ascii="仿宋" w:hAnsi="仿宋" w:eastAsia="仿宋"/>
          <w:bCs/>
          <w:color w:val="auto"/>
          <w:sz w:val="32"/>
          <w:szCs w:val="32"/>
          <w:lang w:val="en-US" w:eastAsia="zh-CN"/>
        </w:rPr>
        <w:t>208</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0.66</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0" w:firstLineChars="200"/>
        <w:rPr>
          <w:rStyle w:val="16"/>
          <w:rFonts w:ascii="仿宋" w:hAnsi="仿宋" w:eastAsia="仿宋"/>
          <w:b w:val="0"/>
          <w:bCs/>
          <w:color w:val="auto"/>
          <w:sz w:val="32"/>
          <w:szCs w:val="32"/>
        </w:rPr>
      </w:pPr>
    </w:p>
    <w:p>
      <w:pPr>
        <w:numPr>
          <w:ilvl w:val="0"/>
          <w:numId w:val="0"/>
        </w:numPr>
        <w:spacing w:line="600" w:lineRule="exact"/>
        <w:ind w:firstLine="643" w:firstLineChars="200"/>
      </w:pPr>
      <w:r>
        <w:rPr>
          <w:rFonts w:hint="eastAsia" w:ascii="仿宋" w:hAnsi="仿宋" w:eastAsia="仿宋"/>
          <w:b/>
          <w:bCs/>
          <w:color w:val="auto"/>
          <w:sz w:val="32"/>
          <w:szCs w:val="32"/>
          <w:lang w:val="en-US" w:eastAsia="zh-CN"/>
        </w:rPr>
        <w:t>4.</w:t>
      </w:r>
      <w:r>
        <w:rPr>
          <w:rFonts w:hint="eastAsia" w:ascii="仿宋" w:hAnsi="仿宋" w:eastAsia="仿宋"/>
          <w:b/>
          <w:bCs/>
          <w:color w:val="auto"/>
          <w:sz w:val="32"/>
          <w:szCs w:val="32"/>
        </w:rPr>
        <w:t>卫生健康</w:t>
      </w:r>
      <w:r>
        <w:rPr>
          <w:rFonts w:hint="eastAsia" w:ascii="仿宋" w:hAnsi="仿宋" w:eastAsia="仿宋"/>
          <w:b/>
          <w:bCs/>
          <w:color w:val="auto"/>
          <w:sz w:val="32"/>
          <w:szCs w:val="32"/>
          <w:lang w:val="en-US" w:eastAsia="zh-CN"/>
        </w:rPr>
        <w:t>210</w:t>
      </w:r>
      <w:r>
        <w:rPr>
          <w:rStyle w:val="16"/>
          <w:rFonts w:hint="eastAsia" w:ascii="仿宋" w:hAnsi="仿宋" w:eastAsia="仿宋"/>
          <w:bCs/>
          <w:color w:val="auto"/>
          <w:sz w:val="32"/>
          <w:szCs w:val="32"/>
        </w:rPr>
        <w:t>（类）11（款）0</w:t>
      </w:r>
      <w:r>
        <w:rPr>
          <w:rStyle w:val="16"/>
          <w:rFonts w:hint="eastAsia" w:ascii="仿宋" w:hAnsi="仿宋" w:eastAsia="仿宋"/>
          <w:bCs/>
          <w:color w:val="auto"/>
          <w:sz w:val="32"/>
          <w:szCs w:val="32"/>
          <w:lang w:val="en-US" w:eastAsia="zh-CN"/>
        </w:rPr>
        <w:t>2</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支出决算为4.8万元，完成预算100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lang w:val="en-US" w:eastAsia="zh-CN"/>
        </w:rPr>
        <w:t>5.</w:t>
      </w:r>
      <w:r>
        <w:rPr>
          <w:rStyle w:val="16"/>
          <w:rFonts w:hint="eastAsia" w:ascii="仿宋" w:hAnsi="仿宋" w:eastAsia="仿宋"/>
          <w:bCs/>
          <w:color w:val="auto"/>
          <w:sz w:val="32"/>
          <w:szCs w:val="32"/>
        </w:rPr>
        <w:t>住房保障</w:t>
      </w:r>
      <w:r>
        <w:rPr>
          <w:rStyle w:val="16"/>
          <w:rFonts w:hint="eastAsia" w:ascii="仿宋" w:hAnsi="仿宋" w:eastAsia="仿宋"/>
          <w:bCs/>
          <w:color w:val="auto"/>
          <w:sz w:val="32"/>
          <w:szCs w:val="32"/>
          <w:lang w:val="en-US" w:eastAsia="zh-CN"/>
        </w:rPr>
        <w:t>221</w:t>
      </w:r>
      <w:r>
        <w:rPr>
          <w:rStyle w:val="16"/>
          <w:rFonts w:hint="eastAsia" w:ascii="仿宋" w:hAnsi="仿宋" w:eastAsia="仿宋"/>
          <w:bCs/>
          <w:color w:val="auto"/>
          <w:sz w:val="32"/>
          <w:szCs w:val="32"/>
        </w:rPr>
        <w:t xml:space="preserve">（类） </w:t>
      </w:r>
      <w:r>
        <w:rPr>
          <w:rStyle w:val="16"/>
          <w:rFonts w:hint="eastAsia" w:ascii="仿宋" w:hAnsi="仿宋" w:eastAsia="仿宋"/>
          <w:bCs/>
          <w:color w:val="auto"/>
          <w:sz w:val="32"/>
          <w:szCs w:val="32"/>
          <w:lang w:val="en-US" w:eastAsia="zh-CN"/>
        </w:rPr>
        <w:t>02</w:t>
      </w:r>
      <w:r>
        <w:rPr>
          <w:rStyle w:val="16"/>
          <w:rFonts w:hint="eastAsia" w:ascii="仿宋" w:hAnsi="仿宋" w:eastAsia="仿宋"/>
          <w:bCs/>
          <w:color w:val="auto"/>
          <w:sz w:val="32"/>
          <w:szCs w:val="32"/>
        </w:rPr>
        <w:t>（款） 01 （项）：</w:t>
      </w:r>
      <w:r>
        <w:rPr>
          <w:rFonts w:hint="eastAsia" w:ascii="仿宋" w:hAnsi="仿宋" w:eastAsia="仿宋"/>
          <w:color w:val="auto"/>
          <w:sz w:val="32"/>
          <w:szCs w:val="32"/>
        </w:rPr>
        <w:t>支出决算7.2万元，</w:t>
      </w:r>
      <w:r>
        <w:rPr>
          <w:rStyle w:val="16"/>
          <w:rFonts w:hint="eastAsia" w:ascii="仿宋" w:hAnsi="仿宋" w:eastAsia="仿宋"/>
          <w:b w:val="0"/>
          <w:bCs/>
          <w:color w:val="auto"/>
          <w:sz w:val="32"/>
          <w:szCs w:val="32"/>
        </w:rPr>
        <w:t>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Style w:val="16"/>
          <w:rFonts w:hint="eastAsia" w:ascii="仿宋" w:hAnsi="仿宋" w:eastAsia="仿宋"/>
          <w:b w:val="0"/>
          <w:bCs/>
          <w:color w:val="auto"/>
          <w:sz w:val="32"/>
          <w:szCs w:val="32"/>
        </w:rPr>
      </w:pPr>
      <w:r>
        <w:rPr>
          <w:rFonts w:hint="eastAsia" w:ascii="仿宋" w:hAnsi="仿宋" w:eastAsia="仿宋"/>
          <w:b/>
          <w:bCs/>
          <w:color w:val="auto"/>
          <w:sz w:val="32"/>
          <w:szCs w:val="32"/>
          <w:lang w:val="en-US" w:eastAsia="zh-CN"/>
        </w:rPr>
        <w:t>6.</w:t>
      </w:r>
      <w:r>
        <w:rPr>
          <w:rFonts w:hint="eastAsia" w:ascii="仿宋" w:hAnsi="仿宋" w:eastAsia="仿宋"/>
          <w:b/>
          <w:bCs/>
          <w:color w:val="auto"/>
          <w:sz w:val="32"/>
          <w:szCs w:val="32"/>
          <w:lang w:eastAsia="zh-CN"/>
        </w:rPr>
        <w:t>农林水支出</w:t>
      </w:r>
      <w:r>
        <w:rPr>
          <w:rFonts w:hint="eastAsia" w:ascii="仿宋" w:hAnsi="仿宋" w:eastAsia="仿宋"/>
          <w:b/>
          <w:bCs/>
          <w:color w:val="auto"/>
          <w:sz w:val="32"/>
          <w:szCs w:val="32"/>
          <w:lang w:val="en-US" w:eastAsia="zh-CN"/>
        </w:rPr>
        <w:t>213</w:t>
      </w:r>
      <w:r>
        <w:rPr>
          <w:rFonts w:hint="eastAsia" w:ascii="仿宋" w:hAnsi="仿宋" w:eastAsia="仿宋"/>
          <w:b/>
          <w:bCs/>
          <w:color w:val="auto"/>
          <w:sz w:val="32"/>
          <w:szCs w:val="32"/>
          <w:lang w:eastAsia="zh-CN"/>
        </w:rPr>
        <w:t>（类）</w:t>
      </w:r>
      <w:r>
        <w:rPr>
          <w:rFonts w:hint="eastAsia" w:ascii="仿宋" w:hAnsi="仿宋" w:eastAsia="仿宋"/>
          <w:b/>
          <w:bCs/>
          <w:color w:val="auto"/>
          <w:sz w:val="32"/>
          <w:szCs w:val="32"/>
          <w:lang w:val="en-US" w:eastAsia="zh-CN"/>
        </w:rPr>
        <w:t>05</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 xml:space="preserve"> （项）</w:t>
      </w:r>
      <w:r>
        <w:rPr>
          <w:rStyle w:val="16"/>
          <w:rFonts w:hint="eastAsia" w:ascii="仿宋" w:hAnsi="仿宋" w:eastAsia="仿宋"/>
          <w:bCs/>
          <w:color w:val="auto"/>
          <w:sz w:val="32"/>
          <w:szCs w:val="32"/>
          <w:lang w:eastAsia="zh-CN"/>
        </w:rPr>
        <w:t>：</w:t>
      </w:r>
      <w:r>
        <w:rPr>
          <w:rFonts w:hint="eastAsia" w:ascii="仿宋" w:hAnsi="仿宋" w:eastAsia="仿宋"/>
          <w:color w:val="auto"/>
          <w:sz w:val="32"/>
          <w:szCs w:val="32"/>
        </w:rPr>
        <w:t>支出决算</w:t>
      </w:r>
      <w:r>
        <w:rPr>
          <w:rFonts w:hint="eastAsia" w:ascii="仿宋" w:hAnsi="仿宋" w:eastAsia="仿宋"/>
          <w:color w:val="auto"/>
          <w:sz w:val="32"/>
          <w:szCs w:val="32"/>
          <w:lang w:val="en-US" w:eastAsia="zh-CN"/>
        </w:rPr>
        <w:t>0.4</w:t>
      </w:r>
      <w:r>
        <w:rPr>
          <w:rFonts w:hint="eastAsia" w:ascii="仿宋" w:hAnsi="仿宋" w:eastAsia="仿宋"/>
          <w:color w:val="auto"/>
          <w:sz w:val="32"/>
          <w:szCs w:val="32"/>
        </w:rPr>
        <w:t>万元，</w:t>
      </w:r>
      <w:r>
        <w:rPr>
          <w:rStyle w:val="16"/>
          <w:rFonts w:hint="eastAsia" w:ascii="仿宋" w:hAnsi="仿宋" w:eastAsia="仿宋"/>
          <w:b w:val="0"/>
          <w:bCs/>
          <w:color w:val="auto"/>
          <w:sz w:val="32"/>
          <w:szCs w:val="32"/>
        </w:rPr>
        <w:t>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3" w:firstLineChars="200"/>
        <w:rPr>
          <w:rFonts w:ascii="仿宋" w:hAnsi="仿宋" w:eastAsia="仿宋"/>
          <w:b/>
          <w:sz w:val="32"/>
          <w:szCs w:val="32"/>
        </w:rPr>
      </w:pPr>
      <w:r>
        <w:rPr>
          <w:rFonts w:hint="eastAsia" w:ascii="仿宋" w:hAnsi="仿宋" w:eastAsia="仿宋"/>
          <w:b/>
          <w:bCs/>
          <w:color w:val="auto"/>
          <w:sz w:val="32"/>
          <w:szCs w:val="32"/>
          <w:lang w:val="en-US" w:eastAsia="zh-CN"/>
        </w:rPr>
        <w:t>7.城乡社区服务212</w:t>
      </w:r>
      <w:r>
        <w:rPr>
          <w:rFonts w:hint="eastAsia" w:ascii="仿宋" w:hAnsi="仿宋" w:eastAsia="仿宋"/>
          <w:b/>
          <w:bCs/>
          <w:color w:val="auto"/>
          <w:sz w:val="32"/>
          <w:szCs w:val="32"/>
          <w:lang w:eastAsia="zh-CN"/>
        </w:rPr>
        <w:t>（类）</w:t>
      </w:r>
      <w:r>
        <w:rPr>
          <w:rFonts w:hint="eastAsia" w:ascii="仿宋" w:hAnsi="仿宋" w:eastAsia="仿宋"/>
          <w:b/>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eastAsia="zh-CN"/>
        </w:rPr>
        <w:t>：</w:t>
      </w:r>
      <w:r>
        <w:rPr>
          <w:rFonts w:hint="eastAsia" w:ascii="仿宋" w:hAnsi="仿宋" w:eastAsia="仿宋"/>
          <w:color w:val="auto"/>
          <w:sz w:val="32"/>
          <w:szCs w:val="32"/>
        </w:rPr>
        <w:t>支出决算</w:t>
      </w:r>
      <w:r>
        <w:rPr>
          <w:rFonts w:hint="eastAsia" w:ascii="仿宋" w:hAnsi="仿宋" w:eastAsia="仿宋"/>
          <w:color w:val="auto"/>
          <w:sz w:val="32"/>
          <w:szCs w:val="32"/>
          <w:lang w:val="en-US" w:eastAsia="zh-CN"/>
        </w:rPr>
        <w:t>39.5</w:t>
      </w:r>
      <w:r>
        <w:rPr>
          <w:rFonts w:hint="eastAsia" w:ascii="仿宋" w:hAnsi="仿宋" w:eastAsia="仿宋"/>
          <w:color w:val="auto"/>
          <w:sz w:val="32"/>
          <w:szCs w:val="32"/>
        </w:rPr>
        <w:t>万元，</w:t>
      </w:r>
      <w:r>
        <w:rPr>
          <w:rStyle w:val="16"/>
          <w:rFonts w:hint="eastAsia" w:ascii="仿宋" w:hAnsi="仿宋" w:eastAsia="仿宋"/>
          <w:b w:val="0"/>
          <w:bCs/>
          <w:color w:val="auto"/>
          <w:sz w:val="32"/>
          <w:szCs w:val="32"/>
        </w:rPr>
        <w:t>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tabs>
          <w:tab w:val="right" w:pos="8306"/>
        </w:tabs>
        <w:spacing w:line="600" w:lineRule="exact"/>
        <w:ind w:firstLine="640"/>
        <w:outlineLvl w:val="1"/>
        <w:rPr>
          <w:rStyle w:val="27"/>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hint="eastAsia" w:ascii="仿宋" w:hAnsi="仿宋" w:eastAsia="仿宋"/>
          <w:sz w:val="32"/>
          <w:szCs w:val="32"/>
          <w:lang w:val="en-US" w:eastAsia="zh-CN"/>
        </w:rPr>
        <w:t>127.33</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118.09</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　</w:t>
      </w:r>
      <w:r>
        <w:rPr>
          <w:rFonts w:hint="eastAsia" w:ascii="仿宋_GB2312" w:eastAsia="仿宋_GB2312"/>
          <w:sz w:val="32"/>
          <w:szCs w:val="32"/>
        </w:rPr>
        <w:t>　公用经费</w:t>
      </w:r>
      <w:r>
        <w:rPr>
          <w:rFonts w:hint="eastAsia" w:ascii="仿宋_GB2312" w:eastAsia="仿宋_GB2312"/>
          <w:sz w:val="32"/>
          <w:szCs w:val="32"/>
          <w:lang w:val="en-US" w:eastAsia="zh-CN"/>
        </w:rPr>
        <w:t>9.24</w:t>
      </w:r>
      <w:r>
        <w:rPr>
          <w:rFonts w:hint="eastAsia" w:ascii="仿宋_GB2312" w:eastAsia="仿宋_GB2312"/>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numPr>
          <w:ilvl w:val="0"/>
          <w:numId w:val="2"/>
        </w:numPr>
        <w:spacing w:line="600" w:lineRule="exact"/>
        <w:ind w:firstLine="640"/>
        <w:outlineLvl w:val="2"/>
        <w:rPr>
          <w:rStyle w:val="27"/>
          <w:rFonts w:hint="eastAsia" w:ascii="黑体" w:hAnsi="黑体" w:eastAsia="黑体"/>
          <w:b w:val="0"/>
          <w:color w:val="auto"/>
        </w:rPr>
      </w:pPr>
      <w:bookmarkStart w:id="42" w:name="_Toc15396609"/>
      <w:bookmarkStart w:id="43" w:name="_Toc15377215"/>
      <w:r>
        <w:rPr>
          <w:rStyle w:val="27"/>
          <w:rFonts w:hint="eastAsia" w:ascii="黑体" w:hAnsi="黑体" w:eastAsia="黑体"/>
          <w:color w:val="auto"/>
        </w:rPr>
        <w:t>“</w:t>
      </w:r>
      <w:r>
        <w:rPr>
          <w:rStyle w:val="27"/>
          <w:rFonts w:hint="eastAsia" w:ascii="黑体" w:hAnsi="黑体" w:eastAsia="黑体"/>
          <w:b w:val="0"/>
          <w:color w:val="auto"/>
        </w:rPr>
        <w:t>三公”经费财政拨款支出决算情况说明</w:t>
      </w:r>
      <w:bookmarkEnd w:id="42"/>
      <w:bookmarkEnd w:id="43"/>
    </w:p>
    <w:p>
      <w:pPr>
        <w:spacing w:line="600" w:lineRule="exact"/>
        <w:ind w:firstLine="640"/>
        <w:outlineLvl w:val="2"/>
        <w:rPr>
          <w:rFonts w:ascii="仿宋" w:hAnsi="仿宋" w:eastAsia="仿宋"/>
          <w:b/>
          <w:color w:val="auto"/>
          <w:sz w:val="32"/>
          <w:szCs w:val="32"/>
        </w:rPr>
      </w:pPr>
      <w:bookmarkStart w:id="44" w:name="_Toc15377216"/>
      <w:r>
        <w:rPr>
          <w:rFonts w:hint="eastAsia" w:ascii="仿宋" w:hAnsi="仿宋" w:eastAsia="仿宋"/>
          <w:b/>
          <w:color w:val="auto"/>
          <w:sz w:val="32"/>
          <w:szCs w:val="32"/>
        </w:rPr>
        <w:t>（一）“三公”经费财政拨款支出决算总体情况说明</w:t>
      </w:r>
      <w:bookmarkEnd w:id="44"/>
    </w:p>
    <w:p>
      <w:pPr>
        <w:numPr>
          <w:ilvl w:val="0"/>
          <w:numId w:val="0"/>
        </w:numPr>
        <w:spacing w:line="600" w:lineRule="exact"/>
        <w:ind w:left="630" w:leftChars="0" w:firstLine="640" w:firstLineChars="200"/>
        <w:rPr>
          <w:rFonts w:hint="eastAsia" w:ascii="仿宋" w:hAnsi="仿宋" w:eastAsia="仿宋"/>
          <w:b/>
          <w:bCs/>
          <w:color w:val="auto"/>
          <w:sz w:val="32"/>
          <w:szCs w:val="32"/>
          <w:lang w:eastAsia="zh-CN"/>
        </w:rPr>
      </w:pPr>
      <w:r>
        <w:rPr>
          <w:rFonts w:ascii="仿宋" w:hAnsi="仿宋" w:eastAsia="仿宋"/>
          <w:color w:val="auto"/>
          <w:sz w:val="32"/>
          <w:szCs w:val="32"/>
        </w:rPr>
        <w:t>20</w:t>
      </w:r>
      <w:r>
        <w:rPr>
          <w:rFonts w:hint="eastAsia" w:ascii="仿宋" w:hAnsi="仿宋" w:eastAsia="仿宋"/>
          <w:color w:val="auto"/>
          <w:sz w:val="32"/>
          <w:szCs w:val="32"/>
        </w:rPr>
        <w:t>21年“三公”经费财政拨款支出决算为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，决算数</w:t>
      </w:r>
      <w:r>
        <w:rPr>
          <w:rFonts w:hint="eastAsia" w:ascii="仿宋" w:hAnsi="仿宋" w:eastAsia="仿宋"/>
          <w:color w:val="auto"/>
          <w:sz w:val="32"/>
          <w:szCs w:val="32"/>
          <w:lang w:eastAsia="zh-CN"/>
        </w:rPr>
        <w:t>小于</w:t>
      </w:r>
      <w:r>
        <w:rPr>
          <w:rFonts w:hint="eastAsia" w:ascii="仿宋" w:hAnsi="仿宋" w:eastAsia="仿宋"/>
          <w:color w:val="auto"/>
          <w:sz w:val="32"/>
          <w:szCs w:val="32"/>
        </w:rPr>
        <w:t>预算数</w:t>
      </w:r>
      <w:r>
        <w:rPr>
          <w:rFonts w:hint="eastAsia" w:ascii="仿宋" w:hAnsi="仿宋" w:eastAsia="仿宋"/>
          <w:color w:val="auto"/>
          <w:sz w:val="32"/>
          <w:szCs w:val="32"/>
          <w:lang w:eastAsia="zh-CN"/>
        </w:rPr>
        <w:t>，</w:t>
      </w:r>
      <w:r>
        <w:rPr>
          <w:rFonts w:hint="eastAsia" w:ascii="仿宋_GB2312" w:eastAsia="仿宋_GB2312"/>
          <w:color w:val="auto"/>
          <w:sz w:val="32"/>
          <w:szCs w:val="32"/>
        </w:rPr>
        <w:t>主要原因</w:t>
      </w:r>
      <w:r>
        <w:rPr>
          <w:rFonts w:hint="eastAsia" w:ascii="仿宋_GB2312" w:eastAsia="仿宋_GB2312"/>
          <w:color w:val="auto"/>
          <w:sz w:val="32"/>
          <w:szCs w:val="32"/>
          <w:lang w:eastAsia="zh-CN"/>
        </w:rPr>
        <w:t>本年度未发生公务接待。</w:t>
      </w:r>
    </w:p>
    <w:p>
      <w:pPr>
        <w:spacing w:line="600" w:lineRule="exact"/>
        <w:ind w:firstLine="640"/>
        <w:outlineLvl w:val="2"/>
        <w:rPr>
          <w:rFonts w:ascii="仿宋" w:hAnsi="仿宋" w:eastAsia="仿宋"/>
          <w:b/>
          <w:color w:val="auto"/>
          <w:sz w:val="32"/>
          <w:szCs w:val="32"/>
        </w:rPr>
      </w:pPr>
      <w:bookmarkStart w:id="45" w:name="_Toc15377217"/>
      <w:r>
        <w:rPr>
          <w:rFonts w:hint="eastAsia" w:ascii="仿宋" w:hAnsi="仿宋" w:eastAsia="仿宋"/>
          <w:b/>
          <w:color w:val="auto"/>
          <w:sz w:val="32"/>
          <w:szCs w:val="32"/>
        </w:rPr>
        <w:t>（二）“三公”经费财政拨款支出决算具体情况说明</w:t>
      </w:r>
      <w:bookmarkEnd w:id="45"/>
    </w:p>
    <w:p>
      <w:pPr>
        <w:spacing w:line="600" w:lineRule="exact"/>
        <w:ind w:firstLine="64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21年“三公”经费财政拨款支出决算中，因公出国（境）费支出决算0万元，占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；公务用车购置及运行维护费支出决算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；公务接待费支出决算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。具体情况如下：</w:t>
      </w:r>
    </w:p>
    <w:p>
      <w:pPr>
        <w:spacing w:line="600" w:lineRule="exact"/>
        <w:ind w:firstLine="640"/>
        <w:rPr>
          <w:rFonts w:hint="eastAsia" w:ascii="仿宋_GB2312" w:eastAsia="仿宋_GB2312"/>
          <w:b/>
          <w:color w:val="auto"/>
          <w:sz w:val="32"/>
          <w:szCs w:val="32"/>
          <w:highlight w:val="none"/>
          <w:lang w:eastAsia="zh-CN"/>
        </w:rPr>
      </w:pPr>
      <w:r>
        <w:rPr>
          <w:rStyle w:val="16"/>
          <w:rFonts w:hint="eastAsia" w:ascii="仿宋" w:hAnsi="仿宋" w:eastAsia="仿宋"/>
          <w:b w:val="0"/>
          <w:bCs/>
          <w:color w:val="auto"/>
          <w:sz w:val="32"/>
          <w:szCs w:val="32"/>
          <w:highlight w:val="none"/>
          <w:lang w:val="en-US" w:eastAsia="zh-CN"/>
        </w:rPr>
        <w:t>1.</w:t>
      </w:r>
      <w:r>
        <w:rPr>
          <w:rStyle w:val="16"/>
          <w:rFonts w:hint="eastAsia" w:ascii="仿宋" w:hAnsi="仿宋" w:eastAsia="仿宋"/>
          <w:b w:val="0"/>
          <w:bCs/>
          <w:color w:val="auto"/>
          <w:sz w:val="32"/>
          <w:szCs w:val="32"/>
          <w:highlight w:val="none"/>
          <w:lang w:eastAsia="zh-CN"/>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lang w:eastAsia="zh-CN"/>
        </w:rPr>
        <w:t>年初未安排预算</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支出决算</w:t>
      </w:r>
      <w:r>
        <w:rPr>
          <w:rFonts w:hint="eastAsia" w:ascii="仿宋_GB2312" w:eastAsia="仿宋_GB2312"/>
          <w:color w:val="auto"/>
          <w:sz w:val="32"/>
          <w:szCs w:val="32"/>
          <w:highlight w:val="none"/>
          <w:lang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p>
    <w:p>
      <w:pPr>
        <w:numPr>
          <w:ilvl w:val="0"/>
          <w:numId w:val="0"/>
        </w:numPr>
        <w:spacing w:line="600" w:lineRule="exact"/>
        <w:ind w:firstLine="640" w:firstLineChars="200"/>
        <w:rPr>
          <w:rFonts w:hint="eastAsia" w:ascii="仿宋_GB2312" w:eastAsia="仿宋_GB2312"/>
          <w:color w:val="auto"/>
          <w:sz w:val="32"/>
          <w:szCs w:val="32"/>
          <w:lang w:eastAsia="zh-CN"/>
        </w:rPr>
      </w:pPr>
      <w:r>
        <w:rPr>
          <w:rStyle w:val="16"/>
          <w:rFonts w:hint="eastAsia" w:ascii="仿宋" w:hAnsi="仿宋" w:eastAsia="仿宋"/>
          <w:b w:val="0"/>
          <w:bCs/>
          <w:color w:val="auto"/>
          <w:sz w:val="32"/>
          <w:szCs w:val="32"/>
          <w:highlight w:val="none"/>
          <w:lang w:val="en-US" w:eastAsia="zh-CN"/>
        </w:rPr>
        <w:t>2..</w:t>
      </w:r>
      <w:r>
        <w:rPr>
          <w:rStyle w:val="16"/>
          <w:rFonts w:hint="eastAsia" w:ascii="仿宋" w:hAnsi="仿宋" w:eastAsia="仿宋"/>
          <w:b w:val="0"/>
          <w:bCs/>
          <w:color w:val="auto"/>
          <w:sz w:val="32"/>
          <w:szCs w:val="32"/>
          <w:highlight w:val="none"/>
          <w:lang w:eastAsia="zh-CN"/>
        </w:rPr>
        <w:t>公务接待费支出</w:t>
      </w:r>
      <w:r>
        <w:rPr>
          <w:rStyle w:val="16"/>
          <w:rFonts w:hint="eastAsia" w:ascii="仿宋" w:hAnsi="仿宋" w:eastAsia="仿宋"/>
          <w:b w:val="0"/>
          <w:bCs/>
          <w:color w:val="auto"/>
          <w:sz w:val="32"/>
          <w:szCs w:val="32"/>
          <w:highlight w:val="none"/>
          <w:lang w:val="en-US" w:eastAsia="zh-CN"/>
        </w:rPr>
        <w:t>0</w:t>
      </w:r>
      <w:r>
        <w:rPr>
          <w:rStyle w:val="16"/>
          <w:rFonts w:hint="eastAsia" w:ascii="仿宋" w:hAnsi="仿宋" w:eastAsia="仿宋"/>
          <w:b w:val="0"/>
          <w:bCs/>
          <w:color w:val="auto"/>
          <w:sz w:val="32"/>
          <w:szCs w:val="32"/>
          <w:highlight w:val="none"/>
          <w:lang w:eastAsia="zh-CN"/>
        </w:rPr>
        <w:t>万元，未完成预算数。公务接待费支出决算比2020年减少</w:t>
      </w:r>
      <w:r>
        <w:rPr>
          <w:rStyle w:val="16"/>
          <w:rFonts w:hint="eastAsia" w:ascii="仿宋" w:hAnsi="仿宋" w:eastAsia="仿宋"/>
          <w:b w:val="0"/>
          <w:bCs/>
          <w:color w:val="auto"/>
          <w:sz w:val="32"/>
          <w:szCs w:val="32"/>
          <w:highlight w:val="none"/>
          <w:lang w:val="en-US" w:eastAsia="zh-CN"/>
        </w:rPr>
        <w:t>0</w:t>
      </w:r>
      <w:r>
        <w:rPr>
          <w:rFonts w:hint="eastAsia" w:ascii="仿宋_GB2312" w:eastAsia="仿宋_GB2312"/>
          <w:color w:val="auto"/>
          <w:sz w:val="32"/>
          <w:szCs w:val="32"/>
          <w:lang w:val="en-US" w:eastAsia="zh-CN"/>
        </w:rPr>
        <w:t>.96</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93.8</w:t>
      </w:r>
      <w:r>
        <w:rPr>
          <w:rFonts w:ascii="仿宋_GB2312" w:eastAsia="仿宋_GB2312"/>
          <w:color w:val="auto"/>
          <w:sz w:val="32"/>
          <w:szCs w:val="32"/>
        </w:rPr>
        <w:t>%</w:t>
      </w:r>
      <w:r>
        <w:rPr>
          <w:rFonts w:hint="eastAsia" w:ascii="仿宋_GB2312" w:eastAsia="仿宋_GB2312"/>
          <w:color w:val="auto"/>
          <w:sz w:val="32"/>
          <w:szCs w:val="32"/>
        </w:rPr>
        <w:t>。主要原因</w:t>
      </w:r>
      <w:r>
        <w:rPr>
          <w:rFonts w:hint="eastAsia" w:ascii="仿宋_GB2312" w:eastAsia="仿宋_GB2312"/>
          <w:color w:val="auto"/>
          <w:sz w:val="32"/>
          <w:szCs w:val="32"/>
          <w:lang w:eastAsia="zh-CN"/>
        </w:rPr>
        <w:t>本年度未发生公务接待。</w:t>
      </w:r>
    </w:p>
    <w:p>
      <w:pPr>
        <w:numPr>
          <w:ilvl w:val="0"/>
          <w:numId w:val="0"/>
        </w:numPr>
        <w:spacing w:line="600" w:lineRule="exact"/>
        <w:ind w:firstLine="643" w:firstLineChars="200"/>
        <w:rPr>
          <w:rFonts w:hint="eastAsia" w:ascii="仿宋_GB2312" w:eastAsia="仿宋"/>
          <w:color w:val="auto"/>
          <w:sz w:val="32"/>
          <w:szCs w:val="32"/>
          <w:lang w:eastAsia="zh-CN"/>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0万元。</w:t>
      </w:r>
    </w:p>
    <w:p>
      <w:pPr>
        <w:spacing w:line="600" w:lineRule="exact"/>
        <w:ind w:firstLine="643" w:firstLineChars="200"/>
        <w:rPr>
          <w:rFonts w:ascii="仿宋_GB2312" w:eastAsia="仿宋_GB2312"/>
          <w:color w:val="auto"/>
          <w:sz w:val="32"/>
          <w:szCs w:val="32"/>
        </w:rPr>
      </w:pPr>
      <w:r>
        <w:rPr>
          <w:rFonts w:hint="eastAsia" w:ascii="仿宋" w:hAnsi="仿宋" w:eastAsia="仿宋"/>
          <w:b/>
          <w:color w:val="auto"/>
          <w:sz w:val="32"/>
          <w:szCs w:val="32"/>
        </w:rPr>
        <w:t>外事接待支出</w:t>
      </w:r>
      <w:r>
        <w:rPr>
          <w:rFonts w:hint="eastAsia" w:ascii="仿宋" w:hAnsi="仿宋" w:eastAsia="仿宋"/>
          <w:b/>
          <w:color w:val="auto"/>
          <w:sz w:val="32"/>
          <w:szCs w:val="32"/>
          <w:lang w:val="en-US" w:eastAsia="zh-CN"/>
        </w:rPr>
        <w:t>0万元。</w:t>
      </w:r>
    </w:p>
    <w:p>
      <w:pPr>
        <w:spacing w:line="600" w:lineRule="exact"/>
        <w:ind w:firstLine="640"/>
        <w:outlineLvl w:val="1"/>
        <w:rPr>
          <w:rStyle w:val="27"/>
          <w:rFonts w:ascii="黑体" w:hAnsi="黑体" w:eastAsia="黑体"/>
        </w:rPr>
      </w:pPr>
      <w:bookmarkStart w:id="46" w:name="_Toc15377218"/>
      <w:bookmarkStart w:id="47" w:name="_Toc15396610"/>
      <w:r>
        <w:rPr>
          <w:rFonts w:hint="eastAsia" w:ascii="黑体" w:eastAsia="黑体"/>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3"/>
        </w:numPr>
        <w:spacing w:line="600" w:lineRule="exact"/>
        <w:ind w:firstLine="640"/>
        <w:outlineLvl w:val="1"/>
        <w:rPr>
          <w:rStyle w:val="27"/>
          <w:rFonts w:ascii="黑体" w:hAnsi="黑体" w:eastAsia="黑体"/>
          <w:b w:val="0"/>
        </w:rPr>
      </w:pPr>
      <w:bookmarkStart w:id="48" w:name="_Toc15396611"/>
      <w:bookmarkStart w:id="49" w:name="_Toc15377219"/>
      <w:r>
        <w:rPr>
          <w:rStyle w:val="27"/>
          <w:rFonts w:hint="eastAsia" w:ascii="黑体" w:hAnsi="黑体" w:eastAsia="黑体"/>
          <w:b w:val="0"/>
        </w:rPr>
        <w:t>国有资本经营预算支出决算情况说明</w:t>
      </w:r>
      <w:bookmarkEnd w:id="48"/>
      <w:bookmarkEnd w:id="49"/>
    </w:p>
    <w:p>
      <w:pPr>
        <w:spacing w:line="600" w:lineRule="exact"/>
        <w:ind w:firstLine="640"/>
      </w:pPr>
      <w:r>
        <w:rPr>
          <w:rFonts w:ascii="仿宋_GB2312" w:eastAsia="仿宋_GB2312"/>
          <w:sz w:val="32"/>
          <w:szCs w:val="32"/>
        </w:rPr>
        <w:t>20</w:t>
      </w:r>
      <w:r>
        <w:rPr>
          <w:rFonts w:hint="eastAsia" w:ascii="仿宋_GB2312" w:eastAsia="仿宋_GB2312"/>
          <w:sz w:val="32"/>
          <w:szCs w:val="32"/>
        </w:rPr>
        <w:t>21年国有资本经营预算财政拨款支出0万元。</w:t>
      </w:r>
      <w:bookmarkStart w:id="50" w:name="_Toc15377221"/>
      <w:bookmarkStart w:id="51" w:name="_Toc15396612"/>
    </w:p>
    <w:p>
      <w:pPr>
        <w:numPr>
          <w:ilvl w:val="0"/>
          <w:numId w:val="3"/>
        </w:numPr>
        <w:spacing w:line="600" w:lineRule="exact"/>
        <w:ind w:firstLine="640"/>
        <w:outlineLvl w:val="1"/>
        <w:rPr>
          <w:rStyle w:val="27"/>
          <w:rFonts w:ascii="黑体" w:hAnsi="黑体" w:eastAsia="黑体"/>
          <w:b w:val="0"/>
        </w:rPr>
      </w:pPr>
      <w:r>
        <w:rPr>
          <w:rStyle w:val="27"/>
          <w:rFonts w:hint="eastAsia" w:ascii="黑体" w:hAnsi="黑体" w:eastAsia="黑体"/>
          <w:b w:val="0"/>
        </w:rPr>
        <w:t>预算绩效管理情况</w:t>
      </w:r>
    </w:p>
    <w:p>
      <w:pPr>
        <w:spacing w:line="572" w:lineRule="exact"/>
        <w:ind w:firstLine="640" w:firstLineChars="200"/>
        <w:jc w:val="left"/>
      </w:pPr>
      <w:r>
        <w:rPr>
          <w:rFonts w:hint="eastAsia" w:ascii="仿宋_GB2312" w:hAnsi="仿宋_GB2312" w:eastAsia="仿宋_GB2312" w:cs="仿宋_GB2312"/>
          <w:sz w:val="32"/>
          <w:szCs w:val="32"/>
        </w:rPr>
        <w:t>根据预算绩效管理要求，本部门在2021年度预算编制阶段，组织对征拆工作经费开展了预算事前绩效评估，对征拆工作经费编制了绩效目标，预算执行过程中，选取1个项目开展绩效监控，年终执行完毕后，对1个项目开展了绩效自评。同时，本部门对2021年部门整体开展绩效自评，《2021年广元市朝天区土地房屋征收拆迁事务中心部门整体绩效评价报告》见附件（第四部分）。</w:t>
      </w:r>
    </w:p>
    <w:p>
      <w:pPr>
        <w:numPr>
          <w:ilvl w:val="0"/>
          <w:numId w:val="3"/>
        </w:numPr>
        <w:spacing w:line="600" w:lineRule="exact"/>
        <w:ind w:firstLine="640"/>
        <w:outlineLvl w:val="1"/>
        <w:rPr>
          <w:rStyle w:val="27"/>
          <w:rFonts w:ascii="黑体" w:hAnsi="黑体" w:eastAsia="黑体"/>
          <w:b w:val="0"/>
        </w:rPr>
      </w:pPr>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rPr>
          <w:rFonts w:hint="eastAsia" w:ascii="仿宋_GB2312" w:eastAsia="仿宋"/>
          <w:sz w:val="32"/>
          <w:szCs w:val="32"/>
          <w:lang w:val="en-US" w:eastAsia="zh-CN"/>
        </w:rPr>
      </w:pPr>
      <w:r>
        <w:rPr>
          <w:rFonts w:ascii="仿宋_GB2312" w:eastAsia="仿宋_GB2312"/>
          <w:sz w:val="32"/>
          <w:szCs w:val="32"/>
        </w:rPr>
        <w:t>20</w:t>
      </w:r>
      <w:r>
        <w:rPr>
          <w:rFonts w:hint="eastAsia" w:ascii="仿宋_GB2312" w:eastAsia="仿宋_GB2312"/>
          <w:sz w:val="32"/>
          <w:szCs w:val="32"/>
        </w:rPr>
        <w:t>21年</w:t>
      </w:r>
      <w:r>
        <w:rPr>
          <w:rFonts w:hint="eastAsia" w:ascii="仿宋" w:hAnsi="仿宋" w:eastAsia="仿宋" w:cs="仿宋"/>
          <w:b/>
          <w:color w:val="000000"/>
          <w:sz w:val="32"/>
          <w:szCs w:val="32"/>
        </w:rPr>
        <w:t>机关运行经费支出，</w:t>
      </w:r>
      <w:r>
        <w:rPr>
          <w:rFonts w:hint="eastAsia" w:ascii="仿宋" w:hAnsi="仿宋" w:eastAsia="仿宋" w:cs="仿宋"/>
          <w:b/>
          <w:color w:val="000000"/>
          <w:sz w:val="32"/>
          <w:szCs w:val="32"/>
          <w:lang w:eastAsia="zh-CN"/>
        </w:rPr>
        <w:t>事业单位不填报。</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21年，征收拆迁事务中心政府采购支出总额0万元</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日，征收拆迁事务中心共有车辆0辆，其中：主要领导干部用车0辆、机要通信用车0辆、应急保障用车0辆、其他用车0辆其他用车主要是用于单价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26"/>
          <w:rFonts w:hint="eastAsia" w:ascii="黑体" w:hAnsi="黑体" w:eastAsia="黑体"/>
          <w:b w:val="0"/>
        </w:rPr>
        <w:t>词解释</w:t>
      </w:r>
      <w:bookmarkEnd w:id="55"/>
      <w:bookmarkEnd w:id="56"/>
    </w:p>
    <w:p>
      <w:pPr>
        <w:spacing w:line="600" w:lineRule="exact"/>
        <w:jc w:val="left"/>
        <w:rPr>
          <w:rFonts w:ascii="宋体"/>
          <w:b/>
          <w:sz w:val="44"/>
          <w:szCs w:val="44"/>
        </w:rPr>
      </w:pP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4"/>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4"/>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4"/>
        <w:spacing w:line="560" w:lineRule="exact"/>
        <w:ind w:left="638" w:leftChars="304" w:firstLine="0" w:firstLineChars="0"/>
        <w:rPr>
          <w:rFonts w:hint="eastAsia" w:ascii="仿宋_GB2312" w:eastAsia="仿宋_GB2312"/>
          <w:color w:val="auto"/>
          <w:sz w:val="32"/>
          <w:szCs w:val="32"/>
          <w:lang w:val="en-US" w:eastAsia="zh-CN"/>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w:t>
      </w:r>
      <w:r>
        <w:rPr>
          <w:rFonts w:hint="eastAsia" w:ascii="仿宋_GB2312" w:eastAsia="仿宋_GB2312"/>
          <w:color w:val="auto"/>
          <w:sz w:val="32"/>
          <w:szCs w:val="32"/>
          <w:lang w:eastAsia="zh-CN"/>
        </w:rPr>
        <w:t>。</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spacing w:line="580" w:lineRule="exact"/>
        <w:ind w:firstLine="640" w:firstLineChars="200"/>
        <w:rPr>
          <w:rFonts w:hint="eastAsia" w:ascii="仿宋" w:hAnsi="仿宋" w:eastAsia="仿宋"/>
          <w:color w:val="auto"/>
          <w:sz w:val="32"/>
          <w:szCs w:val="32"/>
          <w:lang w:eastAsia="zh-CN"/>
        </w:rPr>
      </w:pPr>
      <w:r>
        <w:rPr>
          <w:rFonts w:ascii="仿宋_GB2312" w:eastAsia="仿宋_GB2312"/>
          <w:color w:val="auto"/>
          <w:sz w:val="32"/>
          <w:szCs w:val="32"/>
        </w:rPr>
        <w:t>9.</w:t>
      </w:r>
      <w:r>
        <w:rPr>
          <w:rFonts w:hint="eastAsia" w:ascii="仿宋_GB2312" w:eastAsia="仿宋_GB2312"/>
          <w:color w:val="auto"/>
          <w:sz w:val="32"/>
          <w:szCs w:val="32"/>
        </w:rPr>
        <w:t>自然资源海洋气象支出</w:t>
      </w:r>
      <w:r>
        <w:rPr>
          <w:rFonts w:hint="eastAsia" w:ascii="仿宋_GB2312" w:eastAsia="仿宋_GB2312"/>
          <w:color w:val="auto"/>
          <w:sz w:val="32"/>
          <w:szCs w:val="32"/>
          <w:lang w:val="en-US" w:eastAsia="zh-CN"/>
        </w:rPr>
        <w:t>220</w:t>
      </w:r>
      <w:r>
        <w:rPr>
          <w:rFonts w:hint="eastAsia" w:ascii="仿宋" w:hAnsi="仿宋" w:eastAsia="仿宋"/>
          <w:color w:val="auto"/>
          <w:sz w:val="32"/>
          <w:szCs w:val="32"/>
        </w:rPr>
        <w:t>（类）</w:t>
      </w:r>
      <w:r>
        <w:rPr>
          <w:rFonts w:hint="eastAsia" w:ascii="仿宋" w:hAnsi="仿宋" w:eastAsia="仿宋"/>
          <w:color w:val="auto"/>
          <w:sz w:val="32"/>
          <w:szCs w:val="32"/>
          <w:lang w:val="en-US" w:eastAsia="zh-CN"/>
        </w:rPr>
        <w:t>01</w:t>
      </w:r>
      <w:r>
        <w:rPr>
          <w:rFonts w:hint="eastAsia" w:ascii="仿宋" w:hAnsi="仿宋" w:eastAsia="仿宋"/>
          <w:color w:val="auto"/>
          <w:sz w:val="32"/>
          <w:szCs w:val="32"/>
        </w:rPr>
        <w:t>（款）0</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（项）：</w:t>
      </w:r>
      <w:r>
        <w:rPr>
          <w:rFonts w:hint="eastAsia" w:ascii="仿宋" w:hAnsi="仿宋" w:eastAsia="仿宋"/>
          <w:color w:val="auto"/>
          <w:sz w:val="32"/>
          <w:szCs w:val="32"/>
          <w:lang w:eastAsia="zh-CN"/>
        </w:rPr>
        <w:t>其他事业单位支出。</w:t>
      </w:r>
    </w:p>
    <w:p>
      <w:pPr>
        <w:ind w:firstLine="640" w:firstLineChars="200"/>
        <w:rPr>
          <w:rFonts w:hint="eastAsia" w:ascii="仿宋_GB2312" w:eastAsia="仿宋"/>
          <w:color w:val="000000"/>
          <w:sz w:val="32"/>
          <w:szCs w:val="32"/>
          <w:lang w:eastAsia="zh-CN"/>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ascii="仿宋" w:hAnsi="仿宋" w:eastAsia="仿宋"/>
          <w:color w:val="000000"/>
          <w:sz w:val="32"/>
          <w:szCs w:val="32"/>
        </w:rPr>
        <w:t>社会保障和就业</w:t>
      </w:r>
      <w:r>
        <w:rPr>
          <w:rFonts w:hint="eastAsia" w:ascii="仿宋" w:hAnsi="仿宋" w:eastAsia="仿宋"/>
          <w:color w:val="000000"/>
          <w:sz w:val="32"/>
          <w:szCs w:val="32"/>
          <w:lang w:val="en-US" w:eastAsia="zh-CN"/>
        </w:rPr>
        <w:t>208</w:t>
      </w:r>
      <w:r>
        <w:rPr>
          <w:rFonts w:ascii="仿宋" w:hAnsi="仿宋" w:eastAsia="仿宋"/>
          <w:color w:val="000000"/>
          <w:sz w:val="32"/>
          <w:szCs w:val="32"/>
        </w:rPr>
        <w:t>（类）</w:t>
      </w:r>
      <w:r>
        <w:rPr>
          <w:rFonts w:hint="eastAsia" w:ascii="仿宋" w:hAnsi="仿宋" w:eastAsia="仿宋"/>
          <w:color w:val="000000"/>
          <w:sz w:val="32"/>
          <w:szCs w:val="32"/>
          <w:lang w:val="en-US" w:eastAsia="zh-CN"/>
        </w:rPr>
        <w:t>99</w:t>
      </w:r>
      <w:r>
        <w:rPr>
          <w:rFonts w:ascii="仿宋" w:hAnsi="仿宋" w:eastAsia="仿宋"/>
          <w:color w:val="000000"/>
          <w:sz w:val="32"/>
          <w:szCs w:val="32"/>
        </w:rPr>
        <w:t>（款）</w:t>
      </w:r>
      <w:r>
        <w:rPr>
          <w:rFonts w:hint="eastAsia" w:ascii="仿宋" w:hAnsi="仿宋" w:eastAsia="仿宋"/>
          <w:color w:val="000000"/>
          <w:sz w:val="32"/>
          <w:szCs w:val="32"/>
          <w:lang w:val="en-US" w:eastAsia="zh-CN"/>
        </w:rPr>
        <w:t>99</w:t>
      </w:r>
      <w:r>
        <w:rPr>
          <w:rFonts w:ascii="仿宋" w:hAnsi="仿宋" w:eastAsia="仿宋"/>
          <w:color w:val="000000"/>
          <w:sz w:val="32"/>
          <w:szCs w:val="32"/>
        </w:rPr>
        <w:t>（项）: </w:t>
      </w:r>
      <w:r>
        <w:rPr>
          <w:rFonts w:hint="eastAsia" w:ascii="仿宋" w:hAnsi="仿宋" w:eastAsia="仿宋"/>
          <w:color w:val="000000"/>
          <w:sz w:val="32"/>
          <w:szCs w:val="32"/>
          <w:lang w:eastAsia="zh-CN"/>
        </w:rPr>
        <w:t>其他社会保障和就业支出。</w:t>
      </w:r>
    </w:p>
    <w:p>
      <w:pPr>
        <w:spacing w:line="580" w:lineRule="exact"/>
        <w:ind w:firstLine="640" w:firstLineChars="200"/>
        <w:rPr>
          <w:rFonts w:ascii="仿宋" w:hAnsi="仿宋" w:eastAsia="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w:t>
      </w:r>
      <w:r>
        <w:rPr>
          <w:rFonts w:hint="eastAsia" w:ascii="仿宋_GB2312" w:eastAsia="仿宋_GB2312"/>
          <w:color w:val="000000"/>
          <w:sz w:val="32"/>
          <w:szCs w:val="32"/>
          <w:lang w:val="en-US" w:eastAsia="zh-CN"/>
        </w:rPr>
        <w:t>210</w:t>
      </w:r>
      <w:r>
        <w:rPr>
          <w:rFonts w:ascii="仿宋" w:hAnsi="仿宋" w:eastAsia="仿宋"/>
          <w:color w:val="000000"/>
          <w:sz w:val="32"/>
          <w:szCs w:val="32"/>
        </w:rPr>
        <w:t>（类）11（款）0</w:t>
      </w:r>
      <w:r>
        <w:rPr>
          <w:rFonts w:hint="eastAsia" w:ascii="仿宋" w:hAnsi="仿宋" w:eastAsia="仿宋"/>
          <w:color w:val="000000"/>
          <w:sz w:val="32"/>
          <w:szCs w:val="32"/>
          <w:lang w:val="en-US" w:eastAsia="zh-CN"/>
        </w:rPr>
        <w:t>2</w:t>
      </w:r>
      <w:r>
        <w:rPr>
          <w:rFonts w:ascii="仿宋" w:hAnsi="仿宋" w:eastAsia="仿宋"/>
          <w:color w:val="000000"/>
          <w:sz w:val="32"/>
          <w:szCs w:val="32"/>
        </w:rPr>
        <w:t>（项）:行政</w:t>
      </w:r>
      <w:r>
        <w:rPr>
          <w:rFonts w:hint="eastAsia" w:ascii="仿宋" w:hAnsi="仿宋" w:eastAsia="仿宋"/>
          <w:color w:val="000000"/>
          <w:sz w:val="32"/>
          <w:szCs w:val="32"/>
          <w:lang w:eastAsia="zh-CN"/>
        </w:rPr>
        <w:t>事业</w:t>
      </w:r>
      <w:r>
        <w:rPr>
          <w:rFonts w:ascii="仿宋" w:hAnsi="仿宋" w:eastAsia="仿宋"/>
          <w:color w:val="000000"/>
          <w:sz w:val="32"/>
          <w:szCs w:val="32"/>
        </w:rPr>
        <w:t>单位医疗支出；</w:t>
      </w:r>
    </w:p>
    <w:p>
      <w:pPr>
        <w:spacing w:line="580" w:lineRule="exact"/>
        <w:ind w:firstLine="640" w:firstLineChars="200"/>
        <w:rPr>
          <w:rFonts w:ascii="仿宋" w:hAnsi="仿宋" w:eastAsia="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w:t>
      </w:r>
      <w:r>
        <w:rPr>
          <w:rFonts w:ascii="仿宋" w:hAnsi="仿宋" w:eastAsia="仿宋"/>
          <w:color w:val="000000"/>
          <w:sz w:val="32"/>
          <w:szCs w:val="32"/>
        </w:rPr>
        <w:t>（类）05（款）0</w:t>
      </w:r>
      <w:r>
        <w:rPr>
          <w:rFonts w:hint="eastAsia" w:ascii="仿宋" w:hAnsi="仿宋" w:eastAsia="仿宋"/>
          <w:color w:val="000000"/>
          <w:sz w:val="32"/>
          <w:szCs w:val="32"/>
          <w:lang w:val="en-US" w:eastAsia="zh-CN"/>
        </w:rPr>
        <w:t>5</w:t>
      </w:r>
      <w:r>
        <w:rPr>
          <w:rFonts w:ascii="仿宋" w:hAnsi="仿宋" w:eastAsia="仿宋"/>
          <w:color w:val="000000"/>
          <w:sz w:val="32"/>
          <w:szCs w:val="32"/>
        </w:rPr>
        <w:t>（项）: 机关事业单位</w:t>
      </w:r>
      <w:r>
        <w:rPr>
          <w:rFonts w:hint="eastAsia" w:ascii="仿宋" w:hAnsi="仿宋" w:eastAsia="仿宋"/>
          <w:color w:val="000000"/>
          <w:sz w:val="32"/>
          <w:szCs w:val="32"/>
          <w:lang w:eastAsia="zh-CN"/>
        </w:rPr>
        <w:t>养老保险</w:t>
      </w:r>
      <w:r>
        <w:rPr>
          <w:rFonts w:ascii="仿宋" w:hAnsi="仿宋" w:eastAsia="仿宋"/>
          <w:color w:val="000000"/>
          <w:sz w:val="32"/>
          <w:szCs w:val="32"/>
        </w:rPr>
        <w:t>缴费支出；</w:t>
      </w:r>
      <w:r>
        <w:rPr>
          <w:rFonts w:hint="eastAsia" w:ascii="仿宋" w:hAnsi="仿宋" w:eastAsia="仿宋"/>
          <w:color w:val="000000"/>
          <w:sz w:val="32"/>
          <w:szCs w:val="32"/>
        </w:rPr>
        <w:t xml:space="preserve"> </w:t>
      </w:r>
    </w:p>
    <w:p>
      <w:pPr>
        <w:spacing w:line="580" w:lineRule="exact"/>
        <w:ind w:firstLine="640" w:firstLineChars="200"/>
        <w:rPr>
          <w:rFonts w:ascii="仿宋" w:hAnsi="仿宋" w:eastAsia="仿宋"/>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w:t>
      </w:r>
      <w:r>
        <w:rPr>
          <w:rFonts w:hint="eastAsia" w:ascii="仿宋_GB2312" w:eastAsia="仿宋_GB2312"/>
          <w:color w:val="000000"/>
          <w:sz w:val="32"/>
          <w:szCs w:val="32"/>
          <w:lang w:val="en-US" w:eastAsia="zh-CN"/>
        </w:rPr>
        <w:t>221</w:t>
      </w:r>
      <w:r>
        <w:rPr>
          <w:rFonts w:hint="eastAsia" w:ascii="仿宋" w:hAnsi="仿宋" w:eastAsia="仿宋"/>
          <w:color w:val="000000"/>
          <w:sz w:val="32"/>
          <w:szCs w:val="32"/>
        </w:rPr>
        <w:t>（类）02（款）01（项）：住房公积金补助。</w:t>
      </w:r>
    </w:p>
    <w:p>
      <w:pPr>
        <w:ind w:firstLine="640" w:firstLineChars="200"/>
        <w:rPr>
          <w:rFonts w:hint="eastAsia" w:ascii="仿宋_GB2312" w:eastAsia="仿宋"/>
          <w:color w:val="auto"/>
          <w:sz w:val="32"/>
          <w:szCs w:val="32"/>
          <w:lang w:val="en-US" w:eastAsia="zh-CN"/>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rPr>
        <w:t>农林水支</w:t>
      </w:r>
      <w:r>
        <w:rPr>
          <w:rFonts w:hint="eastAsia" w:ascii="仿宋_GB2312" w:eastAsia="仿宋_GB2312"/>
          <w:color w:val="auto"/>
          <w:sz w:val="32"/>
          <w:szCs w:val="32"/>
          <w:lang w:val="en-US" w:eastAsia="zh-CN"/>
        </w:rPr>
        <w:t>213</w:t>
      </w:r>
      <w:r>
        <w:rPr>
          <w:rFonts w:hint="eastAsia" w:ascii="仿宋" w:hAnsi="仿宋" w:eastAsia="仿宋"/>
          <w:b/>
          <w:bCs/>
          <w:color w:val="auto"/>
          <w:sz w:val="32"/>
          <w:szCs w:val="32"/>
          <w:lang w:eastAsia="zh-CN"/>
        </w:rPr>
        <w:t>（类）</w:t>
      </w:r>
      <w:r>
        <w:rPr>
          <w:rFonts w:hint="eastAsia" w:ascii="仿宋" w:hAnsi="仿宋" w:eastAsia="仿宋"/>
          <w:b/>
          <w:bCs/>
          <w:color w:val="auto"/>
          <w:sz w:val="32"/>
          <w:szCs w:val="32"/>
          <w:lang w:val="en-US" w:eastAsia="zh-CN"/>
        </w:rPr>
        <w:t>05</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val="en-US" w:eastAsia="zh-CN"/>
        </w:rPr>
        <w:t>:用于扶贫方面的支出。</w:t>
      </w:r>
    </w:p>
    <w:p>
      <w:pPr>
        <w:pStyle w:val="2"/>
        <w:rPr>
          <w:rFonts w:hint="eastAsia" w:eastAsia="仿宋"/>
          <w:color w:val="auto"/>
          <w:lang w:val="en-US" w:eastAsia="zh-CN"/>
        </w:rPr>
      </w:pPr>
      <w:r>
        <w:rPr>
          <w:rFonts w:hint="eastAsia"/>
          <w:color w:val="auto"/>
          <w:sz w:val="32"/>
          <w:szCs w:val="32"/>
          <w:lang w:val="en-US" w:eastAsia="zh-CN"/>
        </w:rPr>
        <w:t xml:space="preserve">    15.城乡社区服务212</w:t>
      </w:r>
      <w:r>
        <w:rPr>
          <w:rFonts w:hint="eastAsia" w:ascii="仿宋" w:hAnsi="仿宋" w:eastAsia="仿宋"/>
          <w:b/>
          <w:bCs/>
          <w:color w:val="auto"/>
          <w:sz w:val="32"/>
          <w:szCs w:val="32"/>
          <w:lang w:eastAsia="zh-CN"/>
        </w:rPr>
        <w:t>（类）</w:t>
      </w:r>
      <w:r>
        <w:rPr>
          <w:rFonts w:hint="eastAsia" w:ascii="仿宋" w:hAnsi="仿宋" w:eastAsia="仿宋"/>
          <w:b/>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（项）</w:t>
      </w:r>
      <w:r>
        <w:rPr>
          <w:rStyle w:val="16"/>
          <w:rFonts w:hint="eastAsia" w:ascii="仿宋" w:hAnsi="仿宋" w:eastAsia="仿宋"/>
          <w:bCs/>
          <w:color w:val="auto"/>
          <w:sz w:val="32"/>
          <w:szCs w:val="32"/>
          <w:lang w:val="en-US" w:eastAsia="zh-CN"/>
        </w:rPr>
        <w:t>:用于城乡社区管理事务方面的支出。</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9</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20</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sz w:val="44"/>
          <w:szCs w:val="44"/>
        </w:rPr>
      </w:pPr>
      <w:bookmarkStart w:id="57" w:name="_Toc15396614"/>
      <w:bookmarkStart w:id="58" w:name="_Toc15377226"/>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ind w:firstLine="2640" w:firstLineChars="600"/>
        <w:jc w:val="both"/>
        <w:outlineLvl w:val="0"/>
        <w:rPr>
          <w:rStyle w:val="26"/>
          <w:rFonts w:ascii="黑体" w:hAnsi="黑体" w:eastAsia="黑体"/>
          <w:b w:val="0"/>
        </w:rPr>
      </w:pPr>
      <w:r>
        <w:rPr>
          <w:rFonts w:hint="eastAsia" w:ascii="黑体" w:hAnsi="黑体" w:eastAsia="黑体"/>
          <w:sz w:val="44"/>
          <w:szCs w:val="44"/>
        </w:rPr>
        <w:t>第</w:t>
      </w:r>
      <w:r>
        <w:rPr>
          <w:rStyle w:val="26"/>
          <w:rFonts w:hint="eastAsia" w:ascii="黑体" w:hAnsi="黑体" w:eastAsia="黑体"/>
          <w:b w:val="0"/>
        </w:rPr>
        <w:t>四部分 附件</w:t>
      </w:r>
      <w:bookmarkEnd w:id="57"/>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2021年广元市朝天区土地房屋征收拆迁事务中心部门整体绩效评价报告</w:t>
      </w:r>
    </w:p>
    <w:p>
      <w:pPr>
        <w:widowControl/>
        <w:autoSpaceDE w:val="0"/>
        <w:adjustRightInd w:val="0"/>
        <w:snapToGrid w:val="0"/>
        <w:spacing w:line="500" w:lineRule="exact"/>
        <w:ind w:firstLine="960" w:firstLineChars="300"/>
        <w:contextualSpacing/>
        <w:jc w:val="left"/>
        <w:rPr>
          <w:rFonts w:hint="eastAsia" w:ascii="黑体" w:hAnsi="黑体" w:eastAsia="黑体"/>
          <w:color w:val="000000"/>
          <w:kern w:val="0"/>
          <w:sz w:val="32"/>
          <w:szCs w:val="32"/>
          <w:shd w:val="clear" w:color="auto" w:fill="FFFFFF"/>
        </w:rPr>
      </w:pPr>
    </w:p>
    <w:p>
      <w:pPr>
        <w:widowControl/>
        <w:autoSpaceDE w:val="0"/>
        <w:adjustRightInd w:val="0"/>
        <w:snapToGrid w:val="0"/>
        <w:spacing w:line="500" w:lineRule="exact"/>
        <w:ind w:firstLine="640" w:firstLineChars="200"/>
        <w:contextualSpacing/>
        <w:jc w:val="left"/>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一、部门概况</w:t>
      </w:r>
    </w:p>
    <w:p>
      <w:pPr>
        <w:ind w:firstLine="640" w:firstLineChars="200"/>
        <w:rPr>
          <w:rFonts w:ascii="仿宋" w:hAnsi="仿宋" w:eastAsia="仿宋" w:cs="仿宋"/>
          <w:sz w:val="32"/>
          <w:szCs w:val="32"/>
        </w:rPr>
      </w:pPr>
      <w:r>
        <w:rPr>
          <w:rFonts w:hint="eastAsia" w:ascii="楷体_GB2312" w:eastAsia="楷体_GB2312"/>
          <w:color w:val="000000"/>
          <w:kern w:val="0"/>
          <w:sz w:val="32"/>
          <w:szCs w:val="32"/>
          <w:shd w:val="clear" w:color="auto" w:fill="FFFFFF"/>
        </w:rPr>
        <w:t>（一）机构组成。</w:t>
      </w:r>
      <w:r>
        <w:rPr>
          <w:rFonts w:hint="eastAsia" w:ascii="仿宋" w:hAnsi="仿宋" w:eastAsia="仿宋" w:cs="仿宋"/>
          <w:sz w:val="32"/>
          <w:szCs w:val="32"/>
        </w:rPr>
        <w:t>征拆事务中心属财政一级预算单位，</w:t>
      </w:r>
      <w:r>
        <w:rPr>
          <w:rFonts w:hint="eastAsia" w:ascii="仿宋" w:hAnsi="仿宋" w:eastAsia="仿宋" w:cs="仿宋"/>
          <w:sz w:val="32"/>
          <w:szCs w:val="32"/>
          <w:lang w:eastAsia="zh-CN"/>
        </w:rPr>
        <w:t>无</w:t>
      </w:r>
      <w:r>
        <w:rPr>
          <w:rFonts w:hint="eastAsia" w:ascii="仿宋" w:hAnsi="仿宋" w:eastAsia="仿宋" w:cs="仿宋"/>
          <w:sz w:val="32"/>
          <w:szCs w:val="32"/>
        </w:rPr>
        <w:t>下属二级预算单位，</w:t>
      </w:r>
      <w:r>
        <w:rPr>
          <w:rFonts w:hint="eastAsia" w:ascii="仿宋" w:hAnsi="仿宋" w:eastAsia="仿宋" w:cs="仿宋"/>
          <w:sz w:val="32"/>
          <w:szCs w:val="32"/>
          <w:lang w:eastAsia="zh-CN"/>
        </w:rPr>
        <w:t>无</w:t>
      </w:r>
      <w:r>
        <w:rPr>
          <w:rFonts w:hint="eastAsia" w:ascii="仿宋" w:hAnsi="仿宋" w:eastAsia="仿宋" w:cs="仿宋"/>
          <w:sz w:val="32"/>
          <w:szCs w:val="32"/>
        </w:rPr>
        <w:t>参照公务员法管理的事业单位。</w:t>
      </w:r>
    </w:p>
    <w:p>
      <w:pPr>
        <w:widowControl/>
        <w:autoSpaceDE w:val="0"/>
        <w:adjustRightInd w:val="0"/>
        <w:snapToGrid w:val="0"/>
        <w:spacing w:line="500" w:lineRule="exact"/>
        <w:ind w:firstLine="640" w:firstLineChars="200"/>
        <w:contextualSpacing/>
        <w:jc w:val="left"/>
        <w:rPr>
          <w:rFonts w:ascii="楷体_GB2312" w:eastAsia="楷体_GB2312"/>
          <w:color w:val="000000"/>
          <w:kern w:val="0"/>
          <w:sz w:val="32"/>
          <w:szCs w:val="32"/>
          <w:shd w:val="clear" w:color="auto" w:fill="FFFFFF"/>
        </w:rPr>
      </w:pPr>
      <w:r>
        <w:rPr>
          <w:rFonts w:hint="eastAsia" w:ascii="楷体_GB2312" w:eastAsia="楷体_GB2312"/>
          <w:color w:val="000000"/>
          <w:kern w:val="0"/>
          <w:sz w:val="32"/>
          <w:szCs w:val="32"/>
          <w:shd w:val="clear" w:color="auto" w:fill="FFFFFF"/>
        </w:rPr>
        <w:t>（二）机构职能。</w:t>
      </w:r>
    </w:p>
    <w:p>
      <w:pPr>
        <w:ind w:firstLine="640" w:firstLineChars="200"/>
        <w:rPr>
          <w:rFonts w:ascii="仿宋" w:hAnsi="仿宋" w:eastAsia="仿宋" w:cs="仿宋"/>
          <w:sz w:val="32"/>
          <w:szCs w:val="32"/>
        </w:rPr>
      </w:pPr>
      <w:r>
        <w:rPr>
          <w:rFonts w:hint="eastAsia" w:ascii="仿宋" w:hAnsi="仿宋" w:eastAsia="仿宋" w:cs="仿宋"/>
          <w:sz w:val="32"/>
          <w:szCs w:val="32"/>
        </w:rPr>
        <w:t>负责宣传贯彻执行国家、省、市、区关于土地房屋征收拆迁安置的法律、法规及政策，拟定和完善本辖区内有关政策规定；负责本辖区内集体土地、国有土地房屋征收及拆迁补偿安置工作；负责统筹协调兑付土地、房屋征收拆迁安置补偿资金；负责对征收从业人员进行教育培训、做好征收工作信息化建设；负责征收工作中的协调、安全、信访和稳定工作；承办区政府</w:t>
      </w:r>
      <w:r>
        <w:rPr>
          <w:rFonts w:hint="eastAsia"/>
          <w:bCs/>
          <w:color w:val="000000"/>
          <w:sz w:val="32"/>
          <w:szCs w:val="32"/>
        </w:rPr>
        <w:t>交</w:t>
      </w:r>
      <w:r>
        <w:rPr>
          <w:rFonts w:hint="eastAsia" w:ascii="仿宋" w:hAnsi="仿宋" w:eastAsia="仿宋" w:cs="仿宋"/>
          <w:sz w:val="32"/>
          <w:szCs w:val="32"/>
        </w:rPr>
        <w:t>办的其它事项</w:t>
      </w:r>
    </w:p>
    <w:p>
      <w:pPr>
        <w:widowControl/>
        <w:numPr>
          <w:ilvl w:val="0"/>
          <w:numId w:val="5"/>
        </w:numPr>
        <w:autoSpaceDE w:val="0"/>
        <w:adjustRightInd w:val="0"/>
        <w:snapToGrid w:val="0"/>
        <w:spacing w:line="500" w:lineRule="exact"/>
        <w:ind w:firstLine="640" w:firstLineChars="200"/>
        <w:contextualSpacing/>
        <w:jc w:val="left"/>
        <w:rPr>
          <w:rFonts w:ascii="仿宋" w:hAnsi="仿宋" w:eastAsia="仿宋" w:cs="仿宋"/>
          <w:sz w:val="32"/>
          <w:szCs w:val="32"/>
        </w:rPr>
      </w:pPr>
      <w:r>
        <w:rPr>
          <w:rFonts w:hint="eastAsia" w:ascii="楷体_GB2312" w:eastAsia="楷体_GB2312"/>
          <w:color w:val="000000"/>
          <w:kern w:val="0"/>
          <w:sz w:val="32"/>
          <w:szCs w:val="32"/>
          <w:shd w:val="clear" w:color="auto" w:fill="FFFFFF"/>
        </w:rPr>
        <w:t>人员概况。</w:t>
      </w:r>
      <w:r>
        <w:rPr>
          <w:rFonts w:hint="eastAsia" w:ascii="仿宋" w:hAnsi="仿宋" w:eastAsia="仿宋" w:cs="仿宋"/>
          <w:sz w:val="32"/>
          <w:szCs w:val="32"/>
        </w:rPr>
        <w:t>广元市朝天区土地房屋征收拆迁事务中心属一级预算单位,编制10人，其中：事业编制10人，2022年初实有在职人员17人,其中：事业人员10人，定补人员7人。</w:t>
      </w:r>
    </w:p>
    <w:p>
      <w:pPr>
        <w:widowControl/>
        <w:autoSpaceDE w:val="0"/>
        <w:adjustRightInd w:val="0"/>
        <w:snapToGrid w:val="0"/>
        <w:spacing w:line="500" w:lineRule="exact"/>
        <w:ind w:firstLine="640" w:firstLineChars="200"/>
        <w:contextualSpacing/>
        <w:jc w:val="left"/>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二、部门财政资金收支情况</w:t>
      </w:r>
    </w:p>
    <w:p>
      <w:pPr>
        <w:widowControl/>
        <w:autoSpaceDE w:val="0"/>
        <w:adjustRightInd w:val="0"/>
        <w:snapToGrid w:val="0"/>
        <w:spacing w:line="500" w:lineRule="exact"/>
        <w:ind w:firstLine="640" w:firstLineChars="200"/>
        <w:contextualSpacing/>
        <w:jc w:val="left"/>
        <w:rPr>
          <w:rFonts w:ascii="楷体_GB2312" w:eastAsia="楷体_GB2312"/>
          <w:color w:val="000000"/>
          <w:kern w:val="0"/>
          <w:sz w:val="32"/>
          <w:szCs w:val="32"/>
          <w:shd w:val="clear" w:color="auto" w:fill="FFFFFF"/>
        </w:rPr>
      </w:pPr>
      <w:r>
        <w:rPr>
          <w:rFonts w:hint="eastAsia" w:ascii="楷体_GB2312" w:eastAsia="楷体_GB2312"/>
          <w:color w:val="000000"/>
          <w:kern w:val="0"/>
          <w:sz w:val="32"/>
          <w:szCs w:val="32"/>
          <w:shd w:val="clear" w:color="auto" w:fill="FFFFFF"/>
        </w:rPr>
        <w:t>（一）部门财政资金收入情况。</w:t>
      </w:r>
      <w:r>
        <w:rPr>
          <w:rFonts w:hint="eastAsia" w:ascii="仿宋" w:hAnsi="仿宋" w:eastAsia="仿宋" w:cs="仿宋"/>
          <w:sz w:val="32"/>
          <w:szCs w:val="32"/>
        </w:rPr>
        <w:t>征拆事务中心2021年部门预算收入总数</w:t>
      </w:r>
      <w:r>
        <w:rPr>
          <w:rFonts w:hint="eastAsia" w:ascii="Arial" w:hAnsi="Arial" w:eastAsia="仿宋_GB2312" w:cs="Arial"/>
          <w:sz w:val="28"/>
          <w:szCs w:val="28"/>
        </w:rPr>
        <w:t>167.2</w:t>
      </w:r>
      <w:r>
        <w:rPr>
          <w:rFonts w:hint="eastAsia" w:ascii="Arial" w:hAnsi="Arial" w:eastAsia="仿宋_GB2312" w:cs="Arial"/>
          <w:sz w:val="28"/>
          <w:szCs w:val="28"/>
          <w:lang w:val="en-US" w:eastAsia="zh-CN"/>
        </w:rPr>
        <w:t>3</w:t>
      </w:r>
      <w:r>
        <w:rPr>
          <w:rFonts w:hint="eastAsia" w:ascii="仿宋" w:hAnsi="仿宋" w:eastAsia="仿宋" w:cs="仿宋"/>
          <w:sz w:val="32"/>
          <w:szCs w:val="32"/>
        </w:rPr>
        <w:t>万元，</w:t>
      </w:r>
    </w:p>
    <w:p>
      <w:pPr>
        <w:spacing w:line="600" w:lineRule="exact"/>
        <w:ind w:firstLine="640" w:firstLineChars="200"/>
        <w:rPr>
          <w:rFonts w:ascii="仿宋" w:hAnsi="仿宋" w:eastAsia="仿宋"/>
          <w:color w:val="auto"/>
          <w:sz w:val="32"/>
          <w:szCs w:val="32"/>
        </w:rPr>
      </w:pPr>
      <w:r>
        <w:rPr>
          <w:rFonts w:hint="eastAsia" w:ascii="楷体_GB2312" w:eastAsia="楷体_GB2312"/>
          <w:color w:val="000000"/>
          <w:kern w:val="0"/>
          <w:sz w:val="32"/>
          <w:szCs w:val="32"/>
          <w:shd w:val="clear" w:color="auto" w:fill="FFFFFF"/>
        </w:rPr>
        <w:t>（二）部门财政资金支出情况。</w:t>
      </w:r>
      <w:r>
        <w:rPr>
          <w:rFonts w:ascii="仿宋" w:hAnsi="仿宋" w:eastAsia="仿宋"/>
          <w:color w:val="auto"/>
          <w:sz w:val="32"/>
          <w:szCs w:val="32"/>
        </w:rPr>
        <w:t>20</w:t>
      </w:r>
      <w:r>
        <w:rPr>
          <w:rFonts w:hint="eastAsia" w:ascii="仿宋" w:hAnsi="仿宋" w:eastAsia="仿宋"/>
          <w:color w:val="auto"/>
          <w:sz w:val="32"/>
          <w:szCs w:val="32"/>
        </w:rPr>
        <w:t>21年一般公共预算财政拨款支出167.23万元，主要用于以下方面</w:t>
      </w:r>
      <w:r>
        <w:rPr>
          <w:rFonts w:ascii="仿宋" w:hAnsi="仿宋" w:eastAsia="仿宋"/>
          <w:color w:val="auto"/>
          <w:sz w:val="32"/>
          <w:szCs w:val="32"/>
        </w:rPr>
        <w:t>:</w:t>
      </w:r>
      <w:r>
        <w:rPr>
          <w:rFonts w:hint="eastAsia" w:ascii="仿宋" w:hAnsi="仿宋" w:eastAsia="仿宋"/>
          <w:color w:val="auto"/>
          <w:sz w:val="32"/>
          <w:szCs w:val="32"/>
          <w:lang w:val="en-US" w:eastAsia="zh-CN"/>
        </w:rPr>
        <w:t>1，</w:t>
      </w:r>
      <w:r>
        <w:rPr>
          <w:rFonts w:hint="eastAsia" w:ascii="仿宋" w:hAnsi="仿宋" w:eastAsia="仿宋"/>
          <w:b/>
          <w:bCs/>
          <w:color w:val="auto"/>
          <w:sz w:val="32"/>
          <w:szCs w:val="32"/>
          <w:lang w:eastAsia="zh-CN"/>
        </w:rPr>
        <w:t>自然资源海洋气象支出</w:t>
      </w:r>
      <w:r>
        <w:rPr>
          <w:rFonts w:hint="eastAsia" w:ascii="仿宋" w:hAnsi="仿宋" w:eastAsia="仿宋"/>
          <w:b w:val="0"/>
          <w:bCs w:val="0"/>
          <w:color w:val="auto"/>
          <w:sz w:val="32"/>
          <w:szCs w:val="32"/>
          <w:lang w:val="en-US" w:eastAsia="zh-CN"/>
        </w:rPr>
        <w:t>104.94万元，占63%；2，</w:t>
      </w:r>
      <w:r>
        <w:rPr>
          <w:rFonts w:hint="eastAsia" w:ascii="仿宋" w:hAnsi="仿宋" w:eastAsia="仿宋"/>
          <w:b/>
          <w:color w:val="auto"/>
          <w:sz w:val="32"/>
          <w:szCs w:val="32"/>
        </w:rPr>
        <w:t>社会保障和就业</w:t>
      </w:r>
      <w:r>
        <w:rPr>
          <w:rFonts w:hint="eastAsia" w:ascii="仿宋" w:hAnsi="仿宋" w:eastAsia="仿宋"/>
          <w:b/>
          <w:bCs/>
          <w:color w:val="auto"/>
          <w:sz w:val="32"/>
          <w:szCs w:val="32"/>
        </w:rPr>
        <w:t>支出</w:t>
      </w:r>
      <w:r>
        <w:rPr>
          <w:rFonts w:hint="eastAsia" w:ascii="仿宋" w:hAnsi="仿宋" w:eastAsia="仿宋"/>
          <w:color w:val="auto"/>
          <w:sz w:val="32"/>
          <w:szCs w:val="32"/>
        </w:rPr>
        <w:t>10.3</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万元，占6.2</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val="en-US" w:eastAsia="zh-CN"/>
        </w:rPr>
        <w:t>3，</w:t>
      </w:r>
      <w:r>
        <w:rPr>
          <w:rFonts w:hint="eastAsia" w:ascii="仿宋" w:hAnsi="仿宋" w:eastAsia="仿宋"/>
          <w:b/>
          <w:bCs/>
          <w:color w:val="auto"/>
          <w:sz w:val="32"/>
          <w:szCs w:val="32"/>
        </w:rPr>
        <w:t>卫生健康支出</w:t>
      </w:r>
      <w:r>
        <w:rPr>
          <w:rFonts w:hint="eastAsia" w:ascii="仿宋" w:hAnsi="仿宋" w:eastAsia="仿宋"/>
          <w:color w:val="auto"/>
          <w:sz w:val="32"/>
          <w:szCs w:val="32"/>
        </w:rPr>
        <w:t>4.8</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万元，占2.9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val="en-US" w:eastAsia="zh-CN"/>
        </w:rPr>
        <w:t>4，</w:t>
      </w:r>
      <w:r>
        <w:rPr>
          <w:rFonts w:hint="eastAsia" w:ascii="仿宋" w:hAnsi="仿宋" w:eastAsia="仿宋"/>
          <w:b/>
          <w:bCs/>
          <w:color w:val="auto"/>
          <w:sz w:val="32"/>
          <w:szCs w:val="32"/>
        </w:rPr>
        <w:t>住房保障支出</w:t>
      </w:r>
      <w:r>
        <w:rPr>
          <w:rFonts w:hint="eastAsia" w:ascii="仿宋" w:hAnsi="仿宋" w:eastAsia="仿宋"/>
          <w:color w:val="auto"/>
          <w:sz w:val="32"/>
          <w:szCs w:val="32"/>
        </w:rPr>
        <w:t>7.2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万元，占4.3</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val="en-US" w:eastAsia="zh-CN"/>
        </w:rPr>
        <w:t>5，</w:t>
      </w:r>
      <w:r>
        <w:rPr>
          <w:rFonts w:hint="eastAsia" w:ascii="仿宋" w:hAnsi="仿宋" w:eastAsia="仿宋"/>
          <w:b/>
          <w:bCs/>
          <w:color w:val="auto"/>
          <w:sz w:val="32"/>
          <w:szCs w:val="32"/>
          <w:lang w:eastAsia="zh-CN"/>
        </w:rPr>
        <w:t>农林水支出</w:t>
      </w:r>
      <w:r>
        <w:rPr>
          <w:rFonts w:hint="eastAsia" w:ascii="仿宋" w:hAnsi="仿宋" w:eastAsia="仿宋"/>
          <w:color w:val="auto"/>
          <w:sz w:val="32"/>
          <w:szCs w:val="32"/>
          <w:lang w:val="en-US" w:eastAsia="zh-CN"/>
        </w:rPr>
        <w:t>0.4万元，占 0.01%；6，</w:t>
      </w:r>
      <w:r>
        <w:rPr>
          <w:rFonts w:hint="eastAsia" w:ascii="仿宋" w:hAnsi="仿宋" w:eastAsia="仿宋"/>
          <w:b/>
          <w:bCs/>
          <w:color w:val="auto"/>
          <w:sz w:val="32"/>
          <w:szCs w:val="32"/>
          <w:lang w:val="en-US" w:eastAsia="zh-CN"/>
        </w:rPr>
        <w:t>城乡社区服务支出</w:t>
      </w:r>
      <w:r>
        <w:rPr>
          <w:rFonts w:hint="eastAsia" w:ascii="仿宋" w:hAnsi="仿宋" w:eastAsia="仿宋"/>
          <w:color w:val="auto"/>
          <w:sz w:val="32"/>
          <w:szCs w:val="32"/>
          <w:lang w:val="en-US" w:eastAsia="zh-CN"/>
        </w:rPr>
        <w:t>39.5万元，占23.6%；</w:t>
      </w:r>
    </w:p>
    <w:p>
      <w:pPr>
        <w:widowControl/>
        <w:autoSpaceDE w:val="0"/>
        <w:adjustRightInd w:val="0"/>
        <w:snapToGrid w:val="0"/>
        <w:spacing w:line="500" w:lineRule="exact"/>
        <w:ind w:firstLine="640" w:firstLineChars="200"/>
        <w:contextualSpacing/>
        <w:jc w:val="left"/>
        <w:rPr>
          <w:rFonts w:ascii="仿宋_GB2312" w:eastAsia="仿宋_GB2312"/>
          <w:color w:val="000000"/>
          <w:kern w:val="0"/>
          <w:sz w:val="28"/>
          <w:szCs w:val="28"/>
          <w:shd w:val="clear" w:color="auto" w:fill="FFFFFF"/>
        </w:rPr>
      </w:pPr>
      <w:r>
        <w:rPr>
          <w:rFonts w:hint="eastAsia" w:ascii="黑体" w:hAnsi="黑体" w:eastAsia="黑体"/>
          <w:color w:val="000000"/>
          <w:kern w:val="0"/>
          <w:sz w:val="32"/>
          <w:szCs w:val="32"/>
          <w:shd w:val="clear" w:color="auto" w:fill="FFFFFF"/>
        </w:rPr>
        <w:t>三、部门整体预算绩效管理情况</w:t>
      </w:r>
    </w:p>
    <w:p>
      <w:pPr>
        <w:pStyle w:val="13"/>
        <w:widowControl/>
        <w:spacing w:line="600" w:lineRule="exact"/>
        <w:ind w:firstLine="640" w:firstLineChars="200"/>
        <w:jc w:val="both"/>
        <w:rPr>
          <w:rFonts w:ascii="仿宋_GB2312" w:hAnsi="Times New Roman" w:eastAsia="仿宋_GB2312"/>
          <w:color w:val="000000"/>
          <w:sz w:val="32"/>
          <w:szCs w:val="32"/>
          <w:shd w:val="clear" w:color="auto" w:fill="FFFFFF"/>
        </w:rPr>
      </w:pPr>
      <w:r>
        <w:rPr>
          <w:rFonts w:hint="eastAsia" w:ascii="楷体_GB2312" w:hAnsi="Times New Roman" w:eastAsia="楷体_GB2312"/>
          <w:color w:val="000000"/>
          <w:sz w:val="32"/>
          <w:szCs w:val="32"/>
          <w:shd w:val="clear" w:color="auto" w:fill="FFFFFF"/>
        </w:rPr>
        <w:t>（一）部门预算项目绩效管理。</w:t>
      </w:r>
      <w:r>
        <w:rPr>
          <w:rFonts w:hint="eastAsia" w:ascii="仿宋_GB2312" w:hAnsi="Times New Roman" w:eastAsia="仿宋_GB2312"/>
          <w:color w:val="000000" w:themeColor="text1"/>
          <w:sz w:val="32"/>
          <w:szCs w:val="32"/>
          <w:shd w:val="clear" w:color="auto" w:fill="FFFFFF"/>
          <w14:textFill>
            <w14:solidFill>
              <w14:schemeClr w14:val="tx1"/>
            </w14:solidFill>
          </w14:textFill>
        </w:rPr>
        <w:t>我中主在编制2021年度部门预算时，全面</w:t>
      </w:r>
      <w:r>
        <w:rPr>
          <w:rFonts w:hint="eastAsia" w:ascii="仿宋_GB2312" w:hAnsi="Times New Roman" w:eastAsia="仿宋_GB2312"/>
          <w:color w:val="000000"/>
          <w:sz w:val="32"/>
          <w:szCs w:val="32"/>
          <w:shd w:val="clear" w:color="auto" w:fill="FFFFFF"/>
        </w:rPr>
        <w:t>设置部门、单位和政策项目绩效目标。绩效目标严格设置产出指标中的数量、质量、时效、成本等指标，效益指标中的经济效益、社会效益、可持续性影响和服务对象满意度等绩效指标。</w:t>
      </w:r>
    </w:p>
    <w:p>
      <w:pPr>
        <w:pStyle w:val="13"/>
        <w:widowControl/>
        <w:spacing w:line="600" w:lineRule="exact"/>
        <w:ind w:firstLine="640" w:firstLineChars="200"/>
        <w:jc w:val="both"/>
        <w:rPr>
          <w:rFonts w:ascii="仿宋_GB2312" w:hAnsi="Times New Roman" w:eastAsia="仿宋_GB2312"/>
          <w:color w:val="000000"/>
          <w:sz w:val="32"/>
          <w:szCs w:val="32"/>
          <w:shd w:val="clear" w:color="auto" w:fill="FFFFFF"/>
        </w:rPr>
      </w:pPr>
      <w:r>
        <w:rPr>
          <w:rFonts w:hint="eastAsia" w:ascii="仿宋_GB2312" w:hAnsi="Times New Roman" w:eastAsia="仿宋_GB2312"/>
          <w:color w:val="000000"/>
          <w:sz w:val="32"/>
          <w:szCs w:val="32"/>
          <w:shd w:val="clear" w:color="auto" w:fill="FFFFFF"/>
        </w:rPr>
        <w:t>2021年度我部门预算</w:t>
      </w:r>
      <w:r>
        <w:rPr>
          <w:rFonts w:hint="eastAsia" w:ascii="仿宋_GB2312" w:hAnsi="Times New Roman" w:eastAsia="仿宋_GB2312"/>
          <w:color w:val="000000" w:themeColor="text1"/>
          <w:sz w:val="32"/>
          <w:szCs w:val="32"/>
          <w:shd w:val="clear" w:color="auto" w:fill="FFFFFF"/>
          <w14:textFill>
            <w14:solidFill>
              <w14:schemeClr w14:val="tx1"/>
            </w14:solidFill>
          </w14:textFill>
        </w:rPr>
        <w:t>项目支出</w:t>
      </w:r>
      <w:r>
        <w:rPr>
          <w:rFonts w:hint="eastAsia" w:ascii="仿宋_GB2312" w:hAnsi="仿宋" w:eastAsia="仿宋_GB2312"/>
          <w:color w:val="000000" w:themeColor="text1"/>
          <w:sz w:val="32"/>
          <w:szCs w:val="32"/>
          <w14:textFill>
            <w14:solidFill>
              <w14:schemeClr w14:val="tx1"/>
            </w14:solidFill>
          </w14:textFill>
        </w:rPr>
        <w:t>项目支出167.2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Times New Roman" w:eastAsia="仿宋_GB2312"/>
          <w:color w:val="000000" w:themeColor="text1"/>
          <w:sz w:val="32"/>
          <w:szCs w:val="32"/>
          <w:shd w:val="clear" w:color="auto" w:fill="FFFFFF"/>
          <w14:textFill>
            <w14:solidFill>
              <w14:schemeClr w14:val="tx1"/>
            </w14:solidFill>
          </w14:textFill>
        </w:rPr>
        <w:t>，开展绩效自评项目金额合计</w:t>
      </w:r>
      <w:r>
        <w:rPr>
          <w:rFonts w:hint="eastAsia" w:ascii="仿宋_GB2312" w:hAnsi="仿宋" w:eastAsia="仿宋_GB2312"/>
          <w:color w:val="000000" w:themeColor="text1"/>
          <w:sz w:val="32"/>
          <w:szCs w:val="32"/>
          <w14:textFill>
            <w14:solidFill>
              <w14:schemeClr w14:val="tx1"/>
            </w14:solidFill>
          </w14:textFill>
        </w:rPr>
        <w:t>项目支出167.2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Times New Roman" w:eastAsia="仿宋_GB2312"/>
          <w:color w:val="000000" w:themeColor="text1"/>
          <w:sz w:val="32"/>
          <w:szCs w:val="32"/>
          <w:shd w:val="clear" w:color="auto" w:fill="FFFFFF"/>
          <w14:textFill>
            <w14:solidFill>
              <w14:schemeClr w14:val="tx1"/>
            </w14:solidFill>
          </w14:textFill>
        </w:rPr>
        <w:t>，</w:t>
      </w:r>
      <w:r>
        <w:rPr>
          <w:rFonts w:hint="eastAsia" w:ascii="仿宋_GB2312" w:hAnsi="Times New Roman" w:eastAsia="仿宋_GB2312"/>
          <w:color w:val="000000"/>
          <w:sz w:val="32"/>
          <w:szCs w:val="32"/>
          <w:shd w:val="clear" w:color="auto" w:fill="FFFFFF"/>
        </w:rPr>
        <w:t>开展绩效自评项目支出总额占本部门预算项目支出总额的比例100%。项目绩效自评情况如下：部门预算项目总个数</w:t>
      </w:r>
      <w:r>
        <w:rPr>
          <w:rFonts w:hint="eastAsia" w:ascii="仿宋_GB2312" w:hAnsi="Times New Roman" w:eastAsia="仿宋_GB2312"/>
          <w:color w:val="000000"/>
          <w:sz w:val="32"/>
          <w:szCs w:val="32"/>
          <w:shd w:val="clear" w:color="auto" w:fill="FFFFFF"/>
          <w:lang w:val="en-US" w:eastAsia="zh-CN"/>
        </w:rPr>
        <w:t>2</w:t>
      </w:r>
      <w:r>
        <w:rPr>
          <w:rFonts w:hint="eastAsia" w:ascii="仿宋_GB2312" w:hAnsi="Times New Roman" w:eastAsia="仿宋_GB2312"/>
          <w:color w:val="000000"/>
          <w:sz w:val="32"/>
          <w:szCs w:val="32"/>
          <w:shd w:val="clear" w:color="auto" w:fill="FFFFFF"/>
        </w:rPr>
        <w:t>个，自评项目</w:t>
      </w:r>
      <w:r>
        <w:rPr>
          <w:rFonts w:hint="eastAsia" w:ascii="仿宋_GB2312" w:hAnsi="Times New Roman" w:eastAsia="仿宋_GB2312"/>
          <w:color w:val="000000"/>
          <w:sz w:val="32"/>
          <w:szCs w:val="32"/>
          <w:shd w:val="clear" w:color="auto" w:fill="FFFFFF"/>
          <w:lang w:val="en-US" w:eastAsia="zh-CN"/>
        </w:rPr>
        <w:t>2</w:t>
      </w:r>
      <w:r>
        <w:rPr>
          <w:rFonts w:hint="eastAsia" w:ascii="仿宋_GB2312" w:hAnsi="Times New Roman" w:eastAsia="仿宋_GB2312"/>
          <w:color w:val="000000"/>
          <w:sz w:val="32"/>
          <w:szCs w:val="32"/>
          <w:shd w:val="clear" w:color="auto" w:fill="FFFFFF"/>
        </w:rPr>
        <w:t>个，自评价平均分</w:t>
      </w:r>
      <w:r>
        <w:rPr>
          <w:rFonts w:hint="eastAsia" w:ascii="仿宋_GB2312" w:hAnsi="Times New Roman" w:eastAsia="仿宋_GB2312"/>
          <w:color w:val="000000"/>
          <w:sz w:val="32"/>
          <w:szCs w:val="32"/>
          <w:shd w:val="clear" w:color="auto" w:fill="FFFFFF"/>
          <w:lang w:val="en-US" w:eastAsia="zh-CN"/>
        </w:rPr>
        <w:t>96</w:t>
      </w:r>
      <w:r>
        <w:rPr>
          <w:rFonts w:hint="eastAsia" w:ascii="仿宋_GB2312" w:hAnsi="Times New Roman" w:eastAsia="仿宋_GB2312"/>
          <w:color w:val="000000"/>
          <w:sz w:val="32"/>
          <w:szCs w:val="32"/>
          <w:shd w:val="clear" w:color="auto" w:fill="FFFFFF"/>
        </w:rPr>
        <w:t>分。</w:t>
      </w:r>
    </w:p>
    <w:p>
      <w:pPr>
        <w:pStyle w:val="13"/>
        <w:widowControl/>
        <w:spacing w:line="600" w:lineRule="exact"/>
        <w:ind w:firstLine="640" w:firstLineChars="200"/>
        <w:jc w:val="both"/>
        <w:rPr>
          <w:rFonts w:ascii="仿宋_GB2312" w:hAnsi="Times New Roman" w:eastAsia="仿宋_GB2312"/>
          <w:color w:val="000000"/>
          <w:sz w:val="32"/>
          <w:szCs w:val="32"/>
          <w:shd w:val="clear" w:color="auto" w:fill="FFFFFF"/>
        </w:rPr>
      </w:pPr>
      <w:r>
        <w:rPr>
          <w:rFonts w:hint="eastAsia" w:ascii="仿宋_GB2312" w:hAnsi="Times New Roman" w:eastAsia="仿宋_GB2312"/>
          <w:color w:val="000000"/>
          <w:sz w:val="32"/>
          <w:szCs w:val="32"/>
          <w:shd w:val="clear" w:color="auto" w:fill="FFFFFF"/>
        </w:rPr>
        <w:t>项目支出经费使用与工作执行进度紧密结合，年初制定的项目工作任务目标100%按时完成；各项目均达到实际的成效，效率指标达优，工作成本节约，没有出现工作质量不高，工作拖欠的现象；项目的社会效益良好，服务对象满意度高。</w:t>
      </w:r>
    </w:p>
    <w:p>
      <w:pPr>
        <w:pStyle w:val="13"/>
        <w:widowControl/>
        <w:numPr>
          <w:ilvl w:val="0"/>
          <w:numId w:val="0"/>
        </w:numPr>
        <w:spacing w:line="600" w:lineRule="exact"/>
        <w:ind w:firstLine="640" w:firstLineChars="200"/>
        <w:jc w:val="both"/>
        <w:rPr>
          <w:rFonts w:ascii="仿宋_GB2312" w:hAnsi="Times New Roman" w:eastAsia="仿宋_GB2312"/>
          <w:color w:val="000000"/>
          <w:sz w:val="32"/>
          <w:szCs w:val="32"/>
          <w:shd w:val="clear" w:color="auto" w:fill="FFFFFF"/>
        </w:rPr>
      </w:pPr>
      <w:r>
        <w:rPr>
          <w:rFonts w:hint="eastAsia" w:ascii="楷体_GB2312" w:hAnsi="Times New Roman" w:eastAsia="楷体_GB2312"/>
          <w:color w:val="000000"/>
          <w:sz w:val="32"/>
          <w:szCs w:val="32"/>
          <w:shd w:val="clear" w:color="auto" w:fill="FFFFFF"/>
          <w:lang w:eastAsia="zh-CN"/>
        </w:rPr>
        <w:t>（二）</w:t>
      </w:r>
      <w:r>
        <w:rPr>
          <w:rFonts w:hint="eastAsia" w:ascii="楷体_GB2312" w:hAnsi="Times New Roman" w:eastAsia="楷体_GB2312"/>
          <w:color w:val="000000"/>
          <w:sz w:val="32"/>
          <w:szCs w:val="32"/>
          <w:shd w:val="clear" w:color="auto" w:fill="FFFFFF"/>
        </w:rPr>
        <w:t>结果应用情况。</w:t>
      </w:r>
      <w:r>
        <w:rPr>
          <w:rFonts w:hint="eastAsia" w:ascii="仿宋_GB2312" w:hAnsi="Times New Roman" w:eastAsia="仿宋_GB2312"/>
          <w:color w:val="000000"/>
          <w:sz w:val="32"/>
          <w:szCs w:val="32"/>
          <w:shd w:val="clear" w:color="auto" w:fill="FFFFFF"/>
        </w:rPr>
        <w:t>根据预算绩效管理要求，我中心认真贯彻国家和省、市关于预算绩效管理工作的有关要求，确定部门预算项目和预算额度，清晰描述预算项目开支范围和内容，确定预算项目的绩效目标、绩效指标和评价标准，为预算绩效控制、绩效分析、绩效评价打下好的基础。我中心制定了《征拆事务中心关于全面推进预算绩效管理实施意见》《征拆事务中心预算绩效管理工作实施方案》《征拆事务中心预算绩效管理工作考核办法》等，建立了绩效管理贯穿预算全过程的机制。</w:t>
      </w:r>
    </w:p>
    <w:p>
      <w:pPr>
        <w:pStyle w:val="13"/>
        <w:widowControl/>
        <w:spacing w:line="600" w:lineRule="exact"/>
        <w:ind w:firstLine="960" w:firstLineChars="300"/>
        <w:jc w:val="both"/>
        <w:rPr>
          <w:rFonts w:ascii="仿宋_GB2312" w:hAnsi="Times New Roman" w:eastAsia="仿宋_GB2312"/>
          <w:color w:val="000000"/>
          <w:sz w:val="32"/>
          <w:szCs w:val="32"/>
          <w:shd w:val="clear" w:color="auto" w:fill="FFFFFF"/>
          <w:lang w:bidi="ar"/>
        </w:rPr>
      </w:pPr>
      <w:r>
        <w:rPr>
          <w:rFonts w:hint="eastAsia" w:ascii="楷体_GB2312" w:hAnsi="Times New Roman" w:eastAsia="楷体_GB2312"/>
          <w:color w:val="000000"/>
          <w:sz w:val="32"/>
          <w:szCs w:val="32"/>
          <w:shd w:val="clear" w:color="auto" w:fill="FFFFFF"/>
        </w:rPr>
        <w:t>(三)自评质量。</w:t>
      </w:r>
      <w:r>
        <w:rPr>
          <w:rFonts w:hint="eastAsia" w:ascii="仿宋_GB2312" w:hAnsi="Times New Roman" w:eastAsia="仿宋_GB2312"/>
          <w:color w:val="000000"/>
          <w:sz w:val="32"/>
          <w:szCs w:val="32"/>
          <w:shd w:val="clear" w:color="auto" w:fill="FFFFFF"/>
          <w:lang w:bidi="ar"/>
        </w:rPr>
        <w:t>2021年，我中心努力做好财政预算收入、支出以及项目的管理工作，将预算及时公开到相关的信息网络平台，对预算的资金进行全方位的监督和管理，使每一笔资金都能起到最大的使用效益。部门预算绩效管理，是财政部门的重点关注部分，一个完整有效的绩效管理方案，需要以预算为导向，结合我乡实际过程中支出进行合理化分配，以达到合理高效地运用资金、提升资金的产出结果、节约成本与资源、提高部门的办事效率的目的。</w:t>
      </w:r>
    </w:p>
    <w:p>
      <w:pPr>
        <w:widowControl/>
        <w:autoSpaceDE w:val="0"/>
        <w:adjustRightInd w:val="0"/>
        <w:snapToGrid w:val="0"/>
        <w:spacing w:line="500" w:lineRule="exact"/>
        <w:ind w:firstLine="640" w:firstLineChars="200"/>
        <w:contextualSpacing/>
        <w:jc w:val="left"/>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四、自评结论及建议</w:t>
      </w:r>
    </w:p>
    <w:p>
      <w:pPr>
        <w:widowControl/>
        <w:autoSpaceDE w:val="0"/>
        <w:adjustRightInd w:val="0"/>
        <w:snapToGrid w:val="0"/>
        <w:spacing w:line="500" w:lineRule="exact"/>
        <w:ind w:firstLine="640" w:firstLineChars="200"/>
        <w:contextualSpacing/>
        <w:jc w:val="left"/>
        <w:rPr>
          <w:rFonts w:hint="eastAsia" w:ascii="方正仿宋简体" w:eastAsia="方正仿宋简体"/>
          <w:sz w:val="30"/>
          <w:szCs w:val="30"/>
          <w:lang w:eastAsia="zh-CN"/>
        </w:rPr>
      </w:pPr>
      <w:r>
        <w:rPr>
          <w:rFonts w:hint="eastAsia" w:ascii="楷体_GB2312" w:eastAsia="楷体_GB2312"/>
          <w:color w:val="000000"/>
          <w:kern w:val="0"/>
          <w:sz w:val="32"/>
          <w:szCs w:val="32"/>
          <w:shd w:val="clear" w:color="auto" w:fill="FFFFFF"/>
        </w:rPr>
        <w:t>（一）自评结论。</w:t>
      </w:r>
      <w:r>
        <w:rPr>
          <w:rFonts w:hint="eastAsia" w:ascii="方正仿宋简体" w:eastAsia="方正仿宋简体"/>
          <w:sz w:val="30"/>
          <w:szCs w:val="30"/>
        </w:rPr>
        <w:t>部门支出绩效评价自评得分96分</w:t>
      </w:r>
      <w:r>
        <w:rPr>
          <w:rFonts w:hint="eastAsia" w:ascii="方正仿宋简体" w:eastAsia="方正仿宋简体"/>
          <w:sz w:val="30"/>
          <w:szCs w:val="30"/>
          <w:lang w:eastAsia="zh-CN"/>
        </w:rPr>
        <w:t>。</w:t>
      </w:r>
    </w:p>
    <w:tbl>
      <w:tblPr>
        <w:tblStyle w:val="14"/>
        <w:tblW w:w="9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6"/>
        <w:gridCol w:w="536"/>
        <w:gridCol w:w="726"/>
        <w:gridCol w:w="458"/>
        <w:gridCol w:w="1920"/>
        <w:gridCol w:w="3757"/>
        <w:gridCol w:w="377"/>
        <w:gridCol w:w="377"/>
        <w:gridCol w:w="377"/>
        <w:gridCol w:w="377"/>
        <w:gridCol w:w="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982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Style w:val="34"/>
                <w:lang w:val="en-US" w:eastAsia="zh-CN" w:bidi="ar"/>
              </w:rPr>
              <w:t>202</w:t>
            </w:r>
            <w:r>
              <w:rPr>
                <w:rStyle w:val="34"/>
                <w:rFonts w:hint="eastAsia"/>
                <w:lang w:val="en-US" w:eastAsia="zh-CN" w:bidi="ar"/>
              </w:rPr>
              <w:t>1</w:t>
            </w:r>
            <w:r>
              <w:rPr>
                <w:rStyle w:val="34"/>
                <w:lang w:val="en-US" w:eastAsia="zh-CN" w:bidi="ar"/>
              </w:rPr>
              <w:t>年部门整体支出绩效自评评分表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2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1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绩效指标</w:t>
            </w:r>
          </w:p>
        </w:tc>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指标分值</w:t>
            </w:r>
          </w:p>
        </w:tc>
        <w:tc>
          <w:tcPr>
            <w:tcW w:w="1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指标解释</w:t>
            </w:r>
          </w:p>
        </w:tc>
        <w:tc>
          <w:tcPr>
            <w:tcW w:w="3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计分标准</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评价方式</w:t>
            </w: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评价属性</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三级指标</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整体评价</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样本评价</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定性评价</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定量评价</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7" w:hRule="atLeast"/>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部门预算项目绩效管理（70分）</w:t>
            </w: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目标管理（30分）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目标制定</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评价部门绩效目标是否要素完整、细化量化并集体决策。</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1.绩效目标编制要素完整的，得5分，否则酌情扣分。                                                       2.绩效指标细化量化的，得5分，否则酌情扣分。                                                                                                    3.评价部门绩效目标纳入部门党组（委）会（办公会）集体决策范围的得5分，否则不得分。                                                                                                    有项目绩效目标的部门（单位），根据项目绩效目标编制质量打分，无项目绩效目标的部门，根据部门整体支出绩效目标打分。                                                                    </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目标实现</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评价部门绩效目标实际实现程度与预期目标的偏离度。</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15。</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动态调整（20分）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支出控制</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部门公用经费及非定额公用支出控制情况。</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计算部门日常公用经费、项目支出中“办公费、印刷费、水费、电费、物业管理费”等科目年初预算数与决算数偏差程度。                                                            预决算偏差程度在10%以内的，得5分。偏差度在10%-20%之间的，得2分，偏差度超过20%的，不得分。</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0"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及时处置</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评价部门开展绩效运行监控后，将绩效监控结果应用到预算调整的情况。</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1.当部门绩效监控调整取消额和结余注销额均不为零时，指标得分=部门项目支出绩效监控调整取消额÷(部门绩效监控调整取消额+预算结余注销额）*10。                                                2.当部门绩效监控调整取消额为零，结余注销额不为零时，指标得分=（1-10*结余注销额/年度预算总额）*10，结余注销额超过部门年度预算总额10%的，指标不得分。                                                                                             3.当部门绩效监控调整取消额与结余注销额均为零时，得满分。                                                             </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执行进度</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评价部门在6、9、11月的预算执行情况。</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部门预算执行进度在6、9、11月应达到序时进度的80%、90%、90%，即实际支出进度分别达到40%、67.5%、82.5%。                                                                                                     6、9、11月部门预算执行进度达到量化指标的分别得1、2、2分，未达到目标进度的的按其实际进度占目标进度的比重计算得分。                                             </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完成结果（20分）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预算完成</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评价部门预算项目年终预算执行情况。</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部门预算项目12月预算执行进度达到100%的，得10分，未达100%的，按照实际进度量化计算得分。</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资金结余率（低效无效率）</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评价部门预算项目年终资金结余情况。                 </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部门预算项目资金结余率小于0.1的项目数/部门预算项目总数*5。</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违规记录</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根据审计监督、财政检查结果反映部门上一年度部门预算管理是否合规。</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依据评价年度审计监督、财政检查结果，出现部门预算管理方面违纪违规问题的，每个问题扣0.5分，直至扣完。</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绩效结果应用（20分）</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内部应用（6分）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预算挂钩</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部门内部绩效结果与预算挂钩情况</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将内设机构和下属单位绩效自评纳入考核体系，建立对内设机构和下属单位预算与绩效挂钩机制的，得6分，否则酌情扣分。    </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信息公开（4分)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自评公开</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评价部门是否按要求将部门整体绩效自评情况和自行组织的评价情况向社会公开。</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按要求将相关绩效信息随同决算公开的，得4分，否则不得分。</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整改反馈（10分）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问题整改</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评价部门根据绩效管理结果整改问题、完善政策、改进管理的情况。</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针对绩效管理过程中（包括绩效目标核查、绩效监控核查和重点绩效评价）提出的问题进行整改，得5分，否则酌情扣分。</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应用反馈</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评价部门按要求及时向财政部门反馈结果应用情况。</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部门在规定时间内向财政部门反馈应用绩效结果报告的，得5分，否则不得分。</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自评质量（10分）</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自评质量</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自评质量</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评价部门整体支出自评准确率。</w:t>
            </w: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100</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6"/>
                <w:szCs w:val="16"/>
                <w:u w:val="none"/>
              </w:rPr>
            </w:pPr>
          </w:p>
        </w:tc>
        <w:tc>
          <w:tcPr>
            <w:tcW w:w="3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6"/>
                <w:szCs w:val="16"/>
                <w:u w:val="none"/>
              </w:rPr>
            </w:pPr>
          </w:p>
        </w:tc>
        <w:tc>
          <w:tcPr>
            <w:tcW w:w="1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1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自评等级</w:t>
            </w:r>
          </w:p>
        </w:tc>
        <w:tc>
          <w:tcPr>
            <w:tcW w:w="80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自评结果：□优秀（90≤得分≤100）；□良好（80≤得分＜89）；□及格（60≤得分＜79）；□不及格（低于60分）</w:t>
            </w:r>
          </w:p>
        </w:tc>
      </w:tr>
    </w:tbl>
    <w:p>
      <w:pPr>
        <w:widowControl/>
        <w:autoSpaceDE w:val="0"/>
        <w:adjustRightInd w:val="0"/>
        <w:snapToGrid w:val="0"/>
        <w:spacing w:line="500" w:lineRule="exact"/>
        <w:ind w:firstLine="600" w:firstLineChars="200"/>
        <w:contextualSpacing/>
        <w:jc w:val="left"/>
        <w:rPr>
          <w:rFonts w:ascii="楷体_GB2312" w:eastAsia="方正仿宋简体"/>
          <w:color w:val="000000"/>
          <w:kern w:val="0"/>
          <w:sz w:val="30"/>
          <w:szCs w:val="30"/>
          <w:shd w:val="clear" w:color="auto" w:fill="FFFFFF"/>
        </w:rPr>
      </w:pPr>
    </w:p>
    <w:p>
      <w:pPr>
        <w:numPr>
          <w:ilvl w:val="0"/>
          <w:numId w:val="0"/>
        </w:numPr>
        <w:spacing w:line="600" w:lineRule="exact"/>
        <w:ind w:firstLine="640" w:firstLineChars="200"/>
        <w:rPr>
          <w:rFonts w:hint="eastAsia" w:ascii="楷体_GB2312" w:eastAsia="楷体_GB2312"/>
          <w:color w:val="000000"/>
          <w:kern w:val="0"/>
          <w:sz w:val="32"/>
          <w:szCs w:val="32"/>
          <w:shd w:val="clear" w:color="auto" w:fill="FFFFFF"/>
        </w:rPr>
      </w:pPr>
      <w:r>
        <w:rPr>
          <w:rFonts w:hint="eastAsia" w:ascii="楷体_GB2312" w:eastAsia="楷体_GB2312"/>
          <w:color w:val="000000"/>
          <w:kern w:val="0"/>
          <w:sz w:val="32"/>
          <w:szCs w:val="32"/>
          <w:shd w:val="clear" w:color="auto" w:fill="FFFFFF"/>
          <w:lang w:eastAsia="zh-CN"/>
        </w:rPr>
        <w:t>（二）</w:t>
      </w:r>
      <w:r>
        <w:rPr>
          <w:rFonts w:hint="eastAsia" w:ascii="楷体_GB2312" w:eastAsia="楷体_GB2312"/>
          <w:color w:val="000000"/>
          <w:kern w:val="0"/>
          <w:sz w:val="32"/>
          <w:szCs w:val="32"/>
          <w:shd w:val="clear" w:color="auto" w:fill="FFFFFF"/>
        </w:rPr>
        <w:t>存在问题。</w:t>
      </w:r>
    </w:p>
    <w:p>
      <w:pPr>
        <w:numPr>
          <w:ilvl w:val="0"/>
          <w:numId w:val="0"/>
        </w:numPr>
        <w:spacing w:line="600" w:lineRule="exact"/>
        <w:ind w:firstLine="900" w:firstLineChars="300"/>
        <w:rPr>
          <w:rFonts w:ascii="方正仿宋简体" w:eastAsia="方正仿宋简体"/>
          <w:sz w:val="30"/>
          <w:szCs w:val="30"/>
        </w:rPr>
      </w:pPr>
      <w:r>
        <w:rPr>
          <w:rFonts w:hint="eastAsia" w:ascii="方正仿宋简体" w:eastAsia="方正仿宋简体"/>
          <w:sz w:val="30"/>
          <w:szCs w:val="30"/>
        </w:rPr>
        <w:t>1.业务工作不熟悉；</w:t>
      </w:r>
    </w:p>
    <w:p>
      <w:pPr>
        <w:numPr>
          <w:ilvl w:val="0"/>
          <w:numId w:val="0"/>
        </w:numPr>
        <w:spacing w:line="600" w:lineRule="exact"/>
        <w:ind w:firstLine="900" w:firstLineChars="300"/>
        <w:rPr>
          <w:rFonts w:ascii="方正仿宋简体" w:eastAsia="方正仿宋简体"/>
          <w:sz w:val="30"/>
          <w:szCs w:val="30"/>
        </w:rPr>
      </w:pPr>
      <w:r>
        <w:rPr>
          <w:rFonts w:hint="eastAsia" w:ascii="方正仿宋简体" w:eastAsia="方正仿宋简体"/>
          <w:sz w:val="30"/>
          <w:szCs w:val="30"/>
        </w:rPr>
        <w:t>2，对绩效目标认知度不够。</w:t>
      </w:r>
    </w:p>
    <w:p>
      <w:pPr>
        <w:pStyle w:val="13"/>
        <w:widowControl/>
        <w:spacing w:line="600" w:lineRule="exact"/>
        <w:ind w:firstLine="420"/>
        <w:jc w:val="both"/>
        <w:rPr>
          <w:rFonts w:hint="eastAsia" w:ascii="楷体_GB2312" w:hAnsi="Times New Roman" w:eastAsia="楷体_GB2312"/>
          <w:color w:val="000000"/>
          <w:sz w:val="32"/>
          <w:szCs w:val="32"/>
          <w:shd w:val="clear" w:color="auto" w:fill="FFFFFF"/>
        </w:rPr>
      </w:pPr>
      <w:r>
        <w:rPr>
          <w:rFonts w:hint="eastAsia" w:ascii="楷体_GB2312" w:hAnsi="Times New Roman" w:eastAsia="楷体_GB2312"/>
          <w:color w:val="000000"/>
          <w:sz w:val="32"/>
          <w:szCs w:val="32"/>
          <w:shd w:val="clear" w:color="auto" w:fill="FFFFFF"/>
        </w:rPr>
        <w:t>（三）改进建议。</w:t>
      </w:r>
    </w:p>
    <w:p>
      <w:pPr>
        <w:pStyle w:val="13"/>
        <w:widowControl/>
        <w:spacing w:line="600" w:lineRule="exact"/>
        <w:ind w:firstLine="420"/>
        <w:jc w:val="both"/>
        <w:rPr>
          <w:rFonts w:ascii="仿宋_GB2312" w:hAnsi="Times New Roman" w:eastAsia="仿宋_GB2312"/>
          <w:color w:val="000000"/>
          <w:sz w:val="32"/>
          <w:szCs w:val="32"/>
          <w:shd w:val="clear" w:color="auto" w:fill="FFFFFF"/>
        </w:rPr>
      </w:pPr>
      <w:r>
        <w:rPr>
          <w:rFonts w:hint="eastAsia" w:ascii="仿宋_GB2312" w:hAnsi="Times New Roman" w:eastAsia="仿宋_GB2312"/>
          <w:color w:val="000000"/>
          <w:sz w:val="32"/>
          <w:szCs w:val="32"/>
          <w:shd w:val="clear" w:color="auto" w:fill="FFFFFF"/>
        </w:rPr>
        <w:t>1、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确保下拨资金及时足额到位，便于及时有效使用，管理部门开展有效的使用情况跟踪管理。</w:t>
      </w:r>
    </w:p>
    <w:p>
      <w:pPr>
        <w:pStyle w:val="13"/>
        <w:widowControl/>
        <w:spacing w:line="600" w:lineRule="exact"/>
        <w:ind w:firstLine="640" w:firstLineChars="200"/>
        <w:jc w:val="both"/>
        <w:rPr>
          <w:rFonts w:ascii="仿宋_GB2312" w:hAnsi="Times New Roman" w:eastAsia="仿宋_GB2312"/>
          <w:color w:val="000000"/>
          <w:sz w:val="32"/>
          <w:szCs w:val="32"/>
          <w:shd w:val="clear" w:color="auto" w:fill="FFFFFF"/>
        </w:rPr>
      </w:pPr>
      <w:r>
        <w:rPr>
          <w:rFonts w:hint="eastAsia" w:ascii="仿宋_GB2312" w:hAnsi="Times New Roman" w:eastAsia="仿宋_GB2312"/>
          <w:color w:val="000000"/>
          <w:sz w:val="32"/>
          <w:szCs w:val="32"/>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做好经验做法总结，多与其他单位交流，不断优化完善内控制度。</w:t>
      </w:r>
    </w:p>
    <w:p>
      <w:pPr>
        <w:widowControl/>
        <w:autoSpaceDE w:val="0"/>
        <w:adjustRightInd w:val="0"/>
        <w:snapToGrid w:val="0"/>
        <w:spacing w:line="500" w:lineRule="exact"/>
        <w:ind w:firstLine="640" w:firstLineChars="200"/>
        <w:contextualSpacing/>
        <w:jc w:val="left"/>
        <w:rPr>
          <w:rFonts w:ascii="楷体_GB2312" w:eastAsia="楷体_GB2312"/>
          <w:color w:val="000000"/>
          <w:kern w:val="0"/>
          <w:sz w:val="32"/>
          <w:szCs w:val="32"/>
          <w:shd w:val="clear" w:color="auto" w:fill="FFFFFF"/>
        </w:rPr>
      </w:pP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widowControl/>
        <w:adjustRightInd w:val="0"/>
        <w:snapToGrid w:val="0"/>
        <w:spacing w:line="572" w:lineRule="exact"/>
        <w:ind w:firstLine="640" w:firstLineChars="200"/>
        <w:contextualSpacing/>
        <w:jc w:val="left"/>
        <w:rPr>
          <w:rFonts w:ascii="仿宋_GB2312" w:hAnsi="宋体" w:eastAsia="仿宋_GB2312" w:cs="宋体"/>
          <w:color w:val="0000FF"/>
          <w:kern w:val="0"/>
          <w:sz w:val="32"/>
          <w:szCs w:val="32"/>
          <w:shd w:val="clear" w:color="auto" w:fill="FFFFFF"/>
          <w:lang w:val="zh-CN"/>
        </w:rPr>
      </w:pPr>
    </w:p>
    <w:p>
      <w:pPr>
        <w:pStyle w:val="2"/>
        <w:rPr>
          <w:rFonts w:ascii="仿宋_GB2312" w:hAnsi="宋体" w:eastAsia="仿宋_GB2312" w:cs="宋体"/>
          <w:color w:val="0000FF"/>
          <w:kern w:val="0"/>
          <w:sz w:val="32"/>
          <w:szCs w:val="32"/>
          <w:shd w:val="clear" w:color="auto" w:fill="FFFFFF"/>
          <w:lang w:val="zh-CN"/>
        </w:rPr>
      </w:pPr>
    </w:p>
    <w:p>
      <w:pPr>
        <w:pStyle w:val="2"/>
        <w:rPr>
          <w:rFonts w:ascii="仿宋_GB2312" w:hAnsi="宋体" w:eastAsia="仿宋_GB2312" w:cs="宋体"/>
          <w:color w:val="0000FF"/>
          <w:kern w:val="0"/>
          <w:sz w:val="32"/>
          <w:szCs w:val="32"/>
          <w:shd w:val="clear" w:color="auto" w:fill="FFFFFF"/>
          <w:lang w:val="zh-CN"/>
        </w:rPr>
      </w:pPr>
    </w:p>
    <w:p>
      <w:pPr>
        <w:pStyle w:val="2"/>
        <w:rPr>
          <w:rFonts w:ascii="仿宋_GB2312" w:hAnsi="宋体" w:eastAsia="仿宋_GB2312" w:cs="宋体"/>
          <w:color w:val="0000FF"/>
          <w:kern w:val="0"/>
          <w:sz w:val="32"/>
          <w:szCs w:val="32"/>
          <w:shd w:val="clear" w:color="auto" w:fill="FFFFFF"/>
          <w:lang w:val="zh-CN"/>
        </w:rPr>
      </w:pPr>
    </w:p>
    <w:p>
      <w:pPr>
        <w:pStyle w:val="2"/>
        <w:rPr>
          <w:rFonts w:ascii="仿宋_GB2312" w:hAnsi="宋体" w:eastAsia="仿宋_GB2312" w:cs="宋体"/>
          <w:color w:val="0000FF"/>
          <w:kern w:val="0"/>
          <w:sz w:val="32"/>
          <w:szCs w:val="32"/>
          <w:shd w:val="clear" w:color="auto" w:fill="FFFFFF"/>
          <w:lang w:val="zh-CN"/>
        </w:rPr>
      </w:pPr>
    </w:p>
    <w:p>
      <w:pPr>
        <w:pStyle w:val="2"/>
        <w:rPr>
          <w:rFonts w:ascii="仿宋_GB2312" w:hAnsi="宋体" w:eastAsia="仿宋_GB2312" w:cs="宋体"/>
          <w:color w:val="0000FF"/>
          <w:kern w:val="0"/>
          <w:sz w:val="32"/>
          <w:szCs w:val="32"/>
          <w:shd w:val="clear" w:color="auto" w:fill="FFFFFF"/>
          <w:lang w:val="zh-CN"/>
        </w:rPr>
      </w:pPr>
    </w:p>
    <w:p>
      <w:pPr>
        <w:pStyle w:val="2"/>
        <w:rPr>
          <w:rFonts w:ascii="仿宋_GB2312" w:hAnsi="宋体" w:eastAsia="仿宋_GB2312" w:cs="宋体"/>
          <w:color w:val="0000FF"/>
          <w:kern w:val="0"/>
          <w:sz w:val="32"/>
          <w:szCs w:val="32"/>
          <w:shd w:val="clear" w:color="auto" w:fill="FFFFFF"/>
          <w:lang w:val="zh-CN"/>
        </w:rPr>
      </w:pPr>
    </w:p>
    <w:p>
      <w:pPr>
        <w:pStyle w:val="2"/>
        <w:rPr>
          <w:rFonts w:ascii="仿宋_GB2312" w:hAnsi="宋体" w:eastAsia="仿宋_GB2312" w:cs="宋体"/>
          <w:color w:val="0000FF"/>
          <w:kern w:val="0"/>
          <w:sz w:val="32"/>
          <w:szCs w:val="32"/>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w:t>
      </w:r>
      <w:r>
        <w:rPr>
          <w:rFonts w:hint="eastAsia" w:ascii="方正小标宋简体" w:hAnsi="方正小标宋简体" w:eastAsia="方正小标宋简体" w:cs="方正小标宋简体"/>
          <w:color w:val="auto"/>
          <w:kern w:val="2"/>
          <w:sz w:val="40"/>
          <w:szCs w:val="40"/>
          <w:highlight w:val="none"/>
          <w:lang w:val="zh-CN" w:eastAsia="zh-CN" w:bidi="ar-SA"/>
        </w:rPr>
        <w:t>征拆工作经费支出绩效自评报告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widowControl/>
        <w:shd w:val="clear" w:color="auto" w:fill="FFFFFF"/>
        <w:spacing w:line="580" w:lineRule="exact"/>
        <w:ind w:firstLine="643" w:firstLineChars="201"/>
        <w:jc w:val="left"/>
        <w:outlineLvl w:val="1"/>
        <w:rPr>
          <w:rFonts w:hint="default" w:ascii="仿宋_GB2312" w:eastAsia="仿宋_GB2312"/>
          <w:color w:val="auto"/>
          <w:sz w:val="32"/>
          <w:szCs w:val="32"/>
          <w:lang w:val="en-US" w:eastAsia="zh-CN"/>
        </w:rPr>
      </w:pPr>
      <w:r>
        <w:rPr>
          <w:rFonts w:hint="eastAsia" w:ascii="楷体" w:hAnsi="楷体" w:eastAsia="楷体" w:cs="楷体"/>
          <w:sz w:val="32"/>
          <w:szCs w:val="32"/>
          <w:lang w:eastAsia="zh-CN"/>
        </w:rPr>
        <w:t>（一）项目基本情况：</w:t>
      </w:r>
      <w:r>
        <w:rPr>
          <w:rFonts w:hint="eastAsia" w:ascii="仿宋_GB2312" w:eastAsia="仿宋_GB2312"/>
          <w:sz w:val="32"/>
          <w:szCs w:val="32"/>
          <w:lang w:eastAsia="zh-CN"/>
        </w:rPr>
        <w:t>2021年在区委、区政府的坚强领导下，在区级相关部门的大力支持配合下，朝天区征拆事务中心坚持以习近平新时代中国特色社会主义思想为指导，认真贯彻落实省、市、区工作会议精神，立足新职能、把握新定位、履行新使命，统筹推进征地拆迁各项工作，全力推进集体土地征收。加快推进了</w:t>
      </w:r>
      <w:r>
        <w:rPr>
          <w:rFonts w:hint="eastAsia" w:ascii="仿宋_GB2312" w:eastAsia="仿宋_GB2312"/>
          <w:color w:val="auto"/>
          <w:sz w:val="32"/>
          <w:szCs w:val="32"/>
        </w:rPr>
        <w:t>曾家山嘉仁康旅</w:t>
      </w:r>
      <w:r>
        <w:rPr>
          <w:rFonts w:hint="eastAsia" w:ascii="仿宋_GB2312" w:eastAsia="仿宋_GB2312"/>
          <w:color w:val="auto"/>
          <w:sz w:val="32"/>
          <w:szCs w:val="32"/>
          <w:lang w:eastAsia="zh-CN"/>
        </w:rPr>
        <w:t>、芳地坪（罗圈岩）、金堆新区、蜀山天养居、荣乐国际康养度假区、云天里、原乡、田博园</w:t>
      </w:r>
      <w:r>
        <w:rPr>
          <w:rFonts w:hint="eastAsia" w:ascii="仿宋_GB2312" w:eastAsia="仿宋_GB2312"/>
          <w:color w:val="auto"/>
          <w:sz w:val="32"/>
          <w:szCs w:val="32"/>
        </w:rPr>
        <w:t>等旅游项目土地征收；稳妥推进七曾公路</w:t>
      </w:r>
      <w:r>
        <w:rPr>
          <w:rFonts w:hint="eastAsia" w:ascii="仿宋_GB2312" w:eastAsia="仿宋_GB2312"/>
          <w:color w:val="auto"/>
          <w:sz w:val="32"/>
          <w:szCs w:val="32"/>
          <w:lang w:eastAsia="zh-CN"/>
        </w:rPr>
        <w:t>、中子超级服务区、七盘关新泽物流</w:t>
      </w:r>
      <w:r>
        <w:rPr>
          <w:rFonts w:hint="eastAsia" w:ascii="仿宋_GB2312" w:eastAsia="仿宋_GB2312"/>
          <w:color w:val="auto"/>
          <w:sz w:val="32"/>
          <w:szCs w:val="32"/>
        </w:rPr>
        <w:t>等交通项目土地征收；积极推进</w:t>
      </w:r>
      <w:r>
        <w:rPr>
          <w:rFonts w:hint="eastAsia" w:ascii="仿宋_GB2312" w:eastAsia="仿宋_GB2312"/>
          <w:color w:val="auto"/>
          <w:sz w:val="32"/>
          <w:szCs w:val="32"/>
          <w:lang w:eastAsia="zh-CN"/>
        </w:rPr>
        <w:t>羊木工业园</w:t>
      </w:r>
      <w:r>
        <w:rPr>
          <w:rFonts w:hint="eastAsia" w:ascii="仿宋_GB2312" w:eastAsia="仿宋_GB2312"/>
          <w:color w:val="auto"/>
          <w:sz w:val="32"/>
          <w:szCs w:val="32"/>
        </w:rPr>
        <w:t>等工业项目土地征收；及时完成了大滩镇李家河坝河堤、</w:t>
      </w:r>
      <w:r>
        <w:rPr>
          <w:rFonts w:hint="eastAsia" w:ascii="仿宋_GB2312" w:eastAsia="仿宋_GB2312"/>
          <w:color w:val="auto"/>
          <w:sz w:val="32"/>
          <w:szCs w:val="32"/>
          <w:lang w:eastAsia="zh-CN"/>
        </w:rPr>
        <w:t>三滩河堤李家河段、大沟水库等</w:t>
      </w:r>
      <w:r>
        <w:rPr>
          <w:rFonts w:hint="eastAsia" w:ascii="仿宋_GB2312" w:eastAsia="仿宋_GB2312"/>
          <w:color w:val="auto"/>
          <w:sz w:val="32"/>
          <w:szCs w:val="32"/>
        </w:rPr>
        <w:t>水利</w:t>
      </w:r>
      <w:r>
        <w:rPr>
          <w:rFonts w:hint="eastAsia" w:ascii="仿宋_GB2312" w:eastAsia="仿宋_GB2312"/>
          <w:color w:val="auto"/>
          <w:sz w:val="32"/>
          <w:szCs w:val="32"/>
          <w:lang w:eastAsia="zh-CN"/>
        </w:rPr>
        <w:t>水电</w:t>
      </w:r>
      <w:r>
        <w:rPr>
          <w:rFonts w:hint="eastAsia" w:ascii="仿宋_GB2312" w:eastAsia="仿宋_GB2312"/>
          <w:color w:val="auto"/>
          <w:sz w:val="32"/>
          <w:szCs w:val="32"/>
        </w:rPr>
        <w:t>项目土地征收</w:t>
      </w:r>
      <w:r>
        <w:rPr>
          <w:rFonts w:hint="eastAsia" w:ascii="仿宋_GB2312" w:eastAsia="仿宋_GB2312"/>
          <w:color w:val="auto"/>
          <w:sz w:val="32"/>
          <w:szCs w:val="32"/>
          <w:lang w:eastAsia="zh-CN"/>
        </w:rPr>
        <w:t>。全年开展以上所有工作需要印制宣传资料</w:t>
      </w:r>
      <w:r>
        <w:rPr>
          <w:rFonts w:hint="eastAsia" w:ascii="仿宋_GB2312" w:eastAsia="仿宋_GB2312"/>
          <w:color w:val="auto"/>
          <w:sz w:val="32"/>
          <w:szCs w:val="32"/>
          <w:lang w:val="en-US" w:eastAsia="zh-CN"/>
        </w:rPr>
        <w:t>1000余份，征拆人员交通出行200余次，培训征收拆迁工作人员100余人。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sz w:val="32"/>
          <w:szCs w:val="32"/>
          <w:lang w:eastAsia="zh-CN"/>
        </w:rPr>
      </w:pPr>
      <w:r>
        <w:rPr>
          <w:rFonts w:hint="eastAsia" w:ascii="楷体" w:hAnsi="楷体" w:eastAsia="楷体" w:cs="楷体"/>
          <w:sz w:val="32"/>
          <w:szCs w:val="32"/>
          <w:lang w:eastAsia="zh-CN"/>
        </w:rPr>
        <w:t>（二）项目预算情况：</w:t>
      </w:r>
      <w:r>
        <w:rPr>
          <w:rFonts w:hint="eastAsia" w:ascii="仿宋_GB2312" w:eastAsia="仿宋_GB2312"/>
          <w:sz w:val="32"/>
          <w:szCs w:val="32"/>
          <w:lang w:eastAsia="zh-CN"/>
        </w:rPr>
        <w:t>2021年年初预算征拆工作经费资金15万元，项目资金经财政局批复下达后，全部用于项目支出，申报及批复均符合资金管理办法等相关规定。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spacing w:line="570" w:lineRule="exact"/>
        <w:ind w:firstLine="640" w:firstLineChars="200"/>
        <w:rPr>
          <w:rFonts w:hint="eastAsia" w:ascii="仿宋" w:eastAsia="仿宋" w:cs="方正仿宋简体"/>
          <w:sz w:val="32"/>
          <w:szCs w:val="32"/>
        </w:rPr>
      </w:pPr>
      <w:r>
        <w:rPr>
          <w:rFonts w:hint="eastAsia" w:ascii="仿宋" w:eastAsia="仿宋"/>
          <w:sz w:val="32"/>
          <w:szCs w:val="32"/>
          <w:lang w:eastAsia="zh-CN"/>
        </w:rPr>
        <w:t>申请</w:t>
      </w:r>
      <w:r>
        <w:rPr>
          <w:rFonts w:hint="eastAsia" w:ascii="仿宋" w:eastAsia="仿宋"/>
          <w:sz w:val="32"/>
          <w:szCs w:val="32"/>
          <w:lang w:val="en-US" w:eastAsia="zh-CN"/>
        </w:rPr>
        <w:t>1</w:t>
      </w:r>
      <w:r>
        <w:rPr>
          <w:rFonts w:ascii="仿宋" w:eastAsia="仿宋"/>
          <w:sz w:val="32"/>
          <w:szCs w:val="32"/>
        </w:rPr>
        <w:t>5</w:t>
      </w:r>
      <w:r>
        <w:rPr>
          <w:rFonts w:hint="eastAsia" w:ascii="仿宋" w:eastAsia="仿宋"/>
          <w:sz w:val="32"/>
          <w:szCs w:val="32"/>
        </w:rPr>
        <w:t>万元的</w:t>
      </w:r>
      <w:r>
        <w:rPr>
          <w:rFonts w:hint="eastAsia" w:ascii="仿宋" w:eastAsia="仿宋"/>
          <w:sz w:val="32"/>
          <w:szCs w:val="32"/>
          <w:lang w:eastAsia="zh-CN"/>
        </w:rPr>
        <w:t>经费</w:t>
      </w:r>
      <w:r>
        <w:rPr>
          <w:rFonts w:hint="eastAsia" w:ascii="仿宋" w:eastAsia="仿宋"/>
          <w:sz w:val="32"/>
          <w:szCs w:val="32"/>
        </w:rPr>
        <w:t>标准，</w:t>
      </w:r>
      <w:r>
        <w:rPr>
          <w:rFonts w:ascii="仿宋" w:eastAsia="仿宋"/>
          <w:sz w:val="32"/>
          <w:szCs w:val="32"/>
        </w:rPr>
        <w:t>20</w:t>
      </w:r>
      <w:r>
        <w:rPr>
          <w:rFonts w:hint="eastAsia" w:ascii="仿宋" w:eastAsia="仿宋"/>
          <w:sz w:val="32"/>
          <w:szCs w:val="32"/>
          <w:lang w:val="en-US" w:eastAsia="zh-CN"/>
        </w:rPr>
        <w:t>21</w:t>
      </w:r>
      <w:r>
        <w:rPr>
          <w:rFonts w:hint="eastAsia" w:ascii="仿宋" w:eastAsia="仿宋"/>
          <w:sz w:val="32"/>
          <w:szCs w:val="32"/>
        </w:rPr>
        <w:t>年</w:t>
      </w:r>
      <w:r>
        <w:rPr>
          <w:rFonts w:hint="eastAsia" w:ascii="仿宋" w:eastAsia="仿宋" w:cs="方正仿宋简体"/>
          <w:sz w:val="32"/>
          <w:szCs w:val="32"/>
        </w:rPr>
        <w:t>到位资金</w:t>
      </w:r>
      <w:r>
        <w:rPr>
          <w:rFonts w:hint="eastAsia" w:ascii="仿宋" w:eastAsia="仿宋" w:cs="方正仿宋简体"/>
          <w:sz w:val="32"/>
          <w:szCs w:val="32"/>
          <w:lang w:val="en-US" w:eastAsia="zh-CN"/>
        </w:rPr>
        <w:t>15</w:t>
      </w:r>
      <w:r>
        <w:rPr>
          <w:rFonts w:hint="eastAsia" w:ascii="仿宋" w:eastAsia="仿宋" w:cs="方正仿宋简体"/>
          <w:sz w:val="32"/>
          <w:szCs w:val="32"/>
        </w:rPr>
        <w:t>万元已全部</w:t>
      </w:r>
      <w:r>
        <w:rPr>
          <w:rFonts w:hint="eastAsia" w:ascii="仿宋" w:eastAsia="仿宋" w:cs="方正仿宋简体"/>
          <w:sz w:val="32"/>
          <w:szCs w:val="32"/>
          <w:lang w:eastAsia="zh-CN"/>
        </w:rPr>
        <w:t>按要求</w:t>
      </w:r>
      <w:r>
        <w:rPr>
          <w:rFonts w:hint="eastAsia" w:ascii="仿宋" w:eastAsia="仿宋" w:cs="方正仿宋简体"/>
          <w:sz w:val="32"/>
          <w:szCs w:val="32"/>
        </w:rPr>
        <w:t>核算</w:t>
      </w:r>
      <w:r>
        <w:rPr>
          <w:rFonts w:hint="eastAsia" w:ascii="仿宋" w:eastAsia="仿宋" w:cs="方正仿宋简体"/>
          <w:sz w:val="32"/>
          <w:szCs w:val="32"/>
          <w:lang w:eastAsia="zh-CN"/>
        </w:rPr>
        <w:t>使用</w:t>
      </w:r>
      <w:r>
        <w:rPr>
          <w:rFonts w:hint="eastAsia" w:ascii="仿宋" w:eastAsia="仿宋" w:cs="方正仿宋简体"/>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spacing w:line="570" w:lineRule="exact"/>
        <w:ind w:firstLine="640" w:firstLineChars="200"/>
        <w:rPr>
          <w:rFonts w:hint="eastAsia" w:ascii="仿宋" w:eastAsia="仿宋" w:cs="方正仿宋简体"/>
          <w:sz w:val="32"/>
          <w:szCs w:val="32"/>
        </w:rPr>
      </w:pPr>
      <w:r>
        <w:rPr>
          <w:rFonts w:hint="eastAsia" w:ascii="楷体_GB2312" w:hAnsi="宋体" w:eastAsia="楷体_GB2312" w:cs="Times New Roman"/>
          <w:color w:val="auto"/>
          <w:sz w:val="32"/>
          <w:szCs w:val="32"/>
          <w:highlight w:val="none"/>
          <w:lang w:val="zh-CN"/>
        </w:rPr>
        <w:t>1．资金计划、资金到位情况：</w:t>
      </w:r>
      <w:r>
        <w:rPr>
          <w:rFonts w:hint="eastAsia" w:ascii="仿宋" w:eastAsia="仿宋"/>
          <w:sz w:val="32"/>
          <w:szCs w:val="32"/>
          <w:lang w:eastAsia="zh-CN"/>
        </w:rPr>
        <w:t>申请</w:t>
      </w:r>
      <w:r>
        <w:rPr>
          <w:rFonts w:hint="eastAsia" w:ascii="仿宋" w:eastAsia="仿宋"/>
          <w:sz w:val="32"/>
          <w:szCs w:val="32"/>
          <w:lang w:val="en-US" w:eastAsia="zh-CN"/>
        </w:rPr>
        <w:t>1</w:t>
      </w:r>
      <w:r>
        <w:rPr>
          <w:rFonts w:ascii="仿宋" w:eastAsia="仿宋"/>
          <w:sz w:val="32"/>
          <w:szCs w:val="32"/>
        </w:rPr>
        <w:t>5</w:t>
      </w:r>
      <w:r>
        <w:rPr>
          <w:rFonts w:hint="eastAsia" w:ascii="仿宋" w:eastAsia="仿宋"/>
          <w:sz w:val="32"/>
          <w:szCs w:val="32"/>
        </w:rPr>
        <w:t>万元的</w:t>
      </w:r>
      <w:r>
        <w:rPr>
          <w:rFonts w:hint="eastAsia" w:ascii="仿宋" w:eastAsia="仿宋"/>
          <w:sz w:val="32"/>
          <w:szCs w:val="32"/>
          <w:lang w:eastAsia="zh-CN"/>
        </w:rPr>
        <w:t>经费</w:t>
      </w:r>
      <w:r>
        <w:rPr>
          <w:rFonts w:hint="eastAsia" w:ascii="仿宋" w:eastAsia="仿宋"/>
          <w:sz w:val="32"/>
          <w:szCs w:val="32"/>
        </w:rPr>
        <w:t>标准，</w:t>
      </w:r>
      <w:r>
        <w:rPr>
          <w:rFonts w:ascii="仿宋" w:eastAsia="仿宋"/>
          <w:sz w:val="32"/>
          <w:szCs w:val="32"/>
        </w:rPr>
        <w:t>20</w:t>
      </w:r>
      <w:r>
        <w:rPr>
          <w:rFonts w:hint="eastAsia" w:ascii="仿宋" w:eastAsia="仿宋"/>
          <w:sz w:val="32"/>
          <w:szCs w:val="32"/>
          <w:lang w:val="en-US" w:eastAsia="zh-CN"/>
        </w:rPr>
        <w:t>20</w:t>
      </w:r>
      <w:r>
        <w:rPr>
          <w:rFonts w:hint="eastAsia" w:ascii="仿宋" w:eastAsia="仿宋"/>
          <w:sz w:val="32"/>
          <w:szCs w:val="32"/>
        </w:rPr>
        <w:t>年</w:t>
      </w:r>
      <w:r>
        <w:rPr>
          <w:rFonts w:hint="eastAsia" w:ascii="仿宋" w:eastAsia="仿宋" w:cs="方正仿宋简体"/>
          <w:sz w:val="32"/>
          <w:szCs w:val="32"/>
        </w:rPr>
        <w:t>到位资金</w:t>
      </w:r>
      <w:r>
        <w:rPr>
          <w:rFonts w:hint="eastAsia" w:ascii="仿宋" w:eastAsia="仿宋" w:cs="方正仿宋简体"/>
          <w:sz w:val="32"/>
          <w:szCs w:val="32"/>
          <w:lang w:val="en-US" w:eastAsia="zh-CN"/>
        </w:rPr>
        <w:t>15</w:t>
      </w:r>
      <w:r>
        <w:rPr>
          <w:rFonts w:hint="eastAsia" w:ascii="仿宋" w:eastAsia="仿宋" w:cs="方正仿宋简体"/>
          <w:sz w:val="32"/>
          <w:szCs w:val="32"/>
        </w:rPr>
        <w:t>万元已全部</w:t>
      </w:r>
      <w:r>
        <w:rPr>
          <w:rFonts w:hint="eastAsia" w:ascii="仿宋" w:eastAsia="仿宋" w:cs="方正仿宋简体"/>
          <w:sz w:val="32"/>
          <w:szCs w:val="32"/>
          <w:lang w:eastAsia="zh-CN"/>
        </w:rPr>
        <w:t>按要求</w:t>
      </w:r>
      <w:r>
        <w:rPr>
          <w:rFonts w:hint="eastAsia" w:ascii="仿宋" w:eastAsia="仿宋" w:cs="方正仿宋简体"/>
          <w:sz w:val="32"/>
          <w:szCs w:val="32"/>
        </w:rPr>
        <w:t>核算</w:t>
      </w:r>
      <w:r>
        <w:rPr>
          <w:rFonts w:hint="eastAsia" w:ascii="仿宋" w:eastAsia="仿宋" w:cs="方正仿宋简体"/>
          <w:sz w:val="32"/>
          <w:szCs w:val="32"/>
          <w:lang w:eastAsia="zh-CN"/>
        </w:rPr>
        <w:t>使用</w:t>
      </w:r>
      <w:r>
        <w:rPr>
          <w:rFonts w:hint="eastAsia" w:ascii="仿宋" w:eastAsia="仿宋" w:cs="方正仿宋简体"/>
          <w:sz w:val="32"/>
          <w:szCs w:val="32"/>
        </w:rPr>
        <w:t>。</w:t>
      </w:r>
    </w:p>
    <w:p>
      <w:pPr>
        <w:spacing w:line="570" w:lineRule="exact"/>
        <w:ind w:firstLine="640" w:firstLineChars="200"/>
        <w:rPr>
          <w:rFonts w:hint="eastAsia" w:ascii="仿宋" w:hAnsi="Times New Roman" w:eastAsia="仿宋" w:cs="方正仿宋简体"/>
          <w:sz w:val="32"/>
          <w:szCs w:val="32"/>
        </w:rPr>
      </w:pPr>
      <w:r>
        <w:rPr>
          <w:rFonts w:hint="eastAsia" w:ascii="楷体_GB2312" w:hAnsi="宋体" w:eastAsia="楷体_GB2312" w:cs="Times New Roman"/>
          <w:color w:val="auto"/>
          <w:sz w:val="32"/>
          <w:szCs w:val="32"/>
          <w:highlight w:val="none"/>
          <w:lang w:val="en-US" w:eastAsia="zh-CN"/>
        </w:rPr>
        <w:t>2</w:t>
      </w:r>
      <w:r>
        <w:rPr>
          <w:rFonts w:hint="eastAsia" w:ascii="楷体_GB2312" w:hAnsi="宋体" w:eastAsia="楷体_GB2312" w:cs="Times New Roman"/>
          <w:color w:val="auto"/>
          <w:sz w:val="32"/>
          <w:szCs w:val="32"/>
          <w:highlight w:val="none"/>
          <w:lang w:val="zh-CN"/>
        </w:rPr>
        <w:t>．资金使用。</w:t>
      </w:r>
      <w:r>
        <w:rPr>
          <w:rFonts w:hint="eastAsia" w:ascii="仿宋" w:hAnsi="Times New Roman" w:eastAsia="仿宋" w:cs="方正仿宋简体"/>
          <w:sz w:val="32"/>
          <w:szCs w:val="32"/>
          <w:lang w:eastAsia="zh-CN"/>
        </w:rPr>
        <w:t>全部使用于征收拆迁工作中所产生的费用。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spacing w:line="570" w:lineRule="exact"/>
        <w:ind w:firstLine="640" w:firstLineChars="200"/>
        <w:rPr>
          <w:rFonts w:ascii="仿宋" w:eastAsia="仿宋"/>
          <w:sz w:val="32"/>
          <w:szCs w:val="32"/>
        </w:rPr>
      </w:pPr>
      <w:r>
        <w:rPr>
          <w:rFonts w:hint="eastAsia" w:ascii="仿宋" w:eastAsia="仿宋"/>
          <w:sz w:val="32"/>
          <w:szCs w:val="32"/>
        </w:rPr>
        <w:t>严格按照《</w:t>
      </w:r>
      <w:r>
        <w:rPr>
          <w:rFonts w:hint="eastAsia" w:ascii="仿宋" w:eastAsia="仿宋"/>
          <w:sz w:val="32"/>
          <w:szCs w:val="32"/>
          <w:lang w:eastAsia="zh-CN"/>
        </w:rPr>
        <w:t>项目</w:t>
      </w:r>
      <w:r>
        <w:rPr>
          <w:rFonts w:hint="eastAsia" w:ascii="仿宋" w:eastAsia="仿宋"/>
          <w:sz w:val="32"/>
          <w:szCs w:val="32"/>
        </w:rPr>
        <w:t>资金管理制度》，充分认识资金的重要性和特殊性，以高度的责任感、使命感和工作热情，管好用好每一分钱，项目经费专款专用，未发现支出依据不合规、虚列项目支出的情况，也为发现截留、挤占、挪用等情况，资金使用安全有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spacing w:line="570" w:lineRule="exact"/>
        <w:ind w:firstLine="630" w:firstLineChars="196"/>
        <w:rPr>
          <w:rFonts w:ascii="仿宋" w:eastAsia="仿宋" w:cs="方正仿宋简体"/>
          <w:bCs/>
          <w:sz w:val="32"/>
          <w:szCs w:val="32"/>
        </w:rPr>
      </w:pPr>
      <w:r>
        <w:rPr>
          <w:rFonts w:hint="eastAsia" w:ascii="楷体_GB2312" w:hAnsi="宋体" w:eastAsia="楷体_GB2312"/>
          <w:b/>
          <w:sz w:val="32"/>
          <w:szCs w:val="32"/>
          <w:lang w:val="zh-CN"/>
        </w:rPr>
        <w:t>（一）项目组织实施情况：</w:t>
      </w:r>
      <w:r>
        <w:rPr>
          <w:rFonts w:hint="eastAsia" w:ascii="仿宋" w:eastAsia="仿宋" w:cs="方正仿宋简体"/>
          <w:bCs/>
          <w:sz w:val="32"/>
          <w:szCs w:val="32"/>
        </w:rPr>
        <w:t>为确保</w:t>
      </w:r>
      <w:r>
        <w:rPr>
          <w:rFonts w:hint="eastAsia" w:ascii="仿宋" w:eastAsia="仿宋" w:cs="方正仿宋简体"/>
          <w:bCs/>
          <w:sz w:val="32"/>
          <w:szCs w:val="32"/>
          <w:lang w:eastAsia="zh-CN"/>
        </w:rPr>
        <w:t>征拆</w:t>
      </w:r>
      <w:r>
        <w:rPr>
          <w:rFonts w:hint="eastAsia" w:ascii="仿宋" w:eastAsia="仿宋" w:cs="方正仿宋简体"/>
          <w:bCs/>
          <w:sz w:val="32"/>
          <w:szCs w:val="32"/>
        </w:rPr>
        <w:t>工作有序开展</w:t>
      </w:r>
      <w:r>
        <w:rPr>
          <w:rFonts w:hint="eastAsia" w:ascii="仿宋" w:eastAsia="仿宋" w:cs="方正仿宋简体"/>
          <w:bCs/>
          <w:sz w:val="32"/>
          <w:szCs w:val="32"/>
          <w:lang w:eastAsia="zh-CN"/>
        </w:rPr>
        <w:t>，我中心</w:t>
      </w:r>
      <w:r>
        <w:rPr>
          <w:rFonts w:hint="eastAsia" w:ascii="仿宋" w:eastAsia="仿宋" w:cs="方正仿宋简体"/>
          <w:bCs/>
          <w:sz w:val="32"/>
          <w:szCs w:val="32"/>
        </w:rPr>
        <w:t>结合实际</w:t>
      </w:r>
      <w:r>
        <w:rPr>
          <w:rFonts w:hint="eastAsia" w:ascii="仿宋" w:eastAsia="仿宋" w:cs="方正仿宋简体"/>
          <w:bCs/>
          <w:sz w:val="32"/>
          <w:szCs w:val="32"/>
          <w:lang w:eastAsia="zh-CN"/>
        </w:rPr>
        <w:t>，针对每个项目都明确责任人，有力推进征收拆迁工作的顺利开展，在有效的时间里提供用土地保障，</w:t>
      </w:r>
      <w:r>
        <w:rPr>
          <w:rFonts w:hint="eastAsia" w:ascii="仿宋" w:eastAsia="仿宋" w:cs="方正仿宋简体"/>
          <w:bCs/>
          <w:sz w:val="32"/>
          <w:szCs w:val="32"/>
        </w:rPr>
        <w:t>并规范资金使用管理。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spacing w:line="570" w:lineRule="exact"/>
        <w:ind w:firstLine="800" w:firstLineChars="250"/>
        <w:rPr>
          <w:rFonts w:ascii="仿宋" w:eastAsia="仿宋"/>
          <w:sz w:val="32"/>
          <w:szCs w:val="32"/>
        </w:rPr>
      </w:pPr>
      <w:r>
        <w:rPr>
          <w:rFonts w:hint="eastAsia" w:ascii="仿宋" w:eastAsia="仿宋"/>
          <w:sz w:val="32"/>
          <w:szCs w:val="32"/>
        </w:rPr>
        <w:t>通过现场评价，对</w:t>
      </w:r>
      <w:r>
        <w:rPr>
          <w:rFonts w:hint="eastAsia" w:ascii="仿宋" w:eastAsia="仿宋"/>
          <w:sz w:val="32"/>
          <w:szCs w:val="32"/>
          <w:lang w:val="en-US" w:eastAsia="zh-CN"/>
        </w:rPr>
        <w:t>2021年规定时间内完成的项目，</w:t>
      </w:r>
      <w:r>
        <w:rPr>
          <w:rFonts w:hint="eastAsia" w:ascii="仿宋" w:eastAsia="仿宋"/>
          <w:sz w:val="32"/>
          <w:szCs w:val="32"/>
        </w:rPr>
        <w:t>在各</w:t>
      </w:r>
      <w:r>
        <w:rPr>
          <w:rFonts w:hint="eastAsia" w:ascii="仿宋" w:eastAsia="仿宋"/>
          <w:sz w:val="32"/>
          <w:szCs w:val="32"/>
          <w:lang w:eastAsia="zh-CN"/>
        </w:rPr>
        <w:t>乡镇</w:t>
      </w:r>
      <w:r>
        <w:rPr>
          <w:rFonts w:hint="eastAsia" w:ascii="仿宋" w:eastAsia="仿宋"/>
          <w:sz w:val="32"/>
          <w:szCs w:val="32"/>
        </w:rPr>
        <w:t>的大力配合下，顺利推进，圆满完成任务，目标完成情况良好。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通过该项目的实施，有力的推进了征拆工作的顺利进行，确保用土地单位在规定的时间里能顺利进行开展下一步工作。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adjustRightInd w:val="0"/>
        <w:snapToGrid w:val="0"/>
        <w:spacing w:line="600" w:lineRule="exact"/>
        <w:ind w:firstLine="720"/>
        <w:rPr>
          <w:rFonts w:hint="eastAsia" w:ascii="仿宋_GB2312" w:hAnsi="宋体" w:eastAsia="仿宋_GB2312" w:cs="Times New Roman"/>
          <w:sz w:val="32"/>
          <w:szCs w:val="32"/>
          <w:lang w:val="zh-CN"/>
        </w:rPr>
      </w:pPr>
      <w:r>
        <w:rPr>
          <w:rFonts w:hint="eastAsia" w:ascii="楷体_GB2312" w:hAnsi="宋体" w:eastAsia="楷体_GB2312"/>
          <w:b/>
          <w:sz w:val="32"/>
          <w:szCs w:val="32"/>
          <w:lang w:val="zh-CN"/>
        </w:rPr>
        <w:t>（一）存在的问题：</w:t>
      </w:r>
      <w:r>
        <w:rPr>
          <w:rFonts w:hint="eastAsia" w:ascii="仿宋_GB2312" w:hAnsi="宋体" w:eastAsia="仿宋_GB2312" w:cs="Times New Roman"/>
          <w:sz w:val="32"/>
          <w:szCs w:val="32"/>
          <w:lang w:val="zh-CN"/>
        </w:rPr>
        <w:t>征收拆迁工作任务重，人员少，推进进度有所滞后。</w:t>
      </w:r>
    </w:p>
    <w:p>
      <w:pPr>
        <w:adjustRightInd w:val="0"/>
        <w:snapToGrid w:val="0"/>
        <w:spacing w:line="600" w:lineRule="exact"/>
        <w:ind w:firstLine="720"/>
        <w:rPr>
          <w:rFonts w:hint="eastAsia"/>
          <w:color w:val="auto"/>
          <w:highlight w:val="none"/>
          <w:lang w:val="zh-CN"/>
        </w:rPr>
      </w:pPr>
      <w:r>
        <w:rPr>
          <w:rFonts w:hint="eastAsia" w:ascii="楷体_GB2312" w:hAnsi="宋体" w:eastAsia="楷体_GB2312"/>
          <w:b/>
          <w:sz w:val="32"/>
          <w:szCs w:val="32"/>
          <w:lang w:val="zh-CN"/>
        </w:rPr>
        <w:t>（三）相关建议：</w:t>
      </w:r>
      <w:r>
        <w:rPr>
          <w:rFonts w:hint="eastAsia" w:ascii="仿宋_GB2312" w:hAnsi="宋体" w:eastAsia="仿宋_GB2312"/>
          <w:sz w:val="32"/>
          <w:szCs w:val="32"/>
          <w:lang w:val="en-US" w:eastAsia="zh-CN"/>
        </w:rPr>
        <w:t>加大人员配备，补充工作经费，为更有力的推进征拆工作。</w:t>
      </w: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3"/>
        <w:gridCol w:w="1394"/>
        <w:gridCol w:w="1412"/>
        <w:gridCol w:w="2082"/>
        <w:gridCol w:w="806"/>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yellow"/>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3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622601</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8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预算数：</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4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488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宋体" w:hAnsi="宋体" w:eastAsia="宋体" w:cs="宋体"/>
                <w:i w:val="0"/>
                <w:color w:val="auto"/>
                <w:sz w:val="24"/>
                <w:szCs w:val="24"/>
                <w:highlight w:val="none"/>
                <w:u w:val="none"/>
                <w:lang w:val="en-US" w:eastAsia="zh-CN"/>
              </w:rPr>
            </w:pPr>
            <w:r>
              <w:rPr>
                <w:rFonts w:hint="eastAsia"/>
              </w:rPr>
              <w:t>完成区内年度征收拆迁工作任务，保障征收拆迁工作正常开展，推进区内发展。</w:t>
            </w: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完成区内年度征收拆迁工作任务，保障征收拆迁工作正常开展，推进区内发展。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4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年度绩效指标完成情况</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4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数量指标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宋体" w:cs="宋体"/>
                <w:color w:val="000000"/>
                <w:sz w:val="24"/>
                <w:szCs w:val="24"/>
                <w:lang w:eastAsia="zh-CN"/>
              </w:rPr>
              <w:t>征拆工作经费</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宋体" w:cs="宋体"/>
                <w:color w:val="000000"/>
                <w:sz w:val="24"/>
                <w:szCs w:val="24"/>
                <w:lang w:val="en-US" w:eastAsia="zh-CN"/>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4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质量指标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default" w:ascii="宋体" w:cs="宋体"/>
                <w:color w:val="000000"/>
                <w:sz w:val="24"/>
                <w:szCs w:val="24"/>
                <w:lang w:val="en-US"/>
              </w:rPr>
              <w:t>保障征拆工作正常开展</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宋体" w:cs="宋体"/>
                <w:color w:val="000000"/>
                <w:sz w:val="24"/>
                <w:szCs w:val="24"/>
                <w:lang w:eastAsia="zh-CN"/>
              </w:rPr>
              <w:t>按政策要求完成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4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时效指标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2021.12.31</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2021.12.31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宋体" w:cs="宋体"/>
                <w:color w:val="000000"/>
                <w:sz w:val="24"/>
                <w:szCs w:val="24"/>
                <w:lang w:eastAsia="zh-CN"/>
              </w:rPr>
              <w:t>按时按量完成目标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4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成本指标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宋体" w:cs="宋体"/>
                <w:color w:val="000000"/>
                <w:sz w:val="24"/>
                <w:szCs w:val="24"/>
              </w:rPr>
              <w:t>提高工作质量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宋体" w:cs="宋体"/>
                <w:color w:val="000000"/>
                <w:sz w:val="24"/>
                <w:szCs w:val="24"/>
                <w:lang w:eastAsia="zh-CN"/>
              </w:rPr>
              <w:t>按照目标值完成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4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经济效益指标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有效推动全区发展</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52" w:hRule="atLeast"/>
        </w:trPr>
        <w:tc>
          <w:tcPr>
            <w:tcW w:w="14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社会效益指标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有效提升征拆工作业务水平，协调推进了全区发展</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4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生态效益指标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改善人居生活环境，促进人与自然和谐共处</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47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可持续影响 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推动了社会的进步和发展</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4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4"/>
                <w:szCs w:val="24"/>
                <w:highlight w:val="none"/>
                <w:u w:val="none"/>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度指标</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让群众征拆项目实施的满意度达到90%</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highlight w:val="none"/>
                <w:u w:val="none"/>
              </w:rPr>
            </w:pPr>
          </w:p>
        </w:tc>
      </w:tr>
    </w:tbl>
    <w:p>
      <w:pPr>
        <w:pStyle w:val="2"/>
        <w:spacing w:before="93"/>
        <w:rPr>
          <w:lang w:val="zh-CN"/>
        </w:rPr>
      </w:pPr>
      <w:r>
        <w:rPr>
          <w:rFonts w:hint="eastAsia" w:hAnsi="宋体" w:cs="宋体"/>
          <w:sz w:val="24"/>
          <w:szCs w:val="24"/>
          <w:shd w:val="clear" w:color="auto" w:fill="FFFFFF"/>
          <w:lang w:val="zh-CN"/>
        </w:rPr>
        <w:t>附件</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2022年</w:t>
      </w:r>
      <w:r>
        <w:rPr>
          <w:rFonts w:hint="eastAsia" w:ascii="方正小标宋简体" w:hAnsi="方正小标宋简体" w:eastAsia="方正小标宋简体" w:cs="方正小标宋简体"/>
          <w:sz w:val="40"/>
          <w:szCs w:val="40"/>
          <w:lang w:val="zh-CN"/>
        </w:rPr>
        <w:t>扶贫资金项目支出绩效自评报告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default" w:ascii="仿宋_GB2312" w:eastAsia="仿宋_GB2312"/>
          <w:sz w:val="32"/>
          <w:szCs w:val="32"/>
          <w:lang w:val="en-US" w:eastAsia="zh-CN"/>
        </w:rPr>
      </w:pPr>
      <w:r>
        <w:rPr>
          <w:rFonts w:hint="eastAsia" w:ascii="楷体_GB2312" w:hAnsi="宋体" w:eastAsia="楷体_GB2312"/>
          <w:b/>
          <w:sz w:val="32"/>
          <w:szCs w:val="32"/>
          <w:lang w:val="zh-CN"/>
        </w:rPr>
        <w:t>（一）项目基本情况。</w:t>
      </w:r>
      <w:r>
        <w:rPr>
          <w:rFonts w:hint="eastAsia" w:ascii="仿宋_GB2312" w:eastAsia="仿宋_GB2312"/>
          <w:sz w:val="32"/>
          <w:szCs w:val="32"/>
          <w:lang w:val="en-US" w:eastAsia="zh-CN"/>
        </w:rPr>
        <w:t>2</w:t>
      </w:r>
      <w:r>
        <w:rPr>
          <w:rFonts w:hint="eastAsia" w:ascii="仿宋_GB2312" w:eastAsia="仿宋_GB2312"/>
          <w:sz w:val="32"/>
          <w:szCs w:val="32"/>
          <w:lang w:eastAsia="zh-CN"/>
        </w:rPr>
        <w:t>021年在区委、区政府的坚强领导下，在所属乡镇的大力支持配合下，我中中心坚持以习近平新时代中国特色社会主义思想为指导，认真贯彻落实省、市、区工作会议精神，立足新职能、把握新定位、履行新使命，统筹推进脱贫攻坚工作，单位共派</w:t>
      </w:r>
      <w:r>
        <w:rPr>
          <w:rFonts w:hint="eastAsia" w:ascii="仿宋_GB2312" w:eastAsia="仿宋_GB2312"/>
          <w:sz w:val="32"/>
          <w:szCs w:val="32"/>
          <w:lang w:val="en-US" w:eastAsia="zh-CN"/>
        </w:rPr>
        <w:t>16名干部参与联系帮扶工作，联系户数共40户，全年按各级要求走访脱贫户100余次。</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spacing w:line="570" w:lineRule="exact"/>
        <w:ind w:firstLine="640" w:firstLineChars="200"/>
        <w:rPr>
          <w:rFonts w:ascii="仿宋" w:eastAsia="仿宋" w:cs="方正仿宋简体"/>
          <w:sz w:val="32"/>
          <w:szCs w:val="32"/>
        </w:rPr>
      </w:pPr>
      <w:r>
        <w:rPr>
          <w:rFonts w:hint="eastAsia" w:ascii="仿宋" w:eastAsia="仿宋"/>
          <w:sz w:val="32"/>
          <w:szCs w:val="32"/>
        </w:rPr>
        <w:t>申请</w:t>
      </w:r>
      <w:r>
        <w:rPr>
          <w:rFonts w:hint="eastAsia" w:ascii="仿宋" w:eastAsia="仿宋"/>
          <w:sz w:val="32"/>
          <w:szCs w:val="32"/>
          <w:lang w:val="en-US" w:eastAsia="zh-CN"/>
        </w:rPr>
        <w:t>0.4</w:t>
      </w:r>
      <w:r>
        <w:rPr>
          <w:rFonts w:hint="eastAsia" w:ascii="仿宋" w:eastAsia="仿宋"/>
          <w:sz w:val="32"/>
          <w:szCs w:val="32"/>
        </w:rPr>
        <w:t>万元的经费标准，</w:t>
      </w:r>
      <w:r>
        <w:rPr>
          <w:rFonts w:ascii="仿宋" w:eastAsia="仿宋"/>
          <w:sz w:val="32"/>
          <w:szCs w:val="32"/>
        </w:rPr>
        <w:t>20</w:t>
      </w:r>
      <w:r>
        <w:rPr>
          <w:rFonts w:hint="eastAsia" w:ascii="仿宋" w:eastAsia="仿宋"/>
          <w:sz w:val="32"/>
          <w:szCs w:val="32"/>
        </w:rPr>
        <w:t>21年</w:t>
      </w:r>
      <w:r>
        <w:rPr>
          <w:rFonts w:hint="eastAsia" w:ascii="仿宋" w:eastAsia="仿宋" w:cs="方正仿宋简体"/>
          <w:sz w:val="32"/>
          <w:szCs w:val="32"/>
        </w:rPr>
        <w:t>到位资金</w:t>
      </w:r>
      <w:r>
        <w:rPr>
          <w:rFonts w:hint="eastAsia" w:ascii="仿宋" w:eastAsia="仿宋" w:cs="方正仿宋简体"/>
          <w:sz w:val="32"/>
          <w:szCs w:val="32"/>
          <w:lang w:val="en-US" w:eastAsia="zh-CN"/>
        </w:rPr>
        <w:t>0.4</w:t>
      </w:r>
      <w:r>
        <w:rPr>
          <w:rFonts w:hint="eastAsia" w:ascii="仿宋" w:eastAsia="仿宋" w:cs="方正仿宋简体"/>
          <w:sz w:val="32"/>
          <w:szCs w:val="32"/>
        </w:rPr>
        <w:t>万元已全部按要求核算使用。</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spacing w:line="570" w:lineRule="exact"/>
        <w:ind w:firstLine="640" w:firstLineChars="200"/>
        <w:rPr>
          <w:rFonts w:ascii="仿宋" w:eastAsia="仿宋" w:cs="方正仿宋简体"/>
          <w:sz w:val="32"/>
          <w:szCs w:val="32"/>
        </w:rPr>
      </w:pPr>
      <w:r>
        <w:rPr>
          <w:rFonts w:hint="eastAsia" w:ascii="楷体_GB2312" w:hAnsi="宋体" w:eastAsia="楷体_GB2312"/>
          <w:sz w:val="32"/>
          <w:szCs w:val="32"/>
          <w:lang w:val="zh-CN"/>
        </w:rPr>
        <w:t>1．资金计划、资金到位情况：</w:t>
      </w:r>
      <w:r>
        <w:rPr>
          <w:rFonts w:hint="eastAsia" w:ascii="仿宋" w:eastAsia="仿宋"/>
          <w:sz w:val="32"/>
          <w:szCs w:val="32"/>
        </w:rPr>
        <w:t>申请</w:t>
      </w:r>
      <w:r>
        <w:rPr>
          <w:rFonts w:hint="eastAsia" w:ascii="仿宋" w:eastAsia="仿宋"/>
          <w:sz w:val="32"/>
          <w:szCs w:val="32"/>
          <w:lang w:val="en-US" w:eastAsia="zh-CN"/>
        </w:rPr>
        <w:t>0.4</w:t>
      </w:r>
      <w:r>
        <w:rPr>
          <w:rFonts w:hint="eastAsia" w:ascii="仿宋" w:eastAsia="仿宋"/>
          <w:sz w:val="32"/>
          <w:szCs w:val="32"/>
        </w:rPr>
        <w:t>万元的经费标准，</w:t>
      </w:r>
      <w:r>
        <w:rPr>
          <w:rFonts w:ascii="仿宋" w:eastAsia="仿宋"/>
          <w:sz w:val="32"/>
          <w:szCs w:val="32"/>
        </w:rPr>
        <w:t>20</w:t>
      </w:r>
      <w:r>
        <w:rPr>
          <w:rFonts w:hint="eastAsia" w:ascii="仿宋" w:eastAsia="仿宋"/>
          <w:sz w:val="32"/>
          <w:szCs w:val="32"/>
        </w:rPr>
        <w:t>20年</w:t>
      </w:r>
      <w:r>
        <w:rPr>
          <w:rFonts w:hint="eastAsia" w:ascii="仿宋" w:eastAsia="仿宋" w:cs="方正仿宋简体"/>
          <w:sz w:val="32"/>
          <w:szCs w:val="32"/>
        </w:rPr>
        <w:t>到位资金</w:t>
      </w:r>
      <w:r>
        <w:rPr>
          <w:rFonts w:hint="eastAsia" w:ascii="仿宋" w:eastAsia="仿宋" w:cs="方正仿宋简体"/>
          <w:sz w:val="32"/>
          <w:szCs w:val="32"/>
          <w:lang w:val="en-US" w:eastAsia="zh-CN"/>
        </w:rPr>
        <w:t>0.4</w:t>
      </w:r>
      <w:r>
        <w:rPr>
          <w:rFonts w:hint="eastAsia" w:ascii="仿宋" w:eastAsia="仿宋" w:cs="方正仿宋简体"/>
          <w:sz w:val="32"/>
          <w:szCs w:val="32"/>
        </w:rPr>
        <w:t>万元已全部按要求核算使用。</w:t>
      </w:r>
    </w:p>
    <w:p>
      <w:pPr>
        <w:spacing w:line="570" w:lineRule="exact"/>
        <w:ind w:firstLine="640" w:firstLineChars="200"/>
        <w:rPr>
          <w:rFonts w:ascii="仿宋" w:eastAsia="仿宋" w:cs="方正仿宋简体"/>
          <w:sz w:val="32"/>
          <w:szCs w:val="32"/>
        </w:rPr>
      </w:pPr>
      <w:r>
        <w:rPr>
          <w:rFonts w:hint="eastAsia" w:ascii="楷体_GB2312" w:hAnsi="宋体" w:eastAsia="楷体_GB2312"/>
          <w:sz w:val="32"/>
          <w:szCs w:val="32"/>
        </w:rPr>
        <w:t>2</w:t>
      </w:r>
      <w:r>
        <w:rPr>
          <w:rFonts w:hint="eastAsia" w:ascii="楷体_GB2312" w:hAnsi="宋体" w:eastAsia="楷体_GB2312"/>
          <w:sz w:val="32"/>
          <w:szCs w:val="32"/>
          <w:lang w:val="zh-CN"/>
        </w:rPr>
        <w:t>．资金使用。</w:t>
      </w:r>
      <w:r>
        <w:rPr>
          <w:rFonts w:hint="eastAsia" w:ascii="仿宋" w:eastAsia="仿宋" w:cs="方正仿宋简体"/>
          <w:sz w:val="32"/>
          <w:szCs w:val="32"/>
        </w:rPr>
        <w:t>全部使用于</w:t>
      </w:r>
      <w:r>
        <w:rPr>
          <w:rFonts w:hint="eastAsia" w:ascii="仿宋" w:eastAsia="仿宋" w:cs="方正仿宋简体"/>
          <w:sz w:val="32"/>
          <w:szCs w:val="32"/>
          <w:lang w:eastAsia="zh-CN"/>
        </w:rPr>
        <w:t>结队帮扶</w:t>
      </w:r>
      <w:r>
        <w:rPr>
          <w:rFonts w:hint="eastAsia" w:ascii="仿宋" w:eastAsia="仿宋" w:cs="方正仿宋简体"/>
          <w:sz w:val="32"/>
          <w:szCs w:val="32"/>
        </w:rPr>
        <w:t>工作中所产生的费用。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spacing w:line="570" w:lineRule="exact"/>
        <w:ind w:firstLine="640" w:firstLineChars="200"/>
        <w:rPr>
          <w:rFonts w:ascii="仿宋" w:eastAsia="仿宋"/>
          <w:sz w:val="32"/>
          <w:szCs w:val="32"/>
        </w:rPr>
      </w:pPr>
      <w:r>
        <w:rPr>
          <w:rFonts w:hint="eastAsia" w:ascii="仿宋" w:eastAsia="仿宋"/>
          <w:sz w:val="32"/>
          <w:szCs w:val="32"/>
        </w:rPr>
        <w:t>严格按照《项目资金管理制度》，充分认识资金的重要性和特殊性，以高度的责任感、使命感和工作热情，管好用好每一分钱，项目经费专款专用，未发现支出依据不合规、虚列项目支出的情况，也为发现截留、挤占、挪用等情况，资金使用安全有效。</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spacing w:line="570" w:lineRule="exact"/>
        <w:ind w:firstLine="630" w:firstLineChars="196"/>
        <w:rPr>
          <w:rFonts w:ascii="仿宋" w:eastAsia="仿宋" w:cs="方正仿宋简体"/>
          <w:bCs/>
          <w:color w:val="auto"/>
          <w:sz w:val="32"/>
          <w:szCs w:val="32"/>
        </w:rPr>
      </w:pPr>
      <w:r>
        <w:rPr>
          <w:rFonts w:hint="eastAsia" w:ascii="楷体_GB2312" w:hAnsi="宋体" w:eastAsia="楷体_GB2312"/>
          <w:b/>
          <w:color w:val="auto"/>
          <w:sz w:val="32"/>
          <w:szCs w:val="32"/>
          <w:lang w:val="zh-CN"/>
        </w:rPr>
        <w:t>（一）项目组织实施情况：</w:t>
      </w:r>
      <w:r>
        <w:rPr>
          <w:rFonts w:hint="eastAsia" w:ascii="仿宋" w:eastAsia="仿宋" w:cs="方正仿宋简体"/>
          <w:bCs/>
          <w:color w:val="auto"/>
          <w:sz w:val="32"/>
          <w:szCs w:val="32"/>
        </w:rPr>
        <w:t>为确保</w:t>
      </w:r>
      <w:r>
        <w:rPr>
          <w:rFonts w:hint="eastAsia" w:ascii="仿宋_GB2312" w:hAnsi="宋体" w:eastAsia="仿宋_GB2312"/>
          <w:color w:val="auto"/>
          <w:sz w:val="32"/>
          <w:szCs w:val="32"/>
          <w:lang w:val="zh-CN"/>
        </w:rPr>
        <w:t>结队帮扶</w:t>
      </w:r>
      <w:r>
        <w:rPr>
          <w:rFonts w:hint="eastAsia" w:ascii="仿宋" w:eastAsia="仿宋" w:cs="方正仿宋简体"/>
          <w:bCs/>
          <w:color w:val="auto"/>
          <w:sz w:val="32"/>
          <w:szCs w:val="32"/>
        </w:rPr>
        <w:t>有序开展，我中心结合实际，针对每</w:t>
      </w:r>
      <w:r>
        <w:rPr>
          <w:rFonts w:hint="eastAsia" w:ascii="仿宋" w:eastAsia="仿宋" w:cs="方正仿宋简体"/>
          <w:bCs/>
          <w:color w:val="auto"/>
          <w:sz w:val="32"/>
          <w:szCs w:val="32"/>
          <w:lang w:eastAsia="zh-CN"/>
        </w:rPr>
        <w:t>户脱贫户</w:t>
      </w:r>
      <w:r>
        <w:rPr>
          <w:rFonts w:hint="eastAsia" w:ascii="仿宋" w:eastAsia="仿宋" w:cs="方正仿宋简体"/>
          <w:bCs/>
          <w:color w:val="auto"/>
          <w:sz w:val="32"/>
          <w:szCs w:val="32"/>
        </w:rPr>
        <w:t>都明确</w:t>
      </w:r>
      <w:r>
        <w:rPr>
          <w:rFonts w:hint="eastAsia" w:ascii="仿宋_GB2312" w:hAnsi="宋体" w:eastAsia="仿宋_GB2312"/>
          <w:color w:val="auto"/>
          <w:sz w:val="32"/>
          <w:szCs w:val="32"/>
          <w:lang w:val="zh-CN"/>
        </w:rPr>
        <w:t>帮扶</w:t>
      </w:r>
      <w:r>
        <w:rPr>
          <w:rFonts w:hint="eastAsia" w:ascii="仿宋" w:eastAsia="仿宋" w:cs="方正仿宋简体"/>
          <w:bCs/>
          <w:color w:val="auto"/>
          <w:sz w:val="32"/>
          <w:szCs w:val="32"/>
        </w:rPr>
        <w:t>责任人，有力推进</w:t>
      </w:r>
      <w:r>
        <w:rPr>
          <w:rFonts w:hint="eastAsia" w:ascii="仿宋_GB2312" w:hAnsi="宋体" w:eastAsia="仿宋_GB2312"/>
          <w:color w:val="auto"/>
          <w:sz w:val="32"/>
          <w:szCs w:val="32"/>
          <w:lang w:val="zh-CN"/>
        </w:rPr>
        <w:t>结队帮扶</w:t>
      </w:r>
      <w:r>
        <w:rPr>
          <w:rFonts w:hint="eastAsia" w:ascii="仿宋" w:eastAsia="仿宋" w:cs="方正仿宋简体"/>
          <w:bCs/>
          <w:color w:val="auto"/>
          <w:sz w:val="32"/>
          <w:szCs w:val="32"/>
        </w:rPr>
        <w:t>工作的顺利开展，在有效的时间里</w:t>
      </w:r>
      <w:r>
        <w:rPr>
          <w:rFonts w:hint="eastAsia" w:ascii="仿宋" w:eastAsia="仿宋" w:cs="方正仿宋简体"/>
          <w:bCs/>
          <w:color w:val="auto"/>
          <w:sz w:val="32"/>
          <w:szCs w:val="32"/>
          <w:lang w:eastAsia="zh-CN"/>
        </w:rPr>
        <w:t>完成阶段性的工作</w:t>
      </w:r>
      <w:r>
        <w:rPr>
          <w:rFonts w:hint="eastAsia" w:ascii="仿宋" w:eastAsia="仿宋" w:cs="方正仿宋简体"/>
          <w:bCs/>
          <w:color w:val="auto"/>
          <w:sz w:val="32"/>
          <w:szCs w:val="32"/>
        </w:rPr>
        <w:t>，并规范资金使用管理。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70" w:lineRule="exact"/>
        <w:ind w:firstLine="800" w:firstLineChars="250"/>
        <w:rPr>
          <w:rFonts w:ascii="仿宋" w:eastAsia="仿宋"/>
          <w:color w:val="auto"/>
          <w:sz w:val="32"/>
          <w:szCs w:val="32"/>
        </w:rPr>
      </w:pPr>
      <w:r>
        <w:rPr>
          <w:rFonts w:hint="eastAsia" w:ascii="仿宋" w:eastAsia="仿宋"/>
          <w:color w:val="auto"/>
          <w:sz w:val="32"/>
          <w:szCs w:val="32"/>
        </w:rPr>
        <w:t>通过现场评价，对2021年规定时间内完成的项目，在</w:t>
      </w:r>
      <w:r>
        <w:rPr>
          <w:rFonts w:hint="eastAsia" w:ascii="仿宋" w:eastAsia="仿宋"/>
          <w:color w:val="auto"/>
          <w:sz w:val="32"/>
          <w:szCs w:val="32"/>
          <w:lang w:eastAsia="zh-CN"/>
        </w:rPr>
        <w:t>所属</w:t>
      </w:r>
      <w:r>
        <w:rPr>
          <w:rFonts w:hint="eastAsia" w:ascii="仿宋" w:eastAsia="仿宋"/>
          <w:color w:val="auto"/>
          <w:sz w:val="32"/>
          <w:szCs w:val="32"/>
        </w:rPr>
        <w:t>乡镇</w:t>
      </w:r>
      <w:r>
        <w:rPr>
          <w:rFonts w:hint="eastAsia" w:ascii="仿宋" w:eastAsia="仿宋"/>
          <w:color w:val="auto"/>
          <w:sz w:val="32"/>
          <w:szCs w:val="32"/>
          <w:lang w:eastAsia="zh-CN"/>
        </w:rPr>
        <w:t>村组</w:t>
      </w:r>
      <w:r>
        <w:rPr>
          <w:rFonts w:hint="eastAsia" w:ascii="仿宋" w:eastAsia="仿宋"/>
          <w:color w:val="auto"/>
          <w:sz w:val="32"/>
          <w:szCs w:val="32"/>
        </w:rPr>
        <w:t>的大力配合下，顺利推进，圆满完成任务，目标完成情况良好。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通过该项目的实施，有力的推进了结队帮扶工作的顺利进行，确保帮扶对象在有效的时间里享受应享受的政策。</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sz w:val="32"/>
          <w:szCs w:val="32"/>
          <w:lang w:val="zh-CN"/>
        </w:rPr>
        <w:t>（一）存在的问题：</w:t>
      </w:r>
      <w:r>
        <w:rPr>
          <w:rFonts w:hint="eastAsia" w:ascii="楷体_GB2312" w:hAnsi="宋体" w:eastAsia="楷体_GB2312"/>
          <w:b w:val="0"/>
          <w:bCs/>
          <w:sz w:val="32"/>
          <w:szCs w:val="32"/>
          <w:lang w:val="zh-CN"/>
        </w:rPr>
        <w:t>村组合并后，对其情况了解还不够熟悉，导致帮扶工作中存在的困难较多；</w:t>
      </w:r>
    </w:p>
    <w:p>
      <w:pPr>
        <w:pStyle w:val="2"/>
        <w:spacing w:before="93"/>
        <w:ind w:firstLine="643" w:firstLineChars="200"/>
        <w:rPr>
          <w:rFonts w:hint="eastAsia" w:eastAsia="楷体_GB2312"/>
          <w:lang w:val="zh-CN" w:eastAsia="zh-CN"/>
        </w:rPr>
      </w:pPr>
      <w:r>
        <w:rPr>
          <w:rFonts w:hint="eastAsia" w:ascii="楷体_GB2312" w:hAnsi="宋体" w:eastAsia="楷体_GB2312"/>
          <w:b/>
          <w:sz w:val="32"/>
          <w:szCs w:val="32"/>
          <w:lang w:val="zh-CN"/>
        </w:rPr>
        <w:t>（二）相关建议：</w:t>
      </w:r>
      <w:r>
        <w:rPr>
          <w:rFonts w:hint="eastAsia" w:hAnsi="宋体"/>
          <w:sz w:val="32"/>
          <w:szCs w:val="32"/>
          <w:lang w:eastAsia="zh-CN"/>
        </w:rPr>
        <w:t>无</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tbl>
      <w:tblPr>
        <w:tblStyle w:val="14"/>
        <w:tblpPr w:leftFromText="180" w:rightFromText="180" w:vertAnchor="text" w:horzAnchor="page" w:tblpX="1254" w:tblpY="-259"/>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highlight w:val="yellow"/>
              </w:rPr>
              <w:t>2021年部门预算项目绩效目标自评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6" w:type="dxa"/>
          <w:trHeight w:val="397"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szCs w:val="24"/>
              </w:rPr>
            </w:pPr>
            <w:r>
              <w:rPr>
                <w:rFonts w:hint="eastAsia" w:ascii="宋体" w:hAnsi="宋体" w:cs="宋体"/>
                <w:sz w:val="24"/>
                <w:szCs w:val="24"/>
              </w:rPr>
              <w:t>622601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szCs w:val="24"/>
              </w:rPr>
            </w:pP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widowControl/>
              <w:spacing w:line="320" w:lineRule="exact"/>
              <w:jc w:val="center"/>
              <w:textAlignment w:val="center"/>
              <w:rPr>
                <w:rFonts w:ascii="宋体" w:hAnsi="宋体" w:cs="宋体"/>
                <w:sz w:val="24"/>
                <w:szCs w:val="24"/>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sz w:val="24"/>
                <w:szCs w:val="24"/>
                <w:lang w:eastAsia="zh-CN"/>
              </w:rPr>
            </w:pPr>
            <w:r>
              <w:rPr>
                <w:rFonts w:hint="eastAsia" w:ascii="宋体" w:hAnsi="宋体" w:cs="宋体"/>
                <w:sz w:val="24"/>
                <w:szCs w:val="24"/>
                <w:lang w:eastAsia="zh-CN"/>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sz w:val="24"/>
                <w:szCs w:val="24"/>
                <w:lang w:eastAsia="zh-CN"/>
              </w:rPr>
            </w:pPr>
            <w:r>
              <w:rPr>
                <w:rFonts w:hint="eastAsia" w:ascii="宋体" w:hAnsi="宋体" w:cs="宋体"/>
                <w:sz w:val="24"/>
                <w:szCs w:val="24"/>
                <w:lang w:eastAsia="zh-CN"/>
              </w:rPr>
              <w:t>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0.4</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widowControl/>
              <w:spacing w:line="320" w:lineRule="exact"/>
              <w:jc w:val="center"/>
              <w:textAlignment w:val="center"/>
              <w:rPr>
                <w:rFonts w:ascii="宋体" w:hAnsi="宋体" w:cs="宋体"/>
                <w:sz w:val="24"/>
                <w:szCs w:val="24"/>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szCs w:val="24"/>
                <w:lang w:bidi="ar"/>
              </w:rPr>
            </w:pPr>
            <w:r>
              <w:rPr>
                <w:rFonts w:hint="eastAsia" w:ascii="宋体" w:hAnsi="宋体" w:cs="宋体"/>
                <w:kern w:val="0"/>
                <w:sz w:val="24"/>
                <w:szCs w:val="24"/>
                <w:lang w:bidi="ar"/>
              </w:rPr>
              <w:t>其中：</w:t>
            </w:r>
          </w:p>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0.4</w:t>
            </w:r>
          </w:p>
        </w:tc>
      </w:tr>
      <w:tr>
        <w:tblPrEx>
          <w:tblCellMar>
            <w:top w:w="0" w:type="dxa"/>
            <w:left w:w="108" w:type="dxa"/>
            <w:bottom w:w="0" w:type="dxa"/>
            <w:right w:w="108" w:type="dxa"/>
          </w:tblCellMar>
        </w:tblPrEx>
        <w:trPr>
          <w:gridAfter w:val="1"/>
          <w:wAfter w:w="236" w:type="dxa"/>
          <w:trHeight w:val="374"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20" w:lineRule="exact"/>
              <w:jc w:val="center"/>
              <w:rPr>
                <w:rFonts w:ascii="宋体" w:hAnsi="宋体" w:cs="宋体"/>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rFonts w:ascii="宋体" w:hAnsi="宋体" w:cs="宋体"/>
                <w:sz w:val="24"/>
                <w:szCs w:val="24"/>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szCs w:val="24"/>
              </w:rPr>
            </w:pPr>
            <w:r>
              <w:rPr>
                <w:rFonts w:hint="eastAsia" w:ascii="宋体" w:hAnsi="宋体" w:eastAsia="宋体" w:cs="宋体"/>
                <w:i w:val="0"/>
                <w:color w:val="auto"/>
                <w:kern w:val="0"/>
                <w:sz w:val="24"/>
                <w:szCs w:val="24"/>
                <w:highlight w:val="none"/>
                <w:u w:val="none"/>
                <w:lang w:val="en-US" w:eastAsia="zh-CN"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szCs w:val="24"/>
              </w:rPr>
            </w:pPr>
          </w:p>
        </w:tc>
      </w:tr>
      <w:tr>
        <w:tblPrEx>
          <w:tblCellMar>
            <w:top w:w="0" w:type="dxa"/>
            <w:left w:w="108" w:type="dxa"/>
            <w:bottom w:w="0" w:type="dxa"/>
            <w:right w:w="108" w:type="dxa"/>
          </w:tblCellMar>
        </w:tblPrEx>
        <w:trPr>
          <w:gridAfter w:val="1"/>
          <w:wAfter w:w="236" w:type="dxa"/>
          <w:trHeight w:val="539"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szCs w:val="24"/>
                <w:lang w:bidi="ar"/>
              </w:rPr>
            </w:pPr>
            <w:r>
              <w:rPr>
                <w:rFonts w:hint="eastAsia" w:ascii="宋体" w:hAnsi="宋体" w:cs="宋体"/>
                <w:kern w:val="0"/>
                <w:sz w:val="24"/>
                <w:szCs w:val="24"/>
                <w:lang w:bidi="ar"/>
              </w:rPr>
              <w:t>年度总体目标</w:t>
            </w:r>
          </w:p>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szCs w:val="24"/>
              </w:rPr>
            </w:pPr>
            <w:r>
              <w:rPr>
                <w:rFonts w:hint="eastAsia" w:ascii="宋体" w:hAnsi="宋体" w:eastAsia="宋体" w:cs="宋体"/>
                <w:i w:val="0"/>
                <w:color w:val="auto"/>
                <w:kern w:val="0"/>
                <w:sz w:val="24"/>
                <w:szCs w:val="24"/>
                <w:highlight w:val="none"/>
                <w:u w:val="none"/>
                <w:lang w:val="en-US" w:eastAsia="zh-CN"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szCs w:val="24"/>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szCs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hint="eastAsia" w:ascii="宋体" w:hAnsi="宋体" w:eastAsia="宋体" w:cs="宋体"/>
                <w:sz w:val="24"/>
                <w:szCs w:val="24"/>
                <w:lang w:eastAsia="zh-CN"/>
              </w:rPr>
            </w:pPr>
            <w:r>
              <w:rPr>
                <w:rFonts w:hint="eastAsia" w:ascii="宋体" w:hAnsi="宋体" w:cs="宋体"/>
                <w:sz w:val="24"/>
                <w:szCs w:val="24"/>
                <w:lang w:eastAsia="zh-CN"/>
              </w:rPr>
              <w:t>完成年度内脱贫攻坚联系帮扶任务，确保脱贫攻坚工作有序推进。</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top"/>
              <w:rPr>
                <w:rFonts w:ascii="宋体" w:hAnsi="宋体" w:cs="宋体"/>
                <w:sz w:val="24"/>
                <w:szCs w:val="24"/>
              </w:rPr>
            </w:pPr>
            <w:r>
              <w:rPr>
                <w:rFonts w:hint="eastAsia" w:ascii="宋体" w:hAnsi="宋体" w:cs="宋体"/>
                <w:sz w:val="24"/>
                <w:szCs w:val="24"/>
                <w:lang w:eastAsia="zh-CN"/>
              </w:rPr>
              <w:t>完成年度内脱贫攻坚联系帮扶任务，确保脱贫攻坚工作有序推进。</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一级</w:t>
            </w:r>
          </w:p>
          <w:p>
            <w:pPr>
              <w:widowControl/>
              <w:spacing w:line="3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二级</w:t>
            </w:r>
          </w:p>
          <w:p>
            <w:pPr>
              <w:widowControl/>
              <w:spacing w:line="3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三级</w:t>
            </w:r>
          </w:p>
          <w:p>
            <w:pPr>
              <w:widowControl/>
              <w:spacing w:line="3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szCs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完成</w:t>
            </w:r>
          </w:p>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宋体" w:eastAsia="仿宋_GB2312"/>
                <w:sz w:val="24"/>
                <w:szCs w:val="24"/>
                <w:lang w:val="zh-CN"/>
              </w:rPr>
              <w:t>扶贫工作</w:t>
            </w:r>
            <w:r>
              <w:rPr>
                <w:rFonts w:hint="eastAsia" w:ascii="宋体" w:cs="宋体"/>
                <w:color w:val="000000"/>
                <w:sz w:val="24"/>
                <w:szCs w:val="24"/>
              </w:rPr>
              <w:t>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0.4</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宋体" w:cs="宋体"/>
                <w:color w:val="000000"/>
                <w:sz w:val="24"/>
                <w:szCs w:val="24"/>
              </w:rPr>
              <w:t>全面完成</w:t>
            </w:r>
          </w:p>
        </w:tc>
      </w:tr>
      <w:tr>
        <w:tblPrEx>
          <w:tblCellMar>
            <w:top w:w="0" w:type="dxa"/>
            <w:left w:w="108" w:type="dxa"/>
            <w:bottom w:w="0" w:type="dxa"/>
            <w:right w:w="108" w:type="dxa"/>
          </w:tblCellMar>
        </w:tblPrEx>
        <w:trPr>
          <w:gridAfter w:val="1"/>
          <w:wAfter w:w="236" w:type="dxa"/>
          <w:trHeight w:val="63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szCs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宋体" w:cs="仿宋_GB2312"/>
                <w:sz w:val="24"/>
                <w:szCs w:val="24"/>
                <w:lang w:eastAsia="zh-CN"/>
              </w:rPr>
            </w:pPr>
            <w:r>
              <w:rPr>
                <w:rFonts w:ascii="宋体" w:cs="宋体"/>
                <w:color w:val="000000"/>
                <w:sz w:val="24"/>
                <w:szCs w:val="24"/>
              </w:rPr>
              <w:t>保障</w:t>
            </w:r>
            <w:r>
              <w:rPr>
                <w:rFonts w:hint="eastAsia" w:ascii="仿宋_GB2312" w:hAnsi="宋体" w:eastAsia="仿宋_GB2312"/>
                <w:sz w:val="24"/>
                <w:szCs w:val="24"/>
                <w:lang w:val="zh-CN"/>
              </w:rPr>
              <w:t>结队帮扶</w:t>
            </w:r>
            <w:r>
              <w:rPr>
                <w:rFonts w:ascii="宋体" w:cs="宋体"/>
                <w:color w:val="000000"/>
                <w:sz w:val="24"/>
                <w:szCs w:val="24"/>
              </w:rPr>
              <w:t>正常开展</w:t>
            </w:r>
            <w:r>
              <w:rPr>
                <w:rFonts w:hint="eastAsia" w:ascii="宋体" w:cs="宋体"/>
                <w:color w:val="000000"/>
                <w:sz w:val="24"/>
                <w:szCs w:val="24"/>
                <w:lang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宋体" w:cs="宋体"/>
                <w:color w:val="000000"/>
                <w:sz w:val="24"/>
                <w:szCs w:val="24"/>
              </w:rPr>
              <w:t>按政策要求完成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szCs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2021.12.31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2021.12.31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宋体" w:cs="宋体"/>
                <w:color w:val="000000"/>
                <w:sz w:val="24"/>
                <w:szCs w:val="24"/>
              </w:rPr>
              <w:t>按时按量完成目标</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szCs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宋体" w:cs="仿宋_GB2312"/>
                <w:sz w:val="24"/>
                <w:szCs w:val="24"/>
                <w:lang w:eastAsia="zh-CN"/>
              </w:rPr>
            </w:pPr>
            <w:r>
              <w:rPr>
                <w:rFonts w:hint="eastAsia" w:ascii="宋体" w:cs="宋体"/>
                <w:color w:val="000000"/>
                <w:sz w:val="24"/>
                <w:szCs w:val="24"/>
              </w:rPr>
              <w:t>提高工作质量</w:t>
            </w:r>
            <w:r>
              <w:rPr>
                <w:rFonts w:hint="eastAsia" w:ascii="宋体" w:cs="宋体"/>
                <w:color w:val="000000"/>
                <w:sz w:val="24"/>
                <w:szCs w:val="24"/>
                <w:lang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宋体" w:cs="宋体"/>
                <w:color w:val="000000"/>
                <w:sz w:val="24"/>
                <w:szCs w:val="24"/>
              </w:rPr>
              <w:t>按照目标值完成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szCs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4"/>
                <w:szCs w:val="24"/>
                <w:lang w:eastAsia="zh-CN" w:bidi="ar"/>
              </w:rPr>
            </w:pPr>
            <w:r>
              <w:rPr>
                <w:rFonts w:hint="eastAsia" w:ascii="仿宋_GB2312" w:hAnsi="仿宋_GB2312" w:eastAsia="仿宋_GB2312" w:cs="仿宋_GB2312"/>
                <w:kern w:val="0"/>
                <w:sz w:val="24"/>
                <w:szCs w:val="24"/>
                <w:lang w:bidi="ar"/>
              </w:rPr>
              <w:t>效益</w:t>
            </w:r>
          </w:p>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有效推动</w:t>
            </w:r>
            <w:r>
              <w:rPr>
                <w:rFonts w:hint="eastAsia" w:ascii="仿宋_GB2312" w:hAnsi="宋体" w:eastAsia="仿宋_GB2312"/>
                <w:sz w:val="24"/>
                <w:szCs w:val="24"/>
                <w:lang w:val="zh-CN"/>
              </w:rPr>
              <w:t>结队帮扶顺利进行。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r>
      <w:tr>
        <w:tblPrEx>
          <w:tblCellMar>
            <w:top w:w="0" w:type="dxa"/>
            <w:left w:w="108" w:type="dxa"/>
            <w:bottom w:w="0" w:type="dxa"/>
            <w:right w:w="108" w:type="dxa"/>
          </w:tblCellMar>
        </w:tblPrEx>
        <w:trPr>
          <w:gridAfter w:val="1"/>
          <w:wAfter w:w="236" w:type="dxa"/>
          <w:trHeight w:val="743"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szCs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促进社会和谐，提高生活质量。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szCs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改善人居生活环境</w:t>
            </w:r>
            <w:r>
              <w:rPr>
                <w:rFonts w:hint="eastAsia" w:ascii="仿宋_GB2312" w:hAnsi="仿宋_GB2312" w:eastAsia="仿宋_GB2312" w:cs="仿宋_GB2312"/>
                <w:sz w:val="24"/>
                <w:szCs w:val="24"/>
                <w:lang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szCs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推动了社会的</w:t>
            </w:r>
            <w:r>
              <w:rPr>
                <w:rFonts w:hint="eastAsia" w:ascii="仿宋_GB2312" w:hAnsi="仿宋_GB2312" w:eastAsia="仿宋_GB2312" w:cs="仿宋_GB2312"/>
                <w:sz w:val="24"/>
                <w:szCs w:val="24"/>
                <w:lang w:eastAsia="zh-CN"/>
              </w:rPr>
              <w:t>文明</w:t>
            </w:r>
            <w:r>
              <w:rPr>
                <w:rFonts w:hint="eastAsia" w:ascii="仿宋_GB2312" w:hAnsi="仿宋_GB2312" w:eastAsia="仿宋_GB2312" w:cs="仿宋_GB2312"/>
                <w:sz w:val="24"/>
                <w:szCs w:val="24"/>
              </w:rPr>
              <w:t>进步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szCs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4"/>
                <w:szCs w:val="24"/>
                <w:lang w:eastAsia="zh-CN" w:bidi="ar"/>
              </w:rPr>
            </w:pPr>
            <w:r>
              <w:rPr>
                <w:rFonts w:hint="eastAsia" w:ascii="仿宋_GB2312" w:hAnsi="仿宋_GB2312" w:eastAsia="仿宋_GB2312" w:cs="仿宋_GB2312"/>
                <w:kern w:val="0"/>
                <w:sz w:val="24"/>
                <w:szCs w:val="24"/>
                <w:lang w:bidi="ar"/>
              </w:rPr>
              <w:t>满意</w:t>
            </w:r>
          </w:p>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满意度</w:t>
            </w:r>
          </w:p>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让群众满意度达到9</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szCs w:val="24"/>
              </w:rPr>
            </w:pPr>
          </w:p>
        </w:tc>
      </w:tr>
    </w:tbl>
    <w:p>
      <w:pPr>
        <w:pStyle w:val="2"/>
        <w:spacing w:before="93"/>
        <w:rPr>
          <w:lang w:val="zh-CN"/>
        </w:rPr>
      </w:pPr>
    </w:p>
    <w:p>
      <w:pPr>
        <w:spacing w:line="600" w:lineRule="exact"/>
        <w:ind w:firstLine="2640" w:firstLineChars="600"/>
        <w:jc w:val="both"/>
        <w:outlineLvl w:val="0"/>
        <w:rPr>
          <w:rFonts w:hint="eastAsia" w:ascii="黑体" w:hAnsi="黑体" w:eastAsia="黑体"/>
          <w:sz w:val="44"/>
          <w:szCs w:val="44"/>
        </w:rPr>
      </w:pPr>
      <w:bookmarkStart w:id="59" w:name="_Toc15396618"/>
    </w:p>
    <w:p>
      <w:pPr>
        <w:spacing w:line="600" w:lineRule="exact"/>
        <w:ind w:firstLine="2640" w:firstLineChars="600"/>
        <w:jc w:val="both"/>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p>
    <w:p>
      <w:pPr>
        <w:pStyle w:val="4"/>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p>
    <w:p>
      <w:pPr>
        <w:pStyle w:val="4"/>
        <w:rPr>
          <w:rFonts w:ascii="仿宋" w:hAnsi="仿宋" w:eastAsia="仿宋"/>
        </w:rPr>
      </w:pPr>
      <w:r>
        <w:rPr>
          <w:rFonts w:hint="eastAsia" w:ascii="仿宋" w:hAnsi="仿宋" w:eastAsia="仿宋"/>
          <w:b w:val="0"/>
        </w:rPr>
        <w:t>二、收</w:t>
      </w:r>
      <w:r>
        <w:rPr>
          <w:rStyle w:val="27"/>
          <w:rFonts w:hint="eastAsia" w:ascii="仿宋" w:hAnsi="仿宋" w:eastAsia="仿宋"/>
          <w:b w:val="0"/>
          <w:bCs w:val="0"/>
        </w:rPr>
        <w:t>入决算表</w:t>
      </w:r>
    </w:p>
    <w:p>
      <w:pPr>
        <w:pStyle w:val="4"/>
        <w:rPr>
          <w:rFonts w:ascii="仿宋" w:hAnsi="仿宋" w:eastAsia="仿宋"/>
        </w:rPr>
      </w:pPr>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p>
    <w:p>
      <w:pPr>
        <w:pStyle w:val="4"/>
        <w:rPr>
          <w:rFonts w:ascii="仿宋" w:hAnsi="仿宋" w:eastAsia="仿宋"/>
          <w:b w:val="0"/>
        </w:rPr>
      </w:pPr>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p>
    <w:p>
      <w:pPr>
        <w:pStyle w:val="4"/>
        <w:rPr>
          <w:rStyle w:val="27"/>
          <w:rFonts w:ascii="仿宋" w:hAnsi="仿宋" w:eastAsia="仿宋"/>
          <w:b w:val="0"/>
          <w:bCs w:val="0"/>
        </w:rPr>
      </w:pPr>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p>
    <w:p>
      <w:pPr>
        <w:pStyle w:val="4"/>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p>
    <w:p>
      <w:pPr>
        <w:pStyle w:val="4"/>
        <w:rPr>
          <w:rFonts w:ascii="仿宋" w:hAnsi="仿宋" w:eastAsia="仿宋"/>
        </w:rPr>
      </w:pPr>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p>
    <w:p>
      <w:pPr>
        <w:pStyle w:val="4"/>
        <w:rPr>
          <w:rFonts w:ascii="仿宋" w:hAnsi="仿宋" w:eastAsia="仿宋"/>
        </w:rPr>
      </w:pPr>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p>
    <w:p>
      <w:pPr>
        <w:pStyle w:val="4"/>
        <w:rPr>
          <w:rFonts w:ascii="仿宋" w:hAnsi="仿宋" w:eastAsia="仿宋"/>
        </w:rPr>
      </w:pPr>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p>
    <w:p>
      <w:pPr>
        <w:pStyle w:val="4"/>
        <w:rPr>
          <w:rFonts w:ascii="仿宋" w:hAnsi="仿宋" w:eastAsia="仿宋"/>
        </w:rPr>
      </w:pPr>
      <w:r>
        <w:rPr>
          <w:rStyle w:val="27"/>
          <w:rFonts w:hint="eastAsia" w:ascii="仿宋" w:hAnsi="仿宋" w:eastAsia="仿宋"/>
          <w:b w:val="0"/>
          <w:bCs w:val="0"/>
        </w:rPr>
        <w:t>十、</w:t>
      </w:r>
      <w:r>
        <w:rPr>
          <w:rFonts w:hint="eastAsia" w:ascii="仿宋" w:hAnsi="仿宋" w:eastAsia="仿宋"/>
          <w:b w:val="0"/>
        </w:rPr>
        <w:t>一</w:t>
      </w:r>
      <w:r>
        <w:rPr>
          <w:rStyle w:val="27"/>
          <w:rFonts w:hint="eastAsia" w:ascii="仿宋" w:hAnsi="仿宋" w:eastAsia="仿宋"/>
          <w:b w:val="0"/>
          <w:bCs w:val="0"/>
        </w:rPr>
        <w:t>般公共预算财政拨款“三公”经费支出决算表</w:t>
      </w:r>
    </w:p>
    <w:p>
      <w:pPr>
        <w:pStyle w:val="4"/>
        <w:rPr>
          <w:rFonts w:ascii="仿宋" w:hAnsi="仿宋" w:eastAsia="仿宋"/>
        </w:rPr>
      </w:pPr>
      <w:r>
        <w:rPr>
          <w:rStyle w:val="27"/>
          <w:rFonts w:hint="eastAsia" w:ascii="仿宋" w:hAnsi="仿宋" w:eastAsia="仿宋"/>
          <w:b w:val="0"/>
          <w:bCs w:val="0"/>
        </w:rPr>
        <w:t>十一、</w:t>
      </w:r>
      <w:r>
        <w:rPr>
          <w:rFonts w:hint="eastAsia" w:ascii="仿宋" w:hAnsi="仿宋" w:eastAsia="仿宋"/>
          <w:b w:val="0"/>
        </w:rPr>
        <w:t>政</w:t>
      </w:r>
      <w:r>
        <w:rPr>
          <w:rStyle w:val="27"/>
          <w:rFonts w:hint="eastAsia" w:ascii="仿宋" w:hAnsi="仿宋" w:eastAsia="仿宋"/>
          <w:b w:val="0"/>
          <w:bCs w:val="0"/>
        </w:rPr>
        <w:t>府性基金预算财政拨款收入支出决算表</w:t>
      </w:r>
    </w:p>
    <w:p>
      <w:pPr>
        <w:pStyle w:val="4"/>
        <w:rPr>
          <w:rFonts w:ascii="仿宋" w:hAnsi="仿宋" w:eastAsia="仿宋"/>
        </w:rPr>
      </w:pPr>
      <w:r>
        <w:rPr>
          <w:rStyle w:val="27"/>
          <w:rFonts w:hint="eastAsia" w:ascii="仿宋" w:hAnsi="仿宋" w:eastAsia="仿宋"/>
          <w:b w:val="0"/>
          <w:bCs w:val="0"/>
        </w:rPr>
        <w:t>十二、</w:t>
      </w:r>
      <w:r>
        <w:rPr>
          <w:rFonts w:hint="eastAsia" w:ascii="仿宋" w:hAnsi="仿宋" w:eastAsia="仿宋"/>
          <w:b w:val="0"/>
        </w:rPr>
        <w:t>政</w:t>
      </w:r>
      <w:r>
        <w:rPr>
          <w:rStyle w:val="27"/>
          <w:rFonts w:hint="eastAsia" w:ascii="仿宋" w:hAnsi="仿宋" w:eastAsia="仿宋"/>
          <w:b w:val="0"/>
          <w:bCs w:val="0"/>
        </w:rPr>
        <w:t>府性基金预算财政拨款“三公”经费支出决算表</w:t>
      </w:r>
    </w:p>
    <w:p>
      <w:pPr>
        <w:pStyle w:val="4"/>
        <w:rPr>
          <w:rStyle w:val="27"/>
          <w:rFonts w:ascii="仿宋" w:hAnsi="仿宋" w:eastAsia="仿宋"/>
          <w:b w:val="0"/>
          <w:bCs w:val="0"/>
        </w:rPr>
      </w:pPr>
      <w:r>
        <w:rPr>
          <w:rStyle w:val="27"/>
          <w:rFonts w:hint="eastAsia" w:ascii="仿宋" w:hAnsi="仿宋" w:eastAsia="仿宋"/>
          <w:b w:val="0"/>
          <w:bCs w:val="0"/>
        </w:rPr>
        <w:t>十三、</w:t>
      </w:r>
      <w:r>
        <w:rPr>
          <w:rFonts w:hint="eastAsia" w:ascii="仿宋" w:hAnsi="仿宋" w:eastAsia="仿宋"/>
          <w:b w:val="0"/>
        </w:rPr>
        <w:t>国</w:t>
      </w:r>
      <w:r>
        <w:rPr>
          <w:rStyle w:val="27"/>
          <w:rFonts w:hint="eastAsia" w:ascii="仿宋" w:hAnsi="仿宋" w:eastAsia="仿宋"/>
          <w:b w:val="0"/>
          <w:bCs w:val="0"/>
        </w:rPr>
        <w:t>有资本经营预算财政拨款收入支出决算表</w:t>
      </w:r>
    </w:p>
    <w:p>
      <w:pPr>
        <w:rPr>
          <w:rFonts w:eastAsia="仿宋"/>
        </w:rPr>
      </w:pPr>
      <w:r>
        <w:rPr>
          <w:rStyle w:val="27"/>
          <w:rFonts w:hint="eastAsia" w:ascii="仿宋" w:hAnsi="仿宋" w:eastAsia="仿宋"/>
          <w:b w:val="0"/>
          <w:bCs w:val="0"/>
        </w:rPr>
        <w:t>十四、国有资本经营预算财政拨款支出决算表</w:t>
      </w:r>
    </w:p>
    <w:p>
      <w:pPr>
        <w:spacing w:line="600" w:lineRule="exact"/>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1760" w:firstLineChars="400"/>
        <w:jc w:val="both"/>
        <w:outlineLvl w:val="0"/>
        <w:rPr>
          <w:rFonts w:hint="eastAsia" w:ascii="黑体" w:hAnsi="黑体" w:eastAsia="黑体"/>
          <w:sz w:val="44"/>
          <w:szCs w:val="44"/>
        </w:rPr>
      </w:pPr>
    </w:p>
    <w:p>
      <w:pPr>
        <w:spacing w:line="600" w:lineRule="exact"/>
        <w:ind w:firstLine="2640" w:firstLineChars="600"/>
        <w:jc w:val="both"/>
        <w:outlineLvl w:val="0"/>
        <w:rPr>
          <w:rFonts w:hint="eastAsia" w:ascii="黑体" w:hAnsi="黑体" w:eastAsia="黑体"/>
          <w:sz w:val="44"/>
          <w:szCs w:val="44"/>
        </w:rPr>
      </w:pPr>
    </w:p>
    <w:p>
      <w:pPr>
        <w:spacing w:line="600" w:lineRule="exact"/>
        <w:ind w:firstLine="2640" w:firstLineChars="600"/>
        <w:jc w:val="both"/>
        <w:outlineLvl w:val="0"/>
        <w:rPr>
          <w:rFonts w:hint="eastAsia" w:ascii="黑体" w:hAnsi="黑体" w:eastAsia="黑体"/>
          <w:sz w:val="44"/>
          <w:szCs w:val="44"/>
        </w:rPr>
      </w:pPr>
    </w:p>
    <w:p>
      <w:pPr>
        <w:spacing w:line="600" w:lineRule="exact"/>
        <w:ind w:firstLine="2640" w:firstLineChars="600"/>
        <w:jc w:val="both"/>
        <w:outlineLvl w:val="0"/>
        <w:rPr>
          <w:rFonts w:hint="eastAsia" w:ascii="黑体" w:hAnsi="黑体" w:eastAsia="黑体"/>
          <w:sz w:val="44"/>
          <w:szCs w:val="44"/>
        </w:rPr>
      </w:pPr>
    </w:p>
    <w:p>
      <w:pPr>
        <w:spacing w:line="600" w:lineRule="exact"/>
        <w:ind w:firstLine="2640" w:firstLineChars="600"/>
        <w:jc w:val="both"/>
        <w:outlineLvl w:val="0"/>
        <w:rPr>
          <w:rFonts w:hint="eastAsia" w:ascii="黑体" w:hAnsi="黑体" w:eastAsia="黑体"/>
          <w:sz w:val="44"/>
          <w:szCs w:val="44"/>
        </w:rPr>
      </w:pPr>
    </w:p>
    <w:p>
      <w:pPr>
        <w:spacing w:line="600" w:lineRule="exact"/>
        <w:ind w:firstLine="2640" w:firstLineChars="600"/>
        <w:jc w:val="both"/>
        <w:outlineLvl w:val="0"/>
        <w:rPr>
          <w:rFonts w:hint="eastAsia" w:ascii="黑体" w:hAnsi="黑体" w:eastAsia="黑体"/>
          <w:sz w:val="44"/>
          <w:szCs w:val="44"/>
        </w:rPr>
      </w:pPr>
    </w:p>
    <w:p>
      <w:pPr>
        <w:spacing w:line="600" w:lineRule="exact"/>
        <w:ind w:firstLine="2640" w:firstLineChars="600"/>
        <w:jc w:val="both"/>
        <w:outlineLvl w:val="0"/>
        <w:rPr>
          <w:rFonts w:hint="eastAsia" w:ascii="黑体" w:hAnsi="黑体" w:eastAsia="黑体"/>
          <w:sz w:val="44"/>
          <w:szCs w:val="44"/>
        </w:rPr>
      </w:pPr>
    </w:p>
    <w:p>
      <w:pPr>
        <w:spacing w:line="600" w:lineRule="exact"/>
        <w:ind w:firstLine="2640" w:firstLineChars="600"/>
        <w:jc w:val="both"/>
        <w:outlineLvl w:val="0"/>
        <w:rPr>
          <w:rFonts w:hint="eastAsia" w:ascii="黑体" w:hAnsi="黑体" w:eastAsia="黑体"/>
          <w:sz w:val="44"/>
          <w:szCs w:val="44"/>
        </w:rPr>
      </w:pPr>
    </w:p>
    <w:p>
      <w:pPr>
        <w:spacing w:line="600" w:lineRule="exact"/>
        <w:ind w:firstLine="2640" w:firstLineChars="600"/>
        <w:jc w:val="both"/>
        <w:outlineLvl w:val="0"/>
        <w:rPr>
          <w:rFonts w:hint="eastAsia" w:ascii="黑体" w:hAnsi="黑体" w:eastAsia="黑体"/>
          <w:sz w:val="44"/>
          <w:szCs w:val="44"/>
        </w:rPr>
      </w:pPr>
    </w:p>
    <w:bookmarkEnd w:id="58"/>
    <w:bookmarkEnd w:id="59"/>
    <w:p>
      <w:pPr>
        <w:spacing w:line="600" w:lineRule="exact"/>
        <w:jc w:val="both"/>
        <w:outlineLvl w:val="0"/>
        <w:rPr>
          <w:rFonts w:hint="eastAsia" w:ascii="黑体" w:hAnsi="黑体" w:eastAsia="黑体"/>
          <w:sz w:val="44"/>
          <w:szCs w:val="44"/>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DC7FDB"/>
    <w:multiLevelType w:val="singleLevel"/>
    <w:tmpl w:val="BDDC7FDB"/>
    <w:lvl w:ilvl="0" w:tentative="0">
      <w:start w:val="7"/>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683B75B"/>
    <w:multiLevelType w:val="singleLevel"/>
    <w:tmpl w:val="3683B75B"/>
    <w:lvl w:ilvl="0" w:tentative="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NDA2NTY4NTBkMDk5YTFjZDY3NDY4MGU1ZjBlNGUifQ=="/>
  </w:docVars>
  <w:rsids>
    <w:rsidRoot w:val="00F1361C"/>
    <w:rsid w:val="000222C6"/>
    <w:rsid w:val="0002549F"/>
    <w:rsid w:val="00042FA5"/>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C3CF8"/>
    <w:rsid w:val="000D1267"/>
    <w:rsid w:val="000D1D50"/>
    <w:rsid w:val="000D5782"/>
    <w:rsid w:val="000E6613"/>
    <w:rsid w:val="000E7119"/>
    <w:rsid w:val="00114E9B"/>
    <w:rsid w:val="00142216"/>
    <w:rsid w:val="00144D6A"/>
    <w:rsid w:val="0014729F"/>
    <w:rsid w:val="00157BAB"/>
    <w:rsid w:val="001654D1"/>
    <w:rsid w:val="00174518"/>
    <w:rsid w:val="0018106D"/>
    <w:rsid w:val="00184F84"/>
    <w:rsid w:val="001877A7"/>
    <w:rsid w:val="00191536"/>
    <w:rsid w:val="00196687"/>
    <w:rsid w:val="001C0962"/>
    <w:rsid w:val="001D7531"/>
    <w:rsid w:val="001E737D"/>
    <w:rsid w:val="001F0592"/>
    <w:rsid w:val="001F4D5A"/>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D72B1"/>
    <w:rsid w:val="002F1818"/>
    <w:rsid w:val="002F567B"/>
    <w:rsid w:val="002F5C44"/>
    <w:rsid w:val="003216A9"/>
    <w:rsid w:val="00335A74"/>
    <w:rsid w:val="00362352"/>
    <w:rsid w:val="0036561B"/>
    <w:rsid w:val="0037013F"/>
    <w:rsid w:val="00380C92"/>
    <w:rsid w:val="00394125"/>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62EC"/>
    <w:rsid w:val="004E0A2D"/>
    <w:rsid w:val="004E206B"/>
    <w:rsid w:val="004E6DF7"/>
    <w:rsid w:val="004F0FBD"/>
    <w:rsid w:val="00505A47"/>
    <w:rsid w:val="00512FDA"/>
    <w:rsid w:val="00520DA0"/>
    <w:rsid w:val="005664BB"/>
    <w:rsid w:val="00566FFA"/>
    <w:rsid w:val="0057481D"/>
    <w:rsid w:val="0058486E"/>
    <w:rsid w:val="00585B33"/>
    <w:rsid w:val="0059014D"/>
    <w:rsid w:val="005A572F"/>
    <w:rsid w:val="005B5C64"/>
    <w:rsid w:val="005C5337"/>
    <w:rsid w:val="005C6BD0"/>
    <w:rsid w:val="005D1C8B"/>
    <w:rsid w:val="005D468D"/>
    <w:rsid w:val="005D5CED"/>
    <w:rsid w:val="005F1A4C"/>
    <w:rsid w:val="005F1B23"/>
    <w:rsid w:val="00605688"/>
    <w:rsid w:val="006070AF"/>
    <w:rsid w:val="00607E6C"/>
    <w:rsid w:val="006101B1"/>
    <w:rsid w:val="00614E44"/>
    <w:rsid w:val="0062270A"/>
    <w:rsid w:val="00622830"/>
    <w:rsid w:val="00623DA0"/>
    <w:rsid w:val="00630AEF"/>
    <w:rsid w:val="006325F8"/>
    <w:rsid w:val="00633463"/>
    <w:rsid w:val="00634C9A"/>
    <w:rsid w:val="00643032"/>
    <w:rsid w:val="006440E4"/>
    <w:rsid w:val="0066343B"/>
    <w:rsid w:val="00664777"/>
    <w:rsid w:val="006748A4"/>
    <w:rsid w:val="00681A31"/>
    <w:rsid w:val="00683E73"/>
    <w:rsid w:val="00684FD5"/>
    <w:rsid w:val="006A3141"/>
    <w:rsid w:val="006A5E34"/>
    <w:rsid w:val="006B2422"/>
    <w:rsid w:val="006B2B9A"/>
    <w:rsid w:val="006C1937"/>
    <w:rsid w:val="006F020C"/>
    <w:rsid w:val="006F19A3"/>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7305D"/>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36D7A"/>
    <w:rsid w:val="00946945"/>
    <w:rsid w:val="00951248"/>
    <w:rsid w:val="0095152F"/>
    <w:rsid w:val="00954C49"/>
    <w:rsid w:val="00955E37"/>
    <w:rsid w:val="0097099F"/>
    <w:rsid w:val="00971997"/>
    <w:rsid w:val="00971FFC"/>
    <w:rsid w:val="0098660A"/>
    <w:rsid w:val="00987BE9"/>
    <w:rsid w:val="00990EA8"/>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2A0B"/>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45565"/>
    <w:rsid w:val="00C533CC"/>
    <w:rsid w:val="00C5751C"/>
    <w:rsid w:val="00C6165D"/>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3F54"/>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4059"/>
    <w:rsid w:val="00F156F0"/>
    <w:rsid w:val="00F160C7"/>
    <w:rsid w:val="00F2408F"/>
    <w:rsid w:val="00F240E9"/>
    <w:rsid w:val="00F36D8F"/>
    <w:rsid w:val="00F37381"/>
    <w:rsid w:val="00F417B1"/>
    <w:rsid w:val="00F45853"/>
    <w:rsid w:val="00F602DF"/>
    <w:rsid w:val="00F754A1"/>
    <w:rsid w:val="00F81FD9"/>
    <w:rsid w:val="00F841AA"/>
    <w:rsid w:val="00F84A94"/>
    <w:rsid w:val="00F87E96"/>
    <w:rsid w:val="00FA23E8"/>
    <w:rsid w:val="00FA28AF"/>
    <w:rsid w:val="00FD3CC1"/>
    <w:rsid w:val="00FF1E02"/>
    <w:rsid w:val="00FF30B4"/>
    <w:rsid w:val="012D7A07"/>
    <w:rsid w:val="015772A4"/>
    <w:rsid w:val="019E3AB8"/>
    <w:rsid w:val="01B42948"/>
    <w:rsid w:val="028E1B9C"/>
    <w:rsid w:val="02BB54A8"/>
    <w:rsid w:val="02CB3363"/>
    <w:rsid w:val="044E2BE0"/>
    <w:rsid w:val="04E80A6E"/>
    <w:rsid w:val="060B6FA9"/>
    <w:rsid w:val="066E0107"/>
    <w:rsid w:val="068B5D62"/>
    <w:rsid w:val="06E52002"/>
    <w:rsid w:val="06E94E42"/>
    <w:rsid w:val="07027CB2"/>
    <w:rsid w:val="075C714F"/>
    <w:rsid w:val="076D15CF"/>
    <w:rsid w:val="078A2D43"/>
    <w:rsid w:val="07996F6E"/>
    <w:rsid w:val="08CB2A51"/>
    <w:rsid w:val="08F31B40"/>
    <w:rsid w:val="092E1A43"/>
    <w:rsid w:val="09F0705F"/>
    <w:rsid w:val="0A2032A3"/>
    <w:rsid w:val="0A6F05F5"/>
    <w:rsid w:val="0ACD305B"/>
    <w:rsid w:val="0AF07676"/>
    <w:rsid w:val="0C613439"/>
    <w:rsid w:val="0D344D5D"/>
    <w:rsid w:val="0DB52802"/>
    <w:rsid w:val="101860EC"/>
    <w:rsid w:val="10A66ACC"/>
    <w:rsid w:val="10B011A1"/>
    <w:rsid w:val="10C055FF"/>
    <w:rsid w:val="110017D0"/>
    <w:rsid w:val="118107EC"/>
    <w:rsid w:val="12557610"/>
    <w:rsid w:val="12AD766B"/>
    <w:rsid w:val="12D93FBD"/>
    <w:rsid w:val="12DE5B33"/>
    <w:rsid w:val="13D50BC4"/>
    <w:rsid w:val="1417616F"/>
    <w:rsid w:val="14795A57"/>
    <w:rsid w:val="14EE5251"/>
    <w:rsid w:val="1552393D"/>
    <w:rsid w:val="15631819"/>
    <w:rsid w:val="161723A2"/>
    <w:rsid w:val="16757FEF"/>
    <w:rsid w:val="16BB723D"/>
    <w:rsid w:val="18894E0A"/>
    <w:rsid w:val="18E9279B"/>
    <w:rsid w:val="19055892"/>
    <w:rsid w:val="19440E3C"/>
    <w:rsid w:val="19E74EAB"/>
    <w:rsid w:val="1A3C2084"/>
    <w:rsid w:val="1ACD2659"/>
    <w:rsid w:val="1B4F294F"/>
    <w:rsid w:val="1BE8440E"/>
    <w:rsid w:val="1CCA5CC3"/>
    <w:rsid w:val="1D0A301A"/>
    <w:rsid w:val="1D155CEE"/>
    <w:rsid w:val="1DCF0496"/>
    <w:rsid w:val="1E0C16EA"/>
    <w:rsid w:val="1E8277F9"/>
    <w:rsid w:val="1EE77C8B"/>
    <w:rsid w:val="1F672208"/>
    <w:rsid w:val="1F88077C"/>
    <w:rsid w:val="1FC9461C"/>
    <w:rsid w:val="1FCD6882"/>
    <w:rsid w:val="20106B9E"/>
    <w:rsid w:val="20D14525"/>
    <w:rsid w:val="20F546B7"/>
    <w:rsid w:val="2126141A"/>
    <w:rsid w:val="212E3725"/>
    <w:rsid w:val="21D114F4"/>
    <w:rsid w:val="22484763"/>
    <w:rsid w:val="22AC5767"/>
    <w:rsid w:val="230A732D"/>
    <w:rsid w:val="23860B96"/>
    <w:rsid w:val="23895EA1"/>
    <w:rsid w:val="23E45806"/>
    <w:rsid w:val="240371BF"/>
    <w:rsid w:val="242B219E"/>
    <w:rsid w:val="243454F7"/>
    <w:rsid w:val="24C37A92"/>
    <w:rsid w:val="254C4AC2"/>
    <w:rsid w:val="254D4CED"/>
    <w:rsid w:val="25CB2FB1"/>
    <w:rsid w:val="262D6991"/>
    <w:rsid w:val="2695565A"/>
    <w:rsid w:val="26C32B62"/>
    <w:rsid w:val="27217E53"/>
    <w:rsid w:val="27477A2A"/>
    <w:rsid w:val="274E11C3"/>
    <w:rsid w:val="2844693A"/>
    <w:rsid w:val="29735E2B"/>
    <w:rsid w:val="29EF4604"/>
    <w:rsid w:val="29FD04D3"/>
    <w:rsid w:val="2A5A1A2F"/>
    <w:rsid w:val="2AE570B2"/>
    <w:rsid w:val="2AF549E3"/>
    <w:rsid w:val="2BE45E23"/>
    <w:rsid w:val="2BEF7089"/>
    <w:rsid w:val="2C3F712F"/>
    <w:rsid w:val="2C7826D9"/>
    <w:rsid w:val="2C8A61B5"/>
    <w:rsid w:val="2D087520"/>
    <w:rsid w:val="2DF04E50"/>
    <w:rsid w:val="2E073324"/>
    <w:rsid w:val="2FBD40C4"/>
    <w:rsid w:val="31361410"/>
    <w:rsid w:val="319F7F4E"/>
    <w:rsid w:val="321F12D3"/>
    <w:rsid w:val="327237EB"/>
    <w:rsid w:val="359F7AA1"/>
    <w:rsid w:val="364C4922"/>
    <w:rsid w:val="36AA5135"/>
    <w:rsid w:val="36D87CBE"/>
    <w:rsid w:val="36F6315A"/>
    <w:rsid w:val="37E16F03"/>
    <w:rsid w:val="38483350"/>
    <w:rsid w:val="39A765FB"/>
    <w:rsid w:val="3A5C6EB6"/>
    <w:rsid w:val="3B8F41D4"/>
    <w:rsid w:val="3C552056"/>
    <w:rsid w:val="3D7B5AED"/>
    <w:rsid w:val="3D98207C"/>
    <w:rsid w:val="3E8135D7"/>
    <w:rsid w:val="3F2752A1"/>
    <w:rsid w:val="3F4E170B"/>
    <w:rsid w:val="3FC45529"/>
    <w:rsid w:val="401A783F"/>
    <w:rsid w:val="40F04493"/>
    <w:rsid w:val="41004C87"/>
    <w:rsid w:val="410772DC"/>
    <w:rsid w:val="41207FC4"/>
    <w:rsid w:val="434F77FF"/>
    <w:rsid w:val="43D96412"/>
    <w:rsid w:val="44E268DA"/>
    <w:rsid w:val="44E818A0"/>
    <w:rsid w:val="451B0C14"/>
    <w:rsid w:val="45D71D2E"/>
    <w:rsid w:val="45EC546D"/>
    <w:rsid w:val="46224090"/>
    <w:rsid w:val="462D37C9"/>
    <w:rsid w:val="46DB6656"/>
    <w:rsid w:val="47F0660E"/>
    <w:rsid w:val="48177E24"/>
    <w:rsid w:val="486E6623"/>
    <w:rsid w:val="49172B6D"/>
    <w:rsid w:val="499E41E5"/>
    <w:rsid w:val="49EF701C"/>
    <w:rsid w:val="4A627F82"/>
    <w:rsid w:val="4B4F25DA"/>
    <w:rsid w:val="4B82000D"/>
    <w:rsid w:val="4BE068DB"/>
    <w:rsid w:val="4BE513DA"/>
    <w:rsid w:val="4BEE68D3"/>
    <w:rsid w:val="4C15535E"/>
    <w:rsid w:val="4C6F0F12"/>
    <w:rsid w:val="4C83051A"/>
    <w:rsid w:val="4CA676AD"/>
    <w:rsid w:val="4D3260CC"/>
    <w:rsid w:val="4D577224"/>
    <w:rsid w:val="4E3C16F6"/>
    <w:rsid w:val="4E7C16C5"/>
    <w:rsid w:val="4E844B04"/>
    <w:rsid w:val="4E8876B1"/>
    <w:rsid w:val="4EAB630A"/>
    <w:rsid w:val="4ECE2238"/>
    <w:rsid w:val="4F363F69"/>
    <w:rsid w:val="504F1C1F"/>
    <w:rsid w:val="511D718F"/>
    <w:rsid w:val="51767B02"/>
    <w:rsid w:val="51AC4846"/>
    <w:rsid w:val="525F3E0F"/>
    <w:rsid w:val="526A681D"/>
    <w:rsid w:val="52770B21"/>
    <w:rsid w:val="530813EB"/>
    <w:rsid w:val="5357030F"/>
    <w:rsid w:val="53740BBC"/>
    <w:rsid w:val="53BC6068"/>
    <w:rsid w:val="53C2131D"/>
    <w:rsid w:val="54196C13"/>
    <w:rsid w:val="543F228B"/>
    <w:rsid w:val="54A05CAD"/>
    <w:rsid w:val="55286A78"/>
    <w:rsid w:val="552E6223"/>
    <w:rsid w:val="555476ED"/>
    <w:rsid w:val="55A7331B"/>
    <w:rsid w:val="56C2179C"/>
    <w:rsid w:val="57637240"/>
    <w:rsid w:val="57E15E65"/>
    <w:rsid w:val="57F409E1"/>
    <w:rsid w:val="580D58EC"/>
    <w:rsid w:val="58E80BC1"/>
    <w:rsid w:val="58EB6783"/>
    <w:rsid w:val="58FC7C6E"/>
    <w:rsid w:val="59AD6BD6"/>
    <w:rsid w:val="5A4F5EDF"/>
    <w:rsid w:val="5A904D92"/>
    <w:rsid w:val="5AF92295"/>
    <w:rsid w:val="5CD71FC4"/>
    <w:rsid w:val="5DE03A1E"/>
    <w:rsid w:val="5EA54722"/>
    <w:rsid w:val="5F806813"/>
    <w:rsid w:val="5FF05A6E"/>
    <w:rsid w:val="60121F55"/>
    <w:rsid w:val="60605EA1"/>
    <w:rsid w:val="60E92BEA"/>
    <w:rsid w:val="61081D97"/>
    <w:rsid w:val="61273C19"/>
    <w:rsid w:val="612C7AB5"/>
    <w:rsid w:val="623B7475"/>
    <w:rsid w:val="624D53FA"/>
    <w:rsid w:val="62E95227"/>
    <w:rsid w:val="63E024FD"/>
    <w:rsid w:val="63EA0AFD"/>
    <w:rsid w:val="64104A9D"/>
    <w:rsid w:val="64384B33"/>
    <w:rsid w:val="660758C0"/>
    <w:rsid w:val="66376316"/>
    <w:rsid w:val="67332E10"/>
    <w:rsid w:val="67CE75E6"/>
    <w:rsid w:val="67DA7F59"/>
    <w:rsid w:val="6848469A"/>
    <w:rsid w:val="68CC2DDB"/>
    <w:rsid w:val="68ED421D"/>
    <w:rsid w:val="6A202A2D"/>
    <w:rsid w:val="6AA95198"/>
    <w:rsid w:val="6BE02E3B"/>
    <w:rsid w:val="6C4A05C8"/>
    <w:rsid w:val="6C4C4BB0"/>
    <w:rsid w:val="6D5A10D7"/>
    <w:rsid w:val="6E7D516F"/>
    <w:rsid w:val="6E7E3605"/>
    <w:rsid w:val="6E8B4B28"/>
    <w:rsid w:val="6EDA6267"/>
    <w:rsid w:val="6EFE4223"/>
    <w:rsid w:val="6FA279BA"/>
    <w:rsid w:val="6FF3138F"/>
    <w:rsid w:val="6FF5CC65"/>
    <w:rsid w:val="71336151"/>
    <w:rsid w:val="715C0E4B"/>
    <w:rsid w:val="71883383"/>
    <w:rsid w:val="719354EB"/>
    <w:rsid w:val="71E97186"/>
    <w:rsid w:val="72734D90"/>
    <w:rsid w:val="72916C3D"/>
    <w:rsid w:val="72B5493F"/>
    <w:rsid w:val="72EA6FDF"/>
    <w:rsid w:val="73335F46"/>
    <w:rsid w:val="73530005"/>
    <w:rsid w:val="73AD73D5"/>
    <w:rsid w:val="73B6EB34"/>
    <w:rsid w:val="74D219F3"/>
    <w:rsid w:val="75695C4F"/>
    <w:rsid w:val="75D94197"/>
    <w:rsid w:val="762B5982"/>
    <w:rsid w:val="77533873"/>
    <w:rsid w:val="77E3726D"/>
    <w:rsid w:val="77EB298A"/>
    <w:rsid w:val="77F43EF6"/>
    <w:rsid w:val="782D11B6"/>
    <w:rsid w:val="78952D3D"/>
    <w:rsid w:val="78B7340B"/>
    <w:rsid w:val="79027327"/>
    <w:rsid w:val="797167F8"/>
    <w:rsid w:val="79DA6B14"/>
    <w:rsid w:val="79EE5BA4"/>
    <w:rsid w:val="7A894339"/>
    <w:rsid w:val="7B087CB8"/>
    <w:rsid w:val="7C1748BD"/>
    <w:rsid w:val="7CB2612E"/>
    <w:rsid w:val="7CE53A62"/>
    <w:rsid w:val="7D846E60"/>
    <w:rsid w:val="7E7538B7"/>
    <w:rsid w:val="7EEF11D3"/>
    <w:rsid w:val="7F880152"/>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Normal Indent"/>
    <w:basedOn w:val="1"/>
    <w:next w:val="1"/>
    <w:qFormat/>
    <w:uiPriority w:val="0"/>
    <w:pPr>
      <w:ind w:firstLine="42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pPr>
      <w:jc w:val="left"/>
    </w:pPr>
    <w:rPr>
      <w:rFonts w:ascii="微软雅黑" w:hAnsi="微软雅黑" w:eastAsia="微软雅黑"/>
      <w:kern w:val="0"/>
      <w:sz w:val="24"/>
      <w:szCs w:val="22"/>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字符"/>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字符"/>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字符"/>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qFormat/>
    <w:uiPriority w:val="9"/>
    <w:rPr>
      <w:rFonts w:ascii="Times New Roman" w:hAnsi="Times New Roman"/>
      <w:b/>
      <w:bCs/>
      <w:kern w:val="44"/>
      <w:sz w:val="44"/>
      <w:szCs w:val="44"/>
    </w:rPr>
  </w:style>
  <w:style w:type="character" w:customStyle="1" w:styleId="27">
    <w:name w:val="标题 2 字符"/>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5"/>
    <w:link w:val="8"/>
    <w:semiHidden/>
    <w:qFormat/>
    <w:uiPriority w:val="99"/>
    <w:rPr>
      <w:rFonts w:ascii="Times New Roman" w:hAnsi="Times New Roman"/>
      <w:kern w:val="2"/>
      <w:sz w:val="18"/>
      <w:szCs w:val="18"/>
    </w:rPr>
  </w:style>
  <w:style w:type="character" w:customStyle="1" w:styleId="30">
    <w:name w:val="标题 3 字符"/>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标题 1 字符"/>
    <w:basedOn w:val="15"/>
    <w:link w:val="3"/>
    <w:qFormat/>
    <w:locked/>
    <w:uiPriority w:val="9"/>
    <w:rPr>
      <w:rFonts w:ascii="Times New Roman" w:hAnsi="Times New Roman" w:cs="Times New Roman"/>
      <w:b/>
      <w:bCs/>
      <w:kern w:val="44"/>
      <w:sz w:val="44"/>
      <w:szCs w:val="44"/>
    </w:rPr>
  </w:style>
  <w:style w:type="character" w:customStyle="1" w:styleId="33">
    <w:name w:val=" Char Char6"/>
    <w:basedOn w:val="15"/>
    <w:link w:val="3"/>
    <w:qFormat/>
    <w:locked/>
    <w:uiPriority w:val="9"/>
    <w:rPr>
      <w:rFonts w:ascii="Times New Roman" w:hAnsi="Times New Roman" w:cs="Times New Roman"/>
      <w:b/>
      <w:bCs/>
      <w:kern w:val="44"/>
      <w:sz w:val="44"/>
      <w:szCs w:val="44"/>
    </w:rPr>
  </w:style>
  <w:style w:type="character" w:customStyle="1" w:styleId="34">
    <w:name w:val="font31"/>
    <w:basedOn w:val="15"/>
    <w:qFormat/>
    <w:uiPriority w:val="0"/>
    <w:rPr>
      <w:rFonts w:hint="eastAsia" w:ascii="宋体" w:hAnsi="宋体" w:eastAsia="宋体" w:cs="宋体"/>
      <w:b/>
      <w:bCs/>
      <w:color w:val="000000"/>
      <w:sz w:val="36"/>
      <w:szCs w:val="36"/>
      <w:u w:val="none"/>
    </w:rPr>
  </w:style>
  <w:style w:type="character" w:customStyle="1" w:styleId="35">
    <w:name w:val="font51"/>
    <w:basedOn w:val="15"/>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123\Desktop\&#25286;&#36801;&#21150;&#22270;&#26631;&#27169;&#26495;%20(2).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2.xml"/><Relationship Id="rId1" Type="http://schemas.openxmlformats.org/officeDocument/2006/relationships/oleObject" Target="file:///C:\Users\123\Desktop\&#25286;&#36801;&#21150;&#22270;&#26631;&#27169;&#26495;%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收、支决算总计变动情况图</a:t>
            </a:r>
            <a:endParaRPr lang="zh-CN" altLang="en-US" b="1"/>
          </a:p>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单位：万元</a:t>
            </a:r>
            <a:endParaRPr lang="zh-CN" altLang="en-US" b="1"/>
          </a:p>
          <a:p>
            <a:pPr defTabSz="914400">
              <a:defRPr lang="zh-CN" sz="1400" b="1" i="0" u="none" strike="noStrike" kern="1200" spc="0" baseline="0">
                <a:solidFill>
                  <a:schemeClr val="tx1">
                    <a:lumMod val="65000"/>
                    <a:lumOff val="35000"/>
                  </a:schemeClr>
                </a:solidFill>
                <a:latin typeface="+mn-lt"/>
                <a:ea typeface="+mn-ea"/>
                <a:cs typeface="+mn-cs"/>
              </a:defRPr>
            </a:pPr>
            <a:endParaRPr lang="zh-CN" altLang="en-US" b="1"/>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2020年</c:v>
                </c:pt>
                <c:pt idx="1">
                  <c:v>2021年</c:v>
                </c:pt>
              </c:strCache>
            </c:strRef>
          </c:cat>
          <c:val>
            <c:numRef>
              <c:f>[工作簿1]Sheet1!$B$2:$B$3</c:f>
              <c:numCache>
                <c:formatCode>General</c:formatCode>
                <c:ptCount val="2"/>
                <c:pt idx="0">
                  <c:v>139.62</c:v>
                </c:pt>
                <c:pt idx="1">
                  <c:v>167.23</c:v>
                </c:pt>
              </c:numCache>
            </c:numRef>
          </c:val>
        </c:ser>
        <c:dLbls>
          <c:showLegendKey val="0"/>
          <c:showVal val="1"/>
          <c:showCatName val="0"/>
          <c:showSerName val="0"/>
          <c:showPercent val="0"/>
          <c:showBubbleSize val="0"/>
        </c:dLbls>
        <c:gapWidth val="219"/>
        <c:overlap val="-27"/>
        <c:axId val="890662655"/>
        <c:axId val="237120088"/>
      </c:barChart>
      <c:catAx>
        <c:axId val="8906626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120088"/>
        <c:crosses val="autoZero"/>
        <c:auto val="1"/>
        <c:lblAlgn val="ctr"/>
        <c:lblOffset val="100"/>
        <c:noMultiLvlLbl val="0"/>
      </c:catAx>
      <c:valAx>
        <c:axId val="237120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066265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r>
              <a:rPr lang="zh-CN" altLang="en-US"/>
              <a:t>收入决算结构图</a:t>
            </a:r>
            <a:endParaRPr lang="zh-CN" altLang="en-US"/>
          </a:p>
        </c:rich>
      </c:tx>
      <c:layout/>
      <c:overlay val="0"/>
      <c:spPr>
        <a:noFill/>
        <a:ln>
          <a:noFill/>
        </a:ln>
        <a:effectLst/>
      </c:spPr>
    </c:title>
    <c:autoTitleDeleted val="0"/>
    <c:plotArea>
      <c:layout/>
      <c:pieChart>
        <c:varyColors val="1"/>
        <c:ser>
          <c:idx val="0"/>
          <c:order val="0"/>
          <c:spPr>
            <a:ln w="19050">
              <a:noFill/>
            </a:ln>
            <a:effectLst>
              <a:outerShdw blurRad="50800" dist="38100" dir="5400000" algn="t" rotWithShape="0">
                <a:prstClr val="black">
                  <a:alpha val="40000"/>
                </a:prstClr>
              </a:outerShdw>
            </a:effectLst>
          </c:spPr>
          <c:explosion val="4"/>
          <c:dPt>
            <c:idx val="0"/>
            <c:bubble3D val="0"/>
            <c:explosion val="0"/>
            <c:spPr>
              <a:solidFill>
                <a:srgbClr val="6F59FF"/>
              </a:solidFill>
              <a:ln w="19050">
                <a:noFill/>
              </a:ln>
              <a:effectLst>
                <a:outerShdw blurRad="50800" dist="38100" dir="5400000" algn="t" rotWithShape="0">
                  <a:prstClr val="black">
                    <a:alpha val="40000"/>
                  </a:prstClr>
                </a:outerShdw>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r>
                      <a:rPr lang="zh-CN" altLang="en-US"/>
                      <a:t>一般公共预算财政拨款收入</a:t>
                    </a:r>
                    <a:endParaRPr lang="zh-CN" altLang="en-US"/>
                  </a:p>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r>
                      <a:rPr lang="en-US" altLang="zh-CN"/>
                      <a:t>100%</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[工作簿1]Sheet1!$A$24</c:f>
              <c:strCache>
                <c:ptCount val="1"/>
                <c:pt idx="0">
                  <c:v>2021年收入</c:v>
                </c:pt>
              </c:strCache>
            </c:strRef>
          </c:cat>
          <c:val>
            <c:numRef>
              <c:f>[工作簿1]Sheet1!$B$24</c:f>
              <c:numCache>
                <c:formatCode>General</c:formatCode>
                <c:ptCount val="1"/>
                <c:pt idx="0">
                  <c:v>167.23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4"/>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0"/>
              <c:layout>
                <c:manualLayout>
                  <c:x val="-0.0520856514341178"/>
                  <c:y val="-0.082370828073483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a:t>
                    </a:r>
                    <a:r>
                      <a:rPr lang="en-US" altLang="zh-CN"/>
                      <a:t>127.33</a:t>
                    </a:r>
                    <a:r>
                      <a:t>万元，占</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76.1</a:t>
                    </a:r>
                    <a:r>
                      <a:t>%</a:t>
                    </a:r>
                  </a:p>
                </c:rich>
              </c:tx>
              <c:dLblPos val="bestFit"/>
              <c:showLegendKey val="0"/>
              <c:showVal val="0"/>
              <c:showCatName val="0"/>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39.9</a:t>
                    </a:r>
                    <a:r>
                      <a:t>万元 占</a:t>
                    </a:r>
                    <a:r>
                      <a:rPr lang="en-US" altLang="zh-CN"/>
                      <a:t>23.9</a:t>
                    </a:r>
                    <a:r>
                      <a:t>%</a:t>
                    </a:r>
                  </a:p>
                </c:rich>
              </c:tx>
              <c:dLblPos val="inEnd"/>
              <c:showLegendKey val="0"/>
              <c:showVal val="0"/>
              <c:showCatName val="0"/>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'[拆迁办图标模板 (2).xlsx]Sheet1'!$A$46:$A$47</c:f>
              <c:strCache>
                <c:ptCount val="2"/>
                <c:pt idx="0">
                  <c:v>基本支出</c:v>
                </c:pt>
                <c:pt idx="1">
                  <c:v>项目支出</c:v>
                </c:pt>
              </c:strCache>
            </c:strRef>
          </c:cat>
          <c:val>
            <c:numRef>
              <c:f>'[拆迁办图标模板 (2).xlsx]Sheet1'!$B$46:$B$47</c:f>
              <c:numCache>
                <c:formatCode>General</c:formatCode>
                <c:ptCount val="2"/>
                <c:pt idx="0">
                  <c:v>151.83</c:v>
                </c:pt>
                <c:pt idx="1">
                  <c:v>15.4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财政拨款收、支决算总计变动情况图</a:t>
            </a:r>
            <a:endParaRPr lang="zh-CN" altLang="en-US" b="1"/>
          </a:p>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单位：万元</a:t>
            </a:r>
            <a:endParaRPr lang="zh-CN" altLang="en-US" b="1"/>
          </a:p>
          <a:p>
            <a:pPr defTabSz="914400">
              <a:defRPr lang="zh-CN" sz="1400" b="1" i="0" u="none" strike="noStrike" kern="1200" spc="0" baseline="0">
                <a:solidFill>
                  <a:schemeClr val="tx1">
                    <a:lumMod val="65000"/>
                    <a:lumOff val="35000"/>
                  </a:schemeClr>
                </a:solidFill>
                <a:latin typeface="+mn-lt"/>
                <a:ea typeface="+mn-ea"/>
                <a:cs typeface="+mn-cs"/>
              </a:defRPr>
            </a:pPr>
            <a:endParaRPr lang="zh-CN" altLang="en-US" b="1"/>
          </a:p>
        </c:rich>
      </c:tx>
      <c:layout>
        <c:manualLayout>
          <c:xMode val="edge"/>
          <c:yMode val="edge"/>
          <c:x val="0.218084436042848"/>
          <c:y val="0.03125"/>
        </c:manualLayout>
      </c:layout>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2020年</c:v>
                </c:pt>
                <c:pt idx="1">
                  <c:v>2021年</c:v>
                </c:pt>
              </c:strCache>
            </c:strRef>
          </c:cat>
          <c:val>
            <c:numRef>
              <c:f>[工作簿1]Sheet1!$B$2:$B$3</c:f>
              <c:numCache>
                <c:formatCode>General</c:formatCode>
                <c:ptCount val="2"/>
                <c:pt idx="0">
                  <c:v>139.62</c:v>
                </c:pt>
                <c:pt idx="1">
                  <c:v>167.23</c:v>
                </c:pt>
              </c:numCache>
            </c:numRef>
          </c:val>
        </c:ser>
        <c:dLbls>
          <c:showLegendKey val="0"/>
          <c:showVal val="1"/>
          <c:showCatName val="0"/>
          <c:showSerName val="0"/>
          <c:showPercent val="0"/>
          <c:showBubbleSize val="0"/>
        </c:dLbls>
        <c:gapWidth val="219"/>
        <c:overlap val="-27"/>
        <c:axId val="890662655"/>
        <c:axId val="237120088"/>
      </c:barChart>
      <c:catAx>
        <c:axId val="8906626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120088"/>
        <c:crosses val="autoZero"/>
        <c:auto val="1"/>
        <c:lblAlgn val="ctr"/>
        <c:lblOffset val="100"/>
        <c:noMultiLvlLbl val="0"/>
      </c:catAx>
      <c:valAx>
        <c:axId val="237120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0662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[工作簿1]Sheet1!$A$87</c:f>
              <c:strCache>
                <c:ptCount val="1"/>
                <c:pt idx="0">
                  <c:v>2020年</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[工作簿1]Sheet1!$B$87</c:f>
              <c:numCache>
                <c:formatCode>General</c:formatCode>
                <c:ptCount val="1"/>
                <c:pt idx="0">
                  <c:v>139.62</c:v>
                </c:pt>
              </c:numCache>
            </c:numRef>
          </c:val>
        </c:ser>
        <c:ser>
          <c:idx val="1"/>
          <c:order val="1"/>
          <c:tx>
            <c:strRef>
              <c:f>[工作簿1]Sheet1!$A$88</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[工作簿1]Sheet1!$B$88</c:f>
              <c:numCache>
                <c:formatCode>General</c:formatCode>
                <c:ptCount val="1"/>
                <c:pt idx="0">
                  <c:v>167.23</c:v>
                </c:pt>
              </c:numCache>
            </c:numRef>
          </c:val>
        </c:ser>
        <c:dLbls>
          <c:showLegendKey val="0"/>
          <c:showVal val="1"/>
          <c:showCatName val="0"/>
          <c:showSerName val="0"/>
          <c:showPercent val="0"/>
          <c:showBubbleSize val="0"/>
        </c:dLbls>
        <c:gapWidth val="219"/>
        <c:overlap val="-27"/>
        <c:axId val="996986117"/>
        <c:axId val="484345735"/>
      </c:barChart>
      <c:catAx>
        <c:axId val="9969861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4345735"/>
        <c:crosses val="autoZero"/>
        <c:auto val="1"/>
        <c:lblAlgn val="ctr"/>
        <c:lblOffset val="100"/>
        <c:noMultiLvlLbl val="0"/>
      </c:catAx>
      <c:valAx>
        <c:axId val="484345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6986117"/>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ysClr val="windowText" lastClr="000000"/>
                </a:solidFill>
                <a:latin typeface="微软雅黑" panose="020B0503020204020204" pitchFamily="2" charset="-122"/>
                <a:ea typeface="微软雅黑" panose="020B0503020204020204" pitchFamily="2" charset="-122"/>
                <a:cs typeface="+mn-cs"/>
              </a:defRPr>
            </a:pPr>
            <a:r>
              <a:rPr>
                <a:solidFill>
                  <a:sysClr val="windowText" lastClr="000000"/>
                </a:solidFill>
              </a:rPr>
              <a:t>一般公共预算财政拨款支出决算结构情况图</a:t>
            </a:r>
            <a:endParaRPr>
              <a:solidFill>
                <a:sysClr val="windowText" lastClr="000000"/>
              </a:solidFill>
            </a:endParaRPr>
          </a:p>
        </c:rich>
      </c:tx>
      <c:layout>
        <c:manualLayout>
          <c:xMode val="edge"/>
          <c:yMode val="edge"/>
          <c:x val="0.0683473389355742"/>
          <c:y val="0.902425533070742"/>
        </c:manualLayout>
      </c:layout>
      <c:overlay val="0"/>
      <c:spPr>
        <a:noFill/>
        <a:ln>
          <a:noFill/>
        </a:ln>
        <a:effectLst/>
      </c:spPr>
    </c:title>
    <c:autoTitleDeleted val="0"/>
    <c:plotArea>
      <c:layout/>
      <c:pieChart>
        <c:varyColors val="1"/>
        <c:ser>
          <c:idx val="0"/>
          <c:order val="0"/>
          <c:spPr>
            <a:solidFill>
              <a:srgbClr val="ED7D31">
                <a:lumMod val="75000"/>
              </a:srgbClr>
            </a:solidFill>
            <a:ln w="19050">
              <a:noFill/>
            </a:ln>
            <a:effectLst>
              <a:outerShdw blurRad="50800" dist="38100" dir="5400000" algn="t" rotWithShape="0">
                <a:prstClr val="black">
                  <a:alpha val="40000"/>
                </a:prstClr>
              </a:outerShdw>
            </a:effectLst>
          </c:spPr>
          <c:explosion val="4"/>
          <c:dPt>
            <c:idx val="0"/>
            <c:bubble3D val="0"/>
            <c:explosion val="0"/>
            <c:spPr>
              <a:solidFill>
                <a:srgbClr val="A5A5A5">
                  <a:lumMod val="75000"/>
                </a:srgbClr>
              </a:solidFill>
              <a:ln w="19050">
                <a:noFill/>
              </a:ln>
              <a:effectLst>
                <a:outerShdw blurRad="50800" dist="38100" dir="5400000" algn="t" rotWithShape="0">
                  <a:prstClr val="black">
                    <a:alpha val="40000"/>
                  </a:prstClr>
                </a:outerShdw>
              </a:effectLst>
            </c:spPr>
          </c:dPt>
          <c:dPt>
            <c:idx val="1"/>
            <c:bubble3D val="0"/>
            <c:explosion val="0"/>
            <c:spPr>
              <a:solidFill>
                <a:srgbClr val="FFC000"/>
              </a:solidFill>
              <a:ln w="19050">
                <a:noFill/>
              </a:ln>
              <a:effectLst>
                <a:outerShdw blurRad="50800" dist="38100" dir="5400000" algn="t" rotWithShape="0">
                  <a:prstClr val="black">
                    <a:alpha val="40000"/>
                  </a:prstClr>
                </a:outerShdw>
              </a:effectLst>
            </c:spPr>
          </c:dPt>
          <c:dPt>
            <c:idx val="2"/>
            <c:bubble3D val="0"/>
            <c:explosion val="0"/>
            <c:spPr>
              <a:solidFill>
                <a:srgbClr val="70AD47">
                  <a:lumMod val="75000"/>
                </a:srgbClr>
              </a:solidFill>
              <a:ln w="19050">
                <a:noFill/>
              </a:ln>
              <a:effectLst>
                <a:outerShdw blurRad="50800" dist="38100" dir="5400000" algn="t" rotWithShape="0">
                  <a:prstClr val="black">
                    <a:alpha val="40000"/>
                  </a:prstClr>
                </a:outerShdw>
              </a:effectLst>
            </c:spPr>
          </c:dPt>
          <c:dPt>
            <c:idx val="3"/>
            <c:bubble3D val="0"/>
            <c:explosion val="0"/>
            <c:spPr>
              <a:solidFill>
                <a:srgbClr val="5B9BD5"/>
              </a:solidFill>
              <a:ln w="19050">
                <a:noFill/>
              </a:ln>
              <a:effectLst>
                <a:outerShdw blurRad="50800" dist="38100" dir="5400000" algn="t" rotWithShape="0">
                  <a:prstClr val="black">
                    <a:alpha val="40000"/>
                  </a:prstClr>
                </a:outerShdw>
              </a:effectLst>
            </c:spPr>
          </c:dPt>
          <c:dPt>
            <c:idx val="4"/>
            <c:bubble3D val="0"/>
            <c:spPr>
              <a:solidFill>
                <a:srgbClr val="ED7D31">
                  <a:lumMod val="75000"/>
                </a:srgbClr>
              </a:solidFill>
              <a:ln w="19050">
                <a:noFill/>
              </a:ln>
              <a:effectLst>
                <a:outerShdw blurRad="50800" dist="38100" dir="5400000" algn="t" rotWithShape="0">
                  <a:prstClr val="black">
                    <a:alpha val="40000"/>
                  </a:prstClr>
                </a:outerShdw>
              </a:effectLst>
            </c:spPr>
          </c:dPt>
          <c:dPt>
            <c:idx val="5"/>
            <c:bubble3D val="0"/>
            <c:spPr>
              <a:solidFill>
                <a:srgbClr val="ED7D31">
                  <a:lumMod val="75000"/>
                </a:srgbClr>
              </a:solidFill>
              <a:ln w="19050">
                <a:noFill/>
              </a:ln>
              <a:effectLst>
                <a:outerShdw blurRad="50800" dist="38100" dir="5400000" algn="t" rotWithShape="0">
                  <a:prstClr val="black">
                    <a:alpha val="40000"/>
                  </a:prstClr>
                </a:outerShdw>
              </a:effectLst>
            </c:spPr>
          </c:dPt>
          <c:dLbls>
            <c:dLbl>
              <c:idx val="1"/>
              <c:layout>
                <c:manualLayout>
                  <c:x val="-0.0841125151373775"/>
                  <c:y val="0.084461179305226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51850617135276"/>
                  <c:y val="-0.043358552317463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05051601989582"/>
                  <c:y val="-0.01879784961456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ysClr val="windowText" lastClr="000000"/>
                    </a:solidFill>
                    <a:latin typeface="微软雅黑" panose="020B0503020204020204" pitchFamily="2" charset="-122"/>
                    <a:ea typeface="微软雅黑" panose="020B0503020204020204" pitchFamily="2"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'[拆迁办图标模板 (2).xlsx]Sheet1'!$A$117:$A$122</c:f>
              <c:strCache>
                <c:ptCount val="6"/>
                <c:pt idx="0">
                  <c:v>自然资源海洋气象支出</c:v>
                </c:pt>
                <c:pt idx="1">
                  <c:v>社会保障和就业（类）支出</c:v>
                </c:pt>
                <c:pt idx="2">
                  <c:v>卫生健康支出</c:v>
                </c:pt>
                <c:pt idx="3">
                  <c:v>农林水支出</c:v>
                </c:pt>
                <c:pt idx="4">
                  <c:v>城乡社区服务支出 </c:v>
                </c:pt>
                <c:pt idx="5">
                  <c:v>住房保障支出</c:v>
                </c:pt>
              </c:strCache>
            </c:strRef>
          </c:cat>
          <c:val>
            <c:numRef>
              <c:f>'[拆迁办图标模板 (2).xlsx]Sheet1'!$B$117:$B$122</c:f>
              <c:numCache>
                <c:formatCode>General</c:formatCode>
                <c:ptCount val="6"/>
                <c:pt idx="0">
                  <c:v>104.93</c:v>
                </c:pt>
                <c:pt idx="1">
                  <c:v>10.32</c:v>
                </c:pt>
                <c:pt idx="2">
                  <c:v>4.83</c:v>
                </c:pt>
                <c:pt idx="3">
                  <c:v>0.4</c:v>
                </c:pt>
                <c:pt idx="4">
                  <c:v>39.5</c:v>
                </c:pt>
                <c:pt idx="5">
                  <c:v>7.24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48000">
          <a:srgbClr val="70AD47">
            <a:lumMod val="20000"/>
            <a:lumOff val="80000"/>
          </a:srgbClr>
        </a:gs>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29</Pages>
  <Words>10069</Words>
  <Characters>10816</Characters>
  <Lines>68</Lines>
  <Paragraphs>19</Paragraphs>
  <TotalTime>7</TotalTime>
  <ScaleCrop>false</ScaleCrop>
  <LinksUpToDate>false</LinksUpToDate>
  <CharactersWithSpaces>11702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2022-09-26T00:28:00Z</cp:lastPrinted>
  <dcterms:modified xsi:type="dcterms:W3CDTF">2022-09-28T07:56:40Z</dcterms:modified>
  <dc:title>四川省***</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2B44CD6992D44BAA98D790D995339F45</vt:lpwstr>
  </property>
</Properties>
</file>