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597"/>
      <w:bookmarkStart w:id="1" w:name="_Toc15378441"/>
      <w:bookmarkStart w:id="2" w:name="_Toc15377425"/>
      <w:bookmarkStart w:id="3" w:name="_Toc15377193"/>
      <w:bookmarkStart w:id="4" w:name="_Toc1539647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476"/>
      <w:bookmarkStart w:id="8" w:name="_Toc15377426"/>
      <w:bookmarkStart w:id="9" w:name="_Toc15396598"/>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广元市朝天区国有资产事务中心</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US" w:eastAsia="zh-CN"/>
        </w:rPr>
        <w:t>22</w:t>
      </w:r>
      <w:r>
        <w:rPr>
          <w:rFonts w:hint="eastAsia"/>
          <w:color w:val="auto"/>
          <w:highlight w:val="none"/>
        </w:rPr>
        <w:t>日</w:t>
      </w:r>
    </w:p>
    <w:p>
      <w:pPr>
        <w:rPr>
          <w:b/>
          <w:bCs/>
          <w:color w:val="auto"/>
          <w:highlight w:val="none"/>
        </w:rPr>
      </w:pPr>
    </w:p>
    <w:p>
      <w:pPr>
        <w:pStyle w:val="10"/>
        <w:adjustRightInd w:val="0"/>
        <w:snapToGrid w:val="0"/>
        <w:spacing w:before="0" w:line="440" w:lineRule="exact"/>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第一部分 部门概况</w:t>
      </w:r>
    </w:p>
    <w:p>
      <w:pPr>
        <w:pStyle w:val="11"/>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0"/>
        <w:adjustRightInd w:val="0"/>
        <w:snapToGrid w:val="0"/>
        <w:spacing w:before="0" w:line="440" w:lineRule="exact"/>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第二部分 2021年度部门决算情况说明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5"/>
          <w:rFonts w:hint="eastAsia" w:asciiTheme="minorEastAsia" w:hAnsiTheme="minorEastAsia" w:eastAsiaTheme="minorEastAsia" w:cstheme="minorEastAsia"/>
          <w:color w:val="auto"/>
          <w:sz w:val="24"/>
          <w:highlight w:val="none"/>
          <w:u w:val="none"/>
          <w:lang w:eastAsia="zh-CN"/>
        </w:rPr>
        <w:t>十</w:t>
      </w:r>
      <w:r>
        <w:rPr>
          <w:rStyle w:val="15"/>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color w:val="auto"/>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0"/>
        <w:adjustRightInd w:val="0"/>
        <w:snapToGrid w:val="0"/>
        <w:spacing w:before="0" w:line="440" w:lineRule="exact"/>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第三部分 名词解释</w:t>
      </w:r>
    </w:p>
    <w:p>
      <w:pPr>
        <w:pStyle w:val="10"/>
        <w:adjustRightInd w:val="0"/>
        <w:snapToGrid w:val="0"/>
        <w:spacing w:before="0" w:line="440" w:lineRule="exact"/>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第四部分 附件</w:t>
      </w:r>
    </w:p>
    <w:p>
      <w:pPr>
        <w:pStyle w:val="10"/>
        <w:adjustRightInd w:val="0"/>
        <w:snapToGrid w:val="0"/>
        <w:spacing w:before="0" w:line="440" w:lineRule="exact"/>
        <w:jc w:val="left"/>
        <w:rPr>
          <w:rFonts w:hint="eastAsia"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第五部分 附表</w:t>
      </w:r>
    </w:p>
    <w:p>
      <w:pPr>
        <w:pStyle w:val="11"/>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4"/>
          <w:rFonts w:hint="eastAsia" w:ascii="黑体" w:hAnsi="黑体" w:eastAsia="黑体"/>
          <w:b w:val="0"/>
          <w:bCs w:val="0"/>
          <w:color w:val="auto"/>
          <w:highlight w:val="none"/>
        </w:rPr>
        <w:t>部门概况</w:t>
      </w:r>
      <w:bookmarkEnd w:id="12"/>
      <w:bookmarkEnd w:id="13"/>
    </w:p>
    <w:p>
      <w:pPr>
        <w:pStyle w:val="4"/>
        <w:rPr>
          <w:rStyle w:val="25"/>
          <w:rFonts w:ascii="仿宋" w:hAnsi="仿宋" w:eastAsia="仿宋"/>
          <w:b w:val="0"/>
          <w:bCs w:val="0"/>
          <w:color w:val="auto"/>
          <w:highlight w:val="none"/>
        </w:rPr>
      </w:pPr>
      <w:bookmarkStart w:id="14" w:name="_Toc15396600"/>
      <w:bookmarkStart w:id="15" w:name="_Toc15377197"/>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1.协助履行出资人职责，做好相关事务性工作。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2.协助拟订国有资产管理的办法和制度。</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3.配合完成监管企业工资总额管理工作，参与拟订所监管企业负责人收入分配政策并组织实施等事务工作。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4.配合完善公司法人治理结构，推动国有经济布局和结构的战略性调整等事务性工作。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5.协助对所监管企业负责人进行任免、考核并根据其经营业绩进行奖惩；建立符合社会主义市场经济体制和现代企业制度要求的选人、用人机制，完善经营者激励和约束制度等事务工作。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6.配合完成国有资本经营预算和执行方案编制工作；搞好监缴所监管企业国有资本收益和区级行政事业单位经营性资产收益等事务工作。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7.配合做好国有企业及行政事业单位国有资产监督管理工作，搞好产权界定、清产核资、资产评估、资产配置和处置等事务性工作。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8.完成区委、区政府交办的其他任务。</w:t>
      </w:r>
    </w:p>
    <w:bookmarkEnd w:id="16"/>
    <w:bookmarkEnd w:id="17"/>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7199"/>
      <w:bookmarkStart w:id="19"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加强党建引领，确保党对国资国企领导。一是加强基层组织建设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中心成立了党支部，完成了换届选举，建设了党员活动室，逐步做到标准化、规范化</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制定并实施党员“代培育”计划，帮助水投公司发展入党积极分子3人，破解企业党员少、无党组织的问题</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二是扎实推进国企党建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所有公司均将党建工作写入公司章程，把党组织嵌入公司治理体系，把党组织研究讨论作为公司决策重大问题前置程序。印发了《2021年区属国有企业党建工作重点任务清单》，全力推动国企基层党组织标准化建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目前区国投公司建党总支1个，在本部及二级企业建党支部3个，其余企业与监管部门联合建立了党组织</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三是认真开展党史学习教育</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牵头制定了国资系统工作方案，建立了领导机构，分阶段印发任务清单，常态化开展党史学习教育</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发挥国资国企优势，聚焦群众“急难盼愁”的民生、基层治理、服务等方面问题，完成“我为群众办实事”具体事项26项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四是认真履行意识形态主体责任</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调整意识形态领导小组，制定任务清单，认真学好、宣传好、维护好党的路线方针政策，抓好网络意识形态，守好系统内意识形态阵地。五是加强党风廉政建设</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印发并严格执行从严治党“三张清单”和党风廉政工作要点，认真开展“学史知纪明法”活动，扎实开展干部作风纪律整顿活动，</w:t>
      </w:r>
      <w:r>
        <w:rPr>
          <w:rFonts w:hint="eastAsia" w:ascii="仿宋" w:hAnsi="仿宋" w:eastAsia="仿宋"/>
          <w:color w:val="auto"/>
          <w:sz w:val="32"/>
          <w:szCs w:val="32"/>
          <w:highlight w:val="none"/>
          <w:lang w:eastAsia="zh-CN"/>
        </w:rPr>
        <w:t>在</w:t>
      </w:r>
      <w:r>
        <w:rPr>
          <w:rFonts w:hint="eastAsia" w:ascii="仿宋" w:hAnsi="仿宋" w:eastAsia="仿宋"/>
          <w:color w:val="auto"/>
          <w:sz w:val="32"/>
          <w:szCs w:val="32"/>
          <w:highlight w:val="none"/>
        </w:rPr>
        <w:t>粮食领域腐败问题整治过程中对涉粮企业有关责任人作出党内警告处分1次</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六是筑牢安全生产防线。</w:t>
      </w:r>
      <w:r>
        <w:rPr>
          <w:rFonts w:hint="eastAsia" w:ascii="仿宋" w:hAnsi="仿宋" w:eastAsia="仿宋"/>
          <w:color w:val="auto"/>
          <w:sz w:val="32"/>
          <w:szCs w:val="32"/>
          <w:highlight w:val="none"/>
          <w:lang w:eastAsia="zh-CN"/>
        </w:rPr>
        <w:t>做好</w:t>
      </w:r>
      <w:r>
        <w:rPr>
          <w:rFonts w:hint="eastAsia" w:ascii="仿宋" w:hAnsi="仿宋" w:eastAsia="仿宋"/>
          <w:color w:val="auto"/>
          <w:sz w:val="32"/>
          <w:szCs w:val="32"/>
          <w:highlight w:val="none"/>
        </w:rPr>
        <w:t>常态化</w:t>
      </w:r>
      <w:r>
        <w:rPr>
          <w:rFonts w:hint="eastAsia" w:ascii="仿宋" w:hAnsi="仿宋" w:eastAsia="仿宋"/>
          <w:color w:val="auto"/>
          <w:sz w:val="32"/>
          <w:szCs w:val="32"/>
          <w:highlight w:val="none"/>
          <w:lang w:eastAsia="zh-CN"/>
        </w:rPr>
        <w:t>的</w:t>
      </w:r>
      <w:r>
        <w:rPr>
          <w:rFonts w:hint="eastAsia" w:ascii="仿宋" w:hAnsi="仿宋" w:eastAsia="仿宋"/>
          <w:color w:val="auto"/>
          <w:sz w:val="32"/>
          <w:szCs w:val="32"/>
          <w:highlight w:val="none"/>
        </w:rPr>
        <w:t>疫情防控和安全生产管理，通过</w:t>
      </w:r>
      <w:r>
        <w:rPr>
          <w:rFonts w:hint="eastAsia" w:ascii="仿宋" w:hAnsi="仿宋" w:eastAsia="仿宋"/>
          <w:color w:val="auto"/>
          <w:sz w:val="32"/>
          <w:szCs w:val="32"/>
          <w:highlight w:val="none"/>
          <w:lang w:eastAsia="zh-CN"/>
        </w:rPr>
        <w:t>加强</w:t>
      </w:r>
      <w:r>
        <w:rPr>
          <w:rFonts w:hint="eastAsia" w:ascii="仿宋" w:hAnsi="仿宋" w:eastAsia="仿宋"/>
          <w:color w:val="auto"/>
          <w:sz w:val="32"/>
          <w:szCs w:val="32"/>
          <w:highlight w:val="none"/>
        </w:rPr>
        <w:t>安全监督检查，</w:t>
      </w:r>
      <w:r>
        <w:rPr>
          <w:rFonts w:hint="eastAsia" w:ascii="仿宋" w:hAnsi="仿宋" w:eastAsia="仿宋"/>
          <w:color w:val="auto"/>
          <w:sz w:val="32"/>
          <w:szCs w:val="32"/>
          <w:highlight w:val="none"/>
          <w:lang w:eastAsia="zh-CN"/>
        </w:rPr>
        <w:t>强化</w:t>
      </w:r>
      <w:r>
        <w:rPr>
          <w:rFonts w:hint="eastAsia" w:ascii="仿宋" w:hAnsi="仿宋" w:eastAsia="仿宋"/>
          <w:color w:val="auto"/>
          <w:sz w:val="32"/>
          <w:szCs w:val="32"/>
          <w:highlight w:val="none"/>
        </w:rPr>
        <w:t>安全责任意识，提升安全保障能力等措施，国资系统至今未发生安全责任事故。</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提升改革活力，推进国企发展走深走实。一是</w:t>
      </w:r>
      <w:r>
        <w:rPr>
          <w:rFonts w:hint="eastAsia" w:ascii="仿宋" w:hAnsi="仿宋" w:eastAsia="仿宋"/>
          <w:color w:val="auto"/>
          <w:sz w:val="32"/>
          <w:szCs w:val="32"/>
          <w:highlight w:val="none"/>
          <w:lang w:eastAsia="zh-CN"/>
        </w:rPr>
        <w:t>深入落实改革制度。</w:t>
      </w:r>
      <w:r>
        <w:rPr>
          <w:rFonts w:hint="eastAsia" w:ascii="仿宋" w:hAnsi="仿宋" w:eastAsia="仿宋"/>
          <w:color w:val="auto"/>
          <w:sz w:val="32"/>
          <w:szCs w:val="32"/>
          <w:highlight w:val="none"/>
        </w:rPr>
        <w:t>实施企业负责人经营业绩考核、薪酬制度以及劳动人事分配三项制度改革，逐步建立工资与业绩挂钩、员工能进能出、管理者能上能下、薪酬能增能减的新机制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二是提高国有资本配置和运行效率</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支持平台公司通过代建政府项目、出租资产等方式拓宽经营渠道，不断推</w:t>
      </w:r>
      <w:r>
        <w:rPr>
          <w:rFonts w:hint="eastAsia" w:ascii="仿宋" w:hAnsi="仿宋" w:eastAsia="仿宋"/>
          <w:color w:val="auto"/>
          <w:sz w:val="32"/>
          <w:szCs w:val="32"/>
          <w:highlight w:val="none"/>
          <w:lang w:eastAsia="zh-CN"/>
        </w:rPr>
        <w:t>动国有企业</w:t>
      </w:r>
      <w:r>
        <w:rPr>
          <w:rFonts w:hint="eastAsia" w:ascii="仿宋" w:hAnsi="仿宋" w:eastAsia="仿宋"/>
          <w:color w:val="auto"/>
          <w:sz w:val="32"/>
          <w:szCs w:val="32"/>
          <w:highlight w:val="none"/>
        </w:rPr>
        <w:t>“市场化”转型；三是剥离</w:t>
      </w:r>
      <w:r>
        <w:rPr>
          <w:rFonts w:hint="eastAsia" w:ascii="仿宋" w:hAnsi="仿宋" w:eastAsia="仿宋"/>
          <w:color w:val="auto"/>
          <w:sz w:val="32"/>
          <w:szCs w:val="32"/>
          <w:highlight w:val="none"/>
          <w:lang w:eastAsia="zh-CN"/>
        </w:rPr>
        <w:t>办</w:t>
      </w:r>
      <w:r>
        <w:rPr>
          <w:rFonts w:hint="eastAsia" w:ascii="仿宋" w:hAnsi="仿宋" w:eastAsia="仿宋"/>
          <w:color w:val="auto"/>
          <w:sz w:val="32"/>
          <w:szCs w:val="32"/>
          <w:highlight w:val="none"/>
        </w:rPr>
        <w:t>国有企业社会职能</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兑现</w:t>
      </w:r>
      <w:r>
        <w:rPr>
          <w:rFonts w:hint="eastAsia" w:ascii="仿宋" w:hAnsi="仿宋" w:eastAsia="仿宋"/>
          <w:color w:val="auto"/>
          <w:sz w:val="32"/>
          <w:szCs w:val="32"/>
          <w:highlight w:val="none"/>
          <w:lang w:eastAsia="zh-CN"/>
        </w:rPr>
        <w:t>已</w:t>
      </w:r>
      <w:r>
        <w:rPr>
          <w:rFonts w:hint="eastAsia" w:ascii="仿宋" w:hAnsi="仿宋" w:eastAsia="仿宋"/>
          <w:color w:val="auto"/>
          <w:sz w:val="32"/>
          <w:szCs w:val="32"/>
          <w:highlight w:val="none"/>
        </w:rPr>
        <w:t>移交退休人员社会化管理社区补助资金8000元，并协助西安铁路局筹备常态化移交</w:t>
      </w:r>
      <w:r>
        <w:rPr>
          <w:rFonts w:hint="eastAsia" w:ascii="仿宋" w:hAnsi="仿宋" w:eastAsia="仿宋"/>
          <w:color w:val="auto"/>
          <w:sz w:val="32"/>
          <w:szCs w:val="32"/>
          <w:highlight w:val="none"/>
          <w:lang w:eastAsia="zh-CN"/>
        </w:rPr>
        <w:t>工作，现已移交</w:t>
      </w:r>
      <w:r>
        <w:rPr>
          <w:rFonts w:hint="eastAsia" w:ascii="仿宋" w:hAnsi="仿宋" w:eastAsia="仿宋"/>
          <w:color w:val="auto"/>
          <w:sz w:val="32"/>
          <w:szCs w:val="32"/>
          <w:highlight w:val="none"/>
        </w:rPr>
        <w:t>2人</w:t>
      </w:r>
      <w:r>
        <w:rPr>
          <w:rFonts w:hint="eastAsia" w:ascii="仿宋" w:hAnsi="仿宋" w:eastAsia="仿宋"/>
          <w:color w:val="auto"/>
          <w:sz w:val="32"/>
          <w:szCs w:val="32"/>
          <w:highlight w:val="none"/>
          <w:lang w:eastAsia="zh-CN"/>
        </w:rPr>
        <w:t>。四</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eastAsia="zh-CN"/>
        </w:rPr>
        <w:t>实施国企改革三年行动。</w:t>
      </w:r>
      <w:r>
        <w:rPr>
          <w:rFonts w:hint="eastAsia" w:ascii="仿宋" w:hAnsi="仿宋" w:eastAsia="仿宋"/>
          <w:color w:val="auto"/>
          <w:sz w:val="32"/>
          <w:szCs w:val="32"/>
          <w:highlight w:val="none"/>
        </w:rPr>
        <w:t>制定了《广元市朝天区国企改革三年行动实施方案（2020-2022）》，引领推动优化国有资本布局、健全现代企业制度、促进产权多元化、转变国资监管方式。</w:t>
      </w:r>
      <w:r>
        <w:rPr>
          <w:rFonts w:hint="eastAsia" w:ascii="仿宋" w:hAnsi="仿宋" w:eastAsia="仿宋"/>
          <w:color w:val="auto"/>
          <w:sz w:val="32"/>
          <w:szCs w:val="32"/>
          <w:highlight w:val="none"/>
          <w:lang w:eastAsia="zh-CN"/>
        </w:rPr>
        <w:t>五</w:t>
      </w:r>
      <w:r>
        <w:rPr>
          <w:rFonts w:hint="eastAsia" w:ascii="仿宋" w:hAnsi="仿宋" w:eastAsia="仿宋"/>
          <w:color w:val="auto"/>
          <w:sz w:val="32"/>
          <w:szCs w:val="32"/>
          <w:highlight w:val="none"/>
        </w:rPr>
        <w:t>是在反复调研并征求意见基础上编制国资国企“十四五”发展规划。</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注重降本增效，鼓励企业努力增加收入。一是支持企业多元发展</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国投、园投、裕鸿粮油、融创、洞天等公司不断强化自身能力，扩展业务至项目建设、建材销售、资产</w:t>
      </w:r>
      <w:r>
        <w:rPr>
          <w:rFonts w:hint="eastAsia" w:ascii="仿宋" w:hAnsi="仿宋" w:eastAsia="仿宋"/>
          <w:color w:val="auto"/>
          <w:sz w:val="32"/>
          <w:szCs w:val="32"/>
          <w:highlight w:val="none"/>
          <w:lang w:eastAsia="zh-CN"/>
        </w:rPr>
        <w:t>租赁</w:t>
      </w:r>
      <w:r>
        <w:rPr>
          <w:rFonts w:hint="eastAsia" w:ascii="仿宋" w:hAnsi="仿宋" w:eastAsia="仿宋"/>
          <w:color w:val="auto"/>
          <w:sz w:val="32"/>
          <w:szCs w:val="32"/>
          <w:highlight w:val="none"/>
        </w:rPr>
        <w:t>、物业服务、电子商务、酒店经营、平面广告等领域，产业链条不断延伸，经营收入不断增加</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二是指导企业牢固树立“增收节支、开源节流”意识</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强化经营成本管理，实施工资总额控制，指导各企业编制2021年工资总额预算方案，建立了与劳动力市场基本适应、与企业经济效益和劳动生产率挂钩的工资</w:t>
      </w:r>
      <w:r>
        <w:rPr>
          <w:rFonts w:hint="eastAsia" w:ascii="仿宋" w:hAnsi="仿宋" w:eastAsia="仿宋"/>
          <w:color w:val="auto"/>
          <w:sz w:val="32"/>
          <w:szCs w:val="32"/>
          <w:highlight w:val="none"/>
          <w:lang w:eastAsia="zh-CN"/>
        </w:rPr>
        <w:t>决定</w:t>
      </w:r>
      <w:r>
        <w:rPr>
          <w:rFonts w:hint="eastAsia" w:ascii="仿宋" w:hAnsi="仿宋" w:eastAsia="仿宋"/>
          <w:color w:val="auto"/>
          <w:sz w:val="32"/>
          <w:szCs w:val="32"/>
          <w:highlight w:val="none"/>
        </w:rPr>
        <w:t>和正常增长机制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三是大力盘活闲置资产</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2021年企业公开处置了旧城棚户区改造项目、统建还房等房屋资产，实现资产处置收益5000万元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经营性资产出租率达94%。</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转变监管方式，切实履行好出资人职责。一是优化调整股权结构</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将水投公司剥离国投公司，升级为区属一级企业</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根据需要新组建并控股成立了“</w:t>
      </w:r>
      <w:r>
        <w:rPr>
          <w:rFonts w:hint="eastAsia" w:ascii="仿宋" w:hAnsi="仿宋" w:eastAsia="仿宋"/>
          <w:color w:val="auto"/>
          <w:sz w:val="32"/>
          <w:szCs w:val="32"/>
          <w:highlight w:val="none"/>
          <w:lang w:eastAsia="zh-CN"/>
        </w:rPr>
        <w:t>朝天区兴达</w:t>
      </w:r>
      <w:r>
        <w:rPr>
          <w:rFonts w:hint="eastAsia" w:ascii="仿宋" w:hAnsi="仿宋" w:eastAsia="仿宋"/>
          <w:color w:val="auto"/>
          <w:sz w:val="32"/>
          <w:szCs w:val="32"/>
          <w:highlight w:val="none"/>
        </w:rPr>
        <w:t>人力资源有限</w:t>
      </w:r>
      <w:r>
        <w:rPr>
          <w:rFonts w:hint="eastAsia" w:ascii="仿宋" w:hAnsi="仿宋" w:eastAsia="仿宋"/>
          <w:color w:val="auto"/>
          <w:sz w:val="32"/>
          <w:szCs w:val="32"/>
          <w:highlight w:val="none"/>
          <w:lang w:eastAsia="zh-CN"/>
        </w:rPr>
        <w:t>责任</w:t>
      </w:r>
      <w:r>
        <w:rPr>
          <w:rFonts w:hint="eastAsia" w:ascii="仿宋" w:hAnsi="仿宋" w:eastAsia="仿宋"/>
          <w:color w:val="auto"/>
          <w:sz w:val="32"/>
          <w:szCs w:val="32"/>
          <w:highlight w:val="none"/>
        </w:rPr>
        <w:t>公司”，服务区内人力资源配置</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二是加强人事管理</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对区融创公司、甘棠林产、洞天旅游、曾家山旅游公司实行定岗定员，备案企业新招录工作人员3名</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调整完善了2户公司的董事和董事长4人，不断完善企业法人治理结构</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组织开展企业中层以上人员人事档案专项审核，不断规范企业人事管理行为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三是做好企业资产管理</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进一步规范产权转让、增资扩股等资产交易，督促企业国有产权进场</w:t>
      </w:r>
      <w:r>
        <w:rPr>
          <w:rFonts w:hint="eastAsia" w:ascii="仿宋" w:hAnsi="仿宋" w:eastAsia="仿宋"/>
          <w:color w:val="auto"/>
          <w:sz w:val="32"/>
          <w:szCs w:val="32"/>
          <w:highlight w:val="none"/>
          <w:lang w:eastAsia="zh-CN"/>
        </w:rPr>
        <w:t>，并</w:t>
      </w:r>
      <w:r>
        <w:rPr>
          <w:rFonts w:hint="eastAsia" w:ascii="仿宋" w:hAnsi="仿宋" w:eastAsia="仿宋"/>
          <w:color w:val="auto"/>
          <w:sz w:val="32"/>
          <w:szCs w:val="32"/>
          <w:highlight w:val="none"/>
        </w:rPr>
        <w:t>实现交易率100%</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加强对企业重大投融资决策行为合规性审核，全年审核投融资项目</w:t>
      </w:r>
      <w:r>
        <w:rPr>
          <w:rFonts w:hint="eastAsia" w:ascii="仿宋" w:hAnsi="仿宋" w:eastAsia="仿宋"/>
          <w:color w:val="auto"/>
          <w:sz w:val="32"/>
          <w:szCs w:val="32"/>
          <w:highlight w:val="none"/>
          <w:lang w:val="en-US" w:eastAsia="zh-CN"/>
        </w:rPr>
        <w:t>47</w:t>
      </w:r>
      <w:r>
        <w:rPr>
          <w:rFonts w:hint="eastAsia" w:ascii="仿宋" w:hAnsi="仿宋" w:eastAsia="仿宋"/>
          <w:color w:val="auto"/>
          <w:sz w:val="32"/>
          <w:szCs w:val="32"/>
          <w:highlight w:val="none"/>
        </w:rPr>
        <w:t>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四是严格监督考核</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对国有企业2020年经营状况全面考核，完成档次评定，对区国投公司负责人2018年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2020年任期进行考核，并</w:t>
      </w:r>
      <w:r>
        <w:rPr>
          <w:rFonts w:hint="eastAsia" w:ascii="仿宋" w:hAnsi="仿宋" w:eastAsia="仿宋"/>
          <w:color w:val="auto"/>
          <w:sz w:val="32"/>
          <w:szCs w:val="32"/>
          <w:highlight w:val="none"/>
          <w:lang w:eastAsia="zh-CN"/>
        </w:rPr>
        <w:t>发放</w:t>
      </w:r>
      <w:r>
        <w:rPr>
          <w:rFonts w:hint="eastAsia" w:ascii="仿宋" w:hAnsi="仿宋" w:eastAsia="仿宋"/>
          <w:color w:val="auto"/>
          <w:sz w:val="32"/>
          <w:szCs w:val="32"/>
          <w:highlight w:val="none"/>
        </w:rPr>
        <w:t>任期激励薪酬</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五是优化监管体制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申请获得区内非金融企业出资人职责授权，进一步捋顺了管理体制、</w:t>
      </w:r>
      <w:r>
        <w:rPr>
          <w:rFonts w:hint="eastAsia" w:ascii="仿宋" w:hAnsi="仿宋" w:eastAsia="仿宋"/>
          <w:color w:val="auto"/>
          <w:sz w:val="32"/>
          <w:szCs w:val="32"/>
          <w:highlight w:val="none"/>
          <w:lang w:eastAsia="zh-CN"/>
        </w:rPr>
        <w:t>明确任务职责</w:t>
      </w:r>
      <w:r>
        <w:rPr>
          <w:rFonts w:hint="eastAsia" w:ascii="仿宋" w:hAnsi="仿宋" w:eastAsia="仿宋"/>
          <w:color w:val="auto"/>
          <w:sz w:val="32"/>
          <w:szCs w:val="32"/>
          <w:highlight w:val="none"/>
        </w:rPr>
        <w:t>。六是配合开展粮食购销领域腐败问题专项整治</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按出资人职责权限牵头对巡察反馈的3方面问题进行整改。</w:t>
      </w:r>
    </w:p>
    <w:p>
      <w:pPr>
        <w:ind w:firstLine="800" w:firstLineChars="25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体现国资担当，全力服务经济发展大局。一是加强项目投资</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今年</w:t>
      </w:r>
      <w:r>
        <w:rPr>
          <w:rFonts w:hint="eastAsia" w:ascii="仿宋" w:hAnsi="仿宋" w:eastAsia="仿宋"/>
          <w:color w:val="auto"/>
          <w:sz w:val="32"/>
          <w:szCs w:val="32"/>
          <w:highlight w:val="none"/>
          <w:lang w:eastAsia="zh-CN"/>
        </w:rPr>
        <w:t>以</w:t>
      </w:r>
      <w:r>
        <w:rPr>
          <w:rFonts w:hint="eastAsia" w:ascii="仿宋" w:hAnsi="仿宋" w:eastAsia="仿宋"/>
          <w:color w:val="auto"/>
          <w:sz w:val="32"/>
          <w:szCs w:val="32"/>
          <w:highlight w:val="none"/>
        </w:rPr>
        <w:t>来，国有企业共投建项目16个，总投资近2.27亿元，主要承建了小中坝片区（城中村）改造、金堆新区场平、东西部扶贫协作产业园、土地增减资产挂钩、曾家山田博园提升、防疫隔离点、曾家镇集中供水、曾家山绿化等项目</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二是加大融资担保</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全年完成项目融资提款7.2亿元，完成4.4亿元融资项目申报预审</w:t>
      </w:r>
      <w:r>
        <w:rPr>
          <w:rFonts w:hint="eastAsia" w:ascii="仿宋" w:hAnsi="仿宋" w:eastAsia="仿宋"/>
          <w:color w:val="auto"/>
          <w:sz w:val="32"/>
          <w:szCs w:val="32"/>
          <w:highlight w:val="none"/>
          <w:lang w:eastAsia="zh-CN"/>
        </w:rPr>
        <w:t>工作</w:t>
      </w:r>
      <w:r>
        <w:rPr>
          <w:rFonts w:hint="eastAsia" w:ascii="仿宋" w:hAnsi="仿宋" w:eastAsia="仿宋"/>
          <w:color w:val="auto"/>
          <w:sz w:val="32"/>
          <w:szCs w:val="32"/>
          <w:highlight w:val="none"/>
        </w:rPr>
        <w:t>，为重点项目提供了资金保障</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区担保公司新增融资性担保贷款1.89亿元，在保余额3.585亿元，</w:t>
      </w:r>
      <w:r>
        <w:rPr>
          <w:rFonts w:hint="eastAsia" w:ascii="仿宋" w:hAnsi="仿宋" w:eastAsia="仿宋"/>
          <w:color w:val="auto"/>
          <w:sz w:val="32"/>
          <w:szCs w:val="32"/>
          <w:highlight w:val="none"/>
          <w:lang w:eastAsia="zh-CN"/>
        </w:rPr>
        <w:t>为</w:t>
      </w:r>
      <w:r>
        <w:rPr>
          <w:rFonts w:hint="eastAsia" w:ascii="仿宋" w:hAnsi="仿宋" w:eastAsia="仿宋"/>
          <w:color w:val="auto"/>
          <w:sz w:val="32"/>
          <w:szCs w:val="32"/>
          <w:highlight w:val="none"/>
        </w:rPr>
        <w:t>中小微企业发展提供了大力支持</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三是不断推动产业发展。</w:t>
      </w:r>
      <w:r>
        <w:rPr>
          <w:rFonts w:hint="eastAsia" w:ascii="仿宋" w:hAnsi="仿宋" w:eastAsia="仿宋"/>
          <w:color w:val="auto"/>
          <w:sz w:val="32"/>
          <w:szCs w:val="32"/>
          <w:highlight w:val="none"/>
          <w:lang w:eastAsia="zh-CN"/>
        </w:rPr>
        <w:t>涉</w:t>
      </w:r>
      <w:r>
        <w:rPr>
          <w:rFonts w:hint="eastAsia" w:ascii="仿宋" w:hAnsi="仿宋" w:eastAsia="仿宋"/>
          <w:color w:val="auto"/>
          <w:sz w:val="32"/>
          <w:szCs w:val="32"/>
          <w:highlight w:val="none"/>
        </w:rPr>
        <w:t>旅公司在文旅宣传、节会活动、智慧旅游、景点营销、伴手礼品等方面发力，拓展了客源市场、做靓了文旅品牌、增加了朝天旅游收入</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涉农公司以新品种试验示范为抓手，强化技术支撑，筛选适合朝天本土的农产品，完成玉米、小麦等160余种品种试验</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四是大力推进乡村振兴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中心协助国机集团帮扶沙河镇鱼鳞村，选派3名同志担任驻村工作队，并争取基础设施和产业方面项目资金111万元，有效巩固脱贫成果，有力衔接乡村振兴</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五是全力参与疫情防控。指导国资系统严格落实疫情防控措施，管好大中坝、小中坝农贸市场，加强冷链食品排查、管控，常态化排查备案人员流动情况，全面完成系统干部疫苗接种任务，积极组织志愿者参与防疫值班值守</w:t>
      </w:r>
      <w:r>
        <w:rPr>
          <w:rFonts w:hint="eastAsia" w:ascii="仿宋" w:hAnsi="仿宋" w:eastAsia="仿宋"/>
          <w:color w:val="auto"/>
          <w:sz w:val="32"/>
          <w:szCs w:val="32"/>
          <w:highlight w:val="none"/>
          <w:lang w:eastAsia="zh-CN"/>
        </w:rPr>
        <w:t>工作</w:t>
      </w:r>
      <w:r>
        <w:rPr>
          <w:rFonts w:hint="eastAsia" w:ascii="仿宋" w:hAnsi="仿宋" w:eastAsia="仿宋"/>
          <w:color w:val="auto"/>
          <w:sz w:val="32"/>
          <w:szCs w:val="32"/>
          <w:highlight w:val="none"/>
        </w:rPr>
        <w:t>。</w:t>
      </w:r>
    </w:p>
    <w:p>
      <w:pPr>
        <w:pStyle w:val="4"/>
        <w:rPr>
          <w:rStyle w:val="25"/>
          <w:b w:val="0"/>
          <w:bCs w:val="0"/>
          <w:color w:val="auto"/>
          <w:highlight w:val="none"/>
        </w:rPr>
      </w:pPr>
      <w:bookmarkStart w:id="20" w:name="_Toc15396601"/>
      <w:bookmarkStart w:id="21"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5"/>
          <w:rFonts w:hint="eastAsia" w:ascii="黑体" w:hAnsi="黑体" w:eastAsia="黑体"/>
          <w:b w:val="0"/>
          <w:bCs w:val="0"/>
          <w:color w:val="auto"/>
          <w:highlight w:val="none"/>
        </w:rPr>
        <w:t>构设置</w:t>
      </w:r>
      <w:bookmarkEnd w:id="20"/>
      <w:bookmarkEnd w:id="21"/>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rPr>
        <w:t>广元市朝天区国有资产事务中心下属二级单位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rPr>
        <w:t>部门决算情况说明</w:t>
      </w:r>
      <w:bookmarkEnd w:id="22"/>
      <w:bookmarkEnd w:id="23"/>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年度收、支总计1411.05万元。与20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13327.53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90.43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债务付息支出减少。</w:t>
      </w:r>
    </w:p>
    <w:p>
      <w:pPr>
        <w:pStyle w:val="2"/>
        <w:rPr>
          <w:rFonts w:hint="eastAsia"/>
        </w:rPr>
      </w:pPr>
      <w:r>
        <w:rPr>
          <w:rFonts w:hint="eastAsia" w:ascii="仿宋" w:hAnsi="仿宋" w:eastAsia="仿宋"/>
          <w:color w:val="FF0000"/>
          <w:sz w:val="32"/>
          <w:szCs w:val="32"/>
        </w:rPr>
        <w:drawing>
          <wp:anchor distT="0" distB="0" distL="0" distR="0" simplePos="0" relativeHeight="251659264" behindDoc="0" locked="0" layoutInCell="1" allowOverlap="1">
            <wp:simplePos x="0" y="0"/>
            <wp:positionH relativeFrom="column">
              <wp:posOffset>225425</wp:posOffset>
            </wp:positionH>
            <wp:positionV relativeFrom="paragraph">
              <wp:posOffset>289560</wp:posOffset>
            </wp:positionV>
            <wp:extent cx="4629150" cy="3047365"/>
            <wp:effectExtent l="4445" t="5080" r="14605" b="1460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6" w:name="_Toc15396604"/>
      <w:bookmarkStart w:id="27"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年本年收入合计1411.05万元，其中：一般公共预算财政拨款收入1231.05万元，占</w:t>
      </w:r>
      <w:r>
        <w:rPr>
          <w:rFonts w:hint="eastAsia" w:ascii="仿宋" w:hAnsi="仿宋" w:eastAsia="仿宋"/>
          <w:color w:val="auto"/>
          <w:sz w:val="32"/>
          <w:szCs w:val="32"/>
          <w:highlight w:val="none"/>
          <w:lang w:val="en-US" w:eastAsia="zh-CN"/>
        </w:rPr>
        <w:t>87.24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180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12.76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FF0000"/>
          <w:sz w:val="32"/>
          <w:szCs w:val="32"/>
        </w:rPr>
        <w:drawing>
          <wp:anchor distT="0" distB="0" distL="0" distR="0" simplePos="0" relativeHeight="251660288" behindDoc="0" locked="0" layoutInCell="1" allowOverlap="1">
            <wp:simplePos x="0" y="0"/>
            <wp:positionH relativeFrom="column">
              <wp:posOffset>65405</wp:posOffset>
            </wp:positionH>
            <wp:positionV relativeFrom="paragraph">
              <wp:posOffset>240030</wp:posOffset>
            </wp:positionV>
            <wp:extent cx="4629150" cy="1619250"/>
            <wp:effectExtent l="4445" t="5080" r="14605" b="1397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rPr>
          <w:rFonts w:hint="eastAsia" w:ascii="仿宋" w:hAnsi="仿宋" w:eastAsia="仿宋"/>
          <w:color w:val="auto"/>
          <w:sz w:val="32"/>
          <w:szCs w:val="32"/>
          <w:highlight w:val="none"/>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8" w:name="_Toc15396605"/>
      <w:bookmarkStart w:id="29"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年本年支出合计1411.05万元，其中：基本支出83.17万元，占</w:t>
      </w:r>
      <w:r>
        <w:rPr>
          <w:rFonts w:hint="eastAsia" w:ascii="仿宋" w:hAnsi="仿宋" w:eastAsia="仿宋"/>
          <w:color w:val="auto"/>
          <w:sz w:val="32"/>
          <w:szCs w:val="32"/>
          <w:highlight w:val="none"/>
          <w:lang w:val="en-US" w:eastAsia="zh-CN"/>
        </w:rPr>
        <w:t>5.89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；项目支出1327.88万元，占</w:t>
      </w:r>
      <w:r>
        <w:rPr>
          <w:rFonts w:hint="eastAsia" w:ascii="仿宋" w:hAnsi="仿宋" w:eastAsia="仿宋"/>
          <w:color w:val="auto"/>
          <w:sz w:val="32"/>
          <w:szCs w:val="32"/>
          <w:highlight w:val="none"/>
          <w:lang w:val="en-US" w:eastAsia="zh-CN"/>
        </w:rPr>
        <w:t>94.11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r>
        <w:rPr>
          <w:rFonts w:ascii="仿宋" w:hAnsi="仿宋" w:eastAsia="仿宋"/>
          <w:color w:val="FF0000"/>
          <w:sz w:val="32"/>
          <w:szCs w:val="32"/>
          <w:shd w:val="pct10" w:color="auto" w:fill="FFFFFF"/>
        </w:rPr>
        <w:drawing>
          <wp:anchor distT="0" distB="0" distL="0" distR="0" simplePos="0" relativeHeight="251661312" behindDoc="0" locked="0" layoutInCell="1" allowOverlap="1">
            <wp:simplePos x="0" y="0"/>
            <wp:positionH relativeFrom="column">
              <wp:posOffset>109855</wp:posOffset>
            </wp:positionH>
            <wp:positionV relativeFrom="paragraph">
              <wp:posOffset>278130</wp:posOffset>
            </wp:positionV>
            <wp:extent cx="4562475" cy="1695450"/>
            <wp:effectExtent l="5715" t="5715" r="22860" b="1333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5"/>
          <w:rFonts w:ascii="黑体" w:hAnsi="黑体" w:eastAsia="黑体"/>
          <w:b w:val="0"/>
          <w:color w:val="auto"/>
          <w:highlight w:val="none"/>
        </w:rPr>
      </w:pPr>
      <w:bookmarkStart w:id="30" w:name="_Toc15377208"/>
      <w:bookmarkStart w:id="31"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0"/>
      <w:bookmarkEnd w:id="31"/>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年财政拨款收、支总计1411.05万元。与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13327.53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90.43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债务付息支出减少。</w:t>
      </w:r>
    </w:p>
    <w:p>
      <w:pPr>
        <w:spacing w:line="600" w:lineRule="exact"/>
        <w:rPr>
          <w:rFonts w:ascii="仿宋" w:hAnsi="仿宋" w:eastAsia="仿宋"/>
          <w:color w:val="auto"/>
          <w:sz w:val="32"/>
          <w:szCs w:val="32"/>
          <w:highlight w:val="none"/>
        </w:rPr>
      </w:pPr>
      <w:r>
        <w:rPr>
          <w:rFonts w:hint="eastAsia" w:ascii="仿宋" w:hAnsi="仿宋" w:eastAsia="仿宋"/>
          <w:color w:val="FF0000"/>
          <w:sz w:val="32"/>
          <w:szCs w:val="32"/>
        </w:rPr>
        <w:drawing>
          <wp:anchor distT="0" distB="0" distL="0" distR="0" simplePos="0" relativeHeight="251662336" behindDoc="0" locked="0" layoutInCell="1" allowOverlap="1">
            <wp:simplePos x="0" y="0"/>
            <wp:positionH relativeFrom="column">
              <wp:posOffset>262890</wp:posOffset>
            </wp:positionH>
            <wp:positionV relativeFrom="paragraph">
              <wp:posOffset>217805</wp:posOffset>
            </wp:positionV>
            <wp:extent cx="4676775" cy="3505200"/>
            <wp:effectExtent l="4445" t="4445" r="5080" b="1460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5"/>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年一般公共预算财政拨款支出1231.05万元，占本年支出合计的</w:t>
      </w:r>
      <w:r>
        <w:rPr>
          <w:rFonts w:hint="eastAsia" w:ascii="仿宋" w:hAnsi="仿宋" w:eastAsia="仿宋"/>
          <w:color w:val="auto"/>
          <w:sz w:val="32"/>
          <w:szCs w:val="32"/>
          <w:highlight w:val="none"/>
          <w:lang w:val="en-US" w:eastAsia="zh-CN"/>
        </w:rPr>
        <w:t>87.24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减少6108.30 万元，下降83.23%。主要变动原因是</w:t>
      </w:r>
      <w:r>
        <w:rPr>
          <w:rFonts w:hint="eastAsia" w:ascii="仿宋" w:hAnsi="仿宋" w:eastAsia="仿宋"/>
          <w:color w:val="auto"/>
          <w:sz w:val="32"/>
          <w:szCs w:val="32"/>
          <w:highlight w:val="none"/>
          <w:lang w:val="en-US" w:eastAsia="zh-CN"/>
        </w:rPr>
        <w:t>债务付息支出减少。</w:t>
      </w:r>
    </w:p>
    <w:p>
      <w:pPr>
        <w:spacing w:line="600" w:lineRule="exact"/>
        <w:ind w:firstLine="640" w:firstLineChars="200"/>
        <w:rPr>
          <w:rFonts w:ascii="仿宋" w:hAnsi="仿宋" w:eastAsia="仿宋"/>
          <w:color w:val="auto"/>
          <w:sz w:val="32"/>
          <w:szCs w:val="32"/>
          <w:highlight w:val="none"/>
        </w:rPr>
      </w:pPr>
      <w:r>
        <w:rPr>
          <w:rFonts w:ascii="仿宋" w:hAnsi="仿宋" w:eastAsia="仿宋"/>
          <w:color w:val="FF0000"/>
          <w:sz w:val="32"/>
          <w:szCs w:val="32"/>
        </w:rPr>
        <w:drawing>
          <wp:anchor distT="0" distB="0" distL="0" distR="0" simplePos="0" relativeHeight="251663360" behindDoc="0" locked="0" layoutInCell="1" allowOverlap="1">
            <wp:simplePos x="0" y="0"/>
            <wp:positionH relativeFrom="column">
              <wp:posOffset>241300</wp:posOffset>
            </wp:positionH>
            <wp:positionV relativeFrom="paragraph">
              <wp:posOffset>147320</wp:posOffset>
            </wp:positionV>
            <wp:extent cx="4743450" cy="2464435"/>
            <wp:effectExtent l="4445" t="4445" r="14605" b="762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年一般公共预算财政拨款支出1231.05万元，主要用于以下方面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支出1,020.3万元，占</w:t>
      </w:r>
      <w:r>
        <w:rPr>
          <w:rFonts w:hint="eastAsia" w:ascii="仿宋" w:hAnsi="仿宋" w:eastAsia="仿宋"/>
          <w:color w:val="auto"/>
          <w:sz w:val="32"/>
          <w:szCs w:val="32"/>
          <w:highlight w:val="none"/>
          <w:lang w:val="en-US" w:eastAsia="zh-CN"/>
        </w:rPr>
        <w:t>82.88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rPr>
        <w:t>192万元，占</w:t>
      </w:r>
      <w:r>
        <w:rPr>
          <w:rFonts w:hint="eastAsia" w:ascii="仿宋" w:hAnsi="仿宋" w:eastAsia="仿宋"/>
          <w:color w:val="auto"/>
          <w:sz w:val="32"/>
          <w:szCs w:val="32"/>
          <w:highlight w:val="none"/>
          <w:lang w:val="en-US" w:eastAsia="zh-CN"/>
        </w:rPr>
        <w:t>15.6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住房保障</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支出5.32万元，占</w:t>
      </w:r>
      <w:r>
        <w:rPr>
          <w:rFonts w:hint="eastAsia" w:ascii="仿宋" w:hAnsi="仿宋" w:eastAsia="仿宋"/>
          <w:color w:val="auto"/>
          <w:sz w:val="32"/>
          <w:szCs w:val="32"/>
          <w:highlight w:val="none"/>
          <w:lang w:val="en-US" w:eastAsia="zh-CN"/>
        </w:rPr>
        <w:t>0.43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支出8.38万元，占</w:t>
      </w:r>
      <w:r>
        <w:rPr>
          <w:rFonts w:hint="eastAsia" w:ascii="仿宋" w:hAnsi="仿宋" w:eastAsia="仿宋"/>
          <w:color w:val="auto"/>
          <w:sz w:val="32"/>
          <w:szCs w:val="32"/>
          <w:highlight w:val="none"/>
          <w:lang w:val="en-US" w:eastAsia="zh-CN"/>
        </w:rPr>
        <w:t>0.68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lang w:val="en-US" w:eastAsia="zh-CN"/>
        </w:rPr>
        <w:t>支出</w:t>
      </w:r>
      <w:r>
        <w:rPr>
          <w:rFonts w:hint="eastAsia" w:ascii="仿宋" w:hAnsi="仿宋" w:eastAsia="仿宋"/>
          <w:color w:val="auto"/>
          <w:sz w:val="32"/>
          <w:szCs w:val="32"/>
          <w:highlight w:val="none"/>
        </w:rPr>
        <w:t>3.55万元，占</w:t>
      </w:r>
      <w:r>
        <w:rPr>
          <w:rFonts w:hint="eastAsia" w:ascii="仿宋" w:hAnsi="仿宋" w:eastAsia="仿宋"/>
          <w:color w:val="auto"/>
          <w:sz w:val="32"/>
          <w:szCs w:val="32"/>
          <w:highlight w:val="none"/>
          <w:lang w:val="en-US" w:eastAsia="zh-CN"/>
        </w:rPr>
        <w:t>0.29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农林水</w:t>
      </w:r>
      <w:r>
        <w:rPr>
          <w:rFonts w:hint="eastAsia" w:ascii="仿宋" w:hAnsi="仿宋" w:eastAsia="仿宋"/>
          <w:b/>
          <w:color w:val="auto"/>
          <w:sz w:val="32"/>
          <w:szCs w:val="32"/>
          <w:highlight w:val="none"/>
        </w:rPr>
        <w:t>（类）支出</w:t>
      </w:r>
      <w:r>
        <w:rPr>
          <w:rFonts w:hint="eastAsia" w:ascii="仿宋" w:hAnsi="仿宋" w:eastAsia="仿宋"/>
          <w:color w:val="auto"/>
          <w:sz w:val="32"/>
          <w:szCs w:val="32"/>
          <w:highlight w:val="none"/>
        </w:rPr>
        <w:t>1.5万元，占</w:t>
      </w:r>
      <w:r>
        <w:rPr>
          <w:rFonts w:hint="eastAsia" w:ascii="仿宋" w:hAnsi="仿宋" w:eastAsia="仿宋"/>
          <w:color w:val="auto"/>
          <w:sz w:val="32"/>
          <w:szCs w:val="32"/>
          <w:highlight w:val="none"/>
          <w:lang w:val="en-US" w:eastAsia="zh-CN"/>
        </w:rPr>
        <w:t>0.12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r>
        <w:rPr>
          <w:rFonts w:ascii="仿宋" w:hAnsi="仿宋" w:eastAsia="仿宋"/>
          <w:color w:val="FF0000"/>
          <w:sz w:val="32"/>
          <w:szCs w:val="32"/>
        </w:rPr>
        <w:drawing>
          <wp:anchor distT="0" distB="0" distL="0" distR="0" simplePos="0" relativeHeight="251664384" behindDoc="0" locked="0" layoutInCell="1" allowOverlap="1">
            <wp:simplePos x="0" y="0"/>
            <wp:positionH relativeFrom="column">
              <wp:posOffset>252095</wp:posOffset>
            </wp:positionH>
            <wp:positionV relativeFrom="paragraph">
              <wp:posOffset>179070</wp:posOffset>
            </wp:positionV>
            <wp:extent cx="4905375" cy="2724150"/>
            <wp:effectExtent l="4445" t="4445" r="5080"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hint="eastAsia"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pStyle w:val="2"/>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left="638" w:leftChars="304" w:firstLine="0" w:firstLineChars="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7444"/>
      <w:bookmarkStart w:id="38" w:name="_Toc15378460"/>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般公共预算支出决算数为1411.05</w:t>
      </w:r>
      <w:r>
        <w:rPr>
          <w:rFonts w:hint="eastAsia" w:ascii="仿宋" w:hAnsi="仿宋" w:eastAsia="仿宋"/>
          <w:b/>
          <w:color w:val="auto"/>
          <w:sz w:val="32"/>
          <w:szCs w:val="32"/>
          <w:highlight w:val="none"/>
          <w:lang w:val="en-US" w:eastAsia="zh-CN"/>
        </w:rPr>
        <w:t>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7"/>
      <w:bookmarkEnd w:id="38"/>
      <w:bookmarkEnd w:id="39"/>
    </w:p>
    <w:p>
      <w:pPr>
        <w:numPr>
          <w:ilvl w:val="0"/>
          <w:numId w:val="0"/>
        </w:num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一般公共服务（类）政府办公厅（室）及相关机构事务（款）一般行政管理事务（项）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支出决算为827.03万元，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一般公共服务（类）政府办公厅（室）及相关机构事务（款）事业运行（项）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支出决算为67.2万元，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Style w:val="14"/>
          <w:rFonts w:hint="default" w:ascii="仿宋" w:hAnsi="仿宋" w:eastAsia="仿宋"/>
          <w:bCs/>
          <w:color w:val="auto"/>
          <w:sz w:val="32"/>
          <w:szCs w:val="32"/>
          <w:highlight w:val="none"/>
          <w:lang w:val="en-US" w:eastAsia="zh-CN"/>
        </w:rPr>
      </w:pPr>
      <w:r>
        <w:rPr>
          <w:rStyle w:val="14"/>
          <w:rFonts w:hint="eastAsia" w:ascii="仿宋" w:hAnsi="仿宋" w:eastAsia="仿宋"/>
          <w:bCs/>
          <w:color w:val="auto"/>
          <w:sz w:val="32"/>
          <w:szCs w:val="32"/>
          <w:highlight w:val="none"/>
          <w:lang w:val="en-US" w:eastAsia="zh-CN"/>
        </w:rPr>
        <w:t>3.</w:t>
      </w:r>
      <w:r>
        <w:rPr>
          <w:rStyle w:val="14"/>
          <w:rFonts w:hint="eastAsia" w:ascii="仿宋" w:hAnsi="仿宋" w:eastAsia="仿宋"/>
          <w:bCs/>
          <w:color w:val="auto"/>
          <w:sz w:val="32"/>
          <w:szCs w:val="32"/>
          <w:highlight w:val="none"/>
        </w:rPr>
        <w:t>一般公共服务（类）其他一般公共服务支出（款）其他一般公共服务支出（项）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支出决算为126.07万元，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numPr>
          <w:ilvl w:val="0"/>
          <w:numId w:val="0"/>
        </w:num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auto"/>
          <w:sz w:val="32"/>
          <w:szCs w:val="32"/>
          <w:highlight w:val="none"/>
          <w:lang w:val="en-US" w:eastAsia="zh-CN"/>
        </w:rPr>
        <w:t>4.</w:t>
      </w:r>
      <w:r>
        <w:rPr>
          <w:rStyle w:val="14"/>
          <w:rFonts w:hint="eastAsia" w:ascii="仿宋" w:hAnsi="仿宋" w:eastAsia="仿宋"/>
          <w:bCs/>
          <w:color w:val="auto"/>
          <w:sz w:val="32"/>
          <w:szCs w:val="32"/>
          <w:highlight w:val="none"/>
        </w:rPr>
        <w:t>教育（类）普通教育（款）学前教育（项）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支出决算为192万元，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社会保障和就业（类）行政事业单位养老支出（款）  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支出决算为7.1万元，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ascii="仿宋" w:hAnsi="仿宋" w:eastAsia="仿宋"/>
          <w:bCs/>
          <w:color w:val="auto"/>
          <w:sz w:val="32"/>
          <w:szCs w:val="32"/>
          <w:highlight w:val="none"/>
        </w:rPr>
        <w:t>6.</w:t>
      </w:r>
      <w:r>
        <w:rPr>
          <w:rStyle w:val="14"/>
          <w:rFonts w:hint="eastAsia" w:ascii="仿宋" w:hAnsi="仿宋" w:eastAsia="仿宋"/>
          <w:bCs/>
          <w:color w:val="auto"/>
          <w:sz w:val="32"/>
          <w:szCs w:val="32"/>
          <w:highlight w:val="none"/>
        </w:rPr>
        <w:t>社会保障和就业（类）企业改革补助（款）其他企业改革发展补助（项）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支出决算为1.28万元，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（类）行政事业单位医疗（款）事业单位医疗（项）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支出决算为3.55万元，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ascii="仿宋" w:hAnsi="仿宋" w:eastAsia="仿宋"/>
          <w:bCs/>
          <w:color w:val="auto"/>
          <w:sz w:val="32"/>
          <w:szCs w:val="32"/>
          <w:highlight w:val="none"/>
        </w:rPr>
      </w:pPr>
      <w:r>
        <w:rPr>
          <w:rStyle w:val="14"/>
          <w:rFonts w:hint="eastAsia" w:ascii="仿宋" w:hAnsi="仿宋" w:eastAsia="仿宋" w:cs="Times New Roman"/>
          <w:bCs/>
          <w:color w:val="auto"/>
          <w:kern w:val="2"/>
          <w:sz w:val="32"/>
          <w:szCs w:val="32"/>
          <w:highlight w:val="none"/>
          <w:lang w:val="en-US" w:eastAsia="zh-CN" w:bidi="ar-SA"/>
        </w:rPr>
        <w:t>8.</w:t>
      </w:r>
      <w:r>
        <w:rPr>
          <w:rFonts w:hint="eastAsia" w:ascii="仿宋" w:hAnsi="仿宋" w:eastAsia="仿宋"/>
          <w:b/>
          <w:bCs/>
          <w:color w:val="auto"/>
          <w:sz w:val="32"/>
          <w:szCs w:val="32"/>
          <w:highlight w:val="none"/>
        </w:rPr>
        <w:t>农林水支出</w:t>
      </w:r>
      <w:r>
        <w:rPr>
          <w:rStyle w:val="14"/>
          <w:rFonts w:hint="eastAsia" w:ascii="仿宋" w:hAnsi="仿宋" w:eastAsia="仿宋"/>
          <w:bCs/>
          <w:color w:val="auto"/>
          <w:sz w:val="32"/>
          <w:szCs w:val="32"/>
          <w:highlight w:val="none"/>
        </w:rPr>
        <w:t>（类）扶贫（款）其他扶贫支出（项）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支出决算为1.5万元，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highlight w:val="none"/>
          <w:lang w:val="en-US" w:eastAsia="zh-CN"/>
        </w:rPr>
        <w:t>9.</w:t>
      </w:r>
      <w:r>
        <w:rPr>
          <w:rFonts w:hint="eastAsia" w:ascii="仿宋" w:hAnsi="仿宋" w:eastAsia="仿宋"/>
          <w:b/>
          <w:bCs/>
          <w:color w:val="auto"/>
          <w:sz w:val="32"/>
          <w:szCs w:val="32"/>
          <w:highlight w:val="none"/>
        </w:rPr>
        <w:t>住房保障支出</w:t>
      </w:r>
      <w:r>
        <w:rPr>
          <w:rStyle w:val="14"/>
          <w:rFonts w:hint="eastAsia" w:ascii="仿宋" w:hAnsi="仿宋" w:eastAsia="仿宋"/>
          <w:bCs/>
          <w:color w:val="auto"/>
          <w:sz w:val="32"/>
          <w:szCs w:val="32"/>
          <w:highlight w:val="none"/>
        </w:rPr>
        <w:t>（类）住房改革支出（款）住房公积金（项）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支出决算为5.32万元，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color w:val="auto"/>
          <w:highlight w:val="none"/>
        </w:rPr>
      </w:pPr>
      <w:bookmarkStart w:id="40" w:name="_Toc15396608"/>
      <w:bookmarkStart w:id="4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0"/>
      <w:bookmarkEnd w:id="41"/>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年一般公共预算财政拨款基本支出83.17万元，其中：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75.93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7.24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年“三公”经费财政拨款支出决算为0.33万元，完成预算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年“三公”经费财政拨款支出决算中，因公出国（境）经费支出0万元，年初未安排预算；公务用车购置及运行维护费支出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r>
        <w:rPr>
          <w:rFonts w:ascii="仿宋" w:hAnsi="仿宋" w:eastAsia="仿宋"/>
          <w:sz w:val="32"/>
          <w:szCs w:val="32"/>
        </w:rPr>
        <w:drawing>
          <wp:anchor distT="0" distB="0" distL="0" distR="0" simplePos="0" relativeHeight="251665408" behindDoc="0" locked="0" layoutInCell="1" allowOverlap="1">
            <wp:simplePos x="0" y="0"/>
            <wp:positionH relativeFrom="column">
              <wp:posOffset>414020</wp:posOffset>
            </wp:positionH>
            <wp:positionV relativeFrom="paragraph">
              <wp:posOffset>204470</wp:posOffset>
            </wp:positionV>
            <wp:extent cx="4438650" cy="1628775"/>
            <wp:effectExtent l="4445" t="4445" r="14605" b="50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hint="default" w:ascii="仿宋_GB2312" w:eastAsia="仿宋_GB2312"/>
          <w:b/>
          <w:color w:val="auto"/>
          <w:sz w:val="32"/>
          <w:szCs w:val="32"/>
          <w:highlight w:val="none"/>
          <w:lang w:val="en-US" w:eastAsia="zh-CN"/>
        </w:rPr>
      </w:pPr>
      <w:r>
        <w:rPr>
          <w:rFonts w:hint="eastAsia" w:ascii="仿宋_GB2312" w:eastAsia="仿宋_GB2312"/>
          <w:b/>
          <w:color w:val="auto"/>
          <w:sz w:val="32"/>
          <w:szCs w:val="32"/>
          <w:highlight w:val="none"/>
          <w:lang w:val="en-US" w:eastAsia="zh-CN"/>
        </w:rPr>
        <w:t>1.因公出国（境）经费支出0万元，年初未安排预算。</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w:t>
      </w:r>
      <w:r>
        <w:rPr>
          <w:rFonts w:hint="eastAsia" w:ascii="仿宋_GB2312" w:eastAsia="仿宋_GB2312"/>
          <w:b/>
          <w:color w:val="auto"/>
          <w:sz w:val="32"/>
          <w:szCs w:val="32"/>
          <w:highlight w:val="none"/>
          <w:lang w:val="en-US" w:eastAsia="zh-CN"/>
        </w:rPr>
        <w:t>出0万元,年初未安排预算。</w:t>
      </w:r>
    </w:p>
    <w:p>
      <w:pPr>
        <w:spacing w:line="60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0.33</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0.01</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2.94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厉行节约</w:t>
      </w:r>
      <w:r>
        <w:rPr>
          <w:rFonts w:hint="eastAsia" w:ascii="仿宋_GB2312" w:eastAsia="仿宋_GB2312"/>
          <w:color w:val="auto"/>
          <w:sz w:val="32"/>
          <w:szCs w:val="32"/>
          <w:highlight w:val="none"/>
        </w:rPr>
        <w:t>。其中：</w:t>
      </w:r>
    </w:p>
    <w:p>
      <w:pPr>
        <w:spacing w:line="600" w:lineRule="exact"/>
        <w:ind w:firstLine="640"/>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0.33</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批次，3</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人次（不包括陪同人员），共计支出0.3</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万元。</w:t>
      </w:r>
    </w:p>
    <w:p>
      <w:pPr>
        <w:spacing w:line="600" w:lineRule="exact"/>
        <w:ind w:firstLine="640"/>
        <w:outlineLvl w:val="1"/>
        <w:rPr>
          <w:rStyle w:val="25"/>
          <w:rFonts w:ascii="黑体" w:hAnsi="黑体" w:eastAsia="黑体"/>
          <w:color w:val="auto"/>
          <w:highlight w:val="none"/>
        </w:rPr>
      </w:pPr>
      <w:bookmarkStart w:id="46" w:name="_Toc15377218"/>
      <w:bookmarkStart w:id="47" w:name="_Toc15396610"/>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48" w:name="_Toc15377219"/>
      <w:bookmarkStart w:id="49" w:name="_Toc15396611"/>
      <w:r>
        <w:rPr>
          <w:rStyle w:val="25"/>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180</w:t>
      </w:r>
      <w:r>
        <w:rPr>
          <w:rFonts w:hint="eastAsia" w:ascii="仿宋_GB2312" w:eastAsia="仿宋_GB2312"/>
          <w:color w:val="auto"/>
          <w:sz w:val="32"/>
          <w:szCs w:val="32"/>
          <w:highlight w:val="none"/>
        </w:rPr>
        <w:t>万元。</w:t>
      </w:r>
      <w:bookmarkStart w:id="50" w:name="_Toc15396612"/>
      <w:bookmarkStart w:id="51" w:name="_Toc15377221"/>
    </w:p>
    <w:p>
      <w:pPr>
        <w:numPr>
          <w:ilvl w:val="0"/>
          <w:numId w:val="2"/>
        </w:numPr>
        <w:spacing w:line="600" w:lineRule="exact"/>
        <w:ind w:firstLine="640"/>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color w:val="auto"/>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预算编制阶段，对</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41</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年部门整体开展绩效自评，《2021年广元市朝天区国有资产事务中心部门整体绩效评价报告》见附件（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numPr>
          <w:ilvl w:val="0"/>
          <w:numId w:val="2"/>
        </w:numPr>
        <w:spacing w:line="600" w:lineRule="exact"/>
        <w:ind w:firstLine="640"/>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rPr>
        <w:t>其他重要事项的情况说明</w:t>
      </w:r>
      <w:bookmarkEnd w:id="50"/>
      <w:bookmarkEnd w:id="51"/>
    </w:p>
    <w:p>
      <w:pPr>
        <w:spacing w:line="600" w:lineRule="exact"/>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hint="eastAsia" w:ascii="仿宋" w:hAnsi="仿宋" w:eastAsia="仿宋" w:cs="仿宋"/>
          <w:b/>
          <w:bCs w:val="0"/>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区国有资产事务中心</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年增加减少</w:t>
      </w:r>
      <w:r>
        <w:rPr>
          <w:rFonts w:hint="eastAsia" w:ascii="仿宋_GB2312" w:eastAsia="仿宋_GB2312"/>
          <w:color w:val="auto"/>
          <w:sz w:val="32"/>
          <w:szCs w:val="32"/>
          <w:highlight w:val="none"/>
          <w:lang w:val="en-US" w:eastAsia="zh-CN"/>
        </w:rPr>
        <w:t>3.29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31.97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人员减少。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区国有资产事务中心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区国有资产事务中心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5"/>
      <w:bookmarkEnd w:id="56"/>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1.财政拨款收入：指单位从同级财政部门取得的财政预算资金。</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2.事业收入：指事业单位开展专业业务活动及辅助活动取得的收入。</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3.经营收入：指事业单位在专业业务活动及其辅助活动之外开展非独立核算经营活动取得的收入。</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 xml:space="preserve">4.其他收入：指单位取得的除上述收入以外的各项收入。 </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 xml:space="preserve">6.年初结转和结余：指以前年度尚未完成、结转到本年按有关规定继续使用的资金。 </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7.结余分配：指事业单位按照事业单位会计制度的规定从非财政补助结余中分配的事业基金和职工福利基金等。</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8、年末结转和结余：指单位按有关规定结转到下年或以后年度继续使用的资金。</w:t>
      </w:r>
    </w:p>
    <w:p>
      <w:pPr>
        <w:spacing w:line="600" w:lineRule="exact"/>
        <w:ind w:firstLine="640"/>
        <w:rPr>
          <w:rFonts w:hint="eastAsia" w:ascii="仿宋_GB2312" w:hAnsi="仿宋" w:eastAsia="仿宋_GB2312" w:cs="仿宋"/>
          <w:color w:val="auto"/>
          <w:kern w:val="0"/>
          <w:sz w:val="32"/>
          <w:szCs w:val="32"/>
          <w:lang w:val="en-US" w:eastAsia="zh-CN"/>
        </w:rPr>
      </w:pPr>
      <w:r>
        <w:rPr>
          <w:rFonts w:ascii="仿宋_GB2312" w:hAnsi="仿宋" w:eastAsia="仿宋_GB2312" w:cs="仿宋"/>
          <w:color w:val="auto"/>
          <w:kern w:val="0"/>
          <w:sz w:val="32"/>
          <w:szCs w:val="32"/>
        </w:rPr>
        <w:t>9、</w:t>
      </w:r>
      <w:r>
        <w:rPr>
          <w:rFonts w:hint="eastAsia" w:ascii="仿宋_GB2312" w:hAnsi="仿宋" w:eastAsia="仿宋_GB2312" w:cs="仿宋"/>
          <w:color w:val="auto"/>
          <w:kern w:val="0"/>
          <w:sz w:val="32"/>
          <w:szCs w:val="32"/>
          <w:lang w:val="en-US" w:eastAsia="zh-CN"/>
        </w:rPr>
        <w:t>一般公共服务支出</w:t>
      </w:r>
      <w:r>
        <w:rPr>
          <w:rFonts w:ascii="仿宋_GB2312" w:hAnsi="仿宋" w:eastAsia="仿宋_GB2312" w:cs="仿宋"/>
          <w:color w:val="auto"/>
          <w:kern w:val="0"/>
          <w:sz w:val="32"/>
          <w:szCs w:val="32"/>
        </w:rPr>
        <w:t>（类）</w:t>
      </w:r>
      <w:r>
        <w:rPr>
          <w:rFonts w:hint="eastAsia" w:ascii="仿宋_GB2312" w:hAnsi="仿宋" w:eastAsia="仿宋_GB2312" w:cs="仿宋"/>
          <w:color w:val="auto"/>
          <w:kern w:val="0"/>
          <w:sz w:val="32"/>
          <w:szCs w:val="32"/>
          <w:lang w:val="en-US" w:eastAsia="zh-CN"/>
        </w:rPr>
        <w:t>政府办公厅（室）及相关机构事务</w:t>
      </w:r>
      <w:r>
        <w:rPr>
          <w:rFonts w:ascii="仿宋_GB2312" w:hAnsi="仿宋" w:eastAsia="仿宋_GB2312" w:cs="仿宋"/>
          <w:color w:val="auto"/>
          <w:kern w:val="0"/>
          <w:sz w:val="32"/>
          <w:szCs w:val="32"/>
        </w:rPr>
        <w:t>（款）</w:t>
      </w:r>
      <w:r>
        <w:rPr>
          <w:rFonts w:hint="eastAsia" w:ascii="仿宋_GB2312" w:hAnsi="仿宋" w:eastAsia="仿宋_GB2312" w:cs="仿宋"/>
          <w:color w:val="auto"/>
          <w:kern w:val="0"/>
          <w:sz w:val="32"/>
          <w:szCs w:val="32"/>
          <w:lang w:val="en-US" w:eastAsia="zh-CN"/>
        </w:rPr>
        <w:t>一般行政管理事务</w:t>
      </w:r>
      <w:r>
        <w:rPr>
          <w:rFonts w:ascii="仿宋_GB2312" w:hAnsi="仿宋" w:eastAsia="仿宋_GB2312" w:cs="仿宋"/>
          <w:color w:val="auto"/>
          <w:kern w:val="0"/>
          <w:sz w:val="32"/>
          <w:szCs w:val="32"/>
        </w:rPr>
        <w:t>（项）指:</w:t>
      </w:r>
      <w:r>
        <w:rPr>
          <w:rFonts w:hint="eastAsia" w:ascii="仿宋_GB2312" w:hAnsi="仿宋" w:eastAsia="仿宋_GB2312" w:cs="仿宋"/>
          <w:color w:val="auto"/>
          <w:kern w:val="0"/>
          <w:sz w:val="32"/>
          <w:szCs w:val="32"/>
          <w:lang w:val="en-US" w:eastAsia="zh-CN"/>
        </w:rPr>
        <w:t>反映行政单位（包括实行公务员管理的事业单位）未单独设置项级科目的其他项目支出。</w:t>
      </w:r>
    </w:p>
    <w:p>
      <w:pPr>
        <w:spacing w:line="600" w:lineRule="exact"/>
        <w:ind w:firstLine="640"/>
        <w:rPr>
          <w:rFonts w:hint="eastAsia" w:ascii="仿宋_GB2312" w:hAnsi="仿宋" w:eastAsia="仿宋_GB2312" w:cs="仿宋"/>
          <w:color w:val="auto"/>
          <w:kern w:val="0"/>
          <w:sz w:val="32"/>
          <w:szCs w:val="32"/>
          <w:lang w:eastAsia="zh-CN"/>
        </w:rPr>
      </w:pPr>
      <w:r>
        <w:rPr>
          <w:rFonts w:hint="eastAsia" w:hAnsi="仿宋" w:cs="仿宋"/>
          <w:color w:val="auto"/>
          <w:kern w:val="0"/>
          <w:sz w:val="32"/>
          <w:szCs w:val="32"/>
          <w:lang w:val="en-US" w:eastAsia="zh-CN"/>
        </w:rPr>
        <w:t>10.</w:t>
      </w:r>
      <w:r>
        <w:rPr>
          <w:rFonts w:hint="eastAsia" w:ascii="仿宋_GB2312" w:hAnsi="仿宋" w:eastAsia="仿宋_GB2312" w:cs="仿宋"/>
          <w:color w:val="auto"/>
          <w:kern w:val="0"/>
          <w:sz w:val="32"/>
          <w:szCs w:val="32"/>
          <w:lang w:val="en-US" w:eastAsia="zh-CN"/>
        </w:rPr>
        <w:t>一般公共服务支出</w:t>
      </w:r>
      <w:r>
        <w:rPr>
          <w:rFonts w:ascii="仿宋_GB2312" w:hAnsi="仿宋" w:eastAsia="仿宋_GB2312" w:cs="仿宋"/>
          <w:color w:val="auto"/>
          <w:kern w:val="0"/>
          <w:sz w:val="32"/>
          <w:szCs w:val="32"/>
        </w:rPr>
        <w:t>（类）</w:t>
      </w:r>
      <w:r>
        <w:rPr>
          <w:rFonts w:hint="eastAsia" w:ascii="仿宋_GB2312" w:hAnsi="仿宋" w:eastAsia="仿宋_GB2312" w:cs="仿宋"/>
          <w:color w:val="auto"/>
          <w:kern w:val="0"/>
          <w:sz w:val="32"/>
          <w:szCs w:val="32"/>
          <w:lang w:val="en-US" w:eastAsia="zh-CN"/>
        </w:rPr>
        <w:t>政府办公厅（室）及相关机构事务</w:t>
      </w:r>
      <w:r>
        <w:rPr>
          <w:rFonts w:ascii="仿宋_GB2312" w:hAnsi="仿宋" w:eastAsia="仿宋_GB2312" w:cs="仿宋"/>
          <w:color w:val="auto"/>
          <w:kern w:val="0"/>
          <w:sz w:val="32"/>
          <w:szCs w:val="32"/>
        </w:rPr>
        <w:t>（款）</w:t>
      </w:r>
      <w:r>
        <w:rPr>
          <w:rFonts w:hint="eastAsia" w:ascii="仿宋_GB2312" w:hAnsi="仿宋" w:eastAsia="仿宋_GB2312" w:cs="仿宋"/>
          <w:color w:val="auto"/>
          <w:kern w:val="0"/>
          <w:sz w:val="32"/>
          <w:szCs w:val="32"/>
          <w:lang w:val="en-US" w:eastAsia="zh-CN"/>
        </w:rPr>
        <w:t>事业运行</w:t>
      </w:r>
      <w:r>
        <w:rPr>
          <w:rFonts w:ascii="仿宋_GB2312" w:hAnsi="仿宋" w:eastAsia="仿宋_GB2312" w:cs="仿宋"/>
          <w:color w:val="auto"/>
          <w:kern w:val="0"/>
          <w:sz w:val="32"/>
          <w:szCs w:val="32"/>
        </w:rPr>
        <w:t>（项）指:反映事业单位的基本支出</w:t>
      </w:r>
      <w:r>
        <w:rPr>
          <w:rFonts w:hint="eastAsia" w:ascii="仿宋_GB2312" w:hAnsi="仿宋" w:eastAsia="仿宋_GB2312" w:cs="仿宋"/>
          <w:color w:val="auto"/>
          <w:kern w:val="0"/>
          <w:sz w:val="32"/>
          <w:szCs w:val="32"/>
          <w:lang w:eastAsia="zh-CN"/>
        </w:rPr>
        <w:t>，</w:t>
      </w:r>
      <w:r>
        <w:rPr>
          <w:rFonts w:ascii="仿宋_GB2312" w:hAnsi="仿宋" w:eastAsia="仿宋_GB2312" w:cs="仿宋"/>
          <w:color w:val="auto"/>
          <w:kern w:val="0"/>
          <w:sz w:val="32"/>
          <w:szCs w:val="32"/>
        </w:rPr>
        <w:t>不包括行政单位</w:t>
      </w:r>
      <w:r>
        <w:rPr>
          <w:rFonts w:hint="eastAsia" w:ascii="仿宋_GB2312" w:hAnsi="仿宋" w:eastAsia="仿宋_GB2312" w:cs="仿宋"/>
          <w:color w:val="auto"/>
          <w:kern w:val="0"/>
          <w:sz w:val="32"/>
          <w:szCs w:val="32"/>
          <w:lang w:eastAsia="zh-CN"/>
        </w:rPr>
        <w:t>（</w:t>
      </w:r>
      <w:r>
        <w:rPr>
          <w:rFonts w:ascii="仿宋_GB2312" w:hAnsi="仿宋" w:eastAsia="仿宋_GB2312" w:cs="仿宋"/>
          <w:color w:val="auto"/>
          <w:kern w:val="0"/>
          <w:sz w:val="32"/>
          <w:szCs w:val="32"/>
        </w:rPr>
        <w:t>包括实行公务员管理的事业单位</w:t>
      </w:r>
      <w:r>
        <w:rPr>
          <w:rFonts w:hint="eastAsia" w:ascii="仿宋_GB2312" w:hAnsi="仿宋" w:eastAsia="仿宋_GB2312" w:cs="仿宋"/>
          <w:color w:val="auto"/>
          <w:kern w:val="0"/>
          <w:sz w:val="32"/>
          <w:szCs w:val="32"/>
          <w:lang w:eastAsia="zh-CN"/>
        </w:rPr>
        <w:t>）</w:t>
      </w:r>
      <w:r>
        <w:rPr>
          <w:rFonts w:ascii="仿宋_GB2312" w:hAnsi="仿宋" w:eastAsia="仿宋_GB2312" w:cs="仿宋"/>
          <w:color w:val="auto"/>
          <w:kern w:val="0"/>
          <w:sz w:val="32"/>
          <w:szCs w:val="32"/>
        </w:rPr>
        <w:t>后勤服务中心</w:t>
      </w:r>
      <w:r>
        <w:rPr>
          <w:rFonts w:hint="eastAsia" w:ascii="仿宋_GB2312" w:hAnsi="仿宋" w:eastAsia="仿宋_GB2312" w:cs="仿宋"/>
          <w:color w:val="auto"/>
          <w:kern w:val="0"/>
          <w:sz w:val="32"/>
          <w:szCs w:val="32"/>
          <w:lang w:eastAsia="zh-CN"/>
        </w:rPr>
        <w:t>、</w:t>
      </w:r>
      <w:r>
        <w:rPr>
          <w:rFonts w:ascii="仿宋_GB2312" w:hAnsi="仿宋" w:eastAsia="仿宋_GB2312" w:cs="仿宋"/>
          <w:color w:val="auto"/>
          <w:kern w:val="0"/>
          <w:sz w:val="32"/>
          <w:szCs w:val="32"/>
        </w:rPr>
        <w:t>医务室等附属事业单位</w:t>
      </w:r>
      <w:r>
        <w:rPr>
          <w:rFonts w:hint="eastAsia" w:ascii="仿宋_GB2312" w:hAnsi="仿宋" w:eastAsia="仿宋_GB2312" w:cs="仿宋"/>
          <w:color w:val="auto"/>
          <w:kern w:val="0"/>
          <w:sz w:val="32"/>
          <w:szCs w:val="32"/>
          <w:lang w:eastAsia="zh-CN"/>
        </w:rPr>
        <w:t>。</w:t>
      </w:r>
    </w:p>
    <w:p>
      <w:pPr>
        <w:pStyle w:val="2"/>
        <w:ind w:firstLine="640" w:firstLineChars="200"/>
        <w:rPr>
          <w:rFonts w:hint="eastAsia" w:hAnsi="仿宋" w:cs="仿宋"/>
          <w:color w:val="auto"/>
          <w:kern w:val="0"/>
          <w:sz w:val="32"/>
          <w:szCs w:val="32"/>
          <w:lang w:val="en-US" w:eastAsia="zh-CN"/>
        </w:rPr>
      </w:pPr>
      <w:r>
        <w:rPr>
          <w:rFonts w:hint="eastAsia" w:hAnsi="仿宋" w:cs="仿宋"/>
          <w:color w:val="auto"/>
          <w:kern w:val="0"/>
          <w:sz w:val="32"/>
          <w:szCs w:val="32"/>
          <w:lang w:val="en-US" w:eastAsia="zh-CN"/>
        </w:rPr>
        <w:t>11.</w:t>
      </w:r>
      <w:r>
        <w:rPr>
          <w:rFonts w:hint="eastAsia" w:ascii="仿宋_GB2312" w:hAnsi="仿宋" w:eastAsia="仿宋_GB2312" w:cs="仿宋"/>
          <w:color w:val="auto"/>
          <w:kern w:val="0"/>
          <w:sz w:val="32"/>
          <w:szCs w:val="32"/>
          <w:lang w:val="en-US" w:eastAsia="zh-CN"/>
        </w:rPr>
        <w:t>一般公共服务支出</w:t>
      </w:r>
      <w:r>
        <w:rPr>
          <w:rFonts w:ascii="仿宋_GB2312" w:hAnsi="仿宋" w:eastAsia="仿宋_GB2312" w:cs="仿宋"/>
          <w:color w:val="auto"/>
          <w:kern w:val="0"/>
          <w:sz w:val="32"/>
          <w:szCs w:val="32"/>
        </w:rPr>
        <w:t>（类）</w:t>
      </w:r>
      <w:r>
        <w:rPr>
          <w:rFonts w:hint="eastAsia" w:hAnsi="仿宋" w:cs="仿宋"/>
          <w:color w:val="auto"/>
          <w:kern w:val="0"/>
          <w:sz w:val="32"/>
          <w:szCs w:val="32"/>
          <w:lang w:val="en-US" w:eastAsia="zh-CN"/>
        </w:rPr>
        <w:t>其他一般公共服务支出</w:t>
      </w:r>
      <w:r>
        <w:rPr>
          <w:rFonts w:ascii="仿宋_GB2312" w:hAnsi="仿宋" w:eastAsia="仿宋_GB2312" w:cs="仿宋"/>
          <w:color w:val="auto"/>
          <w:kern w:val="0"/>
          <w:sz w:val="32"/>
          <w:szCs w:val="32"/>
        </w:rPr>
        <w:t>（款）</w:t>
      </w:r>
      <w:r>
        <w:rPr>
          <w:rFonts w:hint="eastAsia" w:hAnsi="仿宋" w:cs="仿宋"/>
          <w:color w:val="auto"/>
          <w:kern w:val="0"/>
          <w:sz w:val="32"/>
          <w:szCs w:val="32"/>
          <w:lang w:val="en-US" w:eastAsia="zh-CN"/>
        </w:rPr>
        <w:t>其他一般公共服务支出</w:t>
      </w:r>
      <w:r>
        <w:rPr>
          <w:rFonts w:ascii="仿宋_GB2312" w:hAnsi="仿宋" w:eastAsia="仿宋_GB2312" w:cs="仿宋"/>
          <w:color w:val="auto"/>
          <w:kern w:val="0"/>
          <w:sz w:val="32"/>
          <w:szCs w:val="32"/>
        </w:rPr>
        <w:t>（项）指:</w:t>
      </w:r>
      <w:r>
        <w:rPr>
          <w:rFonts w:hint="eastAsia" w:hAnsi="仿宋" w:cs="仿宋"/>
          <w:color w:val="auto"/>
          <w:kern w:val="0"/>
          <w:sz w:val="32"/>
          <w:szCs w:val="32"/>
          <w:lang w:val="en-US" w:eastAsia="zh-CN"/>
        </w:rPr>
        <w:t>反映除上述项目以外的其他一般公共服务支出。</w:t>
      </w:r>
    </w:p>
    <w:p>
      <w:pPr>
        <w:spacing w:line="600" w:lineRule="exact"/>
        <w:ind w:firstLine="64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12.</w:t>
      </w:r>
      <w:r>
        <w:rPr>
          <w:rFonts w:ascii="仿宋_GB2312" w:hAnsi="仿宋" w:eastAsia="仿宋_GB2312" w:cs="仿宋"/>
          <w:color w:val="auto"/>
          <w:kern w:val="0"/>
          <w:sz w:val="32"/>
          <w:szCs w:val="32"/>
        </w:rPr>
        <w:t>教育（类）普通教育（款）学前教育（项）指: 反映各部门举办的学前教育支出。</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1</w:t>
      </w:r>
      <w:r>
        <w:rPr>
          <w:rFonts w:hint="eastAsia" w:ascii="仿宋_GB2312" w:hAnsi="仿宋" w:eastAsia="仿宋_GB2312" w:cs="仿宋"/>
          <w:color w:val="auto"/>
          <w:kern w:val="0"/>
          <w:sz w:val="32"/>
          <w:szCs w:val="32"/>
          <w:lang w:val="en-US" w:eastAsia="zh-CN"/>
        </w:rPr>
        <w:t>0</w:t>
      </w:r>
      <w:r>
        <w:rPr>
          <w:rFonts w:ascii="仿宋_GB2312" w:hAnsi="仿宋" w:eastAsia="仿宋_GB2312" w:cs="仿宋"/>
          <w:color w:val="auto"/>
          <w:kern w:val="0"/>
          <w:sz w:val="32"/>
          <w:szCs w:val="32"/>
        </w:rPr>
        <w:t>、社会保障和就业（类）</w:t>
      </w:r>
      <w:r>
        <w:rPr>
          <w:rFonts w:hint="eastAsia" w:ascii="仿宋_GB2312" w:hAnsi="仿宋" w:eastAsia="仿宋_GB2312" w:cs="仿宋"/>
          <w:color w:val="auto"/>
          <w:kern w:val="0"/>
          <w:sz w:val="32"/>
          <w:szCs w:val="32"/>
          <w:lang w:val="en-US" w:eastAsia="zh-CN"/>
        </w:rPr>
        <w:t>行政事业单位养老支出</w:t>
      </w:r>
      <w:r>
        <w:rPr>
          <w:rFonts w:ascii="仿宋_GB2312" w:hAnsi="仿宋" w:eastAsia="仿宋_GB2312" w:cs="仿宋"/>
          <w:color w:val="auto"/>
          <w:kern w:val="0"/>
          <w:sz w:val="32"/>
          <w:szCs w:val="32"/>
        </w:rPr>
        <w:t>（款）机关事业单位基本养老保险缴费支出（项）指: 反映机关事业单位实施养老保险制度由本单位缴纳的基本养老保险费支出。</w:t>
      </w:r>
    </w:p>
    <w:p>
      <w:pPr>
        <w:spacing w:line="600" w:lineRule="exact"/>
        <w:ind w:firstLine="640"/>
        <w:rPr>
          <w:rFonts w:hint="eastAsia" w:ascii="仿宋_GB2312" w:hAnsi="仿宋" w:eastAsia="仿宋_GB2312" w:cs="仿宋"/>
          <w:color w:val="auto"/>
          <w:kern w:val="0"/>
          <w:sz w:val="32"/>
          <w:szCs w:val="32"/>
          <w:lang w:eastAsia="zh-CN"/>
        </w:rPr>
      </w:pPr>
      <w:r>
        <w:rPr>
          <w:rFonts w:ascii="仿宋_GB2312" w:hAnsi="仿宋" w:eastAsia="仿宋_GB2312" w:cs="仿宋"/>
          <w:color w:val="auto"/>
          <w:kern w:val="0"/>
          <w:sz w:val="32"/>
          <w:szCs w:val="32"/>
        </w:rPr>
        <w:t>1</w:t>
      </w:r>
      <w:r>
        <w:rPr>
          <w:rFonts w:hint="eastAsia" w:ascii="仿宋_GB2312" w:hAnsi="仿宋" w:eastAsia="仿宋_GB2312" w:cs="仿宋"/>
          <w:color w:val="auto"/>
          <w:kern w:val="0"/>
          <w:sz w:val="32"/>
          <w:szCs w:val="32"/>
          <w:lang w:val="en-US" w:eastAsia="zh-CN"/>
        </w:rPr>
        <w:t>1</w:t>
      </w:r>
      <w:r>
        <w:rPr>
          <w:rFonts w:ascii="仿宋_GB2312" w:hAnsi="仿宋" w:eastAsia="仿宋_GB2312" w:cs="仿宋"/>
          <w:color w:val="auto"/>
          <w:kern w:val="0"/>
          <w:sz w:val="32"/>
          <w:szCs w:val="32"/>
        </w:rPr>
        <w:t>、社会保障和就业（类）</w:t>
      </w:r>
      <w:r>
        <w:rPr>
          <w:rFonts w:hint="eastAsia" w:ascii="仿宋_GB2312" w:hAnsi="仿宋" w:eastAsia="仿宋_GB2312" w:cs="仿宋"/>
          <w:color w:val="auto"/>
          <w:kern w:val="0"/>
          <w:sz w:val="32"/>
          <w:szCs w:val="32"/>
          <w:lang w:val="en-US" w:eastAsia="zh-CN"/>
        </w:rPr>
        <w:t>企业改革补助</w:t>
      </w:r>
      <w:r>
        <w:rPr>
          <w:rFonts w:ascii="仿宋_GB2312" w:hAnsi="仿宋" w:eastAsia="仿宋_GB2312" w:cs="仿宋"/>
          <w:color w:val="auto"/>
          <w:kern w:val="0"/>
          <w:sz w:val="32"/>
          <w:szCs w:val="32"/>
        </w:rPr>
        <w:t>（款）</w:t>
      </w:r>
      <w:r>
        <w:rPr>
          <w:rFonts w:hint="eastAsia" w:ascii="仿宋_GB2312" w:hAnsi="仿宋" w:eastAsia="仿宋_GB2312" w:cs="仿宋"/>
          <w:color w:val="auto"/>
          <w:kern w:val="0"/>
          <w:sz w:val="32"/>
          <w:szCs w:val="32"/>
          <w:lang w:val="en-US" w:eastAsia="zh-CN"/>
        </w:rPr>
        <w:t>其他企业改革发展补助</w:t>
      </w:r>
      <w:r>
        <w:rPr>
          <w:rFonts w:ascii="仿宋_GB2312" w:hAnsi="仿宋" w:eastAsia="仿宋_GB2312" w:cs="仿宋"/>
          <w:color w:val="auto"/>
          <w:kern w:val="0"/>
          <w:sz w:val="32"/>
          <w:szCs w:val="32"/>
        </w:rPr>
        <w:t>（项）指: 反映除上述项目以外，财政用于企业改革发展方面的补助</w:t>
      </w:r>
      <w:r>
        <w:rPr>
          <w:rFonts w:hint="eastAsia" w:ascii="仿宋_GB2312" w:hAnsi="仿宋" w:eastAsia="仿宋_GB2312" w:cs="仿宋"/>
          <w:color w:val="auto"/>
          <w:kern w:val="0"/>
          <w:sz w:val="32"/>
          <w:szCs w:val="32"/>
          <w:lang w:eastAsia="zh-CN"/>
        </w:rPr>
        <w:t>。</w:t>
      </w:r>
    </w:p>
    <w:p>
      <w:pPr>
        <w:pStyle w:val="2"/>
        <w:ind w:firstLine="640" w:firstLineChars="200"/>
        <w:rPr>
          <w:rFonts w:hint="eastAsia" w:hAnsi="仿宋" w:cs="仿宋"/>
          <w:color w:val="auto"/>
          <w:kern w:val="0"/>
          <w:sz w:val="32"/>
          <w:szCs w:val="32"/>
          <w:lang w:val="en-US" w:eastAsia="zh-CN"/>
        </w:rPr>
      </w:pPr>
      <w:r>
        <w:rPr>
          <w:rFonts w:hint="eastAsia" w:hAnsi="仿宋" w:cs="仿宋"/>
          <w:color w:val="auto"/>
          <w:kern w:val="0"/>
          <w:sz w:val="32"/>
          <w:szCs w:val="32"/>
          <w:lang w:val="en-US" w:eastAsia="zh-CN"/>
        </w:rPr>
        <w:t>12.卫生健康支出（类）行政事业单位医疗（款）事业单位医疗（项）指：反映财政部门安排的事业单位基本医疗保险缴费经费，未参加医疗保险的事业单位的公费医疗经费，按国家规定享受离休人员待遇的医疗经费。</w:t>
      </w:r>
    </w:p>
    <w:p>
      <w:pPr>
        <w:pStyle w:val="2"/>
        <w:ind w:firstLine="640" w:firstLineChars="200"/>
        <w:rPr>
          <w:rFonts w:hint="default" w:hAnsi="仿宋" w:cs="仿宋"/>
          <w:color w:val="auto"/>
          <w:kern w:val="0"/>
          <w:sz w:val="32"/>
          <w:szCs w:val="32"/>
          <w:lang w:val="en-US" w:eastAsia="zh-CN"/>
        </w:rPr>
      </w:pPr>
      <w:r>
        <w:rPr>
          <w:rFonts w:hint="eastAsia" w:hAnsi="仿宋" w:cs="仿宋"/>
          <w:color w:val="auto"/>
          <w:kern w:val="0"/>
          <w:sz w:val="32"/>
          <w:szCs w:val="32"/>
          <w:lang w:val="en-US" w:eastAsia="zh-CN"/>
        </w:rPr>
        <w:t>13.农林水支出（类）扶贫（款）其他扶贫支出（项）指：反映除上述项目以外，其他用于扶贫方面的支出。</w:t>
      </w:r>
    </w:p>
    <w:p>
      <w:pPr>
        <w:spacing w:line="600" w:lineRule="exact"/>
        <w:ind w:firstLine="640"/>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1</w:t>
      </w:r>
      <w:r>
        <w:rPr>
          <w:rFonts w:hint="eastAsia" w:ascii="仿宋_GB2312" w:hAnsi="仿宋" w:eastAsia="仿宋_GB2312" w:cs="仿宋"/>
          <w:color w:val="auto"/>
          <w:kern w:val="0"/>
          <w:sz w:val="32"/>
          <w:szCs w:val="32"/>
          <w:lang w:val="en-US" w:eastAsia="zh-CN"/>
        </w:rPr>
        <w:t>4</w:t>
      </w:r>
      <w:r>
        <w:rPr>
          <w:rFonts w:ascii="仿宋_GB2312" w:hAnsi="仿宋" w:eastAsia="仿宋_GB2312" w:cs="仿宋"/>
          <w:color w:val="auto"/>
          <w:kern w:val="0"/>
          <w:sz w:val="32"/>
          <w:szCs w:val="32"/>
        </w:rPr>
        <w:t>、住房保障支出（类）住房改革支出（款）  住房公积金（项）指:反映行政事业单位按人力资源和社会保障部、财政部规定的基本工资和津贴补贴以及规定比例为职工缴纳的住房公积金。</w:t>
      </w:r>
    </w:p>
    <w:p>
      <w:pPr>
        <w:spacing w:line="600" w:lineRule="exact"/>
        <w:ind w:firstLine="64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15</w:t>
      </w:r>
      <w:r>
        <w:rPr>
          <w:rFonts w:ascii="仿宋_GB2312" w:hAnsi="仿宋" w:eastAsia="仿宋_GB2312" w:cs="仿宋"/>
          <w:color w:val="auto"/>
          <w:kern w:val="0"/>
          <w:sz w:val="32"/>
          <w:szCs w:val="32"/>
        </w:rPr>
        <w:t>、基本支出：指为保障机构正常运转、完成日常工作任务而发生的人员支出和公用支出。</w:t>
      </w:r>
    </w:p>
    <w:p>
      <w:pPr>
        <w:spacing w:line="600" w:lineRule="exact"/>
        <w:ind w:firstLine="64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16</w:t>
      </w:r>
      <w:r>
        <w:rPr>
          <w:rFonts w:ascii="仿宋_GB2312" w:hAnsi="仿宋" w:eastAsia="仿宋_GB2312" w:cs="仿宋"/>
          <w:color w:val="auto"/>
          <w:kern w:val="0"/>
          <w:sz w:val="32"/>
          <w:szCs w:val="32"/>
        </w:rPr>
        <w:t xml:space="preserve">、项目支出：指在基本支出之外为完成特定行政任务和事业发展目标所发生的支出。 </w:t>
      </w:r>
    </w:p>
    <w:p>
      <w:pPr>
        <w:spacing w:line="600" w:lineRule="exact"/>
        <w:ind w:firstLine="64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17</w:t>
      </w:r>
      <w:r>
        <w:rPr>
          <w:rFonts w:ascii="仿宋_GB2312" w:hAnsi="仿宋" w:eastAsia="仿宋_GB2312" w:cs="仿宋"/>
          <w:color w:val="auto"/>
          <w:kern w:val="0"/>
          <w:sz w:val="32"/>
          <w:szCs w:val="32"/>
        </w:rPr>
        <w:t>、经营支出：指事业单位在专业业务活动及其辅助活动之外开展非独立核算经营活动发生的支出。</w:t>
      </w:r>
    </w:p>
    <w:p>
      <w:pPr>
        <w:spacing w:line="600" w:lineRule="exact"/>
        <w:ind w:firstLine="64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18</w:t>
      </w:r>
      <w:r>
        <w:rPr>
          <w:rFonts w:ascii="仿宋_GB2312" w:hAnsi="仿宋" w:eastAsia="仿宋_GB2312" w:cs="仿宋"/>
          <w:color w:val="auto"/>
          <w:kern w:val="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hAnsi="仿宋" w:eastAsia="仿宋_GB2312" w:cs="黑体"/>
          <w:color w:val="auto"/>
          <w:kern w:val="0"/>
          <w:sz w:val="32"/>
          <w:szCs w:val="32"/>
        </w:rPr>
      </w:pPr>
      <w:r>
        <w:rPr>
          <w:rFonts w:hint="eastAsia" w:ascii="仿宋_GB2312" w:hAnsi="仿宋" w:eastAsia="仿宋_GB2312" w:cs="仿宋"/>
          <w:color w:val="auto"/>
          <w:kern w:val="0"/>
          <w:sz w:val="32"/>
          <w:szCs w:val="32"/>
          <w:lang w:val="en-US" w:eastAsia="zh-CN"/>
        </w:rPr>
        <w:t>19</w:t>
      </w:r>
      <w:r>
        <w:rPr>
          <w:rFonts w:ascii="仿宋_GB2312" w:hAnsi="仿宋" w:eastAsia="仿宋_GB2312" w:cs="仿宋"/>
          <w:color w:val="auto"/>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仿宋" w:eastAsia="仿宋_GB2312" w:cs="黑体"/>
          <w:color w:val="auto"/>
          <w:kern w:val="0"/>
          <w:sz w:val="32"/>
          <w:szCs w:val="32"/>
        </w:rPr>
        <w:t xml:space="preserve"> </w:t>
      </w:r>
    </w:p>
    <w:p>
      <w:pPr>
        <w:spacing w:line="600" w:lineRule="exact"/>
        <w:jc w:val="center"/>
        <w:outlineLvl w:val="0"/>
        <w:rPr>
          <w:rFonts w:hint="eastAsia" w:ascii="黑体" w:hAnsi="黑体" w:eastAsia="黑体"/>
          <w:color w:val="auto"/>
          <w:sz w:val="44"/>
          <w:szCs w:val="44"/>
          <w:highlight w:val="none"/>
        </w:rPr>
      </w:pPr>
      <w:bookmarkStart w:id="57" w:name="_Toc15396614"/>
      <w:bookmarkStart w:id="58"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4"/>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7"/>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color w:val="auto"/>
          <w:kern w:val="0"/>
          <w:sz w:val="40"/>
          <w:szCs w:val="44"/>
          <w:highlight w:val="none"/>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年广元市朝天区国有资产事务中心</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pStyle w:val="2"/>
        <w:ind w:firstLine="640" w:firstLineChars="200"/>
        <w:rPr>
          <w:lang w:val="zh-CN"/>
        </w:rPr>
      </w:pPr>
      <w:r>
        <w:rPr>
          <w:rFonts w:hint="eastAsia" w:ascii="仿宋_GB2312" w:hAnsi="宋体" w:eastAsia="仿宋_GB2312" w:cs="宋体"/>
          <w:kern w:val="0"/>
          <w:sz w:val="32"/>
          <w:szCs w:val="32"/>
          <w:shd w:val="clear" w:color="auto" w:fill="FFFFFF"/>
        </w:rPr>
        <w:t>广元市朝天区国有资产事务中心为一级预算单位，无下属单位，机关下设</w:t>
      </w:r>
      <w:r>
        <w:rPr>
          <w:rFonts w:ascii="仿宋_GB2312" w:hAnsi="宋体" w:eastAsia="仿宋_GB2312" w:cs="宋体"/>
          <w:kern w:val="0"/>
          <w:sz w:val="32"/>
          <w:szCs w:val="32"/>
          <w:shd w:val="clear" w:color="auto" w:fill="FFFFFF"/>
        </w:rPr>
        <w:t>3个股室，即：办公室（综合股）、财考股、资产股。</w:t>
      </w:r>
    </w:p>
    <w:p>
      <w:pPr>
        <w:keepNext w:val="0"/>
        <w:keepLines w:val="0"/>
        <w:pageBreakBefore w:val="0"/>
        <w:widowControl/>
        <w:numPr>
          <w:ilvl w:val="0"/>
          <w:numId w:val="4"/>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color w:val="auto"/>
          <w:sz w:val="32"/>
          <w:szCs w:val="32"/>
          <w:lang w:val="en-US"/>
        </w:rPr>
      </w:pPr>
      <w:r>
        <w:rPr>
          <w:rFonts w:hint="eastAsia"/>
          <w:lang w:val="en-US" w:eastAsia="zh-CN"/>
        </w:rPr>
        <w:t xml:space="preserve">  </w:t>
      </w:r>
      <w:r>
        <w:rPr>
          <w:rFonts w:hint="eastAsia" w:ascii="仿宋" w:hAnsi="仿宋" w:eastAsia="仿宋" w:cs="仿宋"/>
          <w:color w:val="auto"/>
          <w:kern w:val="2"/>
          <w:sz w:val="32"/>
          <w:szCs w:val="32"/>
          <w:lang w:val="en-US" w:eastAsia="zh-CN" w:bidi="ar"/>
        </w:rPr>
        <w:t>1.协助履行出资人职责，做好相关事务性工作。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2.协助拟订国有资产管理的办法和制度。</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3.配合完成监管企业工资总额管理工作，参与拟订所监管企业负责人收入分配政策并组织实施等事务工作。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4.配合完善公司法人治理结构，推动国有经济布局和结构的战略性调整等事务性工作。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5.协助对所监管企业负责人进行任免、考核并根据其经营业绩进行奖惩；建立符合社会主义市场经济体制和现代企业制度要求的选人、用人机制，完善经营者激励和约束制度等事务工作。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6.配合完成国有资本经营预算和执行方案编制工作；搞好监缴所监管企业国有资本收益和区级行政事业单位经营性资产收益等事务工作。</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lang w:val="en-US"/>
        </w:rPr>
      </w:pPr>
      <w:r>
        <w:rPr>
          <w:rFonts w:hint="eastAsia" w:ascii="仿宋" w:hAnsi="仿宋" w:eastAsia="仿宋" w:cs="仿宋"/>
          <w:color w:val="auto"/>
          <w:kern w:val="2"/>
          <w:sz w:val="32"/>
          <w:szCs w:val="32"/>
          <w:lang w:val="en-US" w:eastAsia="zh-CN" w:bidi="ar"/>
        </w:rPr>
        <w:t>7.配合做好国有企业及行政事业单位国有资产监督管理工作，搞好产权界定、清产核资、资产评估、资产配置和处置等事务性工作。</w:t>
      </w:r>
    </w:p>
    <w:p>
      <w:pPr>
        <w:keepNext w:val="0"/>
        <w:keepLines w:val="0"/>
        <w:widowControl w:val="0"/>
        <w:suppressLineNumbers w:val="0"/>
        <w:spacing w:before="0" w:beforeAutospacing="0" w:after="0" w:afterAutospacing="0"/>
        <w:ind w:left="0" w:right="0" w:firstLine="640" w:firstLineChars="200"/>
        <w:jc w:val="both"/>
        <w:rPr>
          <w:rFonts w:hint="default" w:eastAsia="仿宋_GB2312"/>
          <w:lang w:val="en-US" w:eastAsia="zh-CN"/>
        </w:rPr>
      </w:pPr>
      <w:r>
        <w:rPr>
          <w:rFonts w:hint="eastAsia" w:ascii="仿宋" w:hAnsi="仿宋" w:eastAsia="仿宋" w:cs="仿宋"/>
          <w:color w:val="auto"/>
          <w:kern w:val="2"/>
          <w:sz w:val="32"/>
          <w:szCs w:val="32"/>
          <w:lang w:val="en-US" w:eastAsia="zh-CN" w:bidi="ar"/>
        </w:rPr>
        <w:t>8.完成区委、区政府交办的其他任务。</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widowControl/>
        <w:adjustRightInd w:val="0"/>
        <w:snapToGrid w:val="0"/>
        <w:spacing w:line="580" w:lineRule="exact"/>
        <w:ind w:firstLine="640" w:firstLineChars="200"/>
        <w:contextualSpacing/>
        <w:jc w:val="left"/>
        <w:rPr>
          <w:lang w:val="zh-CN"/>
        </w:rPr>
      </w:pPr>
      <w:r>
        <w:rPr>
          <w:rFonts w:ascii="仿宋_GB2312" w:hAnsi="宋体" w:eastAsia="仿宋_GB2312" w:cs="宋体"/>
          <w:kern w:val="0"/>
          <w:sz w:val="32"/>
          <w:szCs w:val="32"/>
          <w:shd w:val="clear" w:color="auto" w:fill="FFFFFF"/>
        </w:rPr>
        <w:t>20</w:t>
      </w:r>
      <w:r>
        <w:rPr>
          <w:rFonts w:hint="eastAsia" w:ascii="仿宋_GB2312" w:hAnsi="宋体" w:eastAsia="仿宋_GB2312" w:cs="宋体"/>
          <w:kern w:val="0"/>
          <w:sz w:val="32"/>
          <w:szCs w:val="32"/>
          <w:shd w:val="clear" w:color="auto" w:fill="FFFFFF"/>
          <w:lang w:val="en-US" w:eastAsia="zh-CN"/>
        </w:rPr>
        <w:t>21</w:t>
      </w:r>
      <w:r>
        <w:rPr>
          <w:rFonts w:ascii="仿宋_GB2312" w:hAnsi="宋体" w:eastAsia="仿宋_GB2312" w:cs="宋体"/>
          <w:kern w:val="0"/>
          <w:sz w:val="32"/>
          <w:szCs w:val="32"/>
          <w:shd w:val="clear" w:color="auto" w:fill="FFFFFF"/>
        </w:rPr>
        <w:t>年年末实有在职人员</w:t>
      </w:r>
      <w:r>
        <w:rPr>
          <w:rFonts w:hint="eastAsia" w:ascii="仿宋_GB2312" w:hAnsi="宋体" w:eastAsia="仿宋_GB2312" w:cs="宋体"/>
          <w:kern w:val="0"/>
          <w:sz w:val="32"/>
          <w:szCs w:val="32"/>
          <w:shd w:val="clear" w:color="auto" w:fill="FFFFFF"/>
          <w:lang w:val="en-US" w:eastAsia="zh-CN"/>
        </w:rPr>
        <w:t>6</w:t>
      </w:r>
      <w:r>
        <w:rPr>
          <w:rFonts w:ascii="仿宋_GB2312" w:hAnsi="宋体" w:eastAsia="仿宋_GB2312" w:cs="宋体"/>
          <w:kern w:val="0"/>
          <w:sz w:val="32"/>
          <w:szCs w:val="32"/>
          <w:shd w:val="clear" w:color="auto" w:fill="FFFFFF"/>
        </w:rPr>
        <w:t>人，事业在职人员</w:t>
      </w:r>
      <w:r>
        <w:rPr>
          <w:rFonts w:hint="eastAsia" w:ascii="仿宋_GB2312" w:hAnsi="宋体" w:eastAsia="仿宋_GB2312" w:cs="宋体"/>
          <w:kern w:val="0"/>
          <w:sz w:val="32"/>
          <w:szCs w:val="32"/>
          <w:shd w:val="clear" w:color="auto" w:fill="FFFFFF"/>
          <w:lang w:val="en-US" w:eastAsia="zh-CN"/>
        </w:rPr>
        <w:t>6</w:t>
      </w:r>
      <w:r>
        <w:rPr>
          <w:rFonts w:ascii="仿宋_GB2312" w:hAnsi="宋体" w:eastAsia="仿宋_GB2312" w:cs="宋体"/>
          <w:kern w:val="0"/>
          <w:sz w:val="32"/>
          <w:szCs w:val="32"/>
          <w:shd w:val="clear" w:color="auto" w:fill="FFFFFF"/>
        </w:rPr>
        <w:t>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widowControl/>
        <w:adjustRightInd w:val="0"/>
        <w:snapToGrid w:val="0"/>
        <w:spacing w:line="580" w:lineRule="exact"/>
        <w:ind w:firstLine="640" w:firstLineChars="200"/>
        <w:contextualSpacing/>
        <w:jc w:val="left"/>
        <w:rPr>
          <w:lang w:val="zh-CN"/>
        </w:rPr>
      </w:pPr>
      <w:r>
        <w:rPr>
          <w:rFonts w:ascii="仿宋_GB2312" w:hAnsi="宋体" w:eastAsia="仿宋_GB2312" w:cs="宋体"/>
          <w:kern w:val="0"/>
          <w:sz w:val="32"/>
          <w:szCs w:val="32"/>
          <w:shd w:val="clear" w:color="auto" w:fill="FFFFFF"/>
        </w:rPr>
        <w:t>202</w:t>
      </w:r>
      <w:r>
        <w:rPr>
          <w:rFonts w:hint="eastAsia" w:ascii="仿宋_GB2312" w:hAnsi="宋体" w:eastAsia="仿宋_GB2312" w:cs="宋体"/>
          <w:kern w:val="0"/>
          <w:sz w:val="32"/>
          <w:szCs w:val="32"/>
          <w:shd w:val="clear" w:color="auto" w:fill="FFFFFF"/>
          <w:lang w:val="en-US" w:eastAsia="zh-CN"/>
        </w:rPr>
        <w:t>1</w:t>
      </w:r>
      <w:r>
        <w:rPr>
          <w:rFonts w:ascii="仿宋_GB2312" w:hAnsi="宋体" w:eastAsia="仿宋_GB2312" w:cs="宋体"/>
          <w:kern w:val="0"/>
          <w:sz w:val="32"/>
          <w:szCs w:val="32"/>
          <w:shd w:val="clear" w:color="auto" w:fill="FFFFFF"/>
        </w:rPr>
        <w:t>年度收入总计</w:t>
      </w:r>
      <w:r>
        <w:rPr>
          <w:rFonts w:hint="eastAsia" w:ascii="仿宋_GB2312" w:hAnsi="宋体" w:eastAsia="仿宋_GB2312" w:cs="宋体"/>
          <w:kern w:val="0"/>
          <w:sz w:val="32"/>
          <w:szCs w:val="32"/>
          <w:shd w:val="clear" w:color="auto" w:fill="FFFFFF"/>
        </w:rPr>
        <w:t>1411.05</w:t>
      </w:r>
      <w:r>
        <w:rPr>
          <w:rFonts w:ascii="仿宋_GB2312" w:hAnsi="宋体" w:eastAsia="仿宋_GB2312" w:cs="宋体"/>
          <w:kern w:val="0"/>
          <w:sz w:val="32"/>
          <w:szCs w:val="32"/>
          <w:shd w:val="clear" w:color="auto" w:fill="FFFFFF"/>
        </w:rPr>
        <w:t>万元。</w:t>
      </w:r>
    </w:p>
    <w:p>
      <w:pPr>
        <w:keepNext w:val="0"/>
        <w:keepLines w:val="0"/>
        <w:pageBreakBefore w:val="0"/>
        <w:widowControl/>
        <w:numPr>
          <w:numId w:val="0"/>
        </w:numPr>
        <w:kinsoku/>
        <w:wordWrap/>
        <w:overflowPunct/>
        <w:topLinePunct w:val="0"/>
        <w:autoSpaceDE/>
        <w:autoSpaceDN/>
        <w:bidi w:val="0"/>
        <w:adjustRightInd w:val="0"/>
        <w:snapToGrid w:val="0"/>
        <w:spacing w:line="572" w:lineRule="exact"/>
        <w:ind w:leftChars="200" w:firstLine="320" w:firstLineChars="1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w:t>
      </w:r>
      <w:r>
        <w:rPr>
          <w:rFonts w:hint="eastAsia" w:ascii="仿宋_GB2312" w:hAnsi="宋体" w:eastAsia="仿宋_GB2312" w:cs="宋体"/>
          <w:color w:val="auto"/>
          <w:kern w:val="0"/>
          <w:sz w:val="32"/>
          <w:szCs w:val="32"/>
          <w:highlight w:val="none"/>
          <w:shd w:val="clear" w:color="auto" w:fill="FFFFFF"/>
          <w:lang w:val="en-US" w:eastAsia="zh-CN"/>
        </w:rPr>
        <w:t>二</w:t>
      </w:r>
      <w:r>
        <w:rPr>
          <w:rFonts w:hint="eastAsia" w:ascii="仿宋_GB2312" w:hAnsi="宋体" w:eastAsia="仿宋_GB2312" w:cs="宋体"/>
          <w:color w:val="auto"/>
          <w:kern w:val="0"/>
          <w:sz w:val="32"/>
          <w:szCs w:val="32"/>
          <w:highlight w:val="none"/>
          <w:shd w:val="clear" w:color="auto" w:fill="FFFFFF"/>
          <w:lang w:val="zh-CN"/>
        </w:rPr>
        <w:t>）部门财政资金支出情况。</w:t>
      </w:r>
      <w:bookmarkStart w:id="73" w:name="_GoBack"/>
      <w:bookmarkEnd w:id="73"/>
    </w:p>
    <w:p>
      <w:pPr>
        <w:widowControl/>
        <w:adjustRightInd w:val="0"/>
        <w:snapToGrid w:val="0"/>
        <w:spacing w:line="580" w:lineRule="exact"/>
        <w:ind w:firstLine="640" w:firstLineChars="200"/>
        <w:contextualSpacing/>
        <w:jc w:val="left"/>
        <w:rPr>
          <w:lang w:val="zh-CN"/>
        </w:rPr>
      </w:pPr>
      <w:r>
        <w:rPr>
          <w:rFonts w:ascii="仿宋_GB2312" w:hAnsi="宋体" w:eastAsia="仿宋_GB2312" w:cs="宋体"/>
          <w:kern w:val="0"/>
          <w:sz w:val="32"/>
          <w:szCs w:val="32"/>
          <w:shd w:val="clear" w:color="auto" w:fill="FFFFFF"/>
        </w:rPr>
        <w:t>202</w:t>
      </w:r>
      <w:r>
        <w:rPr>
          <w:rFonts w:hint="eastAsia" w:ascii="仿宋_GB2312" w:hAnsi="宋体" w:eastAsia="仿宋_GB2312" w:cs="宋体"/>
          <w:kern w:val="0"/>
          <w:sz w:val="32"/>
          <w:szCs w:val="32"/>
          <w:shd w:val="clear" w:color="auto" w:fill="FFFFFF"/>
          <w:lang w:val="en-US" w:eastAsia="zh-CN"/>
        </w:rPr>
        <w:t>1</w:t>
      </w:r>
      <w:r>
        <w:rPr>
          <w:rFonts w:ascii="仿宋_GB2312" w:hAnsi="宋体" w:eastAsia="仿宋_GB2312" w:cs="宋体"/>
          <w:kern w:val="0"/>
          <w:sz w:val="32"/>
          <w:szCs w:val="32"/>
          <w:shd w:val="clear" w:color="auto" w:fill="FFFFFF"/>
        </w:rPr>
        <w:t>年度</w:t>
      </w:r>
      <w:r>
        <w:rPr>
          <w:rFonts w:hint="eastAsia" w:ascii="仿宋_GB2312" w:hAnsi="宋体" w:eastAsia="仿宋_GB2312" w:cs="宋体"/>
          <w:kern w:val="0"/>
          <w:sz w:val="32"/>
          <w:szCs w:val="32"/>
          <w:shd w:val="clear" w:color="auto" w:fill="FFFFFF"/>
          <w:lang w:val="en-US" w:eastAsia="zh-CN"/>
        </w:rPr>
        <w:t>支出</w:t>
      </w:r>
      <w:r>
        <w:rPr>
          <w:rFonts w:ascii="仿宋_GB2312" w:hAnsi="宋体" w:eastAsia="仿宋_GB2312" w:cs="宋体"/>
          <w:kern w:val="0"/>
          <w:sz w:val="32"/>
          <w:szCs w:val="32"/>
          <w:shd w:val="clear" w:color="auto" w:fill="FFFFFF"/>
        </w:rPr>
        <w:t>总计</w:t>
      </w:r>
      <w:r>
        <w:rPr>
          <w:rFonts w:hint="eastAsia" w:ascii="仿宋_GB2312" w:hAnsi="宋体" w:eastAsia="仿宋_GB2312" w:cs="宋体"/>
          <w:kern w:val="0"/>
          <w:sz w:val="32"/>
          <w:szCs w:val="32"/>
          <w:shd w:val="clear" w:color="auto" w:fill="FFFFFF"/>
        </w:rPr>
        <w:t>1411.05</w:t>
      </w:r>
      <w:r>
        <w:rPr>
          <w:rFonts w:ascii="仿宋_GB2312" w:hAnsi="宋体" w:eastAsia="仿宋_GB2312" w:cs="宋体"/>
          <w:kern w:val="0"/>
          <w:sz w:val="32"/>
          <w:szCs w:val="32"/>
          <w:shd w:val="clear" w:color="auto" w:fill="FFFFFF"/>
        </w:rPr>
        <w:t>万元。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eastAsia="zh-CN"/>
        </w:rPr>
      </w:pPr>
      <w:r>
        <w:rPr>
          <w:rFonts w:hint="eastAsia" w:ascii="仿宋_GB2312" w:hAnsi="宋体" w:eastAsia="仿宋_GB2312" w:cs="宋体"/>
          <w:color w:val="auto"/>
          <w:kern w:val="0"/>
          <w:sz w:val="32"/>
          <w:szCs w:val="32"/>
          <w:highlight w:val="none"/>
          <w:shd w:val="clear" w:color="auto" w:fill="FFFFFF"/>
          <w:lang w:val="zh-CN" w:eastAsia="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w:t>
      </w:r>
      <w:r>
        <w:rPr>
          <w:rFonts w:hint="eastAsia" w:ascii="仿宋_GB2312" w:hAnsi="仿宋_GB2312" w:eastAsia="仿宋_GB2312" w:cs="仿宋_GB2312"/>
          <w:color w:val="000000"/>
          <w:kern w:val="0"/>
          <w:sz w:val="32"/>
          <w:szCs w:val="32"/>
          <w:shd w:val="clear" w:color="auto" w:fill="FFFFFF"/>
          <w:lang w:val="en-US" w:eastAsia="zh-CN"/>
        </w:rPr>
        <w:t>21</w:t>
      </w:r>
      <w:r>
        <w:rPr>
          <w:rFonts w:hint="eastAsia" w:ascii="仿宋_GB2312" w:hAnsi="仿宋_GB2312" w:eastAsia="仿宋_GB2312" w:cs="仿宋_GB2312"/>
          <w:color w:val="000000"/>
          <w:kern w:val="0"/>
          <w:sz w:val="32"/>
          <w:szCs w:val="32"/>
          <w:shd w:val="clear" w:color="auto" w:fill="FFFFFF"/>
        </w:rPr>
        <w:t>年预算严格按照财政要求，本着单位实际，在规定的时间内完成了编制工作。主要分基本支出和项目支出两大</w:t>
      </w:r>
      <w:r>
        <w:rPr>
          <w:rFonts w:hint="eastAsia" w:ascii="仿宋_GB2312" w:hAnsi="仿宋_GB2312" w:eastAsia="仿宋_GB2312" w:cs="仿宋_GB2312"/>
          <w:color w:val="000000"/>
          <w:kern w:val="0"/>
          <w:sz w:val="32"/>
          <w:szCs w:val="32"/>
          <w:shd w:val="clear" w:color="auto" w:fill="FFFFFF"/>
          <w:lang w:eastAsia="zh-CN"/>
        </w:rPr>
        <w:t>板块</w:t>
      </w:r>
      <w:r>
        <w:rPr>
          <w:rFonts w:hint="eastAsia" w:ascii="仿宋_GB2312" w:hAnsi="仿宋_GB2312" w:eastAsia="仿宋_GB2312" w:cs="仿宋_GB2312"/>
          <w:color w:val="000000"/>
          <w:kern w:val="0"/>
          <w:sz w:val="32"/>
          <w:szCs w:val="32"/>
          <w:shd w:val="clear" w:color="auto" w:fill="FFFFFF"/>
        </w:rPr>
        <w:t>。基本支出按照单位实有人数和各单项定额标准编制；项目支出主要是根据本单位基本职能和职责要求，为保障完成单位特定的行政工作和社会事业发展目标而编制，专项预算细化到了项目条款。整个预算包含了财政资金的安排使用、管理情况等。</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1.目标管理。</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（1）目标制定：</w:t>
      </w:r>
    </w:p>
    <w:p>
      <w:pPr>
        <w:spacing w:line="560" w:lineRule="exact"/>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人员类支出：</w:t>
      </w:r>
      <w:r>
        <w:rPr>
          <w:rFonts w:hint="eastAsia" w:ascii="仿宋_GB2312" w:hAnsi="仿宋_GB2312" w:eastAsia="仿宋_GB2312" w:cs="仿宋_GB2312"/>
          <w:color w:val="auto"/>
          <w:sz w:val="32"/>
          <w:szCs w:val="32"/>
          <w:lang w:val="en-US" w:eastAsia="zh-CN"/>
        </w:rPr>
        <w:t>2021年，预算国有资产事务中心在职人员6人，其中事业人员6人，预算金额75.93万元。</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按照要求，人员类支出主要是保障对家庭和个人的补助、人员工资福利支出、在职人员绩效工资支出、在职人员社会保障缴费、在职人员社会保障缴费及住房公积金等基本支出。</w:t>
      </w:r>
    </w:p>
    <w:p>
      <w:pPr>
        <w:spacing w:line="560" w:lineRule="exact"/>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运作类支出：</w:t>
      </w:r>
      <w:r>
        <w:rPr>
          <w:rFonts w:hint="eastAsia" w:ascii="仿宋_GB2312" w:hAnsi="仿宋_GB2312" w:eastAsia="仿宋_GB2312" w:cs="仿宋_GB2312"/>
          <w:color w:val="auto"/>
          <w:sz w:val="32"/>
          <w:szCs w:val="32"/>
          <w:lang w:val="en-US" w:eastAsia="zh-CN"/>
        </w:rPr>
        <w:t>主要为国有资产事务中心公用经费、区国投公司非贫困村第一书记工作经费、金财网维护费等。预算金额7.64万元。</w:t>
      </w:r>
    </w:p>
    <w:p>
      <w:pPr>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特定项目类：</w:t>
      </w:r>
    </w:p>
    <w:p>
      <w:pPr>
        <w:pStyle w:val="2"/>
        <w:ind w:firstLine="640" w:firstLineChars="200"/>
        <w:rPr>
          <w:rFonts w:hint="eastAsia"/>
          <w:lang w:val="zh-CN"/>
        </w:rPr>
      </w:pPr>
      <w:r>
        <w:rPr>
          <w:rFonts w:hint="eastAsia" w:ascii="仿宋_GB2312" w:hAnsi="仿宋_GB2312" w:eastAsia="仿宋_GB2312" w:cs="仿宋_GB2312"/>
          <w:color w:val="auto"/>
          <w:sz w:val="32"/>
          <w:szCs w:val="32"/>
          <w:lang w:val="en-US" w:eastAsia="zh-CN"/>
        </w:rPr>
        <w:t>年初预算特定项目类支出主要包含一般公共预算项目和国有资本经营预算项目2类</w:t>
      </w:r>
      <w:r>
        <w:rPr>
          <w:rFonts w:hint="eastAsia" w:hAnsi="仿宋_GB2312" w:cs="仿宋_GB2312"/>
          <w:color w:val="auto"/>
          <w:sz w:val="32"/>
          <w:szCs w:val="32"/>
          <w:lang w:val="en-US" w:eastAsia="zh-CN"/>
        </w:rPr>
        <w:t>，预算金额为1147.88万元</w:t>
      </w:r>
      <w:r>
        <w:rPr>
          <w:rFonts w:hint="eastAsia" w:ascii="仿宋_GB2312" w:hAnsi="仿宋_GB2312" w:eastAsia="仿宋_GB2312" w:cs="仿宋_GB2312"/>
          <w:color w:val="auto"/>
          <w:sz w:val="32"/>
          <w:szCs w:val="32"/>
          <w:lang w:val="en-US" w:eastAsia="zh-CN"/>
        </w:rPr>
        <w:t>。</w:t>
      </w:r>
    </w:p>
    <w:p>
      <w:pPr>
        <w:numPr>
          <w:ilvl w:val="0"/>
          <w:numId w:val="5"/>
        </w:num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目标实现：</w:t>
      </w:r>
    </w:p>
    <w:p>
      <w:pPr>
        <w:spacing w:line="560" w:lineRule="exact"/>
        <w:ind w:firstLine="643"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人员类支出：</w:t>
      </w:r>
      <w:r>
        <w:rPr>
          <w:rFonts w:hint="eastAsia" w:ascii="仿宋_GB2312" w:hAnsi="仿宋_GB2312" w:eastAsia="仿宋_GB2312" w:cs="仿宋_GB2312"/>
          <w:color w:val="auto"/>
          <w:sz w:val="32"/>
          <w:szCs w:val="32"/>
          <w:lang w:val="en-US" w:eastAsia="zh-CN"/>
        </w:rPr>
        <w:t>2021年，国有资产事务中心年末实有在职人员6人，其中事业人员6人。年末支付75.93万元，完成对家庭和个人的补助、人员工资福利支出、在职人员绩效工资支出、在职人员社会保障缴费、在职人员社会保障缴费及住房公积金等基本支出。</w:t>
      </w:r>
    </w:p>
    <w:p>
      <w:pPr>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运作类支出：</w:t>
      </w:r>
      <w:r>
        <w:rPr>
          <w:rFonts w:hint="eastAsia" w:ascii="仿宋_GB2312" w:hAnsi="仿宋_GB2312" w:eastAsia="仿宋_GB2312" w:cs="仿宋_GB2312"/>
          <w:color w:val="auto"/>
          <w:sz w:val="32"/>
          <w:szCs w:val="32"/>
          <w:lang w:val="en-US" w:eastAsia="zh-CN"/>
        </w:rPr>
        <w:t>完成国有资产事务中心公用经费、区国投公司非贫困村第一书记工作经费、金财网维护费等。完成支付金额7.24万元。</w:t>
      </w:r>
    </w:p>
    <w:p>
      <w:pPr>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特定项目类：</w:t>
      </w:r>
    </w:p>
    <w:p>
      <w:pPr>
        <w:pStyle w:val="2"/>
        <w:ind w:firstLine="640" w:firstLineChars="200"/>
        <w:rPr>
          <w:rFonts w:hint="eastAsia"/>
          <w:lang w:val="zh-CN"/>
        </w:rPr>
      </w:pPr>
      <w:r>
        <w:rPr>
          <w:rFonts w:hint="eastAsia" w:ascii="仿宋_GB2312" w:hAnsi="仿宋_GB2312" w:eastAsia="仿宋_GB2312" w:cs="仿宋_GB2312"/>
          <w:color w:val="auto"/>
          <w:sz w:val="32"/>
          <w:szCs w:val="32"/>
          <w:lang w:val="en-US" w:eastAsia="zh-CN"/>
        </w:rPr>
        <w:t>特定项目类支出主要包含一般公共预算项目和国有资本经营预算项目2类，年末增加政府基金预算和一般公共预算，全年实际支付1147.88万元。</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2.动态调整。</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（1）支出控制：</w:t>
      </w:r>
    </w:p>
    <w:p>
      <w:pPr>
        <w:pStyle w:val="2"/>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区国有资产事务中心，年初预算公用经费7万元，年末完成支付7万元，年初预算数和决算数一致。</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（2）及时处置：</w:t>
      </w:r>
    </w:p>
    <w:p>
      <w:pPr>
        <w:spacing w:line="560" w:lineRule="exact"/>
        <w:ind w:firstLine="640" w:firstLineChars="200"/>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国资事务中心绩效监控调整取消额为0，结余注销额为0</w:t>
      </w:r>
      <w:r>
        <w:rPr>
          <w:rFonts w:hint="eastAsia" w:ascii="仿宋_GB2312" w:hAnsi="仿宋_GB2312" w:cs="仿宋_GB2312"/>
          <w:b w:val="0"/>
          <w:bCs w:val="0"/>
          <w:color w:val="auto"/>
          <w:kern w:val="2"/>
          <w:sz w:val="32"/>
          <w:szCs w:val="32"/>
          <w:lang w:val="en-US" w:eastAsia="zh-CN" w:bidi="ar-SA"/>
        </w:rPr>
        <w:t>。</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3.完成结果。</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（1）预算完成</w:t>
      </w:r>
    </w:p>
    <w:p>
      <w:pPr>
        <w:pStyle w:val="2"/>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年底调整预算1411.05万元，实际支付1411.05</w:t>
      </w:r>
      <w:r>
        <w:rPr>
          <w:rFonts w:hint="eastAsia" w:hAnsi="仿宋_GB2312" w:cs="仿宋_GB2312"/>
          <w:b w:val="0"/>
          <w:bCs w:val="0"/>
          <w:color w:val="auto"/>
          <w:kern w:val="2"/>
          <w:sz w:val="32"/>
          <w:szCs w:val="32"/>
          <w:lang w:val="en-US" w:eastAsia="zh-CN" w:bidi="ar-SA"/>
        </w:rPr>
        <w:t>万元</w:t>
      </w:r>
      <w:r>
        <w:rPr>
          <w:rFonts w:hint="eastAsia" w:ascii="仿宋_GB2312" w:hAnsi="仿宋_GB2312" w:eastAsia="仿宋_GB2312" w:cs="仿宋_GB2312"/>
          <w:b w:val="0"/>
          <w:bCs w:val="0"/>
          <w:color w:val="auto"/>
          <w:kern w:val="2"/>
          <w:sz w:val="32"/>
          <w:szCs w:val="32"/>
          <w:lang w:val="en-US" w:eastAsia="zh-CN" w:bidi="ar-SA"/>
        </w:rPr>
        <w:t>，预算完成率为</w:t>
      </w:r>
      <w:r>
        <w:rPr>
          <w:rFonts w:hint="eastAsia" w:hAnsi="仿宋_GB2312" w:cs="仿宋_GB2312"/>
          <w:b w:val="0"/>
          <w:bCs w:val="0"/>
          <w:color w:val="auto"/>
          <w:kern w:val="2"/>
          <w:sz w:val="32"/>
          <w:szCs w:val="32"/>
          <w:lang w:val="en-US" w:eastAsia="zh-CN" w:bidi="ar-SA"/>
        </w:rPr>
        <w:t>100</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cs="仿宋_GB2312"/>
          <w:b w:val="0"/>
          <w:bCs w:val="0"/>
          <w:color w:val="auto"/>
          <w:kern w:val="2"/>
          <w:sz w:val="32"/>
          <w:szCs w:val="32"/>
          <w:lang w:val="en-US" w:eastAsia="zh-CN" w:bidi="ar-SA"/>
        </w:rPr>
        <w:t>。</w:t>
      </w:r>
    </w:p>
    <w:p>
      <w:pPr>
        <w:numPr>
          <w:ilvl w:val="0"/>
          <w:numId w:val="5"/>
        </w:numPr>
        <w:spacing w:line="560" w:lineRule="exact"/>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资金结余率（低效无效率）</w:t>
      </w:r>
    </w:p>
    <w:p>
      <w:pPr>
        <w:pStyle w:val="2"/>
        <w:ind w:firstLine="640" w:firstLineChars="200"/>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资金结余率为0。</w:t>
      </w:r>
    </w:p>
    <w:p>
      <w:pPr>
        <w:numPr>
          <w:ilvl w:val="0"/>
          <w:numId w:val="5"/>
        </w:numPr>
        <w:spacing w:line="560" w:lineRule="exact"/>
        <w:ind w:left="-10" w:leftChars="0" w:firstLine="64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违规记录：</w:t>
      </w:r>
    </w:p>
    <w:p>
      <w:pPr>
        <w:pStyle w:val="2"/>
        <w:numPr>
          <w:ilvl w:val="0"/>
          <w:numId w:val="0"/>
        </w:numPr>
        <w:ind w:firstLine="640" w:firstLineChars="200"/>
        <w:rPr>
          <w:rFonts w:hint="default"/>
          <w:lang w:val="en-US" w:eastAsia="zh-CN"/>
        </w:rPr>
      </w:pPr>
      <w:r>
        <w:rPr>
          <w:rFonts w:hint="eastAsia" w:ascii="仿宋_GB2312" w:hAnsi="仿宋_GB2312" w:eastAsia="仿宋_GB2312" w:cs="仿宋_GB2312"/>
          <w:b w:val="0"/>
          <w:bCs w:val="0"/>
          <w:color w:val="auto"/>
          <w:kern w:val="2"/>
          <w:sz w:val="32"/>
          <w:szCs w:val="32"/>
          <w:lang w:val="en-US" w:eastAsia="zh-CN" w:bidi="ar-SA"/>
        </w:rPr>
        <w:t>国资事务中心</w:t>
      </w:r>
      <w:r>
        <w:rPr>
          <w:rFonts w:hint="eastAsia" w:ascii="仿宋_GB2312" w:hAnsi="仿宋_GB2312" w:cs="仿宋_GB2312"/>
          <w:b w:val="0"/>
          <w:bCs w:val="0"/>
          <w:color w:val="auto"/>
          <w:kern w:val="2"/>
          <w:sz w:val="32"/>
          <w:szCs w:val="32"/>
          <w:lang w:val="en-US" w:eastAsia="zh-CN" w:bidi="ar-SA"/>
        </w:rPr>
        <w:t>2021年无违规记录。</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（二）结果应用情况。</w:t>
      </w:r>
    </w:p>
    <w:p>
      <w:pPr>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1.内部应用。</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54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按预算完成</w:t>
      </w:r>
      <w:r>
        <w:rPr>
          <w:rFonts w:hint="eastAsia" w:ascii="仿宋_GB2312" w:hAnsi="仿宋_GB2312" w:eastAsia="仿宋_GB2312" w:cs="仿宋_GB2312"/>
          <w:sz w:val="32"/>
          <w:szCs w:val="32"/>
          <w:lang w:eastAsia="zh-CN"/>
        </w:rPr>
        <w:t>各项</w:t>
      </w:r>
      <w:r>
        <w:rPr>
          <w:rFonts w:hint="eastAsia" w:ascii="仿宋_GB2312" w:hAnsi="仿宋_GB2312" w:eastAsia="仿宋_GB2312" w:cs="仿宋_GB2312"/>
          <w:sz w:val="32"/>
          <w:szCs w:val="32"/>
        </w:rPr>
        <w:t>支出，主要用于完成特定的行政工作任务和事业发展目标，用于专项业务工作的经费支出。在资金的使用过程中，</w:t>
      </w:r>
      <w:r>
        <w:rPr>
          <w:rFonts w:hint="eastAsia" w:ascii="仿宋_GB2312" w:hAnsi="仿宋_GB2312" w:eastAsia="仿宋_GB2312" w:cs="仿宋_GB2312"/>
          <w:sz w:val="32"/>
          <w:szCs w:val="32"/>
          <w:lang w:val="en-US" w:eastAsia="zh-CN"/>
        </w:rPr>
        <w:t>我中心</w:t>
      </w:r>
      <w:r>
        <w:rPr>
          <w:rFonts w:hint="eastAsia" w:ascii="仿宋_GB2312" w:hAnsi="仿宋_GB2312" w:eastAsia="仿宋_GB2312" w:cs="仿宋_GB2312"/>
          <w:sz w:val="32"/>
          <w:szCs w:val="32"/>
        </w:rPr>
        <w:t>严格按照相关财经法规、财务管理制度，严格按照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财政资金管理办法</w:t>
      </w:r>
      <w:r>
        <w:rPr>
          <w:rFonts w:hint="eastAsia" w:ascii="仿宋_GB2312" w:hAnsi="仿宋_GB2312" w:eastAsia="仿宋_GB2312" w:cs="仿宋_GB2312"/>
          <w:sz w:val="32"/>
          <w:szCs w:val="32"/>
          <w:lang w:eastAsia="zh-CN"/>
        </w:rPr>
        <w:t>建账</w:t>
      </w:r>
      <w:r>
        <w:rPr>
          <w:rFonts w:hint="eastAsia" w:ascii="仿宋_GB2312" w:hAnsi="仿宋_GB2312" w:eastAsia="仿宋_GB2312" w:cs="仿宋_GB2312"/>
          <w:sz w:val="32"/>
          <w:szCs w:val="32"/>
        </w:rPr>
        <w:t>，审核支出，开支范围和票据合法合规，确保资金合规使用。</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54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2.信息公开</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540" w:lineRule="exact"/>
        <w:ind w:firstLine="640" w:firstLineChars="200"/>
        <w:contextualSpacing/>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严格按照上级文件要求，积极进行2021年度预算绩效信息公开。</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540" w:lineRule="exact"/>
        <w:ind w:firstLine="640" w:firstLineChars="200"/>
        <w:contextualSpacing/>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3.整改反馈。</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540" w:lineRule="exact"/>
        <w:ind w:firstLine="640" w:firstLineChars="200"/>
        <w:contextualSpacing/>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在绩效管理的过程中，严格按照区财政局要求积极整改年初绩效目标设置不合理不细化的地方。</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（三）自评质量。</w:t>
      </w:r>
    </w:p>
    <w:p>
      <w:pPr>
        <w:keepNext w:val="0"/>
        <w:keepLines w:val="0"/>
        <w:pageBreakBefore w:val="0"/>
        <w:widowControl w:val="0"/>
        <w:numPr>
          <w:ilvl w:val="0"/>
          <w:numId w:val="0"/>
        </w:numPr>
        <w:pBdr>
          <w:bottom w:val="single" w:color="FFFFFF" w:sz="4" w:space="15"/>
        </w:pBdr>
        <w:tabs>
          <w:tab w:val="left" w:pos="1440"/>
        </w:tabs>
        <w:kinsoku/>
        <w:wordWrap/>
        <w:overflowPunct/>
        <w:topLinePunct w:val="0"/>
        <w:autoSpaceDE w:val="0"/>
        <w:autoSpaceDN w:val="0"/>
        <w:bidi w:val="0"/>
        <w:adjustRightInd w:val="0"/>
        <w:snapToGrid/>
        <w:spacing w:line="540" w:lineRule="exact"/>
        <w:ind w:firstLine="640" w:firstLineChars="200"/>
        <w:contextualSpacing/>
        <w:textAlignment w:val="auto"/>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lang w:eastAsia="zh-CN"/>
        </w:rPr>
        <w:t>单位整体支出的自评，各项支出规范、合理。</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widowControl/>
        <w:numPr>
          <w:ilvl w:val="0"/>
          <w:numId w:val="0"/>
        </w:numPr>
        <w:autoSpaceDE w:val="0"/>
        <w:adjustRightInd w:val="0"/>
        <w:snapToGrid w:val="0"/>
        <w:spacing w:line="500" w:lineRule="exact"/>
        <w:ind w:firstLine="640" w:firstLineChars="200"/>
        <w:contextualSpacing/>
        <w:jc w:val="left"/>
        <w:rPr>
          <w:rFonts w:hint="eastAsia"/>
          <w:lang w:val="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国有资产事务中心</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政府的中心工作大局，履行出资人职责，做好相关事务性工作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全面完成市、</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下达的目标任务。</w:t>
      </w:r>
      <w:r>
        <w:rPr>
          <w:rFonts w:hint="eastAsia" w:ascii="仿宋_GB2312" w:hAnsi="仿宋_GB2312" w:eastAsia="仿宋_GB2312" w:cs="仿宋_GB2312"/>
          <w:sz w:val="32"/>
          <w:szCs w:val="32"/>
          <w:lang w:eastAsia="zh-CN"/>
        </w:rPr>
        <w:t>通过对单位整体自评评分，评价结果</w:t>
      </w:r>
      <w:r>
        <w:rPr>
          <w:rFonts w:hint="eastAsia" w:ascii="仿宋_GB2312" w:hAnsi="仿宋_GB2312" w:eastAsia="仿宋_GB2312" w:cs="仿宋_GB2312"/>
          <w:sz w:val="32"/>
          <w:szCs w:val="32"/>
          <w:lang w:val="en-US" w:eastAsia="zh-CN"/>
        </w:rPr>
        <w:t>94分。</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存在问题。</w:t>
      </w:r>
    </w:p>
    <w:p>
      <w:pPr>
        <w:spacing w:line="560" w:lineRule="exact"/>
        <w:ind w:firstLine="640" w:firstLineChars="200"/>
        <w:rPr>
          <w:lang w:val="zh-CN"/>
        </w:rPr>
      </w:pPr>
      <w:r>
        <w:rPr>
          <w:rFonts w:hint="eastAsia" w:ascii="仿宋_GB2312" w:hAnsi="仿宋_GB2312" w:eastAsia="仿宋_GB2312" w:cs="仿宋_GB2312"/>
          <w:sz w:val="32"/>
          <w:szCs w:val="32"/>
          <w:lang w:val="en-US" w:eastAsia="zh-CN"/>
        </w:rPr>
        <w:t>目前本单位的整体支出绩效还有细化的空间，需要加以改进。</w:t>
      </w:r>
    </w:p>
    <w:p>
      <w:pPr>
        <w:keepNext w:val="0"/>
        <w:keepLines w:val="0"/>
        <w:pageBreakBefore w:val="0"/>
        <w:widowControl/>
        <w:numPr>
          <w:ilvl w:val="0"/>
          <w:numId w:val="6"/>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改进建议。</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今后，将对照本单位整体支出绩效评价内容，逐项梳理，逐项对标，强化财政支出绩效理念和责任意识，提高财政资金的使用效益。</w:t>
      </w:r>
    </w:p>
    <w:p>
      <w:pPr>
        <w:pStyle w:val="2"/>
        <w:numPr>
          <w:ilvl w:val="0"/>
          <w:numId w:val="0"/>
        </w:numPr>
        <w:ind w:leftChars="200"/>
        <w:rPr>
          <w:rFonts w:hint="eastAsia"/>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w:t>
      </w:r>
      <w:r>
        <w:rPr>
          <w:rFonts w:hint="default" w:ascii="方正小标宋简体" w:hAnsi="方正小标宋简体" w:eastAsia="方正小标宋简体" w:cs="方正小标宋简体"/>
          <w:color w:val="auto"/>
          <w:kern w:val="2"/>
          <w:sz w:val="40"/>
          <w:szCs w:val="40"/>
          <w:highlight w:val="none"/>
          <w:lang w:val="en-US" w:eastAsia="zh-CN" w:bidi="ar-SA"/>
        </w:rPr>
        <w:t>1</w:t>
      </w:r>
      <w:r>
        <w:rPr>
          <w:rFonts w:hint="eastAsia" w:ascii="方正小标宋简体" w:hAnsi="方正小标宋简体" w:eastAsia="方正小标宋简体" w:cs="方正小标宋简体"/>
          <w:color w:val="auto"/>
          <w:kern w:val="2"/>
          <w:sz w:val="40"/>
          <w:szCs w:val="40"/>
          <w:highlight w:val="none"/>
          <w:lang w:val="en-US" w:eastAsia="zh-CN" w:bidi="ar-SA"/>
        </w:rPr>
        <w:t>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宋体" w:hAnsi="宋体" w:eastAsia="宋体"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w:t>
      </w:r>
      <w:r>
        <w:rPr>
          <w:rFonts w:hint="eastAsia" w:ascii="仿宋_GB2312" w:hAnsi="宋体" w:eastAsia="仿宋_GB2312" w:cs="Times New Roman"/>
          <w:color w:val="auto"/>
          <w:spacing w:val="-6"/>
          <w:sz w:val="32"/>
          <w:szCs w:val="32"/>
        </w:rPr>
        <w:t>资产处置经费项目</w:t>
      </w:r>
      <w:r>
        <w:rPr>
          <w:rFonts w:hint="eastAsia" w:ascii="仿宋_GB2312" w:hAnsi="宋体" w:eastAsia="仿宋_GB2312" w:cs="Times New Roman"/>
          <w:color w:val="auto"/>
          <w:kern w:val="2"/>
          <w:sz w:val="32"/>
          <w:szCs w:val="32"/>
          <w:highlight w:val="none"/>
          <w:lang w:val="zh-CN" w:eastAsia="zh-CN" w:bidi="ar-SA"/>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1</w:t>
      </w:r>
      <w:r>
        <w:rPr>
          <w:rFonts w:hint="eastAsia" w:ascii="仿宋_GB2312" w:hAnsi="宋体" w:eastAsia="仿宋_GB2312" w:cs="Times New Roman"/>
          <w:color w:val="auto"/>
          <w:sz w:val="32"/>
          <w:szCs w:val="32"/>
          <w:highlight w:val="none"/>
          <w:lang w:val="en-US" w:eastAsia="zh-CN"/>
        </w:rPr>
        <w:t>.</w:t>
      </w:r>
      <w:r>
        <w:rPr>
          <w:rFonts w:hint="eastAsia" w:ascii="仿宋_GB2312" w:hAnsi="宋体" w:eastAsia="仿宋_GB2312" w:cs="Times New Roman"/>
          <w:color w:val="auto"/>
          <w:sz w:val="32"/>
          <w:szCs w:val="32"/>
          <w:highlight w:val="none"/>
          <w:lang w:val="zh-CN" w:eastAsia="zh-CN"/>
        </w:rPr>
        <w:t>项目主管部门</w:t>
      </w:r>
      <w:r>
        <w:rPr>
          <w:rFonts w:hint="eastAsia" w:ascii="仿宋_GB2312" w:hAnsi="宋体" w:eastAsia="仿宋_GB2312" w:cs="Times New Roman"/>
          <w:color w:val="auto"/>
          <w:sz w:val="32"/>
          <w:szCs w:val="32"/>
          <w:highlight w:val="none"/>
          <w:lang w:val="en-US" w:eastAsia="zh-CN"/>
        </w:rPr>
        <w:t>为广元市朝天区国有资产事务中心，主要实施该项目</w:t>
      </w:r>
      <w:r>
        <w:rPr>
          <w:rFonts w:hint="eastAsia" w:ascii="仿宋_GB2312" w:hAnsi="宋体" w:eastAsia="仿宋_GB2312" w:cs="Times New Roman"/>
          <w:color w:val="auto"/>
          <w:sz w:val="32"/>
          <w:szCs w:val="32"/>
          <w:highlight w:val="none"/>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eastAsia="zh-CN"/>
        </w:rPr>
        <w:t>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2021年初，申报部门预算项目资产处置费3万元，符合主管部门的职能职责，后经区财政局批复部门预算项目资产处置费3万元，年末无预算调整。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pStyle w:val="2"/>
        <w:ind w:firstLine="640" w:firstLineChars="200"/>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计划规范全区国有资产处置管理工作，促进资产优化配置和合理流动，防止资产流失，逐步建立资产整合、共享、公用机制，提高资产使用效率，降低公共行政成本，促进节约型机关建设。全区所有行政事业单位、学校、卫生系统等数个独立预算单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2．具体的绩效目标：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数量指标：资产管理对象数量，全区所有行政事业单位、学校、卫生系统等数个独立预算单位；每年资产处置次数20次；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质量指标：按照合同约定执行；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时效指标：2021年全年；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成本指标：每次资产处置费用1500元；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经济效益指标：促进国有资产的合理利用，提高使用效率，保障经济总量。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社会效益指标：倡导其降低行政单位成本，提高使用人员的节约意识。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可持续影响指标：通过加强有效的资产处置，使得资产得到优化配置，降低成本。</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满意度指标：资产使用者满意度不低于98%，资产处置部门满意度不低于98%。</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项目应实现的具体绩效目标，包括目标的量化、细化情况以及项目实施进度计划等。</w:t>
      </w:r>
    </w:p>
    <w:p>
      <w:pPr>
        <w:keepNext w:val="0"/>
        <w:keepLines w:val="0"/>
        <w:pageBreakBefore w:val="0"/>
        <w:numPr>
          <w:ilvl w:val="0"/>
          <w:numId w:val="7"/>
        </w:numPr>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项目申报内容与具体实施内容相符、申报目标合理可行。</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FF0000"/>
          <w:sz w:val="32"/>
          <w:szCs w:val="32"/>
          <w:highlight w:val="none"/>
          <w:lang w:val="zh-CN"/>
        </w:rPr>
      </w:pPr>
      <w:r>
        <w:rPr>
          <w:rFonts w:hint="eastAsia" w:ascii="仿宋_GB2312" w:hAnsi="仿宋_GB2312" w:eastAsia="仿宋_GB2312" w:cs="仿宋_GB2312"/>
          <w:sz w:val="32"/>
          <w:szCs w:val="32"/>
          <w:lang w:val="en-US" w:eastAsia="zh-CN" w:bidi="ar"/>
        </w:rPr>
        <w:t>按照《广元市朝天区财政局关于开展2022年部门、政策和项目支出绩效自评工作的通知》（广朝财发〔2022〕28号）文件要求，认真组织开展了2021年度项目支出绩效自评工作,对照年初填报的项目支出绩效目标申报表预设各项工作任务完成绩效指标，搜集相关任务进行数据填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2021年初，申报部门预算项目资产处置费3万元，后经区财政局批复部门预算项目资产处置费3万元，年末无预算调整。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zh-CN"/>
        </w:rPr>
        <w:t>年初预算资产处置经费3万元。到位3万元，资金到位率100%。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w:t>
      </w:r>
      <w:r>
        <w:rPr>
          <w:rFonts w:hint="eastAsia" w:ascii="仿宋_GB2312" w:hAnsi="宋体" w:eastAsia="仿宋_GB2312" w:cs="Times New Roman"/>
          <w:color w:val="auto"/>
          <w:sz w:val="32"/>
          <w:szCs w:val="32"/>
          <w:highlight w:val="none"/>
          <w:lang w:val="zh-CN"/>
        </w:rPr>
        <w:t>到位3万元，资金到位率100%。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年度实际支付3万元，支付依据合规合法，资金支付与预算相符。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2021年度部门项目预算资产处置经费项目，严格执行预算规定，符合法律法规，年初拟定用款计划，严格按照项目资金管理办法对资金进行计划申请、划拨、使用，及时、规范对收支进行账务处理和会计核算。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数量指标：资产管理对象数量，全区所有行政事业单位、学校、卫生系统等数个独立预算单位；每年资产处置次数20次；完成。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质量指标：按照合同约定执行；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时效指标：2021年全年；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成本指标：每次资产处置费用1500元；完成。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经济效益指标：促进国有资产的合理利用，提高使用效率，保障经济总量。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社会效益指标：倡导其降低行政单位成本，提高使用人员的节约意识。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可持续影响指标：通过加强有效的资产处置，使得资产得到优化配置，降低成本。</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满意度指标：资产使用者满意度98%，资产处置部门满意度98%。</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通过对单位</w:t>
      </w:r>
      <w:r>
        <w:rPr>
          <w:rFonts w:hint="eastAsia" w:ascii="仿宋_GB2312" w:hAnsi="宋体" w:eastAsia="仿宋_GB2312" w:cs="Times New Roman"/>
          <w:color w:val="auto"/>
          <w:sz w:val="32"/>
          <w:szCs w:val="32"/>
          <w:highlight w:val="none"/>
          <w:lang w:val="en-US" w:eastAsia="zh-CN"/>
        </w:rPr>
        <w:t>项目</w:t>
      </w:r>
      <w:r>
        <w:rPr>
          <w:rFonts w:hint="eastAsia" w:ascii="仿宋_GB2312" w:hAnsi="宋体" w:eastAsia="仿宋_GB2312" w:cs="Times New Roman"/>
          <w:color w:val="auto"/>
          <w:sz w:val="32"/>
          <w:szCs w:val="32"/>
          <w:highlight w:val="none"/>
          <w:lang w:val="zh-CN"/>
        </w:rPr>
        <w:t>自评评分，评价结果</w:t>
      </w:r>
      <w:r>
        <w:rPr>
          <w:rFonts w:hint="eastAsia" w:ascii="仿宋_GB2312" w:hAnsi="宋体" w:eastAsia="仿宋_GB2312" w:cs="Times New Roman"/>
          <w:color w:val="auto"/>
          <w:sz w:val="32"/>
          <w:szCs w:val="32"/>
          <w:highlight w:val="none"/>
          <w:lang w:val="en-US" w:eastAsia="zh-CN"/>
        </w:rPr>
        <w:t>100</w:t>
      </w:r>
      <w:r>
        <w:rPr>
          <w:rFonts w:hint="eastAsia" w:ascii="仿宋_GB2312" w:hAnsi="宋体" w:eastAsia="仿宋_GB2312" w:cs="Times New Roman"/>
          <w:color w:val="auto"/>
          <w:sz w:val="32"/>
          <w:szCs w:val="32"/>
          <w:highlight w:val="none"/>
          <w:lang w:val="zh-CN"/>
        </w:rPr>
        <w:t>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ind w:firstLine="640" w:firstLineChars="200"/>
        <w:rPr>
          <w:rFonts w:hint="eastAsia"/>
          <w:color w:val="auto"/>
          <w:highlight w:val="none"/>
          <w:lang w:val="zh-CN"/>
        </w:rPr>
      </w:pPr>
      <w:r>
        <w:rPr>
          <w:rFonts w:hint="eastAsia" w:ascii="仿宋_GB2312" w:hAnsi="宋体" w:eastAsia="仿宋_GB2312" w:cs="Times New Roman"/>
          <w:color w:val="auto"/>
          <w:sz w:val="32"/>
          <w:szCs w:val="32"/>
          <w:highlight w:val="none"/>
          <w:lang w:val="zh-CN"/>
        </w:rPr>
        <w:t>后续将按照财政项目支出绩效管理的要求，建立科学的财政资金效益考评制度体系，不断提高财政资金的利用效率。</w:t>
      </w:r>
    </w:p>
    <w:p>
      <w:pPr>
        <w:pStyle w:val="2"/>
        <w:rPr>
          <w:rFonts w:hint="eastAsia"/>
          <w:color w:val="auto"/>
          <w:highlight w:val="none"/>
          <w:lang w:val="zh-CN"/>
        </w:rPr>
      </w:pPr>
    </w:p>
    <w:p>
      <w:pPr>
        <w:pStyle w:val="2"/>
        <w:rPr>
          <w:rFonts w:hint="eastAsia"/>
          <w:color w:val="FF0000"/>
          <w:highlight w:val="none"/>
          <w:lang w:val="zh-CN"/>
        </w:rPr>
      </w:pPr>
    </w:p>
    <w:p>
      <w:pPr>
        <w:rPr>
          <w:rFonts w:hint="eastAsia"/>
          <w:color w:val="FF0000"/>
          <w:highlight w:val="none"/>
          <w:lang w:val="zh-CN"/>
        </w:rPr>
      </w:pPr>
    </w:p>
    <w:p>
      <w:pPr>
        <w:pStyle w:val="2"/>
        <w:rPr>
          <w:rFonts w:hint="eastAsia"/>
          <w:color w:val="auto"/>
          <w:highlight w:val="none"/>
          <w:lang w:val="zh-CN"/>
        </w:rPr>
      </w:pPr>
      <w:r>
        <w:rPr>
          <w:rFonts w:hint="eastAsia"/>
          <w:color w:val="auto"/>
          <w:highlight w:val="none"/>
          <w:lang w:val="en-US" w:eastAsia="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206"/>
        <w:gridCol w:w="1207"/>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广元市朝天区国有资产事务中心</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广元市朝天区国有资产事务中心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398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计划规范全区国有资产处置管理工作，促进资产优化配置和合理流动，防止资产流失，逐步建立资产整合、共享、公用机制，提高资产使用效率，降低公共行政成本，促进节约型机关建设。全区所有行政事业单位、学校、卫生系统等数个独立预算单位。</w:t>
            </w:r>
          </w:p>
        </w:tc>
        <w:tc>
          <w:tcPr>
            <w:tcW w:w="36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计划规范全区国有资产处置管理工作，促进资产优化配置和合理流动，防止资产流失，逐步建立资产整合、共享、公用机制，提高资产使用效率，降低公共行政成本，促进节约型机关建设。全区所有行政事业单位、学校、卫生系统等数个独立预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37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资产管理对象数量</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全区所有行政事业单位、学校、卫生系统等数个独立预算单位。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全区所有行政事业单位、学校、卫生系统等数个独立预算单位。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83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每年资产处置次数</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时限</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每次资产处置费用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1500元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3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资产处置对经济发展的影响</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促进国有资产的合理利用，提高使用效率，保障经济总量。</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促进国有资产的合理利用，提高使用效率，保障经济总量。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对行政单位工作者的影响</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倡导其降低行政单位成本，提高使用人员的节约意识。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倡导其降低行政单位成本，提高使用人员的节约意识。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1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资产配置</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通过加强有效的资产处置，使得资产得到优化配置，降低成本。</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通过加强有效的资产处置，使得资产得到优化配置，降低成本。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1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资产使用者</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满意度不低于98%。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1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资产处置部门。</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满意度不低于98%。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98%</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spacing w:line="580" w:lineRule="exact"/>
        <w:rPr>
          <w:rStyle w:val="24"/>
          <w:rFonts w:ascii="黑体" w:hAnsi="黑体" w:eastAsia="黑体"/>
          <w:b w:val="0"/>
          <w:color w:val="FF0000"/>
          <w:highlight w:val="none"/>
        </w:rPr>
      </w:pPr>
    </w:p>
    <w:p>
      <w:pPr>
        <w:pStyle w:val="2"/>
        <w:rPr>
          <w:rFonts w:hint="eastAsia"/>
          <w:color w:val="auto"/>
          <w:highlight w:val="none"/>
          <w:lang w:val="zh-CN"/>
        </w:rPr>
      </w:pPr>
      <w:r>
        <w:rPr>
          <w:rStyle w:val="24"/>
          <w:rFonts w:ascii="黑体" w:hAnsi="黑体" w:eastAsia="黑体"/>
          <w:b w:val="0"/>
          <w:color w:val="FF0000"/>
          <w:highlight w:val="none"/>
        </w:rPr>
        <w:br w:type="page"/>
      </w: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宋体" w:hAnsi="宋体" w:eastAsia="宋体"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（政府资产报告会议、业务培训费）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1.项目主管部门为广元市朝天区国有资产事务中心，主要实施该项目。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2021年初，申报部门预算项目政府资产报告会议、业务培训费</w:t>
      </w:r>
      <w:r>
        <w:rPr>
          <w:rFonts w:hint="eastAsia" w:ascii="仿宋_GB2312" w:hAnsi="宋体" w:eastAsia="仿宋_GB2312" w:cs="Times New Roman"/>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万元，符合主管部门的职能职责，后经区财政局批复部门预算项目政府资产报告会议、业务培训费</w:t>
      </w:r>
      <w:r>
        <w:rPr>
          <w:rFonts w:hint="eastAsia" w:ascii="仿宋_GB2312" w:hAnsi="宋体" w:eastAsia="仿宋_GB2312" w:cs="Times New Roman"/>
          <w:color w:val="auto"/>
          <w:sz w:val="32"/>
          <w:szCs w:val="32"/>
          <w:highlight w:val="none"/>
          <w:lang w:val="en-US" w:eastAsia="zh-CN"/>
        </w:rPr>
        <w:t>4</w:t>
      </w:r>
      <w:r>
        <w:rPr>
          <w:rFonts w:hint="eastAsia" w:ascii="仿宋_GB2312" w:hAnsi="宋体" w:eastAsia="仿宋_GB2312" w:cs="Times New Roman"/>
          <w:color w:val="auto"/>
          <w:sz w:val="32"/>
          <w:szCs w:val="32"/>
          <w:highlight w:val="none"/>
          <w:lang w:val="zh-CN"/>
        </w:rPr>
        <w:t>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r>
        <w:rPr>
          <w:rFonts w:hint="default" w:ascii="仿宋_GB2312" w:hAnsi="宋体" w:eastAsia="仿宋_GB2312" w:cs="Times New Roman"/>
          <w:color w:val="auto"/>
          <w:sz w:val="32"/>
          <w:szCs w:val="32"/>
          <w:highlight w:val="none"/>
          <w:lang w:val="en-US"/>
        </w:rPr>
        <w:t>:完成政府资产报告业务工作培训1年3次，会议1年2次。提升干部的工作效率。通过进行对政府资产的业务培训等，提升对这项工作的认识。有效的完成政府资产报告。提高政府资产报告的可用性，提高干部的业务能力以及对于政府资产新的认识，创新工作方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2．具体绩效目标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数量指标：完成政府</w:t>
      </w:r>
      <w:r>
        <w:rPr>
          <w:rFonts w:hint="eastAsia" w:ascii="仿宋_GB2312" w:hAnsi="宋体" w:eastAsia="仿宋_GB2312" w:cs="Times New Roman"/>
          <w:color w:val="auto"/>
          <w:sz w:val="32"/>
          <w:szCs w:val="32"/>
          <w:highlight w:val="none"/>
          <w:lang w:val="en-US" w:eastAsia="zh-CN"/>
        </w:rPr>
        <w:t>资产</w:t>
      </w:r>
      <w:r>
        <w:rPr>
          <w:rFonts w:hint="eastAsia" w:ascii="仿宋_GB2312" w:hAnsi="宋体" w:eastAsia="仿宋_GB2312" w:cs="Times New Roman"/>
          <w:color w:val="auto"/>
          <w:sz w:val="32"/>
          <w:szCs w:val="32"/>
          <w:highlight w:val="none"/>
          <w:lang w:val="zh-CN"/>
        </w:rPr>
        <w:t>报告业务工作培训1年3次，完成政府</w:t>
      </w:r>
      <w:r>
        <w:rPr>
          <w:rFonts w:hint="eastAsia" w:ascii="仿宋_GB2312" w:hAnsi="宋体" w:eastAsia="仿宋_GB2312" w:cs="Times New Roman"/>
          <w:color w:val="auto"/>
          <w:sz w:val="32"/>
          <w:szCs w:val="32"/>
          <w:highlight w:val="none"/>
          <w:lang w:val="en-US" w:eastAsia="zh-CN"/>
        </w:rPr>
        <w:t>资产</w:t>
      </w:r>
      <w:r>
        <w:rPr>
          <w:rFonts w:hint="eastAsia" w:ascii="仿宋_GB2312" w:hAnsi="宋体" w:eastAsia="仿宋_GB2312" w:cs="Times New Roman"/>
          <w:color w:val="auto"/>
          <w:sz w:val="32"/>
          <w:szCs w:val="32"/>
          <w:highlight w:val="none"/>
          <w:lang w:val="zh-CN"/>
        </w:rPr>
        <w:t>报告业务会议1年2次。</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质量指标：按照合同约定执行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时效指标：2021年内</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成本指标：每次培训预计发生的费用6667元；每次会议业务费用</w:t>
      </w:r>
      <w:r>
        <w:rPr>
          <w:rFonts w:hint="eastAsia" w:ascii="仿宋_GB2312" w:hAnsi="宋体" w:eastAsia="仿宋_GB2312" w:cs="Times New Roman"/>
          <w:color w:val="auto"/>
          <w:sz w:val="32"/>
          <w:szCs w:val="32"/>
          <w:highlight w:val="none"/>
          <w:lang w:val="zh-CN"/>
        </w:rPr>
        <w:tab/>
      </w:r>
      <w:r>
        <w:rPr>
          <w:rFonts w:hint="eastAsia" w:ascii="仿宋_GB2312" w:hAnsi="宋体" w:eastAsia="仿宋_GB2312" w:cs="Times New Roman"/>
          <w:color w:val="auto"/>
          <w:sz w:val="32"/>
          <w:szCs w:val="32"/>
          <w:highlight w:val="none"/>
          <w:lang w:val="zh-CN"/>
        </w:rPr>
        <w:t>10000元。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可持续影响指标：通过进行对政府资产的业务培训等，提升对这项工作的认识。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满意度指标：政府资产报告服务者满意度不低于98%，培训人员、国资中心工作人员满意度不低于98%。</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按照《广元市朝天区财政局关于开展2022年部门、政策和项目支出绩效自评工作的通知》（广朝财发〔2022〕28号）文件要求，认真组织开展了2021年度项目支出绩效自评工作,对照年初填报的项目支出绩效目标申报表预设各项工作任务完成绩效指标，搜集相关任务进行数据填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2021年初，申报部门预算项目政府资产报告会议、业务培训费</w:t>
      </w:r>
      <w:r>
        <w:rPr>
          <w:rFonts w:hint="default" w:ascii="仿宋_GB2312" w:hAnsi="宋体" w:eastAsia="仿宋_GB2312" w:cs="Times New Roman"/>
          <w:color w:val="auto"/>
          <w:sz w:val="32"/>
          <w:szCs w:val="32"/>
          <w:highlight w:val="none"/>
          <w:lang w:val="en-US"/>
        </w:rPr>
        <w:t>4</w:t>
      </w:r>
      <w:r>
        <w:rPr>
          <w:rFonts w:hint="eastAsia" w:ascii="仿宋_GB2312" w:hAnsi="宋体" w:eastAsia="仿宋_GB2312" w:cs="Times New Roman"/>
          <w:color w:val="auto"/>
          <w:sz w:val="32"/>
          <w:szCs w:val="32"/>
          <w:highlight w:val="none"/>
          <w:lang w:val="zh-CN"/>
        </w:rPr>
        <w:t>万元，后经区财政局批复部门预算项目政府资产报告会议、业务培训费</w:t>
      </w:r>
      <w:r>
        <w:rPr>
          <w:rFonts w:hint="default" w:ascii="仿宋_GB2312" w:hAnsi="宋体" w:eastAsia="仿宋_GB2312" w:cs="Times New Roman"/>
          <w:color w:val="auto"/>
          <w:sz w:val="32"/>
          <w:szCs w:val="32"/>
          <w:highlight w:val="none"/>
          <w:lang w:val="en-US"/>
        </w:rPr>
        <w:t>4</w:t>
      </w:r>
      <w:r>
        <w:rPr>
          <w:rFonts w:hint="eastAsia" w:ascii="仿宋_GB2312" w:hAnsi="宋体" w:eastAsia="仿宋_GB2312" w:cs="Times New Roman"/>
          <w:color w:val="auto"/>
          <w:sz w:val="32"/>
          <w:szCs w:val="32"/>
          <w:highlight w:val="none"/>
          <w:lang w:val="zh-CN"/>
        </w:rPr>
        <w:t>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zh-CN"/>
        </w:rPr>
        <w:t>年初预算政府资产报告会议、业务培训费4万元。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w:t>
      </w:r>
      <w:r>
        <w:rPr>
          <w:rFonts w:hint="eastAsia" w:ascii="仿宋_GB2312" w:hAnsi="宋体" w:eastAsia="仿宋_GB2312" w:cs="Times New Roman"/>
          <w:color w:val="auto"/>
          <w:sz w:val="32"/>
          <w:szCs w:val="32"/>
          <w:highlight w:val="none"/>
          <w:lang w:val="zh-CN"/>
        </w:rPr>
        <w:t>到位4万元，资金到位率100%。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年度实际支付4万元，支付依据合规合法，资金支付与预算相符。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度部门项目预算政府资产报告会议、业务培训费项目，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数量指标：完成政府</w:t>
      </w:r>
      <w:r>
        <w:rPr>
          <w:rFonts w:hint="eastAsia" w:ascii="仿宋_GB2312" w:hAnsi="宋体" w:eastAsia="仿宋_GB2312" w:cs="Times New Roman"/>
          <w:color w:val="auto"/>
          <w:sz w:val="32"/>
          <w:szCs w:val="32"/>
          <w:highlight w:val="none"/>
          <w:lang w:val="en-US" w:eastAsia="zh-CN"/>
        </w:rPr>
        <w:t>资产</w:t>
      </w:r>
      <w:r>
        <w:rPr>
          <w:rFonts w:hint="eastAsia" w:ascii="仿宋_GB2312" w:hAnsi="宋体" w:eastAsia="仿宋_GB2312" w:cs="Times New Roman"/>
          <w:color w:val="auto"/>
          <w:sz w:val="32"/>
          <w:szCs w:val="32"/>
          <w:highlight w:val="none"/>
          <w:lang w:val="zh-CN"/>
        </w:rPr>
        <w:t>报告业务工作培训1年3次，完成政府</w:t>
      </w:r>
      <w:r>
        <w:rPr>
          <w:rFonts w:hint="eastAsia" w:ascii="仿宋_GB2312" w:hAnsi="宋体" w:eastAsia="仿宋_GB2312" w:cs="Times New Roman"/>
          <w:color w:val="auto"/>
          <w:sz w:val="32"/>
          <w:szCs w:val="32"/>
          <w:highlight w:val="none"/>
          <w:lang w:val="en-US" w:eastAsia="zh-CN"/>
        </w:rPr>
        <w:t>资产</w:t>
      </w:r>
      <w:r>
        <w:rPr>
          <w:rFonts w:hint="eastAsia" w:ascii="仿宋_GB2312" w:hAnsi="宋体" w:eastAsia="仿宋_GB2312" w:cs="Times New Roman"/>
          <w:color w:val="auto"/>
          <w:sz w:val="32"/>
          <w:szCs w:val="32"/>
          <w:highlight w:val="none"/>
          <w:lang w:val="zh-CN"/>
        </w:rPr>
        <w:t>报告业务会议1年2次。完成。</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质量指标：按照合同约定执行。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时效指标：2021年内。</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成本指标：每次培训预计发生的费用6667元；每次会议业务费用</w:t>
      </w:r>
      <w:r>
        <w:rPr>
          <w:rFonts w:hint="eastAsia" w:ascii="仿宋_GB2312" w:hAnsi="宋体" w:eastAsia="仿宋_GB2312" w:cs="Times New Roman"/>
          <w:color w:val="auto"/>
          <w:sz w:val="32"/>
          <w:szCs w:val="32"/>
          <w:highlight w:val="none"/>
          <w:lang w:val="zh-CN"/>
        </w:rPr>
        <w:tab/>
      </w:r>
      <w:r>
        <w:rPr>
          <w:rFonts w:hint="eastAsia" w:ascii="仿宋_GB2312" w:hAnsi="宋体" w:eastAsia="仿宋_GB2312" w:cs="Times New Roman"/>
          <w:color w:val="auto"/>
          <w:sz w:val="32"/>
          <w:szCs w:val="32"/>
          <w:highlight w:val="none"/>
          <w:lang w:val="zh-CN"/>
        </w:rPr>
        <w:t>10000元，完成。</w:t>
      </w:r>
    </w:p>
    <w:p>
      <w:pPr>
        <w:keepNext w:val="0"/>
        <w:keepLines w:val="0"/>
        <w:pageBreakBefore w:val="0"/>
        <w:numPr>
          <w:ilvl w:val="0"/>
          <w:numId w:val="8"/>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项目效益情况。</w:t>
      </w:r>
    </w:p>
    <w:p>
      <w:pPr>
        <w:pStyle w:val="2"/>
        <w:numPr>
          <w:ilvl w:val="0"/>
          <w:numId w:val="0"/>
        </w:numPr>
        <w:rPr>
          <w:rFonts w:hint="default" w:ascii="仿宋_GB2312" w:hAnsi="宋体" w:eastAsia="仿宋_GB2312" w:cs="Times New Roman"/>
          <w:color w:val="auto"/>
          <w:kern w:val="2"/>
          <w:sz w:val="32"/>
          <w:szCs w:val="32"/>
          <w:highlight w:val="none"/>
          <w:lang w:val="en-US" w:eastAsia="zh-CN" w:bidi="ar-SA"/>
        </w:rPr>
      </w:pPr>
      <w:r>
        <w:rPr>
          <w:rFonts w:hint="default"/>
          <w:lang w:val="en-US"/>
        </w:rPr>
        <w:t xml:space="preserve">     </w:t>
      </w:r>
      <w:r>
        <w:rPr>
          <w:rFonts w:hint="default" w:ascii="仿宋_GB2312" w:hAnsi="宋体" w:eastAsia="仿宋_GB2312" w:cs="Times New Roman"/>
          <w:color w:val="auto"/>
          <w:kern w:val="2"/>
          <w:sz w:val="32"/>
          <w:szCs w:val="32"/>
          <w:highlight w:val="none"/>
          <w:lang w:val="en-US" w:eastAsia="zh-CN" w:bidi="ar-SA"/>
        </w:rPr>
        <w:t>可持续影响指标：通过进行对政府资产的业务培训等，提升对这项工作的认识。</w:t>
      </w:r>
    </w:p>
    <w:p>
      <w:pPr>
        <w:pStyle w:val="2"/>
        <w:numPr>
          <w:ilvl w:val="0"/>
          <w:numId w:val="0"/>
        </w:numPr>
        <w:ind w:firstLine="800" w:firstLineChars="250"/>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满意度指标：政府资产报告服务者满意度99%，培训人员、国资中心工作人员满意度99%。</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通过对单位项目自评评分，评价结果100分。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ind w:firstLine="640" w:firstLineChars="200"/>
        <w:rPr>
          <w:rFonts w:hint="eastAsia"/>
          <w:color w:val="auto"/>
          <w:highlight w:val="none"/>
          <w:lang w:val="zh-CN"/>
        </w:rPr>
      </w:pPr>
      <w:r>
        <w:rPr>
          <w:rFonts w:hint="eastAsia" w:ascii="仿宋_GB2312" w:hAnsi="宋体" w:eastAsia="仿宋_GB2312" w:cs="Times New Roman"/>
          <w:color w:val="auto"/>
          <w:sz w:val="32"/>
          <w:szCs w:val="32"/>
          <w:highlight w:val="none"/>
          <w:lang w:val="zh-CN"/>
        </w:rPr>
        <w:t>后续将按照财政项目支出绩效管理的要求，建立科学的财政资金效益考评制度体系，不断提高财政资金的利用效率，加强预算的执行力度。</w:t>
      </w:r>
    </w:p>
    <w:p>
      <w:pPr>
        <w:pStyle w:val="2"/>
        <w:rPr>
          <w:rFonts w:hint="eastAsia"/>
          <w:color w:val="FF0000"/>
          <w:highlight w:val="none"/>
          <w:lang w:val="zh-CN"/>
        </w:rPr>
      </w:pPr>
    </w:p>
    <w:p>
      <w:pPr>
        <w:pStyle w:val="2"/>
        <w:rPr>
          <w:rFonts w:hint="eastAsia"/>
          <w:color w:val="FF0000"/>
          <w:highlight w:val="none"/>
          <w:lang w:val="zh-CN"/>
        </w:rPr>
      </w:pPr>
    </w:p>
    <w:p>
      <w:pPr>
        <w:pStyle w:val="2"/>
        <w:rPr>
          <w:rFonts w:hint="eastAsia"/>
          <w:color w:val="FF0000"/>
          <w:highlight w:val="none"/>
          <w:lang w:val="zh-CN"/>
        </w:rPr>
      </w:pPr>
    </w:p>
    <w:p>
      <w:pPr>
        <w:pStyle w:val="2"/>
        <w:rPr>
          <w:rFonts w:hint="eastAsia"/>
          <w:color w:val="FF0000"/>
          <w:highlight w:val="none"/>
          <w:lang w:val="zh-CN"/>
        </w:rPr>
      </w:pPr>
    </w:p>
    <w:p>
      <w:pPr>
        <w:pStyle w:val="2"/>
        <w:rPr>
          <w:rFonts w:hint="eastAsia"/>
          <w:color w:val="FF0000"/>
          <w:highlight w:val="none"/>
          <w:lang w:val="zh-CN"/>
        </w:rPr>
      </w:pPr>
    </w:p>
    <w:p>
      <w:pPr>
        <w:pStyle w:val="2"/>
        <w:rPr>
          <w:rFonts w:hint="eastAsia"/>
          <w:color w:val="FF0000"/>
          <w:highlight w:val="none"/>
          <w:lang w:val="zh-CN"/>
        </w:rPr>
      </w:pPr>
    </w:p>
    <w:p>
      <w:pPr>
        <w:pStyle w:val="2"/>
        <w:rPr>
          <w:rFonts w:hint="eastAsia"/>
          <w:color w:val="FF0000"/>
          <w:highlight w:val="none"/>
          <w:lang w:val="zh-CN"/>
        </w:rPr>
      </w:pPr>
    </w:p>
    <w:p>
      <w:pPr>
        <w:rPr>
          <w:rFonts w:hint="eastAsia"/>
          <w:color w:val="FF0000"/>
          <w:highlight w:val="none"/>
          <w:lang w:val="zh-CN"/>
        </w:rPr>
      </w:pPr>
    </w:p>
    <w:p>
      <w:pPr>
        <w:pStyle w:val="2"/>
        <w:rPr>
          <w:rFonts w:hint="eastAsia"/>
          <w:color w:val="FF0000"/>
          <w:highlight w:val="none"/>
          <w:lang w:val="zh-CN"/>
        </w:rPr>
      </w:pPr>
    </w:p>
    <w:p>
      <w:pPr>
        <w:rPr>
          <w:rFonts w:hint="eastAsia"/>
          <w:color w:val="FF0000"/>
          <w:highlight w:val="none"/>
          <w:lang w:val="zh-CN"/>
        </w:rPr>
      </w:pPr>
    </w:p>
    <w:p>
      <w:pPr>
        <w:pStyle w:val="2"/>
        <w:rPr>
          <w:rFonts w:hint="eastAsia"/>
          <w:color w:val="FF0000"/>
          <w:highlight w:val="none"/>
          <w:lang w:val="zh-CN"/>
        </w:rPr>
      </w:pPr>
    </w:p>
    <w:p>
      <w:pPr>
        <w:rPr>
          <w:rFonts w:hint="eastAsia"/>
          <w:color w:val="FF0000"/>
          <w:highlight w:val="none"/>
          <w:lang w:val="zh-CN"/>
        </w:rPr>
      </w:pPr>
    </w:p>
    <w:p>
      <w:pPr>
        <w:pStyle w:val="2"/>
        <w:rPr>
          <w:rFonts w:hint="default" w:eastAsia="仿宋_GB2312"/>
          <w:lang w:val="en-US" w:eastAsia="zh-CN"/>
        </w:rPr>
      </w:pPr>
      <w:r>
        <w:rPr>
          <w:rFonts w:hint="eastAsia"/>
          <w:lang w:val="en-US" w:eastAsia="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rPr>
              <w:t>广元市朝天区国有资产事务中心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rPr>
              <w:t>广元市朝天区国有资产事务中心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完成政府资产报告业务工作培训1年3次，会议1年2次。提升干部的工作效率。通过进行对政府资产的业务培训等，提升对这项工作的认识。有效的完成政府资产报告。提高政府资产报告的可用性，提高干部的业务能力以及对于政府资产新的认识，创新工作方式。</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完成政府资产报告业务工作培训1年3次，会议1年2次。提升干部的工作效率。通过进行对政府资产的业务培训等，提升对这项工作的认识。有效的完成政府资产报告。提高政府资产报告的可用性，提高干部的业务能力以及对于政府资产新的认识，创新工作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培训次数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完成政府</w:t>
            </w:r>
            <w:r>
              <w:rPr>
                <w:rFonts w:hint="eastAsia" w:ascii="仿宋_GB2312" w:hAnsi="仿宋_GB2312" w:eastAsia="仿宋_GB2312" w:cs="仿宋_GB2312"/>
                <w:i w:val="0"/>
                <w:color w:val="auto"/>
                <w:sz w:val="24"/>
                <w:szCs w:val="24"/>
                <w:highlight w:val="none"/>
                <w:u w:val="none"/>
                <w:lang w:val="en-US" w:eastAsia="zh-CN"/>
              </w:rPr>
              <w:t>资产</w:t>
            </w:r>
            <w:r>
              <w:rPr>
                <w:rFonts w:hint="eastAsia" w:ascii="仿宋_GB2312" w:hAnsi="仿宋_GB2312" w:eastAsia="仿宋_GB2312" w:cs="仿宋_GB2312"/>
                <w:i w:val="0"/>
                <w:color w:val="auto"/>
                <w:sz w:val="24"/>
                <w:szCs w:val="24"/>
                <w:highlight w:val="none"/>
                <w:u w:val="none"/>
              </w:rPr>
              <w:t>报告业务工作培训1年3次。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完成政府</w:t>
            </w:r>
            <w:r>
              <w:rPr>
                <w:rFonts w:hint="eastAsia" w:ascii="仿宋_GB2312" w:hAnsi="仿宋_GB2312" w:eastAsia="仿宋_GB2312" w:cs="仿宋_GB2312"/>
                <w:i w:val="0"/>
                <w:color w:val="auto"/>
                <w:sz w:val="24"/>
                <w:szCs w:val="24"/>
                <w:highlight w:val="none"/>
                <w:u w:val="none"/>
                <w:lang w:val="en-US" w:eastAsia="zh-CN"/>
              </w:rPr>
              <w:t>资产</w:t>
            </w:r>
            <w:r>
              <w:rPr>
                <w:rFonts w:hint="eastAsia" w:ascii="仿宋_GB2312" w:hAnsi="仿宋_GB2312" w:eastAsia="仿宋_GB2312" w:cs="仿宋_GB2312"/>
                <w:i w:val="0"/>
                <w:color w:val="auto"/>
                <w:sz w:val="24"/>
                <w:szCs w:val="24"/>
                <w:highlight w:val="none"/>
                <w:u w:val="none"/>
              </w:rPr>
              <w:t>报告业务工作培训1年3次。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68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会议次数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完成政府</w:t>
            </w:r>
            <w:r>
              <w:rPr>
                <w:rFonts w:hint="eastAsia" w:ascii="仿宋_GB2312" w:hAnsi="仿宋_GB2312" w:eastAsia="仿宋_GB2312" w:cs="仿宋_GB2312"/>
                <w:i w:val="0"/>
                <w:color w:val="auto"/>
                <w:sz w:val="24"/>
                <w:szCs w:val="24"/>
                <w:highlight w:val="none"/>
                <w:u w:val="none"/>
                <w:lang w:val="en-US" w:eastAsia="zh-CN"/>
              </w:rPr>
              <w:t>资产</w:t>
            </w:r>
            <w:r>
              <w:rPr>
                <w:rFonts w:hint="eastAsia" w:ascii="仿宋_GB2312" w:hAnsi="仿宋_GB2312" w:eastAsia="仿宋_GB2312" w:cs="仿宋_GB2312"/>
                <w:i w:val="0"/>
                <w:color w:val="auto"/>
                <w:sz w:val="24"/>
                <w:szCs w:val="24"/>
                <w:highlight w:val="none"/>
                <w:u w:val="none"/>
              </w:rPr>
              <w:t>报告业务会议1年2次。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w:t>
            </w:r>
            <w:r>
              <w:rPr>
                <w:rFonts w:hint="eastAsia" w:ascii="仿宋_GB2312" w:hAnsi="仿宋_GB2312" w:eastAsia="仿宋_GB2312" w:cs="仿宋_GB2312"/>
                <w:i w:val="0"/>
                <w:color w:val="auto"/>
                <w:sz w:val="24"/>
                <w:szCs w:val="24"/>
                <w:highlight w:val="none"/>
                <w:u w:val="none"/>
                <w:lang w:eastAsia="zh-CN"/>
              </w:rPr>
              <w:t>政府资产报告</w:t>
            </w:r>
            <w:r>
              <w:rPr>
                <w:rFonts w:hint="eastAsia" w:ascii="仿宋_GB2312" w:hAnsi="仿宋_GB2312" w:eastAsia="仿宋_GB2312" w:cs="仿宋_GB2312"/>
                <w:i w:val="0"/>
                <w:color w:val="auto"/>
                <w:sz w:val="24"/>
                <w:szCs w:val="24"/>
                <w:highlight w:val="none"/>
                <w:u w:val="none"/>
              </w:rPr>
              <w:t>业务会议1年2次。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0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按照合同约定执行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2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具体完成时间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2021年内</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每次培训预计发生的费用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6667元。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6667元。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9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每次会议业务费用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10000元。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7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政府工作报告完成效果影响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通过进行对政府资产的业务培训等，提升对这项工作的认识。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通过进行对政府资产的业务培训等，提升对这项工作的认识。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535"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政府资产报告服务者满意度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满意度不低于98%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85"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培训人员、国资中心工作人员满意度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满意度不低于98%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99%</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rPr>
          <w:rFonts w:hint="eastAsia"/>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宋体" w:hAnsi="宋体" w:eastAsia="宋体"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（曾家山景区人员经费）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1．项目主管部门为广元市朝天区国有资产事务中心，</w:t>
      </w:r>
      <w:r>
        <w:rPr>
          <w:rFonts w:hint="eastAsia" w:ascii="仿宋_GB2312" w:hAnsi="宋体" w:eastAsia="仿宋_GB2312" w:cs="Times New Roman"/>
          <w:color w:val="auto"/>
          <w:sz w:val="32"/>
          <w:szCs w:val="32"/>
          <w:highlight w:val="none"/>
          <w:lang w:val="en-US" w:eastAsia="zh-CN"/>
        </w:rPr>
        <w:t>项目实施的主体为曾家山景区服务中心</w:t>
      </w:r>
      <w:r>
        <w:rPr>
          <w:rFonts w:hint="eastAsia" w:ascii="仿宋_GB2312" w:hAnsi="宋体" w:eastAsia="仿宋_GB2312" w:cs="Times New Roman"/>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w:t>
      </w:r>
      <w:r>
        <w:rPr>
          <w:rFonts w:hint="eastAsia" w:ascii="仿宋_GB2312" w:hAnsi="宋体" w:eastAsia="仿宋_GB2312" w:cs="Times New Roman"/>
          <w:color w:val="auto"/>
          <w:sz w:val="32"/>
          <w:szCs w:val="32"/>
          <w:highlight w:val="none"/>
          <w:lang w:val="zh-CN" w:eastAsia="zh-CN"/>
        </w:rPr>
        <w:t>曾家山景</w:t>
      </w:r>
      <w:r>
        <w:rPr>
          <w:rFonts w:hint="eastAsia" w:ascii="仿宋_GB2312" w:hAnsi="宋体" w:eastAsia="仿宋_GB2312" w:cs="Times New Roman"/>
          <w:color w:val="auto"/>
          <w:sz w:val="32"/>
          <w:szCs w:val="32"/>
          <w:highlight w:val="none"/>
          <w:lang w:val="zh-CN"/>
        </w:rPr>
        <w:t>区人员经费主要用于曾家山景区</w:t>
      </w:r>
      <w:r>
        <w:rPr>
          <w:rFonts w:hint="eastAsia" w:ascii="仿宋_GB2312" w:hAnsi="宋体" w:eastAsia="仿宋_GB2312" w:cs="Times New Roman"/>
          <w:color w:val="auto"/>
          <w:sz w:val="32"/>
          <w:szCs w:val="32"/>
          <w:highlight w:val="none"/>
          <w:lang w:val="en-US" w:eastAsia="zh-CN"/>
        </w:rPr>
        <w:t>临聘</w:t>
      </w:r>
      <w:r>
        <w:rPr>
          <w:rFonts w:hint="eastAsia" w:ascii="仿宋_GB2312" w:hAnsi="宋体" w:eastAsia="仿宋_GB2312" w:cs="Times New Roman"/>
          <w:color w:val="auto"/>
          <w:sz w:val="32"/>
          <w:szCs w:val="32"/>
          <w:highlight w:val="none"/>
          <w:lang w:val="zh-CN"/>
        </w:rPr>
        <w:t>工作人员全年的工资、保险和公积金等费用支出。景区人员经费根据上年度人员工资、保险、公积金等经费需求进行申报。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3．</w:t>
      </w:r>
      <w:r>
        <w:rPr>
          <w:rFonts w:hint="eastAsia" w:ascii="仿宋_GB2312" w:hAnsi="宋体" w:eastAsia="仿宋_GB2312" w:cs="Times New Roman"/>
          <w:color w:val="auto"/>
          <w:sz w:val="32"/>
          <w:szCs w:val="32"/>
          <w:highlight w:val="none"/>
          <w:lang w:val="en-US" w:eastAsia="zh-CN"/>
        </w:rPr>
        <w:t>符合</w:t>
      </w:r>
      <w:r>
        <w:rPr>
          <w:rFonts w:hint="eastAsia" w:ascii="仿宋_GB2312" w:hAnsi="宋体" w:eastAsia="仿宋_GB2312" w:cs="Times New Roman"/>
          <w:color w:val="auto"/>
          <w:sz w:val="32"/>
          <w:szCs w:val="32"/>
          <w:highlight w:val="none"/>
          <w:lang w:val="zh-CN"/>
        </w:rPr>
        <w:t>资金管理办法</w:t>
      </w:r>
      <w:r>
        <w:rPr>
          <w:rFonts w:hint="eastAsia" w:ascii="仿宋_GB2312" w:hAnsi="宋体" w:eastAsia="仿宋_GB2312" w:cs="Times New Roman"/>
          <w:color w:val="auto"/>
          <w:sz w:val="32"/>
          <w:szCs w:val="32"/>
          <w:highlight w:val="none"/>
          <w:lang w:val="en-US" w:eastAsia="zh-CN"/>
        </w:rPr>
        <w:t>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r>
        <w:rPr>
          <w:rFonts w:hint="eastAsia" w:ascii="仿宋_GB2312" w:hAnsi="宋体" w:eastAsia="仿宋_GB2312" w:cs="Times New Roman"/>
          <w:color w:val="auto"/>
          <w:sz w:val="32"/>
          <w:szCs w:val="32"/>
          <w:highlight w:val="none"/>
          <w:lang w:val="en-US" w:eastAsia="zh-CN"/>
        </w:rPr>
        <w:t>曾家山</w:t>
      </w:r>
      <w:r>
        <w:rPr>
          <w:rFonts w:hint="eastAsia" w:ascii="仿宋_GB2312" w:hAnsi="宋体" w:eastAsia="仿宋_GB2312" w:cs="Times New Roman"/>
          <w:color w:val="auto"/>
          <w:sz w:val="32"/>
          <w:szCs w:val="32"/>
          <w:highlight w:val="none"/>
          <w:lang w:val="zh-CN"/>
        </w:rPr>
        <w:t>景区人员经费主要用于曾家山景区临聘工作人员全年的工资、保险和公积金等费用支出。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2．具体绩效目标：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数量指标：根据曾家山景区</w:t>
      </w:r>
      <w:r>
        <w:rPr>
          <w:rFonts w:hint="eastAsia" w:hAnsi="宋体" w:cs="Times New Roman"/>
          <w:color w:val="auto"/>
          <w:kern w:val="2"/>
          <w:sz w:val="32"/>
          <w:szCs w:val="32"/>
          <w:highlight w:val="none"/>
          <w:lang w:val="en-US" w:eastAsia="zh-CN" w:bidi="ar-SA"/>
        </w:rPr>
        <w:t>临聘人员</w:t>
      </w:r>
      <w:r>
        <w:rPr>
          <w:rFonts w:hint="eastAsia" w:ascii="仿宋_GB2312" w:hAnsi="宋体" w:eastAsia="仿宋_GB2312" w:cs="Times New Roman"/>
          <w:color w:val="auto"/>
          <w:kern w:val="2"/>
          <w:sz w:val="32"/>
          <w:szCs w:val="32"/>
          <w:highlight w:val="none"/>
          <w:lang w:val="zh-CN" w:eastAsia="zh-CN" w:bidi="ar-SA"/>
        </w:rPr>
        <w:t>编制数</w:t>
      </w:r>
      <w:r>
        <w:rPr>
          <w:rFonts w:hint="eastAsia" w:hAnsi="宋体" w:cs="Times New Roman"/>
          <w:color w:val="auto"/>
          <w:kern w:val="2"/>
          <w:sz w:val="32"/>
          <w:szCs w:val="32"/>
          <w:highlight w:val="none"/>
          <w:lang w:val="zh-CN" w:eastAsia="zh-CN" w:bidi="ar-SA"/>
        </w:rPr>
        <w:t>，</w:t>
      </w:r>
      <w:r>
        <w:rPr>
          <w:rFonts w:hint="eastAsia" w:ascii="仿宋_GB2312" w:hAnsi="宋体" w:eastAsia="仿宋_GB2312" w:cs="Times New Roman"/>
          <w:color w:val="auto"/>
          <w:kern w:val="2"/>
          <w:sz w:val="32"/>
          <w:szCs w:val="32"/>
          <w:highlight w:val="none"/>
          <w:lang w:val="zh-CN" w:eastAsia="zh-CN" w:bidi="ar-SA"/>
        </w:rPr>
        <w:t xml:space="preserve">保障21人全年工资保险等费用。 </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质量指标：按照景区薪酬管理制度执行</w:t>
      </w:r>
      <w:r>
        <w:rPr>
          <w:rFonts w:hint="eastAsia" w:hAnsi="宋体" w:cs="Times New Roman"/>
          <w:color w:val="auto"/>
          <w:kern w:val="2"/>
          <w:sz w:val="32"/>
          <w:szCs w:val="32"/>
          <w:highlight w:val="none"/>
          <w:lang w:val="zh-CN" w:eastAsia="zh-CN" w:bidi="ar-SA"/>
        </w:rPr>
        <w:t>。</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时效指标： 时间段为2021年1-12月。</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成本指标： 按照预算每人4.9万元每年保障到位。</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可持续影响：保障</w:t>
      </w:r>
      <w:r>
        <w:rPr>
          <w:rFonts w:hint="eastAsia" w:hAnsi="宋体" w:cs="Times New Roman"/>
          <w:color w:val="auto"/>
          <w:kern w:val="2"/>
          <w:sz w:val="32"/>
          <w:szCs w:val="32"/>
          <w:highlight w:val="none"/>
          <w:lang w:val="en-US" w:eastAsia="zh-CN" w:bidi="ar-SA"/>
        </w:rPr>
        <w:t>曾家山</w:t>
      </w:r>
      <w:r>
        <w:rPr>
          <w:rFonts w:hint="eastAsia" w:ascii="仿宋_GB2312" w:hAnsi="宋体" w:eastAsia="仿宋_GB2312" w:cs="Times New Roman"/>
          <w:color w:val="auto"/>
          <w:kern w:val="2"/>
          <w:sz w:val="32"/>
          <w:szCs w:val="32"/>
          <w:highlight w:val="none"/>
          <w:lang w:val="zh-CN" w:eastAsia="zh-CN" w:bidi="ar-SA"/>
        </w:rPr>
        <w:t>景区人员工资保险运转，促进</w:t>
      </w:r>
      <w:r>
        <w:rPr>
          <w:rFonts w:hint="eastAsia" w:hAnsi="宋体" w:cs="Times New Roman"/>
          <w:color w:val="auto"/>
          <w:kern w:val="2"/>
          <w:sz w:val="32"/>
          <w:szCs w:val="32"/>
          <w:highlight w:val="none"/>
          <w:lang w:val="en-US" w:eastAsia="zh-CN" w:bidi="ar-SA"/>
        </w:rPr>
        <w:t>曾家山</w:t>
      </w:r>
      <w:r>
        <w:rPr>
          <w:rFonts w:hint="eastAsia" w:ascii="仿宋_GB2312" w:hAnsi="宋体" w:eastAsia="仿宋_GB2312" w:cs="Times New Roman"/>
          <w:color w:val="auto"/>
          <w:kern w:val="2"/>
          <w:sz w:val="32"/>
          <w:szCs w:val="32"/>
          <w:highlight w:val="none"/>
          <w:lang w:val="zh-CN" w:eastAsia="zh-CN" w:bidi="ar-SA"/>
        </w:rPr>
        <w:t>景区经济发展，为全区出力，使大家安心工作保障服务水平。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按照《广元市朝天区财政局关于开展2022年部门、政策和项目支出绩效自评工作的通知》（广朝财发〔2022〕28号）文件要求，认真组织开展了2021年度项目支出绩效自评工作,对照年初填报的项目支出绩效目标申报表预设各项工作任务完成绩效指标，搜集相关任务进行数据填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2021年初申报</w:t>
      </w:r>
      <w:r>
        <w:rPr>
          <w:rFonts w:hint="eastAsia" w:ascii="仿宋_GB2312" w:hAnsi="宋体" w:eastAsia="仿宋_GB2312" w:cs="Times New Roman"/>
          <w:color w:val="auto"/>
          <w:sz w:val="32"/>
          <w:szCs w:val="32"/>
          <w:highlight w:val="none"/>
          <w:lang w:val="en-US" w:eastAsia="zh-CN"/>
        </w:rPr>
        <w:t>曾家山景区</w:t>
      </w:r>
      <w:r>
        <w:rPr>
          <w:rFonts w:hint="eastAsia" w:ascii="仿宋_GB2312" w:hAnsi="宋体" w:eastAsia="仿宋_GB2312" w:cs="Times New Roman"/>
          <w:color w:val="auto"/>
          <w:sz w:val="32"/>
          <w:szCs w:val="32"/>
          <w:highlight w:val="none"/>
          <w:lang w:val="zh-CN"/>
        </w:rPr>
        <w:t>人员经费103.47万元，</w:t>
      </w:r>
      <w:r>
        <w:rPr>
          <w:rFonts w:hint="eastAsia" w:ascii="仿宋_GB2312" w:hAnsi="宋体" w:eastAsia="仿宋_GB2312" w:cs="Times New Roman"/>
          <w:color w:val="auto"/>
          <w:sz w:val="32"/>
          <w:szCs w:val="32"/>
          <w:highlight w:val="none"/>
          <w:lang w:val="en-US" w:eastAsia="zh-CN"/>
        </w:rPr>
        <w:t>后经区财政局批复区国资中心曾家山景区</w:t>
      </w:r>
      <w:r>
        <w:rPr>
          <w:rFonts w:hint="eastAsia" w:ascii="仿宋_GB2312" w:hAnsi="宋体" w:eastAsia="仿宋_GB2312" w:cs="Times New Roman"/>
          <w:color w:val="auto"/>
          <w:sz w:val="32"/>
          <w:szCs w:val="32"/>
          <w:highlight w:val="none"/>
          <w:lang w:val="zh-CN"/>
        </w:rPr>
        <w:t>人员经费103.47万元，区</w:t>
      </w:r>
      <w:r>
        <w:rPr>
          <w:rFonts w:hint="eastAsia" w:ascii="仿宋_GB2312" w:hAnsi="宋体" w:eastAsia="仿宋_GB2312" w:cs="Times New Roman"/>
          <w:color w:val="auto"/>
          <w:sz w:val="32"/>
          <w:szCs w:val="32"/>
          <w:highlight w:val="none"/>
          <w:lang w:val="en-US" w:eastAsia="zh-CN"/>
        </w:rPr>
        <w:t>国资中心批复曾家山景区</w:t>
      </w:r>
      <w:r>
        <w:rPr>
          <w:rFonts w:hint="eastAsia" w:ascii="仿宋_GB2312" w:hAnsi="宋体" w:eastAsia="仿宋_GB2312" w:cs="Times New Roman"/>
          <w:color w:val="auto"/>
          <w:sz w:val="32"/>
          <w:szCs w:val="32"/>
          <w:highlight w:val="none"/>
          <w:lang w:val="zh-CN"/>
        </w:rPr>
        <w:t>人员经费103.47万元。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zh-CN"/>
        </w:rPr>
        <w:t>年初预算曾家山景区人员经费103.47万元。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w:t>
      </w:r>
      <w:r>
        <w:rPr>
          <w:rFonts w:hint="eastAsia" w:ascii="楷体_GB2312" w:hAnsi="宋体" w:eastAsia="楷体_GB2312" w:cs="Times New Roman"/>
          <w:color w:val="auto"/>
          <w:sz w:val="32"/>
          <w:szCs w:val="32"/>
          <w:highlight w:val="none"/>
          <w:lang w:val="en-US" w:eastAsia="zh-CN"/>
        </w:rPr>
        <w:t>资金</w:t>
      </w:r>
      <w:r>
        <w:rPr>
          <w:rFonts w:hint="eastAsia" w:ascii="仿宋_GB2312" w:hAnsi="宋体" w:eastAsia="仿宋_GB2312" w:cs="Times New Roman"/>
          <w:color w:val="auto"/>
          <w:sz w:val="32"/>
          <w:szCs w:val="32"/>
          <w:highlight w:val="none"/>
          <w:lang w:val="zh-CN"/>
        </w:rPr>
        <w:t>到位3万元，资金到位率100%。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年度实际支付3万元，支付依据合规合法，资金支付与预算相符。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2021年度部门项目预算资产处置经费项目，严格执行预算规定，符合法律法规，年初拟定用款计划，严格按照项目资金管理办法对资金进行计划申请、划拨、使用，及时、规范对收支进行账务处理和会计核算。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数量指标：</w:t>
      </w:r>
      <w:r>
        <w:rPr>
          <w:rFonts w:hint="eastAsia" w:ascii="仿宋_GB2312" w:hAnsi="宋体" w:eastAsia="仿宋_GB2312" w:cs="Times New Roman"/>
          <w:color w:val="auto"/>
          <w:sz w:val="32"/>
          <w:szCs w:val="32"/>
          <w:highlight w:val="none"/>
          <w:lang w:val="en-US" w:eastAsia="zh-CN"/>
        </w:rPr>
        <w:t>保障了</w:t>
      </w:r>
      <w:r>
        <w:rPr>
          <w:rFonts w:hint="eastAsia" w:ascii="仿宋_GB2312" w:hAnsi="宋体" w:eastAsia="仿宋_GB2312" w:cs="Times New Roman"/>
          <w:color w:val="auto"/>
          <w:sz w:val="32"/>
          <w:szCs w:val="32"/>
          <w:highlight w:val="none"/>
          <w:lang w:val="zh-CN"/>
        </w:rPr>
        <w:t xml:space="preserve">曾家山景区临聘人员21人全年工资保险等费用。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质量指标：按照景区薪酬管理制度执行。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时效指标： 时间段为2021年1-12月。</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成本指标： 预算每人4.9万元每年保障到位。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可持续影响：保障曾家山景区人员工资保险运转，促进曾家山景区经济发展，为全区出力，使大家安心工作保障服务水平。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通过对单位项目自评评分，评价结果100分。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楷体_GB2312" w:cs="Times New Roman"/>
          <w:color w:val="auto"/>
          <w:sz w:val="32"/>
          <w:szCs w:val="32"/>
          <w:highlight w:val="none"/>
          <w:lang w:val="en-US" w:eastAsia="zh-CN"/>
        </w:rPr>
      </w:pPr>
      <w:r>
        <w:rPr>
          <w:rFonts w:hint="eastAsia" w:ascii="楷体_GB2312" w:hAnsi="宋体" w:eastAsia="楷体_GB2312" w:cs="Times New Roman"/>
          <w:b/>
          <w:color w:val="auto"/>
          <w:sz w:val="32"/>
          <w:szCs w:val="32"/>
          <w:highlight w:val="none"/>
          <w:lang w:val="zh-CN"/>
        </w:rPr>
        <w:t>（二）存在的问题。</w:t>
      </w:r>
      <w:r>
        <w:rPr>
          <w:rFonts w:hint="eastAsia" w:ascii="仿宋_GB2312" w:hAnsi="宋体" w:eastAsia="仿宋_GB2312" w:cs="Times New Roman"/>
          <w:color w:val="auto"/>
          <w:sz w:val="32"/>
          <w:szCs w:val="32"/>
          <w:highlight w:val="none"/>
          <w:lang w:val="en-US" w:eastAsia="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ind w:firstLine="640" w:firstLineChars="200"/>
        <w:rPr>
          <w:rFonts w:hint="eastAsia"/>
          <w:color w:val="FF0000"/>
          <w:highlight w:val="none"/>
          <w:lang w:val="zh-CN"/>
        </w:rPr>
      </w:pPr>
      <w:r>
        <w:rPr>
          <w:rFonts w:hint="eastAsia" w:ascii="仿宋_GB2312" w:hAnsi="宋体" w:eastAsia="仿宋_GB2312" w:cs="Times New Roman"/>
          <w:color w:val="auto"/>
          <w:sz w:val="32"/>
          <w:szCs w:val="32"/>
          <w:highlight w:val="none"/>
          <w:lang w:val="zh-CN"/>
        </w:rPr>
        <w:t>后续将按照财政项目支出绩效管理的要求，建立科学的财政资金效益考评制度体系，不断提高财政资金的利用效率。</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FF0000"/>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color w:val="auto"/>
                <w:kern w:val="2"/>
                <w:sz w:val="24"/>
                <w:szCs w:val="24"/>
                <w:lang w:val="en-US" w:eastAsia="zh-CN" w:bidi="ar"/>
              </w:rPr>
              <w:t>广元市朝天区国有资产事务中心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曾家山景区服务中心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103.47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103.47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103.47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103.47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保障曾家山景区</w:t>
            </w:r>
            <w:r>
              <w:rPr>
                <w:rFonts w:hint="eastAsia" w:ascii="宋体" w:hAnsi="宋体" w:cs="宋体"/>
                <w:i w:val="0"/>
                <w:color w:val="auto"/>
                <w:sz w:val="24"/>
                <w:szCs w:val="24"/>
                <w:highlight w:val="none"/>
                <w:u w:val="none"/>
                <w:lang w:val="en-US" w:eastAsia="zh-CN"/>
              </w:rPr>
              <w:t>临聘人员（21人）</w:t>
            </w:r>
            <w:r>
              <w:rPr>
                <w:rFonts w:hint="eastAsia" w:ascii="宋体" w:hAnsi="宋体" w:eastAsia="宋体" w:cs="宋体"/>
                <w:i w:val="0"/>
                <w:color w:val="auto"/>
                <w:sz w:val="24"/>
                <w:szCs w:val="24"/>
                <w:highlight w:val="none"/>
                <w:u w:val="none"/>
              </w:rPr>
              <w:t>工作正常开展，人员工资保险等得到保障。</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保障</w:t>
            </w:r>
            <w:r>
              <w:rPr>
                <w:rFonts w:hint="eastAsia" w:ascii="宋体" w:hAnsi="宋体" w:cs="宋体"/>
                <w:i w:val="0"/>
                <w:color w:val="auto"/>
                <w:sz w:val="24"/>
                <w:szCs w:val="24"/>
                <w:highlight w:val="none"/>
                <w:u w:val="none"/>
                <w:lang w:eastAsia="zh-CN"/>
              </w:rPr>
              <w:t>了</w:t>
            </w:r>
            <w:r>
              <w:rPr>
                <w:rFonts w:hint="eastAsia" w:ascii="宋体" w:hAnsi="宋体" w:eastAsia="宋体" w:cs="宋体"/>
                <w:i w:val="0"/>
                <w:color w:val="auto"/>
                <w:sz w:val="24"/>
                <w:szCs w:val="24"/>
                <w:highlight w:val="none"/>
                <w:u w:val="none"/>
              </w:rPr>
              <w:t>曾家山景区</w:t>
            </w:r>
            <w:r>
              <w:rPr>
                <w:rFonts w:hint="eastAsia" w:ascii="宋体" w:hAnsi="宋体" w:cs="宋体"/>
                <w:i w:val="0"/>
                <w:color w:val="auto"/>
                <w:sz w:val="24"/>
                <w:szCs w:val="24"/>
                <w:highlight w:val="none"/>
                <w:u w:val="none"/>
                <w:lang w:val="en-US" w:eastAsia="zh-CN"/>
              </w:rPr>
              <w:t>临聘人员（21人）</w:t>
            </w:r>
            <w:r>
              <w:rPr>
                <w:rFonts w:hint="eastAsia" w:ascii="宋体" w:hAnsi="宋体" w:eastAsia="宋体" w:cs="宋体"/>
                <w:i w:val="0"/>
                <w:color w:val="auto"/>
                <w:sz w:val="24"/>
                <w:szCs w:val="24"/>
                <w:highlight w:val="none"/>
                <w:u w:val="none"/>
              </w:rPr>
              <w:t>工作正常开展，人员工资保险等得到保障。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9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景区人员数量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8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按景区薪酬管理制度执行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按景区薪酬管理制度执行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按景区薪酬管理制度执行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2021全年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75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rPr>
              <w:t>工资、保险、公积金费用</w:t>
            </w:r>
            <w:r>
              <w:rPr>
                <w:rFonts w:hint="eastAsia" w:ascii="仿宋_GB2312" w:hAnsi="仿宋_GB2312" w:eastAsia="仿宋_GB2312" w:cs="仿宋_GB2312"/>
                <w:i w:val="0"/>
                <w:color w:val="auto"/>
                <w:sz w:val="24"/>
                <w:szCs w:val="24"/>
                <w:highlight w:val="none"/>
                <w:u w:val="none"/>
                <w:lang w:val="en-US" w:eastAsia="zh-CN"/>
              </w:rPr>
              <w:t>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4.9万元/人/年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4.9万元/人/年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9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对未来的景区工作的持续影响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保障景区日常运转，促进景区经济发展，为全区旅游发展做贡献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保障景区日常运转，促进景区经济发展，为全区旅游发展做贡献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景区工作者满意度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满意度不低于98%。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98%</w:t>
            </w: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宋体" w:hAnsi="宋体" w:eastAsia="宋体" w:cs="Times New Roman"/>
          <w:color w:val="FF0000"/>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w:t>
      </w:r>
      <w:r>
        <w:rPr>
          <w:rFonts w:hint="eastAsia" w:ascii="仿宋_GB2312" w:hAnsi="宋体" w:eastAsia="仿宋_GB2312" w:cs="Times New Roman"/>
          <w:color w:val="auto"/>
          <w:kern w:val="2"/>
          <w:sz w:val="32"/>
          <w:szCs w:val="32"/>
          <w:highlight w:val="none"/>
          <w:lang w:val="en-US" w:eastAsia="zh-CN" w:bidi="ar-SA"/>
        </w:rPr>
        <w:t>项目代建管理费</w:t>
      </w:r>
      <w:r>
        <w:rPr>
          <w:rFonts w:hint="eastAsia" w:ascii="仿宋_GB2312" w:hAnsi="宋体" w:eastAsia="仿宋_GB2312" w:cs="Times New Roman"/>
          <w:color w:val="auto"/>
          <w:kern w:val="2"/>
          <w:sz w:val="32"/>
          <w:szCs w:val="32"/>
          <w:highlight w:val="none"/>
          <w:lang w:val="zh-CN" w:eastAsia="zh-CN" w:bidi="ar-SA"/>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1．项目主管部门为广元市朝天区国有资产事务中心，</w:t>
      </w:r>
      <w:r>
        <w:rPr>
          <w:rFonts w:hint="eastAsia" w:ascii="仿宋_GB2312" w:hAnsi="宋体" w:eastAsia="仿宋_GB2312" w:cs="Times New Roman"/>
          <w:color w:val="auto"/>
          <w:sz w:val="32"/>
          <w:szCs w:val="32"/>
          <w:highlight w:val="none"/>
          <w:lang w:val="en-US" w:eastAsia="zh-CN"/>
        </w:rPr>
        <w:t>区国投公司</w:t>
      </w:r>
      <w:r>
        <w:rPr>
          <w:rFonts w:hint="eastAsia" w:ascii="仿宋_GB2312" w:hAnsi="宋体" w:eastAsia="仿宋_GB2312" w:cs="Times New Roman"/>
          <w:color w:val="auto"/>
          <w:sz w:val="32"/>
          <w:szCs w:val="32"/>
          <w:highlight w:val="none"/>
          <w:lang w:val="zh-CN"/>
        </w:rPr>
        <w:t>主要实施该项目。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2．按照财政部《关于印发〈基本建设项目建设成本管理规定〉的通知》（财建〔2016〕504号）规定，代建制项目按投资额度及比例核定区国投公司项目代建管理费。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r>
        <w:rPr>
          <w:rFonts w:hint="eastAsia" w:ascii="仿宋_GB2312" w:hAnsi="宋体" w:eastAsia="仿宋_GB2312" w:cs="Times New Roman"/>
          <w:color w:val="auto"/>
          <w:sz w:val="32"/>
          <w:szCs w:val="32"/>
          <w:highlight w:val="none"/>
          <w:lang w:val="en-US" w:eastAsia="zh-CN"/>
        </w:rPr>
        <w:t>区</w:t>
      </w:r>
      <w:r>
        <w:rPr>
          <w:rFonts w:hint="eastAsia" w:ascii="仿宋_GB2312" w:hAnsi="宋体" w:eastAsia="仿宋_GB2312" w:cs="Times New Roman"/>
          <w:color w:val="auto"/>
          <w:sz w:val="32"/>
          <w:szCs w:val="32"/>
          <w:highlight w:val="none"/>
          <w:lang w:val="zh-CN"/>
        </w:rPr>
        <w:t>国投公司职工人员数30人</w:t>
      </w:r>
      <w:r>
        <w:rPr>
          <w:rFonts w:hint="eastAsia" w:ascii="仿宋_GB2312" w:hAnsi="宋体" w:eastAsia="仿宋_GB2312" w:cs="Times New Roman"/>
          <w:color w:val="auto"/>
          <w:sz w:val="32"/>
          <w:szCs w:val="32"/>
          <w:highlight w:val="none"/>
          <w:lang w:val="en-US" w:eastAsia="zh-CN"/>
        </w:rPr>
        <w:t>,</w:t>
      </w:r>
      <w:r>
        <w:rPr>
          <w:rFonts w:hint="eastAsia" w:ascii="仿宋_GB2312" w:hAnsi="宋体" w:eastAsia="仿宋_GB2312" w:cs="Times New Roman"/>
          <w:color w:val="auto"/>
          <w:sz w:val="32"/>
          <w:szCs w:val="32"/>
          <w:highlight w:val="none"/>
          <w:lang w:val="zh-CN"/>
        </w:rPr>
        <w:t>按照</w:t>
      </w:r>
      <w:r>
        <w:rPr>
          <w:rFonts w:hint="eastAsia" w:ascii="仿宋_GB2312" w:hAnsi="宋体" w:eastAsia="仿宋_GB2312" w:cs="Times New Roman"/>
          <w:color w:val="auto"/>
          <w:sz w:val="32"/>
          <w:szCs w:val="32"/>
          <w:highlight w:val="none"/>
          <w:lang w:val="en-US" w:eastAsia="zh-CN"/>
        </w:rPr>
        <w:t>区</w:t>
      </w:r>
      <w:r>
        <w:rPr>
          <w:rFonts w:hint="eastAsia" w:ascii="仿宋_GB2312" w:hAnsi="宋体" w:eastAsia="仿宋_GB2312" w:cs="Times New Roman"/>
          <w:color w:val="auto"/>
          <w:sz w:val="32"/>
          <w:szCs w:val="32"/>
          <w:highlight w:val="none"/>
          <w:lang w:val="zh-CN"/>
        </w:rPr>
        <w:t>国投公司薪酬管理办法，保障</w:t>
      </w:r>
      <w:r>
        <w:rPr>
          <w:rFonts w:hint="eastAsia" w:ascii="仿宋_GB2312" w:hAnsi="宋体" w:eastAsia="仿宋_GB2312" w:cs="Times New Roman"/>
          <w:color w:val="auto"/>
          <w:sz w:val="32"/>
          <w:szCs w:val="32"/>
          <w:highlight w:val="none"/>
          <w:lang w:val="en-US" w:eastAsia="zh-CN"/>
        </w:rPr>
        <w:t>区</w:t>
      </w:r>
      <w:r>
        <w:rPr>
          <w:rFonts w:hint="eastAsia" w:ascii="仿宋_GB2312" w:hAnsi="宋体" w:eastAsia="仿宋_GB2312" w:cs="Times New Roman"/>
          <w:color w:val="auto"/>
          <w:sz w:val="32"/>
          <w:szCs w:val="32"/>
          <w:highlight w:val="none"/>
          <w:lang w:val="zh-CN"/>
        </w:rPr>
        <w:t xml:space="preserve">国投公司在实施项目代建管理过程中发生的人工工资（按照人均37333元/年）、社会保险（养老保险、医疗保险、工伤保险、失业保险、生育保险及公积金）及办公费。 </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2．具体绩效目标：</w:t>
      </w:r>
    </w:p>
    <w:p>
      <w:pPr>
        <w:pStyle w:val="2"/>
        <w:keepNext w:val="0"/>
        <w:keepLines w:val="0"/>
        <w:pageBreakBefore w:val="0"/>
        <w:widowControl w:val="0"/>
        <w:kinsoku/>
        <w:wordWrap/>
        <w:overflowPunct/>
        <w:topLinePunct w:val="0"/>
        <w:autoSpaceDE/>
        <w:autoSpaceDN/>
        <w:bidi w:val="0"/>
        <w:ind w:firstLine="640" w:firstLineChars="200"/>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zh-CN" w:eastAsia="zh-CN" w:bidi="ar-SA"/>
        </w:rPr>
        <w:t>数量指标：</w:t>
      </w:r>
      <w:r>
        <w:rPr>
          <w:rFonts w:hint="eastAsia" w:ascii="仿宋_GB2312" w:hAnsi="宋体" w:eastAsia="仿宋_GB2312" w:cs="Times New Roman"/>
          <w:color w:val="auto"/>
          <w:kern w:val="2"/>
          <w:sz w:val="32"/>
          <w:szCs w:val="32"/>
          <w:highlight w:val="none"/>
          <w:lang w:val="en-US" w:eastAsia="zh-CN" w:bidi="ar-SA"/>
        </w:rPr>
        <w:t>人员数量30人。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kern w:val="2"/>
          <w:sz w:val="32"/>
          <w:szCs w:val="32"/>
          <w:lang w:val="zh-CN" w:eastAsia="zh-CN" w:bidi="ar"/>
        </w:rPr>
      </w:pPr>
      <w:r>
        <w:rPr>
          <w:rFonts w:hint="eastAsia" w:ascii="仿宋_GB2312" w:hAnsi="宋体" w:eastAsia="仿宋_GB2312" w:cs="仿宋_GB2312"/>
          <w:kern w:val="2"/>
          <w:sz w:val="32"/>
          <w:szCs w:val="32"/>
          <w:lang w:val="zh-CN" w:eastAsia="zh-CN" w:bidi="ar"/>
        </w:rPr>
        <w:t>质量指标：依照公司薪酬管理办法执行。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kern w:val="2"/>
          <w:sz w:val="32"/>
          <w:szCs w:val="32"/>
          <w:lang w:val="zh-CN" w:eastAsia="zh-CN" w:bidi="ar"/>
        </w:rPr>
      </w:pPr>
      <w:r>
        <w:rPr>
          <w:rFonts w:hint="eastAsia" w:ascii="仿宋_GB2312" w:hAnsi="宋体" w:eastAsia="仿宋_GB2312" w:cs="仿宋_GB2312"/>
          <w:kern w:val="2"/>
          <w:sz w:val="32"/>
          <w:szCs w:val="32"/>
          <w:lang w:val="zh-CN" w:eastAsia="zh-CN" w:bidi="ar"/>
        </w:rPr>
        <w:t>时效指标：2021年全年。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lang w:val="zh-CN" w:eastAsia="zh-CN"/>
        </w:rPr>
      </w:pPr>
      <w:r>
        <w:rPr>
          <w:rFonts w:hint="eastAsia" w:ascii="仿宋_GB2312" w:hAnsi="宋体" w:eastAsia="仿宋_GB2312" w:cs="仿宋_GB2312"/>
          <w:kern w:val="2"/>
          <w:sz w:val="32"/>
          <w:szCs w:val="32"/>
          <w:lang w:val="zh-CN" w:eastAsia="zh-CN" w:bidi="ar"/>
        </w:rPr>
        <w:t>成本指标：</w:t>
      </w:r>
      <w:r>
        <w:rPr>
          <w:rFonts w:hint="eastAsia" w:ascii="仿宋_GB2312" w:hAnsi="宋体" w:eastAsia="仿宋_GB2312" w:cs="仿宋_GB2312"/>
          <w:kern w:val="2"/>
          <w:sz w:val="32"/>
          <w:szCs w:val="32"/>
          <w:lang w:val="en-US" w:eastAsia="zh-CN" w:bidi="ar"/>
        </w:rPr>
        <w:t>国投公司职工工资标准全年支付工资112万元；国投公司职工保险标准</w:t>
      </w:r>
      <w:r>
        <w:rPr>
          <w:rFonts w:hint="eastAsia" w:ascii="仿宋_GB2312" w:hAnsi="宋体" w:eastAsia="仿宋_GB2312" w:cs="仿宋_GB2312"/>
          <w:kern w:val="2"/>
          <w:sz w:val="32"/>
          <w:szCs w:val="32"/>
          <w:lang w:val="zh-CN" w:eastAsia="zh-CN" w:bidi="ar"/>
        </w:rPr>
        <w:t>全年支付五险一金42</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仿宋_GB2312"/>
          <w:kern w:val="2"/>
          <w:sz w:val="32"/>
          <w:szCs w:val="32"/>
          <w:lang w:val="zh-CN" w:eastAsia="zh-CN" w:bidi="ar"/>
        </w:rPr>
        <w:t>74</w:t>
      </w:r>
      <w:r>
        <w:rPr>
          <w:rFonts w:hint="eastAsia" w:ascii="仿宋_GB2312" w:hAnsi="宋体" w:eastAsia="仿宋_GB2312" w:cs="仿宋_GB2312"/>
          <w:kern w:val="2"/>
          <w:sz w:val="32"/>
          <w:szCs w:val="32"/>
          <w:lang w:val="en-US" w:eastAsia="zh-CN" w:bidi="ar"/>
        </w:rPr>
        <w:t>万</w:t>
      </w:r>
      <w:r>
        <w:rPr>
          <w:rFonts w:hint="eastAsia" w:ascii="仿宋_GB2312" w:hAnsi="宋体" w:eastAsia="仿宋_GB2312" w:cs="仿宋_GB2312"/>
          <w:kern w:val="2"/>
          <w:sz w:val="32"/>
          <w:szCs w:val="32"/>
          <w:lang w:val="zh-CN" w:eastAsia="zh-CN" w:bidi="ar"/>
        </w:rPr>
        <w:t>元；国投公司职工办公费用全年支付办公经费5</w:t>
      </w:r>
      <w:r>
        <w:rPr>
          <w:rFonts w:hint="eastAsia" w:ascii="仿宋_GB2312" w:hAnsi="宋体" w:eastAsia="仿宋_GB2312" w:cs="仿宋_GB2312"/>
          <w:kern w:val="2"/>
          <w:sz w:val="32"/>
          <w:szCs w:val="32"/>
          <w:lang w:val="en-US" w:eastAsia="zh-CN" w:bidi="ar"/>
        </w:rPr>
        <w:t>.</w:t>
      </w:r>
      <w:r>
        <w:rPr>
          <w:rFonts w:hint="eastAsia" w:ascii="仿宋_GB2312" w:hAnsi="宋体" w:eastAsia="仿宋_GB2312" w:cs="仿宋_GB2312"/>
          <w:kern w:val="2"/>
          <w:sz w:val="32"/>
          <w:szCs w:val="32"/>
          <w:lang w:val="zh-CN" w:eastAsia="zh-CN" w:bidi="ar"/>
        </w:rPr>
        <w:t>26</w:t>
      </w:r>
      <w:r>
        <w:rPr>
          <w:rFonts w:hint="eastAsia" w:ascii="仿宋_GB2312" w:hAnsi="宋体" w:eastAsia="仿宋_GB2312" w:cs="仿宋_GB2312"/>
          <w:kern w:val="2"/>
          <w:sz w:val="32"/>
          <w:szCs w:val="32"/>
          <w:lang w:val="en-US" w:eastAsia="zh-CN" w:bidi="ar"/>
        </w:rPr>
        <w:t>万</w:t>
      </w:r>
      <w:r>
        <w:rPr>
          <w:rFonts w:hint="eastAsia" w:ascii="仿宋_GB2312" w:hAnsi="宋体" w:eastAsia="仿宋_GB2312" w:cs="仿宋_GB2312"/>
          <w:kern w:val="2"/>
          <w:sz w:val="32"/>
          <w:szCs w:val="32"/>
          <w:lang w:val="zh-CN" w:eastAsia="zh-CN" w:bidi="ar"/>
        </w:rPr>
        <w:t>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kern w:val="2"/>
          <w:sz w:val="32"/>
          <w:szCs w:val="32"/>
          <w:lang w:val="zh-CN" w:eastAsia="zh-CN" w:bidi="ar"/>
        </w:rPr>
      </w:pPr>
      <w:r>
        <w:rPr>
          <w:rFonts w:hint="eastAsia" w:ascii="仿宋_GB2312" w:hAnsi="宋体" w:eastAsia="仿宋_GB2312" w:cs="仿宋_GB2312"/>
          <w:kern w:val="2"/>
          <w:sz w:val="32"/>
          <w:szCs w:val="32"/>
          <w:lang w:val="zh-CN" w:eastAsia="zh-CN" w:bidi="ar"/>
        </w:rPr>
        <w:t>经济效益指标：通过项目监管，保障项目顺利推进，提高项目收益。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kern w:val="2"/>
          <w:sz w:val="32"/>
          <w:szCs w:val="32"/>
          <w:lang w:val="zh-CN" w:eastAsia="zh-CN" w:bidi="ar"/>
        </w:rPr>
      </w:pPr>
      <w:r>
        <w:rPr>
          <w:rFonts w:hint="eastAsia" w:ascii="仿宋_GB2312" w:hAnsi="宋体" w:eastAsia="仿宋_GB2312" w:cs="仿宋_GB2312"/>
          <w:kern w:val="2"/>
          <w:sz w:val="32"/>
          <w:szCs w:val="32"/>
          <w:lang w:val="zh-CN" w:eastAsia="zh-CN" w:bidi="ar"/>
        </w:rPr>
        <w:t>社会效益指标：通过项目管理人员对项目的监管，改善朝天棚户区居民生活质量，提升朝天区城市环境和城市形象。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default"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仿宋_GB2312"/>
          <w:color w:val="auto"/>
          <w:kern w:val="2"/>
          <w:sz w:val="32"/>
          <w:szCs w:val="32"/>
          <w:lang w:val="zh-CN" w:eastAsia="zh-CN" w:bidi="ar"/>
        </w:rPr>
        <w:t>可持续影响指标：通过经过项目监管，实现改造内容及效果可持续，提升企业的发展能力。</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3．代建管理费核定和申报与工程进度、建设质量结合，与代建内容、代建绩效相符。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按照《广元市朝天区财政局关于开展2022年部门、政策和项目支出绩效自评工作的通知》（广朝财发〔2022〕28号）文件要求，认真组织开展了2021年度项目支出绩效自评工作,对照年初填报的项目支出绩效目标申报表预设各项工作任务完成绩效指标，搜集相关任务进行数据填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2021年初，申报</w:t>
      </w:r>
      <w:r>
        <w:rPr>
          <w:rFonts w:hint="eastAsia" w:ascii="仿宋_GB2312" w:hAnsi="宋体" w:eastAsia="仿宋_GB2312" w:cs="Times New Roman"/>
          <w:color w:val="auto"/>
          <w:sz w:val="32"/>
          <w:szCs w:val="32"/>
          <w:highlight w:val="none"/>
          <w:lang w:val="en-US" w:eastAsia="zh-CN"/>
        </w:rPr>
        <w:t>国有资本经营预算</w:t>
      </w:r>
      <w:r>
        <w:rPr>
          <w:rFonts w:hint="eastAsia" w:ascii="仿宋_GB2312" w:hAnsi="宋体" w:eastAsia="仿宋_GB2312" w:cs="Times New Roman"/>
          <w:color w:val="auto"/>
          <w:sz w:val="32"/>
          <w:szCs w:val="32"/>
          <w:highlight w:val="none"/>
          <w:lang w:val="zh-CN"/>
        </w:rPr>
        <w:t>项目</w:t>
      </w:r>
      <w:r>
        <w:rPr>
          <w:rFonts w:hint="eastAsia" w:ascii="仿宋_GB2312" w:hAnsi="宋体" w:eastAsia="仿宋_GB2312" w:cs="Times New Roman"/>
          <w:color w:val="auto"/>
          <w:sz w:val="32"/>
          <w:szCs w:val="32"/>
          <w:highlight w:val="none"/>
          <w:lang w:val="en-US" w:eastAsia="zh-CN"/>
        </w:rPr>
        <w:t>项目代建管理费160</w:t>
      </w:r>
      <w:r>
        <w:rPr>
          <w:rFonts w:hint="eastAsia" w:ascii="仿宋_GB2312" w:hAnsi="宋体" w:eastAsia="仿宋_GB2312" w:cs="Times New Roman"/>
          <w:color w:val="auto"/>
          <w:sz w:val="32"/>
          <w:szCs w:val="32"/>
          <w:highlight w:val="none"/>
          <w:lang w:val="zh-CN"/>
        </w:rPr>
        <w:t>万元，后经区财政局批复国有资本经营预算项目</w:t>
      </w:r>
      <w:r>
        <w:rPr>
          <w:rFonts w:hint="eastAsia" w:ascii="仿宋_GB2312" w:hAnsi="宋体" w:eastAsia="仿宋_GB2312" w:cs="Times New Roman"/>
          <w:color w:val="auto"/>
          <w:sz w:val="32"/>
          <w:szCs w:val="32"/>
          <w:highlight w:val="none"/>
          <w:lang w:val="en-US" w:eastAsia="zh-CN"/>
        </w:rPr>
        <w:t>项目代建管理费160</w:t>
      </w:r>
      <w:r>
        <w:rPr>
          <w:rFonts w:hint="eastAsia" w:ascii="仿宋_GB2312" w:hAnsi="宋体" w:eastAsia="仿宋_GB2312" w:cs="Times New Roman"/>
          <w:color w:val="auto"/>
          <w:sz w:val="32"/>
          <w:szCs w:val="32"/>
          <w:highlight w:val="none"/>
          <w:lang w:val="zh-CN"/>
        </w:rPr>
        <w:t>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en-US" w:eastAsia="zh-CN"/>
        </w:rPr>
        <w:t>年初国有资本经营预算</w:t>
      </w:r>
      <w:r>
        <w:rPr>
          <w:rFonts w:hint="eastAsia" w:ascii="仿宋_GB2312" w:hAnsi="宋体" w:eastAsia="仿宋_GB2312" w:cs="Times New Roman"/>
          <w:color w:val="auto"/>
          <w:sz w:val="32"/>
          <w:szCs w:val="32"/>
          <w:highlight w:val="none"/>
          <w:lang w:val="zh-CN"/>
        </w:rPr>
        <w:t>项目</w:t>
      </w:r>
      <w:r>
        <w:rPr>
          <w:rFonts w:hint="eastAsia" w:ascii="仿宋_GB2312" w:hAnsi="宋体" w:eastAsia="仿宋_GB2312" w:cs="Times New Roman"/>
          <w:color w:val="auto"/>
          <w:sz w:val="32"/>
          <w:szCs w:val="32"/>
          <w:highlight w:val="none"/>
          <w:lang w:val="en-US" w:eastAsia="zh-CN"/>
        </w:rPr>
        <w:t>项目代建管理费160</w:t>
      </w:r>
      <w:r>
        <w:rPr>
          <w:rFonts w:hint="eastAsia" w:ascii="仿宋_GB2312" w:hAnsi="宋体" w:eastAsia="仿宋_GB2312" w:cs="Times New Roman"/>
          <w:color w:val="auto"/>
          <w:sz w:val="32"/>
          <w:szCs w:val="32"/>
          <w:highlight w:val="none"/>
          <w:lang w:val="zh-CN"/>
        </w:rPr>
        <w:t>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2．资金到位。2021年8月23日到位80万元，到位率50%。</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年度实际支付</w:t>
      </w:r>
      <w:r>
        <w:rPr>
          <w:rFonts w:hint="eastAsia" w:ascii="仿宋_GB2312" w:hAnsi="宋体" w:eastAsia="仿宋_GB2312" w:cs="Times New Roman"/>
          <w:color w:val="auto"/>
          <w:sz w:val="32"/>
          <w:szCs w:val="32"/>
          <w:highlight w:val="none"/>
          <w:lang w:val="en-US" w:eastAsia="zh-CN"/>
        </w:rPr>
        <w:t>80</w:t>
      </w:r>
      <w:r>
        <w:rPr>
          <w:rFonts w:hint="eastAsia" w:ascii="仿宋_GB2312" w:hAnsi="宋体" w:eastAsia="仿宋_GB2312" w:cs="Times New Roman"/>
          <w:color w:val="auto"/>
          <w:sz w:val="32"/>
          <w:szCs w:val="32"/>
          <w:highlight w:val="none"/>
          <w:lang w:val="zh-CN"/>
        </w:rPr>
        <w:t>万元，支付依据合规合法，资金支付与预算相符。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区国投</w:t>
      </w:r>
      <w:r>
        <w:rPr>
          <w:rFonts w:hint="eastAsia" w:ascii="仿宋_GB2312" w:hAnsi="宋体" w:eastAsia="仿宋_GB2312" w:cs="Times New Roman"/>
          <w:color w:val="auto"/>
          <w:sz w:val="32"/>
          <w:szCs w:val="32"/>
          <w:highlight w:val="none"/>
          <w:lang w:val="zh-CN"/>
        </w:rPr>
        <w:t>公司财务管理制度完善、机构设置健全、会计核算及账务处理规范。该项目严格按照公司财务管理制度及相关法律法规进行账务处理、会计核算规范。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FF0000"/>
          <w:sz w:val="32"/>
          <w:szCs w:val="32"/>
          <w:highlight w:val="none"/>
          <w:lang w:val="zh-CN"/>
        </w:rPr>
      </w:pPr>
      <w:r>
        <w:rPr>
          <w:rFonts w:hint="eastAsia" w:ascii="仿宋_GB2312" w:hAnsi="宋体" w:eastAsia="仿宋_GB2312" w:cs="Times New Roman"/>
          <w:color w:val="auto"/>
          <w:sz w:val="32"/>
          <w:szCs w:val="32"/>
          <w:highlight w:val="none"/>
          <w:lang w:val="en-US" w:eastAsia="zh-CN"/>
        </w:rPr>
        <w:t>区国投</w:t>
      </w:r>
      <w:r>
        <w:rPr>
          <w:rFonts w:hint="eastAsia" w:ascii="仿宋_GB2312" w:hAnsi="宋体" w:eastAsia="仿宋_GB2312" w:cs="Times New Roman"/>
          <w:color w:val="auto"/>
          <w:sz w:val="32"/>
          <w:szCs w:val="32"/>
          <w:highlight w:val="none"/>
          <w:lang w:val="zh-CN"/>
        </w:rPr>
        <w:t>公司根据薪酬管理制度于每月20日向员工支付当月工资，并根据国家有关规定上缴五险一金,并根据公司管理制度报销各类办公费，2021年全年使用代建管理费支出80.00万元，其中工资60万元、五险一金15万元、办公费用5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pStyle w:val="2"/>
        <w:keepNext w:val="0"/>
        <w:keepLines w:val="0"/>
        <w:pageBreakBefore w:val="0"/>
        <w:widowControl w:val="0"/>
        <w:kinsoku/>
        <w:wordWrap/>
        <w:overflowPunct/>
        <w:topLinePunct w:val="0"/>
        <w:autoSpaceDE/>
        <w:autoSpaceDN/>
        <w:bidi w:val="0"/>
        <w:ind w:firstLine="640" w:firstLineChars="200"/>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zh-CN" w:eastAsia="zh-CN" w:bidi="ar-SA"/>
        </w:rPr>
        <w:t>数量指标：</w:t>
      </w:r>
      <w:r>
        <w:rPr>
          <w:rFonts w:hint="eastAsia" w:ascii="仿宋_GB2312" w:hAnsi="宋体" w:eastAsia="仿宋_GB2312" w:cs="Times New Roman"/>
          <w:color w:val="auto"/>
          <w:kern w:val="2"/>
          <w:sz w:val="32"/>
          <w:szCs w:val="32"/>
          <w:highlight w:val="none"/>
          <w:lang w:val="en-US" w:eastAsia="zh-CN" w:bidi="ar-SA"/>
        </w:rPr>
        <w:t>人员数量30人。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kern w:val="2"/>
          <w:sz w:val="32"/>
          <w:szCs w:val="32"/>
          <w:lang w:val="zh-CN" w:eastAsia="zh-CN" w:bidi="ar"/>
        </w:rPr>
      </w:pPr>
      <w:r>
        <w:rPr>
          <w:rFonts w:hint="eastAsia" w:ascii="仿宋_GB2312" w:hAnsi="宋体" w:eastAsia="仿宋_GB2312" w:cs="仿宋_GB2312"/>
          <w:kern w:val="2"/>
          <w:sz w:val="32"/>
          <w:szCs w:val="32"/>
          <w:lang w:val="zh-CN" w:eastAsia="zh-CN" w:bidi="ar"/>
        </w:rPr>
        <w:t>质量指标：依照公司薪酬管理办法执行。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default"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zh-CN" w:eastAsia="zh-CN" w:bidi="ar"/>
        </w:rPr>
        <w:t>时效指标：2021年全年。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lang w:val="zh-CN" w:eastAsia="zh-CN"/>
        </w:rPr>
      </w:pPr>
      <w:r>
        <w:rPr>
          <w:rFonts w:hint="eastAsia" w:ascii="仿宋_GB2312" w:hAnsi="宋体" w:eastAsia="仿宋_GB2312" w:cs="仿宋_GB2312"/>
          <w:kern w:val="2"/>
          <w:sz w:val="32"/>
          <w:szCs w:val="32"/>
          <w:lang w:val="zh-CN" w:eastAsia="zh-CN" w:bidi="ar"/>
        </w:rPr>
        <w:t>成本指标：</w:t>
      </w:r>
      <w:r>
        <w:rPr>
          <w:rFonts w:hint="eastAsia" w:ascii="仿宋_GB2312" w:hAnsi="宋体" w:eastAsia="仿宋_GB2312" w:cs="仿宋_GB2312"/>
          <w:kern w:val="2"/>
          <w:sz w:val="32"/>
          <w:szCs w:val="32"/>
          <w:lang w:val="en-US" w:eastAsia="zh-CN" w:bidi="ar"/>
        </w:rPr>
        <w:t>国投公司职工工资标准全年支付工资60万元；国投公司职工保险标准</w:t>
      </w:r>
      <w:r>
        <w:rPr>
          <w:rFonts w:hint="eastAsia" w:ascii="仿宋_GB2312" w:hAnsi="宋体" w:eastAsia="仿宋_GB2312" w:cs="仿宋_GB2312"/>
          <w:kern w:val="2"/>
          <w:sz w:val="32"/>
          <w:szCs w:val="32"/>
          <w:lang w:val="zh-CN" w:eastAsia="zh-CN" w:bidi="ar"/>
        </w:rPr>
        <w:t>全年支付五险一金</w:t>
      </w:r>
      <w:r>
        <w:rPr>
          <w:rFonts w:hint="eastAsia" w:ascii="仿宋_GB2312" w:hAnsi="宋体" w:eastAsia="仿宋_GB2312" w:cs="仿宋_GB2312"/>
          <w:kern w:val="2"/>
          <w:sz w:val="32"/>
          <w:szCs w:val="32"/>
          <w:lang w:val="en-US" w:eastAsia="zh-CN" w:bidi="ar"/>
        </w:rPr>
        <w:t>15</w:t>
      </w:r>
      <w:r>
        <w:rPr>
          <w:rFonts w:hint="eastAsia" w:ascii="仿宋_GB2312" w:hAnsi="宋体" w:eastAsia="仿宋_GB2312" w:cs="仿宋_GB2312"/>
          <w:kern w:val="2"/>
          <w:sz w:val="32"/>
          <w:szCs w:val="32"/>
          <w:lang w:val="zh-CN" w:eastAsia="zh-CN" w:bidi="ar"/>
        </w:rPr>
        <w:t>元；国投公司职工办公费用全年支付办公经费</w:t>
      </w:r>
      <w:r>
        <w:rPr>
          <w:rFonts w:hint="eastAsia" w:ascii="仿宋_GB2312" w:hAnsi="宋体" w:eastAsia="仿宋_GB2312" w:cs="仿宋_GB2312"/>
          <w:kern w:val="2"/>
          <w:sz w:val="32"/>
          <w:szCs w:val="32"/>
          <w:lang w:val="en-US" w:eastAsia="zh-CN" w:bidi="ar"/>
        </w:rPr>
        <w:t>5</w:t>
      </w:r>
      <w:r>
        <w:rPr>
          <w:rFonts w:hint="eastAsia" w:ascii="仿宋_GB2312" w:hAnsi="宋体" w:eastAsia="仿宋_GB2312" w:cs="仿宋_GB2312"/>
          <w:kern w:val="2"/>
          <w:sz w:val="32"/>
          <w:szCs w:val="32"/>
          <w:lang w:val="zh-CN" w:eastAsia="zh-CN" w:bidi="ar"/>
        </w:rPr>
        <w:t>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color w:val="auto"/>
          <w:kern w:val="2"/>
          <w:sz w:val="32"/>
          <w:szCs w:val="32"/>
          <w:lang w:val="zh-CN" w:eastAsia="zh-CN" w:bidi="ar"/>
        </w:rPr>
      </w:pPr>
      <w:r>
        <w:rPr>
          <w:rFonts w:hint="eastAsia" w:ascii="仿宋_GB2312" w:hAnsi="宋体" w:eastAsia="仿宋_GB2312" w:cs="仿宋_GB2312"/>
          <w:color w:val="auto"/>
          <w:kern w:val="2"/>
          <w:sz w:val="32"/>
          <w:szCs w:val="32"/>
          <w:lang w:val="zh-CN" w:eastAsia="zh-CN" w:bidi="ar"/>
        </w:rPr>
        <w:t>经济效益指标：通过项目监管，保障项目顺利推进，提高项目收益。</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color w:val="auto"/>
          <w:kern w:val="2"/>
          <w:sz w:val="32"/>
          <w:szCs w:val="32"/>
          <w:lang w:val="zh-CN" w:eastAsia="zh-CN" w:bidi="ar"/>
        </w:rPr>
      </w:pPr>
      <w:r>
        <w:rPr>
          <w:rFonts w:hint="eastAsia" w:ascii="仿宋_GB2312" w:hAnsi="宋体" w:eastAsia="仿宋_GB2312" w:cs="仿宋_GB2312"/>
          <w:color w:val="auto"/>
          <w:kern w:val="2"/>
          <w:sz w:val="32"/>
          <w:szCs w:val="32"/>
          <w:lang w:val="zh-CN" w:eastAsia="zh-CN" w:bidi="ar"/>
        </w:rPr>
        <w:t>社会效益指标：通过项目管理人员对项目的监管，改善朝天棚户区居民生活质量，提升朝天区城市环境和城市形象。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both"/>
        <w:textAlignment w:val="auto"/>
        <w:rPr>
          <w:rFonts w:hint="eastAsia" w:ascii="仿宋_GB2312" w:hAnsi="宋体" w:eastAsia="仿宋_GB2312" w:cs="仿宋_GB2312"/>
          <w:color w:val="auto"/>
          <w:kern w:val="2"/>
          <w:sz w:val="32"/>
          <w:szCs w:val="32"/>
          <w:lang w:val="zh-CN" w:eastAsia="zh-CN" w:bidi="ar"/>
        </w:rPr>
      </w:pPr>
      <w:r>
        <w:rPr>
          <w:rFonts w:hint="eastAsia" w:ascii="仿宋_GB2312" w:hAnsi="宋体" w:eastAsia="仿宋_GB2312" w:cs="仿宋_GB2312"/>
          <w:color w:val="auto"/>
          <w:kern w:val="2"/>
          <w:sz w:val="32"/>
          <w:szCs w:val="32"/>
          <w:lang w:val="zh-CN" w:eastAsia="zh-CN" w:bidi="ar"/>
        </w:rPr>
        <w:t>可持续影响指标：通过经过项目监管，实现改造内容及效果可持续，提升企业的发展能力。</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通过对单位项目自评评分，评价结果</w:t>
      </w:r>
      <w:r>
        <w:rPr>
          <w:rFonts w:hint="eastAsia" w:ascii="仿宋_GB2312" w:hAnsi="宋体" w:eastAsia="仿宋_GB2312" w:cs="Times New Roman"/>
          <w:color w:val="auto"/>
          <w:sz w:val="32"/>
          <w:szCs w:val="32"/>
          <w:highlight w:val="none"/>
          <w:lang w:val="en-US" w:eastAsia="zh-CN"/>
        </w:rPr>
        <w:t>91</w:t>
      </w:r>
      <w:r>
        <w:rPr>
          <w:rFonts w:hint="eastAsia" w:ascii="仿宋_GB2312" w:hAnsi="宋体" w:eastAsia="仿宋_GB2312" w:cs="Times New Roman"/>
          <w:color w:val="auto"/>
          <w:sz w:val="32"/>
          <w:szCs w:val="32"/>
          <w:highlight w:val="none"/>
          <w:lang w:val="zh-CN"/>
        </w:rPr>
        <w:t>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一是国有资本经营预算比例低、随着项目精细化管理要求的提高公司人员不断增多，二是在拨付过程中不能及时拨付，影响公司正常运行。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ind w:firstLine="640" w:firstLineChars="200"/>
        <w:rPr>
          <w:rFonts w:hint="eastAsia"/>
          <w:color w:val="auto"/>
          <w:highlight w:val="none"/>
          <w:lang w:val="zh-CN"/>
        </w:rPr>
      </w:pPr>
      <w:r>
        <w:rPr>
          <w:rFonts w:hint="eastAsia" w:ascii="仿宋_GB2312" w:hAnsi="宋体" w:eastAsia="仿宋_GB2312" w:cs="Times New Roman"/>
          <w:color w:val="auto"/>
          <w:sz w:val="32"/>
          <w:szCs w:val="32"/>
          <w:highlight w:val="none"/>
          <w:lang w:val="zh-CN"/>
        </w:rPr>
        <w:t>一是提高国有资本经营预算比例，二是按时拨付。</w:t>
      </w: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rPr>
          <w:rFonts w:hint="eastAsia"/>
          <w:lang w:val="zh-CN"/>
        </w:rPr>
      </w:pPr>
    </w:p>
    <w:p>
      <w:pPr>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color w:val="auto"/>
                <w:kern w:val="2"/>
                <w:sz w:val="24"/>
                <w:szCs w:val="24"/>
                <w:lang w:val="en-US" w:eastAsia="zh-CN" w:bidi="ar"/>
              </w:rPr>
              <w:t>广元市朝天区国有资产事务中心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广元市朝天区国有资产投资经营有限公司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160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160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center"/>
              <w:rPr>
                <w:rFonts w:hint="default"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1.国投公司职工人员数30人。2.按照国投公司薪酬管理办法，保障国投公司在实施项目代建管理过程中发生的人工工资（按照人均37333元/年）、社会保险（养老保险、医疗保险、工伤保险、失业保险、生育保险及公积金）及办公费。 </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 xml:space="preserve">1.国投公司职工人员数30人。2.按照国投公司薪酬管理办法，保障国投公司在实施项目代建管理过程中发生的人工工资60万元、社会保险15万元（养老保险、医疗保险、工伤保险、失业保险、生育保险及公积金）及办公费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人员数量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依照公司薪酬管理办法执行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依照公司薪酬管理办法执行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依照公司薪酬管理办法执行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2021年全年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2021年全年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2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国投公司职工工资标准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112万元/年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35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国投公司职工</w:t>
            </w:r>
            <w:r>
              <w:rPr>
                <w:rFonts w:hint="eastAsia" w:ascii="仿宋_GB2312" w:hAnsi="仿宋_GB2312" w:eastAsia="仿宋_GB2312" w:cs="仿宋_GB2312"/>
                <w:i w:val="0"/>
                <w:color w:val="auto"/>
                <w:sz w:val="24"/>
                <w:szCs w:val="24"/>
                <w:highlight w:val="none"/>
                <w:u w:val="none"/>
                <w:lang w:val="en-US" w:eastAsia="zh-CN"/>
              </w:rPr>
              <w:t>保险</w:t>
            </w:r>
            <w:r>
              <w:rPr>
                <w:rFonts w:hint="eastAsia" w:ascii="仿宋_GB2312" w:hAnsi="仿宋_GB2312" w:eastAsia="仿宋_GB2312" w:cs="仿宋_GB2312"/>
                <w:i w:val="0"/>
                <w:color w:val="auto"/>
                <w:sz w:val="24"/>
                <w:szCs w:val="24"/>
                <w:highlight w:val="none"/>
                <w:u w:val="none"/>
              </w:rPr>
              <w:t>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42.74万元/年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rPr>
              <w:t>国投公司职工</w:t>
            </w:r>
            <w:r>
              <w:rPr>
                <w:rFonts w:hint="eastAsia" w:ascii="仿宋_GB2312" w:hAnsi="仿宋_GB2312" w:eastAsia="仿宋_GB2312" w:cs="仿宋_GB2312"/>
                <w:i w:val="0"/>
                <w:color w:val="auto"/>
                <w:sz w:val="24"/>
                <w:szCs w:val="24"/>
                <w:highlight w:val="none"/>
                <w:u w:val="none"/>
                <w:lang w:val="en-US" w:eastAsia="zh-CN"/>
              </w:rPr>
              <w:t>办公费用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5.26万元/年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通过项目监管，保障项目顺利推进，提高项目收益。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通过项目监管，保障项目顺利推进，提高项目收益。</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通过项目监管，保障项目顺利推进，提高项目收益。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通过项目管理人员对项目的监管，改善朝天棚户区居民生活质量，提升朝天区城市环境和城市形象。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通过项目管理人员对项目的监管，改善朝天棚户区居民生活质量，提升朝天区城市环境和城市形象。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通过项目管理人员对项目的监管，改善朝天棚户区居民生活质量，提升朝天区城市环境和城市形象。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通过经过项目监管，实现改造内容及效果可持续，提升企业的发展能力。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通过经过项目监管，实现改造内容及效果可持续，提升企业的发展能力。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通过经过项目监管，实现改造内容及效果可持续，提升企业的发展能力。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公司职工人员满意度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≧99%</w:t>
            </w:r>
          </w:p>
        </w:tc>
      </w:tr>
    </w:tbl>
    <w:p>
      <w:pPr>
        <w:pStyle w:val="2"/>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pStyle w:val="2"/>
        <w:rPr>
          <w:rFonts w:hint="eastAsia" w:hAnsi="宋体" w:cs="宋体"/>
          <w:color w:val="FF0000"/>
          <w:kern w:val="0"/>
          <w:sz w:val="32"/>
          <w:szCs w:val="32"/>
          <w:highlight w:val="none"/>
          <w:shd w:val="clear" w:color="auto" w:fill="FFFFFF"/>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宋体" w:hAnsi="宋体" w:eastAsia="宋体"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w:t>
      </w:r>
      <w:r>
        <w:rPr>
          <w:rFonts w:hint="eastAsia" w:ascii="仿宋_GB2312" w:hAnsi="宋体" w:eastAsia="仿宋_GB2312" w:cs="Times New Roman"/>
          <w:color w:val="auto"/>
          <w:kern w:val="2"/>
          <w:sz w:val="32"/>
          <w:szCs w:val="32"/>
          <w:highlight w:val="none"/>
          <w:lang w:val="en-US" w:eastAsia="zh-CN" w:bidi="ar-SA"/>
        </w:rPr>
        <w:t>水磨沟景区</w:t>
      </w:r>
      <w:r>
        <w:rPr>
          <w:rFonts w:hint="eastAsia" w:ascii="仿宋_GB2312" w:hAnsi="宋体" w:eastAsia="仿宋_GB2312" w:cs="Times New Roman"/>
          <w:color w:val="auto"/>
          <w:kern w:val="2"/>
          <w:sz w:val="32"/>
          <w:szCs w:val="32"/>
          <w:highlight w:val="none"/>
          <w:lang w:val="zh-CN" w:eastAsia="zh-CN" w:bidi="ar-SA"/>
        </w:rPr>
        <w:t>林地补偿</w:t>
      </w:r>
      <w:r>
        <w:rPr>
          <w:rFonts w:hint="eastAsia" w:ascii="仿宋_GB2312" w:hAnsi="宋体" w:eastAsia="仿宋_GB2312" w:cs="Times New Roman"/>
          <w:color w:val="auto"/>
          <w:kern w:val="2"/>
          <w:sz w:val="32"/>
          <w:szCs w:val="32"/>
          <w:highlight w:val="none"/>
          <w:lang w:val="en-US" w:eastAsia="zh-CN" w:bidi="ar-SA"/>
        </w:rPr>
        <w:t>费</w:t>
      </w:r>
      <w:r>
        <w:rPr>
          <w:rFonts w:hint="eastAsia" w:ascii="仿宋_GB2312" w:hAnsi="宋体" w:eastAsia="仿宋_GB2312" w:cs="Times New Roman"/>
          <w:color w:val="auto"/>
          <w:kern w:val="2"/>
          <w:sz w:val="32"/>
          <w:szCs w:val="32"/>
          <w:highlight w:val="none"/>
          <w:lang w:val="zh-CN" w:eastAsia="zh-CN" w:bidi="ar-SA"/>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w:t>
      </w:r>
      <w:r>
        <w:rPr>
          <w:rFonts w:hint="eastAsia" w:ascii="仿宋_GB2312" w:hAnsi="宋体" w:eastAsia="仿宋_GB2312" w:cs="Times New Roman"/>
          <w:color w:val="auto"/>
          <w:kern w:val="2"/>
          <w:sz w:val="32"/>
          <w:szCs w:val="32"/>
          <w:lang w:val="zh-CN" w:eastAsia="zh-CN" w:bidi="ar"/>
        </w:rPr>
        <w:t>项目主管部门</w:t>
      </w:r>
      <w:r>
        <w:rPr>
          <w:rFonts w:hint="eastAsia" w:ascii="仿宋_GB2312" w:hAnsi="宋体" w:eastAsia="仿宋_GB2312" w:cs="Times New Roman"/>
          <w:color w:val="auto"/>
          <w:kern w:val="2"/>
          <w:sz w:val="32"/>
          <w:szCs w:val="32"/>
          <w:lang w:val="en-US" w:eastAsia="zh-CN" w:bidi="ar"/>
        </w:rPr>
        <w:t>为广元市朝天区国有资产事务中心，水磨沟景区服务中心主要实施该项目</w:t>
      </w:r>
      <w:r>
        <w:rPr>
          <w:rFonts w:hint="eastAsia" w:ascii="仿宋_GB2312" w:hAnsi="宋体" w:eastAsia="仿宋_GB2312" w:cs="Times New Roman"/>
          <w:color w:val="auto"/>
          <w:kern w:val="2"/>
          <w:sz w:val="32"/>
          <w:szCs w:val="32"/>
          <w:lang w:val="zh-CN" w:eastAsia="zh-CN" w:bidi="ar"/>
        </w:rPr>
        <w:t>。</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ascii="仿宋_GB2312" w:hAnsi="宋体" w:eastAsia="仿宋_GB2312" w:cs="Times New Roman"/>
          <w:color w:val="auto"/>
          <w:sz w:val="32"/>
          <w:szCs w:val="32"/>
          <w:highlight w:val="none"/>
          <w:lang w:val="zh-CN"/>
        </w:rPr>
      </w:pPr>
      <w:r>
        <w:rPr>
          <w:rFonts w:hint="eastAsia" w:ascii="仿宋_GB2312" w:hAnsi="宋体" w:eastAsia="仿宋_GB2312" w:cs="仿宋_GB2312"/>
          <w:color w:val="auto"/>
          <w:kern w:val="2"/>
          <w:sz w:val="32"/>
          <w:szCs w:val="32"/>
          <w:lang w:val="en-US" w:eastAsia="zh-CN" w:bidi="ar"/>
        </w:rPr>
        <w:t>2021年初，申报部门预算项目水磨沟景区林地补偿费3万元，符合主管部门的职能职责，后经区财政局批复部门预算项目</w:t>
      </w:r>
      <w:r>
        <w:rPr>
          <w:rFonts w:hint="eastAsia" w:ascii="仿宋_GB2312" w:hAnsi="宋体" w:eastAsia="仿宋_GB2312" w:cs="Times New Roman"/>
          <w:color w:val="auto"/>
          <w:kern w:val="2"/>
          <w:sz w:val="32"/>
          <w:szCs w:val="32"/>
          <w:highlight w:val="none"/>
          <w:lang w:val="en-US" w:eastAsia="zh-CN" w:bidi="ar-SA"/>
        </w:rPr>
        <w:t>水磨沟景区</w:t>
      </w:r>
      <w:r>
        <w:rPr>
          <w:rFonts w:hint="eastAsia" w:ascii="仿宋_GB2312" w:hAnsi="宋体" w:eastAsia="仿宋_GB2312" w:cs="Times New Roman"/>
          <w:color w:val="auto"/>
          <w:kern w:val="2"/>
          <w:sz w:val="32"/>
          <w:szCs w:val="32"/>
          <w:highlight w:val="none"/>
          <w:lang w:val="zh-CN" w:eastAsia="zh-CN" w:bidi="ar-SA"/>
        </w:rPr>
        <w:t>林地补偿</w:t>
      </w:r>
      <w:r>
        <w:rPr>
          <w:rFonts w:hint="eastAsia" w:ascii="仿宋_GB2312" w:hAnsi="宋体" w:eastAsia="仿宋_GB2312" w:cs="Times New Roman"/>
          <w:color w:val="auto"/>
          <w:kern w:val="2"/>
          <w:sz w:val="32"/>
          <w:szCs w:val="32"/>
          <w:highlight w:val="none"/>
          <w:lang w:val="en-US" w:eastAsia="zh-CN" w:bidi="ar-SA"/>
        </w:rPr>
        <w:t>费</w:t>
      </w:r>
      <w:r>
        <w:rPr>
          <w:rFonts w:hint="eastAsia" w:ascii="仿宋_GB2312" w:hAnsi="宋体" w:eastAsia="仿宋_GB2312" w:cs="仿宋_GB2312"/>
          <w:color w:val="auto"/>
          <w:kern w:val="2"/>
          <w:sz w:val="32"/>
          <w:szCs w:val="32"/>
          <w:lang w:val="en-US" w:eastAsia="zh-CN" w:bidi="ar"/>
        </w:rPr>
        <w:t>3万元，年末无预算调整。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zh-CN"/>
        </w:rPr>
        <w:t>3．</w:t>
      </w:r>
      <w:r>
        <w:rPr>
          <w:rFonts w:hint="eastAsia" w:ascii="仿宋_GB2312" w:hAnsi="宋体" w:eastAsia="仿宋_GB2312" w:cs="Times New Roman"/>
          <w:color w:val="auto"/>
          <w:sz w:val="32"/>
          <w:szCs w:val="32"/>
          <w:highlight w:val="none"/>
          <w:lang w:val="en-US" w:eastAsia="zh-CN"/>
        </w:rPr>
        <w:t>符合</w:t>
      </w:r>
      <w:r>
        <w:rPr>
          <w:rFonts w:hint="eastAsia" w:ascii="仿宋_GB2312" w:hAnsi="宋体" w:eastAsia="仿宋_GB2312" w:cs="Times New Roman"/>
          <w:color w:val="auto"/>
          <w:sz w:val="32"/>
          <w:szCs w:val="32"/>
          <w:highlight w:val="none"/>
          <w:lang w:val="zh-CN"/>
        </w:rPr>
        <w:t>资金管理办法</w:t>
      </w:r>
      <w:r>
        <w:rPr>
          <w:rFonts w:hint="eastAsia" w:ascii="仿宋_GB2312" w:hAnsi="宋体" w:eastAsia="仿宋_GB2312" w:cs="Times New Roman"/>
          <w:color w:val="auto"/>
          <w:sz w:val="32"/>
          <w:szCs w:val="32"/>
          <w:highlight w:val="none"/>
          <w:lang w:val="en-US" w:eastAsia="zh-CN"/>
        </w:rPr>
        <w:t>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widowControl w:val="0"/>
        <w:suppressLineNumbers w:val="0"/>
        <w:adjustRightInd w:val="0"/>
        <w:snapToGrid w:val="0"/>
        <w:spacing w:before="0" w:beforeAutospacing="0" w:after="0" w:afterAutospacing="0" w:line="580" w:lineRule="exact"/>
        <w:ind w:left="0" w:right="0" w:firstLine="720"/>
        <w:jc w:val="both"/>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r>
        <w:rPr>
          <w:rFonts w:hint="eastAsia" w:ascii="仿宋_GB2312" w:hAnsi="仿宋_GB2312" w:eastAsia="仿宋_GB2312" w:cs="仿宋_GB2312"/>
          <w:bCs/>
          <w:spacing w:val="-6"/>
          <w:kern w:val="2"/>
          <w:sz w:val="32"/>
          <w:szCs w:val="32"/>
          <w:lang w:val="en-US" w:eastAsia="zh-CN" w:bidi="ar"/>
        </w:rPr>
        <w:t>景区步游道占用林地30亩，村民林地补偿。景区步游道的建设，通向主景点更容易，丰富旅游要素，增加回头客。</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2．具体绩效目标：</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数量指标：水磨沟景区步游道占用林地30亩，林地补偿30亩。</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质量指标：按合同约定执行。</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时效指标：2021年年内。</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成本指标：水磨沟景区全年支付林地补偿费用3万元（1000元/亩）。</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可持续影响指标：景区步游道占用村民林地，每年给予补偿，保障了景区有序运转，促进了景区经济发展。</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lang w:val="zh-CN"/>
        </w:rPr>
      </w:pPr>
      <w:r>
        <w:rPr>
          <w:rFonts w:hint="eastAsia" w:ascii="仿宋_GB2312" w:hAnsi="仿宋_GB2312" w:eastAsia="仿宋_GB2312" w:cs="仿宋_GB2312"/>
          <w:kern w:val="2"/>
          <w:sz w:val="32"/>
          <w:szCs w:val="32"/>
          <w:lang w:val="en-US" w:eastAsia="zh-CN" w:bidi="ar"/>
        </w:rPr>
        <w:t>满意度指标：景区占林地村民满意度不低于99%。</w:t>
      </w:r>
    </w:p>
    <w:p>
      <w:pPr>
        <w:keepNext w:val="0"/>
        <w:keepLines w:val="0"/>
        <w:widowControl w:val="0"/>
        <w:suppressLineNumbers w:val="0"/>
        <w:adjustRightInd w:val="0"/>
        <w:snapToGrid w:val="0"/>
        <w:spacing w:before="0" w:beforeAutospacing="0" w:after="0" w:afterAutospacing="0" w:line="576" w:lineRule="exact"/>
        <w:ind w:left="0" w:right="0" w:firstLine="720"/>
        <w:jc w:val="both"/>
        <w:rPr>
          <w:rFonts w:hint="eastAsia" w:ascii="楷体_GB2312" w:hAnsi="Times New Roman" w:eastAsia="楷体_GB2312" w:cs="Times New Roman"/>
          <w:bCs/>
          <w:spacing w:val="-6"/>
          <w:sz w:val="32"/>
          <w:szCs w:val="32"/>
          <w:lang w:val="zh-CN" w:eastAsia="zh-CN"/>
        </w:rPr>
      </w:pPr>
      <w:r>
        <w:rPr>
          <w:rFonts w:hint="eastAsia" w:ascii="仿宋_GB2312" w:hAnsi="宋体" w:eastAsia="仿宋_GB2312" w:cs="Times New Roman"/>
          <w:color w:val="auto"/>
          <w:sz w:val="32"/>
          <w:szCs w:val="32"/>
          <w:highlight w:val="none"/>
          <w:lang w:val="zh-CN"/>
        </w:rPr>
        <w:t>3．</w:t>
      </w:r>
      <w:r>
        <w:rPr>
          <w:rFonts w:hint="eastAsia" w:ascii="仿宋_GB2312" w:hAnsi="仿宋_GB2312" w:eastAsia="仿宋_GB2312" w:cs="仿宋_GB2312"/>
          <w:bCs/>
          <w:color w:val="auto"/>
          <w:spacing w:val="-6"/>
          <w:kern w:val="2"/>
          <w:sz w:val="32"/>
          <w:szCs w:val="32"/>
          <w:lang w:val="zh-CN" w:eastAsia="zh-CN" w:bidi="ar"/>
        </w:rPr>
        <w:t>申报</w:t>
      </w:r>
      <w:r>
        <w:rPr>
          <w:rFonts w:hint="eastAsia" w:ascii="仿宋_GB2312" w:hAnsi="仿宋_GB2312" w:eastAsia="仿宋_GB2312" w:cs="仿宋_GB2312"/>
          <w:bCs/>
          <w:spacing w:val="-6"/>
          <w:kern w:val="2"/>
          <w:sz w:val="32"/>
          <w:szCs w:val="32"/>
          <w:lang w:val="zh-CN" w:eastAsia="zh-CN" w:bidi="ar"/>
        </w:rPr>
        <w:t>的内容为景区日常经营运转所必需的，</w:t>
      </w:r>
      <w:r>
        <w:rPr>
          <w:rFonts w:hint="eastAsia" w:ascii="仿宋_GB2312" w:hAnsi="仿宋_GB2312" w:eastAsia="仿宋_GB2312" w:cs="仿宋_GB2312"/>
          <w:bCs/>
          <w:spacing w:val="-6"/>
          <w:kern w:val="2"/>
          <w:sz w:val="32"/>
          <w:szCs w:val="32"/>
          <w:lang w:val="en-US" w:eastAsia="zh-CN" w:bidi="ar"/>
        </w:rPr>
        <w:t>林地补偿费</w:t>
      </w:r>
      <w:r>
        <w:rPr>
          <w:rFonts w:hint="eastAsia" w:ascii="仿宋_GB2312" w:hAnsi="仿宋_GB2312" w:eastAsia="仿宋_GB2312" w:cs="仿宋_GB2312"/>
          <w:bCs/>
          <w:spacing w:val="-6"/>
          <w:kern w:val="2"/>
          <w:sz w:val="32"/>
          <w:szCs w:val="32"/>
          <w:lang w:val="zh-CN" w:eastAsia="zh-CN" w:bidi="ar"/>
        </w:rPr>
        <w:t>是每年固定预算的，所以申报的内容与实际相符，目标合理。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按照《广元市朝天区财政局关于开展2022年部门、政策和项目支出绩效自评工作的通知》（广朝财发〔2022〕28号）文件要求，认真组织开展了2021年度项目支出绩效自评工作,对照年初填报的项目支出绩效目标申报表预设各项工作任务完成绩效指标，搜集相关任务进行数据填报。</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仿宋_GB2312" w:hAnsi="宋体" w:eastAsia="仿宋_GB2312" w:cs="仿宋_GB2312"/>
          <w:color w:val="auto"/>
          <w:sz w:val="32"/>
          <w:szCs w:val="32"/>
          <w:lang w:val="zh-CN" w:eastAsia="zh-CN"/>
        </w:rPr>
      </w:pPr>
      <w:r>
        <w:rPr>
          <w:rFonts w:hint="eastAsia" w:ascii="仿宋_GB2312" w:hAnsi="宋体" w:eastAsia="仿宋_GB2312" w:cs="仿宋_GB2312"/>
          <w:color w:val="auto"/>
          <w:kern w:val="2"/>
          <w:sz w:val="32"/>
          <w:szCs w:val="32"/>
          <w:lang w:val="zh-CN" w:eastAsia="zh-CN" w:bidi="ar"/>
        </w:rPr>
        <w:t>2021年初，申报部门预算项目</w:t>
      </w:r>
      <w:r>
        <w:rPr>
          <w:rFonts w:hint="eastAsia" w:ascii="仿宋_GB2312" w:hAnsi="宋体" w:eastAsia="仿宋_GB2312" w:cs="仿宋_GB2312"/>
          <w:color w:val="auto"/>
          <w:kern w:val="2"/>
          <w:sz w:val="32"/>
          <w:szCs w:val="32"/>
          <w:lang w:val="en-US" w:eastAsia="zh-CN" w:bidi="ar"/>
        </w:rPr>
        <w:t>水磨沟</w:t>
      </w:r>
      <w:r>
        <w:rPr>
          <w:rFonts w:hint="eastAsia" w:ascii="仿宋_GB2312" w:hAnsi="仿宋_GB2312" w:eastAsia="仿宋_GB2312" w:cs="仿宋_GB2312"/>
          <w:color w:val="auto"/>
          <w:kern w:val="2"/>
          <w:sz w:val="32"/>
          <w:szCs w:val="32"/>
          <w:lang w:val="en-US" w:eastAsia="zh-CN" w:bidi="ar"/>
        </w:rPr>
        <w:t>林地补偿费用</w:t>
      </w:r>
      <w:r>
        <w:rPr>
          <w:rFonts w:hint="eastAsia" w:ascii="仿宋_GB2312" w:hAnsi="宋体" w:eastAsia="仿宋_GB2312" w:cs="仿宋_GB2312"/>
          <w:color w:val="auto"/>
          <w:kern w:val="2"/>
          <w:sz w:val="32"/>
          <w:szCs w:val="32"/>
          <w:lang w:val="zh-CN" w:eastAsia="zh-CN" w:bidi="ar"/>
        </w:rPr>
        <w:t>3万元，后经区财政局批复部门预算项目</w:t>
      </w:r>
      <w:r>
        <w:rPr>
          <w:rFonts w:hint="eastAsia" w:ascii="仿宋_GB2312" w:hAnsi="宋体" w:eastAsia="仿宋_GB2312" w:cs="仿宋_GB2312"/>
          <w:color w:val="auto"/>
          <w:kern w:val="2"/>
          <w:sz w:val="32"/>
          <w:szCs w:val="32"/>
          <w:lang w:val="en-US" w:eastAsia="zh-CN" w:bidi="ar"/>
        </w:rPr>
        <w:t>水磨沟</w:t>
      </w:r>
      <w:r>
        <w:rPr>
          <w:rFonts w:hint="eastAsia" w:ascii="仿宋_GB2312" w:hAnsi="仿宋_GB2312" w:eastAsia="仿宋_GB2312" w:cs="仿宋_GB2312"/>
          <w:color w:val="auto"/>
          <w:kern w:val="2"/>
          <w:sz w:val="32"/>
          <w:szCs w:val="32"/>
          <w:lang w:val="en-US" w:eastAsia="zh-CN" w:bidi="ar"/>
        </w:rPr>
        <w:t>林地补偿费用</w:t>
      </w:r>
      <w:r>
        <w:rPr>
          <w:rFonts w:hint="eastAsia" w:ascii="仿宋_GB2312" w:hAnsi="宋体" w:eastAsia="仿宋_GB2312" w:cs="仿宋_GB2312"/>
          <w:color w:val="auto"/>
          <w:kern w:val="2"/>
          <w:sz w:val="32"/>
          <w:szCs w:val="32"/>
          <w:lang w:val="zh-CN" w:eastAsia="zh-CN" w:bidi="ar"/>
        </w:rPr>
        <w:t>3万元，年末无预算调整。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仿宋_GB2312" w:eastAsia="仿宋_GB2312" w:cs="仿宋_GB2312"/>
          <w:color w:val="auto"/>
          <w:kern w:val="2"/>
          <w:sz w:val="32"/>
          <w:szCs w:val="32"/>
          <w:lang w:val="zh-CN" w:eastAsia="zh-CN" w:bidi="ar"/>
        </w:rPr>
        <w:t>年初预算</w:t>
      </w:r>
      <w:r>
        <w:rPr>
          <w:rFonts w:hint="eastAsia" w:ascii="仿宋_GB2312" w:hAnsi="仿宋_GB2312" w:eastAsia="仿宋_GB2312" w:cs="仿宋_GB2312"/>
          <w:color w:val="auto"/>
          <w:kern w:val="2"/>
          <w:sz w:val="32"/>
          <w:szCs w:val="32"/>
          <w:lang w:val="en-US" w:eastAsia="zh-CN" w:bidi="ar"/>
        </w:rPr>
        <w:t>3万元。</w:t>
      </w:r>
    </w:p>
    <w:p>
      <w:pPr>
        <w:keepNext w:val="0"/>
        <w:keepLines w:val="0"/>
        <w:widowControl w:val="0"/>
        <w:suppressLineNumbers w:val="0"/>
        <w:adjustRightInd w:val="0"/>
        <w:snapToGrid w:val="0"/>
        <w:spacing w:before="0" w:beforeAutospacing="0" w:after="0" w:afterAutospacing="0" w:line="576" w:lineRule="exact"/>
        <w:ind w:left="0" w:right="0" w:firstLine="720"/>
        <w:jc w:val="both"/>
        <w:rPr>
          <w:rFonts w:hint="eastAsia" w:ascii="仿宋_GB2312" w:hAnsi="仿宋_GB2312" w:eastAsia="仿宋_GB2312" w:cs="仿宋_GB2312"/>
          <w:color w:val="auto"/>
          <w:sz w:val="32"/>
          <w:szCs w:val="32"/>
          <w:lang w:val="zh-CN" w:eastAsia="zh-CN"/>
        </w:rPr>
      </w:pPr>
      <w:r>
        <w:rPr>
          <w:rFonts w:hint="eastAsia" w:ascii="楷体_GB2312" w:hAnsi="宋体" w:eastAsia="楷体_GB2312" w:cs="Times New Roman"/>
          <w:color w:val="auto"/>
          <w:sz w:val="32"/>
          <w:szCs w:val="32"/>
          <w:highlight w:val="none"/>
          <w:lang w:val="zh-CN"/>
        </w:rPr>
        <w:t>2．资金到位。</w:t>
      </w:r>
      <w:r>
        <w:rPr>
          <w:rFonts w:hint="eastAsia" w:ascii="仿宋_GB2312" w:hAnsi="仿宋_GB2312" w:eastAsia="仿宋_GB2312" w:cs="仿宋_GB2312"/>
          <w:color w:val="auto"/>
          <w:kern w:val="2"/>
          <w:sz w:val="32"/>
          <w:szCs w:val="32"/>
          <w:lang w:val="zh-CN" w:eastAsia="zh-CN" w:bidi="ar"/>
        </w:rPr>
        <w:t>该资金年初预算</w:t>
      </w:r>
      <w:r>
        <w:rPr>
          <w:rFonts w:hint="eastAsia" w:ascii="仿宋_GB2312" w:hAnsi="仿宋_GB2312" w:eastAsia="仿宋_GB2312" w:cs="仿宋_GB2312"/>
          <w:color w:val="auto"/>
          <w:kern w:val="2"/>
          <w:sz w:val="32"/>
          <w:szCs w:val="32"/>
          <w:lang w:val="en-US" w:eastAsia="zh-CN" w:bidi="ar"/>
        </w:rPr>
        <w:t>3万元，截止目前到位3万元，到位率100%。</w:t>
      </w:r>
    </w:p>
    <w:p>
      <w:pPr>
        <w:keepNext w:val="0"/>
        <w:keepLines w:val="0"/>
        <w:widowControl w:val="0"/>
        <w:suppressLineNumbers w:val="0"/>
        <w:adjustRightInd w:val="0"/>
        <w:snapToGrid w:val="0"/>
        <w:spacing w:before="0" w:beforeAutospacing="0" w:after="0" w:afterAutospacing="0" w:line="576" w:lineRule="exact"/>
        <w:ind w:left="0" w:right="0" w:firstLine="720"/>
        <w:jc w:val="both"/>
        <w:rPr>
          <w:rFonts w:hint="eastAsia" w:ascii="仿宋_GB2312" w:hAnsi="仿宋_GB2312" w:eastAsia="仿宋_GB2312" w:cs="仿宋_GB2312"/>
          <w:color w:val="auto"/>
          <w:sz w:val="32"/>
          <w:szCs w:val="32"/>
          <w:lang w:val="zh-CN" w:eastAsia="zh-CN"/>
        </w:rPr>
      </w:pPr>
      <w:r>
        <w:rPr>
          <w:rFonts w:hint="eastAsia" w:ascii="楷体_GB2312" w:hAnsi="宋体" w:eastAsia="楷体_GB2312" w:cs="Times New Roman"/>
          <w:color w:val="auto"/>
          <w:sz w:val="32"/>
          <w:szCs w:val="32"/>
          <w:highlight w:val="none"/>
          <w:lang w:val="zh-CN"/>
        </w:rPr>
        <w:t>3．资金使用。</w:t>
      </w:r>
      <w:r>
        <w:rPr>
          <w:rFonts w:hint="eastAsia" w:ascii="仿宋_GB2312" w:hAnsi="仿宋_GB2312" w:eastAsia="仿宋_GB2312" w:cs="仿宋_GB2312"/>
          <w:color w:val="auto"/>
          <w:kern w:val="2"/>
          <w:sz w:val="32"/>
          <w:szCs w:val="32"/>
          <w:lang w:val="zh-CN" w:eastAsia="zh-CN" w:bidi="ar"/>
        </w:rPr>
        <w:t>截止评价时点</w:t>
      </w:r>
      <w:r>
        <w:rPr>
          <w:rFonts w:hint="eastAsia" w:ascii="仿宋_GB2312" w:hAnsi="仿宋_GB2312" w:eastAsia="仿宋_GB2312" w:cs="仿宋_GB2312"/>
          <w:color w:val="auto"/>
          <w:kern w:val="2"/>
          <w:sz w:val="32"/>
          <w:szCs w:val="32"/>
          <w:lang w:val="en-US" w:eastAsia="zh-CN" w:bidi="ar"/>
        </w:rPr>
        <w:t>到位</w:t>
      </w:r>
      <w:r>
        <w:rPr>
          <w:rFonts w:hint="eastAsia" w:ascii="仿宋_GB2312" w:hAnsi="仿宋_GB2312" w:eastAsia="仿宋_GB2312" w:cs="仿宋_GB2312"/>
          <w:color w:val="auto"/>
          <w:kern w:val="2"/>
          <w:sz w:val="32"/>
          <w:szCs w:val="32"/>
          <w:lang w:val="zh-CN" w:eastAsia="zh-CN" w:bidi="ar"/>
        </w:rPr>
        <w:t>资金已按照</w:t>
      </w:r>
      <w:r>
        <w:rPr>
          <w:rFonts w:hint="eastAsia" w:ascii="仿宋_GB2312" w:hAnsi="仿宋_GB2312" w:eastAsia="仿宋_GB2312" w:cs="仿宋_GB2312"/>
          <w:color w:val="auto"/>
          <w:kern w:val="2"/>
          <w:sz w:val="32"/>
          <w:szCs w:val="32"/>
          <w:lang w:val="en-US" w:eastAsia="zh-CN" w:bidi="ar"/>
        </w:rPr>
        <w:t>合同约定</w:t>
      </w:r>
      <w:r>
        <w:rPr>
          <w:rFonts w:hint="eastAsia" w:ascii="仿宋_GB2312" w:hAnsi="仿宋_GB2312" w:eastAsia="仿宋_GB2312" w:cs="仿宋_GB2312"/>
          <w:color w:val="auto"/>
          <w:kern w:val="2"/>
          <w:sz w:val="32"/>
          <w:szCs w:val="32"/>
          <w:lang w:val="zh-CN" w:eastAsia="zh-CN" w:bidi="ar"/>
        </w:rPr>
        <w:t>全部支付给乙方，按照财务规定支付票据清单验收等资料齐全。</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widowControl w:val="0"/>
        <w:suppressLineNumbers w:val="0"/>
        <w:adjustRightInd w:val="0"/>
        <w:snapToGrid w:val="0"/>
        <w:spacing w:before="0" w:beforeAutospacing="0" w:after="0" w:afterAutospacing="0" w:line="576" w:lineRule="exact"/>
        <w:ind w:left="0" w:right="0" w:firstLine="720"/>
        <w:jc w:val="both"/>
        <w:rPr>
          <w:rFonts w:hint="eastAsia" w:ascii="仿宋_GB2312" w:hAnsi="仿宋_GB2312" w:eastAsia="仿宋_GB2312" w:cs="仿宋_GB2312"/>
          <w:color w:val="auto"/>
          <w:sz w:val="32"/>
          <w:szCs w:val="32"/>
          <w:shd w:val="clear" w:fill="FFFFFF"/>
          <w:lang w:val="zh-CN" w:eastAsia="zh-CN"/>
        </w:rPr>
      </w:pPr>
      <w:r>
        <w:rPr>
          <w:rFonts w:hint="eastAsia" w:ascii="仿宋_GB2312" w:hAnsi="仿宋_GB2312" w:eastAsia="仿宋_GB2312" w:cs="仿宋_GB2312"/>
          <w:color w:val="000000"/>
          <w:kern w:val="2"/>
          <w:sz w:val="32"/>
          <w:szCs w:val="32"/>
          <w:shd w:val="clear" w:fill="FFFFFF"/>
          <w:lang w:val="zh-CN" w:eastAsia="zh-CN" w:bidi="ar"/>
        </w:rPr>
        <w:t>该资金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验收清单等相关材料，手续是完善的，不存在虚假会计凭证的情况，会计严格执行财务管理制度，财务</w:t>
      </w:r>
      <w:r>
        <w:rPr>
          <w:rFonts w:hint="eastAsia" w:ascii="仿宋_GB2312" w:hAnsi="仿宋_GB2312" w:eastAsia="仿宋_GB2312" w:cs="仿宋_GB2312"/>
          <w:color w:val="auto"/>
          <w:kern w:val="2"/>
          <w:sz w:val="32"/>
          <w:szCs w:val="32"/>
          <w:shd w:val="clear" w:fill="FFFFFF"/>
          <w:lang w:val="zh-CN" w:eastAsia="zh-CN" w:bidi="ar"/>
        </w:rPr>
        <w:t>处理及时，核算规范。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widowControl w:val="0"/>
        <w:suppressLineNumbers w:val="0"/>
        <w:adjustRightInd w:val="0"/>
        <w:snapToGrid w:val="0"/>
        <w:spacing w:before="0" w:beforeAutospacing="0" w:after="0" w:afterAutospacing="0" w:line="576" w:lineRule="exact"/>
        <w:ind w:left="0" w:right="0" w:firstLine="720"/>
        <w:jc w:val="both"/>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000000"/>
          <w:kern w:val="2"/>
          <w:sz w:val="32"/>
          <w:szCs w:val="32"/>
          <w:shd w:val="clear" w:fill="FFFFFF"/>
          <w:lang w:val="zh-CN" w:eastAsia="zh-CN" w:bidi="ar"/>
        </w:rPr>
        <w:t>一是认真按照上级部门的统一部署，统一思想认识，强化资金使用绩效，狠抓责任落实，保证项目建设资金按时到位，专款专用；二是全面推行信息公开、公告、公示制度，确保项目建设资金的使用公正透明，确保项目实施达到预期的经济效益、社会效益、生态效益；三是项目资金支付形式，年</w:t>
      </w:r>
      <w:r>
        <w:rPr>
          <w:rFonts w:hint="eastAsia" w:ascii="仿宋_GB2312" w:hAnsi="仿宋_GB2312" w:eastAsia="仿宋_GB2312" w:cs="仿宋_GB2312"/>
          <w:color w:val="auto"/>
          <w:kern w:val="2"/>
          <w:sz w:val="32"/>
          <w:szCs w:val="32"/>
          <w:shd w:val="clear" w:fill="FFFFFF"/>
          <w:lang w:val="zh-CN" w:eastAsia="zh-CN" w:bidi="ar"/>
        </w:rPr>
        <w:t>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数量指标：水磨沟景区步游道占用林地30亩，林地补偿30亩。</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质量指标：按合同约定执行。</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时效指标：2021年年内。</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ascii="楷体_GB2312" w:hAnsi="宋体" w:eastAsia="楷体_GB2312" w:cs="Times New Roman"/>
          <w:b/>
          <w:color w:val="auto"/>
          <w:sz w:val="32"/>
          <w:szCs w:val="32"/>
          <w:highlight w:val="none"/>
          <w:lang w:val="zh-CN"/>
        </w:rPr>
      </w:pPr>
      <w:r>
        <w:rPr>
          <w:rFonts w:hint="eastAsia" w:ascii="仿宋_GB2312" w:hAnsi="仿宋_GB2312" w:eastAsia="仿宋_GB2312" w:cs="仿宋_GB2312"/>
          <w:color w:val="auto"/>
          <w:kern w:val="2"/>
          <w:sz w:val="32"/>
          <w:szCs w:val="32"/>
          <w:lang w:val="en-US" w:eastAsia="zh-CN" w:bidi="ar"/>
        </w:rPr>
        <w:t>成本指标：水磨沟景区全年支付林地补偿费用3万元（1000元/亩）。</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可持续影响指标：景区步游道占用村民林地，每年给予补偿，保障了景区有序运转，促进了景区经济发展。</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kern w:val="2"/>
          <w:sz w:val="32"/>
          <w:szCs w:val="32"/>
          <w:lang w:val="en-US" w:eastAsia="zh-CN" w:bidi="ar"/>
        </w:rPr>
        <w:t>满意度指标：景区占林地村民满意度达到99%。</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通过对单位项目自评评分，评价结果100分。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en-US" w:eastAsia="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ind w:firstLine="640" w:firstLineChars="200"/>
        <w:rPr>
          <w:rFonts w:hint="eastAsia"/>
          <w:color w:val="auto"/>
          <w:highlight w:val="none"/>
          <w:lang w:val="zh-CN"/>
        </w:rPr>
      </w:pPr>
      <w:r>
        <w:rPr>
          <w:rFonts w:hint="eastAsia" w:ascii="仿宋_GB2312" w:hAnsi="宋体" w:eastAsia="仿宋_GB2312" w:cs="Times New Roman"/>
          <w:color w:val="auto"/>
          <w:sz w:val="32"/>
          <w:szCs w:val="32"/>
          <w:highlight w:val="none"/>
          <w:lang w:val="zh-CN"/>
        </w:rPr>
        <w:t>后续将按照财政项目支出绩效管理的要求，建立科学的财政资金效益考评制度体系，不断提高财政资金的利用效率。</w:t>
      </w:r>
    </w:p>
    <w:p>
      <w:pPr>
        <w:pStyle w:val="2"/>
        <w:rPr>
          <w:rFonts w:hint="eastAsia"/>
          <w:color w:val="FF0000"/>
          <w:highlight w:val="none"/>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ascii="仿宋_GB2312" w:hAnsi="宋体" w:eastAsia="仿宋_GB2312" w:cs="宋体"/>
          <w:b w:val="0"/>
          <w:bCs w:val="0"/>
          <w:color w:val="FF0000"/>
          <w:kern w:val="0"/>
          <w:sz w:val="32"/>
          <w:szCs w:val="32"/>
          <w:highlight w:val="none"/>
          <w:shd w:val="clear" w:color="auto" w:fill="FFFFFF"/>
          <w:lang w:val="zh-CN"/>
        </w:rPr>
      </w:pPr>
    </w:p>
    <w:p>
      <w:pPr>
        <w:pStyle w:val="2"/>
        <w:rPr>
          <w:rFonts w:hint="eastAsia" w:ascii="仿宋_GB2312" w:hAnsi="宋体" w:eastAsia="仿宋_GB2312" w:cs="宋体"/>
          <w:b w:val="0"/>
          <w:bCs w:val="0"/>
          <w:color w:val="FF0000"/>
          <w:kern w:val="0"/>
          <w:sz w:val="32"/>
          <w:szCs w:val="32"/>
          <w:highlight w:val="none"/>
          <w:shd w:val="clear" w:color="auto" w:fill="FFFFFF"/>
          <w:lang w:val="zh-CN"/>
        </w:rPr>
      </w:pPr>
    </w:p>
    <w:p>
      <w:pPr>
        <w:rPr>
          <w:rFonts w:hint="eastAsia" w:ascii="仿宋_GB2312" w:hAnsi="宋体" w:eastAsia="仿宋_GB2312" w:cs="宋体"/>
          <w:b w:val="0"/>
          <w:bCs w:val="0"/>
          <w:color w:val="FF0000"/>
          <w:kern w:val="0"/>
          <w:sz w:val="32"/>
          <w:szCs w:val="32"/>
          <w:highlight w:val="none"/>
          <w:shd w:val="clear" w:color="auto" w:fill="FFFFFF"/>
          <w:lang w:val="zh-CN"/>
        </w:rPr>
      </w:pPr>
    </w:p>
    <w:p>
      <w:pPr>
        <w:pStyle w:val="2"/>
        <w:rPr>
          <w:rFonts w:hint="eastAsia" w:ascii="仿宋_GB2312" w:hAnsi="宋体" w:eastAsia="仿宋_GB2312" w:cs="宋体"/>
          <w:b w:val="0"/>
          <w:bCs w:val="0"/>
          <w:color w:val="FF0000"/>
          <w:kern w:val="0"/>
          <w:sz w:val="32"/>
          <w:szCs w:val="32"/>
          <w:highlight w:val="none"/>
          <w:shd w:val="clear" w:color="auto" w:fill="FFFFFF"/>
          <w:lang w:val="zh-CN"/>
        </w:rPr>
      </w:pPr>
    </w:p>
    <w:p>
      <w:pPr>
        <w:rPr>
          <w:rFonts w:hint="eastAsia" w:ascii="仿宋_GB2312" w:hAnsi="宋体" w:eastAsia="仿宋_GB2312" w:cs="宋体"/>
          <w:b w:val="0"/>
          <w:bCs w:val="0"/>
          <w:color w:val="FF0000"/>
          <w:kern w:val="0"/>
          <w:sz w:val="32"/>
          <w:szCs w:val="32"/>
          <w:highlight w:val="none"/>
          <w:shd w:val="clear" w:color="auto" w:fill="FFFFFF"/>
          <w:lang w:val="zh-CN"/>
        </w:rPr>
      </w:pPr>
    </w:p>
    <w:p>
      <w:pPr>
        <w:pStyle w:val="2"/>
        <w:rPr>
          <w:rFonts w:hint="eastAsia" w:ascii="仿宋_GB2312" w:hAnsi="宋体" w:eastAsia="仿宋_GB2312" w:cs="宋体"/>
          <w:b w:val="0"/>
          <w:bCs w:val="0"/>
          <w:color w:val="FF0000"/>
          <w:kern w:val="0"/>
          <w:sz w:val="32"/>
          <w:szCs w:val="32"/>
          <w:highlight w:val="none"/>
          <w:shd w:val="clear" w:color="auto" w:fill="FFFFFF"/>
          <w:lang w:val="zh-CN"/>
        </w:rPr>
      </w:pPr>
    </w:p>
    <w:p>
      <w:pPr>
        <w:rPr>
          <w:rFonts w:hint="eastAsia" w:ascii="仿宋_GB2312" w:hAnsi="宋体" w:eastAsia="仿宋_GB2312" w:cs="宋体"/>
          <w:b w:val="0"/>
          <w:bCs w:val="0"/>
          <w:color w:val="FF0000"/>
          <w:kern w:val="0"/>
          <w:sz w:val="32"/>
          <w:szCs w:val="32"/>
          <w:highlight w:val="none"/>
          <w:shd w:val="clear" w:color="auto" w:fill="FFFFFF"/>
          <w:lang w:val="zh-CN"/>
        </w:rPr>
      </w:pPr>
    </w:p>
    <w:p>
      <w:pPr>
        <w:pStyle w:val="2"/>
        <w:rPr>
          <w:rFonts w:hint="eastAsia"/>
          <w:lang w:val="zh-CN"/>
        </w:rPr>
      </w:pPr>
    </w:p>
    <w:p>
      <w:pPr>
        <w:keepNext w:val="0"/>
        <w:keepLines w:val="0"/>
        <w:pageBreakBefore w:val="0"/>
        <w:widowControl/>
        <w:kinsoku/>
        <w:wordWrap/>
        <w:overflowPunct/>
        <w:topLinePunct w:val="0"/>
        <w:autoSpaceDE/>
        <w:autoSpaceDN/>
        <w:bidi w:val="0"/>
        <w:adjustRightInd w:val="0"/>
        <w:snapToGrid w:val="0"/>
        <w:spacing w:afterAutospacing="0" w:line="580" w:lineRule="exact"/>
        <w:contextualSpacing/>
        <w:jc w:val="left"/>
        <w:textAlignment w:val="auto"/>
        <w:rPr>
          <w:rFonts w:hint="eastAsia"/>
          <w:color w:val="auto"/>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both"/>
              <w:textAlignment w:val="center"/>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sz w:val="24"/>
                <w:szCs w:val="24"/>
                <w:highlight w:val="none"/>
                <w:u w:val="none"/>
              </w:rPr>
              <w:t>广元市朝天区国有资产事务中心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广元市朝天区水磨沟旅游景区服务中心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right"/>
              <w:textAlignment w:val="center"/>
              <w:rPr>
                <w:rFonts w:hint="eastAsia" w:ascii="宋体" w:hAnsi="宋体" w:eastAsia="宋体" w:cs="宋体"/>
                <w:i w:val="0"/>
                <w:color w:val="auto"/>
                <w:sz w:val="24"/>
                <w:szCs w:val="24"/>
                <w:highlight w:val="none"/>
                <w:u w:val="none"/>
                <w:lang w:val="en-US" w:eastAsia="zh-CN"/>
              </w:rPr>
            </w:pPr>
            <w:r>
              <w:rPr>
                <w:rFonts w:hint="eastAsia" w:ascii="宋体" w:hAnsi="宋体" w:cs="宋体"/>
                <w:i w:val="0"/>
                <w:color w:val="auto"/>
                <w:sz w:val="24"/>
                <w:szCs w:val="24"/>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景区步游道占用林地30亩，村民林地补偿。景区步游道的建设，通向主景点更容易，丰富旅游要素，增加回头客。</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top"/>
              <w:rPr>
                <w:rFonts w:hint="eastAsia" w:ascii="宋体" w:hAnsi="宋体" w:eastAsia="宋体" w:cs="宋体"/>
                <w:i w:val="0"/>
                <w:color w:val="auto"/>
                <w:sz w:val="24"/>
                <w:szCs w:val="24"/>
                <w:highlight w:val="none"/>
                <w:u w:val="none"/>
              </w:rPr>
            </w:pPr>
            <w:r>
              <w:rPr>
                <w:rFonts w:hint="eastAsia" w:ascii="宋体" w:hAnsi="宋体" w:eastAsia="宋体" w:cs="宋体"/>
                <w:i w:val="0"/>
                <w:color w:val="auto"/>
                <w:sz w:val="24"/>
                <w:szCs w:val="24"/>
                <w:highlight w:val="none"/>
                <w:u w:val="none"/>
              </w:rPr>
              <w:t>景区步游道占用林地30亩，村民林地补偿。景区步游道的建设，通向主景点更容易，丰富旅游要素，增加回头客。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林地补偿亩数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按林地补偿合同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按林地补偿合同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按林地补偿合同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2021/12/31</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补偿标准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1000元/亩/年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1000元/亩/年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bottom"/>
              <w:rPr>
                <w:rFonts w:hint="eastAsia" w:ascii="仿宋_GB2312" w:hAnsi="仿宋_GB2312" w:eastAsia="仿宋_GB2312" w:cs="仿宋_GB2312"/>
                <w:i w:val="0"/>
                <w:color w:val="auto"/>
                <w:kern w:val="2"/>
                <w:sz w:val="28"/>
                <w:szCs w:val="28"/>
                <w:highlight w:val="none"/>
                <w:u w:val="none"/>
                <w:lang w:val="en-US" w:eastAsia="zh-CN" w:bidi="ar-SA"/>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bottom"/>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rPr>
              <w:t>景区发展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bottom"/>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rPr>
              <w:t>景区步游道占用村民林地，每年给予补偿，保障景区有序运转，促进景区经济发展。</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bottom"/>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rPr>
              <w:t>景区步游道占用村民林地，每年给予补偿，保障景区有序运转，促进景区经济发展。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1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20" w:lineRule="exact"/>
              <w:ind w:left="0" w:right="0"/>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景区占林地村民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w:t>
            </w:r>
            <w:r>
              <w:rPr>
                <w:rFonts w:hint="eastAsia" w:ascii="仿宋_GB2312" w:hAnsi="仿宋_GB2312" w:eastAsia="仿宋_GB2312" w:cs="仿宋_GB2312"/>
                <w:i w:val="0"/>
                <w:color w:val="auto"/>
                <w:sz w:val="24"/>
                <w:szCs w:val="24"/>
                <w:highlight w:val="none"/>
                <w:u w:val="none"/>
                <w:lang w:val="en-US" w:eastAsia="zh-CN"/>
              </w:rPr>
              <w:t>不</w:t>
            </w:r>
            <w:r>
              <w:rPr>
                <w:rFonts w:hint="eastAsia" w:ascii="仿宋_GB2312" w:hAnsi="仿宋_GB2312" w:eastAsia="仿宋_GB2312" w:cs="仿宋_GB2312"/>
                <w:i w:val="0"/>
                <w:color w:val="auto"/>
                <w:sz w:val="24"/>
                <w:szCs w:val="24"/>
                <w:highlight w:val="none"/>
                <w:u w:val="none"/>
              </w:rPr>
              <w:t>低于99%。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bottom"/>
              <w:rPr>
                <w:rFonts w:hint="default"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99%</w:t>
            </w:r>
          </w:p>
        </w:tc>
      </w:tr>
    </w:tbl>
    <w:p>
      <w:pPr>
        <w:widowControl/>
        <w:jc w:val="left"/>
        <w:rPr>
          <w:rStyle w:val="24"/>
          <w:rFonts w:ascii="黑体" w:hAnsi="黑体" w:eastAsia="黑体"/>
          <w:b w:val="0"/>
          <w:color w:val="auto"/>
          <w:highlight w:val="none"/>
        </w:rPr>
      </w:pPr>
    </w:p>
    <w:p>
      <w:pPr>
        <w:spacing w:line="600" w:lineRule="exact"/>
        <w:jc w:val="center"/>
        <w:outlineLvl w:val="0"/>
        <w:rPr>
          <w:rFonts w:hint="eastAsia" w:ascii="黑体" w:hAnsi="黑体" w:eastAsia="黑体"/>
          <w:color w:val="auto"/>
          <w:sz w:val="44"/>
          <w:szCs w:val="44"/>
          <w:highlight w:val="none"/>
        </w:rPr>
      </w:pPr>
      <w:bookmarkStart w:id="59" w:name="_Toc15396618"/>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8"/>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3"/>
    </w:p>
    <w:p>
      <w:pPr>
        <w:pStyle w:val="4"/>
        <w:rPr>
          <w:rStyle w:val="25"/>
          <w:rFonts w:ascii="仿宋" w:hAnsi="仿宋" w:eastAsia="仿宋"/>
          <w:b w:val="0"/>
          <w:bCs w:val="0"/>
          <w:color w:val="auto"/>
          <w:highlight w:val="none"/>
        </w:rPr>
      </w:pPr>
      <w:bookmarkStart w:id="64"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1"/>
    </w:p>
    <w:p>
      <w:pPr>
        <w:pStyle w:val="4"/>
        <w:rPr>
          <w:rStyle w:val="25"/>
          <w:rFonts w:hint="eastAsia" w:ascii="仿宋" w:hAnsi="仿宋" w:eastAsia="仿宋"/>
          <w:b w:val="0"/>
          <w:bCs w:val="0"/>
          <w:color w:val="auto"/>
          <w:highlight w:val="none"/>
        </w:rPr>
      </w:pPr>
      <w:bookmarkStart w:id="72"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2"/>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8C3D1"/>
    <w:multiLevelType w:val="singleLevel"/>
    <w:tmpl w:val="BE08C3D1"/>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0451E88"/>
    <w:multiLevelType w:val="singleLevel"/>
    <w:tmpl w:val="D0451E88"/>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DD231E0"/>
    <w:multiLevelType w:val="singleLevel"/>
    <w:tmpl w:val="5DD231E0"/>
    <w:lvl w:ilvl="0" w:tentative="0">
      <w:start w:val="2"/>
      <w:numFmt w:val="chineseCounting"/>
      <w:suff w:val="nothing"/>
      <w:lvlText w:val="（%1）"/>
      <w:lvlJc w:val="left"/>
      <w:rPr>
        <w:rFonts w:hint="eastAsia"/>
      </w:rPr>
    </w:lvl>
  </w:abstractNum>
  <w:abstractNum w:abstractNumId="6">
    <w:nsid w:val="67C60AAD"/>
    <w:multiLevelType w:val="singleLevel"/>
    <w:tmpl w:val="67C60AAD"/>
    <w:lvl w:ilvl="0" w:tentative="0">
      <w:start w:val="3"/>
      <w:numFmt w:val="decimal"/>
      <w:suff w:val="nothing"/>
      <w:lvlText w:val="%1．"/>
      <w:lvlJc w:val="left"/>
    </w:lvl>
  </w:abstractNum>
  <w:abstractNum w:abstractNumId="7">
    <w:nsid w:val="7B1DE43B"/>
    <w:multiLevelType w:val="singleLevel"/>
    <w:tmpl w:val="7B1DE43B"/>
    <w:lvl w:ilvl="0" w:tentative="0">
      <w:start w:val="2"/>
      <w:numFmt w:val="decimal"/>
      <w:suff w:val="nothing"/>
      <w:lvlText w:val="（%1）"/>
      <w:lvlJc w:val="left"/>
    </w:lvl>
  </w:abstractNum>
  <w:num w:numId="1">
    <w:abstractNumId w:val="4"/>
  </w:num>
  <w:num w:numId="2">
    <w:abstractNumId w:val="1"/>
  </w:num>
  <w:num w:numId="3">
    <w:abstractNumId w:val="3"/>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MGRmZGIzZmZjMTEzZDY2NTJlYWZiNTk5N2NlOW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0BB16165"/>
    <w:rsid w:val="101860EC"/>
    <w:rsid w:val="1038043C"/>
    <w:rsid w:val="10C055FF"/>
    <w:rsid w:val="118107EC"/>
    <w:rsid w:val="12557610"/>
    <w:rsid w:val="130C09CD"/>
    <w:rsid w:val="13D50BC4"/>
    <w:rsid w:val="16BB723D"/>
    <w:rsid w:val="1BE8440E"/>
    <w:rsid w:val="1C6A649E"/>
    <w:rsid w:val="1D155CEE"/>
    <w:rsid w:val="23860B96"/>
    <w:rsid w:val="240371BF"/>
    <w:rsid w:val="26715537"/>
    <w:rsid w:val="29A3721F"/>
    <w:rsid w:val="29FD04D3"/>
    <w:rsid w:val="2B0B1219"/>
    <w:rsid w:val="2C8A61B5"/>
    <w:rsid w:val="2DF04E50"/>
    <w:rsid w:val="2EDB5A7C"/>
    <w:rsid w:val="319F7F4E"/>
    <w:rsid w:val="34A56B0C"/>
    <w:rsid w:val="359F7AA1"/>
    <w:rsid w:val="36AA5135"/>
    <w:rsid w:val="37D82B11"/>
    <w:rsid w:val="37E16F03"/>
    <w:rsid w:val="37EF4DC0"/>
    <w:rsid w:val="3A242738"/>
    <w:rsid w:val="3B42598C"/>
    <w:rsid w:val="3D76162D"/>
    <w:rsid w:val="3D98207C"/>
    <w:rsid w:val="3EDD48AC"/>
    <w:rsid w:val="40D871B4"/>
    <w:rsid w:val="41DF7864"/>
    <w:rsid w:val="44E268DA"/>
    <w:rsid w:val="490B0187"/>
    <w:rsid w:val="4A627F82"/>
    <w:rsid w:val="4B4F25DA"/>
    <w:rsid w:val="4BE068DB"/>
    <w:rsid w:val="4D577224"/>
    <w:rsid w:val="4E550E4D"/>
    <w:rsid w:val="4EAB630A"/>
    <w:rsid w:val="4ECE2238"/>
    <w:rsid w:val="4F9124B0"/>
    <w:rsid w:val="52E71E53"/>
    <w:rsid w:val="5301686B"/>
    <w:rsid w:val="570131CB"/>
    <w:rsid w:val="5AF92295"/>
    <w:rsid w:val="5CD71FC4"/>
    <w:rsid w:val="66376316"/>
    <w:rsid w:val="6813619F"/>
    <w:rsid w:val="699F17BD"/>
    <w:rsid w:val="6C4A05C8"/>
    <w:rsid w:val="6E7E3605"/>
    <w:rsid w:val="6FF5CC65"/>
    <w:rsid w:val="715C0E4B"/>
    <w:rsid w:val="72734D90"/>
    <w:rsid w:val="73AD73D5"/>
    <w:rsid w:val="73B6EB34"/>
    <w:rsid w:val="769E2DAB"/>
    <w:rsid w:val="77F8528A"/>
    <w:rsid w:val="79EE5BA4"/>
    <w:rsid w:val="79F530BD"/>
    <w:rsid w:val="7A894339"/>
    <w:rsid w:val="7DE172BA"/>
    <w:rsid w:val="7EEF11D3"/>
    <w:rsid w:val="7F81771C"/>
    <w:rsid w:val="7FA30C79"/>
    <w:rsid w:val="7FC96657"/>
    <w:rsid w:val="7FDE54A4"/>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link w:val="30"/>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正文文本 字符"/>
    <w:basedOn w:val="13"/>
    <w:link w:val="2"/>
    <w:qFormat/>
    <w:uiPriority w:val="0"/>
    <w:rPr>
      <w:rFonts w:hint="default"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241426611797"/>
          <c:y val="0.0334440753045404"/>
          <c:w val="0.719615912208505"/>
          <c:h val="0.865559246954596"/>
        </c:manualLayout>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4"/>
                <c:pt idx="0">
                  <c:v>2020年</c:v>
                </c:pt>
                <c:pt idx="1">
                  <c:v>2021年</c:v>
                </c:pt>
              </c:strCache>
            </c:strRef>
          </c:cat>
          <c:val>
            <c:numRef>
              <c:f>Sheet1!$B$2:$B$5</c:f>
              <c:numCache>
                <c:formatCode>General</c:formatCode>
                <c:ptCount val="4"/>
                <c:pt idx="0">
                  <c:v>14738.58</c:v>
                </c:pt>
                <c:pt idx="1">
                  <c:v>1411.05</c:v>
                </c:pt>
              </c:numCache>
            </c:numRef>
          </c:val>
        </c:ser>
        <c:ser>
          <c:idx val="1"/>
          <c:order val="1"/>
          <c:tx>
            <c:strRef>
              <c:f>Sheet1!$C$1</c:f>
              <c:strCache>
                <c:ptCount val="1"/>
                <c:pt idx="0">
                  <c:v>支出</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chemeClr val="bg1"/>
              </a:outerShdw>
            </a:effectLst>
          </c:spPr>
          <c:invertIfNegative val="0"/>
          <c:dLbls>
            <c:dLbl>
              <c:idx val="0"/>
              <c:layout>
                <c:manualLayout>
                  <c:x val="-0.0373831775700935"/>
                  <c:y val="0.010376134889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52678743125264"/>
                  <c:y val="0.0228906638256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2020年</c:v>
                </c:pt>
                <c:pt idx="1">
                  <c:v>2021年</c:v>
                </c:pt>
              </c:strCache>
            </c:strRef>
          </c:cat>
          <c:val>
            <c:numRef>
              <c:f>Sheet1!$C$2:$C$5</c:f>
              <c:numCache>
                <c:formatCode>General</c:formatCode>
                <c:ptCount val="4"/>
                <c:pt idx="0">
                  <c:v>14738.58</c:v>
                </c:pt>
                <c:pt idx="1">
                  <c:v>1411.05</c:v>
                </c:pt>
              </c:numCache>
            </c:numRef>
          </c:val>
        </c:ser>
        <c:dLbls>
          <c:showLegendKey val="0"/>
          <c:showVal val="0"/>
          <c:showCatName val="0"/>
          <c:showSerName val="0"/>
          <c:showPercent val="0"/>
          <c:showBubbleSize val="0"/>
        </c:dLbls>
        <c:gapWidth val="80"/>
        <c:overlap val="-20"/>
        <c:axId val="148131200"/>
        <c:axId val="148132992"/>
      </c:barChart>
      <c:catAx>
        <c:axId val="148131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132992"/>
        <c:crosses val="autoZero"/>
        <c:auto val="1"/>
        <c:lblAlgn val="ctr"/>
        <c:lblOffset val="100"/>
        <c:noMultiLvlLbl val="0"/>
      </c:catAx>
      <c:valAx>
        <c:axId val="148132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131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3"/>
          <c:dPt>
            <c:idx val="0"/>
            <c:bubble3D val="0"/>
          </c:dPt>
          <c:dPt>
            <c:idx val="1"/>
            <c:bubble3D val="0"/>
          </c:dPt>
          <c:dLbls>
            <c:dLbl>
              <c:idx val="0"/>
              <c:layout>
                <c:manualLayout>
                  <c:x val="0.0102882339171086"/>
                  <c:y val="-0.036666357881735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762540780533274"/>
                  <c:y val="-0.037530338119499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国有资本经营预算财政拨款收入</c:v>
                </c:pt>
              </c:strCache>
            </c:strRef>
          </c:cat>
          <c:val>
            <c:numRef>
              <c:f>Sheet1!$B$2:$B$3</c:f>
              <c:numCache>
                <c:formatCode>0.00%</c:formatCode>
                <c:ptCount val="2"/>
                <c:pt idx="0">
                  <c:v>0.8724</c:v>
                </c:pt>
                <c:pt idx="1">
                  <c:v>0.1276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explosion val="0"/>
          <c:dPt>
            <c:idx val="0"/>
            <c:bubble3D val="0"/>
          </c:dPt>
          <c:dPt>
            <c:idx val="1"/>
            <c:bubble3D val="0"/>
          </c:dPt>
          <c:dLbls>
            <c:dLbl>
              <c:idx val="0"/>
              <c:layout>
                <c:manualLayout>
                  <c:x val="0.0401309596216966"/>
                  <c:y val="0.0371830487481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356527980975238"/>
                  <c:y val="-0.033024860656462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0.0589</c:v>
                </c:pt>
                <c:pt idx="1">
                  <c:v>0.9411</c:v>
                </c:pt>
              </c:numCache>
            </c:numRef>
          </c:val>
        </c:ser>
        <c:dLbls>
          <c:showLegendKey val="0"/>
          <c:showVal val="0"/>
          <c:showCatName val="0"/>
          <c:showSerName val="0"/>
          <c:showPercent val="0"/>
          <c:showBubbleSize val="0"/>
          <c:showLeaderLines val="1"/>
        </c:dLbls>
        <c:firstSliceAng val="6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12491513917"/>
          <c:y val="0.0466560227071137"/>
          <c:w val="0.61683638832315"/>
          <c:h val="0.865708710306901"/>
        </c:manualLayout>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Sheet1!$A$2:$A$5</c:f>
              <c:strCache>
                <c:ptCount val="4"/>
                <c:pt idx="0">
                  <c:v>2020年</c:v>
                </c:pt>
                <c:pt idx="1">
                  <c:v>2021年</c:v>
                </c:pt>
              </c:strCache>
            </c:strRef>
          </c:cat>
          <c:val>
            <c:numRef>
              <c:f>Sheet1!$B$2:$B$5</c:f>
              <c:numCache>
                <c:formatCode>General</c:formatCode>
                <c:ptCount val="4"/>
                <c:pt idx="0">
                  <c:v>14738.58</c:v>
                </c:pt>
                <c:pt idx="1">
                  <c:v>1411.05</c:v>
                </c:pt>
              </c:numCache>
            </c:numRef>
          </c:val>
        </c:ser>
        <c:ser>
          <c:idx val="1"/>
          <c:order val="1"/>
          <c:tx>
            <c:strRef>
              <c:f>Sheet1!$C$1</c:f>
              <c:strCache>
                <c:ptCount val="1"/>
                <c:pt idx="0">
                  <c:v>财政拨款支出</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chemeClr val="bg1"/>
              </a:outerShdw>
            </a:effectLst>
          </c:spPr>
          <c:invertIfNegative val="0"/>
          <c:dLbls>
            <c:dLbl>
              <c:idx val="0"/>
              <c:layout>
                <c:manualLayout>
                  <c:x val="-0.0373831775700935"/>
                  <c:y val="0.010376134889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0555671875694"/>
                  <c:y val="0.0199122114931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2020年</c:v>
                </c:pt>
                <c:pt idx="1">
                  <c:v>2021年</c:v>
                </c:pt>
              </c:strCache>
            </c:strRef>
          </c:cat>
          <c:val>
            <c:numRef>
              <c:f>Sheet1!$C$2:$C$5</c:f>
              <c:numCache>
                <c:formatCode>General</c:formatCode>
                <c:ptCount val="4"/>
                <c:pt idx="0">
                  <c:v>14738.58</c:v>
                </c:pt>
                <c:pt idx="1">
                  <c:v>1411.05</c:v>
                </c:pt>
              </c:numCache>
            </c:numRef>
          </c:val>
        </c:ser>
        <c:dLbls>
          <c:showLegendKey val="0"/>
          <c:showVal val="0"/>
          <c:showCatName val="0"/>
          <c:showSerName val="0"/>
          <c:showPercent val="0"/>
          <c:showBubbleSize val="0"/>
        </c:dLbls>
        <c:gapWidth val="80"/>
        <c:overlap val="-20"/>
        <c:axId val="322771968"/>
        <c:axId val="322818816"/>
      </c:barChart>
      <c:catAx>
        <c:axId val="322771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2818816"/>
        <c:crosses val="autoZero"/>
        <c:auto val="1"/>
        <c:lblAlgn val="ctr"/>
        <c:lblOffset val="100"/>
        <c:noMultiLvlLbl val="0"/>
      </c:catAx>
      <c:valAx>
        <c:axId val="322818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27719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c:v>
                </c:pt>
              </c:strCache>
            </c:strRef>
          </c:tx>
          <c:invertIfNegative val="0"/>
          <c:dLbls>
            <c:dLbl>
              <c:idx val="0"/>
              <c:layout>
                <c:manualLayout>
                  <c:x val="0.00669344042838019"/>
                  <c:y val="0.02138624065962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7339.35</c:v>
                </c:pt>
                <c:pt idx="1">
                  <c:v>1231.05</c:v>
                </c:pt>
              </c:numCache>
            </c:numRef>
          </c:val>
        </c:ser>
        <c:dLbls>
          <c:showLegendKey val="0"/>
          <c:showVal val="0"/>
          <c:showCatName val="0"/>
          <c:showSerName val="0"/>
          <c:showPercent val="0"/>
          <c:showBubbleSize val="0"/>
        </c:dLbls>
        <c:gapWidth val="150"/>
        <c:axId val="323044096"/>
        <c:axId val="323045632"/>
      </c:barChart>
      <c:catAx>
        <c:axId val="3230440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045632"/>
        <c:crosses val="autoZero"/>
        <c:auto val="1"/>
        <c:lblAlgn val="ctr"/>
        <c:lblOffset val="100"/>
        <c:noMultiLvlLbl val="0"/>
      </c:catAx>
      <c:valAx>
        <c:axId val="323045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044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6"/>
          <c:dPt>
            <c:idx val="0"/>
            <c:bubble3D val="0"/>
          </c:dPt>
          <c:dPt>
            <c:idx val="1"/>
            <c:bubble3D val="0"/>
          </c:dPt>
          <c:dPt>
            <c:idx val="2"/>
            <c:bubble3D val="0"/>
          </c:dPt>
          <c:dPt>
            <c:idx val="3"/>
            <c:bubble3D val="0"/>
          </c:dPt>
          <c:dPt>
            <c:idx val="4"/>
            <c:bubble3D val="0"/>
          </c:dPt>
          <c:dPt>
            <c:idx val="5"/>
            <c:bubble3D val="0"/>
          </c:dPt>
          <c:dLbls>
            <c:dLbl>
              <c:idx val="2"/>
              <c:layout>
                <c:manualLayout>
                  <c:x val="-0.103766851486691"/>
                  <c:y val="-0.1070433751989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47880053712826"/>
                  <c:y val="0.02226734853391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489675191113721"/>
                  <c:y val="-0.09666825832138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843933073941182"/>
                  <c:y val="0.11659483733382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Sheet1!$A$2:$A$7</c:f>
              <c:strCache>
                <c:ptCount val="6"/>
                <c:pt idx="0">
                  <c:v>一般公共服务（类）</c:v>
                </c:pt>
                <c:pt idx="1">
                  <c:v>教育支出（类）</c:v>
                </c:pt>
                <c:pt idx="2">
                  <c:v>住房保障（类）</c:v>
                </c:pt>
                <c:pt idx="3">
                  <c:v>社会保障和就业（类）</c:v>
                </c:pt>
                <c:pt idx="4">
                  <c:v>卫生健康支出（类）</c:v>
                </c:pt>
                <c:pt idx="5">
                  <c:v>农林水（类）</c:v>
                </c:pt>
              </c:strCache>
            </c:strRef>
          </c:cat>
          <c:val>
            <c:numRef>
              <c:f>Sheet1!$B$2:$B$7</c:f>
              <c:numCache>
                <c:formatCode>0.00%</c:formatCode>
                <c:ptCount val="6"/>
                <c:pt idx="0">
                  <c:v>0.8288</c:v>
                </c:pt>
                <c:pt idx="1">
                  <c:v>0.156</c:v>
                </c:pt>
                <c:pt idx="2">
                  <c:v>0.0043</c:v>
                </c:pt>
                <c:pt idx="3">
                  <c:v>0.0068</c:v>
                </c:pt>
                <c:pt idx="4">
                  <c:v>0.0029</c:v>
                </c:pt>
                <c:pt idx="5">
                  <c:v>0.0012</c:v>
                </c:pt>
              </c:numCache>
            </c:numRef>
          </c:val>
        </c:ser>
        <c:dLbls>
          <c:showLegendKey val="0"/>
          <c:showVal val="0"/>
          <c:showCatName val="0"/>
          <c:showSerName val="0"/>
          <c:showPercent val="0"/>
          <c:showBubbleSize val="0"/>
          <c:showLeaderLines val="1"/>
        </c:dLbls>
        <c:firstSliceAng val="42"/>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explosion val="0"/>
          <c:dPt>
            <c:idx val="0"/>
            <c:bubble3D val="0"/>
          </c:dPt>
          <c:dLbls>
            <c:dLbl>
              <c:idx val="0"/>
              <c:layout>
                <c:manualLayout>
                  <c:x val="0.168074076577338"/>
                  <c:y val="-0.47170849257877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公务接待费</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54</Pages>
  <Words>19256</Words>
  <Characters>20301</Characters>
  <Lines>61</Lines>
  <Paragraphs>17</Paragraphs>
  <TotalTime>5</TotalTime>
  <ScaleCrop>false</ScaleCrop>
  <LinksUpToDate>false</LinksUpToDate>
  <CharactersWithSpaces>20378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抹去你的小伤心</cp:lastModifiedBy>
  <cp:lastPrinted>2022-08-08T09:11:00Z</cp:lastPrinted>
  <dcterms:modified xsi:type="dcterms:W3CDTF">2022-09-22T12:06:31Z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71EE4C5B63CC42F888BCD11980679D2B</vt:lpwstr>
  </property>
</Properties>
</file>