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9"/>
        <w:rPr>
          <w:rFonts w:ascii="方正小标宋简体" w:hAnsi="宋体" w:eastAsia="方正小标宋简体"/>
          <w:color w:val="auto"/>
          <w:sz w:val="72"/>
          <w:szCs w:val="72"/>
          <w:highlight w:val="none"/>
        </w:rPr>
      </w:pPr>
      <w:bookmarkStart w:id="0" w:name="_Toc15396597"/>
      <w:bookmarkStart w:id="1" w:name="_Toc15396475"/>
      <w:bookmarkStart w:id="2" w:name="_Toc15378441"/>
      <w:bookmarkStart w:id="3" w:name="_Toc15377425"/>
      <w:bookmarkStart w:id="4" w:name="_Toc15377193"/>
      <w:bookmarkStart w:id="5" w:name="_Toc15306267"/>
    </w:p>
    <w:p>
      <w:pPr>
        <w:spacing w:line="600" w:lineRule="exact"/>
        <w:jc w:val="center"/>
        <w:outlineLvl w:val="9"/>
        <w:rPr>
          <w:rFonts w:ascii="方正小标宋简体" w:hAnsi="宋体" w:eastAsia="方正小标宋简体"/>
          <w:color w:val="auto"/>
          <w:sz w:val="72"/>
          <w:szCs w:val="72"/>
          <w:highlight w:val="none"/>
        </w:rPr>
      </w:pPr>
    </w:p>
    <w:p>
      <w:pPr>
        <w:spacing w:line="600" w:lineRule="exact"/>
        <w:jc w:val="center"/>
        <w:outlineLvl w:val="9"/>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6" w:name="_Toc2896"/>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22</w:t>
      </w:r>
      <w:r>
        <w:rPr>
          <w:rFonts w:hint="eastAsia" w:ascii="方正小标宋简体" w:hAnsi="方正小标宋简体" w:eastAsia="方正小标宋简体" w:cs="方正小标宋简体"/>
          <w:color w:val="auto"/>
          <w:sz w:val="72"/>
          <w:szCs w:val="72"/>
          <w:highlight w:val="none"/>
        </w:rPr>
        <w:t>年度</w:t>
      </w:r>
      <w:bookmarkEnd w:id="0"/>
      <w:bookmarkEnd w:id="1"/>
      <w:bookmarkEnd w:id="2"/>
      <w:bookmarkEnd w:id="3"/>
      <w:bookmarkEnd w:id="4"/>
      <w:bookmarkEnd w:id="6"/>
    </w:p>
    <w:bookmarkEnd w:id="5"/>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7" w:name="_Toc15378442"/>
      <w:bookmarkStart w:id="8" w:name="_Toc15377194"/>
      <w:bookmarkStart w:id="9" w:name="_Toc15306268"/>
      <w:bookmarkStart w:id="10" w:name="_Toc15377426"/>
      <w:bookmarkStart w:id="11" w:name="_Toc15396598"/>
      <w:bookmarkStart w:id="12" w:name="_Toc15396476"/>
      <w:bookmarkStart w:id="13" w:name="_Toc24188"/>
      <w:r>
        <w:rPr>
          <w:rFonts w:hint="eastAsia" w:ascii="方正小标宋简体" w:hAnsi="方正小标宋简体" w:eastAsia="方正小标宋简体" w:cs="方正小标宋简体"/>
          <w:color w:val="auto"/>
          <w:sz w:val="72"/>
          <w:szCs w:val="72"/>
          <w:highlight w:val="none"/>
        </w:rPr>
        <w:t>四川省</w:t>
      </w:r>
      <w:r>
        <w:rPr>
          <w:rFonts w:hint="eastAsia" w:ascii="方正小标宋简体" w:hAnsi="方正小标宋简体" w:eastAsia="方正小标宋简体" w:cs="方正小标宋简体"/>
          <w:color w:val="auto"/>
          <w:sz w:val="72"/>
          <w:szCs w:val="72"/>
          <w:highlight w:val="none"/>
          <w:lang w:val="en-US" w:eastAsia="zh-CN"/>
        </w:rPr>
        <w:t>广元市自然资源局朝天区分局</w:t>
      </w:r>
      <w:r>
        <w:rPr>
          <w:rFonts w:hint="eastAsia" w:ascii="方正小标宋简体" w:hAnsi="方正小标宋简体" w:eastAsia="方正小标宋简体" w:cs="方正小标宋简体"/>
          <w:color w:val="auto"/>
          <w:sz w:val="72"/>
          <w:szCs w:val="72"/>
          <w:highlight w:val="none"/>
        </w:rPr>
        <w:t>部门决算</w:t>
      </w:r>
      <w:bookmarkEnd w:id="7"/>
      <w:bookmarkEnd w:id="8"/>
      <w:bookmarkEnd w:id="9"/>
      <w:bookmarkEnd w:id="10"/>
      <w:bookmarkEnd w:id="11"/>
      <w:bookmarkEnd w:id="12"/>
      <w:bookmarkEnd w:id="13"/>
    </w:p>
    <w:p>
      <w:pPr>
        <w:pStyle w:val="11"/>
        <w:rPr>
          <w:rFonts w:hint="eastAsia"/>
          <w:color w:val="auto"/>
          <w:highlight w:val="none"/>
        </w:rPr>
      </w:pPr>
    </w:p>
    <w:p>
      <w:pPr>
        <w:pStyle w:val="11"/>
        <w:rPr>
          <w:rFonts w:hint="eastAsia"/>
          <w:color w:val="auto"/>
          <w:highlight w:val="none"/>
        </w:rPr>
      </w:pPr>
    </w:p>
    <w:p>
      <w:pPr>
        <w:pStyle w:val="11"/>
        <w:rPr>
          <w:rFonts w:hint="eastAsia"/>
          <w:color w:val="auto"/>
          <w:highlight w:val="none"/>
        </w:rPr>
      </w:pPr>
    </w:p>
    <w:p>
      <w:pPr>
        <w:pStyle w:val="11"/>
        <w:jc w:val="both"/>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pStyle w:val="11"/>
        <w:rPr>
          <w:rFonts w:hint="eastAsia"/>
          <w:color w:val="auto"/>
          <w:highlight w:val="none"/>
        </w:rPr>
      </w:pPr>
    </w:p>
    <w:p>
      <w:pPr>
        <w:pStyle w:val="11"/>
        <w:jc w:val="both"/>
        <w:rPr>
          <w:rFonts w:hint="eastAsia"/>
          <w:color w:val="auto"/>
          <w:highlight w:val="none"/>
        </w:rPr>
      </w:pPr>
    </w:p>
    <w:p>
      <w:pPr>
        <w:pStyle w:val="11"/>
        <w:jc w:val="center"/>
        <w:rPr>
          <w:color w:val="auto"/>
          <w:highlight w:val="none"/>
        </w:rPr>
      </w:pPr>
      <w:r>
        <w:rPr>
          <w:rFonts w:hint="eastAsia"/>
          <w:color w:val="auto"/>
          <w:highlight w:val="none"/>
        </w:rPr>
        <w:t>公开时间：20</w:t>
      </w:r>
      <w:r>
        <w:rPr>
          <w:rFonts w:hint="eastAsia"/>
          <w:color w:val="auto"/>
          <w:highlight w:val="none"/>
          <w:lang w:val="en-US" w:eastAsia="zh-CN"/>
        </w:rPr>
        <w:t>23</w:t>
      </w:r>
      <w:r>
        <w:rPr>
          <w:rFonts w:hint="eastAsia"/>
          <w:color w:val="auto"/>
          <w:highlight w:val="none"/>
        </w:rPr>
        <w:t>年</w:t>
      </w:r>
      <w:r>
        <w:rPr>
          <w:rFonts w:hint="eastAsia"/>
          <w:color w:val="auto"/>
          <w:highlight w:val="none"/>
          <w:lang w:val="en-US" w:eastAsia="zh-CN"/>
        </w:rPr>
        <w:t xml:space="preserve">10 </w:t>
      </w:r>
      <w:r>
        <w:rPr>
          <w:rFonts w:hint="eastAsia"/>
          <w:color w:val="auto"/>
          <w:highlight w:val="none"/>
        </w:rPr>
        <w:t>月</w:t>
      </w:r>
      <w:r>
        <w:rPr>
          <w:rFonts w:hint="eastAsia"/>
          <w:color w:val="auto"/>
          <w:highlight w:val="none"/>
          <w:lang w:val="en-US" w:eastAsia="zh-CN"/>
        </w:rPr>
        <w:t xml:space="preserve">27 </w:t>
      </w:r>
      <w:r>
        <w:rPr>
          <w:rFonts w:hint="eastAsia"/>
          <w:color w:val="auto"/>
          <w:highlight w:val="none"/>
        </w:rPr>
        <w:t>日</w:t>
      </w:r>
    </w:p>
    <w:p>
      <w:pPr>
        <w:widowControl/>
        <w:jc w:val="center"/>
        <w:rPr>
          <w:rFonts w:ascii="黑体" w:hAnsi="黑体" w:eastAsia="黑体" w:cstheme="minorBidi"/>
          <w:color w:val="auto"/>
          <w:sz w:val="28"/>
          <w:szCs w:val="2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pPr>
        <w:rPr>
          <w:color w:val="auto"/>
          <w:highlight w:val="none"/>
        </w:rPr>
      </w:pPr>
    </w:p>
    <w:sdt>
      <w:sdtPr>
        <w:rPr>
          <w:rFonts w:ascii="宋体" w:hAnsi="宋体" w:eastAsia="宋体" w:cs="Times New Roman"/>
          <w:kern w:val="2"/>
          <w:sz w:val="21"/>
          <w:szCs w:val="24"/>
          <w:lang w:val="en-US" w:eastAsia="zh-CN" w:bidi="ar-SA"/>
        </w:rPr>
        <w:id w:val="147458070"/>
        <w15:color w:val="DBDBDB"/>
        <w:docPartObj>
          <w:docPartGallery w:val="Table of Contents"/>
          <w:docPartUnique/>
        </w:docPartObj>
      </w:sdtPr>
      <w:sdtContent>
        <w:p>
          <w:pPr>
            <w:spacing w:before="0" w:beforeLines="0" w:after="0" w:afterLines="0" w:line="240" w:lineRule="auto"/>
            <w:ind w:left="0" w:leftChars="0" w:right="0" w:rightChars="0" w:firstLine="0" w:firstLineChars="0"/>
            <w:jc w:val="center"/>
          </w:pPr>
          <w:bookmarkStart w:id="14" w:name="_Toc15377196"/>
          <w:bookmarkStart w:id="15" w:name="_Toc15396599"/>
          <w:bookmarkStart w:id="124" w:name="_GoBack"/>
          <w:bookmarkEnd w:id="124"/>
          <w:r>
            <w:fldChar w:fldCharType="begin"/>
          </w:r>
          <w:r>
            <w:instrText xml:space="preserve">TOC \o "1-3" \h \u </w:instrText>
          </w:r>
          <w:r>
            <w:fldChar w:fldCharType="separate"/>
          </w:r>
        </w:p>
        <w:p>
          <w:pPr>
            <w:pStyle w:val="41"/>
            <w:tabs>
              <w:tab w:val="right" w:leader="dot" w:pos="8306"/>
            </w:tabs>
          </w:pPr>
          <w:r>
            <w:fldChar w:fldCharType="begin"/>
          </w:r>
          <w:r>
            <w:instrText xml:space="preserve"> HYPERLINK \l _Toc14798 </w:instrText>
          </w:r>
          <w:r>
            <w:fldChar w:fldCharType="separate"/>
          </w:r>
          <w:r>
            <w:rPr>
              <w:rFonts w:hint="eastAsia" w:ascii="黑体" w:hAnsi="黑体" w:eastAsia="黑体"/>
              <w:highlight w:val="none"/>
            </w:rPr>
            <w:t xml:space="preserve">第一部分 </w:t>
          </w:r>
          <w:r>
            <w:rPr>
              <w:rFonts w:hint="eastAsia" w:ascii="黑体" w:hAnsi="黑体" w:eastAsia="黑体"/>
              <w:bCs w:val="0"/>
              <w:highlight w:val="none"/>
            </w:rPr>
            <w:t>部门概况</w:t>
          </w:r>
          <w:r>
            <w:tab/>
          </w:r>
          <w:r>
            <w:fldChar w:fldCharType="begin"/>
          </w:r>
          <w:r>
            <w:instrText xml:space="preserve"> PAGEREF _Toc14798 \h </w:instrText>
          </w:r>
          <w:r>
            <w:fldChar w:fldCharType="separate"/>
          </w:r>
          <w:r>
            <w:t>3</w:t>
          </w:r>
          <w:r>
            <w:fldChar w:fldCharType="end"/>
          </w:r>
          <w:r>
            <w:fldChar w:fldCharType="end"/>
          </w:r>
        </w:p>
        <w:p>
          <w:pPr>
            <w:pStyle w:val="42"/>
            <w:tabs>
              <w:tab w:val="right" w:leader="dot" w:pos="8306"/>
            </w:tabs>
          </w:pPr>
          <w:r>
            <w:fldChar w:fldCharType="begin"/>
          </w:r>
          <w:r>
            <w:instrText xml:space="preserve"> HYPERLINK \l _Toc13704 </w:instrText>
          </w:r>
          <w:r>
            <w:fldChar w:fldCharType="separate"/>
          </w:r>
          <w:r>
            <w:rPr>
              <w:rFonts w:hint="eastAsia" w:ascii="黑体" w:hAnsi="黑体" w:eastAsia="黑体"/>
              <w:lang w:eastAsia="zh-CN"/>
            </w:rPr>
            <w:t xml:space="preserve">一、 </w:t>
          </w:r>
          <w:r>
            <w:rPr>
              <w:rFonts w:hint="eastAsia" w:ascii="黑体" w:hAnsi="黑体" w:eastAsia="黑体"/>
              <w:highlight w:val="none"/>
              <w:lang w:eastAsia="zh-CN"/>
            </w:rPr>
            <w:t>部门职责</w:t>
          </w:r>
          <w:r>
            <w:tab/>
          </w:r>
          <w:r>
            <w:fldChar w:fldCharType="begin"/>
          </w:r>
          <w:r>
            <w:instrText xml:space="preserve"> PAGEREF _Toc13704 \h </w:instrText>
          </w:r>
          <w:r>
            <w:fldChar w:fldCharType="separate"/>
          </w:r>
          <w:r>
            <w:t>3</w:t>
          </w:r>
          <w:r>
            <w:fldChar w:fldCharType="end"/>
          </w:r>
          <w:r>
            <w:fldChar w:fldCharType="end"/>
          </w:r>
        </w:p>
        <w:p>
          <w:pPr>
            <w:pStyle w:val="42"/>
            <w:tabs>
              <w:tab w:val="right" w:leader="dot" w:pos="8306"/>
            </w:tabs>
          </w:pPr>
          <w:r>
            <w:fldChar w:fldCharType="begin"/>
          </w:r>
          <w:r>
            <w:instrText xml:space="preserve"> HYPERLINK \l _Toc13498 </w:instrText>
          </w:r>
          <w:r>
            <w:fldChar w:fldCharType="separate"/>
          </w:r>
          <w:r>
            <w:rPr>
              <w:rFonts w:hint="eastAsia" w:ascii="黑体" w:eastAsia="黑体"/>
              <w:highlight w:val="none"/>
            </w:rPr>
            <w:t>二、</w:t>
          </w:r>
          <w:r>
            <w:rPr>
              <w:rFonts w:hint="eastAsia" w:ascii="黑体" w:hAnsi="黑体" w:eastAsia="黑体"/>
              <w:highlight w:val="none"/>
            </w:rPr>
            <w:t>机</w:t>
          </w:r>
          <w:r>
            <w:rPr>
              <w:rFonts w:hint="eastAsia" w:ascii="黑体" w:hAnsi="黑体" w:eastAsia="黑体"/>
              <w:bCs w:val="0"/>
              <w:highlight w:val="none"/>
            </w:rPr>
            <w:t>构设置</w:t>
          </w:r>
          <w:r>
            <w:tab/>
          </w:r>
          <w:r>
            <w:fldChar w:fldCharType="begin"/>
          </w:r>
          <w:r>
            <w:instrText xml:space="preserve"> PAGEREF _Toc13498 \h </w:instrText>
          </w:r>
          <w:r>
            <w:fldChar w:fldCharType="separate"/>
          </w:r>
          <w:r>
            <w:t>6</w:t>
          </w:r>
          <w:r>
            <w:fldChar w:fldCharType="end"/>
          </w:r>
          <w:r>
            <w:fldChar w:fldCharType="end"/>
          </w:r>
        </w:p>
        <w:p>
          <w:pPr>
            <w:pStyle w:val="41"/>
            <w:tabs>
              <w:tab w:val="right" w:leader="dot" w:pos="8306"/>
            </w:tabs>
          </w:pPr>
          <w:r>
            <w:fldChar w:fldCharType="begin"/>
          </w:r>
          <w:r>
            <w:instrText xml:space="preserve"> HYPERLINK \l _Toc19893 </w:instrText>
          </w:r>
          <w:r>
            <w:fldChar w:fldCharType="separate"/>
          </w:r>
          <w:r>
            <w:rPr>
              <w:rFonts w:hint="eastAsia" w:ascii="黑体" w:hAnsi="黑体" w:eastAsia="黑体"/>
              <w:bCs/>
              <w:highlight w:val="none"/>
            </w:rPr>
            <w:t xml:space="preserve">第二部分 </w:t>
          </w:r>
          <w:r>
            <w:rPr>
              <w:rFonts w:hint="eastAsia" w:ascii="黑体" w:hAnsi="黑体" w:eastAsia="黑体"/>
              <w:bCs/>
              <w:highlight w:val="none"/>
              <w:lang w:val="en-US" w:eastAsia="zh-CN"/>
            </w:rPr>
            <w:t>2022年度</w:t>
          </w:r>
          <w:r>
            <w:rPr>
              <w:rFonts w:hint="eastAsia" w:ascii="黑体" w:hAnsi="黑体" w:eastAsia="黑体"/>
              <w:bCs/>
              <w:highlight w:val="none"/>
            </w:rPr>
            <w:t>部门决算情况说明</w:t>
          </w:r>
          <w:r>
            <w:tab/>
          </w:r>
          <w:r>
            <w:fldChar w:fldCharType="begin"/>
          </w:r>
          <w:r>
            <w:instrText xml:space="preserve"> PAGEREF _Toc19893 \h </w:instrText>
          </w:r>
          <w:r>
            <w:fldChar w:fldCharType="separate"/>
          </w:r>
          <w:r>
            <w:t>7</w:t>
          </w:r>
          <w:r>
            <w:fldChar w:fldCharType="end"/>
          </w:r>
          <w:r>
            <w:fldChar w:fldCharType="end"/>
          </w:r>
        </w:p>
        <w:p>
          <w:pPr>
            <w:pStyle w:val="42"/>
            <w:tabs>
              <w:tab w:val="right" w:leader="dot" w:pos="8306"/>
            </w:tabs>
          </w:pPr>
          <w:r>
            <w:fldChar w:fldCharType="begin"/>
          </w:r>
          <w:r>
            <w:instrText xml:space="preserve"> HYPERLINK \l _Toc13826 </w:instrText>
          </w:r>
          <w:r>
            <w:fldChar w:fldCharType="separate"/>
          </w:r>
          <w:r>
            <w:rPr>
              <w:rFonts w:hint="default" w:ascii="黑体" w:hAnsi="黑体" w:eastAsia="黑体"/>
            </w:rPr>
            <w:t xml:space="preserve">一、 </w:t>
          </w:r>
          <w:r>
            <w:rPr>
              <w:rFonts w:hint="eastAsia" w:ascii="黑体" w:hAnsi="黑体" w:eastAsia="黑体"/>
              <w:szCs w:val="32"/>
              <w:highlight w:val="none"/>
            </w:rPr>
            <w:t>收</w:t>
          </w:r>
          <w:r>
            <w:rPr>
              <w:rFonts w:hint="eastAsia" w:ascii="黑体" w:hAnsi="黑体" w:eastAsia="黑体"/>
              <w:highlight w:val="none"/>
            </w:rPr>
            <w:t>入支出决算总体情况说明</w:t>
          </w:r>
          <w:r>
            <w:tab/>
          </w:r>
          <w:r>
            <w:fldChar w:fldCharType="begin"/>
          </w:r>
          <w:r>
            <w:instrText xml:space="preserve"> PAGEREF _Toc13826 \h </w:instrText>
          </w:r>
          <w:r>
            <w:fldChar w:fldCharType="separate"/>
          </w:r>
          <w:r>
            <w:t>7</w:t>
          </w:r>
          <w:r>
            <w:fldChar w:fldCharType="end"/>
          </w:r>
          <w:r>
            <w:fldChar w:fldCharType="end"/>
          </w:r>
        </w:p>
        <w:p>
          <w:pPr>
            <w:pStyle w:val="42"/>
            <w:tabs>
              <w:tab w:val="right" w:leader="dot" w:pos="8306"/>
            </w:tabs>
          </w:pPr>
          <w:r>
            <w:fldChar w:fldCharType="begin"/>
          </w:r>
          <w:r>
            <w:instrText xml:space="preserve"> HYPERLINK \l _Toc16020 </w:instrText>
          </w:r>
          <w:r>
            <w:fldChar w:fldCharType="separate"/>
          </w:r>
          <w:r>
            <w:rPr>
              <w:rFonts w:hint="default" w:ascii="黑体" w:hAnsi="黑体" w:eastAsia="黑体"/>
            </w:rPr>
            <w:t xml:space="preserve">二、 </w:t>
          </w:r>
          <w:r>
            <w:rPr>
              <w:rFonts w:hint="eastAsia" w:ascii="黑体" w:hAnsi="黑体" w:eastAsia="黑体"/>
              <w:szCs w:val="32"/>
              <w:highlight w:val="none"/>
            </w:rPr>
            <w:t>收</w:t>
          </w:r>
          <w:r>
            <w:rPr>
              <w:rFonts w:hint="eastAsia" w:ascii="黑体" w:hAnsi="黑体" w:eastAsia="黑体"/>
              <w:highlight w:val="none"/>
            </w:rPr>
            <w:t>入决算情况说明</w:t>
          </w:r>
          <w:r>
            <w:tab/>
          </w:r>
          <w:r>
            <w:fldChar w:fldCharType="begin"/>
          </w:r>
          <w:r>
            <w:instrText xml:space="preserve"> PAGEREF _Toc16020 \h </w:instrText>
          </w:r>
          <w:r>
            <w:fldChar w:fldCharType="separate"/>
          </w:r>
          <w:r>
            <w:t>7</w:t>
          </w:r>
          <w:r>
            <w:fldChar w:fldCharType="end"/>
          </w:r>
          <w:r>
            <w:fldChar w:fldCharType="end"/>
          </w:r>
        </w:p>
        <w:p>
          <w:pPr>
            <w:pStyle w:val="42"/>
            <w:tabs>
              <w:tab w:val="right" w:leader="dot" w:pos="8306"/>
            </w:tabs>
          </w:pPr>
          <w:r>
            <w:fldChar w:fldCharType="begin"/>
          </w:r>
          <w:r>
            <w:instrText xml:space="preserve"> HYPERLINK \l _Toc5269 </w:instrText>
          </w:r>
          <w:r>
            <w:fldChar w:fldCharType="separate"/>
          </w:r>
          <w:r>
            <w:rPr>
              <w:rFonts w:hint="default" w:ascii="黑体" w:hAnsi="黑体" w:eastAsia="黑体"/>
            </w:rPr>
            <w:t xml:space="preserve">三、 </w:t>
          </w:r>
          <w:r>
            <w:rPr>
              <w:rFonts w:hint="eastAsia" w:ascii="黑体" w:hAnsi="黑体" w:eastAsia="黑体"/>
              <w:szCs w:val="32"/>
              <w:highlight w:val="none"/>
            </w:rPr>
            <w:t>支</w:t>
          </w:r>
          <w:r>
            <w:rPr>
              <w:rFonts w:hint="eastAsia" w:ascii="黑体" w:hAnsi="黑体" w:eastAsia="黑体"/>
              <w:highlight w:val="none"/>
            </w:rPr>
            <w:t>出决算情况说明</w:t>
          </w:r>
          <w:r>
            <w:tab/>
          </w:r>
          <w:r>
            <w:fldChar w:fldCharType="begin"/>
          </w:r>
          <w:r>
            <w:instrText xml:space="preserve"> PAGEREF _Toc5269 \h </w:instrText>
          </w:r>
          <w:r>
            <w:fldChar w:fldCharType="separate"/>
          </w:r>
          <w:r>
            <w:t>8</w:t>
          </w:r>
          <w:r>
            <w:fldChar w:fldCharType="end"/>
          </w:r>
          <w:r>
            <w:fldChar w:fldCharType="end"/>
          </w:r>
        </w:p>
        <w:p>
          <w:pPr>
            <w:pStyle w:val="42"/>
            <w:tabs>
              <w:tab w:val="right" w:leader="dot" w:pos="8306"/>
            </w:tabs>
          </w:pPr>
          <w:r>
            <w:fldChar w:fldCharType="begin"/>
          </w:r>
          <w:r>
            <w:instrText xml:space="preserve"> HYPERLINK \l _Toc23196 </w:instrText>
          </w:r>
          <w:r>
            <w:fldChar w:fldCharType="separate"/>
          </w:r>
          <w:r>
            <w:rPr>
              <w:rFonts w:hint="eastAsia" w:ascii="黑体" w:hAnsi="黑体" w:eastAsia="黑体"/>
              <w:szCs w:val="32"/>
              <w:highlight w:val="none"/>
            </w:rPr>
            <w:t>四、财</w:t>
          </w:r>
          <w:r>
            <w:rPr>
              <w:rFonts w:hint="eastAsia" w:ascii="黑体" w:hAnsi="黑体" w:eastAsia="黑体"/>
              <w:highlight w:val="none"/>
            </w:rPr>
            <w:t>政拨款收入支出决算总体情况说明</w:t>
          </w:r>
          <w:r>
            <w:tab/>
          </w:r>
          <w:r>
            <w:fldChar w:fldCharType="begin"/>
          </w:r>
          <w:r>
            <w:instrText xml:space="preserve"> PAGEREF _Toc23196 \h </w:instrText>
          </w:r>
          <w:r>
            <w:fldChar w:fldCharType="separate"/>
          </w:r>
          <w:r>
            <w:t>8</w:t>
          </w:r>
          <w:r>
            <w:fldChar w:fldCharType="end"/>
          </w:r>
          <w:r>
            <w:fldChar w:fldCharType="end"/>
          </w:r>
        </w:p>
        <w:p>
          <w:pPr>
            <w:pStyle w:val="42"/>
            <w:tabs>
              <w:tab w:val="right" w:leader="dot" w:pos="8306"/>
            </w:tabs>
          </w:pPr>
          <w:r>
            <w:fldChar w:fldCharType="begin"/>
          </w:r>
          <w:r>
            <w:instrText xml:space="preserve"> HYPERLINK \l _Toc24816 </w:instrText>
          </w:r>
          <w:r>
            <w:fldChar w:fldCharType="separate"/>
          </w:r>
          <w:r>
            <w:rPr>
              <w:rFonts w:hint="eastAsia" w:ascii="黑体" w:hAnsi="黑体" w:eastAsia="黑体"/>
              <w:szCs w:val="32"/>
              <w:highlight w:val="none"/>
            </w:rPr>
            <w:t>五、一</w:t>
          </w:r>
          <w:r>
            <w:rPr>
              <w:rFonts w:hint="eastAsia" w:ascii="黑体" w:hAnsi="黑体" w:eastAsia="黑体"/>
              <w:highlight w:val="none"/>
            </w:rPr>
            <w:t>般公共预算财政拨款支出决算情况说明</w:t>
          </w:r>
          <w:r>
            <w:tab/>
          </w:r>
          <w:r>
            <w:fldChar w:fldCharType="begin"/>
          </w:r>
          <w:r>
            <w:instrText xml:space="preserve"> PAGEREF _Toc24816 \h </w:instrText>
          </w:r>
          <w:r>
            <w:fldChar w:fldCharType="separate"/>
          </w:r>
          <w:r>
            <w:t>9</w:t>
          </w:r>
          <w:r>
            <w:fldChar w:fldCharType="end"/>
          </w:r>
          <w:r>
            <w:fldChar w:fldCharType="end"/>
          </w:r>
        </w:p>
        <w:p>
          <w:pPr>
            <w:pStyle w:val="43"/>
            <w:tabs>
              <w:tab w:val="right" w:leader="dot" w:pos="8306"/>
            </w:tabs>
          </w:pPr>
          <w:r>
            <w:fldChar w:fldCharType="begin"/>
          </w:r>
          <w:r>
            <w:instrText xml:space="preserve"> HYPERLINK \l _Toc1342 </w:instrText>
          </w:r>
          <w:r>
            <w:fldChar w:fldCharType="separate"/>
          </w:r>
          <w:r>
            <w:rPr>
              <w:rFonts w:hint="eastAsia" w:ascii="仿宋" w:hAnsi="仿宋" w:eastAsia="仿宋"/>
              <w:szCs w:val="32"/>
              <w:highlight w:val="none"/>
            </w:rPr>
            <w:t>（一）一般公共预算财政拨款支出决算总体情况</w:t>
          </w:r>
          <w:r>
            <w:tab/>
          </w:r>
          <w:r>
            <w:fldChar w:fldCharType="begin"/>
          </w:r>
          <w:r>
            <w:instrText xml:space="preserve"> PAGEREF _Toc1342 \h </w:instrText>
          </w:r>
          <w:r>
            <w:fldChar w:fldCharType="separate"/>
          </w:r>
          <w:r>
            <w:t>9</w:t>
          </w:r>
          <w:r>
            <w:fldChar w:fldCharType="end"/>
          </w:r>
          <w:r>
            <w:fldChar w:fldCharType="end"/>
          </w:r>
        </w:p>
        <w:p>
          <w:pPr>
            <w:pStyle w:val="43"/>
            <w:tabs>
              <w:tab w:val="right" w:leader="dot" w:pos="8306"/>
            </w:tabs>
          </w:pPr>
          <w:r>
            <w:fldChar w:fldCharType="begin"/>
          </w:r>
          <w:r>
            <w:instrText xml:space="preserve"> HYPERLINK \l _Toc12131 </w:instrText>
          </w:r>
          <w:r>
            <w:fldChar w:fldCharType="separate"/>
          </w:r>
          <w:r>
            <w:rPr>
              <w:rFonts w:hint="eastAsia" w:ascii="仿宋" w:hAnsi="仿宋" w:eastAsia="仿宋"/>
              <w:szCs w:val="32"/>
              <w:highlight w:val="none"/>
            </w:rPr>
            <w:t>（二）一般公共预算财政拨款支出决算结构情况</w:t>
          </w:r>
          <w:r>
            <w:tab/>
          </w:r>
          <w:r>
            <w:fldChar w:fldCharType="begin"/>
          </w:r>
          <w:r>
            <w:instrText xml:space="preserve"> PAGEREF _Toc12131 \h </w:instrText>
          </w:r>
          <w:r>
            <w:fldChar w:fldCharType="separate"/>
          </w:r>
          <w:r>
            <w:t>9</w:t>
          </w:r>
          <w:r>
            <w:fldChar w:fldCharType="end"/>
          </w:r>
          <w:r>
            <w:fldChar w:fldCharType="end"/>
          </w:r>
        </w:p>
        <w:p>
          <w:pPr>
            <w:pStyle w:val="43"/>
            <w:tabs>
              <w:tab w:val="right" w:leader="dot" w:pos="8306"/>
            </w:tabs>
          </w:pPr>
          <w:r>
            <w:fldChar w:fldCharType="begin"/>
          </w:r>
          <w:r>
            <w:instrText xml:space="preserve"> HYPERLINK \l _Toc29939 </w:instrText>
          </w:r>
          <w:r>
            <w:fldChar w:fldCharType="separate"/>
          </w:r>
          <w:r>
            <w:rPr>
              <w:rFonts w:hint="eastAsia" w:ascii="仿宋" w:hAnsi="仿宋" w:eastAsia="仿宋"/>
              <w:szCs w:val="32"/>
              <w:highlight w:val="none"/>
            </w:rPr>
            <w:t>（三）一般公共预算财政拨款支出决算具体情况</w:t>
          </w:r>
          <w:r>
            <w:tab/>
          </w:r>
          <w:r>
            <w:fldChar w:fldCharType="begin"/>
          </w:r>
          <w:r>
            <w:instrText xml:space="preserve"> PAGEREF _Toc29939 \h </w:instrText>
          </w:r>
          <w:r>
            <w:fldChar w:fldCharType="separate"/>
          </w:r>
          <w:r>
            <w:t>10</w:t>
          </w:r>
          <w:r>
            <w:fldChar w:fldCharType="end"/>
          </w:r>
          <w:r>
            <w:fldChar w:fldCharType="end"/>
          </w:r>
        </w:p>
        <w:p>
          <w:pPr>
            <w:pStyle w:val="42"/>
            <w:tabs>
              <w:tab w:val="right" w:leader="dot" w:pos="8306"/>
            </w:tabs>
          </w:pPr>
          <w:r>
            <w:fldChar w:fldCharType="begin"/>
          </w:r>
          <w:r>
            <w:instrText xml:space="preserve"> HYPERLINK \l _Toc11962 </w:instrText>
          </w:r>
          <w:r>
            <w:fldChar w:fldCharType="separate"/>
          </w:r>
          <w:r>
            <w:rPr>
              <w:rFonts w:hint="eastAsia" w:ascii="黑体" w:eastAsia="黑体"/>
              <w:szCs w:val="32"/>
              <w:highlight w:val="none"/>
            </w:rPr>
            <w:t>六、</w:t>
          </w:r>
          <w:r>
            <w:rPr>
              <w:rFonts w:hint="eastAsia" w:ascii="黑体" w:hAnsi="黑体" w:eastAsia="黑体"/>
              <w:szCs w:val="32"/>
              <w:highlight w:val="none"/>
            </w:rPr>
            <w:t>一</w:t>
          </w:r>
          <w:r>
            <w:rPr>
              <w:rFonts w:hint="eastAsia" w:ascii="黑体" w:hAnsi="黑体" w:eastAsia="黑体"/>
              <w:highlight w:val="none"/>
            </w:rPr>
            <w:t>般公共预算财政拨款基本支出决算情况说明</w:t>
          </w:r>
          <w:r>
            <w:tab/>
          </w:r>
          <w:r>
            <w:fldChar w:fldCharType="begin"/>
          </w:r>
          <w:r>
            <w:instrText xml:space="preserve"> PAGEREF _Toc11962 \h </w:instrText>
          </w:r>
          <w:r>
            <w:fldChar w:fldCharType="separate"/>
          </w:r>
          <w:r>
            <w:t>12</w:t>
          </w:r>
          <w:r>
            <w:fldChar w:fldCharType="end"/>
          </w:r>
          <w:r>
            <w:fldChar w:fldCharType="end"/>
          </w:r>
        </w:p>
        <w:p>
          <w:pPr>
            <w:pStyle w:val="42"/>
            <w:tabs>
              <w:tab w:val="right" w:leader="dot" w:pos="8306"/>
            </w:tabs>
          </w:pPr>
          <w:r>
            <w:fldChar w:fldCharType="begin"/>
          </w:r>
          <w:r>
            <w:instrText xml:space="preserve"> HYPERLINK \l _Toc1202 </w:instrText>
          </w:r>
          <w:r>
            <w:fldChar w:fldCharType="separate"/>
          </w:r>
          <w:r>
            <w:rPr>
              <w:rFonts w:hint="eastAsia" w:ascii="黑体" w:eastAsia="黑体"/>
              <w:szCs w:val="32"/>
              <w:highlight w:val="none"/>
            </w:rPr>
            <w:t>七、</w:t>
          </w:r>
          <w:r>
            <w:rPr>
              <w:rFonts w:hint="eastAsia" w:ascii="黑体" w:hAnsi="黑体" w:eastAsia="黑体"/>
              <w:highlight w:val="none"/>
            </w:rPr>
            <w:t>财政拨款“三公”经费支出决算情况说明</w:t>
          </w:r>
          <w:r>
            <w:tab/>
          </w:r>
          <w:r>
            <w:fldChar w:fldCharType="begin"/>
          </w:r>
          <w:r>
            <w:instrText xml:space="preserve"> PAGEREF _Toc1202 \h </w:instrText>
          </w:r>
          <w:r>
            <w:fldChar w:fldCharType="separate"/>
          </w:r>
          <w:r>
            <w:t>12</w:t>
          </w:r>
          <w:r>
            <w:fldChar w:fldCharType="end"/>
          </w:r>
          <w:r>
            <w:fldChar w:fldCharType="end"/>
          </w:r>
        </w:p>
        <w:p>
          <w:pPr>
            <w:pStyle w:val="43"/>
            <w:tabs>
              <w:tab w:val="right" w:leader="dot" w:pos="8306"/>
            </w:tabs>
          </w:pPr>
          <w:r>
            <w:fldChar w:fldCharType="begin"/>
          </w:r>
          <w:r>
            <w:instrText xml:space="preserve"> HYPERLINK \l _Toc9988 </w:instrText>
          </w:r>
          <w:r>
            <w:fldChar w:fldCharType="separate"/>
          </w:r>
          <w:r>
            <w:rPr>
              <w:rFonts w:hint="eastAsia" w:ascii="仿宋" w:hAnsi="仿宋" w:eastAsia="仿宋"/>
              <w:szCs w:val="32"/>
              <w:highlight w:val="none"/>
            </w:rPr>
            <w:t>（一）“三公”经费财政拨款支出决算总体情况说明</w:t>
          </w:r>
          <w:r>
            <w:tab/>
          </w:r>
          <w:r>
            <w:fldChar w:fldCharType="begin"/>
          </w:r>
          <w:r>
            <w:instrText xml:space="preserve"> PAGEREF _Toc9988 \h </w:instrText>
          </w:r>
          <w:r>
            <w:fldChar w:fldCharType="separate"/>
          </w:r>
          <w:r>
            <w:t>12</w:t>
          </w:r>
          <w:r>
            <w:fldChar w:fldCharType="end"/>
          </w:r>
          <w:r>
            <w:fldChar w:fldCharType="end"/>
          </w:r>
        </w:p>
        <w:p>
          <w:pPr>
            <w:pStyle w:val="43"/>
            <w:tabs>
              <w:tab w:val="right" w:leader="dot" w:pos="8306"/>
            </w:tabs>
          </w:pPr>
          <w:r>
            <w:fldChar w:fldCharType="begin"/>
          </w:r>
          <w:r>
            <w:instrText xml:space="preserve"> HYPERLINK \l _Toc23244 </w:instrText>
          </w:r>
          <w:r>
            <w:fldChar w:fldCharType="separate"/>
          </w:r>
          <w:r>
            <w:rPr>
              <w:rFonts w:hint="eastAsia" w:ascii="仿宋" w:hAnsi="仿宋" w:eastAsia="仿宋"/>
              <w:szCs w:val="32"/>
              <w:highlight w:val="none"/>
            </w:rPr>
            <w:t>（二）“三公”经费财政拨款支出决算具体情况说明</w:t>
          </w:r>
          <w:r>
            <w:tab/>
          </w:r>
          <w:r>
            <w:fldChar w:fldCharType="begin"/>
          </w:r>
          <w:r>
            <w:instrText xml:space="preserve"> PAGEREF _Toc23244 \h </w:instrText>
          </w:r>
          <w:r>
            <w:fldChar w:fldCharType="separate"/>
          </w:r>
          <w:r>
            <w:t>13</w:t>
          </w:r>
          <w:r>
            <w:fldChar w:fldCharType="end"/>
          </w:r>
          <w:r>
            <w:fldChar w:fldCharType="end"/>
          </w:r>
        </w:p>
        <w:p>
          <w:pPr>
            <w:pStyle w:val="42"/>
            <w:tabs>
              <w:tab w:val="right" w:leader="dot" w:pos="8306"/>
            </w:tabs>
          </w:pPr>
          <w:r>
            <w:fldChar w:fldCharType="begin"/>
          </w:r>
          <w:r>
            <w:instrText xml:space="preserve"> HYPERLINK \l _Toc6377 </w:instrText>
          </w:r>
          <w:r>
            <w:fldChar w:fldCharType="separate"/>
          </w:r>
          <w:r>
            <w:rPr>
              <w:rFonts w:hint="eastAsia" w:ascii="黑体" w:eastAsia="黑体"/>
              <w:szCs w:val="32"/>
              <w:highlight w:val="none"/>
            </w:rPr>
            <w:t>八、</w:t>
          </w:r>
          <w:r>
            <w:rPr>
              <w:rFonts w:hint="eastAsia" w:ascii="黑体" w:hAnsi="黑体" w:eastAsia="黑体"/>
              <w:highlight w:val="none"/>
            </w:rPr>
            <w:t>政府性基金预算支出决算情况说明</w:t>
          </w:r>
          <w:r>
            <w:tab/>
          </w:r>
          <w:r>
            <w:fldChar w:fldCharType="begin"/>
          </w:r>
          <w:r>
            <w:instrText xml:space="preserve"> PAGEREF _Toc6377 \h </w:instrText>
          </w:r>
          <w:r>
            <w:fldChar w:fldCharType="separate"/>
          </w:r>
          <w:r>
            <w:t>15</w:t>
          </w:r>
          <w:r>
            <w:fldChar w:fldCharType="end"/>
          </w:r>
          <w:r>
            <w:fldChar w:fldCharType="end"/>
          </w:r>
        </w:p>
        <w:p>
          <w:pPr>
            <w:pStyle w:val="42"/>
            <w:tabs>
              <w:tab w:val="right" w:leader="dot" w:pos="8306"/>
            </w:tabs>
          </w:pPr>
          <w:r>
            <w:fldChar w:fldCharType="begin"/>
          </w:r>
          <w:r>
            <w:instrText xml:space="preserve"> HYPERLINK \l _Toc5413 </w:instrText>
          </w:r>
          <w:r>
            <w:fldChar w:fldCharType="separate"/>
          </w:r>
          <w:r>
            <w:rPr>
              <w:rFonts w:hint="eastAsia" w:ascii="黑体" w:hAnsi="黑体" w:eastAsia="黑体"/>
            </w:rPr>
            <w:t xml:space="preserve">九、 </w:t>
          </w:r>
          <w:r>
            <w:rPr>
              <w:rFonts w:hint="eastAsia" w:ascii="黑体" w:hAnsi="黑体" w:eastAsia="黑体"/>
              <w:highlight w:val="none"/>
            </w:rPr>
            <w:t>国有资本经营预算支出决算情况说明</w:t>
          </w:r>
          <w:r>
            <w:tab/>
          </w:r>
          <w:r>
            <w:fldChar w:fldCharType="begin"/>
          </w:r>
          <w:r>
            <w:instrText xml:space="preserve"> PAGEREF _Toc5413 \h </w:instrText>
          </w:r>
          <w:r>
            <w:fldChar w:fldCharType="separate"/>
          </w:r>
          <w:r>
            <w:t>15</w:t>
          </w:r>
          <w:r>
            <w:fldChar w:fldCharType="end"/>
          </w:r>
          <w:r>
            <w:fldChar w:fldCharType="end"/>
          </w:r>
        </w:p>
        <w:p>
          <w:pPr>
            <w:pStyle w:val="42"/>
            <w:tabs>
              <w:tab w:val="right" w:leader="dot" w:pos="8306"/>
            </w:tabs>
          </w:pPr>
          <w:r>
            <w:fldChar w:fldCharType="begin"/>
          </w:r>
          <w:r>
            <w:instrText xml:space="preserve"> HYPERLINK \l _Toc29671 </w:instrText>
          </w:r>
          <w:r>
            <w:fldChar w:fldCharType="separate"/>
          </w:r>
          <w:r>
            <w:rPr>
              <w:rFonts w:hint="eastAsia" w:ascii="黑体" w:hAnsi="黑体" w:eastAsia="黑体"/>
            </w:rPr>
            <w:t xml:space="preserve">十、 </w:t>
          </w:r>
          <w:r>
            <w:rPr>
              <w:rFonts w:hint="eastAsia" w:ascii="黑体" w:hAnsi="黑体" w:eastAsia="黑体"/>
              <w:highlight w:val="none"/>
            </w:rPr>
            <w:t>其他重要事项的情况说明</w:t>
          </w:r>
          <w:r>
            <w:tab/>
          </w:r>
          <w:r>
            <w:fldChar w:fldCharType="begin"/>
          </w:r>
          <w:r>
            <w:instrText xml:space="preserve"> PAGEREF _Toc29671 \h </w:instrText>
          </w:r>
          <w:r>
            <w:fldChar w:fldCharType="separate"/>
          </w:r>
          <w:r>
            <w:t>15</w:t>
          </w:r>
          <w:r>
            <w:fldChar w:fldCharType="end"/>
          </w:r>
          <w:r>
            <w:fldChar w:fldCharType="end"/>
          </w:r>
        </w:p>
        <w:p>
          <w:pPr>
            <w:pStyle w:val="43"/>
            <w:tabs>
              <w:tab w:val="right" w:leader="dot" w:pos="8306"/>
            </w:tabs>
          </w:pPr>
          <w:r>
            <w:fldChar w:fldCharType="begin"/>
          </w:r>
          <w:r>
            <w:instrText xml:space="preserve"> HYPERLINK \l _Toc14261 </w:instrText>
          </w:r>
          <w:r>
            <w:fldChar w:fldCharType="separate"/>
          </w:r>
          <w:r>
            <w:rPr>
              <w:rFonts w:hint="eastAsia" w:ascii="仿宋" w:hAnsi="仿宋" w:eastAsia="仿宋"/>
              <w:szCs w:val="32"/>
              <w:highlight w:val="none"/>
            </w:rPr>
            <w:t>（一）机关运行经费支出情况</w:t>
          </w:r>
          <w:r>
            <w:tab/>
          </w:r>
          <w:r>
            <w:fldChar w:fldCharType="begin"/>
          </w:r>
          <w:r>
            <w:instrText xml:space="preserve"> PAGEREF _Toc14261 \h </w:instrText>
          </w:r>
          <w:r>
            <w:fldChar w:fldCharType="separate"/>
          </w:r>
          <w:r>
            <w:t>15</w:t>
          </w:r>
          <w:r>
            <w:fldChar w:fldCharType="end"/>
          </w:r>
          <w:r>
            <w:fldChar w:fldCharType="end"/>
          </w:r>
        </w:p>
        <w:p>
          <w:pPr>
            <w:pStyle w:val="43"/>
            <w:tabs>
              <w:tab w:val="right" w:leader="dot" w:pos="8306"/>
            </w:tabs>
          </w:pPr>
          <w:r>
            <w:fldChar w:fldCharType="begin"/>
          </w:r>
          <w:r>
            <w:instrText xml:space="preserve"> HYPERLINK \l _Toc31934 </w:instrText>
          </w:r>
          <w:r>
            <w:fldChar w:fldCharType="separate"/>
          </w:r>
          <w:r>
            <w:rPr>
              <w:rFonts w:hint="eastAsia" w:ascii="仿宋" w:hAnsi="仿宋" w:eastAsia="仿宋"/>
              <w:szCs w:val="32"/>
              <w:highlight w:val="none"/>
            </w:rPr>
            <w:t>（二）政府采购支出情况</w:t>
          </w:r>
          <w:r>
            <w:tab/>
          </w:r>
          <w:r>
            <w:fldChar w:fldCharType="begin"/>
          </w:r>
          <w:r>
            <w:instrText xml:space="preserve"> PAGEREF _Toc31934 \h </w:instrText>
          </w:r>
          <w:r>
            <w:fldChar w:fldCharType="separate"/>
          </w:r>
          <w:r>
            <w:t>15</w:t>
          </w:r>
          <w:r>
            <w:fldChar w:fldCharType="end"/>
          </w:r>
          <w:r>
            <w:fldChar w:fldCharType="end"/>
          </w:r>
        </w:p>
        <w:p>
          <w:pPr>
            <w:pStyle w:val="43"/>
            <w:tabs>
              <w:tab w:val="right" w:leader="dot" w:pos="8306"/>
            </w:tabs>
          </w:pPr>
          <w:r>
            <w:fldChar w:fldCharType="begin"/>
          </w:r>
          <w:r>
            <w:instrText xml:space="preserve"> HYPERLINK \l _Toc10809 </w:instrText>
          </w:r>
          <w:r>
            <w:fldChar w:fldCharType="separate"/>
          </w:r>
          <w:r>
            <w:rPr>
              <w:rFonts w:hint="eastAsia" w:ascii="仿宋" w:hAnsi="仿宋" w:eastAsia="仿宋"/>
              <w:szCs w:val="32"/>
              <w:highlight w:val="none"/>
            </w:rPr>
            <w:t>（三）国有资产占有使用情况</w:t>
          </w:r>
          <w:r>
            <w:tab/>
          </w:r>
          <w:r>
            <w:fldChar w:fldCharType="begin"/>
          </w:r>
          <w:r>
            <w:instrText xml:space="preserve"> PAGEREF _Toc10809 \h </w:instrText>
          </w:r>
          <w:r>
            <w:fldChar w:fldCharType="separate"/>
          </w:r>
          <w:r>
            <w:t>15</w:t>
          </w:r>
          <w:r>
            <w:fldChar w:fldCharType="end"/>
          </w:r>
          <w:r>
            <w:fldChar w:fldCharType="end"/>
          </w:r>
        </w:p>
        <w:p>
          <w:pPr>
            <w:pStyle w:val="43"/>
            <w:tabs>
              <w:tab w:val="right" w:leader="dot" w:pos="8306"/>
            </w:tabs>
          </w:pPr>
          <w:r>
            <w:fldChar w:fldCharType="begin"/>
          </w:r>
          <w:r>
            <w:instrText xml:space="preserve"> HYPERLINK \l _Toc25138 </w:instrText>
          </w:r>
          <w:r>
            <w:fldChar w:fldCharType="separate"/>
          </w:r>
          <w:r>
            <w:rPr>
              <w:rFonts w:hint="eastAsia" w:ascii="仿宋" w:hAnsi="仿宋" w:eastAsia="仿宋"/>
              <w:szCs w:val="32"/>
              <w:highlight w:val="none"/>
            </w:rPr>
            <w:t>（四）预算绩效管理情况</w:t>
          </w:r>
          <w:r>
            <w:tab/>
          </w:r>
          <w:r>
            <w:fldChar w:fldCharType="begin"/>
          </w:r>
          <w:r>
            <w:instrText xml:space="preserve"> PAGEREF _Toc25138 \h </w:instrText>
          </w:r>
          <w:r>
            <w:fldChar w:fldCharType="separate"/>
          </w:r>
          <w:r>
            <w:t>15</w:t>
          </w:r>
          <w:r>
            <w:fldChar w:fldCharType="end"/>
          </w:r>
          <w:r>
            <w:fldChar w:fldCharType="end"/>
          </w:r>
        </w:p>
        <w:p>
          <w:pPr>
            <w:pStyle w:val="41"/>
            <w:tabs>
              <w:tab w:val="right" w:leader="dot" w:pos="8306"/>
            </w:tabs>
          </w:pPr>
          <w:r>
            <w:fldChar w:fldCharType="begin"/>
          </w:r>
          <w:r>
            <w:instrText xml:space="preserve"> HYPERLINK \l _Toc5756 </w:instrText>
          </w:r>
          <w:r>
            <w:fldChar w:fldCharType="separate"/>
          </w:r>
          <w:r>
            <w:rPr>
              <w:rFonts w:hint="eastAsia" w:ascii="黑体" w:hAnsi="黑体" w:eastAsia="黑体"/>
            </w:rPr>
            <w:t xml:space="preserve">第三部分 </w:t>
          </w:r>
          <w:r>
            <w:rPr>
              <w:rFonts w:hint="eastAsia" w:ascii="黑体" w:hAnsi="黑体" w:eastAsia="黑体"/>
              <w:szCs w:val="44"/>
              <w:highlight w:val="none"/>
            </w:rPr>
            <w:t>名</w:t>
          </w:r>
          <w:r>
            <w:rPr>
              <w:rFonts w:hint="eastAsia" w:ascii="黑体" w:hAnsi="黑体" w:eastAsia="黑体"/>
              <w:highlight w:val="none"/>
            </w:rPr>
            <w:t>词解释</w:t>
          </w:r>
          <w:r>
            <w:tab/>
          </w:r>
          <w:r>
            <w:fldChar w:fldCharType="begin"/>
          </w:r>
          <w:r>
            <w:instrText xml:space="preserve"> PAGEREF _Toc5756 \h </w:instrText>
          </w:r>
          <w:r>
            <w:fldChar w:fldCharType="separate"/>
          </w:r>
          <w:r>
            <w:t>17</w:t>
          </w:r>
          <w:r>
            <w:fldChar w:fldCharType="end"/>
          </w:r>
          <w:r>
            <w:fldChar w:fldCharType="end"/>
          </w:r>
        </w:p>
        <w:p>
          <w:pPr>
            <w:pStyle w:val="41"/>
            <w:tabs>
              <w:tab w:val="right" w:leader="dot" w:pos="8306"/>
            </w:tabs>
          </w:pPr>
          <w:r>
            <w:fldChar w:fldCharType="begin"/>
          </w:r>
          <w:r>
            <w:instrText xml:space="preserve"> HYPERLINK \l _Toc19627 </w:instrText>
          </w:r>
          <w:r>
            <w:fldChar w:fldCharType="separate"/>
          </w:r>
          <w:r>
            <w:rPr>
              <w:rFonts w:hint="eastAsia" w:ascii="黑体" w:hAnsi="黑体" w:eastAsia="黑体"/>
              <w:szCs w:val="44"/>
              <w:highlight w:val="none"/>
            </w:rPr>
            <w:t>第</w:t>
          </w:r>
          <w:r>
            <w:rPr>
              <w:rFonts w:hint="eastAsia" w:ascii="黑体" w:hAnsi="黑体" w:eastAsia="黑体"/>
              <w:highlight w:val="none"/>
            </w:rPr>
            <w:t>四部分 附件</w:t>
          </w:r>
          <w:r>
            <w:tab/>
          </w:r>
          <w:r>
            <w:fldChar w:fldCharType="begin"/>
          </w:r>
          <w:r>
            <w:instrText xml:space="preserve"> PAGEREF _Toc19627 \h </w:instrText>
          </w:r>
          <w:r>
            <w:fldChar w:fldCharType="separate"/>
          </w:r>
          <w:r>
            <w:t>21</w:t>
          </w:r>
          <w:r>
            <w:fldChar w:fldCharType="end"/>
          </w:r>
          <w:r>
            <w:fldChar w:fldCharType="end"/>
          </w:r>
        </w:p>
        <w:p>
          <w:pPr>
            <w:pStyle w:val="41"/>
            <w:tabs>
              <w:tab w:val="right" w:leader="dot" w:pos="8306"/>
            </w:tabs>
          </w:pPr>
          <w:r>
            <w:fldChar w:fldCharType="begin"/>
          </w:r>
          <w:r>
            <w:instrText xml:space="preserve"> HYPERLINK \l _Toc14821 </w:instrText>
          </w:r>
          <w:r>
            <w:fldChar w:fldCharType="separate"/>
          </w:r>
          <w:r>
            <w:rPr>
              <w:rFonts w:hint="eastAsia" w:ascii="黑体" w:hAnsi="黑体" w:eastAsia="黑体" w:cs="黑体"/>
              <w:szCs w:val="32"/>
              <w:highlight w:val="none"/>
            </w:rPr>
            <w:t>附件</w:t>
          </w:r>
          <w:r>
            <w:tab/>
          </w:r>
          <w:r>
            <w:fldChar w:fldCharType="begin"/>
          </w:r>
          <w:r>
            <w:instrText xml:space="preserve"> PAGEREF _Toc14821 \h </w:instrText>
          </w:r>
          <w:r>
            <w:fldChar w:fldCharType="separate"/>
          </w:r>
          <w:r>
            <w:t>21</w:t>
          </w:r>
          <w:r>
            <w:fldChar w:fldCharType="end"/>
          </w:r>
          <w:r>
            <w:fldChar w:fldCharType="end"/>
          </w:r>
        </w:p>
        <w:p>
          <w:pPr>
            <w:pStyle w:val="41"/>
            <w:tabs>
              <w:tab w:val="right" w:leader="dot" w:pos="8306"/>
            </w:tabs>
          </w:pPr>
          <w:r>
            <w:fldChar w:fldCharType="begin"/>
          </w:r>
          <w:r>
            <w:instrText xml:space="preserve"> HYPERLINK \l _Toc26642 </w:instrText>
          </w:r>
          <w:r>
            <w:fldChar w:fldCharType="separate"/>
          </w:r>
          <w:r>
            <w:rPr>
              <w:rFonts w:hint="eastAsia" w:ascii="黑体" w:hAnsi="黑体" w:eastAsia="黑体"/>
              <w:szCs w:val="44"/>
              <w:highlight w:val="none"/>
            </w:rPr>
            <w:t>第</w:t>
          </w:r>
          <w:r>
            <w:rPr>
              <w:rFonts w:hint="eastAsia" w:ascii="黑体" w:hAnsi="黑体" w:eastAsia="黑体"/>
              <w:highlight w:val="none"/>
            </w:rPr>
            <w:t>五部分 附表</w:t>
          </w:r>
          <w:r>
            <w:tab/>
          </w:r>
          <w:r>
            <w:fldChar w:fldCharType="begin"/>
          </w:r>
          <w:r>
            <w:instrText xml:space="preserve"> PAGEREF _Toc26642 \h </w:instrText>
          </w:r>
          <w:r>
            <w:fldChar w:fldCharType="separate"/>
          </w:r>
          <w:r>
            <w:t>126</w:t>
          </w:r>
          <w:r>
            <w:fldChar w:fldCharType="end"/>
          </w:r>
          <w:r>
            <w:fldChar w:fldCharType="end"/>
          </w:r>
        </w:p>
        <w:p>
          <w:pPr>
            <w:pStyle w:val="42"/>
            <w:tabs>
              <w:tab w:val="right" w:leader="dot" w:pos="8306"/>
            </w:tabs>
          </w:pPr>
          <w:r>
            <w:fldChar w:fldCharType="begin"/>
          </w:r>
          <w:r>
            <w:instrText xml:space="preserve"> HYPERLINK \l _Toc19568 </w:instrText>
          </w:r>
          <w:r>
            <w:fldChar w:fldCharType="separate"/>
          </w:r>
          <w:r>
            <w:rPr>
              <w:rFonts w:hint="eastAsia" w:ascii="仿宋" w:hAnsi="仿宋" w:eastAsia="仿宋"/>
              <w:highlight w:val="none"/>
            </w:rPr>
            <w:t>一、收</w:t>
          </w:r>
          <w:r>
            <w:rPr>
              <w:rFonts w:hint="eastAsia" w:ascii="仿宋" w:hAnsi="仿宋" w:eastAsia="仿宋"/>
              <w:bCs w:val="0"/>
              <w:highlight w:val="none"/>
            </w:rPr>
            <w:t>入支出决算总表</w:t>
          </w:r>
          <w:r>
            <w:tab/>
          </w:r>
          <w:r>
            <w:fldChar w:fldCharType="begin"/>
          </w:r>
          <w:r>
            <w:instrText xml:space="preserve"> PAGEREF _Toc19568 \h </w:instrText>
          </w:r>
          <w:r>
            <w:fldChar w:fldCharType="separate"/>
          </w:r>
          <w:r>
            <w:t>126</w:t>
          </w:r>
          <w:r>
            <w:fldChar w:fldCharType="end"/>
          </w:r>
          <w:r>
            <w:fldChar w:fldCharType="end"/>
          </w:r>
        </w:p>
        <w:p>
          <w:pPr>
            <w:pStyle w:val="42"/>
            <w:tabs>
              <w:tab w:val="right" w:leader="dot" w:pos="8306"/>
            </w:tabs>
          </w:pPr>
          <w:r>
            <w:fldChar w:fldCharType="begin"/>
          </w:r>
          <w:r>
            <w:instrText xml:space="preserve"> HYPERLINK \l _Toc8538 </w:instrText>
          </w:r>
          <w:r>
            <w:fldChar w:fldCharType="separate"/>
          </w:r>
          <w:r>
            <w:rPr>
              <w:rFonts w:hint="eastAsia" w:ascii="仿宋" w:hAnsi="仿宋" w:eastAsia="仿宋"/>
              <w:highlight w:val="none"/>
            </w:rPr>
            <w:t>二、收</w:t>
          </w:r>
          <w:r>
            <w:rPr>
              <w:rFonts w:hint="eastAsia" w:ascii="仿宋" w:hAnsi="仿宋" w:eastAsia="仿宋"/>
              <w:bCs w:val="0"/>
              <w:highlight w:val="none"/>
            </w:rPr>
            <w:t>入决算表</w:t>
          </w:r>
          <w:r>
            <w:tab/>
          </w:r>
          <w:r>
            <w:fldChar w:fldCharType="begin"/>
          </w:r>
          <w:r>
            <w:instrText xml:space="preserve"> PAGEREF _Toc8538 \h </w:instrText>
          </w:r>
          <w:r>
            <w:fldChar w:fldCharType="separate"/>
          </w:r>
          <w:r>
            <w:t>126</w:t>
          </w:r>
          <w:r>
            <w:fldChar w:fldCharType="end"/>
          </w:r>
          <w:r>
            <w:fldChar w:fldCharType="end"/>
          </w:r>
        </w:p>
        <w:p>
          <w:pPr>
            <w:pStyle w:val="42"/>
            <w:tabs>
              <w:tab w:val="right" w:leader="dot" w:pos="8306"/>
            </w:tabs>
          </w:pPr>
          <w:r>
            <w:fldChar w:fldCharType="begin"/>
          </w:r>
          <w:r>
            <w:instrText xml:space="preserve"> HYPERLINK \l _Toc28798 </w:instrText>
          </w:r>
          <w:r>
            <w:fldChar w:fldCharType="separate"/>
          </w:r>
          <w:r>
            <w:rPr>
              <w:rFonts w:hint="eastAsia" w:ascii="仿宋" w:hAnsi="仿宋" w:eastAsia="仿宋"/>
              <w:bCs w:val="0"/>
              <w:highlight w:val="none"/>
            </w:rPr>
            <w:t>三、</w:t>
          </w:r>
          <w:r>
            <w:rPr>
              <w:rFonts w:hint="eastAsia" w:ascii="仿宋" w:hAnsi="仿宋" w:eastAsia="仿宋"/>
              <w:highlight w:val="none"/>
            </w:rPr>
            <w:t>支</w:t>
          </w:r>
          <w:r>
            <w:rPr>
              <w:rFonts w:hint="eastAsia" w:ascii="仿宋" w:hAnsi="仿宋" w:eastAsia="仿宋"/>
              <w:bCs w:val="0"/>
              <w:highlight w:val="none"/>
            </w:rPr>
            <w:t>出决算表</w:t>
          </w:r>
          <w:r>
            <w:tab/>
          </w:r>
          <w:r>
            <w:fldChar w:fldCharType="begin"/>
          </w:r>
          <w:r>
            <w:instrText xml:space="preserve"> PAGEREF _Toc28798 \h </w:instrText>
          </w:r>
          <w:r>
            <w:fldChar w:fldCharType="separate"/>
          </w:r>
          <w:r>
            <w:t>126</w:t>
          </w:r>
          <w:r>
            <w:fldChar w:fldCharType="end"/>
          </w:r>
          <w:r>
            <w:fldChar w:fldCharType="end"/>
          </w:r>
        </w:p>
        <w:p>
          <w:pPr>
            <w:pStyle w:val="42"/>
            <w:tabs>
              <w:tab w:val="right" w:leader="dot" w:pos="8306"/>
            </w:tabs>
          </w:pPr>
          <w:r>
            <w:fldChar w:fldCharType="begin"/>
          </w:r>
          <w:r>
            <w:instrText xml:space="preserve"> HYPERLINK \l _Toc23962 </w:instrText>
          </w:r>
          <w:r>
            <w:fldChar w:fldCharType="separate"/>
          </w:r>
          <w:r>
            <w:rPr>
              <w:rFonts w:hint="eastAsia" w:ascii="仿宋" w:hAnsi="仿宋" w:eastAsia="仿宋"/>
              <w:bCs w:val="0"/>
              <w:highlight w:val="none"/>
            </w:rPr>
            <w:t>四、</w:t>
          </w:r>
          <w:r>
            <w:rPr>
              <w:rFonts w:hint="eastAsia" w:ascii="仿宋" w:hAnsi="仿宋" w:eastAsia="仿宋"/>
              <w:highlight w:val="none"/>
            </w:rPr>
            <w:t>财</w:t>
          </w:r>
          <w:r>
            <w:rPr>
              <w:rFonts w:hint="eastAsia" w:ascii="仿宋" w:hAnsi="仿宋" w:eastAsia="仿宋"/>
              <w:bCs w:val="0"/>
              <w:highlight w:val="none"/>
            </w:rPr>
            <w:t>政拨款收入支出决算总表</w:t>
          </w:r>
          <w:r>
            <w:tab/>
          </w:r>
          <w:r>
            <w:fldChar w:fldCharType="begin"/>
          </w:r>
          <w:r>
            <w:instrText xml:space="preserve"> PAGEREF _Toc23962 \h </w:instrText>
          </w:r>
          <w:r>
            <w:fldChar w:fldCharType="separate"/>
          </w:r>
          <w:r>
            <w:t>126</w:t>
          </w:r>
          <w:r>
            <w:fldChar w:fldCharType="end"/>
          </w:r>
          <w:r>
            <w:fldChar w:fldCharType="end"/>
          </w:r>
        </w:p>
        <w:p>
          <w:pPr>
            <w:pStyle w:val="42"/>
            <w:tabs>
              <w:tab w:val="right" w:leader="dot" w:pos="8306"/>
            </w:tabs>
          </w:pPr>
          <w:r>
            <w:fldChar w:fldCharType="begin"/>
          </w:r>
          <w:r>
            <w:instrText xml:space="preserve"> HYPERLINK \l _Toc31267 </w:instrText>
          </w:r>
          <w:r>
            <w:fldChar w:fldCharType="separate"/>
          </w:r>
          <w:r>
            <w:rPr>
              <w:rFonts w:hint="eastAsia" w:ascii="仿宋" w:hAnsi="仿宋" w:eastAsia="仿宋"/>
              <w:bCs w:val="0"/>
              <w:highlight w:val="none"/>
            </w:rPr>
            <w:t>五、</w:t>
          </w:r>
          <w:r>
            <w:rPr>
              <w:rFonts w:hint="eastAsia" w:ascii="仿宋" w:hAnsi="仿宋" w:eastAsia="仿宋"/>
              <w:highlight w:val="none"/>
            </w:rPr>
            <w:t>财</w:t>
          </w:r>
          <w:r>
            <w:rPr>
              <w:rFonts w:hint="eastAsia" w:ascii="仿宋" w:hAnsi="仿宋" w:eastAsia="仿宋"/>
              <w:bCs w:val="0"/>
              <w:highlight w:val="none"/>
            </w:rPr>
            <w:t>政拨款支出决算明细表</w:t>
          </w:r>
          <w:r>
            <w:tab/>
          </w:r>
          <w:r>
            <w:fldChar w:fldCharType="begin"/>
          </w:r>
          <w:r>
            <w:instrText xml:space="preserve"> PAGEREF _Toc31267 \h </w:instrText>
          </w:r>
          <w:r>
            <w:fldChar w:fldCharType="separate"/>
          </w:r>
          <w:r>
            <w:t>126</w:t>
          </w:r>
          <w:r>
            <w:fldChar w:fldCharType="end"/>
          </w:r>
          <w:r>
            <w:fldChar w:fldCharType="end"/>
          </w:r>
        </w:p>
        <w:p>
          <w:pPr>
            <w:pStyle w:val="42"/>
            <w:tabs>
              <w:tab w:val="right" w:leader="dot" w:pos="8306"/>
            </w:tabs>
          </w:pPr>
          <w:r>
            <w:fldChar w:fldCharType="begin"/>
          </w:r>
          <w:r>
            <w:instrText xml:space="preserve"> HYPERLINK \l _Toc24222 </w:instrText>
          </w:r>
          <w:r>
            <w:fldChar w:fldCharType="separate"/>
          </w:r>
          <w:r>
            <w:rPr>
              <w:rFonts w:hint="eastAsia" w:ascii="仿宋" w:hAnsi="仿宋" w:eastAsia="仿宋"/>
              <w:bCs w:val="0"/>
              <w:highlight w:val="none"/>
            </w:rPr>
            <w:t>六、</w:t>
          </w:r>
          <w:r>
            <w:rPr>
              <w:rFonts w:hint="eastAsia" w:ascii="仿宋" w:hAnsi="仿宋" w:eastAsia="仿宋"/>
              <w:highlight w:val="none"/>
            </w:rPr>
            <w:t>一</w:t>
          </w:r>
          <w:r>
            <w:rPr>
              <w:rFonts w:hint="eastAsia" w:ascii="仿宋" w:hAnsi="仿宋" w:eastAsia="仿宋"/>
              <w:bCs w:val="0"/>
              <w:highlight w:val="none"/>
            </w:rPr>
            <w:t>般公共预算财政拨款支出决算表</w:t>
          </w:r>
          <w:r>
            <w:tab/>
          </w:r>
          <w:r>
            <w:fldChar w:fldCharType="begin"/>
          </w:r>
          <w:r>
            <w:instrText xml:space="preserve"> PAGEREF _Toc24222 \h </w:instrText>
          </w:r>
          <w:r>
            <w:fldChar w:fldCharType="separate"/>
          </w:r>
          <w:r>
            <w:t>126</w:t>
          </w:r>
          <w:r>
            <w:fldChar w:fldCharType="end"/>
          </w:r>
          <w:r>
            <w:fldChar w:fldCharType="end"/>
          </w:r>
        </w:p>
        <w:p>
          <w:pPr>
            <w:pStyle w:val="42"/>
            <w:tabs>
              <w:tab w:val="right" w:leader="dot" w:pos="8306"/>
            </w:tabs>
          </w:pPr>
          <w:r>
            <w:fldChar w:fldCharType="begin"/>
          </w:r>
          <w:r>
            <w:instrText xml:space="preserve"> HYPERLINK \l _Toc4568 </w:instrText>
          </w:r>
          <w:r>
            <w:fldChar w:fldCharType="separate"/>
          </w:r>
          <w:r>
            <w:rPr>
              <w:rFonts w:hint="eastAsia" w:ascii="仿宋" w:hAnsi="仿宋" w:eastAsia="仿宋"/>
              <w:bCs w:val="0"/>
              <w:highlight w:val="none"/>
            </w:rPr>
            <w:t>七、</w:t>
          </w:r>
          <w:r>
            <w:rPr>
              <w:rFonts w:hint="eastAsia" w:ascii="仿宋" w:hAnsi="仿宋" w:eastAsia="仿宋"/>
              <w:highlight w:val="none"/>
            </w:rPr>
            <w:t>一</w:t>
          </w:r>
          <w:r>
            <w:rPr>
              <w:rFonts w:hint="eastAsia" w:ascii="仿宋" w:hAnsi="仿宋" w:eastAsia="仿宋"/>
              <w:bCs w:val="0"/>
              <w:highlight w:val="none"/>
            </w:rPr>
            <w:t>般公共预算财政拨款支出决算明细表</w:t>
          </w:r>
          <w:r>
            <w:tab/>
          </w:r>
          <w:r>
            <w:fldChar w:fldCharType="begin"/>
          </w:r>
          <w:r>
            <w:instrText xml:space="preserve"> PAGEREF _Toc4568 \h </w:instrText>
          </w:r>
          <w:r>
            <w:fldChar w:fldCharType="separate"/>
          </w:r>
          <w:r>
            <w:t>126</w:t>
          </w:r>
          <w:r>
            <w:fldChar w:fldCharType="end"/>
          </w:r>
          <w:r>
            <w:fldChar w:fldCharType="end"/>
          </w:r>
        </w:p>
        <w:p>
          <w:pPr>
            <w:pStyle w:val="42"/>
            <w:tabs>
              <w:tab w:val="right" w:leader="dot" w:pos="8306"/>
            </w:tabs>
          </w:pPr>
          <w:r>
            <w:fldChar w:fldCharType="begin"/>
          </w:r>
          <w:r>
            <w:instrText xml:space="preserve"> HYPERLINK \l _Toc26970 </w:instrText>
          </w:r>
          <w:r>
            <w:fldChar w:fldCharType="separate"/>
          </w:r>
          <w:r>
            <w:rPr>
              <w:rFonts w:hint="eastAsia" w:ascii="仿宋" w:hAnsi="仿宋" w:eastAsia="仿宋"/>
              <w:bCs w:val="0"/>
              <w:highlight w:val="none"/>
            </w:rPr>
            <w:t>八、</w:t>
          </w:r>
          <w:r>
            <w:rPr>
              <w:rFonts w:hint="eastAsia" w:ascii="仿宋" w:hAnsi="仿宋" w:eastAsia="仿宋"/>
              <w:highlight w:val="none"/>
            </w:rPr>
            <w:t>一</w:t>
          </w:r>
          <w:r>
            <w:rPr>
              <w:rFonts w:hint="eastAsia" w:ascii="仿宋" w:hAnsi="仿宋" w:eastAsia="仿宋"/>
              <w:bCs w:val="0"/>
              <w:highlight w:val="none"/>
            </w:rPr>
            <w:t>般公共预算财政拨款基本支出决算表</w:t>
          </w:r>
          <w:r>
            <w:tab/>
          </w:r>
          <w:r>
            <w:fldChar w:fldCharType="begin"/>
          </w:r>
          <w:r>
            <w:instrText xml:space="preserve"> PAGEREF _Toc26970 \h </w:instrText>
          </w:r>
          <w:r>
            <w:fldChar w:fldCharType="separate"/>
          </w:r>
          <w:r>
            <w:t>126</w:t>
          </w:r>
          <w:r>
            <w:fldChar w:fldCharType="end"/>
          </w:r>
          <w:r>
            <w:fldChar w:fldCharType="end"/>
          </w:r>
        </w:p>
        <w:p>
          <w:pPr>
            <w:pStyle w:val="42"/>
            <w:tabs>
              <w:tab w:val="right" w:leader="dot" w:pos="8306"/>
            </w:tabs>
          </w:pPr>
          <w:r>
            <w:fldChar w:fldCharType="begin"/>
          </w:r>
          <w:r>
            <w:instrText xml:space="preserve"> HYPERLINK \l _Toc5558 </w:instrText>
          </w:r>
          <w:r>
            <w:fldChar w:fldCharType="separate"/>
          </w:r>
          <w:r>
            <w:rPr>
              <w:rFonts w:hint="eastAsia" w:ascii="仿宋" w:hAnsi="仿宋" w:eastAsia="仿宋"/>
              <w:bCs w:val="0"/>
              <w:highlight w:val="none"/>
            </w:rPr>
            <w:t>九、</w:t>
          </w:r>
          <w:r>
            <w:rPr>
              <w:rFonts w:hint="eastAsia" w:ascii="仿宋" w:hAnsi="仿宋" w:eastAsia="仿宋"/>
              <w:highlight w:val="none"/>
            </w:rPr>
            <w:t>一</w:t>
          </w:r>
          <w:r>
            <w:rPr>
              <w:rFonts w:hint="eastAsia" w:ascii="仿宋" w:hAnsi="仿宋" w:eastAsia="仿宋"/>
              <w:bCs w:val="0"/>
              <w:highlight w:val="none"/>
            </w:rPr>
            <w:t>般公共预算财政拨款项目支出决算表</w:t>
          </w:r>
          <w:r>
            <w:tab/>
          </w:r>
          <w:r>
            <w:fldChar w:fldCharType="begin"/>
          </w:r>
          <w:r>
            <w:instrText xml:space="preserve"> PAGEREF _Toc5558 \h </w:instrText>
          </w:r>
          <w:r>
            <w:fldChar w:fldCharType="separate"/>
          </w:r>
          <w:r>
            <w:t>126</w:t>
          </w:r>
          <w:r>
            <w:fldChar w:fldCharType="end"/>
          </w:r>
          <w:r>
            <w:fldChar w:fldCharType="end"/>
          </w:r>
        </w:p>
        <w:p>
          <w:pPr>
            <w:pStyle w:val="42"/>
            <w:tabs>
              <w:tab w:val="right" w:leader="dot" w:pos="8306"/>
            </w:tabs>
          </w:pPr>
          <w:r>
            <w:fldChar w:fldCharType="begin"/>
          </w:r>
          <w:r>
            <w:instrText xml:space="preserve"> HYPERLINK \l _Toc9385 </w:instrText>
          </w:r>
          <w:r>
            <w:fldChar w:fldCharType="separate"/>
          </w:r>
          <w:r>
            <w:rPr>
              <w:rFonts w:hint="eastAsia" w:ascii="仿宋" w:hAnsi="仿宋" w:eastAsia="仿宋"/>
              <w:bCs w:val="0"/>
              <w:highlight w:val="none"/>
            </w:rPr>
            <w:t>十、</w:t>
          </w:r>
          <w:r>
            <w:rPr>
              <w:rFonts w:hint="eastAsia" w:ascii="仿宋" w:hAnsi="仿宋" w:eastAsia="仿宋"/>
              <w:highlight w:val="none"/>
            </w:rPr>
            <w:t>政</w:t>
          </w:r>
          <w:r>
            <w:rPr>
              <w:rFonts w:hint="eastAsia" w:ascii="仿宋" w:hAnsi="仿宋" w:eastAsia="仿宋"/>
              <w:bCs w:val="0"/>
              <w:highlight w:val="none"/>
            </w:rPr>
            <w:t>府性基金预算财政拨款收入支出决算表</w:t>
          </w:r>
          <w:r>
            <w:tab/>
          </w:r>
          <w:r>
            <w:fldChar w:fldCharType="begin"/>
          </w:r>
          <w:r>
            <w:instrText xml:space="preserve"> PAGEREF _Toc9385 \h </w:instrText>
          </w:r>
          <w:r>
            <w:fldChar w:fldCharType="separate"/>
          </w:r>
          <w:r>
            <w:t>126</w:t>
          </w:r>
          <w:r>
            <w:fldChar w:fldCharType="end"/>
          </w:r>
          <w:r>
            <w:fldChar w:fldCharType="end"/>
          </w:r>
        </w:p>
        <w:p>
          <w:pPr>
            <w:pStyle w:val="42"/>
            <w:tabs>
              <w:tab w:val="right" w:leader="dot" w:pos="8306"/>
            </w:tabs>
          </w:pPr>
          <w:r>
            <w:fldChar w:fldCharType="begin"/>
          </w:r>
          <w:r>
            <w:instrText xml:space="preserve"> HYPERLINK \l _Toc30126 </w:instrText>
          </w:r>
          <w:r>
            <w:fldChar w:fldCharType="separate"/>
          </w:r>
          <w:r>
            <w:rPr>
              <w:rFonts w:hint="eastAsia" w:ascii="仿宋" w:hAnsi="仿宋" w:eastAsia="仿宋"/>
              <w:bCs w:val="0"/>
              <w:highlight w:val="none"/>
            </w:rPr>
            <w:t>十一、</w:t>
          </w:r>
          <w:r>
            <w:rPr>
              <w:rFonts w:hint="eastAsia" w:ascii="仿宋" w:hAnsi="仿宋" w:eastAsia="仿宋"/>
              <w:highlight w:val="none"/>
            </w:rPr>
            <w:t>国</w:t>
          </w:r>
          <w:r>
            <w:rPr>
              <w:rFonts w:hint="eastAsia" w:ascii="仿宋" w:hAnsi="仿宋" w:eastAsia="仿宋"/>
              <w:bCs w:val="0"/>
              <w:highlight w:val="none"/>
            </w:rPr>
            <w:t>有资本经营预算</w:t>
          </w:r>
          <w:r>
            <w:rPr>
              <w:rFonts w:hint="eastAsia" w:ascii="仿宋" w:hAnsi="仿宋" w:eastAsia="仿宋"/>
              <w:bCs w:val="0"/>
              <w:highlight w:val="none"/>
              <w:lang w:eastAsia="zh-CN"/>
            </w:rPr>
            <w:t>财政拨款收入</w:t>
          </w:r>
          <w:r>
            <w:rPr>
              <w:rFonts w:hint="eastAsia" w:ascii="仿宋" w:hAnsi="仿宋" w:eastAsia="仿宋"/>
              <w:bCs w:val="0"/>
              <w:highlight w:val="none"/>
            </w:rPr>
            <w:t>支出决算表</w:t>
          </w:r>
          <w:r>
            <w:tab/>
          </w:r>
          <w:r>
            <w:fldChar w:fldCharType="begin"/>
          </w:r>
          <w:r>
            <w:instrText xml:space="preserve"> PAGEREF _Toc30126 \h </w:instrText>
          </w:r>
          <w:r>
            <w:fldChar w:fldCharType="separate"/>
          </w:r>
          <w:r>
            <w:t>126</w:t>
          </w:r>
          <w:r>
            <w:fldChar w:fldCharType="end"/>
          </w:r>
          <w:r>
            <w:fldChar w:fldCharType="end"/>
          </w:r>
        </w:p>
        <w:p>
          <w:pPr>
            <w:pStyle w:val="42"/>
            <w:tabs>
              <w:tab w:val="right" w:leader="dot" w:pos="8306"/>
            </w:tabs>
          </w:pPr>
          <w:r>
            <w:fldChar w:fldCharType="begin"/>
          </w:r>
          <w:r>
            <w:instrText xml:space="preserve"> HYPERLINK \l _Toc6964 </w:instrText>
          </w:r>
          <w:r>
            <w:fldChar w:fldCharType="separate"/>
          </w:r>
          <w:r>
            <w:rPr>
              <w:rFonts w:hint="eastAsia" w:ascii="仿宋" w:hAnsi="仿宋" w:eastAsia="仿宋"/>
              <w:bCs w:val="0"/>
              <w:highlight w:val="none"/>
            </w:rPr>
            <w:t>十二、</w:t>
          </w:r>
          <w:r>
            <w:rPr>
              <w:rFonts w:hint="eastAsia" w:ascii="仿宋" w:hAnsi="仿宋" w:eastAsia="仿宋"/>
              <w:bCs w:val="0"/>
              <w:highlight w:val="none"/>
              <w:lang w:eastAsia="zh-CN"/>
            </w:rPr>
            <w:t>国有资本经营预算财政拨款支出决算表</w:t>
          </w:r>
          <w:r>
            <w:tab/>
          </w:r>
          <w:r>
            <w:fldChar w:fldCharType="begin"/>
          </w:r>
          <w:r>
            <w:instrText xml:space="preserve"> PAGEREF _Toc6964 \h </w:instrText>
          </w:r>
          <w:r>
            <w:fldChar w:fldCharType="separate"/>
          </w:r>
          <w:r>
            <w:t>126</w:t>
          </w:r>
          <w:r>
            <w:fldChar w:fldCharType="end"/>
          </w:r>
          <w:r>
            <w:fldChar w:fldCharType="end"/>
          </w:r>
        </w:p>
        <w:p>
          <w:pPr>
            <w:pStyle w:val="42"/>
            <w:tabs>
              <w:tab w:val="right" w:leader="dot" w:pos="8306"/>
            </w:tabs>
          </w:pPr>
          <w:r>
            <w:fldChar w:fldCharType="begin"/>
          </w:r>
          <w:r>
            <w:instrText xml:space="preserve"> HYPERLINK \l _Toc27222 </w:instrText>
          </w:r>
          <w:r>
            <w:fldChar w:fldCharType="separate"/>
          </w:r>
          <w:r>
            <w:rPr>
              <w:rFonts w:hint="eastAsia" w:ascii="仿宋" w:hAnsi="仿宋" w:eastAsia="仿宋"/>
              <w:bCs w:val="0"/>
              <w:highlight w:val="none"/>
            </w:rPr>
            <w:t>十三、</w:t>
          </w:r>
          <w:r>
            <w:rPr>
              <w:rFonts w:hint="eastAsia" w:ascii="仿宋" w:hAnsi="仿宋" w:eastAsia="仿宋"/>
              <w:bCs w:val="0"/>
              <w:highlight w:val="none"/>
              <w:lang w:eastAsia="zh-CN"/>
            </w:rPr>
            <w:t>财政拨款“三公”经费支出决算表</w:t>
          </w:r>
          <w:r>
            <w:tab/>
          </w:r>
          <w:r>
            <w:fldChar w:fldCharType="begin"/>
          </w:r>
          <w:r>
            <w:instrText xml:space="preserve"> PAGEREF _Toc27222 \h </w:instrText>
          </w:r>
          <w:r>
            <w:fldChar w:fldCharType="separate"/>
          </w:r>
          <w:r>
            <w:t>126</w:t>
          </w:r>
          <w:r>
            <w:fldChar w:fldCharType="end"/>
          </w:r>
          <w:r>
            <w:fldChar w:fldCharType="end"/>
          </w:r>
        </w:p>
        <w:p>
          <w:r>
            <w:fldChar w:fldCharType="end"/>
          </w:r>
        </w:p>
      </w:sdtContent>
    </w:sdt>
    <w:p>
      <w:pPr>
        <w:widowControl/>
        <w:spacing w:line="440" w:lineRule="exact"/>
        <w:jc w:val="center"/>
        <w:rPr>
          <w:rStyle w:val="27"/>
          <w:rFonts w:ascii="黑体" w:hAnsi="黑体" w:eastAsia="黑体"/>
          <w:b/>
          <w:bCs w:val="0"/>
          <w:color w:val="auto"/>
          <w:highlight w:val="none"/>
        </w:rPr>
      </w:pPr>
      <w:bookmarkStart w:id="16" w:name="_Toc14798"/>
      <w:r>
        <w:rPr>
          <w:rStyle w:val="27"/>
          <w:rFonts w:hint="eastAsia" w:ascii="黑体" w:hAnsi="黑体" w:eastAsia="黑体"/>
          <w:b w:val="0"/>
          <w:bCs w:val="0"/>
          <w:color w:val="auto"/>
          <w:highlight w:val="none"/>
        </w:rPr>
        <w:t>第一部分 部门概况</w:t>
      </w:r>
      <w:bookmarkEnd w:id="14"/>
      <w:bookmarkEnd w:id="15"/>
      <w:bookmarkEnd w:id="16"/>
    </w:p>
    <w:p>
      <w:pPr>
        <w:widowControl/>
        <w:jc w:val="left"/>
        <w:rPr>
          <w:rFonts w:ascii="黑体" w:eastAsia="黑体"/>
          <w:color w:val="auto"/>
          <w:sz w:val="32"/>
          <w:szCs w:val="32"/>
          <w:highlight w:val="none"/>
        </w:rPr>
      </w:pPr>
    </w:p>
    <w:p>
      <w:pPr>
        <w:pStyle w:val="3"/>
        <w:numPr>
          <w:ilvl w:val="0"/>
          <w:numId w:val="1"/>
        </w:numPr>
        <w:rPr>
          <w:rFonts w:hint="eastAsia" w:ascii="黑体" w:hAnsi="黑体" w:eastAsia="黑体"/>
          <w:b w:val="0"/>
          <w:color w:val="auto"/>
          <w:highlight w:val="none"/>
          <w:lang w:eastAsia="zh-CN"/>
        </w:rPr>
      </w:pPr>
      <w:bookmarkStart w:id="17" w:name="_Toc13704"/>
      <w:r>
        <w:rPr>
          <w:rFonts w:hint="eastAsia" w:ascii="黑体" w:hAnsi="黑体" w:eastAsia="黑体"/>
          <w:b w:val="0"/>
          <w:color w:val="auto"/>
          <w:highlight w:val="none"/>
          <w:lang w:eastAsia="zh-CN"/>
        </w:rPr>
        <w:t>部门职责</w:t>
      </w:r>
      <w:bookmarkEnd w:id="17"/>
    </w:p>
    <w:p>
      <w:pPr>
        <w:ind w:firstLine="800" w:firstLineChars="25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按照规定权限，履行全民所有土地、矿产、森林、湿地、水等自然资源资产所有者职责和所有国土空间用途管制职责。拟订全市自然资源、国土空间规划、城乡规划和测绘地理信息地方性法规、政策规章草案，制定有关政策措施并监督检查执行情况。</w:t>
      </w:r>
    </w:p>
    <w:p>
      <w:pPr>
        <w:ind w:firstLine="800" w:firstLineChars="25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2、负责全区自然资源调查监测评价。依照自然资源调查监测评价的指标体系和统计标准，建立统一规范的自然资源调查监测评价制度。实施自然资源基础调查、专项调查和监测。负责自然资源调查监测评价成果的监督管理和信息发布。指导县区自然资源调查监测评价工作。</w:t>
      </w:r>
    </w:p>
    <w:p>
      <w:pPr>
        <w:ind w:firstLine="800" w:firstLineChars="25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3、负责全区自然资源统一确权登记工作。组织实施各类自然资源和不动产统一确权登记、权籍调查、不动产测绘、争议调处、成果应用的制度、标准、规范。建立健全全市自然资源和不动产登记信息管理基础平台。负责自然资源和不动产登记资料收集、整理、共享、汇交管理等。指导监督自然资源和不动产确权登记工作。</w:t>
      </w:r>
    </w:p>
    <w:p>
      <w:pPr>
        <w:ind w:firstLine="800" w:firstLineChars="25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4、负责全区自然资源资产有偿使用工作。建立全民所有自然资源资产统计制度，负责全民所有自然资源资产核算。编制全民所有自然资源资产负债表，依照有关标准组织考核。按照规定权限，制定全民所有自然资源资产划拨、出让、租赁、作价出资和土地储备政策，合理配置全民所有自然资源资产。负责自然资源资产价值评估管理，依法收缴相关资产收益。</w:t>
      </w:r>
    </w:p>
    <w:p>
      <w:pPr>
        <w:ind w:firstLine="800" w:firstLineChars="25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5、负责全区自然资源的合理开发利用。组织拟订并实施自然资源发展规划和战略，建立政府公示自然资源价格体系，组织开展自然资源分等定级价格评估，开展自然资源利用评价考核，指导节约集约利用。负责自然资源市场监管。组织研究自然资源管理涉及宏观调控、区域协调和城乡统筹的政策措施。</w:t>
      </w:r>
    </w:p>
    <w:p>
      <w:pPr>
        <w:ind w:firstLine="800" w:firstLineChars="25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6、推进主体功能区战略和制度，组织编制并监督实施国土空间规划以及城乡规划等专项规划。开展国土空间开发适宜性评价，建立国土空间规划实施监测、评估和预警体系。组织划定生态保护红线、永久基本农田、城镇开发边界等控制线，构建节约资源和保护环境的生产、生活、生态空间布局。建立健全国土空间用途管制制度，研究拟订城乡规划政策并监督实施。组织拟订并实施土地等自然资源年度利用计划。负责土地等国土空间用途转用工作。负责土地征收征用管理。负责城乡规划管理。</w:t>
      </w:r>
    </w:p>
    <w:p>
      <w:pPr>
        <w:ind w:firstLine="800" w:firstLineChars="25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7、负责统筹全区国土空间生态修复。牵头组织编制全区国土空间生态修复规划并实施有关生态修复重大工程。负责开展国土空间综合整治、土地整理复垦、矿山地质环境恢复治理等工作。牵头建立和实施生态保护补偿制度，制定合理利用社会资金进行生态修复的政策措施，提出重大备选项目。</w:t>
      </w:r>
    </w:p>
    <w:p>
      <w:pPr>
        <w:ind w:firstLine="800" w:firstLineChars="25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8、负责组织实施最严格的耕地保护制度。牵头拟订并实施全区耕地保护政策，负责耕地数量、质量、生态保护。组织实施耕地保护责任目标考核和永久基本农田特殊保护。完善耕地占补平衡制度，监督占用耕地补偿制度执行情况。</w:t>
      </w:r>
    </w:p>
    <w:p>
      <w:pPr>
        <w:ind w:firstLine="800" w:firstLineChars="25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9、负责管理全区地质勘查和地质工作。拟订全区地质勘查规划并监督检查执行情况。组织实施重大地质矿产勘查专项。负责地质灾害预防和治理，监督管理地下水过量开釆及引发的地面沉降等地质问题。负责古生物化石的监督管理。</w:t>
      </w:r>
    </w:p>
    <w:p>
      <w:pPr>
        <w:ind w:firstLine="800" w:firstLineChars="25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10、负责落实综合防灾减灾规划相关要求，组织编制并实施地质灾害防治规划。组织、指导、协调和监督地质灾害调查评价及隐患的普查、详查、排查。组织、指导开展群测群防、专业监测和预报预警等工作，组织、指导开展地质灾害工程治理工作。承担地质灾害应急救援的技术保障工作。</w:t>
      </w:r>
    </w:p>
    <w:p>
      <w:pPr>
        <w:ind w:firstLine="800" w:firstLineChars="25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11、负责全区矿产资源管理工作。负责矿产资源储量管理及压覆矿产资源审核报批。负责矿业权管理。会同有关部门承担保护性开釆的特定矿种、优势矿产的调控及相关管理工作。监督指导矿产资源合理利用和保护。</w:t>
      </w:r>
    </w:p>
    <w:p>
      <w:pPr>
        <w:ind w:firstLine="800" w:firstLineChars="25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12、推动全区自然资源领域科技发展和对外合作。制定并实施全区自然资源领域科技创新发展和人才培养规划、计划。组织实施重大科技专项及创新能力建设，推进自然资源信息化和信息资料的公共服务。组织开展全区自然资源系统对外交流合作。</w:t>
      </w:r>
    </w:p>
    <w:p>
      <w:pPr>
        <w:ind w:firstLine="800" w:firstLineChars="25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13、配合国家、省对县区政府落实党中央、国务院关于自然资源和国土空间规划的重大方针政策、决策部署及法律法规执行情况进行督察。按照市委、市政府安排，组织实施自然资源督察相关工作。查处全区自然资源开发利用、国土空间规划、城乡规划、测绘等领域重大违法案件。</w:t>
      </w:r>
    </w:p>
    <w:p>
      <w:pPr>
        <w:ind w:firstLine="800" w:firstLineChars="25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14、负责测绘地理信息管理。负责基础测绘和测绘行业管理。监督管理全区测绘地理信息成果、市场秩序、测绘基准和系统。负责地理信息公共服务管理和测量标志保护。</w:t>
      </w:r>
    </w:p>
    <w:p>
      <w:pPr>
        <w:ind w:firstLine="800" w:firstLineChars="25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15、负责职责范围内的安全生产和职业健康、生态环境保护、审批服务便民化等工作。</w:t>
      </w:r>
    </w:p>
    <w:p>
      <w:pPr>
        <w:ind w:firstLine="800" w:firstLineChars="25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16、完成区委、区政府交办的其他任务。</w:t>
      </w:r>
    </w:p>
    <w:p>
      <w:pPr>
        <w:pStyle w:val="3"/>
        <w:rPr>
          <w:rFonts w:ascii="仿宋" w:hAnsi="仿宋" w:eastAsia="仿宋"/>
          <w:color w:val="auto"/>
          <w:sz w:val="32"/>
          <w:szCs w:val="32"/>
          <w:highlight w:val="none"/>
        </w:rPr>
      </w:pPr>
      <w:bookmarkStart w:id="18" w:name="_Toc15377200"/>
      <w:bookmarkStart w:id="19" w:name="_Toc15396601"/>
      <w:bookmarkStart w:id="20" w:name="_Toc13498"/>
      <w:r>
        <w:rPr>
          <w:rFonts w:hint="eastAsia" w:ascii="黑体" w:eastAsia="黑体"/>
          <w:b w:val="0"/>
          <w:color w:val="auto"/>
          <w:highlight w:val="none"/>
        </w:rPr>
        <w:t>二、</w:t>
      </w:r>
      <w:r>
        <w:rPr>
          <w:rFonts w:hint="eastAsia" w:ascii="黑体" w:hAnsi="黑体" w:eastAsia="黑体"/>
          <w:b w:val="0"/>
          <w:color w:val="auto"/>
          <w:highlight w:val="none"/>
        </w:rPr>
        <w:t>机</w:t>
      </w:r>
      <w:r>
        <w:rPr>
          <w:rStyle w:val="28"/>
          <w:rFonts w:hint="eastAsia" w:ascii="黑体" w:hAnsi="黑体" w:eastAsia="黑体"/>
          <w:b w:val="0"/>
          <w:bCs w:val="0"/>
          <w:color w:val="auto"/>
          <w:highlight w:val="none"/>
        </w:rPr>
        <w:t>构设置</w:t>
      </w:r>
      <w:bookmarkEnd w:id="18"/>
      <w:bookmarkEnd w:id="19"/>
      <w:bookmarkEnd w:id="20"/>
    </w:p>
    <w:p>
      <w:pPr>
        <w:ind w:firstLine="800" w:firstLineChars="250"/>
        <w:rPr>
          <w:rFonts w:hint="eastAsia" w:ascii="仿宋" w:hAnsi="仿宋" w:eastAsia="仿宋"/>
          <w:color w:val="auto"/>
          <w:kern w:val="0"/>
          <w:sz w:val="32"/>
          <w:szCs w:val="32"/>
          <w:highlight w:val="none"/>
          <w:lang w:eastAsia="zh-CN"/>
        </w:rPr>
      </w:pPr>
      <w:r>
        <w:rPr>
          <w:rFonts w:hint="eastAsia" w:ascii="仿宋" w:hAnsi="仿宋" w:eastAsia="仿宋"/>
          <w:color w:val="auto"/>
          <w:sz w:val="32"/>
          <w:szCs w:val="32"/>
          <w:highlight w:val="none"/>
        </w:rPr>
        <w:t>广元市自然资源局朝天区分局下属二级单位</w:t>
      </w:r>
      <w:r>
        <w:rPr>
          <w:rFonts w:hint="eastAsia" w:ascii="仿宋" w:hAnsi="仿宋" w:eastAsia="仿宋"/>
          <w:color w:val="auto"/>
          <w:sz w:val="32"/>
          <w:szCs w:val="32"/>
          <w:highlight w:val="none"/>
          <w:lang w:val="en-US" w:eastAsia="zh-CN"/>
        </w:rPr>
        <w:t>4</w:t>
      </w:r>
      <w:r>
        <w:rPr>
          <w:rFonts w:hint="eastAsia" w:ascii="仿宋" w:hAnsi="仿宋" w:eastAsia="仿宋"/>
          <w:color w:val="auto"/>
          <w:sz w:val="32"/>
          <w:szCs w:val="32"/>
          <w:highlight w:val="none"/>
        </w:rPr>
        <w:t>个，其中行政单位</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个，参照公务员法管理的事业单位</w:t>
      </w:r>
      <w:r>
        <w:rPr>
          <w:rFonts w:hint="eastAsia" w:ascii="仿宋" w:hAnsi="仿宋" w:eastAsia="仿宋"/>
          <w:bCs/>
          <w:color w:val="auto"/>
          <w:sz w:val="32"/>
          <w:szCs w:val="32"/>
          <w:highlight w:val="none"/>
          <w:lang w:val="en-US" w:eastAsia="zh-CN"/>
        </w:rPr>
        <w:t>1</w:t>
      </w:r>
      <w:r>
        <w:rPr>
          <w:rFonts w:hint="eastAsia" w:ascii="仿宋" w:hAnsi="仿宋" w:eastAsia="仿宋"/>
          <w:color w:val="auto"/>
          <w:sz w:val="32"/>
          <w:szCs w:val="32"/>
          <w:highlight w:val="none"/>
        </w:rPr>
        <w:t>个，其他事业单位</w:t>
      </w:r>
      <w:r>
        <w:rPr>
          <w:rFonts w:hint="eastAsia" w:ascii="仿宋" w:hAnsi="仿宋" w:eastAsia="仿宋"/>
          <w:color w:val="auto"/>
          <w:sz w:val="32"/>
          <w:szCs w:val="32"/>
          <w:highlight w:val="none"/>
          <w:lang w:val="en-US" w:eastAsia="zh-CN"/>
        </w:rPr>
        <w:t>3</w:t>
      </w:r>
      <w:r>
        <w:rPr>
          <w:rFonts w:hint="eastAsia" w:ascii="仿宋" w:hAnsi="仿宋" w:eastAsia="仿宋"/>
          <w:color w:val="auto"/>
          <w:sz w:val="32"/>
          <w:szCs w:val="32"/>
          <w:highlight w:val="none"/>
        </w:rPr>
        <w:t>个。</w:t>
      </w:r>
      <w:r>
        <w:rPr>
          <w:rFonts w:hint="eastAsia" w:ascii="仿宋" w:hAnsi="仿宋" w:eastAsia="仿宋"/>
          <w:color w:val="auto"/>
          <w:sz w:val="32"/>
          <w:szCs w:val="32"/>
          <w:highlight w:val="none"/>
          <w:lang w:val="en-US" w:eastAsia="zh-CN"/>
        </w:rPr>
        <w:t>部门内部设</w:t>
      </w:r>
      <w:r>
        <w:rPr>
          <w:rFonts w:hint="eastAsia" w:ascii="仿宋" w:hAnsi="仿宋" w:eastAsia="仿宋" w:cs="Times New Roman"/>
          <w:color w:val="auto"/>
          <w:sz w:val="32"/>
          <w:szCs w:val="32"/>
          <w:highlight w:val="none"/>
          <w:lang w:val="en-US" w:eastAsia="zh-CN"/>
        </w:rPr>
        <w:t>置办公室、行政审批工作组、政策法规与执法监管工作组、调查监测与确权登记工作组、自然资源所有者权益和审计工作组、自然资源开发利用工作组、国土空间规划工作组、国土空间用途管制工作组、国土空间生态修复工作组、规划管理工作组、耕地保护监督工作组、矿产资源管理工作组（安全生产办公室）、地质灾害防治工作组、测绘地理信息管理工作组、督察信访工作组、财务与资金运用工作组、人事工作组、党建工作组。</w:t>
      </w:r>
    </w:p>
    <w:p>
      <w:pPr>
        <w:pStyle w:val="2"/>
        <w:ind w:right="440"/>
        <w:jc w:val="center"/>
        <w:rPr>
          <w:rStyle w:val="27"/>
          <w:rFonts w:ascii="黑体" w:hAnsi="黑体" w:eastAsia="黑体"/>
          <w:b w:val="0"/>
          <w:bCs/>
          <w:color w:val="auto"/>
          <w:highlight w:val="none"/>
        </w:rPr>
      </w:pPr>
      <w:bookmarkStart w:id="21" w:name="_Toc15396602"/>
      <w:bookmarkStart w:id="22" w:name="_Toc15377204"/>
      <w:bookmarkStart w:id="23" w:name="_Toc19893"/>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2022年度</w:t>
      </w:r>
      <w:r>
        <w:rPr>
          <w:rStyle w:val="27"/>
          <w:rFonts w:hint="eastAsia" w:ascii="黑体" w:hAnsi="黑体" w:eastAsia="黑体"/>
          <w:b w:val="0"/>
          <w:bCs/>
          <w:color w:val="auto"/>
          <w:highlight w:val="none"/>
        </w:rPr>
        <w:t>部门决算情况说明</w:t>
      </w:r>
      <w:bookmarkEnd w:id="21"/>
      <w:bookmarkEnd w:id="22"/>
      <w:bookmarkEnd w:id="23"/>
    </w:p>
    <w:p>
      <w:pPr>
        <w:rPr>
          <w:color w:val="auto"/>
          <w:highlight w:val="none"/>
        </w:rPr>
      </w:pPr>
    </w:p>
    <w:p>
      <w:pPr>
        <w:pStyle w:val="26"/>
        <w:numPr>
          <w:ilvl w:val="0"/>
          <w:numId w:val="2"/>
        </w:numPr>
        <w:spacing w:line="600" w:lineRule="exact"/>
        <w:ind w:firstLineChars="0"/>
        <w:outlineLvl w:val="1"/>
        <w:rPr>
          <w:rStyle w:val="28"/>
          <w:rFonts w:ascii="黑体" w:hAnsi="黑体" w:eastAsia="黑体"/>
          <w:b w:val="0"/>
          <w:color w:val="auto"/>
          <w:highlight w:val="none"/>
        </w:rPr>
      </w:pPr>
      <w:bookmarkStart w:id="24" w:name="_Toc15377205"/>
      <w:bookmarkStart w:id="25" w:name="_Toc15396603"/>
      <w:bookmarkStart w:id="26" w:name="_Toc13826"/>
      <w:r>
        <w:rPr>
          <w:rFonts w:hint="eastAsia" w:ascii="黑体" w:hAnsi="黑体" w:eastAsia="黑体"/>
          <w:color w:val="auto"/>
          <w:sz w:val="32"/>
          <w:szCs w:val="32"/>
          <w:highlight w:val="none"/>
        </w:rPr>
        <w:t>收</w:t>
      </w:r>
      <w:r>
        <w:rPr>
          <w:rStyle w:val="28"/>
          <w:rFonts w:hint="eastAsia" w:ascii="黑体" w:hAnsi="黑体" w:eastAsia="黑体"/>
          <w:b w:val="0"/>
          <w:color w:val="auto"/>
          <w:highlight w:val="none"/>
        </w:rPr>
        <w:t>入支出决算总体情况说明</w:t>
      </w:r>
      <w:bookmarkEnd w:id="24"/>
      <w:bookmarkEnd w:id="25"/>
      <w:bookmarkEnd w:id="26"/>
    </w:p>
    <w:p>
      <w:pPr>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val="en-US" w:eastAsia="zh-CN"/>
        </w:rPr>
        <w:t>8312.51</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年相比，收、支总计各减少</w:t>
      </w:r>
      <w:r>
        <w:rPr>
          <w:rFonts w:hint="eastAsia" w:ascii="仿宋" w:hAnsi="仿宋" w:eastAsia="仿宋"/>
          <w:color w:val="auto"/>
          <w:sz w:val="32"/>
          <w:szCs w:val="32"/>
          <w:highlight w:val="none"/>
          <w:lang w:val="en-US" w:eastAsia="zh-CN"/>
        </w:rPr>
        <w:t>1301.46</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13.5</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项目减少</w:t>
      </w:r>
      <w:r>
        <w:rPr>
          <w:rFonts w:hint="eastAsia" w:ascii="仿宋" w:hAnsi="仿宋" w:eastAsia="仿宋"/>
          <w:color w:val="auto"/>
          <w:sz w:val="32"/>
          <w:szCs w:val="32"/>
          <w:highlight w:val="none"/>
          <w:lang w:eastAsia="zh-CN"/>
        </w:rPr>
        <w:t>。</w:t>
      </w:r>
    </w:p>
    <w:p>
      <w:pPr>
        <w:spacing w:line="600" w:lineRule="exact"/>
        <w:ind w:firstLine="640" w:firstLineChars="200"/>
        <w:rPr>
          <w:rFonts w:ascii="仿宋" w:hAnsi="仿宋" w:eastAsia="仿宋"/>
          <w:color w:val="auto"/>
          <w:sz w:val="32"/>
          <w:szCs w:val="32"/>
          <w:highlight w:val="none"/>
        </w:rPr>
      </w:pPr>
      <w:r>
        <w:rPr>
          <w:rFonts w:hint="eastAsia" w:ascii="仿宋_GB2312" w:eastAsia="仿宋_GB2312"/>
          <w:color w:val="auto"/>
          <w:sz w:val="32"/>
          <w:szCs w:val="32"/>
          <w:highlight w:val="none"/>
          <w:lang w:eastAsia="zh-CN"/>
        </w:rPr>
        <w:drawing>
          <wp:anchor distT="0" distB="0" distL="114300" distR="114300" simplePos="0" relativeHeight="251660288" behindDoc="0" locked="0" layoutInCell="1" allowOverlap="1">
            <wp:simplePos x="0" y="0"/>
            <wp:positionH relativeFrom="column">
              <wp:posOffset>173355</wp:posOffset>
            </wp:positionH>
            <wp:positionV relativeFrom="page">
              <wp:posOffset>5829300</wp:posOffset>
            </wp:positionV>
            <wp:extent cx="5045710" cy="2068195"/>
            <wp:effectExtent l="4445" t="4445" r="17145" b="22860"/>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：收、支决算总计变动情况图）（柱状图）</w:t>
      </w:r>
    </w:p>
    <w:p>
      <w:pPr>
        <w:spacing w:line="600" w:lineRule="exact"/>
        <w:ind w:firstLine="640" w:firstLineChars="200"/>
        <w:jc w:val="left"/>
        <w:rPr>
          <w:rFonts w:hint="eastAsia" w:ascii="仿宋_GB2312" w:eastAsia="仿宋_GB2312"/>
          <w:color w:val="auto"/>
          <w:sz w:val="32"/>
          <w:szCs w:val="32"/>
          <w:highlight w:val="none"/>
          <w:lang w:eastAsia="zh-CN"/>
        </w:rPr>
      </w:pPr>
    </w:p>
    <w:p>
      <w:pPr>
        <w:pStyle w:val="26"/>
        <w:numPr>
          <w:ilvl w:val="0"/>
          <w:numId w:val="2"/>
        </w:numPr>
        <w:spacing w:line="600" w:lineRule="exact"/>
        <w:ind w:firstLineChars="0"/>
        <w:outlineLvl w:val="1"/>
        <w:rPr>
          <w:rStyle w:val="28"/>
          <w:rFonts w:ascii="黑体" w:hAnsi="黑体" w:eastAsia="黑体"/>
          <w:b w:val="0"/>
          <w:color w:val="auto"/>
          <w:highlight w:val="none"/>
        </w:rPr>
      </w:pPr>
      <w:bookmarkStart w:id="27" w:name="_Toc15377206"/>
      <w:bookmarkStart w:id="28" w:name="_Toc15396604"/>
      <w:bookmarkStart w:id="29" w:name="_Toc16020"/>
      <w:r>
        <w:rPr>
          <w:rFonts w:hint="eastAsia" w:ascii="黑体" w:hAnsi="黑体" w:eastAsia="黑体"/>
          <w:color w:val="auto"/>
          <w:sz w:val="32"/>
          <w:szCs w:val="32"/>
          <w:highlight w:val="none"/>
        </w:rPr>
        <w:t>收</w:t>
      </w:r>
      <w:r>
        <w:rPr>
          <w:rStyle w:val="28"/>
          <w:rFonts w:hint="eastAsia" w:ascii="黑体" w:hAnsi="黑体" w:eastAsia="黑体"/>
          <w:b w:val="0"/>
          <w:color w:val="auto"/>
          <w:highlight w:val="none"/>
        </w:rPr>
        <w:t>入决算情况说明</w:t>
      </w:r>
      <w:bookmarkEnd w:id="27"/>
      <w:bookmarkEnd w:id="28"/>
      <w:bookmarkEnd w:id="29"/>
    </w:p>
    <w:p>
      <w:pPr>
        <w:spacing w:line="600" w:lineRule="exact"/>
        <w:ind w:firstLine="640" w:firstLineChars="200"/>
        <w:outlineLvl w:val="1"/>
        <w:rPr>
          <w:rFonts w:ascii="仿宋" w:hAnsi="仿宋" w:eastAsia="仿宋"/>
          <w:color w:val="auto"/>
          <w:sz w:val="32"/>
          <w:szCs w:val="32"/>
          <w:highlight w:val="none"/>
        </w:rPr>
      </w:pPr>
      <w:bookmarkStart w:id="30" w:name="_Toc3811"/>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8312.51</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4431.83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46.7</w:t>
      </w:r>
      <w:r>
        <w:rPr>
          <w:rFonts w:ascii="仿宋" w:hAnsi="仿宋" w:eastAsia="仿宋"/>
          <w:color w:val="auto"/>
          <w:sz w:val="32"/>
          <w:szCs w:val="32"/>
          <w:highlight w:val="none"/>
        </w:rPr>
        <w:t>%</w:t>
      </w:r>
      <w:r>
        <w:rPr>
          <w:rFonts w:hint="eastAsia" w:ascii="仿宋" w:hAnsi="仿宋" w:eastAsia="仿宋"/>
          <w:color w:val="auto"/>
          <w:sz w:val="32"/>
          <w:szCs w:val="32"/>
          <w:highlight w:val="none"/>
        </w:rPr>
        <w:t>；政府性基金预算财政拨款收入</w:t>
      </w:r>
      <w:r>
        <w:rPr>
          <w:rFonts w:hint="eastAsia" w:ascii="仿宋" w:hAnsi="仿宋" w:eastAsia="仿宋"/>
          <w:color w:val="auto"/>
          <w:sz w:val="32"/>
          <w:szCs w:val="32"/>
          <w:highlight w:val="none"/>
          <w:lang w:val="en-US" w:eastAsia="zh-CN"/>
        </w:rPr>
        <w:t>3880.68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53.5</w:t>
      </w:r>
      <w:r>
        <w:rPr>
          <w:rFonts w:ascii="仿宋" w:hAnsi="仿宋" w:eastAsia="仿宋"/>
          <w:color w:val="auto"/>
          <w:sz w:val="32"/>
          <w:szCs w:val="32"/>
          <w:highlight w:val="none"/>
        </w:rPr>
        <w:t>%</w:t>
      </w:r>
      <w:r>
        <w:rPr>
          <w:rFonts w:hint="eastAsia" w:ascii="仿宋" w:hAnsi="仿宋" w:eastAsia="仿宋"/>
          <w:color w:val="auto"/>
          <w:sz w:val="32"/>
          <w:szCs w:val="32"/>
          <w:highlight w:val="none"/>
          <w:lang w:eastAsia="zh-CN"/>
        </w:rPr>
        <w:t>。</w:t>
      </w:r>
      <w:bookmarkEnd w:id="30"/>
    </w:p>
    <w:p>
      <w:pPr>
        <w:spacing w:line="60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eastAsia="zh-CN"/>
        </w:rPr>
        <w:drawing>
          <wp:anchor distT="0" distB="0" distL="114300" distR="114300" simplePos="0" relativeHeight="251662336" behindDoc="0" locked="0" layoutInCell="1" allowOverlap="1">
            <wp:simplePos x="0" y="0"/>
            <wp:positionH relativeFrom="column">
              <wp:posOffset>168910</wp:posOffset>
            </wp:positionH>
            <wp:positionV relativeFrom="page">
              <wp:posOffset>1798955</wp:posOffset>
            </wp:positionV>
            <wp:extent cx="4950460" cy="2131695"/>
            <wp:effectExtent l="4445" t="4445" r="17145" b="16510"/>
            <wp:wrapTopAndBottom/>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 w:hAnsi="仿宋" w:eastAsia="仿宋"/>
          <w:color w:val="auto"/>
          <w:sz w:val="32"/>
          <w:szCs w:val="32"/>
          <w:highlight w:val="none"/>
        </w:rPr>
        <w:t>（图2：收入决算结构图）（饼状图）</w:t>
      </w:r>
    </w:p>
    <w:p>
      <w:pPr>
        <w:pStyle w:val="26"/>
        <w:numPr>
          <w:ilvl w:val="0"/>
          <w:numId w:val="2"/>
        </w:numPr>
        <w:spacing w:line="600" w:lineRule="exact"/>
        <w:ind w:firstLineChars="0"/>
        <w:outlineLvl w:val="1"/>
        <w:rPr>
          <w:rStyle w:val="28"/>
          <w:rFonts w:ascii="黑体" w:hAnsi="黑体" w:eastAsia="黑体"/>
          <w:b w:val="0"/>
          <w:color w:val="auto"/>
          <w:highlight w:val="none"/>
        </w:rPr>
      </w:pPr>
      <w:bookmarkStart w:id="31" w:name="_Toc15377207"/>
      <w:bookmarkStart w:id="32" w:name="_Toc15396605"/>
      <w:bookmarkStart w:id="33" w:name="_Toc5269"/>
      <w:r>
        <w:rPr>
          <w:rFonts w:hint="eastAsia" w:ascii="黑体" w:hAnsi="黑体" w:eastAsia="黑体"/>
          <w:color w:val="auto"/>
          <w:sz w:val="32"/>
          <w:szCs w:val="32"/>
          <w:highlight w:val="none"/>
        </w:rPr>
        <w:t>支</w:t>
      </w:r>
      <w:r>
        <w:rPr>
          <w:rStyle w:val="28"/>
          <w:rFonts w:hint="eastAsia" w:ascii="黑体" w:hAnsi="黑体" w:eastAsia="黑体"/>
          <w:b w:val="0"/>
          <w:color w:val="auto"/>
          <w:highlight w:val="none"/>
        </w:rPr>
        <w:t>出决算情况说明</w:t>
      </w:r>
      <w:bookmarkEnd w:id="31"/>
      <w:bookmarkEnd w:id="32"/>
      <w:bookmarkEnd w:id="33"/>
    </w:p>
    <w:p>
      <w:pPr>
        <w:spacing w:line="600" w:lineRule="exact"/>
        <w:ind w:firstLine="640" w:firstLineChars="200"/>
        <w:outlineLvl w:val="1"/>
        <w:rPr>
          <w:rFonts w:hint="eastAsia" w:ascii="仿宋" w:hAnsi="仿宋" w:eastAsia="仿宋"/>
          <w:color w:val="auto"/>
          <w:sz w:val="32"/>
          <w:szCs w:val="32"/>
          <w:highlight w:val="none"/>
          <w:lang w:eastAsia="zh-CN"/>
        </w:rPr>
      </w:pPr>
      <w:bookmarkStart w:id="34" w:name="_Toc16784"/>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8312.51</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851.73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10.2</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7460.78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89.8</w:t>
      </w:r>
      <w:r>
        <w:rPr>
          <w:rFonts w:ascii="仿宋" w:hAnsi="仿宋" w:eastAsia="仿宋"/>
          <w:color w:val="auto"/>
          <w:sz w:val="32"/>
          <w:szCs w:val="32"/>
          <w:highlight w:val="none"/>
        </w:rPr>
        <w:t>%</w:t>
      </w:r>
      <w:r>
        <w:rPr>
          <w:rFonts w:hint="eastAsia" w:ascii="仿宋" w:hAnsi="仿宋" w:eastAsia="仿宋"/>
          <w:color w:val="auto"/>
          <w:sz w:val="32"/>
          <w:szCs w:val="32"/>
          <w:highlight w:val="none"/>
          <w:lang w:eastAsia="zh-CN"/>
        </w:rPr>
        <w:t>。</w:t>
      </w:r>
      <w:bookmarkEnd w:id="34"/>
    </w:p>
    <w:p>
      <w:pPr>
        <w:spacing w:line="60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eastAsia="zh-CN"/>
        </w:rPr>
        <w:drawing>
          <wp:anchor distT="0" distB="0" distL="114300" distR="114300" simplePos="0" relativeHeight="251661312" behindDoc="0" locked="0" layoutInCell="1" allowOverlap="1">
            <wp:simplePos x="0" y="0"/>
            <wp:positionH relativeFrom="column">
              <wp:posOffset>310515</wp:posOffset>
            </wp:positionH>
            <wp:positionV relativeFrom="page">
              <wp:posOffset>5632450</wp:posOffset>
            </wp:positionV>
            <wp:extent cx="3998595" cy="1771650"/>
            <wp:effectExtent l="5080" t="4445" r="15875" b="14605"/>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 w:hAnsi="仿宋" w:eastAsia="仿宋"/>
          <w:color w:val="auto"/>
          <w:sz w:val="32"/>
          <w:szCs w:val="32"/>
          <w:highlight w:val="none"/>
        </w:rPr>
        <w:t>（图3：支出决算结构图）（饼状图）</w:t>
      </w:r>
    </w:p>
    <w:p>
      <w:pPr>
        <w:spacing w:line="600" w:lineRule="exact"/>
        <w:ind w:firstLine="640" w:firstLineChars="200"/>
        <w:outlineLvl w:val="1"/>
        <w:rPr>
          <w:rStyle w:val="28"/>
          <w:rFonts w:ascii="黑体" w:hAnsi="黑体" w:eastAsia="黑体"/>
          <w:b w:val="0"/>
          <w:color w:val="auto"/>
          <w:highlight w:val="none"/>
        </w:rPr>
      </w:pPr>
      <w:bookmarkStart w:id="35" w:name="_Toc15396606"/>
      <w:bookmarkStart w:id="36" w:name="_Toc15377208"/>
      <w:bookmarkStart w:id="37" w:name="_Toc23196"/>
      <w:r>
        <w:rPr>
          <w:rFonts w:hint="eastAsia" w:ascii="黑体" w:hAnsi="黑体" w:eastAsia="黑体"/>
          <w:color w:val="auto"/>
          <w:sz w:val="32"/>
          <w:szCs w:val="32"/>
          <w:highlight w:val="none"/>
        </w:rPr>
        <w:t>四、财</w:t>
      </w:r>
      <w:r>
        <w:rPr>
          <w:rStyle w:val="28"/>
          <w:rFonts w:hint="eastAsia" w:ascii="黑体" w:hAnsi="黑体" w:eastAsia="黑体"/>
          <w:b w:val="0"/>
          <w:color w:val="auto"/>
          <w:highlight w:val="none"/>
        </w:rPr>
        <w:t>政拨款收入支出决算总体情况说明</w:t>
      </w:r>
      <w:bookmarkEnd w:id="35"/>
      <w:bookmarkEnd w:id="36"/>
      <w:bookmarkEnd w:id="37"/>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年财政拨款收、支总计</w:t>
      </w:r>
      <w:r>
        <w:rPr>
          <w:rFonts w:hint="eastAsia" w:ascii="仿宋" w:hAnsi="仿宋" w:eastAsia="仿宋"/>
          <w:color w:val="auto"/>
          <w:sz w:val="32"/>
          <w:szCs w:val="32"/>
          <w:highlight w:val="none"/>
          <w:lang w:val="en-US" w:eastAsia="zh-CN"/>
        </w:rPr>
        <w:t>8312.51</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年相比，财政拨款收、支总计各减少</w:t>
      </w:r>
      <w:r>
        <w:rPr>
          <w:rFonts w:hint="eastAsia" w:ascii="仿宋" w:hAnsi="仿宋" w:eastAsia="仿宋"/>
          <w:color w:val="auto"/>
          <w:sz w:val="32"/>
          <w:szCs w:val="32"/>
          <w:highlight w:val="none"/>
          <w:lang w:val="en-US" w:eastAsia="zh-CN"/>
        </w:rPr>
        <w:t>1301.46</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13.5</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项目减少。</w:t>
      </w:r>
    </w:p>
    <w:p>
      <w:pPr>
        <w:spacing w:line="600" w:lineRule="exact"/>
        <w:ind w:firstLine="640" w:firstLineChars="200"/>
        <w:rPr>
          <w:rFonts w:hint="eastAsia" w:ascii="仿宋" w:hAnsi="仿宋" w:eastAsia="仿宋"/>
          <w:b/>
          <w:color w:val="auto"/>
          <w:sz w:val="32"/>
          <w:szCs w:val="32"/>
          <w:highlight w:val="none"/>
          <w:lang w:eastAsia="zh-CN"/>
        </w:rPr>
      </w:pPr>
      <w:r>
        <w:rPr>
          <w:rFonts w:hint="eastAsia" w:ascii="仿宋" w:hAnsi="仿宋" w:eastAsia="仿宋"/>
          <w:color w:val="auto"/>
          <w:sz w:val="32"/>
          <w:szCs w:val="32"/>
          <w:highlight w:val="none"/>
          <w:lang w:eastAsia="zh-CN"/>
        </w:rPr>
        <w:drawing>
          <wp:anchor distT="0" distB="0" distL="114300" distR="114300" simplePos="0" relativeHeight="251664384" behindDoc="0" locked="0" layoutInCell="1" allowOverlap="1">
            <wp:simplePos x="0" y="0"/>
            <wp:positionH relativeFrom="column">
              <wp:posOffset>397510</wp:posOffset>
            </wp:positionH>
            <wp:positionV relativeFrom="page">
              <wp:posOffset>962660</wp:posOffset>
            </wp:positionV>
            <wp:extent cx="4504690" cy="2089150"/>
            <wp:effectExtent l="4445" t="4445" r="5715" b="20955"/>
            <wp:wrapTopAndBottom/>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 w:hAnsi="仿宋" w:eastAsia="仿宋"/>
          <w:color w:val="auto"/>
          <w:sz w:val="32"/>
          <w:szCs w:val="32"/>
          <w:highlight w:val="none"/>
        </w:rPr>
        <w:t>（图4：财政拨款收、支决算总计变动情况）（柱状图）</w:t>
      </w:r>
    </w:p>
    <w:p>
      <w:pPr>
        <w:spacing w:line="600" w:lineRule="exact"/>
        <w:ind w:firstLine="640" w:firstLineChars="200"/>
        <w:outlineLvl w:val="1"/>
        <w:rPr>
          <w:rStyle w:val="28"/>
          <w:rFonts w:ascii="黑体" w:hAnsi="黑体" w:eastAsia="黑体"/>
          <w:b w:val="0"/>
          <w:color w:val="auto"/>
          <w:highlight w:val="none"/>
        </w:rPr>
      </w:pPr>
      <w:bookmarkStart w:id="38" w:name="_Toc15377209"/>
      <w:bookmarkStart w:id="39" w:name="_Toc15396607"/>
      <w:bookmarkStart w:id="40" w:name="_Toc24816"/>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8"/>
          <w:rFonts w:hint="eastAsia" w:ascii="黑体" w:hAnsi="黑体" w:eastAsia="黑体"/>
          <w:b w:val="0"/>
          <w:color w:val="auto"/>
          <w:highlight w:val="none"/>
        </w:rPr>
        <w:t>般公共预算财政拨款支出决算情况说明</w:t>
      </w:r>
      <w:bookmarkEnd w:id="38"/>
      <w:bookmarkEnd w:id="39"/>
      <w:bookmarkEnd w:id="40"/>
    </w:p>
    <w:p>
      <w:pPr>
        <w:spacing w:line="600" w:lineRule="exact"/>
        <w:ind w:firstLine="643" w:firstLineChars="200"/>
        <w:outlineLvl w:val="2"/>
        <w:rPr>
          <w:rFonts w:ascii="仿宋" w:hAnsi="仿宋" w:eastAsia="仿宋"/>
          <w:b/>
          <w:color w:val="auto"/>
          <w:sz w:val="32"/>
          <w:szCs w:val="32"/>
          <w:highlight w:val="none"/>
        </w:rPr>
      </w:pPr>
      <w:bookmarkStart w:id="41" w:name="_Toc15377210"/>
      <w:bookmarkStart w:id="42" w:name="_Toc1342"/>
      <w:r>
        <w:rPr>
          <w:rFonts w:hint="eastAsia" w:ascii="仿宋" w:hAnsi="仿宋" w:eastAsia="仿宋"/>
          <w:b/>
          <w:color w:val="auto"/>
          <w:sz w:val="32"/>
          <w:szCs w:val="32"/>
          <w:highlight w:val="none"/>
        </w:rPr>
        <w:t>（一）一般公共预算财政拨款支出决算总体情况</w:t>
      </w:r>
      <w:bookmarkEnd w:id="41"/>
      <w:bookmarkEnd w:id="42"/>
    </w:p>
    <w:p>
      <w:pPr>
        <w:spacing w:line="600" w:lineRule="exact"/>
        <w:ind w:firstLine="640" w:firstLineChars="200"/>
        <w:rPr>
          <w:rFonts w:hint="eastAsia" w:ascii="仿宋" w:hAnsi="仿宋" w:eastAsia="仿宋"/>
          <w:color w:val="auto"/>
          <w:sz w:val="32"/>
          <w:szCs w:val="32"/>
          <w:highlight w:val="none"/>
          <w:lang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4431.83</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53.3</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增加</w:t>
      </w:r>
      <w:r>
        <w:rPr>
          <w:rFonts w:hint="eastAsia" w:ascii="仿宋" w:hAnsi="仿宋" w:eastAsia="仿宋"/>
          <w:color w:val="auto"/>
          <w:sz w:val="32"/>
          <w:szCs w:val="32"/>
          <w:highlight w:val="none"/>
          <w:lang w:val="en-US" w:eastAsia="zh-CN"/>
        </w:rPr>
        <w:t>160.98</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3.8</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项目增加。</w:t>
      </w:r>
    </w:p>
    <w:p>
      <w:pPr>
        <w:spacing w:line="600" w:lineRule="exact"/>
        <w:ind w:firstLine="643" w:firstLineChars="200"/>
        <w:rPr>
          <w:rFonts w:hint="eastAsia" w:ascii="仿宋" w:hAnsi="仿宋" w:eastAsia="仿宋"/>
          <w:color w:val="auto"/>
          <w:sz w:val="32"/>
          <w:szCs w:val="32"/>
          <w:highlight w:val="none"/>
          <w:lang w:eastAsia="zh-CN"/>
        </w:rPr>
      </w:pPr>
      <w:r>
        <w:rPr>
          <w:rFonts w:hint="eastAsia" w:ascii="仿宋" w:hAnsi="仿宋" w:eastAsia="仿宋"/>
          <w:b/>
          <w:color w:val="auto"/>
          <w:sz w:val="32"/>
          <w:szCs w:val="32"/>
          <w:highlight w:val="none"/>
          <w:lang w:eastAsia="zh-CN"/>
        </w:rPr>
        <w:drawing>
          <wp:anchor distT="0" distB="0" distL="114300" distR="114300" simplePos="0" relativeHeight="251663360" behindDoc="0" locked="0" layoutInCell="1" allowOverlap="1">
            <wp:simplePos x="0" y="0"/>
            <wp:positionH relativeFrom="column">
              <wp:posOffset>353060</wp:posOffset>
            </wp:positionH>
            <wp:positionV relativeFrom="page">
              <wp:posOffset>5840730</wp:posOffset>
            </wp:positionV>
            <wp:extent cx="4600575" cy="1951990"/>
            <wp:effectExtent l="5080" t="5080" r="4445" b="5080"/>
            <wp:wrapTopAndBottom/>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 w:hAnsi="仿宋" w:eastAsia="仿宋"/>
          <w:color w:val="auto"/>
          <w:sz w:val="32"/>
          <w:szCs w:val="32"/>
          <w:highlight w:val="none"/>
        </w:rPr>
        <w:t>（图5：一般公共预算财政拨款支出决算变动情况）（柱状图）</w:t>
      </w:r>
    </w:p>
    <w:p>
      <w:pPr>
        <w:spacing w:line="600" w:lineRule="exact"/>
        <w:ind w:firstLine="643" w:firstLineChars="200"/>
        <w:outlineLvl w:val="2"/>
        <w:rPr>
          <w:rFonts w:ascii="仿宋" w:hAnsi="仿宋" w:eastAsia="仿宋"/>
          <w:b/>
          <w:color w:val="auto"/>
          <w:sz w:val="32"/>
          <w:szCs w:val="32"/>
          <w:highlight w:val="none"/>
        </w:rPr>
      </w:pPr>
      <w:bookmarkStart w:id="43" w:name="_Toc15377211"/>
      <w:bookmarkStart w:id="44" w:name="_Toc12131"/>
      <w:r>
        <w:rPr>
          <w:rFonts w:hint="eastAsia" w:ascii="仿宋" w:hAnsi="仿宋" w:eastAsia="仿宋"/>
          <w:b/>
          <w:color w:val="auto"/>
          <w:sz w:val="32"/>
          <w:szCs w:val="32"/>
          <w:highlight w:val="none"/>
        </w:rPr>
        <w:t>（二）一般公共预算财政拨款支出决算结构情况</w:t>
      </w:r>
      <w:bookmarkEnd w:id="43"/>
      <w:bookmarkEnd w:id="44"/>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4431.83</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社会保障和就业</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lang w:val="en-US" w:eastAsia="zh-CN"/>
        </w:rPr>
        <w:t>92.55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2.1</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卫生健康支出</w:t>
      </w:r>
      <w:r>
        <w:rPr>
          <w:rFonts w:hint="eastAsia" w:ascii="仿宋" w:hAnsi="仿宋" w:eastAsia="仿宋"/>
          <w:color w:val="auto"/>
          <w:sz w:val="32"/>
          <w:szCs w:val="32"/>
          <w:highlight w:val="none"/>
          <w:lang w:val="en-US" w:eastAsia="zh-CN"/>
        </w:rPr>
        <w:t>26.42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0.6</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住房保障支出</w:t>
      </w:r>
      <w:r>
        <w:rPr>
          <w:rFonts w:hint="eastAsia" w:ascii="仿宋" w:hAnsi="仿宋" w:eastAsia="仿宋"/>
          <w:color w:val="auto"/>
          <w:sz w:val="32"/>
          <w:szCs w:val="32"/>
          <w:highlight w:val="none"/>
          <w:lang w:val="en-US" w:eastAsia="zh-CN"/>
        </w:rPr>
        <w:t>54.78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1.2</w:t>
      </w:r>
      <w:r>
        <w:rPr>
          <w:rFonts w:hint="eastAsia" w:ascii="仿宋" w:hAnsi="仿宋" w:eastAsia="仿宋"/>
          <w:color w:val="auto"/>
          <w:sz w:val="32"/>
          <w:szCs w:val="32"/>
          <w:highlight w:val="none"/>
          <w:lang w:val="zh-CN" w:eastAsia="zh-CN"/>
        </w:rPr>
        <w:t>%；</w:t>
      </w:r>
      <w:r>
        <w:rPr>
          <w:rFonts w:hint="eastAsia" w:ascii="仿宋" w:hAnsi="仿宋" w:eastAsia="仿宋"/>
          <w:b/>
          <w:bCs/>
          <w:color w:val="auto"/>
          <w:sz w:val="32"/>
          <w:szCs w:val="32"/>
          <w:highlight w:val="none"/>
          <w:lang w:val="zh-CN" w:eastAsia="zh-CN"/>
        </w:rPr>
        <w:t>自然资源海洋气象等支出</w:t>
      </w:r>
      <w:r>
        <w:rPr>
          <w:rFonts w:hint="eastAsia" w:ascii="仿宋" w:hAnsi="仿宋" w:eastAsia="仿宋"/>
          <w:color w:val="auto"/>
          <w:sz w:val="32"/>
          <w:szCs w:val="32"/>
          <w:highlight w:val="none"/>
          <w:lang w:val="zh-CN" w:eastAsia="zh-CN"/>
        </w:rPr>
        <w:t>2,097.04万元，占47.3%；</w:t>
      </w:r>
      <w:r>
        <w:rPr>
          <w:rFonts w:hint="eastAsia" w:ascii="仿宋" w:hAnsi="仿宋" w:eastAsia="仿宋"/>
          <w:b/>
          <w:bCs/>
          <w:color w:val="auto"/>
          <w:sz w:val="32"/>
          <w:szCs w:val="32"/>
          <w:highlight w:val="none"/>
          <w:lang w:val="zh-CN" w:eastAsia="zh-CN"/>
        </w:rPr>
        <w:t>灾害防治及应急管理支出</w:t>
      </w:r>
      <w:r>
        <w:rPr>
          <w:rFonts w:hint="eastAsia" w:ascii="仿宋" w:hAnsi="仿宋" w:eastAsia="仿宋"/>
          <w:color w:val="auto"/>
          <w:sz w:val="32"/>
          <w:szCs w:val="32"/>
          <w:highlight w:val="none"/>
          <w:lang w:val="zh-CN" w:eastAsia="zh-CN"/>
        </w:rPr>
        <w:t>2,161.04万元，占48.8%；。</w:t>
      </w:r>
    </w:p>
    <w:p>
      <w:pPr>
        <w:spacing w:line="600" w:lineRule="exact"/>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anchor distT="0" distB="0" distL="114300" distR="114300" simplePos="0" relativeHeight="251665408" behindDoc="0" locked="0" layoutInCell="1" allowOverlap="1">
            <wp:simplePos x="0" y="0"/>
            <wp:positionH relativeFrom="column">
              <wp:posOffset>293370</wp:posOffset>
            </wp:positionH>
            <wp:positionV relativeFrom="page">
              <wp:posOffset>2126615</wp:posOffset>
            </wp:positionV>
            <wp:extent cx="4625340" cy="2265680"/>
            <wp:effectExtent l="4445" t="4445" r="18415" b="15875"/>
            <wp:wrapTopAndBottom/>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eastAsia" w:ascii="仿宋" w:hAnsi="仿宋" w:eastAsia="仿宋"/>
          <w:color w:val="auto"/>
          <w:sz w:val="32"/>
          <w:szCs w:val="32"/>
          <w:highlight w:val="none"/>
        </w:rPr>
        <w:t>（图6：一般公共预算财政拨款支出决算结构）（饼状图）</w:t>
      </w:r>
    </w:p>
    <w:p>
      <w:pPr>
        <w:spacing w:line="600" w:lineRule="exact"/>
        <w:ind w:firstLine="643" w:firstLineChars="200"/>
        <w:outlineLvl w:val="2"/>
        <w:rPr>
          <w:rFonts w:ascii="仿宋" w:hAnsi="仿宋" w:eastAsia="仿宋"/>
          <w:b/>
          <w:color w:val="auto"/>
          <w:sz w:val="32"/>
          <w:szCs w:val="32"/>
          <w:highlight w:val="none"/>
        </w:rPr>
      </w:pPr>
      <w:bookmarkStart w:id="45" w:name="_Toc15377212"/>
      <w:bookmarkStart w:id="46" w:name="_Toc29939"/>
      <w:r>
        <w:rPr>
          <w:rFonts w:hint="eastAsia" w:ascii="仿宋" w:hAnsi="仿宋" w:eastAsia="仿宋"/>
          <w:b/>
          <w:color w:val="auto"/>
          <w:sz w:val="32"/>
          <w:szCs w:val="32"/>
          <w:highlight w:val="none"/>
        </w:rPr>
        <w:t>（三）一般公共预算财政拨款支出决算具体情况</w:t>
      </w:r>
      <w:bookmarkEnd w:id="45"/>
      <w:bookmarkEnd w:id="46"/>
    </w:p>
    <w:p>
      <w:pPr>
        <w:spacing w:line="600" w:lineRule="exact"/>
        <w:ind w:firstLine="643" w:firstLineChars="200"/>
        <w:outlineLvl w:val="2"/>
        <w:rPr>
          <w:rFonts w:hint="eastAsia" w:ascii="仿宋" w:hAnsi="仿宋" w:eastAsia="仿宋"/>
          <w:color w:val="auto"/>
          <w:sz w:val="32"/>
          <w:szCs w:val="32"/>
          <w:highlight w:val="none"/>
          <w:lang w:eastAsia="zh-CN"/>
        </w:rPr>
      </w:pPr>
      <w:bookmarkStart w:id="47" w:name="_Toc15377444"/>
      <w:bookmarkStart w:id="48" w:name="_Toc15377213"/>
      <w:bookmarkStart w:id="49" w:name="_Toc15378460"/>
      <w:bookmarkStart w:id="50" w:name="_Toc31928"/>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22</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4431.83</w:t>
      </w:r>
      <w:r>
        <w:rPr>
          <w:rFonts w:hint="eastAsia" w:ascii="仿宋" w:hAnsi="仿宋" w:eastAsia="仿宋"/>
          <w:color w:val="auto"/>
          <w:sz w:val="32"/>
          <w:szCs w:val="32"/>
          <w:highlight w:val="none"/>
        </w:rPr>
        <w:t>，</w:t>
      </w:r>
      <w:r>
        <w:rPr>
          <w:rStyle w:val="16"/>
          <w:rFonts w:hint="eastAsia" w:ascii="仿宋" w:hAnsi="仿宋" w:eastAsia="仿宋"/>
          <w:bCs/>
          <w:color w:val="auto"/>
          <w:sz w:val="32"/>
          <w:szCs w:val="32"/>
          <w:highlight w:val="none"/>
        </w:rPr>
        <w:t>完成预算</w:t>
      </w:r>
      <w:r>
        <w:rPr>
          <w:rStyle w:val="16"/>
          <w:rFonts w:hint="eastAsia" w:ascii="仿宋" w:hAnsi="仿宋" w:eastAsia="仿宋"/>
          <w:bCs/>
          <w:color w:val="auto"/>
          <w:sz w:val="32"/>
          <w:szCs w:val="32"/>
          <w:highlight w:val="none"/>
          <w:lang w:val="en-US" w:eastAsia="zh-CN"/>
        </w:rPr>
        <w:t>100</w:t>
      </w:r>
      <w:r>
        <w:rPr>
          <w:rStyle w:val="16"/>
          <w:rFonts w:ascii="仿宋" w:hAnsi="仿宋" w:eastAsia="仿宋"/>
          <w:bCs/>
          <w:color w:val="auto"/>
          <w:sz w:val="32"/>
          <w:szCs w:val="32"/>
          <w:highlight w:val="none"/>
        </w:rPr>
        <w:t>%</w:t>
      </w:r>
      <w:r>
        <w:rPr>
          <w:rStyle w:val="16"/>
          <w:rFonts w:hint="eastAsia" w:ascii="仿宋" w:hAnsi="仿宋" w:eastAsia="仿宋"/>
          <w:bCs/>
          <w:color w:val="auto"/>
          <w:sz w:val="32"/>
          <w:szCs w:val="32"/>
          <w:highlight w:val="none"/>
        </w:rPr>
        <w:t>。其中：</w:t>
      </w:r>
      <w:bookmarkEnd w:id="47"/>
      <w:bookmarkEnd w:id="48"/>
      <w:bookmarkEnd w:id="49"/>
      <w:bookmarkEnd w:id="50"/>
    </w:p>
    <w:p>
      <w:pPr>
        <w:spacing w:line="600" w:lineRule="exact"/>
        <w:ind w:firstLine="643" w:firstLineChars="200"/>
        <w:rPr>
          <w:rStyle w:val="16"/>
          <w:rFonts w:hint="eastAsia" w:ascii="仿宋" w:hAnsi="仿宋" w:eastAsia="仿宋"/>
          <w:b w:val="0"/>
          <w:bCs/>
          <w:color w:val="auto"/>
          <w:sz w:val="32"/>
          <w:szCs w:val="32"/>
          <w:highlight w:val="none"/>
          <w:lang w:eastAsia="zh-CN"/>
        </w:rPr>
      </w:pPr>
      <w:r>
        <w:rPr>
          <w:rStyle w:val="16"/>
          <w:rFonts w:hint="eastAsia" w:ascii="仿宋" w:hAnsi="仿宋" w:eastAsia="仿宋"/>
          <w:bCs/>
          <w:color w:val="auto"/>
          <w:sz w:val="32"/>
          <w:szCs w:val="32"/>
          <w:highlight w:val="none"/>
          <w:lang w:val="en-US" w:eastAsia="zh-CN"/>
        </w:rPr>
        <w:t>1.</w:t>
      </w:r>
      <w:r>
        <w:rPr>
          <w:rStyle w:val="16"/>
          <w:rFonts w:hint="eastAsia" w:ascii="仿宋" w:hAnsi="仿宋" w:eastAsia="仿宋"/>
          <w:bCs/>
          <w:color w:val="auto"/>
          <w:sz w:val="32"/>
          <w:szCs w:val="32"/>
          <w:highlight w:val="none"/>
        </w:rPr>
        <w:t>社会保障和就业（类）</w:t>
      </w:r>
      <w:r>
        <w:rPr>
          <w:rStyle w:val="16"/>
          <w:rFonts w:hint="eastAsia" w:ascii="仿宋" w:hAnsi="仿宋" w:eastAsia="仿宋"/>
          <w:bCs/>
          <w:color w:val="auto"/>
          <w:sz w:val="32"/>
          <w:szCs w:val="32"/>
          <w:highlight w:val="none"/>
          <w:lang w:val="en-US" w:eastAsia="zh-CN"/>
        </w:rPr>
        <w:t>行政事业单位养老支出</w:t>
      </w:r>
      <w:r>
        <w:rPr>
          <w:rStyle w:val="16"/>
          <w:rFonts w:hint="eastAsia" w:ascii="仿宋" w:hAnsi="仿宋" w:eastAsia="仿宋"/>
          <w:bCs/>
          <w:color w:val="auto"/>
          <w:sz w:val="32"/>
          <w:szCs w:val="32"/>
          <w:highlight w:val="none"/>
        </w:rPr>
        <w:t>（款）</w:t>
      </w:r>
      <w:r>
        <w:rPr>
          <w:rStyle w:val="16"/>
          <w:rFonts w:hint="eastAsia" w:ascii="仿宋" w:hAnsi="仿宋" w:eastAsia="仿宋"/>
          <w:bCs/>
          <w:color w:val="auto"/>
          <w:sz w:val="32"/>
          <w:szCs w:val="32"/>
          <w:highlight w:val="none"/>
          <w:lang w:val="en-US" w:eastAsia="zh-CN"/>
        </w:rPr>
        <w:t>机关事业单位基本养老保险缴费支出</w:t>
      </w:r>
      <w:r>
        <w:rPr>
          <w:rStyle w:val="16"/>
          <w:rFonts w:hint="eastAsia" w:ascii="仿宋" w:hAnsi="仿宋" w:eastAsia="仿宋"/>
          <w:bCs/>
          <w:color w:val="auto"/>
          <w:sz w:val="32"/>
          <w:szCs w:val="32"/>
          <w:highlight w:val="none"/>
        </w:rPr>
        <w:t>（项）</w:t>
      </w:r>
      <w:r>
        <w:rPr>
          <w:rStyle w:val="16"/>
          <w:rFonts w:hint="eastAsia" w:ascii="仿宋" w:hAnsi="仿宋" w:eastAsia="仿宋"/>
          <w:bCs/>
          <w:color w:val="auto"/>
          <w:sz w:val="32"/>
          <w:szCs w:val="32"/>
          <w:highlight w:val="none"/>
          <w:lang w:val="en-US" w:eastAsia="zh-CN"/>
        </w:rPr>
        <w:t>2080505</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53.43</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lang w:eastAsia="zh-CN"/>
        </w:rPr>
        <w:t>。</w:t>
      </w:r>
    </w:p>
    <w:p>
      <w:pPr>
        <w:spacing w:line="600" w:lineRule="exact"/>
        <w:ind w:firstLine="643" w:firstLineChars="200"/>
        <w:rPr>
          <w:rStyle w:val="16"/>
          <w:rFonts w:hint="eastAsia" w:ascii="仿宋" w:hAnsi="仿宋" w:eastAsia="仿宋"/>
          <w:b w:val="0"/>
          <w:bCs/>
          <w:color w:val="auto"/>
          <w:sz w:val="32"/>
          <w:szCs w:val="32"/>
          <w:highlight w:val="none"/>
          <w:lang w:eastAsia="zh-CN"/>
        </w:rPr>
      </w:pPr>
      <w:r>
        <w:rPr>
          <w:rStyle w:val="16"/>
          <w:rFonts w:hint="eastAsia" w:ascii="仿宋" w:hAnsi="仿宋" w:eastAsia="仿宋"/>
          <w:bCs/>
          <w:color w:val="auto"/>
          <w:sz w:val="32"/>
          <w:szCs w:val="32"/>
          <w:highlight w:val="none"/>
          <w:lang w:val="en-US" w:eastAsia="zh-CN"/>
        </w:rPr>
        <w:t>2.</w:t>
      </w:r>
      <w:r>
        <w:rPr>
          <w:rStyle w:val="16"/>
          <w:rFonts w:hint="eastAsia" w:ascii="仿宋" w:hAnsi="仿宋" w:eastAsia="仿宋"/>
          <w:bCs/>
          <w:color w:val="auto"/>
          <w:sz w:val="32"/>
          <w:szCs w:val="32"/>
          <w:highlight w:val="none"/>
        </w:rPr>
        <w:t>社会保障和就业（类）</w:t>
      </w:r>
      <w:r>
        <w:rPr>
          <w:rStyle w:val="16"/>
          <w:rFonts w:hint="eastAsia" w:ascii="仿宋" w:hAnsi="仿宋" w:eastAsia="仿宋"/>
          <w:bCs/>
          <w:color w:val="auto"/>
          <w:sz w:val="32"/>
          <w:szCs w:val="32"/>
          <w:highlight w:val="none"/>
          <w:lang w:val="en-US" w:eastAsia="zh-CN"/>
        </w:rPr>
        <w:t>行政事业单位养老支出</w:t>
      </w:r>
      <w:r>
        <w:rPr>
          <w:rStyle w:val="16"/>
          <w:rFonts w:hint="eastAsia" w:ascii="仿宋" w:hAnsi="仿宋" w:eastAsia="仿宋"/>
          <w:bCs/>
          <w:color w:val="auto"/>
          <w:sz w:val="32"/>
          <w:szCs w:val="32"/>
          <w:highlight w:val="none"/>
        </w:rPr>
        <w:t>（款）</w:t>
      </w:r>
      <w:r>
        <w:rPr>
          <w:rStyle w:val="16"/>
          <w:rFonts w:hint="eastAsia" w:ascii="仿宋" w:hAnsi="仿宋" w:eastAsia="仿宋"/>
          <w:bCs/>
          <w:color w:val="auto"/>
          <w:sz w:val="32"/>
          <w:szCs w:val="32"/>
          <w:highlight w:val="none"/>
          <w:lang w:val="en-US" w:eastAsia="zh-CN"/>
        </w:rPr>
        <w:t>机关事业单位职业年金缴费支出</w:t>
      </w:r>
      <w:r>
        <w:rPr>
          <w:rStyle w:val="16"/>
          <w:rFonts w:hint="eastAsia" w:ascii="仿宋" w:hAnsi="仿宋" w:eastAsia="仿宋"/>
          <w:bCs/>
          <w:color w:val="auto"/>
          <w:sz w:val="32"/>
          <w:szCs w:val="32"/>
          <w:highlight w:val="none"/>
        </w:rPr>
        <w:t>（项）</w:t>
      </w:r>
      <w:r>
        <w:rPr>
          <w:rStyle w:val="16"/>
          <w:rFonts w:hint="eastAsia" w:ascii="仿宋" w:hAnsi="仿宋" w:eastAsia="仿宋"/>
          <w:bCs/>
          <w:color w:val="auto"/>
          <w:sz w:val="32"/>
          <w:szCs w:val="32"/>
          <w:highlight w:val="none"/>
          <w:lang w:val="en-US" w:eastAsia="zh-CN"/>
        </w:rPr>
        <w:t>2080506</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9.94</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lang w:eastAsia="zh-CN"/>
        </w:rPr>
        <w:t>。</w:t>
      </w:r>
    </w:p>
    <w:p>
      <w:pPr>
        <w:spacing w:line="600" w:lineRule="exact"/>
        <w:ind w:firstLine="643" w:firstLineChars="200"/>
        <w:rPr>
          <w:rStyle w:val="16"/>
          <w:rFonts w:hint="eastAsia" w:ascii="仿宋" w:hAnsi="仿宋" w:eastAsia="仿宋"/>
          <w:b w:val="0"/>
          <w:bCs/>
          <w:color w:val="auto"/>
          <w:sz w:val="32"/>
          <w:szCs w:val="32"/>
          <w:highlight w:val="none"/>
          <w:lang w:eastAsia="zh-CN"/>
        </w:rPr>
      </w:pPr>
      <w:r>
        <w:rPr>
          <w:rStyle w:val="16"/>
          <w:rFonts w:hint="eastAsia" w:ascii="仿宋" w:hAnsi="仿宋" w:eastAsia="仿宋"/>
          <w:bCs/>
          <w:color w:val="auto"/>
          <w:sz w:val="32"/>
          <w:szCs w:val="32"/>
          <w:highlight w:val="none"/>
          <w:lang w:val="en-US" w:eastAsia="zh-CN"/>
        </w:rPr>
        <w:t>3.</w:t>
      </w:r>
      <w:r>
        <w:rPr>
          <w:rStyle w:val="16"/>
          <w:rFonts w:hint="eastAsia" w:ascii="仿宋" w:hAnsi="仿宋" w:eastAsia="仿宋"/>
          <w:bCs/>
          <w:color w:val="auto"/>
          <w:sz w:val="32"/>
          <w:szCs w:val="32"/>
          <w:highlight w:val="none"/>
        </w:rPr>
        <w:t>社会保障和就业（类）</w:t>
      </w:r>
      <w:r>
        <w:rPr>
          <w:rStyle w:val="16"/>
          <w:rFonts w:hint="eastAsia" w:ascii="仿宋" w:hAnsi="仿宋" w:eastAsia="仿宋"/>
          <w:bCs/>
          <w:color w:val="auto"/>
          <w:sz w:val="32"/>
          <w:szCs w:val="32"/>
          <w:highlight w:val="none"/>
          <w:lang w:val="en-US" w:eastAsia="zh-CN"/>
        </w:rPr>
        <w:t>抚恤</w:t>
      </w:r>
      <w:r>
        <w:rPr>
          <w:rStyle w:val="16"/>
          <w:rFonts w:hint="eastAsia" w:ascii="仿宋" w:hAnsi="仿宋" w:eastAsia="仿宋"/>
          <w:bCs/>
          <w:color w:val="auto"/>
          <w:sz w:val="32"/>
          <w:szCs w:val="32"/>
          <w:highlight w:val="none"/>
        </w:rPr>
        <w:t>（款）</w:t>
      </w:r>
      <w:r>
        <w:rPr>
          <w:rStyle w:val="16"/>
          <w:rFonts w:hint="eastAsia" w:ascii="仿宋" w:hAnsi="仿宋" w:eastAsia="仿宋"/>
          <w:bCs/>
          <w:color w:val="auto"/>
          <w:sz w:val="32"/>
          <w:szCs w:val="32"/>
          <w:highlight w:val="none"/>
          <w:lang w:val="en-US" w:eastAsia="zh-CN"/>
        </w:rPr>
        <w:t>死亡抚恤</w:t>
      </w:r>
      <w:r>
        <w:rPr>
          <w:rStyle w:val="16"/>
          <w:rFonts w:hint="eastAsia" w:ascii="仿宋" w:hAnsi="仿宋" w:eastAsia="仿宋"/>
          <w:bCs/>
          <w:color w:val="auto"/>
          <w:sz w:val="32"/>
          <w:szCs w:val="32"/>
          <w:highlight w:val="none"/>
        </w:rPr>
        <w:t>（项）</w:t>
      </w:r>
      <w:r>
        <w:rPr>
          <w:rStyle w:val="16"/>
          <w:rFonts w:hint="eastAsia" w:ascii="仿宋" w:hAnsi="仿宋" w:eastAsia="仿宋"/>
          <w:bCs/>
          <w:color w:val="auto"/>
          <w:sz w:val="32"/>
          <w:szCs w:val="32"/>
          <w:highlight w:val="none"/>
          <w:lang w:val="en-US" w:eastAsia="zh-CN"/>
        </w:rPr>
        <w:t>2080801</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29.18</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lang w:eastAsia="zh-CN"/>
        </w:rPr>
        <w:t>。</w:t>
      </w:r>
    </w:p>
    <w:p>
      <w:pPr>
        <w:spacing w:line="600" w:lineRule="exact"/>
        <w:ind w:firstLine="643" w:firstLineChars="200"/>
        <w:rPr>
          <w:rFonts w:ascii="仿宋" w:hAnsi="仿宋" w:eastAsia="仿宋"/>
          <w:b/>
          <w:color w:val="auto"/>
          <w:sz w:val="32"/>
          <w:szCs w:val="32"/>
          <w:highlight w:val="none"/>
        </w:rPr>
      </w:pPr>
      <w:r>
        <w:rPr>
          <w:rStyle w:val="16"/>
          <w:rFonts w:hint="eastAsia" w:ascii="仿宋" w:hAnsi="仿宋" w:eastAsia="仿宋"/>
          <w:bCs/>
          <w:color w:val="auto"/>
          <w:sz w:val="32"/>
          <w:szCs w:val="32"/>
          <w:highlight w:val="none"/>
          <w:lang w:val="en-US" w:eastAsia="zh-CN"/>
        </w:rPr>
        <w:t>4.</w:t>
      </w:r>
      <w:r>
        <w:rPr>
          <w:rFonts w:hint="eastAsia" w:ascii="仿宋" w:hAnsi="仿宋" w:eastAsia="仿宋"/>
          <w:b/>
          <w:bCs/>
          <w:color w:val="auto"/>
          <w:sz w:val="32"/>
          <w:szCs w:val="32"/>
          <w:highlight w:val="none"/>
        </w:rPr>
        <w:t>卫生健康</w:t>
      </w:r>
      <w:r>
        <w:rPr>
          <w:rStyle w:val="16"/>
          <w:rFonts w:hint="eastAsia" w:ascii="仿宋" w:hAnsi="仿宋" w:eastAsia="仿宋"/>
          <w:bCs/>
          <w:color w:val="auto"/>
          <w:sz w:val="32"/>
          <w:szCs w:val="32"/>
          <w:highlight w:val="none"/>
        </w:rPr>
        <w:t>（类）</w:t>
      </w:r>
      <w:r>
        <w:rPr>
          <w:rStyle w:val="16"/>
          <w:rFonts w:hint="eastAsia" w:ascii="仿宋" w:hAnsi="仿宋" w:eastAsia="仿宋"/>
          <w:bCs/>
          <w:color w:val="auto"/>
          <w:sz w:val="32"/>
          <w:szCs w:val="32"/>
          <w:highlight w:val="none"/>
          <w:lang w:val="en-US" w:eastAsia="zh-CN"/>
        </w:rPr>
        <w:t>行政事业单位医疗</w:t>
      </w:r>
      <w:r>
        <w:rPr>
          <w:rStyle w:val="16"/>
          <w:rFonts w:hint="eastAsia" w:ascii="仿宋" w:hAnsi="仿宋" w:eastAsia="仿宋"/>
          <w:bCs/>
          <w:color w:val="auto"/>
          <w:sz w:val="32"/>
          <w:szCs w:val="32"/>
          <w:highlight w:val="none"/>
        </w:rPr>
        <w:t>（款）</w:t>
      </w:r>
      <w:r>
        <w:rPr>
          <w:rStyle w:val="16"/>
          <w:rFonts w:hint="eastAsia" w:ascii="仿宋" w:hAnsi="仿宋" w:eastAsia="仿宋"/>
          <w:bCs/>
          <w:color w:val="auto"/>
          <w:sz w:val="32"/>
          <w:szCs w:val="32"/>
          <w:highlight w:val="none"/>
          <w:lang w:val="en-US" w:eastAsia="zh-CN"/>
        </w:rPr>
        <w:t>行政单位医疗</w:t>
      </w:r>
      <w:r>
        <w:rPr>
          <w:rStyle w:val="16"/>
          <w:rFonts w:hint="eastAsia" w:ascii="仿宋" w:hAnsi="仿宋" w:eastAsia="仿宋"/>
          <w:bCs/>
          <w:color w:val="auto"/>
          <w:sz w:val="32"/>
          <w:szCs w:val="32"/>
          <w:highlight w:val="none"/>
        </w:rPr>
        <w:t>（项）</w:t>
      </w:r>
      <w:r>
        <w:rPr>
          <w:rStyle w:val="16"/>
          <w:rFonts w:hint="eastAsia" w:ascii="仿宋" w:hAnsi="仿宋" w:eastAsia="仿宋"/>
          <w:bCs/>
          <w:color w:val="auto"/>
          <w:sz w:val="32"/>
          <w:szCs w:val="32"/>
          <w:highlight w:val="none"/>
          <w:lang w:val="en-US" w:eastAsia="zh-CN"/>
        </w:rPr>
        <w:t>2101101</w:t>
      </w:r>
      <w:r>
        <w:rPr>
          <w:rStyle w:val="16"/>
          <w:rFonts w:ascii="仿宋" w:hAnsi="仿宋" w:eastAsia="仿宋"/>
          <w:bCs/>
          <w:color w:val="auto"/>
          <w:sz w:val="32"/>
          <w:szCs w:val="32"/>
          <w:highlight w:val="none"/>
        </w:rPr>
        <w:t>:</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11.11</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lang w:eastAsia="zh-CN"/>
        </w:rPr>
        <w:t>。</w:t>
      </w:r>
    </w:p>
    <w:p>
      <w:pPr>
        <w:spacing w:line="600" w:lineRule="exact"/>
        <w:ind w:firstLine="643" w:firstLineChars="200"/>
        <w:rPr>
          <w:rStyle w:val="16"/>
          <w:rFonts w:hint="eastAsia" w:ascii="仿宋" w:hAnsi="仿宋" w:eastAsia="仿宋"/>
          <w:b w:val="0"/>
          <w:bCs/>
          <w:color w:val="auto"/>
          <w:sz w:val="32"/>
          <w:szCs w:val="32"/>
          <w:highlight w:val="none"/>
          <w:lang w:eastAsia="zh-CN"/>
        </w:rPr>
      </w:pPr>
      <w:r>
        <w:rPr>
          <w:rFonts w:hint="eastAsia" w:ascii="仿宋" w:hAnsi="仿宋" w:eastAsia="仿宋"/>
          <w:b/>
          <w:bCs/>
          <w:color w:val="auto"/>
          <w:sz w:val="32"/>
          <w:szCs w:val="32"/>
          <w:highlight w:val="none"/>
          <w:lang w:val="en-US" w:eastAsia="zh-CN"/>
        </w:rPr>
        <w:t>5.</w:t>
      </w:r>
      <w:r>
        <w:rPr>
          <w:rFonts w:hint="eastAsia" w:ascii="仿宋" w:hAnsi="仿宋" w:eastAsia="仿宋"/>
          <w:b/>
          <w:bCs/>
          <w:color w:val="auto"/>
          <w:sz w:val="32"/>
          <w:szCs w:val="32"/>
          <w:highlight w:val="none"/>
        </w:rPr>
        <w:t>卫生健康</w:t>
      </w:r>
      <w:r>
        <w:rPr>
          <w:rStyle w:val="16"/>
          <w:rFonts w:hint="eastAsia" w:ascii="仿宋" w:hAnsi="仿宋" w:eastAsia="仿宋"/>
          <w:bCs/>
          <w:color w:val="auto"/>
          <w:sz w:val="32"/>
          <w:szCs w:val="32"/>
          <w:highlight w:val="none"/>
        </w:rPr>
        <w:t>（类）</w:t>
      </w:r>
      <w:r>
        <w:rPr>
          <w:rStyle w:val="16"/>
          <w:rFonts w:hint="eastAsia" w:ascii="仿宋" w:hAnsi="仿宋" w:eastAsia="仿宋"/>
          <w:bCs/>
          <w:color w:val="auto"/>
          <w:sz w:val="32"/>
          <w:szCs w:val="32"/>
          <w:highlight w:val="none"/>
          <w:lang w:val="en-US" w:eastAsia="zh-CN"/>
        </w:rPr>
        <w:t>行政事业单位医疗</w:t>
      </w:r>
      <w:r>
        <w:rPr>
          <w:rStyle w:val="16"/>
          <w:rFonts w:hint="eastAsia" w:ascii="仿宋" w:hAnsi="仿宋" w:eastAsia="仿宋"/>
          <w:bCs/>
          <w:color w:val="auto"/>
          <w:sz w:val="32"/>
          <w:szCs w:val="32"/>
          <w:highlight w:val="none"/>
        </w:rPr>
        <w:t>（款）</w:t>
      </w:r>
      <w:r>
        <w:rPr>
          <w:rStyle w:val="16"/>
          <w:rFonts w:hint="eastAsia" w:ascii="仿宋" w:hAnsi="仿宋" w:eastAsia="仿宋"/>
          <w:bCs/>
          <w:color w:val="auto"/>
          <w:sz w:val="32"/>
          <w:szCs w:val="32"/>
          <w:highlight w:val="none"/>
          <w:lang w:val="en-US" w:eastAsia="zh-CN"/>
        </w:rPr>
        <w:t>事业单位医疗</w:t>
      </w:r>
      <w:r>
        <w:rPr>
          <w:rStyle w:val="16"/>
          <w:rFonts w:hint="eastAsia" w:ascii="仿宋" w:hAnsi="仿宋" w:eastAsia="仿宋"/>
          <w:bCs/>
          <w:color w:val="auto"/>
          <w:sz w:val="32"/>
          <w:szCs w:val="32"/>
          <w:highlight w:val="none"/>
        </w:rPr>
        <w:t>（项）</w:t>
      </w:r>
      <w:r>
        <w:rPr>
          <w:rStyle w:val="16"/>
          <w:rFonts w:hint="eastAsia" w:ascii="仿宋" w:hAnsi="仿宋" w:eastAsia="仿宋"/>
          <w:bCs/>
          <w:color w:val="auto"/>
          <w:sz w:val="32"/>
          <w:szCs w:val="32"/>
          <w:highlight w:val="none"/>
          <w:lang w:val="en-US" w:eastAsia="zh-CN"/>
        </w:rPr>
        <w:t>2101102</w:t>
      </w:r>
      <w:r>
        <w:rPr>
          <w:rStyle w:val="16"/>
          <w:rFonts w:ascii="仿宋" w:hAnsi="仿宋" w:eastAsia="仿宋"/>
          <w:bCs/>
          <w:color w:val="auto"/>
          <w:sz w:val="32"/>
          <w:szCs w:val="32"/>
          <w:highlight w:val="none"/>
        </w:rPr>
        <w:t>:</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15.31</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lang w:eastAsia="zh-CN"/>
        </w:rPr>
        <w:t>。</w:t>
      </w:r>
    </w:p>
    <w:p>
      <w:pPr>
        <w:pStyle w:val="5"/>
        <w:ind w:firstLine="643" w:firstLineChars="200"/>
        <w:rPr>
          <w:rStyle w:val="16"/>
          <w:rFonts w:hint="eastAsia" w:ascii="仿宋" w:hAnsi="仿宋" w:eastAsia="仿宋"/>
          <w:b w:val="0"/>
          <w:bCs/>
          <w:color w:val="auto"/>
          <w:sz w:val="32"/>
          <w:szCs w:val="32"/>
          <w:highlight w:val="none"/>
          <w:lang w:val="en-US" w:eastAsia="zh-CN"/>
        </w:rPr>
      </w:pPr>
      <w:r>
        <w:rPr>
          <w:rStyle w:val="16"/>
          <w:rFonts w:hint="eastAsia" w:ascii="仿宋" w:hAnsi="仿宋" w:eastAsia="仿宋"/>
          <w:b/>
          <w:bCs w:val="0"/>
          <w:color w:val="auto"/>
          <w:sz w:val="32"/>
          <w:szCs w:val="32"/>
          <w:highlight w:val="none"/>
          <w:lang w:val="en-US" w:eastAsia="zh-CN"/>
        </w:rPr>
        <w:t>6.自然资源海洋气象等支出（类）自然资源事务（款）行政运行（项）2200101：</w:t>
      </w:r>
      <w:r>
        <w:rPr>
          <w:rStyle w:val="16"/>
          <w:rFonts w:hint="eastAsia" w:ascii="仿宋" w:hAnsi="仿宋" w:eastAsia="仿宋"/>
          <w:b w:val="0"/>
          <w:bCs/>
          <w:color w:val="auto"/>
          <w:sz w:val="32"/>
          <w:szCs w:val="32"/>
          <w:highlight w:val="none"/>
          <w:lang w:val="en-US" w:eastAsia="zh-CN"/>
        </w:rPr>
        <w:t>支出决算为249.22万元，完成预算100%。</w:t>
      </w:r>
    </w:p>
    <w:p>
      <w:pPr>
        <w:pStyle w:val="5"/>
        <w:ind w:firstLine="643" w:firstLineChars="200"/>
        <w:rPr>
          <w:rStyle w:val="16"/>
          <w:rFonts w:hint="eastAsia" w:ascii="仿宋" w:hAnsi="仿宋" w:eastAsia="仿宋"/>
          <w:b w:val="0"/>
          <w:bCs/>
          <w:color w:val="auto"/>
          <w:sz w:val="32"/>
          <w:szCs w:val="32"/>
          <w:highlight w:val="none"/>
          <w:lang w:val="en-US" w:eastAsia="zh-CN"/>
        </w:rPr>
      </w:pPr>
      <w:r>
        <w:rPr>
          <w:rStyle w:val="16"/>
          <w:rFonts w:hint="eastAsia" w:ascii="仿宋" w:hAnsi="仿宋" w:eastAsia="仿宋"/>
          <w:b/>
          <w:bCs w:val="0"/>
          <w:color w:val="auto"/>
          <w:sz w:val="32"/>
          <w:szCs w:val="32"/>
          <w:highlight w:val="none"/>
          <w:lang w:val="en-US" w:eastAsia="zh-CN"/>
        </w:rPr>
        <w:t>7.自然资源海洋气象等支出（类）自然资源事务（款）一般行政管理事务（项）2200102：</w:t>
      </w:r>
      <w:r>
        <w:rPr>
          <w:rStyle w:val="16"/>
          <w:rFonts w:hint="eastAsia" w:ascii="仿宋" w:hAnsi="仿宋" w:eastAsia="仿宋"/>
          <w:b w:val="0"/>
          <w:bCs/>
          <w:color w:val="auto"/>
          <w:sz w:val="32"/>
          <w:szCs w:val="32"/>
          <w:highlight w:val="none"/>
          <w:lang w:val="en-US" w:eastAsia="zh-CN"/>
        </w:rPr>
        <w:t>支出决算为73.70万元，完成预算100%。</w:t>
      </w:r>
    </w:p>
    <w:p>
      <w:pPr>
        <w:pStyle w:val="5"/>
        <w:ind w:firstLine="643" w:firstLineChars="200"/>
        <w:rPr>
          <w:rStyle w:val="16"/>
          <w:rFonts w:hint="eastAsia" w:ascii="仿宋" w:hAnsi="仿宋" w:eastAsia="仿宋"/>
          <w:b w:val="0"/>
          <w:bCs/>
          <w:color w:val="auto"/>
          <w:sz w:val="32"/>
          <w:szCs w:val="32"/>
          <w:highlight w:val="none"/>
          <w:lang w:val="en-US" w:eastAsia="zh-CN"/>
        </w:rPr>
      </w:pPr>
      <w:r>
        <w:rPr>
          <w:rStyle w:val="16"/>
          <w:rFonts w:hint="eastAsia" w:ascii="仿宋" w:hAnsi="仿宋" w:eastAsia="仿宋"/>
          <w:b/>
          <w:bCs w:val="0"/>
          <w:color w:val="auto"/>
          <w:sz w:val="32"/>
          <w:szCs w:val="32"/>
          <w:highlight w:val="none"/>
          <w:lang w:val="en-US" w:eastAsia="zh-CN"/>
        </w:rPr>
        <w:t>8.自然资源海洋气象等支出（类）自然资源事务（款）机关服务（项）2200103</w:t>
      </w:r>
      <w:r>
        <w:rPr>
          <w:rStyle w:val="16"/>
          <w:rFonts w:hint="eastAsia" w:ascii="仿宋" w:hAnsi="仿宋" w:eastAsia="仿宋"/>
          <w:b w:val="0"/>
          <w:bCs/>
          <w:color w:val="auto"/>
          <w:sz w:val="32"/>
          <w:szCs w:val="32"/>
          <w:highlight w:val="none"/>
          <w:lang w:val="en-US" w:eastAsia="zh-CN"/>
        </w:rPr>
        <w:t>：支出决算为323.75万元，完成预算100%。</w:t>
      </w:r>
    </w:p>
    <w:p>
      <w:pPr>
        <w:pStyle w:val="5"/>
        <w:ind w:firstLine="643" w:firstLineChars="200"/>
        <w:rPr>
          <w:rStyle w:val="16"/>
          <w:rFonts w:hint="eastAsia" w:ascii="仿宋" w:hAnsi="仿宋" w:eastAsia="仿宋"/>
          <w:b w:val="0"/>
          <w:bCs/>
          <w:color w:val="auto"/>
          <w:sz w:val="32"/>
          <w:szCs w:val="32"/>
          <w:highlight w:val="none"/>
          <w:lang w:val="en-US" w:eastAsia="zh-CN"/>
        </w:rPr>
      </w:pPr>
      <w:r>
        <w:rPr>
          <w:rStyle w:val="16"/>
          <w:rFonts w:hint="eastAsia" w:ascii="仿宋" w:hAnsi="仿宋" w:eastAsia="仿宋"/>
          <w:b/>
          <w:bCs w:val="0"/>
          <w:color w:val="auto"/>
          <w:sz w:val="32"/>
          <w:szCs w:val="32"/>
          <w:highlight w:val="none"/>
          <w:lang w:val="en-US" w:eastAsia="zh-CN"/>
        </w:rPr>
        <w:t>9.自然资源海洋气象等支出（类）自然资源事务（款）自然资源利用与保护（项）2200106：</w:t>
      </w:r>
      <w:r>
        <w:rPr>
          <w:rStyle w:val="16"/>
          <w:rFonts w:hint="eastAsia" w:ascii="仿宋" w:hAnsi="仿宋" w:eastAsia="仿宋"/>
          <w:b w:val="0"/>
          <w:bCs/>
          <w:color w:val="auto"/>
          <w:sz w:val="32"/>
          <w:szCs w:val="32"/>
          <w:highlight w:val="none"/>
          <w:lang w:val="en-US" w:eastAsia="zh-CN"/>
        </w:rPr>
        <w:t>支出决算为818.70万元，完成预算100%。</w:t>
      </w:r>
    </w:p>
    <w:p>
      <w:pPr>
        <w:pStyle w:val="5"/>
        <w:ind w:firstLine="643" w:firstLineChars="200"/>
        <w:rPr>
          <w:rStyle w:val="16"/>
          <w:rFonts w:hint="eastAsia" w:ascii="仿宋" w:hAnsi="仿宋" w:eastAsia="仿宋"/>
          <w:b w:val="0"/>
          <w:bCs/>
          <w:color w:val="auto"/>
          <w:sz w:val="32"/>
          <w:szCs w:val="32"/>
          <w:highlight w:val="none"/>
          <w:lang w:val="en-US" w:eastAsia="zh-CN"/>
        </w:rPr>
      </w:pPr>
      <w:r>
        <w:rPr>
          <w:rStyle w:val="16"/>
          <w:rFonts w:hint="eastAsia" w:ascii="仿宋" w:hAnsi="仿宋" w:eastAsia="仿宋"/>
          <w:b/>
          <w:bCs w:val="0"/>
          <w:color w:val="auto"/>
          <w:sz w:val="32"/>
          <w:szCs w:val="32"/>
          <w:highlight w:val="none"/>
          <w:lang w:val="en-US" w:eastAsia="zh-CN"/>
        </w:rPr>
        <w:t>10.自然资源海洋气象等支出（类）自然资源事务（款）地质勘察与矿产资源管理（项）2200114：</w:t>
      </w:r>
      <w:r>
        <w:rPr>
          <w:rStyle w:val="16"/>
          <w:rFonts w:hint="eastAsia" w:ascii="仿宋" w:hAnsi="仿宋" w:eastAsia="仿宋"/>
          <w:b w:val="0"/>
          <w:bCs/>
          <w:color w:val="auto"/>
          <w:sz w:val="32"/>
          <w:szCs w:val="32"/>
          <w:highlight w:val="none"/>
          <w:lang w:val="en-US" w:eastAsia="zh-CN"/>
        </w:rPr>
        <w:t>支出决算为316.19万元，完成预算100%。</w:t>
      </w:r>
    </w:p>
    <w:p>
      <w:pPr>
        <w:pStyle w:val="5"/>
        <w:ind w:firstLine="643" w:firstLineChars="200"/>
        <w:rPr>
          <w:rStyle w:val="16"/>
          <w:rFonts w:hint="eastAsia" w:ascii="仿宋" w:hAnsi="仿宋" w:eastAsia="仿宋"/>
          <w:b w:val="0"/>
          <w:bCs/>
          <w:color w:val="auto"/>
          <w:sz w:val="32"/>
          <w:szCs w:val="32"/>
          <w:highlight w:val="none"/>
          <w:lang w:val="en-US" w:eastAsia="zh-CN"/>
        </w:rPr>
      </w:pPr>
      <w:r>
        <w:rPr>
          <w:rStyle w:val="16"/>
          <w:rFonts w:hint="eastAsia" w:ascii="仿宋" w:hAnsi="仿宋" w:eastAsia="仿宋"/>
          <w:b/>
          <w:bCs w:val="0"/>
          <w:color w:val="auto"/>
          <w:sz w:val="32"/>
          <w:szCs w:val="32"/>
          <w:highlight w:val="none"/>
          <w:lang w:val="en-US" w:eastAsia="zh-CN"/>
        </w:rPr>
        <w:t>11.自然资源海洋气象等支出（类）自然资源事务（款）事业运行（项）2200150：</w:t>
      </w:r>
      <w:r>
        <w:rPr>
          <w:rStyle w:val="16"/>
          <w:rFonts w:hint="eastAsia" w:ascii="仿宋" w:hAnsi="仿宋" w:eastAsia="仿宋"/>
          <w:b w:val="0"/>
          <w:bCs/>
          <w:color w:val="auto"/>
          <w:sz w:val="32"/>
          <w:szCs w:val="32"/>
          <w:highlight w:val="none"/>
          <w:lang w:val="en-US" w:eastAsia="zh-CN"/>
        </w:rPr>
        <w:t>支出决算为105.01万元，完成预算100%。</w:t>
      </w:r>
    </w:p>
    <w:p>
      <w:pPr>
        <w:pStyle w:val="5"/>
        <w:ind w:firstLine="643" w:firstLineChars="200"/>
        <w:rPr>
          <w:rStyle w:val="16"/>
          <w:rFonts w:hint="eastAsia" w:ascii="仿宋" w:hAnsi="仿宋" w:eastAsia="仿宋"/>
          <w:b w:val="0"/>
          <w:bCs/>
          <w:color w:val="auto"/>
          <w:sz w:val="32"/>
          <w:szCs w:val="32"/>
          <w:highlight w:val="none"/>
          <w:lang w:val="en-US" w:eastAsia="zh-CN"/>
        </w:rPr>
      </w:pPr>
      <w:r>
        <w:rPr>
          <w:rStyle w:val="16"/>
          <w:rFonts w:hint="eastAsia" w:ascii="仿宋" w:hAnsi="仿宋" w:eastAsia="仿宋"/>
          <w:b/>
          <w:bCs w:val="0"/>
          <w:color w:val="auto"/>
          <w:sz w:val="32"/>
          <w:szCs w:val="32"/>
          <w:highlight w:val="none"/>
          <w:lang w:val="en-US" w:eastAsia="zh-CN"/>
        </w:rPr>
        <w:t>12.自然资源海洋气象等支出（类）自然资源事务（款）其他自然资源事务支出（项）2200199：</w:t>
      </w:r>
      <w:r>
        <w:rPr>
          <w:rStyle w:val="16"/>
          <w:rFonts w:hint="eastAsia" w:ascii="仿宋" w:hAnsi="仿宋" w:eastAsia="仿宋"/>
          <w:b w:val="0"/>
          <w:bCs/>
          <w:color w:val="auto"/>
          <w:sz w:val="32"/>
          <w:szCs w:val="32"/>
          <w:highlight w:val="none"/>
          <w:lang w:val="en-US" w:eastAsia="zh-CN"/>
        </w:rPr>
        <w:t>支出决算为210.47万元，完成预算100%。</w:t>
      </w:r>
    </w:p>
    <w:p>
      <w:pPr>
        <w:pStyle w:val="5"/>
        <w:ind w:firstLine="643" w:firstLineChars="200"/>
        <w:rPr>
          <w:rStyle w:val="16"/>
          <w:rFonts w:hint="eastAsia" w:ascii="仿宋" w:hAnsi="仿宋" w:eastAsia="仿宋"/>
          <w:b w:val="0"/>
          <w:bCs/>
          <w:color w:val="auto"/>
          <w:sz w:val="32"/>
          <w:szCs w:val="32"/>
          <w:highlight w:val="none"/>
          <w:lang w:val="en-US" w:eastAsia="zh-CN"/>
        </w:rPr>
      </w:pPr>
      <w:r>
        <w:rPr>
          <w:rStyle w:val="16"/>
          <w:rFonts w:hint="eastAsia" w:ascii="仿宋" w:hAnsi="仿宋" w:eastAsia="仿宋"/>
          <w:b/>
          <w:bCs w:val="0"/>
          <w:color w:val="auto"/>
          <w:sz w:val="32"/>
          <w:szCs w:val="32"/>
          <w:highlight w:val="none"/>
          <w:lang w:val="en-US" w:eastAsia="zh-CN"/>
        </w:rPr>
        <w:t>13.住房保障支出（类）住房改革支出（款）住房公积金（项）2210201：</w:t>
      </w:r>
      <w:r>
        <w:rPr>
          <w:rStyle w:val="16"/>
          <w:rFonts w:hint="eastAsia" w:ascii="仿宋" w:hAnsi="仿宋" w:eastAsia="仿宋"/>
          <w:b w:val="0"/>
          <w:bCs/>
          <w:color w:val="auto"/>
          <w:sz w:val="32"/>
          <w:szCs w:val="32"/>
          <w:highlight w:val="none"/>
          <w:lang w:val="en-US" w:eastAsia="zh-CN"/>
        </w:rPr>
        <w:t>支出决算为54.78万元，完成预算100%。</w:t>
      </w:r>
    </w:p>
    <w:p>
      <w:pPr>
        <w:pStyle w:val="5"/>
        <w:ind w:firstLine="643" w:firstLineChars="200"/>
        <w:rPr>
          <w:rFonts w:ascii="仿宋" w:hAnsi="仿宋" w:eastAsia="仿宋"/>
          <w:b/>
          <w:color w:val="auto"/>
          <w:sz w:val="32"/>
          <w:szCs w:val="32"/>
          <w:highlight w:val="none"/>
        </w:rPr>
      </w:pPr>
      <w:r>
        <w:rPr>
          <w:rStyle w:val="16"/>
          <w:rFonts w:hint="eastAsia" w:ascii="仿宋" w:hAnsi="仿宋" w:eastAsia="仿宋"/>
          <w:b/>
          <w:bCs w:val="0"/>
          <w:color w:val="auto"/>
          <w:sz w:val="32"/>
          <w:szCs w:val="32"/>
          <w:highlight w:val="none"/>
          <w:lang w:val="en-US" w:eastAsia="zh-CN"/>
        </w:rPr>
        <w:t>14.灾害防治及应急管理支出（类）自然灾害防治（款）地质灾害防治（项）2240601：</w:t>
      </w:r>
      <w:r>
        <w:rPr>
          <w:rStyle w:val="16"/>
          <w:rFonts w:hint="eastAsia" w:ascii="仿宋" w:hAnsi="仿宋" w:eastAsia="仿宋"/>
          <w:b w:val="0"/>
          <w:bCs/>
          <w:color w:val="auto"/>
          <w:sz w:val="32"/>
          <w:szCs w:val="32"/>
          <w:highlight w:val="none"/>
          <w:lang w:val="en-US" w:eastAsia="zh-CN"/>
        </w:rPr>
        <w:t>支出决算为2161.04万元，完成预算100%。</w:t>
      </w:r>
    </w:p>
    <w:p>
      <w:pPr>
        <w:tabs>
          <w:tab w:val="right" w:pos="8306"/>
        </w:tabs>
        <w:spacing w:line="600" w:lineRule="exact"/>
        <w:ind w:firstLine="640"/>
        <w:outlineLvl w:val="1"/>
        <w:rPr>
          <w:rStyle w:val="28"/>
          <w:color w:val="auto"/>
          <w:highlight w:val="none"/>
        </w:rPr>
      </w:pPr>
      <w:bookmarkStart w:id="51" w:name="_Toc15396608"/>
      <w:bookmarkStart w:id="52" w:name="_Toc15377214"/>
      <w:bookmarkStart w:id="53" w:name="_Toc11962"/>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8"/>
          <w:rFonts w:hint="eastAsia" w:ascii="黑体" w:hAnsi="黑体" w:eastAsia="黑体"/>
          <w:b w:val="0"/>
          <w:color w:val="auto"/>
          <w:highlight w:val="none"/>
        </w:rPr>
        <w:t>般公共预算财政拨款基本支出决算情况说明</w:t>
      </w:r>
      <w:bookmarkEnd w:id="51"/>
      <w:bookmarkEnd w:id="52"/>
      <w:bookmarkEnd w:id="53"/>
      <w:r>
        <w:rPr>
          <w:rStyle w:val="28"/>
          <w:rFonts w:ascii="黑体" w:hAnsi="黑体" w:eastAsia="黑体"/>
          <w:b w:val="0"/>
          <w:color w:val="auto"/>
          <w:highlight w:val="none"/>
        </w:rPr>
        <w:tab/>
      </w:r>
    </w:p>
    <w:p>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851.73</w:t>
      </w:r>
      <w:r>
        <w:rPr>
          <w:rFonts w:hint="eastAsia" w:ascii="仿宋" w:hAnsi="仿宋" w:eastAsia="仿宋"/>
          <w:color w:val="auto"/>
          <w:sz w:val="32"/>
          <w:szCs w:val="32"/>
          <w:highlight w:val="none"/>
        </w:rPr>
        <w:t>万元，其中：</w:t>
      </w:r>
    </w:p>
    <w:p>
      <w:pPr>
        <w:spacing w:line="600" w:lineRule="exact"/>
        <w:ind w:firstLine="645"/>
        <w:rPr>
          <w:rFonts w:ascii="仿宋" w:hAnsi="仿宋" w:eastAsia="仿宋"/>
          <w:b/>
          <w:color w:val="auto"/>
          <w:sz w:val="32"/>
          <w:szCs w:val="32"/>
          <w:highlight w:val="none"/>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790.36</w:t>
      </w:r>
      <w:r>
        <w:rPr>
          <w:rFonts w:hint="eastAsia" w:ascii="仿宋" w:hAnsi="仿宋" w:eastAsia="仿宋"/>
          <w:color w:val="auto"/>
          <w:sz w:val="32"/>
          <w:szCs w:val="32"/>
          <w:highlight w:val="none"/>
        </w:rPr>
        <w:t>万元，主要包括：基本工资、津贴补贴、奖金、绩效工资、机关事业单位基本养老保险缴费、职业年金缴费、</w:t>
      </w:r>
      <w:r>
        <w:rPr>
          <w:rFonts w:hint="eastAsia" w:ascii="仿宋" w:hAnsi="仿宋" w:eastAsia="仿宋"/>
          <w:color w:val="auto"/>
          <w:sz w:val="32"/>
          <w:szCs w:val="32"/>
          <w:highlight w:val="none"/>
          <w:lang w:val="en-US" w:eastAsia="zh-CN"/>
        </w:rPr>
        <w:t>职工基本医疗保险缴费、</w:t>
      </w:r>
      <w:r>
        <w:rPr>
          <w:rFonts w:hint="eastAsia" w:ascii="仿宋" w:hAnsi="仿宋" w:eastAsia="仿宋"/>
          <w:color w:val="auto"/>
          <w:sz w:val="32"/>
          <w:szCs w:val="32"/>
          <w:highlight w:val="none"/>
        </w:rPr>
        <w:t>其他社会保障缴费、其他工资福利支出、抚恤金、生活补助、奖励金、住房公积金。</w:t>
      </w:r>
      <w:r>
        <w:rPr>
          <w:rFonts w:ascii="仿宋" w:hAnsi="仿宋" w:eastAsia="仿宋"/>
          <w:color w:val="auto"/>
          <w:sz w:val="32"/>
          <w:szCs w:val="32"/>
          <w:highlight w:val="none"/>
        </w:rPr>
        <w:br w:type="textWrapping"/>
      </w:r>
      <w:r>
        <w:rPr>
          <w:rFonts w:hint="eastAsia" w:ascii="仿宋" w:hAnsi="仿宋" w:eastAsia="仿宋"/>
          <w:color w:val="auto"/>
          <w:sz w:val="32"/>
          <w:szCs w:val="32"/>
          <w:highlight w:val="none"/>
        </w:rPr>
        <w:t>　　公用经费</w:t>
      </w:r>
      <w:r>
        <w:rPr>
          <w:rFonts w:hint="eastAsia" w:ascii="仿宋" w:hAnsi="仿宋" w:eastAsia="仿宋"/>
          <w:color w:val="auto"/>
          <w:sz w:val="32"/>
          <w:szCs w:val="32"/>
          <w:highlight w:val="none"/>
          <w:lang w:val="en-US" w:eastAsia="zh-CN"/>
        </w:rPr>
        <w:t>61.37</w:t>
      </w:r>
      <w:r>
        <w:rPr>
          <w:rFonts w:hint="eastAsia" w:ascii="仿宋" w:hAnsi="仿宋" w:eastAsia="仿宋"/>
          <w:color w:val="auto"/>
          <w:sz w:val="32"/>
          <w:szCs w:val="32"/>
          <w:highlight w:val="none"/>
        </w:rPr>
        <w:t>万元，主要包括：办公费、印刷费、咨询费、手续费、水费、电费、邮电费、差旅费、会议费、培训费、公务接待费、劳务费、其他交通费。</w:t>
      </w:r>
    </w:p>
    <w:p>
      <w:pPr>
        <w:spacing w:line="600" w:lineRule="exact"/>
        <w:ind w:firstLine="640"/>
        <w:outlineLvl w:val="1"/>
        <w:rPr>
          <w:rStyle w:val="28"/>
          <w:rFonts w:ascii="黑体" w:hAnsi="黑体" w:eastAsia="黑体"/>
          <w:b w:val="0"/>
          <w:color w:val="auto"/>
          <w:highlight w:val="none"/>
        </w:rPr>
      </w:pPr>
      <w:bookmarkStart w:id="54" w:name="_Toc15396609"/>
      <w:bookmarkStart w:id="55" w:name="_Toc15377215"/>
      <w:bookmarkStart w:id="56" w:name="_Toc1202"/>
      <w:r>
        <w:rPr>
          <w:rFonts w:hint="eastAsia" w:ascii="黑体" w:eastAsia="黑体"/>
          <w:color w:val="auto"/>
          <w:sz w:val="32"/>
          <w:szCs w:val="32"/>
          <w:highlight w:val="none"/>
        </w:rPr>
        <w:t>七、</w:t>
      </w:r>
      <w:r>
        <w:rPr>
          <w:rStyle w:val="28"/>
          <w:rFonts w:hint="eastAsia" w:ascii="黑体" w:hAnsi="黑体" w:eastAsia="黑体"/>
          <w:b w:val="0"/>
          <w:color w:val="auto"/>
          <w:highlight w:val="none"/>
        </w:rPr>
        <w:t>财政拨款</w:t>
      </w:r>
      <w:r>
        <w:rPr>
          <w:rStyle w:val="28"/>
          <w:rFonts w:hint="eastAsia" w:ascii="黑体" w:hAnsi="黑体" w:eastAsia="黑体"/>
          <w:color w:val="auto"/>
          <w:highlight w:val="none"/>
        </w:rPr>
        <w:t>“</w:t>
      </w:r>
      <w:r>
        <w:rPr>
          <w:rStyle w:val="28"/>
          <w:rFonts w:hint="eastAsia" w:ascii="黑体" w:hAnsi="黑体" w:eastAsia="黑体"/>
          <w:b w:val="0"/>
          <w:color w:val="auto"/>
          <w:highlight w:val="none"/>
        </w:rPr>
        <w:t>三公”经费支出决算情况说明</w:t>
      </w:r>
      <w:bookmarkEnd w:id="54"/>
      <w:bookmarkEnd w:id="55"/>
      <w:bookmarkEnd w:id="56"/>
    </w:p>
    <w:p>
      <w:pPr>
        <w:spacing w:line="600" w:lineRule="exact"/>
        <w:ind w:firstLine="640"/>
        <w:outlineLvl w:val="2"/>
        <w:rPr>
          <w:rFonts w:ascii="仿宋" w:hAnsi="仿宋" w:eastAsia="仿宋"/>
          <w:b/>
          <w:color w:val="auto"/>
          <w:sz w:val="32"/>
          <w:szCs w:val="32"/>
          <w:highlight w:val="none"/>
        </w:rPr>
      </w:pPr>
      <w:bookmarkStart w:id="57" w:name="_Toc15377216"/>
      <w:bookmarkStart w:id="58" w:name="_Toc9988"/>
      <w:r>
        <w:rPr>
          <w:rFonts w:hint="eastAsia" w:ascii="仿宋" w:hAnsi="仿宋" w:eastAsia="仿宋"/>
          <w:b/>
          <w:color w:val="auto"/>
          <w:sz w:val="32"/>
          <w:szCs w:val="32"/>
          <w:highlight w:val="none"/>
        </w:rPr>
        <w:t>（一）“三公”经费财政拨款支出决算总体情况说明</w:t>
      </w:r>
      <w:bookmarkEnd w:id="57"/>
      <w:bookmarkEnd w:id="58"/>
    </w:p>
    <w:p>
      <w:pPr>
        <w:spacing w:line="600" w:lineRule="exact"/>
        <w:ind w:firstLine="64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7.4</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较上年</w:t>
      </w:r>
      <w:r>
        <w:rPr>
          <w:rFonts w:hint="eastAsia" w:ascii="仿宋" w:hAnsi="仿宋" w:eastAsia="仿宋"/>
          <w:color w:val="auto"/>
          <w:sz w:val="32"/>
          <w:szCs w:val="32"/>
          <w:highlight w:val="none"/>
          <w:lang w:val="en-US" w:eastAsia="zh-CN"/>
        </w:rPr>
        <w:t>减少0.01万元，下降0.1%。</w:t>
      </w:r>
      <w:r>
        <w:rPr>
          <w:rFonts w:hint="eastAsia" w:ascii="仿宋" w:hAnsi="仿宋" w:eastAsia="仿宋"/>
          <w:color w:val="auto"/>
          <w:sz w:val="32"/>
          <w:szCs w:val="32"/>
          <w:highlight w:val="none"/>
        </w:rPr>
        <w:t>决算数与预算数持平的主要原因是严格执行中央八项规定，压缩开支。</w:t>
      </w:r>
    </w:p>
    <w:p>
      <w:pPr>
        <w:spacing w:line="600" w:lineRule="exact"/>
        <w:ind w:firstLine="640"/>
        <w:outlineLvl w:val="2"/>
        <w:rPr>
          <w:rFonts w:ascii="仿宋" w:hAnsi="仿宋" w:eastAsia="仿宋"/>
          <w:b/>
          <w:color w:val="auto"/>
          <w:sz w:val="32"/>
          <w:szCs w:val="32"/>
          <w:highlight w:val="none"/>
        </w:rPr>
      </w:pPr>
      <w:bookmarkStart w:id="59" w:name="_Toc15377217"/>
      <w:bookmarkStart w:id="60" w:name="_Toc23244"/>
      <w:r>
        <w:rPr>
          <w:rFonts w:hint="eastAsia" w:ascii="仿宋" w:hAnsi="仿宋" w:eastAsia="仿宋"/>
          <w:b/>
          <w:color w:val="auto"/>
          <w:sz w:val="32"/>
          <w:szCs w:val="32"/>
          <w:highlight w:val="none"/>
        </w:rPr>
        <w:t>（二）“三公”经费财政拨款支出决算具体情况说明</w:t>
      </w:r>
      <w:bookmarkEnd w:id="59"/>
      <w:bookmarkEnd w:id="60"/>
    </w:p>
    <w:p>
      <w:pPr>
        <w:spacing w:line="600" w:lineRule="exact"/>
        <w:ind w:firstLine="640"/>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drawing>
          <wp:anchor distT="0" distB="0" distL="114300" distR="114300" simplePos="0" relativeHeight="251666432" behindDoc="0" locked="0" layoutInCell="1" allowOverlap="1">
            <wp:simplePos x="0" y="0"/>
            <wp:positionH relativeFrom="column">
              <wp:posOffset>583565</wp:posOffset>
            </wp:positionH>
            <wp:positionV relativeFrom="page">
              <wp:posOffset>3333115</wp:posOffset>
            </wp:positionV>
            <wp:extent cx="4177030" cy="2268855"/>
            <wp:effectExtent l="4445" t="4445" r="9525" b="12700"/>
            <wp:wrapTopAndBottom/>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7.4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spacing w:line="600" w:lineRule="exact"/>
        <w:ind w:firstLine="64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（图7：“三公”经费财政拨款支出结构）（饼状图）</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6"/>
          <w:rFonts w:hint="eastAsia" w:ascii="仿宋" w:hAnsi="仿宋" w:eastAsia="仿宋"/>
          <w:b w:val="0"/>
          <w:bCs/>
          <w:color w:val="auto"/>
          <w:sz w:val="32"/>
          <w:szCs w:val="32"/>
          <w:highlight w:val="none"/>
        </w:rPr>
        <w:t>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全年安排因公出国（境）团组</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次，出国（境</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人。因公出国（境）支出决算比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val="en-US" w:eastAsia="zh-CN"/>
        </w:rPr>
        <w:t>无</w:t>
      </w:r>
      <w:r>
        <w:rPr>
          <w:rFonts w:hint="eastAsia" w:ascii="仿宋_GB2312" w:eastAsia="仿宋_GB2312"/>
          <w:color w:val="auto"/>
          <w:sz w:val="32"/>
          <w:szCs w:val="32"/>
          <w:highlight w:val="none"/>
        </w:rPr>
        <w:t>。</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6"/>
          <w:rFonts w:hint="eastAsia" w:ascii="仿宋" w:hAnsi="仿宋" w:eastAsia="仿宋"/>
          <w:b w:val="0"/>
          <w:bCs/>
          <w:color w:val="auto"/>
          <w:sz w:val="32"/>
          <w:szCs w:val="32"/>
          <w:highlight w:val="none"/>
        </w:rPr>
        <w:t>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val="en-US" w:eastAsia="zh-CN"/>
        </w:rPr>
        <w:t>无</w:t>
      </w:r>
      <w:r>
        <w:rPr>
          <w:rFonts w:hint="eastAsia" w:ascii="仿宋_GB2312" w:eastAsia="仿宋_GB2312"/>
          <w:color w:val="auto"/>
          <w:sz w:val="32"/>
          <w:szCs w:val="32"/>
          <w:highlight w:val="none"/>
        </w:rPr>
        <w:t>。</w:t>
      </w:r>
    </w:p>
    <w:p>
      <w:pPr>
        <w:spacing w:line="600" w:lineRule="exact"/>
        <w:ind w:firstLine="640" w:firstLineChars="200"/>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p>
    <w:p>
      <w:pPr>
        <w:spacing w:line="600" w:lineRule="exact"/>
        <w:ind w:firstLine="640"/>
        <w:rPr>
          <w:rFonts w:hint="eastAsia"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0"/>
        <w:rPr>
          <w:rFonts w:hint="eastAsia" w:ascii="仿宋_GB2312" w:hAnsi="Times New Roman" w:eastAsia="仿宋_GB2312" w:cs="Times New Roman"/>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b/>
          <w:color w:val="auto"/>
          <w:sz w:val="32"/>
          <w:szCs w:val="32"/>
          <w:highlight w:val="none"/>
          <w:lang w:val="en-US" w:eastAsia="zh-CN"/>
        </w:rPr>
        <w:t>7.4</w:t>
      </w:r>
      <w:r>
        <w:rPr>
          <w:rFonts w:hint="eastAsia" w:ascii="仿宋_GB2312" w:eastAsia="仿宋_GB2312"/>
          <w:color w:val="auto"/>
          <w:sz w:val="32"/>
          <w:szCs w:val="32"/>
          <w:highlight w:val="none"/>
        </w:rPr>
        <w:t>万元，</w:t>
      </w:r>
      <w:r>
        <w:rPr>
          <w:rStyle w:val="16"/>
          <w:rFonts w:hint="eastAsia" w:ascii="仿宋" w:hAnsi="仿宋" w:eastAsia="仿宋"/>
          <w:b w:val="0"/>
          <w:bCs/>
          <w:color w:val="auto"/>
          <w:sz w:val="32"/>
          <w:szCs w:val="32"/>
          <w:highlight w:val="none"/>
        </w:rPr>
        <w:t>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0.01</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0.1</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hAnsi="Times New Roman" w:eastAsia="仿宋_GB2312" w:cs="Times New Roman"/>
          <w:color w:val="auto"/>
          <w:sz w:val="32"/>
          <w:szCs w:val="32"/>
          <w:highlight w:val="none"/>
        </w:rPr>
        <w:t>严格执行中央八项规定，压缩开支。</w:t>
      </w:r>
      <w:r>
        <w:rPr>
          <w:rFonts w:hint="eastAsia" w:ascii="仿宋_GB2312" w:eastAsia="仿宋_GB2312"/>
          <w:color w:val="auto"/>
          <w:sz w:val="32"/>
          <w:szCs w:val="32"/>
          <w:highlight w:val="none"/>
        </w:rPr>
        <w:t>其中：</w:t>
      </w:r>
    </w:p>
    <w:p>
      <w:pPr>
        <w:spacing w:line="600" w:lineRule="exact"/>
        <w:ind w:firstLine="640"/>
        <w:rPr>
          <w:rFonts w:hint="default" w:ascii="仿宋_GB2312" w:eastAsia="仿宋_GB2312"/>
          <w:color w:val="auto"/>
          <w:sz w:val="32"/>
          <w:szCs w:val="32"/>
          <w:highlight w:val="none"/>
          <w:lang w:val="en-US" w:eastAsia="zh-CN"/>
        </w:rPr>
      </w:pPr>
      <w:r>
        <w:rPr>
          <w:rFonts w:hint="eastAsia" w:ascii="仿宋_GB2312" w:hAnsi="Times New Roman" w:eastAsia="仿宋_GB2312" w:cs="Times New Roman"/>
          <w:color w:val="auto"/>
          <w:sz w:val="32"/>
          <w:szCs w:val="32"/>
          <w:highlight w:val="none"/>
        </w:rPr>
        <w:t>国内公务接待支出</w:t>
      </w:r>
      <w:r>
        <w:rPr>
          <w:rFonts w:hint="eastAsia" w:ascii="仿宋_GB2312" w:hAnsi="Times New Roman" w:eastAsia="仿宋_GB2312" w:cs="Times New Roman"/>
          <w:color w:val="auto"/>
          <w:sz w:val="32"/>
          <w:szCs w:val="32"/>
          <w:highlight w:val="none"/>
          <w:lang w:val="en-US" w:eastAsia="zh-CN"/>
        </w:rPr>
        <w:t>7.4</w:t>
      </w:r>
      <w:r>
        <w:rPr>
          <w:rFonts w:hint="eastAsia" w:ascii="仿宋_GB2312" w:hAnsi="Times New Roman" w:eastAsia="仿宋_GB2312" w:cs="Times New Roman"/>
          <w:color w:val="auto"/>
          <w:sz w:val="32"/>
          <w:szCs w:val="32"/>
          <w:highlight w:val="none"/>
        </w:rPr>
        <w:t>万元，主要用于执行公务、开展业务活动开支的住宿费、用餐费等。</w:t>
      </w:r>
      <w:r>
        <w:rPr>
          <w:rFonts w:hint="eastAsia" w:ascii="仿宋_GB2312" w:eastAsia="仿宋_GB2312"/>
          <w:color w:val="auto"/>
          <w:sz w:val="32"/>
          <w:szCs w:val="32"/>
          <w:highlight w:val="none"/>
        </w:rPr>
        <w:t>国内公务接待</w:t>
      </w:r>
      <w:r>
        <w:rPr>
          <w:rFonts w:hint="eastAsia" w:ascii="仿宋_GB2312" w:eastAsia="仿宋_GB2312"/>
          <w:color w:val="auto"/>
          <w:sz w:val="32"/>
          <w:szCs w:val="32"/>
          <w:highlight w:val="none"/>
          <w:lang w:val="en-US" w:eastAsia="zh-CN"/>
        </w:rPr>
        <w:t>120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1235</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7.4</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具体内容包括：</w:t>
      </w:r>
      <w:r>
        <w:rPr>
          <w:rFonts w:hint="eastAsia" w:ascii="仿宋_GB2312" w:eastAsia="仿宋_GB2312"/>
          <w:color w:val="auto"/>
          <w:sz w:val="32"/>
          <w:szCs w:val="32"/>
          <w:highlight w:val="none"/>
          <w:lang w:val="en-US" w:eastAsia="zh-CN"/>
        </w:rPr>
        <w:t>市局用途管制科对接工作2800元（接待7批次42人次）；市地籍地政事务中心对接工作5050元（接待11批次79人次）；市局空间规划科对接工作3876元（接待8批次59人次）；市局办公室对接工作7436元（接待13批次120人次）；市地环站对接工作16390元（接待21批次282人次）；市不动产登记中心对接工作5000元（接待10批次80人次）；市财务科对接工作900元（接待2批次13人次）；市局机关党办对接工作1650元（接待3批次27人次）；市执法大队对接工作4600元（接待10批次74人次）；市生态修复科对接工作2770元（接待5批次46人次）；利州局对接工作2340元（接待4批次39人次）；剑阁局对接工作1020元（接待2批次16人次）；旺苍局对接工作540元（接待1批次8人次）；苍溪局对接工作1200元（接待2批次18人次）；市局开展调研及督导检查等工作15248元（接待17批次280人次）；省厅确权登记局局长调研工作840元（接待1批次14人次）；省厅第二督导组督导调研工作1440元（接待2批次23人次）；省厅行政审批处调研工作900元（接待1批次15人次）。</w:t>
      </w:r>
    </w:p>
    <w:p>
      <w:pPr>
        <w:spacing w:line="600" w:lineRule="exact"/>
        <w:ind w:firstLine="643" w:firstLineChars="200"/>
        <w:rPr>
          <w:rFonts w:ascii="黑体" w:eastAsia="黑体"/>
          <w:color w:val="auto"/>
          <w:sz w:val="32"/>
          <w:szCs w:val="32"/>
          <w:highlight w:val="none"/>
        </w:rPr>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bookmarkStart w:id="61" w:name="_Toc15377218"/>
      <w:bookmarkStart w:id="62" w:name="_Toc15396610"/>
    </w:p>
    <w:p>
      <w:pPr>
        <w:spacing w:line="600" w:lineRule="exact"/>
        <w:ind w:firstLine="640"/>
        <w:outlineLvl w:val="1"/>
        <w:rPr>
          <w:rStyle w:val="28"/>
          <w:rFonts w:ascii="黑体" w:hAnsi="黑体" w:eastAsia="黑体"/>
          <w:color w:val="auto"/>
          <w:highlight w:val="none"/>
        </w:rPr>
      </w:pPr>
      <w:bookmarkStart w:id="63" w:name="_Toc6377"/>
      <w:r>
        <w:rPr>
          <w:rFonts w:hint="eastAsia" w:ascii="黑体" w:eastAsia="黑体"/>
          <w:color w:val="auto"/>
          <w:sz w:val="32"/>
          <w:szCs w:val="32"/>
          <w:highlight w:val="none"/>
        </w:rPr>
        <w:t>八、</w:t>
      </w:r>
      <w:r>
        <w:rPr>
          <w:rStyle w:val="28"/>
          <w:rFonts w:hint="eastAsia" w:ascii="黑体" w:hAnsi="黑体" w:eastAsia="黑体"/>
          <w:b w:val="0"/>
          <w:color w:val="auto"/>
          <w:highlight w:val="none"/>
        </w:rPr>
        <w:t>政府性基金预算支出决算情况说明</w:t>
      </w:r>
      <w:bookmarkEnd w:id="61"/>
      <w:bookmarkEnd w:id="62"/>
      <w:bookmarkEnd w:id="63"/>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3880.68</w:t>
      </w:r>
      <w:r>
        <w:rPr>
          <w:rFonts w:hint="eastAsia" w:ascii="仿宋_GB2312" w:eastAsia="仿宋_GB2312"/>
          <w:color w:val="auto"/>
          <w:sz w:val="32"/>
          <w:szCs w:val="32"/>
          <w:highlight w:val="none"/>
        </w:rPr>
        <w:t>万元。</w:t>
      </w:r>
    </w:p>
    <w:p>
      <w:pPr>
        <w:numPr>
          <w:ilvl w:val="0"/>
          <w:numId w:val="3"/>
        </w:numPr>
        <w:spacing w:line="600" w:lineRule="exact"/>
        <w:ind w:firstLine="640"/>
        <w:outlineLvl w:val="1"/>
        <w:rPr>
          <w:rStyle w:val="28"/>
          <w:rFonts w:ascii="黑体" w:hAnsi="黑体" w:eastAsia="黑体"/>
          <w:b w:val="0"/>
          <w:color w:val="auto"/>
          <w:highlight w:val="none"/>
        </w:rPr>
      </w:pPr>
      <w:bookmarkStart w:id="64" w:name="_Toc15377219"/>
      <w:bookmarkStart w:id="65" w:name="_Toc15396611"/>
      <w:bookmarkStart w:id="66" w:name="_Toc5413"/>
      <w:r>
        <w:rPr>
          <w:rStyle w:val="28"/>
          <w:rFonts w:hint="eastAsia" w:ascii="黑体" w:hAnsi="黑体" w:eastAsia="黑体"/>
          <w:b w:val="0"/>
          <w:color w:val="auto"/>
          <w:highlight w:val="none"/>
        </w:rPr>
        <w:t>国有资本经营预算支出决算情况说明</w:t>
      </w:r>
      <w:bookmarkEnd w:id="64"/>
      <w:bookmarkEnd w:id="65"/>
      <w:bookmarkEnd w:id="66"/>
    </w:p>
    <w:p>
      <w:pPr>
        <w:spacing w:line="600" w:lineRule="exact"/>
        <w:ind w:firstLine="640"/>
        <w:rPr>
          <w:rFonts w:ascii="方正小标宋简体" w:hAnsi="方正小标宋简体" w:eastAsia="方正小标宋简体" w:cs="方正小标宋简体"/>
          <w:color w:val="auto"/>
          <w:sz w:val="44"/>
          <w:szCs w:val="44"/>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3"/>
        </w:numPr>
        <w:spacing w:line="600" w:lineRule="exact"/>
        <w:ind w:firstLine="640"/>
        <w:outlineLvl w:val="1"/>
        <w:rPr>
          <w:rStyle w:val="28"/>
          <w:rFonts w:hint="eastAsia" w:ascii="黑体" w:hAnsi="黑体" w:eastAsia="黑体"/>
          <w:b w:val="0"/>
          <w:color w:val="auto"/>
          <w:highlight w:val="none"/>
        </w:rPr>
      </w:pPr>
      <w:bookmarkStart w:id="67" w:name="_Toc15377221"/>
      <w:bookmarkStart w:id="68" w:name="_Toc15396612"/>
      <w:bookmarkStart w:id="69" w:name="_Toc29671"/>
      <w:r>
        <w:rPr>
          <w:rStyle w:val="28"/>
          <w:rFonts w:hint="eastAsia" w:ascii="黑体" w:hAnsi="黑体" w:eastAsia="黑体"/>
          <w:b w:val="0"/>
          <w:color w:val="auto"/>
          <w:highlight w:val="none"/>
        </w:rPr>
        <w:t>其他重要事项的情况说明</w:t>
      </w:r>
      <w:bookmarkEnd w:id="67"/>
      <w:bookmarkEnd w:id="68"/>
      <w:bookmarkEnd w:id="69"/>
    </w:p>
    <w:p>
      <w:pPr>
        <w:spacing w:line="600" w:lineRule="exact"/>
        <w:ind w:firstLine="643" w:firstLineChars="200"/>
        <w:outlineLvl w:val="2"/>
        <w:rPr>
          <w:rFonts w:ascii="仿宋" w:hAnsi="仿宋" w:eastAsia="仿宋"/>
          <w:color w:val="auto"/>
          <w:sz w:val="32"/>
          <w:szCs w:val="32"/>
          <w:highlight w:val="none"/>
        </w:rPr>
      </w:pPr>
      <w:bookmarkStart w:id="70" w:name="_Toc15377222"/>
      <w:bookmarkStart w:id="71" w:name="_Toc14261"/>
      <w:r>
        <w:rPr>
          <w:rFonts w:hint="eastAsia" w:ascii="仿宋" w:hAnsi="仿宋" w:eastAsia="仿宋"/>
          <w:b/>
          <w:color w:val="auto"/>
          <w:sz w:val="32"/>
          <w:szCs w:val="32"/>
          <w:highlight w:val="none"/>
        </w:rPr>
        <w:t>（一）机关运行经费支出情况</w:t>
      </w:r>
      <w:bookmarkEnd w:id="70"/>
      <w:bookmarkEnd w:id="71"/>
    </w:p>
    <w:p>
      <w:pPr>
        <w:spacing w:line="560" w:lineRule="exact"/>
        <w:ind w:firstLine="640" w:firstLineChars="200"/>
        <w:rPr>
          <w:rFonts w:hint="eastAsia" w:ascii="仿宋_GB2312" w:hAnsi="Times New Roman" w:eastAsia="仿宋_GB2312" w:cs="Times New Roman"/>
          <w:color w:val="auto"/>
          <w:sz w:val="32"/>
          <w:szCs w:val="32"/>
          <w:highlight w:val="none"/>
          <w:lang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广元市自然资源局朝天区分局</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61.37</w:t>
      </w:r>
      <w:r>
        <w:rPr>
          <w:rFonts w:hint="eastAsia" w:ascii="仿宋_GB2312" w:eastAsia="仿宋_GB2312"/>
          <w:color w:val="auto"/>
          <w:sz w:val="32"/>
          <w:szCs w:val="32"/>
          <w:highlight w:val="none"/>
        </w:rPr>
        <w:t>万元，比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2.36</w:t>
      </w:r>
      <w:r>
        <w:rPr>
          <w:rFonts w:hint="eastAsia" w:ascii="仿宋_GB2312" w:hAnsi="Times New Roman" w:eastAsia="仿宋_GB2312" w:cs="Times New Roman"/>
          <w:color w:val="auto"/>
          <w:sz w:val="32"/>
          <w:szCs w:val="32"/>
          <w:highlight w:val="none"/>
        </w:rPr>
        <w:t>万元，下降</w:t>
      </w:r>
      <w:r>
        <w:rPr>
          <w:rFonts w:hint="eastAsia" w:ascii="仿宋_GB2312" w:hAnsi="Times New Roman" w:eastAsia="仿宋_GB2312" w:cs="Times New Roman"/>
          <w:color w:val="auto"/>
          <w:sz w:val="32"/>
          <w:szCs w:val="32"/>
          <w:highlight w:val="none"/>
          <w:lang w:val="en-US" w:eastAsia="zh-CN"/>
        </w:rPr>
        <w:t>3.7</w:t>
      </w:r>
      <w:r>
        <w:rPr>
          <w:rFonts w:hint="eastAsia" w:ascii="仿宋_GB2312" w:hAnsi="Times New Roman" w:eastAsia="仿宋_GB2312" w:cs="Times New Roman"/>
          <w:color w:val="auto"/>
          <w:sz w:val="32"/>
          <w:szCs w:val="32"/>
          <w:highlight w:val="none"/>
        </w:rPr>
        <w:t>%。主要原因是严格执行相关规定，压缩开支。</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72" w:name="_Toc15377223"/>
      <w:bookmarkStart w:id="73" w:name="_Toc31934"/>
      <w:r>
        <w:rPr>
          <w:rFonts w:hint="eastAsia" w:ascii="仿宋" w:hAnsi="仿宋" w:eastAsia="仿宋"/>
          <w:b/>
          <w:color w:val="auto"/>
          <w:sz w:val="32"/>
          <w:szCs w:val="32"/>
          <w:highlight w:val="none"/>
        </w:rPr>
        <w:t>（二）政府采购支出情况</w:t>
      </w:r>
      <w:bookmarkEnd w:id="72"/>
      <w:bookmarkEnd w:id="73"/>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广元市自然资源局朝天区分局</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万元，其中：政府采购货物支出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万元、政府采购工程支出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万元、政府采购服务支出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万元。授予中小企业合同金额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，其中：授予小微企业合同金额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74" w:name="_Toc15377224"/>
      <w:bookmarkStart w:id="75" w:name="_Toc10809"/>
      <w:r>
        <w:rPr>
          <w:rFonts w:hint="eastAsia" w:ascii="仿宋" w:hAnsi="仿宋" w:eastAsia="仿宋"/>
          <w:b/>
          <w:color w:val="auto"/>
          <w:sz w:val="32"/>
          <w:szCs w:val="32"/>
          <w:highlight w:val="none"/>
        </w:rPr>
        <w:t>（三）国有资产占有使用情况</w:t>
      </w:r>
      <w:bookmarkEnd w:id="74"/>
      <w:bookmarkEnd w:id="75"/>
    </w:p>
    <w:p>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val="en-US" w:eastAsia="zh-CN"/>
        </w:rPr>
        <w:t>广元市自然资源局朝天区分局</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76" w:name="_Toc25138"/>
      <w:r>
        <w:rPr>
          <w:rFonts w:hint="eastAsia" w:ascii="仿宋" w:hAnsi="仿宋" w:eastAsia="仿宋"/>
          <w:b/>
          <w:color w:val="auto"/>
          <w:sz w:val="32"/>
          <w:szCs w:val="32"/>
          <w:highlight w:val="none"/>
        </w:rPr>
        <w:t>（四）预算绩效管理情况</w:t>
      </w:r>
      <w:bookmarkEnd w:id="76"/>
    </w:p>
    <w:p>
      <w:pPr>
        <w:widowControl/>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根据预算绩效管理要求，本部门在202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年度预算编制阶段，组织对</w:t>
      </w:r>
      <w:r>
        <w:rPr>
          <w:rFonts w:hint="eastAsia" w:ascii="仿宋_GB2312" w:hAnsi="仿宋_GB2312" w:eastAsia="仿宋_GB2312" w:cs="仿宋_GB2312"/>
          <w:color w:val="auto"/>
          <w:sz w:val="32"/>
          <w:szCs w:val="32"/>
          <w:highlight w:val="none"/>
          <w:lang w:val="en-US" w:eastAsia="zh-CN"/>
        </w:rPr>
        <w:t>土地报征</w:t>
      </w:r>
      <w:r>
        <w:rPr>
          <w:rFonts w:hint="eastAsia" w:ascii="仿宋_GB2312" w:hAnsi="仿宋_GB2312" w:eastAsia="仿宋_GB2312" w:cs="仿宋_GB2312"/>
          <w:color w:val="auto"/>
          <w:sz w:val="32"/>
          <w:szCs w:val="32"/>
          <w:highlight w:val="none"/>
        </w:rPr>
        <w:t>项目等</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个项目开展了预算事前绩效评估，对</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个项目编制了绩效目标，预算执行过程中，选取</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个项目开展绩效监控。</w:t>
      </w:r>
    </w:p>
    <w:p>
      <w:pPr>
        <w:keepNext w:val="0"/>
        <w:keepLines w:val="0"/>
        <w:pageBreakBefore w:val="0"/>
        <w:widowControl/>
        <w:numPr>
          <w:ilvl w:val="0"/>
          <w:numId w:val="0"/>
        </w:numPr>
        <w:kinsoku/>
        <w:wordWrap/>
        <w:overflowPunct/>
        <w:topLinePunct w:val="0"/>
        <w:autoSpaceDE w:val="0"/>
        <w:autoSpaceDN/>
        <w:bidi w:val="0"/>
        <w:adjustRightInd w:val="0"/>
        <w:snapToGrid w:val="0"/>
        <w:spacing w:line="500" w:lineRule="exact"/>
        <w:ind w:left="0" w:leftChars="0" w:firstLine="640" w:firstLineChars="200"/>
        <w:contextualSpacing/>
        <w:jc w:val="left"/>
        <w:textAlignment w:val="auto"/>
        <w:rPr>
          <w:rFonts w:ascii="仿宋_GB2312" w:eastAsia="仿宋_GB2312"/>
          <w:b/>
          <w:color w:val="auto"/>
          <w:sz w:val="32"/>
          <w:szCs w:val="32"/>
          <w:highlight w:val="none"/>
        </w:rPr>
      </w:pPr>
      <w:r>
        <w:rPr>
          <w:rFonts w:hint="eastAsia" w:ascii="仿宋_GB2312" w:hAnsi="仿宋_GB2312" w:eastAsia="仿宋_GB2312" w:cs="仿宋_GB2312"/>
          <w:color w:val="auto"/>
          <w:sz w:val="32"/>
          <w:szCs w:val="32"/>
          <w:highlight w:val="none"/>
        </w:rPr>
        <w:t>组织对2022年度一般公共预算、政府性基金预算、国有资本经营预算、社会保险基金预算以及资本资产、债券资金等全面开展绩效自评，形成</w:t>
      </w:r>
      <w:r>
        <w:rPr>
          <w:rFonts w:hint="eastAsia" w:ascii="仿宋_GB2312" w:hAnsi="仿宋_GB2312" w:eastAsia="仿宋_GB2312" w:cs="仿宋_GB2312"/>
          <w:color w:val="auto"/>
          <w:sz w:val="32"/>
          <w:szCs w:val="32"/>
          <w:highlight w:val="none"/>
          <w:lang w:val="en-US" w:eastAsia="zh-CN"/>
        </w:rPr>
        <w:t>广元市自然资源局朝天区分局</w:t>
      </w:r>
      <w:r>
        <w:rPr>
          <w:rFonts w:hint="eastAsia" w:ascii="仿宋_GB2312" w:hAnsi="仿宋_GB2312" w:eastAsia="仿宋_GB2312" w:cs="仿宋_GB2312"/>
          <w:color w:val="auto"/>
          <w:sz w:val="32"/>
          <w:szCs w:val="32"/>
          <w:highlight w:val="none"/>
        </w:rPr>
        <w:t>部门整体绩效自评报告、2022年第一批中央地质灾害防治补助资金</w:t>
      </w:r>
      <w:r>
        <w:rPr>
          <w:rFonts w:hint="eastAsia" w:ascii="仿宋_GB2312" w:hAnsi="仿宋_GB2312" w:eastAsia="仿宋_GB2312" w:cs="仿宋_GB2312"/>
          <w:color w:val="auto"/>
          <w:sz w:val="32"/>
          <w:szCs w:val="32"/>
          <w:highlight w:val="none"/>
          <w:lang w:val="en-US" w:eastAsia="zh-CN"/>
        </w:rPr>
        <w:t>和</w:t>
      </w:r>
      <w:r>
        <w:rPr>
          <w:rFonts w:hint="eastAsia" w:ascii="仿宋_GB2312" w:hAnsi="仿宋_GB2312" w:eastAsia="仿宋_GB2312" w:cs="仿宋_GB2312"/>
          <w:color w:val="auto"/>
          <w:sz w:val="32"/>
          <w:szCs w:val="32"/>
          <w:highlight w:val="none"/>
          <w:lang w:eastAsia="zh-CN"/>
        </w:rPr>
        <w:t>2022年第三批地质灾害防治补助资金(省级)</w:t>
      </w:r>
      <w:r>
        <w:rPr>
          <w:rFonts w:hint="eastAsia" w:ascii="仿宋_GB2312" w:hAnsi="仿宋_GB2312" w:eastAsia="仿宋_GB2312" w:cs="仿宋_GB2312"/>
          <w:color w:val="auto"/>
          <w:sz w:val="32"/>
          <w:szCs w:val="32"/>
          <w:highlight w:val="none"/>
        </w:rPr>
        <w:t>专项预算项目绩效自评报告，其中，</w:t>
      </w:r>
      <w:r>
        <w:rPr>
          <w:rFonts w:hint="eastAsia" w:ascii="仿宋_GB2312" w:hAnsi="仿宋_GB2312" w:eastAsia="仿宋_GB2312" w:cs="仿宋_GB2312"/>
          <w:color w:val="auto"/>
          <w:sz w:val="32"/>
          <w:szCs w:val="32"/>
          <w:highlight w:val="none"/>
          <w:lang w:val="en-US" w:eastAsia="zh-CN"/>
        </w:rPr>
        <w:t>广元市自然资源局朝天区分局</w:t>
      </w:r>
      <w:r>
        <w:rPr>
          <w:rFonts w:hint="eastAsia" w:ascii="仿宋_GB2312" w:hAnsi="仿宋_GB2312" w:eastAsia="仿宋_GB2312" w:cs="仿宋_GB2312"/>
          <w:color w:val="auto"/>
          <w:sz w:val="32"/>
          <w:szCs w:val="32"/>
          <w:highlight w:val="none"/>
        </w:rPr>
        <w:t>部门整体绩效自评得分为</w:t>
      </w:r>
      <w:r>
        <w:rPr>
          <w:rFonts w:hint="eastAsia" w:ascii="仿宋_GB2312" w:hAnsi="仿宋_GB2312" w:eastAsia="仿宋_GB2312" w:cs="仿宋_GB2312"/>
          <w:color w:val="auto"/>
          <w:sz w:val="32"/>
          <w:szCs w:val="32"/>
          <w:highlight w:val="none"/>
          <w:lang w:val="en-US" w:eastAsia="zh-CN"/>
        </w:rPr>
        <w:t>97.56</w:t>
      </w:r>
      <w:r>
        <w:rPr>
          <w:rFonts w:hint="eastAsia" w:ascii="仿宋_GB2312" w:hAnsi="仿宋_GB2312" w:eastAsia="仿宋_GB2312" w:cs="仿宋_GB2312"/>
          <w:color w:val="auto"/>
          <w:sz w:val="32"/>
          <w:szCs w:val="32"/>
          <w:highlight w:val="none"/>
        </w:rPr>
        <w:t>分，绩效自评综述：</w:t>
      </w:r>
      <w:r>
        <w:rPr>
          <w:rFonts w:hint="eastAsia" w:ascii="Arial Narrow" w:hAnsi="Arial Narrow" w:eastAsia="仿宋"/>
          <w:color w:val="auto"/>
          <w:sz w:val="32"/>
          <w:highlight w:val="none"/>
        </w:rPr>
        <w:t>广元市自然资源局朝天区分</w:t>
      </w:r>
      <w:r>
        <w:rPr>
          <w:rFonts w:hint="eastAsia" w:ascii="仿宋_GB2312" w:hAnsi="仿宋_GB2312" w:eastAsia="仿宋_GB2312" w:cs="仿宋_GB2312"/>
          <w:color w:val="auto"/>
          <w:sz w:val="32"/>
          <w:szCs w:val="32"/>
          <w:highlight w:val="none"/>
        </w:rPr>
        <w:t>局202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w:t>
      </w:r>
      <w:r>
        <w:rPr>
          <w:rFonts w:hint="eastAsia" w:ascii="Arial Narrow" w:hAnsi="Arial Narrow" w:eastAsia="仿宋"/>
          <w:color w:val="auto"/>
          <w:sz w:val="32"/>
          <w:highlight w:val="none"/>
        </w:rPr>
        <w:t>部门支出较规范、合理，符合财政预算资金的相关制度和办法。部门制度建立健全且执行情况良好，较好的履行了部门基本职能，完成了年度重点任务工作</w:t>
      </w:r>
      <w:r>
        <w:rPr>
          <w:rFonts w:hint="eastAsia" w:ascii="仿宋_GB2312" w:hAnsi="仿宋_GB2312" w:eastAsia="仿宋_GB2312" w:cs="仿宋_GB2312"/>
          <w:color w:val="auto"/>
          <w:sz w:val="32"/>
          <w:szCs w:val="32"/>
          <w:highlight w:val="none"/>
        </w:rPr>
        <w:t>；2022年第一批中央地质灾害防治补助资金</w:t>
      </w:r>
      <w:r>
        <w:rPr>
          <w:rFonts w:hint="eastAsia" w:ascii="仿宋_GB2312" w:hAnsi="仿宋_GB2312" w:eastAsia="仿宋_GB2312" w:cs="仿宋_GB2312"/>
          <w:color w:val="auto"/>
          <w:sz w:val="32"/>
          <w:szCs w:val="32"/>
          <w:highlight w:val="none"/>
          <w:lang w:val="en-US" w:eastAsia="zh-CN"/>
        </w:rPr>
        <w:t>和</w:t>
      </w:r>
      <w:r>
        <w:rPr>
          <w:rFonts w:hint="eastAsia" w:ascii="仿宋_GB2312" w:hAnsi="仿宋_GB2312" w:eastAsia="仿宋_GB2312" w:cs="仿宋_GB2312"/>
          <w:color w:val="auto"/>
          <w:sz w:val="32"/>
          <w:szCs w:val="32"/>
          <w:highlight w:val="none"/>
          <w:lang w:eastAsia="zh-CN"/>
        </w:rPr>
        <w:t>2022年第三批地质灾害防治补助资金(省级)</w:t>
      </w:r>
      <w:r>
        <w:rPr>
          <w:rFonts w:hint="eastAsia" w:ascii="仿宋_GB2312" w:hAnsi="仿宋_GB2312" w:eastAsia="仿宋_GB2312" w:cs="仿宋_GB2312"/>
          <w:color w:val="auto"/>
          <w:sz w:val="32"/>
          <w:szCs w:val="32"/>
          <w:highlight w:val="none"/>
        </w:rPr>
        <w:t>专项预算项目绩效自评得分为</w:t>
      </w:r>
      <w:r>
        <w:rPr>
          <w:rFonts w:hint="eastAsia" w:ascii="仿宋_GB2312" w:hAnsi="仿宋_GB2312" w:eastAsia="仿宋_GB2312" w:cs="仿宋_GB2312"/>
          <w:color w:val="auto"/>
          <w:sz w:val="32"/>
          <w:szCs w:val="32"/>
          <w:highlight w:val="none"/>
          <w:lang w:val="en-US" w:eastAsia="zh-CN"/>
        </w:rPr>
        <w:t>96</w:t>
      </w:r>
      <w:r>
        <w:rPr>
          <w:rFonts w:hint="eastAsia" w:ascii="仿宋_GB2312" w:hAnsi="仿宋_GB2312" w:eastAsia="仿宋_GB2312" w:cs="仿宋_GB2312"/>
          <w:color w:val="auto"/>
          <w:sz w:val="32"/>
          <w:szCs w:val="32"/>
          <w:highlight w:val="none"/>
        </w:rPr>
        <w:t>分，绩效自评综述：</w:t>
      </w:r>
      <w:r>
        <w:rPr>
          <w:rFonts w:hint="eastAsia" w:ascii="仿宋_GB2312" w:hAnsi="仿宋_GB2312" w:eastAsia="仿宋_GB2312" w:cs="仿宋_GB2312"/>
          <w:color w:val="auto"/>
          <w:sz w:val="32"/>
          <w:szCs w:val="32"/>
          <w:lang w:eastAsia="zh-CN"/>
        </w:rPr>
        <w:t>地灾项目的实施和</w:t>
      </w:r>
      <w:r>
        <w:rPr>
          <w:rFonts w:hint="eastAsia" w:ascii="仿宋_GB2312" w:hAnsi="仿宋_GB2312" w:eastAsia="仿宋_GB2312" w:cs="仿宋_GB2312"/>
          <w:color w:val="auto"/>
          <w:sz w:val="32"/>
          <w:szCs w:val="32"/>
          <w:lang w:val="en-US" w:eastAsia="zh-CN"/>
        </w:rPr>
        <w:t>管理规范，流程符合规定，按照要求提前完成项目建设内容，超额完成项目绩效指标。</w:t>
      </w:r>
      <w:r>
        <w:rPr>
          <w:rFonts w:hint="eastAsia" w:ascii="仿宋_GB2312" w:hAnsi="仿宋_GB2312" w:eastAsia="仿宋_GB2312" w:cs="仿宋_GB2312"/>
          <w:color w:val="auto"/>
          <w:sz w:val="32"/>
          <w:szCs w:val="32"/>
        </w:rPr>
        <w:t>由于区财政紧张，部分项目实施后，资金没有及时拨付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项目总体绩效评价好</w:t>
      </w:r>
      <w:r>
        <w:rPr>
          <w:rFonts w:hint="eastAsia" w:ascii="仿宋_GB2312" w:hAnsi="仿宋_GB2312" w:eastAsia="仿宋_GB2312" w:cs="仿宋_GB2312"/>
          <w:color w:val="auto"/>
          <w:sz w:val="32"/>
          <w:szCs w:val="32"/>
          <w:highlight w:val="none"/>
        </w:rPr>
        <w:t>。绩效自评报告详见附件。</w:t>
      </w:r>
      <w:r>
        <w:rPr>
          <w:rFonts w:ascii="仿宋_GB2312" w:eastAsia="仿宋_GB2312"/>
          <w:b/>
          <w:color w:val="auto"/>
          <w:sz w:val="32"/>
          <w:szCs w:val="32"/>
          <w:highlight w:val="none"/>
        </w:rPr>
        <w:br w:type="page"/>
      </w:r>
    </w:p>
    <w:p>
      <w:pPr>
        <w:numPr>
          <w:ilvl w:val="0"/>
          <w:numId w:val="4"/>
        </w:numPr>
        <w:spacing w:line="600" w:lineRule="exact"/>
        <w:ind w:firstLine="660" w:firstLineChars="150"/>
        <w:jc w:val="center"/>
        <w:outlineLvl w:val="0"/>
        <w:rPr>
          <w:rStyle w:val="27"/>
          <w:rFonts w:ascii="黑体" w:hAnsi="黑体" w:eastAsia="黑体"/>
          <w:b w:val="0"/>
          <w:color w:val="auto"/>
          <w:highlight w:val="none"/>
        </w:rPr>
      </w:pPr>
      <w:bookmarkStart w:id="77" w:name="_Toc15396613"/>
      <w:bookmarkStart w:id="78" w:name="_Toc15377225"/>
      <w:bookmarkStart w:id="79" w:name="_Toc5756"/>
      <w:r>
        <w:rPr>
          <w:rFonts w:hint="eastAsia" w:ascii="黑体" w:hAnsi="黑体" w:eastAsia="黑体"/>
          <w:color w:val="auto"/>
          <w:sz w:val="44"/>
          <w:szCs w:val="44"/>
          <w:highlight w:val="none"/>
        </w:rPr>
        <w:t>名</w:t>
      </w:r>
      <w:r>
        <w:rPr>
          <w:rStyle w:val="27"/>
          <w:rFonts w:hint="eastAsia" w:ascii="黑体" w:hAnsi="黑体" w:eastAsia="黑体"/>
          <w:b w:val="0"/>
          <w:color w:val="auto"/>
          <w:highlight w:val="none"/>
        </w:rPr>
        <w:t>词解释</w:t>
      </w:r>
      <w:bookmarkEnd w:id="77"/>
      <w:bookmarkEnd w:id="78"/>
      <w:bookmarkEnd w:id="79"/>
    </w:p>
    <w:p>
      <w:pPr>
        <w:spacing w:line="600" w:lineRule="exact"/>
        <w:jc w:val="left"/>
        <w:rPr>
          <w:rFonts w:ascii="宋体"/>
          <w:b/>
          <w:color w:val="auto"/>
          <w:sz w:val="44"/>
          <w:szCs w:val="44"/>
          <w:highlight w:val="none"/>
        </w:rPr>
      </w:pPr>
    </w:p>
    <w:p>
      <w:pPr>
        <w:pStyle w:val="25"/>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pPr>
        <w:pStyle w:val="25"/>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w:t>
      </w:r>
      <w:r>
        <w:rPr>
          <w:rFonts w:ascii="仿宋_GB2312" w:eastAsia="仿宋_GB2312"/>
          <w:color w:val="auto"/>
          <w:sz w:val="32"/>
          <w:szCs w:val="32"/>
          <w:highlight w:val="none"/>
        </w:rPr>
        <w:t>.</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pPr>
        <w:pStyle w:val="25"/>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年末结转和结余：指单位按有关规定结转到下年或以后年度继续使用的资金。</w:t>
      </w:r>
    </w:p>
    <w:p>
      <w:pPr>
        <w:pStyle w:val="25"/>
        <w:spacing w:line="560" w:lineRule="exact"/>
        <w:ind w:firstLine="640" w:firstLineChars="200"/>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lang w:eastAsia="zh-CN"/>
        </w:rPr>
        <w:t>社会保障和就业（类）</w:t>
      </w:r>
      <w:r>
        <w:rPr>
          <w:rFonts w:hint="eastAsia" w:ascii="仿宋_GB2312" w:eastAsia="仿宋_GB2312"/>
          <w:color w:val="auto"/>
          <w:sz w:val="32"/>
          <w:szCs w:val="32"/>
          <w:highlight w:val="none"/>
          <w:lang w:val="en-US" w:eastAsia="zh-CN"/>
        </w:rPr>
        <w:t>行政事业单位养老支出</w:t>
      </w:r>
      <w:r>
        <w:rPr>
          <w:rFonts w:hint="eastAsia" w:ascii="仿宋_GB2312" w:eastAsia="仿宋_GB2312"/>
          <w:color w:val="auto"/>
          <w:sz w:val="32"/>
          <w:szCs w:val="32"/>
          <w:highlight w:val="none"/>
          <w:lang w:eastAsia="zh-CN"/>
        </w:rPr>
        <w:t>（款）</w:t>
      </w:r>
      <w:r>
        <w:rPr>
          <w:rFonts w:hint="eastAsia" w:ascii="仿宋_GB2312" w:eastAsia="仿宋_GB2312"/>
          <w:color w:val="auto"/>
          <w:sz w:val="32"/>
          <w:szCs w:val="32"/>
          <w:highlight w:val="none"/>
          <w:lang w:val="en-US" w:eastAsia="zh-CN"/>
        </w:rPr>
        <w:t>机关事业单位基本养老保险缴费支出</w:t>
      </w:r>
      <w:r>
        <w:rPr>
          <w:rFonts w:hint="eastAsia" w:ascii="仿宋_GB2312" w:eastAsia="仿宋_GB2312"/>
          <w:color w:val="auto"/>
          <w:sz w:val="32"/>
          <w:szCs w:val="32"/>
          <w:highlight w:val="none"/>
          <w:lang w:eastAsia="zh-CN"/>
        </w:rPr>
        <w:t>（项）</w:t>
      </w:r>
      <w:r>
        <w:rPr>
          <w:rFonts w:hint="eastAsia" w:ascii="仿宋_GB2312" w:eastAsia="仿宋_GB2312"/>
          <w:color w:val="auto"/>
          <w:sz w:val="32"/>
          <w:szCs w:val="32"/>
          <w:highlight w:val="none"/>
          <w:lang w:val="en-US" w:eastAsia="zh-CN"/>
        </w:rPr>
        <w:t>2080505</w:t>
      </w:r>
      <w:r>
        <w:rPr>
          <w:rFonts w:hint="eastAsia" w:ascii="仿宋_GB2312" w:eastAsia="仿宋_GB2312"/>
          <w:color w:val="auto"/>
          <w:sz w:val="32"/>
          <w:szCs w:val="32"/>
          <w:highlight w:val="none"/>
          <w:lang w:eastAsia="zh-CN"/>
        </w:rPr>
        <w:t xml:space="preserve">: </w:t>
      </w:r>
      <w:r>
        <w:rPr>
          <w:rFonts w:hint="eastAsia" w:ascii="仿宋_GB2312" w:eastAsia="仿宋_GB2312"/>
          <w:color w:val="auto"/>
          <w:sz w:val="32"/>
          <w:szCs w:val="32"/>
          <w:highlight w:val="none"/>
          <w:lang w:val="en-US" w:eastAsia="zh-CN"/>
        </w:rPr>
        <w:t>指机关事业单位实施养老保险制度由单位缴纳的基本养老保险费支出。</w:t>
      </w:r>
    </w:p>
    <w:p>
      <w:pPr>
        <w:pStyle w:val="25"/>
        <w:spacing w:line="560" w:lineRule="exact"/>
        <w:ind w:firstLine="640" w:firstLineChars="200"/>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lang w:eastAsia="zh-CN"/>
        </w:rPr>
        <w:t>社会保障和就业（类）</w:t>
      </w:r>
      <w:r>
        <w:rPr>
          <w:rFonts w:hint="eastAsia" w:ascii="仿宋_GB2312" w:eastAsia="仿宋_GB2312"/>
          <w:color w:val="auto"/>
          <w:sz w:val="32"/>
          <w:szCs w:val="32"/>
          <w:highlight w:val="none"/>
          <w:lang w:val="en-US" w:eastAsia="zh-CN"/>
        </w:rPr>
        <w:t>行政事业单位养老支出</w:t>
      </w:r>
      <w:r>
        <w:rPr>
          <w:rFonts w:hint="eastAsia" w:ascii="仿宋_GB2312" w:eastAsia="仿宋_GB2312"/>
          <w:color w:val="auto"/>
          <w:sz w:val="32"/>
          <w:szCs w:val="32"/>
          <w:highlight w:val="none"/>
          <w:lang w:eastAsia="zh-CN"/>
        </w:rPr>
        <w:t>（款）</w:t>
      </w:r>
      <w:r>
        <w:rPr>
          <w:rFonts w:hint="eastAsia" w:ascii="仿宋_GB2312" w:eastAsia="仿宋_GB2312"/>
          <w:color w:val="auto"/>
          <w:sz w:val="32"/>
          <w:szCs w:val="32"/>
          <w:highlight w:val="none"/>
          <w:lang w:val="en-US" w:eastAsia="zh-CN"/>
        </w:rPr>
        <w:t>机关事业单位职业年金缴费支出</w:t>
      </w:r>
      <w:r>
        <w:rPr>
          <w:rFonts w:hint="eastAsia" w:ascii="仿宋_GB2312" w:eastAsia="仿宋_GB2312"/>
          <w:color w:val="auto"/>
          <w:sz w:val="32"/>
          <w:szCs w:val="32"/>
          <w:highlight w:val="none"/>
          <w:lang w:eastAsia="zh-CN"/>
        </w:rPr>
        <w:t>（项）</w:t>
      </w:r>
      <w:r>
        <w:rPr>
          <w:rFonts w:hint="eastAsia" w:ascii="仿宋_GB2312" w:eastAsia="仿宋_GB2312"/>
          <w:color w:val="auto"/>
          <w:sz w:val="32"/>
          <w:szCs w:val="32"/>
          <w:highlight w:val="none"/>
          <w:lang w:val="en-US" w:eastAsia="zh-CN"/>
        </w:rPr>
        <w:t>2080506</w:t>
      </w:r>
      <w:r>
        <w:rPr>
          <w:rFonts w:hint="eastAsia" w:ascii="仿宋_GB2312" w:eastAsia="仿宋_GB2312"/>
          <w:color w:val="auto"/>
          <w:sz w:val="32"/>
          <w:szCs w:val="32"/>
          <w:highlight w:val="none"/>
          <w:lang w:eastAsia="zh-CN"/>
        </w:rPr>
        <w:t xml:space="preserve">: </w:t>
      </w:r>
      <w:r>
        <w:rPr>
          <w:rFonts w:hint="eastAsia" w:ascii="仿宋_GB2312" w:eastAsia="仿宋_GB2312"/>
          <w:color w:val="auto"/>
          <w:sz w:val="32"/>
          <w:szCs w:val="32"/>
          <w:highlight w:val="none"/>
          <w:lang w:val="en-US" w:eastAsia="zh-CN"/>
        </w:rPr>
        <w:t>机关事业单位实施养老保险制度由单位实际缴纳的职业年金支出。</w:t>
      </w:r>
    </w:p>
    <w:p>
      <w:pPr>
        <w:pStyle w:val="25"/>
        <w:spacing w:line="560" w:lineRule="exact"/>
        <w:ind w:firstLine="640" w:firstLineChars="200"/>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6.</w:t>
      </w:r>
      <w:r>
        <w:rPr>
          <w:rFonts w:hint="eastAsia" w:ascii="仿宋_GB2312" w:eastAsia="仿宋_GB2312"/>
          <w:color w:val="auto"/>
          <w:sz w:val="32"/>
          <w:szCs w:val="32"/>
          <w:highlight w:val="none"/>
          <w:lang w:eastAsia="zh-CN"/>
        </w:rPr>
        <w:t>社会保障和就业（类）</w:t>
      </w:r>
      <w:r>
        <w:rPr>
          <w:rFonts w:hint="eastAsia" w:ascii="仿宋_GB2312" w:eastAsia="仿宋_GB2312"/>
          <w:color w:val="auto"/>
          <w:sz w:val="32"/>
          <w:szCs w:val="32"/>
          <w:highlight w:val="none"/>
          <w:lang w:val="en-US" w:eastAsia="zh-CN"/>
        </w:rPr>
        <w:t>抚恤</w:t>
      </w:r>
      <w:r>
        <w:rPr>
          <w:rFonts w:hint="eastAsia" w:ascii="仿宋_GB2312" w:eastAsia="仿宋_GB2312"/>
          <w:color w:val="auto"/>
          <w:sz w:val="32"/>
          <w:szCs w:val="32"/>
          <w:highlight w:val="none"/>
          <w:lang w:eastAsia="zh-CN"/>
        </w:rPr>
        <w:t>（款）</w:t>
      </w:r>
      <w:r>
        <w:rPr>
          <w:rFonts w:hint="eastAsia" w:ascii="仿宋_GB2312" w:eastAsia="仿宋_GB2312"/>
          <w:color w:val="auto"/>
          <w:sz w:val="32"/>
          <w:szCs w:val="32"/>
          <w:highlight w:val="none"/>
          <w:lang w:val="en-US" w:eastAsia="zh-CN"/>
        </w:rPr>
        <w:t>死亡抚恤</w:t>
      </w:r>
      <w:r>
        <w:rPr>
          <w:rFonts w:hint="eastAsia" w:ascii="仿宋_GB2312" w:eastAsia="仿宋_GB2312"/>
          <w:color w:val="auto"/>
          <w:sz w:val="32"/>
          <w:szCs w:val="32"/>
          <w:highlight w:val="none"/>
          <w:lang w:eastAsia="zh-CN"/>
        </w:rPr>
        <w:t>（项）</w:t>
      </w:r>
      <w:r>
        <w:rPr>
          <w:rFonts w:hint="eastAsia" w:ascii="仿宋_GB2312" w:eastAsia="仿宋_GB2312"/>
          <w:color w:val="auto"/>
          <w:sz w:val="32"/>
          <w:szCs w:val="32"/>
          <w:highlight w:val="none"/>
          <w:lang w:val="en-US" w:eastAsia="zh-CN"/>
        </w:rPr>
        <w:t>2080801</w:t>
      </w:r>
      <w:r>
        <w:rPr>
          <w:rFonts w:hint="eastAsia" w:ascii="仿宋_GB2312" w:eastAsia="仿宋_GB2312"/>
          <w:color w:val="auto"/>
          <w:sz w:val="32"/>
          <w:szCs w:val="32"/>
          <w:highlight w:val="none"/>
          <w:lang w:eastAsia="zh-CN"/>
        </w:rPr>
        <w:t xml:space="preserve">: </w:t>
      </w:r>
      <w:r>
        <w:rPr>
          <w:rFonts w:hint="eastAsia" w:ascii="仿宋_GB2312" w:eastAsia="仿宋_GB2312"/>
          <w:color w:val="auto"/>
          <w:sz w:val="32"/>
          <w:szCs w:val="32"/>
          <w:highlight w:val="none"/>
          <w:lang w:val="en-US" w:eastAsia="zh-CN"/>
        </w:rPr>
        <w:t>指按规定用于烈士和牺牲、病故人员家属的一次性和定期抚恤金、丧葬补助费以及烈士褒扬金。</w:t>
      </w:r>
    </w:p>
    <w:p>
      <w:pPr>
        <w:pStyle w:val="25"/>
        <w:spacing w:line="560" w:lineRule="exact"/>
        <w:ind w:firstLine="640" w:firstLineChars="200"/>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7.</w:t>
      </w:r>
      <w:r>
        <w:rPr>
          <w:rFonts w:hint="eastAsia" w:ascii="仿宋_GB2312" w:eastAsia="仿宋_GB2312"/>
          <w:color w:val="auto"/>
          <w:sz w:val="32"/>
          <w:szCs w:val="32"/>
          <w:highlight w:val="none"/>
          <w:lang w:eastAsia="zh-CN"/>
        </w:rPr>
        <w:t>卫生健康（类）</w:t>
      </w:r>
      <w:r>
        <w:rPr>
          <w:rFonts w:hint="eastAsia" w:ascii="仿宋_GB2312" w:eastAsia="仿宋_GB2312"/>
          <w:color w:val="auto"/>
          <w:sz w:val="32"/>
          <w:szCs w:val="32"/>
          <w:highlight w:val="none"/>
          <w:lang w:val="en-US" w:eastAsia="zh-CN"/>
        </w:rPr>
        <w:t>行政事业单位医疗</w:t>
      </w:r>
      <w:r>
        <w:rPr>
          <w:rFonts w:hint="eastAsia" w:ascii="仿宋_GB2312" w:eastAsia="仿宋_GB2312"/>
          <w:color w:val="auto"/>
          <w:sz w:val="32"/>
          <w:szCs w:val="32"/>
          <w:highlight w:val="none"/>
          <w:lang w:eastAsia="zh-CN"/>
        </w:rPr>
        <w:t>（款）</w:t>
      </w:r>
      <w:r>
        <w:rPr>
          <w:rFonts w:hint="eastAsia" w:ascii="仿宋_GB2312" w:eastAsia="仿宋_GB2312"/>
          <w:color w:val="auto"/>
          <w:sz w:val="32"/>
          <w:szCs w:val="32"/>
          <w:highlight w:val="none"/>
          <w:lang w:val="en-US" w:eastAsia="zh-CN"/>
        </w:rPr>
        <w:t>行政单位医疗</w:t>
      </w:r>
      <w:r>
        <w:rPr>
          <w:rFonts w:hint="eastAsia" w:ascii="仿宋_GB2312" w:eastAsia="仿宋_GB2312"/>
          <w:color w:val="auto"/>
          <w:sz w:val="32"/>
          <w:szCs w:val="32"/>
          <w:highlight w:val="none"/>
          <w:lang w:eastAsia="zh-CN"/>
        </w:rPr>
        <w:t>（项）</w:t>
      </w:r>
      <w:r>
        <w:rPr>
          <w:rFonts w:hint="eastAsia" w:ascii="仿宋_GB2312" w:eastAsia="仿宋_GB2312"/>
          <w:color w:val="auto"/>
          <w:sz w:val="32"/>
          <w:szCs w:val="32"/>
          <w:highlight w:val="none"/>
          <w:lang w:val="en-US" w:eastAsia="zh-CN"/>
        </w:rPr>
        <w:t>2101101</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指财政部门安排的行政单位基本医疗保险缴费经费。</w:t>
      </w:r>
    </w:p>
    <w:p>
      <w:pPr>
        <w:pStyle w:val="25"/>
        <w:spacing w:line="560" w:lineRule="exact"/>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8.</w:t>
      </w:r>
      <w:r>
        <w:rPr>
          <w:rFonts w:hint="eastAsia" w:ascii="仿宋_GB2312" w:eastAsia="仿宋_GB2312"/>
          <w:color w:val="auto"/>
          <w:sz w:val="32"/>
          <w:szCs w:val="32"/>
          <w:highlight w:val="none"/>
          <w:lang w:eastAsia="zh-CN"/>
        </w:rPr>
        <w:t>卫生健康（类）</w:t>
      </w:r>
      <w:r>
        <w:rPr>
          <w:rFonts w:hint="eastAsia" w:ascii="仿宋_GB2312" w:eastAsia="仿宋_GB2312"/>
          <w:color w:val="auto"/>
          <w:sz w:val="32"/>
          <w:szCs w:val="32"/>
          <w:highlight w:val="none"/>
          <w:lang w:val="en-US" w:eastAsia="zh-CN"/>
        </w:rPr>
        <w:t>行政事业单位医疗</w:t>
      </w:r>
      <w:r>
        <w:rPr>
          <w:rFonts w:hint="eastAsia" w:ascii="仿宋_GB2312" w:eastAsia="仿宋_GB2312"/>
          <w:color w:val="auto"/>
          <w:sz w:val="32"/>
          <w:szCs w:val="32"/>
          <w:highlight w:val="none"/>
          <w:lang w:eastAsia="zh-CN"/>
        </w:rPr>
        <w:t>（款）</w:t>
      </w:r>
      <w:r>
        <w:rPr>
          <w:rFonts w:hint="eastAsia" w:ascii="仿宋_GB2312" w:eastAsia="仿宋_GB2312"/>
          <w:color w:val="auto"/>
          <w:sz w:val="32"/>
          <w:szCs w:val="32"/>
          <w:highlight w:val="none"/>
          <w:lang w:val="en-US" w:eastAsia="zh-CN"/>
        </w:rPr>
        <w:t>事业单位医疗</w:t>
      </w:r>
      <w:r>
        <w:rPr>
          <w:rFonts w:hint="eastAsia" w:ascii="仿宋_GB2312" w:eastAsia="仿宋_GB2312"/>
          <w:color w:val="auto"/>
          <w:sz w:val="32"/>
          <w:szCs w:val="32"/>
          <w:highlight w:val="none"/>
          <w:lang w:eastAsia="zh-CN"/>
        </w:rPr>
        <w:t>（项）</w:t>
      </w:r>
      <w:r>
        <w:rPr>
          <w:rFonts w:hint="eastAsia" w:ascii="仿宋_GB2312" w:eastAsia="仿宋_GB2312"/>
          <w:color w:val="auto"/>
          <w:sz w:val="32"/>
          <w:szCs w:val="32"/>
          <w:highlight w:val="none"/>
          <w:lang w:val="en-US" w:eastAsia="zh-CN"/>
        </w:rPr>
        <w:t>2101102</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指财政部门安排的事业单位基本医疗保险缴费经费。</w:t>
      </w:r>
    </w:p>
    <w:p>
      <w:pPr>
        <w:pStyle w:val="25"/>
        <w:spacing w:line="560" w:lineRule="exact"/>
        <w:ind w:firstLine="640" w:firstLineChars="200"/>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9.自然资源海洋气象等支出（类）自然资源事务（款）行政运行（项）2200101：指行政单位（包括实行公务员管理的事业单位）的基本支出。</w:t>
      </w:r>
    </w:p>
    <w:p>
      <w:pPr>
        <w:pStyle w:val="25"/>
        <w:spacing w:line="560" w:lineRule="exact"/>
        <w:ind w:firstLine="640" w:firstLineChars="200"/>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10.自然资源海洋气象等支出（类）自然资源事务（款）一般行政管理事务（项）2200102：指行政单位（包括实行公务员管理的事业单位）为单独设置项级科目的其他项目支出。</w:t>
      </w:r>
    </w:p>
    <w:p>
      <w:pPr>
        <w:pStyle w:val="25"/>
        <w:spacing w:line="560" w:lineRule="exact"/>
        <w:ind w:firstLine="640" w:firstLineChars="200"/>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11.自然资源海洋气象等支出（类）自然资源事务（款）机关服务（项）2200103：指行政单位（包括实行公务员管理的事业单位）提供后勤服务的各类后勤服务中心、医务室等附属事业单位的支出。</w:t>
      </w:r>
    </w:p>
    <w:p>
      <w:pPr>
        <w:pStyle w:val="25"/>
        <w:spacing w:line="560" w:lineRule="exact"/>
        <w:ind w:firstLine="640" w:firstLineChars="200"/>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12.自然资源海洋气象等支出（类）自然资源事务（款）自然资源利用与保护（项）2200106：指用于自然资源有偿使用与合理开发利用，国土空间生态修复，国土整治，耕地保护等方面的支出。</w:t>
      </w:r>
    </w:p>
    <w:p>
      <w:pPr>
        <w:pStyle w:val="25"/>
        <w:spacing w:line="560" w:lineRule="exact"/>
        <w:ind w:firstLine="640" w:firstLineChars="200"/>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13.自然资源海洋气象等支出（类）自然资源事务（款）地质勘察与矿产资源管理（项）2200114：指用于地质勘察行业和地址工作管理，矿业权管理、矿产资源合理利用和保护等方面的支出。</w:t>
      </w:r>
    </w:p>
    <w:p>
      <w:pPr>
        <w:pStyle w:val="25"/>
        <w:spacing w:line="560" w:lineRule="exact"/>
        <w:ind w:firstLine="640" w:firstLineChars="200"/>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14.自然资源海洋气象等支出（类）自然资源事务（款）事业运行（项）2200150：指事业单位的基本支出。</w:t>
      </w:r>
    </w:p>
    <w:p>
      <w:pPr>
        <w:pStyle w:val="25"/>
        <w:spacing w:line="560" w:lineRule="exact"/>
        <w:ind w:firstLine="640" w:firstLineChars="200"/>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15.自然资源海洋气象等支出（类）自然资源事务（款）其他自然资源事务支出（项）2200199：指除上述项目以外其他用于自然资源事务方面的支出。</w:t>
      </w:r>
    </w:p>
    <w:p>
      <w:pPr>
        <w:pStyle w:val="25"/>
        <w:spacing w:line="560" w:lineRule="exact"/>
        <w:ind w:firstLine="640" w:firstLineChars="200"/>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16.住房保障支出（类）住房改革支出（款）住房公积金（项）2210201：指行政事业单位按人力资源和社会保障部、财政部规定的基本工资和津贴补贴以及规定比例为职工缴纳的住房公积金。</w:t>
      </w:r>
    </w:p>
    <w:p>
      <w:pPr>
        <w:pStyle w:val="25"/>
        <w:spacing w:line="560" w:lineRule="exact"/>
        <w:ind w:firstLine="640" w:firstLineChars="200"/>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17.灾害防治及应急管理支出（类）自然灾害防治（款）地质灾害防治（项）2240601：指防治地质灾害方面的支出。</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18.</w:t>
      </w:r>
      <w:r>
        <w:rPr>
          <w:rFonts w:hint="eastAsia" w:ascii="仿宋_GB2312" w:eastAsia="仿宋_GB2312"/>
          <w:color w:val="auto"/>
          <w:sz w:val="32"/>
          <w:szCs w:val="32"/>
          <w:highlight w:val="none"/>
        </w:rPr>
        <w:t>基本支出：指为保障机构正常运转、完成日常工作任务而发生的人员支出和公用支出。</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19.</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经营支出：指事业单位在专业业务活动及其辅助活动之外开展非独立核算经营活动发生的支出。</w:t>
      </w:r>
    </w:p>
    <w:p>
      <w:pPr>
        <w:pStyle w:val="25"/>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5"/>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5"/>
        <w:spacing w:line="560" w:lineRule="exact"/>
        <w:ind w:firstLine="640" w:firstLineChars="200"/>
        <w:rPr>
          <w:rFonts w:ascii="仿宋_GB2312" w:eastAsia="仿宋_GB2312" w:cs="黑体"/>
          <w:color w:val="auto"/>
          <w:sz w:val="32"/>
          <w:szCs w:val="32"/>
          <w:highlight w:val="none"/>
        </w:rPr>
      </w:pPr>
    </w:p>
    <w:p>
      <w:pPr>
        <w:spacing w:line="600" w:lineRule="exact"/>
        <w:jc w:val="center"/>
        <w:outlineLvl w:val="0"/>
        <w:rPr>
          <w:rStyle w:val="27"/>
          <w:rFonts w:hint="eastAsia" w:ascii="黑体" w:hAnsi="黑体" w:eastAsia="黑体"/>
          <w:b w:val="0"/>
          <w:color w:val="auto"/>
          <w:highlight w:val="none"/>
          <w:lang w:eastAsia="zh-CN"/>
        </w:rPr>
      </w:pPr>
      <w:bookmarkStart w:id="80" w:name="_Toc15377226"/>
      <w:r>
        <w:rPr>
          <w:rFonts w:ascii="宋体"/>
          <w:b/>
          <w:color w:val="auto"/>
          <w:sz w:val="44"/>
          <w:szCs w:val="44"/>
          <w:highlight w:val="none"/>
        </w:rPr>
        <w:br w:type="page"/>
      </w:r>
      <w:bookmarkStart w:id="81" w:name="_Toc15396614"/>
      <w:bookmarkStart w:id="82" w:name="_Toc19627"/>
      <w:r>
        <w:rPr>
          <w:rFonts w:hint="eastAsia" w:ascii="黑体" w:hAnsi="黑体" w:eastAsia="黑体"/>
          <w:color w:val="auto"/>
          <w:sz w:val="44"/>
          <w:szCs w:val="44"/>
          <w:highlight w:val="none"/>
        </w:rPr>
        <w:t>第</w:t>
      </w:r>
      <w:r>
        <w:rPr>
          <w:rStyle w:val="27"/>
          <w:rFonts w:hint="eastAsia" w:ascii="黑体" w:hAnsi="黑体" w:eastAsia="黑体"/>
          <w:b w:val="0"/>
          <w:color w:val="auto"/>
          <w:highlight w:val="none"/>
        </w:rPr>
        <w:t>四部分 附件</w:t>
      </w:r>
      <w:bookmarkEnd w:id="81"/>
      <w:bookmarkEnd w:id="82"/>
    </w:p>
    <w:p>
      <w:pPr>
        <w:keepNext w:val="0"/>
        <w:keepLines w:val="0"/>
        <w:pageBreakBefore w:val="0"/>
        <w:kinsoku/>
        <w:wordWrap/>
        <w:overflowPunct/>
        <w:topLinePunct w:val="0"/>
        <w:autoSpaceDE/>
        <w:autoSpaceDN/>
        <w:bidi w:val="0"/>
        <w:spacing w:line="572" w:lineRule="exact"/>
        <w:jc w:val="left"/>
        <w:textAlignment w:val="auto"/>
        <w:outlineLvl w:val="0"/>
        <w:rPr>
          <w:rFonts w:ascii="方正小标宋简体" w:hAnsi="方正小标宋简体" w:eastAsia="方正小标宋简体" w:cs="方正小标宋简体"/>
          <w:color w:val="auto"/>
          <w:sz w:val="44"/>
          <w:szCs w:val="44"/>
          <w:highlight w:val="none"/>
        </w:rPr>
      </w:pPr>
      <w:bookmarkStart w:id="83" w:name="_Toc14821"/>
      <w:r>
        <w:rPr>
          <w:rFonts w:hint="eastAsia" w:ascii="黑体" w:hAnsi="黑体" w:eastAsia="黑体" w:cs="黑体"/>
          <w:color w:val="auto"/>
          <w:sz w:val="32"/>
          <w:szCs w:val="32"/>
          <w:highlight w:val="none"/>
        </w:rPr>
        <w:t>附件</w:t>
      </w:r>
      <w:bookmarkEnd w:id="83"/>
    </w:p>
    <w:p>
      <w:pPr>
        <w:keepNext w:val="0"/>
        <w:keepLines w:val="0"/>
        <w:pageBreakBefore w:val="0"/>
        <w:widowControl/>
        <w:kinsoku/>
        <w:wordWrap/>
        <w:overflowPunct/>
        <w:topLinePunct w:val="0"/>
        <w:autoSpaceDE/>
        <w:autoSpaceDN/>
        <w:bidi w:val="0"/>
        <w:spacing w:line="560" w:lineRule="exact"/>
        <w:contextualSpacing/>
        <w:jc w:val="center"/>
        <w:textAlignment w:val="auto"/>
        <w:rPr>
          <w:rFonts w:hint="eastAsia" w:ascii="宋体" w:hAnsi="宋体"/>
          <w:b/>
          <w:color w:val="auto"/>
          <w:sz w:val="32"/>
          <w:szCs w:val="32"/>
          <w:highlight w:val="none"/>
          <w:shd w:val="clear" w:color="auto" w:fill="FFFFFF"/>
          <w:lang w:val="en-US" w:eastAsia="zh-CN"/>
        </w:rPr>
      </w:pPr>
      <w:r>
        <w:rPr>
          <w:rFonts w:hint="eastAsia" w:ascii="宋体" w:hAnsi="宋体" w:eastAsia="宋体"/>
          <w:b/>
          <w:color w:val="auto"/>
          <w:sz w:val="32"/>
          <w:szCs w:val="32"/>
          <w:highlight w:val="none"/>
          <w:shd w:val="clear" w:color="auto" w:fill="FFFFFF"/>
        </w:rPr>
        <w:t>20</w:t>
      </w:r>
      <w:r>
        <w:rPr>
          <w:rFonts w:hint="eastAsia" w:ascii="宋体" w:hAnsi="宋体" w:eastAsia="宋体"/>
          <w:b/>
          <w:color w:val="auto"/>
          <w:sz w:val="32"/>
          <w:szCs w:val="32"/>
          <w:highlight w:val="none"/>
          <w:shd w:val="clear" w:color="auto" w:fill="FFFFFF"/>
          <w:lang w:val="en-US" w:eastAsia="zh-CN"/>
        </w:rPr>
        <w:t>2</w:t>
      </w:r>
      <w:r>
        <w:rPr>
          <w:rFonts w:hint="eastAsia" w:ascii="宋体" w:hAnsi="宋体"/>
          <w:b/>
          <w:color w:val="auto"/>
          <w:sz w:val="32"/>
          <w:szCs w:val="32"/>
          <w:highlight w:val="none"/>
          <w:shd w:val="clear" w:color="auto" w:fill="FFFFFF"/>
          <w:lang w:val="en-US" w:eastAsia="zh-CN"/>
        </w:rPr>
        <w:t>2</w:t>
      </w:r>
      <w:r>
        <w:rPr>
          <w:rFonts w:hint="eastAsia" w:ascii="宋体" w:hAnsi="宋体" w:eastAsia="宋体"/>
          <w:b/>
          <w:color w:val="auto"/>
          <w:sz w:val="32"/>
          <w:szCs w:val="32"/>
          <w:highlight w:val="none"/>
          <w:shd w:val="clear" w:color="auto" w:fill="FFFFFF"/>
        </w:rPr>
        <w:t>年</w:t>
      </w:r>
      <w:r>
        <w:rPr>
          <w:rFonts w:hint="eastAsia" w:ascii="宋体" w:hAnsi="宋体"/>
          <w:b/>
          <w:color w:val="auto"/>
          <w:sz w:val="32"/>
          <w:szCs w:val="32"/>
          <w:highlight w:val="none"/>
          <w:shd w:val="clear" w:color="auto" w:fill="FFFFFF"/>
          <w:lang w:val="en-US" w:eastAsia="zh-CN"/>
        </w:rPr>
        <w:t>广元市自然资源局朝天区分局</w:t>
      </w:r>
    </w:p>
    <w:p>
      <w:pPr>
        <w:keepNext w:val="0"/>
        <w:keepLines w:val="0"/>
        <w:pageBreakBefore w:val="0"/>
        <w:widowControl/>
        <w:kinsoku/>
        <w:wordWrap/>
        <w:overflowPunct/>
        <w:topLinePunct w:val="0"/>
        <w:autoSpaceDE/>
        <w:autoSpaceDN/>
        <w:bidi w:val="0"/>
        <w:spacing w:line="560" w:lineRule="exact"/>
        <w:contextualSpacing/>
        <w:jc w:val="center"/>
        <w:textAlignment w:val="auto"/>
        <w:rPr>
          <w:rFonts w:hint="eastAsia" w:ascii="宋体" w:hAnsi="宋体" w:eastAsia="宋体"/>
          <w:b/>
          <w:color w:val="auto"/>
          <w:sz w:val="32"/>
          <w:szCs w:val="32"/>
          <w:highlight w:val="none"/>
          <w:shd w:val="clear" w:color="auto" w:fill="FFFFFF"/>
        </w:rPr>
      </w:pPr>
      <w:r>
        <w:rPr>
          <w:rFonts w:hint="eastAsia" w:ascii="宋体" w:hAnsi="宋体" w:eastAsia="宋体"/>
          <w:b/>
          <w:color w:val="auto"/>
          <w:sz w:val="32"/>
          <w:szCs w:val="32"/>
          <w:highlight w:val="none"/>
          <w:shd w:val="clear" w:color="auto" w:fill="FFFFFF"/>
        </w:rPr>
        <w:t>部门整体绩效评价报告</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ascii="黑体" w:hAnsi="宋体" w:eastAsia="黑体" w:cs="宋体"/>
          <w:color w:val="auto"/>
          <w:kern w:val="0"/>
          <w:sz w:val="32"/>
          <w:szCs w:val="32"/>
          <w:highlight w:val="none"/>
          <w:shd w:val="clear" w:color="auto" w:fill="FFFFFF"/>
        </w:rPr>
      </w:pPr>
    </w:p>
    <w:p>
      <w:pPr>
        <w:keepNext w:val="0"/>
        <w:keepLines w:val="0"/>
        <w:pageBreakBefore w:val="0"/>
        <w:widowControl/>
        <w:numPr>
          <w:ilvl w:val="0"/>
          <w:numId w:val="5"/>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黑体" w:hAnsi="宋体" w:eastAsia="黑体" w:cs="宋体"/>
          <w:color w:val="auto"/>
          <w:kern w:val="0"/>
          <w:sz w:val="32"/>
          <w:szCs w:val="32"/>
          <w:highlight w:val="none"/>
          <w:shd w:val="clear" w:color="auto" w:fill="FFFFFF"/>
          <w:lang w:val="zh-CN"/>
        </w:rPr>
      </w:pPr>
      <w:r>
        <w:rPr>
          <w:rFonts w:hint="eastAsia" w:ascii="黑体" w:hAnsi="宋体" w:eastAsia="黑体" w:cs="宋体"/>
          <w:color w:val="auto"/>
          <w:kern w:val="0"/>
          <w:sz w:val="32"/>
          <w:szCs w:val="32"/>
          <w:highlight w:val="none"/>
          <w:shd w:val="clear" w:color="auto" w:fill="FFFFFF"/>
          <w:lang w:val="zh-CN"/>
        </w:rPr>
        <w:t>部门（单位）基本情况</w:t>
      </w:r>
    </w:p>
    <w:p>
      <w:pPr>
        <w:keepNext w:val="0"/>
        <w:keepLines w:val="0"/>
        <w:pageBreakBefore w:val="0"/>
        <w:widowControl/>
        <w:numPr>
          <w:ilvl w:val="0"/>
          <w:numId w:val="6"/>
        </w:numPr>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机构组成。</w:t>
      </w:r>
    </w:p>
    <w:p>
      <w:pPr>
        <w:snapToGrid w:val="0"/>
        <w:spacing w:line="520" w:lineRule="exact"/>
        <w:ind w:firstLine="640" w:firstLineChars="200"/>
        <w:rPr>
          <w:rFonts w:hint="eastAsia" w:ascii="楷体_GB2312" w:hAnsi="楷体_GB2312" w:eastAsia="楷体_GB2312" w:cs="楷体_GB2312"/>
          <w:b w:val="0"/>
          <w:bCs/>
          <w:color w:val="auto"/>
          <w:spacing w:val="-6"/>
          <w:w w:val="99"/>
          <w:sz w:val="32"/>
          <w:szCs w:val="32"/>
          <w:lang w:val="en-US" w:eastAsia="zh-CN"/>
        </w:rPr>
      </w:pPr>
      <w:r>
        <w:rPr>
          <w:rFonts w:hint="eastAsia" w:ascii="仿宋_GB2312" w:hAnsi="仿宋" w:eastAsia="仿宋_GB2312"/>
          <w:color w:val="auto"/>
          <w:sz w:val="32"/>
          <w:szCs w:val="32"/>
        </w:rPr>
        <w:t>广元市自然资源局朝天区分局下属二级单位4个，其中行政单位0个，参照公务员法管理的事业单位1个，其他事业单位3个。</w:t>
      </w:r>
    </w:p>
    <w:p>
      <w:pPr>
        <w:keepNext w:val="0"/>
        <w:keepLines w:val="0"/>
        <w:pageBreakBefore w:val="0"/>
        <w:widowControl/>
        <w:numPr>
          <w:ilvl w:val="0"/>
          <w:numId w:val="6"/>
        </w:numPr>
        <w:kinsoku/>
        <w:wordWrap/>
        <w:overflowPunct/>
        <w:topLinePunct w:val="0"/>
        <w:autoSpaceDE/>
        <w:autoSpaceDN/>
        <w:bidi w:val="0"/>
        <w:adjustRightInd w:val="0"/>
        <w:snapToGrid w:val="0"/>
        <w:spacing w:line="560" w:lineRule="exact"/>
        <w:ind w:left="0" w:leftChars="0"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机构职能和人员概况。</w:t>
      </w:r>
    </w:p>
    <w:p>
      <w:pPr>
        <w:snapToGrid w:val="0"/>
        <w:spacing w:line="52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lang w:val="en-US" w:eastAsia="zh-CN"/>
        </w:rPr>
        <w:t>1.</w:t>
      </w:r>
      <w:r>
        <w:rPr>
          <w:rFonts w:hint="eastAsia" w:ascii="仿宋_GB2312" w:hAnsi="仿宋" w:eastAsia="仿宋_GB2312"/>
          <w:color w:val="auto"/>
          <w:sz w:val="32"/>
          <w:szCs w:val="32"/>
        </w:rPr>
        <w:t>按照规定权限，履行全民所有土地、矿产、森林、湿地、水等自然资源资产所有者职责和所有国土空间用途管制职责。拟订全市自然资源、国土空间规划、城乡规划和测绘地理信息地方性法规、政策规章草案，制定有关政策措施并监督检查执行情况。</w:t>
      </w:r>
    </w:p>
    <w:p>
      <w:pPr>
        <w:snapToGrid w:val="0"/>
        <w:spacing w:line="52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lang w:val="en-US" w:eastAsia="zh-CN"/>
        </w:rPr>
        <w:t>2.</w:t>
      </w:r>
      <w:r>
        <w:rPr>
          <w:rFonts w:hint="eastAsia" w:ascii="仿宋_GB2312" w:hAnsi="仿宋" w:eastAsia="仿宋_GB2312"/>
          <w:color w:val="auto"/>
          <w:sz w:val="32"/>
          <w:szCs w:val="32"/>
        </w:rPr>
        <w:t>负责全区自然资源调查监测评价。依照自然资源调查监测评价的指标体系和统计标准，建立统一规范的自然资源调查监测评价制度。实施自然资源基础调查、专项调查和监测。负责自然资源调查监测评价成果的监督管理和信息发布。指导县区自然资源调查监测评价工作。</w:t>
      </w:r>
    </w:p>
    <w:p>
      <w:pPr>
        <w:snapToGrid w:val="0"/>
        <w:spacing w:line="52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lang w:val="en-US" w:eastAsia="zh-CN"/>
        </w:rPr>
        <w:t>3.</w:t>
      </w:r>
      <w:r>
        <w:rPr>
          <w:rFonts w:hint="eastAsia" w:ascii="仿宋_GB2312" w:hAnsi="仿宋" w:eastAsia="仿宋_GB2312"/>
          <w:color w:val="auto"/>
          <w:sz w:val="32"/>
          <w:szCs w:val="32"/>
        </w:rPr>
        <w:t>负责全区自然资源统一确权登记工作。组织实施各类自然资源和不动产统一确权登记、权籍调查、不动产测绘、争议调处、成果应用的制度、标准、规范。建立健全全市自然资源和不动产登记信息管理基础平台。负责自然资源和不动产登记资料收集、整理、共享、汇交管理等。指导监督自然资源和不动产确权登记工作。</w:t>
      </w:r>
    </w:p>
    <w:p>
      <w:pPr>
        <w:snapToGrid w:val="0"/>
        <w:spacing w:line="52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lang w:val="en-US" w:eastAsia="zh-CN"/>
        </w:rPr>
        <w:t>4.</w:t>
      </w:r>
      <w:r>
        <w:rPr>
          <w:rFonts w:hint="eastAsia" w:ascii="仿宋_GB2312" w:hAnsi="仿宋" w:eastAsia="仿宋_GB2312"/>
          <w:color w:val="auto"/>
          <w:sz w:val="32"/>
          <w:szCs w:val="32"/>
        </w:rPr>
        <w:t>负责全区自然资源资产使用工作。建立全民所有自然资源资产统计制度，负责全民所有自然资源资产核算。编制全民所有自然资源资产负债表，依照有关标准组织考核。按照规定权限，制定全民所有自然资源资产划</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出让、作价出资和土地储备政策，合理配置全民所有自然资源资产。负责自然资源资产价值评估管理，依法收</w:t>
      </w:r>
      <w:r>
        <w:rPr>
          <w:rFonts w:hint="eastAsia" w:ascii="仿宋_GB2312" w:hAnsi="仿宋" w:eastAsia="仿宋_GB2312"/>
          <w:color w:val="auto"/>
          <w:sz w:val="32"/>
          <w:szCs w:val="32"/>
          <w:lang w:val="en-US" w:eastAsia="zh-CN"/>
        </w:rPr>
        <w:t>清</w:t>
      </w:r>
      <w:r>
        <w:rPr>
          <w:rFonts w:hint="eastAsia" w:ascii="仿宋_GB2312" w:hAnsi="仿宋" w:eastAsia="仿宋_GB2312"/>
          <w:color w:val="auto"/>
          <w:sz w:val="32"/>
          <w:szCs w:val="32"/>
        </w:rPr>
        <w:t>相关资产收益。</w:t>
      </w:r>
    </w:p>
    <w:p>
      <w:pPr>
        <w:snapToGrid w:val="0"/>
        <w:spacing w:line="52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lang w:val="en-US" w:eastAsia="zh-CN"/>
        </w:rPr>
        <w:t>5.</w:t>
      </w:r>
      <w:r>
        <w:rPr>
          <w:rFonts w:hint="eastAsia" w:ascii="仿宋_GB2312" w:hAnsi="仿宋" w:eastAsia="仿宋_GB2312"/>
          <w:color w:val="auto"/>
          <w:sz w:val="32"/>
          <w:szCs w:val="32"/>
        </w:rPr>
        <w:t>负责全区自然资源的合理开发利用。组织拟订并实施自然资源发展规划和战略，建立政府公示自然资源价格体系，组织开展自然资源分等定级价格评估，开展自然资源利用评价考核，指导节约集约利用。负责自然资源市场监管。组织研究自然资源管理涉及宏观调控、区域协调和城乡统筹的政策措施。</w:t>
      </w:r>
    </w:p>
    <w:p>
      <w:pPr>
        <w:snapToGrid w:val="0"/>
        <w:spacing w:line="52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lang w:val="en-US" w:eastAsia="zh-CN"/>
        </w:rPr>
        <w:t>6.</w:t>
      </w:r>
      <w:r>
        <w:rPr>
          <w:rFonts w:hint="eastAsia" w:ascii="仿宋_GB2312" w:hAnsi="仿宋" w:eastAsia="仿宋_GB2312"/>
          <w:color w:val="auto"/>
          <w:sz w:val="32"/>
          <w:szCs w:val="32"/>
        </w:rPr>
        <w:t>推进主体功能区战略和制度，组织编制并监督实施国土空间规划以及城乡规划等专项规划。开展国土空间开发适宜性评价，建立国土空间规划实施监测、评估和预警体系。组织划定生态保护红线、永久基本农田、城镇开发边界等控制线，构建节约资源和保护环境的生产、生活、生态空间布局。建立健全国土空间用途管制制度，研究拟订城乡规划政策并监督实施。组织拟订并实施土地等自然资源年度利用计划。负责土地等国土空间用途转用工作。负责土地征收征用管理。负责城乡规划管理。</w:t>
      </w:r>
    </w:p>
    <w:p>
      <w:pPr>
        <w:snapToGrid w:val="0"/>
        <w:spacing w:line="52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lang w:val="en-US" w:eastAsia="zh-CN"/>
        </w:rPr>
        <w:t>7.</w:t>
      </w:r>
      <w:r>
        <w:rPr>
          <w:rFonts w:hint="eastAsia" w:ascii="仿宋_GB2312" w:hAnsi="仿宋" w:eastAsia="仿宋_GB2312"/>
          <w:color w:val="auto"/>
          <w:sz w:val="32"/>
          <w:szCs w:val="32"/>
        </w:rPr>
        <w:t>负责统筹全区国土空间生态修复。牵头组织编制全区国土空间生态修复规划并实施有关生态修复重大工程。负责开展国土空间综合整治、土地整理复垦、矿山地质环境恢复治理等工作。牵头建立和实施生态保护补偿制度，制定合理利用社会资金进行生态修复的政策措施，提出重大备选项目。</w:t>
      </w:r>
    </w:p>
    <w:p>
      <w:pPr>
        <w:snapToGrid w:val="0"/>
        <w:spacing w:line="52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lang w:val="en-US" w:eastAsia="zh-CN"/>
        </w:rPr>
        <w:t>8.</w:t>
      </w:r>
      <w:r>
        <w:rPr>
          <w:rFonts w:hint="eastAsia" w:ascii="仿宋_GB2312" w:hAnsi="仿宋" w:eastAsia="仿宋_GB2312"/>
          <w:color w:val="auto"/>
          <w:sz w:val="32"/>
          <w:szCs w:val="32"/>
        </w:rPr>
        <w:t>负责组织实施最严格的耕地保护制度。牵头拟订并实施全区耕地保护政策，负责耕地数量、质量、生态保护。组织实施耕地保护责任目标考核和永久基本农田特殊保护。完善耕地占补平衡制度，监督占用耕地补偿制度执行情况。</w:t>
      </w:r>
    </w:p>
    <w:p>
      <w:pPr>
        <w:snapToGrid w:val="0"/>
        <w:spacing w:line="52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lang w:val="en-US" w:eastAsia="zh-CN"/>
        </w:rPr>
        <w:t>9.</w:t>
      </w:r>
      <w:r>
        <w:rPr>
          <w:rFonts w:hint="eastAsia" w:ascii="仿宋_GB2312" w:hAnsi="仿宋" w:eastAsia="仿宋_GB2312"/>
          <w:color w:val="auto"/>
          <w:sz w:val="32"/>
          <w:szCs w:val="32"/>
        </w:rPr>
        <w:t>负责管理全区地质勘查和地质工作。拟订全区地质勘查规划并监督检查执行情况。组织实施重大地质矿产勘查专项。负责地质灾害预防和治理，监督管理地下水过量开釆及引发的地面沉降等地质问题。负责古生物化石的监督管理。</w:t>
      </w:r>
    </w:p>
    <w:p>
      <w:pPr>
        <w:snapToGrid w:val="0"/>
        <w:spacing w:line="52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lang w:val="en-US" w:eastAsia="zh-CN"/>
        </w:rPr>
        <w:t>10.</w:t>
      </w:r>
      <w:r>
        <w:rPr>
          <w:rFonts w:hint="eastAsia" w:ascii="仿宋_GB2312" w:hAnsi="仿宋" w:eastAsia="仿宋_GB2312"/>
          <w:color w:val="auto"/>
          <w:sz w:val="32"/>
          <w:szCs w:val="32"/>
        </w:rPr>
        <w:t>负责落实综合防灾减灾规划相关要求，组织编制并实施地质灾害防治规划。组织、指导、协调和监督地质灾害调查评价及隐患的普查、详查、排查。组织、指导开展群测群防、专业监测和预报预警等工作，组织、指导开展地质灾害工程治理工作。承担地质灾害应急救援的技术保障工作。</w:t>
      </w:r>
    </w:p>
    <w:p>
      <w:pPr>
        <w:snapToGrid w:val="0"/>
        <w:spacing w:line="52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lang w:val="en-US" w:eastAsia="zh-CN"/>
        </w:rPr>
        <w:t>11.</w:t>
      </w:r>
      <w:r>
        <w:rPr>
          <w:rFonts w:hint="eastAsia" w:ascii="仿宋_GB2312" w:hAnsi="仿宋" w:eastAsia="仿宋_GB2312"/>
          <w:color w:val="auto"/>
          <w:sz w:val="32"/>
          <w:szCs w:val="32"/>
        </w:rPr>
        <w:t>负责全区矿产资源管理工作。负责矿产资源储量管理及压覆矿产资源审核报批。负责矿业权管理。会同有关部门承担保护性开釆的特定矿种、优势矿产的调控及相关管理工作。监督指导矿产资源合理利用和保护。</w:t>
      </w:r>
    </w:p>
    <w:p>
      <w:pPr>
        <w:snapToGrid w:val="0"/>
        <w:spacing w:line="52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lang w:val="en-US" w:eastAsia="zh-CN"/>
        </w:rPr>
        <w:t>12.</w:t>
      </w:r>
      <w:r>
        <w:rPr>
          <w:rFonts w:hint="eastAsia" w:ascii="仿宋_GB2312" w:hAnsi="仿宋" w:eastAsia="仿宋_GB2312"/>
          <w:color w:val="auto"/>
          <w:sz w:val="32"/>
          <w:szCs w:val="32"/>
        </w:rPr>
        <w:t>推动全区自然资源领域科技发展和对外合作。制定并实施全区自然资源领域科技创新发展和人才培养规划、计划。组织实施重大科技专项及创新能力建设，推进自然资源信息化和信息资料的公共服务。组织开展全区自然资源系统对外交流合作。</w:t>
      </w:r>
    </w:p>
    <w:p>
      <w:pPr>
        <w:snapToGrid w:val="0"/>
        <w:spacing w:line="52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lang w:val="en-US" w:eastAsia="zh-CN"/>
        </w:rPr>
        <w:t>13.</w:t>
      </w:r>
      <w:r>
        <w:rPr>
          <w:rFonts w:hint="eastAsia" w:ascii="仿宋_GB2312" w:hAnsi="仿宋" w:eastAsia="仿宋_GB2312"/>
          <w:color w:val="auto"/>
          <w:sz w:val="32"/>
          <w:szCs w:val="32"/>
        </w:rPr>
        <w:t>配合国家、省对县区政府落实党中央、国务院关于自然资源和国土空间规划的重大方针政策、决策部署及法律法规执行情况进行督察。按照市委、市政府安排，组织实施自然资源督察相关工作。查处全区自然资源开发利用、囯土空间规划、城乡规划、测绘等领域重大违法案件。</w:t>
      </w:r>
    </w:p>
    <w:p>
      <w:pPr>
        <w:snapToGrid w:val="0"/>
        <w:spacing w:line="52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lang w:val="en-US" w:eastAsia="zh-CN"/>
        </w:rPr>
        <w:t>14.</w:t>
      </w:r>
      <w:r>
        <w:rPr>
          <w:rFonts w:hint="eastAsia" w:ascii="仿宋_GB2312" w:hAnsi="仿宋" w:eastAsia="仿宋_GB2312"/>
          <w:color w:val="auto"/>
          <w:sz w:val="32"/>
          <w:szCs w:val="32"/>
        </w:rPr>
        <w:t>负责测绘地理信息管理。负责基础测绘和测绘行业管理。监督管理全区测绘地理信息成果、市场秩序、测绘基准和系统。负责地理信息公共服务管理和测量标志保护。</w:t>
      </w:r>
    </w:p>
    <w:p>
      <w:pPr>
        <w:snapToGrid w:val="0"/>
        <w:spacing w:line="52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lang w:val="en-US" w:eastAsia="zh-CN"/>
        </w:rPr>
        <w:t>15.</w:t>
      </w:r>
      <w:r>
        <w:rPr>
          <w:rFonts w:hint="eastAsia" w:ascii="仿宋_GB2312" w:hAnsi="仿宋" w:eastAsia="仿宋_GB2312"/>
          <w:color w:val="auto"/>
          <w:sz w:val="32"/>
          <w:szCs w:val="32"/>
        </w:rPr>
        <w:t>负责职责范围内的安全生产和职业健康、生态环境保护、审批服务便民化等工作。</w:t>
      </w:r>
    </w:p>
    <w:p>
      <w:pPr>
        <w:pStyle w:val="5"/>
        <w:numPr>
          <w:ilvl w:val="0"/>
          <w:numId w:val="0"/>
        </w:numPr>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lang w:val="en-US" w:eastAsia="zh-CN"/>
        </w:rPr>
        <w:t>16.</w:t>
      </w:r>
      <w:r>
        <w:rPr>
          <w:rFonts w:hint="eastAsia" w:ascii="仿宋_GB2312" w:hAnsi="仿宋" w:eastAsia="仿宋_GB2312"/>
          <w:color w:val="auto"/>
          <w:sz w:val="32"/>
          <w:szCs w:val="32"/>
        </w:rPr>
        <w:t>完成区委、区政府交办的其他任务。</w:t>
      </w:r>
    </w:p>
    <w:p>
      <w:pPr>
        <w:numPr>
          <w:ilvl w:val="0"/>
          <w:numId w:val="0"/>
        </w:numPr>
        <w:snapToGrid w:val="0"/>
        <w:spacing w:line="520" w:lineRule="exact"/>
        <w:ind w:firstLine="640" w:firstLineChars="200"/>
        <w:rPr>
          <w:rFonts w:hint="eastAsia"/>
          <w:color w:val="auto"/>
          <w:lang w:val="zh-CN"/>
        </w:rPr>
      </w:pPr>
      <w:r>
        <w:rPr>
          <w:rFonts w:hint="eastAsia" w:ascii="仿宋_GB2312" w:hAnsi="仿宋" w:eastAsia="仿宋_GB2312"/>
          <w:color w:val="auto"/>
          <w:sz w:val="32"/>
          <w:szCs w:val="32"/>
          <w:lang w:val="en-US" w:eastAsia="zh-CN"/>
        </w:rPr>
        <w:t>人员概况：</w:t>
      </w:r>
      <w:r>
        <w:rPr>
          <w:rFonts w:hint="eastAsia" w:ascii="仿宋_GB2312" w:hAnsi="仿宋" w:eastAsia="仿宋_GB2312"/>
          <w:color w:val="auto"/>
          <w:sz w:val="32"/>
          <w:szCs w:val="32"/>
        </w:rPr>
        <w:t>广元市自然资源局朝天区分局</w:t>
      </w:r>
      <w:r>
        <w:rPr>
          <w:rFonts w:hint="eastAsia" w:ascii="仿宋_GB2312" w:hAnsi="仿宋" w:eastAsia="仿宋_GB2312"/>
          <w:color w:val="auto"/>
          <w:sz w:val="32"/>
          <w:szCs w:val="32"/>
          <w:lang w:val="en-US" w:eastAsia="zh-CN"/>
        </w:rPr>
        <w:t>2022年末实有人数78人，其中行政编制6人，参公编制13人，事业编制29人，年末其他人员30人。</w:t>
      </w:r>
    </w:p>
    <w:p>
      <w:pPr>
        <w:keepNext w:val="0"/>
        <w:keepLines w:val="0"/>
        <w:pageBreakBefore w:val="0"/>
        <w:widowControl/>
        <w:numPr>
          <w:ilvl w:val="0"/>
          <w:numId w:val="6"/>
        </w:numPr>
        <w:kinsoku/>
        <w:wordWrap/>
        <w:overflowPunct/>
        <w:topLinePunct w:val="0"/>
        <w:autoSpaceDE/>
        <w:autoSpaceDN/>
        <w:bidi w:val="0"/>
        <w:adjustRightInd w:val="0"/>
        <w:snapToGrid w:val="0"/>
        <w:spacing w:line="560" w:lineRule="exact"/>
        <w:ind w:left="0" w:leftChars="0"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年度主要工作任务。</w:t>
      </w:r>
    </w:p>
    <w:p>
      <w:pPr>
        <w:numPr>
          <w:ilvl w:val="0"/>
          <w:numId w:val="0"/>
        </w:numPr>
        <w:snapToGrid w:val="0"/>
        <w:spacing w:line="520" w:lineRule="exact"/>
        <w:ind w:firstLine="643" w:firstLineChars="200"/>
        <w:rPr>
          <w:rFonts w:hint="eastAsia" w:ascii="仿宋_GB2312" w:hAnsi="仿宋" w:eastAsia="仿宋_GB2312" w:cs="Times New Roman"/>
          <w:color w:val="auto"/>
          <w:sz w:val="32"/>
          <w:szCs w:val="32"/>
          <w:lang w:val="en-US" w:eastAsia="zh-CN"/>
        </w:rPr>
      </w:pPr>
      <w:r>
        <w:rPr>
          <w:rFonts w:hint="eastAsia" w:ascii="仿宋_GB2312" w:hAnsi="仿宋" w:eastAsia="仿宋_GB2312" w:cs="Times New Roman"/>
          <w:b/>
          <w:bCs/>
          <w:color w:val="auto"/>
          <w:sz w:val="32"/>
          <w:szCs w:val="32"/>
          <w:lang w:val="en-US" w:eastAsia="zh-CN"/>
        </w:rPr>
        <w:t>1.坚定理想信念，加强政治理论学习。</w:t>
      </w:r>
      <w:r>
        <w:rPr>
          <w:rFonts w:hint="eastAsia" w:ascii="仿宋_GB2312" w:hAnsi="仿宋" w:eastAsia="仿宋_GB2312" w:cs="Times New Roman"/>
          <w:color w:val="auto"/>
          <w:sz w:val="32"/>
          <w:szCs w:val="32"/>
          <w:lang w:val="en-US" w:eastAsia="zh-CN"/>
        </w:rPr>
        <w:t>依托学习强国、四川观察、川观新闻、四川在线、天府通办、微朝天等学习平台，组织干部职工系统学习习近平新时代中国特色社会主义思想和党的十九大、二十大精神，深刻领会习近平总书记系列重要讲话和来川视察重要指示精神、省十二次党代会精神和党中央国务院、省委、市委、市局党委、区委各项决策部署，忠诚拥护“两个确立”，切实增强“四个意识”，坚定“四个自信”，做到“两个维护”，不断提高政治判断力、政治领悟力、政治执行力。全年组织集中学习9次、中心组理论学习12次，党组书记及班子成员讲党课12人次，开展党的二十大精神专题学习3次。</w:t>
      </w:r>
    </w:p>
    <w:p>
      <w:pPr>
        <w:numPr>
          <w:ilvl w:val="0"/>
          <w:numId w:val="0"/>
        </w:numPr>
        <w:snapToGrid w:val="0"/>
        <w:spacing w:line="520" w:lineRule="exact"/>
        <w:ind w:firstLine="643" w:firstLineChars="200"/>
        <w:rPr>
          <w:rFonts w:hint="eastAsia" w:ascii="仿宋_GB2312" w:hAnsi="仿宋" w:eastAsia="仿宋_GB2312" w:cs="Times New Roman"/>
          <w:color w:val="auto"/>
          <w:sz w:val="32"/>
          <w:szCs w:val="32"/>
          <w:lang w:val="en-US" w:eastAsia="zh-CN"/>
        </w:rPr>
      </w:pPr>
      <w:r>
        <w:rPr>
          <w:rFonts w:hint="eastAsia" w:ascii="仿宋_GB2312" w:hAnsi="仿宋" w:eastAsia="仿宋_GB2312" w:cs="Times New Roman"/>
          <w:b/>
          <w:bCs/>
          <w:color w:val="auto"/>
          <w:sz w:val="32"/>
          <w:szCs w:val="32"/>
          <w:lang w:val="en-US" w:eastAsia="zh-CN"/>
        </w:rPr>
        <w:t>2.坚持争先进位，超额完成自然资源各项指标。</w:t>
      </w:r>
      <w:r>
        <w:rPr>
          <w:rFonts w:hint="eastAsia" w:ascii="仿宋_GB2312" w:hAnsi="仿宋" w:eastAsia="仿宋_GB2312" w:cs="Times New Roman"/>
          <w:color w:val="auto"/>
          <w:sz w:val="32"/>
          <w:szCs w:val="32"/>
          <w:lang w:val="en-US" w:eastAsia="zh-CN"/>
        </w:rPr>
        <w:t>完成固定资产投资1.8亿元，占目标任务1.5亿元的120%；向上争取到位资金2.3亿元，占目标任务0.9亿元的255%；完成非税收入7.3亿元，占目标任务6.0亿元的121%；招商引资签约资金2.6亿元，占目标任务2.5亿元的104%。</w:t>
      </w:r>
    </w:p>
    <w:p>
      <w:pPr>
        <w:numPr>
          <w:ilvl w:val="0"/>
          <w:numId w:val="0"/>
        </w:numPr>
        <w:snapToGrid w:val="0"/>
        <w:spacing w:line="520" w:lineRule="exact"/>
        <w:ind w:firstLine="643" w:firstLineChars="200"/>
        <w:rPr>
          <w:rFonts w:hint="eastAsia" w:ascii="仿宋_GB2312" w:hAnsi="仿宋" w:eastAsia="仿宋_GB2312" w:cs="Times New Roman"/>
          <w:color w:val="auto"/>
          <w:sz w:val="32"/>
          <w:szCs w:val="32"/>
          <w:lang w:val="en-US" w:eastAsia="zh-CN"/>
        </w:rPr>
      </w:pPr>
      <w:r>
        <w:rPr>
          <w:rFonts w:hint="eastAsia" w:ascii="仿宋_GB2312" w:hAnsi="仿宋" w:eastAsia="仿宋_GB2312" w:cs="Times New Roman"/>
          <w:b/>
          <w:bCs/>
          <w:color w:val="auto"/>
          <w:sz w:val="32"/>
          <w:szCs w:val="32"/>
          <w:lang w:val="en-US" w:eastAsia="zh-CN"/>
        </w:rPr>
        <w:t>3.坚持规划先行，优化国土空间开发保护格局。</w:t>
      </w:r>
      <w:r>
        <w:rPr>
          <w:rFonts w:hint="eastAsia" w:ascii="仿宋_GB2312" w:hAnsi="仿宋" w:eastAsia="仿宋_GB2312" w:cs="Times New Roman"/>
          <w:color w:val="auto"/>
          <w:sz w:val="32"/>
          <w:szCs w:val="32"/>
          <w:lang w:val="en-US" w:eastAsia="zh-CN"/>
        </w:rPr>
        <w:t>一是按时上报“三区三线”划定成果，并通过自然资源部批准执行。二是编制完成了《曾家山农旅文康融合发展片区国土空间总体规划》、《朝天核桃农文旅融合发展片区国土空间总体规划》、《中子农工旅融合发展片区国土空间总体规划》、《羊木农商融合发展片区国土空间总体规划》，实现乡镇片区规划全覆盖。三是整体推进全区14项专项规划编制，启动13个，编制完成9个，形成初稿4个。</w:t>
      </w:r>
    </w:p>
    <w:p>
      <w:pPr>
        <w:numPr>
          <w:ilvl w:val="0"/>
          <w:numId w:val="0"/>
        </w:numPr>
        <w:snapToGrid w:val="0"/>
        <w:spacing w:line="520" w:lineRule="exact"/>
        <w:ind w:firstLine="643" w:firstLineChars="200"/>
        <w:rPr>
          <w:rFonts w:hint="eastAsia" w:ascii="仿宋_GB2312" w:hAnsi="仿宋" w:eastAsia="仿宋_GB2312" w:cs="Times New Roman"/>
          <w:color w:val="auto"/>
          <w:sz w:val="32"/>
          <w:szCs w:val="32"/>
          <w:lang w:val="en-US" w:eastAsia="zh-CN"/>
        </w:rPr>
      </w:pPr>
      <w:r>
        <w:rPr>
          <w:rFonts w:hint="eastAsia" w:ascii="仿宋_GB2312" w:hAnsi="仿宋" w:eastAsia="仿宋_GB2312" w:cs="Times New Roman"/>
          <w:b/>
          <w:bCs/>
          <w:color w:val="auto"/>
          <w:sz w:val="32"/>
          <w:szCs w:val="32"/>
          <w:lang w:val="en-US" w:eastAsia="zh-CN"/>
        </w:rPr>
        <w:t>4.严格保护耕地，夯实粮食安全基础。</w:t>
      </w:r>
      <w:r>
        <w:rPr>
          <w:rFonts w:hint="eastAsia" w:ascii="仿宋_GB2312" w:hAnsi="仿宋" w:eastAsia="仿宋_GB2312" w:cs="Times New Roman"/>
          <w:color w:val="auto"/>
          <w:sz w:val="32"/>
          <w:szCs w:val="32"/>
          <w:lang w:val="en-US" w:eastAsia="zh-CN"/>
        </w:rPr>
        <w:t>一是运用“三调”成果，对自然资源部下发的610个图斑、面积3337亩进行了举证，并通过审核。二是制定《朝天区县级党政领导干部耕地保护工作责任清单》、《朝天区全面推行田长制实施方案》，为严格管理提供了遵循。三是根据《2022年度耕地保护党政同责考评细则》，完成了2022年度耕地保护党政同责考核。四是超额完成2021年度耕地“进出平衡”整改恢复任务，通过省级审查面积3735亩，占2021年度目标任务的123％。整改恢复2022年度耕地进出平衡814亩，通过审核688亩，全面完成市下目标任务。</w:t>
      </w:r>
    </w:p>
    <w:p>
      <w:pPr>
        <w:numPr>
          <w:ilvl w:val="0"/>
          <w:numId w:val="0"/>
        </w:numPr>
        <w:snapToGrid w:val="0"/>
        <w:spacing w:line="520" w:lineRule="exact"/>
        <w:ind w:firstLine="643" w:firstLineChars="200"/>
        <w:rPr>
          <w:rFonts w:hint="eastAsia" w:ascii="仿宋_GB2312" w:hAnsi="仿宋" w:eastAsia="仿宋_GB2312" w:cs="Times New Roman"/>
          <w:color w:val="auto"/>
          <w:sz w:val="32"/>
          <w:szCs w:val="32"/>
          <w:lang w:val="en-US" w:eastAsia="zh-CN"/>
        </w:rPr>
      </w:pPr>
      <w:r>
        <w:rPr>
          <w:rFonts w:hint="eastAsia" w:ascii="仿宋_GB2312" w:hAnsi="仿宋" w:eastAsia="仿宋_GB2312" w:cs="Times New Roman"/>
          <w:b/>
          <w:bCs/>
          <w:color w:val="auto"/>
          <w:sz w:val="32"/>
          <w:szCs w:val="32"/>
          <w:lang w:val="en-US" w:eastAsia="zh-CN"/>
        </w:rPr>
        <w:t>5.坚持精准保障，推进经济高质量发展</w:t>
      </w:r>
      <w:r>
        <w:rPr>
          <w:rFonts w:hint="eastAsia" w:ascii="仿宋_GB2312" w:hAnsi="仿宋" w:eastAsia="仿宋_GB2312" w:cs="Times New Roman"/>
          <w:color w:val="auto"/>
          <w:sz w:val="32"/>
          <w:szCs w:val="32"/>
          <w:lang w:val="en-US" w:eastAsia="zh-CN"/>
        </w:rPr>
        <w:t>。一是上报7个批次用地及省道410线单独选址项目，报征面积915亩。二是编制完成中子镇中部片区、望远山片区、两河至曾家片区成片开发方案，审查备案33宗、240亩设施农业用地。三是按照批准的《朝天区2022年度国有建设用地供应计划》，审定供地方案27宗，出让土地（含划拨）1305亩，实现收益5亿元。四是按照《朝天区2022年度“批而未供处置”攻坚方案》，完成批而未供处置808亩，占目标任务的178%，全市排位第一。</w:t>
      </w:r>
    </w:p>
    <w:p>
      <w:pPr>
        <w:numPr>
          <w:ilvl w:val="0"/>
          <w:numId w:val="0"/>
        </w:numPr>
        <w:snapToGrid w:val="0"/>
        <w:spacing w:line="520" w:lineRule="exact"/>
        <w:ind w:firstLine="643" w:firstLineChars="200"/>
        <w:rPr>
          <w:rFonts w:hint="eastAsia" w:ascii="仿宋_GB2312" w:hAnsi="仿宋" w:eastAsia="仿宋_GB2312" w:cs="Times New Roman"/>
          <w:color w:val="auto"/>
          <w:sz w:val="32"/>
          <w:szCs w:val="32"/>
          <w:lang w:val="en-US" w:eastAsia="zh-CN"/>
        </w:rPr>
      </w:pPr>
      <w:r>
        <w:rPr>
          <w:rFonts w:hint="eastAsia" w:ascii="仿宋_GB2312" w:hAnsi="仿宋" w:eastAsia="仿宋_GB2312" w:cs="Times New Roman"/>
          <w:b/>
          <w:bCs/>
          <w:color w:val="auto"/>
          <w:sz w:val="32"/>
          <w:szCs w:val="32"/>
          <w:lang w:val="en-US" w:eastAsia="zh-CN"/>
        </w:rPr>
        <w:t>6.坚持生态优先，全面推进矿产资源管理和生态修复工作。</w:t>
      </w:r>
      <w:r>
        <w:rPr>
          <w:rFonts w:hint="eastAsia" w:ascii="仿宋_GB2312" w:hAnsi="仿宋" w:eastAsia="仿宋_GB2312" w:cs="Times New Roman"/>
          <w:color w:val="auto"/>
          <w:sz w:val="32"/>
          <w:szCs w:val="32"/>
          <w:lang w:val="en-US" w:eastAsia="zh-CN"/>
        </w:rPr>
        <w:t>一是制定《朝天区第四轮矿产资源总体规划》，办理探、采矿权延续2起，有序推进朝天区曹家沟—张家沟大型天然沥青矿“探转采”，完成朝天区槽湾头石灰岩矿资源储量勘查，探明地质储量约7500万吨，勘查成果已上报市局评审。二是清理各类保护区和生态红线范围内矿业权8个，按照“一矿一策”制定了《朝天区矿业权退出方案》，现已上报市政府备案。三是制定了《朝天区矿山生态修复问题排查整治实施方案》，完成废弃矿山生态修复2处，开工历史遗留矿山生态修复项目2处，拟修复面积5.61公顷。四是核查省级下发历史遗留矿山图斑，确认未治理18个，面积13.83公顷。</w:t>
      </w:r>
    </w:p>
    <w:p>
      <w:pPr>
        <w:numPr>
          <w:ilvl w:val="0"/>
          <w:numId w:val="0"/>
        </w:numPr>
        <w:snapToGrid w:val="0"/>
        <w:spacing w:line="520" w:lineRule="exact"/>
        <w:ind w:firstLine="643" w:firstLineChars="200"/>
        <w:rPr>
          <w:rFonts w:hint="eastAsia" w:ascii="仿宋_GB2312" w:hAnsi="仿宋" w:eastAsia="仿宋_GB2312" w:cs="Times New Roman"/>
          <w:color w:val="auto"/>
          <w:sz w:val="32"/>
          <w:szCs w:val="32"/>
          <w:lang w:val="en-US" w:eastAsia="zh-CN"/>
        </w:rPr>
      </w:pPr>
      <w:r>
        <w:rPr>
          <w:rFonts w:hint="eastAsia" w:ascii="仿宋_GB2312" w:hAnsi="仿宋" w:eastAsia="仿宋_GB2312" w:cs="Times New Roman"/>
          <w:b/>
          <w:bCs/>
          <w:color w:val="auto"/>
          <w:sz w:val="32"/>
          <w:szCs w:val="32"/>
          <w:lang w:val="en-US" w:eastAsia="zh-CN"/>
        </w:rPr>
        <w:t>7.坚持以人为本，抓实地质灾害防治工作。</w:t>
      </w:r>
      <w:r>
        <w:rPr>
          <w:rFonts w:hint="eastAsia" w:ascii="仿宋_GB2312" w:hAnsi="仿宋" w:eastAsia="仿宋_GB2312" w:cs="Times New Roman"/>
          <w:color w:val="auto"/>
          <w:sz w:val="32"/>
          <w:szCs w:val="32"/>
          <w:lang w:val="en-US" w:eastAsia="zh-CN"/>
        </w:rPr>
        <w:t>全力打好防范化解自然资源重大风险攻坚战，全年排查、巡查疑似地灾隐患点600余个。开展宣传培训演练110场次，发布监测预警预报信息133次，发布橙色、黄色预警信息2900余条。汛期组织地灾隐患点转移避让66户141人。全年销号隐患点20处，实施地灾治理项目4批次15处，完成工程治理7处，排危除险5处，避险搬迁1处。全年通过“人技结合”实现了地质灾害“零伤亡”。</w:t>
      </w:r>
    </w:p>
    <w:p>
      <w:pPr>
        <w:numPr>
          <w:ilvl w:val="0"/>
          <w:numId w:val="0"/>
        </w:numPr>
        <w:snapToGrid w:val="0"/>
        <w:spacing w:line="520" w:lineRule="exact"/>
        <w:ind w:firstLine="643" w:firstLineChars="200"/>
        <w:rPr>
          <w:rFonts w:hint="eastAsia" w:ascii="仿宋_GB2312" w:hAnsi="仿宋" w:eastAsia="仿宋_GB2312" w:cs="Times New Roman"/>
          <w:color w:val="auto"/>
          <w:sz w:val="32"/>
          <w:szCs w:val="32"/>
          <w:lang w:val="en-US" w:eastAsia="zh-CN"/>
        </w:rPr>
      </w:pPr>
      <w:r>
        <w:rPr>
          <w:rFonts w:hint="eastAsia" w:ascii="仿宋_GB2312" w:hAnsi="仿宋" w:eastAsia="仿宋_GB2312" w:cs="Times New Roman"/>
          <w:b/>
          <w:bCs/>
          <w:color w:val="auto"/>
          <w:sz w:val="32"/>
          <w:szCs w:val="32"/>
          <w:lang w:val="en-US" w:eastAsia="zh-CN"/>
        </w:rPr>
        <w:t>8.优化营商环境，持续提升自然资源为民服务能力。</w:t>
      </w:r>
      <w:r>
        <w:rPr>
          <w:rFonts w:hint="eastAsia" w:ascii="仿宋_GB2312" w:hAnsi="仿宋" w:eastAsia="仿宋_GB2312" w:cs="Times New Roman"/>
          <w:color w:val="auto"/>
          <w:sz w:val="32"/>
          <w:szCs w:val="32"/>
          <w:lang w:val="en-US" w:eastAsia="zh-CN"/>
        </w:rPr>
        <w:t>一是推进不动产登记“放管服”改革，全年受理不动产登记3829件，颁发不动产权证书3489本。启动“交地即交证”、“交房即交证”工作，开辟绿色通道办理登记23件，彻底解决朝天城区“明月新城”涉及1000余户问题楼盘办证问题。二是深化工程建设项目审批制度改革，办理制发工程建设项目各类证书45件，全面完成区域评估，形成最终成果并上传工改系统。三是持续做优规划服务，积极开展项目联审，出具建设项目规划及用地红线图80件，完成61批次项目内审。</w:t>
      </w:r>
    </w:p>
    <w:p>
      <w:pPr>
        <w:numPr>
          <w:ilvl w:val="0"/>
          <w:numId w:val="0"/>
        </w:numPr>
        <w:snapToGrid w:val="0"/>
        <w:spacing w:line="520" w:lineRule="exact"/>
        <w:ind w:firstLine="643" w:firstLineChars="200"/>
        <w:rPr>
          <w:rFonts w:hint="eastAsia" w:ascii="仿宋_GB2312" w:hAnsi="仿宋" w:eastAsia="仿宋_GB2312" w:cs="Times New Roman"/>
          <w:color w:val="auto"/>
          <w:sz w:val="32"/>
          <w:szCs w:val="32"/>
          <w:lang w:val="en-US" w:eastAsia="zh-CN"/>
        </w:rPr>
      </w:pPr>
      <w:r>
        <w:rPr>
          <w:rFonts w:hint="eastAsia" w:ascii="仿宋_GB2312" w:hAnsi="仿宋" w:eastAsia="仿宋_GB2312" w:cs="Times New Roman"/>
          <w:b/>
          <w:bCs/>
          <w:color w:val="auto"/>
          <w:sz w:val="32"/>
          <w:szCs w:val="32"/>
          <w:lang w:val="en-US" w:eastAsia="zh-CN"/>
        </w:rPr>
        <w:t>9.坚持质量至上，持续推进自然资源各类项目。</w:t>
      </w:r>
      <w:r>
        <w:rPr>
          <w:rFonts w:hint="eastAsia" w:ascii="仿宋_GB2312" w:hAnsi="仿宋" w:eastAsia="仿宋_GB2312" w:cs="Times New Roman"/>
          <w:color w:val="auto"/>
          <w:sz w:val="32"/>
          <w:szCs w:val="32"/>
          <w:lang w:val="en-US" w:eastAsia="zh-CN"/>
        </w:rPr>
        <w:t>一是完成18个城乡建设用地增减挂钩项目施工和验收，取得指标确认函7个，实现节余指标674亩。推动节余指标成功流转，流转1143亩，交易金额3.43亿元，全年回收流转资金2.28亿元。新编制增减挂钩项目8个，规划面积2259亩，项目涵盖朝天、羊木、沙河、曾家（4个项目）、两河口共5个乡镇。二是编制完成了《朝天区曾家镇全域土地综合整治试点项目工作方案》和《朝天区曾家镇全域土地综合整治试点实施方案》，现在市级核验。</w:t>
      </w:r>
    </w:p>
    <w:p>
      <w:pPr>
        <w:numPr>
          <w:ilvl w:val="0"/>
          <w:numId w:val="0"/>
        </w:numPr>
        <w:snapToGrid w:val="0"/>
        <w:spacing w:line="520" w:lineRule="exact"/>
        <w:ind w:firstLine="643" w:firstLineChars="200"/>
        <w:rPr>
          <w:rFonts w:hint="eastAsia" w:ascii="仿宋_GB2312" w:hAnsi="仿宋" w:eastAsia="仿宋_GB2312" w:cs="Times New Roman"/>
          <w:color w:val="auto"/>
          <w:sz w:val="32"/>
          <w:szCs w:val="32"/>
          <w:lang w:val="en-US" w:eastAsia="zh-CN"/>
        </w:rPr>
      </w:pPr>
      <w:r>
        <w:rPr>
          <w:rFonts w:hint="eastAsia" w:ascii="仿宋_GB2312" w:hAnsi="仿宋" w:eastAsia="仿宋_GB2312" w:cs="Times New Roman"/>
          <w:b/>
          <w:bCs/>
          <w:color w:val="auto"/>
          <w:sz w:val="32"/>
          <w:szCs w:val="32"/>
          <w:lang w:val="en-US" w:eastAsia="zh-CN"/>
        </w:rPr>
        <w:t>10.强化依法行政，扎实推进法治政府创建。</w:t>
      </w:r>
      <w:r>
        <w:rPr>
          <w:rFonts w:hint="eastAsia" w:ascii="仿宋_GB2312" w:hAnsi="仿宋" w:eastAsia="仿宋_GB2312" w:cs="Times New Roman"/>
          <w:color w:val="auto"/>
          <w:sz w:val="32"/>
          <w:szCs w:val="32"/>
          <w:lang w:val="en-US" w:eastAsia="zh-CN"/>
        </w:rPr>
        <w:t>制定《朝天区自然资源系统法治政府建设实施方案（2021—2025年）》，召开推进会安排部署各项工作。依法开展自然资源巡查465次，发现制止自然资源违法违规行为11起。完成2018年至2021年四川省建设项目占用基本农田核实、2021年耕地流出重点问题整治、2022年度耕地卫片核查等工作，累计审查7000个图斑。开展农村乱占耕地建房问题1.5万个补充图斑核查工作，尚未发现新增“顶风违建”问题。核查国务院大督查反馈问题线索33个，整改销号27个，其余6个正在通过完善农转用手续实现整改。</w:t>
      </w:r>
    </w:p>
    <w:p>
      <w:pPr>
        <w:numPr>
          <w:ilvl w:val="0"/>
          <w:numId w:val="0"/>
        </w:numPr>
        <w:snapToGrid w:val="0"/>
        <w:spacing w:line="520" w:lineRule="exact"/>
        <w:ind w:firstLine="643" w:firstLineChars="200"/>
        <w:rPr>
          <w:rFonts w:hint="eastAsia" w:ascii="仿宋_GB2312" w:hAnsi="仿宋" w:eastAsia="仿宋_GB2312" w:cs="Times New Roman"/>
          <w:color w:val="auto"/>
          <w:sz w:val="32"/>
          <w:szCs w:val="32"/>
          <w:lang w:val="en-US" w:eastAsia="zh-CN"/>
        </w:rPr>
      </w:pPr>
      <w:r>
        <w:rPr>
          <w:rFonts w:hint="eastAsia" w:ascii="仿宋_GB2312" w:hAnsi="仿宋" w:eastAsia="仿宋_GB2312" w:cs="Times New Roman"/>
          <w:b/>
          <w:bCs/>
          <w:color w:val="auto"/>
          <w:sz w:val="32"/>
          <w:szCs w:val="32"/>
          <w:lang w:val="en-US" w:eastAsia="zh-CN"/>
        </w:rPr>
        <w:t>11.强化法治宣传，优化法治环境。</w:t>
      </w:r>
      <w:r>
        <w:rPr>
          <w:rFonts w:hint="eastAsia" w:ascii="仿宋_GB2312" w:hAnsi="仿宋" w:eastAsia="仿宋_GB2312" w:cs="Times New Roman"/>
          <w:color w:val="auto"/>
          <w:sz w:val="32"/>
          <w:szCs w:val="32"/>
          <w:lang w:val="en-US" w:eastAsia="zh-CN"/>
        </w:rPr>
        <w:t>制定《朝天区自然资源分局法治宣传教育第八个五年规划（2021-2025）》，落实各项普法工作任务，通过“4.22世界地球日”、“6月安全生产月”、“6.25土地日”、“12.4宪法宣传周”等重要宣传时点，宣传自然资源各类法律、法规和政策。全年累计发放各类宣传单、宣传册4000余份，宣传手袋200余个，营造了良好的自然资源法治氛围。</w:t>
      </w:r>
    </w:p>
    <w:p>
      <w:pPr>
        <w:numPr>
          <w:ilvl w:val="0"/>
          <w:numId w:val="0"/>
        </w:numPr>
        <w:snapToGrid w:val="0"/>
        <w:spacing w:line="520" w:lineRule="exact"/>
        <w:ind w:firstLine="643" w:firstLineChars="200"/>
        <w:rPr>
          <w:rFonts w:hint="eastAsia" w:ascii="仿宋_GB2312" w:hAnsi="仿宋" w:eastAsia="仿宋_GB2312" w:cs="Times New Roman"/>
          <w:color w:val="auto"/>
          <w:sz w:val="32"/>
          <w:szCs w:val="32"/>
          <w:lang w:val="en-US" w:eastAsia="zh-CN"/>
        </w:rPr>
      </w:pPr>
      <w:r>
        <w:rPr>
          <w:rFonts w:hint="eastAsia" w:ascii="仿宋_GB2312" w:hAnsi="仿宋" w:eastAsia="仿宋_GB2312" w:cs="Times New Roman"/>
          <w:b/>
          <w:bCs/>
          <w:color w:val="auto"/>
          <w:sz w:val="32"/>
          <w:szCs w:val="32"/>
          <w:lang w:val="en-US" w:eastAsia="zh-CN"/>
        </w:rPr>
        <w:t>12.抓好信访维稳，切实提高信访业务规范化水平</w:t>
      </w:r>
      <w:r>
        <w:rPr>
          <w:rFonts w:hint="eastAsia" w:ascii="仿宋_GB2312" w:hAnsi="仿宋" w:eastAsia="仿宋_GB2312" w:cs="Times New Roman"/>
          <w:color w:val="auto"/>
          <w:sz w:val="32"/>
          <w:szCs w:val="32"/>
          <w:lang w:val="en-US" w:eastAsia="zh-CN"/>
        </w:rPr>
        <w:t>。严格按程序做好信访回复，实现办结率100%，息诉止访率100%。制定“党的二十大”、春节、国庆等重点时段信访维稳工作方案，落实班子成员轮流值班接访，全年未发生重大、越级上访或极端上访。完成上级自然资源督察反馈蔬菜农业园区非农化非粮化、占用基本农田违规建房、土地违规抵押融资等问题整改工作。</w:t>
      </w:r>
    </w:p>
    <w:p>
      <w:pPr>
        <w:numPr>
          <w:ilvl w:val="0"/>
          <w:numId w:val="0"/>
        </w:numPr>
        <w:snapToGrid w:val="0"/>
        <w:spacing w:line="520" w:lineRule="exact"/>
        <w:ind w:firstLine="643" w:firstLineChars="200"/>
        <w:rPr>
          <w:rFonts w:hint="eastAsia"/>
          <w:color w:val="auto"/>
          <w:lang w:val="zh-CN"/>
        </w:rPr>
      </w:pPr>
      <w:r>
        <w:rPr>
          <w:rFonts w:hint="eastAsia" w:ascii="仿宋_GB2312" w:hAnsi="仿宋" w:eastAsia="仿宋_GB2312" w:cs="Times New Roman"/>
          <w:b/>
          <w:bCs/>
          <w:color w:val="auto"/>
          <w:sz w:val="32"/>
          <w:szCs w:val="32"/>
          <w:lang w:val="en-US" w:eastAsia="zh-CN"/>
        </w:rPr>
        <w:t>13.推进扫黑除恶专项斗争长效常治。</w:t>
      </w:r>
      <w:r>
        <w:rPr>
          <w:rFonts w:hint="eastAsia" w:ascii="仿宋_GB2312" w:hAnsi="仿宋" w:eastAsia="仿宋_GB2312" w:cs="Times New Roman"/>
          <w:color w:val="auto"/>
          <w:sz w:val="32"/>
          <w:szCs w:val="32"/>
          <w:lang w:val="en-US" w:eastAsia="zh-CN"/>
        </w:rPr>
        <w:t>继续保持对自然资源领域各类违法违规行为高压严管态势，坚持打早打小打苗头，对可能存在涉黑涉恶涉乱等违法违规行为加强线索摸排力度，累计开展巡查300余次，整治自然资源领域行业乱象16起,责令退还土地88.66亩，处罚款88.44万元。</w:t>
      </w:r>
    </w:p>
    <w:p>
      <w:pPr>
        <w:keepNext w:val="0"/>
        <w:keepLines w:val="0"/>
        <w:pageBreakBefore w:val="0"/>
        <w:widowControl/>
        <w:numPr>
          <w:ilvl w:val="0"/>
          <w:numId w:val="6"/>
        </w:numPr>
        <w:kinsoku/>
        <w:wordWrap/>
        <w:overflowPunct/>
        <w:topLinePunct w:val="0"/>
        <w:autoSpaceDE/>
        <w:autoSpaceDN/>
        <w:bidi w:val="0"/>
        <w:adjustRightInd w:val="0"/>
        <w:snapToGrid w:val="0"/>
        <w:spacing w:line="560" w:lineRule="exact"/>
        <w:ind w:left="0" w:leftChars="0"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部门整体支出绩效目标。</w:t>
      </w:r>
    </w:p>
    <w:p>
      <w:pPr>
        <w:numPr>
          <w:ilvl w:val="0"/>
          <w:numId w:val="0"/>
        </w:numPr>
        <w:snapToGrid w:val="0"/>
        <w:spacing w:line="520" w:lineRule="exact"/>
        <w:ind w:firstLine="640" w:firstLineChars="200"/>
        <w:rPr>
          <w:rFonts w:hint="eastAsia" w:ascii="仿宋_GB2312" w:hAnsi="仿宋" w:eastAsia="仿宋_GB2312" w:cs="Times New Roman"/>
          <w:color w:val="auto"/>
          <w:sz w:val="32"/>
          <w:szCs w:val="32"/>
          <w:lang w:val="zh-CN" w:eastAsia="zh-CN"/>
        </w:rPr>
      </w:pPr>
      <w:r>
        <w:rPr>
          <w:rFonts w:hint="eastAsia" w:ascii="仿宋_GB2312" w:hAnsi="仿宋" w:eastAsia="仿宋_GB2312" w:cs="Times New Roman"/>
          <w:b w:val="0"/>
          <w:bCs w:val="0"/>
          <w:color w:val="auto"/>
          <w:sz w:val="32"/>
          <w:szCs w:val="32"/>
          <w:lang w:val="en-US" w:eastAsia="zh-CN"/>
        </w:rPr>
        <w:t>目标1：2022年在编人员全年工资福利及养老保险、公积金、医疗保险、生育险、绩效工资、交通补助，保障2人遗嘱补助人员的遗嘱补助发放；日常办公设备用品采购、水、电、气、邮电费等一系列的开支；目标2：完成土地报征工作，确保项目用地；目标3：完成土地增减挂钩项目并流转成功，促进地方收入；目标4：及时缴纳新增建设用地有偿使用费，确保用地批复及时到位，保障项目用地</w:t>
      </w:r>
      <w:r>
        <w:rPr>
          <w:rFonts w:hint="eastAsia" w:ascii="仿宋_GB2312" w:hAnsi="仿宋" w:eastAsia="仿宋_GB2312" w:cs="Times New Roman"/>
          <w:color w:val="auto"/>
          <w:sz w:val="32"/>
          <w:szCs w:val="32"/>
          <w:lang w:val="en-US" w:eastAsia="zh-CN"/>
        </w:rPr>
        <w:t>需求。</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ascii="黑体" w:hAnsi="宋体" w:eastAsia="黑体" w:cs="宋体"/>
          <w:color w:val="auto"/>
          <w:kern w:val="0"/>
          <w:sz w:val="32"/>
          <w:szCs w:val="32"/>
          <w:highlight w:val="none"/>
          <w:shd w:val="clear" w:color="auto" w:fill="FFFFFF"/>
        </w:rPr>
      </w:pPr>
      <w:r>
        <w:rPr>
          <w:rFonts w:hint="eastAsia" w:ascii="黑体" w:hAnsi="宋体" w:eastAsia="黑体" w:cs="宋体"/>
          <w:color w:val="auto"/>
          <w:kern w:val="0"/>
          <w:sz w:val="32"/>
          <w:szCs w:val="32"/>
          <w:highlight w:val="none"/>
          <w:shd w:val="clear" w:color="auto" w:fill="FFFFFF"/>
        </w:rPr>
        <w:t>二、</w:t>
      </w:r>
      <w:r>
        <w:rPr>
          <w:rFonts w:hint="eastAsia" w:ascii="黑体" w:hAnsi="宋体" w:eastAsia="黑体" w:cs="宋体"/>
          <w:color w:val="auto"/>
          <w:kern w:val="0"/>
          <w:sz w:val="32"/>
          <w:szCs w:val="32"/>
          <w:highlight w:val="none"/>
          <w:shd w:val="clear" w:color="auto" w:fill="FFFFFF"/>
          <w:lang w:eastAsia="zh-CN"/>
        </w:rPr>
        <w:t>部门</w:t>
      </w:r>
      <w:r>
        <w:rPr>
          <w:rFonts w:hint="eastAsia" w:ascii="黑体" w:hAnsi="宋体" w:eastAsia="黑体" w:cs="宋体"/>
          <w:color w:val="auto"/>
          <w:kern w:val="0"/>
          <w:sz w:val="32"/>
          <w:szCs w:val="32"/>
          <w:highlight w:val="none"/>
          <w:shd w:val="clear" w:color="auto" w:fill="FFFFFF"/>
        </w:rPr>
        <w:t>资金收支情况</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（一）部门总体收支情况。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1.部门总体收入情况</w:t>
      </w:r>
    </w:p>
    <w:p>
      <w:pPr>
        <w:numPr>
          <w:ilvl w:val="0"/>
          <w:numId w:val="0"/>
        </w:numPr>
        <w:snapToGrid w:val="0"/>
        <w:spacing w:line="520" w:lineRule="exact"/>
        <w:ind w:firstLine="640" w:firstLineChars="200"/>
        <w:rPr>
          <w:rFonts w:hint="eastAsia" w:ascii="仿宋_GB2312" w:hAnsi="仿宋" w:eastAsia="仿宋_GB2312" w:cs="Times New Roman"/>
          <w:color w:val="auto"/>
          <w:kern w:val="2"/>
          <w:sz w:val="32"/>
          <w:szCs w:val="32"/>
          <w:lang w:val="en-US" w:eastAsia="zh-CN" w:bidi="ar-SA"/>
        </w:rPr>
      </w:pPr>
      <w:r>
        <w:rPr>
          <w:rFonts w:hint="eastAsia" w:ascii="仿宋_GB2312" w:hAnsi="仿宋" w:eastAsia="仿宋_GB2312" w:cs="Times New Roman"/>
          <w:color w:val="auto"/>
          <w:kern w:val="2"/>
          <w:sz w:val="32"/>
          <w:szCs w:val="32"/>
          <w:lang w:val="en-US" w:eastAsia="zh-CN" w:bidi="ar-SA"/>
        </w:rPr>
        <w:t>2022年度部门总体收入8312.51万元，其中：一般公共预算财政拨款收入4431.84万元；政府性基金预算财政拨款收入3880.67万元。</w:t>
      </w:r>
    </w:p>
    <w:p>
      <w:pPr>
        <w:numPr>
          <w:ilvl w:val="0"/>
          <w:numId w:val="0"/>
        </w:numPr>
        <w:snapToGrid w:val="0"/>
        <w:spacing w:line="520" w:lineRule="exact"/>
        <w:ind w:firstLine="640" w:firstLineChars="200"/>
        <w:rPr>
          <w:rFonts w:hint="eastAsia" w:ascii="仿宋_GB2312" w:hAnsi="仿宋" w:eastAsia="仿宋_GB2312" w:cs="Times New Roman"/>
          <w:color w:val="auto"/>
          <w:kern w:val="2"/>
          <w:sz w:val="32"/>
          <w:szCs w:val="32"/>
          <w:lang w:val="en-US" w:eastAsia="zh-CN" w:bidi="ar-SA"/>
        </w:rPr>
      </w:pPr>
      <w:r>
        <w:rPr>
          <w:rFonts w:hint="eastAsia" w:ascii="仿宋_GB2312" w:hAnsi="仿宋" w:eastAsia="仿宋_GB2312" w:cs="Times New Roman"/>
          <w:color w:val="auto"/>
          <w:kern w:val="2"/>
          <w:sz w:val="32"/>
          <w:szCs w:val="32"/>
          <w:lang w:val="en-US" w:eastAsia="zh-CN" w:bidi="ar-SA"/>
        </w:rPr>
        <w:t>2.部门总体支出情况</w:t>
      </w:r>
    </w:p>
    <w:p>
      <w:pPr>
        <w:numPr>
          <w:ilvl w:val="0"/>
          <w:numId w:val="0"/>
        </w:numPr>
        <w:snapToGrid w:val="0"/>
        <w:spacing w:line="520" w:lineRule="exact"/>
        <w:ind w:firstLine="640" w:firstLineChars="200"/>
        <w:rPr>
          <w:rFonts w:hint="eastAsia"/>
          <w:color w:val="auto"/>
          <w:lang w:val="en-US" w:eastAsia="zh-CN"/>
        </w:rPr>
      </w:pPr>
      <w:r>
        <w:rPr>
          <w:rFonts w:hint="eastAsia" w:ascii="仿宋_GB2312" w:hAnsi="仿宋" w:eastAsia="仿宋_GB2312" w:cs="Times New Roman"/>
          <w:color w:val="auto"/>
          <w:kern w:val="2"/>
          <w:sz w:val="32"/>
          <w:szCs w:val="32"/>
          <w:lang w:val="en-US" w:eastAsia="zh-CN" w:bidi="ar-SA"/>
        </w:rPr>
        <w:t>2022年部门总体支出8312.51万元，支出主要分为基本支出和项目支出。基本支出851.73万元，其中：工资福利支出759.36万元；商品和服务支出61.37万元；对个人和家庭的补助31万元。项目支出7460.78万元，其中：商品和服务支出73.7万元；资本性支出7387.08万元。</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3.部门总体结转结余情况</w:t>
      </w:r>
    </w:p>
    <w:p>
      <w:pPr>
        <w:pStyle w:val="5"/>
        <w:numPr>
          <w:ilvl w:val="0"/>
          <w:numId w:val="0"/>
        </w:numPr>
        <w:ind w:firstLine="600" w:firstLineChars="200"/>
        <w:rPr>
          <w:rFonts w:hint="default"/>
          <w:color w:val="auto"/>
          <w:lang w:val="en-US" w:eastAsia="zh-CN"/>
        </w:rPr>
      </w:pPr>
      <w:r>
        <w:rPr>
          <w:rFonts w:hint="eastAsia"/>
          <w:color w:val="auto"/>
          <w:lang w:val="en-US" w:eastAsia="zh-CN"/>
        </w:rPr>
        <w:t>2022年无结转结余。</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（二）部门财政拨款收支情况。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1.部门财政拨款收入情况</w:t>
      </w:r>
    </w:p>
    <w:p>
      <w:pPr>
        <w:numPr>
          <w:ilvl w:val="0"/>
          <w:numId w:val="0"/>
        </w:numPr>
        <w:snapToGrid w:val="0"/>
        <w:spacing w:line="520" w:lineRule="exact"/>
        <w:ind w:firstLine="640" w:firstLineChars="200"/>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 w:eastAsia="仿宋_GB2312" w:cs="Times New Roman"/>
          <w:color w:val="auto"/>
          <w:kern w:val="2"/>
          <w:sz w:val="32"/>
          <w:szCs w:val="32"/>
          <w:lang w:val="en-US" w:eastAsia="zh-CN" w:bidi="ar-SA"/>
        </w:rPr>
        <w:t>2022年度部门财政拨款收入总计为8312.51万元，其中：一般公共预算财政拨款收入4431.84万元；政府性基金预算财政拨款收入3880.67万元。</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2.部门财政拨款支出情况</w:t>
      </w:r>
    </w:p>
    <w:p>
      <w:pPr>
        <w:numPr>
          <w:ilvl w:val="0"/>
          <w:numId w:val="0"/>
        </w:numPr>
        <w:snapToGrid w:val="0"/>
        <w:spacing w:line="520" w:lineRule="exact"/>
        <w:ind w:firstLine="640" w:firstLineChars="200"/>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 w:eastAsia="仿宋_GB2312" w:cs="Times New Roman"/>
          <w:color w:val="auto"/>
          <w:kern w:val="2"/>
          <w:sz w:val="32"/>
          <w:szCs w:val="32"/>
          <w:lang w:val="en-US" w:eastAsia="zh-CN" w:bidi="ar-SA"/>
        </w:rPr>
        <w:t>2022年财政拨款支出8312.51万元，支出主要分为基本支出和项目支出。基本支出851.73万元，其中：工资福利支出759.36万元；商品和服务支出61.37万元；对个人和家庭的补助31万元。项目支出7460.78万元，其中：商品和服务支出73.7万元；资本性支出7387.08万元。</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3.部门财政拨款结转结余情况</w:t>
      </w:r>
    </w:p>
    <w:p>
      <w:pPr>
        <w:pStyle w:val="5"/>
        <w:numPr>
          <w:ilvl w:val="0"/>
          <w:numId w:val="0"/>
        </w:numPr>
        <w:ind w:firstLine="600" w:firstLineChars="200"/>
        <w:rPr>
          <w:rFonts w:hint="eastAsia" w:ascii="黑体" w:hAnsi="宋体" w:eastAsia="黑体" w:cs="宋体"/>
          <w:color w:val="auto"/>
          <w:kern w:val="0"/>
          <w:sz w:val="32"/>
          <w:szCs w:val="32"/>
          <w:highlight w:val="none"/>
          <w:shd w:val="clear" w:color="auto" w:fill="FFFFFF"/>
        </w:rPr>
      </w:pPr>
      <w:r>
        <w:rPr>
          <w:rFonts w:hint="eastAsia"/>
          <w:color w:val="auto"/>
          <w:lang w:val="en-US" w:eastAsia="zh-CN"/>
        </w:rPr>
        <w:t>2022年部门财政拨款无结转结余。</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ascii="黑体" w:hAnsi="宋体" w:eastAsia="黑体" w:cs="宋体"/>
          <w:color w:val="auto"/>
          <w:kern w:val="0"/>
          <w:sz w:val="32"/>
          <w:szCs w:val="32"/>
          <w:highlight w:val="none"/>
          <w:shd w:val="clear" w:color="auto" w:fill="FFFFFF"/>
        </w:rPr>
      </w:pPr>
      <w:r>
        <w:rPr>
          <w:rFonts w:hint="eastAsia" w:ascii="黑体" w:hAnsi="宋体" w:eastAsia="黑体" w:cs="宋体"/>
          <w:color w:val="auto"/>
          <w:kern w:val="0"/>
          <w:sz w:val="32"/>
          <w:szCs w:val="32"/>
          <w:highlight w:val="none"/>
          <w:shd w:val="clear" w:color="auto" w:fill="FFFFFF"/>
        </w:rPr>
        <w:t>三、</w:t>
      </w:r>
      <w:r>
        <w:rPr>
          <w:rFonts w:hint="eastAsia" w:ascii="黑体" w:hAnsi="宋体" w:eastAsia="黑体" w:cs="宋体"/>
          <w:color w:val="auto"/>
          <w:kern w:val="0"/>
          <w:sz w:val="32"/>
          <w:szCs w:val="32"/>
          <w:highlight w:val="none"/>
          <w:u w:val="none"/>
          <w:shd w:val="clear" w:color="auto" w:fill="FFFFFF"/>
        </w:rPr>
        <w:t>部门整体绩效</w:t>
      </w:r>
      <w:r>
        <w:rPr>
          <w:rFonts w:hint="eastAsia" w:ascii="黑体" w:hAnsi="宋体" w:eastAsia="黑体" w:cs="宋体"/>
          <w:color w:val="auto"/>
          <w:kern w:val="0"/>
          <w:sz w:val="32"/>
          <w:szCs w:val="32"/>
          <w:highlight w:val="none"/>
          <w:u w:val="none"/>
          <w:shd w:val="clear" w:color="auto" w:fill="FFFFFF"/>
          <w:lang w:eastAsia="zh-CN"/>
        </w:rPr>
        <w:t>分析</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eastAsia="zh-CN"/>
        </w:rPr>
      </w:pPr>
      <w:r>
        <w:rPr>
          <w:rFonts w:hint="eastAsia" w:ascii="楷体_GB2312" w:hAnsi="楷体_GB2312" w:eastAsia="楷体_GB2312" w:cs="楷体_GB2312"/>
          <w:b/>
          <w:bCs/>
          <w:color w:val="auto"/>
          <w:kern w:val="0"/>
          <w:sz w:val="32"/>
          <w:szCs w:val="32"/>
          <w:highlight w:val="none"/>
          <w:shd w:val="clear" w:color="auto" w:fill="FFFFFF"/>
          <w:lang w:val="zh-CN"/>
        </w:rPr>
        <w:t>（一）部门预算项目绩效分析。</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1.人员类项目绩效分析</w:t>
      </w:r>
    </w:p>
    <w:p>
      <w:pPr>
        <w:keepNext w:val="0"/>
        <w:keepLines w:val="0"/>
        <w:pageBreakBefore w:val="0"/>
        <w:widowControl/>
        <w:kinsoku/>
        <w:wordWrap/>
        <w:overflowPunct/>
        <w:topLinePunct w:val="0"/>
        <w:autoSpaceDE w:val="0"/>
        <w:autoSpaceDN/>
        <w:bidi w:val="0"/>
        <w:adjustRightInd w:val="0"/>
        <w:snapToGrid w:val="0"/>
        <w:spacing w:line="500" w:lineRule="exact"/>
        <w:ind w:firstLine="608" w:firstLineChars="200"/>
        <w:contextualSpacing/>
        <w:jc w:val="left"/>
        <w:textAlignment w:val="auto"/>
        <w:rPr>
          <w:rFonts w:hint="eastAsia" w:ascii="仿宋_GB2312" w:hAnsi="Times New Roman" w:eastAsia="仿宋_GB2312" w:cs="Times New Roman"/>
          <w:color w:val="auto"/>
          <w:spacing w:val="-6"/>
          <w:w w:val="99"/>
          <w:kern w:val="0"/>
          <w:sz w:val="32"/>
          <w:szCs w:val="32"/>
          <w:shd w:val="clear" w:color="auto" w:fill="FFFFFF"/>
          <w:lang w:val="en-US" w:eastAsia="zh-CN"/>
        </w:rPr>
      </w:pPr>
      <w:r>
        <w:rPr>
          <w:rFonts w:hint="eastAsia" w:ascii="仿宋_GB2312" w:hAnsi="Times New Roman" w:eastAsia="仿宋_GB2312" w:cs="Times New Roman"/>
          <w:color w:val="auto"/>
          <w:spacing w:val="-6"/>
          <w:w w:val="99"/>
          <w:kern w:val="0"/>
          <w:sz w:val="32"/>
          <w:szCs w:val="32"/>
          <w:shd w:val="clear" w:color="auto" w:fill="FFFFFF"/>
          <w:lang w:val="en-US" w:eastAsia="zh-CN"/>
        </w:rPr>
        <w:t>人员类项目。保障2022年在编人员全年工资福利及养老保险、公积金、医疗保险、生育险、绩效工资、交通补助，保障2人遗嘱补助人员的遗嘱补助发放。</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2.运转类项目绩效分析</w:t>
      </w:r>
    </w:p>
    <w:p>
      <w:pPr>
        <w:pStyle w:val="13"/>
        <w:keepNext w:val="0"/>
        <w:keepLines w:val="0"/>
        <w:pageBreakBefore w:val="0"/>
        <w:widowControl w:val="0"/>
        <w:kinsoku/>
        <w:wordWrap/>
        <w:overflowPunct/>
        <w:topLinePunct w:val="0"/>
        <w:autoSpaceDE/>
        <w:autoSpaceDN/>
        <w:bidi w:val="0"/>
        <w:adjustRightInd/>
        <w:snapToGrid/>
        <w:spacing w:after="0" w:line="500" w:lineRule="exact"/>
        <w:ind w:left="0" w:leftChars="0" w:firstLine="608" w:firstLineChars="200"/>
        <w:textAlignment w:val="auto"/>
        <w:rPr>
          <w:rFonts w:hint="eastAsia" w:ascii="仿宋_GB2312" w:hAnsi="Times New Roman" w:eastAsia="仿宋_GB2312" w:cs="Times New Roman"/>
          <w:color w:val="auto"/>
          <w:spacing w:val="-6"/>
          <w:w w:val="99"/>
          <w:kern w:val="0"/>
          <w:sz w:val="32"/>
          <w:szCs w:val="32"/>
          <w:shd w:val="clear" w:color="auto" w:fill="FFFFFF"/>
          <w:lang w:val="en-US" w:eastAsia="zh-CN"/>
        </w:rPr>
      </w:pPr>
      <w:r>
        <w:rPr>
          <w:rFonts w:hint="eastAsia" w:ascii="仿宋_GB2312" w:hAnsi="Times New Roman" w:eastAsia="仿宋_GB2312" w:cs="Times New Roman"/>
          <w:color w:val="auto"/>
          <w:spacing w:val="-6"/>
          <w:w w:val="99"/>
          <w:kern w:val="0"/>
          <w:sz w:val="32"/>
          <w:szCs w:val="32"/>
          <w:shd w:val="clear" w:color="auto" w:fill="FFFFFF"/>
          <w:lang w:val="en-US" w:eastAsia="zh-CN"/>
        </w:rPr>
        <w:t>保障日常办公设备用品采购、水、电、气、邮电费等一系列的开支。</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3.特定目标类项目绩效分析</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曾家镇土地增减挂钩项目指标流转截止目前，项目已按照省厅批复按质按量完成，已于2021年5月与四川天府新区眉山管理委员会签订《城乡建设用增减挂钩节余指标流转协议》。</w:t>
      </w:r>
    </w:p>
    <w:p>
      <w:pPr>
        <w:autoSpaceDE w:val="0"/>
        <w:adjustRightInd w:val="0"/>
        <w:snapToGrid w:val="0"/>
        <w:spacing w:line="560" w:lineRule="exact"/>
        <w:ind w:firstLine="720"/>
        <w:rPr>
          <w:rFonts w:hint="eastAsia"/>
          <w:color w:val="auto"/>
          <w:lang w:val="en-US" w:eastAsia="zh-CN"/>
        </w:rPr>
      </w:pPr>
      <w:r>
        <w:rPr>
          <w:rFonts w:hint="eastAsia" w:ascii="仿宋_GB2312" w:hAnsi="仿宋_GB2312" w:eastAsia="仿宋_GB2312" w:cs="仿宋_GB2312"/>
          <w:color w:val="auto"/>
          <w:sz w:val="32"/>
          <w:szCs w:val="32"/>
          <w:lang w:val="en-US" w:eastAsia="zh-CN"/>
        </w:rPr>
        <w:t>东溪河镇土地增减挂钩项目已按照省厅批复按质按量完成，已于2017年10月广元市政府与仁寿</w:t>
      </w:r>
      <w:r>
        <w:rPr>
          <w:rFonts w:hint="eastAsia" w:ascii="仿宋_GB2312" w:hAnsi="宋体" w:eastAsia="仿宋_GB2312" w:cs="Times New Roman"/>
          <w:color w:val="auto"/>
          <w:w w:val="99"/>
          <w:sz w:val="32"/>
          <w:szCs w:val="32"/>
        </w:rPr>
        <w:t>县政府签订《深化城乡建设用地增减挂钩政策支持脱贫攻坚合作协议》。</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土地报征项目开</w:t>
      </w:r>
      <w:r>
        <w:rPr>
          <w:rFonts w:hint="eastAsia" w:ascii="仿宋_GB2312" w:hAnsi="仿宋_GB2312" w:eastAsia="仿宋_GB2312" w:cs="仿宋_GB2312"/>
          <w:color w:val="auto"/>
          <w:sz w:val="32"/>
          <w:szCs w:val="32"/>
          <w:lang w:val="en-US" w:eastAsia="zh-CN"/>
        </w:rPr>
        <w:t>展2021年度1-7批次用地土地报征组卷、项目选址方案、规划指标落实方案等编制工作，取得</w:t>
      </w:r>
      <w:r>
        <w:rPr>
          <w:rFonts w:hint="eastAsia" w:ascii="仿宋_GB2312" w:hAnsi="仿宋_GB2312" w:eastAsia="仿宋_GB2312" w:cs="仿宋_GB2312"/>
          <w:b w:val="0"/>
          <w:bCs w:val="0"/>
          <w:color w:val="auto"/>
          <w:sz w:val="32"/>
          <w:szCs w:val="32"/>
          <w:lang w:val="en-US" w:eastAsia="zh-CN"/>
        </w:rPr>
        <w:t>第3、5、7批次项目的批复，合计20.4384公顷土地征收为国家所有，作为我区建设用地。</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2021年第3、5批次建设用地新增建设用地土地有偿使用费项目及时入库项目资金，取得省政府批文，保障七盘关超级服务区项目用地。</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朝天区2021年第5、7批次建设用地耕地占用税项目完成2021年度第5、7批次建设用地耕地占用税的缴纳，取得四川省人民政府关于第5、7批次建设用地的批复。对照项目计划目标，我区的批次建设用地耕地占用税项目均全部完成任务。</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朝天区2022年第1、2、3、5、7、9批次建设用地被征地农民社保资金项目完成2022年第1、2、3、5、7、9批次建设用地被征地农民社保资金项目预存工作，保护被征地需安置人员的合法利益，完成征地报批前置程序。对照项目计划目标，我区的批次建设用地被征地农民社保资金项目均全部完成任务。</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土地征地费用（2021年第3批次）完成2021年第3批次建设用地被征地农民社保资金项目预存工作，保护被征地需安置人员的合法利益，完成征地报批前置程序。对照项目计划目标，我区的批次建设用地被征地农民社保资金项目均全部完成任务。</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朝天区集体农用地及未利用地转为集体建设用地耕地占用税项目完成朝天区集体农用地及未利用地转为集体建设用地耕地占用税的缴纳，取得四川省人民政府关于朝天区集体农用地及未利用地转为集体建设用地的批复。对照项目计划目标，我区的集体农用地及未利用地转为集体建设用地耕地占用税项目均全部完成任务。</w:t>
      </w:r>
    </w:p>
    <w:p>
      <w:pPr>
        <w:pStyle w:val="5"/>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2022年朝天区地质灾害工程治理项目申报实施15处治理工程或排危除险项目，合计资金1586万元。对照项目计划目标，我区的地质灾害防治一般债券项目均全部完成任务。</w:t>
      </w:r>
    </w:p>
    <w:p>
      <w:pPr>
        <w:spacing w:line="360" w:lineRule="auto"/>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2022年第三批地质灾害防治补助资金（省级）项目2022年省级地质灾害防治专项资金申报实施群测群防专兼职监测114处、治理工程1处、避险搬迁20户。对照项目计划目标，我区的地质灾害防治项目均全部完成任务。</w:t>
      </w:r>
    </w:p>
    <w:p>
      <w:pPr>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2022年第一批中央地质灾害防治补助资金项目开展1个地质灾害群专结合监测预警项目，开展地质灾害隐患点治理工程2个，核销地质灾害隐患数量2处。</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color w:val="auto"/>
          <w:lang w:val="en-US" w:eastAsia="zh-CN"/>
        </w:rPr>
      </w:pPr>
      <w:r>
        <w:rPr>
          <w:rFonts w:hint="eastAsia" w:ascii="仿宋_GB2312" w:hAnsi="仿宋_GB2312" w:eastAsia="仿宋_GB2312" w:cs="仿宋_GB2312"/>
          <w:color w:val="auto"/>
          <w:kern w:val="2"/>
          <w:sz w:val="32"/>
          <w:szCs w:val="32"/>
          <w:lang w:val="en-US" w:eastAsia="zh-CN" w:bidi="ar-SA"/>
        </w:rPr>
        <w:t>朝天区槽湾头石灰岩矿资源储量勘查项目已提交符合自然资源主管部门要求的朝天区槽湾头石灰岩矿资源储量勘查报告及相应的附图、附表、附件，已完成全部勘查工作</w:t>
      </w:r>
      <w:r>
        <w:rPr>
          <w:rFonts w:hint="eastAsia" w:ascii="仿宋_GB2312" w:hAnsi="宋体" w:eastAsia="仿宋_GB2312" w:cs="Times New Roman"/>
          <w:color w:val="auto"/>
          <w:w w:val="99"/>
          <w:sz w:val="32"/>
          <w:szCs w:val="32"/>
          <w:lang w:eastAsia="zh-CN"/>
        </w:rPr>
        <w:t>并通过了专家组评审，已报上级自然资源部门备案。</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（二）部门整体履职绩效分析。</w:t>
      </w:r>
    </w:p>
    <w:p>
      <w:pPr>
        <w:widowControl/>
        <w:autoSpaceDE w:val="0"/>
        <w:adjustRightInd w:val="0"/>
        <w:snapToGrid w:val="0"/>
        <w:spacing w:line="560" w:lineRule="exact"/>
        <w:ind w:firstLine="640" w:firstLineChars="200"/>
        <w:contextualSpacing/>
        <w:jc w:val="left"/>
        <w:rPr>
          <w:rFonts w:hint="eastAsia" w:ascii="仿宋_GB2312" w:eastAsia="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严格按照人员类、特定目标类项目高质量编制年初预算、绩效目标、目标实现管理制度。在绩效管理过程中，严格监控管理，始终将资金使用与绩效目标完成、目标实现相结合，当资金使用与绩效目标完成出现偏差时给予了及时分析、处置，确保了年度内项目执行进度与预算完成有效衔接，大大提高资金使用效率，杜绝年内项目资金资金大量结余、项目低效和资金使用违规等行为发生，确保了项目绩效目标的全面完成。</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（三）结果应用情况。</w:t>
      </w:r>
    </w:p>
    <w:p>
      <w:pPr>
        <w:keepNext w:val="0"/>
        <w:keepLines w:val="0"/>
        <w:pageBreakBefore w:val="0"/>
        <w:kinsoku/>
        <w:wordWrap/>
        <w:overflowPunct/>
        <w:topLinePunct w:val="0"/>
        <w:autoSpaceDN/>
        <w:bidi w:val="0"/>
        <w:spacing w:line="576" w:lineRule="exact"/>
        <w:ind w:firstLine="608" w:firstLineChars="200"/>
        <w:textAlignment w:val="auto"/>
        <w:rPr>
          <w:rFonts w:hint="eastAsia" w:ascii="仿宋_GB2312" w:hAnsi="仿宋_GB2312" w:eastAsia="仿宋_GB2312" w:cs="仿宋_GB2312"/>
          <w:b w:val="0"/>
          <w:bCs/>
          <w:color w:val="auto"/>
          <w:spacing w:val="-6"/>
          <w:w w:val="99"/>
          <w:sz w:val="32"/>
          <w:szCs w:val="32"/>
          <w:lang w:val="en-US" w:eastAsia="zh-CN"/>
        </w:rPr>
      </w:pPr>
      <w:r>
        <w:rPr>
          <w:rFonts w:hint="eastAsia" w:ascii="仿宋_GB2312" w:hAnsi="仿宋_GB2312" w:eastAsia="仿宋_GB2312" w:cs="仿宋_GB2312"/>
          <w:b w:val="0"/>
          <w:bCs/>
          <w:color w:val="auto"/>
          <w:spacing w:val="-6"/>
          <w:w w:val="99"/>
          <w:sz w:val="32"/>
          <w:szCs w:val="32"/>
          <w:lang w:val="en-US" w:eastAsia="zh-CN"/>
        </w:rPr>
        <w:t>本次财务审核结果将作为部门预算绩效管理考核以及下一年度项目预算申报的重要依据。按要求将部门整体绩效自评情况和自行组织的评价情况向社会公开。</w:t>
      </w:r>
    </w:p>
    <w:p>
      <w:pPr>
        <w:keepNext w:val="0"/>
        <w:keepLines w:val="0"/>
        <w:pageBreakBefore w:val="0"/>
        <w:widowControl/>
        <w:numPr>
          <w:ilvl w:val="0"/>
          <w:numId w:val="7"/>
        </w:numPr>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自评质量。</w:t>
      </w:r>
    </w:p>
    <w:p>
      <w:pPr>
        <w:keepNext w:val="0"/>
        <w:keepLines w:val="0"/>
        <w:pageBreakBefore w:val="0"/>
        <w:widowControl/>
        <w:numPr>
          <w:ilvl w:val="0"/>
          <w:numId w:val="0"/>
        </w:numPr>
        <w:kinsoku/>
        <w:wordWrap/>
        <w:overflowPunct/>
        <w:topLinePunct w:val="0"/>
        <w:autoSpaceDE w:val="0"/>
        <w:autoSpaceDN/>
        <w:bidi w:val="0"/>
        <w:adjustRightInd w:val="0"/>
        <w:snapToGrid w:val="0"/>
        <w:spacing w:line="500" w:lineRule="exact"/>
        <w:ind w:firstLine="608" w:firstLineChars="200"/>
        <w:contextualSpacing/>
        <w:jc w:val="left"/>
        <w:textAlignment w:val="auto"/>
        <w:rPr>
          <w:rFonts w:hint="eastAsia" w:ascii="仿宋_GB2312" w:hAnsi="Times New Roman" w:eastAsia="仿宋_GB2312" w:cs="Times New Roman"/>
          <w:color w:val="auto"/>
          <w:spacing w:val="-6"/>
          <w:w w:val="99"/>
          <w:kern w:val="0"/>
          <w:sz w:val="32"/>
          <w:szCs w:val="32"/>
          <w:shd w:val="clear" w:color="auto" w:fill="FFFFFF"/>
        </w:rPr>
      </w:pPr>
      <w:r>
        <w:rPr>
          <w:rFonts w:hint="eastAsia" w:ascii="楷体_GB2312" w:hAnsi="楷体_GB2312" w:eastAsia="楷体_GB2312" w:cs="楷体_GB2312"/>
          <w:b w:val="0"/>
          <w:bCs/>
          <w:color w:val="auto"/>
          <w:spacing w:val="-6"/>
          <w:w w:val="99"/>
          <w:sz w:val="32"/>
          <w:szCs w:val="32"/>
          <w:lang w:val="en-US" w:eastAsia="zh-CN"/>
        </w:rPr>
        <w:t>2022年</w:t>
      </w:r>
      <w:r>
        <w:rPr>
          <w:rFonts w:hint="eastAsia" w:ascii="仿宋_GB2312" w:hAnsi="Times New Roman" w:eastAsia="仿宋_GB2312" w:cs="Times New Roman"/>
          <w:color w:val="auto"/>
          <w:spacing w:val="-6"/>
          <w:w w:val="99"/>
          <w:kern w:val="0"/>
          <w:sz w:val="32"/>
          <w:szCs w:val="32"/>
          <w:shd w:val="clear" w:color="auto" w:fill="FFFFFF"/>
        </w:rPr>
        <w:t>部门整体支出自评</w:t>
      </w:r>
      <w:r>
        <w:rPr>
          <w:rFonts w:hint="eastAsia" w:ascii="仿宋_GB2312" w:hAnsi="Times New Roman" w:eastAsia="仿宋_GB2312" w:cs="Times New Roman"/>
          <w:color w:val="auto"/>
          <w:spacing w:val="-6"/>
          <w:w w:val="99"/>
          <w:kern w:val="0"/>
          <w:sz w:val="32"/>
          <w:szCs w:val="32"/>
          <w:shd w:val="clear" w:color="auto" w:fill="FFFFFF"/>
          <w:lang w:val="en-US" w:eastAsia="zh-CN"/>
        </w:rPr>
        <w:t>情况良好</w:t>
      </w:r>
      <w:r>
        <w:rPr>
          <w:rFonts w:hint="eastAsia" w:ascii="仿宋_GB2312" w:hAnsi="Times New Roman" w:eastAsia="仿宋_GB2312" w:cs="Times New Roman"/>
          <w:color w:val="auto"/>
          <w:spacing w:val="-6"/>
          <w:w w:val="99"/>
          <w:kern w:val="0"/>
          <w:sz w:val="32"/>
          <w:szCs w:val="32"/>
          <w:shd w:val="clear" w:color="auto" w:fill="FFFFFF"/>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ascii="黑体" w:hAnsi="宋体" w:eastAsia="黑体" w:cs="宋体"/>
          <w:color w:val="auto"/>
          <w:kern w:val="0"/>
          <w:sz w:val="32"/>
          <w:szCs w:val="32"/>
          <w:highlight w:val="none"/>
          <w:shd w:val="clear" w:color="auto" w:fill="FFFFFF"/>
        </w:rPr>
      </w:pPr>
      <w:r>
        <w:rPr>
          <w:rFonts w:hint="eastAsia" w:ascii="黑体" w:hAnsi="宋体" w:eastAsia="黑体" w:cs="宋体"/>
          <w:color w:val="auto"/>
          <w:kern w:val="0"/>
          <w:sz w:val="32"/>
          <w:szCs w:val="32"/>
          <w:highlight w:val="none"/>
          <w:shd w:val="clear" w:color="auto" w:fill="FFFFFF"/>
        </w:rPr>
        <w:t>四、评价结论及建议</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（一）评价结论。</w:t>
      </w:r>
    </w:p>
    <w:p>
      <w:pPr>
        <w:keepNext w:val="0"/>
        <w:keepLines w:val="0"/>
        <w:pageBreakBefore w:val="0"/>
        <w:widowControl/>
        <w:numPr>
          <w:ilvl w:val="0"/>
          <w:numId w:val="0"/>
        </w:numPr>
        <w:kinsoku/>
        <w:wordWrap/>
        <w:overflowPunct/>
        <w:topLinePunct w:val="0"/>
        <w:autoSpaceDE w:val="0"/>
        <w:autoSpaceDN/>
        <w:bidi w:val="0"/>
        <w:adjustRightInd w:val="0"/>
        <w:snapToGrid w:val="0"/>
        <w:spacing w:line="500" w:lineRule="exact"/>
        <w:ind w:left="0" w:leftChars="0" w:firstLine="640" w:firstLineChars="200"/>
        <w:contextualSpacing/>
        <w:jc w:val="left"/>
        <w:textAlignment w:val="auto"/>
        <w:rPr>
          <w:rFonts w:hint="eastAsia"/>
          <w:color w:val="auto"/>
          <w:lang w:val="zh-CN"/>
        </w:rPr>
      </w:pPr>
      <w:r>
        <w:rPr>
          <w:rFonts w:hint="eastAsia" w:ascii="Arial Narrow" w:hAnsi="Arial Narrow" w:eastAsia="仿宋"/>
          <w:color w:val="auto"/>
          <w:sz w:val="32"/>
          <w:highlight w:val="none"/>
        </w:rPr>
        <w:t>总体上看，广元市自然资源局朝天区分局</w:t>
      </w:r>
      <w:r>
        <w:rPr>
          <w:rFonts w:hint="eastAsia" w:ascii="Arial Narrow" w:hAnsi="Arial Narrow" w:eastAsia="仿宋" w:cs="Times New Roman"/>
          <w:color w:val="auto"/>
          <w:sz w:val="32"/>
          <w:highlight w:val="none"/>
        </w:rPr>
        <w:t>202</w:t>
      </w:r>
      <w:r>
        <w:rPr>
          <w:rFonts w:hint="eastAsia" w:ascii="Arial Narrow" w:hAnsi="Arial Narrow" w:eastAsia="仿宋" w:cs="Times New Roman"/>
          <w:color w:val="auto"/>
          <w:sz w:val="32"/>
          <w:highlight w:val="none"/>
          <w:lang w:val="en-US" w:eastAsia="zh-CN"/>
        </w:rPr>
        <w:t>2</w:t>
      </w:r>
      <w:r>
        <w:rPr>
          <w:rFonts w:hint="eastAsia" w:ascii="Arial Narrow" w:hAnsi="Arial Narrow" w:eastAsia="仿宋"/>
          <w:color w:val="auto"/>
          <w:sz w:val="32"/>
          <w:highlight w:val="none"/>
        </w:rPr>
        <w:t>年部门支出较规范、合理，符合财政预算资金的相关制度和办法。部门制度建立健全且执行情况良好，较好的履行了部门基本职能，完成了年度重点任务工作。</w:t>
      </w:r>
    </w:p>
    <w:p>
      <w:pPr>
        <w:keepNext w:val="0"/>
        <w:keepLines w:val="0"/>
        <w:pageBreakBefore w:val="0"/>
        <w:widowControl/>
        <w:numPr>
          <w:ilvl w:val="0"/>
          <w:numId w:val="8"/>
        </w:numPr>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存在问题。</w:t>
      </w:r>
    </w:p>
    <w:p>
      <w:pPr>
        <w:keepNext w:val="0"/>
        <w:keepLines w:val="0"/>
        <w:pageBreakBefore w:val="0"/>
        <w:widowControl/>
        <w:numPr>
          <w:ilvl w:val="0"/>
          <w:numId w:val="0"/>
        </w:numPr>
        <w:kinsoku/>
        <w:wordWrap/>
        <w:overflowPunct/>
        <w:topLinePunct w:val="0"/>
        <w:autoSpaceDE w:val="0"/>
        <w:autoSpaceDN/>
        <w:bidi w:val="0"/>
        <w:adjustRightInd w:val="0"/>
        <w:snapToGrid w:val="0"/>
        <w:spacing w:line="500" w:lineRule="exact"/>
        <w:ind w:left="0" w:leftChars="0" w:firstLine="640" w:firstLineChars="200"/>
        <w:contextualSpacing/>
        <w:jc w:val="left"/>
        <w:textAlignment w:val="auto"/>
        <w:rPr>
          <w:rFonts w:hint="eastAsia"/>
          <w:color w:val="auto"/>
          <w:lang w:val="zh-CN"/>
        </w:rPr>
      </w:pPr>
      <w:r>
        <w:rPr>
          <w:rFonts w:hint="eastAsia" w:ascii="Arial Narrow" w:hAnsi="Arial Narrow" w:eastAsia="仿宋"/>
          <w:color w:val="auto"/>
          <w:sz w:val="32"/>
          <w:highlight w:val="none"/>
        </w:rPr>
        <w:t>一是部门财力有限，综合财力不足；</w:t>
      </w:r>
      <w:r>
        <w:rPr>
          <w:rFonts w:hint="eastAsia" w:ascii="Arial Narrow" w:hAnsi="Arial Narrow" w:eastAsia="仿宋"/>
          <w:color w:val="auto"/>
          <w:sz w:val="32"/>
          <w:highlight w:val="none"/>
          <w:lang w:val="en-US" w:eastAsia="zh-CN"/>
        </w:rPr>
        <w:t>二</w:t>
      </w:r>
      <w:r>
        <w:rPr>
          <w:rFonts w:hint="eastAsia" w:ascii="Arial Narrow" w:hAnsi="Arial Narrow" w:eastAsia="仿宋"/>
          <w:color w:val="auto"/>
          <w:sz w:val="32"/>
          <w:highlight w:val="none"/>
        </w:rPr>
        <w:t>是项目工期短、跨行业、跨部门实施，工程施工、监理、实施管理等都具有新的情况，新的问题出现，给项目的实施带来一定的难度。</w:t>
      </w:r>
    </w:p>
    <w:p>
      <w:pPr>
        <w:keepNext w:val="0"/>
        <w:keepLines w:val="0"/>
        <w:pageBreakBefore w:val="0"/>
        <w:widowControl/>
        <w:numPr>
          <w:ilvl w:val="0"/>
          <w:numId w:val="8"/>
        </w:numPr>
        <w:kinsoku/>
        <w:wordWrap/>
        <w:overflowPunct/>
        <w:topLinePunct w:val="0"/>
        <w:autoSpaceDE/>
        <w:autoSpaceDN/>
        <w:bidi w:val="0"/>
        <w:adjustRightInd w:val="0"/>
        <w:snapToGrid w:val="0"/>
        <w:spacing w:line="560" w:lineRule="exact"/>
        <w:ind w:left="0" w:leftChars="0"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改进建议。</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Arial Narrow" w:hAnsi="Arial Narrow" w:eastAsia="仿宋"/>
          <w:color w:val="auto"/>
          <w:sz w:val="32"/>
          <w:highlight w:val="none"/>
        </w:rPr>
      </w:pPr>
      <w:r>
        <w:rPr>
          <w:rFonts w:hint="eastAsia" w:ascii="Arial Narrow" w:hAnsi="Arial Narrow" w:eastAsia="仿宋"/>
          <w:color w:val="auto"/>
          <w:sz w:val="32"/>
          <w:highlight w:val="none"/>
        </w:rPr>
        <w:t>一是加大对部门的资金支持；二是建议地方项目配套资金到位；三是加大项目申报、管理、验收方面的业务培训，增强企业和主管部门的业务水平，提高项目争取质量。</w:t>
      </w:r>
    </w:p>
    <w:p>
      <w:pPr>
        <w:pStyle w:val="13"/>
        <w:keepNext w:val="0"/>
        <w:keepLines w:val="0"/>
        <w:pageBreakBefore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32"/>
          <w:szCs w:val="32"/>
          <w:highlight w:val="none"/>
          <w:lang w:val="zh-CN" w:eastAsia="zh-CN"/>
        </w:rPr>
      </w:pPr>
    </w:p>
    <w:p>
      <w:pPr>
        <w:pStyle w:val="13"/>
        <w:keepNext w:val="0"/>
        <w:keepLines w:val="0"/>
        <w:pageBreakBefore w:val="0"/>
        <w:numPr>
          <w:ilvl w:val="0"/>
          <w:numId w:val="0"/>
        </w:numPr>
        <w:kinsoku/>
        <w:wordWrap/>
        <w:overflowPunct/>
        <w:topLinePunct w:val="0"/>
        <w:autoSpaceDE/>
        <w:autoSpaceDN/>
        <w:bidi w:val="0"/>
        <w:spacing w:line="560" w:lineRule="exact"/>
        <w:textAlignment w:val="auto"/>
        <w:rPr>
          <w:rFonts w:hint="eastAsia"/>
          <w:color w:val="auto"/>
          <w:lang w:val="zh-CN" w:eastAsia="zh-CN"/>
        </w:rPr>
      </w:pPr>
      <w:r>
        <w:rPr>
          <w:rFonts w:hint="eastAsia" w:ascii="仿宋_GB2312" w:hAnsi="仿宋_GB2312" w:eastAsia="仿宋_GB2312" w:cs="仿宋_GB2312"/>
          <w:color w:val="auto"/>
          <w:sz w:val="32"/>
          <w:szCs w:val="32"/>
          <w:highlight w:val="none"/>
          <w:lang w:val="zh-CN" w:eastAsia="zh-CN"/>
        </w:rPr>
        <w:t>附表：</w:t>
      </w:r>
      <w:r>
        <w:rPr>
          <w:rFonts w:hint="eastAsia" w:ascii="仿宋_GB2312" w:hAnsi="仿宋_GB2312" w:eastAsia="仿宋_GB2312" w:cs="仿宋_GB2312"/>
          <w:color w:val="auto"/>
          <w:sz w:val="32"/>
          <w:szCs w:val="32"/>
          <w:highlight w:val="none"/>
          <w:lang w:val="en-US" w:eastAsia="zh-CN"/>
        </w:rPr>
        <w:t>部门预算项目支出绩效自评表（2022年度）</w:t>
      </w:r>
    </w:p>
    <w:p>
      <w:pPr>
        <w:rPr>
          <w:rFonts w:hint="eastAsia" w:hAnsi="宋体" w:cs="宋体"/>
          <w:color w:val="auto"/>
          <w:kern w:val="0"/>
          <w:sz w:val="32"/>
          <w:szCs w:val="32"/>
          <w:highlight w:val="none"/>
          <w:shd w:val="clear" w:color="auto" w:fill="FFFFFF"/>
          <w:lang w:val="zh-CN"/>
        </w:rPr>
      </w:pPr>
    </w:p>
    <w:p>
      <w:pPr>
        <w:rPr>
          <w:rFonts w:hint="eastAsia"/>
          <w:color w:val="auto"/>
          <w:lang w:val="zh-CN"/>
        </w:rPr>
      </w:pPr>
    </w:p>
    <w:p>
      <w:pPr>
        <w:pStyle w:val="5"/>
        <w:rPr>
          <w:rFonts w:hint="eastAsia" w:hAnsi="宋体" w:cs="宋体"/>
          <w:color w:val="auto"/>
          <w:kern w:val="0"/>
          <w:sz w:val="32"/>
          <w:szCs w:val="32"/>
          <w:highlight w:val="none"/>
          <w:shd w:val="clear" w:color="auto" w:fill="FFFFFF"/>
          <w:lang w:val="zh-CN"/>
        </w:rPr>
      </w:pPr>
    </w:p>
    <w:p>
      <w:pPr>
        <w:rPr>
          <w:rFonts w:hint="eastAsia" w:hAnsi="宋体" w:cs="宋体"/>
          <w:color w:val="auto"/>
          <w:kern w:val="0"/>
          <w:sz w:val="32"/>
          <w:szCs w:val="32"/>
          <w:highlight w:val="none"/>
          <w:shd w:val="clear" w:color="auto" w:fill="FFFFFF"/>
          <w:lang w:val="zh-CN"/>
        </w:rPr>
      </w:pPr>
    </w:p>
    <w:p>
      <w:pPr>
        <w:rPr>
          <w:rFonts w:hint="eastAsia" w:hAnsi="宋体" w:cs="宋体"/>
          <w:color w:val="auto"/>
          <w:kern w:val="0"/>
          <w:sz w:val="32"/>
          <w:szCs w:val="32"/>
          <w:highlight w:val="none"/>
          <w:shd w:val="clear" w:color="auto" w:fill="FFFFFF"/>
          <w:lang w:val="zh-CN"/>
        </w:rPr>
        <w:sectPr>
          <w:footerReference r:id="rId5" w:type="first"/>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p>
    <w:tbl>
      <w:tblPr>
        <w:tblStyle w:val="14"/>
        <w:tblW w:w="145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1"/>
        <w:gridCol w:w="2013"/>
        <w:gridCol w:w="1748"/>
        <w:gridCol w:w="2236"/>
        <w:gridCol w:w="741"/>
        <w:gridCol w:w="1653"/>
        <w:gridCol w:w="741"/>
        <w:gridCol w:w="1085"/>
        <w:gridCol w:w="576"/>
        <w:gridCol w:w="576"/>
        <w:gridCol w:w="2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5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51000021R000000019954-聘用人员经费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该项目为人员类项目，主要保障部门30名定补聘用人员工资及保险缴纳。2022年，该预算项目资金按月支付，及时足额发放，预算执行率100%，年末无资金结余情况。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105.01</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105.01</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105.01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105.01</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105.01</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105.01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0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项目实施达到了预期的经济效益、社会效益，绩效目标完全实现，为我部门在下一年工作推进和预算安排上提供了对比数据。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5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项目负责人：李长斌</w:t>
            </w:r>
          </w:p>
        </w:tc>
        <w:tc>
          <w:tcPr>
            <w:tcW w:w="70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财务负责人：罗冬梅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5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51081221R000000033316-其他对个人和家庭补助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严格执行相关政策，保障补助及时足额发放，预算编制科学合理，减少结余资金。</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该项目为人员类项目，对个人和家庭的补助，该预算项目资金按时支付，及时足额发放，预算执行率100%，年末无资金结余情况。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29.18</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29.18</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29.18</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29.18</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0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项目实施达到了预期的经济效益、社会效益，绩效目标完全实现，为我部门在下一年工作推进和预算安排上提供了对比数据。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5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项目负责人：李长斌</w:t>
            </w:r>
          </w:p>
        </w:tc>
        <w:tc>
          <w:tcPr>
            <w:tcW w:w="70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财务负责人：罗冬梅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5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51081221R000000033747-独子费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该项目为人员类项目，主要保障部门内在职人员中有独生子女情况的同志，为其发放独子费。2022年，该预算项目资金按月支付，及时足额发放，预算执行率100%，年末无资金结余情况。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0.02</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0.02</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0.02</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0.02</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0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5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项目负责人：李长斌</w:t>
            </w:r>
          </w:p>
        </w:tc>
        <w:tc>
          <w:tcPr>
            <w:tcW w:w="70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财务负责人：罗冬梅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5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51081221R000000033753-遗属生活补助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该项目为人员类项目，主要保障部门2名遗属生活补助。2022年，该预算项目资金按月支付，及时足额发放，预算执行率100%，年末无资金结余情况。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0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5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项目负责人：李长斌</w:t>
            </w:r>
          </w:p>
        </w:tc>
        <w:tc>
          <w:tcPr>
            <w:tcW w:w="70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财务负责人：罗冬梅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5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51081221R000000033767-目标绩效奖(公务员及参公人员)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该项目为人员类项目，主要保障部门公务员目标绩效奖。2022年，该预算项目资金按月支付，及时足额发放，预算执行率100%，年末无资金结余情况。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64.81</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64.81</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64.81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64.81</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64.81</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64.81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0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5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项目负责人：李长斌</w:t>
            </w:r>
          </w:p>
        </w:tc>
        <w:tc>
          <w:tcPr>
            <w:tcW w:w="70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财务负责人：罗冬梅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5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51081221R000000051755-其他交通费用（公务用车改革补贴）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该项目为人员类项目，主要保障部门公务员机关工勤人员2022年度车补。2022年，该预算项目资金按季度支付，及时足额发放，预算执行率100%，年末无资金结余情况。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13.90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14.20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14.20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13.90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14.20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14.20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0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5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项目负责人：李长斌</w:t>
            </w:r>
          </w:p>
        </w:tc>
        <w:tc>
          <w:tcPr>
            <w:tcW w:w="70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财务负责人：罗冬梅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5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51081221R000000052055-05年以前退休人员医疗保险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该项目为人员类项目，主要保障05年以前退休人员医疗保险按时缴纳，2022年，该预算项目资金按时支付，足额发放，预算执行率100%，年末无资金结余情况。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0.18</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0.18</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0.18</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0.18</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0.18</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0.18</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0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5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项目负责人：李长斌</w:t>
            </w:r>
          </w:p>
        </w:tc>
        <w:tc>
          <w:tcPr>
            <w:tcW w:w="70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财务负责人：罗冬梅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5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51081221Y000000052199-金财网维护费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保障单位日常运转，提高预算编制质量，严格执行预算</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w:t>
            </w:r>
            <w:r>
              <w:rPr>
                <w:rFonts w:hint="eastAsia" w:ascii="宋体" w:hAnsi="宋体" w:cs="宋体"/>
                <w:i w:val="0"/>
                <w:iCs w:val="0"/>
                <w:color w:val="000000"/>
                <w:kern w:val="0"/>
                <w:sz w:val="18"/>
                <w:szCs w:val="18"/>
                <w:u w:val="none"/>
                <w:lang w:val="en-US" w:eastAsia="zh-CN" w:bidi="ar"/>
              </w:rPr>
              <w:t>运转</w:t>
            </w:r>
            <w:r>
              <w:rPr>
                <w:rFonts w:ascii="宋体" w:hAnsi="宋体" w:eastAsia="宋体" w:cs="宋体"/>
                <w:i w:val="0"/>
                <w:iCs w:val="0"/>
                <w:color w:val="000000"/>
                <w:kern w:val="0"/>
                <w:sz w:val="18"/>
                <w:szCs w:val="18"/>
                <w:u w:val="none"/>
                <w:lang w:val="en-US" w:eastAsia="zh-CN" w:bidi="ar"/>
              </w:rPr>
              <w:t>类项目，主要保障部门金财网专线正常运转。2022年，该预算项目资金年中一次性支付，预算执行率100%，年末无资金结余情况。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0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5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项目负责人：李长斌</w:t>
            </w:r>
          </w:p>
        </w:tc>
        <w:tc>
          <w:tcPr>
            <w:tcW w:w="70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财务负责人：罗冬梅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5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51081222R000005136042-工资性支出（行政）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该项目为人员类项目，主要保障部门公务员机关工勤人员2022年度工资，包括基本工资、津贴补贴等。2022年，该预算项目资金按月支付，及时足额发放，预算执行率100%，年末无资金结余情况。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133.54</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145.46</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145.46</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133.54</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145.46</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145.46</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0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5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项目负责人：李长斌</w:t>
            </w:r>
          </w:p>
        </w:tc>
        <w:tc>
          <w:tcPr>
            <w:tcW w:w="70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财务负责人：罗冬梅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5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51081222R000005136246-工资性支出（事业）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该项目为人员类项目，主要保障部门事业人员2022年度工资，包括基本工资、津贴补贴、绩效工资等。2022年，该预算项目资金按月支付，及时足额发放，预算执行率100%，年末无资金结余情况。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185.07</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198.71</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198.71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185.07</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198.71</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198.71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0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5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项目负责人：李长斌</w:t>
            </w:r>
          </w:p>
        </w:tc>
        <w:tc>
          <w:tcPr>
            <w:tcW w:w="70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财务负责人：罗冬梅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5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51081222R000005136461-基本养老保险（行政）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该项目为人员类项目，主要保障部门公务员机关工勤人员2022年度养老保险缴费等。2022年，该预算项目资金按月支付，及时足额缴纳，预算执行率100%，年末无资金结余情况。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21.26</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23.16</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23.16</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21.26</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23.16</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23.16</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0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5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项目负责人：李长斌</w:t>
            </w:r>
          </w:p>
        </w:tc>
        <w:tc>
          <w:tcPr>
            <w:tcW w:w="70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财务负责人：罗冬梅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5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51081222R000005136839-基本养老保险（事业）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该项目为人员类项目，主要保障部门事业人员2022年度养老保险缴费等。2022年，该预算项目资金按月支付，及时足额缴纳，预算执行率100%，年末无资金结余情况。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29.29</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30.27</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30.27</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29.29</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30.27</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30.27</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0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5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项目负责人：李长斌</w:t>
            </w:r>
          </w:p>
        </w:tc>
        <w:tc>
          <w:tcPr>
            <w:tcW w:w="70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财务负责人：罗冬梅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5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51081222R000005137025-基本医疗保险（行政）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该项目为人员类项目，主要保障部门公务员机关工勤人员2022年度医疗保险缴费等。2022年，该预算项目资金按月支付，及时足额缴纳，预算执行率100%，年末无资金结余情况。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10.15</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11.10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11.10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10.15</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11.10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11.10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0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5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项目负责人：李长斌</w:t>
            </w:r>
          </w:p>
        </w:tc>
        <w:tc>
          <w:tcPr>
            <w:tcW w:w="70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财务负责人：罗冬梅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5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51081222R000005137228-基本医疗保险（事业）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该项目为人员类项目，主要保障部门事业人员2022年度医疗保险缴费等。2022年，该预算项目资金按月支付，及时足额缴纳，预算执行率100%，年末无资金结余情况。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14.65</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15.14</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15.14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14.65</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15.14</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15.14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0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5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项目负责人：李长斌</w:t>
            </w:r>
          </w:p>
        </w:tc>
        <w:tc>
          <w:tcPr>
            <w:tcW w:w="70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财务负责人：罗冬梅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5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51081222R000005137604-住房公积金（行政）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该项目为人员类项目，主要保障部门公务员机关工勤人员2022年度住房公积金缴费等。2022年，该预算项目资金按月支付，及时足额缴纳，预算执行率100%，年末无资金结余情况。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15.23</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22.80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22.80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15.23</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22.80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22.80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0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5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项目负责人：李长斌</w:t>
            </w:r>
          </w:p>
        </w:tc>
        <w:tc>
          <w:tcPr>
            <w:tcW w:w="70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财务负责人：罗冬梅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5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51081222R000005137802-住房公积金（事业）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该项目为人员类项目，主要保障部门事业人员2022年度住房公积金缴费等。2022年，该预算项目资金按月支付，及时足额缴纳，预算执行率100%，年末无资金结余情况。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21.97</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31.98</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31.98</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21.97</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31.98</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31.98</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0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5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项目负责人：李长斌</w:t>
            </w:r>
          </w:p>
        </w:tc>
        <w:tc>
          <w:tcPr>
            <w:tcW w:w="70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财务负责人：罗冬梅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5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51081222R000005138220-职业年金（行政）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该项目为人员类项目，主要保障部门人员职业年金。2022年，该预算项目资金按月支付，及时足额发放，预算执行率100%，年末无资金结余情况。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9.94</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9.94</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0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5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项目负责人：李长斌</w:t>
            </w:r>
          </w:p>
        </w:tc>
        <w:tc>
          <w:tcPr>
            <w:tcW w:w="70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财务负责人：罗冬梅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5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51081222R000005429042-目标绩效奖（事业人员）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该项目为人员类项目，主要保障部门事业人员人员目标绩效奖。2022年，该预算项目资金按月支付，及时足额发放，预算执行率100%，年末无资金结余情况。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97.20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97.20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97.20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97.20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97.20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97.20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0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5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项目负责人：李长斌</w:t>
            </w:r>
          </w:p>
        </w:tc>
        <w:tc>
          <w:tcPr>
            <w:tcW w:w="70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财务负责人：罗冬梅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5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51081222R000005430095-目标绩效奖（行政工人）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该项目为人员类项目，主要保障部门机关工勤人员目标绩效奖。2022年，该预算项目资金按月支付，及时足额发放，预算执行率100%，年末无资金结余情况。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0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5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项目负责人：李长斌</w:t>
            </w:r>
          </w:p>
        </w:tc>
        <w:tc>
          <w:tcPr>
            <w:tcW w:w="70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财务负责人：罗冬梅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5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51081222T000005689671-2020年地质灾害防治中央补助资金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2020年地质灾害防治中央补助资金</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该项目为特定目标类项目，为2020年地质灾害防治中央补助资金，2022年，该预算项目资金有序支付，预算执行率100%，年末无资金结余情况。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247.30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247.30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247.30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247.30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2020年地质灾害防治中央补助资金</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247.3</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247.3</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0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5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项目负责人：饶磊</w:t>
            </w:r>
          </w:p>
        </w:tc>
        <w:tc>
          <w:tcPr>
            <w:tcW w:w="70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财务负责人：罗冬梅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5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51081222T000005689793-地质灾害综合防治体系建设补助资金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地质灾害综合防治体系建设补助资金</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该项目为特定目标类项目，地质灾害综合防治体系建设补助资金，2022年，该预算项目资金有序支付，预算执行率100%，年末无资金结余情况。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662.70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662.70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662.70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662.70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地质灾害综合防治体系建设补助资金</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662.7</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662.7</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0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项目实施达到了预期的经济效益、社会效益，绩效目标完全实现，为我中心在下一年工作推进和预算安排上提供了对比数据。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5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项目负责人：饶磊</w:t>
            </w:r>
          </w:p>
        </w:tc>
        <w:tc>
          <w:tcPr>
            <w:tcW w:w="70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财务负责人：罗冬梅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5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51081222T000005689949-2020年第五批省级和2021年中央地质灾害防治补助资金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2020年第五批省级和2021年中央地质灾害防治补助资金</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该项目为特定目标类项目，2020年第五批省级和2021年中央地质灾害防治补助资金，2022年，该预算项目资金有序支付，预算执行率100%，年末无资金结余情况。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2020年第五批省级和2021年中央地质灾害防治补助资金</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370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0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5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项目负责人：饶磊</w:t>
            </w:r>
          </w:p>
        </w:tc>
        <w:tc>
          <w:tcPr>
            <w:tcW w:w="70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财务负责人：罗冬梅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5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51081222T000005690466-2017年第一批土地整理项目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2017年第一批土地整理项目</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该项目为特定目标类项目，2017年第一批土地整理项目，2022年，该预算项目资金有序支付，预算执行率100%，年末无资金结余情况。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2017年第一批土地整理项目</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0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5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项目负责人：李小军</w:t>
            </w:r>
          </w:p>
        </w:tc>
        <w:tc>
          <w:tcPr>
            <w:tcW w:w="70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财务负责人：罗冬梅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5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51081222T000005690495-土地治理项目后期整改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土地治理项目后期整改</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该项目为特定目标类项目，土地治理项目后期整改，2022年，该预算项目资金有序支付，预算执行率100%，年末无资金结余情况。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131.54</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131.54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131.54</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131.54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土地治理项目后期整改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131.54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131.54</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0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5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项目负责人：李小军</w:t>
            </w:r>
          </w:p>
        </w:tc>
        <w:tc>
          <w:tcPr>
            <w:tcW w:w="70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财务负责人：罗冬梅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5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51081222T000005692399-土地整治项目新增耕地核定工作经费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土地整治项目新增耕地核定工作经费</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该项目为特定目标类项目，土地整治项目新增耕地核定工作经费，2022年，该预算项目资金有序支付，预算执行率100%，年末无资金结余情况。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73.33</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73.33</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73.33</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73.33</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土地整治项目新增耕地核定工作经费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73.33</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73.33</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0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5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项目负责人：李小军</w:t>
            </w:r>
          </w:p>
        </w:tc>
        <w:tc>
          <w:tcPr>
            <w:tcW w:w="70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财务负责人：罗冬梅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5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51081222T000005692451-落实修改《广元市土地利用总体规划方案（2006-2020年）工作经费和技术服务单位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落实修改《广元市土地利用总体规划方案（2006-2020年）工作经费和技术服务单位</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该项目为特定目标类项目，落实修改《广元市土地利用总体规划方案（2006-2020年）工作经费和技术服务单位，2022年，该预算项目资金有序支付，预算执行率100%，年末无资金结余情况。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落实修改《广元市土地利用总体规划方案（2006-2020年）工作经费和技术服务单位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60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0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5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项目负责人：王宏东</w:t>
            </w:r>
          </w:p>
        </w:tc>
        <w:tc>
          <w:tcPr>
            <w:tcW w:w="70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财务负责人：罗冬梅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5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51081222T000005692540-开展2020年度全区耕地质量等别年度更新与评价工作经费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开展2020年度全区耕地质量等别年度更新与评价工作经费</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该项目为特定目标类项目，开展2020年度全区耕地质量等别年度更新与评价工作经费，2022年，该预算项目资金有序支付，预算执行率100%，年末无资金结余情况。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开展2020年度全区耕地质量等别年度更新与评价工作经费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0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5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项目负责人：付康宁</w:t>
            </w:r>
          </w:p>
        </w:tc>
        <w:tc>
          <w:tcPr>
            <w:tcW w:w="70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财务负责人：罗冬梅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5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51081222T000005692919-项目竣工勘界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项目竣工勘界</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该项目为特定目标类项目，项目竣工勘界，2022年，该预算项目资金有序支付，预算执行率100%，年末无资金结余情况。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项目竣工勘界</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0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5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项目负责人：饶雯森</w:t>
            </w:r>
          </w:p>
        </w:tc>
        <w:tc>
          <w:tcPr>
            <w:tcW w:w="70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财务负责人：罗冬梅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5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51081222T000005692974-11个项目验收整改相关工作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11个项目验收整改相关工作</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该项目为特定目标类项目，11个项目验收整改相关工作，2022年，该预算项目资金有序支付，预算执行率100%，年末无资金结余情况。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11个项目验收整改相关工作</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0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5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70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5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51081222T000005693046-土地整理区耕地田坎核实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土地整理区耕地田坎核实</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该项目为特定目标类项目，土地整理区耕地田坎核实，2022年，该预算项目资金有序支付，预算执行率100%，年末无资金结余情况。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44.00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44.00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44.00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44.00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土地整理区耕地田坎核实</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44</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0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5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项目负责人：李小军</w:t>
            </w:r>
          </w:p>
        </w:tc>
        <w:tc>
          <w:tcPr>
            <w:tcW w:w="70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财务负责人：罗冬梅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5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51081222T000005693152-建设用地土地利用总体规划局部调整工作经费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建设用地土地利用总体规划局部调整工作经费</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该项目为特定目标类项目，建设用地土地利用总体规划局部调整工作经费，2022年，该预算项目资金有序支付，预算执行率100%，年末无资金结余情况。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建设用地土地利用总体规划局部调整工作经费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0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5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项目负责人：王宏东</w:t>
            </w:r>
          </w:p>
        </w:tc>
        <w:tc>
          <w:tcPr>
            <w:tcW w:w="70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财务负责人：罗冬梅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5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51081222T000005693504-朝天区村分类技术服务费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朝天区村分类技术服务费</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该项目为特定目标类项目，朝天区村分类技术服务费，2022年，该预算项目资金有序支付，预算执行率100%，年末无资金结余情况。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24.60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24.60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24.60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24.60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朝天区村分类技术服务费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24.6</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24.6</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0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5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项目负责人：庞斌</w:t>
            </w:r>
          </w:p>
        </w:tc>
        <w:tc>
          <w:tcPr>
            <w:tcW w:w="70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财务负责人：罗冬梅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5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51081222T000005693608-2021年乡村振兴重点村驻村工作队（含第一书记）工作经费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2021年乡村振兴重点村驻村工作队（含第一书记）工作经费</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该项目为运转类项目，主要用于乡村振兴重点村驻村工作队（含第一书记）工作经费，2022年，该预算项目资金有序支付，预算执行率100%，年末无资金结余情况。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0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5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项目负责人：李长斌</w:t>
            </w:r>
          </w:p>
        </w:tc>
        <w:tc>
          <w:tcPr>
            <w:tcW w:w="70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财务负责人：罗冬梅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5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51081222T000005778510-曾家镇增减挂钩项目节余指标流转回购资金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原建设用地复垦成耕地，用于城镇建新区占补平衡指标。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该项目为特定目标类项目，原建设用地复垦成耕地，用于城镇建新区占补平衡指标，2022年，该预算项目资金有序支付，预算执行率100%，年末无资金结余情况。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完成目标批次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批次</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质量达标率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批次</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完成及时性</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批次</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流转指标回购款</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预计实现收入</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提升实施区域经济发展</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宗</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好坏</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对地方长远影响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宗</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用地单位满意度</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宗</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0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5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项目负责人：胡守国</w:t>
            </w:r>
          </w:p>
        </w:tc>
        <w:tc>
          <w:tcPr>
            <w:tcW w:w="70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财务负责人：罗冬梅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5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51081222T000005928085-土地报征费用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完成2021年度1-7批次用地土地报征组卷、项目选址方案、规划指标落实方案等编制工作。</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该项目为特定目标类项目，完成2021年度1-7批次用地土地报征组卷、项目选址方案、规划指标落实方案等编制工作，2022年，该预算项目资金有序支付，预算执行率100%，年末无资金结余情况。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37.30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37.30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37.30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37.30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37.30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37.30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完成项目批次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质量达标率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完成及时性</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报征土地所需的资金量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97.3</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97.3</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预计实现土地价款收入</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提升实施区域经济发展</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对地方长远影响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用地单位满意度</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0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5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项目负责人：付康宁</w:t>
            </w:r>
          </w:p>
        </w:tc>
        <w:tc>
          <w:tcPr>
            <w:tcW w:w="70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财务负责人：罗冬梅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5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51081222T000006313401-原东溪河镇增减挂钩试点项目节余指标流转回购资金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原东溪河镇增减挂钩试点项目节余指标流转回购资金</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该项目为特定目标类项目，原东溪河镇增减挂钩试点项目节余指标流转回购资金，2022年，该预算项目资金有序支付，预算执行率100%，年末无资金结余情况。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113.84</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113.84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113.84</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113.84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项目资金</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113.84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113.84</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0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5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项目负责人：胡守国</w:t>
            </w:r>
          </w:p>
        </w:tc>
        <w:tc>
          <w:tcPr>
            <w:tcW w:w="70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财务负责人：罗冬梅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5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51081222T000006313658-2022年第一批中央地质灾害防治补助资金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2022年第一批中央地质灾害防治补助资金</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该项目为特定目标类项目，2022年第一批中央地质灾害防治补助资金，2022年，该预算项目资金有序支付，预算执行率100%，年末无资金结余情况。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139.55</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139.55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139.55</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139.55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项目资金</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139.55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139.55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0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5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项目负责人：饶磊</w:t>
            </w:r>
          </w:p>
        </w:tc>
        <w:tc>
          <w:tcPr>
            <w:tcW w:w="70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财务负责人：罗冬梅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5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51081222T000006380750-朝天区2021年第5批次建设用地耕地占用税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朝天区2021年第5批次建设用地耕地占用税</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该项目为特定目标类项目，朝天区2021年第5批次建设用地耕地占用税，2022年，该预算项目资金有序支付，预算执行率100%，年末无资金结余情况。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32.97</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32.97</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32.97</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32.97</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项目资金</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32.97</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32.97</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0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5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项目负责人：付康宁</w:t>
            </w:r>
          </w:p>
        </w:tc>
        <w:tc>
          <w:tcPr>
            <w:tcW w:w="70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财务负责人：罗冬梅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5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51081222T000006380888-朝天区2021年第7批次建设用地耕地占用税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朝天区2021年第7批次建设用地耕地占用税</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该项目为特定目标类项目，朝天区2021年第7批次建设用地耕地占用税，2022年，该预算项目资金有序支付，预算执行率100%，年末无资金结余情况。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167.41</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167.41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167.41</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167.41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项目资金</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167.41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167.41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0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5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项目负责人：付康宁</w:t>
            </w:r>
          </w:p>
        </w:tc>
        <w:tc>
          <w:tcPr>
            <w:tcW w:w="70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财务负责人：罗冬梅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5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51081222T000006700966-朝天区2021年第3批次建设用地新增建设用地土地有偿使用费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朝天区2021年第3批次建设用地新增建设用地土地有偿使用费</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该项目为特定目标类项目，朝天区2021年第3批次建设用地新增建设用地土地有偿使用费，2022年，该预算项目资金有序支付，预算执行率100%，年末无资金结余情况。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143.73</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143.73</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143.73</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143.73</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项目资金</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143.73</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143.73</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0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5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项目负责人：付康宁</w:t>
            </w:r>
          </w:p>
        </w:tc>
        <w:tc>
          <w:tcPr>
            <w:tcW w:w="70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财务负责人：罗冬梅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5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51081222T000006857718-土地征地费用（2021年第3批次）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土地征地费用（2021年第3批次）</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该项目为特定目标类项目，2021年第3批次土地征地费用，2022年，该预算项目资金有序支付，预算执行率100%，年末无资金结余情况。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219.34</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219.34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219.34</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219.34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项目资金</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219.34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219.34</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0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5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项目负责人：付康宁</w:t>
            </w:r>
          </w:p>
        </w:tc>
        <w:tc>
          <w:tcPr>
            <w:tcW w:w="70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财务负责人：罗冬梅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5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51081222T000006896631-重点生态保护修复治理资金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重点生态保护修复治理资金</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该项目为特定目标类项目，重点生态保护修复治理资金，2022年，该预算项目资金有序支付，预算执行率100%，年末无资金结余情况。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项目资金</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0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5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项目负责人：钟林汗</w:t>
            </w:r>
          </w:p>
        </w:tc>
        <w:tc>
          <w:tcPr>
            <w:tcW w:w="70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财务负责人：罗冬梅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5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51081222T000006957319-朝天区槽湾头石灰岩矿资源储量勘查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朝天区槽湾头石灰岩矿资源储量勘查</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该项目为特定目标类项目，朝天区槽湾头石灰岩矿资源储量勘查，2022年，该预算项目资金有序支付，预算执行率100%，年末无资金结余情况。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35.20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35.20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35.20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35.20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项目资金</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35.2</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0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5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项目负责人：杨必刚</w:t>
            </w:r>
          </w:p>
        </w:tc>
        <w:tc>
          <w:tcPr>
            <w:tcW w:w="70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财务负责人：罗冬梅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5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51081222T000006981823-自然资源分局办公用房租赁费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自然资源分局办公用房租赁费</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该项目为特定目标类项目，自然资源分局办公用房租赁费，2022年，该预算项目资金有序支付，预算执行率100%，年末无资金结余情况。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71.96</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71.96</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71.96</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71.96</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项目资金</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71.96</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71.96</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0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5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项目负责人：李长斌</w:t>
            </w:r>
          </w:p>
        </w:tc>
        <w:tc>
          <w:tcPr>
            <w:tcW w:w="70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财务负责人：罗冬梅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5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51081222T000007017759-2022年朝天区地质灾害工程治理项目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2022年朝天区地质灾害工程治理项目</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该项目为特定目标类项目，2022年朝天区地质灾害工程治理，2022年，该预算项目资金有序支付，预算执行率100%，年末无资金结余情况。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530.00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530.00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530.00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530.00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项目资金</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530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530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0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5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项目负责人：饶磊</w:t>
            </w:r>
          </w:p>
        </w:tc>
        <w:tc>
          <w:tcPr>
            <w:tcW w:w="70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财务负责人：罗冬梅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5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51081222T000007215301-2022年第三批地质灾害防治补助资金（省级）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2022年第三批地质灾害防治补助资金（省级）</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该项目为特定目标类项目，2022年第三批地质灾害防治补助资金（省级），2022年，该预算项目资金有序支付，预算执行率100%，年末无资金结余情况。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97.26</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97.26</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97.26</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97.26</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项目资金</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97.26</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97.26</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0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5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项目负责人：饶磊</w:t>
            </w:r>
          </w:p>
        </w:tc>
        <w:tc>
          <w:tcPr>
            <w:tcW w:w="70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财务负责人：罗冬梅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5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51081222T000007274810-朝天区2022年第五批次建设用地被征地农民社会保险资金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朝天区2022年第五批次建设用地被征地农民社会保险资金</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该项目为特定目标类项目，2022年第五批次建设用地被征地农民社会保险资金，2022年，该预算项目资金有序支付，预算执行率100%，年末无资金结余情况。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577.95</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577.95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577.95</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577.95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项目资金</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577.95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577.95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0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5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项目负责人：付康宁</w:t>
            </w:r>
          </w:p>
        </w:tc>
        <w:tc>
          <w:tcPr>
            <w:tcW w:w="70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财务负责人：罗冬梅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5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51081222T000007274822-朝天区2022年第七批次建设用地被征地农民社会保险资金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朝天区2022年第七批次建设用地被征地农民社会保险资金</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该项目为特定目标类项目，2022年第七批次建设用地被征地农民社会保险资金，2022年，该预算项目资金有序支付，预算执行率100%，年末无资金结余情况。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291.53</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291.53</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291.53</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291.53</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项目资金</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291.53</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291.53</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0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5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项目负责人：付康宁</w:t>
            </w:r>
          </w:p>
        </w:tc>
        <w:tc>
          <w:tcPr>
            <w:tcW w:w="70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财务负责人：罗冬梅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5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51081222T000007274831-朝天区2022年第二批次建设用地被征地农民社会保险资金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朝天区2022年第二批次建设用地被征地农民社会保险资金</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该项目为特定目标类项目，2022年第二批次建设用地被征地农民社会保险资金，2022年，该预算项目资金有序支付，预算执行率100%，年末无资金结余情况。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143.90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143.90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143.90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143.90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项目资金</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143.9</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143.9</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0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5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项目负责人：付康宁</w:t>
            </w:r>
          </w:p>
        </w:tc>
        <w:tc>
          <w:tcPr>
            <w:tcW w:w="70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财务负责人：罗冬梅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5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51081222T000007298367-朝天区2022年第五批次建设用地被征地农民社保资金（2）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朝天区2022年第五批次建设用地被征地农民社保资金（2）</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该项目为特定目标类项目，2022年第五批次建设用地被征地农民社保资金，2022年，该预算项目资金有序支付，预算执行率100%，年末无资金结余情况。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713.57</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713.57</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713.57</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713.57</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项目资金</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713.57</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713.57</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0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5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项目负责人：付康宁</w:t>
            </w:r>
          </w:p>
        </w:tc>
        <w:tc>
          <w:tcPr>
            <w:tcW w:w="70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财务负责人：罗冬梅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5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51081222T000007311135-朝天区2022年第一批次建设用地被征地农民社保资金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朝天区2022年第一批次建设用地被征地农民社保资金</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该项目为特定目标类项目，2022年第一批次建设用地被征地农民社保资金，2022年，该预算项目资金有序支付，预算执行率100%，年末无资金结余情况。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356.78</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356.78</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356.78</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356.78</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项目资金</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356.78</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356.78</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0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5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项目负责人：付康宁</w:t>
            </w:r>
          </w:p>
        </w:tc>
        <w:tc>
          <w:tcPr>
            <w:tcW w:w="70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财务负责人：罗冬梅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5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51081222T000007311140-朝天区2022年第三批次建设用地被征地农民社保资金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朝天区2022年第三批次建设用地被征地农民社保资金</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该项目为特定目标类项目，2022年第三批次建设用地被征地农民社保资金，2022年该预算项目资金有序支付，预算执行率100%，年末无资金结余情况。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211.32</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211.32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211.32</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211.32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项目资金</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211.32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211.32</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0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5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项目负责人：付康宁</w:t>
            </w:r>
          </w:p>
        </w:tc>
        <w:tc>
          <w:tcPr>
            <w:tcW w:w="70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财务负责人：罗冬梅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5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51081222T000007318389-2020年省级矿山生态修复项目资金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2020年省级矿山生态修复项目资金</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该项目为特定目标类项目，2020年省级矿山生态修复项目资金，2022年，该预算项目资金有序支付，预算执行率100%，年末无资金结余情况。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233.47</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223.47</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233.47</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223.47</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项目资金</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223.47</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223.47</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0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5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项目负责人：钟林汗</w:t>
            </w:r>
          </w:p>
        </w:tc>
        <w:tc>
          <w:tcPr>
            <w:tcW w:w="70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财务负责人：罗冬梅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5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51081222Y000005135060-定额公用经费（行政）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该项目为运转类项目，主要保障部门日常公用支出。2022年，该预算项目资金年中有序支付，预算执行率100%，年末无资金结余情况。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19.33</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19.33</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19.33</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19.33</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0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5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项目负责人：李长斌</w:t>
            </w:r>
          </w:p>
        </w:tc>
        <w:tc>
          <w:tcPr>
            <w:tcW w:w="70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财务负责人：罗冬梅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5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51081222Y000005135504-定额公用经费（事业）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保障单位日常运转，提高预算编制质量，严格执行预算</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该项目为运转类项目，主要保障部门日常公用支出。2022年，该预算项目资金年中有序支付，预算执行率100%，年末无资金结余情况。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26.10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26.10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26.10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26.10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26.10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26.10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0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5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项目负责人：李长斌</w:t>
            </w:r>
          </w:p>
        </w:tc>
        <w:tc>
          <w:tcPr>
            <w:tcW w:w="70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财务负责人：罗冬梅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5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51081222Y000005899943-乡村振兴第一书记和工作队工作经费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保障单位日常运转，提高预算编制质量，严格执行预算</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该项目为运转类项目，主要保障部门日常公用支出。2022年，该预算项目资金年中有序支付，预算执行率100%，年末无资金结余情况。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0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5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项目负责人：李长斌</w:t>
            </w:r>
          </w:p>
        </w:tc>
        <w:tc>
          <w:tcPr>
            <w:tcW w:w="70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财务负责人：罗冬梅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5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51081223T000007852690-朝天区2022年第9批次建设用地被征地农民社会保险资金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朝天区2022年第9批次建设用地被征地农民社会保险资金</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该项目为特定目标类项目，2022年第9批次建设用地被征地农民社会保险资金，2022年，该预算项目资金有序支付，预算执行率100%，年末无资金结余情况。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528.42</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528.42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528.42</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528.42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项目资金</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528.42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528.42</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0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5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项目负责人：付康宁</w:t>
            </w:r>
          </w:p>
        </w:tc>
        <w:tc>
          <w:tcPr>
            <w:tcW w:w="70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财务负责人：罗冬梅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5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51081223T000008676338-朝天区集体农用地及未利用地转为集体建设用地耕地占用税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朝天区集体农用地及未利用地转为集体建设用地耕地占用税</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该项目为特定目标类项目，朝天区集体农用地及未利用地转为集体建设用地耕地占用税，2022年，该预算项目资金有序支付，预算执行率100%，年末无资金结余情况。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87.16</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87.16</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87.16</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87.16</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项目资金</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87.16</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87.16</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0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87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5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项目负责人：付康宁</w:t>
            </w:r>
          </w:p>
        </w:tc>
        <w:tc>
          <w:tcPr>
            <w:tcW w:w="70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财务负责人：罗冬梅</w:t>
            </w:r>
          </w:p>
        </w:tc>
      </w:tr>
    </w:tbl>
    <w:p>
      <w:pPr>
        <w:rPr>
          <w:rFonts w:hint="eastAsia" w:hAnsi="宋体" w:cs="宋体"/>
          <w:color w:val="auto"/>
          <w:kern w:val="0"/>
          <w:sz w:val="32"/>
          <w:szCs w:val="32"/>
          <w:highlight w:val="none"/>
          <w:shd w:val="clear" w:color="auto" w:fill="FFFFFF"/>
          <w:lang w:val="zh-CN"/>
        </w:rPr>
      </w:pPr>
    </w:p>
    <w:p>
      <w:pPr>
        <w:rPr>
          <w:rFonts w:hint="eastAsia" w:hAnsi="宋体" w:cs="宋体"/>
          <w:color w:val="auto"/>
          <w:kern w:val="0"/>
          <w:sz w:val="32"/>
          <w:szCs w:val="32"/>
          <w:highlight w:val="none"/>
          <w:shd w:val="clear" w:color="auto" w:fill="FFFFFF"/>
          <w:lang w:val="zh-CN"/>
        </w:rPr>
      </w:pPr>
    </w:p>
    <w:p>
      <w:pPr>
        <w:rPr>
          <w:rFonts w:hint="eastAsia" w:hAnsi="宋体" w:cs="宋体"/>
          <w:color w:val="auto"/>
          <w:kern w:val="0"/>
          <w:sz w:val="32"/>
          <w:szCs w:val="32"/>
          <w:highlight w:val="none"/>
          <w:shd w:val="clear" w:color="auto" w:fill="FFFFFF"/>
          <w:lang w:val="zh-CN"/>
        </w:rPr>
      </w:pPr>
    </w:p>
    <w:p>
      <w:pPr>
        <w:rPr>
          <w:rFonts w:hint="eastAsia" w:hAnsi="宋体" w:cs="宋体"/>
          <w:color w:val="auto"/>
          <w:kern w:val="0"/>
          <w:sz w:val="32"/>
          <w:szCs w:val="32"/>
          <w:highlight w:val="none"/>
          <w:shd w:val="clear" w:color="auto" w:fill="FFFFFF"/>
          <w:lang w:val="zh-CN"/>
        </w:rPr>
      </w:pPr>
    </w:p>
    <w:p>
      <w:pPr>
        <w:rPr>
          <w:rFonts w:hint="eastAsia" w:hAnsi="宋体" w:cs="宋体"/>
          <w:color w:val="auto"/>
          <w:kern w:val="0"/>
          <w:sz w:val="32"/>
          <w:szCs w:val="32"/>
          <w:highlight w:val="none"/>
          <w:shd w:val="clear" w:color="auto" w:fill="FFFFFF"/>
          <w:lang w:val="zh-CN"/>
        </w:rPr>
      </w:pPr>
    </w:p>
    <w:p>
      <w:pPr>
        <w:rPr>
          <w:rFonts w:hint="eastAsia" w:hAnsi="宋体" w:cs="宋体"/>
          <w:color w:val="auto"/>
          <w:kern w:val="0"/>
          <w:sz w:val="32"/>
          <w:szCs w:val="32"/>
          <w:highlight w:val="none"/>
          <w:shd w:val="clear" w:color="auto" w:fill="FFFFFF"/>
          <w:lang w:val="zh-CN"/>
        </w:rPr>
      </w:pPr>
    </w:p>
    <w:p>
      <w:pPr>
        <w:pStyle w:val="5"/>
        <w:rPr>
          <w:rFonts w:hint="eastAsia" w:hAnsi="宋体" w:cs="宋体"/>
          <w:color w:val="auto"/>
          <w:kern w:val="0"/>
          <w:sz w:val="32"/>
          <w:szCs w:val="32"/>
          <w:highlight w:val="none"/>
          <w:shd w:val="clear" w:color="auto" w:fill="FFFFFF"/>
          <w:lang w:val="zh-CN"/>
        </w:rPr>
        <w:sectPr>
          <w:pgSz w:w="16838" w:h="11906" w:orient="landscape"/>
          <w:pgMar w:top="1803" w:right="1440" w:bottom="1803" w:left="1440" w:header="851" w:footer="992" w:gutter="0"/>
          <w:cols w:space="0" w:num="1"/>
          <w:titlePg/>
          <w:rtlGutter w:val="0"/>
          <w:docGrid w:type="lines" w:linePitch="319" w:charSpace="0"/>
        </w:sectPr>
      </w:pPr>
    </w:p>
    <w:p>
      <w:pPr>
        <w:pStyle w:val="5"/>
        <w:rPr>
          <w:rFonts w:hint="eastAsia" w:eastAsia="仿宋_GB2312"/>
          <w:color w:val="auto"/>
          <w:sz w:val="32"/>
          <w:szCs w:val="32"/>
          <w:highlight w:val="none"/>
          <w:lang w:val="en-US" w:eastAsia="zh-CN"/>
        </w:rPr>
      </w:pPr>
      <w:r>
        <w:rPr>
          <w:rFonts w:hint="eastAsia" w:hAnsi="宋体" w:cs="宋体"/>
          <w:color w:val="auto"/>
          <w:kern w:val="0"/>
          <w:sz w:val="32"/>
          <w:szCs w:val="32"/>
          <w:highlight w:val="none"/>
          <w:shd w:val="clear" w:color="auto" w:fill="FFFFFF"/>
          <w:lang w:val="zh-CN"/>
        </w:rPr>
        <w:t>附件</w:t>
      </w:r>
      <w:r>
        <w:rPr>
          <w:rFonts w:hint="eastAsia" w:hAnsi="宋体" w:cs="宋体"/>
          <w:color w:val="auto"/>
          <w:kern w:val="0"/>
          <w:sz w:val="32"/>
          <w:szCs w:val="32"/>
          <w:highlight w:val="none"/>
          <w:shd w:val="clear" w:color="auto" w:fill="FFFFFF"/>
          <w:lang w:val="en-US" w:eastAsia="zh-CN"/>
        </w:rPr>
        <w:t>2</w:t>
      </w:r>
    </w:p>
    <w:p>
      <w:pPr>
        <w:pStyle w:val="33"/>
        <w:keepNext w:val="0"/>
        <w:keepLines w:val="0"/>
        <w:pageBreakBefore w:val="0"/>
        <w:widowControl w:val="0"/>
        <w:kinsoku/>
        <w:wordWrap/>
        <w:overflowPunct/>
        <w:topLinePunct w:val="0"/>
        <w:autoSpaceDE/>
        <w:autoSpaceDN/>
        <w:bidi w:val="0"/>
        <w:spacing w:line="578" w:lineRule="exact"/>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rPr>
      </w:pPr>
      <w:r>
        <w:rPr>
          <w:rFonts w:hint="eastAsia" w:ascii="方正小标宋简体" w:hAnsi="方正小标宋简体" w:eastAsia="方正小标宋简体" w:cs="方正小标宋简体"/>
          <w:color w:val="auto"/>
          <w:kern w:val="2"/>
          <w:sz w:val="32"/>
          <w:szCs w:val="32"/>
          <w:highlight w:val="none"/>
          <w:lang w:val="en-US" w:eastAsia="zh-CN"/>
        </w:rPr>
        <w:t>2022年专项资金预算项目绩效自评报告</w:t>
      </w:r>
    </w:p>
    <w:p>
      <w:pPr>
        <w:pStyle w:val="33"/>
        <w:keepNext w:val="0"/>
        <w:keepLines w:val="0"/>
        <w:pageBreakBefore w:val="0"/>
        <w:widowControl w:val="0"/>
        <w:kinsoku/>
        <w:wordWrap/>
        <w:overflowPunct/>
        <w:topLinePunct w:val="0"/>
        <w:autoSpaceDE/>
        <w:autoSpaceDN/>
        <w:bidi w:val="0"/>
        <w:spacing w:line="578" w:lineRule="exact"/>
        <w:ind w:firstLine="640"/>
        <w:jc w:val="center"/>
        <w:textAlignment w:val="auto"/>
        <w:rPr>
          <w:rFonts w:ascii="宋体" w:hAnsi="宋体"/>
          <w:color w:val="auto"/>
          <w:kern w:val="2"/>
          <w:sz w:val="32"/>
          <w:szCs w:val="32"/>
          <w:highlight w:val="none"/>
        </w:rPr>
      </w:pP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ascii="黑体" w:hAnsi="宋体" w:eastAsia="黑体" w:cs="Times New Roman"/>
          <w:color w:val="auto"/>
          <w:w w:val="99"/>
          <w:sz w:val="32"/>
          <w:szCs w:val="32"/>
        </w:rPr>
      </w:pPr>
      <w:r>
        <w:rPr>
          <w:rFonts w:hint="eastAsia" w:ascii="黑体" w:hAnsi="黑体" w:eastAsia="黑体" w:cs="Times New Roman"/>
          <w:color w:val="auto"/>
          <w:w w:val="99"/>
          <w:sz w:val="32"/>
          <w:szCs w:val="32"/>
        </w:rPr>
        <w:t>一、项目概况</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楷体_GB2312" w:hAnsi="宋体" w:eastAsia="楷体_GB2312" w:cs="Times New Roman"/>
          <w:b/>
          <w:color w:val="auto"/>
          <w:w w:val="99"/>
          <w:sz w:val="32"/>
          <w:szCs w:val="32"/>
        </w:rPr>
      </w:pPr>
      <w:r>
        <w:rPr>
          <w:rFonts w:hint="eastAsia" w:ascii="楷体_GB2312" w:hAnsi="宋体" w:eastAsia="楷体_GB2312" w:cs="Times New Roman"/>
          <w:b/>
          <w:color w:val="auto"/>
          <w:w w:val="99"/>
          <w:sz w:val="32"/>
          <w:szCs w:val="32"/>
        </w:rPr>
        <w:t>（一）项目基本情况。</w:t>
      </w:r>
    </w:p>
    <w:p>
      <w:pPr>
        <w:spacing w:line="360" w:lineRule="auto"/>
        <w:ind w:firstLine="632"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宋体" w:eastAsia="仿宋_GB2312" w:cs="Times New Roman"/>
          <w:b w:val="0"/>
          <w:bCs w:val="0"/>
          <w:color w:val="auto"/>
          <w:w w:val="99"/>
          <w:sz w:val="32"/>
          <w:szCs w:val="32"/>
        </w:rPr>
        <w:t>1．</w:t>
      </w:r>
      <w:r>
        <w:rPr>
          <w:rFonts w:hint="eastAsia" w:ascii="仿宋_GB2312" w:hAnsi="仿宋_GB2312" w:eastAsia="仿宋_GB2312" w:cs="仿宋_GB2312"/>
          <w:b w:val="0"/>
          <w:bCs w:val="0"/>
          <w:color w:val="auto"/>
          <w:sz w:val="32"/>
          <w:szCs w:val="32"/>
          <w:lang w:val="en-US" w:eastAsia="zh-CN"/>
        </w:rPr>
        <w:t>项目申报情况。</w:t>
      </w:r>
    </w:p>
    <w:p>
      <w:pPr>
        <w:spacing w:line="360" w:lineRule="auto"/>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年，我</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向省市主管部门申报</w:t>
      </w:r>
      <w:r>
        <w:rPr>
          <w:rFonts w:hint="eastAsia" w:ascii="仿宋_GB2312" w:hAnsi="仿宋_GB2312" w:eastAsia="仿宋_GB2312" w:cs="仿宋_GB2312"/>
          <w:color w:val="auto"/>
          <w:sz w:val="32"/>
          <w:szCs w:val="32"/>
          <w:lang w:eastAsia="zh-CN"/>
        </w:rPr>
        <w:t>了</w:t>
      </w:r>
      <w:r>
        <w:rPr>
          <w:rFonts w:hint="eastAsia" w:ascii="仿宋_GB2312" w:hAnsi="仿宋_GB2312" w:eastAsia="仿宋_GB2312" w:cs="仿宋_GB2312"/>
          <w:color w:val="auto"/>
          <w:sz w:val="32"/>
          <w:szCs w:val="32"/>
          <w:lang w:val="en-US" w:eastAsia="zh-CN"/>
        </w:rPr>
        <w:t>两批次地质灾害防治专项资金，其中：第一批地质灾害防治专项资金申报实施2处治理工程、1个地质灾害群专结合监测预警项目，合计资金332万元；第二批地质灾害防治专项资金申报实施</w:t>
      </w:r>
      <w:r>
        <w:rPr>
          <w:rFonts w:hint="eastAsia" w:ascii="仿宋_GB2312" w:hAnsi="仿宋_GB2312" w:eastAsia="仿宋_GB2312" w:cs="仿宋_GB2312"/>
          <w:color w:val="auto"/>
          <w:sz w:val="32"/>
          <w:szCs w:val="32"/>
        </w:rPr>
        <w:t>群测群防专兼职监测</w:t>
      </w:r>
      <w:r>
        <w:rPr>
          <w:rFonts w:hint="eastAsia" w:ascii="仿宋_GB2312" w:hAnsi="仿宋_GB2312" w:eastAsia="仿宋_GB2312" w:cs="仿宋_GB2312"/>
          <w:color w:val="auto"/>
          <w:sz w:val="32"/>
          <w:szCs w:val="32"/>
          <w:lang w:val="en-US" w:eastAsia="zh-CN"/>
        </w:rPr>
        <w:t>114</w:t>
      </w:r>
      <w:r>
        <w:rPr>
          <w:rFonts w:hint="eastAsia" w:ascii="仿宋_GB2312" w:hAnsi="仿宋_GB2312" w:eastAsia="仿宋_GB2312" w:cs="仿宋_GB2312"/>
          <w:color w:val="auto"/>
          <w:sz w:val="32"/>
          <w:szCs w:val="32"/>
        </w:rPr>
        <w:t>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治理工程</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避险搬迁20户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合计资金243.04万元。</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两个批次</w:t>
      </w:r>
      <w:r>
        <w:rPr>
          <w:rFonts w:hint="eastAsia" w:ascii="仿宋_GB2312" w:hAnsi="仿宋_GB2312" w:eastAsia="仿宋_GB2312" w:cs="仿宋_GB2312"/>
          <w:color w:val="auto"/>
          <w:sz w:val="32"/>
          <w:szCs w:val="32"/>
          <w:lang w:eastAsia="zh-CN"/>
        </w:rPr>
        <w:t>地灾项目合计申报金额</w:t>
      </w:r>
      <w:r>
        <w:rPr>
          <w:rFonts w:hint="eastAsia" w:ascii="仿宋_GB2312" w:hAnsi="仿宋_GB2312" w:eastAsia="仿宋_GB2312" w:cs="仿宋_GB2312"/>
          <w:color w:val="auto"/>
          <w:sz w:val="32"/>
          <w:szCs w:val="32"/>
          <w:lang w:val="en-US" w:eastAsia="zh-CN"/>
        </w:rPr>
        <w:t>575.04万元</w:t>
      </w:r>
      <w:r>
        <w:rPr>
          <w:rFonts w:hint="eastAsia" w:ascii="仿宋_GB2312" w:hAnsi="仿宋_GB2312" w:eastAsia="仿宋_GB2312" w:cs="仿宋_GB2312"/>
          <w:color w:val="auto"/>
          <w:sz w:val="32"/>
          <w:szCs w:val="32"/>
        </w:rPr>
        <w:t>。</w:t>
      </w:r>
    </w:p>
    <w:p>
      <w:pPr>
        <w:numPr>
          <w:ilvl w:val="0"/>
          <w:numId w:val="9"/>
        </w:numPr>
        <w:spacing w:line="360" w:lineRule="auto"/>
        <w:ind w:firstLine="632" w:firstLineChars="200"/>
        <w:rPr>
          <w:rFonts w:hint="eastAsia" w:ascii="仿宋_GB2312" w:hAnsi="仿宋_GB2312" w:eastAsia="仿宋_GB2312" w:cs="仿宋_GB2312"/>
          <w:color w:val="auto"/>
          <w:sz w:val="32"/>
          <w:szCs w:val="32"/>
          <w:lang w:eastAsia="zh-CN"/>
        </w:rPr>
      </w:pPr>
      <w:r>
        <w:rPr>
          <w:rFonts w:hint="eastAsia" w:ascii="仿宋_GB2312" w:hAnsi="宋体" w:eastAsia="仿宋_GB2312" w:cs="Times New Roman"/>
          <w:color w:val="auto"/>
          <w:w w:val="99"/>
          <w:sz w:val="32"/>
          <w:szCs w:val="32"/>
        </w:rPr>
        <w:t>项目立项、资金申报的依据。</w:t>
      </w:r>
    </w:p>
    <w:p>
      <w:pPr>
        <w:numPr>
          <w:ilvl w:val="0"/>
          <w:numId w:val="0"/>
        </w:numPr>
        <w:spacing w:line="360" w:lineRule="auto"/>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①广元市财政局</w:t>
      </w:r>
      <w:r>
        <w:rPr>
          <w:rFonts w:hint="eastAsia" w:ascii="仿宋_GB2312" w:hAnsi="仿宋_GB2312" w:eastAsia="仿宋_GB2312" w:cs="仿宋_GB2312"/>
          <w:color w:val="auto"/>
          <w:sz w:val="32"/>
          <w:szCs w:val="32"/>
          <w:lang w:val="en-US" w:eastAsia="zh-CN"/>
        </w:rPr>
        <w:t xml:space="preserve"> 广元市自然资源局</w:t>
      </w:r>
      <w:r>
        <w:rPr>
          <w:rFonts w:hint="eastAsia" w:ascii="仿宋_GB2312" w:hAnsi="仿宋_GB2312" w:eastAsia="仿宋_GB2312" w:cs="仿宋_GB2312"/>
          <w:color w:val="auto"/>
          <w:sz w:val="32"/>
          <w:szCs w:val="32"/>
          <w:lang w:eastAsia="zh-CN"/>
        </w:rPr>
        <w:t>《关于下达</w:t>
      </w:r>
      <w:r>
        <w:rPr>
          <w:rFonts w:hint="eastAsia" w:ascii="仿宋_GB2312" w:hAnsi="仿宋_GB2312" w:eastAsia="仿宋_GB2312" w:cs="仿宋_GB2312"/>
          <w:color w:val="auto"/>
          <w:sz w:val="32"/>
          <w:szCs w:val="32"/>
          <w:lang w:val="en-US" w:eastAsia="zh-CN"/>
        </w:rPr>
        <w:t>2022年第一批中央地质灾害补助资金预算的通知》（广财资环〔2022〕2号）：2处治理工程、1个地质灾害群专结合监测预警项目，合计资金332万元。</w:t>
      </w:r>
    </w:p>
    <w:p>
      <w:pPr>
        <w:numPr>
          <w:ilvl w:val="0"/>
          <w:numId w:val="0"/>
        </w:numPr>
        <w:spacing w:line="360" w:lineRule="auto"/>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②广元市财政局  广元市自然资源局《关于下达2022年第三批地质灾害防治补助资金（省级）预算的通知》（广财资环〔2022〕45号）：实施实施</w:t>
      </w:r>
      <w:r>
        <w:rPr>
          <w:rFonts w:hint="eastAsia" w:ascii="仿宋_GB2312" w:hAnsi="仿宋_GB2312" w:eastAsia="仿宋_GB2312" w:cs="仿宋_GB2312"/>
          <w:color w:val="auto"/>
          <w:sz w:val="32"/>
          <w:szCs w:val="32"/>
        </w:rPr>
        <w:t>群测群防专兼职监测</w:t>
      </w:r>
      <w:r>
        <w:rPr>
          <w:rFonts w:hint="eastAsia" w:ascii="仿宋_GB2312" w:hAnsi="仿宋_GB2312" w:eastAsia="仿宋_GB2312" w:cs="仿宋_GB2312"/>
          <w:color w:val="auto"/>
          <w:sz w:val="32"/>
          <w:szCs w:val="32"/>
          <w:lang w:val="en-US" w:eastAsia="zh-CN"/>
        </w:rPr>
        <w:t>114</w:t>
      </w:r>
      <w:r>
        <w:rPr>
          <w:rFonts w:hint="eastAsia" w:ascii="仿宋_GB2312" w:hAnsi="仿宋_GB2312" w:eastAsia="仿宋_GB2312" w:cs="仿宋_GB2312"/>
          <w:color w:val="auto"/>
          <w:sz w:val="32"/>
          <w:szCs w:val="32"/>
        </w:rPr>
        <w:t>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治理工程</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避险搬迁20户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资金243.04万元。</w:t>
      </w:r>
    </w:p>
    <w:p>
      <w:pPr>
        <w:keepNext w:val="0"/>
        <w:keepLines w:val="0"/>
        <w:pageBreakBefore w:val="0"/>
        <w:widowControl w:val="0"/>
        <w:numPr>
          <w:ilvl w:val="0"/>
          <w:numId w:val="9"/>
        </w:numPr>
        <w:kinsoku/>
        <w:wordWrap/>
        <w:overflowPunct/>
        <w:topLinePunct w:val="0"/>
        <w:autoSpaceDE w:val="0"/>
        <w:autoSpaceDN/>
        <w:bidi w:val="0"/>
        <w:adjustRightInd w:val="0"/>
        <w:snapToGrid w:val="0"/>
        <w:spacing w:line="540" w:lineRule="exact"/>
        <w:ind w:left="0" w:leftChars="0" w:firstLine="632" w:firstLineChars="200"/>
        <w:textAlignment w:val="auto"/>
        <w:rPr>
          <w:rFonts w:hint="eastAsia" w:ascii="仿宋_GB2312" w:hAnsi="宋体" w:eastAsia="仿宋_GB2312" w:cs="Times New Roman"/>
          <w:color w:val="auto"/>
          <w:w w:val="99"/>
          <w:sz w:val="32"/>
          <w:szCs w:val="32"/>
        </w:rPr>
      </w:pPr>
      <w:r>
        <w:rPr>
          <w:rFonts w:hint="eastAsia" w:ascii="仿宋_GB2312" w:hAnsi="宋体" w:eastAsia="仿宋_GB2312" w:cs="Times New Roman"/>
          <w:color w:val="auto"/>
          <w:w w:val="99"/>
          <w:sz w:val="32"/>
          <w:szCs w:val="32"/>
        </w:rPr>
        <w:t>资金管理办法制定情况，资金支持具体项目的条件、范围与支持方式概况。</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4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在项目财务管理上，我局严格按照《四川省地质灾害防治项目管理办法》（川自然资规〔2020〕7号）、四川省财政厅、四川省自然资源厅《关于加强地质灾害综合防治体系建设专项资金管理  收回存量资金的通知》（川财资环〔2020〕49号）、《广元市地质灾害综合防治体系建设项目和资金管理暂行办法》（广国土资发〔2015〕47号）等的规定，项目资金管理规范，使用到位，设置了专账、财务制度健全，专款专用，未发生截留、挪用项目资金现象。</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40" w:lineRule="exact"/>
        <w:ind w:firstLine="640" w:firstLineChars="200"/>
        <w:jc w:val="left"/>
        <w:textAlignment w:val="auto"/>
        <w:rPr>
          <w:rFonts w:hint="eastAsia" w:ascii="仿宋_GB2312" w:hAnsi="宋体" w:eastAsia="仿宋_GB2312" w:cs="Times New Roman"/>
          <w:color w:val="auto"/>
          <w:w w:val="99"/>
          <w:sz w:val="32"/>
          <w:szCs w:val="32"/>
        </w:rPr>
      </w:pPr>
      <w:r>
        <w:rPr>
          <w:rFonts w:hint="eastAsia" w:ascii="仿宋_GB2312" w:hAnsi="仿宋_GB2312" w:eastAsia="仿宋_GB2312" w:cs="仿宋_GB2312"/>
          <w:color w:val="auto"/>
          <w:sz w:val="32"/>
          <w:szCs w:val="32"/>
          <w:lang w:val="en-US" w:eastAsia="zh-CN"/>
        </w:rPr>
        <w:t>我区第一批次项目实际实施了2处治理工程、1个地质灾害群专结合监测预警项目；第二批次实际实施了</w:t>
      </w:r>
      <w:r>
        <w:rPr>
          <w:rFonts w:hint="eastAsia" w:ascii="仿宋_GB2312" w:hAnsi="仿宋_GB2312" w:eastAsia="仿宋_GB2312" w:cs="仿宋_GB2312"/>
          <w:color w:val="auto"/>
          <w:sz w:val="32"/>
          <w:szCs w:val="32"/>
        </w:rPr>
        <w:t>群测群防专兼职监测</w:t>
      </w:r>
      <w:r>
        <w:rPr>
          <w:rFonts w:hint="eastAsia" w:ascii="仿宋_GB2312" w:hAnsi="仿宋_GB2312" w:eastAsia="仿宋_GB2312" w:cs="仿宋_GB2312"/>
          <w:color w:val="auto"/>
          <w:sz w:val="32"/>
          <w:szCs w:val="32"/>
          <w:lang w:val="en-US" w:eastAsia="zh-CN"/>
        </w:rPr>
        <w:t>114</w:t>
      </w:r>
      <w:r>
        <w:rPr>
          <w:rFonts w:hint="eastAsia" w:ascii="仿宋_GB2312" w:hAnsi="仿宋_GB2312" w:eastAsia="仿宋_GB2312" w:cs="仿宋_GB2312"/>
          <w:color w:val="auto"/>
          <w:sz w:val="32"/>
          <w:szCs w:val="32"/>
        </w:rPr>
        <w:t>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治理工程</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避险搬迁20</w:t>
      </w:r>
      <w:r>
        <w:rPr>
          <w:rFonts w:hint="eastAsia" w:ascii="仿宋_GB2312" w:hAnsi="仿宋_GB2312" w:eastAsia="仿宋_GB2312" w:cs="仿宋_GB2312"/>
          <w:color w:val="auto"/>
          <w:sz w:val="32"/>
          <w:szCs w:val="32"/>
        </w:rPr>
        <w:t>处</w:t>
      </w:r>
      <w:r>
        <w:rPr>
          <w:rFonts w:hint="eastAsia" w:ascii="仿宋_GB2312" w:hAnsi="仿宋_GB2312" w:eastAsia="仿宋_GB2312" w:cs="仿宋_GB2312"/>
          <w:color w:val="auto"/>
          <w:sz w:val="32"/>
          <w:szCs w:val="32"/>
          <w:lang w:eastAsia="zh-CN"/>
        </w:rPr>
        <w:t>。根据</w:t>
      </w:r>
      <w:r>
        <w:rPr>
          <w:rFonts w:hint="eastAsia" w:ascii="仿宋_GB2312" w:hAnsi="仿宋_GB2312" w:eastAsia="仿宋_GB2312" w:cs="仿宋_GB2312"/>
          <w:color w:val="auto"/>
          <w:sz w:val="32"/>
          <w:szCs w:val="32"/>
        </w:rPr>
        <w:t>实际实施的项目</w:t>
      </w:r>
      <w:r>
        <w:rPr>
          <w:rFonts w:hint="eastAsia" w:ascii="仿宋_GB2312" w:hAnsi="仿宋_GB2312" w:eastAsia="仿宋_GB2312" w:cs="仿宋_GB2312"/>
          <w:color w:val="auto"/>
          <w:sz w:val="32"/>
          <w:szCs w:val="32"/>
          <w:lang w:eastAsia="zh-CN"/>
        </w:rPr>
        <w:t>情况</w:t>
      </w:r>
      <w:r>
        <w:rPr>
          <w:rFonts w:hint="eastAsia" w:ascii="仿宋_GB2312" w:hAnsi="仿宋_GB2312" w:eastAsia="仿宋_GB2312" w:cs="仿宋_GB2312"/>
          <w:color w:val="auto"/>
          <w:sz w:val="32"/>
          <w:szCs w:val="32"/>
        </w:rPr>
        <w:t>，项目申报内容与具体实施内容相符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表明我区的申报目标</w:t>
      </w:r>
      <w:r>
        <w:rPr>
          <w:rFonts w:hint="eastAsia" w:ascii="仿宋_GB2312" w:hAnsi="仿宋_GB2312" w:eastAsia="仿宋_GB2312" w:cs="仿宋_GB2312"/>
          <w:color w:val="auto"/>
          <w:sz w:val="32"/>
          <w:szCs w:val="32"/>
          <w:lang w:eastAsia="zh-CN"/>
        </w:rPr>
        <w:t>科学</w:t>
      </w:r>
      <w:r>
        <w:rPr>
          <w:rFonts w:hint="eastAsia" w:ascii="仿宋_GB2312" w:hAnsi="仿宋_GB2312" w:eastAsia="仿宋_GB2312" w:cs="仿宋_GB2312"/>
          <w:color w:val="auto"/>
          <w:sz w:val="32"/>
          <w:szCs w:val="32"/>
        </w:rPr>
        <w:t>合理可行。</w:t>
      </w:r>
    </w:p>
    <w:p>
      <w:pPr>
        <w:keepNext w:val="0"/>
        <w:keepLines w:val="0"/>
        <w:pageBreakBefore w:val="0"/>
        <w:widowControl w:val="0"/>
        <w:numPr>
          <w:ilvl w:val="0"/>
          <w:numId w:val="9"/>
        </w:numPr>
        <w:kinsoku/>
        <w:wordWrap/>
        <w:overflowPunct/>
        <w:topLinePunct w:val="0"/>
        <w:autoSpaceDE w:val="0"/>
        <w:autoSpaceDN/>
        <w:bidi w:val="0"/>
        <w:adjustRightInd w:val="0"/>
        <w:snapToGrid w:val="0"/>
        <w:spacing w:line="540" w:lineRule="exact"/>
        <w:ind w:left="0" w:leftChars="0" w:firstLine="632" w:firstLineChars="200"/>
        <w:textAlignment w:val="auto"/>
        <w:rPr>
          <w:rFonts w:hint="eastAsia" w:ascii="仿宋_GB2312" w:hAnsi="宋体" w:eastAsia="仿宋_GB2312" w:cs="Times New Roman"/>
          <w:color w:val="auto"/>
          <w:w w:val="99"/>
          <w:sz w:val="32"/>
          <w:szCs w:val="32"/>
        </w:rPr>
      </w:pPr>
      <w:r>
        <w:rPr>
          <w:rFonts w:hint="eastAsia" w:ascii="仿宋_GB2312" w:hAnsi="宋体" w:eastAsia="仿宋_GB2312" w:cs="Times New Roman"/>
          <w:color w:val="auto"/>
          <w:w w:val="99"/>
          <w:sz w:val="32"/>
          <w:szCs w:val="32"/>
        </w:rPr>
        <w:t>资金分配的原则及考虑因素。</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40" w:lineRule="exact"/>
        <w:ind w:firstLine="632" w:firstLineChars="200"/>
        <w:textAlignment w:val="auto"/>
        <w:rPr>
          <w:rFonts w:hint="eastAsia" w:ascii="仿宋_GB2312" w:hAnsi="宋体" w:eastAsia="仿宋_GB2312" w:cs="Times New Roman"/>
          <w:color w:val="auto"/>
          <w:w w:val="99"/>
          <w:sz w:val="32"/>
          <w:szCs w:val="32"/>
        </w:rPr>
      </w:pPr>
      <w:r>
        <w:rPr>
          <w:rFonts w:hint="eastAsia" w:ascii="仿宋_GB2312" w:hAnsi="宋体" w:eastAsia="仿宋_GB2312" w:cs="Times New Roman"/>
          <w:color w:val="auto"/>
          <w:w w:val="99"/>
          <w:sz w:val="32"/>
          <w:szCs w:val="32"/>
          <w:lang w:eastAsia="zh-CN"/>
        </w:rPr>
        <w:t>由于省、市行业主管</w:t>
      </w:r>
      <w:r>
        <w:rPr>
          <w:rFonts w:hint="eastAsia" w:ascii="仿宋_GB2312" w:hAnsi="宋体" w:eastAsia="仿宋_GB2312" w:cs="Times New Roman"/>
          <w:color w:val="auto"/>
          <w:w w:val="99"/>
          <w:sz w:val="32"/>
          <w:szCs w:val="32"/>
          <w:lang w:val="en-US" w:eastAsia="zh-CN"/>
        </w:rPr>
        <w:t>和财政部门已经将资金下达到每个具体的项目名称上，因此区本级不再进行资金分配。在实施项目时，依据专业施工图设计单位提供的专业预算，提交区财评中心进行财政评审，各类费用均按照财评费用执行。</w:t>
      </w:r>
    </w:p>
    <w:p>
      <w:pPr>
        <w:spacing w:line="360" w:lineRule="auto"/>
        <w:ind w:firstLine="635" w:firstLineChars="200"/>
        <w:rPr>
          <w:rFonts w:hint="eastAsia" w:ascii="楷体_GB2312" w:hAnsi="宋体" w:eastAsia="楷体_GB2312" w:cs="Times New Roman"/>
          <w:b/>
          <w:color w:val="auto"/>
          <w:w w:val="99"/>
          <w:sz w:val="32"/>
          <w:szCs w:val="32"/>
        </w:rPr>
      </w:pPr>
      <w:r>
        <w:rPr>
          <w:rFonts w:hint="eastAsia" w:ascii="楷体_GB2312" w:hAnsi="宋体" w:eastAsia="楷体_GB2312" w:cs="Times New Roman"/>
          <w:b/>
          <w:color w:val="auto"/>
          <w:w w:val="99"/>
          <w:sz w:val="32"/>
          <w:szCs w:val="32"/>
        </w:rPr>
        <w:t>（二）项目绩效目标。</w:t>
      </w:r>
    </w:p>
    <w:p>
      <w:pPr>
        <w:spacing w:line="360" w:lineRule="auto"/>
        <w:ind w:firstLine="643"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1.第一批次项目。</w:t>
      </w:r>
      <w:r>
        <w:rPr>
          <w:rFonts w:hint="eastAsia" w:ascii="仿宋_GB2312" w:hAnsi="仿宋_GB2312" w:eastAsia="仿宋_GB2312" w:cs="仿宋_GB2312"/>
          <w:color w:val="auto"/>
          <w:sz w:val="32"/>
          <w:szCs w:val="32"/>
          <w:lang w:val="en-US" w:eastAsia="zh-CN"/>
        </w:rPr>
        <w:t>开展1个地质灾害群专结合监测预警项目，开展地质灾害隐患点治理工程2个，开展地质灾害隐患点培训和演练覆盖率</w:t>
      </w:r>
      <w:r>
        <w:rPr>
          <w:rFonts w:hint="eastAsia" w:ascii="宋体" w:hAnsi="宋体" w:eastAsia="宋体" w:cs="宋体"/>
          <w:color w:val="auto"/>
          <w:sz w:val="32"/>
          <w:szCs w:val="32"/>
          <w:lang w:val="en-US" w:eastAsia="zh-CN"/>
        </w:rPr>
        <w:t>&gt;</w:t>
      </w:r>
      <w:r>
        <w:rPr>
          <w:rFonts w:hint="eastAsia" w:ascii="仿宋_GB2312" w:hAnsi="仿宋_GB2312" w:eastAsia="仿宋_GB2312" w:cs="仿宋_GB2312"/>
          <w:color w:val="auto"/>
          <w:sz w:val="32"/>
          <w:szCs w:val="32"/>
          <w:lang w:val="en-US" w:eastAsia="zh-CN"/>
        </w:rPr>
        <w:t>90%，规划任务在四川省地质环境管理信息系统填报率100%，按时编制并启动2022年度实施方案100%，项目实施后保护财产1250万元，地质灾害预警预报能力较过去五年有较大提升，核销地质灾害隐患数量2处，监测预警区地质灾害防范能力有提升，实施区域群众防灾减灾参与度</w:t>
      </w:r>
      <w:r>
        <w:rPr>
          <w:rFonts w:hint="eastAsia" w:ascii="宋体" w:hAnsi="宋体" w:eastAsia="宋体" w:cs="宋体"/>
          <w:color w:val="auto"/>
          <w:sz w:val="32"/>
          <w:szCs w:val="32"/>
          <w:lang w:val="en-US" w:eastAsia="zh-CN"/>
        </w:rPr>
        <w:t>≧</w:t>
      </w:r>
      <w:r>
        <w:rPr>
          <w:rFonts w:hint="eastAsia" w:ascii="仿宋_GB2312" w:hAnsi="仿宋_GB2312" w:eastAsia="仿宋_GB2312" w:cs="仿宋_GB2312"/>
          <w:color w:val="auto"/>
          <w:sz w:val="32"/>
          <w:szCs w:val="32"/>
          <w:lang w:val="en-US" w:eastAsia="zh-CN"/>
        </w:rPr>
        <w:t>85%，实施区域受益人群满意度</w:t>
      </w:r>
      <w:r>
        <w:rPr>
          <w:rFonts w:hint="eastAsia" w:ascii="宋体" w:hAnsi="宋体" w:eastAsia="宋体" w:cs="宋体"/>
          <w:color w:val="auto"/>
          <w:sz w:val="32"/>
          <w:szCs w:val="32"/>
          <w:lang w:val="en-US" w:eastAsia="zh-CN"/>
        </w:rPr>
        <w:t>≧</w:t>
      </w:r>
      <w:r>
        <w:rPr>
          <w:rFonts w:hint="eastAsia" w:ascii="仿宋_GB2312" w:hAnsi="仿宋_GB2312" w:eastAsia="仿宋_GB2312" w:cs="仿宋_GB2312"/>
          <w:color w:val="auto"/>
          <w:sz w:val="32"/>
          <w:szCs w:val="32"/>
          <w:lang w:val="en-US" w:eastAsia="zh-CN"/>
        </w:rPr>
        <w:t>90%。</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楷体_GB2312" w:hAnsi="宋体" w:eastAsia="楷体_GB2312" w:cs="Times New Roman"/>
          <w:b/>
          <w:color w:val="auto"/>
          <w:w w:val="99"/>
          <w:sz w:val="32"/>
          <w:szCs w:val="32"/>
        </w:rPr>
      </w:pPr>
      <w:r>
        <w:rPr>
          <w:rFonts w:hint="eastAsia" w:ascii="仿宋_GB2312" w:hAnsi="仿宋_GB2312" w:eastAsia="仿宋_GB2312" w:cs="仿宋_GB2312"/>
          <w:b/>
          <w:bCs/>
          <w:color w:val="auto"/>
          <w:sz w:val="32"/>
          <w:szCs w:val="32"/>
          <w:lang w:val="en-US" w:eastAsia="zh-CN"/>
        </w:rPr>
        <w:t>2.第二批次项目。</w:t>
      </w:r>
      <w:r>
        <w:rPr>
          <w:rFonts w:hint="eastAsia" w:ascii="仿宋_GB2312" w:hAnsi="仿宋_GB2312" w:eastAsia="仿宋_GB2312" w:cs="仿宋_GB2312"/>
          <w:color w:val="auto"/>
          <w:sz w:val="32"/>
          <w:szCs w:val="32"/>
          <w:lang w:val="en-US" w:eastAsia="zh-CN"/>
        </w:rPr>
        <w:t>开展群测群防专职监测114处，开展地质灾害隐患点治理工程1个，开展地质灾害隐患点避险搬迁20处，开展地质灾害隐患点培训和演练覆盖率</w:t>
      </w:r>
      <w:r>
        <w:rPr>
          <w:rFonts w:hint="eastAsia" w:ascii="宋体" w:hAnsi="宋体" w:eastAsia="宋体" w:cs="宋体"/>
          <w:color w:val="auto"/>
          <w:sz w:val="32"/>
          <w:szCs w:val="32"/>
          <w:lang w:val="en-US" w:eastAsia="zh-CN"/>
        </w:rPr>
        <w:t>&gt;</w:t>
      </w:r>
      <w:r>
        <w:rPr>
          <w:rFonts w:hint="eastAsia" w:ascii="仿宋_GB2312" w:hAnsi="仿宋_GB2312" w:eastAsia="仿宋_GB2312" w:cs="仿宋_GB2312"/>
          <w:color w:val="auto"/>
          <w:sz w:val="32"/>
          <w:szCs w:val="32"/>
          <w:lang w:val="en-US" w:eastAsia="zh-CN"/>
        </w:rPr>
        <w:t>90%，规划任务在四川省地质环境管理信息系统填报率100%，按时编制并启动2022年度实施方案100%，项目实施后保护财产600万元，地质灾害预警预报能力较过去五年有提升，核销地质灾害隐患数量1处，项目实施后保护人数68人，监测预警区地质灾害防范能力有提升，实施区域群众防灾减灾参与度</w:t>
      </w:r>
      <w:r>
        <w:rPr>
          <w:rFonts w:hint="eastAsia" w:ascii="宋体" w:hAnsi="宋体" w:eastAsia="宋体" w:cs="宋体"/>
          <w:color w:val="auto"/>
          <w:sz w:val="32"/>
          <w:szCs w:val="32"/>
          <w:lang w:val="en-US" w:eastAsia="zh-CN"/>
        </w:rPr>
        <w:t>≧</w:t>
      </w:r>
      <w:r>
        <w:rPr>
          <w:rFonts w:hint="eastAsia" w:ascii="仿宋_GB2312" w:hAnsi="仿宋_GB2312" w:eastAsia="仿宋_GB2312" w:cs="仿宋_GB2312"/>
          <w:color w:val="auto"/>
          <w:sz w:val="32"/>
          <w:szCs w:val="32"/>
          <w:lang w:val="en-US" w:eastAsia="zh-CN"/>
        </w:rPr>
        <w:t>85%，实施区域受益人群满意度</w:t>
      </w:r>
      <w:r>
        <w:rPr>
          <w:rFonts w:hint="eastAsia" w:ascii="宋体" w:hAnsi="宋体" w:eastAsia="宋体" w:cs="宋体"/>
          <w:color w:val="auto"/>
          <w:sz w:val="32"/>
          <w:szCs w:val="32"/>
          <w:lang w:val="en-US" w:eastAsia="zh-CN"/>
        </w:rPr>
        <w:t>≧</w:t>
      </w:r>
      <w:r>
        <w:rPr>
          <w:rFonts w:hint="eastAsia" w:ascii="仿宋_GB2312" w:hAnsi="仿宋_GB2312" w:eastAsia="仿宋_GB2312" w:cs="仿宋_GB2312"/>
          <w:color w:val="auto"/>
          <w:sz w:val="32"/>
          <w:szCs w:val="32"/>
          <w:lang w:val="en-US" w:eastAsia="zh-CN"/>
        </w:rPr>
        <w:t>90%。</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楷体_GB2312" w:hAnsi="宋体" w:eastAsia="楷体_GB2312" w:cs="Times New Roman"/>
          <w:b/>
          <w:color w:val="auto"/>
          <w:w w:val="99"/>
          <w:sz w:val="32"/>
          <w:szCs w:val="32"/>
        </w:rPr>
      </w:pPr>
      <w:r>
        <w:rPr>
          <w:rFonts w:hint="eastAsia" w:ascii="楷体_GB2312" w:hAnsi="宋体" w:eastAsia="楷体_GB2312" w:cs="Times New Roman"/>
          <w:b/>
          <w:color w:val="auto"/>
          <w:w w:val="99"/>
          <w:sz w:val="32"/>
          <w:szCs w:val="32"/>
        </w:rPr>
        <w:t>（三）项目自评步骤及方法。</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color w:val="auto"/>
          <w:w w:val="99"/>
          <w:sz w:val="32"/>
          <w:szCs w:val="32"/>
        </w:rPr>
      </w:pPr>
      <w:r>
        <w:rPr>
          <w:rFonts w:hint="eastAsia" w:ascii="仿宋_GB2312" w:hAnsi="宋体" w:eastAsia="仿宋_GB2312" w:cs="Times New Roman"/>
          <w:color w:val="auto"/>
          <w:w w:val="99"/>
          <w:sz w:val="32"/>
          <w:szCs w:val="32"/>
          <w:lang w:eastAsia="zh-CN"/>
        </w:rPr>
        <w:t>由财务与资金运用工作组和地环站对照项目预算和绩效目标</w:t>
      </w:r>
      <w:r>
        <w:rPr>
          <w:rFonts w:hint="eastAsia" w:ascii="仿宋_GB2312" w:hAnsi="宋体" w:eastAsia="仿宋_GB2312" w:cs="Times New Roman"/>
          <w:color w:val="auto"/>
          <w:w w:val="99"/>
          <w:sz w:val="32"/>
          <w:szCs w:val="32"/>
          <w:lang w:val="en-US" w:eastAsia="zh-CN"/>
        </w:rPr>
        <w:t>评分方法及分值</w:t>
      </w:r>
      <w:r>
        <w:rPr>
          <w:rFonts w:hint="eastAsia" w:ascii="仿宋_GB2312" w:hAnsi="宋体" w:eastAsia="仿宋_GB2312" w:cs="Times New Roman"/>
          <w:color w:val="auto"/>
          <w:w w:val="99"/>
          <w:sz w:val="32"/>
          <w:szCs w:val="32"/>
          <w:lang w:eastAsia="zh-CN"/>
        </w:rPr>
        <w:t>，</w:t>
      </w:r>
      <w:r>
        <w:rPr>
          <w:rFonts w:hint="eastAsia" w:ascii="仿宋_GB2312" w:hAnsi="宋体" w:eastAsia="仿宋_GB2312" w:cs="Times New Roman"/>
          <w:color w:val="auto"/>
          <w:w w:val="99"/>
          <w:sz w:val="32"/>
          <w:szCs w:val="32"/>
          <w:lang w:val="en-US" w:eastAsia="zh-CN"/>
        </w:rPr>
        <w:t>逐一核对，开展项目自评。</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黑体" w:hAnsi="宋体" w:eastAsia="黑体" w:cs="Times New Roman"/>
          <w:color w:val="auto"/>
          <w:w w:val="99"/>
          <w:sz w:val="32"/>
          <w:szCs w:val="32"/>
        </w:rPr>
      </w:pPr>
      <w:r>
        <w:rPr>
          <w:rFonts w:hint="eastAsia" w:ascii="黑体" w:hAnsi="黑体" w:eastAsia="黑体" w:cs="Times New Roman"/>
          <w:color w:val="auto"/>
          <w:w w:val="99"/>
          <w:sz w:val="32"/>
          <w:szCs w:val="32"/>
        </w:rPr>
        <w:t>二、项目资金申报及使用情况</w:t>
      </w:r>
    </w:p>
    <w:p>
      <w:pPr>
        <w:spacing w:line="360" w:lineRule="auto"/>
        <w:ind w:firstLine="635" w:firstLineChars="200"/>
        <w:rPr>
          <w:rFonts w:hint="eastAsia" w:ascii="楷体_GB2312" w:hAnsi="宋体" w:eastAsia="楷体_GB2312" w:cs="Times New Roman"/>
          <w:b/>
          <w:color w:val="auto"/>
          <w:w w:val="99"/>
          <w:sz w:val="32"/>
          <w:szCs w:val="32"/>
        </w:rPr>
      </w:pPr>
      <w:r>
        <w:rPr>
          <w:rFonts w:hint="eastAsia" w:ascii="楷体_GB2312" w:hAnsi="宋体" w:eastAsia="楷体_GB2312" w:cs="Times New Roman"/>
          <w:b/>
          <w:color w:val="auto"/>
          <w:w w:val="99"/>
          <w:sz w:val="32"/>
          <w:szCs w:val="32"/>
        </w:rPr>
        <w:t>（一）项目资金申报及批复情况。</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年，我</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向省市主管部门申报</w:t>
      </w:r>
      <w:r>
        <w:rPr>
          <w:rFonts w:hint="eastAsia" w:ascii="仿宋_GB2312" w:hAnsi="仿宋_GB2312" w:eastAsia="仿宋_GB2312" w:cs="仿宋_GB2312"/>
          <w:color w:val="auto"/>
          <w:sz w:val="32"/>
          <w:szCs w:val="32"/>
          <w:lang w:eastAsia="zh-CN"/>
        </w:rPr>
        <w:t>了</w:t>
      </w:r>
      <w:r>
        <w:rPr>
          <w:rFonts w:hint="eastAsia" w:ascii="仿宋_GB2312" w:hAnsi="仿宋_GB2312" w:eastAsia="仿宋_GB2312" w:cs="仿宋_GB2312"/>
          <w:color w:val="auto"/>
          <w:sz w:val="32"/>
          <w:szCs w:val="32"/>
          <w:lang w:val="en-US" w:eastAsia="zh-CN"/>
        </w:rPr>
        <w:t>两批次地质灾害防治专项资金，其中：第一批地质灾害防治专项资金申报实施2处治理工程、1个地质灾害群专结合监测预警项目，合计资金332万元；第二批地质灾害防治专项资金申报实施</w:t>
      </w:r>
      <w:r>
        <w:rPr>
          <w:rFonts w:hint="eastAsia" w:ascii="仿宋_GB2312" w:hAnsi="仿宋_GB2312" w:eastAsia="仿宋_GB2312" w:cs="仿宋_GB2312"/>
          <w:color w:val="auto"/>
          <w:sz w:val="32"/>
          <w:szCs w:val="32"/>
        </w:rPr>
        <w:t>群测群防专兼职监测</w:t>
      </w:r>
      <w:r>
        <w:rPr>
          <w:rFonts w:hint="eastAsia" w:ascii="仿宋_GB2312" w:hAnsi="仿宋_GB2312" w:eastAsia="仿宋_GB2312" w:cs="仿宋_GB2312"/>
          <w:color w:val="auto"/>
          <w:sz w:val="32"/>
          <w:szCs w:val="32"/>
          <w:lang w:val="en-US" w:eastAsia="zh-CN"/>
        </w:rPr>
        <w:t>114</w:t>
      </w:r>
      <w:r>
        <w:rPr>
          <w:rFonts w:hint="eastAsia" w:ascii="仿宋_GB2312" w:hAnsi="仿宋_GB2312" w:eastAsia="仿宋_GB2312" w:cs="仿宋_GB2312"/>
          <w:color w:val="auto"/>
          <w:sz w:val="32"/>
          <w:szCs w:val="32"/>
        </w:rPr>
        <w:t>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治理工程</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避险搬迁20户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合计资金243.04万元。</w:t>
      </w:r>
    </w:p>
    <w:p>
      <w:pPr>
        <w:keepNext w:val="0"/>
        <w:keepLines w:val="0"/>
        <w:pageBreakBefore w:val="0"/>
        <w:widowControl w:val="0"/>
        <w:kinsoku/>
        <w:wordWrap/>
        <w:overflowPunct/>
        <w:topLinePunct w:val="0"/>
        <w:autoSpaceDE w:val="0"/>
        <w:autoSpaceDN/>
        <w:bidi w:val="0"/>
        <w:adjustRightInd w:val="0"/>
        <w:snapToGrid w:val="0"/>
        <w:spacing w:line="540" w:lineRule="exact"/>
        <w:ind w:firstLine="635" w:firstLineChars="200"/>
        <w:textAlignment w:val="auto"/>
        <w:rPr>
          <w:rFonts w:hint="eastAsia" w:ascii="仿宋_GB2312" w:hAnsi="宋体" w:eastAsia="仿宋_GB2312" w:cs="Times New Roman"/>
          <w:color w:val="auto"/>
          <w:w w:val="99"/>
          <w:sz w:val="32"/>
          <w:szCs w:val="32"/>
        </w:rPr>
      </w:pPr>
      <w:r>
        <w:rPr>
          <w:rFonts w:hint="eastAsia" w:ascii="楷体_GB2312" w:hAnsi="宋体" w:eastAsia="楷体_GB2312" w:cs="Times New Roman"/>
          <w:b/>
          <w:color w:val="auto"/>
          <w:w w:val="99"/>
          <w:sz w:val="32"/>
          <w:szCs w:val="32"/>
        </w:rPr>
        <w:t>（二）资金计划、到位及使用情况。</w:t>
      </w:r>
    </w:p>
    <w:p>
      <w:pPr>
        <w:numPr>
          <w:ilvl w:val="0"/>
          <w:numId w:val="0"/>
        </w:numPr>
        <w:spacing w:line="360" w:lineRule="auto"/>
        <w:ind w:firstLine="643"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rPr>
        <w:t>资金计划及到位</w:t>
      </w:r>
      <w:r>
        <w:rPr>
          <w:rFonts w:hint="eastAsia" w:ascii="仿宋_GB2312" w:hAnsi="仿宋_GB2312" w:eastAsia="仿宋_GB2312" w:cs="仿宋_GB2312"/>
          <w:b/>
          <w:bCs/>
          <w:color w:val="auto"/>
          <w:sz w:val="32"/>
          <w:szCs w:val="32"/>
          <w:lang w:eastAsia="zh-CN"/>
        </w:rPr>
        <w:t>情况</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lang w:eastAsia="zh-CN"/>
        </w:rPr>
        <w:t>广元市财政局</w:t>
      </w:r>
      <w:r>
        <w:rPr>
          <w:rFonts w:hint="eastAsia" w:ascii="仿宋_GB2312" w:hAnsi="仿宋_GB2312" w:eastAsia="仿宋_GB2312" w:cs="仿宋_GB2312"/>
          <w:color w:val="auto"/>
          <w:sz w:val="32"/>
          <w:szCs w:val="32"/>
          <w:lang w:val="en-US" w:eastAsia="zh-CN"/>
        </w:rPr>
        <w:t xml:space="preserve"> 广元市自然资源局</w:t>
      </w:r>
      <w:r>
        <w:rPr>
          <w:rFonts w:hint="eastAsia" w:ascii="仿宋_GB2312" w:hAnsi="仿宋_GB2312" w:eastAsia="仿宋_GB2312" w:cs="仿宋_GB2312"/>
          <w:color w:val="auto"/>
          <w:sz w:val="32"/>
          <w:szCs w:val="32"/>
          <w:lang w:eastAsia="zh-CN"/>
        </w:rPr>
        <w:t>《关于下达</w:t>
      </w:r>
      <w:r>
        <w:rPr>
          <w:rFonts w:hint="eastAsia" w:ascii="仿宋_GB2312" w:hAnsi="仿宋_GB2312" w:eastAsia="仿宋_GB2312" w:cs="仿宋_GB2312"/>
          <w:color w:val="auto"/>
          <w:sz w:val="32"/>
          <w:szCs w:val="32"/>
          <w:lang w:val="en-US" w:eastAsia="zh-CN"/>
        </w:rPr>
        <w:t>2022年第一批中央地质灾害补助资金预算的通知》（广财资环〔2022〕2号）：2处治理工程、1个地质灾害群专结合监测预警项目，合计资金332万元。广元市财政局  广元市自然资源局《关于下达2022年第三批地质灾害防治补助资金（省级）预算的通知》（广财资环〔2022〕45号）：实施实施</w:t>
      </w:r>
      <w:r>
        <w:rPr>
          <w:rFonts w:hint="eastAsia" w:ascii="仿宋_GB2312" w:hAnsi="仿宋_GB2312" w:eastAsia="仿宋_GB2312" w:cs="仿宋_GB2312"/>
          <w:color w:val="auto"/>
          <w:sz w:val="32"/>
          <w:szCs w:val="32"/>
        </w:rPr>
        <w:t>群测群防专兼职监测</w:t>
      </w:r>
      <w:r>
        <w:rPr>
          <w:rFonts w:hint="eastAsia" w:ascii="仿宋_GB2312" w:hAnsi="仿宋_GB2312" w:eastAsia="仿宋_GB2312" w:cs="仿宋_GB2312"/>
          <w:color w:val="auto"/>
          <w:sz w:val="32"/>
          <w:szCs w:val="32"/>
          <w:lang w:val="en-US" w:eastAsia="zh-CN"/>
        </w:rPr>
        <w:t>114</w:t>
      </w:r>
      <w:r>
        <w:rPr>
          <w:rFonts w:hint="eastAsia" w:ascii="仿宋_GB2312" w:hAnsi="仿宋_GB2312" w:eastAsia="仿宋_GB2312" w:cs="仿宋_GB2312"/>
          <w:color w:val="auto"/>
          <w:sz w:val="32"/>
          <w:szCs w:val="32"/>
        </w:rPr>
        <w:t>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治理工程</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避险搬迁20户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资金243.04万元。</w:t>
      </w:r>
    </w:p>
    <w:p>
      <w:pPr>
        <w:spacing w:line="360" w:lineRule="auto"/>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通过自查，项目资金</w:t>
      </w:r>
      <w:r>
        <w:rPr>
          <w:rFonts w:hint="eastAsia" w:ascii="仿宋_GB2312" w:hAnsi="仿宋_GB2312" w:eastAsia="仿宋_GB2312" w:cs="仿宋_GB2312"/>
          <w:color w:val="auto"/>
          <w:sz w:val="32"/>
          <w:szCs w:val="32"/>
          <w:lang w:val="en-US" w:eastAsia="zh-CN"/>
        </w:rPr>
        <w:t>575.04万元</w:t>
      </w:r>
      <w:r>
        <w:rPr>
          <w:rFonts w:hint="eastAsia" w:ascii="仿宋_GB2312" w:hAnsi="仿宋_GB2312" w:eastAsia="仿宋_GB2312" w:cs="仿宋_GB2312"/>
          <w:color w:val="auto"/>
          <w:sz w:val="32"/>
          <w:szCs w:val="32"/>
          <w:lang w:eastAsia="zh-CN"/>
        </w:rPr>
        <w:t>到位及时，资金到位率100%。</w:t>
      </w:r>
    </w:p>
    <w:p>
      <w:pPr>
        <w:spacing w:line="360" w:lineRule="auto"/>
        <w:ind w:firstLine="643" w:firstLineChars="200"/>
        <w:rPr>
          <w:rFonts w:hint="eastAsia" w:ascii="仿宋_GB2312" w:hAnsi="仿宋_GB2312" w:eastAsia="仿宋_GB2312" w:cs="仿宋_GB2312"/>
          <w:color w:val="auto"/>
          <w:sz w:val="32"/>
          <w:szCs w:val="32"/>
          <w:lang w:val="en-US" w:eastAsia="zh-CN"/>
        </w:rPr>
      </w:pPr>
      <w:bookmarkStart w:id="84" w:name="bookmark25"/>
      <w:bookmarkEnd w:id="84"/>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rPr>
        <w:t>资金使用</w:t>
      </w:r>
      <w:r>
        <w:rPr>
          <w:rFonts w:hint="eastAsia" w:ascii="仿宋_GB2312" w:hAnsi="仿宋_GB2312" w:eastAsia="仿宋_GB2312" w:cs="仿宋_GB2312"/>
          <w:b/>
          <w:bCs/>
          <w:color w:val="auto"/>
          <w:sz w:val="32"/>
          <w:szCs w:val="32"/>
          <w:lang w:eastAsia="zh-CN"/>
        </w:rPr>
        <w:t>情况</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lang w:val="en-US" w:eastAsia="zh-CN"/>
        </w:rPr>
        <w:t>截止目前，所有下达任务项目均已完工投入使用，实际完成投资575.04万元，</w:t>
      </w:r>
      <w:r>
        <w:rPr>
          <w:rFonts w:hint="eastAsia" w:ascii="仿宋_GB2312" w:hAnsi="仿宋_GB2312" w:eastAsia="仿宋_GB2312" w:cs="仿宋_GB2312"/>
          <w:color w:val="auto"/>
          <w:sz w:val="32"/>
          <w:szCs w:val="32"/>
          <w:lang w:eastAsia="zh-CN"/>
        </w:rPr>
        <w:t>已拨付</w:t>
      </w:r>
      <w:r>
        <w:rPr>
          <w:rFonts w:hint="eastAsia" w:ascii="仿宋_GB2312" w:hAnsi="仿宋_GB2312" w:eastAsia="仿宋_GB2312" w:cs="仿宋_GB2312"/>
          <w:color w:val="auto"/>
          <w:sz w:val="32"/>
          <w:szCs w:val="32"/>
          <w:lang w:val="en-US" w:eastAsia="zh-CN"/>
        </w:rPr>
        <w:t>236.81</w:t>
      </w:r>
      <w:r>
        <w:rPr>
          <w:rFonts w:hint="eastAsia" w:ascii="仿宋_GB2312" w:hAnsi="仿宋_GB2312" w:eastAsia="仿宋_GB2312" w:cs="仿宋_GB2312"/>
          <w:color w:val="auto"/>
          <w:sz w:val="32"/>
          <w:szCs w:val="32"/>
          <w:lang w:eastAsia="zh-CN"/>
        </w:rPr>
        <w:t>万元。资金开支范围主要是直接工程费用、监理费用、工程勘查费用、工程设计费用、财评费用、审计</w:t>
      </w:r>
      <w:r>
        <w:rPr>
          <w:rFonts w:hint="eastAsia" w:ascii="仿宋_GB2312" w:hAnsi="仿宋_GB2312" w:eastAsia="仿宋_GB2312" w:cs="仿宋_GB2312"/>
          <w:color w:val="auto"/>
          <w:sz w:val="32"/>
          <w:szCs w:val="32"/>
          <w:lang w:val="en-US" w:eastAsia="zh-CN"/>
        </w:rPr>
        <w:t>费用、专家验收费用、监测费用、检验检测费用以及占用林地的补赔偿费用</w:t>
      </w:r>
      <w:r>
        <w:rPr>
          <w:rFonts w:hint="eastAsia" w:ascii="仿宋_GB2312" w:hAnsi="仿宋_GB2312" w:eastAsia="仿宋_GB2312" w:cs="仿宋_GB2312"/>
          <w:color w:val="auto"/>
          <w:sz w:val="32"/>
          <w:szCs w:val="32"/>
          <w:lang w:eastAsia="zh-CN"/>
        </w:rPr>
        <w:t>等国家</w:t>
      </w:r>
      <w:r>
        <w:rPr>
          <w:rFonts w:hint="eastAsia" w:ascii="仿宋_GB2312" w:hAnsi="仿宋_GB2312" w:eastAsia="仿宋_GB2312" w:cs="仿宋_GB2312"/>
          <w:color w:val="auto"/>
          <w:sz w:val="32"/>
          <w:szCs w:val="32"/>
          <w:lang w:val="en-US" w:eastAsia="zh-CN"/>
        </w:rPr>
        <w:t>法律法规</w:t>
      </w:r>
      <w:r>
        <w:rPr>
          <w:rFonts w:hint="eastAsia" w:ascii="仿宋_GB2312" w:hAnsi="仿宋_GB2312" w:eastAsia="仿宋_GB2312" w:cs="仿宋_GB2312"/>
          <w:color w:val="auto"/>
          <w:sz w:val="32"/>
          <w:szCs w:val="32"/>
          <w:lang w:eastAsia="zh-CN"/>
        </w:rPr>
        <w:t>等规定的开支范围，支付标准按照财评后招标金额及审计结果进行，支付进度按照工程完成工程量的80%、工程结算审计后拨付9</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eastAsia="zh-CN"/>
        </w:rPr>
        <w:t>%、资金预留</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%作为质量保证金、质量保质期满再予以全额拨付。项目资金所有支出均按照相关规定严格进行，支付依据合规合法，资金支付与预算相符。</w:t>
      </w:r>
      <w:r>
        <w:rPr>
          <w:rFonts w:hint="eastAsia" w:ascii="仿宋_GB2312" w:hAnsi="仿宋_GB2312" w:eastAsia="仿宋_GB2312" w:cs="仿宋_GB2312"/>
          <w:color w:val="auto"/>
          <w:sz w:val="32"/>
          <w:szCs w:val="32"/>
          <w:lang w:val="en-US" w:eastAsia="zh-CN"/>
        </w:rPr>
        <w:t>目前专项资金存在暂时结存资金现象，是因为完工项目正在进行工程结算审计，按照项目和资金管理规定以及合同约定，所有项目在完工后只能</w:t>
      </w:r>
      <w:r>
        <w:rPr>
          <w:rFonts w:hint="eastAsia" w:ascii="仿宋_GB2312" w:hAnsi="仿宋_GB2312" w:eastAsia="仿宋_GB2312" w:cs="仿宋_GB2312"/>
          <w:color w:val="auto"/>
          <w:sz w:val="32"/>
          <w:szCs w:val="32"/>
          <w:lang w:eastAsia="zh-CN"/>
        </w:rPr>
        <w:t>支付</w:t>
      </w:r>
      <w:r>
        <w:rPr>
          <w:rFonts w:hint="eastAsia" w:ascii="仿宋_GB2312" w:hAnsi="仿宋_GB2312" w:eastAsia="仿宋_GB2312" w:cs="仿宋_GB2312"/>
          <w:color w:val="auto"/>
          <w:sz w:val="32"/>
          <w:szCs w:val="32"/>
          <w:lang w:val="en-US" w:eastAsia="zh-CN"/>
        </w:rPr>
        <w:t>80%的款项，待工程结算审计完成后支付95%的款项，质保期满无治理问题支付100%，符合国家相关规定。</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楷体_GB2312" w:hAnsi="宋体" w:eastAsia="楷体_GB2312" w:cs="Times New Roman"/>
          <w:b/>
          <w:color w:val="auto"/>
          <w:w w:val="99"/>
          <w:sz w:val="32"/>
          <w:szCs w:val="32"/>
        </w:rPr>
      </w:pPr>
      <w:r>
        <w:rPr>
          <w:rFonts w:hint="eastAsia" w:ascii="楷体_GB2312" w:hAnsi="宋体" w:eastAsia="楷体_GB2312" w:cs="Times New Roman"/>
          <w:b/>
          <w:color w:val="auto"/>
          <w:w w:val="99"/>
          <w:sz w:val="32"/>
          <w:szCs w:val="32"/>
        </w:rPr>
        <w:t>（三）项目财务管理情况。</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在项目财务管理上，我局严格按照《四川省地质灾害防治项目管理办法》（川自然资规〔2020〕7号）、四川省财政厅、四川省自然资源厅《关于加强地质灾害综合防治体系建设专项资金管理  收回存量资金的通知》（川财资环〔2020〕49号）、《广元市地质灾害综合防治体系建设项目和资金管理暂行办法》（广国土资发〔2015〕47号）等的规定，项目资金管理规范，使用到位，设置了专帐、财务制度健全，专款专用，未发生截留、挪用项目资金现象。在财务管理上，严格执行区级报账制度，报账科目严格按照《财务管理办法》设置，具体的报账方式、资金拨付由施工单位根据工程进度提出申请，经工程监理单位、建设单位的现场代表、工程负责人和财务负责人审查签字后，报单位分管财务负责人审批，并签发拨付意见，交由区财政支付中心转账支付。项目资金严格按照工程进度拨付，施工过程中按已建工程量的80%拨付，工程完工后通过工程验收，进行项目结算审计，出具了项目结算审计报告拨付97%，预留3%资金作为质量保证金，质量保质期满再予以全额拨付。我区实施的项目严格执行了财务管理制度，财务处理及时、会计核算规范。</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黑体" w:hAnsi="宋体" w:eastAsia="黑体" w:cs="Times New Roman"/>
          <w:color w:val="auto"/>
          <w:w w:val="99"/>
          <w:sz w:val="32"/>
          <w:szCs w:val="32"/>
        </w:rPr>
      </w:pPr>
      <w:r>
        <w:rPr>
          <w:rFonts w:hint="eastAsia" w:ascii="黑体" w:hAnsi="黑体" w:eastAsia="黑体" w:cs="Times New Roman"/>
          <w:color w:val="auto"/>
          <w:w w:val="99"/>
          <w:sz w:val="32"/>
          <w:szCs w:val="32"/>
        </w:rPr>
        <w:t>三、项目实施及管理情况</w:t>
      </w:r>
    </w:p>
    <w:p>
      <w:pPr>
        <w:spacing w:line="360" w:lineRule="auto"/>
        <w:ind w:firstLine="635" w:firstLineChars="200"/>
        <w:rPr>
          <w:rFonts w:hint="eastAsia" w:ascii="楷体_GB2312" w:hAnsi="宋体" w:eastAsia="楷体_GB2312" w:cs="Times New Roman"/>
          <w:b/>
          <w:color w:val="auto"/>
          <w:w w:val="99"/>
          <w:sz w:val="32"/>
          <w:szCs w:val="32"/>
        </w:rPr>
      </w:pPr>
      <w:r>
        <w:rPr>
          <w:rFonts w:hint="eastAsia" w:ascii="楷体_GB2312" w:hAnsi="宋体" w:eastAsia="楷体_GB2312" w:cs="Times New Roman"/>
          <w:b/>
          <w:color w:val="auto"/>
          <w:w w:val="99"/>
          <w:sz w:val="32"/>
          <w:szCs w:val="32"/>
        </w:rPr>
        <w:t>（一）项目组织架构及实施流程。</w:t>
      </w:r>
    </w:p>
    <w:p>
      <w:pPr>
        <w:spacing w:line="360" w:lineRule="auto"/>
        <w:ind w:firstLine="643"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在项目管理上，均建立有项目组织机构，推行目标管理责任制。</w:t>
      </w:r>
      <w:bookmarkStart w:id="85" w:name="_Toc99784138"/>
      <w:r>
        <w:rPr>
          <w:rFonts w:hint="eastAsia" w:ascii="仿宋_GB2312" w:hAnsi="仿宋_GB2312" w:eastAsia="仿宋_GB2312" w:cs="仿宋_GB2312"/>
          <w:color w:val="auto"/>
          <w:sz w:val="32"/>
          <w:szCs w:val="32"/>
          <w:lang w:val="en-US" w:eastAsia="zh-CN"/>
        </w:rPr>
        <w:t>成立了以分管副区长为组</w:t>
      </w:r>
      <w:bookmarkStart w:id="86" w:name="_Toc185912501"/>
      <w:r>
        <w:rPr>
          <w:rFonts w:hint="eastAsia" w:ascii="仿宋_GB2312" w:hAnsi="仿宋_GB2312" w:eastAsia="仿宋_GB2312" w:cs="仿宋_GB2312"/>
          <w:color w:val="auto"/>
          <w:sz w:val="32"/>
          <w:szCs w:val="32"/>
          <w:lang w:val="en-US" w:eastAsia="zh-CN"/>
        </w:rPr>
        <w:t>长的区地质灾害治理工作领导小组，负责项目实施的全面协调督促工作，下设了以区自然资源分局局长、项目所在乡镇主要领导任副组长</w:t>
      </w:r>
      <w:bookmarkEnd w:id="85"/>
      <w:r>
        <w:rPr>
          <w:rFonts w:hint="eastAsia" w:ascii="仿宋_GB2312" w:hAnsi="仿宋_GB2312" w:eastAsia="仿宋_GB2312" w:cs="仿宋_GB2312"/>
          <w:color w:val="auto"/>
          <w:sz w:val="32"/>
          <w:szCs w:val="32"/>
          <w:lang w:val="en-US" w:eastAsia="zh-CN"/>
        </w:rPr>
        <w:t>的指挥部，负责项目实施的组织、现场管理和协调工作。</w:t>
      </w:r>
      <w:bookmarkEnd w:id="86"/>
      <w:bookmarkStart w:id="87" w:name="_Toc185912503"/>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在项目的具体实施流程上。</w:t>
      </w:r>
      <w:bookmarkEnd w:id="87"/>
      <w:r>
        <w:rPr>
          <w:rFonts w:hint="eastAsia" w:ascii="仿宋_GB2312" w:hAnsi="仿宋_GB2312" w:eastAsia="仿宋_GB2312" w:cs="仿宋_GB2312"/>
          <w:b/>
          <w:bCs/>
          <w:color w:val="auto"/>
          <w:sz w:val="32"/>
          <w:szCs w:val="32"/>
          <w:lang w:val="en-US" w:eastAsia="zh-CN"/>
        </w:rPr>
        <w:t>严格按照国家规定的所有项目流程开展项目建设，具体为：</w:t>
      </w:r>
      <w:r>
        <w:rPr>
          <w:rFonts w:hint="eastAsia" w:ascii="仿宋_GB2312" w:hAnsi="仿宋_GB2312" w:eastAsia="仿宋_GB2312" w:cs="仿宋_GB2312"/>
          <w:color w:val="auto"/>
          <w:sz w:val="32"/>
          <w:szCs w:val="32"/>
          <w:lang w:val="en-US" w:eastAsia="zh-CN"/>
        </w:rPr>
        <w:t>在专业机构提出对地灾隐患点实施项目建设的建议上，再聘请专家开展现场踏勘，进一步确认开展项目建设的必要性和初步建设内容；确定勘查设计单位开展勘查设计工作；以施工图设计报告或排危除险设计方案向省厅申报纳入中省财政资金支持项目范围；自然资源厅组织专家进行必要性和建设内容合理性审查通过后，进入全省地灾项目的储备库和项目库；省市下达项目实施通知和资金补助金额；进行项目立项、财评和投资计划的下达工作；开展项目施工、监理等单位的招投标工作；实施项目建设；项目完工后组织专家初验；开展项目工程结算审计；对初验项目进行为期一个水文年度质量监测并提交工程建设质量效果监测报告；组织专家开展项目终验；进行项目财务决算；完工项目移交当地乡镇政府管理；整理项目资料归档。</w:t>
      </w:r>
    </w:p>
    <w:p>
      <w:pPr>
        <w:keepNext w:val="0"/>
        <w:keepLines w:val="0"/>
        <w:pageBreakBefore w:val="0"/>
        <w:numPr>
          <w:ilvl w:val="0"/>
          <w:numId w:val="10"/>
        </w:numPr>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color w:val="auto"/>
          <w:w w:val="99"/>
          <w:sz w:val="32"/>
          <w:szCs w:val="32"/>
        </w:rPr>
      </w:pPr>
      <w:r>
        <w:rPr>
          <w:rFonts w:hint="eastAsia" w:ascii="楷体_GB2312" w:hAnsi="宋体" w:eastAsia="楷体_GB2312" w:cs="Times New Roman"/>
          <w:b/>
          <w:color w:val="auto"/>
          <w:w w:val="99"/>
          <w:sz w:val="32"/>
          <w:szCs w:val="32"/>
        </w:rPr>
        <w:t>项目管理情况。</w:t>
      </w:r>
    </w:p>
    <w:p>
      <w:pPr>
        <w:spacing w:line="360" w:lineRule="auto"/>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项目工程的实施按照省自然资源厅《四川省地质灾害防治项目管理办法》和《广元市地质灾害综合防治体系建设项目和资金管理暂行办法》等有关规定，制定了“两办法、六制度”。“两办法”即项目实施管理办法、资金管理办法；“六制度”即项目公示制度、项目法人制度、项目招标投标制度、项目合同制、项目监理制度、项目廉政建设制度。具体如下：</w:t>
      </w:r>
    </w:p>
    <w:p>
      <w:pPr>
        <w:keepNext w:val="0"/>
        <w:keepLines w:val="0"/>
        <w:pageBreakBefore w:val="0"/>
        <w:numPr>
          <w:ilvl w:val="0"/>
          <w:numId w:val="0"/>
        </w:numPr>
        <w:kinsoku/>
        <w:wordWrap/>
        <w:overflowPunct/>
        <w:topLinePunct w:val="0"/>
        <w:autoSpaceDE w:val="0"/>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一是实行项目法人责任制。由区自然资源分局全面负责项目的建设和管理。由项目法人对项目的策划、资金筹措、建设实施、运行管理实行全过程负责。</w:t>
      </w:r>
    </w:p>
    <w:p>
      <w:pPr>
        <w:keepNext w:val="0"/>
        <w:keepLines w:val="0"/>
        <w:pageBreakBefore w:val="0"/>
        <w:numPr>
          <w:ilvl w:val="0"/>
          <w:numId w:val="0"/>
        </w:numPr>
        <w:kinsoku/>
        <w:wordWrap/>
        <w:overflowPunct/>
        <w:topLinePunct w:val="0"/>
        <w:autoSpaceDE w:val="0"/>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二是实行合同管理制度。对工程的勘察、设计、施工、监理均签定书面合同，并依据法律法规及项目合同对项目进行组织、指导、协调、监督，实现项目目标控制，控制项目顺利实施。</w:t>
      </w:r>
    </w:p>
    <w:p>
      <w:pPr>
        <w:keepNext w:val="0"/>
        <w:keepLines w:val="0"/>
        <w:pageBreakBefore w:val="0"/>
        <w:numPr>
          <w:ilvl w:val="0"/>
          <w:numId w:val="0"/>
        </w:numPr>
        <w:kinsoku/>
        <w:wordWrap/>
        <w:overflowPunct/>
        <w:topLinePunct w:val="0"/>
        <w:autoSpaceDE w:val="0"/>
        <w:autoSpaceDN/>
        <w:bidi w:val="0"/>
        <w:adjustRightInd w:val="0"/>
        <w:snapToGrid w:val="0"/>
        <w:spacing w:line="560" w:lineRule="exact"/>
        <w:ind w:firstLine="640" w:firstLineChars="200"/>
        <w:textAlignment w:val="auto"/>
        <w:rPr>
          <w:rFonts w:hint="eastAsia" w:ascii="仿宋_GB2312" w:hAnsi="宋体" w:eastAsia="仿宋_GB2312" w:cs="Times New Roman"/>
          <w:color w:val="auto"/>
          <w:w w:val="99"/>
          <w:sz w:val="32"/>
          <w:szCs w:val="32"/>
        </w:rPr>
      </w:pPr>
      <w:r>
        <w:rPr>
          <w:rFonts w:hint="eastAsia" w:ascii="仿宋_GB2312" w:hAnsi="仿宋_GB2312" w:eastAsia="仿宋_GB2312" w:cs="仿宋_GB2312"/>
          <w:color w:val="auto"/>
          <w:sz w:val="32"/>
          <w:szCs w:val="32"/>
          <w:lang w:val="en-US" w:eastAsia="zh-CN"/>
        </w:rPr>
        <w:t>三是工程建设实行公开招投标制。根据国家发展改革委办公厅《关于进一步做好必须招标的工程项目规定》、《政府采购货物和服务招标投标管理办法》（财政部令第87号）、四川省财政厅《关于规范政府采购工程项目采购执行管理有关事项的通知》（川财采﹝2020﹞4号、5号、6号）、广元市朝天区财政局《关于转发四川省政府采购品分类目录（2021年版）的通知》等有关规定，严格按照项目建设基本程序，遵循公开、公平、公正和诚实信用的原则实施招投标制，确保项目的工程质量，降低工程造价，提高投资效益。</w:t>
      </w:r>
    </w:p>
    <w:p>
      <w:pPr>
        <w:keepNext w:val="0"/>
        <w:keepLines w:val="0"/>
        <w:pageBreakBefore w:val="0"/>
        <w:numPr>
          <w:ilvl w:val="0"/>
          <w:numId w:val="10"/>
        </w:numPr>
        <w:kinsoku/>
        <w:wordWrap/>
        <w:overflowPunct/>
        <w:topLinePunct w:val="0"/>
        <w:autoSpaceDE w:val="0"/>
        <w:autoSpaceDN/>
        <w:bidi w:val="0"/>
        <w:adjustRightInd w:val="0"/>
        <w:snapToGrid w:val="0"/>
        <w:spacing w:line="560" w:lineRule="exact"/>
        <w:ind w:left="0" w:leftChars="0" w:firstLine="720" w:firstLineChars="0"/>
        <w:textAlignment w:val="auto"/>
        <w:rPr>
          <w:rFonts w:hint="eastAsia" w:ascii="仿宋_GB2312" w:hAnsi="宋体" w:eastAsia="仿宋_GB2312" w:cs="Times New Roman"/>
          <w:color w:val="auto"/>
          <w:w w:val="99"/>
          <w:sz w:val="32"/>
          <w:szCs w:val="32"/>
        </w:rPr>
      </w:pPr>
      <w:r>
        <w:rPr>
          <w:rFonts w:hint="eastAsia" w:ascii="楷体_GB2312" w:hAnsi="宋体" w:eastAsia="楷体_GB2312" w:cs="Times New Roman"/>
          <w:b/>
          <w:color w:val="auto"/>
          <w:w w:val="99"/>
          <w:sz w:val="32"/>
          <w:szCs w:val="32"/>
        </w:rPr>
        <w:t>项目监管情况。</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color w:val="auto"/>
          <w:w w:val="99"/>
          <w:sz w:val="32"/>
          <w:szCs w:val="32"/>
        </w:rPr>
      </w:pPr>
      <w:r>
        <w:rPr>
          <w:rFonts w:hint="eastAsia" w:ascii="仿宋_GB2312" w:hAnsi="仿宋_GB2312" w:eastAsia="仿宋_GB2312" w:cs="仿宋_GB2312"/>
          <w:color w:val="auto"/>
          <w:sz w:val="32"/>
          <w:szCs w:val="32"/>
          <w:lang w:val="en-US" w:eastAsia="zh-CN"/>
        </w:rPr>
        <w:t>一是工程建设实行工程监理制。由项目业主、施工方、监理单位直接参加的“三方”管理制度，是连接项目法人责任制度、工程招投标制和加强政府宏观管理的中间环节。实行工程监理制，有利于项目严格遵守建设程序，控制好本项目进度、投资、质量目标，加强项目管理的专业性与科学性，提高项目的经济效益和社会效益。二是与项目施工单位签订了廉政责任书，预防在工程项目中发生腐败现象。三是在施工合同中明确了项目质量、保质期、项目班子成员的出勤及考核、处理办法等内容。四是定期不定期对工程和项目班子成员进行检查，确保工程质量。五是对项目工程材料和隐蔽工程严格执行检测和现场收方制度。六是项目工程建设内容和质量实行专家验收制度。截止目前，没有发生因工程质量导致的项目验收不合格、投诉、质量事故等现象。</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color w:val="auto"/>
          <w:w w:val="99"/>
          <w:sz w:val="32"/>
          <w:szCs w:val="32"/>
        </w:rPr>
      </w:pPr>
      <w:r>
        <w:rPr>
          <w:rFonts w:hint="eastAsia" w:ascii="黑体" w:hAnsi="黑体" w:eastAsia="黑体" w:cs="Times New Roman"/>
          <w:color w:val="auto"/>
          <w:w w:val="99"/>
          <w:sz w:val="32"/>
          <w:szCs w:val="32"/>
        </w:rPr>
        <w:t>四、项目绩效情况</w:t>
      </w:r>
      <w:r>
        <w:rPr>
          <w:rFonts w:hint="eastAsia" w:ascii="仿宋_GB2312" w:hAnsi="宋体" w:eastAsia="仿宋_GB2312" w:cs="Times New Roman"/>
          <w:color w:val="auto"/>
          <w:w w:val="99"/>
          <w:sz w:val="32"/>
          <w:szCs w:val="32"/>
        </w:rPr>
        <w:tab/>
      </w:r>
    </w:p>
    <w:p>
      <w:pPr>
        <w:spacing w:line="360" w:lineRule="auto"/>
        <w:ind w:firstLine="635" w:firstLineChars="200"/>
        <w:rPr>
          <w:rFonts w:hint="eastAsia" w:ascii="仿宋_GB2312" w:hAnsi="仿宋_GB2312" w:eastAsia="仿宋_GB2312" w:cs="仿宋_GB2312"/>
          <w:color w:val="auto"/>
          <w:sz w:val="32"/>
          <w:szCs w:val="32"/>
          <w:lang w:eastAsia="zh-CN"/>
        </w:rPr>
      </w:pPr>
      <w:r>
        <w:rPr>
          <w:rFonts w:hint="eastAsia" w:ascii="楷体_GB2312" w:hAnsi="宋体" w:eastAsia="楷体_GB2312" w:cs="Times New Roman"/>
          <w:b/>
          <w:color w:val="auto"/>
          <w:w w:val="99"/>
          <w:sz w:val="32"/>
          <w:szCs w:val="32"/>
        </w:rPr>
        <w:t>（一）项目完成情况。</w:t>
      </w:r>
      <w:r>
        <w:rPr>
          <w:rFonts w:hint="eastAsia" w:ascii="仿宋_GB2312" w:hAnsi="仿宋_GB2312" w:eastAsia="仿宋_GB2312" w:cs="仿宋_GB2312"/>
          <w:color w:val="auto"/>
          <w:sz w:val="32"/>
          <w:szCs w:val="32"/>
          <w:lang w:val="en-US" w:eastAsia="zh-CN"/>
        </w:rPr>
        <w:t>我区第一批次项目实际实施第一批地质灾害防治专项资金申报实施2处治理工程、1个地质灾害群专结合监测预警项目；第二批地质灾害防治专项资金申报实施</w:t>
      </w:r>
      <w:r>
        <w:rPr>
          <w:rFonts w:hint="eastAsia" w:ascii="仿宋_GB2312" w:hAnsi="仿宋_GB2312" w:eastAsia="仿宋_GB2312" w:cs="仿宋_GB2312"/>
          <w:color w:val="auto"/>
          <w:sz w:val="32"/>
          <w:szCs w:val="32"/>
        </w:rPr>
        <w:t>群测群防专兼职监测</w:t>
      </w:r>
      <w:r>
        <w:rPr>
          <w:rFonts w:hint="eastAsia" w:ascii="仿宋_GB2312" w:hAnsi="仿宋_GB2312" w:eastAsia="仿宋_GB2312" w:cs="仿宋_GB2312"/>
          <w:color w:val="auto"/>
          <w:sz w:val="32"/>
          <w:szCs w:val="32"/>
          <w:lang w:val="en-US" w:eastAsia="zh-CN"/>
        </w:rPr>
        <w:t>114</w:t>
      </w:r>
      <w:r>
        <w:rPr>
          <w:rFonts w:hint="eastAsia" w:ascii="仿宋_GB2312" w:hAnsi="仿宋_GB2312" w:eastAsia="仿宋_GB2312" w:cs="仿宋_GB2312"/>
          <w:color w:val="auto"/>
          <w:sz w:val="32"/>
          <w:szCs w:val="32"/>
        </w:rPr>
        <w:t>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治理工程</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避险搬迁20户</w:t>
      </w:r>
      <w:r>
        <w:rPr>
          <w:rFonts w:hint="eastAsia" w:ascii="仿宋_GB2312" w:hAnsi="仿宋_GB2312" w:eastAsia="仿宋_GB2312" w:cs="仿宋_GB2312"/>
          <w:color w:val="auto"/>
          <w:sz w:val="32"/>
          <w:szCs w:val="32"/>
          <w:lang w:eastAsia="zh-CN"/>
        </w:rPr>
        <w:t>。</w:t>
      </w: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对照项目计划目标，</w:t>
      </w:r>
      <w:r>
        <w:rPr>
          <w:rFonts w:hint="eastAsia" w:ascii="仿宋_GB2312" w:hAnsi="仿宋_GB2312" w:eastAsia="仿宋_GB2312" w:cs="仿宋_GB2312"/>
          <w:color w:val="auto"/>
          <w:sz w:val="32"/>
          <w:szCs w:val="32"/>
          <w:lang w:eastAsia="zh-CN"/>
        </w:rPr>
        <w:t>我区的地质灾害防治项目均</w:t>
      </w:r>
      <w:r>
        <w:rPr>
          <w:rFonts w:hint="eastAsia" w:ascii="仿宋_GB2312" w:hAnsi="仿宋_GB2312" w:eastAsia="仿宋_GB2312" w:cs="仿宋_GB2312"/>
          <w:color w:val="auto"/>
          <w:sz w:val="32"/>
          <w:szCs w:val="32"/>
          <w:lang w:val="en-US" w:eastAsia="zh-CN"/>
        </w:rPr>
        <w:t>全部</w:t>
      </w:r>
      <w:r>
        <w:rPr>
          <w:rFonts w:hint="eastAsia" w:ascii="仿宋_GB2312" w:hAnsi="仿宋_GB2312" w:eastAsia="仿宋_GB2312" w:cs="仿宋_GB2312"/>
          <w:color w:val="auto"/>
          <w:sz w:val="32"/>
          <w:szCs w:val="32"/>
        </w:rPr>
        <w:t>完成任务。</w:t>
      </w:r>
    </w:p>
    <w:p>
      <w:pPr>
        <w:numPr>
          <w:ilvl w:val="0"/>
          <w:numId w:val="11"/>
        </w:numPr>
        <w:spacing w:line="360" w:lineRule="auto"/>
        <w:ind w:firstLine="635" w:firstLineChars="200"/>
        <w:rPr>
          <w:rFonts w:hint="eastAsia" w:ascii="楷体_GB2312" w:hAnsi="宋体" w:eastAsia="楷体_GB2312" w:cs="Times New Roman"/>
          <w:b/>
          <w:color w:val="auto"/>
          <w:w w:val="99"/>
          <w:sz w:val="32"/>
          <w:szCs w:val="32"/>
        </w:rPr>
      </w:pPr>
      <w:r>
        <w:rPr>
          <w:rFonts w:hint="eastAsia" w:ascii="楷体_GB2312" w:hAnsi="宋体" w:eastAsia="楷体_GB2312" w:cs="Times New Roman"/>
          <w:b/>
          <w:color w:val="auto"/>
          <w:w w:val="99"/>
          <w:sz w:val="32"/>
          <w:szCs w:val="32"/>
        </w:rPr>
        <w:t>项目效益情况。</w:t>
      </w:r>
    </w:p>
    <w:p>
      <w:pPr>
        <w:numPr>
          <w:ilvl w:val="0"/>
          <w:numId w:val="0"/>
        </w:numPr>
        <w:spacing w:line="360" w:lineRule="auto"/>
        <w:ind w:firstLine="643" w:firstLineChars="200"/>
        <w:rPr>
          <w:rFonts w:hint="eastAsia" w:ascii="方正楷体简体" w:hAnsi="方正楷体简体" w:eastAsia="方正楷体简体" w:cs="方正楷体简体"/>
          <w:b/>
          <w:bCs/>
          <w:color w:val="auto"/>
          <w:sz w:val="32"/>
          <w:szCs w:val="32"/>
        </w:rPr>
      </w:pPr>
      <w:r>
        <w:rPr>
          <w:rFonts w:hint="eastAsia" w:ascii="方正楷体简体" w:hAnsi="方正楷体简体" w:eastAsia="方正楷体简体" w:cs="方正楷体简体"/>
          <w:b/>
          <w:bCs/>
          <w:color w:val="auto"/>
          <w:sz w:val="32"/>
          <w:szCs w:val="32"/>
          <w:lang w:val="en-US" w:eastAsia="zh-CN"/>
        </w:rPr>
        <w:t>1.</w:t>
      </w:r>
      <w:r>
        <w:rPr>
          <w:rFonts w:hint="eastAsia" w:ascii="方正楷体简体" w:hAnsi="方正楷体简体" w:eastAsia="方正楷体简体" w:cs="方正楷体简体"/>
          <w:b/>
          <w:bCs/>
          <w:color w:val="auto"/>
          <w:sz w:val="32"/>
          <w:szCs w:val="32"/>
        </w:rPr>
        <w:t>社会效益</w:t>
      </w: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防治工程的建设可以弥补因</w:t>
      </w:r>
      <w:r>
        <w:rPr>
          <w:rFonts w:hint="eastAsia" w:ascii="仿宋_GB2312" w:hAnsi="仿宋_GB2312" w:eastAsia="仿宋_GB2312" w:cs="仿宋_GB2312"/>
          <w:color w:val="auto"/>
          <w:sz w:val="32"/>
          <w:szCs w:val="32"/>
          <w:lang w:eastAsia="zh-CN"/>
        </w:rPr>
        <w:t>地质</w:t>
      </w:r>
      <w:r>
        <w:rPr>
          <w:rFonts w:hint="eastAsia" w:ascii="仿宋_GB2312" w:hAnsi="仿宋_GB2312" w:eastAsia="仿宋_GB2312" w:cs="仿宋_GB2312"/>
          <w:color w:val="auto"/>
          <w:sz w:val="32"/>
          <w:szCs w:val="32"/>
        </w:rPr>
        <w:t>灾害导致的农田、果园受灾不能正常生产</w:t>
      </w:r>
      <w:r>
        <w:rPr>
          <w:rFonts w:hint="eastAsia" w:ascii="仿宋_GB2312" w:hAnsi="仿宋_GB2312" w:eastAsia="仿宋_GB2312" w:cs="仿宋_GB2312"/>
          <w:color w:val="auto"/>
          <w:sz w:val="32"/>
          <w:szCs w:val="32"/>
          <w:lang w:eastAsia="zh-CN"/>
        </w:rPr>
        <w:t>所</w:t>
      </w:r>
      <w:r>
        <w:rPr>
          <w:rFonts w:hint="eastAsia" w:ascii="仿宋_GB2312" w:hAnsi="仿宋_GB2312" w:eastAsia="仿宋_GB2312" w:cs="仿宋_GB2312"/>
          <w:color w:val="auto"/>
          <w:sz w:val="32"/>
          <w:szCs w:val="32"/>
        </w:rPr>
        <w:t>造成的损失，使农田、果园尽快进入正常生产阶段，创造经济作物价值。确保附近农户居住环境的整体功能得到正常运转，通往外部的交通干线可以保持稳定和畅通，土地资源可以得到保护，显示出突出的社会效益。</w:t>
      </w: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滑坡体上、滑坡前后缘影响区的建筑物安全可以得到保障，可以确保滑坡危害区范围内人民生命财产安全，减少人员因</w:t>
      </w:r>
      <w:r>
        <w:rPr>
          <w:rFonts w:hint="eastAsia" w:ascii="仿宋_GB2312" w:hAnsi="仿宋_GB2312" w:eastAsia="仿宋_GB2312" w:cs="仿宋_GB2312"/>
          <w:color w:val="auto"/>
          <w:sz w:val="32"/>
          <w:szCs w:val="32"/>
          <w:lang w:eastAsia="zh-CN"/>
        </w:rPr>
        <w:t>地质</w:t>
      </w:r>
      <w:r>
        <w:rPr>
          <w:rFonts w:hint="eastAsia" w:ascii="仿宋_GB2312" w:hAnsi="仿宋_GB2312" w:eastAsia="仿宋_GB2312" w:cs="仿宋_GB2312"/>
          <w:color w:val="auto"/>
          <w:sz w:val="32"/>
          <w:szCs w:val="32"/>
        </w:rPr>
        <w:t>灾害伤亡不能参加劳动而减少的劳动收入损失。</w:t>
      </w: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由于</w:t>
      </w:r>
      <w:r>
        <w:rPr>
          <w:rFonts w:hint="eastAsia" w:ascii="仿宋_GB2312" w:hAnsi="仿宋_GB2312" w:eastAsia="仿宋_GB2312" w:cs="仿宋_GB2312"/>
          <w:color w:val="auto"/>
          <w:sz w:val="32"/>
          <w:szCs w:val="32"/>
          <w:lang w:eastAsia="zh-CN"/>
        </w:rPr>
        <w:t>地质</w:t>
      </w:r>
      <w:r>
        <w:rPr>
          <w:rFonts w:hint="eastAsia" w:ascii="仿宋_GB2312" w:hAnsi="仿宋_GB2312" w:eastAsia="仿宋_GB2312" w:cs="仿宋_GB2312"/>
          <w:color w:val="auto"/>
          <w:sz w:val="32"/>
          <w:szCs w:val="32"/>
        </w:rPr>
        <w:t>滑坡灾害防治工程的实施，改善了当地的</w:t>
      </w:r>
      <w:r>
        <w:rPr>
          <w:rFonts w:hint="eastAsia" w:ascii="仿宋_GB2312" w:hAnsi="仿宋_GB2312" w:eastAsia="仿宋_GB2312" w:cs="仿宋_GB2312"/>
          <w:color w:val="auto"/>
          <w:sz w:val="32"/>
          <w:szCs w:val="32"/>
          <w:lang w:eastAsia="zh-CN"/>
        </w:rPr>
        <w:t>生产生活</w:t>
      </w:r>
      <w:r>
        <w:rPr>
          <w:rFonts w:hint="eastAsia" w:ascii="仿宋_GB2312" w:hAnsi="仿宋_GB2312" w:eastAsia="仿宋_GB2312" w:cs="仿宋_GB2312"/>
          <w:color w:val="auto"/>
          <w:sz w:val="32"/>
          <w:szCs w:val="32"/>
        </w:rPr>
        <w:t>安全环境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使得投资环境吸引力增加</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土地增值等一系列下游产业增值活动带来收益，而且滑坡治理后，能稳定</w:t>
      </w:r>
      <w:r>
        <w:rPr>
          <w:rFonts w:hint="eastAsia" w:ascii="仿宋_GB2312" w:hAnsi="仿宋_GB2312" w:eastAsia="仿宋_GB2312" w:cs="仿宋_GB2312"/>
          <w:color w:val="auto"/>
          <w:sz w:val="32"/>
          <w:szCs w:val="32"/>
          <w:lang w:eastAsia="zh-CN"/>
        </w:rPr>
        <w:t>人民群众</w:t>
      </w:r>
      <w:r>
        <w:rPr>
          <w:rFonts w:hint="eastAsia" w:ascii="仿宋_GB2312" w:hAnsi="仿宋_GB2312" w:eastAsia="仿宋_GB2312" w:cs="仿宋_GB2312"/>
          <w:color w:val="auto"/>
          <w:sz w:val="32"/>
          <w:szCs w:val="32"/>
        </w:rPr>
        <w:t>的心态，使生产、生活有序进行，安定人心，创造潜在的更大社会效益。</w:t>
      </w:r>
      <w:bookmarkStart w:id="88" w:name="_Toc71645331"/>
      <w:bookmarkStart w:id="89" w:name="_Toc185912582"/>
      <w:bookmarkStart w:id="90" w:name="_Toc185924650"/>
    </w:p>
    <w:p>
      <w:pPr>
        <w:spacing w:line="360" w:lineRule="auto"/>
        <w:ind w:firstLine="643" w:firstLineChars="200"/>
        <w:rPr>
          <w:rFonts w:hint="eastAsia" w:ascii="方正楷体简体" w:hAnsi="方正楷体简体" w:eastAsia="方正楷体简体" w:cs="方正楷体简体"/>
          <w:b/>
          <w:bCs/>
          <w:color w:val="auto"/>
          <w:sz w:val="32"/>
          <w:szCs w:val="32"/>
        </w:rPr>
      </w:pPr>
      <w:r>
        <w:rPr>
          <w:rFonts w:hint="eastAsia" w:ascii="方正楷体简体" w:hAnsi="方正楷体简体" w:eastAsia="方正楷体简体" w:cs="方正楷体简体"/>
          <w:b/>
          <w:bCs/>
          <w:color w:val="auto"/>
          <w:sz w:val="32"/>
          <w:szCs w:val="32"/>
          <w:lang w:val="en-US" w:eastAsia="zh-CN"/>
        </w:rPr>
        <w:t>2.</w:t>
      </w:r>
      <w:r>
        <w:rPr>
          <w:rFonts w:hint="eastAsia" w:ascii="方正楷体简体" w:hAnsi="方正楷体简体" w:eastAsia="方正楷体简体" w:cs="方正楷体简体"/>
          <w:b/>
          <w:bCs/>
          <w:color w:val="auto"/>
          <w:sz w:val="32"/>
          <w:szCs w:val="32"/>
        </w:rPr>
        <w:t>生态环境效益</w:t>
      </w:r>
      <w:bookmarkEnd w:id="88"/>
      <w:bookmarkEnd w:id="89"/>
      <w:bookmarkEnd w:id="90"/>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生态效益体现的是自然资本积累，是人类赖以生存和发展的基础，生态效益多以公共品和准公共品服务流形式出现。滑坡治理后，能够有效的遏制滑坡、泥石流等地质灾害危害，有效的控制地质环境恶化趋势，为土地复垦和开发创造良好的地质环境条件。</w:t>
      </w: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工程及植被恢复措施逐渐发挥作用，遏制了滑坡、泥石流等的发生，减少松散物源的补给，成为保护耕地农田免遭</w:t>
      </w:r>
      <w:r>
        <w:rPr>
          <w:rFonts w:hint="eastAsia" w:ascii="仿宋_GB2312" w:hAnsi="仿宋_GB2312" w:eastAsia="仿宋_GB2312" w:cs="仿宋_GB2312"/>
          <w:color w:val="auto"/>
          <w:sz w:val="32"/>
          <w:szCs w:val="32"/>
          <w:lang w:eastAsia="zh-CN"/>
        </w:rPr>
        <w:t>损</w:t>
      </w:r>
      <w:r>
        <w:rPr>
          <w:rFonts w:hint="eastAsia" w:ascii="仿宋_GB2312" w:hAnsi="仿宋_GB2312" w:eastAsia="仿宋_GB2312" w:cs="仿宋_GB2312"/>
          <w:color w:val="auto"/>
          <w:sz w:val="32"/>
          <w:szCs w:val="32"/>
        </w:rPr>
        <w:t>害的有力保障，加固拦挡工程，延长使用寿命，减少地质灾害发生</w:t>
      </w:r>
      <w:r>
        <w:rPr>
          <w:rFonts w:hint="eastAsia" w:ascii="仿宋_GB2312" w:hAnsi="仿宋_GB2312" w:eastAsia="仿宋_GB2312" w:cs="仿宋_GB2312"/>
          <w:color w:val="auto"/>
          <w:sz w:val="32"/>
          <w:szCs w:val="32"/>
          <w:lang w:eastAsia="zh-CN"/>
        </w:rPr>
        <w:t>机</w:t>
      </w:r>
      <w:r>
        <w:rPr>
          <w:rFonts w:hint="eastAsia" w:ascii="仿宋_GB2312" w:hAnsi="仿宋_GB2312" w:eastAsia="仿宋_GB2312" w:cs="仿宋_GB2312"/>
          <w:color w:val="auto"/>
          <w:sz w:val="32"/>
          <w:szCs w:val="32"/>
        </w:rPr>
        <w:t>率。</w:t>
      </w: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有效增加保土、保肥、涵养水源的能力，降低水体浑浊度，提高水体质量。生态环境明显改善，土壤有机质，森林覆盖率明显提高，可改善降雨降雪对土壤的水力侵蚀，推动水</w:t>
      </w:r>
      <w:r>
        <w:rPr>
          <w:rFonts w:hint="eastAsia" w:ascii="仿宋_GB2312" w:hAnsi="仿宋_GB2312" w:eastAsia="仿宋_GB2312" w:cs="仿宋_GB2312"/>
          <w:color w:val="auto"/>
          <w:sz w:val="32"/>
          <w:szCs w:val="32"/>
          <w:lang w:eastAsia="zh-CN"/>
        </w:rPr>
        <w:t>土</w:t>
      </w:r>
      <w:r>
        <w:rPr>
          <w:rFonts w:hint="eastAsia" w:ascii="仿宋_GB2312" w:hAnsi="仿宋_GB2312" w:eastAsia="仿宋_GB2312" w:cs="仿宋_GB2312"/>
          <w:color w:val="auto"/>
          <w:sz w:val="32"/>
          <w:szCs w:val="32"/>
        </w:rPr>
        <w:t>保持工作的积极运行，耕地、农田的抗灾能力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农业生态系统的稳定性明显提高。</w:t>
      </w: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有效防止了水体流失的规模，使地表浅层的适应能力增加，限制了地质环境的进一步恶化，为生物提高良好的生存条件，使失去平衡的生态系统得以修复。</w:t>
      </w:r>
      <w:bookmarkStart w:id="91" w:name="_Toc185924651"/>
      <w:bookmarkStart w:id="92" w:name="_Toc185912583"/>
      <w:bookmarkStart w:id="93" w:name="_Toc71645333"/>
    </w:p>
    <w:p>
      <w:pPr>
        <w:spacing w:line="360" w:lineRule="auto"/>
        <w:ind w:firstLine="643" w:firstLineChars="200"/>
        <w:rPr>
          <w:rFonts w:hint="eastAsia" w:ascii="方正楷体简体" w:hAnsi="方正楷体简体" w:eastAsia="方正楷体简体" w:cs="方正楷体简体"/>
          <w:b/>
          <w:bCs/>
          <w:color w:val="auto"/>
          <w:sz w:val="32"/>
          <w:szCs w:val="32"/>
        </w:rPr>
      </w:pPr>
      <w:r>
        <w:rPr>
          <w:rFonts w:hint="eastAsia" w:ascii="方正楷体简体" w:hAnsi="方正楷体简体" w:eastAsia="方正楷体简体" w:cs="方正楷体简体"/>
          <w:b/>
          <w:bCs/>
          <w:color w:val="auto"/>
          <w:sz w:val="32"/>
          <w:szCs w:val="32"/>
          <w:lang w:val="en-US" w:eastAsia="zh-CN"/>
        </w:rPr>
        <w:t>3.</w:t>
      </w:r>
      <w:r>
        <w:rPr>
          <w:rFonts w:hint="eastAsia" w:ascii="方正楷体简体" w:hAnsi="方正楷体简体" w:eastAsia="方正楷体简体" w:cs="方正楷体简体"/>
          <w:b/>
          <w:bCs/>
          <w:color w:val="auto"/>
          <w:sz w:val="32"/>
          <w:szCs w:val="32"/>
        </w:rPr>
        <w:t>经济效益</w:t>
      </w:r>
      <w:bookmarkEnd w:id="91"/>
      <w:bookmarkEnd w:id="92"/>
      <w:bookmarkEnd w:id="93"/>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防治工程的经济效益包括直接效益和间接效益两部分。直接效益主要为防治工程所避免的地质灾害可能造成的经济损失，间接效益主要为因地质灾害得到治理而避免的周边地区国民经济巨大影响和损失。经初步调查统计，20</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年实施的地质灾害体系建设项目，隐患点如发生可能造成的经济损失将达到</w:t>
      </w:r>
      <w:r>
        <w:rPr>
          <w:rFonts w:hint="eastAsia" w:ascii="仿宋_GB2312" w:hAnsi="仿宋_GB2312" w:eastAsia="仿宋_GB2312" w:cs="仿宋_GB2312"/>
          <w:color w:val="auto"/>
          <w:sz w:val="32"/>
          <w:szCs w:val="32"/>
          <w:lang w:val="en-US" w:eastAsia="zh-CN"/>
        </w:rPr>
        <w:t>1850万</w:t>
      </w:r>
      <w:r>
        <w:rPr>
          <w:rFonts w:hint="eastAsia" w:ascii="仿宋_GB2312" w:hAnsi="仿宋_GB2312" w:eastAsia="仿宋_GB2312" w:cs="仿宋_GB2312"/>
          <w:color w:val="auto"/>
          <w:sz w:val="32"/>
          <w:szCs w:val="32"/>
        </w:rPr>
        <w:t>元，而财政投入资金为</w:t>
      </w:r>
      <w:r>
        <w:rPr>
          <w:rFonts w:hint="eastAsia" w:ascii="仿宋_GB2312" w:hAnsi="仿宋_GB2312" w:eastAsia="仿宋_GB2312" w:cs="仿宋_GB2312"/>
          <w:color w:val="auto"/>
          <w:sz w:val="32"/>
          <w:szCs w:val="32"/>
          <w:lang w:val="en-US" w:eastAsia="zh-CN"/>
        </w:rPr>
        <w:t>575.04</w:t>
      </w:r>
      <w:r>
        <w:rPr>
          <w:rFonts w:hint="eastAsia" w:ascii="仿宋_GB2312" w:hAnsi="仿宋_GB2312" w:eastAsia="仿宋_GB2312" w:cs="仿宋_GB2312"/>
          <w:color w:val="auto"/>
          <w:sz w:val="32"/>
          <w:szCs w:val="32"/>
        </w:rPr>
        <w:t>万元，按相对收益计算，产出比为1：</w:t>
      </w:r>
      <w:r>
        <w:rPr>
          <w:rFonts w:hint="eastAsia" w:ascii="仿宋_GB2312" w:hAnsi="仿宋_GB2312" w:eastAsia="仿宋_GB2312" w:cs="仿宋_GB2312"/>
          <w:color w:val="auto"/>
          <w:sz w:val="32"/>
          <w:szCs w:val="32"/>
          <w:lang w:val="en-US" w:eastAsia="zh-CN"/>
        </w:rPr>
        <w:t>3.1</w:t>
      </w:r>
      <w:r>
        <w:rPr>
          <w:rFonts w:hint="eastAsia" w:ascii="仿宋_GB2312" w:hAnsi="仿宋_GB2312" w:eastAsia="仿宋_GB2312" w:cs="仿宋_GB2312"/>
          <w:color w:val="auto"/>
          <w:sz w:val="32"/>
          <w:szCs w:val="32"/>
        </w:rPr>
        <w:t>，由此可见，体系建设项目具有良好的经济效益。另外，治理工程还具有难以估算和量化的间接效益，有利于社会的安定和经济的可持续发展。</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黑体" w:hAnsi="宋体" w:eastAsia="黑体" w:cs="Times New Roman"/>
          <w:color w:val="auto"/>
          <w:w w:val="99"/>
          <w:sz w:val="32"/>
          <w:szCs w:val="32"/>
        </w:rPr>
      </w:pPr>
      <w:r>
        <w:rPr>
          <w:rFonts w:hint="eastAsia" w:ascii="黑体" w:hAnsi="黑体" w:eastAsia="黑体" w:cs="Times New Roman"/>
          <w:color w:val="auto"/>
          <w:w w:val="99"/>
          <w:sz w:val="32"/>
          <w:szCs w:val="32"/>
        </w:rPr>
        <w:t>五、评价结论及建议</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color w:val="auto"/>
          <w:w w:val="99"/>
          <w:sz w:val="32"/>
          <w:szCs w:val="32"/>
        </w:rPr>
      </w:pPr>
      <w:r>
        <w:rPr>
          <w:rFonts w:hint="eastAsia" w:ascii="楷体_GB2312" w:hAnsi="宋体" w:eastAsia="楷体_GB2312" w:cs="Times New Roman"/>
          <w:b/>
          <w:color w:val="auto"/>
          <w:w w:val="99"/>
          <w:sz w:val="32"/>
          <w:szCs w:val="32"/>
        </w:rPr>
        <w:t>（一）评价结论。</w:t>
      </w:r>
    </w:p>
    <w:p>
      <w:pPr>
        <w:spacing w:line="360" w:lineRule="auto"/>
        <w:ind w:firstLine="640" w:firstLineChars="200"/>
        <w:rPr>
          <w:rFonts w:hint="eastAsia" w:ascii="仿宋_GB2312" w:hAnsi="宋体" w:eastAsia="仿宋_GB2312" w:cs="Times New Roman"/>
          <w:color w:val="auto"/>
          <w:w w:val="99"/>
          <w:sz w:val="32"/>
          <w:szCs w:val="32"/>
        </w:rPr>
      </w:pPr>
      <w:r>
        <w:rPr>
          <w:rFonts w:hint="eastAsia" w:ascii="仿宋_GB2312" w:hAnsi="仿宋_GB2312" w:eastAsia="仿宋_GB2312" w:cs="仿宋_GB2312"/>
          <w:color w:val="auto"/>
          <w:sz w:val="32"/>
          <w:szCs w:val="32"/>
          <w:lang w:eastAsia="zh-CN"/>
        </w:rPr>
        <w:t>地灾项目的实施和</w:t>
      </w:r>
      <w:r>
        <w:rPr>
          <w:rFonts w:hint="eastAsia" w:ascii="仿宋_GB2312" w:hAnsi="仿宋_GB2312" w:eastAsia="仿宋_GB2312" w:cs="仿宋_GB2312"/>
          <w:color w:val="auto"/>
          <w:sz w:val="32"/>
          <w:szCs w:val="32"/>
          <w:lang w:val="en-US" w:eastAsia="zh-CN"/>
        </w:rPr>
        <w:t>管理规范，流程符合规定，按照要求提前完成项目建设内容，超额完成项目绩效指标。</w:t>
      </w:r>
      <w:r>
        <w:rPr>
          <w:rFonts w:hint="eastAsia" w:ascii="仿宋_GB2312" w:hAnsi="仿宋_GB2312" w:eastAsia="仿宋_GB2312" w:cs="仿宋_GB2312"/>
          <w:color w:val="auto"/>
          <w:sz w:val="32"/>
          <w:szCs w:val="32"/>
        </w:rPr>
        <w:t>由于区财政紧张，部分项目实施后，资金没有及时拨付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项目总体绩效评价好。</w:t>
      </w:r>
    </w:p>
    <w:p>
      <w:pPr>
        <w:numPr>
          <w:ilvl w:val="0"/>
          <w:numId w:val="0"/>
        </w:numPr>
        <w:spacing w:line="360" w:lineRule="auto"/>
        <w:ind w:firstLine="635" w:firstLineChars="200"/>
        <w:rPr>
          <w:rFonts w:hint="eastAsia" w:ascii="楷体_GB2312" w:hAnsi="宋体" w:eastAsia="楷体_GB2312" w:cs="Times New Roman"/>
          <w:b/>
          <w:color w:val="auto"/>
          <w:w w:val="99"/>
          <w:sz w:val="32"/>
          <w:szCs w:val="32"/>
        </w:rPr>
      </w:pPr>
      <w:r>
        <w:rPr>
          <w:rFonts w:hint="eastAsia" w:ascii="楷体_GB2312" w:hAnsi="宋体" w:eastAsia="楷体_GB2312" w:cs="Times New Roman"/>
          <w:b/>
          <w:color w:val="auto"/>
          <w:w w:val="99"/>
          <w:sz w:val="32"/>
          <w:szCs w:val="32"/>
          <w:lang w:eastAsia="zh-CN"/>
        </w:rPr>
        <w:t>（</w:t>
      </w:r>
      <w:r>
        <w:rPr>
          <w:rFonts w:hint="eastAsia" w:ascii="楷体_GB2312" w:hAnsi="宋体" w:eastAsia="楷体_GB2312" w:cs="Times New Roman"/>
          <w:b/>
          <w:color w:val="auto"/>
          <w:w w:val="99"/>
          <w:sz w:val="32"/>
          <w:szCs w:val="32"/>
          <w:lang w:val="en-US" w:eastAsia="zh-CN"/>
        </w:rPr>
        <w:t>二</w:t>
      </w:r>
      <w:r>
        <w:rPr>
          <w:rFonts w:hint="eastAsia" w:ascii="楷体_GB2312" w:hAnsi="宋体" w:eastAsia="楷体_GB2312" w:cs="Times New Roman"/>
          <w:b/>
          <w:color w:val="auto"/>
          <w:w w:val="99"/>
          <w:sz w:val="32"/>
          <w:szCs w:val="32"/>
          <w:lang w:eastAsia="zh-CN"/>
        </w:rPr>
        <w:t>）</w:t>
      </w:r>
      <w:r>
        <w:rPr>
          <w:rFonts w:hint="eastAsia" w:ascii="楷体_GB2312" w:hAnsi="宋体" w:eastAsia="楷体_GB2312" w:cs="Times New Roman"/>
          <w:b/>
          <w:color w:val="auto"/>
          <w:w w:val="99"/>
          <w:sz w:val="32"/>
          <w:szCs w:val="32"/>
        </w:rPr>
        <w:t>存在的问题。</w:t>
      </w:r>
    </w:p>
    <w:p>
      <w:pPr>
        <w:spacing w:line="360" w:lineRule="auto"/>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一是在项目实施过程中，项目区大部分群众对占地补偿、附着物赔付等事项期望值较高，导致协调工作难度逐年加大，一定程度上增加和影响了项目正常的施工进度。</w:t>
      </w:r>
      <w:bookmarkStart w:id="94" w:name="_Toc99784188"/>
      <w:bookmarkStart w:id="95" w:name="_Toc185912586"/>
      <w:r>
        <w:rPr>
          <w:rFonts w:hint="eastAsia" w:ascii="仿宋_GB2312" w:hAnsi="仿宋_GB2312" w:eastAsia="仿宋_GB2312" w:cs="仿宋_GB2312"/>
          <w:color w:val="auto"/>
          <w:sz w:val="32"/>
          <w:szCs w:val="32"/>
          <w:lang w:eastAsia="zh-CN"/>
        </w:rPr>
        <w:t>由于群众对其根本目的认识不到位，致使工程进度缓慢；对群众的宣传引导不够深入，出现阻挠工程施工等现象；由于工程队施工、取土、运料进场等给当地老百姓造成一定的影响，并与乡政府承担的工作有交叉关系，致使施工单位与乡镇政府和老百姓在一些事情上纠缠不清，影响工程进度</w:t>
      </w:r>
      <w:bookmarkEnd w:id="94"/>
      <w:r>
        <w:rPr>
          <w:rFonts w:hint="eastAsia" w:ascii="仿宋_GB2312" w:hAnsi="仿宋_GB2312" w:eastAsia="仿宋_GB2312" w:cs="仿宋_GB2312"/>
          <w:color w:val="auto"/>
          <w:sz w:val="32"/>
          <w:szCs w:val="32"/>
          <w:lang w:eastAsia="zh-CN"/>
        </w:rPr>
        <w:t>。</w:t>
      </w:r>
      <w:bookmarkEnd w:id="95"/>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二是</w:t>
      </w:r>
      <w:r>
        <w:rPr>
          <w:rFonts w:hint="eastAsia" w:ascii="仿宋_GB2312" w:hAnsi="仿宋_GB2312" w:eastAsia="仿宋_GB2312" w:cs="仿宋_GB2312"/>
          <w:color w:val="auto"/>
          <w:sz w:val="32"/>
          <w:szCs w:val="32"/>
          <w:lang w:val="en-US" w:eastAsia="zh-CN"/>
        </w:rPr>
        <w:t>部分项目未完成工程结算审计，按照项目管理规定，资金还不能全部拨付。</w:t>
      </w:r>
    </w:p>
    <w:p>
      <w:pPr>
        <w:numPr>
          <w:ilvl w:val="0"/>
          <w:numId w:val="11"/>
        </w:numPr>
        <w:spacing w:line="360" w:lineRule="auto"/>
        <w:ind w:left="0" w:leftChars="0" w:firstLine="635" w:firstLineChars="200"/>
        <w:rPr>
          <w:rFonts w:hint="eastAsia" w:ascii="楷体_GB2312" w:hAnsi="宋体" w:eastAsia="楷体_GB2312" w:cs="Times New Roman"/>
          <w:b/>
          <w:color w:val="auto"/>
          <w:w w:val="99"/>
          <w:sz w:val="32"/>
          <w:szCs w:val="32"/>
        </w:rPr>
      </w:pPr>
      <w:r>
        <w:rPr>
          <w:rFonts w:hint="eastAsia" w:ascii="楷体_GB2312" w:hAnsi="宋体" w:eastAsia="楷体_GB2312" w:cs="Times New Roman"/>
          <w:b/>
          <w:color w:val="auto"/>
          <w:w w:val="99"/>
          <w:sz w:val="32"/>
          <w:szCs w:val="32"/>
        </w:rPr>
        <w:t>相关建议。</w:t>
      </w:r>
    </w:p>
    <w:p>
      <w:pPr>
        <w:spacing w:line="360" w:lineRule="auto"/>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主要是适当延长开展项目绩效评价的期限。</w:t>
      </w:r>
      <w:r>
        <w:rPr>
          <w:rFonts w:hint="eastAsia" w:ascii="仿宋_GB2312" w:hAnsi="仿宋_GB2312" w:eastAsia="仿宋_GB2312" w:cs="仿宋_GB2312"/>
          <w:color w:val="auto"/>
          <w:sz w:val="32"/>
          <w:szCs w:val="32"/>
          <w:lang w:val="en-US" w:eastAsia="zh-CN"/>
        </w:rPr>
        <w:t>一个项目从下达任务，开始招投标，开展施工建设，完工后进行项目验收，到最后完成工程结算审计，一般需要2至3年的时间；而开展绩效评价一般是下达任务1年就开始，有时甚至是几个月就开始，时间太短。</w:t>
      </w:r>
    </w:p>
    <w:p>
      <w:pPr>
        <w:spacing w:line="580" w:lineRule="exact"/>
        <w:rPr>
          <w:rStyle w:val="27"/>
          <w:rFonts w:ascii="黑体" w:hAnsi="黑体" w:eastAsia="黑体"/>
          <w:b w:val="0"/>
          <w:color w:val="auto"/>
          <w:highlight w:val="none"/>
        </w:rPr>
      </w:pPr>
    </w:p>
    <w:p>
      <w:pPr>
        <w:widowControl/>
        <w:jc w:val="left"/>
        <w:rPr>
          <w:rStyle w:val="27"/>
          <w:rFonts w:ascii="黑体" w:hAnsi="黑体" w:eastAsia="黑体"/>
          <w:b w:val="0"/>
          <w:color w:val="auto"/>
          <w:highlight w:val="none"/>
        </w:rPr>
      </w:pPr>
      <w:r>
        <w:rPr>
          <w:rStyle w:val="27"/>
          <w:rFonts w:ascii="黑体" w:hAnsi="黑体" w:eastAsia="黑体"/>
          <w:b w:val="0"/>
          <w:color w:val="auto"/>
          <w:highlight w:val="none"/>
        </w:rPr>
        <w:br w:type="page"/>
      </w:r>
    </w:p>
    <w:p>
      <w:pPr>
        <w:spacing w:line="600" w:lineRule="exact"/>
        <w:jc w:val="center"/>
        <w:outlineLvl w:val="0"/>
        <w:rPr>
          <w:rFonts w:hint="eastAsia" w:ascii="仿宋" w:hAnsi="仿宋" w:eastAsia="仿宋"/>
          <w:b w:val="0"/>
          <w:color w:val="auto"/>
          <w:highlight w:val="none"/>
        </w:rPr>
      </w:pPr>
      <w:bookmarkStart w:id="96" w:name="_Toc15396618"/>
      <w:bookmarkStart w:id="97" w:name="_Toc26642"/>
      <w:r>
        <w:rPr>
          <w:rFonts w:hint="eastAsia" w:ascii="黑体" w:hAnsi="黑体" w:eastAsia="黑体"/>
          <w:color w:val="auto"/>
          <w:sz w:val="44"/>
          <w:szCs w:val="44"/>
          <w:highlight w:val="none"/>
        </w:rPr>
        <w:t>第</w:t>
      </w:r>
      <w:r>
        <w:rPr>
          <w:rStyle w:val="27"/>
          <w:rFonts w:hint="eastAsia" w:ascii="黑体" w:hAnsi="黑体" w:eastAsia="黑体"/>
          <w:b w:val="0"/>
          <w:color w:val="auto"/>
          <w:highlight w:val="none"/>
        </w:rPr>
        <w:t>五部分 附表</w:t>
      </w:r>
      <w:bookmarkEnd w:id="80"/>
      <w:bookmarkEnd w:id="96"/>
      <w:bookmarkEnd w:id="97"/>
      <w:bookmarkStart w:id="98" w:name="_Toc15396619"/>
    </w:p>
    <w:p>
      <w:pPr>
        <w:pStyle w:val="3"/>
        <w:rPr>
          <w:rFonts w:ascii="仿宋" w:hAnsi="仿宋" w:eastAsia="仿宋"/>
          <w:color w:val="auto"/>
          <w:highlight w:val="none"/>
        </w:rPr>
      </w:pPr>
      <w:bookmarkStart w:id="99" w:name="_Toc19568"/>
      <w:r>
        <w:rPr>
          <w:rFonts w:hint="eastAsia" w:ascii="仿宋" w:hAnsi="仿宋" w:eastAsia="仿宋"/>
          <w:b w:val="0"/>
          <w:color w:val="auto"/>
          <w:highlight w:val="none"/>
        </w:rPr>
        <w:t>一、收</w:t>
      </w:r>
      <w:r>
        <w:rPr>
          <w:rStyle w:val="28"/>
          <w:rFonts w:hint="eastAsia" w:ascii="仿宋" w:hAnsi="仿宋" w:eastAsia="仿宋"/>
          <w:b w:val="0"/>
          <w:bCs w:val="0"/>
          <w:color w:val="auto"/>
          <w:highlight w:val="none"/>
        </w:rPr>
        <w:t>入支出决算总表</w:t>
      </w:r>
      <w:bookmarkEnd w:id="98"/>
      <w:bookmarkEnd w:id="99"/>
    </w:p>
    <w:p>
      <w:pPr>
        <w:pStyle w:val="3"/>
        <w:rPr>
          <w:rFonts w:ascii="仿宋" w:hAnsi="仿宋" w:eastAsia="仿宋"/>
          <w:color w:val="auto"/>
          <w:highlight w:val="none"/>
        </w:rPr>
      </w:pPr>
      <w:bookmarkStart w:id="100" w:name="_Toc15396620"/>
      <w:bookmarkStart w:id="101" w:name="_Toc8538"/>
      <w:r>
        <w:rPr>
          <w:rFonts w:hint="eastAsia" w:ascii="仿宋" w:hAnsi="仿宋" w:eastAsia="仿宋"/>
          <w:b w:val="0"/>
          <w:color w:val="auto"/>
          <w:highlight w:val="none"/>
        </w:rPr>
        <w:t>二、收</w:t>
      </w:r>
      <w:r>
        <w:rPr>
          <w:rStyle w:val="28"/>
          <w:rFonts w:hint="eastAsia" w:ascii="仿宋" w:hAnsi="仿宋" w:eastAsia="仿宋"/>
          <w:b w:val="0"/>
          <w:bCs w:val="0"/>
          <w:color w:val="auto"/>
          <w:highlight w:val="none"/>
        </w:rPr>
        <w:t>入决算表</w:t>
      </w:r>
      <w:bookmarkEnd w:id="100"/>
      <w:bookmarkEnd w:id="101"/>
    </w:p>
    <w:p>
      <w:pPr>
        <w:pStyle w:val="3"/>
        <w:rPr>
          <w:rFonts w:ascii="仿宋" w:hAnsi="仿宋" w:eastAsia="仿宋"/>
          <w:color w:val="auto"/>
          <w:highlight w:val="none"/>
        </w:rPr>
      </w:pPr>
      <w:bookmarkStart w:id="102" w:name="_Toc15396621"/>
      <w:bookmarkStart w:id="103" w:name="_Toc28798"/>
      <w:r>
        <w:rPr>
          <w:rStyle w:val="28"/>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8"/>
          <w:rFonts w:hint="eastAsia" w:ascii="仿宋" w:hAnsi="仿宋" w:eastAsia="仿宋"/>
          <w:b w:val="0"/>
          <w:bCs w:val="0"/>
          <w:color w:val="auto"/>
          <w:highlight w:val="none"/>
        </w:rPr>
        <w:t>出决算表</w:t>
      </w:r>
      <w:bookmarkEnd w:id="102"/>
      <w:bookmarkEnd w:id="103"/>
    </w:p>
    <w:p>
      <w:pPr>
        <w:pStyle w:val="3"/>
        <w:rPr>
          <w:rFonts w:ascii="仿宋" w:hAnsi="仿宋" w:eastAsia="仿宋"/>
          <w:b w:val="0"/>
          <w:color w:val="auto"/>
          <w:highlight w:val="none"/>
        </w:rPr>
      </w:pPr>
      <w:bookmarkStart w:id="104" w:name="_Toc15396622"/>
      <w:bookmarkStart w:id="105" w:name="_Toc23962"/>
      <w:r>
        <w:rPr>
          <w:rStyle w:val="28"/>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8"/>
          <w:rFonts w:hint="eastAsia" w:ascii="仿宋" w:hAnsi="仿宋" w:eastAsia="仿宋"/>
          <w:b w:val="0"/>
          <w:bCs w:val="0"/>
          <w:color w:val="auto"/>
          <w:highlight w:val="none"/>
        </w:rPr>
        <w:t>政拨款收入支出决算总表</w:t>
      </w:r>
      <w:bookmarkEnd w:id="104"/>
      <w:bookmarkEnd w:id="105"/>
    </w:p>
    <w:p>
      <w:pPr>
        <w:pStyle w:val="3"/>
        <w:rPr>
          <w:rStyle w:val="28"/>
          <w:rFonts w:ascii="仿宋" w:hAnsi="仿宋" w:eastAsia="仿宋"/>
          <w:b w:val="0"/>
          <w:bCs w:val="0"/>
          <w:color w:val="auto"/>
          <w:highlight w:val="none"/>
        </w:rPr>
      </w:pPr>
      <w:bookmarkStart w:id="106" w:name="_Toc15396623"/>
      <w:bookmarkStart w:id="107" w:name="_Toc31267"/>
      <w:r>
        <w:rPr>
          <w:rStyle w:val="28"/>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8"/>
          <w:rFonts w:hint="eastAsia" w:ascii="仿宋" w:hAnsi="仿宋" w:eastAsia="仿宋"/>
          <w:b w:val="0"/>
          <w:bCs w:val="0"/>
          <w:color w:val="auto"/>
          <w:highlight w:val="none"/>
        </w:rPr>
        <w:t>政拨款支出决算明细表</w:t>
      </w:r>
      <w:bookmarkEnd w:id="106"/>
      <w:bookmarkEnd w:id="107"/>
      <w:bookmarkStart w:id="108" w:name="_Toc15396624"/>
    </w:p>
    <w:p>
      <w:pPr>
        <w:pStyle w:val="3"/>
        <w:rPr>
          <w:rFonts w:ascii="仿宋" w:hAnsi="仿宋" w:eastAsia="仿宋"/>
          <w:color w:val="auto"/>
          <w:highlight w:val="none"/>
        </w:rPr>
      </w:pPr>
      <w:bookmarkStart w:id="109" w:name="_Toc24222"/>
      <w:r>
        <w:rPr>
          <w:rStyle w:val="28"/>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8"/>
          <w:rFonts w:hint="eastAsia" w:ascii="仿宋" w:hAnsi="仿宋" w:eastAsia="仿宋"/>
          <w:b w:val="0"/>
          <w:bCs w:val="0"/>
          <w:color w:val="auto"/>
          <w:highlight w:val="none"/>
        </w:rPr>
        <w:t>般公共预算财政拨款支出决算表</w:t>
      </w:r>
      <w:bookmarkEnd w:id="108"/>
      <w:bookmarkEnd w:id="109"/>
    </w:p>
    <w:p>
      <w:pPr>
        <w:pStyle w:val="3"/>
        <w:rPr>
          <w:rFonts w:ascii="仿宋" w:hAnsi="仿宋" w:eastAsia="仿宋"/>
          <w:color w:val="auto"/>
          <w:highlight w:val="none"/>
        </w:rPr>
      </w:pPr>
      <w:bookmarkStart w:id="110" w:name="_Toc15396625"/>
      <w:bookmarkStart w:id="111" w:name="_Toc4568"/>
      <w:r>
        <w:rPr>
          <w:rStyle w:val="28"/>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8"/>
          <w:rFonts w:hint="eastAsia" w:ascii="仿宋" w:hAnsi="仿宋" w:eastAsia="仿宋"/>
          <w:b w:val="0"/>
          <w:bCs w:val="0"/>
          <w:color w:val="auto"/>
          <w:highlight w:val="none"/>
        </w:rPr>
        <w:t>般公共预算财政拨款支出决算明细表</w:t>
      </w:r>
      <w:bookmarkEnd w:id="110"/>
      <w:bookmarkEnd w:id="111"/>
    </w:p>
    <w:p>
      <w:pPr>
        <w:pStyle w:val="3"/>
        <w:rPr>
          <w:rFonts w:ascii="仿宋" w:hAnsi="仿宋" w:eastAsia="仿宋"/>
          <w:color w:val="auto"/>
          <w:highlight w:val="none"/>
        </w:rPr>
      </w:pPr>
      <w:bookmarkStart w:id="112" w:name="_Toc15396626"/>
      <w:bookmarkStart w:id="113" w:name="_Toc26970"/>
      <w:r>
        <w:rPr>
          <w:rStyle w:val="28"/>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8"/>
          <w:rFonts w:hint="eastAsia" w:ascii="仿宋" w:hAnsi="仿宋" w:eastAsia="仿宋"/>
          <w:b w:val="0"/>
          <w:bCs w:val="0"/>
          <w:color w:val="auto"/>
          <w:highlight w:val="none"/>
        </w:rPr>
        <w:t>般公共预算财政拨款基本支出决算表</w:t>
      </w:r>
      <w:bookmarkEnd w:id="112"/>
      <w:bookmarkEnd w:id="113"/>
    </w:p>
    <w:p>
      <w:pPr>
        <w:pStyle w:val="3"/>
        <w:rPr>
          <w:rFonts w:ascii="仿宋" w:hAnsi="仿宋" w:eastAsia="仿宋"/>
          <w:color w:val="auto"/>
          <w:highlight w:val="none"/>
        </w:rPr>
      </w:pPr>
      <w:bookmarkStart w:id="114" w:name="_Toc15396627"/>
      <w:bookmarkStart w:id="115" w:name="_Toc5558"/>
      <w:r>
        <w:rPr>
          <w:rStyle w:val="28"/>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8"/>
          <w:rFonts w:hint="eastAsia" w:ascii="仿宋" w:hAnsi="仿宋" w:eastAsia="仿宋"/>
          <w:b w:val="0"/>
          <w:bCs w:val="0"/>
          <w:color w:val="auto"/>
          <w:highlight w:val="none"/>
        </w:rPr>
        <w:t>般公共预算财政拨款项目支出决算表</w:t>
      </w:r>
      <w:bookmarkEnd w:id="114"/>
      <w:bookmarkEnd w:id="115"/>
    </w:p>
    <w:p>
      <w:pPr>
        <w:pStyle w:val="3"/>
        <w:rPr>
          <w:rFonts w:ascii="仿宋" w:hAnsi="仿宋" w:eastAsia="仿宋"/>
          <w:color w:val="auto"/>
          <w:highlight w:val="none"/>
        </w:rPr>
      </w:pPr>
      <w:bookmarkStart w:id="116" w:name="_Toc15396628"/>
      <w:bookmarkStart w:id="117" w:name="_Toc9385"/>
      <w:r>
        <w:rPr>
          <w:rStyle w:val="28"/>
          <w:rFonts w:hint="eastAsia" w:ascii="仿宋" w:hAnsi="仿宋" w:eastAsia="仿宋"/>
          <w:b w:val="0"/>
          <w:bCs w:val="0"/>
          <w:color w:val="auto"/>
          <w:highlight w:val="none"/>
        </w:rPr>
        <w:t>十、</w:t>
      </w:r>
      <w:bookmarkEnd w:id="116"/>
      <w:r>
        <w:rPr>
          <w:rFonts w:hint="eastAsia" w:ascii="仿宋" w:hAnsi="仿宋" w:eastAsia="仿宋"/>
          <w:b w:val="0"/>
          <w:color w:val="auto"/>
          <w:highlight w:val="none"/>
        </w:rPr>
        <w:t>政</w:t>
      </w:r>
      <w:r>
        <w:rPr>
          <w:rStyle w:val="28"/>
          <w:rFonts w:hint="eastAsia" w:ascii="仿宋" w:hAnsi="仿宋" w:eastAsia="仿宋"/>
          <w:b w:val="0"/>
          <w:bCs w:val="0"/>
          <w:color w:val="auto"/>
          <w:highlight w:val="none"/>
        </w:rPr>
        <w:t>府性基金预算财政拨款收入支出决算表</w:t>
      </w:r>
      <w:bookmarkEnd w:id="117"/>
    </w:p>
    <w:p>
      <w:pPr>
        <w:pStyle w:val="3"/>
        <w:rPr>
          <w:rFonts w:ascii="仿宋" w:hAnsi="仿宋" w:eastAsia="仿宋"/>
          <w:color w:val="auto"/>
          <w:highlight w:val="none"/>
        </w:rPr>
      </w:pPr>
      <w:bookmarkStart w:id="118" w:name="_Toc15396629"/>
      <w:bookmarkStart w:id="119" w:name="_Toc30126"/>
      <w:r>
        <w:rPr>
          <w:rStyle w:val="28"/>
          <w:rFonts w:hint="eastAsia" w:ascii="仿宋" w:hAnsi="仿宋" w:eastAsia="仿宋"/>
          <w:b w:val="0"/>
          <w:bCs w:val="0"/>
          <w:color w:val="auto"/>
          <w:highlight w:val="none"/>
        </w:rPr>
        <w:t>十一、</w:t>
      </w:r>
      <w:bookmarkEnd w:id="118"/>
      <w:r>
        <w:rPr>
          <w:rFonts w:hint="eastAsia" w:ascii="仿宋" w:hAnsi="仿宋" w:eastAsia="仿宋"/>
          <w:b w:val="0"/>
          <w:color w:val="auto"/>
          <w:highlight w:val="none"/>
        </w:rPr>
        <w:t>国</w:t>
      </w:r>
      <w:r>
        <w:rPr>
          <w:rStyle w:val="28"/>
          <w:rFonts w:hint="eastAsia" w:ascii="仿宋" w:hAnsi="仿宋" w:eastAsia="仿宋"/>
          <w:b w:val="0"/>
          <w:bCs w:val="0"/>
          <w:color w:val="auto"/>
          <w:highlight w:val="none"/>
        </w:rPr>
        <w:t>有资本经营预算</w:t>
      </w:r>
      <w:r>
        <w:rPr>
          <w:rStyle w:val="28"/>
          <w:rFonts w:hint="eastAsia" w:ascii="仿宋" w:hAnsi="仿宋" w:eastAsia="仿宋"/>
          <w:b w:val="0"/>
          <w:bCs w:val="0"/>
          <w:color w:val="auto"/>
          <w:highlight w:val="none"/>
          <w:lang w:eastAsia="zh-CN"/>
        </w:rPr>
        <w:t>财政拨款收入</w:t>
      </w:r>
      <w:r>
        <w:rPr>
          <w:rStyle w:val="28"/>
          <w:rFonts w:hint="eastAsia" w:ascii="仿宋" w:hAnsi="仿宋" w:eastAsia="仿宋"/>
          <w:b w:val="0"/>
          <w:bCs w:val="0"/>
          <w:color w:val="auto"/>
          <w:highlight w:val="none"/>
        </w:rPr>
        <w:t>支出决算表</w:t>
      </w:r>
      <w:bookmarkEnd w:id="119"/>
    </w:p>
    <w:p>
      <w:pPr>
        <w:pStyle w:val="3"/>
        <w:rPr>
          <w:rFonts w:ascii="仿宋" w:hAnsi="仿宋" w:eastAsia="仿宋"/>
          <w:color w:val="auto"/>
          <w:highlight w:val="none"/>
        </w:rPr>
      </w:pPr>
      <w:bookmarkStart w:id="120" w:name="_Toc15396630"/>
      <w:bookmarkStart w:id="121" w:name="_Toc6964"/>
      <w:r>
        <w:rPr>
          <w:rStyle w:val="28"/>
          <w:rFonts w:hint="eastAsia" w:ascii="仿宋" w:hAnsi="仿宋" w:eastAsia="仿宋"/>
          <w:b w:val="0"/>
          <w:bCs w:val="0"/>
          <w:color w:val="auto"/>
          <w:highlight w:val="none"/>
        </w:rPr>
        <w:t>十二、</w:t>
      </w:r>
      <w:bookmarkEnd w:id="120"/>
      <w:r>
        <w:rPr>
          <w:rStyle w:val="28"/>
          <w:rFonts w:hint="eastAsia" w:ascii="仿宋" w:hAnsi="仿宋" w:eastAsia="仿宋"/>
          <w:b w:val="0"/>
          <w:bCs w:val="0"/>
          <w:color w:val="auto"/>
          <w:highlight w:val="none"/>
          <w:lang w:eastAsia="zh-CN"/>
        </w:rPr>
        <w:t>国有资本经营预算财政拨款支出决算表</w:t>
      </w:r>
      <w:bookmarkEnd w:id="121"/>
    </w:p>
    <w:p>
      <w:pPr>
        <w:pStyle w:val="3"/>
        <w:rPr>
          <w:rFonts w:hint="eastAsia" w:eastAsia="仿宋"/>
          <w:color w:val="auto"/>
          <w:highlight w:val="none"/>
          <w:lang w:eastAsia="zh-CN"/>
        </w:rPr>
      </w:pPr>
      <w:bookmarkStart w:id="122" w:name="_Toc15396631"/>
      <w:bookmarkStart w:id="123" w:name="_Toc27222"/>
      <w:r>
        <w:rPr>
          <w:rStyle w:val="28"/>
          <w:rFonts w:hint="eastAsia" w:ascii="仿宋" w:hAnsi="仿宋" w:eastAsia="仿宋"/>
          <w:b w:val="0"/>
          <w:bCs w:val="0"/>
          <w:color w:val="auto"/>
          <w:highlight w:val="none"/>
        </w:rPr>
        <w:t>十三、</w:t>
      </w:r>
      <w:bookmarkEnd w:id="122"/>
      <w:r>
        <w:rPr>
          <w:rStyle w:val="28"/>
          <w:rFonts w:hint="eastAsia" w:ascii="仿宋" w:hAnsi="仿宋" w:eastAsia="仿宋"/>
          <w:b w:val="0"/>
          <w:bCs w:val="0"/>
          <w:color w:val="auto"/>
          <w:highlight w:val="none"/>
          <w:lang w:eastAsia="zh-CN"/>
        </w:rPr>
        <w:t>财政拨款“三公”经费支出决算表</w:t>
      </w:r>
      <w:bookmarkEnd w:id="123"/>
    </w:p>
    <w:sectPr>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楷体简体">
    <w:altName w:val="宋体"/>
    <w:panose1 w:val="02010601030101010101"/>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4781956"/>
                          </w:sdtPr>
                          <w:sdtContent>
                            <w:p>
                              <w:pPr>
                                <w:pStyle w:val="9"/>
                                <w:jc w:val="center"/>
                              </w:pPr>
                              <w:r>
                                <w:fldChar w:fldCharType="begin"/>
                              </w:r>
                              <w:r>
                                <w:instrText xml:space="preserve">PAGE   \* MERGEFORMAT</w:instrText>
                              </w:r>
                              <w:r>
                                <w:fldChar w:fldCharType="separate"/>
                              </w:r>
                              <w:r>
                                <w:rPr>
                                  <w:lang w:val="zh-CN"/>
                                </w:rPr>
                                <w:t>8</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sdt>
                    <w:sdtPr>
                      <w:id w:val="-1994781956"/>
                    </w:sdtPr>
                    <w:sdtContent>
                      <w:p>
                        <w:pPr>
                          <w:pStyle w:val="9"/>
                          <w:jc w:val="center"/>
                        </w:pPr>
                        <w:r>
                          <w:fldChar w:fldCharType="begin"/>
                        </w:r>
                        <w:r>
                          <w:instrText xml:space="preserve">PAGE   \* MERGEFORMAT</w:instrText>
                        </w:r>
                        <w:r>
                          <w:fldChar w:fldCharType="separate"/>
                        </w:r>
                        <w:r>
                          <w:rPr>
                            <w:lang w:val="zh-CN"/>
                          </w:rPr>
                          <w:t>8</w:t>
                        </w:r>
                        <w:r>
                          <w:fldChar w:fldCharType="end"/>
                        </w:r>
                      </w:p>
                    </w:sdtContent>
                  </w:sdt>
                  <w:p/>
                </w:txbxContent>
              </v:textbox>
            </v:shape>
          </w:pict>
        </mc:Fallback>
      </mc:AlternateContent>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080A49"/>
    <w:multiLevelType w:val="singleLevel"/>
    <w:tmpl w:val="B6080A49"/>
    <w:lvl w:ilvl="0" w:tentative="0">
      <w:start w:val="2"/>
      <w:numFmt w:val="chineseCounting"/>
      <w:suff w:val="nothing"/>
      <w:lvlText w:val="（%1）"/>
      <w:lvlJc w:val="left"/>
      <w:rPr>
        <w:rFonts w:hint="eastAsia"/>
        <w:b/>
        <w:bCs/>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DEBEF323"/>
    <w:multiLevelType w:val="singleLevel"/>
    <w:tmpl w:val="DEBEF323"/>
    <w:lvl w:ilvl="0" w:tentative="0">
      <w:start w:val="4"/>
      <w:numFmt w:val="chineseCounting"/>
      <w:suff w:val="nothing"/>
      <w:lvlText w:val="（%1）"/>
      <w:lvlJc w:val="left"/>
      <w:rPr>
        <w:rFonts w:hint="eastAsia"/>
      </w:rPr>
    </w:lvl>
  </w:abstractNum>
  <w:abstractNum w:abstractNumId="3">
    <w:nsid w:val="E2FA047D"/>
    <w:multiLevelType w:val="singleLevel"/>
    <w:tmpl w:val="E2FA047D"/>
    <w:lvl w:ilvl="0" w:tentative="0">
      <w:start w:val="3"/>
      <w:numFmt w:val="chineseCounting"/>
      <w:suff w:val="space"/>
      <w:lvlText w:val="第%1部分"/>
      <w:lvlJc w:val="left"/>
      <w:rPr>
        <w:rFonts w:hint="eastAsia"/>
      </w:rPr>
    </w:lvl>
  </w:abstractNum>
  <w:abstractNum w:abstractNumId="4">
    <w:nsid w:val="F0FF82AE"/>
    <w:multiLevelType w:val="singleLevel"/>
    <w:tmpl w:val="F0FF82AE"/>
    <w:lvl w:ilvl="0" w:tentative="0">
      <w:start w:val="2"/>
      <w:numFmt w:val="decimal"/>
      <w:suff w:val="nothing"/>
      <w:lvlText w:val="%1．"/>
      <w:lvlJc w:val="left"/>
    </w:lvl>
  </w:abstractNum>
  <w:abstractNum w:abstractNumId="5">
    <w:nsid w:val="F2F302B9"/>
    <w:multiLevelType w:val="singleLevel"/>
    <w:tmpl w:val="F2F302B9"/>
    <w:lvl w:ilvl="0" w:tentative="0">
      <w:start w:val="1"/>
      <w:numFmt w:val="chineseCounting"/>
      <w:suff w:val="nothing"/>
      <w:lvlText w:val="%1、"/>
      <w:lvlJc w:val="left"/>
      <w:rPr>
        <w:rFonts w:hint="eastAsia"/>
      </w:rPr>
    </w:lvl>
  </w:abstractNum>
  <w:abstractNum w:abstractNumId="6">
    <w:nsid w:val="FFF674BC"/>
    <w:multiLevelType w:val="singleLevel"/>
    <w:tmpl w:val="FFF674BC"/>
    <w:lvl w:ilvl="0" w:tentative="0">
      <w:start w:val="1"/>
      <w:numFmt w:val="chineseCounting"/>
      <w:suff w:val="nothing"/>
      <w:lvlText w:val="%1、"/>
      <w:lvlJc w:val="left"/>
      <w:rPr>
        <w:rFonts w:hint="eastAsia"/>
      </w:rPr>
    </w:lvl>
  </w:abstractNum>
  <w:abstractNum w:abstractNumId="7">
    <w:nsid w:val="10D3CCE8"/>
    <w:multiLevelType w:val="singleLevel"/>
    <w:tmpl w:val="10D3CCE8"/>
    <w:lvl w:ilvl="0" w:tentative="0">
      <w:start w:val="1"/>
      <w:numFmt w:val="chineseCounting"/>
      <w:suff w:val="nothing"/>
      <w:lvlText w:val="（%1）"/>
      <w:lvlJc w:val="left"/>
      <w:rPr>
        <w:rFonts w:hint="eastAsia"/>
      </w:rPr>
    </w:lvl>
  </w:abstractNum>
  <w:abstractNum w:abstractNumId="8">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9">
    <w:nsid w:val="26FA8779"/>
    <w:multiLevelType w:val="singleLevel"/>
    <w:tmpl w:val="26FA8779"/>
    <w:lvl w:ilvl="0" w:tentative="0">
      <w:start w:val="2"/>
      <w:numFmt w:val="chineseCounting"/>
      <w:suff w:val="nothing"/>
      <w:lvlText w:val="（%1）"/>
      <w:lvlJc w:val="left"/>
      <w:rPr>
        <w:rFonts w:hint="eastAsia"/>
      </w:rPr>
    </w:lvl>
  </w:abstractNum>
  <w:abstractNum w:abstractNumId="10">
    <w:nsid w:val="3067F12D"/>
    <w:multiLevelType w:val="singleLevel"/>
    <w:tmpl w:val="3067F12D"/>
    <w:lvl w:ilvl="0" w:tentative="0">
      <w:start w:val="2"/>
      <w:numFmt w:val="chineseCounting"/>
      <w:suff w:val="nothing"/>
      <w:lvlText w:val="（%1）"/>
      <w:lvlJc w:val="left"/>
      <w:rPr>
        <w:rFonts w:hint="eastAsia"/>
      </w:rPr>
    </w:lvl>
  </w:abstractNum>
  <w:num w:numId="1">
    <w:abstractNumId w:val="5"/>
  </w:num>
  <w:num w:numId="2">
    <w:abstractNumId w:val="8"/>
  </w:num>
  <w:num w:numId="3">
    <w:abstractNumId w:val="1"/>
  </w:num>
  <w:num w:numId="4">
    <w:abstractNumId w:val="3"/>
  </w:num>
  <w:num w:numId="5">
    <w:abstractNumId w:val="6"/>
  </w:num>
  <w:num w:numId="6">
    <w:abstractNumId w:val="7"/>
  </w:num>
  <w:num w:numId="7">
    <w:abstractNumId w:val="2"/>
  </w:num>
  <w:num w:numId="8">
    <w:abstractNumId w:val="10"/>
  </w:num>
  <w:num w:numId="9">
    <w:abstractNumId w:val="4"/>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zOTJlMTJjZTQ0ODNmMTdkYmI0ZTdlMDNhOWNmNDcifQ=="/>
  </w:docVars>
  <w:rsids>
    <w:rsidRoot w:val="00F1361C"/>
    <w:rsid w:val="000222C6"/>
    <w:rsid w:val="0002549F"/>
    <w:rsid w:val="0002561E"/>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773F4"/>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7F6C6F"/>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B5A1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B7E60"/>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759EB"/>
    <w:rsid w:val="00F81FD9"/>
    <w:rsid w:val="00F841AA"/>
    <w:rsid w:val="00F84A94"/>
    <w:rsid w:val="00F87E96"/>
    <w:rsid w:val="00FA23E8"/>
    <w:rsid w:val="00FD3CC1"/>
    <w:rsid w:val="00FF1E02"/>
    <w:rsid w:val="00FF30B4"/>
    <w:rsid w:val="0100390C"/>
    <w:rsid w:val="015975B8"/>
    <w:rsid w:val="018207C5"/>
    <w:rsid w:val="01A249C3"/>
    <w:rsid w:val="01FB0577"/>
    <w:rsid w:val="02117D9A"/>
    <w:rsid w:val="02143E91"/>
    <w:rsid w:val="02704AC1"/>
    <w:rsid w:val="02FC45A7"/>
    <w:rsid w:val="03190CB5"/>
    <w:rsid w:val="03455F4E"/>
    <w:rsid w:val="039667A9"/>
    <w:rsid w:val="04B36EE7"/>
    <w:rsid w:val="04F512AE"/>
    <w:rsid w:val="04FC6AE0"/>
    <w:rsid w:val="05241B93"/>
    <w:rsid w:val="05242382"/>
    <w:rsid w:val="05597A8E"/>
    <w:rsid w:val="056337B3"/>
    <w:rsid w:val="05C23886"/>
    <w:rsid w:val="066E0107"/>
    <w:rsid w:val="06932D0E"/>
    <w:rsid w:val="076F3599"/>
    <w:rsid w:val="078D1C71"/>
    <w:rsid w:val="0797489E"/>
    <w:rsid w:val="07996F6E"/>
    <w:rsid w:val="07B92A66"/>
    <w:rsid w:val="07F27D26"/>
    <w:rsid w:val="07F85586"/>
    <w:rsid w:val="087D3A94"/>
    <w:rsid w:val="089A0A5C"/>
    <w:rsid w:val="08C97472"/>
    <w:rsid w:val="09BA4874"/>
    <w:rsid w:val="0A2032A3"/>
    <w:rsid w:val="0A261F09"/>
    <w:rsid w:val="0A3B3C06"/>
    <w:rsid w:val="0A6A629A"/>
    <w:rsid w:val="0AD656DD"/>
    <w:rsid w:val="0B1C57E6"/>
    <w:rsid w:val="0B5E54A2"/>
    <w:rsid w:val="0B7F5D75"/>
    <w:rsid w:val="0B867103"/>
    <w:rsid w:val="0C0C12FB"/>
    <w:rsid w:val="0C2D57D1"/>
    <w:rsid w:val="0C6311F3"/>
    <w:rsid w:val="0CAC0DEC"/>
    <w:rsid w:val="0CAE6912"/>
    <w:rsid w:val="0D110C4F"/>
    <w:rsid w:val="0D7C256C"/>
    <w:rsid w:val="0D927FE1"/>
    <w:rsid w:val="0D95362E"/>
    <w:rsid w:val="0DE16873"/>
    <w:rsid w:val="0E1529C0"/>
    <w:rsid w:val="0E2826F4"/>
    <w:rsid w:val="0E7B0A75"/>
    <w:rsid w:val="0E9953A0"/>
    <w:rsid w:val="0EAC50D3"/>
    <w:rsid w:val="0F1D1B2D"/>
    <w:rsid w:val="0F98263C"/>
    <w:rsid w:val="0FE268D2"/>
    <w:rsid w:val="10044A9B"/>
    <w:rsid w:val="101860EC"/>
    <w:rsid w:val="104355C3"/>
    <w:rsid w:val="106F63B8"/>
    <w:rsid w:val="108856CC"/>
    <w:rsid w:val="10C055FF"/>
    <w:rsid w:val="10F16DCD"/>
    <w:rsid w:val="11365128"/>
    <w:rsid w:val="118107EC"/>
    <w:rsid w:val="11A13318"/>
    <w:rsid w:val="11D02E86"/>
    <w:rsid w:val="121D3BF2"/>
    <w:rsid w:val="121F3E0E"/>
    <w:rsid w:val="12350BBF"/>
    <w:rsid w:val="12606625"/>
    <w:rsid w:val="127E0B34"/>
    <w:rsid w:val="12BE53D5"/>
    <w:rsid w:val="12C329EB"/>
    <w:rsid w:val="13076D7C"/>
    <w:rsid w:val="130C4392"/>
    <w:rsid w:val="13A97E33"/>
    <w:rsid w:val="13D36C5E"/>
    <w:rsid w:val="13D50BC4"/>
    <w:rsid w:val="13EE1CEA"/>
    <w:rsid w:val="14DF4838"/>
    <w:rsid w:val="157E0E4B"/>
    <w:rsid w:val="157E709D"/>
    <w:rsid w:val="1686445B"/>
    <w:rsid w:val="16BB723D"/>
    <w:rsid w:val="17681DB3"/>
    <w:rsid w:val="177B3894"/>
    <w:rsid w:val="18187335"/>
    <w:rsid w:val="1844012A"/>
    <w:rsid w:val="188D1AD1"/>
    <w:rsid w:val="18DA0A8E"/>
    <w:rsid w:val="199C5D44"/>
    <w:rsid w:val="19CC487B"/>
    <w:rsid w:val="1A2B77F4"/>
    <w:rsid w:val="1A3D12D5"/>
    <w:rsid w:val="1A78055F"/>
    <w:rsid w:val="1A845156"/>
    <w:rsid w:val="1A8B64E4"/>
    <w:rsid w:val="1A9A04D5"/>
    <w:rsid w:val="1B065B6B"/>
    <w:rsid w:val="1BE22134"/>
    <w:rsid w:val="1BE8440E"/>
    <w:rsid w:val="1BF9747E"/>
    <w:rsid w:val="1C4E5A1B"/>
    <w:rsid w:val="1C6012AB"/>
    <w:rsid w:val="1C654B13"/>
    <w:rsid w:val="1CEB326A"/>
    <w:rsid w:val="1D155CEE"/>
    <w:rsid w:val="1D230C56"/>
    <w:rsid w:val="1D8F1E47"/>
    <w:rsid w:val="1DA33B45"/>
    <w:rsid w:val="1DB16262"/>
    <w:rsid w:val="1DCC309C"/>
    <w:rsid w:val="1E0D5462"/>
    <w:rsid w:val="1E401394"/>
    <w:rsid w:val="1EED151B"/>
    <w:rsid w:val="1EFA3C38"/>
    <w:rsid w:val="1EFF2FFD"/>
    <w:rsid w:val="1F071EB1"/>
    <w:rsid w:val="1F2111C5"/>
    <w:rsid w:val="1F745799"/>
    <w:rsid w:val="1FB65DB1"/>
    <w:rsid w:val="1FC14756"/>
    <w:rsid w:val="1FF35744"/>
    <w:rsid w:val="20020FF7"/>
    <w:rsid w:val="20A51982"/>
    <w:rsid w:val="20A976C4"/>
    <w:rsid w:val="20CF69FF"/>
    <w:rsid w:val="21025026"/>
    <w:rsid w:val="21130FE1"/>
    <w:rsid w:val="21837F15"/>
    <w:rsid w:val="222039B6"/>
    <w:rsid w:val="2221328A"/>
    <w:rsid w:val="223631D9"/>
    <w:rsid w:val="23130E25"/>
    <w:rsid w:val="23243032"/>
    <w:rsid w:val="23860B96"/>
    <w:rsid w:val="23865A9B"/>
    <w:rsid w:val="23AD1279"/>
    <w:rsid w:val="240371BF"/>
    <w:rsid w:val="241906BD"/>
    <w:rsid w:val="24286B52"/>
    <w:rsid w:val="246C2EE2"/>
    <w:rsid w:val="2483647E"/>
    <w:rsid w:val="252C4420"/>
    <w:rsid w:val="25585215"/>
    <w:rsid w:val="25836610"/>
    <w:rsid w:val="26655E3B"/>
    <w:rsid w:val="26D20F15"/>
    <w:rsid w:val="273677D8"/>
    <w:rsid w:val="273F48DE"/>
    <w:rsid w:val="27741C91"/>
    <w:rsid w:val="286839C1"/>
    <w:rsid w:val="289724F8"/>
    <w:rsid w:val="289C366A"/>
    <w:rsid w:val="291E0523"/>
    <w:rsid w:val="296A3769"/>
    <w:rsid w:val="296F0D7F"/>
    <w:rsid w:val="29A22F02"/>
    <w:rsid w:val="29A70519"/>
    <w:rsid w:val="29B91F93"/>
    <w:rsid w:val="29C235A5"/>
    <w:rsid w:val="29D07A70"/>
    <w:rsid w:val="29EB48A9"/>
    <w:rsid w:val="29FD04D3"/>
    <w:rsid w:val="29FF65A7"/>
    <w:rsid w:val="2A473AAA"/>
    <w:rsid w:val="2A77613D"/>
    <w:rsid w:val="2BBA09D7"/>
    <w:rsid w:val="2BFF63EA"/>
    <w:rsid w:val="2C1520B2"/>
    <w:rsid w:val="2C8A61B5"/>
    <w:rsid w:val="2CF03F85"/>
    <w:rsid w:val="2CF75313"/>
    <w:rsid w:val="2D102879"/>
    <w:rsid w:val="2D2D342B"/>
    <w:rsid w:val="2DF04E50"/>
    <w:rsid w:val="2DF857E7"/>
    <w:rsid w:val="2F040D46"/>
    <w:rsid w:val="2F7013AD"/>
    <w:rsid w:val="31684A32"/>
    <w:rsid w:val="319F7F4E"/>
    <w:rsid w:val="31A16155"/>
    <w:rsid w:val="31AD68E8"/>
    <w:rsid w:val="320F75A3"/>
    <w:rsid w:val="324E3C27"/>
    <w:rsid w:val="3304709D"/>
    <w:rsid w:val="3364747B"/>
    <w:rsid w:val="339715FE"/>
    <w:rsid w:val="33D97E69"/>
    <w:rsid w:val="33F141E5"/>
    <w:rsid w:val="33FE167D"/>
    <w:rsid w:val="33FE4808"/>
    <w:rsid w:val="34367069"/>
    <w:rsid w:val="348E2A01"/>
    <w:rsid w:val="34A11EC2"/>
    <w:rsid w:val="34BD5094"/>
    <w:rsid w:val="350727B3"/>
    <w:rsid w:val="353F3CFB"/>
    <w:rsid w:val="35E14DB3"/>
    <w:rsid w:val="36730100"/>
    <w:rsid w:val="36AA5135"/>
    <w:rsid w:val="376D39B2"/>
    <w:rsid w:val="37757EA8"/>
    <w:rsid w:val="37C31F61"/>
    <w:rsid w:val="37E16F03"/>
    <w:rsid w:val="37FF59C4"/>
    <w:rsid w:val="38066D52"/>
    <w:rsid w:val="387D5266"/>
    <w:rsid w:val="3894610C"/>
    <w:rsid w:val="38D469F0"/>
    <w:rsid w:val="39290F4A"/>
    <w:rsid w:val="39730417"/>
    <w:rsid w:val="39822409"/>
    <w:rsid w:val="39A131D7"/>
    <w:rsid w:val="3A105C66"/>
    <w:rsid w:val="3A1219DE"/>
    <w:rsid w:val="3A241712"/>
    <w:rsid w:val="3A39340F"/>
    <w:rsid w:val="3A8A1F72"/>
    <w:rsid w:val="3AB72586"/>
    <w:rsid w:val="3B27770B"/>
    <w:rsid w:val="3B3360B0"/>
    <w:rsid w:val="3B424545"/>
    <w:rsid w:val="3B8B0D18"/>
    <w:rsid w:val="3BA7203F"/>
    <w:rsid w:val="3BD17677"/>
    <w:rsid w:val="3BFC46F4"/>
    <w:rsid w:val="3C067321"/>
    <w:rsid w:val="3C300842"/>
    <w:rsid w:val="3C7F70D3"/>
    <w:rsid w:val="3C8A1D00"/>
    <w:rsid w:val="3CBD0327"/>
    <w:rsid w:val="3D0D46DF"/>
    <w:rsid w:val="3D874491"/>
    <w:rsid w:val="3D98207C"/>
    <w:rsid w:val="3DA52B6A"/>
    <w:rsid w:val="3E2E2B5F"/>
    <w:rsid w:val="3E78745D"/>
    <w:rsid w:val="3EE85404"/>
    <w:rsid w:val="3F0044FB"/>
    <w:rsid w:val="3F43088C"/>
    <w:rsid w:val="3F5B5BD6"/>
    <w:rsid w:val="3F696545"/>
    <w:rsid w:val="3FD40F4B"/>
    <w:rsid w:val="3FFF47B3"/>
    <w:rsid w:val="403E177F"/>
    <w:rsid w:val="405D772B"/>
    <w:rsid w:val="40721429"/>
    <w:rsid w:val="408A49C4"/>
    <w:rsid w:val="409A0980"/>
    <w:rsid w:val="41652D3C"/>
    <w:rsid w:val="41BD2B78"/>
    <w:rsid w:val="41CC4B69"/>
    <w:rsid w:val="41F63994"/>
    <w:rsid w:val="41FF1EED"/>
    <w:rsid w:val="421B789E"/>
    <w:rsid w:val="42B44B9E"/>
    <w:rsid w:val="42CF2B62"/>
    <w:rsid w:val="42D737C5"/>
    <w:rsid w:val="430F11B1"/>
    <w:rsid w:val="4374370A"/>
    <w:rsid w:val="440F51E1"/>
    <w:rsid w:val="4436276D"/>
    <w:rsid w:val="444255B6"/>
    <w:rsid w:val="44BE2E8F"/>
    <w:rsid w:val="44E268DA"/>
    <w:rsid w:val="451E1B7F"/>
    <w:rsid w:val="451E56DB"/>
    <w:rsid w:val="45806396"/>
    <w:rsid w:val="45912351"/>
    <w:rsid w:val="459E4A6E"/>
    <w:rsid w:val="45E701C3"/>
    <w:rsid w:val="460A3EB2"/>
    <w:rsid w:val="4688639A"/>
    <w:rsid w:val="4698770F"/>
    <w:rsid w:val="46A95479"/>
    <w:rsid w:val="46E2098A"/>
    <w:rsid w:val="47501D98"/>
    <w:rsid w:val="47D12ED9"/>
    <w:rsid w:val="47F210A1"/>
    <w:rsid w:val="4812529F"/>
    <w:rsid w:val="48847F4B"/>
    <w:rsid w:val="48B30830"/>
    <w:rsid w:val="48BC5937"/>
    <w:rsid w:val="48C42A3E"/>
    <w:rsid w:val="494B6CBB"/>
    <w:rsid w:val="495C67D2"/>
    <w:rsid w:val="497A75A0"/>
    <w:rsid w:val="49900B72"/>
    <w:rsid w:val="49A60395"/>
    <w:rsid w:val="49B93C25"/>
    <w:rsid w:val="4A2409E6"/>
    <w:rsid w:val="4A3E05CE"/>
    <w:rsid w:val="4A4756D4"/>
    <w:rsid w:val="4A627F82"/>
    <w:rsid w:val="4A7A18F2"/>
    <w:rsid w:val="4A8E50B1"/>
    <w:rsid w:val="4A9621B8"/>
    <w:rsid w:val="4AB663B6"/>
    <w:rsid w:val="4ABB1C1E"/>
    <w:rsid w:val="4B0E749A"/>
    <w:rsid w:val="4B447E66"/>
    <w:rsid w:val="4B4F25DA"/>
    <w:rsid w:val="4B5160DF"/>
    <w:rsid w:val="4B9A7A86"/>
    <w:rsid w:val="4B9F509C"/>
    <w:rsid w:val="4BB750D4"/>
    <w:rsid w:val="4BE068DB"/>
    <w:rsid w:val="4C1A4723"/>
    <w:rsid w:val="4C207F8B"/>
    <w:rsid w:val="4C2D08FA"/>
    <w:rsid w:val="4C2D26A8"/>
    <w:rsid w:val="4C883D82"/>
    <w:rsid w:val="4CBA03DF"/>
    <w:rsid w:val="4D111FCA"/>
    <w:rsid w:val="4D577224"/>
    <w:rsid w:val="4D5C3245"/>
    <w:rsid w:val="4D6D5452"/>
    <w:rsid w:val="4DB940B2"/>
    <w:rsid w:val="4E21623C"/>
    <w:rsid w:val="4E25355A"/>
    <w:rsid w:val="4E487C6D"/>
    <w:rsid w:val="4E547486"/>
    <w:rsid w:val="4E992277"/>
    <w:rsid w:val="4EAB630A"/>
    <w:rsid w:val="4ECE2238"/>
    <w:rsid w:val="4F691C49"/>
    <w:rsid w:val="4F774384"/>
    <w:rsid w:val="4F9C201E"/>
    <w:rsid w:val="501716A5"/>
    <w:rsid w:val="50615016"/>
    <w:rsid w:val="50DB6B76"/>
    <w:rsid w:val="50FD6AED"/>
    <w:rsid w:val="5201260D"/>
    <w:rsid w:val="523D116B"/>
    <w:rsid w:val="524D5852"/>
    <w:rsid w:val="526A01B2"/>
    <w:rsid w:val="526F57C8"/>
    <w:rsid w:val="52B0193D"/>
    <w:rsid w:val="53081779"/>
    <w:rsid w:val="53503D5C"/>
    <w:rsid w:val="537A08C9"/>
    <w:rsid w:val="537E6D0A"/>
    <w:rsid w:val="539354E6"/>
    <w:rsid w:val="544113E6"/>
    <w:rsid w:val="54501031"/>
    <w:rsid w:val="546000A4"/>
    <w:rsid w:val="54612935"/>
    <w:rsid w:val="54755CE7"/>
    <w:rsid w:val="54947768"/>
    <w:rsid w:val="54E104D3"/>
    <w:rsid w:val="55273856"/>
    <w:rsid w:val="55911EF9"/>
    <w:rsid w:val="5673166F"/>
    <w:rsid w:val="56E85B49"/>
    <w:rsid w:val="56FB3ACE"/>
    <w:rsid w:val="576C677A"/>
    <w:rsid w:val="57F64296"/>
    <w:rsid w:val="585316E8"/>
    <w:rsid w:val="587D0513"/>
    <w:rsid w:val="59036C6A"/>
    <w:rsid w:val="59DF45AE"/>
    <w:rsid w:val="59EF5441"/>
    <w:rsid w:val="5A117165"/>
    <w:rsid w:val="5A6220B6"/>
    <w:rsid w:val="5AF92295"/>
    <w:rsid w:val="5B5A2D8E"/>
    <w:rsid w:val="5B631C42"/>
    <w:rsid w:val="5B773940"/>
    <w:rsid w:val="5B81656C"/>
    <w:rsid w:val="5C7F2AAC"/>
    <w:rsid w:val="5C9127DF"/>
    <w:rsid w:val="5CD71FC4"/>
    <w:rsid w:val="5DAD7A63"/>
    <w:rsid w:val="5DC50992"/>
    <w:rsid w:val="5DCF35BF"/>
    <w:rsid w:val="5DDC3F2E"/>
    <w:rsid w:val="5E082F75"/>
    <w:rsid w:val="5EB50A07"/>
    <w:rsid w:val="5EF05EE3"/>
    <w:rsid w:val="5F1D65AC"/>
    <w:rsid w:val="5F5E109E"/>
    <w:rsid w:val="5FEC48FC"/>
    <w:rsid w:val="5FF6457D"/>
    <w:rsid w:val="5FFE018B"/>
    <w:rsid w:val="600F05EB"/>
    <w:rsid w:val="60805044"/>
    <w:rsid w:val="60FF065F"/>
    <w:rsid w:val="6155202D"/>
    <w:rsid w:val="61695AD8"/>
    <w:rsid w:val="616D381B"/>
    <w:rsid w:val="61DF3FED"/>
    <w:rsid w:val="62EF025F"/>
    <w:rsid w:val="636C18B0"/>
    <w:rsid w:val="63911317"/>
    <w:rsid w:val="63FE4BFE"/>
    <w:rsid w:val="64542A70"/>
    <w:rsid w:val="64A05CB5"/>
    <w:rsid w:val="64A5151D"/>
    <w:rsid w:val="64EF2799"/>
    <w:rsid w:val="65A73073"/>
    <w:rsid w:val="660404C6"/>
    <w:rsid w:val="66081D64"/>
    <w:rsid w:val="6612673F"/>
    <w:rsid w:val="662841B4"/>
    <w:rsid w:val="66C67529"/>
    <w:rsid w:val="66E75E1D"/>
    <w:rsid w:val="670F7122"/>
    <w:rsid w:val="6848469A"/>
    <w:rsid w:val="687E630D"/>
    <w:rsid w:val="68815DFE"/>
    <w:rsid w:val="69020CEC"/>
    <w:rsid w:val="692C5D69"/>
    <w:rsid w:val="69DB153D"/>
    <w:rsid w:val="69E46644"/>
    <w:rsid w:val="69F06D97"/>
    <w:rsid w:val="6A184540"/>
    <w:rsid w:val="6A1D1B56"/>
    <w:rsid w:val="6A8D2838"/>
    <w:rsid w:val="6AA63F92"/>
    <w:rsid w:val="6AD22940"/>
    <w:rsid w:val="6AF723A7"/>
    <w:rsid w:val="6B785296"/>
    <w:rsid w:val="6C3118E9"/>
    <w:rsid w:val="6C4A05C8"/>
    <w:rsid w:val="6C8E2897"/>
    <w:rsid w:val="6CD96208"/>
    <w:rsid w:val="6D0D7C60"/>
    <w:rsid w:val="6D266F73"/>
    <w:rsid w:val="6D413DAD"/>
    <w:rsid w:val="6D4573FA"/>
    <w:rsid w:val="6D673814"/>
    <w:rsid w:val="6D7E0B5E"/>
    <w:rsid w:val="6D8A7502"/>
    <w:rsid w:val="6E5F44EB"/>
    <w:rsid w:val="6E623FDB"/>
    <w:rsid w:val="6E7E3605"/>
    <w:rsid w:val="6E9D3265"/>
    <w:rsid w:val="6EB56801"/>
    <w:rsid w:val="6F806E0F"/>
    <w:rsid w:val="6F9603E0"/>
    <w:rsid w:val="6FF5CC65"/>
    <w:rsid w:val="703F45D4"/>
    <w:rsid w:val="70741DA4"/>
    <w:rsid w:val="70B86135"/>
    <w:rsid w:val="711A6DEF"/>
    <w:rsid w:val="715C0E4B"/>
    <w:rsid w:val="71600CA6"/>
    <w:rsid w:val="717464FF"/>
    <w:rsid w:val="71950224"/>
    <w:rsid w:val="71CA25C3"/>
    <w:rsid w:val="71F47640"/>
    <w:rsid w:val="720A0C12"/>
    <w:rsid w:val="72734D90"/>
    <w:rsid w:val="727662A7"/>
    <w:rsid w:val="731C41B1"/>
    <w:rsid w:val="7363682B"/>
    <w:rsid w:val="73691968"/>
    <w:rsid w:val="7395275D"/>
    <w:rsid w:val="73AD73D5"/>
    <w:rsid w:val="73B6EB34"/>
    <w:rsid w:val="744731E5"/>
    <w:rsid w:val="7447614D"/>
    <w:rsid w:val="748719CF"/>
    <w:rsid w:val="749649DF"/>
    <w:rsid w:val="74C72DEA"/>
    <w:rsid w:val="74DD43BC"/>
    <w:rsid w:val="74F02341"/>
    <w:rsid w:val="75864A53"/>
    <w:rsid w:val="75C45096"/>
    <w:rsid w:val="76592168"/>
    <w:rsid w:val="76944F4E"/>
    <w:rsid w:val="76C770D1"/>
    <w:rsid w:val="76E3355F"/>
    <w:rsid w:val="773A5AF5"/>
    <w:rsid w:val="77782277"/>
    <w:rsid w:val="777A2396"/>
    <w:rsid w:val="778769C8"/>
    <w:rsid w:val="78782D79"/>
    <w:rsid w:val="78C87131"/>
    <w:rsid w:val="79132AA2"/>
    <w:rsid w:val="792151BF"/>
    <w:rsid w:val="79DC7338"/>
    <w:rsid w:val="79EE5BA4"/>
    <w:rsid w:val="79F0693F"/>
    <w:rsid w:val="7A04063C"/>
    <w:rsid w:val="7A894339"/>
    <w:rsid w:val="7ADD5115"/>
    <w:rsid w:val="7AE2272C"/>
    <w:rsid w:val="7B5D37BF"/>
    <w:rsid w:val="7B7F441F"/>
    <w:rsid w:val="7B8C6B3B"/>
    <w:rsid w:val="7BA45C33"/>
    <w:rsid w:val="7C751C73"/>
    <w:rsid w:val="7C7C270C"/>
    <w:rsid w:val="7CA12173"/>
    <w:rsid w:val="7D254B52"/>
    <w:rsid w:val="7E6B0C8A"/>
    <w:rsid w:val="7E9F0934"/>
    <w:rsid w:val="7EEF11D3"/>
    <w:rsid w:val="7F25708B"/>
    <w:rsid w:val="7F853FCE"/>
    <w:rsid w:val="7FA30C79"/>
    <w:rsid w:val="7FAC155A"/>
    <w:rsid w:val="7FB7269E"/>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5">
    <w:name w:val="Default Paragraph Font"/>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1"/>
    <w:link w:val="24"/>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0"/>
    <w:semiHidden/>
    <w:unhideWhenUsed/>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Body Text First Indent 2"/>
    <w:basedOn w:val="6"/>
    <w:next w:val="1"/>
    <w:unhideWhenUsed/>
    <w:qFormat/>
    <w:uiPriority w:val="99"/>
    <w:pPr>
      <w:ind w:firstLine="420" w:firstLine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paragraph" w:customStyle="1" w:styleId="18">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19">
    <w:name w:val="Header Char"/>
    <w:basedOn w:val="15"/>
    <w:semiHidden/>
    <w:qFormat/>
    <w:uiPriority w:val="99"/>
    <w:rPr>
      <w:rFonts w:ascii="Times New Roman" w:hAnsi="Times New Roman"/>
      <w:sz w:val="18"/>
      <w:szCs w:val="18"/>
    </w:rPr>
  </w:style>
  <w:style w:type="character" w:customStyle="1" w:styleId="20">
    <w:name w:val="页眉 Char"/>
    <w:link w:val="10"/>
    <w:semiHidden/>
    <w:qFormat/>
    <w:locked/>
    <w:uiPriority w:val="99"/>
    <w:rPr>
      <w:sz w:val="18"/>
    </w:rPr>
  </w:style>
  <w:style w:type="character" w:customStyle="1" w:styleId="21">
    <w:name w:val="Footer Char"/>
    <w:basedOn w:val="15"/>
    <w:semiHidden/>
    <w:qFormat/>
    <w:uiPriority w:val="99"/>
    <w:rPr>
      <w:rFonts w:ascii="Times New Roman" w:hAnsi="Times New Roman"/>
      <w:sz w:val="18"/>
      <w:szCs w:val="18"/>
    </w:rPr>
  </w:style>
  <w:style w:type="character" w:customStyle="1" w:styleId="22">
    <w:name w:val="页脚 Char"/>
    <w:link w:val="9"/>
    <w:qFormat/>
    <w:locked/>
    <w:uiPriority w:val="99"/>
    <w:rPr>
      <w:sz w:val="18"/>
    </w:rPr>
  </w:style>
  <w:style w:type="character" w:customStyle="1" w:styleId="23">
    <w:name w:val="Body Text Char"/>
    <w:basedOn w:val="15"/>
    <w:semiHidden/>
    <w:qFormat/>
    <w:uiPriority w:val="99"/>
    <w:rPr>
      <w:rFonts w:ascii="Times New Roman" w:hAnsi="Times New Roman"/>
      <w:szCs w:val="24"/>
    </w:rPr>
  </w:style>
  <w:style w:type="character" w:customStyle="1" w:styleId="24">
    <w:name w:val="正文文本 Char"/>
    <w:link w:val="5"/>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Char"/>
    <w:basedOn w:val="15"/>
    <w:link w:val="2"/>
    <w:qFormat/>
    <w:uiPriority w:val="9"/>
    <w:rPr>
      <w:rFonts w:ascii="Times New Roman" w:hAnsi="Times New Roman"/>
      <w:b/>
      <w:bCs/>
      <w:kern w:val="44"/>
      <w:sz w:val="44"/>
      <w:szCs w:val="44"/>
    </w:rPr>
  </w:style>
  <w:style w:type="character" w:customStyle="1" w:styleId="28">
    <w:name w:val="标题 2 Char"/>
    <w:basedOn w:val="15"/>
    <w:link w:val="3"/>
    <w:qFormat/>
    <w:uiPriority w:val="9"/>
    <w:rPr>
      <w:rFonts w:asciiTheme="majorHAnsi" w:hAnsiTheme="majorHAnsi" w:eastAsiaTheme="majorEastAsia" w:cstheme="majorBidi"/>
      <w:b/>
      <w:bCs/>
      <w:kern w:val="2"/>
      <w:sz w:val="32"/>
      <w:szCs w:val="32"/>
    </w:rPr>
  </w:style>
  <w:style w:type="paragraph" w:customStyle="1" w:styleId="29">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Char"/>
    <w:basedOn w:val="15"/>
    <w:link w:val="8"/>
    <w:semiHidden/>
    <w:qFormat/>
    <w:uiPriority w:val="99"/>
    <w:rPr>
      <w:rFonts w:ascii="Times New Roman" w:hAnsi="Times New Roman"/>
      <w:kern w:val="2"/>
      <w:sz w:val="18"/>
      <w:szCs w:val="18"/>
    </w:rPr>
  </w:style>
  <w:style w:type="character" w:customStyle="1" w:styleId="31">
    <w:name w:val="标题 3 Char"/>
    <w:basedOn w:val="15"/>
    <w:link w:val="4"/>
    <w:qFormat/>
    <w:uiPriority w:val="9"/>
    <w:rPr>
      <w:rFonts w:ascii="Times New Roman" w:hAnsi="Times New Roman"/>
      <w:b/>
      <w:bCs/>
      <w:kern w:val="2"/>
      <w:sz w:val="32"/>
      <w:szCs w:val="32"/>
    </w:rPr>
  </w:style>
  <w:style w:type="paragraph" w:customStyle="1" w:styleId="32">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3">
    <w:name w:val="四号正文"/>
    <w:basedOn w:val="1"/>
    <w:qFormat/>
    <w:uiPriority w:val="0"/>
    <w:pPr>
      <w:spacing w:line="360" w:lineRule="auto"/>
    </w:pPr>
    <w:rPr>
      <w:rFonts w:ascii="??" w:hAnsi="??" w:eastAsia="宋体"/>
      <w:color w:val="000000"/>
      <w:kern w:val="0"/>
      <w:sz w:val="28"/>
      <w:szCs w:val="21"/>
      <w:lang w:val="zh-CN" w:eastAsia="zh-CN"/>
    </w:rPr>
  </w:style>
  <w:style w:type="character" w:customStyle="1" w:styleId="34">
    <w:name w:val="font21"/>
    <w:basedOn w:val="15"/>
    <w:qFormat/>
    <w:uiPriority w:val="0"/>
    <w:rPr>
      <w:rFonts w:hint="eastAsia" w:ascii="宋体" w:hAnsi="宋体" w:eastAsia="宋体" w:cs="宋体"/>
      <w:color w:val="000000"/>
      <w:sz w:val="24"/>
      <w:szCs w:val="24"/>
      <w:u w:val="none"/>
    </w:rPr>
  </w:style>
  <w:style w:type="character" w:customStyle="1" w:styleId="35">
    <w:name w:val="font51"/>
    <w:basedOn w:val="15"/>
    <w:qFormat/>
    <w:uiPriority w:val="0"/>
    <w:rPr>
      <w:rFonts w:hint="default" w:ascii="Times New Roman" w:hAnsi="Times New Roman" w:cs="Times New Roman"/>
      <w:color w:val="000000"/>
      <w:sz w:val="24"/>
      <w:szCs w:val="24"/>
      <w:u w:val="none"/>
    </w:rPr>
  </w:style>
  <w:style w:type="character" w:customStyle="1" w:styleId="36">
    <w:name w:val="font41"/>
    <w:basedOn w:val="15"/>
    <w:qFormat/>
    <w:uiPriority w:val="0"/>
    <w:rPr>
      <w:rFonts w:hint="eastAsia" w:ascii="宋体" w:hAnsi="宋体" w:eastAsia="宋体" w:cs="宋体"/>
      <w:b/>
      <w:bCs/>
      <w:color w:val="000000"/>
      <w:sz w:val="18"/>
      <w:szCs w:val="18"/>
      <w:u w:val="none"/>
    </w:rPr>
  </w:style>
  <w:style w:type="character" w:customStyle="1" w:styleId="37">
    <w:name w:val="font61"/>
    <w:basedOn w:val="15"/>
    <w:qFormat/>
    <w:uiPriority w:val="0"/>
    <w:rPr>
      <w:rFonts w:hint="eastAsia" w:ascii="宋体" w:hAnsi="宋体" w:eastAsia="宋体" w:cs="宋体"/>
      <w:color w:val="000000"/>
      <w:sz w:val="16"/>
      <w:szCs w:val="16"/>
      <w:u w:val="none"/>
    </w:rPr>
  </w:style>
  <w:style w:type="character" w:customStyle="1" w:styleId="38">
    <w:name w:val="font31"/>
    <w:basedOn w:val="15"/>
    <w:qFormat/>
    <w:uiPriority w:val="0"/>
    <w:rPr>
      <w:rFonts w:hint="eastAsia" w:ascii="宋体" w:hAnsi="宋体" w:eastAsia="宋体" w:cs="宋体"/>
      <w:color w:val="000000"/>
      <w:sz w:val="18"/>
      <w:szCs w:val="18"/>
      <w:u w:val="none"/>
    </w:rPr>
  </w:style>
  <w:style w:type="character" w:customStyle="1" w:styleId="39">
    <w:name w:val="font71"/>
    <w:basedOn w:val="15"/>
    <w:qFormat/>
    <w:uiPriority w:val="0"/>
    <w:rPr>
      <w:rFonts w:hint="eastAsia" w:ascii="宋体" w:hAnsi="宋体" w:eastAsia="宋体" w:cs="宋体"/>
      <w:color w:val="000000"/>
      <w:sz w:val="24"/>
      <w:szCs w:val="24"/>
      <w:u w:val="none"/>
    </w:rPr>
  </w:style>
  <w:style w:type="character" w:customStyle="1" w:styleId="40">
    <w:name w:val="15"/>
    <w:basedOn w:val="15"/>
    <w:qFormat/>
    <w:uiPriority w:val="0"/>
    <w:rPr>
      <w:rFonts w:hint="default" w:ascii="Times New Roman" w:hAnsi="Times New Roman" w:cs="Times New Roman"/>
    </w:rPr>
  </w:style>
  <w:style w:type="paragraph" w:customStyle="1" w:styleId="41">
    <w:name w:val="WPSOffice手动目录 1"/>
    <w:uiPriority w:val="0"/>
    <w:pPr>
      <w:ind w:leftChars="0"/>
    </w:pPr>
    <w:rPr>
      <w:sz w:val="20"/>
      <w:szCs w:val="20"/>
    </w:rPr>
  </w:style>
  <w:style w:type="paragraph" w:customStyle="1" w:styleId="42">
    <w:name w:val="WPSOffice手动目录 2"/>
    <w:uiPriority w:val="0"/>
    <w:pPr>
      <w:ind w:leftChars="200"/>
    </w:pPr>
    <w:rPr>
      <w:sz w:val="20"/>
      <w:szCs w:val="20"/>
    </w:rPr>
  </w:style>
  <w:style w:type="paragraph" w:customStyle="1" w:styleId="43">
    <w:name w:val="WPSOffice手动目录 3"/>
    <w:uiPriority w:val="0"/>
    <w:pPr>
      <w:ind w:leftChars="40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收、支决算总计变动情况图</a:t>
            </a:r>
          </a:p>
        </c:rich>
      </c:tx>
      <c:layout/>
      <c:overlay val="0"/>
      <c:spPr>
        <a:noFill/>
        <a:ln>
          <a:noFill/>
        </a:ln>
        <a:effectLst/>
      </c:spPr>
    </c:title>
    <c:autoTitleDeleted val="0"/>
    <c:plotArea>
      <c:layout>
        <c:manualLayout>
          <c:layoutTarget val="inner"/>
          <c:xMode val="edge"/>
          <c:yMode val="edge"/>
          <c:x val="0.0346218893452525"/>
          <c:y val="0.220356991075223"/>
          <c:w val="0.930345494080696"/>
          <c:h val="0.638631534211645"/>
        </c:manualLayout>
      </c:layout>
      <c:barChart>
        <c:barDir val="col"/>
        <c:grouping val="clustered"/>
        <c:varyColors val="0"/>
        <c:ser>
          <c:idx val="1"/>
          <c:order val="0"/>
          <c:tx>
            <c:strRef>
              <c:f>Sheet1!$B$1</c:f>
              <c:strCache>
                <c:ptCount val="1"/>
                <c:pt idx="0">
                  <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2021</c:v>
                </c:pt>
                <c:pt idx="1">
                  <c:v>2022</c:v>
                </c:pt>
              </c:numCache>
            </c:numRef>
          </c:cat>
          <c:val>
            <c:numRef>
              <c:f>Sheet1!$B$2:$B$3</c:f>
              <c:numCache>
                <c:formatCode>General</c:formatCode>
                <c:ptCount val="2"/>
                <c:pt idx="0">
                  <c:v>9613.97</c:v>
                </c:pt>
                <c:pt idx="1">
                  <c:v>8312.51</c:v>
                </c:pt>
              </c:numCache>
            </c:numRef>
          </c:val>
        </c:ser>
        <c:dLbls>
          <c:showLegendKey val="0"/>
          <c:showVal val="1"/>
          <c:showCatName val="0"/>
          <c:showSerName val="0"/>
          <c:showPercent val="0"/>
          <c:showBubbleSize val="0"/>
        </c:dLbls>
        <c:gapWidth val="246"/>
        <c:overlap val="-28"/>
        <c:axId val="380473290"/>
        <c:axId val="199068502"/>
      </c:barChart>
      <c:catAx>
        <c:axId val="38047329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9068502"/>
        <c:crosses val="autoZero"/>
        <c:auto val="1"/>
        <c:lblAlgn val="ctr"/>
        <c:lblOffset val="100"/>
        <c:noMultiLvlLbl val="0"/>
      </c:catAx>
      <c:valAx>
        <c:axId val="199068502"/>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047329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支出决算结构图</a:t>
            </a:r>
          </a:p>
        </c:rich>
      </c:tx>
      <c:layout/>
      <c:overlay val="0"/>
      <c:spPr>
        <a:noFill/>
        <a:ln>
          <a:noFill/>
        </a:ln>
        <a:effectLst/>
      </c:spPr>
    </c:title>
    <c:autoTitleDeleted val="0"/>
    <c:plotArea>
      <c:layout/>
      <c:pieChart>
        <c:varyColors val="1"/>
        <c:ser>
          <c:idx val="0"/>
          <c:order val="0"/>
          <c:tx>
            <c:strRef>
              <c:f>Sheet1!$B$1</c:f>
              <c:strCache>
                <c:ptCount val="1"/>
                <c:pt idx="0">
                  <c:v>列1</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numFmt formatCode="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eparator>;</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基本支出</c:v>
                </c:pt>
                <c:pt idx="1">
                  <c:v>项目支出</c:v>
                </c:pt>
              </c:strCache>
            </c:strRef>
          </c:cat>
          <c:val>
            <c:numRef>
              <c:f>Sheet1!$B$2:$B$5</c:f>
              <c:numCache>
                <c:formatCode>General</c:formatCode>
                <c:ptCount val="4"/>
                <c:pt idx="0">
                  <c:v>851.73</c:v>
                </c:pt>
                <c:pt idx="1">
                  <c:v>7460.78</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egendEntry>
        <c:idx val="2"/>
        <c:delete val="1"/>
      </c:legendEntry>
      <c:legendEntry>
        <c:idx val="3"/>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收入决算结构图</a:t>
            </a:r>
          </a:p>
        </c:rich>
      </c:tx>
      <c:layout>
        <c:manualLayout>
          <c:xMode val="edge"/>
          <c:yMode val="edge"/>
          <c:x val="0.31848499285374"/>
          <c:y val="0.043010752688172"/>
        </c:manualLayout>
      </c:layout>
      <c:overlay val="0"/>
      <c:spPr>
        <a:noFill/>
        <a:ln>
          <a:noFill/>
        </a:ln>
        <a:effectLst/>
      </c:spPr>
    </c:title>
    <c:autoTitleDeleted val="0"/>
    <c:plotArea>
      <c:layout/>
      <c:pieChart>
        <c:varyColors val="1"/>
        <c:ser>
          <c:idx val="0"/>
          <c:order val="0"/>
          <c:tx>
            <c:strRef>
              <c:f>Sheet1!$B$1</c:f>
              <c:strCache>
                <c:ptCount val="1"/>
                <c:pt idx="0">
                  <c:v>列1</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numFmt formatCode="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eparator>;</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一般公共预算</c:v>
                </c:pt>
                <c:pt idx="1">
                  <c:v>政府性基金预算</c:v>
                </c:pt>
              </c:strCache>
            </c:strRef>
          </c:cat>
          <c:val>
            <c:numRef>
              <c:f>Sheet1!$B$2:$B$5</c:f>
              <c:numCache>
                <c:formatCode>General</c:formatCode>
                <c:ptCount val="4"/>
                <c:pt idx="0">
                  <c:v>4431.83</c:v>
                </c:pt>
                <c:pt idx="1">
                  <c:v>3880.68</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egendEntry>
        <c:idx val="2"/>
        <c:delete val="1"/>
      </c:legendEntry>
      <c:legendEntry>
        <c:idx val="3"/>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一般公共预算财政拨款支出决算变动情况</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2021</c:v>
                </c:pt>
                <c:pt idx="1">
                  <c:v>2022</c:v>
                </c:pt>
              </c:numCache>
            </c:numRef>
          </c:cat>
          <c:val>
            <c:numRef>
              <c:f>Sheet1!$B$2:$B$5</c:f>
              <c:numCache>
                <c:formatCode>General</c:formatCode>
                <c:ptCount val="4"/>
                <c:pt idx="0">
                  <c:v>4270.85</c:v>
                </c:pt>
                <c:pt idx="1">
                  <c:v>4431.83</c:v>
                </c:pt>
              </c:numCache>
            </c:numRef>
          </c:val>
        </c:ser>
        <c:ser>
          <c:idx val="1"/>
          <c:order val="1"/>
          <c:tx>
            <c:strRef>
              <c:f>Sheet1!$C$1</c:f>
              <c:strCache>
                <c:ptCount val="1"/>
                <c:pt idx="0">
                  <c:v/>
                </c:pt>
              </c:strCache>
            </c:strRef>
          </c:tx>
          <c:spPr>
            <a:solidFill>
              <a:schemeClr val="accent2"/>
            </a:solidFill>
            <a:ln>
              <a:noFill/>
            </a:ln>
            <a:effectLst/>
          </c:spPr>
          <c:invertIfNegative val="0"/>
          <c:dLbls>
            <c:delete val="1"/>
          </c:dLbls>
          <c:cat>
            <c:numRef>
              <c:f>Sheet1!$A$2:$A$5</c:f>
              <c:numCache>
                <c:formatCode>General</c:formatCode>
                <c:ptCount val="4"/>
                <c:pt idx="0">
                  <c:v>2021</c:v>
                </c:pt>
                <c:pt idx="1">
                  <c:v>2022</c:v>
                </c:pt>
              </c:numCache>
            </c:numRef>
          </c:cat>
          <c:val>
            <c:numRef>
              <c:f>Sheet1!$C$2:$C$5</c:f>
              <c:numCache>
                <c:formatCode>General</c:formatCode>
                <c:ptCount val="4"/>
              </c:numCache>
            </c:numRef>
          </c:val>
        </c:ser>
        <c:ser>
          <c:idx val="2"/>
          <c:order val="2"/>
          <c:tx>
            <c:strRef>
              <c:f>Sheet1!$D$1</c:f>
              <c:strCache>
                <c:ptCount val="1"/>
                <c:pt idx="0">
                  <c:v/>
                </c:pt>
              </c:strCache>
            </c:strRef>
          </c:tx>
          <c:spPr>
            <a:solidFill>
              <a:schemeClr val="accent3"/>
            </a:solidFill>
            <a:ln>
              <a:noFill/>
            </a:ln>
            <a:effectLst/>
          </c:spPr>
          <c:invertIfNegative val="0"/>
          <c:dLbls>
            <c:delete val="1"/>
          </c:dLbls>
          <c:cat>
            <c:numRef>
              <c:f>Sheet1!$A$2:$A$5</c:f>
              <c:numCache>
                <c:formatCode>General</c:formatCode>
                <c:ptCount val="4"/>
                <c:pt idx="0">
                  <c:v>2021</c:v>
                </c:pt>
                <c:pt idx="1">
                  <c:v>2022</c:v>
                </c:pt>
              </c:numCache>
            </c:numRef>
          </c:cat>
          <c:val>
            <c:numRef>
              <c:f>Sheet1!$D$2:$D$5</c:f>
              <c:numCache>
                <c:formatCode>General</c:formatCode>
                <c:ptCount val="4"/>
              </c:numCache>
            </c:numRef>
          </c:val>
        </c:ser>
        <c:dLbls>
          <c:showLegendKey val="0"/>
          <c:showVal val="0"/>
          <c:showCatName val="0"/>
          <c:showSerName val="0"/>
          <c:showPercent val="0"/>
          <c:showBubbleSize val="0"/>
        </c:dLbls>
        <c:gapWidth val="246"/>
        <c:overlap val="-28"/>
        <c:axId val="804188918"/>
        <c:axId val="404999546"/>
      </c:barChart>
      <c:catAx>
        <c:axId val="80418891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04999546"/>
        <c:crosses val="autoZero"/>
        <c:auto val="1"/>
        <c:lblAlgn val="ctr"/>
        <c:lblOffset val="100"/>
        <c:noMultiLvlLbl val="0"/>
      </c:catAx>
      <c:valAx>
        <c:axId val="404999546"/>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418891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财政拨款收、支决算总计变动情况</a:t>
            </a:r>
          </a:p>
        </c:rich>
      </c:tx>
      <c:layout>
        <c:manualLayout>
          <c:xMode val="edge"/>
          <c:yMode val="edge"/>
          <c:x val="0.188888888888889"/>
          <c:y val="0.060832791151594"/>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2021</c:v>
                </c:pt>
                <c:pt idx="1">
                  <c:v>2022</c:v>
                </c:pt>
              </c:numCache>
            </c:numRef>
          </c:cat>
          <c:val>
            <c:numRef>
              <c:f>Sheet1!$B$2:$B$5</c:f>
              <c:numCache>
                <c:formatCode>General</c:formatCode>
                <c:ptCount val="4"/>
                <c:pt idx="0">
                  <c:v>9613.97</c:v>
                </c:pt>
                <c:pt idx="1">
                  <c:v>8312.51</c:v>
                </c:pt>
              </c:numCache>
            </c:numRef>
          </c:val>
        </c:ser>
        <c:ser>
          <c:idx val="1"/>
          <c:order val="1"/>
          <c:tx>
            <c:strRef>
              <c:f>Sheet1!$C$1</c:f>
              <c:strCache>
                <c:ptCount val="1"/>
                <c:pt idx="0">
                  <c:v>支出</c:v>
                </c:pt>
              </c:strCache>
            </c:strRef>
          </c:tx>
          <c:spPr>
            <a:solidFill>
              <a:schemeClr val="accent2"/>
            </a:solidFill>
            <a:ln>
              <a:noFill/>
            </a:ln>
            <a:effectLst/>
          </c:spPr>
          <c:invertIfNegative val="0"/>
          <c:dLbls>
            <c:dLbl>
              <c:idx val="0"/>
              <c:layout>
                <c:manualLayout>
                  <c:x val="0.0944099378881988"/>
                  <c:y val="-0.162654521795706"/>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10351966873706"/>
                  <c:y val="-0.0432661027976578"/>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2021</c:v>
                </c:pt>
                <c:pt idx="1">
                  <c:v>2022</c:v>
                </c:pt>
              </c:numCache>
            </c:numRef>
          </c:cat>
          <c:val>
            <c:numRef>
              <c:f>Sheet1!$C$2:$C$5</c:f>
              <c:numCache>
                <c:formatCode>General</c:formatCode>
                <c:ptCount val="4"/>
                <c:pt idx="0">
                  <c:v>9613.97</c:v>
                </c:pt>
                <c:pt idx="1">
                  <c:v>8312.51</c:v>
                </c:pt>
              </c:numCache>
            </c:numRef>
          </c:val>
        </c:ser>
        <c:ser>
          <c:idx val="2"/>
          <c:order val="2"/>
          <c:tx>
            <c:strRef>
              <c:f>Sheet1!$D$1</c:f>
              <c:strCache>
                <c:ptCount val="1"/>
                <c:pt idx="0">
                  <c:v/>
                </c:pt>
              </c:strCache>
            </c:strRef>
          </c:tx>
          <c:spPr>
            <a:solidFill>
              <a:schemeClr val="accent3"/>
            </a:solidFill>
            <a:ln>
              <a:noFill/>
            </a:ln>
            <a:effectLst/>
          </c:spPr>
          <c:invertIfNegative val="0"/>
          <c:dLbls>
            <c:delete val="1"/>
          </c:dLbls>
          <c:cat>
            <c:numRef>
              <c:f>Sheet1!$A$2:$A$5</c:f>
              <c:numCache>
                <c:formatCode>General</c:formatCode>
                <c:ptCount val="4"/>
                <c:pt idx="0">
                  <c:v>2021</c:v>
                </c:pt>
                <c:pt idx="1">
                  <c:v>2022</c:v>
                </c:pt>
              </c:numCache>
            </c:numRef>
          </c:cat>
          <c:val>
            <c:numRef>
              <c:f>Sheet1!$D$2:$D$5</c:f>
              <c:numCache>
                <c:formatCode>General</c:formatCode>
                <c:ptCount val="4"/>
              </c:numCache>
            </c:numRef>
          </c:val>
        </c:ser>
        <c:dLbls>
          <c:showLegendKey val="0"/>
          <c:showVal val="0"/>
          <c:showCatName val="0"/>
          <c:showSerName val="0"/>
          <c:showPercent val="0"/>
          <c:showBubbleSize val="0"/>
        </c:dLbls>
        <c:gapWidth val="246"/>
        <c:overlap val="-28"/>
        <c:axId val="401680598"/>
        <c:axId val="325810950"/>
      </c:barChart>
      <c:catAx>
        <c:axId val="40168059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25810950"/>
        <c:crosses val="autoZero"/>
        <c:auto val="1"/>
        <c:lblAlgn val="ctr"/>
        <c:lblOffset val="100"/>
        <c:noMultiLvlLbl val="0"/>
      </c:catAx>
      <c:valAx>
        <c:axId val="325810950"/>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01680598"/>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一般公共预算财政拨款支出决算结构</a:t>
            </a:r>
          </a:p>
        </c:rich>
      </c:tx>
      <c:layout>
        <c:manualLayout>
          <c:xMode val="edge"/>
          <c:yMode val="edge"/>
          <c:x val="0.140462807348486"/>
          <c:y val="0.0109825735527855"/>
        </c:manualLayout>
      </c:layout>
      <c:overlay val="0"/>
      <c:spPr>
        <a:noFill/>
        <a:ln>
          <a:noFill/>
        </a:ln>
        <a:effectLst/>
      </c:spPr>
    </c:title>
    <c:autoTitleDeleted val="0"/>
    <c:plotArea>
      <c:layout/>
      <c:pieChart>
        <c:varyColors val="1"/>
        <c:ser>
          <c:idx val="0"/>
          <c:order val="0"/>
          <c:tx>
            <c:strRef>
              <c:f>Sheet1!$B$1</c:f>
              <c:strCache>
                <c:ptCount val="1"/>
                <c:pt idx="0">
                  <c:v>列1</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Lbls>
            <c:dLbl>
              <c:idx val="0"/>
              <c:layout>
                <c:manualLayout>
                  <c:x val="-0.0697681781833339"/>
                  <c:y val="0.00200193791325415"/>
                </c:manualLayout>
              </c:layout>
              <c:dLblPos val="bestFit"/>
              <c:showLegendKey val="0"/>
              <c:showVal val="0"/>
              <c:showCatName val="0"/>
              <c:showSerName val="0"/>
              <c:showPercent val="1"/>
              <c:showBubbleSize val="0"/>
              <c:extLst>
                <c:ext xmlns:c15="http://schemas.microsoft.com/office/drawing/2012/chart" uri="{CE6537A1-D6FC-4f65-9D91-7224C49458BB}">
                  <c15:layout>
                    <c:manualLayout>
                      <c:w val="0.0710638885055885"/>
                      <c:h val="0.103922918100482"/>
                    </c:manualLayout>
                  </c15:layout>
                </c:ext>
              </c:extLst>
            </c:dLbl>
            <c:dLbl>
              <c:idx val="1"/>
              <c:layout>
                <c:manualLayout>
                  <c:x val="0.0337728502880704"/>
                  <c:y val="-0.0330165748507416"/>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0.0780902428112091"/>
                  <c:y val="0.0711448034236771"/>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社会保障和就业支出</c:v>
                </c:pt>
                <c:pt idx="1">
                  <c:v>卫生健康支出</c:v>
                </c:pt>
                <c:pt idx="2">
                  <c:v>住房保障支出</c:v>
                </c:pt>
                <c:pt idx="3">
                  <c:v>自然资源海洋气象等支出</c:v>
                </c:pt>
                <c:pt idx="4">
                  <c:v>灾害防治及应急管理支出</c:v>
                </c:pt>
              </c:strCache>
            </c:strRef>
          </c:cat>
          <c:val>
            <c:numRef>
              <c:f>Sheet1!$B$2:$B$6</c:f>
              <c:numCache>
                <c:formatCode>General</c:formatCode>
                <c:ptCount val="5"/>
                <c:pt idx="0">
                  <c:v>92.56</c:v>
                </c:pt>
                <c:pt idx="1">
                  <c:v>26.42</c:v>
                </c:pt>
                <c:pt idx="2">
                  <c:v>54.78</c:v>
                </c:pt>
                <c:pt idx="3">
                  <c:v>2097.04</c:v>
                </c:pt>
                <c:pt idx="4">
                  <c:v>2161.04</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rPr lang="en-US" altLang="zh-CN"/>
              <a:t>“</a:t>
            </a:r>
            <a:r>
              <a:rPr altLang="en-US"/>
              <a:t>三公</a:t>
            </a:r>
            <a:r>
              <a:rPr lang="en-US" altLang="zh-CN"/>
              <a:t>”</a:t>
            </a:r>
            <a:r>
              <a:rPr altLang="en-US"/>
              <a:t>经费财政拨款支出结构</a:t>
            </a:r>
            <a:endParaRPr lang="en-US" altLang="zh-CN"/>
          </a:p>
        </c:rich>
      </c:tx>
      <c:layout/>
      <c:overlay val="0"/>
      <c:spPr>
        <a:noFill/>
        <a:ln>
          <a:noFill/>
        </a:ln>
        <a:effectLst/>
      </c:spPr>
    </c:title>
    <c:autoTitleDeleted val="0"/>
    <c:plotArea>
      <c:layout/>
      <c:pieChart>
        <c:varyColors val="1"/>
        <c:ser>
          <c:idx val="0"/>
          <c:order val="0"/>
          <c:tx>
            <c:strRef>
              <c:f>Sheet1!$B$1</c:f>
              <c:strCache>
                <c:ptCount val="1"/>
                <c:pt idx="0">
                  <c:v>列1</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numFmt formatCode="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公务接待费</c:v>
                </c:pt>
              </c:strCache>
            </c:strRef>
          </c:cat>
          <c:val>
            <c:numRef>
              <c:f>Sheet1!$B$2:$B$5</c:f>
              <c:numCache>
                <c:formatCode>General</c:formatCode>
                <c:ptCount val="4"/>
                <c:pt idx="0">
                  <c:v>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egendEntry>
        <c:idx val="1"/>
        <c:delete val="1"/>
      </c:legendEntry>
      <c:legendEntry>
        <c:idx val="2"/>
        <c:delete val="1"/>
      </c:legendEntry>
      <c:legendEntry>
        <c:idx val="3"/>
        <c:delete val="1"/>
      </c:legendEntry>
      <c:layout>
        <c:manualLayout>
          <c:xMode val="edge"/>
          <c:yMode val="edge"/>
          <c:x val="0.743691091517178"/>
          <c:y val="0.443604813881892"/>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128</Pages>
  <Words>49099</Words>
  <Characters>58341</Characters>
  <Lines>61</Lines>
  <Paragraphs>17</Paragraphs>
  <TotalTime>6</TotalTime>
  <ScaleCrop>false</ScaleCrop>
  <LinksUpToDate>false</LinksUpToDate>
  <CharactersWithSpaces>58432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Administrator</cp:lastModifiedBy>
  <cp:lastPrinted>2023-07-31T02:35:00Z</cp:lastPrinted>
  <dcterms:modified xsi:type="dcterms:W3CDTF">2023-10-27T02:31:57Z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EB750977FA5745CFBC1E246C7198DEAF_13</vt:lpwstr>
  </property>
</Properties>
</file>