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eastAsia" w:ascii="方正小标宋简体" w:hAnsi="宋体" w:eastAsia="方正小标宋简体"/>
          <w:color w:val="auto"/>
          <w:sz w:val="72"/>
          <w:szCs w:val="72"/>
          <w:highlight w:val="none"/>
          <w:lang w:val="en-US" w:eastAsia="zh-CN"/>
        </w:rPr>
      </w:pPr>
      <w:bookmarkStart w:id="0" w:name="_Toc15396475"/>
      <w:bookmarkStart w:id="1" w:name="_Toc15378441"/>
      <w:bookmarkStart w:id="2" w:name="_Toc15396597"/>
      <w:bookmarkStart w:id="3" w:name="_Toc15377193"/>
      <w:bookmarkStart w:id="4" w:name="_Toc15377425"/>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8948"/>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7" w:name="_Toc15377426"/>
      <w:bookmarkStart w:id="8" w:name="_Toc15396598"/>
      <w:bookmarkStart w:id="9" w:name="_Toc15377194"/>
      <w:bookmarkStart w:id="10" w:name="_Toc15396476"/>
      <w:bookmarkStart w:id="11" w:name="_Toc15378442"/>
      <w:bookmarkStart w:id="12" w:name="_Toc16420"/>
      <w:r>
        <w:rPr>
          <w:rFonts w:hint="eastAsia" w:ascii="方正小标宋简体" w:hAnsi="方正小标宋简体" w:eastAsia="方正小标宋简体" w:cs="方正小标宋简体"/>
          <w:color w:val="auto"/>
          <w:sz w:val="72"/>
          <w:szCs w:val="72"/>
          <w:highlight w:val="none"/>
        </w:rPr>
        <w:t>四川省</w:t>
      </w:r>
      <w:bookmarkEnd w:id="5"/>
      <w:bookmarkStart w:id="13" w:name="_Toc15306268"/>
      <w:r>
        <w:rPr>
          <w:rFonts w:hint="eastAsia" w:ascii="方正小标宋简体" w:hAnsi="宋体" w:eastAsia="方正小标宋简体"/>
          <w:color w:val="000000"/>
          <w:sz w:val="72"/>
          <w:szCs w:val="72"/>
        </w:rPr>
        <w:t>广元市朝天区综合行政执法局</w:t>
      </w:r>
      <w:r>
        <w:rPr>
          <w:rFonts w:hint="eastAsia" w:ascii="方正小标宋简体" w:hAnsi="方正小标宋简体" w:eastAsia="方正小标宋简体" w:cs="方正小标宋简体"/>
          <w:color w:val="auto"/>
          <w:sz w:val="72"/>
          <w:szCs w:val="72"/>
          <w:highlight w:val="none"/>
        </w:rPr>
        <w:t>部门决算</w:t>
      </w:r>
      <w:bookmarkEnd w:id="7"/>
      <w:bookmarkEnd w:id="8"/>
      <w:bookmarkEnd w:id="9"/>
      <w:bookmarkEnd w:id="10"/>
      <w:bookmarkEnd w:id="11"/>
      <w:bookmarkEnd w:id="12"/>
      <w:bookmarkEnd w:id="13"/>
    </w:p>
    <w:p>
      <w:pPr>
        <w:widowControl/>
        <w:jc w:val="both"/>
        <w:rPr>
          <w:rFonts w:ascii="黑体" w:hAnsi="黑体" w:eastAsia="黑体"/>
          <w:color w:val="auto"/>
          <w:sz w:val="48"/>
          <w:szCs w:val="48"/>
          <w:highlight w:val="none"/>
        </w:rPr>
      </w:pPr>
    </w:p>
    <w:p>
      <w:pPr>
        <w:pStyle w:val="2"/>
        <w:rPr>
          <w:rFonts w:ascii="黑体" w:hAnsi="黑体" w:eastAsia="黑体"/>
          <w:color w:val="auto"/>
          <w:sz w:val="48"/>
          <w:szCs w:val="48"/>
          <w:highlight w:val="none"/>
        </w:rPr>
      </w:pPr>
    </w:p>
    <w:p>
      <w:pPr>
        <w:rPr>
          <w:rFonts w:ascii="黑体" w:hAnsi="黑体" w:eastAsia="黑体"/>
          <w:color w:val="auto"/>
          <w:sz w:val="48"/>
          <w:szCs w:val="48"/>
          <w:highlight w:val="none"/>
        </w:rPr>
      </w:pPr>
    </w:p>
    <w:p>
      <w:pPr>
        <w:pStyle w:val="2"/>
        <w:rPr>
          <w:rFonts w:ascii="黑体" w:hAnsi="黑体" w:eastAsia="黑体"/>
          <w:color w:val="auto"/>
          <w:sz w:val="48"/>
          <w:szCs w:val="48"/>
          <w:highlight w:val="none"/>
        </w:rPr>
      </w:pPr>
    </w:p>
    <w:p>
      <w:pPr>
        <w:rPr>
          <w:rFonts w:ascii="黑体" w:hAnsi="黑体" w:eastAsia="黑体"/>
          <w:color w:val="auto"/>
          <w:sz w:val="48"/>
          <w:szCs w:val="48"/>
          <w:highlight w:val="none"/>
        </w:rPr>
      </w:pPr>
    </w:p>
    <w:p>
      <w:pPr>
        <w:pStyle w:val="2"/>
        <w:rPr>
          <w:rFonts w:ascii="黑体" w:hAnsi="黑体" w:eastAsia="黑体"/>
          <w:color w:val="auto"/>
          <w:sz w:val="48"/>
          <w:szCs w:val="48"/>
          <w:highlight w:val="none"/>
        </w:rPr>
      </w:pPr>
    </w:p>
    <w:p>
      <w:pPr>
        <w:rPr>
          <w:rFonts w:ascii="黑体" w:hAnsi="黑体" w:eastAsia="黑体"/>
          <w:color w:val="auto"/>
          <w:sz w:val="48"/>
          <w:szCs w:val="48"/>
          <w:highlight w:val="none"/>
        </w:rPr>
      </w:pPr>
    </w:p>
    <w:p>
      <w:pPr>
        <w:pStyle w:val="2"/>
        <w:rPr>
          <w:rFonts w:ascii="黑体" w:hAnsi="黑体" w:eastAsia="黑体"/>
          <w:color w:val="auto"/>
          <w:sz w:val="48"/>
          <w:szCs w:val="48"/>
          <w:highlight w:val="none"/>
        </w:rPr>
      </w:pPr>
    </w:p>
    <w:p/>
    <w:p>
      <w:pPr>
        <w:widowControl/>
        <w:jc w:val="center"/>
        <w:rPr>
          <w:rFonts w:ascii="黑体" w:hAnsi="黑体" w:eastAsia="黑体" w:cstheme="minorBidi"/>
          <w:color w:val="auto"/>
          <w:sz w:val="28"/>
          <w:szCs w:val="28"/>
          <w:highlight w:val="none"/>
        </w:rPr>
      </w:pPr>
    </w:p>
    <w:p>
      <w:pPr>
        <w:pStyle w:val="13"/>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p>
    <w:p>
      <w:pPr>
        <w:pStyle w:val="2"/>
        <w:ind w:left="0" w:leftChars="0" w:firstLine="0" w:firstLineChars="0"/>
        <w:rPr>
          <w:rFonts w:hint="eastAsia"/>
        </w:rPr>
      </w:pPr>
      <w:bookmarkStart w:id="14" w:name="_Toc15396599"/>
      <w:bookmarkStart w:id="15" w:name="_Toc15377196"/>
    </w:p>
    <w:sdt>
      <w:sdtPr>
        <w:rPr>
          <w:rFonts w:ascii="宋体" w:hAnsi="宋体" w:eastAsia="宋体" w:cs="Times New Roman"/>
          <w:kern w:val="2"/>
          <w:sz w:val="21"/>
          <w:szCs w:val="24"/>
          <w:lang w:val="en-US" w:eastAsia="zh-CN" w:bidi="ar-SA"/>
        </w:rPr>
        <w:id w:val="147474984"/>
        <w15:color w:val="DBDBDB"/>
        <w:docPartObj>
          <w:docPartGallery w:val="Table of Contents"/>
          <w:docPartUnique/>
        </w:docPartObj>
      </w:sdt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41"/>
            <w:tabs>
              <w:tab w:val="right" w:leader="dot" w:pos="9072"/>
            </w:tabs>
          </w:pPr>
          <w:r>
            <w:fldChar w:fldCharType="begin"/>
          </w:r>
          <w:r>
            <w:instrText xml:space="preserve">TOC \o "1-3" \h \u </w:instrText>
          </w:r>
          <w:r>
            <w:fldChar w:fldCharType="separate"/>
          </w:r>
          <w:r>
            <w:fldChar w:fldCharType="begin"/>
          </w:r>
          <w:r>
            <w:instrText xml:space="preserve"> HYPERLINK \l _Toc24747 </w:instrText>
          </w:r>
          <w:r>
            <w:fldChar w:fldCharType="separate"/>
          </w:r>
          <w:r>
            <w:rPr>
              <w:rFonts w:hint="eastAsia" w:ascii="黑体" w:hAnsi="黑体" w:eastAsia="黑体"/>
              <w:highlight w:val="none"/>
            </w:rPr>
            <w:t xml:space="preserve">第一部分 </w:t>
          </w:r>
          <w:r>
            <w:rPr>
              <w:rFonts w:hint="eastAsia" w:ascii="黑体" w:hAnsi="黑体" w:eastAsia="黑体"/>
              <w:bCs w:val="0"/>
              <w:highlight w:val="none"/>
            </w:rPr>
            <w:t>部门概况</w:t>
          </w:r>
          <w:r>
            <w:tab/>
          </w:r>
          <w:r>
            <w:fldChar w:fldCharType="begin"/>
          </w:r>
          <w:r>
            <w:instrText xml:space="preserve"> PAGEREF _Toc24747 \h </w:instrText>
          </w:r>
          <w:r>
            <w:fldChar w:fldCharType="separate"/>
          </w:r>
          <w:r>
            <w:t>3</w:t>
          </w:r>
          <w:r>
            <w:fldChar w:fldCharType="end"/>
          </w:r>
          <w:r>
            <w:fldChar w:fldCharType="end"/>
          </w:r>
        </w:p>
        <w:p>
          <w:pPr>
            <w:pStyle w:val="42"/>
            <w:tabs>
              <w:tab w:val="right" w:leader="dot" w:pos="9072"/>
            </w:tabs>
          </w:pPr>
          <w:r>
            <w:fldChar w:fldCharType="begin"/>
          </w:r>
          <w:r>
            <w:instrText xml:space="preserve"> HYPERLINK \l _Toc19655 </w:instrText>
          </w:r>
          <w:r>
            <w:fldChar w:fldCharType="separate"/>
          </w:r>
          <w:r>
            <w:rPr>
              <w:rFonts w:hint="eastAsia" w:ascii="黑体" w:hAnsi="黑体" w:eastAsia="黑体" w:cstheme="majorBidi"/>
              <w:bCs/>
              <w:kern w:val="2"/>
              <w:szCs w:val="32"/>
              <w:lang w:val="en-US" w:eastAsia="zh-CN" w:bidi="ar-SA"/>
            </w:rPr>
            <w:t>一、</w:t>
          </w:r>
          <w:r>
            <w:rPr>
              <w:rFonts w:hint="eastAsia" w:ascii="黑体" w:hAnsi="黑体" w:eastAsia="黑体"/>
              <w:highlight w:val="none"/>
              <w:lang w:eastAsia="zh-CN"/>
            </w:rPr>
            <w:t>部门职责</w:t>
          </w:r>
          <w:r>
            <w:tab/>
          </w:r>
          <w:r>
            <w:fldChar w:fldCharType="begin"/>
          </w:r>
          <w:r>
            <w:instrText xml:space="preserve"> PAGEREF _Toc19655 \h </w:instrText>
          </w:r>
          <w:r>
            <w:fldChar w:fldCharType="separate"/>
          </w:r>
          <w:r>
            <w:t>3</w:t>
          </w:r>
          <w:r>
            <w:fldChar w:fldCharType="end"/>
          </w:r>
          <w:r>
            <w:fldChar w:fldCharType="end"/>
          </w:r>
        </w:p>
        <w:p>
          <w:pPr>
            <w:pStyle w:val="43"/>
            <w:tabs>
              <w:tab w:val="right" w:leader="dot" w:pos="9072"/>
            </w:tabs>
          </w:pPr>
          <w:r>
            <w:fldChar w:fldCharType="begin"/>
          </w:r>
          <w:r>
            <w:instrText xml:space="preserve"> HYPERLINK \l _Toc15758 </w:instrText>
          </w:r>
          <w:r>
            <w:fldChar w:fldCharType="separate"/>
          </w:r>
          <w:r>
            <w:rPr>
              <w:rFonts w:hint="eastAsia" w:ascii="楷体_GB2312" w:hAnsi="楷体_GB2312" w:eastAsia="楷体_GB2312" w:cs="楷体_GB2312"/>
              <w:bCs/>
              <w:szCs w:val="32"/>
            </w:rPr>
            <w:t>（一）主要职能</w:t>
          </w:r>
          <w:r>
            <w:tab/>
          </w:r>
          <w:r>
            <w:fldChar w:fldCharType="begin"/>
          </w:r>
          <w:r>
            <w:instrText xml:space="preserve"> PAGEREF _Toc15758 \h </w:instrText>
          </w:r>
          <w:r>
            <w:fldChar w:fldCharType="separate"/>
          </w:r>
          <w:r>
            <w:t>3</w:t>
          </w:r>
          <w:r>
            <w:fldChar w:fldCharType="end"/>
          </w:r>
          <w:r>
            <w:fldChar w:fldCharType="end"/>
          </w:r>
        </w:p>
        <w:p>
          <w:pPr>
            <w:pStyle w:val="43"/>
            <w:tabs>
              <w:tab w:val="right" w:leader="dot" w:pos="9072"/>
            </w:tabs>
          </w:pPr>
          <w:r>
            <w:fldChar w:fldCharType="begin"/>
          </w:r>
          <w:r>
            <w:instrText xml:space="preserve"> HYPERLINK \l _Toc12633 </w:instrText>
          </w:r>
          <w:r>
            <w:fldChar w:fldCharType="separate"/>
          </w:r>
          <w:r>
            <w:rPr>
              <w:rFonts w:hint="eastAsia" w:ascii="楷体_GB2312" w:hAnsi="楷体_GB2312" w:eastAsia="楷体_GB2312" w:cs="楷体_GB2312"/>
              <w:bCs/>
              <w:szCs w:val="32"/>
            </w:rPr>
            <w:t>（二）202</w:t>
          </w:r>
          <w:r>
            <w:rPr>
              <w:rFonts w:hint="eastAsia" w:ascii="楷体_GB2312" w:hAnsi="楷体_GB2312" w:eastAsia="楷体_GB2312" w:cs="楷体_GB2312"/>
              <w:bCs/>
              <w:szCs w:val="32"/>
              <w:lang w:val="en-US" w:eastAsia="zh-CN"/>
            </w:rPr>
            <w:t>2</w:t>
          </w:r>
          <w:r>
            <w:rPr>
              <w:rFonts w:hint="eastAsia" w:ascii="楷体_GB2312" w:hAnsi="楷体_GB2312" w:eastAsia="楷体_GB2312" w:cs="楷体_GB2312"/>
              <w:bCs/>
              <w:szCs w:val="32"/>
            </w:rPr>
            <w:t>年重点工作完成情况</w:t>
          </w:r>
          <w:r>
            <w:tab/>
          </w:r>
          <w:r>
            <w:fldChar w:fldCharType="begin"/>
          </w:r>
          <w:r>
            <w:instrText xml:space="preserve"> PAGEREF _Toc12633 \h </w:instrText>
          </w:r>
          <w:r>
            <w:fldChar w:fldCharType="separate"/>
          </w:r>
          <w:r>
            <w:t>3</w:t>
          </w:r>
          <w:r>
            <w:fldChar w:fldCharType="end"/>
          </w:r>
          <w:r>
            <w:fldChar w:fldCharType="end"/>
          </w:r>
        </w:p>
        <w:p>
          <w:pPr>
            <w:pStyle w:val="42"/>
            <w:tabs>
              <w:tab w:val="right" w:leader="dot" w:pos="9072"/>
            </w:tabs>
          </w:pPr>
          <w:r>
            <w:fldChar w:fldCharType="begin"/>
          </w:r>
          <w:r>
            <w:instrText xml:space="preserve"> HYPERLINK \l _Toc4934 </w:instrText>
          </w:r>
          <w:r>
            <w:fldChar w:fldCharType="separate"/>
          </w:r>
          <w:r>
            <w:rPr>
              <w:rFonts w:hint="eastAsia" w:ascii="黑体" w:eastAsia="黑体"/>
              <w:highlight w:val="none"/>
            </w:rPr>
            <w:t>二、</w:t>
          </w:r>
          <w:r>
            <w:rPr>
              <w:rFonts w:hint="eastAsia" w:ascii="黑体" w:hAnsi="黑体" w:eastAsia="黑体"/>
              <w:highlight w:val="none"/>
            </w:rPr>
            <w:t>机</w:t>
          </w:r>
          <w:r>
            <w:rPr>
              <w:rFonts w:hint="eastAsia" w:ascii="黑体" w:hAnsi="黑体" w:eastAsia="黑体"/>
              <w:bCs w:val="0"/>
              <w:highlight w:val="none"/>
            </w:rPr>
            <w:t>构设置</w:t>
          </w:r>
          <w:r>
            <w:tab/>
          </w:r>
          <w:r>
            <w:fldChar w:fldCharType="begin"/>
          </w:r>
          <w:r>
            <w:instrText xml:space="preserve"> PAGEREF _Toc4934 \h </w:instrText>
          </w:r>
          <w:r>
            <w:fldChar w:fldCharType="separate"/>
          </w:r>
          <w:r>
            <w:t>4</w:t>
          </w:r>
          <w:r>
            <w:fldChar w:fldCharType="end"/>
          </w:r>
          <w:r>
            <w:fldChar w:fldCharType="end"/>
          </w:r>
        </w:p>
        <w:p>
          <w:pPr>
            <w:pStyle w:val="41"/>
            <w:tabs>
              <w:tab w:val="right" w:leader="dot" w:pos="9072"/>
            </w:tabs>
          </w:pPr>
          <w:r>
            <w:fldChar w:fldCharType="begin"/>
          </w:r>
          <w:r>
            <w:instrText xml:space="preserve"> HYPERLINK \l _Toc18050 </w:instrText>
          </w:r>
          <w:r>
            <w:fldChar w:fldCharType="separate"/>
          </w:r>
          <w:r>
            <w:rPr>
              <w:rFonts w:hint="eastAsia" w:ascii="黑体" w:hAnsi="黑体" w:eastAsia="黑体"/>
              <w:bCs/>
              <w:highlight w:val="none"/>
            </w:rPr>
            <w:t xml:space="preserve">第二部分 </w:t>
          </w:r>
          <w:r>
            <w:rPr>
              <w:rFonts w:hint="eastAsia" w:ascii="黑体" w:hAnsi="黑体" w:eastAsia="黑体"/>
              <w:bCs/>
              <w:highlight w:val="none"/>
              <w:lang w:val="en-US" w:eastAsia="zh-CN"/>
            </w:rPr>
            <w:t>2022年度</w:t>
          </w:r>
          <w:r>
            <w:rPr>
              <w:rFonts w:hint="eastAsia" w:ascii="黑体" w:hAnsi="黑体" w:eastAsia="黑体"/>
              <w:bCs/>
              <w:highlight w:val="none"/>
            </w:rPr>
            <w:t>部门决算情况说明</w:t>
          </w:r>
          <w:r>
            <w:tab/>
          </w:r>
          <w:r>
            <w:fldChar w:fldCharType="begin"/>
          </w:r>
          <w:r>
            <w:instrText xml:space="preserve"> PAGEREF _Toc18050 \h </w:instrText>
          </w:r>
          <w:r>
            <w:fldChar w:fldCharType="separate"/>
          </w:r>
          <w:r>
            <w:t>5</w:t>
          </w:r>
          <w:r>
            <w:fldChar w:fldCharType="end"/>
          </w:r>
          <w:r>
            <w:fldChar w:fldCharType="end"/>
          </w:r>
        </w:p>
        <w:p>
          <w:pPr>
            <w:pStyle w:val="42"/>
            <w:tabs>
              <w:tab w:val="right" w:leader="dot" w:pos="9072"/>
            </w:tabs>
          </w:pPr>
          <w:r>
            <w:fldChar w:fldCharType="begin"/>
          </w:r>
          <w:r>
            <w:instrText xml:space="preserve"> HYPERLINK \l _Toc12024 </w:instrText>
          </w:r>
          <w: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_Toc12024 \h </w:instrText>
          </w:r>
          <w:r>
            <w:fldChar w:fldCharType="separate"/>
          </w:r>
          <w:r>
            <w:t>5</w:t>
          </w:r>
          <w:r>
            <w:fldChar w:fldCharType="end"/>
          </w:r>
          <w:r>
            <w:fldChar w:fldCharType="end"/>
          </w:r>
        </w:p>
        <w:p>
          <w:pPr>
            <w:pStyle w:val="42"/>
            <w:tabs>
              <w:tab w:val="right" w:leader="dot" w:pos="9072"/>
            </w:tabs>
          </w:pPr>
          <w:r>
            <w:fldChar w:fldCharType="begin"/>
          </w:r>
          <w:r>
            <w:instrText xml:space="preserve"> HYPERLINK \l _Toc1924 </w:instrText>
          </w:r>
          <w: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_Toc1924 \h </w:instrText>
          </w:r>
          <w:r>
            <w:fldChar w:fldCharType="separate"/>
          </w:r>
          <w:r>
            <w:t>6</w:t>
          </w:r>
          <w:r>
            <w:fldChar w:fldCharType="end"/>
          </w:r>
          <w:r>
            <w:fldChar w:fldCharType="end"/>
          </w:r>
        </w:p>
        <w:p>
          <w:pPr>
            <w:pStyle w:val="42"/>
            <w:tabs>
              <w:tab w:val="right" w:leader="dot" w:pos="9072"/>
            </w:tabs>
          </w:pPr>
          <w:r>
            <w:fldChar w:fldCharType="begin"/>
          </w:r>
          <w:r>
            <w:instrText xml:space="preserve"> HYPERLINK \l _Toc12862 </w:instrText>
          </w:r>
          <w: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_Toc12862 \h </w:instrText>
          </w:r>
          <w:r>
            <w:fldChar w:fldCharType="separate"/>
          </w:r>
          <w:r>
            <w:t>6</w:t>
          </w:r>
          <w:r>
            <w:fldChar w:fldCharType="end"/>
          </w:r>
          <w:r>
            <w:fldChar w:fldCharType="end"/>
          </w:r>
        </w:p>
        <w:p>
          <w:pPr>
            <w:pStyle w:val="42"/>
            <w:tabs>
              <w:tab w:val="right" w:leader="dot" w:pos="9072"/>
            </w:tabs>
          </w:pPr>
          <w:r>
            <w:fldChar w:fldCharType="begin"/>
          </w:r>
          <w:r>
            <w:instrText xml:space="preserve"> HYPERLINK \l _Toc16422 </w:instrText>
          </w:r>
          <w: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_Toc16422 \h </w:instrText>
          </w:r>
          <w:r>
            <w:fldChar w:fldCharType="separate"/>
          </w:r>
          <w:r>
            <w:t>7</w:t>
          </w:r>
          <w:r>
            <w:fldChar w:fldCharType="end"/>
          </w:r>
          <w:r>
            <w:fldChar w:fldCharType="end"/>
          </w:r>
        </w:p>
        <w:p>
          <w:pPr>
            <w:pStyle w:val="42"/>
            <w:tabs>
              <w:tab w:val="right" w:leader="dot" w:pos="9072"/>
            </w:tabs>
          </w:pPr>
          <w:r>
            <w:fldChar w:fldCharType="begin"/>
          </w:r>
          <w:r>
            <w:instrText xml:space="preserve"> HYPERLINK \l _Toc26677 </w:instrText>
          </w:r>
          <w: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_Toc26677 \h </w:instrText>
          </w:r>
          <w:r>
            <w:fldChar w:fldCharType="separate"/>
          </w:r>
          <w:r>
            <w:t>8</w:t>
          </w:r>
          <w:r>
            <w:fldChar w:fldCharType="end"/>
          </w:r>
          <w:r>
            <w:fldChar w:fldCharType="end"/>
          </w:r>
        </w:p>
        <w:p>
          <w:pPr>
            <w:pStyle w:val="43"/>
            <w:tabs>
              <w:tab w:val="right" w:leader="dot" w:pos="9072"/>
            </w:tabs>
          </w:pPr>
          <w:r>
            <w:fldChar w:fldCharType="begin"/>
          </w:r>
          <w:r>
            <w:instrText xml:space="preserve"> HYPERLINK \l _Toc18478 </w:instrText>
          </w:r>
          <w:r>
            <w:fldChar w:fldCharType="separate"/>
          </w:r>
          <w:r>
            <w:rPr>
              <w:rFonts w:hint="eastAsia" w:ascii="仿宋" w:hAnsi="仿宋" w:eastAsia="仿宋"/>
              <w:szCs w:val="32"/>
              <w:highlight w:val="none"/>
            </w:rPr>
            <w:t>（一）一般公共预算财政拨款支出决算总体情况</w:t>
          </w:r>
          <w:r>
            <w:tab/>
          </w:r>
          <w:r>
            <w:fldChar w:fldCharType="begin"/>
          </w:r>
          <w:r>
            <w:instrText xml:space="preserve"> PAGEREF _Toc18478 \h </w:instrText>
          </w:r>
          <w:r>
            <w:fldChar w:fldCharType="separate"/>
          </w:r>
          <w:r>
            <w:t>8</w:t>
          </w:r>
          <w:r>
            <w:fldChar w:fldCharType="end"/>
          </w:r>
          <w:r>
            <w:fldChar w:fldCharType="end"/>
          </w:r>
        </w:p>
        <w:p>
          <w:pPr>
            <w:pStyle w:val="43"/>
            <w:tabs>
              <w:tab w:val="right" w:leader="dot" w:pos="9072"/>
            </w:tabs>
          </w:pPr>
          <w:r>
            <w:fldChar w:fldCharType="begin"/>
          </w:r>
          <w:r>
            <w:instrText xml:space="preserve"> HYPERLINK \l _Toc6917 </w:instrText>
          </w:r>
          <w:r>
            <w:fldChar w:fldCharType="separate"/>
          </w:r>
          <w:r>
            <w:rPr>
              <w:rFonts w:hint="eastAsia" w:ascii="仿宋" w:hAnsi="仿宋" w:eastAsia="仿宋"/>
              <w:szCs w:val="32"/>
              <w:highlight w:val="none"/>
            </w:rPr>
            <w:t>（二）一般公共预算财政拨款支出决算结构情况</w:t>
          </w:r>
          <w:r>
            <w:tab/>
          </w:r>
          <w:r>
            <w:fldChar w:fldCharType="begin"/>
          </w:r>
          <w:r>
            <w:instrText xml:space="preserve"> PAGEREF _Toc6917 \h </w:instrText>
          </w:r>
          <w:r>
            <w:fldChar w:fldCharType="separate"/>
          </w:r>
          <w:r>
            <w:t>8</w:t>
          </w:r>
          <w:r>
            <w:fldChar w:fldCharType="end"/>
          </w:r>
          <w:r>
            <w:fldChar w:fldCharType="end"/>
          </w:r>
        </w:p>
        <w:p>
          <w:pPr>
            <w:pStyle w:val="43"/>
            <w:tabs>
              <w:tab w:val="right" w:leader="dot" w:pos="9072"/>
            </w:tabs>
          </w:pPr>
          <w:r>
            <w:fldChar w:fldCharType="begin"/>
          </w:r>
          <w:r>
            <w:instrText xml:space="preserve"> HYPERLINK \l _Toc4571 </w:instrText>
          </w:r>
          <w:r>
            <w:fldChar w:fldCharType="separate"/>
          </w:r>
          <w:r>
            <w:rPr>
              <w:rFonts w:hint="eastAsia" w:ascii="仿宋" w:hAnsi="仿宋" w:eastAsia="仿宋"/>
              <w:szCs w:val="32"/>
              <w:highlight w:val="none"/>
            </w:rPr>
            <w:t>（三）一般公共预算财政拨款支出决算具体情况</w:t>
          </w:r>
          <w:r>
            <w:tab/>
          </w:r>
          <w:r>
            <w:fldChar w:fldCharType="begin"/>
          </w:r>
          <w:r>
            <w:instrText xml:space="preserve"> PAGEREF _Toc4571 \h </w:instrText>
          </w:r>
          <w:r>
            <w:fldChar w:fldCharType="separate"/>
          </w:r>
          <w:r>
            <w:t>9</w:t>
          </w:r>
          <w:r>
            <w:fldChar w:fldCharType="end"/>
          </w:r>
          <w:r>
            <w:fldChar w:fldCharType="end"/>
          </w:r>
        </w:p>
        <w:p>
          <w:pPr>
            <w:pStyle w:val="42"/>
            <w:tabs>
              <w:tab w:val="right" w:leader="dot" w:pos="9072"/>
            </w:tabs>
          </w:pPr>
          <w:r>
            <w:fldChar w:fldCharType="begin"/>
          </w:r>
          <w:r>
            <w:instrText xml:space="preserve"> HYPERLINK \l _Toc18884 </w:instrText>
          </w:r>
          <w: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_Toc18884 \h </w:instrText>
          </w:r>
          <w:r>
            <w:fldChar w:fldCharType="separate"/>
          </w:r>
          <w:r>
            <w:t>10</w:t>
          </w:r>
          <w:r>
            <w:fldChar w:fldCharType="end"/>
          </w:r>
          <w:r>
            <w:fldChar w:fldCharType="end"/>
          </w:r>
        </w:p>
        <w:p>
          <w:pPr>
            <w:pStyle w:val="42"/>
            <w:tabs>
              <w:tab w:val="right" w:leader="dot" w:pos="9072"/>
            </w:tabs>
          </w:pPr>
          <w:r>
            <w:fldChar w:fldCharType="begin"/>
          </w:r>
          <w:r>
            <w:instrText xml:space="preserve"> HYPERLINK \l _Toc19446 </w:instrText>
          </w:r>
          <w:r>
            <w:fldChar w:fldCharType="separate"/>
          </w:r>
          <w:r>
            <w:rPr>
              <w:rFonts w:hint="eastAsia" w:ascii="黑体" w:eastAsia="黑体"/>
              <w:szCs w:val="32"/>
              <w:highlight w:val="none"/>
            </w:rPr>
            <w:t>七、</w:t>
          </w:r>
          <w:r>
            <w:rPr>
              <w:rFonts w:hint="eastAsia" w:ascii="黑体" w:hAnsi="黑体" w:eastAsia="黑体"/>
              <w:highlight w:val="none"/>
            </w:rPr>
            <w:t>财政拨款“三公”经费支出决算情况说明</w:t>
          </w:r>
          <w:r>
            <w:tab/>
          </w:r>
          <w:r>
            <w:fldChar w:fldCharType="begin"/>
          </w:r>
          <w:r>
            <w:instrText xml:space="preserve"> PAGEREF _Toc19446 \h </w:instrText>
          </w:r>
          <w:r>
            <w:fldChar w:fldCharType="separate"/>
          </w:r>
          <w:r>
            <w:t>11</w:t>
          </w:r>
          <w:r>
            <w:fldChar w:fldCharType="end"/>
          </w:r>
          <w:r>
            <w:fldChar w:fldCharType="end"/>
          </w:r>
        </w:p>
        <w:p>
          <w:pPr>
            <w:pStyle w:val="43"/>
            <w:tabs>
              <w:tab w:val="right" w:leader="dot" w:pos="9072"/>
            </w:tabs>
          </w:pPr>
          <w:r>
            <w:fldChar w:fldCharType="begin"/>
          </w:r>
          <w:r>
            <w:instrText xml:space="preserve"> HYPERLINK \l _Toc4787 </w:instrText>
          </w:r>
          <w:r>
            <w:fldChar w:fldCharType="separate"/>
          </w:r>
          <w:r>
            <w:rPr>
              <w:rFonts w:hint="eastAsia" w:ascii="仿宋" w:hAnsi="仿宋" w:eastAsia="仿宋"/>
              <w:szCs w:val="32"/>
              <w:highlight w:val="none"/>
            </w:rPr>
            <w:t>（一）“三公”经费财政拨款支出决算总体情况说明</w:t>
          </w:r>
          <w:r>
            <w:tab/>
          </w:r>
          <w:r>
            <w:fldChar w:fldCharType="begin"/>
          </w:r>
          <w:r>
            <w:instrText xml:space="preserve"> PAGEREF _Toc4787 \h </w:instrText>
          </w:r>
          <w:r>
            <w:fldChar w:fldCharType="separate"/>
          </w:r>
          <w:r>
            <w:t>11</w:t>
          </w:r>
          <w:r>
            <w:fldChar w:fldCharType="end"/>
          </w:r>
          <w:r>
            <w:fldChar w:fldCharType="end"/>
          </w:r>
        </w:p>
        <w:p>
          <w:pPr>
            <w:pStyle w:val="43"/>
            <w:tabs>
              <w:tab w:val="right" w:leader="dot" w:pos="9072"/>
            </w:tabs>
          </w:pPr>
          <w:r>
            <w:fldChar w:fldCharType="begin"/>
          </w:r>
          <w:r>
            <w:instrText xml:space="preserve"> HYPERLINK \l _Toc13172 </w:instrText>
          </w:r>
          <w:r>
            <w:fldChar w:fldCharType="separate"/>
          </w:r>
          <w:r>
            <w:rPr>
              <w:rFonts w:hint="eastAsia" w:ascii="仿宋" w:hAnsi="仿宋" w:eastAsia="仿宋"/>
              <w:szCs w:val="32"/>
              <w:highlight w:val="none"/>
            </w:rPr>
            <w:t>（二）“三公”经费财政拨款支出决算具体情况说明</w:t>
          </w:r>
          <w:r>
            <w:tab/>
          </w:r>
          <w:r>
            <w:fldChar w:fldCharType="begin"/>
          </w:r>
          <w:r>
            <w:instrText xml:space="preserve"> PAGEREF _Toc13172 \h </w:instrText>
          </w:r>
          <w:r>
            <w:fldChar w:fldCharType="separate"/>
          </w:r>
          <w:r>
            <w:t>11</w:t>
          </w:r>
          <w:r>
            <w:fldChar w:fldCharType="end"/>
          </w:r>
          <w:r>
            <w:fldChar w:fldCharType="end"/>
          </w:r>
        </w:p>
        <w:p>
          <w:pPr>
            <w:pStyle w:val="42"/>
            <w:tabs>
              <w:tab w:val="right" w:leader="dot" w:pos="9072"/>
            </w:tabs>
          </w:pPr>
          <w:r>
            <w:fldChar w:fldCharType="begin"/>
          </w:r>
          <w:r>
            <w:instrText xml:space="preserve"> HYPERLINK \l _Toc7029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_Toc7029 \h </w:instrText>
          </w:r>
          <w:r>
            <w:fldChar w:fldCharType="separate"/>
          </w:r>
          <w:r>
            <w:t>12</w:t>
          </w:r>
          <w:r>
            <w:fldChar w:fldCharType="end"/>
          </w:r>
          <w:r>
            <w:fldChar w:fldCharType="end"/>
          </w:r>
        </w:p>
        <w:p>
          <w:pPr>
            <w:pStyle w:val="42"/>
            <w:tabs>
              <w:tab w:val="right" w:leader="dot" w:pos="9072"/>
            </w:tabs>
          </w:pPr>
          <w:r>
            <w:fldChar w:fldCharType="begin"/>
          </w:r>
          <w:r>
            <w:instrText xml:space="preserve"> HYPERLINK \l _Toc18703 </w:instrText>
          </w:r>
          <w: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_Toc18703 \h </w:instrText>
          </w:r>
          <w:r>
            <w:fldChar w:fldCharType="separate"/>
          </w:r>
          <w:r>
            <w:t>12</w:t>
          </w:r>
          <w:r>
            <w:fldChar w:fldCharType="end"/>
          </w:r>
          <w:r>
            <w:fldChar w:fldCharType="end"/>
          </w:r>
        </w:p>
        <w:p>
          <w:pPr>
            <w:pStyle w:val="42"/>
            <w:tabs>
              <w:tab w:val="right" w:leader="dot" w:pos="9072"/>
            </w:tabs>
          </w:pPr>
          <w:r>
            <w:fldChar w:fldCharType="begin"/>
          </w:r>
          <w:r>
            <w:instrText xml:space="preserve"> HYPERLINK \l _Toc539 </w:instrText>
          </w:r>
          <w: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_Toc539 \h </w:instrText>
          </w:r>
          <w:r>
            <w:fldChar w:fldCharType="separate"/>
          </w:r>
          <w:r>
            <w:t>12</w:t>
          </w:r>
          <w:r>
            <w:fldChar w:fldCharType="end"/>
          </w:r>
          <w:r>
            <w:fldChar w:fldCharType="end"/>
          </w:r>
        </w:p>
        <w:p>
          <w:pPr>
            <w:pStyle w:val="43"/>
            <w:tabs>
              <w:tab w:val="right" w:leader="dot" w:pos="9072"/>
            </w:tabs>
          </w:pPr>
          <w:r>
            <w:fldChar w:fldCharType="begin"/>
          </w:r>
          <w:r>
            <w:instrText xml:space="preserve"> HYPERLINK \l _Toc31068 </w:instrText>
          </w:r>
          <w:r>
            <w:fldChar w:fldCharType="separate"/>
          </w:r>
          <w:r>
            <w:rPr>
              <w:rFonts w:hint="eastAsia" w:ascii="仿宋" w:hAnsi="仿宋" w:eastAsia="仿宋"/>
              <w:szCs w:val="32"/>
              <w:highlight w:val="none"/>
            </w:rPr>
            <w:t>（一）机关运行经费支出情况</w:t>
          </w:r>
          <w:r>
            <w:tab/>
          </w:r>
          <w:r>
            <w:fldChar w:fldCharType="begin"/>
          </w:r>
          <w:r>
            <w:instrText xml:space="preserve"> PAGEREF _Toc31068 \h </w:instrText>
          </w:r>
          <w:r>
            <w:fldChar w:fldCharType="separate"/>
          </w:r>
          <w:r>
            <w:t>12</w:t>
          </w:r>
          <w:r>
            <w:fldChar w:fldCharType="end"/>
          </w:r>
          <w:r>
            <w:fldChar w:fldCharType="end"/>
          </w:r>
        </w:p>
        <w:p>
          <w:pPr>
            <w:pStyle w:val="43"/>
            <w:tabs>
              <w:tab w:val="right" w:leader="dot" w:pos="9072"/>
            </w:tabs>
          </w:pPr>
          <w:r>
            <w:fldChar w:fldCharType="begin"/>
          </w:r>
          <w:r>
            <w:instrText xml:space="preserve"> HYPERLINK \l _Toc13469 </w:instrText>
          </w:r>
          <w:r>
            <w:fldChar w:fldCharType="separate"/>
          </w:r>
          <w:r>
            <w:rPr>
              <w:rFonts w:hint="eastAsia" w:ascii="仿宋" w:hAnsi="仿宋" w:eastAsia="仿宋"/>
              <w:szCs w:val="32"/>
              <w:highlight w:val="none"/>
            </w:rPr>
            <w:t>（二）政府采购支出情况</w:t>
          </w:r>
          <w:r>
            <w:tab/>
          </w:r>
          <w:r>
            <w:fldChar w:fldCharType="begin"/>
          </w:r>
          <w:r>
            <w:instrText xml:space="preserve"> PAGEREF _Toc13469 \h </w:instrText>
          </w:r>
          <w:r>
            <w:fldChar w:fldCharType="separate"/>
          </w:r>
          <w:r>
            <w:t>13</w:t>
          </w:r>
          <w:r>
            <w:fldChar w:fldCharType="end"/>
          </w:r>
          <w:r>
            <w:fldChar w:fldCharType="end"/>
          </w:r>
        </w:p>
        <w:p>
          <w:pPr>
            <w:pStyle w:val="43"/>
            <w:tabs>
              <w:tab w:val="right" w:leader="dot" w:pos="9072"/>
            </w:tabs>
          </w:pPr>
          <w:r>
            <w:fldChar w:fldCharType="begin"/>
          </w:r>
          <w:r>
            <w:instrText xml:space="preserve"> HYPERLINK \l _Toc18241 </w:instrText>
          </w:r>
          <w:r>
            <w:fldChar w:fldCharType="separate"/>
          </w:r>
          <w:r>
            <w:rPr>
              <w:rFonts w:hint="eastAsia" w:ascii="仿宋" w:hAnsi="仿宋" w:eastAsia="仿宋"/>
              <w:szCs w:val="32"/>
              <w:highlight w:val="none"/>
            </w:rPr>
            <w:t>（三）国有资产占有使用情况</w:t>
          </w:r>
          <w:r>
            <w:tab/>
          </w:r>
          <w:r>
            <w:fldChar w:fldCharType="begin"/>
          </w:r>
          <w:r>
            <w:instrText xml:space="preserve"> PAGEREF _Toc18241 \h </w:instrText>
          </w:r>
          <w:r>
            <w:fldChar w:fldCharType="separate"/>
          </w:r>
          <w:r>
            <w:t>13</w:t>
          </w:r>
          <w:r>
            <w:fldChar w:fldCharType="end"/>
          </w:r>
          <w:r>
            <w:fldChar w:fldCharType="end"/>
          </w:r>
        </w:p>
        <w:p>
          <w:pPr>
            <w:pStyle w:val="43"/>
            <w:tabs>
              <w:tab w:val="right" w:leader="dot" w:pos="9072"/>
            </w:tabs>
          </w:pPr>
          <w:r>
            <w:fldChar w:fldCharType="begin"/>
          </w:r>
          <w:r>
            <w:instrText xml:space="preserve"> HYPERLINK \l _Toc3023 </w:instrText>
          </w:r>
          <w:r>
            <w:fldChar w:fldCharType="separate"/>
          </w:r>
          <w:r>
            <w:rPr>
              <w:rFonts w:hint="eastAsia" w:ascii="仿宋" w:hAnsi="仿宋" w:eastAsia="仿宋"/>
              <w:szCs w:val="32"/>
              <w:highlight w:val="none"/>
            </w:rPr>
            <w:t>（四）预算绩效管理情况</w:t>
          </w:r>
          <w:r>
            <w:tab/>
          </w:r>
          <w:r>
            <w:fldChar w:fldCharType="begin"/>
          </w:r>
          <w:r>
            <w:instrText xml:space="preserve"> PAGEREF _Toc3023 \h </w:instrText>
          </w:r>
          <w:r>
            <w:fldChar w:fldCharType="separate"/>
          </w:r>
          <w:r>
            <w:t>13</w:t>
          </w:r>
          <w:r>
            <w:fldChar w:fldCharType="end"/>
          </w:r>
          <w:r>
            <w:fldChar w:fldCharType="end"/>
          </w:r>
        </w:p>
        <w:p>
          <w:pPr>
            <w:pStyle w:val="41"/>
            <w:tabs>
              <w:tab w:val="right" w:leader="dot" w:pos="9072"/>
            </w:tabs>
          </w:pPr>
          <w:r>
            <w:fldChar w:fldCharType="begin"/>
          </w:r>
          <w:r>
            <w:instrText xml:space="preserve"> HYPERLINK \l _Toc6888 </w:instrText>
          </w:r>
          <w:r>
            <w:fldChar w:fldCharType="separate"/>
          </w:r>
          <w:r>
            <w:rPr>
              <w:rFonts w:hint="eastAsia" w:ascii="黑体" w:hAnsi="黑体" w:eastAsia="黑体"/>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_Toc6888 \h </w:instrText>
          </w:r>
          <w:r>
            <w:fldChar w:fldCharType="separate"/>
          </w:r>
          <w:r>
            <w:t>15</w:t>
          </w:r>
          <w:r>
            <w:fldChar w:fldCharType="end"/>
          </w:r>
          <w:r>
            <w:fldChar w:fldCharType="end"/>
          </w:r>
        </w:p>
        <w:p>
          <w:pPr>
            <w:pStyle w:val="41"/>
            <w:tabs>
              <w:tab w:val="right" w:leader="dot" w:pos="9072"/>
            </w:tabs>
          </w:pPr>
          <w:r>
            <w:fldChar w:fldCharType="begin"/>
          </w:r>
          <w:r>
            <w:instrText xml:space="preserve"> HYPERLINK \l _Toc23374 </w:instrText>
          </w:r>
          <w:r>
            <w:fldChar w:fldCharType="separate"/>
          </w:r>
          <w:r>
            <w:rPr>
              <w:rFonts w:hint="eastAsia" w:ascii="黑体" w:hAnsi="黑体" w:eastAsia="黑体"/>
              <w:szCs w:val="44"/>
              <w:highlight w:val="none"/>
            </w:rPr>
            <w:t>第</w:t>
          </w:r>
          <w:r>
            <w:rPr>
              <w:rFonts w:hint="eastAsia" w:ascii="黑体" w:hAnsi="黑体" w:eastAsia="黑体"/>
              <w:highlight w:val="none"/>
            </w:rPr>
            <w:t>四部分 附件</w:t>
          </w:r>
          <w:r>
            <w:tab/>
          </w:r>
          <w:r>
            <w:fldChar w:fldCharType="begin"/>
          </w:r>
          <w:r>
            <w:instrText xml:space="preserve"> PAGEREF _Toc23374 \h </w:instrText>
          </w:r>
          <w:r>
            <w:fldChar w:fldCharType="separate"/>
          </w:r>
          <w:r>
            <w:t>17</w:t>
          </w:r>
          <w:r>
            <w:fldChar w:fldCharType="end"/>
          </w:r>
          <w:r>
            <w:fldChar w:fldCharType="end"/>
          </w:r>
        </w:p>
        <w:p>
          <w:pPr>
            <w:pStyle w:val="41"/>
            <w:tabs>
              <w:tab w:val="right" w:leader="dot" w:pos="9072"/>
            </w:tabs>
          </w:pPr>
          <w:r>
            <w:fldChar w:fldCharType="begin"/>
          </w:r>
          <w:r>
            <w:instrText xml:space="preserve"> HYPERLINK \l _Toc3492 </w:instrText>
          </w:r>
          <w:r>
            <w:fldChar w:fldCharType="separate"/>
          </w:r>
          <w:r>
            <w:rPr>
              <w:rFonts w:hint="eastAsia" w:ascii="黑体" w:hAnsi="黑体" w:eastAsia="黑体"/>
              <w:szCs w:val="44"/>
              <w:highlight w:val="none"/>
            </w:rPr>
            <w:t>第</w:t>
          </w:r>
          <w:r>
            <w:rPr>
              <w:rFonts w:hint="eastAsia" w:ascii="黑体" w:hAnsi="黑体" w:eastAsia="黑体"/>
              <w:highlight w:val="none"/>
            </w:rPr>
            <w:t>五部分 附表</w:t>
          </w:r>
          <w:r>
            <w:tab/>
          </w:r>
          <w:r>
            <w:fldChar w:fldCharType="begin"/>
          </w:r>
          <w:r>
            <w:instrText xml:space="preserve"> PAGEREF _Toc3492 \h </w:instrText>
          </w:r>
          <w:r>
            <w:fldChar w:fldCharType="separate"/>
          </w:r>
          <w:r>
            <w:t>83</w:t>
          </w:r>
          <w:r>
            <w:fldChar w:fldCharType="end"/>
          </w:r>
          <w:r>
            <w:fldChar w:fldCharType="end"/>
          </w:r>
        </w:p>
        <w:p>
          <w:pPr>
            <w:pStyle w:val="42"/>
            <w:tabs>
              <w:tab w:val="right" w:leader="dot" w:pos="9072"/>
            </w:tabs>
          </w:pPr>
          <w:r>
            <w:fldChar w:fldCharType="begin"/>
          </w:r>
          <w:r>
            <w:instrText xml:space="preserve"> HYPERLINK \l _Toc3070 </w:instrText>
          </w:r>
          <w: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_Toc3070 \h </w:instrText>
          </w:r>
          <w:r>
            <w:fldChar w:fldCharType="separate"/>
          </w:r>
          <w:r>
            <w:t>84</w:t>
          </w:r>
          <w:r>
            <w:fldChar w:fldCharType="end"/>
          </w:r>
          <w:r>
            <w:fldChar w:fldCharType="end"/>
          </w:r>
        </w:p>
        <w:p>
          <w:pPr>
            <w:pStyle w:val="42"/>
            <w:tabs>
              <w:tab w:val="right" w:leader="dot" w:pos="9072"/>
            </w:tabs>
          </w:pPr>
          <w:r>
            <w:fldChar w:fldCharType="begin"/>
          </w:r>
          <w:r>
            <w:instrText xml:space="preserve"> HYPERLINK \l _Toc31788 </w:instrText>
          </w:r>
          <w: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_Toc31788 \h </w:instrText>
          </w:r>
          <w:r>
            <w:fldChar w:fldCharType="separate"/>
          </w:r>
          <w:r>
            <w:t>84</w:t>
          </w:r>
          <w:r>
            <w:fldChar w:fldCharType="end"/>
          </w:r>
          <w:r>
            <w:fldChar w:fldCharType="end"/>
          </w:r>
        </w:p>
        <w:p>
          <w:pPr>
            <w:pStyle w:val="42"/>
            <w:tabs>
              <w:tab w:val="right" w:leader="dot" w:pos="9072"/>
            </w:tabs>
          </w:pPr>
          <w:r>
            <w:fldChar w:fldCharType="begin"/>
          </w:r>
          <w:r>
            <w:instrText xml:space="preserve"> HYPERLINK \l _Toc21667 </w:instrText>
          </w:r>
          <w: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_Toc21667 \h </w:instrText>
          </w:r>
          <w:r>
            <w:fldChar w:fldCharType="separate"/>
          </w:r>
          <w:r>
            <w:t>84</w:t>
          </w:r>
          <w:r>
            <w:fldChar w:fldCharType="end"/>
          </w:r>
          <w:r>
            <w:fldChar w:fldCharType="end"/>
          </w:r>
        </w:p>
        <w:p>
          <w:pPr>
            <w:pStyle w:val="42"/>
            <w:tabs>
              <w:tab w:val="right" w:leader="dot" w:pos="9072"/>
            </w:tabs>
          </w:pPr>
          <w:r>
            <w:fldChar w:fldCharType="begin"/>
          </w:r>
          <w:r>
            <w:instrText xml:space="preserve"> HYPERLINK \l _Toc20528 </w:instrText>
          </w:r>
          <w: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_Toc20528 \h </w:instrText>
          </w:r>
          <w:r>
            <w:fldChar w:fldCharType="separate"/>
          </w:r>
          <w:r>
            <w:t>84</w:t>
          </w:r>
          <w:r>
            <w:fldChar w:fldCharType="end"/>
          </w:r>
          <w:r>
            <w:fldChar w:fldCharType="end"/>
          </w:r>
        </w:p>
        <w:p>
          <w:pPr>
            <w:pStyle w:val="42"/>
            <w:tabs>
              <w:tab w:val="right" w:leader="dot" w:pos="9072"/>
            </w:tabs>
          </w:pPr>
          <w:r>
            <w:fldChar w:fldCharType="begin"/>
          </w:r>
          <w:r>
            <w:instrText xml:space="preserve"> HYPERLINK \l _Toc3810 </w:instrText>
          </w:r>
          <w: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_Toc3810 \h </w:instrText>
          </w:r>
          <w:r>
            <w:fldChar w:fldCharType="separate"/>
          </w:r>
          <w:r>
            <w:t>84</w:t>
          </w:r>
          <w:r>
            <w:fldChar w:fldCharType="end"/>
          </w:r>
          <w:r>
            <w:fldChar w:fldCharType="end"/>
          </w:r>
        </w:p>
        <w:p>
          <w:pPr>
            <w:pStyle w:val="42"/>
            <w:tabs>
              <w:tab w:val="right" w:leader="dot" w:pos="9072"/>
            </w:tabs>
          </w:pPr>
          <w:r>
            <w:fldChar w:fldCharType="begin"/>
          </w:r>
          <w:r>
            <w:instrText xml:space="preserve"> HYPERLINK \l _Toc15920 </w:instrText>
          </w:r>
          <w: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_Toc15920 \h </w:instrText>
          </w:r>
          <w:r>
            <w:fldChar w:fldCharType="separate"/>
          </w:r>
          <w:r>
            <w:t>84</w:t>
          </w:r>
          <w:r>
            <w:fldChar w:fldCharType="end"/>
          </w:r>
          <w:r>
            <w:fldChar w:fldCharType="end"/>
          </w:r>
        </w:p>
        <w:p>
          <w:pPr>
            <w:pStyle w:val="42"/>
            <w:tabs>
              <w:tab w:val="right" w:leader="dot" w:pos="9072"/>
            </w:tabs>
          </w:pPr>
          <w:r>
            <w:fldChar w:fldCharType="begin"/>
          </w:r>
          <w:r>
            <w:instrText xml:space="preserve"> HYPERLINK \l _Toc12233 </w:instrText>
          </w:r>
          <w: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_Toc12233 \h </w:instrText>
          </w:r>
          <w:r>
            <w:fldChar w:fldCharType="separate"/>
          </w:r>
          <w:r>
            <w:t>84</w:t>
          </w:r>
          <w:r>
            <w:fldChar w:fldCharType="end"/>
          </w:r>
          <w:r>
            <w:fldChar w:fldCharType="end"/>
          </w:r>
        </w:p>
        <w:p>
          <w:pPr>
            <w:pStyle w:val="42"/>
            <w:tabs>
              <w:tab w:val="right" w:leader="dot" w:pos="9072"/>
            </w:tabs>
          </w:pPr>
          <w:r>
            <w:fldChar w:fldCharType="begin"/>
          </w:r>
          <w:r>
            <w:instrText xml:space="preserve"> HYPERLINK \l _Toc22375 </w:instrText>
          </w:r>
          <w: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_Toc22375 \h </w:instrText>
          </w:r>
          <w:r>
            <w:fldChar w:fldCharType="separate"/>
          </w:r>
          <w:r>
            <w:t>84</w:t>
          </w:r>
          <w:r>
            <w:fldChar w:fldCharType="end"/>
          </w:r>
          <w:r>
            <w:fldChar w:fldCharType="end"/>
          </w:r>
        </w:p>
        <w:p>
          <w:pPr>
            <w:pStyle w:val="42"/>
            <w:tabs>
              <w:tab w:val="right" w:leader="dot" w:pos="9072"/>
            </w:tabs>
          </w:pPr>
          <w:r>
            <w:fldChar w:fldCharType="begin"/>
          </w:r>
          <w:r>
            <w:instrText xml:space="preserve"> HYPERLINK \l _Toc14973 </w:instrText>
          </w:r>
          <w: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_Toc14973 \h </w:instrText>
          </w:r>
          <w:r>
            <w:fldChar w:fldCharType="separate"/>
          </w:r>
          <w:r>
            <w:t>84</w:t>
          </w:r>
          <w:r>
            <w:fldChar w:fldCharType="end"/>
          </w:r>
          <w:r>
            <w:fldChar w:fldCharType="end"/>
          </w:r>
        </w:p>
        <w:p>
          <w:pPr>
            <w:pStyle w:val="42"/>
            <w:tabs>
              <w:tab w:val="right" w:leader="dot" w:pos="9072"/>
            </w:tabs>
          </w:pPr>
          <w:r>
            <w:fldChar w:fldCharType="begin"/>
          </w:r>
          <w:r>
            <w:instrText xml:space="preserve"> HYPERLINK \l _Toc21974 </w:instrText>
          </w:r>
          <w: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_Toc21974 \h </w:instrText>
          </w:r>
          <w:r>
            <w:fldChar w:fldCharType="separate"/>
          </w:r>
          <w:r>
            <w:t>84</w:t>
          </w:r>
          <w:r>
            <w:fldChar w:fldCharType="end"/>
          </w:r>
          <w:r>
            <w:fldChar w:fldCharType="end"/>
          </w:r>
        </w:p>
        <w:p>
          <w:pPr>
            <w:pStyle w:val="42"/>
            <w:tabs>
              <w:tab w:val="right" w:leader="dot" w:pos="9072"/>
            </w:tabs>
          </w:pPr>
          <w:r>
            <w:fldChar w:fldCharType="begin"/>
          </w:r>
          <w:r>
            <w:instrText xml:space="preserve"> HYPERLINK \l _Toc32427 </w:instrText>
          </w:r>
          <w: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_Toc32427 \h </w:instrText>
          </w:r>
          <w:r>
            <w:fldChar w:fldCharType="separate"/>
          </w:r>
          <w:r>
            <w:t>84</w:t>
          </w:r>
          <w:r>
            <w:fldChar w:fldCharType="end"/>
          </w:r>
          <w:r>
            <w:fldChar w:fldCharType="end"/>
          </w:r>
        </w:p>
        <w:p>
          <w:pPr>
            <w:pStyle w:val="42"/>
            <w:tabs>
              <w:tab w:val="right" w:leader="dot" w:pos="9072"/>
            </w:tabs>
          </w:pPr>
          <w:r>
            <w:fldChar w:fldCharType="begin"/>
          </w:r>
          <w:r>
            <w:instrText xml:space="preserve"> HYPERLINK \l _Toc31099 </w:instrText>
          </w:r>
          <w: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_Toc31099 \h </w:instrText>
          </w:r>
          <w:r>
            <w:fldChar w:fldCharType="separate"/>
          </w:r>
          <w:r>
            <w:t>84</w:t>
          </w:r>
          <w:r>
            <w:fldChar w:fldCharType="end"/>
          </w:r>
          <w:r>
            <w:fldChar w:fldCharType="end"/>
          </w:r>
        </w:p>
        <w:p>
          <w:pPr>
            <w:pStyle w:val="42"/>
            <w:tabs>
              <w:tab w:val="right" w:leader="dot" w:pos="9072"/>
            </w:tabs>
          </w:pPr>
          <w:r>
            <w:fldChar w:fldCharType="begin"/>
          </w:r>
          <w:r>
            <w:instrText xml:space="preserve"> HYPERLINK \l _Toc14161 </w:instrText>
          </w:r>
          <w: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_Toc14161 \h </w:instrText>
          </w:r>
          <w:r>
            <w:fldChar w:fldCharType="separate"/>
          </w:r>
          <w:r>
            <w:t>84</w:t>
          </w:r>
          <w:r>
            <w:fldChar w:fldCharType="end"/>
          </w:r>
          <w:r>
            <w:fldChar w:fldCharType="end"/>
          </w:r>
        </w:p>
        <w:p>
          <w:r>
            <w:fldChar w:fldCharType="end"/>
          </w:r>
        </w:p>
      </w:sdtContent>
    </w:sdt>
    <w:p>
      <w:pPr>
        <w:pStyle w:val="3"/>
        <w:jc w:val="center"/>
        <w:rPr>
          <w:rFonts w:ascii="黑体" w:eastAsia="黑体"/>
          <w:color w:val="auto"/>
          <w:sz w:val="32"/>
          <w:szCs w:val="32"/>
          <w:highlight w:val="none"/>
        </w:rPr>
      </w:pPr>
      <w:bookmarkStart w:id="16" w:name="_Toc24747"/>
      <w:r>
        <w:rPr>
          <w:rFonts w:hint="eastAsia" w:ascii="黑体" w:hAnsi="黑体" w:eastAsia="黑体"/>
          <w:b w:val="0"/>
          <w:color w:val="auto"/>
          <w:highlight w:val="none"/>
        </w:rPr>
        <w:t xml:space="preserve">第一部分 </w:t>
      </w:r>
      <w:r>
        <w:rPr>
          <w:rStyle w:val="31"/>
          <w:rFonts w:hint="eastAsia" w:ascii="黑体" w:hAnsi="黑体" w:eastAsia="黑体"/>
          <w:b w:val="0"/>
          <w:bCs w:val="0"/>
          <w:color w:val="auto"/>
          <w:highlight w:val="none"/>
        </w:rPr>
        <w:t>部门概况</w:t>
      </w:r>
      <w:bookmarkEnd w:id="14"/>
      <w:bookmarkEnd w:id="15"/>
      <w:bookmarkEnd w:id="16"/>
    </w:p>
    <w:p>
      <w:pPr>
        <w:pStyle w:val="5"/>
        <w:pageBreakBefore w:val="0"/>
        <w:numPr>
          <w:ilvl w:val="0"/>
          <w:numId w:val="0"/>
        </w:numPr>
        <w:kinsoku/>
        <w:wordWrap/>
        <w:overflowPunct/>
        <w:topLinePunct w:val="0"/>
        <w:autoSpaceDE/>
        <w:autoSpaceDN/>
        <w:bidi w:val="0"/>
        <w:spacing w:before="0" w:after="0" w:line="576" w:lineRule="exact"/>
        <w:ind w:firstLine="640" w:firstLineChars="200"/>
        <w:textAlignment w:val="auto"/>
        <w:rPr>
          <w:rFonts w:hint="eastAsia" w:ascii="黑体" w:hAnsi="黑体" w:eastAsia="黑体"/>
          <w:b w:val="0"/>
          <w:color w:val="auto"/>
          <w:highlight w:val="none"/>
          <w:lang w:eastAsia="zh-CN"/>
        </w:rPr>
      </w:pPr>
      <w:bookmarkStart w:id="17" w:name="_Toc19655"/>
      <w:r>
        <w:rPr>
          <w:rFonts w:hint="eastAsia" w:ascii="黑体" w:hAnsi="黑体" w:eastAsia="黑体" w:cstheme="majorBidi"/>
          <w:b w:val="0"/>
          <w:bCs/>
          <w:color w:val="auto"/>
          <w:kern w:val="2"/>
          <w:sz w:val="32"/>
          <w:szCs w:val="32"/>
          <w:lang w:val="en-US" w:eastAsia="zh-CN" w:bidi="ar-SA"/>
        </w:rPr>
        <w:t>一、</w:t>
      </w:r>
      <w:r>
        <w:rPr>
          <w:rFonts w:hint="eastAsia" w:ascii="黑体" w:hAnsi="黑体" w:eastAsia="黑体"/>
          <w:b w:val="0"/>
          <w:color w:val="auto"/>
          <w:highlight w:val="none"/>
          <w:lang w:eastAsia="zh-CN"/>
        </w:rPr>
        <w:t>部门职责</w:t>
      </w:r>
      <w:bookmarkEnd w:id="17"/>
    </w:p>
    <w:p>
      <w:pPr>
        <w:pStyle w:val="15"/>
        <w:pageBreakBefore w:val="0"/>
        <w:shd w:val="clear" w:color="auto" w:fill="FFFFFF"/>
        <w:kinsoku/>
        <w:wordWrap/>
        <w:overflowPunct/>
        <w:topLinePunct w:val="0"/>
        <w:autoSpaceDE/>
        <w:autoSpaceDN/>
        <w:bidi w:val="0"/>
        <w:spacing w:before="0" w:beforeAutospacing="0" w:after="0" w:afterAutospacing="0" w:line="576" w:lineRule="exact"/>
        <w:ind w:firstLine="480"/>
        <w:textAlignment w:val="auto"/>
        <w:outlineLvl w:val="2"/>
        <w:rPr>
          <w:rFonts w:hint="eastAsia" w:ascii="楷体_GB2312" w:hAnsi="楷体_GB2312" w:eastAsia="楷体_GB2312" w:cs="楷体_GB2312"/>
          <w:bCs/>
          <w:sz w:val="32"/>
          <w:szCs w:val="32"/>
        </w:rPr>
      </w:pPr>
      <w:bookmarkStart w:id="18" w:name="_Toc15758"/>
      <w:bookmarkStart w:id="19" w:name="_Toc15377198"/>
      <w:bookmarkStart w:id="20" w:name="_Toc15378445"/>
      <w:r>
        <w:rPr>
          <w:rFonts w:hint="eastAsia" w:ascii="楷体_GB2312" w:hAnsi="楷体_GB2312" w:eastAsia="楷体_GB2312" w:cs="楷体_GB2312"/>
          <w:bCs/>
          <w:sz w:val="32"/>
          <w:szCs w:val="32"/>
        </w:rPr>
        <w:t>（一）主要职能</w:t>
      </w:r>
      <w:bookmarkEnd w:id="18"/>
    </w:p>
    <w:p>
      <w:pPr>
        <w:pStyle w:val="15"/>
        <w:pageBreakBefore w:val="0"/>
        <w:shd w:val="clear" w:color="auto" w:fill="FFFFFF"/>
        <w:kinsoku/>
        <w:wordWrap/>
        <w:overflowPunct/>
        <w:topLinePunct w:val="0"/>
        <w:autoSpaceDE/>
        <w:autoSpaceDN/>
        <w:bidi w:val="0"/>
        <w:spacing w:before="0" w:beforeAutospacing="0" w:after="0" w:afterAutospacing="0" w:line="576" w:lineRule="exact"/>
        <w:ind w:firstLine="640" w:firstLineChars="200"/>
        <w:textAlignment w:val="auto"/>
        <w:rPr>
          <w:rFonts w:ascii="仿宋" w:hAnsi="仿宋" w:eastAsia="仿宋" w:cs="Times New Roman"/>
          <w:bCs/>
          <w:color w:val="000000"/>
          <w:sz w:val="32"/>
          <w:szCs w:val="32"/>
        </w:rPr>
      </w:pPr>
      <w:r>
        <w:rPr>
          <w:rFonts w:ascii="仿宋" w:hAnsi="仿宋" w:eastAsia="仿宋" w:cs="Times New Roman"/>
          <w:bCs/>
          <w:color w:val="000000"/>
          <w:sz w:val="32"/>
          <w:szCs w:val="32"/>
        </w:rPr>
        <w:t>1</w:t>
      </w:r>
      <w:r>
        <w:rPr>
          <w:rFonts w:hint="eastAsia" w:ascii="仿宋" w:hAnsi="仿宋" w:eastAsia="仿宋" w:cs="Times New Roman"/>
          <w:bCs/>
          <w:color w:val="000000"/>
          <w:sz w:val="32"/>
          <w:szCs w:val="32"/>
        </w:rPr>
        <w:t>、贯彻执行国家、省、市有关综合行政执法、城乡环境综合治理、环境卫生管理工作的方针政策和法律法规。</w:t>
      </w:r>
    </w:p>
    <w:p>
      <w:pPr>
        <w:pageBreakBefore w:val="0"/>
        <w:widowControl/>
        <w:shd w:val="clear" w:color="auto" w:fill="FFFFFF"/>
        <w:kinsoku/>
        <w:wordWrap/>
        <w:overflowPunct/>
        <w:topLinePunct w:val="0"/>
        <w:autoSpaceDE/>
        <w:autoSpaceDN/>
        <w:bidi w:val="0"/>
        <w:spacing w:line="576" w:lineRule="exact"/>
        <w:jc w:val="left"/>
        <w:textAlignment w:val="auto"/>
        <w:rPr>
          <w:rFonts w:ascii="仿宋" w:hAnsi="仿宋" w:eastAsia="仿宋"/>
          <w:bCs/>
          <w:color w:val="000000"/>
          <w:kern w:val="0"/>
          <w:sz w:val="32"/>
          <w:szCs w:val="32"/>
        </w:rPr>
      </w:pPr>
      <w:r>
        <w:rPr>
          <w:rFonts w:ascii="仿宋" w:hAnsi="仿宋" w:eastAsia="仿宋"/>
          <w:bCs/>
          <w:color w:val="000000"/>
          <w:kern w:val="0"/>
          <w:sz w:val="32"/>
          <w:szCs w:val="32"/>
        </w:rPr>
        <w:t>   </w:t>
      </w:r>
      <w:r>
        <w:rPr>
          <w:rFonts w:hint="eastAsia" w:ascii="仿宋" w:hAnsi="仿宋" w:eastAsia="仿宋"/>
          <w:bCs/>
          <w:color w:val="000000"/>
          <w:kern w:val="0"/>
          <w:sz w:val="32"/>
          <w:szCs w:val="32"/>
          <w:lang w:val="en-US" w:eastAsia="zh-CN"/>
        </w:rPr>
        <w:t xml:space="preserve">  </w:t>
      </w:r>
      <w:r>
        <w:rPr>
          <w:rFonts w:ascii="仿宋" w:hAnsi="仿宋" w:eastAsia="仿宋"/>
          <w:bCs/>
          <w:color w:val="000000"/>
          <w:kern w:val="0"/>
          <w:sz w:val="32"/>
          <w:szCs w:val="32"/>
        </w:rPr>
        <w:t>2</w:t>
      </w:r>
      <w:r>
        <w:rPr>
          <w:rFonts w:hint="eastAsia" w:ascii="仿宋" w:hAnsi="仿宋" w:eastAsia="仿宋"/>
          <w:bCs/>
          <w:color w:val="000000"/>
          <w:kern w:val="0"/>
          <w:sz w:val="32"/>
          <w:szCs w:val="32"/>
        </w:rPr>
        <w:t>、负责行使原区城市城镇管理执法局</w:t>
      </w:r>
      <w:r>
        <w:rPr>
          <w:rFonts w:ascii="仿宋" w:hAnsi="仿宋" w:eastAsia="仿宋"/>
          <w:bCs/>
          <w:color w:val="000000"/>
          <w:kern w:val="0"/>
          <w:sz w:val="32"/>
          <w:szCs w:val="32"/>
        </w:rPr>
        <w:t>(</w:t>
      </w:r>
      <w:r>
        <w:rPr>
          <w:rFonts w:hint="eastAsia" w:ascii="仿宋" w:hAnsi="仿宋" w:eastAsia="仿宋"/>
          <w:bCs/>
          <w:color w:val="000000"/>
          <w:kern w:val="0"/>
          <w:sz w:val="32"/>
          <w:szCs w:val="32"/>
        </w:rPr>
        <w:t>广元市城市管理行政执法局朝天区分局</w:t>
      </w:r>
      <w:r>
        <w:rPr>
          <w:rFonts w:ascii="仿宋" w:hAnsi="仿宋" w:eastAsia="仿宋"/>
          <w:bCs/>
          <w:color w:val="000000"/>
          <w:kern w:val="0"/>
          <w:sz w:val="32"/>
          <w:szCs w:val="32"/>
        </w:rPr>
        <w:t>)</w:t>
      </w:r>
      <w:r>
        <w:rPr>
          <w:rFonts w:hint="eastAsia" w:ascii="仿宋" w:hAnsi="仿宋" w:eastAsia="仿宋"/>
          <w:bCs/>
          <w:color w:val="000000"/>
          <w:kern w:val="0"/>
          <w:sz w:val="32"/>
          <w:szCs w:val="32"/>
        </w:rPr>
        <w:t>、区住房和城乡建设局、区财政局、区经济和信息化局、区商务局等部门行使的行政执法权。</w:t>
      </w:r>
    </w:p>
    <w:p>
      <w:pPr>
        <w:pageBreakBefore w:val="0"/>
        <w:widowControl/>
        <w:shd w:val="clear" w:color="auto" w:fill="FFFFFF"/>
        <w:kinsoku/>
        <w:wordWrap/>
        <w:overflowPunct/>
        <w:topLinePunct w:val="0"/>
        <w:autoSpaceDE/>
        <w:autoSpaceDN/>
        <w:bidi w:val="0"/>
        <w:spacing w:line="576" w:lineRule="exact"/>
        <w:jc w:val="left"/>
        <w:textAlignment w:val="auto"/>
        <w:rPr>
          <w:rFonts w:ascii="仿宋" w:hAnsi="仿宋" w:eastAsia="仿宋"/>
          <w:bCs/>
          <w:color w:val="000000"/>
          <w:kern w:val="0"/>
          <w:sz w:val="32"/>
          <w:szCs w:val="32"/>
        </w:rPr>
      </w:pPr>
      <w:r>
        <w:rPr>
          <w:rFonts w:ascii="仿宋" w:hAnsi="仿宋" w:eastAsia="仿宋"/>
          <w:bCs/>
          <w:color w:val="000000"/>
          <w:kern w:val="0"/>
          <w:sz w:val="32"/>
          <w:szCs w:val="32"/>
        </w:rPr>
        <w:t> </w:t>
      </w:r>
      <w:r>
        <w:rPr>
          <w:rFonts w:hint="eastAsia" w:ascii="仿宋" w:hAnsi="仿宋" w:eastAsia="仿宋"/>
          <w:bCs/>
          <w:color w:val="000000"/>
          <w:kern w:val="0"/>
          <w:sz w:val="32"/>
          <w:szCs w:val="32"/>
          <w:lang w:val="en-US" w:eastAsia="zh-CN"/>
        </w:rPr>
        <w:t xml:space="preserve">   </w:t>
      </w:r>
      <w:r>
        <w:rPr>
          <w:rFonts w:ascii="仿宋" w:hAnsi="仿宋" w:eastAsia="仿宋"/>
          <w:bCs/>
          <w:color w:val="000000"/>
          <w:kern w:val="0"/>
          <w:sz w:val="32"/>
          <w:szCs w:val="32"/>
        </w:rPr>
        <w:t>3</w:t>
      </w:r>
      <w:r>
        <w:rPr>
          <w:rFonts w:hint="eastAsia" w:ascii="仿宋" w:hAnsi="仿宋" w:eastAsia="仿宋"/>
          <w:bCs/>
          <w:color w:val="000000"/>
          <w:kern w:val="0"/>
          <w:sz w:val="32"/>
          <w:szCs w:val="32"/>
        </w:rPr>
        <w:t>、实施授权行政处罚权相关的行政检查权、行政命令权和法律、法规规定的相应行政强制权</w:t>
      </w:r>
      <w:r>
        <w:rPr>
          <w:rFonts w:ascii="仿宋" w:hAnsi="仿宋" w:eastAsia="仿宋"/>
          <w:bCs/>
          <w:color w:val="000000"/>
          <w:kern w:val="0"/>
          <w:sz w:val="32"/>
          <w:szCs w:val="32"/>
        </w:rPr>
        <w:t>;</w:t>
      </w:r>
      <w:r>
        <w:rPr>
          <w:rFonts w:hint="eastAsia" w:ascii="仿宋" w:hAnsi="仿宋" w:eastAsia="仿宋"/>
          <w:bCs/>
          <w:color w:val="000000"/>
          <w:kern w:val="0"/>
          <w:sz w:val="32"/>
          <w:szCs w:val="32"/>
        </w:rPr>
        <w:t>负责派出机构综合执法队伍建设和业务指导。</w:t>
      </w:r>
    </w:p>
    <w:p>
      <w:pPr>
        <w:pageBreakBefore w:val="0"/>
        <w:widowControl/>
        <w:shd w:val="clear" w:color="auto" w:fill="FFFFFF"/>
        <w:kinsoku/>
        <w:wordWrap/>
        <w:overflowPunct/>
        <w:topLinePunct w:val="0"/>
        <w:autoSpaceDE/>
        <w:autoSpaceDN/>
        <w:bidi w:val="0"/>
        <w:spacing w:line="576" w:lineRule="exact"/>
        <w:jc w:val="left"/>
        <w:textAlignment w:val="auto"/>
        <w:rPr>
          <w:rFonts w:ascii="仿宋" w:hAnsi="仿宋" w:eastAsia="仿宋"/>
          <w:bCs/>
          <w:color w:val="000000"/>
          <w:kern w:val="0"/>
          <w:sz w:val="32"/>
          <w:szCs w:val="32"/>
        </w:rPr>
      </w:pPr>
      <w:r>
        <w:rPr>
          <w:rFonts w:ascii="仿宋" w:hAnsi="仿宋" w:eastAsia="仿宋"/>
          <w:bCs/>
          <w:color w:val="000000"/>
          <w:kern w:val="0"/>
          <w:sz w:val="32"/>
          <w:szCs w:val="32"/>
        </w:rPr>
        <w:t xml:space="preserve">  </w:t>
      </w:r>
      <w:r>
        <w:rPr>
          <w:rFonts w:hint="eastAsia" w:ascii="仿宋" w:hAnsi="仿宋" w:eastAsia="仿宋"/>
          <w:bCs/>
          <w:color w:val="000000"/>
          <w:kern w:val="0"/>
          <w:sz w:val="32"/>
          <w:szCs w:val="32"/>
          <w:lang w:val="en-US" w:eastAsia="zh-CN"/>
        </w:rPr>
        <w:t xml:space="preserve">  </w:t>
      </w:r>
      <w:r>
        <w:rPr>
          <w:rFonts w:ascii="仿宋" w:hAnsi="仿宋" w:eastAsia="仿宋"/>
          <w:bCs/>
          <w:color w:val="000000"/>
          <w:kern w:val="0"/>
          <w:sz w:val="32"/>
          <w:szCs w:val="32"/>
        </w:rPr>
        <w:t>4</w:t>
      </w:r>
      <w:r>
        <w:rPr>
          <w:rFonts w:hint="eastAsia" w:ascii="仿宋" w:hAnsi="仿宋" w:eastAsia="仿宋"/>
          <w:bCs/>
          <w:color w:val="000000"/>
          <w:kern w:val="0"/>
          <w:sz w:val="32"/>
          <w:szCs w:val="32"/>
        </w:rPr>
        <w:t>、负责行使关闭、闲置、拆除生活垃圾处置设施、场所核准。</w:t>
      </w:r>
    </w:p>
    <w:p>
      <w:pPr>
        <w:pageBreakBefore w:val="0"/>
        <w:widowControl/>
        <w:shd w:val="clear" w:color="auto" w:fill="FFFFFF"/>
        <w:kinsoku/>
        <w:wordWrap/>
        <w:overflowPunct/>
        <w:topLinePunct w:val="0"/>
        <w:autoSpaceDE/>
        <w:autoSpaceDN/>
        <w:bidi w:val="0"/>
        <w:spacing w:line="576" w:lineRule="exact"/>
        <w:jc w:val="left"/>
        <w:textAlignment w:val="auto"/>
        <w:rPr>
          <w:rFonts w:ascii="仿宋" w:hAnsi="仿宋" w:eastAsia="仿宋"/>
          <w:bCs/>
          <w:color w:val="000000"/>
          <w:kern w:val="0"/>
          <w:sz w:val="32"/>
          <w:szCs w:val="32"/>
        </w:rPr>
      </w:pPr>
      <w:r>
        <w:rPr>
          <w:rFonts w:ascii="仿宋" w:hAnsi="仿宋" w:eastAsia="仿宋"/>
          <w:bCs/>
          <w:color w:val="000000"/>
          <w:kern w:val="0"/>
          <w:sz w:val="32"/>
          <w:szCs w:val="32"/>
        </w:rPr>
        <w:t> </w:t>
      </w:r>
      <w:r>
        <w:rPr>
          <w:rFonts w:hint="eastAsia" w:ascii="仿宋" w:hAnsi="仿宋" w:eastAsia="仿宋"/>
          <w:bCs/>
          <w:color w:val="000000"/>
          <w:kern w:val="0"/>
          <w:sz w:val="32"/>
          <w:szCs w:val="32"/>
          <w:lang w:val="en-US" w:eastAsia="zh-CN"/>
        </w:rPr>
        <w:t xml:space="preserve">  </w:t>
      </w:r>
      <w:r>
        <w:rPr>
          <w:rFonts w:ascii="仿宋" w:hAnsi="仿宋" w:eastAsia="仿宋"/>
          <w:bCs/>
          <w:color w:val="000000"/>
          <w:kern w:val="0"/>
          <w:sz w:val="32"/>
          <w:szCs w:val="32"/>
        </w:rPr>
        <w:t xml:space="preserve"> 5</w:t>
      </w:r>
      <w:r>
        <w:rPr>
          <w:rFonts w:hint="eastAsia" w:ascii="仿宋" w:hAnsi="仿宋" w:eastAsia="仿宋"/>
          <w:bCs/>
          <w:color w:val="000000"/>
          <w:kern w:val="0"/>
          <w:sz w:val="32"/>
          <w:szCs w:val="32"/>
        </w:rPr>
        <w:t>、负责组织开展全区城乡环境综合治理和爱国卫生运动工作。</w:t>
      </w:r>
    </w:p>
    <w:p>
      <w:pPr>
        <w:pageBreakBefore w:val="0"/>
        <w:widowControl/>
        <w:shd w:val="clear" w:color="auto" w:fill="FFFFFF"/>
        <w:kinsoku/>
        <w:wordWrap/>
        <w:overflowPunct/>
        <w:topLinePunct w:val="0"/>
        <w:autoSpaceDE/>
        <w:autoSpaceDN/>
        <w:bidi w:val="0"/>
        <w:spacing w:line="576" w:lineRule="exact"/>
        <w:jc w:val="left"/>
        <w:textAlignment w:val="auto"/>
        <w:rPr>
          <w:rFonts w:ascii="仿宋" w:hAnsi="仿宋" w:eastAsia="仿宋"/>
          <w:bCs/>
          <w:color w:val="000000"/>
          <w:kern w:val="0"/>
          <w:sz w:val="32"/>
          <w:szCs w:val="32"/>
        </w:rPr>
      </w:pPr>
      <w:r>
        <w:rPr>
          <w:rFonts w:ascii="仿宋" w:hAnsi="仿宋" w:eastAsia="仿宋"/>
          <w:bCs/>
          <w:color w:val="000000"/>
          <w:kern w:val="0"/>
          <w:sz w:val="32"/>
          <w:szCs w:val="32"/>
        </w:rPr>
        <w:t xml:space="preserve">  </w:t>
      </w:r>
      <w:r>
        <w:rPr>
          <w:rFonts w:hint="eastAsia" w:ascii="仿宋" w:hAnsi="仿宋" w:eastAsia="仿宋"/>
          <w:bCs/>
          <w:color w:val="000000"/>
          <w:kern w:val="0"/>
          <w:sz w:val="32"/>
          <w:szCs w:val="32"/>
          <w:lang w:val="en-US" w:eastAsia="zh-CN"/>
        </w:rPr>
        <w:t xml:space="preserve">  </w:t>
      </w:r>
      <w:r>
        <w:rPr>
          <w:rFonts w:ascii="仿宋" w:hAnsi="仿宋" w:eastAsia="仿宋"/>
          <w:bCs/>
          <w:color w:val="000000"/>
          <w:kern w:val="0"/>
          <w:sz w:val="32"/>
          <w:szCs w:val="32"/>
        </w:rPr>
        <w:t>6</w:t>
      </w:r>
      <w:r>
        <w:rPr>
          <w:rFonts w:hint="eastAsia" w:ascii="仿宋" w:hAnsi="仿宋" w:eastAsia="仿宋"/>
          <w:bCs/>
          <w:color w:val="000000"/>
          <w:kern w:val="0"/>
          <w:sz w:val="32"/>
          <w:szCs w:val="32"/>
        </w:rPr>
        <w:t>、主管城区市容和环境卫生工作。</w:t>
      </w:r>
    </w:p>
    <w:p>
      <w:pPr>
        <w:pageBreakBefore w:val="0"/>
        <w:widowControl/>
        <w:shd w:val="clear" w:color="auto" w:fill="FFFFFF"/>
        <w:kinsoku/>
        <w:wordWrap/>
        <w:overflowPunct/>
        <w:topLinePunct w:val="0"/>
        <w:autoSpaceDE/>
        <w:autoSpaceDN/>
        <w:bidi w:val="0"/>
        <w:spacing w:line="576" w:lineRule="exact"/>
        <w:jc w:val="left"/>
        <w:textAlignment w:val="auto"/>
        <w:rPr>
          <w:rFonts w:ascii="仿宋" w:hAnsi="仿宋" w:eastAsia="仿宋"/>
          <w:bCs/>
          <w:color w:val="000000"/>
          <w:kern w:val="0"/>
          <w:sz w:val="32"/>
          <w:szCs w:val="32"/>
        </w:rPr>
      </w:pPr>
      <w:r>
        <w:rPr>
          <w:rFonts w:ascii="仿宋" w:hAnsi="仿宋" w:eastAsia="仿宋"/>
          <w:bCs/>
          <w:color w:val="000000"/>
          <w:kern w:val="0"/>
          <w:sz w:val="32"/>
          <w:szCs w:val="32"/>
        </w:rPr>
        <w:t xml:space="preserve">  </w:t>
      </w:r>
      <w:r>
        <w:rPr>
          <w:rFonts w:hint="eastAsia" w:ascii="仿宋" w:hAnsi="仿宋" w:eastAsia="仿宋"/>
          <w:bCs/>
          <w:color w:val="000000"/>
          <w:kern w:val="0"/>
          <w:sz w:val="32"/>
          <w:szCs w:val="32"/>
          <w:lang w:val="en-US" w:eastAsia="zh-CN"/>
        </w:rPr>
        <w:t xml:space="preserve">  </w:t>
      </w:r>
      <w:r>
        <w:rPr>
          <w:rFonts w:ascii="仿宋" w:hAnsi="仿宋" w:eastAsia="仿宋"/>
          <w:bCs/>
          <w:color w:val="000000"/>
          <w:kern w:val="0"/>
          <w:sz w:val="32"/>
          <w:szCs w:val="32"/>
        </w:rPr>
        <w:t>7</w:t>
      </w:r>
      <w:r>
        <w:rPr>
          <w:rFonts w:hint="eastAsia" w:ascii="仿宋" w:hAnsi="仿宋" w:eastAsia="仿宋"/>
          <w:bCs/>
          <w:color w:val="000000"/>
          <w:kern w:val="0"/>
          <w:sz w:val="32"/>
          <w:szCs w:val="32"/>
        </w:rPr>
        <w:t>、负责有关法律法规的宣传工作，受理综合行政执法、城乡环境综合治理、城区市容和环境卫生管理工作相关的信访和群众投诉。</w:t>
      </w:r>
    </w:p>
    <w:p>
      <w:pPr>
        <w:pageBreakBefore w:val="0"/>
        <w:widowControl/>
        <w:shd w:val="clear" w:color="auto" w:fill="FFFFFF"/>
        <w:kinsoku/>
        <w:wordWrap/>
        <w:overflowPunct/>
        <w:topLinePunct w:val="0"/>
        <w:autoSpaceDE/>
        <w:autoSpaceDN/>
        <w:bidi w:val="0"/>
        <w:spacing w:line="576" w:lineRule="exact"/>
        <w:jc w:val="left"/>
        <w:textAlignment w:val="auto"/>
        <w:rPr>
          <w:rFonts w:ascii="仿宋" w:hAnsi="仿宋" w:eastAsia="仿宋"/>
          <w:bCs/>
          <w:color w:val="000000"/>
          <w:kern w:val="0"/>
          <w:sz w:val="32"/>
          <w:szCs w:val="32"/>
        </w:rPr>
      </w:pPr>
      <w:r>
        <w:rPr>
          <w:rFonts w:ascii="仿宋" w:hAnsi="仿宋" w:eastAsia="仿宋"/>
          <w:bCs/>
          <w:color w:val="000000"/>
          <w:kern w:val="0"/>
          <w:sz w:val="32"/>
          <w:szCs w:val="32"/>
        </w:rPr>
        <w:t xml:space="preserve">  </w:t>
      </w:r>
      <w:r>
        <w:rPr>
          <w:rFonts w:hint="eastAsia" w:ascii="仿宋" w:hAnsi="仿宋" w:eastAsia="仿宋"/>
          <w:bCs/>
          <w:color w:val="000000"/>
          <w:kern w:val="0"/>
          <w:sz w:val="32"/>
          <w:szCs w:val="32"/>
          <w:lang w:val="en-US" w:eastAsia="zh-CN"/>
        </w:rPr>
        <w:t xml:space="preserve">  </w:t>
      </w:r>
      <w:r>
        <w:rPr>
          <w:rFonts w:ascii="仿宋" w:hAnsi="仿宋" w:eastAsia="仿宋"/>
          <w:bCs/>
          <w:color w:val="000000"/>
          <w:kern w:val="0"/>
          <w:sz w:val="32"/>
          <w:szCs w:val="32"/>
        </w:rPr>
        <w:t>8</w:t>
      </w:r>
      <w:r>
        <w:rPr>
          <w:rFonts w:hint="eastAsia" w:ascii="仿宋" w:hAnsi="仿宋" w:eastAsia="仿宋"/>
          <w:bCs/>
          <w:color w:val="000000"/>
          <w:kern w:val="0"/>
          <w:sz w:val="32"/>
          <w:szCs w:val="32"/>
        </w:rPr>
        <w:t>、负责编制全区综合行政执法、城乡环境综合治理、市容和环境卫生工作经费年度计划，会同有关部门对职能职责相关的行政事业性收费工作进行监督管理。</w:t>
      </w:r>
    </w:p>
    <w:p>
      <w:pPr>
        <w:pageBreakBefore w:val="0"/>
        <w:widowControl/>
        <w:shd w:val="clear" w:color="auto" w:fill="FFFFFF"/>
        <w:kinsoku/>
        <w:wordWrap/>
        <w:overflowPunct/>
        <w:topLinePunct w:val="0"/>
        <w:autoSpaceDE/>
        <w:autoSpaceDN/>
        <w:bidi w:val="0"/>
        <w:spacing w:line="576" w:lineRule="exact"/>
        <w:jc w:val="left"/>
        <w:textAlignment w:val="auto"/>
        <w:rPr>
          <w:rFonts w:ascii="仿宋" w:hAnsi="仿宋" w:eastAsia="仿宋"/>
          <w:bCs/>
          <w:color w:val="000000"/>
          <w:kern w:val="0"/>
          <w:sz w:val="32"/>
          <w:szCs w:val="32"/>
        </w:rPr>
      </w:pPr>
      <w:r>
        <w:rPr>
          <w:rFonts w:ascii="仿宋" w:hAnsi="仿宋" w:eastAsia="仿宋"/>
          <w:bCs/>
          <w:color w:val="000000"/>
          <w:kern w:val="0"/>
          <w:sz w:val="32"/>
          <w:szCs w:val="32"/>
        </w:rPr>
        <w:t xml:space="preserve">  </w:t>
      </w:r>
      <w:r>
        <w:rPr>
          <w:rFonts w:hint="eastAsia" w:ascii="仿宋" w:hAnsi="仿宋" w:eastAsia="仿宋"/>
          <w:bCs/>
          <w:color w:val="000000"/>
          <w:kern w:val="0"/>
          <w:sz w:val="32"/>
          <w:szCs w:val="32"/>
          <w:lang w:val="en-US" w:eastAsia="zh-CN"/>
        </w:rPr>
        <w:t xml:space="preserve">  </w:t>
      </w:r>
      <w:r>
        <w:rPr>
          <w:rFonts w:ascii="仿宋" w:hAnsi="仿宋" w:eastAsia="仿宋"/>
          <w:bCs/>
          <w:color w:val="000000"/>
          <w:kern w:val="0"/>
          <w:sz w:val="32"/>
          <w:szCs w:val="32"/>
        </w:rPr>
        <w:t>9</w:t>
      </w:r>
      <w:r>
        <w:rPr>
          <w:rFonts w:hint="eastAsia" w:ascii="仿宋" w:hAnsi="仿宋" w:eastAsia="仿宋"/>
          <w:bCs/>
          <w:color w:val="000000"/>
          <w:kern w:val="0"/>
          <w:sz w:val="32"/>
          <w:szCs w:val="32"/>
        </w:rPr>
        <w:t>、完成区委、区政府交办的其它任务。</w:t>
      </w:r>
    </w:p>
    <w:bookmarkEnd w:id="19"/>
    <w:bookmarkEnd w:id="20"/>
    <w:p>
      <w:pPr>
        <w:pStyle w:val="7"/>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rFonts w:hint="eastAsia" w:ascii="楷体_GB2312" w:hAnsi="楷体_GB2312" w:eastAsia="楷体_GB2312" w:cs="楷体_GB2312"/>
          <w:bCs/>
          <w:sz w:val="32"/>
          <w:szCs w:val="32"/>
        </w:rPr>
      </w:pPr>
      <w:bookmarkStart w:id="21" w:name="_Toc15378446"/>
      <w:bookmarkStart w:id="22" w:name="_Toc15377199"/>
      <w:bookmarkStart w:id="23" w:name="_Toc12633"/>
      <w:r>
        <w:rPr>
          <w:rFonts w:hint="eastAsia" w:ascii="楷体_GB2312" w:hAnsi="楷体_GB2312" w:eastAsia="楷体_GB2312" w:cs="楷体_GB2312"/>
          <w:bCs/>
          <w:sz w:val="32"/>
          <w:szCs w:val="32"/>
        </w:rPr>
        <w:t>（二）202</w:t>
      </w:r>
      <w:r>
        <w:rPr>
          <w:rFonts w:hint="eastAsia" w:ascii="楷体_GB2312" w:hAnsi="楷体_GB2312" w:eastAsia="楷体_GB2312" w:cs="楷体_GB2312"/>
          <w:bCs/>
          <w:sz w:val="32"/>
          <w:szCs w:val="32"/>
          <w:lang w:val="en-US" w:eastAsia="zh-CN"/>
        </w:rPr>
        <w:t>2</w:t>
      </w:r>
      <w:r>
        <w:rPr>
          <w:rFonts w:hint="eastAsia" w:ascii="楷体_GB2312" w:hAnsi="楷体_GB2312" w:eastAsia="楷体_GB2312" w:cs="楷体_GB2312"/>
          <w:bCs/>
          <w:sz w:val="32"/>
          <w:szCs w:val="32"/>
        </w:rPr>
        <w:t>年重点工作完成情况</w:t>
      </w:r>
      <w:bookmarkEnd w:id="21"/>
      <w:bookmarkEnd w:id="22"/>
      <w:bookmarkEnd w:id="23"/>
    </w:p>
    <w:p>
      <w:pPr>
        <w:pStyle w:val="15"/>
        <w:pageBreakBefore w:val="0"/>
        <w:widowControl w:val="0"/>
        <w:kinsoku/>
        <w:wordWrap/>
        <w:overflowPunct/>
        <w:topLinePunct w:val="0"/>
        <w:autoSpaceDE/>
        <w:autoSpaceDN/>
        <w:bidi w:val="0"/>
        <w:spacing w:before="0" w:beforeAutospacing="0" w:after="0" w:afterAutospacing="0" w:line="576" w:lineRule="exact"/>
        <w:ind w:firstLine="640" w:firstLineChars="200"/>
        <w:jc w:val="both"/>
        <w:textAlignment w:val="auto"/>
        <w:rPr>
          <w:rFonts w:ascii="黑体" w:hAnsi="黑体" w:eastAsia="黑体" w:cs="黑体"/>
          <w:color w:val="000000"/>
          <w:kern w:val="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市下目标完成情况</w:t>
      </w:r>
    </w:p>
    <w:p>
      <w:pPr>
        <w:pageBreakBefore w:val="0"/>
        <w:kinsoku/>
        <w:wordWrap/>
        <w:overflowPunct/>
        <w:topLinePunct w:val="0"/>
        <w:autoSpaceDE/>
        <w:autoSpaceDN/>
        <w:bidi w:val="0"/>
        <w:adjustRightInd w:val="0"/>
        <w:snapToGrid w:val="0"/>
        <w:spacing w:line="576" w:lineRule="exact"/>
        <w:ind w:firstLine="640" w:firstLineChars="200"/>
        <w:textAlignment w:val="auto"/>
        <w:rPr>
          <w:rFonts w:ascii="仿宋_GB2312" w:hAnsi="方正仿宋简体" w:eastAsia="仿宋_GB2312"/>
          <w:sz w:val="32"/>
          <w:szCs w:val="32"/>
        </w:rPr>
      </w:pPr>
      <w:r>
        <w:rPr>
          <w:rFonts w:hint="eastAsia" w:ascii="仿宋_GB2312" w:hAnsi="方正仿宋简体" w:eastAsia="仿宋_GB2312"/>
          <w:sz w:val="32"/>
          <w:szCs w:val="32"/>
        </w:rPr>
        <w:t>（</w:t>
      </w:r>
      <w:r>
        <w:rPr>
          <w:rFonts w:ascii="仿宋_GB2312" w:hAnsi="方正仿宋简体" w:eastAsia="仿宋_GB2312"/>
          <w:sz w:val="32"/>
          <w:szCs w:val="32"/>
        </w:rPr>
        <w:t>1</w:t>
      </w:r>
      <w:r>
        <w:rPr>
          <w:rFonts w:hint="eastAsia" w:ascii="仿宋_GB2312" w:hAnsi="方正仿宋简体" w:eastAsia="仿宋_GB2312"/>
          <w:sz w:val="32"/>
          <w:szCs w:val="32"/>
        </w:rPr>
        <w:t>）城乡环境综合治理方面。创建农村生活垃圾分类示范乡镇</w:t>
      </w:r>
      <w:r>
        <w:rPr>
          <w:rFonts w:ascii="仿宋_GB2312" w:hAnsi="方正仿宋简体" w:eastAsia="仿宋_GB2312"/>
          <w:sz w:val="32"/>
          <w:szCs w:val="32"/>
        </w:rPr>
        <w:t>1</w:t>
      </w:r>
      <w:r>
        <w:rPr>
          <w:rFonts w:hint="eastAsia" w:ascii="仿宋_GB2312" w:hAnsi="方正仿宋简体" w:eastAsia="仿宋_GB2312"/>
          <w:sz w:val="32"/>
          <w:szCs w:val="32"/>
        </w:rPr>
        <w:t>个，农村生活垃圾分类示范村（社区）</w:t>
      </w:r>
      <w:r>
        <w:rPr>
          <w:rFonts w:ascii="仿宋_GB2312" w:hAnsi="方正仿宋简体" w:eastAsia="仿宋_GB2312"/>
          <w:sz w:val="32"/>
          <w:szCs w:val="32"/>
        </w:rPr>
        <w:t>10</w:t>
      </w:r>
      <w:r>
        <w:rPr>
          <w:rFonts w:hint="eastAsia" w:ascii="仿宋_GB2312" w:hAnsi="方正仿宋简体" w:eastAsia="仿宋_GB2312"/>
          <w:sz w:val="32"/>
          <w:szCs w:val="32"/>
        </w:rPr>
        <w:t>个，均达目标任务的</w:t>
      </w:r>
      <w:r>
        <w:rPr>
          <w:rFonts w:ascii="仿宋_GB2312" w:hAnsi="方正仿宋简体" w:eastAsia="仿宋_GB2312"/>
          <w:sz w:val="32"/>
          <w:szCs w:val="32"/>
        </w:rPr>
        <w:t>100</w:t>
      </w:r>
      <w:r>
        <w:rPr>
          <w:rFonts w:hint="eastAsia" w:ascii="仿宋_GB2312" w:hAnsi="方正仿宋简体" w:eastAsia="仿宋_GB2312"/>
          <w:sz w:val="32"/>
          <w:szCs w:val="32"/>
        </w:rPr>
        <w:t>％。</w:t>
      </w:r>
    </w:p>
    <w:p>
      <w:pPr>
        <w:pageBreakBefore w:val="0"/>
        <w:kinsoku/>
        <w:wordWrap/>
        <w:overflowPunct/>
        <w:topLinePunct w:val="0"/>
        <w:autoSpaceDE/>
        <w:autoSpaceDN/>
        <w:bidi w:val="0"/>
        <w:adjustRightInd w:val="0"/>
        <w:snapToGrid w:val="0"/>
        <w:spacing w:line="576" w:lineRule="exact"/>
        <w:ind w:firstLine="640" w:firstLineChars="200"/>
        <w:textAlignment w:val="auto"/>
        <w:rPr>
          <w:rFonts w:ascii="仿宋_GB2312" w:hAnsi="方正仿宋简体" w:eastAsia="仿宋_GB2312"/>
          <w:sz w:val="32"/>
          <w:szCs w:val="32"/>
        </w:rPr>
      </w:pPr>
      <w:r>
        <w:rPr>
          <w:rFonts w:hint="eastAsia" w:ascii="仿宋_GB2312" w:hAnsi="方正仿宋简体" w:eastAsia="仿宋_GB2312"/>
          <w:sz w:val="32"/>
          <w:szCs w:val="32"/>
        </w:rPr>
        <w:t>（</w:t>
      </w:r>
      <w:r>
        <w:rPr>
          <w:rFonts w:ascii="仿宋_GB2312" w:hAnsi="方正仿宋简体" w:eastAsia="仿宋_GB2312"/>
          <w:sz w:val="32"/>
          <w:szCs w:val="32"/>
        </w:rPr>
        <w:t>2</w:t>
      </w:r>
      <w:r>
        <w:rPr>
          <w:rFonts w:hint="eastAsia" w:ascii="仿宋_GB2312" w:hAnsi="方正仿宋简体" w:eastAsia="仿宋_GB2312"/>
          <w:sz w:val="32"/>
          <w:szCs w:val="32"/>
        </w:rPr>
        <w:t>）爱国卫生运动方面。</w:t>
      </w:r>
      <w:r>
        <w:rPr>
          <w:rFonts w:hint="eastAsia" w:ascii="仿宋_GB2312" w:hAnsi="方正仿宋简体" w:eastAsia="仿宋_GB2312"/>
          <w:sz w:val="32"/>
          <w:szCs w:val="32"/>
          <w:lang w:val="en-US" w:eastAsia="zh-CN"/>
        </w:rPr>
        <w:t>城区</w:t>
      </w:r>
      <w:r>
        <w:rPr>
          <w:rFonts w:hint="eastAsia" w:ascii="仿宋_GB2312" w:hAnsi="方正仿宋简体" w:eastAsia="仿宋_GB2312"/>
          <w:sz w:val="32"/>
          <w:szCs w:val="32"/>
        </w:rPr>
        <w:t>国家卫生城市</w:t>
      </w:r>
      <w:r>
        <w:rPr>
          <w:rFonts w:hint="eastAsia" w:ascii="仿宋_GB2312" w:hAnsi="方正仿宋简体" w:eastAsia="仿宋_GB2312"/>
          <w:sz w:val="32"/>
          <w:szCs w:val="32"/>
          <w:lang w:val="en-US" w:eastAsia="zh-CN"/>
        </w:rPr>
        <w:t>病媒生物防制工作顺利通过验收，</w:t>
      </w:r>
      <w:r>
        <w:rPr>
          <w:rFonts w:hint="eastAsia" w:ascii="仿宋_GB2312" w:hAnsi="方正仿宋简体" w:eastAsia="仿宋_GB2312"/>
          <w:sz w:val="32"/>
          <w:szCs w:val="32"/>
        </w:rPr>
        <w:t>迎接国家暗访复审工作顺利完成并得到国家暗访组高度评价</w:t>
      </w:r>
      <w:r>
        <w:rPr>
          <w:rFonts w:hint="eastAsia" w:ascii="仿宋_GB2312" w:hAnsi="方正仿宋简体" w:eastAsia="仿宋_GB2312"/>
          <w:sz w:val="32"/>
          <w:szCs w:val="32"/>
          <w:lang w:eastAsia="zh-CN"/>
        </w:rPr>
        <w:t>。</w:t>
      </w:r>
      <w:r>
        <w:rPr>
          <w:rFonts w:hint="eastAsia" w:ascii="仿宋_GB2312" w:hAnsi="方正仿宋简体" w:eastAsia="仿宋_GB2312"/>
          <w:sz w:val="32"/>
          <w:szCs w:val="32"/>
        </w:rPr>
        <w:t>中子镇、两河口镇</w:t>
      </w:r>
      <w:r>
        <w:rPr>
          <w:rFonts w:ascii="仿宋_GB2312" w:hAnsi="方正仿宋简体" w:eastAsia="仿宋_GB2312"/>
          <w:sz w:val="32"/>
          <w:szCs w:val="32"/>
        </w:rPr>
        <w:t>2</w:t>
      </w:r>
      <w:r>
        <w:rPr>
          <w:rFonts w:hint="eastAsia" w:ascii="仿宋_GB2312" w:hAnsi="方正仿宋简体" w:eastAsia="仿宋_GB2312"/>
          <w:sz w:val="32"/>
          <w:szCs w:val="32"/>
        </w:rPr>
        <w:t>个乡镇创建国家卫生乡镇</w:t>
      </w:r>
      <w:r>
        <w:rPr>
          <w:rFonts w:hint="eastAsia" w:ascii="仿宋_GB2312" w:hAnsi="方正仿宋简体" w:eastAsia="仿宋_GB2312"/>
          <w:sz w:val="32"/>
          <w:szCs w:val="32"/>
          <w:lang w:val="en-US" w:eastAsia="zh-CN"/>
        </w:rPr>
        <w:t>病媒生物防制工作迎接现场评估并达到C级标准。各级</w:t>
      </w:r>
      <w:r>
        <w:rPr>
          <w:rFonts w:hint="eastAsia" w:ascii="仿宋_GB2312" w:hAnsi="方正仿宋简体" w:eastAsia="仿宋_GB2312"/>
          <w:sz w:val="32"/>
          <w:szCs w:val="32"/>
        </w:rPr>
        <w:t>创建</w:t>
      </w:r>
      <w:r>
        <w:rPr>
          <w:rFonts w:hint="eastAsia" w:ascii="仿宋_GB2312" w:hAnsi="方正仿宋简体" w:eastAsia="仿宋_GB2312"/>
          <w:sz w:val="32"/>
          <w:szCs w:val="32"/>
          <w:lang w:val="en-US" w:eastAsia="zh-CN"/>
        </w:rPr>
        <w:t>工作</w:t>
      </w:r>
      <w:r>
        <w:rPr>
          <w:rFonts w:hint="eastAsia" w:ascii="仿宋_GB2312" w:hAnsi="方正仿宋简体" w:eastAsia="仿宋_GB2312"/>
          <w:sz w:val="32"/>
          <w:szCs w:val="32"/>
        </w:rPr>
        <w:t>均</w:t>
      </w:r>
      <w:r>
        <w:rPr>
          <w:rFonts w:hint="eastAsia" w:ascii="仿宋_GB2312" w:hAnsi="方正仿宋简体" w:eastAsia="仿宋_GB2312"/>
          <w:sz w:val="32"/>
          <w:szCs w:val="32"/>
          <w:lang w:val="en-US" w:eastAsia="zh-CN"/>
        </w:rPr>
        <w:t>完成</w:t>
      </w:r>
      <w:r>
        <w:rPr>
          <w:rFonts w:hint="eastAsia" w:ascii="仿宋_GB2312" w:hAnsi="方正仿宋简体" w:eastAsia="仿宋_GB2312"/>
          <w:sz w:val="32"/>
          <w:szCs w:val="32"/>
        </w:rPr>
        <w:t>目标任务的</w:t>
      </w:r>
      <w:r>
        <w:rPr>
          <w:rFonts w:ascii="仿宋_GB2312" w:hAnsi="方正仿宋简体" w:eastAsia="仿宋_GB2312"/>
          <w:sz w:val="32"/>
          <w:szCs w:val="32"/>
        </w:rPr>
        <w:t>100</w:t>
      </w:r>
      <w:r>
        <w:rPr>
          <w:rFonts w:hint="eastAsia" w:ascii="仿宋_GB2312" w:hAnsi="方正仿宋简体" w:eastAsia="仿宋_GB2312"/>
          <w:sz w:val="32"/>
          <w:szCs w:val="32"/>
        </w:rPr>
        <w:t>％。</w:t>
      </w:r>
    </w:p>
    <w:p>
      <w:pPr>
        <w:pageBreakBefore w:val="0"/>
        <w:kinsoku/>
        <w:wordWrap/>
        <w:overflowPunct/>
        <w:topLinePunct w:val="0"/>
        <w:autoSpaceDE/>
        <w:autoSpaceDN/>
        <w:bidi w:val="0"/>
        <w:adjustRightInd w:val="0"/>
        <w:snapToGrid w:val="0"/>
        <w:spacing w:line="576" w:lineRule="exact"/>
        <w:ind w:firstLine="640" w:firstLineChars="200"/>
        <w:textAlignment w:val="auto"/>
        <w:rPr>
          <w:rFonts w:ascii="仿宋_GB2312" w:hAnsi="方正仿宋简体" w:eastAsia="仿宋_GB2312"/>
          <w:sz w:val="32"/>
          <w:szCs w:val="32"/>
        </w:rPr>
      </w:pPr>
      <w:r>
        <w:rPr>
          <w:rFonts w:hint="eastAsia" w:ascii="仿宋_GB2312" w:hAnsi="方正仿宋简体" w:eastAsia="仿宋_GB2312"/>
          <w:sz w:val="32"/>
          <w:szCs w:val="32"/>
        </w:rPr>
        <w:t>（</w:t>
      </w:r>
      <w:r>
        <w:rPr>
          <w:rFonts w:ascii="仿宋_GB2312" w:hAnsi="方正仿宋简体" w:eastAsia="仿宋_GB2312"/>
          <w:sz w:val="32"/>
          <w:szCs w:val="32"/>
        </w:rPr>
        <w:t>3</w:t>
      </w:r>
      <w:r>
        <w:rPr>
          <w:rFonts w:hint="eastAsia" w:ascii="仿宋_GB2312" w:hAnsi="方正仿宋简体" w:eastAsia="仿宋_GB2312"/>
          <w:sz w:val="32"/>
          <w:szCs w:val="32"/>
        </w:rPr>
        <w:t>）城市生活垃圾分类方面。建成城市生活垃圾分类示范教育基地</w:t>
      </w:r>
      <w:r>
        <w:rPr>
          <w:rFonts w:ascii="仿宋_GB2312" w:hAnsi="方正仿宋简体" w:eastAsia="仿宋_GB2312"/>
          <w:sz w:val="32"/>
          <w:szCs w:val="32"/>
        </w:rPr>
        <w:t>1</w:t>
      </w:r>
      <w:r>
        <w:rPr>
          <w:rFonts w:hint="eastAsia" w:ascii="仿宋_GB2312" w:hAnsi="方正仿宋简体" w:eastAsia="仿宋_GB2312"/>
          <w:sz w:val="32"/>
          <w:szCs w:val="32"/>
        </w:rPr>
        <w:t>个、示范单位</w:t>
      </w:r>
      <w:r>
        <w:rPr>
          <w:rFonts w:hint="eastAsia" w:ascii="仿宋_GB2312" w:hAnsi="方正仿宋简体" w:eastAsia="仿宋_GB2312"/>
          <w:sz w:val="32"/>
          <w:szCs w:val="32"/>
          <w:lang w:val="en-US" w:eastAsia="zh-CN"/>
        </w:rPr>
        <w:t>6</w:t>
      </w:r>
      <w:r>
        <w:rPr>
          <w:rFonts w:hint="eastAsia" w:ascii="仿宋_GB2312" w:hAnsi="方正仿宋简体" w:eastAsia="仿宋_GB2312"/>
          <w:sz w:val="32"/>
          <w:szCs w:val="32"/>
        </w:rPr>
        <w:t>个，评选典型先进家庭</w:t>
      </w:r>
      <w:r>
        <w:rPr>
          <w:rFonts w:hint="eastAsia" w:ascii="仿宋_GB2312" w:hAnsi="方正仿宋简体" w:eastAsia="仿宋_GB2312"/>
          <w:sz w:val="32"/>
          <w:szCs w:val="32"/>
          <w:lang w:val="en-US" w:eastAsia="zh-CN"/>
        </w:rPr>
        <w:t>15</w:t>
      </w:r>
      <w:r>
        <w:rPr>
          <w:rFonts w:hint="eastAsia" w:ascii="仿宋_GB2312" w:hAnsi="方正仿宋简体" w:eastAsia="仿宋_GB2312"/>
          <w:sz w:val="32"/>
          <w:szCs w:val="32"/>
        </w:rPr>
        <w:t>户</w:t>
      </w:r>
      <w:r>
        <w:rPr>
          <w:rFonts w:ascii="仿宋_GB2312" w:hAnsi="方正仿宋简体" w:eastAsia="仿宋_GB2312"/>
          <w:sz w:val="32"/>
          <w:szCs w:val="32"/>
        </w:rPr>
        <w:t>,</w:t>
      </w:r>
      <w:r>
        <w:rPr>
          <w:rFonts w:hint="eastAsia" w:ascii="仿宋_GB2312" w:hAnsi="方正仿宋简体" w:eastAsia="仿宋_GB2312"/>
          <w:sz w:val="32"/>
          <w:szCs w:val="32"/>
        </w:rPr>
        <w:t>均达目标任务的</w:t>
      </w:r>
      <w:r>
        <w:rPr>
          <w:rFonts w:ascii="仿宋_GB2312" w:hAnsi="方正仿宋简体" w:eastAsia="仿宋_GB2312"/>
          <w:sz w:val="32"/>
          <w:szCs w:val="32"/>
        </w:rPr>
        <w:t>100%</w:t>
      </w:r>
      <w:r>
        <w:rPr>
          <w:rFonts w:hint="eastAsia" w:ascii="仿宋_GB2312" w:hAnsi="方正仿宋简体" w:eastAsia="仿宋_GB2312"/>
          <w:sz w:val="32"/>
          <w:szCs w:val="32"/>
        </w:rPr>
        <w:t>，垃圾分类积分制管理大力推广，体制机制进一步完善。</w:t>
      </w:r>
    </w:p>
    <w:p>
      <w:pPr>
        <w:pageBreakBefore w:val="0"/>
        <w:kinsoku/>
        <w:wordWrap/>
        <w:overflowPunct/>
        <w:topLinePunct w:val="0"/>
        <w:autoSpaceDE/>
        <w:autoSpaceDN/>
        <w:bidi w:val="0"/>
        <w:adjustRightInd w:val="0"/>
        <w:snapToGrid w:val="0"/>
        <w:spacing w:line="576" w:lineRule="exact"/>
        <w:ind w:firstLine="640" w:firstLineChars="200"/>
        <w:textAlignment w:val="auto"/>
        <w:rPr>
          <w:rFonts w:ascii="楷体_GB2312" w:hAnsi="楷体_GB2312" w:eastAsia="楷体_GB2312" w:cs="楷体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经济指标完成情况</w:t>
      </w:r>
    </w:p>
    <w:p>
      <w:pPr>
        <w:pageBreakBefore w:val="0"/>
        <w:numPr>
          <w:ilvl w:val="0"/>
          <w:numId w:val="0"/>
        </w:numPr>
        <w:kinsoku/>
        <w:wordWrap/>
        <w:overflowPunct/>
        <w:topLinePunct w:val="0"/>
        <w:autoSpaceDE/>
        <w:autoSpaceDN/>
        <w:bidi w:val="0"/>
        <w:spacing w:line="576" w:lineRule="exact"/>
        <w:ind w:firstLine="640" w:firstLineChars="200"/>
        <w:textAlignment w:val="auto"/>
        <w:rPr>
          <w:rFonts w:hint="eastAsia"/>
          <w:color w:val="FF0000"/>
          <w:lang w:eastAsia="zh-CN"/>
        </w:rPr>
      </w:pPr>
      <w:r>
        <w:rPr>
          <w:rFonts w:ascii="仿宋_GB2312" w:hAnsi="方正仿宋简体" w:eastAsia="仿宋_GB2312"/>
          <w:color w:val="000000" w:themeColor="text1"/>
          <w:sz w:val="32"/>
          <w:szCs w:val="32"/>
          <w14:textFill>
            <w14:solidFill>
              <w14:schemeClr w14:val="tx1"/>
            </w14:solidFill>
          </w14:textFill>
        </w:rPr>
        <w:t>202</w:t>
      </w:r>
      <w:r>
        <w:rPr>
          <w:rFonts w:hint="eastAsia" w:ascii="仿宋_GB2312" w:hAnsi="方正仿宋简体" w:eastAsia="仿宋_GB2312"/>
          <w:color w:val="000000" w:themeColor="text1"/>
          <w:sz w:val="32"/>
          <w:szCs w:val="32"/>
          <w:lang w:val="en-US" w:eastAsia="zh-CN"/>
          <w14:textFill>
            <w14:solidFill>
              <w14:schemeClr w14:val="tx1"/>
            </w14:solidFill>
          </w14:textFill>
        </w:rPr>
        <w:t>2</w:t>
      </w:r>
      <w:r>
        <w:rPr>
          <w:rFonts w:hint="eastAsia" w:ascii="仿宋_GB2312" w:hAnsi="方正仿宋简体" w:eastAsia="仿宋_GB2312"/>
          <w:color w:val="000000" w:themeColor="text1"/>
          <w:sz w:val="32"/>
          <w:szCs w:val="32"/>
          <w14:textFill>
            <w14:solidFill>
              <w14:schemeClr w14:val="tx1"/>
            </w14:solidFill>
          </w14:textFill>
        </w:rPr>
        <w:t>年，</w:t>
      </w:r>
      <w:r>
        <w:rPr>
          <w:rFonts w:hint="eastAsia" w:ascii="仿宋_GB2312" w:hAnsi="仿宋_GB2312" w:eastAsia="仿宋_GB2312" w:cs="仿宋_GB2312"/>
          <w:sz w:val="32"/>
          <w:szCs w:val="32"/>
        </w:rPr>
        <w:t>完成非税收入44万元，达到目标任务40万元的110%；完成固定资产投资4100万元，达到目标任务4000万元的102%；向上争取到位项目及专项补助资金822万元，达到目标任务700万元的117%；引进到位项目资金5600万元，达到目标任务5000万元的112% </w:t>
      </w:r>
      <w:r>
        <w:rPr>
          <w:rFonts w:hint="eastAsia" w:ascii="仿宋_GB2312" w:hAnsi="仿宋_GB2312" w:eastAsia="仿宋_GB2312" w:cs="仿宋_GB2312"/>
          <w:sz w:val="32"/>
          <w:szCs w:val="32"/>
          <w:lang w:eastAsia="zh-CN"/>
        </w:rPr>
        <w:t>。</w:t>
      </w:r>
    </w:p>
    <w:p>
      <w:pPr>
        <w:pStyle w:val="5"/>
        <w:pageBreakBefore w:val="0"/>
        <w:kinsoku/>
        <w:wordWrap/>
        <w:overflowPunct/>
        <w:topLinePunct w:val="0"/>
        <w:autoSpaceDE/>
        <w:autoSpaceDN/>
        <w:bidi w:val="0"/>
        <w:spacing w:before="0" w:after="0" w:line="576" w:lineRule="exact"/>
        <w:ind w:firstLine="640" w:firstLineChars="200"/>
        <w:textAlignment w:val="auto"/>
        <w:rPr>
          <w:rStyle w:val="32"/>
          <w:b w:val="0"/>
          <w:bCs w:val="0"/>
          <w:color w:val="auto"/>
          <w:highlight w:val="none"/>
        </w:rPr>
      </w:pPr>
      <w:bookmarkStart w:id="24" w:name="_Toc15396601"/>
      <w:bookmarkStart w:id="25" w:name="_Toc15377200"/>
      <w:bookmarkStart w:id="26" w:name="_Toc4934"/>
      <w:r>
        <w:rPr>
          <w:rFonts w:hint="eastAsia" w:ascii="黑体" w:eastAsia="黑体"/>
          <w:b w:val="0"/>
          <w:color w:val="auto"/>
          <w:highlight w:val="none"/>
        </w:rPr>
        <w:t>二、</w:t>
      </w:r>
      <w:r>
        <w:rPr>
          <w:rFonts w:hint="eastAsia" w:ascii="黑体" w:hAnsi="黑体" w:eastAsia="黑体"/>
          <w:b w:val="0"/>
          <w:color w:val="auto"/>
          <w:highlight w:val="none"/>
        </w:rPr>
        <w:t>机</w:t>
      </w:r>
      <w:r>
        <w:rPr>
          <w:rStyle w:val="32"/>
          <w:rFonts w:hint="eastAsia" w:ascii="黑体" w:hAnsi="黑体" w:eastAsia="黑体"/>
          <w:b w:val="0"/>
          <w:bCs w:val="0"/>
          <w:color w:val="auto"/>
          <w:highlight w:val="none"/>
        </w:rPr>
        <w:t>构设置</w:t>
      </w:r>
      <w:bookmarkEnd w:id="24"/>
      <w:bookmarkEnd w:id="25"/>
      <w:bookmarkEnd w:id="26"/>
    </w:p>
    <w:p>
      <w:pPr>
        <w:pageBreakBefore w:val="0"/>
        <w:kinsoku/>
        <w:wordWrap/>
        <w:overflowPunct/>
        <w:topLinePunct w:val="0"/>
        <w:autoSpaceDE/>
        <w:autoSpaceDN/>
        <w:bidi w:val="0"/>
        <w:spacing w:line="576" w:lineRule="exact"/>
        <w:ind w:firstLine="800" w:firstLineChars="25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区综合行政执法局</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个，参照公务员法管理的事业单位</w:t>
      </w:r>
      <w:r>
        <w:rPr>
          <w:rFonts w:hint="eastAsia" w:ascii="仿宋" w:hAnsi="仿宋" w:eastAsia="仿宋"/>
          <w:bCs/>
          <w:color w:val="auto"/>
          <w:sz w:val="32"/>
          <w:szCs w:val="32"/>
          <w:highlight w:val="none"/>
          <w:lang w:val="en-US" w:eastAsia="zh-CN"/>
        </w:rPr>
        <w:t>1</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个。</w:t>
      </w:r>
    </w:p>
    <w:p>
      <w:pPr>
        <w:pStyle w:val="7"/>
        <w:pageBreakBefore w:val="0"/>
        <w:kinsoku/>
        <w:wordWrap/>
        <w:overflowPunct/>
        <w:topLinePunct w:val="0"/>
        <w:autoSpaceDE/>
        <w:autoSpaceDN/>
        <w:bidi w:val="0"/>
        <w:adjustRightInd w:val="0"/>
        <w:snapToGrid w:val="0"/>
        <w:spacing w:beforeLines="0" w:line="576" w:lineRule="exact"/>
        <w:ind w:firstLine="672" w:firstLineChars="21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val="en-US" w:eastAsia="zh-CN"/>
        </w:rPr>
        <w:t>区综合行政执法局</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年度部门决算编制范围的二级预算单位包括：</w:t>
      </w:r>
    </w:p>
    <w:p>
      <w:pPr>
        <w:pStyle w:val="7"/>
        <w:pageBreakBefore w:val="0"/>
        <w:numPr>
          <w:ilvl w:val="0"/>
          <w:numId w:val="0"/>
        </w:numPr>
        <w:kinsoku/>
        <w:wordWrap/>
        <w:overflowPunct/>
        <w:topLinePunct w:val="0"/>
        <w:autoSpaceDE/>
        <w:autoSpaceDN/>
        <w:bidi w:val="0"/>
        <w:adjustRightInd w:val="0"/>
        <w:snapToGrid w:val="0"/>
        <w:spacing w:beforeLines="0" w:line="576" w:lineRule="exact"/>
        <w:textAlignment w:val="auto"/>
        <w:outlineLvl w:val="9"/>
        <w:rPr>
          <w:rFonts w:ascii="仿宋" w:hAnsi="仿宋" w:eastAsia="仿宋"/>
          <w:color w:val="auto"/>
          <w:sz w:val="32"/>
          <w:szCs w:val="32"/>
          <w:highlight w:val="none"/>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31"/>
          <w:rFonts w:ascii="黑体" w:hAnsi="黑体" w:eastAsia="黑体"/>
          <w:b w:val="0"/>
          <w:bCs/>
          <w:color w:val="auto"/>
          <w:highlight w:val="none"/>
        </w:rPr>
      </w:pPr>
      <w:bookmarkStart w:id="27" w:name="_Toc15377204"/>
      <w:bookmarkStart w:id="28" w:name="_Toc15396602"/>
      <w:bookmarkStart w:id="29" w:name="_Toc18050"/>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31"/>
          <w:rFonts w:hint="eastAsia" w:ascii="黑体" w:hAnsi="黑体" w:eastAsia="黑体"/>
          <w:b w:val="0"/>
          <w:bCs/>
          <w:color w:val="auto"/>
          <w:highlight w:val="none"/>
        </w:rPr>
        <w:t>部门决算情况说明</w:t>
      </w:r>
      <w:bookmarkEnd w:id="27"/>
      <w:bookmarkEnd w:id="28"/>
      <w:bookmarkEnd w:id="29"/>
    </w:p>
    <w:p>
      <w:pPr>
        <w:rPr>
          <w:color w:val="auto"/>
          <w:highlight w:val="none"/>
        </w:rPr>
      </w:pPr>
    </w:p>
    <w:p>
      <w:pPr>
        <w:pStyle w:val="30"/>
        <w:numPr>
          <w:ilvl w:val="0"/>
          <w:numId w:val="1"/>
        </w:numPr>
        <w:spacing w:line="600" w:lineRule="exact"/>
        <w:ind w:firstLineChars="0"/>
        <w:outlineLvl w:val="1"/>
        <w:rPr>
          <w:rStyle w:val="32"/>
          <w:rFonts w:ascii="黑体" w:hAnsi="黑体" w:eastAsia="黑体"/>
          <w:b w:val="0"/>
          <w:color w:val="auto"/>
          <w:highlight w:val="none"/>
        </w:rPr>
      </w:pPr>
      <w:bookmarkStart w:id="30" w:name="_Toc15396603"/>
      <w:bookmarkStart w:id="31" w:name="_Toc15377205"/>
      <w:bookmarkStart w:id="32" w:name="_Toc12024"/>
      <w:r>
        <w:rPr>
          <w:rFonts w:hint="eastAsia" w:ascii="黑体" w:hAnsi="黑体" w:eastAsia="黑体"/>
          <w:color w:val="auto"/>
          <w:sz w:val="32"/>
          <w:szCs w:val="32"/>
          <w:highlight w:val="none"/>
        </w:rPr>
        <w:t>收</w:t>
      </w:r>
      <w:r>
        <w:rPr>
          <w:rStyle w:val="32"/>
          <w:rFonts w:hint="eastAsia" w:ascii="黑体" w:hAnsi="黑体" w:eastAsia="黑体"/>
          <w:b w:val="0"/>
          <w:color w:val="auto"/>
          <w:highlight w:val="none"/>
        </w:rPr>
        <w:t>入支出决算总体情况说明</w:t>
      </w:r>
      <w:bookmarkEnd w:id="30"/>
      <w:bookmarkEnd w:id="31"/>
      <w:bookmarkEnd w:id="32"/>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1819.76</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634.82</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25.86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人员及项目减少</w:t>
      </w:r>
      <w:r>
        <w:rPr>
          <w:rFonts w:hint="eastAsia" w:ascii="仿宋" w:hAnsi="仿宋" w:eastAsia="仿宋"/>
          <w:color w:val="auto"/>
          <w:sz w:val="32"/>
          <w:szCs w:val="32"/>
          <w:highlight w:val="none"/>
          <w:lang w:eastAsia="zh-CN"/>
        </w:rPr>
        <w:t>。</w:t>
      </w:r>
    </w:p>
    <w:p>
      <w:pPr>
        <w:pStyle w:val="2"/>
        <w:ind w:left="0" w:leftChars="0" w:firstLine="0" w:firstLineChars="0"/>
        <w:jc w:val="center"/>
        <w:rPr>
          <w:rFonts w:hint="eastAsia"/>
          <w:lang w:eastAsia="zh-CN"/>
        </w:rPr>
      </w:pPr>
      <w:r>
        <w:rPr>
          <w:rFonts w:hint="eastAsia"/>
          <w:lang w:eastAsia="zh-CN"/>
        </w:rPr>
        <w:drawing>
          <wp:inline distT="0" distB="0" distL="114300" distR="114300">
            <wp:extent cx="4133215" cy="2426970"/>
            <wp:effectExtent l="4445" t="4445" r="15240" b="698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960" w:firstLineChars="300"/>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w:t>
      </w:r>
      <w:r>
        <w:rPr>
          <w:rFonts w:ascii="仿宋" w:hAnsi="仿宋" w:eastAsia="仿宋"/>
          <w:color w:val="000000" w:themeColor="text1"/>
          <w:sz w:val="32"/>
          <w:szCs w:val="32"/>
          <w:highlight w:val="none"/>
          <w14:textFill>
            <w14:solidFill>
              <w14:schemeClr w14:val="tx1"/>
            </w14:solidFill>
          </w14:textFill>
        </w:rPr>
        <w:t>1</w:t>
      </w:r>
      <w:r>
        <w:rPr>
          <w:rFonts w:hint="eastAsia" w:ascii="仿宋" w:hAnsi="仿宋" w:eastAsia="仿宋"/>
          <w:color w:val="000000" w:themeColor="text1"/>
          <w:sz w:val="32"/>
          <w:szCs w:val="32"/>
          <w:highlight w:val="none"/>
          <w14:textFill>
            <w14:solidFill>
              <w14:schemeClr w14:val="tx1"/>
            </w14:solidFill>
          </w14:textFill>
        </w:rPr>
        <w:t>：收</w:t>
      </w:r>
      <w:r>
        <w:rPr>
          <w:rFonts w:hint="eastAsia" w:ascii="仿宋" w:hAnsi="仿宋" w:eastAsia="仿宋"/>
          <w:color w:val="000000" w:themeColor="text1"/>
          <w:sz w:val="32"/>
          <w:szCs w:val="32"/>
          <w:highlight w:val="none"/>
          <w:lang w:eastAsia="zh-CN"/>
          <w14:textFill>
            <w14:solidFill>
              <w14:schemeClr w14:val="tx1"/>
            </w14:solidFill>
          </w14:textFill>
        </w:rPr>
        <w:t>入</w:t>
      </w:r>
      <w:r>
        <w:rPr>
          <w:rFonts w:hint="eastAsia" w:ascii="仿宋" w:hAnsi="仿宋" w:eastAsia="仿宋"/>
          <w:color w:val="000000" w:themeColor="text1"/>
          <w:sz w:val="32"/>
          <w:szCs w:val="32"/>
          <w:highlight w:val="none"/>
          <w14:textFill>
            <w14:solidFill>
              <w14:schemeClr w14:val="tx1"/>
            </w14:solidFill>
          </w14:textFill>
        </w:rPr>
        <w:t>决算总计变动情况图）（柱状图）</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2163.47</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291.11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11.85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人员及项目减少</w:t>
      </w:r>
      <w:r>
        <w:rPr>
          <w:rFonts w:hint="eastAsia" w:ascii="仿宋" w:hAnsi="仿宋" w:eastAsia="仿宋"/>
          <w:color w:val="auto"/>
          <w:sz w:val="32"/>
          <w:szCs w:val="32"/>
          <w:highlight w:val="none"/>
          <w:lang w:eastAsia="zh-CN"/>
        </w:rPr>
        <w:t>。</w:t>
      </w:r>
    </w:p>
    <w:p>
      <w:pPr>
        <w:spacing w:line="600" w:lineRule="exact"/>
        <w:ind w:firstLine="960" w:firstLineChars="300"/>
        <w:rPr>
          <w:rFonts w:hint="eastAsia" w:ascii="仿宋" w:hAnsi="仿宋" w:eastAsia="仿宋"/>
          <w:color w:val="000000" w:themeColor="text1"/>
          <w:sz w:val="32"/>
          <w:szCs w:val="32"/>
          <w:highlight w:val="none"/>
          <w:lang w:eastAsia="zh-CN"/>
          <w14:textFill>
            <w14:solidFill>
              <w14:schemeClr w14:val="tx1"/>
            </w14:solidFill>
          </w14:textFill>
        </w:rPr>
      </w:pPr>
      <w:r>
        <w:rPr>
          <w:rFonts w:hint="eastAsia" w:ascii="仿宋" w:hAnsi="仿宋" w:eastAsia="仿宋"/>
          <w:color w:val="000000" w:themeColor="text1"/>
          <w:sz w:val="32"/>
          <w:szCs w:val="32"/>
          <w:highlight w:val="none"/>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785495</wp:posOffset>
            </wp:positionH>
            <wp:positionV relativeFrom="paragraph">
              <wp:posOffset>104775</wp:posOffset>
            </wp:positionV>
            <wp:extent cx="4180840" cy="2255520"/>
            <wp:effectExtent l="4445" t="4445" r="5715" b="6985"/>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960" w:firstLineChars="300"/>
        <w:rPr>
          <w:rFonts w:hint="eastAsia" w:ascii="仿宋" w:hAnsi="仿宋" w:eastAsia="仿宋"/>
          <w:color w:val="000000" w:themeColor="text1"/>
          <w:sz w:val="32"/>
          <w:szCs w:val="32"/>
          <w:highlight w:val="none"/>
          <w14:textFill>
            <w14:solidFill>
              <w14:schemeClr w14:val="tx1"/>
            </w14:solidFill>
          </w14:textFill>
        </w:rPr>
      </w:pPr>
    </w:p>
    <w:p>
      <w:pPr>
        <w:spacing w:line="600" w:lineRule="exact"/>
        <w:ind w:firstLine="960" w:firstLineChars="300"/>
        <w:rPr>
          <w:rFonts w:hint="eastAsia" w:ascii="仿宋" w:hAnsi="仿宋" w:eastAsia="仿宋"/>
          <w:color w:val="000000" w:themeColor="text1"/>
          <w:sz w:val="32"/>
          <w:szCs w:val="32"/>
          <w:highlight w:val="none"/>
          <w14:textFill>
            <w14:solidFill>
              <w14:schemeClr w14:val="tx1"/>
            </w14:solidFill>
          </w14:textFill>
        </w:rPr>
      </w:pPr>
    </w:p>
    <w:p>
      <w:pPr>
        <w:spacing w:line="600" w:lineRule="exact"/>
        <w:ind w:firstLine="960" w:firstLineChars="300"/>
        <w:rPr>
          <w:rFonts w:hint="eastAsia" w:ascii="仿宋" w:hAnsi="仿宋" w:eastAsia="仿宋"/>
          <w:color w:val="000000" w:themeColor="text1"/>
          <w:sz w:val="32"/>
          <w:szCs w:val="32"/>
          <w:highlight w:val="none"/>
          <w14:textFill>
            <w14:solidFill>
              <w14:schemeClr w14:val="tx1"/>
            </w14:solidFill>
          </w14:textFill>
        </w:rPr>
      </w:pPr>
    </w:p>
    <w:p>
      <w:pPr>
        <w:spacing w:line="600" w:lineRule="exact"/>
        <w:ind w:firstLine="960" w:firstLineChars="300"/>
        <w:rPr>
          <w:rFonts w:hint="eastAsia" w:ascii="仿宋" w:hAnsi="仿宋" w:eastAsia="仿宋"/>
          <w:color w:val="000000" w:themeColor="text1"/>
          <w:sz w:val="32"/>
          <w:szCs w:val="32"/>
          <w:highlight w:val="none"/>
          <w14:textFill>
            <w14:solidFill>
              <w14:schemeClr w14:val="tx1"/>
            </w14:solidFill>
          </w14:textFill>
        </w:rPr>
      </w:pPr>
    </w:p>
    <w:p>
      <w:pPr>
        <w:spacing w:line="600" w:lineRule="exact"/>
        <w:ind w:firstLine="960" w:firstLineChars="300"/>
        <w:rPr>
          <w:rFonts w:hint="eastAsia" w:ascii="仿宋" w:hAnsi="仿宋" w:eastAsia="仿宋"/>
          <w:color w:val="000000" w:themeColor="text1"/>
          <w:sz w:val="32"/>
          <w:szCs w:val="32"/>
          <w:highlight w:val="none"/>
          <w14:textFill>
            <w14:solidFill>
              <w14:schemeClr w14:val="tx1"/>
            </w14:solidFill>
          </w14:textFill>
        </w:rPr>
      </w:pPr>
    </w:p>
    <w:p>
      <w:pPr>
        <w:spacing w:line="600" w:lineRule="exact"/>
        <w:ind w:firstLine="960" w:firstLineChars="300"/>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w:t>
      </w:r>
      <w:r>
        <w:rPr>
          <w:rFonts w:hint="eastAsia" w:ascii="仿宋" w:hAnsi="仿宋" w:eastAsia="仿宋"/>
          <w:color w:val="000000" w:themeColor="text1"/>
          <w:sz w:val="32"/>
          <w:szCs w:val="32"/>
          <w:highlight w:val="none"/>
          <w:lang w:val="en-US" w:eastAsia="zh-CN"/>
          <w14:textFill>
            <w14:solidFill>
              <w14:schemeClr w14:val="tx1"/>
            </w14:solidFill>
          </w14:textFill>
        </w:rPr>
        <w:t>2</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lang w:eastAsia="zh-CN"/>
          <w14:textFill>
            <w14:solidFill>
              <w14:schemeClr w14:val="tx1"/>
            </w14:solidFill>
          </w14:textFill>
        </w:rPr>
        <w:t>支出</w:t>
      </w:r>
      <w:r>
        <w:rPr>
          <w:rFonts w:hint="eastAsia" w:ascii="仿宋" w:hAnsi="仿宋" w:eastAsia="仿宋"/>
          <w:color w:val="000000" w:themeColor="text1"/>
          <w:sz w:val="32"/>
          <w:szCs w:val="32"/>
          <w:highlight w:val="none"/>
          <w14:textFill>
            <w14:solidFill>
              <w14:schemeClr w14:val="tx1"/>
            </w14:solidFill>
          </w14:textFill>
        </w:rPr>
        <w:t>决算总计变动情况图）（柱状图）</w:t>
      </w:r>
    </w:p>
    <w:p>
      <w:pPr>
        <w:spacing w:line="600" w:lineRule="exact"/>
        <w:ind w:firstLine="960" w:firstLineChars="300"/>
        <w:rPr>
          <w:rFonts w:hint="eastAsia" w:ascii="仿宋" w:hAnsi="仿宋" w:eastAsia="仿宋"/>
          <w:color w:val="000000" w:themeColor="text1"/>
          <w:sz w:val="32"/>
          <w:szCs w:val="32"/>
          <w:highlight w:val="none"/>
          <w14:textFill>
            <w14:solidFill>
              <w14:schemeClr w14:val="tx1"/>
            </w14:solidFill>
          </w14:textFill>
        </w:rPr>
      </w:pPr>
    </w:p>
    <w:p>
      <w:pPr>
        <w:pStyle w:val="30"/>
        <w:numPr>
          <w:ilvl w:val="0"/>
          <w:numId w:val="1"/>
        </w:numPr>
        <w:spacing w:line="600" w:lineRule="exact"/>
        <w:ind w:firstLineChars="0"/>
        <w:outlineLvl w:val="1"/>
        <w:rPr>
          <w:rStyle w:val="32"/>
          <w:rFonts w:ascii="黑体" w:hAnsi="黑体" w:eastAsia="黑体"/>
          <w:b w:val="0"/>
          <w:color w:val="auto"/>
          <w:highlight w:val="none"/>
        </w:rPr>
      </w:pPr>
      <w:bookmarkStart w:id="33" w:name="_Toc15396604"/>
      <w:bookmarkStart w:id="34" w:name="_Toc15377206"/>
      <w:bookmarkStart w:id="35" w:name="_Toc1924"/>
      <w:r>
        <w:rPr>
          <w:rFonts w:hint="eastAsia" w:ascii="黑体" w:hAnsi="黑体" w:eastAsia="黑体"/>
          <w:color w:val="auto"/>
          <w:sz w:val="32"/>
          <w:szCs w:val="32"/>
          <w:highlight w:val="none"/>
        </w:rPr>
        <w:t>收</w:t>
      </w:r>
      <w:r>
        <w:rPr>
          <w:rStyle w:val="32"/>
          <w:rFonts w:hint="eastAsia" w:ascii="黑体" w:hAnsi="黑体" w:eastAsia="黑体"/>
          <w:b w:val="0"/>
          <w:color w:val="auto"/>
          <w:highlight w:val="none"/>
        </w:rPr>
        <w:t>入决算情况说明</w:t>
      </w:r>
      <w:bookmarkEnd w:id="33"/>
      <w:bookmarkEnd w:id="34"/>
      <w:bookmarkEnd w:id="35"/>
    </w:p>
    <w:p>
      <w:pPr>
        <w:spacing w:line="600" w:lineRule="exact"/>
        <w:ind w:firstLine="640" w:firstLineChars="200"/>
        <w:outlineLvl w:val="1"/>
        <w:rPr>
          <w:rFonts w:ascii="仿宋" w:hAnsi="仿宋" w:eastAsia="仿宋"/>
          <w:color w:val="auto"/>
          <w:sz w:val="32"/>
          <w:szCs w:val="32"/>
          <w:highlight w:val="none"/>
        </w:rPr>
      </w:pPr>
      <w:bookmarkStart w:id="36" w:name="_Toc16070"/>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1819.76</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1819.76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6"/>
    </w:p>
    <w:p>
      <w:pPr>
        <w:jc w:val="center"/>
        <w:rPr>
          <w:rFonts w:hint="eastAsia" w:ascii="仿宋" w:hAnsi="仿宋" w:eastAsia="仿宋"/>
          <w:color w:val="FF0000"/>
          <w:sz w:val="32"/>
          <w:szCs w:val="32"/>
          <w:highlight w:val="none"/>
        </w:rPr>
      </w:pPr>
      <w:r>
        <w:rPr>
          <w:rFonts w:hint="eastAsia" w:ascii="仿宋" w:hAnsi="仿宋" w:eastAsia="仿宋"/>
          <w:color w:val="FF0000"/>
          <w:sz w:val="32"/>
          <w:szCs w:val="32"/>
          <w:highlight w:val="none"/>
          <w:lang w:eastAsia="zh-CN"/>
        </w:rPr>
        <w:drawing>
          <wp:inline distT="0" distB="0" distL="114300" distR="114300">
            <wp:extent cx="4739640" cy="2770505"/>
            <wp:effectExtent l="0" t="0" r="3810" b="10795"/>
            <wp:docPr id="5"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
                    <pic:cNvPicPr>
                      <a:picLocks noChangeAspect="1"/>
                    </pic:cNvPicPr>
                  </pic:nvPicPr>
                  <pic:blipFill>
                    <a:blip r:embed="rId9"/>
                    <a:stretch>
                      <a:fillRect/>
                    </a:stretch>
                  </pic:blipFill>
                  <pic:spPr>
                    <a:xfrm>
                      <a:off x="0" y="0"/>
                      <a:ext cx="4739640" cy="2770505"/>
                    </a:xfrm>
                    <a:prstGeom prst="rect">
                      <a:avLst/>
                    </a:prstGeom>
                  </pic:spPr>
                </pic:pic>
              </a:graphicData>
            </a:graphic>
          </wp:inline>
        </w:drawing>
      </w:r>
    </w:p>
    <w:p>
      <w:pPr>
        <w:spacing w:line="600" w:lineRule="exact"/>
        <w:ind w:firstLine="960" w:firstLineChars="300"/>
        <w:rPr>
          <w:rFonts w:ascii="仿宋_GB2312" w:eastAsia="仿宋_GB2312"/>
          <w:color w:val="auto"/>
          <w:sz w:val="32"/>
          <w:szCs w:val="32"/>
          <w:highlight w:val="none"/>
        </w:rPr>
      </w:pPr>
      <w:r>
        <w:rPr>
          <w:rFonts w:hint="eastAsia" w:ascii="仿宋" w:hAnsi="仿宋" w:eastAsia="仿宋"/>
          <w:color w:val="000000" w:themeColor="text1"/>
          <w:sz w:val="32"/>
          <w:szCs w:val="32"/>
          <w:highlight w:val="none"/>
          <w14:textFill>
            <w14:solidFill>
              <w14:schemeClr w14:val="tx1"/>
            </w14:solidFill>
          </w14:textFill>
        </w:rPr>
        <w:t>（图</w:t>
      </w:r>
      <w:r>
        <w:rPr>
          <w:rFonts w:hint="eastAsia" w:ascii="仿宋" w:hAnsi="仿宋" w:eastAsia="仿宋"/>
          <w:color w:val="000000" w:themeColor="text1"/>
          <w:sz w:val="32"/>
          <w:szCs w:val="32"/>
          <w:highlight w:val="none"/>
          <w:lang w:val="en-US" w:eastAsia="zh-CN"/>
          <w14:textFill>
            <w14:solidFill>
              <w14:schemeClr w14:val="tx1"/>
            </w14:solidFill>
          </w14:textFill>
        </w:rPr>
        <w:t>3</w:t>
      </w:r>
      <w:r>
        <w:rPr>
          <w:rFonts w:hint="eastAsia" w:ascii="仿宋" w:hAnsi="仿宋" w:eastAsia="仿宋"/>
          <w:color w:val="000000" w:themeColor="text1"/>
          <w:sz w:val="32"/>
          <w:szCs w:val="32"/>
          <w:highlight w:val="none"/>
          <w14:textFill>
            <w14:solidFill>
              <w14:schemeClr w14:val="tx1"/>
            </w14:solidFill>
          </w14:textFill>
        </w:rPr>
        <w:t>：收入决算结构图）（饼状图）</w:t>
      </w:r>
    </w:p>
    <w:p>
      <w:pPr>
        <w:pStyle w:val="30"/>
        <w:numPr>
          <w:ilvl w:val="0"/>
          <w:numId w:val="1"/>
        </w:numPr>
        <w:spacing w:line="600" w:lineRule="exact"/>
        <w:ind w:firstLineChars="0"/>
        <w:outlineLvl w:val="1"/>
        <w:rPr>
          <w:rStyle w:val="32"/>
          <w:rFonts w:ascii="黑体" w:hAnsi="黑体" w:eastAsia="黑体"/>
          <w:b w:val="0"/>
          <w:color w:val="auto"/>
          <w:highlight w:val="none"/>
        </w:rPr>
      </w:pPr>
      <w:bookmarkStart w:id="37" w:name="_Toc15377207"/>
      <w:bookmarkStart w:id="38" w:name="_Toc15396605"/>
      <w:bookmarkStart w:id="39" w:name="_Toc12862"/>
      <w:r>
        <w:rPr>
          <w:rFonts w:hint="eastAsia" w:ascii="黑体" w:hAnsi="黑体" w:eastAsia="黑体"/>
          <w:color w:val="auto"/>
          <w:sz w:val="32"/>
          <w:szCs w:val="32"/>
          <w:highlight w:val="none"/>
        </w:rPr>
        <w:t>支</w:t>
      </w:r>
      <w:r>
        <w:rPr>
          <w:rStyle w:val="32"/>
          <w:rFonts w:hint="eastAsia" w:ascii="黑体" w:hAnsi="黑体" w:eastAsia="黑体"/>
          <w:b w:val="0"/>
          <w:color w:val="auto"/>
          <w:highlight w:val="none"/>
        </w:rPr>
        <w:t>出决算情况说明</w:t>
      </w:r>
      <w:bookmarkEnd w:id="37"/>
      <w:bookmarkEnd w:id="38"/>
      <w:bookmarkEnd w:id="39"/>
    </w:p>
    <w:p>
      <w:pPr>
        <w:spacing w:line="600" w:lineRule="exact"/>
        <w:ind w:firstLine="640" w:firstLineChars="200"/>
        <w:outlineLvl w:val="1"/>
        <w:rPr>
          <w:rFonts w:hint="eastAsia" w:ascii="仿宋" w:hAnsi="仿宋" w:eastAsia="仿宋"/>
          <w:color w:val="FF0000"/>
          <w:sz w:val="32"/>
          <w:szCs w:val="32"/>
          <w:highlight w:val="none"/>
        </w:rPr>
      </w:pPr>
      <w:bookmarkStart w:id="40" w:name="_Toc14414"/>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2163.47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623.12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28.8</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1540.35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71.19</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40"/>
    </w:p>
    <w:p>
      <w:pPr>
        <w:spacing w:line="600" w:lineRule="exact"/>
        <w:ind w:firstLine="640" w:firstLineChars="200"/>
        <w:rPr>
          <w:rFonts w:hint="eastAsia" w:ascii="仿宋" w:hAnsi="仿宋" w:eastAsia="仿宋"/>
          <w:color w:val="FF0000"/>
          <w:sz w:val="32"/>
          <w:szCs w:val="32"/>
          <w:highlight w:val="none"/>
        </w:rPr>
      </w:pPr>
    </w:p>
    <w:p>
      <w:pPr>
        <w:spacing w:line="240" w:lineRule="auto"/>
        <w:ind w:left="1598" w:leftChars="304" w:hanging="960" w:hangingChars="300"/>
        <w:rPr>
          <w:rFonts w:ascii="仿宋_GB2312" w:eastAsia="仿宋_GB2312"/>
          <w:color w:val="FF0000"/>
          <w:sz w:val="32"/>
          <w:szCs w:val="32"/>
          <w:highlight w:val="none"/>
        </w:rPr>
      </w:pPr>
      <w:r>
        <w:rPr>
          <w:rFonts w:hint="eastAsia" w:ascii="仿宋" w:hAnsi="仿宋" w:eastAsia="仿宋"/>
          <w:color w:val="FF0000"/>
          <w:sz w:val="32"/>
          <w:szCs w:val="32"/>
          <w:highlight w:val="none"/>
          <w:lang w:eastAsia="zh-CN"/>
        </w:rPr>
        <w:drawing>
          <wp:inline distT="0" distB="0" distL="114300" distR="114300">
            <wp:extent cx="5273040" cy="2360930"/>
            <wp:effectExtent l="0" t="0" r="3810" b="1270"/>
            <wp:docPr id="6" name="图片 6"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3"/>
                    <pic:cNvPicPr>
                      <a:picLocks noChangeAspect="1"/>
                    </pic:cNvPicPr>
                  </pic:nvPicPr>
                  <pic:blipFill>
                    <a:blip r:embed="rId10"/>
                    <a:stretch>
                      <a:fillRect/>
                    </a:stretch>
                  </pic:blipFill>
                  <pic:spPr>
                    <a:xfrm>
                      <a:off x="0" y="0"/>
                      <a:ext cx="5273040" cy="2360930"/>
                    </a:xfrm>
                    <a:prstGeom prst="rect">
                      <a:avLst/>
                    </a:prstGeom>
                  </pic:spPr>
                </pic:pic>
              </a:graphicData>
            </a:graphic>
          </wp:inline>
        </w:drawing>
      </w:r>
      <w:r>
        <w:rPr>
          <w:rFonts w:hint="eastAsia" w:ascii="仿宋" w:hAnsi="仿宋" w:eastAsia="仿宋"/>
          <w:color w:val="000000" w:themeColor="text1"/>
          <w:sz w:val="32"/>
          <w:szCs w:val="32"/>
          <w:highlight w:val="none"/>
          <w14:textFill>
            <w14:solidFill>
              <w14:schemeClr w14:val="tx1"/>
            </w14:solidFill>
          </w14:textFill>
        </w:rPr>
        <w:t>（图</w:t>
      </w:r>
      <w:r>
        <w:rPr>
          <w:rFonts w:hint="eastAsia" w:ascii="仿宋" w:hAnsi="仿宋" w:eastAsia="仿宋"/>
          <w:color w:val="000000" w:themeColor="text1"/>
          <w:sz w:val="32"/>
          <w:szCs w:val="32"/>
          <w:highlight w:val="none"/>
          <w:lang w:val="en-US" w:eastAsia="zh-CN"/>
          <w14:textFill>
            <w14:solidFill>
              <w14:schemeClr w14:val="tx1"/>
            </w14:solidFill>
          </w14:textFill>
        </w:rPr>
        <w:t>4</w:t>
      </w:r>
      <w:r>
        <w:rPr>
          <w:rFonts w:hint="eastAsia" w:ascii="仿宋" w:hAnsi="仿宋" w:eastAsia="仿宋"/>
          <w:color w:val="000000" w:themeColor="text1"/>
          <w:sz w:val="32"/>
          <w:szCs w:val="32"/>
          <w:highlight w:val="none"/>
          <w14:textFill>
            <w14:solidFill>
              <w14:schemeClr w14:val="tx1"/>
            </w14:solidFill>
          </w14:textFill>
        </w:rPr>
        <w:t>：支出决算结构图）（饼状图）</w:t>
      </w:r>
    </w:p>
    <w:p>
      <w:pPr>
        <w:spacing w:line="600" w:lineRule="exact"/>
        <w:ind w:firstLine="640" w:firstLineChars="200"/>
        <w:outlineLvl w:val="1"/>
        <w:rPr>
          <w:rStyle w:val="32"/>
          <w:rFonts w:ascii="黑体" w:hAnsi="黑体" w:eastAsia="黑体"/>
          <w:b w:val="0"/>
          <w:color w:val="auto"/>
          <w:highlight w:val="none"/>
        </w:rPr>
      </w:pPr>
      <w:bookmarkStart w:id="41" w:name="_Toc15396606"/>
      <w:bookmarkStart w:id="42" w:name="_Toc15377208"/>
      <w:bookmarkStart w:id="43" w:name="_Toc16422"/>
      <w:r>
        <w:rPr>
          <w:rFonts w:hint="eastAsia" w:ascii="黑体" w:hAnsi="黑体" w:eastAsia="黑体"/>
          <w:color w:val="auto"/>
          <w:sz w:val="32"/>
          <w:szCs w:val="32"/>
          <w:highlight w:val="none"/>
        </w:rPr>
        <w:t>四、财</w:t>
      </w:r>
      <w:r>
        <w:rPr>
          <w:rStyle w:val="32"/>
          <w:rFonts w:hint="eastAsia" w:ascii="黑体" w:hAnsi="黑体" w:eastAsia="黑体"/>
          <w:b w:val="0"/>
          <w:color w:val="auto"/>
          <w:highlight w:val="none"/>
        </w:rPr>
        <w:t>政拨款收入支出决算总体情况说明</w:t>
      </w:r>
      <w:bookmarkEnd w:id="41"/>
      <w:bookmarkEnd w:id="42"/>
      <w:bookmarkEnd w:id="43"/>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2163.47</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291.11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11.85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人员及项目减少</w:t>
      </w:r>
      <w:r>
        <w:rPr>
          <w:rFonts w:hint="eastAsia" w:ascii="仿宋" w:hAnsi="仿宋" w:eastAsia="仿宋"/>
          <w:color w:val="auto"/>
          <w:sz w:val="32"/>
          <w:szCs w:val="32"/>
          <w:highlight w:val="none"/>
          <w:lang w:eastAsia="zh-CN"/>
        </w:rPr>
        <w:t>。</w:t>
      </w:r>
    </w:p>
    <w:p>
      <w:pPr>
        <w:spacing w:line="600" w:lineRule="exact"/>
        <w:ind w:firstLine="640"/>
        <w:rPr>
          <w:rFonts w:ascii="仿宋" w:hAnsi="仿宋" w:eastAsia="仿宋"/>
          <w:color w:val="auto"/>
          <w:sz w:val="32"/>
          <w:szCs w:val="32"/>
          <w:highlight w:val="none"/>
        </w:rPr>
      </w:pPr>
    </w:p>
    <w:p>
      <w:pPr>
        <w:spacing w:line="600" w:lineRule="exact"/>
        <w:ind w:firstLine="640"/>
        <w:rPr>
          <w:rFonts w:hint="eastAsia" w:ascii="仿宋" w:hAnsi="仿宋" w:eastAsia="仿宋"/>
          <w:color w:val="FF0000"/>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spacing w:line="240" w:lineRule="auto"/>
        <w:jc w:val="center"/>
        <w:rPr>
          <w:rFonts w:hint="eastAsia" w:ascii="仿宋" w:hAnsi="仿宋" w:eastAsia="仿宋"/>
          <w:color w:val="FF0000"/>
          <w:sz w:val="32"/>
          <w:szCs w:val="32"/>
          <w:highlight w:val="none"/>
        </w:rPr>
      </w:pPr>
      <w:r>
        <w:rPr>
          <w:rFonts w:hint="eastAsia" w:ascii="仿宋" w:hAnsi="仿宋" w:eastAsia="仿宋"/>
          <w:color w:val="FF0000"/>
          <w:sz w:val="32"/>
          <w:szCs w:val="32"/>
          <w:highlight w:val="none"/>
          <w:lang w:eastAsia="zh-CN"/>
        </w:rPr>
        <w:drawing>
          <wp:inline distT="0" distB="0" distL="114300" distR="114300">
            <wp:extent cx="5273675" cy="3038475"/>
            <wp:effectExtent l="0" t="0" r="3175" b="9525"/>
            <wp:docPr id="1" name="图片 1" descr="财政拨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财政拨款"/>
                    <pic:cNvPicPr>
                      <a:picLocks noChangeAspect="1"/>
                    </pic:cNvPicPr>
                  </pic:nvPicPr>
                  <pic:blipFill>
                    <a:blip r:embed="rId11"/>
                    <a:stretch>
                      <a:fillRect/>
                    </a:stretch>
                  </pic:blipFill>
                  <pic:spPr>
                    <a:xfrm>
                      <a:off x="0" y="0"/>
                      <a:ext cx="5273675" cy="3038475"/>
                    </a:xfrm>
                    <a:prstGeom prst="rect">
                      <a:avLst/>
                    </a:prstGeom>
                  </pic:spPr>
                </pic:pic>
              </a:graphicData>
            </a:graphic>
          </wp:inline>
        </w:drawing>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w:t>
      </w:r>
      <w:r>
        <w:rPr>
          <w:rFonts w:hint="eastAsia" w:ascii="仿宋" w:hAnsi="仿宋" w:eastAsia="仿宋"/>
          <w:color w:val="000000" w:themeColor="text1"/>
          <w:sz w:val="32"/>
          <w:szCs w:val="32"/>
          <w:highlight w:val="none"/>
          <w:lang w:val="en-US" w:eastAsia="zh-CN"/>
          <w14:textFill>
            <w14:solidFill>
              <w14:schemeClr w14:val="tx1"/>
            </w14:solidFill>
          </w14:textFill>
        </w:rPr>
        <w:t>5</w:t>
      </w:r>
      <w:r>
        <w:rPr>
          <w:rFonts w:hint="eastAsia" w:ascii="仿宋" w:hAnsi="仿宋" w:eastAsia="仿宋"/>
          <w:color w:val="000000" w:themeColor="text1"/>
          <w:sz w:val="32"/>
          <w:szCs w:val="32"/>
          <w:highlight w:val="none"/>
          <w14:textFill>
            <w14:solidFill>
              <w14:schemeClr w14:val="tx1"/>
            </w14:solidFill>
          </w14:textFill>
        </w:rPr>
        <w:t>：财政拨款收、支决算总计变动情况）（柱状图）</w:t>
      </w:r>
    </w:p>
    <w:p>
      <w:pPr>
        <w:spacing w:line="600" w:lineRule="exact"/>
        <w:ind w:firstLine="640"/>
        <w:rPr>
          <w:rFonts w:ascii="仿宋" w:hAnsi="仿宋" w:eastAsia="仿宋"/>
          <w:b/>
          <w:color w:val="FF0000"/>
          <w:sz w:val="32"/>
          <w:szCs w:val="32"/>
          <w:highlight w:val="none"/>
        </w:rPr>
      </w:pPr>
    </w:p>
    <w:p>
      <w:pPr>
        <w:spacing w:line="600" w:lineRule="exact"/>
        <w:ind w:firstLine="640" w:firstLineChars="200"/>
        <w:outlineLvl w:val="1"/>
        <w:rPr>
          <w:rStyle w:val="32"/>
          <w:rFonts w:ascii="黑体" w:hAnsi="黑体" w:eastAsia="黑体"/>
          <w:b w:val="0"/>
          <w:color w:val="auto"/>
          <w:highlight w:val="none"/>
        </w:rPr>
      </w:pPr>
      <w:bookmarkStart w:id="44" w:name="_Toc15396607"/>
      <w:bookmarkStart w:id="45" w:name="_Toc15377209"/>
      <w:bookmarkStart w:id="46" w:name="_Toc2667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2"/>
          <w:rFonts w:hint="eastAsia" w:ascii="黑体" w:hAnsi="黑体" w:eastAsia="黑体"/>
          <w:b w:val="0"/>
          <w:color w:val="auto"/>
          <w:highlight w:val="none"/>
        </w:rPr>
        <w:t>般公共预算财政拨款支出决算情况说明</w:t>
      </w:r>
      <w:bookmarkEnd w:id="44"/>
      <w:bookmarkEnd w:id="45"/>
      <w:bookmarkEnd w:id="46"/>
    </w:p>
    <w:p>
      <w:pPr>
        <w:spacing w:line="600" w:lineRule="exact"/>
        <w:ind w:firstLine="643" w:firstLineChars="200"/>
        <w:outlineLvl w:val="2"/>
        <w:rPr>
          <w:rFonts w:ascii="仿宋" w:hAnsi="仿宋" w:eastAsia="仿宋"/>
          <w:b/>
          <w:color w:val="auto"/>
          <w:sz w:val="32"/>
          <w:szCs w:val="32"/>
          <w:highlight w:val="none"/>
        </w:rPr>
      </w:pPr>
      <w:bookmarkStart w:id="47" w:name="_Toc15377210"/>
      <w:bookmarkStart w:id="48" w:name="_Toc18478"/>
      <w:r>
        <w:rPr>
          <w:rFonts w:hint="eastAsia" w:ascii="仿宋" w:hAnsi="仿宋" w:eastAsia="仿宋"/>
          <w:b/>
          <w:color w:val="auto"/>
          <w:sz w:val="32"/>
          <w:szCs w:val="32"/>
          <w:highlight w:val="none"/>
        </w:rPr>
        <w:t>（一）一般公共预算财政拨款支出决算总体情况</w:t>
      </w:r>
      <w:bookmarkEnd w:id="47"/>
      <w:bookmarkEnd w:id="48"/>
    </w:p>
    <w:p>
      <w:pPr>
        <w:spacing w:line="600" w:lineRule="exact"/>
        <w:ind w:firstLine="640" w:firstLineChars="20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2163.47</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291.11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13.4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人员及项目减少。</w:t>
      </w:r>
    </w:p>
    <w:p>
      <w:pPr>
        <w:spacing w:line="240" w:lineRule="auto"/>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5273675" cy="3038475"/>
            <wp:effectExtent l="0" t="0" r="3175" b="9525"/>
            <wp:docPr id="2" name="图片 2" descr="一般公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一般公共"/>
                    <pic:cNvPicPr>
                      <a:picLocks noChangeAspect="1"/>
                    </pic:cNvPicPr>
                  </pic:nvPicPr>
                  <pic:blipFill>
                    <a:blip r:embed="rId12"/>
                    <a:stretch>
                      <a:fillRect/>
                    </a:stretch>
                  </pic:blipFill>
                  <pic:spPr>
                    <a:xfrm>
                      <a:off x="0" y="0"/>
                      <a:ext cx="5273675" cy="3038475"/>
                    </a:xfrm>
                    <a:prstGeom prst="rect">
                      <a:avLst/>
                    </a:prstGeom>
                  </pic:spPr>
                </pic:pic>
              </a:graphicData>
            </a:graphic>
          </wp:inline>
        </w:drawing>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w:t>
      </w:r>
      <w:r>
        <w:rPr>
          <w:rFonts w:hint="eastAsia" w:ascii="仿宋" w:hAnsi="仿宋" w:eastAsia="仿宋"/>
          <w:color w:val="000000" w:themeColor="text1"/>
          <w:sz w:val="32"/>
          <w:szCs w:val="32"/>
          <w:highlight w:val="none"/>
          <w:lang w:val="en-US" w:eastAsia="zh-CN"/>
          <w14:textFill>
            <w14:solidFill>
              <w14:schemeClr w14:val="tx1"/>
            </w14:solidFill>
          </w14:textFill>
        </w:rPr>
        <w:t>6</w:t>
      </w:r>
      <w:r>
        <w:rPr>
          <w:rFonts w:hint="eastAsia" w:ascii="仿宋" w:hAnsi="仿宋" w:eastAsia="仿宋"/>
          <w:color w:val="000000" w:themeColor="text1"/>
          <w:sz w:val="32"/>
          <w:szCs w:val="32"/>
          <w:highlight w:val="none"/>
          <w14:textFill>
            <w14:solidFill>
              <w14:schemeClr w14:val="tx1"/>
            </w14:solidFill>
          </w14:textFill>
        </w:rPr>
        <w:t>：一般公共预算财政拨款支出决算变动情况）（柱状图）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49" w:name="_Toc15377211"/>
      <w:bookmarkStart w:id="50" w:name="_Toc6917"/>
      <w:r>
        <w:rPr>
          <w:rFonts w:hint="eastAsia" w:ascii="仿宋" w:hAnsi="仿宋" w:eastAsia="仿宋"/>
          <w:b/>
          <w:color w:val="auto"/>
          <w:sz w:val="32"/>
          <w:szCs w:val="32"/>
          <w:highlight w:val="none"/>
        </w:rPr>
        <w:t>（二）一般公共预算财政拨款支出决算结构情况</w:t>
      </w:r>
      <w:bookmarkEnd w:id="49"/>
      <w:bookmarkEnd w:id="50"/>
    </w:p>
    <w:p>
      <w:pPr>
        <w:spacing w:line="600" w:lineRule="exact"/>
        <w:ind w:firstLine="640"/>
        <w:rPr>
          <w:rFonts w:hint="eastAsia" w:ascii="仿宋" w:hAnsi="仿宋" w:eastAsia="仿宋"/>
          <w:color w:val="FF0000"/>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2163.47</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sz w:val="32"/>
          <w:szCs w:val="32"/>
        </w:rPr>
        <w:t>城乡社区（类）支出</w:t>
      </w:r>
      <w:r>
        <w:rPr>
          <w:rFonts w:hint="eastAsia" w:ascii="仿宋" w:hAnsi="仿宋" w:eastAsia="仿宋"/>
          <w:sz w:val="32"/>
          <w:szCs w:val="32"/>
          <w:lang w:val="en-US" w:eastAsia="zh-CN"/>
        </w:rPr>
        <w:t>1916.37</w:t>
      </w:r>
      <w:r>
        <w:rPr>
          <w:rFonts w:hint="eastAsia" w:ascii="仿宋" w:hAnsi="仿宋" w:eastAsia="仿宋"/>
          <w:sz w:val="32"/>
          <w:szCs w:val="32"/>
        </w:rPr>
        <w:t>万元，占</w:t>
      </w:r>
      <w:r>
        <w:rPr>
          <w:rFonts w:hint="eastAsia" w:ascii="仿宋" w:hAnsi="仿宋" w:eastAsia="仿宋"/>
          <w:sz w:val="32"/>
          <w:szCs w:val="32"/>
          <w:lang w:val="en-US" w:eastAsia="zh-CN"/>
        </w:rPr>
        <w:t>88.57</w:t>
      </w:r>
      <w:r>
        <w:rPr>
          <w:rFonts w:ascii="仿宋" w:hAnsi="仿宋" w:eastAsia="仿宋"/>
          <w:sz w:val="32"/>
          <w:szCs w:val="32"/>
        </w:rPr>
        <w:t>%</w:t>
      </w:r>
      <w:r>
        <w:rPr>
          <w:rFonts w:hint="eastAsia" w:ascii="仿宋" w:hAnsi="仿宋" w:eastAsia="仿宋"/>
          <w:b/>
          <w:bCs/>
          <w:color w:val="auto"/>
          <w:sz w:val="32"/>
          <w:szCs w:val="32"/>
          <w:highlight w:val="none"/>
        </w:rPr>
        <w:t>文化旅游体育与传媒支出</w:t>
      </w:r>
      <w:r>
        <w:rPr>
          <w:rFonts w:hint="eastAsia" w:ascii="仿宋" w:hAnsi="仿宋" w:eastAsia="仿宋"/>
          <w:b w:val="0"/>
          <w:bCs w:val="0"/>
          <w:color w:val="auto"/>
          <w:sz w:val="32"/>
          <w:szCs w:val="32"/>
          <w:highlight w:val="none"/>
          <w:lang w:val="en-US" w:eastAsia="zh-CN"/>
        </w:rPr>
        <w:t>49.99</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2.3</w:t>
      </w:r>
      <w:r>
        <w:rPr>
          <w:rFonts w:ascii="仿宋" w:hAnsi="仿宋" w:eastAsia="仿宋"/>
          <w:b w:val="0"/>
          <w:bCs w:val="0"/>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39.99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1.85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18.48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0.85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38.83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1.82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val="en-US" w:eastAsia="zh-CN"/>
        </w:rPr>
        <w:t>农林水支出</w:t>
      </w:r>
      <w:r>
        <w:rPr>
          <w:rFonts w:hint="eastAsia" w:ascii="仿宋" w:hAnsi="仿宋" w:eastAsia="仿宋"/>
          <w:b w:val="0"/>
          <w:bCs w:val="0"/>
          <w:color w:val="auto"/>
          <w:sz w:val="32"/>
          <w:szCs w:val="32"/>
          <w:highlight w:val="none"/>
          <w:lang w:val="en-US" w:eastAsia="zh-CN"/>
        </w:rPr>
        <w:t>99.81万元</w:t>
      </w:r>
      <w:r>
        <w:rPr>
          <w:rFonts w:hint="eastAsia" w:ascii="仿宋" w:hAnsi="仿宋" w:eastAsia="仿宋"/>
          <w:b/>
          <w:bCs/>
          <w:color w:val="auto"/>
          <w:sz w:val="32"/>
          <w:szCs w:val="32"/>
          <w:highlight w:val="none"/>
          <w:lang w:val="en-US" w:eastAsia="zh-CN"/>
        </w:rPr>
        <w:t>，</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4.61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hint="eastAsia" w:ascii="仿宋" w:hAnsi="仿宋" w:eastAsia="仿宋"/>
          <w:color w:val="FF0000"/>
          <w:sz w:val="32"/>
          <w:szCs w:val="32"/>
          <w:highlight w:val="none"/>
        </w:rPr>
      </w:pPr>
      <w:r>
        <w:rPr>
          <w:rFonts w:hint="eastAsia" w:eastAsia="仿宋"/>
          <w:lang w:eastAsia="zh-CN"/>
        </w:rPr>
        <w:drawing>
          <wp:inline distT="0" distB="0" distL="114300" distR="114300">
            <wp:extent cx="5266690" cy="3942080"/>
            <wp:effectExtent l="0" t="0" r="10160" b="1270"/>
            <wp:docPr id="7" name="图片 7"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6"/>
                    <pic:cNvPicPr>
                      <a:picLocks noChangeAspect="1"/>
                    </pic:cNvPicPr>
                  </pic:nvPicPr>
                  <pic:blipFill>
                    <a:blip r:embed="rId13"/>
                    <a:stretch>
                      <a:fillRect/>
                    </a:stretch>
                  </pic:blipFill>
                  <pic:spPr>
                    <a:xfrm>
                      <a:off x="0" y="0"/>
                      <a:ext cx="5266690" cy="3942080"/>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000000" w:themeColor="text1"/>
          <w:sz w:val="32"/>
          <w:szCs w:val="32"/>
          <w:highlight w:val="none"/>
          <w14:textFill>
            <w14:solidFill>
              <w14:schemeClr w14:val="tx1"/>
            </w14:solidFill>
          </w14:textFill>
        </w:rPr>
        <w:t>（图</w:t>
      </w:r>
      <w:r>
        <w:rPr>
          <w:rFonts w:hint="eastAsia" w:ascii="仿宋" w:hAnsi="仿宋" w:eastAsia="仿宋"/>
          <w:color w:val="000000" w:themeColor="text1"/>
          <w:sz w:val="32"/>
          <w:szCs w:val="32"/>
          <w:highlight w:val="none"/>
          <w:lang w:val="en-US" w:eastAsia="zh-CN"/>
          <w14:textFill>
            <w14:solidFill>
              <w14:schemeClr w14:val="tx1"/>
            </w14:solidFill>
          </w14:textFill>
        </w:rPr>
        <w:t>7</w:t>
      </w:r>
      <w:r>
        <w:rPr>
          <w:rFonts w:hint="eastAsia" w:ascii="仿宋" w:hAnsi="仿宋" w:eastAsia="仿宋"/>
          <w:color w:val="000000" w:themeColor="text1"/>
          <w:sz w:val="32"/>
          <w:szCs w:val="32"/>
          <w:highlight w:val="none"/>
          <w14:textFill>
            <w14:solidFill>
              <w14:schemeClr w14:val="tx1"/>
            </w14:solidFill>
          </w14:textFill>
        </w:rPr>
        <w:t>：一般公共预算财政拨款支出决算结构）（饼状图）</w:t>
      </w:r>
    </w:p>
    <w:p>
      <w:pPr>
        <w:spacing w:line="600" w:lineRule="exact"/>
        <w:ind w:firstLine="643" w:firstLineChars="200"/>
        <w:outlineLvl w:val="2"/>
        <w:rPr>
          <w:rFonts w:ascii="仿宋" w:hAnsi="仿宋" w:eastAsia="仿宋"/>
          <w:b/>
          <w:color w:val="auto"/>
          <w:sz w:val="32"/>
          <w:szCs w:val="32"/>
          <w:highlight w:val="none"/>
        </w:rPr>
      </w:pPr>
      <w:bookmarkStart w:id="51" w:name="_Toc15377212"/>
      <w:bookmarkStart w:id="52" w:name="_Toc4571"/>
      <w:r>
        <w:rPr>
          <w:rFonts w:hint="eastAsia" w:ascii="仿宋" w:hAnsi="仿宋" w:eastAsia="仿宋"/>
          <w:b/>
          <w:color w:val="auto"/>
          <w:sz w:val="32"/>
          <w:szCs w:val="32"/>
          <w:highlight w:val="none"/>
        </w:rPr>
        <w:t>（三）一般公共预算财政拨款支出决算具体情况</w:t>
      </w:r>
      <w:bookmarkEnd w:id="51"/>
      <w:bookmarkEnd w:id="52"/>
    </w:p>
    <w:p>
      <w:pPr>
        <w:spacing w:line="600" w:lineRule="exact"/>
        <w:ind w:firstLine="643" w:firstLineChars="200"/>
        <w:outlineLvl w:val="2"/>
        <w:rPr>
          <w:rFonts w:ascii="仿宋" w:hAnsi="仿宋" w:eastAsia="仿宋"/>
          <w:color w:val="000000" w:themeColor="text1"/>
          <w:sz w:val="32"/>
          <w:szCs w:val="32"/>
          <w:highlight w:val="none"/>
          <w14:textFill>
            <w14:solidFill>
              <w14:schemeClr w14:val="tx1"/>
            </w14:solidFill>
          </w14:textFill>
        </w:rPr>
      </w:pPr>
      <w:bookmarkStart w:id="53" w:name="_Toc15377213"/>
      <w:bookmarkStart w:id="54" w:name="_Toc15377444"/>
      <w:bookmarkStart w:id="55" w:name="_Toc15378460"/>
      <w:bookmarkStart w:id="56" w:name="_Toc4554"/>
      <w:r>
        <w:rPr>
          <w:rFonts w:hint="eastAsia" w:ascii="仿宋" w:hAnsi="仿宋" w:eastAsia="仿宋"/>
          <w:b/>
          <w:color w:val="000000" w:themeColor="text1"/>
          <w:sz w:val="32"/>
          <w:szCs w:val="32"/>
          <w:highlight w:val="none"/>
          <w14:textFill>
            <w14:solidFill>
              <w14:schemeClr w14:val="tx1"/>
            </w14:solidFill>
          </w14:textFill>
        </w:rPr>
        <w:t>20</w:t>
      </w:r>
      <w:r>
        <w:rPr>
          <w:rFonts w:hint="eastAsia" w:ascii="仿宋" w:hAnsi="仿宋" w:eastAsia="仿宋"/>
          <w:b/>
          <w:color w:val="000000" w:themeColor="text1"/>
          <w:sz w:val="32"/>
          <w:szCs w:val="32"/>
          <w:highlight w:val="none"/>
          <w:lang w:val="en-US" w:eastAsia="zh-CN"/>
          <w14:textFill>
            <w14:solidFill>
              <w14:schemeClr w14:val="tx1"/>
            </w14:solidFill>
          </w14:textFill>
        </w:rPr>
        <w:t>22</w:t>
      </w:r>
      <w:r>
        <w:rPr>
          <w:rFonts w:hint="eastAsia" w:ascii="仿宋" w:hAnsi="仿宋" w:eastAsia="仿宋"/>
          <w:b/>
          <w:color w:val="000000" w:themeColor="text1"/>
          <w:sz w:val="32"/>
          <w:szCs w:val="32"/>
          <w:highlight w:val="none"/>
          <w14:textFill>
            <w14:solidFill>
              <w14:schemeClr w14:val="tx1"/>
            </w14:solidFill>
          </w14:textFill>
        </w:rPr>
        <w:t>年</w:t>
      </w:r>
      <w:r>
        <w:rPr>
          <w:rFonts w:hint="eastAsia" w:ascii="仿宋" w:hAnsi="仿宋" w:eastAsia="仿宋"/>
          <w:b/>
          <w:color w:val="000000" w:themeColor="text1"/>
          <w:sz w:val="32"/>
          <w:szCs w:val="32"/>
          <w:highlight w:val="none"/>
          <w:lang w:eastAsia="zh-CN"/>
          <w14:textFill>
            <w14:solidFill>
              <w14:schemeClr w14:val="tx1"/>
            </w14:solidFill>
          </w14:textFill>
        </w:rPr>
        <w:t>一</w:t>
      </w:r>
      <w:r>
        <w:rPr>
          <w:rFonts w:hint="eastAsia" w:ascii="仿宋" w:hAnsi="仿宋" w:eastAsia="仿宋"/>
          <w:b/>
          <w:color w:val="000000" w:themeColor="text1"/>
          <w:sz w:val="32"/>
          <w:szCs w:val="32"/>
          <w:highlight w:val="none"/>
          <w14:textFill>
            <w14:solidFill>
              <w14:schemeClr w14:val="tx1"/>
            </w14:solidFill>
          </w14:textFill>
        </w:rPr>
        <w:t>般公共预算支出决算数为</w:t>
      </w:r>
      <w:r>
        <w:rPr>
          <w:rFonts w:hint="eastAsia" w:ascii="仿宋" w:hAnsi="仿宋" w:eastAsia="仿宋"/>
          <w:b/>
          <w:color w:val="000000" w:themeColor="text1"/>
          <w:sz w:val="32"/>
          <w:szCs w:val="32"/>
          <w:highlight w:val="none"/>
          <w:lang w:val="en-US" w:eastAsia="zh-CN"/>
          <w14:textFill>
            <w14:solidFill>
              <w14:schemeClr w14:val="tx1"/>
            </w14:solidFill>
          </w14:textFill>
        </w:rPr>
        <w:t>2163.47</w:t>
      </w:r>
      <w:r>
        <w:rPr>
          <w:rFonts w:hint="eastAsia" w:ascii="仿宋" w:hAnsi="仿宋" w:eastAsia="仿宋"/>
          <w:color w:val="000000" w:themeColor="text1"/>
          <w:sz w:val="32"/>
          <w:szCs w:val="32"/>
          <w:highlight w:val="none"/>
          <w14:textFill>
            <w14:solidFill>
              <w14:schemeClr w14:val="tx1"/>
            </w14:solidFill>
          </w14:textFill>
        </w:rPr>
        <w:t>，</w:t>
      </w:r>
      <w:r>
        <w:rPr>
          <w:rStyle w:val="20"/>
          <w:rFonts w:hint="eastAsia" w:ascii="仿宋" w:hAnsi="仿宋" w:eastAsia="仿宋"/>
          <w:bCs/>
          <w:color w:val="000000" w:themeColor="text1"/>
          <w:sz w:val="32"/>
          <w:szCs w:val="32"/>
          <w:highlight w:val="none"/>
          <w14:textFill>
            <w14:solidFill>
              <w14:schemeClr w14:val="tx1"/>
            </w14:solidFill>
          </w14:textFill>
        </w:rPr>
        <w:t>完成预算</w:t>
      </w:r>
      <w:r>
        <w:rPr>
          <w:rStyle w:val="20"/>
          <w:rFonts w:hint="eastAsia" w:ascii="仿宋" w:hAnsi="仿宋" w:eastAsia="仿宋"/>
          <w:bCs/>
          <w:color w:val="000000" w:themeColor="text1"/>
          <w:sz w:val="32"/>
          <w:szCs w:val="32"/>
          <w:highlight w:val="none"/>
          <w:lang w:val="en-US" w:eastAsia="zh-CN"/>
          <w14:textFill>
            <w14:solidFill>
              <w14:schemeClr w14:val="tx1"/>
            </w14:solidFill>
          </w14:textFill>
        </w:rPr>
        <w:t>100</w:t>
      </w:r>
      <w:r>
        <w:rPr>
          <w:rStyle w:val="20"/>
          <w:rFonts w:ascii="仿宋" w:hAnsi="仿宋" w:eastAsia="仿宋"/>
          <w:bCs/>
          <w:color w:val="000000" w:themeColor="text1"/>
          <w:sz w:val="32"/>
          <w:szCs w:val="32"/>
          <w:highlight w:val="none"/>
          <w14:textFill>
            <w14:solidFill>
              <w14:schemeClr w14:val="tx1"/>
            </w14:solidFill>
          </w14:textFill>
        </w:rPr>
        <w:t>%</w:t>
      </w:r>
      <w:r>
        <w:rPr>
          <w:rStyle w:val="20"/>
          <w:rFonts w:hint="eastAsia" w:ascii="仿宋" w:hAnsi="仿宋" w:eastAsia="仿宋"/>
          <w:bCs/>
          <w:color w:val="000000" w:themeColor="text1"/>
          <w:sz w:val="32"/>
          <w:szCs w:val="32"/>
          <w:highlight w:val="none"/>
          <w14:textFill>
            <w14:solidFill>
              <w14:schemeClr w14:val="tx1"/>
            </w14:solidFill>
          </w14:textFill>
        </w:rPr>
        <w:t>。其中：</w:t>
      </w:r>
      <w:bookmarkEnd w:id="53"/>
      <w:bookmarkEnd w:id="54"/>
      <w:bookmarkEnd w:id="55"/>
      <w:bookmarkEnd w:id="56"/>
    </w:p>
    <w:p>
      <w:pPr>
        <w:spacing w:line="600" w:lineRule="exact"/>
        <w:ind w:firstLine="643" w:firstLineChars="200"/>
        <w:rPr>
          <w:rFonts w:ascii="仿宋" w:hAnsi="仿宋" w:eastAsia="仿宋"/>
          <w:b/>
          <w:color w:val="000000" w:themeColor="text1"/>
          <w:sz w:val="32"/>
          <w:szCs w:val="32"/>
          <w14:textFill>
            <w14:solidFill>
              <w14:schemeClr w14:val="tx1"/>
            </w14:solidFill>
          </w14:textFill>
        </w:rPr>
      </w:pPr>
      <w:r>
        <w:rPr>
          <w:rStyle w:val="20"/>
          <w:rFonts w:hint="eastAsia" w:ascii="仿宋" w:hAnsi="仿宋" w:eastAsia="仿宋"/>
          <w:bCs/>
          <w:color w:val="000000" w:themeColor="text1"/>
          <w:sz w:val="32"/>
          <w:szCs w:val="32"/>
          <w:lang w:val="en-US" w:eastAsia="zh-CN"/>
          <w14:textFill>
            <w14:solidFill>
              <w14:schemeClr w14:val="tx1"/>
            </w14:solidFill>
          </w14:textFill>
        </w:rPr>
        <w:t>1</w:t>
      </w:r>
      <w:r>
        <w:rPr>
          <w:rStyle w:val="20"/>
          <w:rFonts w:ascii="仿宋" w:hAnsi="仿宋" w:eastAsia="仿宋"/>
          <w:bCs/>
          <w:color w:val="000000" w:themeColor="text1"/>
          <w:sz w:val="32"/>
          <w:szCs w:val="32"/>
          <w14:textFill>
            <w14:solidFill>
              <w14:schemeClr w14:val="tx1"/>
            </w14:solidFill>
          </w14:textFill>
        </w:rPr>
        <w:t>.</w:t>
      </w:r>
      <w:r>
        <w:rPr>
          <w:rStyle w:val="20"/>
          <w:rFonts w:hint="eastAsia" w:ascii="仿宋" w:hAnsi="仿宋" w:eastAsia="仿宋"/>
          <w:bCs/>
          <w:color w:val="000000" w:themeColor="text1"/>
          <w:sz w:val="32"/>
          <w:szCs w:val="32"/>
          <w14:textFill>
            <w14:solidFill>
              <w14:schemeClr w14:val="tx1"/>
            </w14:solidFill>
          </w14:textFill>
        </w:rPr>
        <w:t>文化旅游体育与传媒</w:t>
      </w:r>
      <w:r>
        <w:rPr>
          <w:rStyle w:val="20"/>
          <w:rFonts w:ascii="仿宋" w:hAnsi="仿宋" w:eastAsia="仿宋"/>
          <w:bCs/>
          <w:color w:val="000000" w:themeColor="text1"/>
          <w:sz w:val="32"/>
          <w:szCs w:val="32"/>
          <w14:textFill>
            <w14:solidFill>
              <w14:schemeClr w14:val="tx1"/>
            </w14:solidFill>
          </w14:textFill>
        </w:rPr>
        <w:t>:</w:t>
      </w:r>
      <w:r>
        <w:rPr>
          <w:rStyle w:val="20"/>
          <w:rFonts w:ascii="仿宋" w:hAnsi="仿宋" w:eastAsia="仿宋"/>
          <w:b w:val="0"/>
          <w:bCs/>
          <w:color w:val="000000" w:themeColor="text1"/>
          <w:sz w:val="32"/>
          <w:szCs w:val="32"/>
          <w14:textFill>
            <w14:solidFill>
              <w14:schemeClr w14:val="tx1"/>
            </w14:solidFill>
          </w14:textFill>
        </w:rPr>
        <w:t xml:space="preserve"> </w:t>
      </w:r>
      <w:r>
        <w:rPr>
          <w:rStyle w:val="20"/>
          <w:rFonts w:hint="eastAsia" w:ascii="仿宋" w:hAnsi="仿宋" w:eastAsia="仿宋"/>
          <w:b w:val="0"/>
          <w:bCs/>
          <w:color w:val="000000" w:themeColor="text1"/>
          <w:sz w:val="32"/>
          <w:szCs w:val="32"/>
          <w14:textFill>
            <w14:solidFill>
              <w14:schemeClr w14:val="tx1"/>
            </w14:solidFill>
          </w14:textFill>
        </w:rPr>
        <w:t>支出决算为</w:t>
      </w:r>
      <w:r>
        <w:rPr>
          <w:rStyle w:val="20"/>
          <w:rFonts w:hint="eastAsia" w:ascii="仿宋" w:hAnsi="仿宋" w:eastAsia="仿宋"/>
          <w:b w:val="0"/>
          <w:bCs/>
          <w:color w:val="000000" w:themeColor="text1"/>
          <w:sz w:val="32"/>
          <w:szCs w:val="32"/>
          <w:lang w:val="en-US" w:eastAsia="zh-CN"/>
          <w14:textFill>
            <w14:solidFill>
              <w14:schemeClr w14:val="tx1"/>
            </w14:solidFill>
          </w14:textFill>
        </w:rPr>
        <w:t>49.99</w:t>
      </w:r>
      <w:r>
        <w:rPr>
          <w:rStyle w:val="20"/>
          <w:rFonts w:hint="eastAsia" w:ascii="仿宋" w:hAnsi="仿宋" w:eastAsia="仿宋"/>
          <w:b w:val="0"/>
          <w:bCs/>
          <w:color w:val="000000" w:themeColor="text1"/>
          <w:sz w:val="32"/>
          <w:szCs w:val="32"/>
          <w14:textFill>
            <w14:solidFill>
              <w14:schemeClr w14:val="tx1"/>
            </w14:solidFill>
          </w14:textFill>
        </w:rPr>
        <w:t>万元，完成预算</w:t>
      </w:r>
      <w:r>
        <w:rPr>
          <w:rStyle w:val="20"/>
          <w:rFonts w:ascii="仿宋" w:hAnsi="仿宋" w:eastAsia="仿宋"/>
          <w:b w:val="0"/>
          <w:bCs/>
          <w:color w:val="000000" w:themeColor="text1"/>
          <w:sz w:val="32"/>
          <w:szCs w:val="32"/>
          <w14:textFill>
            <w14:solidFill>
              <w14:schemeClr w14:val="tx1"/>
            </w14:solidFill>
          </w14:textFill>
        </w:rPr>
        <w:t>100%</w:t>
      </w:r>
      <w:r>
        <w:rPr>
          <w:rStyle w:val="20"/>
          <w:rFonts w:hint="eastAsia" w:ascii="仿宋" w:hAnsi="仿宋" w:eastAsia="仿宋"/>
          <w:b w:val="0"/>
          <w:bCs/>
          <w:color w:val="000000" w:themeColor="text1"/>
          <w:sz w:val="32"/>
          <w:szCs w:val="32"/>
          <w14:textFill>
            <w14:solidFill>
              <w14:schemeClr w14:val="tx1"/>
            </w14:solidFill>
          </w14:textFill>
        </w:rPr>
        <w:t>。</w:t>
      </w:r>
    </w:p>
    <w:p>
      <w:pPr>
        <w:spacing w:line="600" w:lineRule="exact"/>
        <w:ind w:firstLine="643" w:firstLineChars="200"/>
        <w:rPr>
          <w:rFonts w:ascii="仿宋" w:hAnsi="仿宋" w:eastAsia="仿宋"/>
          <w:b/>
          <w:color w:val="000000" w:themeColor="text1"/>
          <w:sz w:val="32"/>
          <w:szCs w:val="32"/>
          <w14:textFill>
            <w14:solidFill>
              <w14:schemeClr w14:val="tx1"/>
            </w14:solidFill>
          </w14:textFill>
        </w:rPr>
      </w:pPr>
      <w:r>
        <w:rPr>
          <w:rStyle w:val="20"/>
          <w:rFonts w:hint="eastAsia" w:ascii="仿宋" w:hAnsi="仿宋" w:eastAsia="仿宋"/>
          <w:bCs/>
          <w:color w:val="000000" w:themeColor="text1"/>
          <w:sz w:val="32"/>
          <w:szCs w:val="32"/>
          <w:lang w:val="en-US" w:eastAsia="zh-CN"/>
          <w14:textFill>
            <w14:solidFill>
              <w14:schemeClr w14:val="tx1"/>
            </w14:solidFill>
          </w14:textFill>
        </w:rPr>
        <w:t>2</w:t>
      </w:r>
      <w:r>
        <w:rPr>
          <w:rStyle w:val="20"/>
          <w:rFonts w:ascii="仿宋" w:hAnsi="仿宋" w:eastAsia="仿宋"/>
          <w:bCs/>
          <w:color w:val="000000" w:themeColor="text1"/>
          <w:sz w:val="32"/>
          <w:szCs w:val="32"/>
          <w14:textFill>
            <w14:solidFill>
              <w14:schemeClr w14:val="tx1"/>
            </w14:solidFill>
          </w14:textFill>
        </w:rPr>
        <w:t>.</w:t>
      </w:r>
      <w:r>
        <w:rPr>
          <w:rStyle w:val="20"/>
          <w:rFonts w:hint="eastAsia" w:ascii="仿宋" w:hAnsi="仿宋" w:eastAsia="仿宋"/>
          <w:bCs/>
          <w:color w:val="000000" w:themeColor="text1"/>
          <w:sz w:val="32"/>
          <w:szCs w:val="32"/>
          <w14:textFill>
            <w14:solidFill>
              <w14:schemeClr w14:val="tx1"/>
            </w14:solidFill>
          </w14:textFill>
        </w:rPr>
        <w:t>社会保障和就业（类）行政事业单位养老支出（款）机关事业单位基本养老保险及职业年金缴费（项）</w:t>
      </w:r>
      <w:r>
        <w:rPr>
          <w:rStyle w:val="20"/>
          <w:rFonts w:ascii="仿宋" w:hAnsi="仿宋" w:eastAsia="仿宋"/>
          <w:bCs/>
          <w:color w:val="000000" w:themeColor="text1"/>
          <w:sz w:val="32"/>
          <w:szCs w:val="32"/>
          <w14:textFill>
            <w14:solidFill>
              <w14:schemeClr w14:val="tx1"/>
            </w14:solidFill>
          </w14:textFill>
        </w:rPr>
        <w:t>:</w:t>
      </w:r>
      <w:r>
        <w:rPr>
          <w:rStyle w:val="20"/>
          <w:rFonts w:ascii="仿宋" w:hAnsi="仿宋" w:eastAsia="仿宋"/>
          <w:b w:val="0"/>
          <w:bCs/>
          <w:color w:val="000000" w:themeColor="text1"/>
          <w:sz w:val="32"/>
          <w:szCs w:val="32"/>
          <w14:textFill>
            <w14:solidFill>
              <w14:schemeClr w14:val="tx1"/>
            </w14:solidFill>
          </w14:textFill>
        </w:rPr>
        <w:t xml:space="preserve"> </w:t>
      </w:r>
      <w:r>
        <w:rPr>
          <w:rStyle w:val="20"/>
          <w:rFonts w:hint="eastAsia" w:ascii="仿宋" w:hAnsi="仿宋" w:eastAsia="仿宋"/>
          <w:b w:val="0"/>
          <w:bCs/>
          <w:color w:val="000000" w:themeColor="text1"/>
          <w:sz w:val="32"/>
          <w:szCs w:val="32"/>
          <w14:textFill>
            <w14:solidFill>
              <w14:schemeClr w14:val="tx1"/>
            </w14:solidFill>
          </w14:textFill>
        </w:rPr>
        <w:t>支出决算为</w:t>
      </w:r>
      <w:r>
        <w:rPr>
          <w:rFonts w:hint="eastAsia" w:ascii="仿宋" w:hAnsi="仿宋" w:eastAsia="仿宋"/>
          <w:color w:val="000000" w:themeColor="text1"/>
          <w:sz w:val="32"/>
          <w:szCs w:val="32"/>
          <w:lang w:val="en-US" w:eastAsia="zh-CN"/>
          <w14:textFill>
            <w14:solidFill>
              <w14:schemeClr w14:val="tx1"/>
            </w14:solidFill>
          </w14:textFill>
        </w:rPr>
        <w:t>39.99</w:t>
      </w:r>
      <w:r>
        <w:rPr>
          <w:rStyle w:val="20"/>
          <w:rFonts w:hint="eastAsia" w:ascii="仿宋" w:hAnsi="仿宋" w:eastAsia="仿宋"/>
          <w:b w:val="0"/>
          <w:bCs/>
          <w:color w:val="000000" w:themeColor="text1"/>
          <w:sz w:val="32"/>
          <w:szCs w:val="32"/>
          <w14:textFill>
            <w14:solidFill>
              <w14:schemeClr w14:val="tx1"/>
            </w14:solidFill>
          </w14:textFill>
        </w:rPr>
        <w:t>万元，完成预算</w:t>
      </w:r>
      <w:r>
        <w:rPr>
          <w:rStyle w:val="20"/>
          <w:rFonts w:ascii="仿宋" w:hAnsi="仿宋" w:eastAsia="仿宋"/>
          <w:b w:val="0"/>
          <w:bCs/>
          <w:color w:val="000000" w:themeColor="text1"/>
          <w:sz w:val="32"/>
          <w:szCs w:val="32"/>
          <w14:textFill>
            <w14:solidFill>
              <w14:schemeClr w14:val="tx1"/>
            </w14:solidFill>
          </w14:textFill>
        </w:rPr>
        <w:t>100%</w:t>
      </w:r>
      <w:r>
        <w:rPr>
          <w:rStyle w:val="20"/>
          <w:rFonts w:hint="eastAsia" w:ascii="仿宋" w:hAnsi="仿宋" w:eastAsia="仿宋"/>
          <w:b w:val="0"/>
          <w:bCs/>
          <w:color w:val="000000" w:themeColor="text1"/>
          <w:sz w:val="32"/>
          <w:szCs w:val="32"/>
          <w14:textFill>
            <w14:solidFill>
              <w14:schemeClr w14:val="tx1"/>
            </w14:solidFill>
          </w14:textFill>
        </w:rPr>
        <w:t>。</w:t>
      </w:r>
    </w:p>
    <w:p>
      <w:pPr>
        <w:spacing w:line="600" w:lineRule="exact"/>
        <w:ind w:firstLine="643" w:firstLineChars="200"/>
        <w:rPr>
          <w:rStyle w:val="20"/>
          <w:rFonts w:ascii="仿宋" w:hAnsi="仿宋" w:eastAsia="仿宋"/>
          <w:b w:val="0"/>
          <w:bCs/>
          <w:color w:val="000000" w:themeColor="text1"/>
          <w:sz w:val="32"/>
          <w:szCs w:val="32"/>
          <w14:textFill>
            <w14:solidFill>
              <w14:schemeClr w14:val="tx1"/>
            </w14:solidFill>
          </w14:textFill>
        </w:rPr>
      </w:pPr>
      <w:r>
        <w:rPr>
          <w:rStyle w:val="20"/>
          <w:rFonts w:hint="eastAsia" w:ascii="仿宋" w:hAnsi="仿宋" w:eastAsia="仿宋"/>
          <w:bCs/>
          <w:color w:val="000000" w:themeColor="text1"/>
          <w:sz w:val="32"/>
          <w:szCs w:val="32"/>
          <w:lang w:val="en-US" w:eastAsia="zh-CN"/>
          <w14:textFill>
            <w14:solidFill>
              <w14:schemeClr w14:val="tx1"/>
            </w14:solidFill>
          </w14:textFill>
        </w:rPr>
        <w:t>3</w:t>
      </w:r>
      <w:r>
        <w:rPr>
          <w:rStyle w:val="20"/>
          <w:rFonts w:ascii="仿宋" w:hAnsi="仿宋" w:eastAsia="仿宋"/>
          <w:bCs/>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w:t>
      </w:r>
      <w:r>
        <w:rPr>
          <w:rStyle w:val="20"/>
          <w:rFonts w:hint="eastAsia" w:ascii="仿宋" w:hAnsi="仿宋" w:eastAsia="仿宋"/>
          <w:bCs/>
          <w:color w:val="000000" w:themeColor="text1"/>
          <w:sz w:val="32"/>
          <w:szCs w:val="32"/>
          <w14:textFill>
            <w14:solidFill>
              <w14:schemeClr w14:val="tx1"/>
            </w14:solidFill>
          </w14:textFill>
        </w:rPr>
        <w:t>（类）行政事业单位医疗（款）行政单位医疗（项）</w:t>
      </w:r>
      <w:r>
        <w:rPr>
          <w:rStyle w:val="20"/>
          <w:rFonts w:ascii="仿宋" w:hAnsi="仿宋" w:eastAsia="仿宋"/>
          <w:bCs/>
          <w:color w:val="000000" w:themeColor="text1"/>
          <w:sz w:val="32"/>
          <w:szCs w:val="32"/>
          <w14:textFill>
            <w14:solidFill>
              <w14:schemeClr w14:val="tx1"/>
            </w14:solidFill>
          </w14:textFill>
        </w:rPr>
        <w:t>:</w:t>
      </w:r>
      <w:r>
        <w:rPr>
          <w:rStyle w:val="20"/>
          <w:rFonts w:hint="eastAsia" w:ascii="仿宋" w:hAnsi="仿宋" w:eastAsia="仿宋"/>
          <w:b w:val="0"/>
          <w:bCs/>
          <w:color w:val="000000" w:themeColor="text1"/>
          <w:sz w:val="32"/>
          <w:szCs w:val="32"/>
          <w14:textFill>
            <w14:solidFill>
              <w14:schemeClr w14:val="tx1"/>
            </w14:solidFill>
          </w14:textFill>
        </w:rPr>
        <w:t>支出决算为</w:t>
      </w:r>
      <w:r>
        <w:rPr>
          <w:rStyle w:val="20"/>
          <w:rFonts w:hint="eastAsia" w:ascii="仿宋" w:hAnsi="仿宋" w:eastAsia="仿宋"/>
          <w:b w:val="0"/>
          <w:bCs/>
          <w:color w:val="000000" w:themeColor="text1"/>
          <w:sz w:val="32"/>
          <w:szCs w:val="32"/>
          <w:lang w:val="en-US" w:eastAsia="zh-CN"/>
          <w14:textFill>
            <w14:solidFill>
              <w14:schemeClr w14:val="tx1"/>
            </w14:solidFill>
          </w14:textFill>
        </w:rPr>
        <w:t>18.48</w:t>
      </w:r>
      <w:r>
        <w:rPr>
          <w:rStyle w:val="20"/>
          <w:rFonts w:hint="eastAsia" w:ascii="仿宋" w:hAnsi="仿宋" w:eastAsia="仿宋"/>
          <w:b w:val="0"/>
          <w:bCs/>
          <w:color w:val="000000" w:themeColor="text1"/>
          <w:sz w:val="32"/>
          <w:szCs w:val="32"/>
          <w14:textFill>
            <w14:solidFill>
              <w14:schemeClr w14:val="tx1"/>
            </w14:solidFill>
          </w14:textFill>
        </w:rPr>
        <w:t>万元，完成预算</w:t>
      </w:r>
      <w:r>
        <w:rPr>
          <w:rStyle w:val="20"/>
          <w:rFonts w:ascii="仿宋" w:hAnsi="仿宋" w:eastAsia="仿宋"/>
          <w:b w:val="0"/>
          <w:bCs/>
          <w:color w:val="000000" w:themeColor="text1"/>
          <w:sz w:val="32"/>
          <w:szCs w:val="32"/>
          <w14:textFill>
            <w14:solidFill>
              <w14:schemeClr w14:val="tx1"/>
            </w14:solidFill>
          </w14:textFill>
        </w:rPr>
        <w:t>100%</w:t>
      </w:r>
      <w:r>
        <w:rPr>
          <w:rStyle w:val="20"/>
          <w:rFonts w:hint="eastAsia" w:ascii="仿宋" w:hAnsi="仿宋" w:eastAsia="仿宋"/>
          <w:b w:val="0"/>
          <w:bCs/>
          <w:color w:val="000000" w:themeColor="text1"/>
          <w:sz w:val="32"/>
          <w:szCs w:val="32"/>
          <w14:textFill>
            <w14:solidFill>
              <w14:schemeClr w14:val="tx1"/>
            </w14:solidFill>
          </w14:textFill>
        </w:rPr>
        <w:t>。</w:t>
      </w:r>
    </w:p>
    <w:p>
      <w:pPr>
        <w:spacing w:line="460" w:lineRule="exact"/>
        <w:ind w:firstLine="643" w:firstLineChars="200"/>
        <w:rPr>
          <w:rStyle w:val="20"/>
          <w:rFonts w:ascii="仿宋" w:hAnsi="仿宋" w:eastAsia="仿宋"/>
          <w:b w:val="0"/>
          <w:bCs/>
          <w:color w:val="000000" w:themeColor="text1"/>
          <w:sz w:val="32"/>
          <w:szCs w:val="32"/>
          <w14:textFill>
            <w14:solidFill>
              <w14:schemeClr w14:val="tx1"/>
            </w14:solidFill>
          </w14:textFill>
        </w:rPr>
      </w:pPr>
      <w:r>
        <w:rPr>
          <w:rStyle w:val="20"/>
          <w:rFonts w:hint="eastAsia" w:ascii="仿宋" w:hAnsi="仿宋" w:eastAsia="仿宋"/>
          <w:bCs/>
          <w:color w:val="000000" w:themeColor="text1"/>
          <w:sz w:val="32"/>
          <w:szCs w:val="32"/>
          <w:lang w:val="en-US" w:eastAsia="zh-CN"/>
          <w14:textFill>
            <w14:solidFill>
              <w14:schemeClr w14:val="tx1"/>
            </w14:solidFill>
          </w14:textFill>
        </w:rPr>
        <w:t>4</w:t>
      </w:r>
      <w:r>
        <w:rPr>
          <w:rStyle w:val="20"/>
          <w:rFonts w:ascii="仿宋" w:hAnsi="仿宋" w:eastAsia="仿宋"/>
          <w:bCs/>
          <w:color w:val="000000" w:themeColor="text1"/>
          <w:sz w:val="32"/>
          <w:szCs w:val="32"/>
          <w14:textFill>
            <w14:solidFill>
              <w14:schemeClr w14:val="tx1"/>
            </w14:solidFill>
          </w14:textFill>
        </w:rPr>
        <w:t>.</w:t>
      </w:r>
      <w:r>
        <w:rPr>
          <w:rStyle w:val="20"/>
          <w:rFonts w:hint="eastAsia" w:ascii="仿宋" w:hAnsi="仿宋" w:eastAsia="仿宋"/>
          <w:bCs/>
          <w:color w:val="000000" w:themeColor="text1"/>
          <w:sz w:val="32"/>
          <w:szCs w:val="32"/>
          <w14:textFill>
            <w14:solidFill>
              <w14:schemeClr w14:val="tx1"/>
            </w14:solidFill>
          </w14:textFill>
        </w:rPr>
        <w:t>城乡社区支出（类）城乡社区管理事务（款）行政运行（项）</w:t>
      </w:r>
      <w:r>
        <w:rPr>
          <w:rStyle w:val="20"/>
          <w:rFonts w:ascii="仿宋" w:hAnsi="仿宋" w:eastAsia="仿宋"/>
          <w:bCs/>
          <w:color w:val="000000" w:themeColor="text1"/>
          <w:sz w:val="32"/>
          <w:szCs w:val="32"/>
          <w14:textFill>
            <w14:solidFill>
              <w14:schemeClr w14:val="tx1"/>
            </w14:solidFill>
          </w14:textFill>
        </w:rPr>
        <w:t>:</w:t>
      </w:r>
      <w:r>
        <w:rPr>
          <w:rStyle w:val="20"/>
          <w:rFonts w:ascii="仿宋" w:hAnsi="仿宋" w:eastAsia="仿宋"/>
          <w:b w:val="0"/>
          <w:bCs/>
          <w:color w:val="000000" w:themeColor="text1"/>
          <w:sz w:val="32"/>
          <w:szCs w:val="32"/>
          <w14:textFill>
            <w14:solidFill>
              <w14:schemeClr w14:val="tx1"/>
            </w14:solidFill>
          </w14:textFill>
        </w:rPr>
        <w:t xml:space="preserve"> </w:t>
      </w:r>
      <w:r>
        <w:rPr>
          <w:rStyle w:val="20"/>
          <w:rFonts w:hint="eastAsia" w:ascii="仿宋" w:hAnsi="仿宋" w:eastAsia="仿宋"/>
          <w:b w:val="0"/>
          <w:bCs/>
          <w:color w:val="000000" w:themeColor="text1"/>
          <w:sz w:val="32"/>
          <w:szCs w:val="32"/>
          <w14:textFill>
            <w14:solidFill>
              <w14:schemeClr w14:val="tx1"/>
            </w14:solidFill>
          </w14:textFill>
        </w:rPr>
        <w:t>支出决算为</w:t>
      </w:r>
      <w:r>
        <w:rPr>
          <w:rFonts w:hint="eastAsia" w:ascii="仿宋" w:hAnsi="仿宋" w:eastAsia="仿宋"/>
          <w:color w:val="000000" w:themeColor="text1"/>
          <w:sz w:val="32"/>
          <w:szCs w:val="32"/>
          <w:lang w:val="en-US" w:eastAsia="zh-CN"/>
          <w14:textFill>
            <w14:solidFill>
              <w14:schemeClr w14:val="tx1"/>
            </w14:solidFill>
          </w14:textFill>
        </w:rPr>
        <w:t>1916.37</w:t>
      </w:r>
      <w:r>
        <w:rPr>
          <w:rStyle w:val="20"/>
          <w:rFonts w:hint="eastAsia" w:ascii="仿宋" w:hAnsi="仿宋" w:eastAsia="仿宋"/>
          <w:b w:val="0"/>
          <w:bCs/>
          <w:color w:val="000000" w:themeColor="text1"/>
          <w:sz w:val="32"/>
          <w:szCs w:val="32"/>
          <w14:textFill>
            <w14:solidFill>
              <w14:schemeClr w14:val="tx1"/>
            </w14:solidFill>
          </w14:textFill>
        </w:rPr>
        <w:t>万元，完成预算</w:t>
      </w:r>
      <w:r>
        <w:rPr>
          <w:rStyle w:val="20"/>
          <w:rFonts w:ascii="仿宋" w:hAnsi="仿宋" w:eastAsia="仿宋"/>
          <w:b w:val="0"/>
          <w:bCs/>
          <w:color w:val="000000" w:themeColor="text1"/>
          <w:sz w:val="32"/>
          <w:szCs w:val="32"/>
          <w14:textFill>
            <w14:solidFill>
              <w14:schemeClr w14:val="tx1"/>
            </w14:solidFill>
          </w14:textFill>
        </w:rPr>
        <w:t>100%</w:t>
      </w:r>
      <w:r>
        <w:rPr>
          <w:rStyle w:val="20"/>
          <w:rFonts w:hint="eastAsia" w:ascii="仿宋" w:hAnsi="仿宋" w:eastAsia="仿宋"/>
          <w:b w:val="0"/>
          <w:bCs/>
          <w:color w:val="000000" w:themeColor="text1"/>
          <w:sz w:val="32"/>
          <w:szCs w:val="32"/>
          <w14:textFill>
            <w14:solidFill>
              <w14:schemeClr w14:val="tx1"/>
            </w14:solidFill>
          </w14:textFill>
        </w:rPr>
        <w:t>。</w:t>
      </w:r>
    </w:p>
    <w:p>
      <w:pPr>
        <w:spacing w:line="460" w:lineRule="exact"/>
        <w:ind w:firstLine="643" w:firstLineChars="200"/>
        <w:rPr>
          <w:rFonts w:hint="default" w:ascii="仿宋" w:hAnsi="仿宋" w:eastAsia="仿宋"/>
          <w:b/>
          <w:bCs/>
          <w:color w:val="000000" w:themeColor="text1"/>
          <w:sz w:val="32"/>
          <w:szCs w:val="32"/>
          <w:lang w:val="en-US" w:eastAsia="zh-CN"/>
          <w14:textFill>
            <w14:solidFill>
              <w14:schemeClr w14:val="tx1"/>
            </w14:solidFill>
          </w14:textFill>
        </w:rPr>
      </w:pPr>
      <w:r>
        <w:rPr>
          <w:rFonts w:hint="eastAsia" w:ascii="仿宋" w:hAnsi="仿宋" w:eastAsia="仿宋"/>
          <w:b/>
          <w:bCs/>
          <w:color w:val="000000" w:themeColor="text1"/>
          <w:sz w:val="32"/>
          <w:szCs w:val="32"/>
          <w:lang w:val="en-US" w:eastAsia="zh-CN"/>
          <w14:textFill>
            <w14:solidFill>
              <w14:schemeClr w14:val="tx1"/>
            </w14:solidFill>
          </w14:textFill>
        </w:rPr>
        <w:t>5</w:t>
      </w:r>
      <w:r>
        <w:rPr>
          <w:rFonts w:ascii="仿宋" w:hAnsi="仿宋" w:eastAsia="仿宋"/>
          <w:b/>
          <w:bCs/>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lang w:val="en-US" w:eastAsia="zh-CN"/>
          <w14:textFill>
            <w14:solidFill>
              <w14:schemeClr w14:val="tx1"/>
            </w14:solidFill>
          </w14:textFill>
        </w:rPr>
        <w:t xml:space="preserve"> 农林水（类）农村基础设施建设：</w:t>
      </w:r>
      <w:r>
        <w:rPr>
          <w:rStyle w:val="20"/>
          <w:rFonts w:hint="eastAsia" w:ascii="仿宋" w:hAnsi="仿宋" w:eastAsia="仿宋"/>
          <w:b w:val="0"/>
          <w:bCs/>
          <w:color w:val="000000" w:themeColor="text1"/>
          <w:sz w:val="32"/>
          <w:szCs w:val="32"/>
          <w14:textFill>
            <w14:solidFill>
              <w14:schemeClr w14:val="tx1"/>
            </w14:solidFill>
          </w14:textFill>
        </w:rPr>
        <w:t>支出决算为</w:t>
      </w:r>
      <w:r>
        <w:rPr>
          <w:rStyle w:val="20"/>
          <w:rFonts w:hint="eastAsia" w:ascii="仿宋" w:hAnsi="仿宋" w:eastAsia="仿宋"/>
          <w:b w:val="0"/>
          <w:bCs/>
          <w:color w:val="000000" w:themeColor="text1"/>
          <w:sz w:val="32"/>
          <w:szCs w:val="32"/>
          <w:lang w:val="en-US" w:eastAsia="zh-CN"/>
          <w14:textFill>
            <w14:solidFill>
              <w14:schemeClr w14:val="tx1"/>
            </w14:solidFill>
          </w14:textFill>
        </w:rPr>
        <w:t>99.81</w:t>
      </w:r>
      <w:r>
        <w:rPr>
          <w:rStyle w:val="20"/>
          <w:rFonts w:hint="eastAsia" w:ascii="仿宋" w:hAnsi="仿宋" w:eastAsia="仿宋"/>
          <w:b w:val="0"/>
          <w:bCs/>
          <w:color w:val="000000" w:themeColor="text1"/>
          <w:sz w:val="32"/>
          <w:szCs w:val="32"/>
          <w14:textFill>
            <w14:solidFill>
              <w14:schemeClr w14:val="tx1"/>
            </w14:solidFill>
          </w14:textFill>
        </w:rPr>
        <w:t>万元，完成预算</w:t>
      </w:r>
      <w:r>
        <w:rPr>
          <w:rStyle w:val="20"/>
          <w:rFonts w:ascii="仿宋" w:hAnsi="仿宋" w:eastAsia="仿宋"/>
          <w:b w:val="0"/>
          <w:bCs/>
          <w:color w:val="000000" w:themeColor="text1"/>
          <w:sz w:val="32"/>
          <w:szCs w:val="32"/>
          <w14:textFill>
            <w14:solidFill>
              <w14:schemeClr w14:val="tx1"/>
            </w14:solidFill>
          </w14:textFill>
        </w:rPr>
        <w:t>100%</w:t>
      </w:r>
      <w:r>
        <w:rPr>
          <w:rStyle w:val="20"/>
          <w:rFonts w:hint="eastAsia" w:ascii="仿宋" w:hAnsi="仿宋" w:eastAsia="仿宋"/>
          <w:b w:val="0"/>
          <w:bCs/>
          <w:color w:val="000000" w:themeColor="text1"/>
          <w:sz w:val="32"/>
          <w:szCs w:val="32"/>
          <w14:textFill>
            <w14:solidFill>
              <w14:schemeClr w14:val="tx1"/>
            </w14:solidFill>
          </w14:textFill>
        </w:rPr>
        <w:t>。</w:t>
      </w:r>
    </w:p>
    <w:p>
      <w:pPr>
        <w:spacing w:line="460" w:lineRule="exact"/>
        <w:ind w:firstLine="643" w:firstLineChars="200"/>
        <w:rPr>
          <w:rFonts w:ascii="仿宋" w:hAnsi="仿宋" w:eastAsia="仿宋"/>
          <w:b/>
          <w:color w:val="auto"/>
          <w:sz w:val="32"/>
          <w:szCs w:val="32"/>
          <w:highlight w:val="none"/>
        </w:rPr>
      </w:pPr>
      <w:r>
        <w:rPr>
          <w:rFonts w:hint="eastAsia" w:ascii="仿宋" w:hAnsi="仿宋" w:eastAsia="仿宋"/>
          <w:b/>
          <w:bCs/>
          <w:color w:val="000000" w:themeColor="text1"/>
          <w:sz w:val="32"/>
          <w:szCs w:val="32"/>
          <w:lang w:val="en-US" w:eastAsia="zh-CN"/>
          <w14:textFill>
            <w14:solidFill>
              <w14:schemeClr w14:val="tx1"/>
            </w14:solidFill>
          </w14:textFill>
        </w:rPr>
        <w:t>6</w:t>
      </w:r>
      <w:r>
        <w:rPr>
          <w:rFonts w:ascii="仿宋" w:hAnsi="仿宋" w:eastAsia="仿宋"/>
          <w:b/>
          <w:bCs/>
          <w:color w:val="000000" w:themeColor="text1"/>
          <w:sz w:val="32"/>
          <w:szCs w:val="32"/>
          <w14:textFill>
            <w14:solidFill>
              <w14:schemeClr w14:val="tx1"/>
            </w14:solidFill>
          </w14:textFill>
        </w:rPr>
        <w:t>.</w:t>
      </w:r>
      <w:r>
        <w:rPr>
          <w:rStyle w:val="23"/>
          <w:rFonts w:ascii="仿宋" w:hAnsi="仿宋" w:eastAsia="仿宋"/>
          <w:bCs/>
          <w:color w:val="000000" w:themeColor="text1"/>
          <w:sz w:val="32"/>
          <w:szCs w:val="32"/>
          <w14:textFill>
            <w14:solidFill>
              <w14:schemeClr w14:val="tx1"/>
            </w14:solidFill>
          </w14:textFill>
        </w:rPr>
        <w:t xml:space="preserve"> </w:t>
      </w:r>
      <w:r>
        <w:rPr>
          <w:rStyle w:val="20"/>
          <w:rFonts w:hint="eastAsia" w:ascii="仿宋" w:hAnsi="仿宋" w:eastAsia="仿宋"/>
          <w:bCs/>
          <w:color w:val="000000" w:themeColor="text1"/>
          <w:sz w:val="32"/>
          <w:szCs w:val="32"/>
          <w14:textFill>
            <w14:solidFill>
              <w14:schemeClr w14:val="tx1"/>
            </w14:solidFill>
          </w14:textFill>
        </w:rPr>
        <w:t>住房保障（类）住房改革支出（款）住房公积金（项）</w:t>
      </w:r>
      <w:r>
        <w:rPr>
          <w:rStyle w:val="20"/>
          <w:rFonts w:ascii="仿宋" w:hAnsi="仿宋" w:eastAsia="仿宋"/>
          <w:bCs/>
          <w:color w:val="000000" w:themeColor="text1"/>
          <w:sz w:val="32"/>
          <w:szCs w:val="32"/>
          <w14:textFill>
            <w14:solidFill>
              <w14:schemeClr w14:val="tx1"/>
            </w14:solidFill>
          </w14:textFill>
        </w:rPr>
        <w:t>:</w:t>
      </w:r>
      <w:r>
        <w:rPr>
          <w:rStyle w:val="20"/>
          <w:rFonts w:hint="eastAsia" w:ascii="仿宋" w:hAnsi="仿宋" w:eastAsia="仿宋"/>
          <w:b w:val="0"/>
          <w:bCs/>
          <w:color w:val="000000" w:themeColor="text1"/>
          <w:sz w:val="32"/>
          <w:szCs w:val="32"/>
          <w14:textFill>
            <w14:solidFill>
              <w14:schemeClr w14:val="tx1"/>
            </w14:solidFill>
          </w14:textFill>
        </w:rPr>
        <w:t>支出决算为</w:t>
      </w:r>
      <w:r>
        <w:rPr>
          <w:rFonts w:hint="eastAsia" w:ascii="仿宋" w:hAnsi="仿宋" w:eastAsia="仿宋"/>
          <w:color w:val="000000" w:themeColor="text1"/>
          <w:sz w:val="32"/>
          <w:szCs w:val="32"/>
          <w:lang w:val="en-US" w:eastAsia="zh-CN"/>
          <w14:textFill>
            <w14:solidFill>
              <w14:schemeClr w14:val="tx1"/>
            </w14:solidFill>
          </w14:textFill>
        </w:rPr>
        <w:t>38.83</w:t>
      </w:r>
      <w:r>
        <w:rPr>
          <w:rStyle w:val="20"/>
          <w:rFonts w:hint="eastAsia" w:ascii="仿宋" w:hAnsi="仿宋" w:eastAsia="仿宋"/>
          <w:b w:val="0"/>
          <w:bCs/>
          <w:color w:val="000000" w:themeColor="text1"/>
          <w:sz w:val="32"/>
          <w:szCs w:val="32"/>
          <w14:textFill>
            <w14:solidFill>
              <w14:schemeClr w14:val="tx1"/>
            </w14:solidFill>
          </w14:textFill>
        </w:rPr>
        <w:t>万元，完成预算</w:t>
      </w:r>
      <w:r>
        <w:rPr>
          <w:rStyle w:val="20"/>
          <w:rFonts w:ascii="仿宋" w:hAnsi="仿宋" w:eastAsia="仿宋"/>
          <w:b w:val="0"/>
          <w:bCs/>
          <w:color w:val="000000" w:themeColor="text1"/>
          <w:sz w:val="32"/>
          <w:szCs w:val="32"/>
          <w14:textFill>
            <w14:solidFill>
              <w14:schemeClr w14:val="tx1"/>
            </w14:solidFill>
          </w14:textFill>
        </w:rPr>
        <w:t>100%</w:t>
      </w:r>
      <w:r>
        <w:rPr>
          <w:rStyle w:val="20"/>
          <w:rFonts w:hint="eastAsia" w:ascii="仿宋" w:hAnsi="仿宋" w:eastAsia="仿宋"/>
          <w:b w:val="0"/>
          <w:bCs/>
          <w:color w:val="000000" w:themeColor="text1"/>
          <w:sz w:val="32"/>
          <w:szCs w:val="32"/>
          <w14:textFill>
            <w14:solidFill>
              <w14:schemeClr w14:val="tx1"/>
            </w14:solidFill>
          </w14:textFill>
        </w:rPr>
        <w:t>。</w:t>
      </w:r>
    </w:p>
    <w:p>
      <w:pPr>
        <w:tabs>
          <w:tab w:val="right" w:pos="8306"/>
        </w:tabs>
        <w:spacing w:line="600" w:lineRule="exact"/>
        <w:ind w:firstLine="640"/>
        <w:outlineLvl w:val="1"/>
        <w:rPr>
          <w:rStyle w:val="32"/>
          <w:color w:val="auto"/>
          <w:highlight w:val="none"/>
        </w:rPr>
      </w:pPr>
      <w:bookmarkStart w:id="57" w:name="_Toc15377214"/>
      <w:bookmarkStart w:id="58" w:name="_Toc15396608"/>
      <w:bookmarkStart w:id="59" w:name="_Toc1888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2"/>
          <w:rFonts w:hint="eastAsia" w:ascii="黑体" w:hAnsi="黑体" w:eastAsia="黑体"/>
          <w:b w:val="0"/>
          <w:color w:val="auto"/>
          <w:highlight w:val="none"/>
        </w:rPr>
        <w:t>般公共预算财政拨款基本支出决算情况说明</w:t>
      </w:r>
      <w:bookmarkEnd w:id="57"/>
      <w:bookmarkEnd w:id="58"/>
      <w:bookmarkEnd w:id="59"/>
      <w:r>
        <w:rPr>
          <w:rStyle w:val="32"/>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623.12</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573.77</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49.35</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2"/>
          <w:rFonts w:ascii="黑体" w:hAnsi="黑体" w:eastAsia="黑体"/>
          <w:b w:val="0"/>
          <w:color w:val="auto"/>
          <w:highlight w:val="none"/>
        </w:rPr>
      </w:pPr>
      <w:bookmarkStart w:id="60" w:name="_Toc15396609"/>
      <w:bookmarkStart w:id="61" w:name="_Toc15377215"/>
      <w:bookmarkStart w:id="62" w:name="_Toc19446"/>
      <w:r>
        <w:rPr>
          <w:rFonts w:hint="eastAsia" w:ascii="黑体" w:eastAsia="黑体"/>
          <w:color w:val="auto"/>
          <w:sz w:val="32"/>
          <w:szCs w:val="32"/>
          <w:highlight w:val="none"/>
        </w:rPr>
        <w:t>七、</w:t>
      </w:r>
      <w:r>
        <w:rPr>
          <w:rStyle w:val="32"/>
          <w:rFonts w:hint="eastAsia" w:ascii="黑体" w:hAnsi="黑体" w:eastAsia="黑体"/>
          <w:b w:val="0"/>
          <w:color w:val="auto"/>
          <w:highlight w:val="none"/>
        </w:rPr>
        <w:t>财政拨款</w:t>
      </w:r>
      <w:r>
        <w:rPr>
          <w:rStyle w:val="32"/>
          <w:rFonts w:hint="eastAsia" w:ascii="黑体" w:hAnsi="黑体" w:eastAsia="黑体"/>
          <w:color w:val="auto"/>
          <w:highlight w:val="none"/>
        </w:rPr>
        <w:t>“</w:t>
      </w:r>
      <w:r>
        <w:rPr>
          <w:rStyle w:val="32"/>
          <w:rFonts w:hint="eastAsia" w:ascii="黑体" w:hAnsi="黑体" w:eastAsia="黑体"/>
          <w:b w:val="0"/>
          <w:color w:val="auto"/>
          <w:highlight w:val="none"/>
        </w:rPr>
        <w:t>三公”经费支出决算情况说明</w:t>
      </w:r>
      <w:bookmarkEnd w:id="60"/>
      <w:bookmarkEnd w:id="61"/>
      <w:bookmarkEnd w:id="62"/>
    </w:p>
    <w:p>
      <w:pPr>
        <w:spacing w:line="600" w:lineRule="exact"/>
        <w:ind w:firstLine="640"/>
        <w:outlineLvl w:val="2"/>
        <w:rPr>
          <w:rFonts w:ascii="仿宋" w:hAnsi="仿宋" w:eastAsia="仿宋"/>
          <w:b/>
          <w:color w:val="auto"/>
          <w:sz w:val="32"/>
          <w:szCs w:val="32"/>
          <w:highlight w:val="none"/>
        </w:rPr>
      </w:pPr>
      <w:bookmarkStart w:id="63" w:name="_Toc15377216"/>
      <w:bookmarkStart w:id="64" w:name="_Toc4787"/>
      <w:r>
        <w:rPr>
          <w:rFonts w:hint="eastAsia" w:ascii="仿宋" w:hAnsi="仿宋" w:eastAsia="仿宋"/>
          <w:b/>
          <w:color w:val="auto"/>
          <w:sz w:val="32"/>
          <w:szCs w:val="32"/>
          <w:highlight w:val="none"/>
        </w:rPr>
        <w:t>（一）“三公”经费财政拨款支出决算总体情况说明</w:t>
      </w:r>
      <w:bookmarkEnd w:id="63"/>
      <w:bookmarkEnd w:id="6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4.8</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减少0.79万元，下降16.46%。</w:t>
      </w:r>
    </w:p>
    <w:p>
      <w:pPr>
        <w:spacing w:line="600" w:lineRule="exact"/>
        <w:ind w:firstLine="640"/>
        <w:outlineLvl w:val="2"/>
        <w:rPr>
          <w:rFonts w:ascii="仿宋" w:hAnsi="仿宋" w:eastAsia="仿宋"/>
          <w:b/>
          <w:color w:val="auto"/>
          <w:sz w:val="32"/>
          <w:szCs w:val="32"/>
          <w:highlight w:val="none"/>
        </w:rPr>
      </w:pPr>
      <w:bookmarkStart w:id="65" w:name="_Toc15377217"/>
      <w:bookmarkStart w:id="66" w:name="_Toc13172"/>
      <w:r>
        <w:rPr>
          <w:rFonts w:hint="eastAsia" w:ascii="仿宋" w:hAnsi="仿宋" w:eastAsia="仿宋"/>
          <w:b/>
          <w:color w:val="auto"/>
          <w:sz w:val="32"/>
          <w:szCs w:val="32"/>
          <w:highlight w:val="none"/>
        </w:rPr>
        <w:t>（二）“三公”经费财政拨款支出决算具体情况说明</w:t>
      </w:r>
      <w:bookmarkEnd w:id="65"/>
      <w:bookmarkEnd w:id="66"/>
    </w:p>
    <w:p>
      <w:pPr>
        <w:spacing w:line="600" w:lineRule="exact"/>
        <w:ind w:firstLine="640"/>
        <w:rPr>
          <w:rFonts w:hint="eastAsia" w:ascii="仿宋" w:hAnsi="仿宋" w:eastAsia="仿宋"/>
          <w:color w:val="FF0000"/>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4.8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240" w:lineRule="auto"/>
        <w:rPr>
          <w:rFonts w:hint="eastAsia" w:ascii="仿宋" w:hAnsi="仿宋" w:eastAsia="仿宋"/>
          <w:color w:val="FF0000"/>
          <w:sz w:val="32"/>
          <w:szCs w:val="32"/>
          <w:highlight w:val="none"/>
        </w:rPr>
      </w:pPr>
      <w:r>
        <w:rPr>
          <w:rFonts w:hint="eastAsia" w:ascii="仿宋" w:hAnsi="仿宋" w:eastAsia="仿宋"/>
          <w:color w:val="FF0000"/>
          <w:sz w:val="32"/>
          <w:szCs w:val="32"/>
          <w:highlight w:val="none"/>
          <w:lang w:eastAsia="zh-CN"/>
        </w:rPr>
        <w:drawing>
          <wp:inline distT="0" distB="0" distL="114300" distR="114300">
            <wp:extent cx="5266690" cy="3106420"/>
            <wp:effectExtent l="0" t="0" r="10160" b="17780"/>
            <wp:docPr id="8" name="图片 8"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7"/>
                    <pic:cNvPicPr>
                      <a:picLocks noChangeAspect="1"/>
                    </pic:cNvPicPr>
                  </pic:nvPicPr>
                  <pic:blipFill>
                    <a:blip r:embed="rId14"/>
                    <a:stretch>
                      <a:fillRect/>
                    </a:stretch>
                  </pic:blipFill>
                  <pic:spPr>
                    <a:xfrm>
                      <a:off x="0" y="0"/>
                      <a:ext cx="5266690" cy="3106420"/>
                    </a:xfrm>
                    <a:prstGeom prst="rect">
                      <a:avLst/>
                    </a:prstGeom>
                  </pic:spPr>
                </pic:pic>
              </a:graphicData>
            </a:graphic>
          </wp:inline>
        </w:drawing>
      </w:r>
    </w:p>
    <w:p>
      <w:pPr>
        <w:spacing w:line="600" w:lineRule="exact"/>
        <w:ind w:firstLine="640"/>
        <w:rPr>
          <w:rFonts w:ascii="仿宋" w:hAnsi="仿宋" w:eastAsia="仿宋"/>
          <w:color w:val="FF0000"/>
          <w:sz w:val="32"/>
          <w:szCs w:val="32"/>
          <w:highlight w:val="none"/>
        </w:rPr>
      </w:pPr>
      <w:r>
        <w:rPr>
          <w:rFonts w:hint="eastAsia" w:ascii="仿宋" w:hAnsi="仿宋" w:eastAsia="仿宋"/>
          <w:color w:val="000000" w:themeColor="text1"/>
          <w:sz w:val="32"/>
          <w:szCs w:val="32"/>
          <w:highlight w:val="none"/>
          <w14:textFill>
            <w14:solidFill>
              <w14:schemeClr w14:val="tx1"/>
            </w14:solidFill>
          </w14:textFill>
        </w:rPr>
        <w:t>（图</w:t>
      </w:r>
      <w:r>
        <w:rPr>
          <w:rFonts w:hint="eastAsia" w:ascii="仿宋" w:hAnsi="仿宋" w:eastAsia="仿宋"/>
          <w:color w:val="000000" w:themeColor="text1"/>
          <w:sz w:val="32"/>
          <w:szCs w:val="32"/>
          <w:highlight w:val="none"/>
          <w:lang w:val="en-US" w:eastAsia="zh-CN"/>
          <w14:textFill>
            <w14:solidFill>
              <w14:schemeClr w14:val="tx1"/>
            </w14:solidFill>
          </w14:textFill>
        </w:rPr>
        <w:t>8</w:t>
      </w:r>
      <w:r>
        <w:rPr>
          <w:rFonts w:hint="eastAsia" w:ascii="仿宋" w:hAnsi="仿宋" w:eastAsia="仿宋"/>
          <w:color w:val="000000" w:themeColor="text1"/>
          <w:sz w:val="32"/>
          <w:szCs w:val="32"/>
          <w:highlight w:val="none"/>
          <w14:textFill>
            <w14:solidFill>
              <w14:schemeClr w14:val="tx1"/>
            </w14:solidFill>
          </w14:textFill>
        </w:rPr>
        <w:t>：“三公”经费财政拨款支出结构）（饼状图）</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20"/>
          <w:rFonts w:hint="eastAsia" w:ascii="仿宋" w:hAnsi="仿宋" w:eastAsia="仿宋"/>
          <w:b w:val="0"/>
          <w:bCs/>
          <w:color w:val="auto"/>
          <w:sz w:val="32"/>
          <w:szCs w:val="32"/>
          <w:highlight w:val="none"/>
        </w:rPr>
        <w:t>完成预算</w:t>
      </w:r>
      <w:r>
        <w:rPr>
          <w:rStyle w:val="20"/>
          <w:rFonts w:hint="eastAsia" w:ascii="仿宋" w:hAnsi="仿宋" w:eastAsia="仿宋"/>
          <w:b w:val="0"/>
          <w:bCs/>
          <w:color w:val="auto"/>
          <w:sz w:val="32"/>
          <w:szCs w:val="32"/>
          <w:highlight w:val="none"/>
          <w:lang w:val="en-US" w:eastAsia="zh-CN"/>
        </w:rPr>
        <w:t>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4.8</w:t>
      </w:r>
      <w:r>
        <w:rPr>
          <w:rFonts w:hint="eastAsia" w:ascii="仿宋_GB2312" w:eastAsia="仿宋_GB2312"/>
          <w:color w:val="auto"/>
          <w:sz w:val="32"/>
          <w:szCs w:val="32"/>
          <w:highlight w:val="none"/>
        </w:rPr>
        <w:t>万元,</w:t>
      </w:r>
      <w:r>
        <w:rPr>
          <w:rStyle w:val="20"/>
          <w:rFonts w:hint="eastAsia" w:ascii="仿宋" w:hAnsi="仿宋" w:eastAsia="仿宋"/>
          <w:b w:val="0"/>
          <w:bCs/>
          <w:color w:val="auto"/>
          <w:sz w:val="32"/>
          <w:szCs w:val="32"/>
          <w:highlight w:val="none"/>
        </w:rPr>
        <w:t>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0.8</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16.67</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hint="eastAsia" w:ascii="仿宋_GB2312" w:eastAsia="仿宋_GB2312"/>
          <w:color w:val="000000" w:themeColor="text1"/>
          <w:sz w:val="32"/>
          <w:szCs w:val="32"/>
          <w:highlight w:val="none"/>
          <w14:textFill>
            <w14:solidFill>
              <w14:schemeClr w14:val="tx1"/>
            </w14:solidFill>
          </w14:textFill>
        </w:rPr>
        <w:t>主要原因是</w:t>
      </w:r>
      <w:r>
        <w:rPr>
          <w:rFonts w:hint="eastAsia" w:ascii="仿宋_GB2312" w:eastAsia="仿宋_GB2312"/>
          <w:color w:val="000000" w:themeColor="text1"/>
          <w:sz w:val="32"/>
          <w:szCs w:val="32"/>
          <w:highlight w:val="none"/>
          <w:lang w:val="en-US" w:eastAsia="zh-CN"/>
          <w14:textFill>
            <w14:solidFill>
              <w14:schemeClr w14:val="tx1"/>
            </w14:solidFill>
          </w14:textFill>
        </w:rPr>
        <w:t>严格按照相关规定精减车辆运行次数</w:t>
      </w:r>
      <w:r>
        <w:rPr>
          <w:rFonts w:hint="eastAsia" w:ascii="仿宋_GB2312" w:eastAsia="仿宋_GB2312"/>
          <w:color w:val="000000" w:themeColor="text1"/>
          <w:sz w:val="32"/>
          <w:szCs w:val="32"/>
          <w:highlight w:val="none"/>
          <w14:textFill>
            <w14:solidFill>
              <w14:schemeClr w14:val="tx1"/>
            </w14:solidFill>
          </w14:textFill>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4.8</w:t>
      </w:r>
      <w:r>
        <w:rPr>
          <w:rFonts w:hint="eastAsia" w:ascii="仿宋_GB2312" w:eastAsia="仿宋_GB2312"/>
          <w:color w:val="auto"/>
          <w:sz w:val="32"/>
          <w:szCs w:val="32"/>
          <w:highlight w:val="none"/>
        </w:rPr>
        <w:t>万元。</w:t>
      </w:r>
      <w:r>
        <w:rPr>
          <w:rFonts w:hint="eastAsia" w:ascii="仿宋_GB2312" w:eastAsia="仿宋_GB2312"/>
          <w:sz w:val="32"/>
          <w:szCs w:val="32"/>
        </w:rPr>
        <w:t>主要用于</w:t>
      </w:r>
      <w:r>
        <w:rPr>
          <w:rFonts w:hint="eastAsia" w:ascii="仿宋_GB2312" w:eastAsia="仿宋_GB2312"/>
          <w:color w:val="000000"/>
          <w:sz w:val="32"/>
          <w:szCs w:val="32"/>
        </w:rPr>
        <w:t>城乡环境治理、垃圾分类、现场会、扶贫帮扶</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20"/>
          <w:rFonts w:hint="eastAsia" w:ascii="仿宋" w:hAnsi="仿宋" w:eastAsia="仿宋"/>
          <w:b w:val="0"/>
          <w:bCs/>
          <w:color w:val="auto"/>
          <w:sz w:val="32"/>
          <w:szCs w:val="32"/>
          <w:highlight w:val="none"/>
        </w:rPr>
        <w:t>完成预算</w:t>
      </w:r>
      <w:r>
        <w:rPr>
          <w:rStyle w:val="20"/>
          <w:rFonts w:hint="eastAsia" w:ascii="仿宋" w:hAnsi="仿宋" w:eastAsia="仿宋"/>
          <w:b w:val="0"/>
          <w:bCs/>
          <w:color w:val="auto"/>
          <w:sz w:val="32"/>
          <w:szCs w:val="32"/>
          <w:highlight w:val="none"/>
          <w:lang w:val="en-US" w:eastAsia="zh-CN"/>
        </w:rPr>
        <w:t>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未预算</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万元，(执行公务、开展业务活动开支的交通费、住宿费、用餐费等)。国内公务接待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万元，（接待具体项目、金额）。</w:t>
      </w:r>
    </w:p>
    <w:p>
      <w:pPr>
        <w:spacing w:line="600" w:lineRule="exact"/>
        <w:ind w:firstLine="643" w:firstLineChars="200"/>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万元，主要用于接待</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次（不包括陪同人员）</w:t>
      </w:r>
      <w:r>
        <w:rPr>
          <w:rFonts w:hint="eastAsia" w:ascii="仿宋_GB2312" w:eastAsia="仿宋_GB2312"/>
          <w:color w:val="auto"/>
          <w:sz w:val="32"/>
          <w:szCs w:val="32"/>
          <w:highlight w:val="none"/>
        </w:rPr>
        <w:t>，共计支出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67" w:name="_Toc15396610"/>
      <w:bookmarkStart w:id="68" w:name="_Toc15377218"/>
    </w:p>
    <w:p>
      <w:pPr>
        <w:spacing w:line="600" w:lineRule="exact"/>
        <w:ind w:firstLine="640"/>
        <w:outlineLvl w:val="1"/>
        <w:rPr>
          <w:rStyle w:val="32"/>
          <w:rFonts w:ascii="黑体" w:hAnsi="黑体" w:eastAsia="黑体"/>
          <w:color w:val="auto"/>
          <w:highlight w:val="none"/>
        </w:rPr>
      </w:pPr>
      <w:bookmarkStart w:id="69" w:name="_Toc7029"/>
      <w:r>
        <w:rPr>
          <w:rFonts w:hint="eastAsia" w:ascii="黑体" w:eastAsia="黑体"/>
          <w:color w:val="auto"/>
          <w:sz w:val="32"/>
          <w:szCs w:val="32"/>
          <w:highlight w:val="none"/>
        </w:rPr>
        <w:t>八、</w:t>
      </w:r>
      <w:r>
        <w:rPr>
          <w:rStyle w:val="32"/>
          <w:rFonts w:hint="eastAsia" w:ascii="黑体" w:hAnsi="黑体" w:eastAsia="黑体"/>
          <w:b w:val="0"/>
          <w:color w:val="auto"/>
          <w:highlight w:val="none"/>
        </w:rPr>
        <w:t>政府性基金预算支出决算情况说明</w:t>
      </w:r>
      <w:bookmarkEnd w:id="67"/>
      <w:bookmarkEnd w:id="68"/>
      <w:bookmarkEnd w:id="69"/>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32"/>
          <w:rFonts w:ascii="黑体" w:hAnsi="黑体" w:eastAsia="黑体"/>
          <w:b w:val="0"/>
          <w:color w:val="auto"/>
          <w:highlight w:val="none"/>
        </w:rPr>
      </w:pPr>
      <w:bookmarkStart w:id="70" w:name="_Toc15377219"/>
      <w:bookmarkStart w:id="71" w:name="_Toc15396611"/>
      <w:bookmarkStart w:id="72" w:name="_Toc18703"/>
      <w:r>
        <w:rPr>
          <w:rStyle w:val="32"/>
          <w:rFonts w:hint="eastAsia" w:ascii="黑体" w:hAnsi="黑体" w:eastAsia="黑体"/>
          <w:b w:val="0"/>
          <w:color w:val="auto"/>
          <w:highlight w:val="none"/>
        </w:rPr>
        <w:t>国有资本经营预算支出决算情况说明</w:t>
      </w:r>
      <w:bookmarkEnd w:id="70"/>
      <w:bookmarkEnd w:id="71"/>
      <w:bookmarkEnd w:id="72"/>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32"/>
          <w:rFonts w:hint="eastAsia" w:ascii="黑体" w:hAnsi="黑体" w:eastAsia="黑体"/>
          <w:b w:val="0"/>
          <w:color w:val="auto"/>
          <w:highlight w:val="none"/>
        </w:rPr>
      </w:pPr>
      <w:bookmarkStart w:id="73" w:name="_Toc15396612"/>
      <w:bookmarkStart w:id="74" w:name="_Toc15377221"/>
      <w:bookmarkStart w:id="75" w:name="_Toc539"/>
      <w:r>
        <w:rPr>
          <w:rStyle w:val="32"/>
          <w:rFonts w:hint="eastAsia" w:ascii="黑体" w:hAnsi="黑体" w:eastAsia="黑体"/>
          <w:b w:val="0"/>
          <w:color w:val="auto"/>
          <w:highlight w:val="none"/>
        </w:rPr>
        <w:t>其他重要事项的情况说明</w:t>
      </w:r>
      <w:bookmarkEnd w:id="73"/>
      <w:bookmarkEnd w:id="74"/>
      <w:bookmarkEnd w:id="75"/>
    </w:p>
    <w:p>
      <w:pPr>
        <w:spacing w:line="600" w:lineRule="exact"/>
        <w:ind w:firstLine="643" w:firstLineChars="200"/>
        <w:outlineLvl w:val="2"/>
        <w:rPr>
          <w:rFonts w:ascii="仿宋" w:hAnsi="仿宋" w:eastAsia="仿宋"/>
          <w:color w:val="auto"/>
          <w:sz w:val="32"/>
          <w:szCs w:val="32"/>
          <w:highlight w:val="none"/>
        </w:rPr>
      </w:pPr>
      <w:bookmarkStart w:id="76" w:name="_Toc15377222"/>
      <w:bookmarkStart w:id="77" w:name="_Toc31068"/>
      <w:r>
        <w:rPr>
          <w:rFonts w:hint="eastAsia" w:ascii="仿宋" w:hAnsi="仿宋" w:eastAsia="仿宋"/>
          <w:b/>
          <w:color w:val="auto"/>
          <w:sz w:val="32"/>
          <w:szCs w:val="32"/>
          <w:highlight w:val="none"/>
        </w:rPr>
        <w:t>（一）机关运行经费支出情况</w:t>
      </w:r>
      <w:bookmarkEnd w:id="76"/>
      <w:bookmarkEnd w:id="77"/>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区综合行政执法局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49.35</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0.65</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0.13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人员增加及运行费用增加</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8" w:name="_Toc15377223"/>
      <w:bookmarkStart w:id="79" w:name="_Toc13469"/>
      <w:r>
        <w:rPr>
          <w:rFonts w:hint="eastAsia" w:ascii="仿宋" w:hAnsi="仿宋" w:eastAsia="仿宋"/>
          <w:b/>
          <w:color w:val="auto"/>
          <w:sz w:val="32"/>
          <w:szCs w:val="32"/>
          <w:highlight w:val="none"/>
        </w:rPr>
        <w:t>（二）政府采购支出情况</w:t>
      </w:r>
      <w:bookmarkEnd w:id="78"/>
      <w:bookmarkEnd w:id="79"/>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区综合行政执法局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80" w:name="_Toc15377224"/>
      <w:bookmarkStart w:id="81" w:name="_Toc18241"/>
      <w:r>
        <w:rPr>
          <w:rFonts w:hint="eastAsia" w:ascii="仿宋" w:hAnsi="仿宋" w:eastAsia="仿宋"/>
          <w:b/>
          <w:color w:val="auto"/>
          <w:sz w:val="32"/>
          <w:szCs w:val="32"/>
          <w:highlight w:val="none"/>
        </w:rPr>
        <w:t>（三）国有资产占有使用情况</w:t>
      </w:r>
      <w:bookmarkEnd w:id="80"/>
      <w:bookmarkEnd w:id="81"/>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区综合行政执法局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000000"/>
          <w:sz w:val="32"/>
          <w:szCs w:val="32"/>
        </w:rPr>
        <w:t>城管执法用车、环卫保洁车辆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82" w:name="_Toc3023"/>
      <w:r>
        <w:rPr>
          <w:rFonts w:hint="eastAsia" w:ascii="仿宋" w:hAnsi="仿宋" w:eastAsia="仿宋"/>
          <w:b/>
          <w:color w:val="auto"/>
          <w:sz w:val="32"/>
          <w:szCs w:val="32"/>
          <w:highlight w:val="none"/>
        </w:rPr>
        <w:t>（四）预算绩效管理情况</w:t>
      </w:r>
      <w:bookmarkEnd w:id="82"/>
    </w:p>
    <w:p>
      <w:pPr>
        <w:spacing w:line="600" w:lineRule="exact"/>
        <w:ind w:firstLine="640" w:firstLineChars="200"/>
        <w:outlineLvl w:val="1"/>
        <w:rPr>
          <w:rFonts w:ascii="仿宋_GB2312" w:hAnsi="仿宋_GB2312" w:eastAsia="仿宋_GB2312" w:cs="仿宋_GB2312"/>
          <w:color w:val="000000"/>
          <w:sz w:val="32"/>
          <w:szCs w:val="32"/>
        </w:rPr>
      </w:pPr>
      <w:bookmarkStart w:id="83" w:name="_Toc11169"/>
      <w:r>
        <w:rPr>
          <w:rFonts w:hint="eastAsia" w:ascii="仿宋_GB2312" w:hAnsi="仿宋_GB2312" w:eastAsia="仿宋_GB2312" w:cs="仿宋_GB2312"/>
          <w:color w:val="000000"/>
          <w:sz w:val="32"/>
          <w:szCs w:val="32"/>
        </w:rPr>
        <w:t>根据预算绩效管理要求，本部门在</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年度预算编制阶段，组织对省级城乡建设发展资金项目、城区生活垃圾市场化运行、及乡镇垃圾清运等</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个项目开展了预算事前绩效评估，对</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个项目编制了绩效目标，预算执行过程中，选取个项目开展绩效监控，年终执行完毕后，对</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个项目开展了绩效自评。同时，本部门对</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年部门整体开展绩效自评，《</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年朝天区综合行政执法局部门整体绩效评价报告》见附件（第四部分）。</w:t>
      </w:r>
      <w:bookmarkEnd w:id="83"/>
    </w:p>
    <w:p>
      <w:pPr>
        <w:widowControl/>
        <w:ind w:firstLine="640" w:firstLineChars="200"/>
        <w:jc w:val="left"/>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color w:val="auto"/>
          <w:sz w:val="32"/>
          <w:szCs w:val="32"/>
          <w:highlight w:val="none"/>
          <w:lang w:val="en-US" w:eastAsia="zh-CN"/>
        </w:rPr>
        <w:t>2022年度</w:t>
      </w:r>
      <w:r>
        <w:rPr>
          <w:rFonts w:hint="eastAsia" w:ascii="仿宋_GB2312" w:hAnsi="仿宋_GB2312" w:eastAsia="仿宋_GB2312" w:cs="仿宋_GB2312"/>
          <w:color w:val="auto"/>
          <w:sz w:val="32"/>
          <w:szCs w:val="32"/>
          <w:highlight w:val="none"/>
        </w:rPr>
        <w:t>部门整体（含部门预算项目）绩效自评报告、</w:t>
      </w:r>
      <w:r>
        <w:rPr>
          <w:rFonts w:hint="eastAsia" w:ascii="仿宋_GB2312" w:hAnsi="仿宋_GB2312" w:eastAsia="仿宋_GB2312" w:cs="仿宋_GB2312"/>
          <w:bCs/>
          <w:color w:val="auto"/>
          <w:kern w:val="2"/>
          <w:sz w:val="32"/>
          <w:szCs w:val="32"/>
          <w:lang w:val="en-US"/>
        </w:rPr>
        <w:t>2022年度省级城乡建设发展</w:t>
      </w:r>
      <w:r>
        <w:rPr>
          <w:rFonts w:hint="eastAsia" w:ascii="仿宋_GB2312" w:hAnsi="仿宋_GB2312" w:eastAsia="仿宋_GB2312" w:cs="仿宋_GB2312"/>
          <w:color w:val="auto"/>
          <w:sz w:val="32"/>
          <w:szCs w:val="32"/>
          <w:highlight w:val="none"/>
        </w:rPr>
        <w:t>等专项预算项目绩效自评报告，其中，</w:t>
      </w:r>
      <w:r>
        <w:rPr>
          <w:rFonts w:hint="eastAsia" w:ascii="仿宋_GB2312" w:hAnsi="仿宋_GB2312" w:eastAsia="仿宋_GB2312" w:cs="仿宋_GB2312"/>
          <w:color w:val="auto"/>
          <w:sz w:val="32"/>
          <w:szCs w:val="32"/>
          <w:highlight w:val="none"/>
          <w:lang w:val="en-US" w:eastAsia="zh-CN"/>
        </w:rPr>
        <w:t>2022年度</w:t>
      </w:r>
      <w:r>
        <w:rPr>
          <w:rFonts w:hint="eastAsia" w:ascii="仿宋_GB2312" w:hAnsi="仿宋_GB2312" w:eastAsia="仿宋_GB2312" w:cs="仿宋_GB2312"/>
          <w:color w:val="auto"/>
          <w:sz w:val="32"/>
          <w:szCs w:val="32"/>
          <w:highlight w:val="none"/>
        </w:rPr>
        <w:t>部门整体（含部门预算项目）绩效自评得分为</w:t>
      </w:r>
      <w:r>
        <w:rPr>
          <w:rFonts w:hint="eastAsia" w:ascii="仿宋_GB2312" w:hAnsi="仿宋_GB2312" w:eastAsia="仿宋_GB2312" w:cs="仿宋_GB2312"/>
          <w:color w:val="auto"/>
          <w:sz w:val="32"/>
          <w:szCs w:val="32"/>
          <w:highlight w:val="none"/>
          <w:lang w:val="en-US" w:eastAsia="zh-CN"/>
        </w:rPr>
        <w:t>97</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bCs/>
          <w:color w:val="auto"/>
          <w:kern w:val="2"/>
          <w:sz w:val="32"/>
          <w:szCs w:val="32"/>
          <w:lang w:val="en-US"/>
        </w:rPr>
        <w:t>2022年度省级城乡建设发展</w:t>
      </w:r>
      <w:r>
        <w:rPr>
          <w:rFonts w:hint="eastAsia" w:ascii="仿宋_GB2312" w:hAnsi="仿宋_GB2312" w:eastAsia="仿宋_GB2312" w:cs="仿宋_GB2312"/>
          <w:color w:val="auto"/>
          <w:sz w:val="32"/>
          <w:szCs w:val="32"/>
          <w:highlight w:val="none"/>
        </w:rPr>
        <w:t>专项预算项目绩效自评得分为</w:t>
      </w:r>
      <w:r>
        <w:rPr>
          <w:rFonts w:hint="eastAsia" w:ascii="仿宋_GB2312" w:hAnsi="仿宋_GB2312" w:eastAsia="仿宋_GB2312" w:cs="仿宋_GB2312"/>
          <w:color w:val="auto"/>
          <w:sz w:val="32"/>
          <w:szCs w:val="32"/>
          <w:highlight w:val="none"/>
          <w:lang w:val="en-US" w:eastAsia="zh-CN"/>
        </w:rPr>
        <w:t>95</w:t>
      </w:r>
      <w:r>
        <w:rPr>
          <w:rFonts w:hint="eastAsia" w:ascii="仿宋_GB2312" w:hAnsi="仿宋_GB2312" w:eastAsia="仿宋_GB2312" w:cs="仿宋_GB2312"/>
          <w:color w:val="auto"/>
          <w:sz w:val="32"/>
          <w:szCs w:val="32"/>
          <w:highlight w:val="none"/>
        </w:rPr>
        <w:t>分。垃圾分类县区承担部分项目绩效自评得分为</w:t>
      </w:r>
      <w:r>
        <w:rPr>
          <w:rFonts w:hint="eastAsia" w:ascii="仿宋_GB2312" w:hAnsi="仿宋_GB2312" w:eastAsia="仿宋_GB2312" w:cs="仿宋_GB2312"/>
          <w:color w:val="auto"/>
          <w:sz w:val="32"/>
          <w:szCs w:val="32"/>
          <w:highlight w:val="none"/>
          <w:lang w:val="en-US" w:eastAsia="zh-CN"/>
        </w:rPr>
        <w:t>96</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城管大队运行及静态停车管理项目</w:t>
      </w:r>
      <w:r>
        <w:rPr>
          <w:rFonts w:hint="eastAsia" w:ascii="仿宋_GB2312" w:hAnsi="仿宋_GB2312" w:eastAsia="仿宋_GB2312" w:cs="仿宋_GB2312"/>
          <w:color w:val="auto"/>
          <w:sz w:val="32"/>
          <w:szCs w:val="32"/>
          <w:highlight w:val="none"/>
        </w:rPr>
        <w:t>绩效自评得分为</w:t>
      </w:r>
      <w:r>
        <w:rPr>
          <w:rFonts w:hint="eastAsia" w:ascii="仿宋_GB2312" w:hAnsi="仿宋_GB2312" w:eastAsia="仿宋_GB2312" w:cs="仿宋_GB2312"/>
          <w:color w:val="auto"/>
          <w:sz w:val="32"/>
          <w:szCs w:val="32"/>
          <w:highlight w:val="none"/>
          <w:lang w:val="en-US" w:eastAsia="zh-CN"/>
        </w:rPr>
        <w:t>95</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城区生活垃圾清运及垃圾填埋场运行承包项目</w:t>
      </w:r>
      <w:r>
        <w:rPr>
          <w:rFonts w:hint="eastAsia" w:ascii="仿宋_GB2312" w:hAnsi="仿宋_GB2312" w:eastAsia="仿宋_GB2312" w:cs="仿宋_GB2312"/>
          <w:color w:val="auto"/>
          <w:sz w:val="32"/>
          <w:szCs w:val="32"/>
          <w:highlight w:val="none"/>
        </w:rPr>
        <w:t>绩效自评得分为</w:t>
      </w:r>
      <w:r>
        <w:rPr>
          <w:rFonts w:hint="eastAsia" w:ascii="仿宋_GB2312" w:hAnsi="仿宋_GB2312" w:eastAsia="仿宋_GB2312" w:cs="仿宋_GB2312"/>
          <w:color w:val="auto"/>
          <w:sz w:val="32"/>
          <w:szCs w:val="32"/>
          <w:highlight w:val="none"/>
          <w:lang w:val="en-US" w:eastAsia="zh-CN"/>
        </w:rPr>
        <w:t>95</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 xml:space="preserve"> 城区餐厨垃圾处置费用项目</w:t>
      </w:r>
      <w:r>
        <w:rPr>
          <w:rFonts w:hint="eastAsia" w:ascii="仿宋_GB2312" w:hAnsi="仿宋_GB2312" w:eastAsia="仿宋_GB2312" w:cs="仿宋_GB2312"/>
          <w:color w:val="auto"/>
          <w:sz w:val="32"/>
          <w:szCs w:val="32"/>
          <w:highlight w:val="none"/>
        </w:rPr>
        <w:t>绩效自评得分为</w:t>
      </w:r>
      <w:r>
        <w:rPr>
          <w:rFonts w:hint="eastAsia" w:ascii="仿宋_GB2312" w:hAnsi="仿宋_GB2312" w:eastAsia="仿宋_GB2312" w:cs="仿宋_GB2312"/>
          <w:color w:val="auto"/>
          <w:sz w:val="32"/>
          <w:szCs w:val="32"/>
          <w:highlight w:val="none"/>
          <w:lang w:val="en-US" w:eastAsia="zh-CN"/>
        </w:rPr>
        <w:t>95</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 xml:space="preserve"> 城区除四害项目</w:t>
      </w:r>
      <w:r>
        <w:rPr>
          <w:rFonts w:hint="eastAsia" w:ascii="仿宋_GB2312" w:hAnsi="仿宋_GB2312" w:eastAsia="仿宋_GB2312" w:cs="仿宋_GB2312"/>
          <w:color w:val="auto"/>
          <w:sz w:val="32"/>
          <w:szCs w:val="32"/>
          <w:highlight w:val="none"/>
        </w:rPr>
        <w:t>绩效自评得分为</w:t>
      </w:r>
      <w:r>
        <w:rPr>
          <w:rFonts w:hint="eastAsia" w:ascii="仿宋_GB2312" w:hAnsi="仿宋_GB2312" w:eastAsia="仿宋_GB2312" w:cs="仿宋_GB2312"/>
          <w:color w:val="auto"/>
          <w:sz w:val="32"/>
          <w:szCs w:val="32"/>
          <w:highlight w:val="none"/>
          <w:lang w:val="en-US" w:eastAsia="zh-CN"/>
        </w:rPr>
        <w:t>96</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乡镇垃圾焚烧项目</w:t>
      </w:r>
      <w:r>
        <w:rPr>
          <w:rFonts w:hint="eastAsia" w:ascii="仿宋_GB2312" w:hAnsi="仿宋_GB2312" w:eastAsia="仿宋_GB2312" w:cs="仿宋_GB2312"/>
          <w:color w:val="auto"/>
          <w:sz w:val="32"/>
          <w:szCs w:val="32"/>
          <w:highlight w:val="none"/>
        </w:rPr>
        <w:t>绩效自评得分为</w:t>
      </w:r>
      <w:r>
        <w:rPr>
          <w:rFonts w:hint="eastAsia" w:ascii="仿宋_GB2312" w:hAnsi="仿宋_GB2312" w:eastAsia="仿宋_GB2312" w:cs="仿宋_GB2312"/>
          <w:color w:val="auto"/>
          <w:sz w:val="32"/>
          <w:szCs w:val="32"/>
          <w:highlight w:val="none"/>
          <w:lang w:val="en-US" w:eastAsia="zh-CN"/>
        </w:rPr>
        <w:t>97</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 xml:space="preserve"> 乡镇生活垃圾清运市场化运行承包项目</w:t>
      </w:r>
      <w:r>
        <w:rPr>
          <w:rFonts w:hint="eastAsia" w:ascii="仿宋_GB2312" w:hAnsi="仿宋_GB2312" w:eastAsia="仿宋_GB2312" w:cs="仿宋_GB2312"/>
          <w:color w:val="auto"/>
          <w:sz w:val="32"/>
          <w:szCs w:val="32"/>
          <w:highlight w:val="none"/>
        </w:rPr>
        <w:t>绩效自评得分为</w:t>
      </w:r>
      <w:r>
        <w:rPr>
          <w:rFonts w:hint="eastAsia" w:ascii="仿宋_GB2312" w:hAnsi="仿宋_GB2312" w:eastAsia="仿宋_GB2312" w:cs="仿宋_GB2312"/>
          <w:color w:val="auto"/>
          <w:sz w:val="32"/>
          <w:szCs w:val="32"/>
          <w:highlight w:val="none"/>
          <w:lang w:val="en-US" w:eastAsia="zh-CN"/>
        </w:rPr>
        <w:t>96</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绩效自评报告详见附件。</w:t>
      </w: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31"/>
          <w:rFonts w:ascii="黑体" w:hAnsi="黑体" w:eastAsia="黑体"/>
          <w:b w:val="0"/>
          <w:color w:val="auto"/>
          <w:highlight w:val="none"/>
        </w:rPr>
      </w:pPr>
      <w:bookmarkStart w:id="84" w:name="_Toc15377225"/>
      <w:bookmarkStart w:id="85" w:name="_Toc15396613"/>
      <w:bookmarkStart w:id="86" w:name="_Toc6888"/>
      <w:r>
        <w:rPr>
          <w:rFonts w:hint="eastAsia" w:ascii="黑体" w:hAnsi="黑体" w:eastAsia="黑体"/>
          <w:color w:val="auto"/>
          <w:sz w:val="44"/>
          <w:szCs w:val="44"/>
          <w:highlight w:val="none"/>
        </w:rPr>
        <w:t>名</w:t>
      </w:r>
      <w:r>
        <w:rPr>
          <w:rStyle w:val="31"/>
          <w:rFonts w:hint="eastAsia" w:ascii="黑体" w:hAnsi="黑体" w:eastAsia="黑体"/>
          <w:b w:val="0"/>
          <w:color w:val="auto"/>
          <w:highlight w:val="none"/>
        </w:rPr>
        <w:t>词解释</w:t>
      </w:r>
      <w:bookmarkEnd w:id="84"/>
      <w:bookmarkEnd w:id="85"/>
      <w:bookmarkEnd w:id="86"/>
    </w:p>
    <w:p>
      <w:pPr>
        <w:spacing w:line="600" w:lineRule="exact"/>
        <w:jc w:val="left"/>
        <w:rPr>
          <w:rFonts w:ascii="宋体"/>
          <w:b/>
          <w:color w:val="auto"/>
          <w:sz w:val="44"/>
          <w:szCs w:val="44"/>
          <w:highlight w:val="none"/>
        </w:rPr>
      </w:pPr>
    </w:p>
    <w:p>
      <w:pPr>
        <w:pStyle w:val="29"/>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9"/>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w:t>
      </w:r>
    </w:p>
    <w:p>
      <w:pPr>
        <w:pStyle w:val="29"/>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9"/>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9"/>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9"/>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社会保障和就业（类）行政事业单位养老支出（款）机关事业单位基本养老保险缴费支出（项）：指我单位在职人员缴纳养老保险支出及职业年金支出。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w:t>
      </w:r>
      <w:r>
        <w:rPr>
          <w:rFonts w:ascii="仿宋_GB2312" w:eastAsia="仿宋_GB2312"/>
          <w:color w:val="000000"/>
          <w:sz w:val="32"/>
          <w:szCs w:val="32"/>
        </w:rPr>
        <w:t xml:space="preserve">  </w:t>
      </w:r>
      <w:r>
        <w:rPr>
          <w:rFonts w:hint="eastAsia" w:ascii="仿宋_GB2312" w:eastAsia="仿宋_GB2312"/>
          <w:color w:val="000000"/>
          <w:sz w:val="32"/>
          <w:szCs w:val="32"/>
        </w:rPr>
        <w:t>事业单位医疗（项）：指我单位在职人员的医疗保险支出。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城乡社区</w:t>
      </w:r>
      <w:r>
        <w:rPr>
          <w:rFonts w:hint="eastAsia" w:ascii="仿宋_GB2312" w:eastAsia="仿宋_GB2312"/>
          <w:sz w:val="30"/>
          <w:szCs w:val="30"/>
        </w:rPr>
        <w:t>（类）城乡社区管理事务（款）行政运行（项）：指行政运行及好、城管执法、城乡社区环境卫生、其他城乡社区支出</w:t>
      </w:r>
      <w:r>
        <w:rPr>
          <w:rFonts w:hint="eastAsia" w:ascii="仿宋_GB2312" w:eastAsia="仿宋_GB2312"/>
          <w:color w:val="000000"/>
          <w:sz w:val="32"/>
          <w:szCs w:val="32"/>
        </w:rPr>
        <w:t>。</w:t>
      </w:r>
    </w:p>
    <w:p>
      <w:pPr>
        <w:ind w:firstLine="640" w:firstLineChars="200"/>
        <w:rPr>
          <w:rFonts w:ascii="仿宋_GB2312" w:eastAsia="仿宋_GB2312"/>
          <w:color w:val="auto"/>
          <w:sz w:val="32"/>
          <w:szCs w:val="32"/>
          <w:highlight w:val="none"/>
        </w:rPr>
      </w:pPr>
      <w:r>
        <w:rPr>
          <w:rFonts w:ascii="仿宋_GB2312" w:eastAsia="仿宋_GB2312"/>
          <w:color w:val="000000"/>
          <w:sz w:val="32"/>
          <w:szCs w:val="32"/>
        </w:rPr>
        <w:t>1</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住房保障住房改革支出（款）住房公积金（项）：指我单位在职人员缴纳住房公积金支出。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9"/>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9"/>
        <w:spacing w:line="560" w:lineRule="exact"/>
        <w:ind w:firstLine="640" w:firstLineChars="200"/>
        <w:rPr>
          <w:rFonts w:ascii="仿宋_GB2312" w:eastAsia="仿宋_GB2312"/>
          <w:color w:val="auto"/>
          <w:sz w:val="32"/>
          <w:szCs w:val="32"/>
          <w:highlight w:val="none"/>
        </w:rPr>
      </w:pPr>
    </w:p>
    <w:p>
      <w:pPr>
        <w:pStyle w:val="29"/>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Style w:val="31"/>
          <w:rFonts w:hint="eastAsia" w:ascii="黑体" w:hAnsi="黑体" w:eastAsia="黑体"/>
          <w:b w:val="0"/>
          <w:color w:val="auto"/>
          <w:highlight w:val="none"/>
          <w:lang w:eastAsia="zh-CN"/>
        </w:rPr>
      </w:pPr>
      <w:bookmarkStart w:id="87" w:name="_Toc15377226"/>
      <w:r>
        <w:rPr>
          <w:rFonts w:ascii="宋体"/>
          <w:b/>
          <w:color w:val="auto"/>
          <w:sz w:val="44"/>
          <w:szCs w:val="44"/>
          <w:highlight w:val="none"/>
        </w:rPr>
        <w:br w:type="page"/>
      </w:r>
      <w:bookmarkStart w:id="88" w:name="_Toc15396614"/>
      <w:bookmarkStart w:id="89" w:name="_Toc23374"/>
      <w:r>
        <w:rPr>
          <w:rFonts w:hint="eastAsia" w:ascii="黑体" w:hAnsi="黑体" w:eastAsia="黑体"/>
          <w:color w:val="auto"/>
          <w:sz w:val="44"/>
          <w:szCs w:val="44"/>
          <w:highlight w:val="none"/>
        </w:rPr>
        <w:t>第</w:t>
      </w:r>
      <w:r>
        <w:rPr>
          <w:rStyle w:val="31"/>
          <w:rFonts w:hint="eastAsia" w:ascii="黑体" w:hAnsi="黑体" w:eastAsia="黑体"/>
          <w:b w:val="0"/>
          <w:color w:val="auto"/>
          <w:highlight w:val="none"/>
        </w:rPr>
        <w:t>四部分 附件</w:t>
      </w:r>
      <w:bookmarkEnd w:id="88"/>
      <w:bookmarkEnd w:id="89"/>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bCs/>
          <w:sz w:val="44"/>
          <w:szCs w:val="44"/>
          <w:shd w:val="clear" w:color="auto" w:fill="FFFFFF"/>
        </w:rPr>
      </w:pPr>
      <w:bookmarkStart w:id="90" w:name="_Toc16408"/>
      <w:r>
        <w:rPr>
          <w:rFonts w:hint="eastAsia" w:ascii="黑体" w:hAnsi="黑体" w:eastAsia="黑体" w:cs="黑体"/>
          <w:color w:val="auto"/>
          <w:sz w:val="32"/>
          <w:szCs w:val="32"/>
          <w:highlight w:val="none"/>
        </w:rPr>
        <w:t>附件</w:t>
      </w:r>
      <w:bookmarkEnd w:id="90"/>
    </w:p>
    <w:p>
      <w:pPr>
        <w:widowControl/>
        <w:spacing w:line="576" w:lineRule="exact"/>
        <w:contextualSpacing/>
        <w:jc w:val="center"/>
        <w:rPr>
          <w:rFonts w:ascii="方正小标宋简体" w:hAnsi="方正小标宋简体" w:eastAsia="方正小标宋简体" w:cs="方正小标宋简体"/>
          <w:bCs/>
          <w:sz w:val="44"/>
          <w:szCs w:val="44"/>
          <w:shd w:val="clear" w:color="auto" w:fill="FFFFFF"/>
        </w:rPr>
      </w:pPr>
    </w:p>
    <w:p>
      <w:pPr>
        <w:widowControl/>
        <w:spacing w:line="576" w:lineRule="exact"/>
        <w:contextualSpacing/>
        <w:jc w:val="center"/>
        <w:rPr>
          <w:rFonts w:hint="eastAsia" w:ascii="方正小标宋简体" w:hAnsi="方正小标宋简体" w:eastAsia="方正小标宋简体" w:cs="方正小标宋简体"/>
          <w:bCs/>
          <w:sz w:val="44"/>
          <w:szCs w:val="44"/>
          <w:shd w:val="clear" w:color="auto" w:fill="FFFFFF"/>
        </w:rPr>
      </w:pPr>
      <w:r>
        <w:rPr>
          <w:rFonts w:ascii="方正小标宋简体" w:hAnsi="方正小标宋简体" w:eastAsia="方正小标宋简体" w:cs="方正小标宋简体"/>
          <w:bCs/>
          <w:sz w:val="44"/>
          <w:szCs w:val="44"/>
          <w:shd w:val="clear" w:color="auto" w:fill="FFFFFF"/>
        </w:rPr>
        <w:t>202</w:t>
      </w:r>
      <w:r>
        <w:rPr>
          <w:rFonts w:hint="eastAsia" w:ascii="方正小标宋简体" w:hAnsi="方正小标宋简体" w:eastAsia="方正小标宋简体" w:cs="方正小标宋简体"/>
          <w:bCs/>
          <w:sz w:val="44"/>
          <w:szCs w:val="44"/>
          <w:shd w:val="clear" w:color="auto" w:fill="FFFFFF"/>
          <w:lang w:val="en-US" w:eastAsia="zh-CN"/>
        </w:rPr>
        <w:t>2</w:t>
      </w:r>
      <w:r>
        <w:rPr>
          <w:rFonts w:hint="eastAsia" w:ascii="方正小标宋简体" w:hAnsi="方正小标宋简体" w:eastAsia="方正小标宋简体" w:cs="方正小标宋简体"/>
          <w:bCs/>
          <w:sz w:val="44"/>
          <w:szCs w:val="44"/>
          <w:shd w:val="clear" w:color="auto" w:fill="FFFFFF"/>
        </w:rPr>
        <w:t>年区综合行政执法局部门整体支出</w:t>
      </w:r>
    </w:p>
    <w:p>
      <w:pPr>
        <w:widowControl/>
        <w:spacing w:line="576" w:lineRule="exact"/>
        <w:contextualSpacing/>
        <w:jc w:val="center"/>
        <w:rPr>
          <w:rFonts w:ascii="黑体" w:hAnsi="宋体" w:eastAsia="黑体" w:cs="宋体"/>
          <w:color w:val="000000"/>
          <w:kern w:val="0"/>
          <w:sz w:val="32"/>
          <w:szCs w:val="32"/>
          <w:shd w:val="clear" w:color="auto" w:fill="FFFFFF"/>
        </w:rPr>
      </w:pPr>
      <w:r>
        <w:rPr>
          <w:rFonts w:hint="eastAsia" w:ascii="方正小标宋简体" w:hAnsi="方正小标宋简体" w:eastAsia="方正小标宋简体" w:cs="方正小标宋简体"/>
          <w:bCs/>
          <w:sz w:val="44"/>
          <w:szCs w:val="44"/>
          <w:shd w:val="clear" w:color="auto" w:fill="FFFFFF"/>
        </w:rPr>
        <w:t>绩效自评报告</w:t>
      </w:r>
    </w:p>
    <w:p>
      <w:pPr>
        <w:widowControl/>
        <w:autoSpaceDE w:val="0"/>
        <w:adjustRightInd w:val="0"/>
        <w:snapToGrid w:val="0"/>
        <w:spacing w:line="576" w:lineRule="exact"/>
        <w:ind w:firstLine="640" w:firstLineChars="200"/>
        <w:contextualSpacing/>
        <w:jc w:val="left"/>
        <w:rPr>
          <w:rFonts w:ascii="仿宋_GB2312" w:hAnsi="仿宋_GB2312" w:eastAsia="仿宋_GB2312" w:cs="仿宋_GB2312"/>
          <w:kern w:val="0"/>
          <w:sz w:val="32"/>
          <w:szCs w:val="32"/>
        </w:rPr>
      </w:pPr>
    </w:p>
    <w:p>
      <w:pPr>
        <w:widowControl/>
        <w:autoSpaceDE w:val="0"/>
        <w:adjustRightInd w:val="0"/>
        <w:snapToGrid w:val="0"/>
        <w:spacing w:line="576" w:lineRule="exact"/>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按照《关于开展</w:t>
      </w:r>
      <w:r>
        <w:rPr>
          <w:rFonts w:ascii="仿宋_GB2312" w:hAnsi="仿宋_GB2312" w:eastAsia="仿宋_GB2312" w:cs="仿宋_GB2312"/>
          <w:kern w:val="0"/>
          <w:sz w:val="32"/>
          <w:szCs w:val="32"/>
        </w:rPr>
        <w:t>2022</w:t>
      </w:r>
      <w:r>
        <w:rPr>
          <w:rFonts w:hint="eastAsia" w:ascii="仿宋_GB2312" w:hAnsi="仿宋_GB2312" w:eastAsia="仿宋_GB2312" w:cs="仿宋_GB2312"/>
          <w:kern w:val="0"/>
          <w:sz w:val="32"/>
          <w:szCs w:val="32"/>
        </w:rPr>
        <w:t>年部门、政策和项目支出绩效自评工作的通知》（广朝财发〔</w:t>
      </w:r>
      <w:r>
        <w:rPr>
          <w:rFonts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号）文件要求，我单位认真组织开展了</w:t>
      </w:r>
      <w:r>
        <w:rPr>
          <w:rFonts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年度部门整体支出绩效自评工作，现将具体情况报告如下：</w:t>
      </w:r>
    </w:p>
    <w:p>
      <w:pPr>
        <w:widowControl/>
        <w:autoSpaceDE w:val="0"/>
        <w:adjustRightInd w:val="0"/>
        <w:snapToGrid w:val="0"/>
        <w:spacing w:line="576" w:lineRule="exact"/>
        <w:ind w:firstLine="640" w:firstLineChars="200"/>
        <w:contextualSpacing/>
        <w:jc w:val="left"/>
        <w:rPr>
          <w:rFonts w:ascii="黑体" w:hAnsi="黑体" w:eastAsia="黑体"/>
          <w:color w:val="000000"/>
          <w:kern w:val="0"/>
          <w:sz w:val="32"/>
          <w:szCs w:val="32"/>
          <w:shd w:val="clear" w:color="auto" w:fill="FFFFFF"/>
        </w:rPr>
      </w:pPr>
      <w:r>
        <w:rPr>
          <w:rFonts w:hint="eastAsia" w:ascii="黑体" w:hAnsi="黑体" w:eastAsia="黑体"/>
          <w:color w:val="000000"/>
          <w:kern w:val="0"/>
          <w:sz w:val="32"/>
          <w:szCs w:val="32"/>
          <w:shd w:val="clear" w:color="auto" w:fill="FFFFFF"/>
        </w:rPr>
        <w:t>一、部门（单位）概况</w:t>
      </w:r>
    </w:p>
    <w:p>
      <w:pPr>
        <w:widowControl/>
        <w:autoSpaceDE w:val="0"/>
        <w:adjustRightInd w:val="0"/>
        <w:snapToGrid w:val="0"/>
        <w:spacing w:line="576" w:lineRule="exact"/>
        <w:ind w:firstLine="640" w:firstLineChars="200"/>
        <w:contextualSpacing/>
        <w:jc w:val="left"/>
        <w:rPr>
          <w:rFonts w:ascii="楷体_GB2312" w:hAnsi="Times New Roman" w:eastAsia="楷体_GB2312"/>
          <w:color w:val="000000"/>
          <w:kern w:val="0"/>
          <w:sz w:val="32"/>
          <w:szCs w:val="32"/>
          <w:shd w:val="clear" w:color="auto" w:fill="FFFFFF"/>
        </w:rPr>
      </w:pPr>
      <w:r>
        <w:rPr>
          <w:rFonts w:hint="eastAsia" w:ascii="楷体_GB2312" w:hAnsi="Times New Roman" w:eastAsia="楷体_GB2312"/>
          <w:color w:val="000000"/>
          <w:kern w:val="0"/>
          <w:sz w:val="32"/>
          <w:szCs w:val="32"/>
          <w:shd w:val="clear" w:color="auto" w:fill="FFFFFF"/>
        </w:rPr>
        <w:t>（一）机构组成</w:t>
      </w:r>
    </w:p>
    <w:p>
      <w:pPr>
        <w:widowControl/>
        <w:autoSpaceDE w:val="0"/>
        <w:adjustRightInd w:val="0"/>
        <w:snapToGrid w:val="0"/>
        <w:spacing w:line="576" w:lineRule="exact"/>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区综合行政执法局属行政单位，区政府组成部门，属财政一级预算单位，无下属二级预算单位，内设综合股，下设区综合执法大队、区环境卫生管理所。区城乡环境综合治理办公室及区爱国卫生运动委员会办公室合署办公。</w:t>
      </w:r>
    </w:p>
    <w:p>
      <w:pPr>
        <w:spacing w:line="576" w:lineRule="exact"/>
        <w:ind w:firstLine="640" w:firstLineChars="200"/>
        <w:rPr>
          <w:rFonts w:ascii="方正楷体简体" w:hAnsi="方正楷体简体" w:eastAsia="方正楷体简体" w:cs="方正楷体简体"/>
          <w:b/>
          <w:szCs w:val="32"/>
        </w:rPr>
      </w:pPr>
      <w:r>
        <w:rPr>
          <w:rFonts w:hint="eastAsia" w:ascii="楷体_GB2312" w:hAnsi="Times New Roman" w:eastAsia="楷体_GB2312"/>
          <w:color w:val="000000"/>
          <w:kern w:val="0"/>
          <w:sz w:val="32"/>
          <w:szCs w:val="32"/>
          <w:shd w:val="clear" w:color="auto" w:fill="FFFFFF"/>
        </w:rPr>
        <w:t>（二）机构职能</w:t>
      </w:r>
    </w:p>
    <w:p>
      <w:pPr>
        <w:spacing w:line="576"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贯彻执行国家、省、市有关综合行政执法、城乡环境综合治理、环境卫生管理工作的方针政策和法律法规，起草有关规范性文件草案，编制年度工作计划并组织实施，研究制定城市（城镇）容貌管理标准。</w:t>
      </w:r>
    </w:p>
    <w:p>
      <w:pPr>
        <w:spacing w:line="576"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负责行使原区城市城镇管理执法局（广元市城市管理行政执法局朝天区分局）、区住房和城乡建设局、区财政局、区经济和信息化局、区商务局等部门行使的行政执法权。</w:t>
      </w:r>
    </w:p>
    <w:p>
      <w:pPr>
        <w:spacing w:line="576"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实施授权行政处罚权相关的行政检查权、行政命令权和法律、法规规定的相应行政强制权；组织统筹开展全区性重大综合执法活动和专项活动；负责授权行政处罚权职能范围内所属的行政违法举报、投诉或部门移送的案件线索查处、移送或转办；负责组织授权行政处罚权职能范围内有关行政处罚案件的会审和行政应诉工作；负责“行政执法与刑事司法”衔接工作，按相关规定和程序向司法机关移送涉嫌犯罪的案件线索；负责配合相关行政部门监督抽检、行业整治等活动；负责全区综合执法人员的教育培训、监督考核等；负责派出机构综合执法队伍建设和业务指导。</w:t>
      </w:r>
    </w:p>
    <w:p>
      <w:pPr>
        <w:spacing w:line="576"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负责行使关闭、闲置、拆除生活垃圾处置设施、场所核准；关闭、闲置、拆除城市环卫设施许可；从事生活垃圾（含粪便）经营性清扫、收集、运输、处理服务审批，城市建筑垃圾处置核准；设置大型户外广告及在城市建筑物、设施上悬挂、张贴宣传品审批，场镇户外广告设置申请，机动车临时停车泊位以及各类道路交通标志标牌的规划、设计、建设和日常管理申请。</w:t>
      </w:r>
    </w:p>
    <w:p>
      <w:pPr>
        <w:spacing w:line="576"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负责组织开展全区城乡环境综合治理和爱国卫生运动工作。</w:t>
      </w:r>
    </w:p>
    <w:p>
      <w:pPr>
        <w:spacing w:line="576"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主管城区市容和环境卫生工作，负责市容环卫设施建设项目的方案审查和监督管理。对城乡生活垃圾和城市特种垃圾、建筑垃圾按规范收集、清运和处置并行使管理权，负责机动车清洗、环境卫生的行业管理。</w:t>
      </w:r>
    </w:p>
    <w:p>
      <w:pPr>
        <w:spacing w:line="576"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负责有关法律法规的宣传工作，受理综合行政执法、城乡环境综合治理、城区市容和环境卫生管理工作相关的信访和群众投诉。</w:t>
      </w:r>
    </w:p>
    <w:p>
      <w:pPr>
        <w:spacing w:line="576"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负责编制全区综合行政执法、城乡环境综合治理、市容和环境卫生工作经费年度计划，会同有关部门对职能职责相关的行政事业性收费工作进行监督管理。</w:t>
      </w:r>
    </w:p>
    <w:p>
      <w:pPr>
        <w:spacing w:line="576"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完成区委、区政府交办的其他任务。</w:t>
      </w:r>
    </w:p>
    <w:p>
      <w:pPr>
        <w:widowControl/>
        <w:autoSpaceDE w:val="0"/>
        <w:adjustRightInd w:val="0"/>
        <w:snapToGrid w:val="0"/>
        <w:spacing w:line="576" w:lineRule="exact"/>
        <w:ind w:firstLine="640" w:firstLineChars="200"/>
        <w:contextualSpacing/>
        <w:jc w:val="left"/>
        <w:rPr>
          <w:rFonts w:hint="eastAsia" w:ascii="楷体_GB2312" w:hAnsi="Times New Roman" w:eastAsia="楷体_GB2312"/>
          <w:color w:val="000000"/>
          <w:kern w:val="0"/>
          <w:sz w:val="32"/>
          <w:szCs w:val="32"/>
          <w:shd w:val="clear" w:color="auto" w:fill="FFFFFF"/>
          <w:lang w:val="en-US" w:eastAsia="zh-CN"/>
        </w:rPr>
      </w:pPr>
      <w:r>
        <w:rPr>
          <w:rFonts w:hint="eastAsia" w:ascii="楷体_GB2312" w:hAnsi="Times New Roman" w:eastAsia="楷体_GB2312"/>
          <w:color w:val="000000"/>
          <w:kern w:val="0"/>
          <w:sz w:val="32"/>
          <w:szCs w:val="32"/>
          <w:shd w:val="clear" w:color="auto" w:fill="FFFFFF"/>
        </w:rPr>
        <w:t>（三）人员概况</w:t>
      </w:r>
      <w:r>
        <w:rPr>
          <w:rFonts w:hint="eastAsia" w:ascii="楷体_GB2312" w:eastAsia="楷体_GB2312"/>
          <w:color w:val="000000"/>
          <w:kern w:val="0"/>
          <w:sz w:val="32"/>
          <w:szCs w:val="32"/>
          <w:shd w:val="clear" w:color="auto" w:fill="FFFFFF"/>
          <w:lang w:val="en-US" w:eastAsia="zh-CN"/>
        </w:rPr>
        <w:t xml:space="preserve"> </w:t>
      </w:r>
    </w:p>
    <w:p>
      <w:pPr>
        <w:spacing w:line="576"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区人民政府核定我局编制</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人，其中：行政编制</w:t>
      </w:r>
      <w:r>
        <w:rPr>
          <w:rFonts w:ascii="仿宋_GB2312" w:hAnsi="仿宋_GB2312" w:eastAsia="仿宋_GB2312" w:cs="仿宋_GB2312"/>
          <w:kern w:val="0"/>
          <w:sz w:val="32"/>
          <w:szCs w:val="32"/>
        </w:rPr>
        <w:t>13</w:t>
      </w:r>
      <w:r>
        <w:rPr>
          <w:rFonts w:hint="eastAsia" w:ascii="仿宋_GB2312" w:hAnsi="仿宋_GB2312" w:eastAsia="仿宋_GB2312" w:cs="仿宋_GB2312"/>
          <w:kern w:val="0"/>
          <w:sz w:val="32"/>
          <w:szCs w:val="32"/>
        </w:rPr>
        <w:t>人，事业编制</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人，工勤编制</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人，核定城管协管员</w:t>
      </w:r>
      <w:r>
        <w:rPr>
          <w:rFonts w:ascii="仿宋_GB2312" w:hAnsi="仿宋_GB2312" w:eastAsia="仿宋_GB2312" w:cs="仿宋_GB2312"/>
          <w:kern w:val="0"/>
          <w:sz w:val="32"/>
          <w:szCs w:val="32"/>
        </w:rPr>
        <w:t>25</w:t>
      </w:r>
      <w:r>
        <w:rPr>
          <w:rFonts w:hint="eastAsia" w:ascii="仿宋_GB2312" w:hAnsi="仿宋_GB2312" w:eastAsia="仿宋_GB2312" w:cs="仿宋_GB2312"/>
          <w:kern w:val="0"/>
          <w:sz w:val="32"/>
          <w:szCs w:val="32"/>
        </w:rPr>
        <w:t>人，财政定额人员</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人。目前，我局在编在职人员</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人，其中：行政编制</w:t>
      </w:r>
      <w:r>
        <w:rPr>
          <w:rFonts w:ascii="仿宋_GB2312" w:hAnsi="仿宋_GB2312" w:eastAsia="仿宋_GB2312" w:cs="仿宋_GB2312"/>
          <w:kern w:val="0"/>
          <w:sz w:val="32"/>
          <w:szCs w:val="32"/>
        </w:rPr>
        <w:t>13</w:t>
      </w:r>
      <w:r>
        <w:rPr>
          <w:rFonts w:hint="eastAsia" w:ascii="仿宋_GB2312" w:hAnsi="仿宋_GB2312" w:eastAsia="仿宋_GB2312" w:cs="仿宋_GB2312"/>
          <w:kern w:val="0"/>
          <w:sz w:val="32"/>
          <w:szCs w:val="32"/>
        </w:rPr>
        <w:t>人，事业编制</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人，工勤编制</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人，城管协管员</w:t>
      </w:r>
      <w:r>
        <w:rPr>
          <w:rFonts w:ascii="仿宋_GB2312" w:hAnsi="仿宋_GB2312" w:eastAsia="仿宋_GB2312" w:cs="仿宋_GB2312"/>
          <w:kern w:val="0"/>
          <w:sz w:val="32"/>
          <w:szCs w:val="32"/>
        </w:rPr>
        <w:t>25</w:t>
      </w:r>
      <w:r>
        <w:rPr>
          <w:rFonts w:hint="eastAsia" w:ascii="仿宋_GB2312" w:hAnsi="仿宋_GB2312" w:eastAsia="仿宋_GB2312" w:cs="仿宋_GB2312"/>
          <w:kern w:val="0"/>
          <w:sz w:val="32"/>
          <w:szCs w:val="32"/>
        </w:rPr>
        <w:t>人，财政定额人员</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人。</w:t>
      </w:r>
    </w:p>
    <w:p>
      <w:pPr>
        <w:widowControl/>
        <w:autoSpaceDE w:val="0"/>
        <w:adjustRightInd w:val="0"/>
        <w:snapToGrid w:val="0"/>
        <w:spacing w:line="576" w:lineRule="exact"/>
        <w:ind w:firstLine="640" w:firstLineChars="200"/>
        <w:contextualSpacing/>
        <w:jc w:val="left"/>
        <w:rPr>
          <w:rFonts w:ascii="黑体" w:hAnsi="黑体" w:eastAsia="黑体"/>
          <w:color w:val="000000"/>
          <w:kern w:val="0"/>
          <w:sz w:val="32"/>
          <w:szCs w:val="32"/>
          <w:shd w:val="clear" w:color="auto" w:fill="FFFFFF"/>
        </w:rPr>
      </w:pPr>
      <w:r>
        <w:rPr>
          <w:rFonts w:hint="eastAsia" w:ascii="黑体" w:hAnsi="黑体" w:eastAsia="黑体"/>
          <w:color w:val="000000"/>
          <w:kern w:val="0"/>
          <w:sz w:val="32"/>
          <w:szCs w:val="32"/>
          <w:shd w:val="clear" w:color="auto" w:fill="FFFFFF"/>
        </w:rPr>
        <w:t>二、部门财政资金收支情况</w:t>
      </w:r>
    </w:p>
    <w:p>
      <w:pPr>
        <w:widowControl/>
        <w:autoSpaceDE w:val="0"/>
        <w:adjustRightInd w:val="0"/>
        <w:snapToGrid w:val="0"/>
        <w:spacing w:line="576" w:lineRule="exact"/>
        <w:ind w:firstLine="640" w:firstLineChars="200"/>
        <w:contextualSpacing/>
        <w:jc w:val="left"/>
        <w:rPr>
          <w:rFonts w:ascii="楷体_GB2312" w:hAnsi="Times New Roman" w:eastAsia="楷体_GB2312"/>
          <w:color w:val="000000"/>
          <w:kern w:val="0"/>
          <w:sz w:val="32"/>
          <w:szCs w:val="32"/>
          <w:shd w:val="clear" w:color="auto" w:fill="FFFFFF"/>
        </w:rPr>
      </w:pPr>
      <w:r>
        <w:rPr>
          <w:rFonts w:hint="eastAsia" w:ascii="楷体_GB2312" w:hAnsi="Times New Roman" w:eastAsia="楷体_GB2312"/>
          <w:color w:val="000000"/>
          <w:kern w:val="0"/>
          <w:sz w:val="32"/>
          <w:szCs w:val="32"/>
          <w:shd w:val="clear" w:color="auto" w:fill="FFFFFF"/>
        </w:rPr>
        <w:t>（一）部门财政资金收入情况</w:t>
      </w:r>
    </w:p>
    <w:p>
      <w:pPr>
        <w:spacing w:line="576"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年度一般预算收入完成</w:t>
      </w:r>
      <w:r>
        <w:rPr>
          <w:rFonts w:hint="eastAsia" w:ascii="仿宋_GB2312" w:hAnsi="仿宋_GB2312" w:eastAsia="仿宋_GB2312" w:cs="仿宋_GB2312"/>
          <w:kern w:val="0"/>
          <w:sz w:val="32"/>
          <w:szCs w:val="32"/>
          <w:lang w:val="en-US" w:eastAsia="zh-CN"/>
        </w:rPr>
        <w:t>2163.47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其中，基本支出收入</w:t>
      </w:r>
      <w:r>
        <w:rPr>
          <w:rFonts w:hint="eastAsia" w:ascii="仿宋_GB2312" w:hAnsi="仿宋_GB2312" w:eastAsia="仿宋_GB2312" w:cs="仿宋_GB2312"/>
          <w:kern w:val="0"/>
          <w:sz w:val="32"/>
          <w:szCs w:val="32"/>
          <w:lang w:val="en-US" w:eastAsia="zh-CN"/>
        </w:rPr>
        <w:t>573.77</w:t>
      </w:r>
      <w:r>
        <w:rPr>
          <w:rFonts w:hint="eastAsia" w:ascii="仿宋_GB2312" w:hAnsi="仿宋_GB2312" w:eastAsia="仿宋_GB2312" w:cs="仿宋_GB2312"/>
          <w:kern w:val="0"/>
          <w:sz w:val="32"/>
          <w:szCs w:val="32"/>
        </w:rPr>
        <w:t>万元，日常公用支出收入</w:t>
      </w:r>
      <w:r>
        <w:rPr>
          <w:rFonts w:hint="eastAsia" w:ascii="仿宋_GB2312" w:hAnsi="仿宋_GB2312" w:eastAsia="仿宋_GB2312" w:cs="仿宋_GB2312"/>
          <w:kern w:val="0"/>
          <w:sz w:val="32"/>
          <w:szCs w:val="32"/>
          <w:lang w:val="en-US" w:eastAsia="zh-CN"/>
        </w:rPr>
        <w:t>49.36</w:t>
      </w:r>
      <w:r>
        <w:rPr>
          <w:rFonts w:hint="eastAsia" w:ascii="仿宋_GB2312" w:hAnsi="仿宋_GB2312" w:eastAsia="仿宋_GB2312" w:cs="仿宋_GB2312"/>
          <w:kern w:val="0"/>
          <w:sz w:val="32"/>
          <w:szCs w:val="32"/>
        </w:rPr>
        <w:t>万元，项目收入</w:t>
      </w:r>
      <w:r>
        <w:rPr>
          <w:rFonts w:hint="eastAsia" w:ascii="仿宋_GB2312" w:hAnsi="仿宋_GB2312" w:eastAsia="仿宋_GB2312" w:cs="仿宋_GB2312"/>
          <w:b w:val="0"/>
          <w:bCs w:val="0"/>
          <w:kern w:val="2"/>
          <w:sz w:val="32"/>
          <w:szCs w:val="32"/>
          <w:lang w:val="en-US" w:eastAsia="zh-CN" w:bidi="ar-SA"/>
        </w:rPr>
        <w:t>1,540.35</w:t>
      </w:r>
      <w:r>
        <w:rPr>
          <w:rFonts w:hint="eastAsia" w:ascii="仿宋_GB2312" w:hAnsi="仿宋_GB2312" w:eastAsia="仿宋_GB2312" w:cs="仿宋_GB2312"/>
          <w:kern w:val="0"/>
          <w:sz w:val="32"/>
          <w:szCs w:val="32"/>
        </w:rPr>
        <w:t>万元。</w:t>
      </w:r>
    </w:p>
    <w:p>
      <w:pPr>
        <w:widowControl/>
        <w:autoSpaceDE w:val="0"/>
        <w:adjustRightInd w:val="0"/>
        <w:snapToGrid w:val="0"/>
        <w:spacing w:line="576" w:lineRule="exact"/>
        <w:ind w:firstLine="640" w:firstLineChars="200"/>
        <w:contextualSpacing/>
        <w:jc w:val="left"/>
        <w:rPr>
          <w:rFonts w:ascii="楷体_GB2312" w:hAnsi="Times New Roman" w:eastAsia="楷体_GB2312"/>
          <w:color w:val="000000"/>
          <w:kern w:val="0"/>
          <w:sz w:val="32"/>
          <w:szCs w:val="32"/>
          <w:shd w:val="clear" w:color="auto" w:fill="FFFFFF"/>
        </w:rPr>
      </w:pPr>
      <w:r>
        <w:rPr>
          <w:rFonts w:hint="eastAsia" w:ascii="楷体_GB2312" w:hAnsi="Times New Roman" w:eastAsia="楷体_GB2312"/>
          <w:color w:val="000000"/>
          <w:kern w:val="0"/>
          <w:sz w:val="32"/>
          <w:szCs w:val="32"/>
          <w:shd w:val="clear" w:color="auto" w:fill="FFFFFF"/>
        </w:rPr>
        <w:t>（二）部门财政资金支出情况</w:t>
      </w:r>
    </w:p>
    <w:p>
      <w:pPr>
        <w:spacing w:line="576"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年度一般预算支出完成</w:t>
      </w:r>
      <w:r>
        <w:rPr>
          <w:rFonts w:hint="eastAsia" w:ascii="仿宋_GB2312" w:hAnsi="仿宋_GB2312" w:eastAsia="仿宋_GB2312" w:cs="仿宋_GB2312"/>
          <w:kern w:val="0"/>
          <w:sz w:val="32"/>
          <w:szCs w:val="32"/>
          <w:lang w:val="en-US" w:eastAsia="zh-CN"/>
        </w:rPr>
        <w:t>2163.47</w:t>
      </w:r>
      <w:r>
        <w:rPr>
          <w:rFonts w:hint="eastAsia" w:ascii="仿宋_GB2312" w:hAnsi="仿宋_GB2312" w:eastAsia="仿宋_GB2312" w:cs="仿宋_GB2312"/>
          <w:kern w:val="0"/>
          <w:sz w:val="32"/>
          <w:szCs w:val="32"/>
        </w:rPr>
        <w:t>万元，其中，基本支出</w:t>
      </w:r>
      <w:r>
        <w:rPr>
          <w:rFonts w:hint="eastAsia" w:ascii="仿宋_GB2312" w:hAnsi="仿宋_GB2312" w:eastAsia="仿宋_GB2312" w:cs="仿宋_GB2312"/>
          <w:kern w:val="0"/>
          <w:sz w:val="32"/>
          <w:szCs w:val="32"/>
          <w:lang w:val="en-US" w:eastAsia="zh-CN"/>
        </w:rPr>
        <w:t>573.77</w:t>
      </w:r>
      <w:r>
        <w:rPr>
          <w:rFonts w:hint="eastAsia" w:ascii="仿宋_GB2312" w:hAnsi="仿宋_GB2312" w:eastAsia="仿宋_GB2312" w:cs="仿宋_GB2312"/>
          <w:kern w:val="0"/>
          <w:sz w:val="32"/>
          <w:szCs w:val="32"/>
        </w:rPr>
        <w:t>万元，日常公用支出</w:t>
      </w:r>
      <w:r>
        <w:rPr>
          <w:rFonts w:hint="eastAsia" w:ascii="仿宋_GB2312" w:hAnsi="仿宋_GB2312" w:eastAsia="仿宋_GB2312" w:cs="仿宋_GB2312"/>
          <w:kern w:val="0"/>
          <w:sz w:val="32"/>
          <w:szCs w:val="32"/>
          <w:lang w:val="en-US" w:eastAsia="zh-CN"/>
        </w:rPr>
        <w:t>49.36</w:t>
      </w:r>
      <w:r>
        <w:rPr>
          <w:rFonts w:hint="eastAsia" w:ascii="仿宋_GB2312" w:hAnsi="仿宋_GB2312" w:eastAsia="仿宋_GB2312" w:cs="仿宋_GB2312"/>
          <w:kern w:val="0"/>
          <w:sz w:val="32"/>
          <w:szCs w:val="32"/>
        </w:rPr>
        <w:t>万元，项目支出</w:t>
      </w:r>
      <w:r>
        <w:rPr>
          <w:rFonts w:hint="eastAsia" w:ascii="仿宋_GB2312" w:hAnsi="仿宋_GB2312" w:eastAsia="仿宋_GB2312" w:cs="仿宋_GB2312"/>
          <w:kern w:val="0"/>
          <w:sz w:val="32"/>
          <w:szCs w:val="32"/>
          <w:lang w:val="en-US" w:eastAsia="zh-CN"/>
        </w:rPr>
        <w:t>1540.35</w:t>
      </w:r>
      <w:r>
        <w:rPr>
          <w:rFonts w:hint="eastAsia" w:ascii="仿宋_GB2312" w:hAnsi="仿宋_GB2312" w:eastAsia="仿宋_GB2312" w:cs="仿宋_GB2312"/>
          <w:kern w:val="0"/>
          <w:sz w:val="32"/>
          <w:szCs w:val="32"/>
        </w:rPr>
        <w:t>万元。</w:t>
      </w:r>
    </w:p>
    <w:p>
      <w:pPr>
        <w:widowControl/>
        <w:autoSpaceDE w:val="0"/>
        <w:adjustRightInd w:val="0"/>
        <w:snapToGrid w:val="0"/>
        <w:spacing w:line="576" w:lineRule="exact"/>
        <w:ind w:firstLine="640" w:firstLineChars="200"/>
        <w:contextualSpacing/>
        <w:jc w:val="left"/>
        <w:rPr>
          <w:rFonts w:ascii="仿宋_GB2312" w:hAnsi="Times New Roman" w:eastAsia="仿宋_GB2312"/>
          <w:color w:val="000000"/>
          <w:kern w:val="0"/>
          <w:sz w:val="28"/>
          <w:szCs w:val="28"/>
          <w:shd w:val="clear" w:color="auto" w:fill="FFFFFF"/>
        </w:rPr>
      </w:pPr>
      <w:r>
        <w:rPr>
          <w:rFonts w:hint="eastAsia" w:ascii="黑体" w:hAnsi="黑体" w:eastAsia="黑体"/>
          <w:color w:val="000000"/>
          <w:kern w:val="0"/>
          <w:sz w:val="32"/>
          <w:szCs w:val="32"/>
          <w:shd w:val="clear" w:color="auto" w:fill="FFFFFF"/>
        </w:rPr>
        <w:t>三、</w:t>
      </w:r>
      <w:r>
        <w:rPr>
          <w:rFonts w:hint="eastAsia" w:ascii="黑体" w:hAnsi="宋体" w:eastAsia="黑体" w:cs="宋体"/>
          <w:color w:val="auto"/>
          <w:kern w:val="0"/>
          <w:sz w:val="32"/>
          <w:szCs w:val="32"/>
          <w:highlight w:val="none"/>
          <w:u w:val="none"/>
          <w:shd w:val="clear" w:color="auto" w:fill="FFFFFF"/>
        </w:rPr>
        <w:t>部门整体绩效</w:t>
      </w:r>
      <w:r>
        <w:rPr>
          <w:rFonts w:hint="eastAsia" w:ascii="黑体" w:hAnsi="宋体" w:eastAsia="黑体" w:cs="宋体"/>
          <w:color w:val="auto"/>
          <w:kern w:val="0"/>
          <w:sz w:val="32"/>
          <w:szCs w:val="32"/>
          <w:highlight w:val="none"/>
          <w:u w:val="none"/>
          <w:shd w:val="clear" w:color="auto" w:fill="FFFFFF"/>
          <w:lang w:eastAsia="zh-CN"/>
        </w:rPr>
        <w:t>分析</w:t>
      </w:r>
    </w:p>
    <w:p>
      <w:pPr>
        <w:spacing w:line="576" w:lineRule="exact"/>
        <w:ind w:firstLine="640" w:firstLineChars="200"/>
        <w:rPr>
          <w:rFonts w:ascii="楷体_GB2312" w:hAnsi="Times New Roman" w:eastAsia="楷体_GB2312"/>
          <w:color w:val="000000"/>
          <w:kern w:val="0"/>
          <w:sz w:val="32"/>
          <w:szCs w:val="32"/>
          <w:shd w:val="clear" w:color="auto" w:fill="FFFFFF"/>
        </w:rPr>
      </w:pPr>
      <w:r>
        <w:rPr>
          <w:rFonts w:hint="eastAsia" w:ascii="楷体_GB2312" w:hAnsi="Times New Roman" w:eastAsia="楷体_GB2312"/>
          <w:color w:val="000000"/>
          <w:kern w:val="0"/>
          <w:sz w:val="32"/>
          <w:szCs w:val="32"/>
          <w:shd w:val="clear" w:color="auto" w:fill="FFFFFF"/>
        </w:rPr>
        <w:t>（一）部门预算项目绩效</w:t>
      </w:r>
      <w:r>
        <w:rPr>
          <w:rFonts w:hint="eastAsia" w:ascii="楷体_GB2312" w:hAnsi="Times New Roman" w:eastAsia="楷体_GB2312"/>
          <w:color w:val="000000"/>
          <w:kern w:val="0"/>
          <w:sz w:val="32"/>
          <w:szCs w:val="32"/>
          <w:shd w:val="clear" w:color="auto" w:fill="FFFFFF"/>
          <w:lang w:val="en-US" w:eastAsia="zh-CN"/>
        </w:rPr>
        <w:t>分析</w:t>
      </w:r>
      <w:r>
        <w:rPr>
          <w:rFonts w:hint="eastAsia" w:ascii="楷体_GB2312" w:hAnsi="Times New Roman" w:eastAsia="楷体_GB2312"/>
          <w:color w:val="000000"/>
          <w:kern w:val="0"/>
          <w:sz w:val="32"/>
          <w:szCs w:val="32"/>
          <w:shd w:val="clear" w:color="auto" w:fill="FFFFFF"/>
        </w:rPr>
        <w:t>。</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人员类项目支出预算</w:t>
      </w:r>
      <w:r>
        <w:rPr>
          <w:rFonts w:hint="eastAsia" w:ascii="仿宋_GB2312" w:hAnsi="仿宋_GB2312" w:eastAsia="仿宋_GB2312" w:cs="仿宋_GB2312"/>
          <w:kern w:val="0"/>
          <w:sz w:val="32"/>
          <w:szCs w:val="32"/>
          <w:lang w:val="en-US" w:eastAsia="zh-CN"/>
        </w:rPr>
        <w:t>573.77</w:t>
      </w:r>
      <w:r>
        <w:rPr>
          <w:rFonts w:hint="eastAsia" w:ascii="仿宋_GB2312" w:hAnsi="仿宋_GB2312" w:eastAsia="仿宋_GB2312" w:cs="仿宋_GB2312"/>
          <w:sz w:val="32"/>
          <w:szCs w:val="32"/>
        </w:rPr>
        <w:t>万元，主要包括人员工资、社保缴费等，实现年初预算绩效。</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运转类项目支出预算</w:t>
      </w:r>
      <w:r>
        <w:rPr>
          <w:rFonts w:hint="eastAsia" w:ascii="仿宋_GB2312" w:hAnsi="仿宋_GB2312" w:eastAsia="仿宋_GB2312" w:cs="仿宋_GB2312"/>
          <w:kern w:val="0"/>
          <w:sz w:val="32"/>
          <w:szCs w:val="32"/>
          <w:lang w:val="en-US" w:eastAsia="zh-CN"/>
        </w:rPr>
        <w:t>49.36</w:t>
      </w:r>
      <w:r>
        <w:rPr>
          <w:rFonts w:hint="eastAsia" w:ascii="仿宋_GB2312" w:hAnsi="仿宋_GB2312" w:eastAsia="仿宋_GB2312" w:cs="仿宋_GB2312"/>
          <w:sz w:val="32"/>
          <w:szCs w:val="32"/>
        </w:rPr>
        <w:t>万元，主要包括办公费、差旅费、公务车运行等，实现年初预算绩效。</w:t>
      </w:r>
    </w:p>
    <w:p>
      <w:pPr>
        <w:spacing w:line="576"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特定目标类项目支出预算</w:t>
      </w:r>
      <w:r>
        <w:rPr>
          <w:rFonts w:hint="eastAsia" w:ascii="仿宋_GB2312" w:hAnsi="仿宋_GB2312" w:eastAsia="仿宋_GB2312" w:cs="仿宋_GB2312"/>
          <w:kern w:val="0"/>
          <w:sz w:val="32"/>
          <w:szCs w:val="32"/>
          <w:lang w:val="en-US" w:eastAsia="zh-CN"/>
        </w:rPr>
        <w:t>1540.35</w:t>
      </w:r>
      <w:r>
        <w:rPr>
          <w:rFonts w:hint="eastAsia" w:ascii="仿宋_GB2312" w:hAnsi="仿宋_GB2312" w:eastAsia="仿宋_GB2312" w:cs="仿宋_GB2312"/>
          <w:sz w:val="32"/>
          <w:szCs w:val="32"/>
        </w:rPr>
        <w:t>万元，实现年初预算</w:t>
      </w:r>
      <w:r>
        <w:rPr>
          <w:rFonts w:hint="eastAsia" w:ascii="仿宋_GB2312" w:hAnsi="仿宋_GB2312" w:eastAsia="仿宋_GB2312" w:cs="仿宋_GB2312"/>
          <w:kern w:val="0"/>
          <w:sz w:val="32"/>
          <w:szCs w:val="32"/>
        </w:rPr>
        <w:t>绩效。</w:t>
      </w:r>
    </w:p>
    <w:p>
      <w:pPr>
        <w:spacing w:line="576"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执行进度：全年按照年初制定预算情况，截止本年度</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日，按</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进度执行。</w:t>
      </w:r>
    </w:p>
    <w:p>
      <w:pPr>
        <w:spacing w:line="576"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预算调整：年初预算编制结束，经单位领导确定，相关部门审核后，全年未做出预算相关调整。</w:t>
      </w:r>
    </w:p>
    <w:p>
      <w:pPr>
        <w:spacing w:line="576"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经费控制：严格按照年初预算的各项经费执行。</w:t>
      </w:r>
    </w:p>
    <w:p>
      <w:pPr>
        <w:spacing w:line="576"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政府采购：执行采购与采购预算及备案一致。</w:t>
      </w:r>
    </w:p>
    <w:p>
      <w:pPr>
        <w:spacing w:line="576"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资金结余率和违规记录：全年资金无结余，无任何违规违纪情况。</w:t>
      </w:r>
    </w:p>
    <w:p>
      <w:pPr>
        <w:spacing w:line="576" w:lineRule="exact"/>
        <w:ind w:firstLine="640" w:firstLineChars="200"/>
        <w:rPr>
          <w:rFonts w:ascii="楷体_GB2312" w:hAnsi="Times New Roman" w:eastAsia="楷体_GB2312"/>
          <w:color w:val="000000"/>
          <w:kern w:val="0"/>
          <w:sz w:val="32"/>
          <w:szCs w:val="32"/>
          <w:shd w:val="clear" w:color="auto" w:fill="FFFFFF"/>
        </w:rPr>
      </w:pPr>
      <w:r>
        <w:rPr>
          <w:rFonts w:hint="eastAsia" w:ascii="楷体_GB2312" w:hAnsi="Times New Roman" w:eastAsia="楷体_GB2312"/>
          <w:color w:val="000000"/>
          <w:kern w:val="0"/>
          <w:sz w:val="32"/>
          <w:szCs w:val="32"/>
          <w:shd w:val="clear" w:color="auto" w:fill="FFFFFF"/>
        </w:rPr>
        <w:t>（二）结果应用情况</w:t>
      </w:r>
    </w:p>
    <w:p>
      <w:pP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初预算主要包括以下几项内容：一是单位人员经费预算，主要包括人员工资福利、保险缴费等；二是单位日常公用经费预算，其中包括：三公经费、差旅费等；三是对单位项目支出进行明细经费预算。在预算过程中本着预算测算与部门工作任务、事权划分相匹配，基本支出与项目支出界定清晰，科学、合理设立了整体绩效目标和项目绩效目标。</w:t>
      </w:r>
    </w:p>
    <w:p>
      <w:pP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通过自评，部门整体绩效评价公平、公正、公开，全年严格按照预算支出管理，完成了各项收支任务。</w:t>
      </w:r>
    </w:p>
    <w:p>
      <w:pPr>
        <w:spacing w:line="576" w:lineRule="exact"/>
        <w:ind w:firstLine="640" w:firstLineChars="200"/>
        <w:rPr>
          <w:rFonts w:ascii="楷体_GB2312" w:hAnsi="Times New Roman" w:eastAsia="楷体_GB2312"/>
          <w:color w:val="000000"/>
          <w:kern w:val="0"/>
          <w:sz w:val="32"/>
          <w:szCs w:val="32"/>
          <w:shd w:val="clear" w:color="auto" w:fill="FFFFFF"/>
        </w:rPr>
      </w:pPr>
      <w:r>
        <w:rPr>
          <w:rFonts w:hint="eastAsia" w:ascii="楷体_GB2312" w:hAnsi="Times New Roman" w:eastAsia="楷体_GB2312"/>
          <w:color w:val="000000"/>
          <w:kern w:val="0"/>
          <w:sz w:val="32"/>
          <w:szCs w:val="32"/>
          <w:shd w:val="clear" w:color="auto" w:fill="FFFFFF"/>
        </w:rPr>
        <w:t>（三）自评质量</w:t>
      </w:r>
    </w:p>
    <w:p>
      <w:pPr>
        <w:spacing w:line="576"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一是进一步建立健全本单位资产管理的相关制度，完善资产管理信息系统，确保系统信息与账面、实物相符；二是按季度对单位固定资产的种类和数量进行清理核实，及时核销和更新资产台账；三是按月对固定资产资进行计提折旧和摊销；四是按月向资产管理部门上报资产清查报表，切实提升资产管理的质量和水平。</w:t>
      </w:r>
    </w:p>
    <w:p>
      <w:pPr>
        <w:spacing w:line="576"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建立健全部门内部控制制度，加强财务管理，强化财务监督，增强法纪观念，遵守规章制度，保证了财务管理有法可依、有章可循，财务工作质量水平大幅提升。</w:t>
      </w:r>
    </w:p>
    <w:p>
      <w:pPr>
        <w:spacing w:line="576"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按照上级及业务主管部门的统一要求，及时在政府网站上公开预决算及绩效信息情况。</w:t>
      </w:r>
    </w:p>
    <w:p>
      <w:pPr>
        <w:tabs>
          <w:tab w:val="left" w:pos="312"/>
        </w:tabs>
        <w:spacing w:line="576" w:lineRule="exact"/>
        <w:ind w:firstLine="480" w:firstLineChars="1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本次部门整体支出绩效自评得分</w:t>
      </w:r>
      <w:r>
        <w:rPr>
          <w:rFonts w:ascii="仿宋_GB2312" w:hAnsi="仿宋_GB2312" w:eastAsia="仿宋_GB2312" w:cs="仿宋_GB2312"/>
          <w:kern w:val="0"/>
          <w:sz w:val="32"/>
          <w:szCs w:val="32"/>
        </w:rPr>
        <w:t>97</w:t>
      </w:r>
      <w:r>
        <w:rPr>
          <w:rFonts w:hint="eastAsia" w:ascii="仿宋_GB2312" w:hAnsi="仿宋_GB2312" w:eastAsia="仿宋_GB2312" w:cs="仿宋_GB2312"/>
          <w:kern w:val="0"/>
          <w:sz w:val="32"/>
          <w:szCs w:val="32"/>
        </w:rPr>
        <w:t>分。</w:t>
      </w:r>
    </w:p>
    <w:p>
      <w:pPr>
        <w:widowControl/>
        <w:autoSpaceDE w:val="0"/>
        <w:adjustRightInd w:val="0"/>
        <w:snapToGrid w:val="0"/>
        <w:spacing w:line="576" w:lineRule="exact"/>
        <w:ind w:firstLine="640" w:firstLineChars="200"/>
        <w:contextualSpacing/>
        <w:jc w:val="left"/>
        <w:rPr>
          <w:rFonts w:ascii="黑体" w:hAnsi="黑体" w:eastAsia="黑体"/>
          <w:color w:val="000000"/>
          <w:kern w:val="0"/>
          <w:sz w:val="32"/>
          <w:szCs w:val="32"/>
          <w:shd w:val="clear" w:color="auto" w:fill="FFFFFF"/>
        </w:rPr>
      </w:pPr>
      <w:r>
        <w:rPr>
          <w:rFonts w:hint="eastAsia" w:ascii="黑体" w:hAnsi="黑体" w:eastAsia="黑体"/>
          <w:color w:val="000000"/>
          <w:kern w:val="0"/>
          <w:sz w:val="32"/>
          <w:szCs w:val="32"/>
          <w:shd w:val="clear" w:color="auto" w:fill="FFFFFF"/>
        </w:rPr>
        <w:t>四、自评结论及建议</w:t>
      </w:r>
    </w:p>
    <w:p>
      <w:pPr>
        <w:spacing w:line="576" w:lineRule="exact"/>
        <w:ind w:firstLine="640" w:firstLineChars="200"/>
        <w:rPr>
          <w:rFonts w:ascii="楷体_GB2312" w:hAnsi="Times New Roman" w:eastAsia="楷体_GB2312"/>
          <w:color w:val="000000"/>
          <w:kern w:val="0"/>
          <w:sz w:val="32"/>
          <w:szCs w:val="32"/>
          <w:shd w:val="clear" w:color="auto" w:fill="FFFFFF"/>
        </w:rPr>
      </w:pPr>
      <w:r>
        <w:rPr>
          <w:rFonts w:hint="eastAsia" w:ascii="楷体_GB2312" w:hAnsi="Times New Roman" w:eastAsia="楷体_GB2312"/>
          <w:color w:val="000000"/>
          <w:kern w:val="0"/>
          <w:sz w:val="32"/>
          <w:szCs w:val="32"/>
          <w:shd w:val="clear" w:color="auto" w:fill="FFFFFF"/>
        </w:rPr>
        <w:t>（一）自评结论</w:t>
      </w:r>
    </w:p>
    <w:p>
      <w:pPr>
        <w:tabs>
          <w:tab w:val="left" w:pos="312"/>
        </w:tabs>
        <w:spacing w:line="576"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全年严格按照预算支出管理，完成了各项收支任务。</w:t>
      </w:r>
    </w:p>
    <w:p>
      <w:pPr>
        <w:tabs>
          <w:tab w:val="left" w:pos="312"/>
        </w:tabs>
        <w:spacing w:line="576"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全面完成绩效目标任务，大幅提升绩效工资的满意度，取得了良好的社会效益。</w:t>
      </w:r>
    </w:p>
    <w:p>
      <w:pPr>
        <w:spacing w:line="576" w:lineRule="exact"/>
        <w:ind w:firstLine="640" w:firstLineChars="200"/>
        <w:rPr>
          <w:rFonts w:ascii="楷体_GB2312" w:hAnsi="Times New Roman" w:eastAsia="楷体_GB2312"/>
          <w:color w:val="000000"/>
          <w:kern w:val="0"/>
          <w:sz w:val="32"/>
          <w:szCs w:val="32"/>
          <w:shd w:val="clear" w:color="auto" w:fill="FFFFFF"/>
        </w:rPr>
      </w:pPr>
      <w:r>
        <w:rPr>
          <w:rFonts w:hint="eastAsia" w:ascii="楷体_GB2312" w:hAnsi="Times New Roman" w:eastAsia="楷体_GB2312"/>
          <w:color w:val="000000"/>
          <w:kern w:val="0"/>
          <w:sz w:val="32"/>
          <w:szCs w:val="32"/>
          <w:shd w:val="clear" w:color="auto" w:fill="FFFFFF"/>
        </w:rPr>
        <w:t>（二）存在问题</w:t>
      </w:r>
    </w:p>
    <w:p>
      <w:pPr>
        <w:spacing w:line="576"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重视程度有待加强，绩效目标设定不够精细合理；</w:t>
      </w:r>
    </w:p>
    <w:p>
      <w:pPr>
        <w:spacing w:line="576" w:lineRule="exac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2.</w:t>
      </w:r>
      <w:r>
        <w:rPr>
          <w:rFonts w:hint="eastAsia" w:ascii="仿宋_GB2312" w:hAnsi="仿宋_GB2312" w:eastAsia="仿宋_GB2312" w:cs="仿宋_GB2312"/>
          <w:kern w:val="0"/>
          <w:sz w:val="32"/>
          <w:szCs w:val="32"/>
        </w:rPr>
        <w:t>绩效评价思想上存在误区，绩效评价方式比较单一，形式和内容不够全面；</w:t>
      </w:r>
    </w:p>
    <w:p>
      <w:pPr>
        <w:spacing w:line="576" w:lineRule="exac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3.</w:t>
      </w:r>
      <w:r>
        <w:rPr>
          <w:rFonts w:hint="eastAsia" w:ascii="仿宋_GB2312" w:hAnsi="仿宋_GB2312" w:eastAsia="仿宋_GB2312" w:cs="仿宋_GB2312"/>
          <w:kern w:val="0"/>
          <w:sz w:val="32"/>
          <w:szCs w:val="32"/>
        </w:rPr>
        <w:t>项目支出绩效目标设置不够精细，指标数量不够明晰，结构不太合理。</w:t>
      </w:r>
    </w:p>
    <w:p>
      <w:pPr>
        <w:spacing w:line="576" w:lineRule="exact"/>
        <w:ind w:firstLine="640" w:firstLineChars="200"/>
        <w:rPr>
          <w:rFonts w:ascii="楷体_GB2312" w:hAnsi="Times New Roman" w:eastAsia="楷体_GB2312"/>
          <w:color w:val="000000"/>
          <w:kern w:val="0"/>
          <w:sz w:val="32"/>
          <w:szCs w:val="32"/>
          <w:shd w:val="clear" w:color="auto" w:fill="FFFFFF"/>
        </w:rPr>
      </w:pPr>
      <w:r>
        <w:rPr>
          <w:rFonts w:hint="eastAsia" w:ascii="楷体_GB2312" w:hAnsi="Times New Roman" w:eastAsia="楷体_GB2312"/>
          <w:color w:val="000000"/>
          <w:kern w:val="0"/>
          <w:sz w:val="32"/>
          <w:szCs w:val="32"/>
          <w:shd w:val="clear" w:color="auto" w:fill="FFFFFF"/>
        </w:rPr>
        <w:t>（三）改进建议</w:t>
      </w:r>
    </w:p>
    <w:p>
      <w:pPr>
        <w:spacing w:line="576"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进一步树立正确的绩效评价观，加强绩效评价工作中的预算编制、预算管理和预算执行等基础工作建设；</w:t>
      </w:r>
    </w:p>
    <w:p>
      <w:pPr>
        <w:spacing w:line="576"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进一步加强财务管理，建立健全财务管理制度及体系，规范财务行为，强化绩效目标完成与预算执行相互衔接、相互促进，确保绩效目标全面完成；</w:t>
      </w:r>
    </w:p>
    <w:p>
      <w:pPr>
        <w:spacing w:line="576"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加强业务培训学习，提升业务技能水平，切实提高预算编制、绩效目标设置的质量和水平。</w:t>
      </w:r>
    </w:p>
    <w:p>
      <w:pPr>
        <w:spacing w:line="576"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改进绩效评价工作方法。一是加强预算编制与目标设置的一致性；二是加强预算执行与绩效目标完成的一致性；三是构建合理、适当、可操作的评价体系；四是对绩效评价的结果，充分发挥作用。</w:t>
      </w:r>
    </w:p>
    <w:p>
      <w:pPr>
        <w:widowControl/>
        <w:autoSpaceDE w:val="0"/>
        <w:adjustRightInd w:val="0"/>
        <w:snapToGrid w:val="0"/>
        <w:spacing w:line="576" w:lineRule="exact"/>
        <w:ind w:firstLine="640" w:firstLineChars="200"/>
        <w:contextualSpacing/>
        <w:jc w:val="left"/>
        <w:rPr>
          <w:rFonts w:ascii="仿宋_GB2312" w:hAnsi="Times New Roman" w:eastAsia="仿宋_GB2312"/>
          <w:color w:val="000000"/>
          <w:kern w:val="0"/>
          <w:sz w:val="32"/>
          <w:szCs w:val="32"/>
          <w:shd w:val="clear" w:color="auto" w:fill="FFFFFF"/>
        </w:rPr>
      </w:pPr>
    </w:p>
    <w:p>
      <w:pPr>
        <w:widowControl/>
        <w:autoSpaceDE w:val="0"/>
        <w:adjustRightInd w:val="0"/>
        <w:snapToGrid w:val="0"/>
        <w:spacing w:line="576" w:lineRule="exact"/>
        <w:ind w:firstLine="640" w:firstLineChars="200"/>
        <w:contextualSpacing/>
        <w:jc w:val="left"/>
        <w:rPr>
          <w:rFonts w:ascii="仿宋_GB2312" w:hAnsi="Times New Roman" w:eastAsia="仿宋_GB2312"/>
          <w:color w:val="000000"/>
          <w:kern w:val="0"/>
          <w:sz w:val="32"/>
          <w:szCs w:val="32"/>
          <w:shd w:val="clear" w:color="auto" w:fill="FFFFFF"/>
        </w:rPr>
      </w:pPr>
      <w:r>
        <w:rPr>
          <w:rFonts w:hint="eastAsia" w:ascii="仿宋_GB2312" w:hAnsi="Times New Roman" w:eastAsia="仿宋_GB2312"/>
          <w:color w:val="000000"/>
          <w:kern w:val="0"/>
          <w:sz w:val="32"/>
          <w:szCs w:val="32"/>
          <w:shd w:val="clear" w:color="auto" w:fill="FFFFFF"/>
        </w:rPr>
        <w:t>附件：</w:t>
      </w:r>
      <w:r>
        <w:rPr>
          <w:rFonts w:ascii="仿宋_GB2312" w:hAnsi="Times New Roman" w:eastAsia="仿宋_GB2312"/>
          <w:color w:val="000000"/>
          <w:kern w:val="0"/>
          <w:sz w:val="32"/>
          <w:szCs w:val="32"/>
          <w:shd w:val="clear" w:color="auto" w:fill="FFFFFF"/>
        </w:rPr>
        <w:t>202</w:t>
      </w:r>
      <w:r>
        <w:rPr>
          <w:rFonts w:hint="eastAsia" w:ascii="仿宋_GB2312" w:hAnsi="Times New Roman" w:eastAsia="仿宋_GB2312"/>
          <w:color w:val="000000"/>
          <w:kern w:val="0"/>
          <w:sz w:val="32"/>
          <w:szCs w:val="32"/>
          <w:shd w:val="clear" w:color="auto" w:fill="FFFFFF"/>
          <w:lang w:val="en-US" w:eastAsia="zh-CN"/>
        </w:rPr>
        <w:t>2</w:t>
      </w:r>
      <w:r>
        <w:rPr>
          <w:rFonts w:hint="eastAsia" w:ascii="仿宋_GB2312" w:hAnsi="Times New Roman" w:eastAsia="仿宋_GB2312"/>
          <w:color w:val="000000"/>
          <w:kern w:val="0"/>
          <w:sz w:val="32"/>
          <w:szCs w:val="32"/>
          <w:shd w:val="clear" w:color="auto" w:fill="FFFFFF"/>
        </w:rPr>
        <w:t>年部门</w:t>
      </w:r>
      <w:r>
        <w:rPr>
          <w:rFonts w:hint="eastAsia" w:ascii="仿宋_GB2312" w:eastAsia="仿宋_GB2312"/>
          <w:color w:val="000000"/>
          <w:kern w:val="0"/>
          <w:sz w:val="32"/>
          <w:szCs w:val="32"/>
          <w:shd w:val="clear" w:color="auto" w:fill="FFFFFF"/>
          <w:lang w:val="en-US" w:eastAsia="zh-CN"/>
        </w:rPr>
        <w:t>预算项目</w:t>
      </w:r>
      <w:r>
        <w:rPr>
          <w:rFonts w:hint="eastAsia" w:ascii="仿宋_GB2312" w:hAnsi="Times New Roman" w:eastAsia="仿宋_GB2312"/>
          <w:color w:val="000000"/>
          <w:kern w:val="0"/>
          <w:sz w:val="32"/>
          <w:szCs w:val="32"/>
          <w:shd w:val="clear" w:color="auto" w:fill="FFFFFF"/>
        </w:rPr>
        <w:t>支出绩效自评表</w:t>
      </w:r>
    </w:p>
    <w:p>
      <w:pPr>
        <w:autoSpaceDE w:val="0"/>
        <w:spacing w:line="576" w:lineRule="exact"/>
        <w:ind w:firstLine="5120" w:firstLineChars="1600"/>
      </w:pPr>
      <w:r>
        <w:rPr>
          <w:rFonts w:ascii="仿宋_GB2312" w:hAnsi="Times New Roman" w:eastAsia="仿宋_GB2312"/>
          <w:color w:val="000000"/>
          <w:kern w:val="0"/>
          <w:sz w:val="32"/>
          <w:szCs w:val="32"/>
          <w:shd w:val="clear" w:color="auto" w:fill="FFFFFF"/>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tbl>
      <w:tblPr>
        <w:tblStyle w:val="1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092"/>
        <w:gridCol w:w="927"/>
        <w:gridCol w:w="1247"/>
        <w:gridCol w:w="396"/>
        <w:gridCol w:w="870"/>
        <w:gridCol w:w="756"/>
        <w:gridCol w:w="873"/>
        <w:gridCol w:w="576"/>
        <w:gridCol w:w="576"/>
        <w:gridCol w:w="13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51000021R000000019954-聘用人员经费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项目为人员类项目，主要保障部门1名定补聘用人员及25名协管队员工资及保险缴纳。2022年，该预算项目资金按月支付，及时足额发放，预算执行率100%，年末无资金结余情况。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120.65</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120.65</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120.65</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120.65</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120.65</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120.65</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51081221R000000033316-其他对个人和家庭补助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该项目为人员类项目，主要对部门内年度优秀人员，为其发放奖励金。2022年，该预算项目资金按年支付，及时足额发放，预算执行率100%，年末无资金结余情况。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0.45</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0.45</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0.45</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0.45</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51081221R000000033747-独子费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该项目为人员类项目，主要保障部门内在职人员中有独生子女情况的同志，为其发放独子费。2022年，该预算项目资金按月支付，及时足额发放，预算执行率100%，年末无资金结余情况。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0.13</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0.13</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0.13</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0.13</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0.13</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0.13</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51081221R000000033767-目标绩效奖(公务员及参公人员)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该项目为人员类项目，主要保障部门公务员目标绩效奖。2022年，该预算项目资金按月支付，及时足额发放，预算执行率100%，年末无资金结余情况。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43.20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43.20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43.20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43.20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43.20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43.20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51081221R000000051755-其他交通费用（公务用车改革补贴）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该项目为人员类项目，主要保障部门公务员机关工勤人员2022年度车补。2022年，该预算项目资金按季度支付，及时足额发放，预算执行率100%，年末无资金结余情况。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13.96</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15.08</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15.08</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13.96</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15.08</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15.08</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51081221Y000000052199-金财网维护费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该项目为特定目标类项目，主要保障部门金财网专线正常运转。2022年，该预算项目资金年中一次性支付，预算执行率100%，年末无资金结余情况。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0.24</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0.24</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0.24</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0.24</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0.24</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0.24</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51081222R000005136042-工资性支出（行政）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该项目为人员类项目，主要保障部门公务员机关工勤人员2022年度工资，包括基本工资、津贴补贴等。2022年，该预算项目资金按月支付，及时足额发放，预算执行率100%，年末无资金结余情况。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108.43</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128.35</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128..35</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108.43</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128.35</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128.35</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51081222R000005136246-工资性支出（事业）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该项目为人员类项目，主要保障部门事业人员2022年度工资，包括基本工资、津贴补贴、绩效工资等。2022年，该预算项目资金按月支付，及时足额发放，预算执行率100%，年末无资金结余情况。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102.45</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111.88</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111.88</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102.45</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111.88</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111.88</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51081222R000005136461-基本养老保险（行政）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该项目为人员类项目，主要保障部门公务员机关工勤人员2022年度养老保险缴费等。2022年，该预算项目资金按月支付，及时足额缴纳，预算执行率100%，年末无资金结余情况。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17.25</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19.88</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19.88</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17.25</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19.88</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19.88</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51081222R000005136839-基本养老保险（事业）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该项目为人员类项目，主要保障部门事业人员2022年度养老保险缴费等。2022年，该预算项目资金按月支付，及时足额缴纳，预算执行率100%，年末无资金结余情况。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16.85</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17.85</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17.85</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16.85</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17.85</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17.85</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51081222R000005137025-基本医疗保险（行政）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该项目为人员类项目，主要保障部门公务员机关工勤人员2022年度医疗保险缴费等。2022年，该预算项目资金按月支付，及时足额缴纳，预算执行率100%，年末无资金结余情况。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8.24</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9.56</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9.56</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8.24</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9.56</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9.56</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51081222R000005137228-基本医疗保险（事业）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该项目为人员类项目，主要保障部门事业人员2022年度医疗保险缴费等。2022年，该预算项目资金按月支付，及时足额缴纳，预算执行率100%，年末无资金结余情况。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8.42</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8.92</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8.92</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8.42</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8.92</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8.92</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51081222R000005137604-住房公积金（行政）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该项目为人员类项目，主要保障部门公务员机关工勤人员2022年度住房公积金缴费等。2022年，该预算项目资金按月支付，及时足额缴纳，预算执行率100%，年末无资金结余情况。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12.37</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19.15</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19.15</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12.37</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19.15</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19.15</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51081222R000005137802-住房公积金（事业）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该项目为人员类项目，主要保障部门事业人员2022年度住房公积金缴费等。2022年，该预算项目资金按月支付，及时足额缴纳，预算执行率100%，年末无资金结余情况。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12.64</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19.86</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19.86</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12.64</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19.86</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19.86</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51081222R000005138220-职业年金（行政）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该项目为人员类项目，主要保障部门公务员机关工勤事业人员2022年度职业年金缴费等。2022年，该预算项目资金按月支付，及时足额缴纳，预算执行率100%，年末无资金结余情况。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51081222R000005429042-目标绩效奖（事业人员）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该项目为人员类项目，主要保障部门事业人员目标绩效奖。2022年，该预算项目资金按月支付，及时足额发放，预算执行率100%，年末无资金结余情况。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61.20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61.20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61.20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61.20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61.20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61.20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51081222R000005430095-目标绩效奖（行政工人）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该项目为人员类项目，主要保障部门行政工人人员目标绩效奖。2022年，该预算项目资金按月支付，及时足额发放，预算执行率100%，年末无资金结余情况。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51081222T000005653444-天府旅游名县奖励资金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创建天府旅游名县</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该项目主要为：完善天府旅游名县设施建设，营造宣传氛围。2022年，该预算项目资金年中有序支付，预算执行率100%，年末无资金结余情况。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500000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51081222T000005657649-2016年第一批城乡环境治理专款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完成垃圾分类配套设施设备完善</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该项目主要为：初步建立垃圾收运体系，完善农村垃圾收集设施建设。2022年，该预算项目资金年中有序支付，预算执行率100%，年末无资金结余情况。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34.96</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34.96%</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34.96</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34.96%</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51081222T000005702769-城区环卫保洁市场化运行承包费及乡镇垃圾收运费用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完成环卫保洁任务及填埋场正常运行</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为：完成城区清扫保洁及城区生活垃圾填埋场运行工作，按照考核细则进行考核结算，确保项目正常运行，改善朝天城区形象。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2800000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2800000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51081222T000005702771-生活垃圾分类设施建设和设备购置等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垃圾分类设施设备购置建设</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该项目主要为：垃圾分类工作有序，垃圾分类收集大到国家标准，购置设施设备。2022年，该预算项目资金年中有序支付，预算执行率100%，年末无资金结余情况。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200000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51081222T000005702779-城管大队运行经费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城管大队运行费用</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该项目主要为：完成城市管理及静态停车管理等相关执法工作，规范城区秩序，提升城市形象，保证执法工作顺利开展。2022年，该预算项目资金年中有序支付，预算执行率100%，年末无资金结余情况。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8.76</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8.76</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8.76</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8.76</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8.76</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8.76</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51081222T000005936639-城管大队运行费用2022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城管大队费用</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该项目主要保障城管大队部门日常公用支出。2022年，该预算项目资金年中有序支付，预算执行率100%，年末无资金结余情况。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处理违章案件</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管理规定</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项/点位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工作日</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365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按预算执行</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工作日</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365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改善城市环境</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元/年</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250000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改善环境</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工作日</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365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改善环境</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工作日</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365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健全机制</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工作日</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365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套</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51081222T000005936732-垃圾分类县区承担部分项目2022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城区垃圾分类有序开展</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为：城区垃圾分类工作有序，垃圾分类收集大到国家标准，按照市人民政府签订的合同标准执行，推进垃圾分类工作，改善群众垃圾分类意识，提高垃圾分类水平，实现资源化有效利用40%以上。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68.80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68.80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68.80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68.80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68.80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68.80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财政承担补助</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0.688</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万户</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0.688</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考核</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工作日</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365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个工作日</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365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100元标准</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元/户</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减少垃圾数量</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吨</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增强意识</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80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垃圾资源化率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80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建立机制</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套</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51081222T000005936997-城区除四害项目2022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完成全年城区消杀工作</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为：完成2023年度城区创国文卫除四害工作任务，消杀29次，提升城区卫生防治工作水平，完善城区卫生防治工作，改善人居环境。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消杀29次</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公斤</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规范</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365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劳务费药品费</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29</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减少安全隐患</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改善生态</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6000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改善人居环境</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6000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建立机制</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套</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套</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51081222T000005937100-乡镇垃圾焚烧费2022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完成乡镇垃圾焚烧处理</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该项目主要为：完成12个乡镇收集的生活垃圾焚烧处置任务，年处理生活垃圾12000吨。2022年，该预算项目资金年中有序支付，预算执行率100%，年末无资金结余情况。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合同约定</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套</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考核细则</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分</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个工作日</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365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合同约定</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840000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元/年</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840000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节约成本</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改善明显</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80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明显改善</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80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建议购买服务</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80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51081222T000005937140-2022城区生活垃圾清运及填埋场运行承包费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完成环卫保洁任务及填埋场正常运行</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为：完成城区清扫保洁及城区生活垃圾填埋场运行工作，按照考核细则进行考核结算，确保项目正常运行，改善朝天城区形象。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650.80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650.80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650.80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650.80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650.80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680.80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合同约定</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套</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考核细则</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套</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个工作日</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365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服务费</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365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节约成本</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人居环境</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80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防止污染</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建立机制</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51081222T000005937217-2022乡镇生活垃圾清运市场化运行承包项目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完成乡镇垃圾焚烧任务</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该项目主要为：完成12个乡镇收集的生活垃圾焚烧处置任务，年处理生活垃圾12000吨。2022年，该预算项目资金年中有序支付，预算执行率100%，年末无资金结余情况。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199.30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199.30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199.30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199.30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199.30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199.30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垃圾焚烧数量</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吨</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18000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合同约定</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吨</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18000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工作日</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65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支付费用</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1993000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元/年</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1993000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减少处置费</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处置及时，防污染隐患</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防污染</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60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建议购买处理机制</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套</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51081222T000005937407-城区餐厨垃圾处置费用项目2022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完成全年餐厨垃圾运输工作</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为：完成朝天城区餐厨垃圾收运处置工作，解决城区餐厨垃圾的处置问题，达到餐厨垃圾处置规范有序的目的，改善城区环境，杜绝餐厨垃圾污染环境的隐患。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收运餐厨垃圾</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吨</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1333</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按照合同约定</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工作日</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365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275元吨</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吨</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275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减少设备运行费用</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元/年</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200000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收集有序</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户（套）</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80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明显改善</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户（套）</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80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建立机制</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套</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元/户（套）</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51081222T000006551828-乡村振兴农村垃圾分类设施建设项目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建设垃圾分类收集点</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该项目主要为：全区12个乡镇建设垃圾分类收集点，购置垃圾收转运设施设备。2022年，该预算项目资金年中有序支付，预算执行率100%，年末无资金结余情况。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51081222T000006798976-2020年度第二批省级城乡发展专项资金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完成城区垃圾收集亭建设</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该项目主要为：在城区新建垃圾收集亭35个。2022年，该预算项目资金年中有序支付，预算执行率100%，年末无资金结余情况。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60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51081222T000006799076-2021年度第二批省级城乡垃圾建设项目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在城区及中子镇等11个乡镇建设垃圾收集点，购置垃圾收运车辆等设施设备采购</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该项目主要为：我区乡镇建垃圾收集点7000余个，购置垃圾收运车辆12辆，配套农村分类服务站80个。2022年，该预算项目资金年中有序支付，预算执行率100%，年末无资金结余情况。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60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51081222T000006874411-广元市朝天区城区生活垃圾中转站项目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完成城区中转站建设</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该项目主要为：城区建设垃圾中转站1座，购置18立方垃圾压缩箱体4个，垃圾转运车2辆，吸污车1辆，并配套相关附属设施。2022年，该预算项目资金年中有序支付，预算执行率100%，年末无资金结余情况。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802.00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802.00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802.00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802.00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60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51081222T000007293760-广元市朝天区农村厨余垃圾资源化利用设施建设项目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完成全区厨余垃圾收集处置</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该项目主要为：在我区羊木镇原西北乡，建厨余垃圾处理厂1座，投入相关设施设备。2022年，该预算项目资金年中有序支付，预算执行率100%，年末无资金结余情况。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60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51081222Y000005135060-定额公用经费（行政）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该项目为运转类项目，主要保障部门日常公用支出。2022年，该预算项目资金年中有序支付，预算执行率100%，年末无资金结余情况。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51081222Y000005135504-定额公用经费（事业）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该项目为运转类项目，主要保障部门日常公用支出。2022年，该预算项目资金年中有序支付，预算执行率100%，年末无资金结余情况。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51081222Y000005899943-乡村振兴第一书记和工作队工作经费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保障乡村振兴驻村工作队日常公用支出运转。2022年，该预算项目资金年中有序支付，预算执行率100%，年末无资金结余情况。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51081223T000008109560-广元市朝天区城乡垃圾处理基础设施建设新增专项债券项目“一案两书”编制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广元市朝天区综合行政执法局部门</w:t>
            </w:r>
          </w:p>
        </w:tc>
        <w:tc>
          <w:tcPr>
            <w:tcW w:w="382"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广元市朝天区综合行政执法局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争取省级专项债券资金投入</w:t>
            </w:r>
          </w:p>
        </w:tc>
        <w:tc>
          <w:tcPr>
            <w:tcW w:w="165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委托第三方机构对项目实施等方面的评估，纳入省发改委发行库。2022年，该预算项目资金年中有序支付，预算执行率100%，年末无资金结余情况。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bookmarkStart w:id="142" w:name="_GoBack"/>
            <w:bookmarkEnd w:id="142"/>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22.5</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项目实施达到了预期的经济效益、社会效益，绩效目标完全实现，为我局在下一年工作推进和预算安排上提供了对比数据。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6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5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项目负责人：熊小帅</w:t>
            </w:r>
          </w:p>
        </w:tc>
        <w:tc>
          <w:tcPr>
            <w:tcW w:w="2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000" w:type="pct"/>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1、报表说明:该报表查询项目信息、绩效目标信息、预算及执行情况，用于预算单位查询导出开展项目自评。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000" w:type="pct"/>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2、取数口径：部门项目绩效目标表信息，包括年初预算、追加预算、结转预算和调整预算的绩效目标（以项目的最终绩效目标为准）。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000" w:type="pct"/>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适用地区：全省范围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000" w:type="pct"/>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适用用户：部门用户、单位用户</w:t>
            </w:r>
          </w:p>
        </w:tc>
      </w:tr>
    </w:tbl>
    <w:p>
      <w:pPr>
        <w:pStyle w:val="7"/>
        <w:rPr>
          <w:rFonts w:hint="eastAsia" w:hAnsi="宋体" w:cs="宋体"/>
          <w:color w:val="auto"/>
          <w:kern w:val="0"/>
          <w:sz w:val="32"/>
          <w:szCs w:val="32"/>
          <w:highlight w:val="none"/>
          <w:shd w:val="clear" w:color="auto" w:fill="FFFFFF"/>
          <w:lang w:val="en-US" w:eastAsia="zh-CN"/>
        </w:rPr>
      </w:pPr>
    </w:p>
    <w:p>
      <w:pPr>
        <w:pStyle w:val="37"/>
        <w:spacing w:line="600" w:lineRule="exact"/>
        <w:jc w:val="center"/>
        <w:rPr>
          <w:rFonts w:ascii="方正小标宋简体" w:hAnsi="方正小标宋简体" w:eastAsia="方正小标宋简体" w:cs="方正小标宋简体"/>
          <w:bCs/>
          <w:color w:val="auto"/>
          <w:kern w:val="2"/>
          <w:sz w:val="44"/>
          <w:szCs w:val="44"/>
          <w:lang w:val="en-US"/>
        </w:rPr>
      </w:pPr>
    </w:p>
    <w:p>
      <w:pPr>
        <w:pStyle w:val="37"/>
        <w:spacing w:line="600" w:lineRule="exact"/>
        <w:jc w:val="center"/>
        <w:rPr>
          <w:rFonts w:ascii="仿宋" w:hAnsi="仿宋" w:eastAsia="仿宋" w:cs="方正小标宋简体"/>
          <w:b/>
          <w:color w:val="auto"/>
          <w:kern w:val="2"/>
          <w:sz w:val="44"/>
          <w:szCs w:val="44"/>
          <w:lang w:val="en-US"/>
        </w:rPr>
      </w:pPr>
      <w:r>
        <w:rPr>
          <w:rFonts w:ascii="方正小标宋简体" w:hAnsi="方正小标宋简体" w:eastAsia="方正小标宋简体" w:cs="方正小标宋简体"/>
          <w:bCs/>
          <w:color w:val="auto"/>
          <w:kern w:val="2"/>
          <w:sz w:val="44"/>
          <w:szCs w:val="44"/>
          <w:lang w:val="en-US"/>
        </w:rPr>
        <w:t>2022</w:t>
      </w:r>
      <w:r>
        <w:rPr>
          <w:rFonts w:hint="eastAsia" w:ascii="方正小标宋简体" w:hAnsi="方正小标宋简体" w:eastAsia="方正小标宋简体" w:cs="方正小标宋简体"/>
          <w:bCs/>
          <w:color w:val="auto"/>
          <w:kern w:val="2"/>
          <w:sz w:val="44"/>
          <w:szCs w:val="44"/>
          <w:lang w:val="en-US"/>
        </w:rPr>
        <w:t>年度省级城乡建设发展</w:t>
      </w:r>
      <w:r>
        <w:rPr>
          <w:rFonts w:hint="eastAsia" w:ascii="方正小标宋简体" w:hAnsi="方正小标宋简体" w:eastAsia="方正小标宋简体" w:cs="方正小标宋简体"/>
          <w:bCs/>
          <w:color w:val="auto"/>
          <w:kern w:val="2"/>
          <w:sz w:val="44"/>
          <w:szCs w:val="44"/>
        </w:rPr>
        <w:t>专项资金（污水垃圾处理设施建设方向）</w:t>
      </w:r>
      <w:r>
        <w:rPr>
          <w:rFonts w:hint="eastAsia" w:ascii="方正小标宋简体" w:hAnsi="方正小标宋简体" w:eastAsia="方正小标宋简体" w:cs="方正小标宋简体"/>
          <w:bCs/>
          <w:color w:val="auto"/>
          <w:kern w:val="2"/>
          <w:sz w:val="44"/>
          <w:szCs w:val="44"/>
          <w:lang w:val="en-US"/>
        </w:rPr>
        <w:t>绩效自评报告</w:t>
      </w:r>
    </w:p>
    <w:p>
      <w:pPr>
        <w:pStyle w:val="37"/>
        <w:spacing w:line="600" w:lineRule="exact"/>
        <w:jc w:val="center"/>
        <w:rPr>
          <w:rFonts w:ascii="黑体" w:cs="黑体"/>
          <w:bCs w:val="0"/>
          <w:szCs w:val="32"/>
        </w:rPr>
      </w:pPr>
      <w:r>
        <w:rPr>
          <w:rFonts w:hint="eastAsia" w:ascii="楷体_GB2312" w:hAnsi="楷体_GB2312" w:eastAsia="楷体_GB2312" w:cs="楷体_GB2312"/>
          <w:bCs/>
          <w:color w:val="auto"/>
          <w:kern w:val="2"/>
          <w:sz w:val="32"/>
          <w:szCs w:val="32"/>
        </w:rPr>
        <w:t>（朝天区综合行政执法局）</w:t>
      </w:r>
    </w:p>
    <w:p>
      <w:pPr>
        <w:pStyle w:val="3"/>
        <w:pageBreakBefore w:val="0"/>
        <w:widowControl w:val="0"/>
        <w:kinsoku/>
        <w:wordWrap/>
        <w:overflowPunct/>
        <w:topLinePunct w:val="0"/>
        <w:autoSpaceDE/>
        <w:autoSpaceDN/>
        <w:bidi w:val="0"/>
        <w:spacing w:before="0" w:after="0" w:line="576" w:lineRule="exact"/>
        <w:ind w:firstLine="632"/>
        <w:jc w:val="both"/>
        <w:textAlignment w:val="auto"/>
        <w:outlineLvl w:val="9"/>
        <w:rPr>
          <w:rFonts w:hint="eastAsia" w:ascii="黑体" w:hAnsi="黑体" w:eastAsia="黑体" w:cs="黑体"/>
          <w:b w:val="0"/>
          <w:bCs/>
          <w:sz w:val="32"/>
          <w:szCs w:val="32"/>
        </w:rPr>
      </w:pPr>
    </w:p>
    <w:p>
      <w:pPr>
        <w:pStyle w:val="3"/>
        <w:pageBreakBefore w:val="0"/>
        <w:widowControl w:val="0"/>
        <w:kinsoku/>
        <w:wordWrap/>
        <w:overflowPunct/>
        <w:topLinePunct w:val="0"/>
        <w:autoSpaceDE/>
        <w:autoSpaceDN/>
        <w:bidi w:val="0"/>
        <w:spacing w:before="0" w:after="0" w:line="576" w:lineRule="exact"/>
        <w:ind w:firstLine="632"/>
        <w:jc w:val="both"/>
        <w:textAlignment w:val="auto"/>
        <w:rPr>
          <w:rFonts w:hint="eastAsia" w:ascii="黑体" w:hAnsi="黑体" w:eastAsia="黑体" w:cs="黑体"/>
          <w:b w:val="0"/>
          <w:bCs/>
          <w:sz w:val="32"/>
          <w:szCs w:val="32"/>
        </w:rPr>
      </w:pPr>
      <w:bookmarkStart w:id="91" w:name="_Toc28089"/>
      <w:r>
        <w:rPr>
          <w:rFonts w:hint="eastAsia" w:ascii="黑体" w:hAnsi="黑体" w:eastAsia="黑体" w:cs="黑体"/>
          <w:b w:val="0"/>
          <w:bCs/>
          <w:sz w:val="32"/>
          <w:szCs w:val="32"/>
        </w:rPr>
        <w:t>一、概况</w:t>
      </w:r>
      <w:bookmarkEnd w:id="91"/>
    </w:p>
    <w:p>
      <w:pPr>
        <w:pStyle w:val="3"/>
        <w:pageBreakBefore w:val="0"/>
        <w:widowControl w:val="0"/>
        <w:kinsoku/>
        <w:wordWrap/>
        <w:overflowPunct/>
        <w:topLinePunct w:val="0"/>
        <w:autoSpaceDE/>
        <w:autoSpaceDN/>
        <w:bidi w:val="0"/>
        <w:spacing w:before="0" w:after="0" w:line="576" w:lineRule="exact"/>
        <w:ind w:firstLine="632"/>
        <w:jc w:val="both"/>
        <w:textAlignment w:val="auto"/>
        <w:rPr>
          <w:rFonts w:hint="eastAsia" w:ascii="楷体_GB2312" w:hAnsi="楷体_GB2312" w:eastAsia="楷体_GB2312" w:cs="楷体_GB2312"/>
          <w:b w:val="0"/>
          <w:bCs w:val="0"/>
          <w:sz w:val="32"/>
          <w:szCs w:val="32"/>
          <w:lang w:val="zh-CN"/>
        </w:rPr>
      </w:pPr>
      <w:bookmarkStart w:id="92" w:name="_Toc9993"/>
      <w:r>
        <w:rPr>
          <w:rFonts w:hint="eastAsia" w:ascii="楷体_GB2312" w:hAnsi="楷体_GB2312" w:eastAsia="楷体_GB2312" w:cs="楷体_GB2312"/>
          <w:b w:val="0"/>
          <w:bCs w:val="0"/>
          <w:sz w:val="32"/>
          <w:szCs w:val="32"/>
          <w:lang w:val="zh-CN"/>
        </w:rPr>
        <w:t>（一）本方向专项资金管理的基本情况</w:t>
      </w:r>
      <w:bookmarkEnd w:id="92"/>
    </w:p>
    <w:p>
      <w:pPr>
        <w:pageBreakBefore w:val="0"/>
        <w:widowControl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资金管理办法制定及执行情况。严格按照专项资金管理办法有关要求，加强对项目实施单位的项目和资金管理。结合朝天区综合行政执法局制定了《“三重一大”集体决策制度》、《党组会议制度》、《财务综合管理制度》等相关制度，严格执行财务管理制度，设立专账，专款专用。财务处理及时，会计核算规范，以确保项目资金使用效果。项目大额资金开支必须按财务管理制度实行转账，严格控制项目中的现金支付，加强固定资产的管理，符合采购要求的必须实行采购，切实加强财政资金管理，确保充分发挥效益。资金拨付具有完整的审批程序和手续，资金使用符合项目预算批复，不存在截留、挤占、挪用、虚列支出等情况。</w:t>
      </w:r>
    </w:p>
    <w:p>
      <w:pPr>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资金管理的职责分工、工作流程。按照朝天区综合行政执法局制定了《“三重一大”集体决策制度》、《党组会议制度》、《财务综合管理制度》等相关制度规定，项目建设及日常经费管理，按照</w:t>
      </w:r>
      <w:r>
        <w:rPr>
          <w:rFonts w:hint="eastAsia" w:ascii="仿宋_GB2312" w:hAnsi="仿宋_GB2312" w:eastAsia="仿宋_GB2312" w:cs="仿宋_GB2312"/>
          <w:sz w:val="32"/>
          <w:szCs w:val="32"/>
        </w:rPr>
        <w:t>经办人对具体支出的事项、原始凭证负责；业务分管领导对经办人支出事项及原始凭证负责；计财装备室负责人根据业务分管领导审核意见对支出原始凭证真实性、合法性、完整性等进行复核，明确列支会计科目；分管财务领导根据审签情况进行审批入账。所有发生的费用后一周内完善报销手续。对项目建设资金的申请拨付，严格按照</w:t>
      </w:r>
      <w:r>
        <w:rPr>
          <w:rFonts w:hint="eastAsia" w:ascii="仿宋_GB2312" w:hAnsi="仿宋_GB2312" w:eastAsia="仿宋_GB2312" w:cs="仿宋_GB2312"/>
          <w:sz w:val="32"/>
          <w:szCs w:val="32"/>
          <w:lang w:val="zh-CN"/>
        </w:rPr>
        <w:t>“三重一大”集体决策制度执行，对资金支付按照专项资金管理办法逐层审签执行，</w:t>
      </w:r>
      <w:r>
        <w:rPr>
          <w:rFonts w:hint="eastAsia" w:ascii="仿宋_GB2312" w:hAnsi="仿宋_GB2312" w:eastAsia="仿宋_GB2312" w:cs="仿宋_GB2312"/>
          <w:sz w:val="32"/>
          <w:szCs w:val="32"/>
        </w:rPr>
        <w:t>局务会审定事项要将会议纪要或记录作为附件。</w:t>
      </w:r>
    </w:p>
    <w:p>
      <w:pPr>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按照《“十四五”全国城镇生活垃圾无害化处理设施建设规划》，提出：加快垃圾处理设施建设，合理布局生活垃圾处理设施，尚不具备处理能力的设市城市和县城要在2023年前具备无害化处理能力。建制镇产生的生活垃圾就近纳入县级或市级垃圾处理设施集中处理，原则上建制镇不单独建设处理设施(距离县市较远的建制镇可视具体情况另行考虑)</w:t>
      </w:r>
      <w:r>
        <w:rPr>
          <w:rFonts w:hint="eastAsia" w:ascii="仿宋_GB2312" w:hAnsi="仿宋_GB2312" w:eastAsia="仿宋_GB2312" w:cs="仿宋_GB2312"/>
          <w:sz w:val="32"/>
          <w:szCs w:val="32"/>
          <w:lang w:val="zh-CN"/>
        </w:rPr>
        <w:t xml:space="preserve"> 的文件精神，根据广元市朝天区人民政府办公室关于印发《广元市朝天区城乡生活垃圾处理设施建设三年推进方案（2021-2023年）的通知 》（广朝府办发〔2021〕1号）文件内容要求，我区处于长江流域生态保护范围，基础设施建设不完善、垃圾处理专用设施欠缺等因素，完全符合该项目资金支持，项目资金使用方向为农村厨余垃圾资源化利用设施设备建设及农村生活垃圾分类设施设施建设两个项目，重点解决农村厨余垃圾处置及农村生活垃圾分类设施设施建设，从而形成农村厨余垃圾及垃圾分类收转运长效机制。在项目申报上重点考虑上述因素予以申报，补齐农村垃圾分类设施欠缺的短板，结合我区区情，本级财政的承载能力，合理科学的进行规划、资金整合等一系列工作，通过项目的事前绩效评价，该项目申报切实可行，并以规定进行了项目申报。</w:t>
      </w:r>
    </w:p>
    <w:p>
      <w:pPr>
        <w:pageBreakBefore w:val="0"/>
        <w:kinsoku/>
        <w:wordWrap/>
        <w:overflowPunct/>
        <w:topLinePunct w:val="0"/>
        <w:autoSpaceDE/>
        <w:autoSpaceDN/>
        <w:bidi w:val="0"/>
        <w:adjustRightInd w:val="0"/>
        <w:snapToGrid w:val="0"/>
        <w:spacing w:line="576" w:lineRule="exact"/>
        <w:ind w:firstLine="480" w:firstLineChars="15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资金严格按照资金跟着项目走的原则进行分配。在项目资金分配上，按照项目类别进行分配，农村厨余垃圾资源化利用设施设备建设及农村生活垃圾分类设施设施建设项目，</w:t>
      </w:r>
      <w:r>
        <w:rPr>
          <w:rFonts w:hint="eastAsia" w:ascii="仿宋_GB2312" w:hAnsi="仿宋_GB2312" w:eastAsia="仿宋_GB2312" w:cs="仿宋_GB2312"/>
          <w:color w:val="000000"/>
          <w:sz w:val="32"/>
          <w:szCs w:val="32"/>
          <w:lang w:val="zh-CN"/>
        </w:rPr>
        <w:t>根据2022年申报的省级城乡建设资金使用的方向和范围规定，该项目符合我区实施的项目建设内容；</w:t>
      </w:r>
      <w:r>
        <w:rPr>
          <w:rFonts w:hint="eastAsia" w:ascii="仿宋_GB2312" w:hAnsi="仿宋_GB2312" w:eastAsia="仿宋_GB2312" w:cs="仿宋_GB2312"/>
          <w:sz w:val="32"/>
          <w:szCs w:val="32"/>
          <w:lang w:val="zh-CN"/>
        </w:rPr>
        <w:t>按照2022年申报的省级城乡建设资金使用的方向和范围规定，结合《广元市朝天区城乡生活垃圾处理设施建设三年推进方案（2021-2023年）的通知 》的实施内容，重点解决了农村厨余垃圾处置及农村垃圾分类设施建设，重点集镇的垃圾收转运处理设施欠缺的短板。按照子项目涉及的工程量大小、区域位置、专项资金重点支持的方向等因素，对2022年省级城乡建设资金进行了进一步的明确细化，确保资金使用方向上、合理上等方面发挥财政资金的使用效益。</w:t>
      </w:r>
    </w:p>
    <w:p>
      <w:pPr>
        <w:pageBreakBefore w:val="0"/>
        <w:kinsoku/>
        <w:wordWrap/>
        <w:overflowPunct/>
        <w:topLinePunct w:val="0"/>
        <w:autoSpaceDE/>
        <w:autoSpaceDN/>
        <w:bidi w:val="0"/>
        <w:adjustRightInd w:val="0"/>
        <w:snapToGrid w:val="0"/>
        <w:spacing w:line="576" w:lineRule="exact"/>
        <w:ind w:firstLine="720"/>
        <w:jc w:val="both"/>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（二）本方向专项资金绩效目标</w:t>
      </w:r>
    </w:p>
    <w:p>
      <w:pPr>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 xml:space="preserve"> 农村厨余垃圾资源化利用设施设备建设项目主要建设内容为：</w:t>
      </w:r>
      <w:bookmarkStart w:id="93" w:name="_Hlk101292461"/>
      <w:r>
        <w:rPr>
          <w:rFonts w:hint="eastAsia" w:ascii="仿宋_GB2312" w:hAnsi="仿宋_GB2312" w:eastAsia="仿宋_GB2312" w:cs="仿宋_GB2312"/>
          <w:sz w:val="32"/>
          <w:szCs w:val="32"/>
          <w:lang w:val="zh-CN"/>
        </w:rPr>
        <w:t>建设餐厨垃圾收集点及购置餐厨垃圾运输车辆等设施设备建，2022年第一批省级城乡建设发展资金支持购置240L餐厨垃圾收集桶700个，</w:t>
      </w:r>
      <w:bookmarkEnd w:id="93"/>
      <w:r>
        <w:rPr>
          <w:rFonts w:hint="eastAsia" w:ascii="仿宋_GB2312" w:hAnsi="仿宋_GB2312" w:eastAsia="仿宋_GB2312" w:cs="仿宋_GB2312"/>
          <w:sz w:val="32"/>
          <w:szCs w:val="32"/>
          <w:lang w:val="zh-CN"/>
        </w:rPr>
        <w:t>并配发到各项目乡镇，形成农村餐厨垃圾投放、收集、运输、处理全过程收运处理体系，达到生活餐厨垃圾减量化、资源化、无害化要求。</w:t>
      </w:r>
    </w:p>
    <w:p>
      <w:pPr>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本项目绩效目标：至2022年末计划开工项目个数1 个；至2022年末计划完工项目个数1 个；支持项目2022年计划投资9300万元；2022年项目计划开工率100%；到位2022年度省级城乡建设发展专项资金20万元，资金到位率100%，截止2022年年底专项资金计划拨付率100%。</w:t>
      </w:r>
    </w:p>
    <w:p>
      <w:pPr>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实际绩效目标完成情况：目前实际开工项目个数1 个；至2022年末实际完工项目个数1 个；支持项目2022年计划投资9300万元；至2022年末已拨付专项资金20万元；至2022年末项目开工率100%；至2022年末专项资金拨付率100%。</w:t>
      </w:r>
    </w:p>
    <w:p>
      <w:pPr>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该项目于2022年12月底前全部竣工并投入运行，项目运行正常，资金使用规范，充分发挥了专项资金的使用效益。</w:t>
      </w:r>
    </w:p>
    <w:p>
      <w:pPr>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朝天区农村生活垃圾分类设施设施建设项目主要建设内容为:</w:t>
      </w:r>
      <w:r>
        <w:rPr>
          <w:rFonts w:hint="eastAsia" w:ascii="仿宋_GB2312" w:hAnsi="仿宋_GB2312" w:eastAsia="仿宋_GB2312" w:cs="仿宋_GB2312"/>
          <w:sz w:val="32"/>
          <w:szCs w:val="32"/>
        </w:rPr>
        <w:t xml:space="preserve"> 建设生活垃圾分类分拣站400个，再生资源回收利用站60座，有害垃圾暂存点2处，并配套相关设施设备。</w:t>
      </w:r>
    </w:p>
    <w:p>
      <w:pPr>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本项目绩效目标：至2022年末计划开工项目个数1 个；支持项目2022年计划投资12660万元,实际投资12660万元；2022年项目计划开工率100%；2022年度省级城乡建设发展专项资金资金到位率100%；2021年省级城乡建设发展专项资金计划拨付率100%。</w:t>
      </w:r>
    </w:p>
    <w:p>
      <w:pPr>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实际绩效目标完成情况：目前实际开工项目个数1 个；</w:t>
      </w:r>
      <w:r>
        <w:rPr>
          <w:rFonts w:hint="eastAsia" w:ascii="仿宋_GB2312" w:hAnsi="仿宋_GB2312" w:eastAsia="仿宋_GB2312" w:cs="仿宋_GB2312"/>
          <w:sz w:val="32"/>
          <w:szCs w:val="32"/>
        </w:rPr>
        <w:t>朝天城区生活垃圾中转站建设273.46万元；建设生活垃圾分类二级分拣中心12座240万元；购置小型电动垃圾收集车10辆150万元；购置240L垃圾分类桶4860个138.54万元</w:t>
      </w:r>
      <w:r>
        <w:rPr>
          <w:rFonts w:hint="eastAsia" w:ascii="仿宋_GB2312" w:hAnsi="仿宋_GB2312" w:eastAsia="仿宋_GB2312" w:cs="仿宋_GB2312"/>
          <w:sz w:val="32"/>
          <w:szCs w:val="32"/>
          <w:lang w:val="zh-CN"/>
        </w:rPr>
        <w:t>。支持项目2022年计划投资12660万元； 2022年末完成投资12660万元。至2022年末项目开工率100%；已拨付2022年度省级城乡建设发展专项资金802万元；专项资金拨付率100%。</w:t>
      </w:r>
    </w:p>
    <w:p>
      <w:pPr>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截止目前，投入使用的项目，运行正常，后续项目正有序建设，已支付的2022年第一批省级城乡建设发展专项资金使用规范，充分发挥了专项资金的使用效益。</w:t>
      </w:r>
    </w:p>
    <w:p>
      <w:pPr>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区结合行政执法局主要职责职能为：依法行使城市（城镇）规划与建设方面、市容市貌和环境卫生方面、市政管理方面的行政执法，参与规划与建设管理全过程。制定朝天区城市（城镇）容貌和环境卫生管理及综合执法工作计划，研究制定城市（城镇）容貌管理标准，草拟朝天区城乡环境综合治理实施办法。主管城区市容和环境卫生工作，负责市容环卫设施建设项目的方案审查和实施监督管理。对城市（城镇）生活垃圾、特种垃圾、建筑垃圾按规范收集、清运和处置并行使管理权，负责机动车清洗、环境卫生的行业管理。</w:t>
      </w:r>
    </w:p>
    <w:p>
      <w:pPr>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本次项目完全符合省级城乡建设发展专项资金支持方向，申报内容与具体实施内容相符、申报目标合理可行。</w:t>
      </w:r>
    </w:p>
    <w:p>
      <w:pPr>
        <w:pageBreakBefore w:val="0"/>
        <w:kinsoku/>
        <w:wordWrap/>
        <w:overflowPunct/>
        <w:topLinePunct w:val="0"/>
        <w:autoSpaceDE/>
        <w:autoSpaceDN/>
        <w:bidi w:val="0"/>
        <w:adjustRightInd w:val="0"/>
        <w:snapToGrid w:val="0"/>
        <w:spacing w:line="576" w:lineRule="exact"/>
        <w:ind w:firstLine="572" w:firstLineChars="179"/>
        <w:jc w:val="both"/>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（三）自评步骤及方法</w:t>
      </w:r>
    </w:p>
    <w:p>
      <w:pPr>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自评步骤：一是自评程序</w:t>
      </w:r>
      <w:bookmarkStart w:id="94" w:name="_Toc86855939"/>
      <w:r>
        <w:rPr>
          <w:rFonts w:hint="eastAsia" w:ascii="仿宋_GB2312" w:hAnsi="仿宋_GB2312" w:eastAsia="仿宋_GB2312" w:cs="仿宋_GB2312"/>
          <w:sz w:val="32"/>
          <w:szCs w:val="32"/>
          <w:lang w:val="zh-CN"/>
        </w:rPr>
        <w:t>拟定工作方案。结合项目绩效评估工作要求。拟定《绩效评价工作方案》，包括评估对象、内容、方法、时间安排等。二是项目资料收集。熟悉项目内容；提前明确绩效评估资料准备清单，收集项目单位项目申报书、绩效目标申请表等。三是现场调研。在收集审核项目资料基础上，组织相关部门及人员到项目现场进行调研。通过查阅资料、实地勘察、核实、了解项目具体内容和项目实施的具体做法、依据等，将现场情况与上报资料进行对比，对项目疑点问题进行询问，听取并记录项目单位对有关问题的解释和答复。四是组织实施评估。结合项目资料、现场调研结果，进行分析论证，对项目进行评议。形成绩效评估结论完成最终评价报告，提出评估结论意见。</w:t>
      </w:r>
    </w:p>
    <w:p>
      <w:pPr>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论证思路及方法</w:t>
      </w:r>
      <w:bookmarkEnd w:id="94"/>
      <w:r>
        <w:rPr>
          <w:rFonts w:hint="eastAsia" w:ascii="仿宋_GB2312" w:hAnsi="仿宋_GB2312" w:eastAsia="仿宋_GB2312" w:cs="仿宋_GB2312"/>
          <w:sz w:val="32"/>
          <w:szCs w:val="32"/>
          <w:lang w:val="zh-CN"/>
        </w:rPr>
        <w:t>：本次事前绩效评估主要针对项目实施的必要性、可行性、公益性评估、项目建设投资合规性与项目成熟度评估、资金需求和资金使用计划合理性评估等方面进行综合评估、分析与论证，并提出相关建议。</w:t>
      </w:r>
      <w:bookmarkStart w:id="95" w:name="_Toc86855940"/>
      <w:r>
        <w:rPr>
          <w:rFonts w:hint="eastAsia" w:ascii="仿宋_GB2312" w:hAnsi="仿宋_GB2312" w:eastAsia="仿宋_GB2312" w:cs="仿宋_GB2312"/>
          <w:sz w:val="32"/>
          <w:szCs w:val="32"/>
          <w:lang w:val="zh-CN"/>
        </w:rPr>
        <w:t>评估方式</w:t>
      </w:r>
      <w:bookmarkEnd w:id="95"/>
      <w:r>
        <w:rPr>
          <w:rFonts w:hint="eastAsia" w:ascii="仿宋_GB2312" w:hAnsi="仿宋_GB2312" w:eastAsia="仿宋_GB2312" w:cs="仿宋_GB2312"/>
          <w:sz w:val="32"/>
          <w:szCs w:val="32"/>
          <w:lang w:val="zh-CN"/>
        </w:rPr>
        <w:t>为：本次绩效评估遵循全面考虑、重点突出的原则，主要采用文献法、社会调查法、对比分析法等评估方式或手段，对项目的相关性、可行性、持续性等方面进行全面评估。文献法：通过检索、查阅、梳理各级政府部门制定的相关政策文件，以及其他地区政策文件，对政策目标的匹配性、政策内容的合理性等进行综合、全面的评价。</w:t>
      </w:r>
    </w:p>
    <w:p>
      <w:pPr>
        <w:pageBreakBefore w:val="0"/>
        <w:widowControl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社会调查法：社会调查是深入了解政策参与主体和受益方对政策认知及态度的主要方法。评价组将采用实地访谈方式对本次评价政策的制定方和受益方等进行充分调研，更加充分地掌握政策制定的目的、依据、主要内容、以及实际需求，为评价分析提供支撑。对比分析法：本次评价过程中，评价组首先将项目与上级战略规划进行对比，分析项目与战略规划的匹配性；同时，将本项目与其他地区的同类项目进行对比分析，作为判断采购内容合理性的依据之一。</w:t>
      </w:r>
    </w:p>
    <w:p>
      <w:pPr>
        <w:pStyle w:val="3"/>
        <w:pageBreakBefore w:val="0"/>
        <w:widowControl w:val="0"/>
        <w:kinsoku/>
        <w:wordWrap/>
        <w:overflowPunct/>
        <w:topLinePunct w:val="0"/>
        <w:autoSpaceDE/>
        <w:autoSpaceDN/>
        <w:bidi w:val="0"/>
        <w:spacing w:before="0" w:after="0" w:line="576" w:lineRule="exact"/>
        <w:ind w:firstLine="632"/>
        <w:jc w:val="both"/>
        <w:textAlignment w:val="auto"/>
        <w:rPr>
          <w:rFonts w:hint="eastAsia" w:ascii="黑体" w:hAnsi="黑体" w:eastAsia="黑体" w:cs="黑体"/>
          <w:b w:val="0"/>
          <w:bCs/>
          <w:sz w:val="32"/>
          <w:szCs w:val="32"/>
        </w:rPr>
      </w:pPr>
      <w:bookmarkStart w:id="96" w:name="_Toc29175"/>
      <w:r>
        <w:rPr>
          <w:rFonts w:hint="eastAsia" w:ascii="黑体" w:hAnsi="黑体" w:eastAsia="黑体" w:cs="黑体"/>
          <w:b w:val="0"/>
          <w:bCs/>
          <w:sz w:val="32"/>
          <w:szCs w:val="32"/>
        </w:rPr>
        <w:t>二、专项资金使用情况</w:t>
      </w:r>
      <w:bookmarkEnd w:id="96"/>
    </w:p>
    <w:p>
      <w:pPr>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sz w:val="32"/>
          <w:szCs w:val="32"/>
          <w:highlight w:val="magenta"/>
        </w:rPr>
      </w:pPr>
      <w:r>
        <w:rPr>
          <w:rFonts w:hint="eastAsia" w:ascii="仿宋_GB2312" w:hAnsi="仿宋_GB2312" w:eastAsia="仿宋_GB2312" w:cs="仿宋_GB2312"/>
          <w:bCs/>
          <w:sz w:val="32"/>
          <w:szCs w:val="32"/>
          <w:lang w:val="zh-CN"/>
        </w:rPr>
        <w:t>（一）资金计划、到位及使用情况。</w:t>
      </w:r>
      <w:r>
        <w:rPr>
          <w:rFonts w:hint="eastAsia" w:ascii="仿宋_GB2312" w:hAnsi="仿宋_GB2312" w:eastAsia="仿宋_GB2312" w:cs="仿宋_GB2312"/>
          <w:sz w:val="32"/>
          <w:szCs w:val="32"/>
          <w:lang w:val="zh-CN"/>
        </w:rPr>
        <w:t>根据2022年8月4日广元市财政局《关于下达2022年第一批省级城乡建设发展专项资金预算的通知》（广财投〔2022〕78号）文件文件精神，下达我区2022年第一批省级城乡建设发展专项城乡垃圾设施建设资金预算822万元，专项用于以下项目建设。</w:t>
      </w:r>
    </w:p>
    <w:p>
      <w:pPr>
        <w:pageBreakBefore w:val="0"/>
        <w:kinsoku/>
        <w:wordWrap/>
        <w:overflowPunct/>
        <w:topLinePunct w:val="0"/>
        <w:autoSpaceDE/>
        <w:autoSpaceDN/>
        <w:bidi w:val="0"/>
        <w:adjustRightInd w:val="0"/>
        <w:snapToGrid w:val="0"/>
        <w:spacing w:line="576" w:lineRule="exact"/>
        <w:ind w:firstLine="425" w:firstLineChars="133"/>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1.农村厨余垃圾资源化利用设施设备建设项目资金到位及使用情况：</w:t>
      </w:r>
    </w:p>
    <w:p>
      <w:pPr>
        <w:pageBreakBefore w:val="0"/>
        <w:kinsoku/>
        <w:wordWrap/>
        <w:overflowPunct/>
        <w:topLinePunct w:val="0"/>
        <w:autoSpaceDE/>
        <w:autoSpaceDN/>
        <w:bidi w:val="0"/>
        <w:adjustRightInd w:val="0"/>
        <w:snapToGrid w:val="0"/>
        <w:spacing w:line="576" w:lineRule="exact"/>
        <w:ind w:firstLine="427" w:firstLineChars="133"/>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一是资金计划：</w:t>
      </w:r>
      <w:r>
        <w:rPr>
          <w:rFonts w:hint="eastAsia" w:ascii="仿宋_GB2312" w:hAnsi="仿宋_GB2312" w:eastAsia="仿宋_GB2312" w:cs="仿宋_GB2312"/>
          <w:sz w:val="32"/>
          <w:szCs w:val="32"/>
          <w:lang w:val="zh-CN"/>
        </w:rPr>
        <w:t>本项目总投资9300万元，资金来源省级预算内资金20万元，地方财政配套资金9280万元；</w:t>
      </w:r>
      <w:r>
        <w:rPr>
          <w:rFonts w:hint="eastAsia" w:ascii="仿宋_GB2312" w:hAnsi="仿宋_GB2312" w:eastAsia="仿宋_GB2312" w:cs="仿宋_GB2312"/>
          <w:b/>
          <w:sz w:val="32"/>
          <w:szCs w:val="32"/>
          <w:lang w:val="zh-CN"/>
        </w:rPr>
        <w:t>二是资金到位：</w:t>
      </w:r>
      <w:r>
        <w:rPr>
          <w:rFonts w:hint="eastAsia" w:ascii="仿宋_GB2312" w:hAnsi="仿宋_GB2312" w:eastAsia="仿宋_GB2312" w:cs="仿宋_GB2312"/>
          <w:sz w:val="32"/>
          <w:szCs w:val="32"/>
          <w:lang w:val="zh-CN"/>
        </w:rPr>
        <w:t>根据根据2022年8月4日广元市财政局《关于下达2022年第一批省级城乡建设发展专项资金预算的通知》（广财投〔2022〕78号）文件精神，下达我局2022年第一批省级城乡建设发展专项城乡垃圾设施建设资金预算20万元。2022年底前实际到位2022年第一批省级城乡建设发展专项资金20万元，地方财政资金到位9280万元，2022年第二批省级城乡建设发展专项资金到位率100%；</w:t>
      </w:r>
      <w:r>
        <w:rPr>
          <w:rFonts w:hint="eastAsia" w:ascii="仿宋_GB2312" w:hAnsi="仿宋_GB2312" w:eastAsia="仿宋_GB2312" w:cs="仿宋_GB2312"/>
          <w:b/>
          <w:sz w:val="32"/>
          <w:szCs w:val="32"/>
          <w:lang w:val="zh-CN"/>
        </w:rPr>
        <w:t>三是资金使用：</w:t>
      </w:r>
      <w:r>
        <w:rPr>
          <w:rFonts w:hint="eastAsia" w:ascii="仿宋_GB2312" w:hAnsi="仿宋_GB2312" w:eastAsia="仿宋_GB2312" w:cs="仿宋_GB2312"/>
          <w:sz w:val="32"/>
          <w:szCs w:val="32"/>
          <w:lang w:val="zh-CN"/>
        </w:rPr>
        <w:t>截止目前，2022年第一批省级城乡建设发展专项资金支付20万元，支付率为100%，截止目前项目建设完成，资金实际已根据相关合同付款节点支付，支付流程符合相关财务管理制度，与预算相符。</w:t>
      </w:r>
    </w:p>
    <w:p>
      <w:pPr>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 xml:space="preserve"> 朝天区农村生活垃圾分类设施设施建设项目资金到位及使用情况：</w:t>
      </w:r>
      <w:r>
        <w:rPr>
          <w:rFonts w:hint="eastAsia" w:ascii="仿宋_GB2312" w:hAnsi="仿宋_GB2312" w:eastAsia="仿宋_GB2312" w:cs="仿宋_GB2312"/>
          <w:b/>
          <w:sz w:val="32"/>
          <w:szCs w:val="32"/>
          <w:lang w:val="zh-CN"/>
        </w:rPr>
        <w:t>一是资金计划：</w:t>
      </w:r>
      <w:r>
        <w:rPr>
          <w:rFonts w:hint="eastAsia" w:ascii="仿宋_GB2312" w:hAnsi="仿宋_GB2312" w:eastAsia="仿宋_GB2312" w:cs="仿宋_GB2312"/>
          <w:sz w:val="32"/>
          <w:szCs w:val="32"/>
          <w:lang w:val="zh-CN"/>
        </w:rPr>
        <w:t>本项目2022年计划总投资12660万元，资金来源2022年第二批省级城乡建设发展专项资金802万元，地方财政资金11858万元。</w:t>
      </w:r>
      <w:r>
        <w:rPr>
          <w:rFonts w:hint="eastAsia" w:ascii="仿宋_GB2312" w:hAnsi="仿宋_GB2312" w:eastAsia="仿宋_GB2312" w:cs="仿宋_GB2312"/>
          <w:b/>
          <w:sz w:val="32"/>
          <w:szCs w:val="32"/>
          <w:lang w:val="zh-CN"/>
        </w:rPr>
        <w:t>二是资金到位：</w:t>
      </w:r>
      <w:r>
        <w:rPr>
          <w:rFonts w:hint="eastAsia" w:ascii="仿宋_GB2312" w:hAnsi="仿宋_GB2312" w:eastAsia="仿宋_GB2312" w:cs="仿宋_GB2312"/>
          <w:sz w:val="32"/>
          <w:szCs w:val="32"/>
          <w:lang w:val="zh-CN"/>
        </w:rPr>
        <w:t>根据2022年8月4日广元市财政局《关于下达2022年第一批省级城乡建设发展专项资金预算的通知》（广财投〔2022〕78号）文件精神，截止目前，下达我区2022年第一批省级城乡建设发展专项城乡垃圾设施建设资金预算802万元。截止评价时间实际到位2022年第二批省级城乡建设发展专项资金802万元，地方财政资金到位11858万元，2022年第一批省级城乡建设发展专项资金到位率达100%。</w:t>
      </w:r>
      <w:r>
        <w:rPr>
          <w:rFonts w:hint="eastAsia" w:ascii="仿宋_GB2312" w:hAnsi="仿宋_GB2312" w:eastAsia="仿宋_GB2312" w:cs="仿宋_GB2312"/>
          <w:b/>
          <w:sz w:val="32"/>
          <w:szCs w:val="32"/>
          <w:lang w:val="zh-CN"/>
        </w:rPr>
        <w:t>三是资金使用：</w:t>
      </w:r>
      <w:r>
        <w:rPr>
          <w:rFonts w:hint="eastAsia" w:ascii="仿宋_GB2312" w:hAnsi="仿宋_GB2312" w:eastAsia="仿宋_GB2312" w:cs="仿宋_GB2312"/>
          <w:sz w:val="32"/>
          <w:szCs w:val="32"/>
          <w:lang w:val="zh-CN"/>
        </w:rPr>
        <w:t>截止2022年12月底，项目投资12660万元，其中，2022年第一批省级城乡建设发展专项资金支付802万元，支付率100%。支出资金根据相关合同付款节点支付，支付流程符合相关财务管理制度，与预算相符。</w:t>
      </w:r>
    </w:p>
    <w:p>
      <w:pPr>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Cs/>
          <w:sz w:val="32"/>
          <w:szCs w:val="32"/>
          <w:lang w:val="zh-CN"/>
        </w:rPr>
        <w:t>（二）财务管理情况。</w:t>
      </w:r>
      <w:r>
        <w:rPr>
          <w:rFonts w:hint="eastAsia" w:ascii="仿宋_GB2312" w:hAnsi="仿宋_GB2312" w:eastAsia="仿宋_GB2312" w:cs="仿宋_GB2312"/>
          <w:sz w:val="32"/>
          <w:szCs w:val="32"/>
          <w:lang w:val="zh-CN"/>
        </w:rPr>
        <w:t>严格按照专项资金管理办法有关要求，加强对项目实施单位的项目和资金管理。结合朝天区综合行政执法局制定了《“三重一大”集体决策制度》、《党组会议制度》、《财务综合管理制度》等相关制度，严格执行财务管理制度，设立专账，专款专用。财务处理及时，会计核算规范，以确保项目资金使用效果。项目大额资金开支必须按财务管理制度实行转账，严格控制项目中的现金支付，加强固定资产的管理，符合采购要求的必须实行采购，切实加强财政资金管理，确保充分发挥效益。资金拨付具有完整的审批程序和手续，资金使用符合项目预算批复，不存在截留、挤占、挪用、虚列支出等情况。</w:t>
      </w:r>
    </w:p>
    <w:p>
      <w:pPr>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三、本方向专项资金支持项目的实施及管理情况</w:t>
      </w:r>
    </w:p>
    <w:p>
      <w:pPr>
        <w:pageBreakBefore w:val="0"/>
        <w:kinsoku/>
        <w:wordWrap/>
        <w:overflowPunct/>
        <w:topLinePunct w:val="0"/>
        <w:autoSpaceDE/>
        <w:autoSpaceDN/>
        <w:bidi w:val="0"/>
        <w:adjustRightInd w:val="0"/>
        <w:snapToGrid w:val="0"/>
        <w:spacing w:line="576" w:lineRule="exact"/>
        <w:ind w:firstLine="425" w:firstLineChars="133"/>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Cs/>
          <w:sz w:val="32"/>
          <w:szCs w:val="32"/>
          <w:lang w:val="zh-CN"/>
        </w:rPr>
        <w:t>（一）项目管理情况。</w:t>
      </w:r>
      <w:r>
        <w:rPr>
          <w:rFonts w:hint="eastAsia" w:ascii="仿宋_GB2312" w:hAnsi="仿宋_GB2312" w:eastAsia="仿宋_GB2312" w:cs="仿宋_GB2312"/>
          <w:sz w:val="32"/>
          <w:szCs w:val="32"/>
          <w:lang w:val="zh-CN"/>
        </w:rPr>
        <w:t>按照广元市朝天区人民政府关于专项资金管理办法的要求及朝天区综合行政执法局制定了《“三重一大”集体决策制度》、《党组会议制度》等一系列管理制度。结合广元市朝天区人民政府办公室关于印发《广元市朝天区城乡生活垃圾处理设施建设三年推进方案（2021-2023年）的通知 》（广朝府办发〔2021〕1号）文件内容，严格按照通知中对项目实施过程中的组织架构、项目建设督查督办、资金拨付、检查验收、审计结算等方面要求实施本项目。主要体现在如下几方面。</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1</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zh-CN"/>
        </w:rPr>
        <w:t>组织措施。区委、政府成立了副县级领导带队的督查组，加强该项工作的督查力度，为了确保工作按质按量完成，我局成立了以张明光同志为组长，治理办、综合股为成员的项目建设领导小组和各相关股室业务骨干为主体的技术负责小组，为项目实施提供坚强组织保障。</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Cs/>
          <w:sz w:val="32"/>
          <w:szCs w:val="32"/>
          <w:lang w:val="zh-CN"/>
        </w:rPr>
        <w:t>2</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zh-CN"/>
        </w:rPr>
        <w:t>日常管理措施。主要加强了现场施工技术的服务及监管，</w:t>
      </w:r>
      <w:r>
        <w:rPr>
          <w:rFonts w:hint="eastAsia" w:ascii="仿宋_GB2312" w:hAnsi="仿宋_GB2312" w:eastAsia="仿宋_GB2312" w:cs="仿宋_GB2312"/>
          <w:sz w:val="32"/>
          <w:szCs w:val="32"/>
          <w:lang w:val="zh-CN"/>
        </w:rPr>
        <w:t>实行分片包干开展工作，加强与建设、环保、纪检监察部门衔接沟通，加强项目事前、事中、事后的检查监督。</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制度执行。一是按照住建、环保、综合执法等领域关于工程项目建设的要求标准实施该项目，全程跟踪项目建设过程；二是通过工程质量组、督查督办组等相关组织机构加强项目建设的日常监管；三是按照广元市朝天区人民政府关于专项资金管理办法的相关要求及朝天区综合行政执法局制定了《“三重一大”集体决策制度》、《党组会议制度》等一系列管理制度执行，对符合验收的项目验收一批，资金拨付一批。资金拨付由项目单位填制专项资金专帐，并对财务资料的真实性和完整性进行审核。项目资金严格按照工程进度拨付。财务人员负责资金计划和财务监管，涉及重大事项均通过集体决策。项目实施过程中涉及招投标、政府采购、项目公示等严格按照相关法法规以及单位内部相关管理制度执行，抓好质量安全的同时抓进度，严格按照区委、区政府的要求顺利完工，确保检查验收合格。</w:t>
      </w:r>
    </w:p>
    <w:p>
      <w:pPr>
        <w:pageBreakBefore w:val="0"/>
        <w:kinsoku/>
        <w:wordWrap/>
        <w:overflowPunct/>
        <w:topLinePunct w:val="0"/>
        <w:autoSpaceDE/>
        <w:autoSpaceDN/>
        <w:bidi w:val="0"/>
        <w:adjustRightInd w:val="0"/>
        <w:snapToGrid w:val="0"/>
        <w:spacing w:line="576" w:lineRule="exact"/>
        <w:ind w:firstLine="425" w:firstLineChars="133"/>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总体评价本次项目实施单位项目实施过程中涉及招投标、政府采购、项目公示等严格按照相关法法规以及单位内部相关管理制度执行。</w:t>
      </w:r>
    </w:p>
    <w:p>
      <w:pPr>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Cs/>
          <w:sz w:val="32"/>
          <w:szCs w:val="32"/>
          <w:lang w:val="zh-CN"/>
        </w:rPr>
        <w:t>（二）项目监管情况。</w:t>
      </w:r>
      <w:r>
        <w:rPr>
          <w:rFonts w:hint="eastAsia" w:ascii="仿宋_GB2312" w:hAnsi="仿宋_GB2312" w:eastAsia="仿宋_GB2312" w:cs="仿宋_GB2312"/>
          <w:sz w:val="32"/>
          <w:szCs w:val="32"/>
          <w:lang w:val="zh-CN"/>
        </w:rPr>
        <w:t>本部门为加强项目管理制定了一系列监管措施。一是监管依据：按照《四川省政府采购办法》、广元市朝天区人民政府《关于政府预算专项资金管理办法》等文件要求执行，结合朝天区综合行政执法局制定了《“三重一大”集体决策制度》、《党组会议制度》、《财务综合管理制度》等一系列管理制度，规范项目建设及资金管理；二是成立由纪检监察牵头，综合行政执法局、建设、环保、目标督查办公室部门为成员的检查督查，加强项目建设事前、事中、事后的检查监督，积极推动项目建设；三是加强项目审计跟踪结算工作，对项目建设完成后，通过区审计局及社会审计中介机构对验收项目进行审计认定，项目单位根据项目审计认定的结算总价结合合同约定的付款方式进行资金拨付。本次项目在实施过程中无任何违规情况。</w:t>
      </w:r>
    </w:p>
    <w:p>
      <w:pPr>
        <w:pStyle w:val="3"/>
        <w:pageBreakBefore w:val="0"/>
        <w:widowControl w:val="0"/>
        <w:kinsoku/>
        <w:wordWrap/>
        <w:overflowPunct/>
        <w:topLinePunct w:val="0"/>
        <w:autoSpaceDE/>
        <w:autoSpaceDN/>
        <w:bidi w:val="0"/>
        <w:spacing w:before="0" w:after="0" w:line="576" w:lineRule="exact"/>
        <w:ind w:firstLine="632"/>
        <w:textAlignment w:val="auto"/>
        <w:rPr>
          <w:rFonts w:hint="eastAsia" w:ascii="黑体" w:hAnsi="黑体" w:eastAsia="黑体" w:cs="黑体"/>
          <w:b w:val="0"/>
          <w:bCs/>
          <w:sz w:val="32"/>
          <w:szCs w:val="32"/>
          <w:lang w:val="zh-CN"/>
        </w:rPr>
      </w:pPr>
      <w:bookmarkStart w:id="97" w:name="_Toc13377"/>
      <w:r>
        <w:rPr>
          <w:rFonts w:hint="eastAsia" w:ascii="黑体" w:hAnsi="黑体" w:eastAsia="黑体" w:cs="黑体"/>
          <w:b w:val="0"/>
          <w:bCs/>
          <w:sz w:val="32"/>
          <w:szCs w:val="32"/>
        </w:rPr>
        <w:t>四、本方向专项资金绩效情况</w:t>
      </w:r>
      <w:bookmarkEnd w:id="97"/>
      <w:r>
        <w:rPr>
          <w:rFonts w:hint="eastAsia" w:ascii="黑体" w:hAnsi="黑体" w:eastAsia="黑体" w:cs="黑体"/>
          <w:b w:val="0"/>
          <w:bCs/>
          <w:sz w:val="32"/>
          <w:szCs w:val="32"/>
          <w:lang w:val="zh-CN"/>
        </w:rPr>
        <w:tab/>
      </w:r>
    </w:p>
    <w:p>
      <w:pPr>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（一）完成情况</w:t>
      </w:r>
    </w:p>
    <w:p>
      <w:pPr>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 xml:space="preserve"> 农村厨余垃圾资源化利用设施设备建设项目完成情况：主要是省级补助专项资金方面，一是数量指标上，截止目前，已完成购置240L餐厨垃圾收集桶700个20万元；二是成本指标上，从项目启报、项目实施、项目验收审计结算综合分析项目建设未突破项目预算；三是项目建设时效上，该项目按照项目建设的工期要求，开工率100%，该项目于2022年10月底前建设完成，完工率100%；四是社会效益上，群众满意度90%以上，垃圾处理率达80%。五是省级补助专项资金支付上， 2022年10月，专项资金支付率为100%。本项目通过验收合格后，无任何违规情况，竣工项目已开始正常运转。</w:t>
      </w:r>
    </w:p>
    <w:p>
      <w:pPr>
        <w:pageBreakBefore w:val="0"/>
        <w:numPr>
          <w:ilvl w:val="0"/>
          <w:numId w:val="4"/>
        </w:numPr>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朝天区农村生活垃圾分类设施设施建设项目完成情况：主要是省级补助专项资金方面，一是数量指标上，完成</w:t>
      </w:r>
      <w:r>
        <w:rPr>
          <w:rFonts w:hint="eastAsia" w:ascii="仿宋_GB2312" w:hAnsi="仿宋_GB2312" w:eastAsia="仿宋_GB2312" w:cs="仿宋_GB2312"/>
          <w:sz w:val="32"/>
          <w:szCs w:val="32"/>
        </w:rPr>
        <w:t>朝天城区生活垃圾中转站建设一座；建设生活垃圾分类二级分拣中心12座；购置小型电动垃圾收集车10辆；购置240L垃圾分类桶4860个共802万元，</w:t>
      </w:r>
      <w:r>
        <w:rPr>
          <w:rFonts w:hint="eastAsia" w:ascii="仿宋_GB2312" w:hAnsi="仿宋_GB2312" w:eastAsia="仿宋_GB2312" w:cs="仿宋_GB2312"/>
          <w:sz w:val="32"/>
          <w:szCs w:val="32"/>
          <w:lang w:val="zh-CN"/>
        </w:rPr>
        <w:t>二是成本指标上，从项目启报、项目实施、部分完工项目验收审计结算综合分析项目建设未突破项目预算，项目建设良好；三是项目建设时效上，</w:t>
      </w:r>
      <w:r>
        <w:rPr>
          <w:rFonts w:hint="eastAsia" w:ascii="仿宋_GB2312" w:hAnsi="仿宋_GB2312" w:eastAsia="仿宋_GB2312" w:cs="仿宋_GB2312"/>
          <w:bCs/>
          <w:sz w:val="32"/>
          <w:szCs w:val="32"/>
          <w:lang w:val="zh-CN"/>
        </w:rPr>
        <w:t>整个项目建设完成为2022年12月，</w:t>
      </w:r>
      <w:r>
        <w:rPr>
          <w:rFonts w:hint="eastAsia" w:ascii="仿宋_GB2312" w:hAnsi="仿宋_GB2312" w:eastAsia="仿宋_GB2312" w:cs="仿宋_GB2312"/>
          <w:sz w:val="32"/>
          <w:szCs w:val="32"/>
          <w:lang w:val="zh-CN"/>
        </w:rPr>
        <w:t xml:space="preserve">该项目按照项目建设的工期要求，开工率100%；四是社会效益上，群众满意度90%以上，垃圾处理率达80%；五是省级补助专项资金支付上，截止2022年12月底，省级专项资金支付802万元，支付率为100%。已建成竣工验收合格的项目无任何违规情况，已开始正常运转，后续建设项目正按照规划加班加点建设中。  </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highlight w:val="magenta"/>
        </w:rPr>
      </w:pPr>
      <w:r>
        <w:rPr>
          <w:rFonts w:hint="eastAsia" w:ascii="仿宋_GB2312" w:hAnsi="仿宋_GB2312" w:eastAsia="仿宋_GB2312" w:cs="仿宋_GB2312"/>
          <w:sz w:val="32"/>
          <w:szCs w:val="32"/>
          <w:lang w:val="zh-CN"/>
        </w:rPr>
        <w:t>上述两项目整体上看，</w:t>
      </w:r>
      <w:r>
        <w:rPr>
          <w:rFonts w:hint="eastAsia" w:ascii="仿宋_GB2312" w:hAnsi="仿宋_GB2312" w:eastAsia="仿宋_GB2312" w:cs="仿宋_GB2312"/>
          <w:sz w:val="32"/>
          <w:szCs w:val="32"/>
        </w:rPr>
        <w:t>项目绩效目标完整、绩效目标准确、绩效目标可量化、绩效指标较科学可衡量。</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（二）效益情况</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项目实施为深入贯彻落实省、市关于生态环境保护和城乡生活垃圾治理相关决策部署，根据国家发展改革委、住房城乡建设部、生态环境部联合印发的《城镇生活垃圾分类和处理设施补短板强弱项实施方案》（发改环资 (2020 J 1257 号）和四川省人民政府办公厅《关于印发四川省城镇生活污水和城乡生活垃圾处理设施建设三年推进总体方案 (2021-2023) 年的通知》（川办发(2020) 86号）要求，加快推进垃圾分类投放、分类收集、分类运输、分类处理设施建设。</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坚持以习近平新时代中国特色社会主义思想为指导，深入贯彻落实习近平生态文明思想以及党的十九大和十九届二中、三中、四中、五中全会精神，全面贯彻落实省委十一届六次、七次、八次，市委七届十一次、十二次、十三次和区委七届十一次、十 二次、十三次全会精神，牢固树立新发展理念，坚决打好污染防治攻坚战，按照推进长江经济带和主动融入成渝地区双城经济圈建设要求，建设完善城乡生活垃圾收运处理设施，深入推进城乡生活垃圾分类，全面实现减量化收集、无害化处理、资源化利用，奋力建设生态文明繁荣和谐现代化新朝天。</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项目实施不仅可以提高资源的利用率，提高经济效益，也可减少对环境的污染和后续处理过程中的能源消耗。因此全面推行生活垃圾分类处理，既是保护环境、加强生态文明建设的重要举措，也是实现绿色发展、循环发展、低碳发展的重要途径。</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综上所述，本项目具有一定社会、生态、可持续效益。服务对象满意度较高。</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黑体" w:hAnsi="黑体" w:eastAsia="黑体" w:cs="黑体"/>
          <w:sz w:val="32"/>
          <w:szCs w:val="32"/>
        </w:rPr>
      </w:pPr>
      <w:r>
        <w:rPr>
          <w:rFonts w:hint="eastAsia" w:ascii="黑体" w:hAnsi="黑体" w:eastAsia="黑体" w:cs="黑体"/>
          <w:sz w:val="32"/>
          <w:szCs w:val="32"/>
        </w:rPr>
        <w:t>五、评价结论及建议</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（一）评价结论</w:t>
      </w:r>
    </w:p>
    <w:p>
      <w:pPr>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bdr w:val="single" w:color="auto" w:sz="4" w:space="0"/>
          <w:lang w:val="zh-CN"/>
        </w:rPr>
      </w:pPr>
      <w:r>
        <w:rPr>
          <w:rFonts w:hint="eastAsia" w:ascii="仿宋_GB2312" w:hAnsi="仿宋_GB2312" w:eastAsia="仿宋_GB2312" w:cs="仿宋_GB2312"/>
          <w:sz w:val="32"/>
          <w:szCs w:val="32"/>
          <w:lang w:val="zh-CN"/>
        </w:rPr>
        <w:t>本项目完全按照实施计划进行，资金支付进度较好，无任何违规情况。</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（二）存在的问题</w:t>
      </w:r>
    </w:p>
    <w:p>
      <w:pPr>
        <w:pageBreakBefore w:val="0"/>
        <w:kinsoku/>
        <w:wordWrap/>
        <w:overflowPunct/>
        <w:topLinePunct w:val="0"/>
        <w:autoSpaceDE/>
        <w:autoSpaceDN/>
        <w:bidi w:val="0"/>
        <w:adjustRightInd w:val="0"/>
        <w:snapToGrid w:val="0"/>
        <w:spacing w:line="576" w:lineRule="exac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由于朝天区农村生活垃圾分类设施设施建设项目，建设涉及面大，建设期较长，资金需求较大，地方财政资金投入保障难度大。</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（三）相关建议</w:t>
      </w:r>
    </w:p>
    <w:p>
      <w:pPr>
        <w:pageBreakBefore w:val="0"/>
        <w:kinsoku/>
        <w:wordWrap/>
        <w:overflowPunct/>
        <w:topLinePunct w:val="0"/>
        <w:autoSpaceDE/>
        <w:autoSpaceDN/>
        <w:bidi w:val="0"/>
        <w:adjustRightInd w:val="0"/>
        <w:snapToGrid w:val="0"/>
        <w:spacing w:line="576" w:lineRule="exact"/>
        <w:ind w:firstLine="640" w:firstLineChars="200"/>
        <w:textAlignment w:val="auto"/>
        <w:rPr>
          <w:rStyle w:val="31"/>
          <w:rFonts w:ascii="黑体" w:hAnsi="黑体" w:eastAsia="黑体"/>
          <w:b w:val="0"/>
          <w:color w:val="auto"/>
          <w:highlight w:val="none"/>
        </w:rPr>
      </w:pPr>
      <w:r>
        <w:rPr>
          <w:rFonts w:hint="eastAsia" w:ascii="仿宋_GB2312" w:hAnsi="仿宋_GB2312" w:eastAsia="仿宋_GB2312" w:cs="仿宋_GB2312"/>
          <w:sz w:val="32"/>
          <w:szCs w:val="32"/>
          <w:lang w:val="zh-CN"/>
        </w:rPr>
        <w:t>一是加快推进朝天区农村生活垃圾分类设施设施建设项目后续建设进度，加强资金支付进度；二是加大逐年增加省级专项争取力度。</w:t>
      </w:r>
      <w:r>
        <w:rPr>
          <w:rFonts w:hint="eastAsia" w:ascii="仿宋_GB2312" w:hAnsi="仿宋_GB2312" w:eastAsia="仿宋_GB2312" w:cs="仿宋_GB2312"/>
          <w:sz w:val="32"/>
          <w:szCs w:val="32"/>
          <w:lang w:val="zh-CN"/>
        </w:rPr>
        <w:tab/>
      </w:r>
    </w:p>
    <w:p>
      <w:pPr>
        <w:pageBreakBefore w:val="0"/>
        <w:kinsoku/>
        <w:wordWrap/>
        <w:overflowPunct/>
        <w:topLinePunct w:val="0"/>
        <w:autoSpaceDE/>
        <w:autoSpaceDN/>
        <w:bidi w:val="0"/>
        <w:spacing w:line="576" w:lineRule="exact"/>
        <w:jc w:val="center"/>
        <w:textAlignment w:val="auto"/>
        <w:outlineLvl w:val="9"/>
        <w:rPr>
          <w:rFonts w:hint="eastAsia" w:ascii="黑体" w:hAnsi="黑体" w:eastAsia="黑体"/>
          <w:color w:val="auto"/>
          <w:sz w:val="44"/>
          <w:szCs w:val="44"/>
          <w:highlight w:val="none"/>
        </w:rPr>
      </w:pPr>
      <w:bookmarkStart w:id="98" w:name="_Toc15396618"/>
    </w:p>
    <w:p>
      <w:pPr>
        <w:pStyle w:val="16"/>
        <w:spacing w:line="576" w:lineRule="exact"/>
        <w:ind w:firstLine="1540" w:firstLineChars="350"/>
        <w:jc w:val="left"/>
        <w:textAlignment w:val="baseline"/>
      </w:pPr>
      <w:bookmarkStart w:id="99" w:name="_Toc11538"/>
      <w:r>
        <w:rPr>
          <w:rFonts w:hint="eastAsia"/>
        </w:rPr>
        <w:t>广元市朝天区综合行政执法局</w:t>
      </w:r>
      <w:bookmarkEnd w:id="99"/>
    </w:p>
    <w:p>
      <w:pPr>
        <w:pStyle w:val="16"/>
        <w:spacing w:line="576" w:lineRule="exact"/>
        <w:textAlignment w:val="baseline"/>
      </w:pPr>
      <w:bookmarkStart w:id="100" w:name="_Toc18624"/>
      <w:r>
        <w:rPr>
          <w:rFonts w:hint="eastAsia"/>
        </w:rPr>
        <w:t>关于城区除“四害”项目绩效自评报告</w:t>
      </w:r>
      <w:bookmarkEnd w:id="100"/>
    </w:p>
    <w:p>
      <w:pPr>
        <w:pStyle w:val="3"/>
        <w:keepNext/>
        <w:keepLines/>
        <w:pageBreakBefore w:val="0"/>
        <w:widowControl w:val="0"/>
        <w:kinsoku/>
        <w:wordWrap/>
        <w:overflowPunct/>
        <w:topLinePunct w:val="0"/>
        <w:autoSpaceDE/>
        <w:autoSpaceDN/>
        <w:bidi w:val="0"/>
        <w:adjustRightInd/>
        <w:snapToGrid/>
        <w:spacing w:before="0" w:after="0" w:line="576" w:lineRule="exact"/>
        <w:ind w:firstLine="632"/>
        <w:textAlignment w:val="baseline"/>
        <w:outlineLvl w:val="9"/>
        <w:rPr>
          <w:rFonts w:hint="eastAsia" w:ascii="仿宋_GB2312" w:hAnsi="仿宋_GB2312" w:eastAsia="仿宋_GB2312" w:cs="仿宋_GB2312"/>
          <w:sz w:val="32"/>
          <w:szCs w:val="32"/>
          <w:lang w:eastAsia="zh-TW"/>
        </w:rPr>
      </w:pPr>
    </w:p>
    <w:p>
      <w:pPr>
        <w:pStyle w:val="3"/>
        <w:keepNext/>
        <w:keepLines/>
        <w:pageBreakBefore w:val="0"/>
        <w:widowControl w:val="0"/>
        <w:kinsoku/>
        <w:wordWrap/>
        <w:overflowPunct/>
        <w:topLinePunct w:val="0"/>
        <w:autoSpaceDE/>
        <w:autoSpaceDN/>
        <w:bidi w:val="0"/>
        <w:adjustRightInd/>
        <w:snapToGrid/>
        <w:spacing w:before="0" w:after="0" w:line="576" w:lineRule="exact"/>
        <w:ind w:firstLine="632"/>
        <w:textAlignment w:val="baseline"/>
        <w:rPr>
          <w:rFonts w:hint="eastAsia" w:ascii="黑体" w:hAnsi="黑体" w:eastAsia="黑体" w:cs="黑体"/>
          <w:b w:val="0"/>
          <w:bCs w:val="0"/>
          <w:sz w:val="32"/>
          <w:szCs w:val="32"/>
        </w:rPr>
      </w:pPr>
      <w:bookmarkStart w:id="101" w:name="_Toc21441"/>
      <w:r>
        <w:rPr>
          <w:rFonts w:hint="eastAsia" w:ascii="黑体" w:hAnsi="黑体" w:eastAsia="黑体" w:cs="黑体"/>
          <w:sz w:val="32"/>
          <w:szCs w:val="32"/>
          <w:lang w:eastAsia="zh-TW"/>
        </w:rPr>
        <w:t>一</w:t>
      </w:r>
      <w:r>
        <w:rPr>
          <w:rFonts w:hint="eastAsia" w:ascii="黑体" w:hAnsi="黑体" w:eastAsia="黑体" w:cs="黑体"/>
          <w:b w:val="0"/>
          <w:bCs w:val="0"/>
          <w:sz w:val="32"/>
          <w:szCs w:val="32"/>
          <w:lang w:eastAsia="zh-TW"/>
        </w:rPr>
        <w:t>、</w:t>
      </w:r>
      <w:r>
        <w:rPr>
          <w:rFonts w:hint="eastAsia" w:ascii="黑体" w:hAnsi="黑体" w:eastAsia="黑体" w:cs="黑体"/>
          <w:b w:val="0"/>
          <w:bCs w:val="0"/>
          <w:sz w:val="32"/>
          <w:szCs w:val="32"/>
        </w:rPr>
        <w:t>基本情况</w:t>
      </w:r>
      <w:bookmarkEnd w:id="101"/>
    </w:p>
    <w:p>
      <w:pPr>
        <w:spacing w:line="576" w:lineRule="exact"/>
        <w:ind w:firstLine="640" w:firstLineChars="200"/>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（一）项目概况</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项目名称：城区除“四害”项目</w:t>
      </w:r>
    </w:p>
    <w:p>
      <w:pPr>
        <w:spacing w:line="576"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项目背景：</w:t>
      </w:r>
      <w:r>
        <w:rPr>
          <w:rFonts w:hint="eastAsia" w:ascii="仿宋_GB2312" w:hAnsi="仿宋_GB2312" w:eastAsia="仿宋_GB2312" w:cs="仿宋_GB2312"/>
          <w:color w:val="000000"/>
          <w:sz w:val="32"/>
          <w:szCs w:val="32"/>
        </w:rPr>
        <w:t>为深入贯彻中央、省、市、关于爱国卫生工作决策部署，我区于2017年成功创建成为国家级卫生城市。按照国家级卫生城市的相关要求，历年来，我区每年均开展城区除“四害”消杀灭工作，有力的净化了城区环境，减少疾病的传播，改善了人居环境。</w:t>
      </w:r>
    </w:p>
    <w:p>
      <w:pPr>
        <w:spacing w:line="576"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主要内容：</w:t>
      </w:r>
      <w:r>
        <w:rPr>
          <w:rFonts w:hint="eastAsia" w:ascii="仿宋_GB2312" w:hAnsi="仿宋_GB2312" w:eastAsia="仿宋_GB2312" w:cs="仿宋_GB2312"/>
          <w:color w:val="000000"/>
          <w:sz w:val="32"/>
          <w:szCs w:val="32"/>
        </w:rPr>
        <w:t>主要是购置消杀专用药品和消杀劳务费用。</w:t>
      </w:r>
    </w:p>
    <w:p>
      <w:pPr>
        <w:spacing w:line="576" w:lineRule="exact"/>
        <w:ind w:firstLine="640" w:firstLineChars="200"/>
        <w:textAlignment w:val="baseline"/>
        <w:rPr>
          <w:rFonts w:hint="eastAsia" w:ascii="仿宋_GB2312" w:hAnsi="仿宋_GB2312" w:eastAsia="仿宋_GB2312" w:cs="仿宋_GB2312"/>
          <w:sz w:val="32"/>
          <w:szCs w:val="32"/>
          <w:highlight w:val="red"/>
        </w:rPr>
      </w:pPr>
      <w:r>
        <w:rPr>
          <w:rFonts w:hint="eastAsia" w:ascii="仿宋_GB2312" w:hAnsi="仿宋_GB2312" w:eastAsia="仿宋_GB2312" w:cs="仿宋_GB2312"/>
          <w:sz w:val="32"/>
          <w:szCs w:val="32"/>
        </w:rPr>
        <w:t>投资规模：区财政本级专项预算资金10万元。资金性质为区本级专项预算</w:t>
      </w:r>
    </w:p>
    <w:p>
      <w:pPr>
        <w:snapToGrid w:val="0"/>
        <w:spacing w:line="600" w:lineRule="exact"/>
        <w:ind w:firstLine="720"/>
        <w:textAlignment w:val="baseline"/>
        <w:rPr>
          <w:rFonts w:hint="eastAsia" w:ascii="仿宋_GB2312" w:hAnsi="仿宋_GB2312" w:eastAsia="仿宋_GB2312" w:cs="仿宋_GB2312"/>
          <w:sz w:val="32"/>
          <w:szCs w:val="32"/>
          <w:highlight w:val="red"/>
        </w:rPr>
      </w:pPr>
      <w:r>
        <w:rPr>
          <w:rFonts w:hint="eastAsia" w:ascii="仿宋_GB2312" w:hAnsi="仿宋_GB2312" w:eastAsia="仿宋_GB2312" w:cs="仿宋_GB2312"/>
          <w:sz w:val="32"/>
          <w:szCs w:val="32"/>
        </w:rPr>
        <w:t>运行周期：202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w:t>
      </w:r>
    </w:p>
    <w:p>
      <w:pPr>
        <w:spacing w:line="576" w:lineRule="exact"/>
        <w:ind w:firstLine="640" w:firstLineChars="200"/>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TW"/>
        </w:rPr>
        <w:t>（二）</w:t>
      </w:r>
      <w:r>
        <w:rPr>
          <w:rFonts w:hint="eastAsia" w:ascii="楷体_GB2312" w:hAnsi="楷体_GB2312" w:eastAsia="楷体_GB2312" w:cs="楷体_GB2312"/>
          <w:sz w:val="32"/>
          <w:szCs w:val="32"/>
        </w:rPr>
        <w:t>项目绩效目标</w:t>
      </w:r>
    </w:p>
    <w:p>
      <w:pPr>
        <w:snapToGrid w:val="0"/>
        <w:spacing w:line="576" w:lineRule="exact"/>
        <w:ind w:firstLine="72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计划总投资：</w:t>
      </w:r>
      <w:r>
        <w:rPr>
          <w:rFonts w:hint="eastAsia" w:ascii="仿宋_GB2312" w:hAnsi="仿宋_GB2312" w:eastAsia="仿宋_GB2312" w:cs="仿宋_GB2312"/>
          <w:sz w:val="32"/>
          <w:szCs w:val="32"/>
        </w:rPr>
        <w:t>10万元。</w:t>
      </w:r>
    </w:p>
    <w:p>
      <w:pPr>
        <w:snapToGrid w:val="0"/>
        <w:spacing w:line="576" w:lineRule="exact"/>
        <w:ind w:firstLine="72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年1-</w:t>
      </w:r>
      <w:r>
        <w:rPr>
          <w:rFonts w:hint="eastAsia" w:ascii="仿宋_GB2312" w:hAnsi="仿宋_GB2312" w:eastAsia="仿宋_GB2312" w:cs="仿宋_GB2312"/>
          <w:sz w:val="32"/>
          <w:szCs w:val="32"/>
        </w:rPr>
        <w:t>12月</w:t>
      </w:r>
      <w:r>
        <w:rPr>
          <w:rFonts w:hint="eastAsia" w:ascii="仿宋_GB2312" w:hAnsi="仿宋_GB2312" w:eastAsia="仿宋_GB2312" w:cs="仿宋_GB2312"/>
          <w:sz w:val="32"/>
          <w:szCs w:val="32"/>
          <w:lang w:val="zh-CN"/>
        </w:rPr>
        <w:t>计划投资</w:t>
      </w:r>
      <w:r>
        <w:rPr>
          <w:rFonts w:hint="eastAsia" w:ascii="仿宋_GB2312" w:hAnsi="仿宋_GB2312" w:eastAsia="仿宋_GB2312" w:cs="仿宋_GB2312"/>
          <w:sz w:val="32"/>
          <w:szCs w:val="32"/>
        </w:rPr>
        <w:t>:10万元。一是用于</w:t>
      </w:r>
      <w:r>
        <w:rPr>
          <w:rFonts w:hint="eastAsia" w:ascii="仿宋_GB2312" w:hAnsi="仿宋_GB2312" w:eastAsia="仿宋_GB2312" w:cs="仿宋_GB2312"/>
          <w:color w:val="000000"/>
          <w:sz w:val="32"/>
          <w:szCs w:val="32"/>
        </w:rPr>
        <w:t>购置除“四害”消杀药品</w:t>
      </w:r>
      <w:r>
        <w:rPr>
          <w:rFonts w:hint="eastAsia" w:ascii="仿宋_GB2312" w:hAnsi="仿宋_GB2312" w:eastAsia="仿宋_GB2312" w:cs="仿宋_GB2312"/>
          <w:sz w:val="32"/>
          <w:szCs w:val="32"/>
        </w:rPr>
        <w:t>费用；二是消杀劳务费用。资金支付按照合同约定考核确认后支付。</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32"/>
        <w:textAlignment w:val="baseline"/>
        <w:rPr>
          <w:rFonts w:hint="eastAsia" w:ascii="仿宋_GB2312" w:hAnsi="仿宋_GB2312" w:eastAsia="仿宋_GB2312" w:cs="仿宋_GB2312"/>
          <w:sz w:val="32"/>
          <w:szCs w:val="32"/>
        </w:rPr>
      </w:pPr>
      <w:bookmarkStart w:id="102" w:name="_Toc1867"/>
      <w:r>
        <w:rPr>
          <w:rFonts w:hint="eastAsia" w:ascii="仿宋_GB2312" w:hAnsi="仿宋_GB2312" w:eastAsia="仿宋_GB2312" w:cs="仿宋_GB2312"/>
          <w:sz w:val="32"/>
          <w:szCs w:val="32"/>
        </w:rPr>
        <w:t>二、项目实施及管理情况</w:t>
      </w:r>
      <w:bookmarkEnd w:id="102"/>
    </w:p>
    <w:p>
      <w:pPr>
        <w:spacing w:line="576" w:lineRule="exact"/>
        <w:ind w:firstLine="640" w:firstLineChars="200"/>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（一）制度执行情况</w:t>
      </w:r>
    </w:p>
    <w:p>
      <w:pPr>
        <w:spacing w:line="576" w:lineRule="exact"/>
        <w:ind w:firstLine="640" w:firstLineChars="200"/>
        <w:textAlignment w:val="baseline"/>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1.项目组织架构及实施流程。</w:t>
      </w:r>
    </w:p>
    <w:p>
      <w:pPr>
        <w:ind w:firstLine="640" w:firstLineChars="200"/>
        <w:textAlignment w:val="baseline"/>
        <w:rPr>
          <w:rFonts w:hint="eastAsia" w:ascii="仿宋_GB2312" w:hAnsi="仿宋_GB2312" w:eastAsia="仿宋_GB2312" w:cs="仿宋_GB2312"/>
          <w:sz w:val="32"/>
          <w:szCs w:val="32"/>
          <w:highlight w:val="red"/>
        </w:rPr>
      </w:pPr>
      <w:r>
        <w:rPr>
          <w:rFonts w:hint="eastAsia" w:ascii="仿宋_GB2312" w:hAnsi="仿宋_GB2312" w:eastAsia="仿宋_GB2312" w:cs="仿宋_GB2312"/>
          <w:sz w:val="32"/>
          <w:szCs w:val="32"/>
        </w:rPr>
        <w:t>我局成立了以</w:t>
      </w:r>
      <w:r>
        <w:rPr>
          <w:rFonts w:hint="eastAsia" w:ascii="仿宋_GB2312" w:hAnsi="仿宋_GB2312" w:eastAsia="仿宋_GB2312" w:cs="仿宋_GB2312"/>
          <w:sz w:val="32"/>
          <w:szCs w:val="32"/>
          <w:lang w:val="en-US" w:eastAsia="zh-CN"/>
        </w:rPr>
        <w:t>张明光</w:t>
      </w:r>
      <w:r>
        <w:rPr>
          <w:rFonts w:hint="eastAsia" w:ascii="仿宋_GB2312" w:hAnsi="仿宋_GB2312" w:eastAsia="仿宋_GB2312" w:cs="仿宋_GB2312"/>
          <w:sz w:val="32"/>
          <w:szCs w:val="32"/>
        </w:rPr>
        <w:t>同志为组长，爱卫办、计财装备室等部门为成员的项目考核领导小组。爱卫办全面负责该项工作的统筹协调和督促，责任落实。</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2.项目管理情况。</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项目建设按照</w:t>
      </w:r>
      <w:r>
        <w:rPr>
          <w:rFonts w:hint="eastAsia" w:ascii="仿宋_GB2312" w:hAnsi="仿宋_GB2312" w:eastAsia="仿宋_GB2312" w:cs="仿宋_GB2312"/>
          <w:color w:val="000000"/>
          <w:sz w:val="32"/>
          <w:szCs w:val="32"/>
        </w:rPr>
        <w:t>国家级卫生城市标准一要求</w:t>
      </w:r>
      <w:r>
        <w:rPr>
          <w:rFonts w:hint="eastAsia" w:ascii="仿宋_GB2312" w:hAnsi="仿宋_GB2312" w:eastAsia="仿宋_GB2312" w:cs="仿宋_GB2312"/>
          <w:sz w:val="32"/>
          <w:szCs w:val="32"/>
        </w:rPr>
        <w:t>执行，按照考核办法进行逐月考核和合同约定的标准验收药品货物。爱卫办对消杀工作进行日常考核，对发生的费用支出实行专项资金管理的模式进行管理。资金及时拨付给中标企业，确保专款专用。凡转移、挪用、拖欠、挤占、贪污和弄虚作假的，必须如数追回，视情节追究有关单位和个人的责任。</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3.项目监管情况。</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根据消杀工作进度，及时拨付已到位的资金，确保资金按要求尽快用到消杀工作中，尽早发挥效益；二是深入城区进行监管，及时预警，把问题处理在萌芽状态。</w:t>
      </w:r>
    </w:p>
    <w:p>
      <w:pPr>
        <w:spacing w:line="576" w:lineRule="exact"/>
        <w:ind w:firstLine="640" w:firstLineChars="200"/>
        <w:textAlignment w:val="baseline"/>
        <w:rPr>
          <w:rFonts w:hint="eastAsia" w:ascii="楷体_GB2312" w:hAnsi="楷体_GB2312" w:eastAsia="楷体_GB2312" w:cs="楷体_GB2312"/>
          <w:sz w:val="32"/>
          <w:szCs w:val="32"/>
          <w:lang w:eastAsia="zh-TW"/>
        </w:rPr>
      </w:pPr>
      <w:r>
        <w:rPr>
          <w:rFonts w:hint="eastAsia" w:ascii="楷体_GB2312" w:hAnsi="楷体_GB2312" w:eastAsia="楷体_GB2312" w:cs="楷体_GB2312"/>
          <w:sz w:val="32"/>
          <w:szCs w:val="32"/>
        </w:rPr>
        <w:t>（二）项目实施情况</w:t>
      </w:r>
    </w:p>
    <w:p>
      <w:pPr>
        <w:spacing w:line="576" w:lineRule="exact"/>
        <w:ind w:firstLine="640" w:firstLineChars="200"/>
        <w:textAlignment w:val="baseline"/>
        <w:rPr>
          <w:rFonts w:hint="eastAsia" w:ascii="仿宋_GB2312" w:hAnsi="仿宋_GB2312" w:eastAsia="仿宋_GB2312" w:cs="仿宋_GB2312"/>
          <w:sz w:val="32"/>
          <w:szCs w:val="32"/>
          <w:highlight w:val="red"/>
          <w:lang w:val="zh-CN"/>
        </w:rPr>
      </w:pPr>
      <w:r>
        <w:rPr>
          <w:rFonts w:hint="eastAsia" w:ascii="仿宋_GB2312" w:hAnsi="仿宋_GB2312" w:eastAsia="仿宋_GB2312" w:cs="仿宋_GB2312"/>
          <w:sz w:val="32"/>
          <w:szCs w:val="32"/>
          <w:lang w:val="zh-CN"/>
        </w:rPr>
        <w:t>本项目由业务部门</w:t>
      </w:r>
      <w:r>
        <w:rPr>
          <w:rFonts w:hint="eastAsia" w:ascii="仿宋_GB2312" w:hAnsi="仿宋_GB2312" w:eastAsia="仿宋_GB2312" w:cs="仿宋_GB2312"/>
          <w:sz w:val="32"/>
          <w:szCs w:val="32"/>
        </w:rPr>
        <w:t>按照</w:t>
      </w:r>
      <w:r>
        <w:rPr>
          <w:rFonts w:hint="eastAsia" w:ascii="仿宋_GB2312" w:hAnsi="仿宋_GB2312" w:eastAsia="仿宋_GB2312" w:cs="仿宋_GB2312"/>
          <w:color w:val="000000"/>
          <w:sz w:val="32"/>
          <w:szCs w:val="32"/>
        </w:rPr>
        <w:t>国家级卫生城市标准一要求</w:t>
      </w:r>
      <w:r>
        <w:rPr>
          <w:rFonts w:hint="eastAsia" w:ascii="仿宋_GB2312" w:hAnsi="仿宋_GB2312" w:eastAsia="仿宋_GB2312" w:cs="仿宋_GB2312"/>
          <w:sz w:val="32"/>
          <w:szCs w:val="32"/>
        </w:rPr>
        <w:t>执行</w:t>
      </w:r>
      <w:r>
        <w:rPr>
          <w:rFonts w:hint="eastAsia" w:ascii="仿宋_GB2312" w:hAnsi="仿宋_GB2312" w:eastAsia="仿宋_GB2312" w:cs="仿宋_GB2312"/>
          <w:sz w:val="32"/>
          <w:szCs w:val="32"/>
          <w:lang w:val="zh-CN"/>
        </w:rPr>
        <w:t>，积极督查组织实施，按照“三重一大”的制度执行，经局党组召开专题会议研究，决定我局成立了以分管副局长为组长，爱卫办及计财装备等部门为成员的考核专班，爱卫办负责项目实施、考核，财务部门负责资金计划拨付和财务监管，涉及重大事项均通过局党组集体研究决定。</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该项目申报内容与实际规划建设项目相符，目标合理可行。</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32"/>
        <w:textAlignment w:val="baseline"/>
        <w:rPr>
          <w:rFonts w:hint="eastAsia" w:ascii="仿宋_GB2312" w:hAnsi="仿宋_GB2312" w:eastAsia="仿宋_GB2312" w:cs="仿宋_GB2312"/>
          <w:sz w:val="32"/>
          <w:szCs w:val="32"/>
        </w:rPr>
      </w:pPr>
      <w:bookmarkStart w:id="103" w:name="_Toc25337"/>
      <w:r>
        <w:rPr>
          <w:rFonts w:hint="eastAsia" w:ascii="仿宋_GB2312" w:hAnsi="仿宋_GB2312" w:eastAsia="仿宋_GB2312" w:cs="仿宋_GB2312"/>
          <w:sz w:val="32"/>
          <w:szCs w:val="32"/>
        </w:rPr>
        <w:t>三、专项资金使用情况</w:t>
      </w:r>
      <w:bookmarkEnd w:id="103"/>
    </w:p>
    <w:p>
      <w:pPr>
        <w:spacing w:line="576" w:lineRule="exact"/>
        <w:ind w:firstLine="640" w:firstLineChars="200"/>
        <w:textAlignment w:val="baseline"/>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eastAsia="zh-TW"/>
        </w:rPr>
        <w:t>（一）</w:t>
      </w:r>
      <w:r>
        <w:rPr>
          <w:rFonts w:hint="eastAsia" w:ascii="楷体_GB2312" w:hAnsi="楷体_GB2312" w:eastAsia="楷体_GB2312" w:cs="楷体_GB2312"/>
          <w:sz w:val="32"/>
          <w:szCs w:val="32"/>
          <w:lang w:val="zh-CN"/>
        </w:rPr>
        <w:t>项目财务管理情况</w:t>
      </w:r>
    </w:p>
    <w:p>
      <w:pPr>
        <w:spacing w:line="576" w:lineRule="exact"/>
        <w:ind w:firstLine="640" w:firstLineChars="200"/>
        <w:textAlignment w:val="baseline"/>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我局财务管理制度建立健全，机构设置明确合理，会计核算及账务处理及时准确。项目资金按照国家财经法规和财务管理制度及有关专项资金管理办法规定专款专用，符合采购条件的一律按照规定进行采购，资金拨付具有完整的审批程序和手续，资金使用符合项目预算批复，不存在截留、挤占、挪用、虚列支出等情况。</w:t>
      </w:r>
    </w:p>
    <w:p>
      <w:pPr>
        <w:spacing w:line="576" w:lineRule="exact"/>
        <w:ind w:firstLine="640" w:firstLineChars="200"/>
        <w:textAlignment w:val="baseline"/>
        <w:rPr>
          <w:rFonts w:hint="eastAsia" w:ascii="楷体_GB2312" w:hAnsi="楷体_GB2312" w:eastAsia="楷体_GB2312" w:cs="楷体_GB2312"/>
          <w:sz w:val="32"/>
          <w:szCs w:val="32"/>
          <w:lang w:eastAsia="zh-TW"/>
        </w:rPr>
      </w:pPr>
      <w:r>
        <w:rPr>
          <w:rFonts w:hint="eastAsia" w:ascii="楷体_GB2312" w:hAnsi="楷体_GB2312" w:eastAsia="楷体_GB2312" w:cs="楷体_GB2312"/>
          <w:sz w:val="32"/>
          <w:szCs w:val="32"/>
          <w:lang w:eastAsia="zh-TW"/>
        </w:rPr>
        <w:t>（二）专项资金的到位情况</w:t>
      </w:r>
    </w:p>
    <w:p>
      <w:pPr>
        <w:spacing w:line="576" w:lineRule="exact"/>
        <w:ind w:firstLine="640" w:firstLineChars="200"/>
        <w:textAlignment w:val="baseline"/>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资金计划：</w:t>
      </w:r>
      <w:r>
        <w:rPr>
          <w:rFonts w:hint="eastAsia" w:ascii="仿宋_GB2312" w:hAnsi="仿宋_GB2312" w:eastAsia="仿宋_GB2312" w:cs="仿宋_GB2312"/>
          <w:sz w:val="32"/>
          <w:szCs w:val="32"/>
        </w:rPr>
        <w:t>按照</w:t>
      </w:r>
      <w:r>
        <w:rPr>
          <w:rFonts w:hint="eastAsia" w:ascii="仿宋_GB2312" w:hAnsi="仿宋_GB2312" w:eastAsia="仿宋_GB2312" w:cs="仿宋_GB2312"/>
          <w:color w:val="000000"/>
          <w:sz w:val="32"/>
          <w:szCs w:val="32"/>
        </w:rPr>
        <w:t>国家级卫生城市标准一要求</w:t>
      </w:r>
      <w:r>
        <w:rPr>
          <w:rFonts w:hint="eastAsia" w:ascii="仿宋_GB2312" w:hAnsi="仿宋_GB2312" w:eastAsia="仿宋_GB2312" w:cs="仿宋_GB2312"/>
          <w:sz w:val="32"/>
          <w:szCs w:val="32"/>
          <w:lang w:val="zh-CN"/>
        </w:rPr>
        <w:t>，年初区财政下达我局</w:t>
      </w:r>
      <w:r>
        <w:rPr>
          <w:rFonts w:hint="eastAsia" w:ascii="仿宋_GB2312" w:hAnsi="仿宋_GB2312" w:eastAsia="仿宋_GB2312" w:cs="仿宋_GB2312"/>
          <w:sz w:val="32"/>
          <w:szCs w:val="32"/>
        </w:rPr>
        <w:t>城区除“四害”项目</w:t>
      </w:r>
      <w:r>
        <w:rPr>
          <w:rFonts w:hint="eastAsia" w:ascii="仿宋_GB2312" w:hAnsi="仿宋_GB2312" w:eastAsia="仿宋_GB2312" w:cs="仿宋_GB2312"/>
          <w:sz w:val="32"/>
          <w:szCs w:val="32"/>
          <w:lang w:val="zh-CN"/>
        </w:rPr>
        <w:t>事项资金3万元，属于本级财政专项资金。</w:t>
      </w:r>
    </w:p>
    <w:p>
      <w:pPr>
        <w:spacing w:line="576" w:lineRule="exact"/>
        <w:ind w:firstLine="640" w:firstLineChars="200"/>
        <w:textAlignment w:val="baseline"/>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资金到位：该项资金于</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年1月纳入年初预算</w:t>
      </w:r>
      <w:r>
        <w:rPr>
          <w:rFonts w:hint="eastAsia" w:ascii="仿宋_GB2312" w:hAnsi="仿宋_GB2312" w:eastAsia="仿宋_GB2312" w:cs="仿宋_GB2312"/>
          <w:sz w:val="32"/>
          <w:szCs w:val="32"/>
          <w:lang w:val="zh-CN"/>
        </w:rPr>
        <w:t>。</w:t>
      </w:r>
    </w:p>
    <w:p>
      <w:pPr>
        <w:spacing w:line="576" w:lineRule="exact"/>
        <w:ind w:firstLine="640" w:firstLineChars="200"/>
        <w:textAlignment w:val="baseline"/>
        <w:rPr>
          <w:rFonts w:hint="eastAsia" w:ascii="楷体_GB2312" w:hAnsi="楷体_GB2312" w:eastAsia="楷体_GB2312" w:cs="楷体_GB2312"/>
          <w:sz w:val="32"/>
          <w:szCs w:val="32"/>
          <w:lang w:eastAsia="zh-TW"/>
        </w:rPr>
      </w:pPr>
      <w:r>
        <w:rPr>
          <w:rFonts w:hint="eastAsia" w:ascii="楷体_GB2312" w:hAnsi="楷体_GB2312" w:eastAsia="楷体_GB2312" w:cs="楷体_GB2312"/>
          <w:sz w:val="32"/>
          <w:szCs w:val="32"/>
          <w:lang w:eastAsia="zh-TW"/>
        </w:rPr>
        <w:t>（三）专项资金的使用情况</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截至当前时点，202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年12月，城区除“四害”项目</w:t>
      </w:r>
      <w:r>
        <w:rPr>
          <w:rFonts w:hint="eastAsia" w:ascii="仿宋_GB2312" w:hAnsi="仿宋_GB2312" w:eastAsia="仿宋_GB2312" w:cs="仿宋_GB2312"/>
          <w:color w:val="000000"/>
          <w:sz w:val="32"/>
          <w:szCs w:val="32"/>
        </w:rPr>
        <w:t>费用全部按照规定支付到帮扶项目或工作队，无拖欠情况。</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32"/>
        <w:textAlignment w:val="baseline"/>
        <w:rPr>
          <w:rFonts w:hint="eastAsia" w:ascii="仿宋_GB2312" w:hAnsi="仿宋_GB2312" w:eastAsia="仿宋_GB2312" w:cs="仿宋_GB2312"/>
          <w:sz w:val="32"/>
          <w:szCs w:val="32"/>
        </w:rPr>
      </w:pPr>
      <w:bookmarkStart w:id="104" w:name="_Toc20796"/>
      <w:r>
        <w:rPr>
          <w:rFonts w:hint="eastAsia" w:ascii="仿宋_GB2312" w:hAnsi="仿宋_GB2312" w:eastAsia="仿宋_GB2312" w:cs="仿宋_GB2312"/>
          <w:sz w:val="32"/>
          <w:szCs w:val="32"/>
        </w:rPr>
        <w:t>四、项目绩效情况</w:t>
      </w:r>
      <w:bookmarkEnd w:id="104"/>
      <w:r>
        <w:rPr>
          <w:rFonts w:hint="eastAsia" w:ascii="仿宋_GB2312" w:hAnsi="仿宋_GB2312" w:eastAsia="仿宋_GB2312" w:cs="仿宋_GB2312"/>
          <w:sz w:val="32"/>
          <w:szCs w:val="32"/>
        </w:rPr>
        <w:tab/>
      </w:r>
    </w:p>
    <w:p>
      <w:pPr>
        <w:spacing w:line="576" w:lineRule="exact"/>
        <w:ind w:firstLine="640" w:firstLineChars="200"/>
        <w:textAlignment w:val="baseline"/>
        <w:rPr>
          <w:rFonts w:hint="eastAsia" w:ascii="楷体_GB2312" w:hAnsi="楷体_GB2312" w:eastAsia="楷体_GB2312" w:cs="楷体_GB2312"/>
          <w:sz w:val="32"/>
          <w:szCs w:val="32"/>
          <w:lang w:eastAsia="zh-TW"/>
        </w:rPr>
      </w:pPr>
      <w:r>
        <w:rPr>
          <w:rFonts w:hint="eastAsia" w:ascii="楷体_GB2312" w:hAnsi="楷体_GB2312" w:eastAsia="楷体_GB2312" w:cs="楷体_GB2312"/>
          <w:sz w:val="32"/>
          <w:szCs w:val="32"/>
          <w:lang w:eastAsia="zh-TW"/>
        </w:rPr>
        <w:t>（一）社会效益</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主观方面看，城区除“四害”项目是爱国卫生工作的基本要求，也是政府为民办实事的一项民生项目，更是疫情防控的需要。转变群众对爱国卫生工作的错误认识，形成全社会关注氛围，净化城区环境，减少疾病传播。形成城区除“四害”常态化，符合可持续发展的总体要求。</w:t>
      </w:r>
    </w:p>
    <w:p>
      <w:pPr>
        <w:spacing w:line="576" w:lineRule="exact"/>
        <w:ind w:firstLine="640" w:firstLineChars="200"/>
        <w:textAlignment w:val="baseline"/>
        <w:rPr>
          <w:rFonts w:hint="eastAsia" w:ascii="楷体_GB2312" w:hAnsi="楷体_GB2312" w:eastAsia="楷体_GB2312" w:cs="楷体_GB2312"/>
          <w:sz w:val="32"/>
          <w:szCs w:val="32"/>
          <w:lang w:eastAsia="zh-TW"/>
        </w:rPr>
      </w:pPr>
      <w:r>
        <w:rPr>
          <w:rFonts w:hint="eastAsia" w:ascii="楷体_GB2312" w:hAnsi="楷体_GB2312" w:eastAsia="楷体_GB2312" w:cs="楷体_GB2312"/>
          <w:sz w:val="32"/>
          <w:szCs w:val="32"/>
          <w:lang w:eastAsia="zh-TW"/>
        </w:rPr>
        <w:t>（二）生态环境效益</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项目实施，有效改善人居环境，积极有利疾病预防控制，消除城区“四害”危害，对城区外环境的消杀，对预防新冠疫情起到积极的作用，确保群众生命财产安全，营造了优美舒适、和谐宜人的人居环境，改善了城乡居民的居住环境，提高了人居生活水平，群众满意率高，评价好，是一项切实见效的惠民工程。</w:t>
      </w:r>
    </w:p>
    <w:p>
      <w:pPr>
        <w:spacing w:line="576" w:lineRule="exact"/>
        <w:ind w:firstLine="640" w:firstLineChars="200"/>
        <w:textAlignment w:val="baseline"/>
        <w:rPr>
          <w:rFonts w:hint="eastAsia" w:ascii="楷体_GB2312" w:hAnsi="楷体_GB2312" w:eastAsia="楷体_GB2312" w:cs="楷体_GB2312"/>
          <w:sz w:val="32"/>
          <w:szCs w:val="32"/>
          <w:lang w:eastAsia="zh-TW"/>
        </w:rPr>
      </w:pPr>
      <w:r>
        <w:rPr>
          <w:rFonts w:hint="eastAsia" w:ascii="楷体_GB2312" w:hAnsi="楷体_GB2312" w:eastAsia="楷体_GB2312" w:cs="楷体_GB2312"/>
          <w:sz w:val="32"/>
          <w:szCs w:val="32"/>
          <w:lang w:eastAsia="zh-TW"/>
        </w:rPr>
        <w:t>（三）经济效益</w:t>
      </w:r>
    </w:p>
    <w:p>
      <w:pPr>
        <w:ind w:firstLine="640" w:firstLineChars="200"/>
        <w:textAlignment w:val="baseline"/>
        <w:rPr>
          <w:rFonts w:hint="eastAsia" w:ascii="仿宋_GB2312" w:hAnsi="仿宋_GB2312" w:eastAsia="仿宋_GB2312" w:cs="仿宋_GB2312"/>
          <w:sz w:val="32"/>
          <w:szCs w:val="32"/>
          <w:highlight w:val="red"/>
        </w:rPr>
      </w:pPr>
      <w:r>
        <w:rPr>
          <w:rFonts w:hint="eastAsia" w:ascii="仿宋_GB2312" w:hAnsi="仿宋_GB2312" w:eastAsia="仿宋_GB2312" w:cs="仿宋_GB2312"/>
          <w:sz w:val="32"/>
          <w:szCs w:val="32"/>
        </w:rPr>
        <w:t>通过项目实施，切实转变政府职能，提高爱国卫生工作质量，规范了消杀业务，减少了对除“四害”各部门重复投资的情况，缓解了财政压力。我局在预算执行、预算管理及职责履行等方面执行情况较好，产生了较好的社会效益，确保了项目资金的使用效益，也得到了上级部门的肯定。对项目按照目标设定、资金管理、资金绩效三个方面进行评价，整体支出绩效综合评为达成绩效目标。</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32"/>
        <w:textAlignment w:val="baseline"/>
        <w:rPr>
          <w:rFonts w:hint="eastAsia" w:ascii="仿宋_GB2312" w:hAnsi="仿宋_GB2312" w:eastAsia="仿宋_GB2312" w:cs="仿宋_GB2312"/>
          <w:sz w:val="32"/>
          <w:szCs w:val="32"/>
        </w:rPr>
      </w:pPr>
      <w:bookmarkStart w:id="105" w:name="_Toc5625"/>
      <w:r>
        <w:rPr>
          <w:rFonts w:hint="eastAsia" w:ascii="仿宋_GB2312" w:hAnsi="仿宋_GB2312" w:eastAsia="仿宋_GB2312" w:cs="仿宋_GB2312"/>
          <w:sz w:val="32"/>
          <w:szCs w:val="32"/>
          <w:lang w:eastAsia="zh-TW"/>
        </w:rPr>
        <w:t>五、</w:t>
      </w:r>
      <w:r>
        <w:rPr>
          <w:rFonts w:hint="eastAsia" w:ascii="仿宋_GB2312" w:hAnsi="仿宋_GB2312" w:eastAsia="仿宋_GB2312" w:cs="仿宋_GB2312"/>
          <w:sz w:val="32"/>
          <w:szCs w:val="32"/>
        </w:rPr>
        <w:t>问题及建议</w:t>
      </w:r>
      <w:bookmarkEnd w:id="105"/>
    </w:p>
    <w:p>
      <w:pPr>
        <w:spacing w:line="576" w:lineRule="exact"/>
        <w:ind w:firstLine="640" w:firstLineChars="200"/>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（一）存在的问题及改进措施</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城区条件、基础设施建设差等原因，城区消杀密度不够，城郊结合部消杀存在漏项现象；群众的思想观念还没有完全转变，思想认识上还有一定的偏差，破坏部分除“四害”设施，造成消杀不彻底现象时有发生。对此，我局将加强对消杀公司的考核，督促其按照标准进行消杀灭工作；加强爱国卫生知识宣传，转变群众观念，养成健康文明习惯。</w:t>
      </w:r>
    </w:p>
    <w:p>
      <w:pPr>
        <w:spacing w:line="576" w:lineRule="exact"/>
        <w:ind w:firstLine="640" w:firstLineChars="200"/>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（二）有关建议</w:t>
      </w:r>
    </w:p>
    <w:p>
      <w:pPr>
        <w:spacing w:line="576" w:lineRule="exact"/>
        <w:ind w:firstLine="640" w:firstLineChars="200"/>
        <w:textAlignment w:val="baseline"/>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加强与财政部门沟通，积极主动衔接资金的调度，确保项目费用及时足额支付到企业，持续推进项目实施，对达到付款条件的及时完成资金支付，提高专项资金使用效率。</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32"/>
        <w:textAlignment w:val="baseline"/>
        <w:rPr>
          <w:rFonts w:hint="eastAsia" w:ascii="仿宋_GB2312" w:hAnsi="仿宋_GB2312" w:eastAsia="仿宋_GB2312" w:cs="仿宋_GB2312"/>
          <w:sz w:val="32"/>
          <w:szCs w:val="32"/>
          <w:lang w:eastAsia="zh-TW"/>
        </w:rPr>
      </w:pPr>
      <w:bookmarkStart w:id="106" w:name="_Toc7906"/>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TW"/>
        </w:rPr>
        <w:t>、其他需要说明的问题</w:t>
      </w:r>
      <w:bookmarkEnd w:id="106"/>
    </w:p>
    <w:p>
      <w:pPr>
        <w:spacing w:line="576"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pageBreakBefore w:val="0"/>
        <w:kinsoku/>
        <w:wordWrap/>
        <w:overflowPunct/>
        <w:topLinePunct w:val="0"/>
        <w:autoSpaceDE/>
        <w:autoSpaceDN/>
        <w:bidi w:val="0"/>
        <w:spacing w:line="576" w:lineRule="exact"/>
        <w:jc w:val="both"/>
        <w:textAlignment w:val="auto"/>
        <w:outlineLvl w:val="9"/>
        <w:rPr>
          <w:rFonts w:hint="eastAsia" w:ascii="黑体" w:hAnsi="黑体" w:eastAsia="黑体"/>
          <w:color w:val="auto"/>
          <w:sz w:val="44"/>
          <w:szCs w:val="44"/>
          <w:highlight w:val="none"/>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outlineLvl w:val="9"/>
        <w:rPr>
          <w:rFonts w:hint="eastAsia"/>
        </w:rPr>
      </w:pPr>
    </w:p>
    <w:p>
      <w:pPr>
        <w:pStyle w:val="16"/>
        <w:spacing w:line="576" w:lineRule="exact"/>
        <w:ind w:firstLine="1540" w:firstLineChars="350"/>
        <w:jc w:val="left"/>
        <w:textAlignment w:val="baseline"/>
      </w:pPr>
      <w:bookmarkStart w:id="107" w:name="_Toc11708"/>
      <w:r>
        <w:rPr>
          <w:rFonts w:hint="eastAsia"/>
        </w:rPr>
        <w:t>广元市朝天区综合行政执法局</w:t>
      </w:r>
      <w:bookmarkEnd w:id="107"/>
    </w:p>
    <w:p>
      <w:pPr>
        <w:pStyle w:val="16"/>
        <w:spacing w:line="576" w:lineRule="exact"/>
        <w:textAlignment w:val="baseline"/>
      </w:pPr>
      <w:bookmarkStart w:id="108" w:name="_Toc14244"/>
      <w:r>
        <w:rPr>
          <w:rFonts w:hint="eastAsia"/>
        </w:rPr>
        <w:t>关于乡镇垃圾转运特许经营项目绩效自评报告</w:t>
      </w:r>
      <w:bookmarkEnd w:id="108"/>
    </w:p>
    <w:p>
      <w:pPr>
        <w:pStyle w:val="3"/>
        <w:keepNext/>
        <w:keepLines/>
        <w:pageBreakBefore w:val="0"/>
        <w:widowControl w:val="0"/>
        <w:kinsoku/>
        <w:wordWrap/>
        <w:overflowPunct/>
        <w:topLinePunct w:val="0"/>
        <w:autoSpaceDE/>
        <w:autoSpaceDN/>
        <w:bidi w:val="0"/>
        <w:adjustRightInd/>
        <w:snapToGrid/>
        <w:spacing w:before="0" w:after="0" w:line="576" w:lineRule="exact"/>
        <w:ind w:firstLine="632"/>
        <w:textAlignment w:val="baseline"/>
        <w:outlineLvl w:val="9"/>
        <w:rPr>
          <w:rFonts w:hint="eastAsia" w:ascii="仿宋_GB2312" w:hAnsi="仿宋_GB2312" w:eastAsia="仿宋_GB2312" w:cs="仿宋_GB2312"/>
          <w:sz w:val="32"/>
          <w:szCs w:val="32"/>
          <w:lang w:eastAsia="zh-TW"/>
        </w:rPr>
      </w:pPr>
    </w:p>
    <w:p>
      <w:pPr>
        <w:pStyle w:val="3"/>
        <w:keepNext/>
        <w:keepLines/>
        <w:pageBreakBefore w:val="0"/>
        <w:widowControl w:val="0"/>
        <w:kinsoku/>
        <w:wordWrap/>
        <w:overflowPunct/>
        <w:topLinePunct w:val="0"/>
        <w:autoSpaceDE/>
        <w:autoSpaceDN/>
        <w:bidi w:val="0"/>
        <w:adjustRightInd/>
        <w:snapToGrid/>
        <w:spacing w:before="0" w:after="0" w:line="576" w:lineRule="exact"/>
        <w:ind w:firstLine="632"/>
        <w:textAlignment w:val="baseline"/>
        <w:rPr>
          <w:rFonts w:hint="eastAsia" w:ascii="仿宋_GB2312" w:hAnsi="仿宋_GB2312" w:eastAsia="仿宋_GB2312" w:cs="仿宋_GB2312"/>
          <w:sz w:val="32"/>
          <w:szCs w:val="32"/>
        </w:rPr>
      </w:pPr>
      <w:bookmarkStart w:id="109" w:name="_Toc7414"/>
      <w:r>
        <w:rPr>
          <w:rFonts w:hint="eastAsia" w:ascii="仿宋_GB2312" w:hAnsi="仿宋_GB2312" w:eastAsia="仿宋_GB2312" w:cs="仿宋_GB2312"/>
          <w:sz w:val="32"/>
          <w:szCs w:val="32"/>
          <w:lang w:eastAsia="zh-TW"/>
        </w:rPr>
        <w:t>一、</w:t>
      </w:r>
      <w:r>
        <w:rPr>
          <w:rFonts w:hint="eastAsia" w:ascii="仿宋_GB2312" w:hAnsi="仿宋_GB2312" w:eastAsia="仿宋_GB2312" w:cs="仿宋_GB2312"/>
          <w:sz w:val="32"/>
          <w:szCs w:val="32"/>
        </w:rPr>
        <w:t>基本情况</w:t>
      </w:r>
      <w:bookmarkEnd w:id="109"/>
    </w:p>
    <w:p>
      <w:pPr>
        <w:spacing w:line="576" w:lineRule="exact"/>
        <w:ind w:firstLine="640" w:firstLineChars="200"/>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（一）项目概况</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项目名称：乡镇垃圾转运特许经营承包项目</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背景：为改革我区环卫工作管理机制，建立农村垃圾收转运体系的目标，朝天区人民政府决定将乡镇垃圾转运项目作为特许经营项目推出，通过拓展业务方式与城区环卫保洁公司签订《朝天区乡镇垃圾转运特许经营项目补充协议书》，负责乡镇垃圾运输事宜。由于全省最低工资标准、养老保险基数等政策性调整，2020年，经七届区委常委第181次会议和区政府第85次常务会议精神，同意对原协议进行调整费用，并签订了《补充协议》，现由广东明舒世环境科技集团有限公司（原协议乙方）负责运营该项目。</w:t>
      </w:r>
    </w:p>
    <w:p>
      <w:pPr>
        <w:spacing w:line="576" w:lineRule="exact"/>
        <w:ind w:firstLine="640" w:firstLineChars="200"/>
        <w:textAlignment w:val="baseline"/>
        <w:rPr>
          <w:rFonts w:hint="eastAsia" w:ascii="仿宋_GB2312" w:hAnsi="仿宋_GB2312" w:eastAsia="仿宋_GB2312" w:cs="仿宋_GB2312"/>
          <w:sz w:val="32"/>
          <w:szCs w:val="32"/>
          <w:highlight w:val="cyan"/>
        </w:rPr>
      </w:pPr>
      <w:r>
        <w:rPr>
          <w:rFonts w:hint="eastAsia" w:ascii="仿宋_GB2312" w:hAnsi="仿宋_GB2312" w:eastAsia="仿宋_GB2312" w:cs="仿宋_GB2312"/>
          <w:sz w:val="32"/>
          <w:szCs w:val="32"/>
        </w:rPr>
        <w:t>主要内容：</w:t>
      </w:r>
      <w:r>
        <w:rPr>
          <w:rFonts w:hint="eastAsia" w:ascii="仿宋_GB2312" w:hAnsi="仿宋_GB2312" w:eastAsia="仿宋_GB2312" w:cs="仿宋_GB2312"/>
          <w:color w:val="000000"/>
          <w:sz w:val="32"/>
          <w:szCs w:val="32"/>
        </w:rPr>
        <w:t>乡镇垃圾中转站垃圾转运</w:t>
      </w:r>
      <w:r>
        <w:rPr>
          <w:rFonts w:hint="eastAsia" w:ascii="仿宋_GB2312" w:hAnsi="仿宋_GB2312" w:eastAsia="仿宋_GB2312" w:cs="仿宋_GB2312"/>
          <w:sz w:val="32"/>
          <w:szCs w:val="32"/>
        </w:rPr>
        <w:t>。</w:t>
      </w:r>
    </w:p>
    <w:p>
      <w:pPr>
        <w:spacing w:line="576" w:lineRule="exact"/>
        <w:ind w:firstLine="640" w:firstLineChars="200"/>
        <w:textAlignment w:val="baseline"/>
        <w:rPr>
          <w:rFonts w:hint="eastAsia" w:ascii="仿宋_GB2312" w:hAnsi="仿宋_GB2312" w:eastAsia="仿宋_GB2312" w:cs="仿宋_GB2312"/>
          <w:sz w:val="32"/>
          <w:szCs w:val="32"/>
          <w:highlight w:val="red"/>
        </w:rPr>
      </w:pPr>
      <w:r>
        <w:rPr>
          <w:rFonts w:hint="eastAsia" w:ascii="仿宋_GB2312" w:hAnsi="仿宋_GB2312" w:eastAsia="仿宋_GB2312" w:cs="仿宋_GB2312"/>
          <w:sz w:val="32"/>
          <w:szCs w:val="32"/>
        </w:rPr>
        <w:t>投资规模：区财政本级专项预算资金199.32万元。资金性质为区本级专项预算</w:t>
      </w:r>
    </w:p>
    <w:p>
      <w:pPr>
        <w:snapToGrid w:val="0"/>
        <w:spacing w:line="600" w:lineRule="exact"/>
        <w:ind w:firstLine="720"/>
        <w:textAlignment w:val="baseline"/>
        <w:rPr>
          <w:rFonts w:hint="eastAsia" w:ascii="仿宋_GB2312" w:hAnsi="仿宋_GB2312" w:eastAsia="仿宋_GB2312" w:cs="仿宋_GB2312"/>
          <w:sz w:val="32"/>
          <w:szCs w:val="32"/>
          <w:highlight w:val="red"/>
        </w:rPr>
      </w:pPr>
      <w:r>
        <w:rPr>
          <w:rFonts w:hint="eastAsia" w:ascii="仿宋_GB2312" w:hAnsi="仿宋_GB2312" w:eastAsia="仿宋_GB2312" w:cs="仿宋_GB2312"/>
          <w:sz w:val="32"/>
          <w:szCs w:val="32"/>
        </w:rPr>
        <w:t>运行周期：202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w:t>
      </w:r>
    </w:p>
    <w:p>
      <w:pPr>
        <w:spacing w:line="576" w:lineRule="exact"/>
        <w:ind w:firstLine="640" w:firstLineChars="200"/>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TW"/>
        </w:rPr>
        <w:t>（二）</w:t>
      </w:r>
      <w:r>
        <w:rPr>
          <w:rFonts w:hint="eastAsia" w:ascii="楷体_GB2312" w:hAnsi="楷体_GB2312" w:eastAsia="楷体_GB2312" w:cs="楷体_GB2312"/>
          <w:sz w:val="32"/>
          <w:szCs w:val="32"/>
        </w:rPr>
        <w:t>项目绩效目标</w:t>
      </w:r>
    </w:p>
    <w:p>
      <w:pPr>
        <w:snapToGrid w:val="0"/>
        <w:spacing w:line="576" w:lineRule="exact"/>
        <w:ind w:firstLine="72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计划总投资：1</w:t>
      </w:r>
      <w:r>
        <w:rPr>
          <w:rFonts w:hint="eastAsia" w:ascii="仿宋_GB2312" w:hAnsi="仿宋_GB2312" w:eastAsia="仿宋_GB2312" w:cs="仿宋_GB2312"/>
          <w:sz w:val="32"/>
          <w:szCs w:val="32"/>
        </w:rPr>
        <w:t>99.32万元。</w:t>
      </w:r>
    </w:p>
    <w:p>
      <w:pPr>
        <w:snapToGrid w:val="0"/>
        <w:spacing w:line="576" w:lineRule="exact"/>
        <w:ind w:firstLine="72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年1-</w:t>
      </w:r>
      <w:r>
        <w:rPr>
          <w:rFonts w:hint="eastAsia" w:ascii="仿宋_GB2312" w:hAnsi="仿宋_GB2312" w:eastAsia="仿宋_GB2312" w:cs="仿宋_GB2312"/>
          <w:sz w:val="32"/>
          <w:szCs w:val="32"/>
        </w:rPr>
        <w:t>12月</w:t>
      </w:r>
      <w:r>
        <w:rPr>
          <w:rFonts w:hint="eastAsia" w:ascii="仿宋_GB2312" w:hAnsi="仿宋_GB2312" w:eastAsia="仿宋_GB2312" w:cs="仿宋_GB2312"/>
          <w:sz w:val="32"/>
          <w:szCs w:val="32"/>
          <w:lang w:val="zh-CN"/>
        </w:rPr>
        <w:t>计划投资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 xml:space="preserve"> 1</w:t>
      </w:r>
      <w:r>
        <w:rPr>
          <w:rFonts w:hint="eastAsia" w:ascii="仿宋_GB2312" w:hAnsi="仿宋_GB2312" w:eastAsia="仿宋_GB2312" w:cs="仿宋_GB2312"/>
          <w:sz w:val="32"/>
          <w:szCs w:val="32"/>
        </w:rPr>
        <w:t>99.32万元，一是用于乡镇垃圾中转站设备费用；二是乡镇生活垃圾转运人工及机械设备运行费用。资金支付按照合同约定的时间进行考核后支付。</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32"/>
        <w:textAlignment w:val="baseline"/>
        <w:rPr>
          <w:rFonts w:hint="eastAsia" w:ascii="仿宋_GB2312" w:hAnsi="仿宋_GB2312" w:eastAsia="仿宋_GB2312" w:cs="仿宋_GB2312"/>
          <w:sz w:val="32"/>
          <w:szCs w:val="32"/>
        </w:rPr>
      </w:pPr>
      <w:bookmarkStart w:id="110" w:name="_Toc12431"/>
      <w:r>
        <w:rPr>
          <w:rFonts w:hint="eastAsia" w:ascii="仿宋_GB2312" w:hAnsi="仿宋_GB2312" w:eastAsia="仿宋_GB2312" w:cs="仿宋_GB2312"/>
          <w:sz w:val="32"/>
          <w:szCs w:val="32"/>
        </w:rPr>
        <w:t>二、项目实施及管理情况</w:t>
      </w:r>
      <w:bookmarkEnd w:id="110"/>
    </w:p>
    <w:p>
      <w:pPr>
        <w:spacing w:line="576" w:lineRule="exact"/>
        <w:ind w:firstLine="640" w:firstLineChars="200"/>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（一）制度执行情况</w:t>
      </w:r>
    </w:p>
    <w:p>
      <w:pPr>
        <w:spacing w:line="576" w:lineRule="exact"/>
        <w:ind w:firstLine="640" w:firstLineChars="200"/>
        <w:textAlignment w:val="baseline"/>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1.项目组织架构及实施流程。</w:t>
      </w:r>
    </w:p>
    <w:p>
      <w:pPr>
        <w:ind w:firstLine="640" w:firstLineChars="200"/>
        <w:textAlignment w:val="baseline"/>
        <w:rPr>
          <w:rFonts w:hint="eastAsia" w:ascii="仿宋_GB2312" w:hAnsi="仿宋_GB2312" w:eastAsia="仿宋_GB2312" w:cs="仿宋_GB2312"/>
          <w:sz w:val="32"/>
          <w:szCs w:val="32"/>
          <w:highlight w:val="red"/>
        </w:rPr>
      </w:pPr>
      <w:r>
        <w:rPr>
          <w:rFonts w:hint="eastAsia" w:ascii="仿宋_GB2312" w:hAnsi="仿宋_GB2312" w:eastAsia="仿宋_GB2312" w:cs="仿宋_GB2312"/>
          <w:sz w:val="32"/>
          <w:szCs w:val="32"/>
        </w:rPr>
        <w:t>我局成立了以</w:t>
      </w:r>
      <w:r>
        <w:rPr>
          <w:rFonts w:hint="eastAsia" w:ascii="仿宋_GB2312" w:hAnsi="仿宋_GB2312" w:eastAsia="仿宋_GB2312" w:cs="仿宋_GB2312"/>
          <w:sz w:val="32"/>
          <w:szCs w:val="32"/>
          <w:lang w:val="en-US" w:eastAsia="zh-CN"/>
        </w:rPr>
        <w:t>张明光</w:t>
      </w:r>
      <w:r>
        <w:rPr>
          <w:rFonts w:hint="eastAsia" w:ascii="仿宋_GB2312" w:hAnsi="仿宋_GB2312" w:eastAsia="仿宋_GB2312" w:cs="仿宋_GB2312"/>
          <w:sz w:val="32"/>
          <w:szCs w:val="32"/>
        </w:rPr>
        <w:t>同志为组长环卫所、计财装备室等部门为成员的项目考核领导小组。区环卫所全面负责该项工作的统筹协调和督促，责任落实。</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2.项目管理情况。</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按照国家、省、市、区关于特许经营权转让方式向社会购买服务的相关规定执行，按照合同约定的考核办法进行逐月考核。项目建设资金实行财政专项资金管理，专户（账）管理、专款专用、专账核算。区财政局等部门要随时检查资金使用情况，建设项目资金及时拨付给相关实施单位，确保专款专用。凡转移、挪用、拖欠、挤占、贪污和弄虚作假的，必须如数追回，视情节追究有关单位和个人的责任，并削减次年项目计划。</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3.项目监管情况。</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根据项目服务进度，及时拨付已到位的资金，并对使用情况跟踪监督，确保资金按要求尽快用到项目建设上，尽早发挥效益；二是将监管工作关口前移，从项目实施开始就深入项目管理内部，深入项目建设现场进行监管，及时预警，把问题处理在萌芽状态。</w:t>
      </w:r>
    </w:p>
    <w:p>
      <w:pPr>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w:t>
      </w:r>
      <w:r>
        <w:rPr>
          <w:rFonts w:hint="eastAsia" w:ascii="仿宋_GB2312" w:hAnsi="仿宋_GB2312" w:eastAsia="仿宋_GB2312" w:cs="仿宋_GB2312"/>
          <w:color w:val="000000"/>
          <w:sz w:val="32"/>
          <w:szCs w:val="32"/>
        </w:rPr>
        <w:t>乡镇垃圾转运特许经营运行项目</w:t>
      </w:r>
      <w:r>
        <w:rPr>
          <w:rFonts w:hint="eastAsia" w:ascii="仿宋_GB2312" w:hAnsi="仿宋_GB2312" w:eastAsia="仿宋_GB2312" w:cs="仿宋_GB2312"/>
          <w:sz w:val="32"/>
          <w:szCs w:val="32"/>
        </w:rPr>
        <w:t>按照特许经营权转让方式运行。项目建设初期按照朝天区人民政府决定将乡镇垃圾转运项目作为特许经营项目推出，通过拓展业务方式推出运行。并受区人民政府委托由我局负责行使监管、考核、劳务费用支付等职能职责。</w:t>
      </w:r>
    </w:p>
    <w:p>
      <w:pPr>
        <w:spacing w:line="576" w:lineRule="exact"/>
        <w:ind w:firstLine="640" w:firstLineChars="200"/>
        <w:textAlignment w:val="baseline"/>
        <w:rPr>
          <w:rFonts w:hint="eastAsia" w:ascii="楷体_GB2312" w:hAnsi="楷体_GB2312" w:eastAsia="楷体_GB2312" w:cs="楷体_GB2312"/>
          <w:sz w:val="32"/>
          <w:szCs w:val="32"/>
          <w:lang w:eastAsia="zh-TW"/>
        </w:rPr>
      </w:pPr>
      <w:r>
        <w:rPr>
          <w:rFonts w:hint="eastAsia" w:ascii="楷体_GB2312" w:hAnsi="楷体_GB2312" w:eastAsia="楷体_GB2312" w:cs="楷体_GB2312"/>
          <w:sz w:val="32"/>
          <w:szCs w:val="32"/>
        </w:rPr>
        <w:t>（二）项目实施情况</w:t>
      </w:r>
    </w:p>
    <w:p>
      <w:pPr>
        <w:spacing w:line="576" w:lineRule="exact"/>
        <w:ind w:firstLine="640" w:firstLineChars="200"/>
        <w:textAlignment w:val="baseline"/>
        <w:rPr>
          <w:rFonts w:hint="eastAsia" w:ascii="仿宋_GB2312" w:hAnsi="仿宋_GB2312" w:eastAsia="仿宋_GB2312" w:cs="仿宋_GB2312"/>
          <w:sz w:val="32"/>
          <w:szCs w:val="32"/>
          <w:highlight w:val="red"/>
          <w:lang w:val="zh-CN"/>
        </w:rPr>
      </w:pPr>
      <w:r>
        <w:rPr>
          <w:rFonts w:hint="eastAsia" w:ascii="仿宋_GB2312" w:hAnsi="仿宋_GB2312" w:eastAsia="仿宋_GB2312" w:cs="仿宋_GB2312"/>
          <w:sz w:val="32"/>
          <w:szCs w:val="32"/>
          <w:lang w:val="zh-CN"/>
        </w:rPr>
        <w:t>本项目由业务部门按照七届区委常委第181次会议和区政府第85次常务会议精神及签订的</w:t>
      </w:r>
      <w:r>
        <w:rPr>
          <w:rFonts w:hint="eastAsia" w:ascii="仿宋_GB2312" w:hAnsi="仿宋_GB2312" w:eastAsia="仿宋_GB2312" w:cs="仿宋_GB2312"/>
          <w:sz w:val="32"/>
          <w:szCs w:val="32"/>
        </w:rPr>
        <w:t>《朝天区乡镇垃圾转运特许经营项目补充协议书》</w:t>
      </w:r>
      <w:r>
        <w:rPr>
          <w:rFonts w:hint="eastAsia" w:ascii="仿宋_GB2312" w:hAnsi="仿宋_GB2312" w:eastAsia="仿宋_GB2312" w:cs="仿宋_GB2312"/>
          <w:sz w:val="32"/>
          <w:szCs w:val="32"/>
          <w:lang w:val="zh-CN"/>
        </w:rPr>
        <w:t>精神，积极督查组织实施，按照“三重一大”的制度执行，经局党组召开专题会议研究，决定我局成立了以分管副局长为组长，环卫所及计财装备等部门为成员的考核专班，环卫所负责项目实施、考核，财务部门负责资金计划拨付和财务监管，涉及重大事项均通过局党组集体研究决定。</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1、按照合同约定中标企业（广东明舒世环境科技集团有限公司）每年服务费用为199.32万元，我局根据每月的考核情况将服务费用支付到合同乙方。</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2.该项目申报内容与实际规划建设项目相符，目标合理可行。</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32"/>
        <w:textAlignment w:val="baseline"/>
        <w:rPr>
          <w:rFonts w:hint="eastAsia" w:ascii="仿宋_GB2312" w:hAnsi="仿宋_GB2312" w:eastAsia="仿宋_GB2312" w:cs="仿宋_GB2312"/>
          <w:sz w:val="32"/>
          <w:szCs w:val="32"/>
        </w:rPr>
      </w:pPr>
      <w:bookmarkStart w:id="111" w:name="_Toc1291"/>
      <w:r>
        <w:rPr>
          <w:rFonts w:hint="eastAsia" w:ascii="仿宋_GB2312" w:hAnsi="仿宋_GB2312" w:eastAsia="仿宋_GB2312" w:cs="仿宋_GB2312"/>
          <w:sz w:val="32"/>
          <w:szCs w:val="32"/>
        </w:rPr>
        <w:t>三、专项资金使用情况</w:t>
      </w:r>
      <w:bookmarkEnd w:id="111"/>
    </w:p>
    <w:p>
      <w:pPr>
        <w:spacing w:line="576" w:lineRule="exact"/>
        <w:ind w:firstLine="640" w:firstLineChars="200"/>
        <w:textAlignment w:val="baseline"/>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eastAsia="zh-TW"/>
        </w:rPr>
        <w:t>（一）</w:t>
      </w:r>
      <w:r>
        <w:rPr>
          <w:rFonts w:hint="eastAsia" w:ascii="楷体_GB2312" w:hAnsi="楷体_GB2312" w:eastAsia="楷体_GB2312" w:cs="楷体_GB2312"/>
          <w:sz w:val="32"/>
          <w:szCs w:val="32"/>
          <w:lang w:val="zh-CN"/>
        </w:rPr>
        <w:t>项目财务管理情况</w:t>
      </w:r>
    </w:p>
    <w:p>
      <w:pPr>
        <w:spacing w:line="576" w:lineRule="exact"/>
        <w:ind w:firstLine="640" w:firstLineChars="200"/>
        <w:textAlignment w:val="baseline"/>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我局财务管理制度建立健全，机构设置明确合理，会计核算及账务处理及时准确。项目资金按照国家财经法规和财务管理制度及有关专项资金管理办法规定专款专用，资金拨付具有完整的审批程序和手续，资金使用符合项目预算批复，不存在截留、挤占、挪用、虚列支出等情况。</w:t>
      </w:r>
    </w:p>
    <w:p>
      <w:pPr>
        <w:spacing w:line="576" w:lineRule="exact"/>
        <w:ind w:firstLine="640" w:firstLineChars="200"/>
        <w:textAlignment w:val="baseline"/>
        <w:rPr>
          <w:rFonts w:hint="eastAsia" w:ascii="楷体_GB2312" w:hAnsi="楷体_GB2312" w:eastAsia="楷体_GB2312" w:cs="楷体_GB2312"/>
          <w:sz w:val="32"/>
          <w:szCs w:val="32"/>
          <w:lang w:eastAsia="zh-TW"/>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TW"/>
        </w:rPr>
        <w:t>专项资金的到位情况</w:t>
      </w:r>
    </w:p>
    <w:p>
      <w:pPr>
        <w:spacing w:line="576" w:lineRule="exact"/>
        <w:ind w:firstLine="640" w:firstLineChars="200"/>
        <w:textAlignment w:val="baseline"/>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资金计划：根据</w:t>
      </w:r>
      <w:r>
        <w:rPr>
          <w:rFonts w:hint="eastAsia" w:ascii="仿宋_GB2312" w:hAnsi="仿宋_GB2312" w:eastAsia="仿宋_GB2312" w:cs="仿宋_GB2312"/>
          <w:sz w:val="32"/>
          <w:szCs w:val="32"/>
        </w:rPr>
        <w:t>《朝天区乡镇垃圾转运特许经营项目补充协议书》</w:t>
      </w:r>
      <w:r>
        <w:rPr>
          <w:rFonts w:hint="eastAsia" w:ascii="仿宋_GB2312" w:hAnsi="仿宋_GB2312" w:eastAsia="仿宋_GB2312" w:cs="仿宋_GB2312"/>
          <w:sz w:val="32"/>
          <w:szCs w:val="32"/>
          <w:lang w:val="zh-CN"/>
        </w:rPr>
        <w:t>合同规定，年初区财政下达我局</w:t>
      </w:r>
      <w:r>
        <w:rPr>
          <w:rFonts w:hint="eastAsia" w:ascii="仿宋_GB2312" w:hAnsi="仿宋_GB2312" w:eastAsia="仿宋_GB2312" w:cs="仿宋_GB2312"/>
          <w:sz w:val="32"/>
          <w:szCs w:val="32"/>
        </w:rPr>
        <w:t>朝天区乡镇垃圾转运特许经营项目</w:t>
      </w:r>
      <w:r>
        <w:rPr>
          <w:rFonts w:hint="eastAsia" w:ascii="仿宋_GB2312" w:hAnsi="仿宋_GB2312" w:eastAsia="仿宋_GB2312" w:cs="仿宋_GB2312"/>
          <w:color w:val="000000"/>
          <w:sz w:val="32"/>
          <w:szCs w:val="32"/>
        </w:rPr>
        <w:t>运行</w:t>
      </w:r>
      <w:r>
        <w:rPr>
          <w:rFonts w:hint="eastAsia" w:ascii="仿宋_GB2312" w:hAnsi="仿宋_GB2312" w:eastAsia="仿宋_GB2312" w:cs="仿宋_GB2312"/>
          <w:sz w:val="32"/>
          <w:szCs w:val="32"/>
          <w:lang w:val="zh-CN"/>
        </w:rPr>
        <w:t>事项资金199.32万元，属于本级财政专项资金。</w:t>
      </w:r>
    </w:p>
    <w:p>
      <w:pPr>
        <w:spacing w:line="576" w:lineRule="exact"/>
        <w:ind w:firstLine="640" w:firstLineChars="200"/>
        <w:textAlignment w:val="baseline"/>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资金到位：该项资金于</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年1月纳入年初预算</w:t>
      </w:r>
      <w:r>
        <w:rPr>
          <w:rFonts w:hint="eastAsia" w:ascii="仿宋_GB2312" w:hAnsi="仿宋_GB2312" w:eastAsia="仿宋_GB2312" w:cs="仿宋_GB2312"/>
          <w:sz w:val="32"/>
          <w:szCs w:val="32"/>
          <w:lang w:val="zh-CN"/>
        </w:rPr>
        <w:t>。</w:t>
      </w:r>
    </w:p>
    <w:p>
      <w:pPr>
        <w:spacing w:line="576" w:lineRule="exact"/>
        <w:ind w:firstLine="640" w:firstLineChars="200"/>
        <w:textAlignment w:val="baseline"/>
        <w:rPr>
          <w:rFonts w:hint="eastAsia" w:ascii="楷体_GB2312" w:hAnsi="楷体_GB2312" w:eastAsia="楷体_GB2312" w:cs="楷体_GB2312"/>
          <w:sz w:val="32"/>
          <w:szCs w:val="32"/>
          <w:lang w:eastAsia="zh-TW"/>
        </w:rPr>
      </w:pPr>
      <w:r>
        <w:rPr>
          <w:rFonts w:hint="eastAsia" w:ascii="楷体_GB2312" w:hAnsi="楷体_GB2312" w:eastAsia="楷体_GB2312" w:cs="楷体_GB2312"/>
          <w:sz w:val="32"/>
          <w:szCs w:val="32"/>
          <w:lang w:eastAsia="zh-TW"/>
        </w:rPr>
        <w:t>（</w:t>
      </w: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TW"/>
        </w:rPr>
        <w:t>）</w:t>
      </w:r>
      <w:r>
        <w:rPr>
          <w:rFonts w:hint="eastAsia" w:ascii="楷体_GB2312" w:hAnsi="楷体_GB2312" w:eastAsia="楷体_GB2312" w:cs="楷体_GB2312"/>
          <w:sz w:val="32"/>
          <w:szCs w:val="32"/>
        </w:rPr>
        <w:t>专项</w:t>
      </w:r>
      <w:r>
        <w:rPr>
          <w:rFonts w:hint="eastAsia" w:ascii="楷体_GB2312" w:hAnsi="楷体_GB2312" w:eastAsia="楷体_GB2312" w:cs="楷体_GB2312"/>
          <w:sz w:val="32"/>
          <w:szCs w:val="32"/>
          <w:lang w:eastAsia="zh-TW"/>
        </w:rPr>
        <w:t>资金</w:t>
      </w:r>
      <w:r>
        <w:rPr>
          <w:rFonts w:hint="eastAsia" w:ascii="楷体_GB2312" w:hAnsi="楷体_GB2312" w:eastAsia="楷体_GB2312" w:cs="楷体_GB2312"/>
          <w:sz w:val="32"/>
          <w:szCs w:val="32"/>
        </w:rPr>
        <w:t>的</w:t>
      </w:r>
      <w:r>
        <w:rPr>
          <w:rFonts w:hint="eastAsia" w:ascii="楷体_GB2312" w:hAnsi="楷体_GB2312" w:eastAsia="楷体_GB2312" w:cs="楷体_GB2312"/>
          <w:sz w:val="32"/>
          <w:szCs w:val="32"/>
          <w:lang w:eastAsia="zh-TW"/>
        </w:rPr>
        <w:t>使用情况</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截至当前时点，202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年12月乡镇垃圾转运特许经营项目</w:t>
      </w:r>
      <w:r>
        <w:rPr>
          <w:rFonts w:hint="eastAsia" w:ascii="仿宋_GB2312" w:hAnsi="仿宋_GB2312" w:eastAsia="仿宋_GB2312" w:cs="仿宋_GB2312"/>
          <w:color w:val="000000"/>
          <w:sz w:val="32"/>
          <w:szCs w:val="32"/>
        </w:rPr>
        <w:t>运行服务费用全部按照合同约定支付到承包企业，无拖欠情况。</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32"/>
        <w:textAlignment w:val="baseline"/>
        <w:rPr>
          <w:rFonts w:hint="eastAsia" w:ascii="仿宋_GB2312" w:hAnsi="仿宋_GB2312" w:eastAsia="仿宋_GB2312" w:cs="仿宋_GB2312"/>
          <w:sz w:val="32"/>
          <w:szCs w:val="32"/>
        </w:rPr>
      </w:pPr>
      <w:bookmarkStart w:id="112" w:name="_Toc3057"/>
      <w:r>
        <w:rPr>
          <w:rFonts w:hint="eastAsia" w:ascii="仿宋_GB2312" w:hAnsi="仿宋_GB2312" w:eastAsia="仿宋_GB2312" w:cs="仿宋_GB2312"/>
          <w:sz w:val="32"/>
          <w:szCs w:val="32"/>
        </w:rPr>
        <w:t>四、项目绩效情况</w:t>
      </w:r>
      <w:bookmarkEnd w:id="112"/>
      <w:r>
        <w:rPr>
          <w:rFonts w:hint="eastAsia" w:ascii="仿宋_GB2312" w:hAnsi="仿宋_GB2312" w:eastAsia="仿宋_GB2312" w:cs="仿宋_GB2312"/>
          <w:sz w:val="32"/>
          <w:szCs w:val="32"/>
        </w:rPr>
        <w:tab/>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TW"/>
        </w:rPr>
        <w:t>（一）社会效益</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主观方面看，乡镇垃圾转运特许经营项目是政府为民办实事的一项民生工程，也是转变政府职能，改革创新之举。是逐步改善人们对环卫保洁工作重要性认识，特别是进一步认识到环保的重要性，改变垃圾处置只简易掩埋的错误认识，从思想上改变对垃圾处理工作的局限性认识。在客观方面看，按照垃圾处理的要求，对垃圾切实有效的处理必须有必要的专用设施设备，通过设施设备的投入，符合可持续发展的总体要求。</w:t>
      </w:r>
    </w:p>
    <w:p>
      <w:pPr>
        <w:spacing w:line="576" w:lineRule="exact"/>
        <w:ind w:firstLine="640" w:firstLineChars="200"/>
        <w:textAlignment w:val="baseline"/>
        <w:rPr>
          <w:rFonts w:hint="eastAsia" w:ascii="楷体_GB2312" w:hAnsi="楷体_GB2312" w:eastAsia="楷体_GB2312" w:cs="楷体_GB2312"/>
          <w:sz w:val="32"/>
          <w:szCs w:val="32"/>
          <w:lang w:eastAsia="zh-TW"/>
        </w:rPr>
      </w:pPr>
      <w:r>
        <w:rPr>
          <w:rFonts w:hint="eastAsia" w:ascii="楷体_GB2312" w:hAnsi="楷体_GB2312" w:eastAsia="楷体_GB2312" w:cs="楷体_GB2312"/>
          <w:sz w:val="32"/>
          <w:szCs w:val="32"/>
          <w:lang w:eastAsia="zh-TW"/>
        </w:rPr>
        <w:t>（二）生态环境效益</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项目实施，改善了城区环境面貌，垃圾处置更加合理规范，营造了优美舒适、和谐宜人的人居环境，确保了长江上游水环境安全，改善了城乡居民的居住环境，提高了人居生活水平，群众满意率高，评价好，是一项切实见效的惠民工程，也促进了富裕文明和谐新朝天建设和社会全面进步。</w:t>
      </w:r>
    </w:p>
    <w:p>
      <w:pPr>
        <w:spacing w:line="576" w:lineRule="exact"/>
        <w:ind w:firstLine="640" w:firstLineChars="200"/>
        <w:textAlignment w:val="baseline"/>
        <w:rPr>
          <w:rFonts w:hint="eastAsia" w:ascii="楷体_GB2312" w:hAnsi="楷体_GB2312" w:eastAsia="楷体_GB2312" w:cs="楷体_GB2312"/>
          <w:sz w:val="32"/>
          <w:szCs w:val="32"/>
          <w:lang w:eastAsia="zh-TW"/>
        </w:rPr>
      </w:pPr>
      <w:r>
        <w:rPr>
          <w:rFonts w:hint="eastAsia" w:ascii="楷体_GB2312" w:hAnsi="楷体_GB2312" w:eastAsia="楷体_GB2312" w:cs="楷体_GB2312"/>
          <w:sz w:val="32"/>
          <w:szCs w:val="32"/>
          <w:lang w:eastAsia="zh-TW"/>
        </w:rPr>
        <w:t>（三）经济效益</w:t>
      </w:r>
    </w:p>
    <w:p>
      <w:pPr>
        <w:ind w:firstLine="640" w:firstLineChars="200"/>
        <w:textAlignment w:val="baseline"/>
        <w:rPr>
          <w:rFonts w:hint="eastAsia" w:ascii="仿宋_GB2312" w:hAnsi="仿宋_GB2312" w:eastAsia="仿宋_GB2312" w:cs="仿宋_GB2312"/>
          <w:sz w:val="32"/>
          <w:szCs w:val="32"/>
          <w:highlight w:val="red"/>
        </w:rPr>
      </w:pPr>
      <w:r>
        <w:rPr>
          <w:rFonts w:hint="eastAsia" w:ascii="仿宋_GB2312" w:hAnsi="仿宋_GB2312" w:eastAsia="仿宋_GB2312" w:cs="仿宋_GB2312"/>
          <w:sz w:val="32"/>
          <w:szCs w:val="32"/>
        </w:rPr>
        <w:t>通过项目实施，切实转变政府职能，提高乡镇垃圾处置质量，减少了对环卫设备的大额度投入，缓解了财政压力。我局在预算执行、预算管理及职责履行等方面执行情况较好，产生了较好的社会效益，确保了项目资金的使用效益，也得到了上级部门的肯定。对项目按照目标设定、资金管理、资金绩效三个方面进行评价，整体支出绩效综合评为达成绩效目标。</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32"/>
        <w:textAlignment w:val="baseline"/>
        <w:rPr>
          <w:rFonts w:hint="eastAsia" w:ascii="仿宋_GB2312" w:hAnsi="仿宋_GB2312" w:eastAsia="仿宋_GB2312" w:cs="仿宋_GB2312"/>
          <w:sz w:val="32"/>
          <w:szCs w:val="32"/>
        </w:rPr>
      </w:pPr>
      <w:bookmarkStart w:id="113" w:name="_Toc5022"/>
      <w:r>
        <w:rPr>
          <w:rFonts w:hint="eastAsia" w:ascii="仿宋_GB2312" w:hAnsi="仿宋_GB2312" w:eastAsia="仿宋_GB2312" w:cs="仿宋_GB2312"/>
          <w:sz w:val="32"/>
          <w:szCs w:val="32"/>
          <w:lang w:eastAsia="zh-TW"/>
        </w:rPr>
        <w:t>五、</w:t>
      </w:r>
      <w:r>
        <w:rPr>
          <w:rFonts w:hint="eastAsia" w:ascii="仿宋_GB2312" w:hAnsi="仿宋_GB2312" w:eastAsia="仿宋_GB2312" w:cs="仿宋_GB2312"/>
          <w:sz w:val="32"/>
          <w:szCs w:val="32"/>
        </w:rPr>
        <w:t>问题及建议</w:t>
      </w:r>
      <w:bookmarkEnd w:id="113"/>
    </w:p>
    <w:p>
      <w:pPr>
        <w:spacing w:line="576" w:lineRule="exact"/>
        <w:ind w:firstLine="640" w:firstLineChars="200"/>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（一）存在的问题及改进措施</w:t>
      </w:r>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我区地理条件较差、垃圾中转站设置较边远等原因垃圾清运还有不到位、不及时、不精细化的现象，我局将加大考核力度，督查运营管理公司加强日常工作，督查乡镇对存在的薄弱环节，增加人力、财力投入，确保给群众提供干净、整洁、和谐的生产生活环境。</w:t>
      </w:r>
    </w:p>
    <w:p>
      <w:pPr>
        <w:spacing w:line="576" w:lineRule="exact"/>
        <w:ind w:firstLine="640" w:firstLineChars="200"/>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（二）有关建议</w:t>
      </w:r>
    </w:p>
    <w:p>
      <w:pPr>
        <w:spacing w:line="576" w:lineRule="exact"/>
        <w:ind w:firstLine="640" w:firstLineChars="200"/>
        <w:textAlignment w:val="baseline"/>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加强与财政部门沟通，积极主动衔接资金的调度，确保项目费用及时按月足额支付到承包企业，持续推进项目实施，对达到付款条件的及时完成资金支付，提高专项资金使用效率。</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32"/>
        <w:textAlignment w:val="baseline"/>
        <w:rPr>
          <w:rFonts w:hint="eastAsia" w:ascii="仿宋_GB2312" w:hAnsi="仿宋_GB2312" w:eastAsia="仿宋_GB2312" w:cs="仿宋_GB2312"/>
          <w:sz w:val="32"/>
          <w:szCs w:val="32"/>
          <w:lang w:eastAsia="zh-TW"/>
        </w:rPr>
      </w:pPr>
      <w:bookmarkStart w:id="114" w:name="_Toc27438"/>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TW"/>
        </w:rPr>
        <w:t>、其他需要说明的问题</w:t>
      </w:r>
      <w:bookmarkEnd w:id="114"/>
    </w:p>
    <w:p>
      <w:pPr>
        <w:spacing w:line="576"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bookmarkEnd w:id="87"/>
    <w:bookmarkEnd w:id="98"/>
    <w:p>
      <w:pPr>
        <w:pageBreakBefore w:val="0"/>
        <w:kinsoku/>
        <w:wordWrap/>
        <w:overflowPunct/>
        <w:topLinePunct w:val="0"/>
        <w:autoSpaceDE/>
        <w:autoSpaceDN/>
        <w:bidi w:val="0"/>
        <w:spacing w:line="576" w:lineRule="exact"/>
        <w:jc w:val="both"/>
        <w:textAlignment w:val="auto"/>
        <w:outlineLvl w:val="9"/>
        <w:rPr>
          <w:rFonts w:hint="eastAsia" w:ascii="黑体" w:hAnsi="黑体" w:eastAsia="黑体"/>
          <w:color w:val="auto"/>
          <w:sz w:val="44"/>
          <w:szCs w:val="44"/>
          <w:highlight w:val="none"/>
        </w:rPr>
      </w:pPr>
      <w:bookmarkStart w:id="115" w:name="_Toc15396619"/>
    </w:p>
    <w:p>
      <w:pPr>
        <w:pageBreakBefore w:val="0"/>
        <w:kinsoku/>
        <w:wordWrap/>
        <w:overflowPunct/>
        <w:topLinePunct w:val="0"/>
        <w:autoSpaceDE/>
        <w:autoSpaceDN/>
        <w:bidi w:val="0"/>
        <w:spacing w:line="576" w:lineRule="exact"/>
        <w:jc w:val="center"/>
        <w:textAlignment w:val="auto"/>
        <w:outlineLvl w:val="9"/>
        <w:rPr>
          <w:rFonts w:hint="eastAsia" w:ascii="黑体" w:hAnsi="黑体" w:eastAsia="黑体"/>
          <w:color w:val="auto"/>
          <w:sz w:val="44"/>
          <w:szCs w:val="44"/>
          <w:highlight w:val="none"/>
        </w:rPr>
      </w:pPr>
    </w:p>
    <w:p>
      <w:pPr>
        <w:pageBreakBefore w:val="0"/>
        <w:kinsoku/>
        <w:wordWrap/>
        <w:overflowPunct/>
        <w:topLinePunct w:val="0"/>
        <w:autoSpaceDE/>
        <w:autoSpaceDN/>
        <w:bidi w:val="0"/>
        <w:spacing w:line="576" w:lineRule="exact"/>
        <w:jc w:val="center"/>
        <w:textAlignment w:val="auto"/>
        <w:outlineLvl w:val="9"/>
        <w:rPr>
          <w:rFonts w:hint="eastAsia" w:ascii="黑体" w:hAnsi="黑体" w:eastAsia="黑体"/>
          <w:color w:val="auto"/>
          <w:sz w:val="44"/>
          <w:szCs w:val="44"/>
          <w:highlight w:val="none"/>
        </w:rPr>
      </w:pPr>
    </w:p>
    <w:p>
      <w:pPr>
        <w:pageBreakBefore w:val="0"/>
        <w:kinsoku/>
        <w:wordWrap/>
        <w:overflowPunct/>
        <w:topLinePunct w:val="0"/>
        <w:autoSpaceDE/>
        <w:autoSpaceDN/>
        <w:bidi w:val="0"/>
        <w:spacing w:line="576" w:lineRule="exact"/>
        <w:jc w:val="center"/>
        <w:textAlignment w:val="auto"/>
        <w:outlineLvl w:val="9"/>
        <w:rPr>
          <w:rFonts w:hint="eastAsia" w:ascii="黑体" w:hAnsi="黑体" w:eastAsia="黑体"/>
          <w:color w:val="auto"/>
          <w:sz w:val="44"/>
          <w:szCs w:val="44"/>
          <w:highlight w:val="none"/>
        </w:rPr>
      </w:pPr>
    </w:p>
    <w:p>
      <w:pPr>
        <w:pageBreakBefore w:val="0"/>
        <w:kinsoku/>
        <w:wordWrap/>
        <w:overflowPunct/>
        <w:topLinePunct w:val="0"/>
        <w:autoSpaceDE/>
        <w:autoSpaceDN/>
        <w:bidi w:val="0"/>
        <w:spacing w:line="576" w:lineRule="exact"/>
        <w:jc w:val="center"/>
        <w:textAlignment w:val="auto"/>
        <w:outlineLvl w:val="9"/>
        <w:rPr>
          <w:rFonts w:hint="eastAsia" w:ascii="黑体" w:hAnsi="黑体" w:eastAsia="黑体"/>
          <w:color w:val="auto"/>
          <w:sz w:val="44"/>
          <w:szCs w:val="44"/>
          <w:highlight w:val="none"/>
        </w:rPr>
      </w:pPr>
    </w:p>
    <w:p>
      <w:pPr>
        <w:pageBreakBefore w:val="0"/>
        <w:kinsoku/>
        <w:wordWrap/>
        <w:overflowPunct/>
        <w:topLinePunct w:val="0"/>
        <w:autoSpaceDE/>
        <w:autoSpaceDN/>
        <w:bidi w:val="0"/>
        <w:spacing w:line="576" w:lineRule="exact"/>
        <w:jc w:val="center"/>
        <w:textAlignment w:val="auto"/>
        <w:outlineLvl w:val="9"/>
        <w:rPr>
          <w:rFonts w:hint="eastAsia" w:ascii="黑体" w:hAnsi="黑体" w:eastAsia="黑体"/>
          <w:color w:val="auto"/>
          <w:sz w:val="44"/>
          <w:szCs w:val="44"/>
          <w:highlight w:val="none"/>
        </w:rPr>
      </w:pPr>
    </w:p>
    <w:p>
      <w:pPr>
        <w:pageBreakBefore w:val="0"/>
        <w:kinsoku/>
        <w:wordWrap/>
        <w:overflowPunct/>
        <w:topLinePunct w:val="0"/>
        <w:autoSpaceDE/>
        <w:autoSpaceDN/>
        <w:bidi w:val="0"/>
        <w:spacing w:line="576" w:lineRule="exact"/>
        <w:jc w:val="center"/>
        <w:textAlignment w:val="auto"/>
        <w:outlineLvl w:val="9"/>
        <w:rPr>
          <w:rFonts w:hint="eastAsia" w:ascii="黑体" w:hAnsi="黑体" w:eastAsia="黑体"/>
          <w:color w:val="auto"/>
          <w:sz w:val="44"/>
          <w:szCs w:val="44"/>
          <w:highlight w:val="none"/>
        </w:rPr>
      </w:pPr>
    </w:p>
    <w:p>
      <w:pPr>
        <w:pageBreakBefore w:val="0"/>
        <w:kinsoku/>
        <w:wordWrap/>
        <w:overflowPunct/>
        <w:topLinePunct w:val="0"/>
        <w:autoSpaceDE/>
        <w:autoSpaceDN/>
        <w:bidi w:val="0"/>
        <w:spacing w:line="576" w:lineRule="exact"/>
        <w:jc w:val="center"/>
        <w:textAlignment w:val="auto"/>
        <w:outlineLvl w:val="0"/>
        <w:rPr>
          <w:rFonts w:hint="eastAsia" w:ascii="仿宋" w:hAnsi="仿宋" w:eastAsia="仿宋"/>
          <w:b w:val="0"/>
          <w:color w:val="auto"/>
          <w:highlight w:val="none"/>
        </w:rPr>
      </w:pPr>
      <w:bookmarkStart w:id="116" w:name="_Toc3492"/>
      <w:r>
        <w:rPr>
          <w:rFonts w:hint="eastAsia" w:ascii="黑体" w:hAnsi="黑体" w:eastAsia="黑体"/>
          <w:color w:val="auto"/>
          <w:sz w:val="44"/>
          <w:szCs w:val="44"/>
          <w:highlight w:val="none"/>
        </w:rPr>
        <w:t>第</w:t>
      </w:r>
      <w:r>
        <w:rPr>
          <w:rStyle w:val="31"/>
          <w:rFonts w:hint="eastAsia" w:ascii="黑体" w:hAnsi="黑体" w:eastAsia="黑体"/>
          <w:b w:val="0"/>
          <w:color w:val="auto"/>
          <w:highlight w:val="none"/>
        </w:rPr>
        <w:t>五部分 附表</w:t>
      </w:r>
      <w:bookmarkEnd w:id="116"/>
    </w:p>
    <w:p>
      <w:pPr>
        <w:pStyle w:val="5"/>
        <w:pageBreakBefore w:val="0"/>
        <w:kinsoku/>
        <w:wordWrap/>
        <w:overflowPunct/>
        <w:topLinePunct w:val="0"/>
        <w:autoSpaceDE/>
        <w:autoSpaceDN/>
        <w:bidi w:val="0"/>
        <w:spacing w:line="576" w:lineRule="exact"/>
        <w:textAlignment w:val="auto"/>
        <w:rPr>
          <w:rFonts w:ascii="仿宋" w:hAnsi="仿宋" w:eastAsia="仿宋"/>
          <w:color w:val="auto"/>
          <w:highlight w:val="none"/>
        </w:rPr>
      </w:pPr>
      <w:bookmarkStart w:id="117" w:name="_Toc3070"/>
      <w:r>
        <w:rPr>
          <w:rFonts w:hint="eastAsia" w:ascii="仿宋" w:hAnsi="仿宋" w:eastAsia="仿宋"/>
          <w:b w:val="0"/>
          <w:color w:val="auto"/>
          <w:highlight w:val="none"/>
        </w:rPr>
        <w:t>一、收</w:t>
      </w:r>
      <w:r>
        <w:rPr>
          <w:rStyle w:val="32"/>
          <w:rFonts w:hint="eastAsia" w:ascii="仿宋" w:hAnsi="仿宋" w:eastAsia="仿宋"/>
          <w:b w:val="0"/>
          <w:bCs w:val="0"/>
          <w:color w:val="auto"/>
          <w:highlight w:val="none"/>
        </w:rPr>
        <w:t>入支出决算总表</w:t>
      </w:r>
      <w:bookmarkEnd w:id="115"/>
      <w:bookmarkEnd w:id="117"/>
    </w:p>
    <w:p>
      <w:pPr>
        <w:pStyle w:val="5"/>
        <w:pageBreakBefore w:val="0"/>
        <w:kinsoku/>
        <w:wordWrap/>
        <w:overflowPunct/>
        <w:topLinePunct w:val="0"/>
        <w:autoSpaceDE/>
        <w:autoSpaceDN/>
        <w:bidi w:val="0"/>
        <w:spacing w:line="576" w:lineRule="exact"/>
        <w:textAlignment w:val="auto"/>
        <w:rPr>
          <w:rFonts w:ascii="仿宋" w:hAnsi="仿宋" w:eastAsia="仿宋"/>
          <w:color w:val="auto"/>
          <w:highlight w:val="none"/>
        </w:rPr>
      </w:pPr>
      <w:bookmarkStart w:id="118" w:name="_Toc15396620"/>
      <w:bookmarkStart w:id="119" w:name="_Toc31788"/>
      <w:r>
        <w:rPr>
          <w:rFonts w:hint="eastAsia" w:ascii="仿宋" w:hAnsi="仿宋" w:eastAsia="仿宋"/>
          <w:b w:val="0"/>
          <w:color w:val="auto"/>
          <w:highlight w:val="none"/>
        </w:rPr>
        <w:t>二、收</w:t>
      </w:r>
      <w:r>
        <w:rPr>
          <w:rStyle w:val="32"/>
          <w:rFonts w:hint="eastAsia" w:ascii="仿宋" w:hAnsi="仿宋" w:eastAsia="仿宋"/>
          <w:b w:val="0"/>
          <w:bCs w:val="0"/>
          <w:color w:val="auto"/>
          <w:highlight w:val="none"/>
        </w:rPr>
        <w:t>入决算表</w:t>
      </w:r>
      <w:bookmarkEnd w:id="118"/>
      <w:bookmarkEnd w:id="119"/>
    </w:p>
    <w:p>
      <w:pPr>
        <w:pStyle w:val="5"/>
        <w:pageBreakBefore w:val="0"/>
        <w:kinsoku/>
        <w:wordWrap/>
        <w:overflowPunct/>
        <w:topLinePunct w:val="0"/>
        <w:autoSpaceDE/>
        <w:autoSpaceDN/>
        <w:bidi w:val="0"/>
        <w:spacing w:line="576" w:lineRule="exact"/>
        <w:textAlignment w:val="auto"/>
        <w:rPr>
          <w:rFonts w:ascii="仿宋" w:hAnsi="仿宋" w:eastAsia="仿宋"/>
          <w:color w:val="auto"/>
          <w:highlight w:val="none"/>
        </w:rPr>
      </w:pPr>
      <w:bookmarkStart w:id="120" w:name="_Toc15396621"/>
      <w:bookmarkStart w:id="121" w:name="_Toc21667"/>
      <w:r>
        <w:rPr>
          <w:rStyle w:val="32"/>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2"/>
          <w:rFonts w:hint="eastAsia" w:ascii="仿宋" w:hAnsi="仿宋" w:eastAsia="仿宋"/>
          <w:b w:val="0"/>
          <w:bCs w:val="0"/>
          <w:color w:val="auto"/>
          <w:highlight w:val="none"/>
        </w:rPr>
        <w:t>出决算表</w:t>
      </w:r>
      <w:bookmarkEnd w:id="120"/>
      <w:bookmarkEnd w:id="121"/>
    </w:p>
    <w:p>
      <w:pPr>
        <w:pStyle w:val="5"/>
        <w:pageBreakBefore w:val="0"/>
        <w:kinsoku/>
        <w:wordWrap/>
        <w:overflowPunct/>
        <w:topLinePunct w:val="0"/>
        <w:autoSpaceDE/>
        <w:autoSpaceDN/>
        <w:bidi w:val="0"/>
        <w:spacing w:line="576" w:lineRule="exact"/>
        <w:textAlignment w:val="auto"/>
        <w:rPr>
          <w:rFonts w:ascii="仿宋" w:hAnsi="仿宋" w:eastAsia="仿宋"/>
          <w:b w:val="0"/>
          <w:color w:val="auto"/>
          <w:highlight w:val="none"/>
        </w:rPr>
      </w:pPr>
      <w:bookmarkStart w:id="122" w:name="_Toc15396622"/>
      <w:bookmarkStart w:id="123" w:name="_Toc20528"/>
      <w:r>
        <w:rPr>
          <w:rStyle w:val="32"/>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2"/>
          <w:rFonts w:hint="eastAsia" w:ascii="仿宋" w:hAnsi="仿宋" w:eastAsia="仿宋"/>
          <w:b w:val="0"/>
          <w:bCs w:val="0"/>
          <w:color w:val="auto"/>
          <w:highlight w:val="none"/>
        </w:rPr>
        <w:t>政拨款收入支出决算总表</w:t>
      </w:r>
      <w:bookmarkEnd w:id="122"/>
      <w:bookmarkEnd w:id="123"/>
    </w:p>
    <w:p>
      <w:pPr>
        <w:pStyle w:val="5"/>
        <w:pageBreakBefore w:val="0"/>
        <w:kinsoku/>
        <w:wordWrap/>
        <w:overflowPunct/>
        <w:topLinePunct w:val="0"/>
        <w:autoSpaceDE/>
        <w:autoSpaceDN/>
        <w:bidi w:val="0"/>
        <w:spacing w:line="576" w:lineRule="exact"/>
        <w:textAlignment w:val="auto"/>
        <w:rPr>
          <w:rStyle w:val="32"/>
          <w:rFonts w:ascii="仿宋" w:hAnsi="仿宋" w:eastAsia="仿宋"/>
          <w:b w:val="0"/>
          <w:bCs w:val="0"/>
          <w:color w:val="auto"/>
          <w:highlight w:val="none"/>
        </w:rPr>
      </w:pPr>
      <w:bookmarkStart w:id="124" w:name="_Toc15396623"/>
      <w:bookmarkStart w:id="125" w:name="_Toc3810"/>
      <w:r>
        <w:rPr>
          <w:rStyle w:val="32"/>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2"/>
          <w:rFonts w:hint="eastAsia" w:ascii="仿宋" w:hAnsi="仿宋" w:eastAsia="仿宋"/>
          <w:b w:val="0"/>
          <w:bCs w:val="0"/>
          <w:color w:val="auto"/>
          <w:highlight w:val="none"/>
        </w:rPr>
        <w:t>政拨款支出决算明细表</w:t>
      </w:r>
      <w:bookmarkEnd w:id="124"/>
      <w:bookmarkEnd w:id="125"/>
      <w:bookmarkStart w:id="126" w:name="_Toc15396624"/>
    </w:p>
    <w:p>
      <w:pPr>
        <w:pStyle w:val="5"/>
        <w:pageBreakBefore w:val="0"/>
        <w:kinsoku/>
        <w:wordWrap/>
        <w:overflowPunct/>
        <w:topLinePunct w:val="0"/>
        <w:autoSpaceDE/>
        <w:autoSpaceDN/>
        <w:bidi w:val="0"/>
        <w:spacing w:line="576" w:lineRule="exact"/>
        <w:textAlignment w:val="auto"/>
        <w:rPr>
          <w:rFonts w:ascii="仿宋" w:hAnsi="仿宋" w:eastAsia="仿宋"/>
          <w:color w:val="auto"/>
          <w:highlight w:val="none"/>
        </w:rPr>
      </w:pPr>
      <w:bookmarkStart w:id="127" w:name="_Toc15920"/>
      <w:r>
        <w:rPr>
          <w:rStyle w:val="32"/>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2"/>
          <w:rFonts w:hint="eastAsia" w:ascii="仿宋" w:hAnsi="仿宋" w:eastAsia="仿宋"/>
          <w:b w:val="0"/>
          <w:bCs w:val="0"/>
          <w:color w:val="auto"/>
          <w:highlight w:val="none"/>
        </w:rPr>
        <w:t>般公共预算财政拨款支出决算表</w:t>
      </w:r>
      <w:bookmarkEnd w:id="126"/>
      <w:bookmarkEnd w:id="127"/>
    </w:p>
    <w:p>
      <w:pPr>
        <w:pStyle w:val="5"/>
        <w:pageBreakBefore w:val="0"/>
        <w:kinsoku/>
        <w:wordWrap/>
        <w:overflowPunct/>
        <w:topLinePunct w:val="0"/>
        <w:autoSpaceDE/>
        <w:autoSpaceDN/>
        <w:bidi w:val="0"/>
        <w:spacing w:line="576" w:lineRule="exact"/>
        <w:textAlignment w:val="auto"/>
        <w:rPr>
          <w:rFonts w:ascii="仿宋" w:hAnsi="仿宋" w:eastAsia="仿宋"/>
          <w:color w:val="auto"/>
          <w:highlight w:val="none"/>
        </w:rPr>
      </w:pPr>
      <w:bookmarkStart w:id="128" w:name="_Toc15396625"/>
      <w:bookmarkStart w:id="129" w:name="_Toc12233"/>
      <w:r>
        <w:rPr>
          <w:rStyle w:val="32"/>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2"/>
          <w:rFonts w:hint="eastAsia" w:ascii="仿宋" w:hAnsi="仿宋" w:eastAsia="仿宋"/>
          <w:b w:val="0"/>
          <w:bCs w:val="0"/>
          <w:color w:val="auto"/>
          <w:highlight w:val="none"/>
        </w:rPr>
        <w:t>般公共预算财政拨款支出决算明细表</w:t>
      </w:r>
      <w:bookmarkEnd w:id="128"/>
      <w:bookmarkEnd w:id="129"/>
    </w:p>
    <w:p>
      <w:pPr>
        <w:pStyle w:val="5"/>
        <w:pageBreakBefore w:val="0"/>
        <w:kinsoku/>
        <w:wordWrap/>
        <w:overflowPunct/>
        <w:topLinePunct w:val="0"/>
        <w:autoSpaceDE/>
        <w:autoSpaceDN/>
        <w:bidi w:val="0"/>
        <w:spacing w:line="576" w:lineRule="exact"/>
        <w:textAlignment w:val="auto"/>
        <w:rPr>
          <w:rFonts w:ascii="仿宋" w:hAnsi="仿宋" w:eastAsia="仿宋"/>
          <w:color w:val="auto"/>
          <w:highlight w:val="none"/>
        </w:rPr>
      </w:pPr>
      <w:bookmarkStart w:id="130" w:name="_Toc15396626"/>
      <w:bookmarkStart w:id="131" w:name="_Toc22375"/>
      <w:r>
        <w:rPr>
          <w:rStyle w:val="32"/>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2"/>
          <w:rFonts w:hint="eastAsia" w:ascii="仿宋" w:hAnsi="仿宋" w:eastAsia="仿宋"/>
          <w:b w:val="0"/>
          <w:bCs w:val="0"/>
          <w:color w:val="auto"/>
          <w:highlight w:val="none"/>
        </w:rPr>
        <w:t>般公共预算财政拨款基本支出决算表</w:t>
      </w:r>
      <w:bookmarkEnd w:id="130"/>
      <w:bookmarkEnd w:id="131"/>
    </w:p>
    <w:p>
      <w:pPr>
        <w:pStyle w:val="5"/>
        <w:pageBreakBefore w:val="0"/>
        <w:kinsoku/>
        <w:wordWrap/>
        <w:overflowPunct/>
        <w:topLinePunct w:val="0"/>
        <w:autoSpaceDE/>
        <w:autoSpaceDN/>
        <w:bidi w:val="0"/>
        <w:spacing w:line="576" w:lineRule="exact"/>
        <w:textAlignment w:val="auto"/>
        <w:rPr>
          <w:rFonts w:ascii="仿宋" w:hAnsi="仿宋" w:eastAsia="仿宋"/>
          <w:color w:val="auto"/>
          <w:highlight w:val="none"/>
        </w:rPr>
      </w:pPr>
      <w:bookmarkStart w:id="132" w:name="_Toc15396627"/>
      <w:bookmarkStart w:id="133" w:name="_Toc14973"/>
      <w:r>
        <w:rPr>
          <w:rStyle w:val="32"/>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2"/>
          <w:rFonts w:hint="eastAsia" w:ascii="仿宋" w:hAnsi="仿宋" w:eastAsia="仿宋"/>
          <w:b w:val="0"/>
          <w:bCs w:val="0"/>
          <w:color w:val="auto"/>
          <w:highlight w:val="none"/>
        </w:rPr>
        <w:t>般公共预算财政拨款项目支出决算表</w:t>
      </w:r>
      <w:bookmarkEnd w:id="132"/>
      <w:bookmarkEnd w:id="133"/>
    </w:p>
    <w:p>
      <w:pPr>
        <w:pStyle w:val="5"/>
        <w:pageBreakBefore w:val="0"/>
        <w:kinsoku/>
        <w:wordWrap/>
        <w:overflowPunct/>
        <w:topLinePunct w:val="0"/>
        <w:autoSpaceDE/>
        <w:autoSpaceDN/>
        <w:bidi w:val="0"/>
        <w:spacing w:line="576" w:lineRule="exact"/>
        <w:textAlignment w:val="auto"/>
        <w:rPr>
          <w:rFonts w:ascii="仿宋" w:hAnsi="仿宋" w:eastAsia="仿宋"/>
          <w:color w:val="auto"/>
          <w:highlight w:val="none"/>
        </w:rPr>
      </w:pPr>
      <w:bookmarkStart w:id="134" w:name="_Toc15396628"/>
      <w:bookmarkStart w:id="135" w:name="_Toc21974"/>
      <w:r>
        <w:rPr>
          <w:rStyle w:val="32"/>
          <w:rFonts w:hint="eastAsia" w:ascii="仿宋" w:hAnsi="仿宋" w:eastAsia="仿宋"/>
          <w:b w:val="0"/>
          <w:bCs w:val="0"/>
          <w:color w:val="auto"/>
          <w:highlight w:val="none"/>
        </w:rPr>
        <w:t>十、</w:t>
      </w:r>
      <w:bookmarkEnd w:id="134"/>
      <w:r>
        <w:rPr>
          <w:rFonts w:hint="eastAsia" w:ascii="仿宋" w:hAnsi="仿宋" w:eastAsia="仿宋"/>
          <w:b w:val="0"/>
          <w:color w:val="auto"/>
          <w:highlight w:val="none"/>
        </w:rPr>
        <w:t>政</w:t>
      </w:r>
      <w:r>
        <w:rPr>
          <w:rStyle w:val="32"/>
          <w:rFonts w:hint="eastAsia" w:ascii="仿宋" w:hAnsi="仿宋" w:eastAsia="仿宋"/>
          <w:b w:val="0"/>
          <w:bCs w:val="0"/>
          <w:color w:val="auto"/>
          <w:highlight w:val="none"/>
        </w:rPr>
        <w:t>府性基金预算财政拨款收入支出决算表</w:t>
      </w:r>
      <w:bookmarkEnd w:id="135"/>
    </w:p>
    <w:p>
      <w:pPr>
        <w:pStyle w:val="5"/>
        <w:pageBreakBefore w:val="0"/>
        <w:kinsoku/>
        <w:wordWrap/>
        <w:overflowPunct/>
        <w:topLinePunct w:val="0"/>
        <w:autoSpaceDE/>
        <w:autoSpaceDN/>
        <w:bidi w:val="0"/>
        <w:spacing w:line="576" w:lineRule="exact"/>
        <w:textAlignment w:val="auto"/>
        <w:rPr>
          <w:rFonts w:ascii="仿宋" w:hAnsi="仿宋" w:eastAsia="仿宋"/>
          <w:color w:val="auto"/>
          <w:highlight w:val="none"/>
        </w:rPr>
      </w:pPr>
      <w:bookmarkStart w:id="136" w:name="_Toc15396629"/>
      <w:bookmarkStart w:id="137" w:name="_Toc32427"/>
      <w:r>
        <w:rPr>
          <w:rStyle w:val="32"/>
          <w:rFonts w:hint="eastAsia" w:ascii="仿宋" w:hAnsi="仿宋" w:eastAsia="仿宋"/>
          <w:b w:val="0"/>
          <w:bCs w:val="0"/>
          <w:color w:val="auto"/>
          <w:highlight w:val="none"/>
        </w:rPr>
        <w:t>十一、</w:t>
      </w:r>
      <w:bookmarkEnd w:id="136"/>
      <w:r>
        <w:rPr>
          <w:rFonts w:hint="eastAsia" w:ascii="仿宋" w:hAnsi="仿宋" w:eastAsia="仿宋"/>
          <w:b w:val="0"/>
          <w:color w:val="auto"/>
          <w:highlight w:val="none"/>
        </w:rPr>
        <w:t>国</w:t>
      </w:r>
      <w:r>
        <w:rPr>
          <w:rStyle w:val="32"/>
          <w:rFonts w:hint="eastAsia" w:ascii="仿宋" w:hAnsi="仿宋" w:eastAsia="仿宋"/>
          <w:b w:val="0"/>
          <w:bCs w:val="0"/>
          <w:color w:val="auto"/>
          <w:highlight w:val="none"/>
        </w:rPr>
        <w:t>有资本经营预算</w:t>
      </w:r>
      <w:r>
        <w:rPr>
          <w:rStyle w:val="32"/>
          <w:rFonts w:hint="eastAsia" w:ascii="仿宋" w:hAnsi="仿宋" w:eastAsia="仿宋"/>
          <w:b w:val="0"/>
          <w:bCs w:val="0"/>
          <w:color w:val="auto"/>
          <w:highlight w:val="none"/>
          <w:lang w:eastAsia="zh-CN"/>
        </w:rPr>
        <w:t>财政拨款收入</w:t>
      </w:r>
      <w:r>
        <w:rPr>
          <w:rStyle w:val="32"/>
          <w:rFonts w:hint="eastAsia" w:ascii="仿宋" w:hAnsi="仿宋" w:eastAsia="仿宋"/>
          <w:b w:val="0"/>
          <w:bCs w:val="0"/>
          <w:color w:val="auto"/>
          <w:highlight w:val="none"/>
        </w:rPr>
        <w:t>支出决算表</w:t>
      </w:r>
      <w:bookmarkEnd w:id="137"/>
    </w:p>
    <w:p>
      <w:pPr>
        <w:pStyle w:val="5"/>
        <w:pageBreakBefore w:val="0"/>
        <w:kinsoku/>
        <w:wordWrap/>
        <w:overflowPunct/>
        <w:topLinePunct w:val="0"/>
        <w:autoSpaceDE/>
        <w:autoSpaceDN/>
        <w:bidi w:val="0"/>
        <w:spacing w:line="576" w:lineRule="exact"/>
        <w:textAlignment w:val="auto"/>
        <w:rPr>
          <w:rFonts w:ascii="仿宋" w:hAnsi="仿宋" w:eastAsia="仿宋"/>
          <w:color w:val="auto"/>
          <w:highlight w:val="none"/>
        </w:rPr>
      </w:pPr>
      <w:bookmarkStart w:id="138" w:name="_Toc15396630"/>
      <w:bookmarkStart w:id="139" w:name="_Toc31099"/>
      <w:r>
        <w:rPr>
          <w:rStyle w:val="32"/>
          <w:rFonts w:hint="eastAsia" w:ascii="仿宋" w:hAnsi="仿宋" w:eastAsia="仿宋"/>
          <w:b w:val="0"/>
          <w:bCs w:val="0"/>
          <w:color w:val="auto"/>
          <w:highlight w:val="none"/>
        </w:rPr>
        <w:t>十二、</w:t>
      </w:r>
      <w:bookmarkEnd w:id="138"/>
      <w:r>
        <w:rPr>
          <w:rStyle w:val="32"/>
          <w:rFonts w:hint="eastAsia" w:ascii="仿宋" w:hAnsi="仿宋" w:eastAsia="仿宋"/>
          <w:b w:val="0"/>
          <w:bCs w:val="0"/>
          <w:color w:val="auto"/>
          <w:highlight w:val="none"/>
          <w:lang w:eastAsia="zh-CN"/>
        </w:rPr>
        <w:t>国有资本经营预算财政拨款支出决算表</w:t>
      </w:r>
      <w:bookmarkEnd w:id="139"/>
    </w:p>
    <w:p>
      <w:pPr>
        <w:pStyle w:val="5"/>
        <w:pageBreakBefore w:val="0"/>
        <w:kinsoku/>
        <w:wordWrap/>
        <w:overflowPunct/>
        <w:topLinePunct w:val="0"/>
        <w:autoSpaceDE/>
        <w:autoSpaceDN/>
        <w:bidi w:val="0"/>
        <w:spacing w:line="576" w:lineRule="exact"/>
        <w:textAlignment w:val="auto"/>
        <w:rPr>
          <w:rFonts w:hint="eastAsia" w:eastAsia="仿宋"/>
          <w:color w:val="auto"/>
          <w:highlight w:val="none"/>
          <w:lang w:eastAsia="zh-CN"/>
        </w:rPr>
      </w:pPr>
      <w:bookmarkStart w:id="140" w:name="_Toc15396631"/>
      <w:bookmarkStart w:id="141" w:name="_Toc14161"/>
      <w:r>
        <w:rPr>
          <w:rStyle w:val="32"/>
          <w:rFonts w:hint="eastAsia" w:ascii="仿宋" w:hAnsi="仿宋" w:eastAsia="仿宋"/>
          <w:b w:val="0"/>
          <w:bCs w:val="0"/>
          <w:color w:val="auto"/>
          <w:highlight w:val="none"/>
        </w:rPr>
        <w:t>十三、</w:t>
      </w:r>
      <w:bookmarkEnd w:id="140"/>
      <w:r>
        <w:rPr>
          <w:rStyle w:val="32"/>
          <w:rFonts w:hint="eastAsia" w:ascii="仿宋" w:hAnsi="仿宋" w:eastAsia="仿宋"/>
          <w:b w:val="0"/>
          <w:bCs w:val="0"/>
          <w:color w:val="auto"/>
          <w:highlight w:val="none"/>
          <w:lang w:eastAsia="zh-CN"/>
        </w:rPr>
        <w:t>财政拨款“三公”经费支出决算表</w:t>
      </w:r>
      <w:bookmarkEnd w:id="141"/>
    </w:p>
    <w:sectPr>
      <w:footerReference r:id="rId5" w:type="first"/>
      <w:headerReference r:id="rId3" w:type="default"/>
      <w:footerReference r:id="rId4" w:type="default"/>
      <w:pgSz w:w="11906" w:h="16838"/>
      <w:pgMar w:top="1417" w:right="1417" w:bottom="1417" w:left="141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54371C"/>
    <w:multiLevelType w:val="singleLevel"/>
    <w:tmpl w:val="B754371C"/>
    <w:lvl w:ilvl="0" w:tentative="0">
      <w:start w:val="2"/>
      <w:numFmt w:val="decimal"/>
      <w:lvlText w:val="%1."/>
      <w:lvlJc w:val="left"/>
      <w:pPr>
        <w:tabs>
          <w:tab w:val="left" w:pos="312"/>
        </w:tabs>
      </w:pPr>
      <w:rPr>
        <w:rFonts w:cs="Times New Roman"/>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OTJlMTJjZTQ0ODNmMTdkYmI0ZTdlMDNhOWNmNDc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6899"/>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57570"/>
    <w:rsid w:val="015975B8"/>
    <w:rsid w:val="017D31AE"/>
    <w:rsid w:val="01A95AA3"/>
    <w:rsid w:val="021008B6"/>
    <w:rsid w:val="02143E91"/>
    <w:rsid w:val="03433F84"/>
    <w:rsid w:val="03DD7F34"/>
    <w:rsid w:val="04194A08"/>
    <w:rsid w:val="04602913"/>
    <w:rsid w:val="05A86320"/>
    <w:rsid w:val="066E0107"/>
    <w:rsid w:val="06DB44D3"/>
    <w:rsid w:val="071C6FC5"/>
    <w:rsid w:val="07291773"/>
    <w:rsid w:val="07996F6E"/>
    <w:rsid w:val="07C442AC"/>
    <w:rsid w:val="07F35A71"/>
    <w:rsid w:val="08587F60"/>
    <w:rsid w:val="090E0B90"/>
    <w:rsid w:val="09F91840"/>
    <w:rsid w:val="0A2032A3"/>
    <w:rsid w:val="0BB73761"/>
    <w:rsid w:val="0D1424ED"/>
    <w:rsid w:val="0D8238FA"/>
    <w:rsid w:val="0D984ECC"/>
    <w:rsid w:val="0E511C4A"/>
    <w:rsid w:val="0E7B037C"/>
    <w:rsid w:val="0EB775D4"/>
    <w:rsid w:val="0EB8466C"/>
    <w:rsid w:val="0EF408B8"/>
    <w:rsid w:val="0F6B0AEA"/>
    <w:rsid w:val="0F98263C"/>
    <w:rsid w:val="0FB3423F"/>
    <w:rsid w:val="0FF7412C"/>
    <w:rsid w:val="101860EC"/>
    <w:rsid w:val="104C3191"/>
    <w:rsid w:val="10593038"/>
    <w:rsid w:val="10720A94"/>
    <w:rsid w:val="10C055FF"/>
    <w:rsid w:val="110F67A9"/>
    <w:rsid w:val="118107EC"/>
    <w:rsid w:val="123F7BEF"/>
    <w:rsid w:val="129B7938"/>
    <w:rsid w:val="12FB0DAF"/>
    <w:rsid w:val="137F46E6"/>
    <w:rsid w:val="13CA3115"/>
    <w:rsid w:val="13D50BC4"/>
    <w:rsid w:val="145F4995"/>
    <w:rsid w:val="155618F1"/>
    <w:rsid w:val="16372778"/>
    <w:rsid w:val="16BB723D"/>
    <w:rsid w:val="17793FC0"/>
    <w:rsid w:val="17935082"/>
    <w:rsid w:val="1814160E"/>
    <w:rsid w:val="19283F59"/>
    <w:rsid w:val="19287A4C"/>
    <w:rsid w:val="19C21C4E"/>
    <w:rsid w:val="1BE8440E"/>
    <w:rsid w:val="1C4032FE"/>
    <w:rsid w:val="1C6D4F43"/>
    <w:rsid w:val="1CB50221"/>
    <w:rsid w:val="1CBD6298"/>
    <w:rsid w:val="1D155CEE"/>
    <w:rsid w:val="1D1F2F14"/>
    <w:rsid w:val="1DA04055"/>
    <w:rsid w:val="1E960FB4"/>
    <w:rsid w:val="1EA25BAA"/>
    <w:rsid w:val="1ED55F80"/>
    <w:rsid w:val="1F9C4CF0"/>
    <w:rsid w:val="1FF35744"/>
    <w:rsid w:val="209C3CA3"/>
    <w:rsid w:val="21554126"/>
    <w:rsid w:val="21641C38"/>
    <w:rsid w:val="21C1459A"/>
    <w:rsid w:val="21D513D2"/>
    <w:rsid w:val="21E008B3"/>
    <w:rsid w:val="21FB1276"/>
    <w:rsid w:val="21FE759C"/>
    <w:rsid w:val="22A31EF1"/>
    <w:rsid w:val="235A2EF8"/>
    <w:rsid w:val="23860B96"/>
    <w:rsid w:val="240371BF"/>
    <w:rsid w:val="24F3072E"/>
    <w:rsid w:val="25A0096A"/>
    <w:rsid w:val="25EB4CB3"/>
    <w:rsid w:val="26270B2F"/>
    <w:rsid w:val="26292728"/>
    <w:rsid w:val="263F301E"/>
    <w:rsid w:val="26AF266D"/>
    <w:rsid w:val="27174C5C"/>
    <w:rsid w:val="272F01F7"/>
    <w:rsid w:val="27602512"/>
    <w:rsid w:val="27D63670"/>
    <w:rsid w:val="288A4FE4"/>
    <w:rsid w:val="28AD3762"/>
    <w:rsid w:val="29FD04D3"/>
    <w:rsid w:val="2A1738F0"/>
    <w:rsid w:val="2A2D6DAD"/>
    <w:rsid w:val="2A4346E5"/>
    <w:rsid w:val="2A9F337E"/>
    <w:rsid w:val="2AE83DFC"/>
    <w:rsid w:val="2AF05EF0"/>
    <w:rsid w:val="2B781AF8"/>
    <w:rsid w:val="2BCA4992"/>
    <w:rsid w:val="2BFE39DA"/>
    <w:rsid w:val="2C85243D"/>
    <w:rsid w:val="2C8A61B5"/>
    <w:rsid w:val="2CC04FBD"/>
    <w:rsid w:val="2D145493"/>
    <w:rsid w:val="2D482762"/>
    <w:rsid w:val="2DF04E50"/>
    <w:rsid w:val="2E211242"/>
    <w:rsid w:val="2E7D4916"/>
    <w:rsid w:val="2F040D46"/>
    <w:rsid w:val="2FD91648"/>
    <w:rsid w:val="3004782D"/>
    <w:rsid w:val="3029612C"/>
    <w:rsid w:val="303C59D0"/>
    <w:rsid w:val="30676611"/>
    <w:rsid w:val="30803872"/>
    <w:rsid w:val="3135742D"/>
    <w:rsid w:val="319F7F4E"/>
    <w:rsid w:val="32313075"/>
    <w:rsid w:val="3304709D"/>
    <w:rsid w:val="3371531A"/>
    <w:rsid w:val="33723946"/>
    <w:rsid w:val="33EA5EF4"/>
    <w:rsid w:val="34F34F5A"/>
    <w:rsid w:val="35386E11"/>
    <w:rsid w:val="35B94AD6"/>
    <w:rsid w:val="36604554"/>
    <w:rsid w:val="36A5701E"/>
    <w:rsid w:val="36AA5135"/>
    <w:rsid w:val="36CE7EC6"/>
    <w:rsid w:val="36F823B4"/>
    <w:rsid w:val="370945C1"/>
    <w:rsid w:val="376D39B2"/>
    <w:rsid w:val="37E16F03"/>
    <w:rsid w:val="38495AC2"/>
    <w:rsid w:val="38545D10"/>
    <w:rsid w:val="38926838"/>
    <w:rsid w:val="38CC7F9C"/>
    <w:rsid w:val="38D469F0"/>
    <w:rsid w:val="39287538"/>
    <w:rsid w:val="3A037A62"/>
    <w:rsid w:val="3A211C22"/>
    <w:rsid w:val="3B151A1C"/>
    <w:rsid w:val="3CE27D8E"/>
    <w:rsid w:val="3D962062"/>
    <w:rsid w:val="3D98207C"/>
    <w:rsid w:val="3DD6576A"/>
    <w:rsid w:val="3E0265D7"/>
    <w:rsid w:val="3E1D4E86"/>
    <w:rsid w:val="3E78745D"/>
    <w:rsid w:val="3EE02148"/>
    <w:rsid w:val="3FB850E4"/>
    <w:rsid w:val="401D10DD"/>
    <w:rsid w:val="40611E66"/>
    <w:rsid w:val="41BF13DE"/>
    <w:rsid w:val="42684C1F"/>
    <w:rsid w:val="42AA1EEF"/>
    <w:rsid w:val="445E3D4E"/>
    <w:rsid w:val="44636F6A"/>
    <w:rsid w:val="446D38F9"/>
    <w:rsid w:val="447132DA"/>
    <w:rsid w:val="449776B0"/>
    <w:rsid w:val="44C63AF1"/>
    <w:rsid w:val="44E268DA"/>
    <w:rsid w:val="465A0995"/>
    <w:rsid w:val="474B4BE4"/>
    <w:rsid w:val="47CD163B"/>
    <w:rsid w:val="47E471F3"/>
    <w:rsid w:val="47F46BC7"/>
    <w:rsid w:val="48162D42"/>
    <w:rsid w:val="481946DF"/>
    <w:rsid w:val="482E20D9"/>
    <w:rsid w:val="48A877FA"/>
    <w:rsid w:val="49815FF1"/>
    <w:rsid w:val="49B605D8"/>
    <w:rsid w:val="49F012F2"/>
    <w:rsid w:val="4A0B1FA6"/>
    <w:rsid w:val="4A627F82"/>
    <w:rsid w:val="4A941636"/>
    <w:rsid w:val="4B0E749A"/>
    <w:rsid w:val="4B4F25DA"/>
    <w:rsid w:val="4B8D35BB"/>
    <w:rsid w:val="4BB87F0C"/>
    <w:rsid w:val="4BE068DB"/>
    <w:rsid w:val="4CA2087B"/>
    <w:rsid w:val="4CAA4DA6"/>
    <w:rsid w:val="4CAC5CC3"/>
    <w:rsid w:val="4CEF7ACA"/>
    <w:rsid w:val="4CFD42E7"/>
    <w:rsid w:val="4CFF79A7"/>
    <w:rsid w:val="4D577224"/>
    <w:rsid w:val="4EAB630A"/>
    <w:rsid w:val="4ECE2238"/>
    <w:rsid w:val="4F1C6FAF"/>
    <w:rsid w:val="50CC248F"/>
    <w:rsid w:val="50F001D8"/>
    <w:rsid w:val="51CE0489"/>
    <w:rsid w:val="520F6430"/>
    <w:rsid w:val="526F21BD"/>
    <w:rsid w:val="53456A99"/>
    <w:rsid w:val="537E6D0A"/>
    <w:rsid w:val="53861684"/>
    <w:rsid w:val="53A85FCF"/>
    <w:rsid w:val="545F361A"/>
    <w:rsid w:val="550A2DCF"/>
    <w:rsid w:val="55B677C4"/>
    <w:rsid w:val="56D73520"/>
    <w:rsid w:val="57DB3900"/>
    <w:rsid w:val="599445C0"/>
    <w:rsid w:val="5A9034EB"/>
    <w:rsid w:val="5AF92295"/>
    <w:rsid w:val="5B0171D9"/>
    <w:rsid w:val="5B18349B"/>
    <w:rsid w:val="5CD71FC4"/>
    <w:rsid w:val="5D284DAF"/>
    <w:rsid w:val="5D6B3790"/>
    <w:rsid w:val="5E3867AE"/>
    <w:rsid w:val="5E3F454D"/>
    <w:rsid w:val="5EBF51BD"/>
    <w:rsid w:val="5F9A19AB"/>
    <w:rsid w:val="60073EBC"/>
    <w:rsid w:val="60520925"/>
    <w:rsid w:val="60AF76D8"/>
    <w:rsid w:val="60D661C8"/>
    <w:rsid w:val="60E329A8"/>
    <w:rsid w:val="60F4448F"/>
    <w:rsid w:val="615A7643"/>
    <w:rsid w:val="61ED04B8"/>
    <w:rsid w:val="62C456BC"/>
    <w:rsid w:val="62EA6AD3"/>
    <w:rsid w:val="637A5D7B"/>
    <w:rsid w:val="63DD455C"/>
    <w:rsid w:val="63F15E9E"/>
    <w:rsid w:val="63FC3DF1"/>
    <w:rsid w:val="64125E7C"/>
    <w:rsid w:val="64D56443"/>
    <w:rsid w:val="655F54A3"/>
    <w:rsid w:val="656C5B97"/>
    <w:rsid w:val="65DE4CE7"/>
    <w:rsid w:val="667411A7"/>
    <w:rsid w:val="66E37976"/>
    <w:rsid w:val="67A4786A"/>
    <w:rsid w:val="682D04B3"/>
    <w:rsid w:val="685A261F"/>
    <w:rsid w:val="68802085"/>
    <w:rsid w:val="68CB0E27"/>
    <w:rsid w:val="68DB1A86"/>
    <w:rsid w:val="68EF78C6"/>
    <w:rsid w:val="69365204"/>
    <w:rsid w:val="699D6C67"/>
    <w:rsid w:val="6A637E95"/>
    <w:rsid w:val="6AD370E6"/>
    <w:rsid w:val="6B0861FC"/>
    <w:rsid w:val="6B1B4485"/>
    <w:rsid w:val="6BB87D88"/>
    <w:rsid w:val="6BD11822"/>
    <w:rsid w:val="6C2471CC"/>
    <w:rsid w:val="6C4532E3"/>
    <w:rsid w:val="6C4A05C8"/>
    <w:rsid w:val="6DBE53FE"/>
    <w:rsid w:val="6E0C43BB"/>
    <w:rsid w:val="6E645FA5"/>
    <w:rsid w:val="6E7E3605"/>
    <w:rsid w:val="6EE36ECA"/>
    <w:rsid w:val="6FF5CC65"/>
    <w:rsid w:val="70F11508"/>
    <w:rsid w:val="715C0E4B"/>
    <w:rsid w:val="71724535"/>
    <w:rsid w:val="71E97F59"/>
    <w:rsid w:val="72734D90"/>
    <w:rsid w:val="727453AB"/>
    <w:rsid w:val="72F21DD2"/>
    <w:rsid w:val="72F773E8"/>
    <w:rsid w:val="73AD73D5"/>
    <w:rsid w:val="73B6EB34"/>
    <w:rsid w:val="74367A9C"/>
    <w:rsid w:val="744321B9"/>
    <w:rsid w:val="744731E5"/>
    <w:rsid w:val="746B2FF7"/>
    <w:rsid w:val="7475488F"/>
    <w:rsid w:val="74960B2D"/>
    <w:rsid w:val="74AE1D28"/>
    <w:rsid w:val="7528437E"/>
    <w:rsid w:val="759E7396"/>
    <w:rsid w:val="75AB270C"/>
    <w:rsid w:val="76587F18"/>
    <w:rsid w:val="76E3355F"/>
    <w:rsid w:val="778769C8"/>
    <w:rsid w:val="78177BE5"/>
    <w:rsid w:val="78CF711D"/>
    <w:rsid w:val="78DD2BDC"/>
    <w:rsid w:val="79EE5BA4"/>
    <w:rsid w:val="7A894339"/>
    <w:rsid w:val="7A92411C"/>
    <w:rsid w:val="7B1F7A9B"/>
    <w:rsid w:val="7B3D0369"/>
    <w:rsid w:val="7B86755B"/>
    <w:rsid w:val="7D2F3C22"/>
    <w:rsid w:val="7DB83C18"/>
    <w:rsid w:val="7EEF11D3"/>
    <w:rsid w:val="7EF36AAD"/>
    <w:rsid w:val="7F361298"/>
    <w:rsid w:val="7FA30C79"/>
    <w:rsid w:val="7FB7269E"/>
    <w:rsid w:val="7FC96657"/>
    <w:rsid w:val="7FE1217F"/>
    <w:rsid w:val="7FEB1665"/>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31"/>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style>
  <w:style w:type="paragraph" w:styleId="4">
    <w:name w:val="Normal Indent"/>
    <w:basedOn w:val="1"/>
    <w:semiHidden/>
    <w:qFormat/>
    <w:uiPriority w:val="99"/>
    <w:pPr>
      <w:ind w:firstLine="420" w:firstLineChars="200"/>
    </w:pPr>
  </w:style>
  <w:style w:type="paragraph" w:styleId="7">
    <w:name w:val="Body Text"/>
    <w:basedOn w:val="1"/>
    <w:link w:val="28"/>
    <w:qFormat/>
    <w:uiPriority w:val="99"/>
    <w:pPr>
      <w:spacing w:beforeLines="30"/>
    </w:pPr>
    <w:rPr>
      <w:rFonts w:ascii="仿宋_GB2312" w:eastAsia="仿宋_GB2312"/>
      <w:kern w:val="0"/>
      <w:sz w:val="30"/>
    </w:rPr>
  </w:style>
  <w:style w:type="paragraph" w:styleId="8">
    <w:name w:val="Body Text Indent"/>
    <w:basedOn w:val="1"/>
    <w:qFormat/>
    <w:uiPriority w:val="0"/>
    <w:pPr>
      <w:spacing w:after="120"/>
      <w:ind w:leftChars="200"/>
    </w:pPr>
    <w:rPr>
      <w:rFonts w:ascii="仿宋_GB2312"/>
      <w:szCs w:val="32"/>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4"/>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qFormat/>
    <w:uiPriority w:val="99"/>
    <w:pPr>
      <w:jc w:val="center"/>
      <w:outlineLvl w:val="0"/>
    </w:pPr>
    <w:rPr>
      <w:rFonts w:ascii="Cambria" w:hAnsi="Cambria" w:eastAsia="方正小标宋简体"/>
      <w:bCs/>
      <w:sz w:val="44"/>
      <w:szCs w:val="32"/>
    </w:rPr>
  </w:style>
  <w:style w:type="paragraph" w:styleId="17">
    <w:name w:val="Body Text First Indent 2"/>
    <w:basedOn w:val="8"/>
    <w:unhideWhenUsed/>
    <w:qFormat/>
    <w:uiPriority w:val="99"/>
    <w:pPr>
      <w:ind w:firstLine="420" w:firstLineChars="200"/>
    </w:p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Char"/>
    <w:link w:val="12"/>
    <w:semiHidden/>
    <w:qFormat/>
    <w:locked/>
    <w:uiPriority w:val="99"/>
    <w:rPr>
      <w:sz w:val="18"/>
    </w:rPr>
  </w:style>
  <w:style w:type="character" w:customStyle="1" w:styleId="25">
    <w:name w:val="Footer Char"/>
    <w:basedOn w:val="19"/>
    <w:semiHidden/>
    <w:qFormat/>
    <w:uiPriority w:val="99"/>
    <w:rPr>
      <w:rFonts w:ascii="Times New Roman" w:hAnsi="Times New Roman"/>
      <w:sz w:val="18"/>
      <w:szCs w:val="18"/>
    </w:rPr>
  </w:style>
  <w:style w:type="character" w:customStyle="1" w:styleId="26">
    <w:name w:val="页脚 Char"/>
    <w:link w:val="11"/>
    <w:qFormat/>
    <w:locked/>
    <w:uiPriority w:val="99"/>
    <w:rPr>
      <w:sz w:val="18"/>
    </w:rPr>
  </w:style>
  <w:style w:type="character" w:customStyle="1" w:styleId="27">
    <w:name w:val="Body Text Char"/>
    <w:basedOn w:val="19"/>
    <w:semiHidden/>
    <w:qFormat/>
    <w:uiPriority w:val="99"/>
    <w:rPr>
      <w:rFonts w:ascii="Times New Roman" w:hAnsi="Times New Roman"/>
      <w:szCs w:val="24"/>
    </w:rPr>
  </w:style>
  <w:style w:type="character" w:customStyle="1" w:styleId="28">
    <w:name w:val="正文文本 Char"/>
    <w:link w:val="7"/>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19"/>
    <w:link w:val="3"/>
    <w:qFormat/>
    <w:uiPriority w:val="9"/>
    <w:rPr>
      <w:rFonts w:ascii="Times New Roman" w:hAnsi="Times New Roman"/>
      <w:b/>
      <w:bCs/>
      <w:kern w:val="44"/>
      <w:sz w:val="44"/>
      <w:szCs w:val="44"/>
    </w:rPr>
  </w:style>
  <w:style w:type="character" w:customStyle="1" w:styleId="32">
    <w:name w:val="标题 2 Char"/>
    <w:basedOn w:val="19"/>
    <w:link w:val="5"/>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Char"/>
    <w:basedOn w:val="19"/>
    <w:link w:val="10"/>
    <w:semiHidden/>
    <w:qFormat/>
    <w:uiPriority w:val="99"/>
    <w:rPr>
      <w:rFonts w:ascii="Times New Roman" w:hAnsi="Times New Roman"/>
      <w:kern w:val="2"/>
      <w:sz w:val="18"/>
      <w:szCs w:val="18"/>
    </w:rPr>
  </w:style>
  <w:style w:type="character" w:customStyle="1" w:styleId="35">
    <w:name w:val="标题 3 Char"/>
    <w:basedOn w:val="19"/>
    <w:link w:val="6"/>
    <w:qFormat/>
    <w:uiPriority w:val="9"/>
    <w:rPr>
      <w:rFonts w:ascii="Times New Roman" w:hAnsi="Times New Roman"/>
      <w:b/>
      <w:bCs/>
      <w:kern w:val="2"/>
      <w:sz w:val="32"/>
      <w:szCs w:val="32"/>
    </w:rPr>
  </w:style>
  <w:style w:type="paragraph" w:customStyle="1" w:styleId="36">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8">
    <w:name w:val="font71"/>
    <w:basedOn w:val="19"/>
    <w:qFormat/>
    <w:uiPriority w:val="0"/>
    <w:rPr>
      <w:rFonts w:hint="default" w:ascii="Times New Roman" w:hAnsi="Times New Roman" w:cs="Times New Roman"/>
      <w:color w:val="000000"/>
      <w:sz w:val="16"/>
      <w:szCs w:val="16"/>
      <w:u w:val="none"/>
    </w:rPr>
  </w:style>
  <w:style w:type="character" w:customStyle="1" w:styleId="39">
    <w:name w:val="font31"/>
    <w:basedOn w:val="19"/>
    <w:qFormat/>
    <w:uiPriority w:val="0"/>
    <w:rPr>
      <w:rFonts w:hint="eastAsia" w:ascii="宋体" w:hAnsi="宋体" w:eastAsia="宋体" w:cs="宋体"/>
      <w:color w:val="000000"/>
      <w:sz w:val="16"/>
      <w:szCs w:val="16"/>
      <w:u w:val="none"/>
    </w:rPr>
  </w:style>
  <w:style w:type="character" w:customStyle="1" w:styleId="40">
    <w:name w:val="font41"/>
    <w:basedOn w:val="19"/>
    <w:qFormat/>
    <w:uiPriority w:val="0"/>
    <w:rPr>
      <w:rFonts w:hint="eastAsia" w:ascii="宋体" w:hAnsi="宋体" w:eastAsia="宋体" w:cs="宋体"/>
      <w:color w:val="000000"/>
      <w:sz w:val="16"/>
      <w:szCs w:val="16"/>
      <w:u w:val="none"/>
    </w:rPr>
  </w:style>
  <w:style w:type="paragraph" w:customStyle="1" w:styleId="41">
    <w:name w:val="WPSOffice手动目录 1"/>
    <w:uiPriority w:val="0"/>
    <w:pPr>
      <w:ind w:leftChars="0"/>
    </w:pPr>
    <w:rPr>
      <w:sz w:val="20"/>
      <w:szCs w:val="20"/>
    </w:rPr>
  </w:style>
  <w:style w:type="paragraph" w:customStyle="1" w:styleId="42">
    <w:name w:val="WPSOffice手动目录 2"/>
    <w:uiPriority w:val="0"/>
    <w:pPr>
      <w:ind w:leftChars="200"/>
    </w:pPr>
    <w:rPr>
      <w:sz w:val="20"/>
      <w:szCs w:val="20"/>
    </w:rPr>
  </w:style>
  <w:style w:type="paragraph" w:customStyle="1" w:styleId="43">
    <w:name w:val="WPSOffice手动目录 3"/>
    <w:uiPriority w:val="0"/>
    <w:pPr>
      <w:ind w:leftChars="4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收入决算总体情况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numRef>
              <c:f>Sheet1!$A$2:$A$3</c:f>
              <c:numCache>
                <c:formatCode>General</c:formatCode>
                <c:ptCount val="2"/>
                <c:pt idx="0">
                  <c:v>2021</c:v>
                </c:pt>
                <c:pt idx="1">
                  <c:v>2022</c:v>
                </c:pt>
              </c:numCache>
            </c:numRef>
          </c:cat>
          <c:val>
            <c:numRef>
              <c:f>Sheet1!$B$2:$B$3</c:f>
              <c:numCache>
                <c:formatCode>General</c:formatCode>
                <c:ptCount val="2"/>
                <c:pt idx="0">
                  <c:v>2454.58</c:v>
                </c:pt>
                <c:pt idx="1">
                  <c:v>1819.76</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2021</c:v>
                </c:pt>
                <c:pt idx="1">
                  <c:v>2022</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2021</c:v>
                </c:pt>
                <c:pt idx="1">
                  <c:v>2022</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46"/>
        <c:overlap val="-28"/>
        <c:axId val="522686330"/>
        <c:axId val="424242062"/>
      </c:barChart>
      <c:catAx>
        <c:axId val="52268633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4242062"/>
        <c:crosses val="autoZero"/>
        <c:auto val="1"/>
        <c:lblAlgn val="ctr"/>
        <c:lblOffset val="100"/>
        <c:noMultiLvlLbl val="0"/>
      </c:catAx>
      <c:valAx>
        <c:axId val="424242062"/>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2686330"/>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支出</c:v>
                </c:pt>
              </c:strCache>
            </c:strRef>
          </c:tx>
          <c:spPr>
            <a:solidFill>
              <a:schemeClr val="accent1"/>
            </a:solidFill>
            <a:ln>
              <a:noFill/>
            </a:ln>
            <a:effectLst/>
          </c:spPr>
          <c:invertIfNegative val="0"/>
          <c:dLbls>
            <c:delete val="1"/>
          </c:dLbls>
          <c:cat>
            <c:numRef>
              <c:f>Sheet1!$A$2:$A$5</c:f>
              <c:numCache>
                <c:formatCode>General</c:formatCode>
                <c:ptCount val="4"/>
                <c:pt idx="0">
                  <c:v>2021</c:v>
                </c:pt>
                <c:pt idx="1">
                  <c:v>2022</c:v>
                </c:pt>
              </c:numCache>
            </c:numRef>
          </c:cat>
          <c:val>
            <c:numRef>
              <c:f>Sheet1!$B$2:$B$5</c:f>
              <c:numCache>
                <c:formatCode>General</c:formatCode>
                <c:ptCount val="4"/>
                <c:pt idx="0">
                  <c:v>2454.58</c:v>
                </c:pt>
                <c:pt idx="1">
                  <c:v>2163.47</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numRef>
              <c:f>Sheet1!$A$2:$A$5</c:f>
              <c:numCache>
                <c:formatCode>General</c:formatCode>
                <c:ptCount val="4"/>
                <c:pt idx="0">
                  <c:v>2021</c:v>
                </c:pt>
                <c:pt idx="1">
                  <c:v>2022</c:v>
                </c:pt>
              </c:numCache>
            </c:num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numRef>
              <c:f>Sheet1!$A$2:$A$5</c:f>
              <c:numCache>
                <c:formatCode>General</c:formatCode>
                <c:ptCount val="4"/>
                <c:pt idx="0">
                  <c:v>2021</c:v>
                </c:pt>
                <c:pt idx="1">
                  <c:v>2022</c:v>
                </c:pt>
              </c:numCache>
            </c:numRef>
          </c:cat>
          <c:val>
            <c:numRef>
              <c:f>Sheet1!$D$2:$D$5</c:f>
              <c:numCache>
                <c:formatCode>General</c:formatCode>
                <c:ptCount val="4"/>
              </c:numCache>
            </c:numRef>
          </c:val>
        </c:ser>
        <c:dLbls>
          <c:showLegendKey val="0"/>
          <c:showVal val="0"/>
          <c:showCatName val="0"/>
          <c:showSerName val="0"/>
          <c:showPercent val="0"/>
          <c:showBubbleSize val="0"/>
        </c:dLbls>
        <c:gapWidth val="246"/>
        <c:overlap val="-28"/>
        <c:axId val="477430609"/>
        <c:axId val="137297466"/>
      </c:barChart>
      <c:catAx>
        <c:axId val="47743060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7297466"/>
        <c:crosses val="autoZero"/>
        <c:auto val="1"/>
        <c:lblAlgn val="ctr"/>
        <c:lblOffset val="100"/>
        <c:noMultiLvlLbl val="0"/>
      </c:catAx>
      <c:valAx>
        <c:axId val="13729746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74306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85</Pages>
  <Words>39496</Words>
  <Characters>47554</Characters>
  <Lines>61</Lines>
  <Paragraphs>17</Paragraphs>
  <TotalTime>4</TotalTime>
  <ScaleCrop>false</ScaleCrop>
  <LinksUpToDate>false</LinksUpToDate>
  <CharactersWithSpaces>47708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2023-10-30T01:32:01Z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FEE6DD7792C54B989C0A9B0AD64FF528_13</vt:lpwstr>
  </property>
</Properties>
</file>