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eastAsia" w:ascii="方正小标宋简体" w:hAnsi="宋体" w:eastAsia="方正小标宋简体"/>
          <w:color w:val="auto"/>
          <w:sz w:val="72"/>
          <w:szCs w:val="72"/>
          <w:highlight w:val="none"/>
          <w:lang w:val="en-US" w:eastAsia="zh-CN"/>
        </w:rPr>
      </w:pPr>
      <w:bookmarkStart w:id="0" w:name="_Toc15396475"/>
      <w:bookmarkStart w:id="1" w:name="_Toc15378441"/>
      <w:bookmarkStart w:id="2" w:name="_Toc15396597"/>
      <w:bookmarkStart w:id="3" w:name="_Toc15377193"/>
      <w:bookmarkStart w:id="4" w:name="_Toc1537742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894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426"/>
      <w:bookmarkStart w:id="8" w:name="_Toc15396598"/>
      <w:bookmarkStart w:id="9" w:name="_Toc15377194"/>
      <w:bookmarkStart w:id="10" w:name="_Toc15396476"/>
      <w:bookmarkStart w:id="11" w:name="_Toc15378442"/>
      <w:bookmarkStart w:id="12" w:name="_Toc16420"/>
      <w:r>
        <w:rPr>
          <w:rFonts w:hint="eastAsia" w:ascii="方正小标宋简体" w:hAnsi="方正小标宋简体" w:eastAsia="方正小标宋简体" w:cs="方正小标宋简体"/>
          <w:color w:val="auto"/>
          <w:sz w:val="72"/>
          <w:szCs w:val="72"/>
          <w:highlight w:val="none"/>
        </w:rPr>
        <w:t>四川省</w:t>
      </w:r>
      <w:bookmarkEnd w:id="5"/>
      <w:bookmarkStart w:id="13" w:name="_Toc15306268"/>
      <w:r>
        <w:rPr>
          <w:rFonts w:hint="eastAsia" w:ascii="方正小标宋简体" w:hAnsi="宋体" w:eastAsia="方正小标宋简体"/>
          <w:color w:val="000000"/>
          <w:sz w:val="72"/>
          <w:szCs w:val="72"/>
        </w:rPr>
        <w:t>广元市朝天区综合行政执法局</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widowControl/>
        <w:jc w:val="both"/>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pStyle w:val="2"/>
        <w:ind w:left="0" w:leftChars="0" w:firstLine="0" w:firstLineChars="0"/>
        <w:rPr>
          <w:rFonts w:hint="eastAsia"/>
        </w:rPr>
      </w:pPr>
      <w:bookmarkStart w:id="14" w:name="_Toc15396599"/>
      <w:bookmarkStart w:id="15" w:name="_Toc15377196"/>
    </w:p>
    <w:sdt>
      <w:sdtPr>
        <w:rPr>
          <w:rFonts w:ascii="宋体" w:hAnsi="宋体" w:eastAsia="宋体" w:cs="Times New Roman"/>
          <w:kern w:val="2"/>
          <w:sz w:val="21"/>
          <w:szCs w:val="24"/>
          <w:lang w:val="en-US" w:eastAsia="zh-CN" w:bidi="ar-SA"/>
        </w:rPr>
        <w:id w:val="147474984"/>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1"/>
            <w:tabs>
              <w:tab w:val="right" w:leader="dot" w:pos="9072"/>
            </w:tabs>
          </w:pPr>
          <w:r>
            <w:fldChar w:fldCharType="begin"/>
          </w:r>
          <w:r>
            <w:instrText xml:space="preserve">TOC \o "1-3" \h \u </w:instrText>
          </w:r>
          <w:r>
            <w:fldChar w:fldCharType="separate"/>
          </w:r>
          <w:r>
            <w:fldChar w:fldCharType="begin"/>
          </w:r>
          <w:r>
            <w:instrText xml:space="preserve"> HYPERLINK \l _Toc24747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_Toc24747 \h </w:instrText>
          </w:r>
          <w:r>
            <w:fldChar w:fldCharType="separate"/>
          </w:r>
          <w:r>
            <w:t>3</w:t>
          </w:r>
          <w:r>
            <w:fldChar w:fldCharType="end"/>
          </w:r>
          <w:r>
            <w:fldChar w:fldCharType="end"/>
          </w:r>
        </w:p>
        <w:p>
          <w:pPr>
            <w:pStyle w:val="42"/>
            <w:tabs>
              <w:tab w:val="right" w:leader="dot" w:pos="9072"/>
            </w:tabs>
          </w:pPr>
          <w:r>
            <w:fldChar w:fldCharType="begin"/>
          </w:r>
          <w:r>
            <w:instrText xml:space="preserve"> HYPERLINK \l _Toc19655 </w:instrText>
          </w:r>
          <w:r>
            <w:fldChar w:fldCharType="separate"/>
          </w:r>
          <w:r>
            <w:rPr>
              <w:rFonts w:hint="eastAsia" w:ascii="黑体" w:hAnsi="黑体" w:eastAsia="黑体" w:cstheme="majorBidi"/>
              <w:bCs/>
              <w:kern w:val="2"/>
              <w:szCs w:val="32"/>
              <w:lang w:val="en-US" w:eastAsia="zh-CN" w:bidi="ar-SA"/>
            </w:rPr>
            <w:t>一、</w:t>
          </w:r>
          <w:r>
            <w:rPr>
              <w:rFonts w:hint="eastAsia" w:ascii="黑体" w:hAnsi="黑体" w:eastAsia="黑体"/>
              <w:highlight w:val="none"/>
              <w:lang w:eastAsia="zh-CN"/>
            </w:rPr>
            <w:t>部门职责</w:t>
          </w:r>
          <w:r>
            <w:tab/>
          </w:r>
          <w:r>
            <w:fldChar w:fldCharType="begin"/>
          </w:r>
          <w:r>
            <w:instrText xml:space="preserve"> PAGEREF _Toc19655 \h </w:instrText>
          </w:r>
          <w:r>
            <w:fldChar w:fldCharType="separate"/>
          </w:r>
          <w:r>
            <w:t>3</w:t>
          </w:r>
          <w:r>
            <w:fldChar w:fldCharType="end"/>
          </w:r>
          <w:r>
            <w:fldChar w:fldCharType="end"/>
          </w:r>
        </w:p>
        <w:p>
          <w:pPr>
            <w:pStyle w:val="43"/>
            <w:tabs>
              <w:tab w:val="right" w:leader="dot" w:pos="9072"/>
            </w:tabs>
          </w:pPr>
          <w:r>
            <w:fldChar w:fldCharType="begin"/>
          </w:r>
          <w:r>
            <w:instrText xml:space="preserve"> HYPERLINK \l _Toc15758 </w:instrText>
          </w:r>
          <w:r>
            <w:fldChar w:fldCharType="separate"/>
          </w:r>
          <w:r>
            <w:rPr>
              <w:rFonts w:hint="eastAsia" w:ascii="楷体_GB2312" w:hAnsi="楷体_GB2312" w:eastAsia="楷体_GB2312" w:cs="楷体_GB2312"/>
              <w:bCs/>
              <w:szCs w:val="32"/>
            </w:rPr>
            <w:t>（一）主要职能</w:t>
          </w:r>
          <w:r>
            <w:tab/>
          </w:r>
          <w:r>
            <w:fldChar w:fldCharType="begin"/>
          </w:r>
          <w:r>
            <w:instrText xml:space="preserve"> PAGEREF _Toc15758 \h </w:instrText>
          </w:r>
          <w:r>
            <w:fldChar w:fldCharType="separate"/>
          </w:r>
          <w:r>
            <w:t>3</w:t>
          </w:r>
          <w:r>
            <w:fldChar w:fldCharType="end"/>
          </w:r>
          <w:r>
            <w:fldChar w:fldCharType="end"/>
          </w:r>
        </w:p>
        <w:p>
          <w:pPr>
            <w:pStyle w:val="43"/>
            <w:tabs>
              <w:tab w:val="right" w:leader="dot" w:pos="9072"/>
            </w:tabs>
          </w:pPr>
          <w:r>
            <w:fldChar w:fldCharType="begin"/>
          </w:r>
          <w:r>
            <w:instrText xml:space="preserve"> HYPERLINK \l _Toc12633 </w:instrText>
          </w:r>
          <w:r>
            <w:fldChar w:fldCharType="separate"/>
          </w:r>
          <w:r>
            <w:rPr>
              <w:rFonts w:hint="eastAsia" w:ascii="楷体_GB2312" w:hAnsi="楷体_GB2312" w:eastAsia="楷体_GB2312" w:cs="楷体_GB2312"/>
              <w:bCs/>
              <w:szCs w:val="32"/>
            </w:rPr>
            <w:t>（二）202</w:t>
          </w:r>
          <w:r>
            <w:rPr>
              <w:rFonts w:hint="eastAsia" w:ascii="楷体_GB2312" w:hAnsi="楷体_GB2312" w:eastAsia="楷体_GB2312" w:cs="楷体_GB2312"/>
              <w:bCs/>
              <w:szCs w:val="32"/>
              <w:lang w:val="en-US" w:eastAsia="zh-CN"/>
            </w:rPr>
            <w:t>2</w:t>
          </w:r>
          <w:r>
            <w:rPr>
              <w:rFonts w:hint="eastAsia" w:ascii="楷体_GB2312" w:hAnsi="楷体_GB2312" w:eastAsia="楷体_GB2312" w:cs="楷体_GB2312"/>
              <w:bCs/>
              <w:szCs w:val="32"/>
            </w:rPr>
            <w:t>年重点工作完成情况</w:t>
          </w:r>
          <w:r>
            <w:tab/>
          </w:r>
          <w:r>
            <w:fldChar w:fldCharType="begin"/>
          </w:r>
          <w:r>
            <w:instrText xml:space="preserve"> PAGEREF _Toc12633 \h </w:instrText>
          </w:r>
          <w:r>
            <w:fldChar w:fldCharType="separate"/>
          </w:r>
          <w:r>
            <w:t>3</w:t>
          </w:r>
          <w:r>
            <w:fldChar w:fldCharType="end"/>
          </w:r>
          <w:r>
            <w:fldChar w:fldCharType="end"/>
          </w:r>
        </w:p>
        <w:p>
          <w:pPr>
            <w:pStyle w:val="42"/>
            <w:tabs>
              <w:tab w:val="right" w:leader="dot" w:pos="9072"/>
            </w:tabs>
          </w:pPr>
          <w:r>
            <w:fldChar w:fldCharType="begin"/>
          </w:r>
          <w:r>
            <w:instrText xml:space="preserve"> HYPERLINK \l _Toc4934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_Toc4934 \h </w:instrText>
          </w:r>
          <w:r>
            <w:fldChar w:fldCharType="separate"/>
          </w:r>
          <w:r>
            <w:t>4</w:t>
          </w:r>
          <w:r>
            <w:fldChar w:fldCharType="end"/>
          </w:r>
          <w:r>
            <w:fldChar w:fldCharType="end"/>
          </w:r>
        </w:p>
        <w:p>
          <w:pPr>
            <w:pStyle w:val="41"/>
            <w:tabs>
              <w:tab w:val="right" w:leader="dot" w:pos="9072"/>
            </w:tabs>
          </w:pPr>
          <w:r>
            <w:fldChar w:fldCharType="begin"/>
          </w:r>
          <w:r>
            <w:instrText xml:space="preserve"> HYPERLINK \l _Toc18050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_Toc18050 \h </w:instrText>
          </w:r>
          <w:r>
            <w:fldChar w:fldCharType="separate"/>
          </w:r>
          <w:r>
            <w:t>5</w:t>
          </w:r>
          <w:r>
            <w:fldChar w:fldCharType="end"/>
          </w:r>
          <w:r>
            <w:fldChar w:fldCharType="end"/>
          </w:r>
        </w:p>
        <w:p>
          <w:pPr>
            <w:pStyle w:val="42"/>
            <w:tabs>
              <w:tab w:val="right" w:leader="dot" w:pos="9072"/>
            </w:tabs>
          </w:pPr>
          <w:r>
            <w:fldChar w:fldCharType="begin"/>
          </w:r>
          <w:r>
            <w:instrText xml:space="preserve"> HYPERLINK \l _Toc12024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_Toc12024 \h </w:instrText>
          </w:r>
          <w:r>
            <w:fldChar w:fldCharType="separate"/>
          </w:r>
          <w:r>
            <w:t>5</w:t>
          </w:r>
          <w:r>
            <w:fldChar w:fldCharType="end"/>
          </w:r>
          <w:r>
            <w:fldChar w:fldCharType="end"/>
          </w:r>
        </w:p>
        <w:p>
          <w:pPr>
            <w:pStyle w:val="42"/>
            <w:tabs>
              <w:tab w:val="right" w:leader="dot" w:pos="9072"/>
            </w:tabs>
          </w:pPr>
          <w:r>
            <w:fldChar w:fldCharType="begin"/>
          </w:r>
          <w:r>
            <w:instrText xml:space="preserve"> HYPERLINK \l _Toc1924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_Toc1924 \h </w:instrText>
          </w:r>
          <w:r>
            <w:fldChar w:fldCharType="separate"/>
          </w:r>
          <w:r>
            <w:t>6</w:t>
          </w:r>
          <w:r>
            <w:fldChar w:fldCharType="end"/>
          </w:r>
          <w:r>
            <w:fldChar w:fldCharType="end"/>
          </w:r>
        </w:p>
        <w:p>
          <w:pPr>
            <w:pStyle w:val="42"/>
            <w:tabs>
              <w:tab w:val="right" w:leader="dot" w:pos="9072"/>
            </w:tabs>
          </w:pPr>
          <w:r>
            <w:fldChar w:fldCharType="begin"/>
          </w:r>
          <w:r>
            <w:instrText xml:space="preserve"> HYPERLINK \l _Toc12862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_Toc12862 \h </w:instrText>
          </w:r>
          <w:r>
            <w:fldChar w:fldCharType="separate"/>
          </w:r>
          <w:r>
            <w:t>6</w:t>
          </w:r>
          <w:r>
            <w:fldChar w:fldCharType="end"/>
          </w:r>
          <w:r>
            <w:fldChar w:fldCharType="end"/>
          </w:r>
        </w:p>
        <w:p>
          <w:pPr>
            <w:pStyle w:val="42"/>
            <w:tabs>
              <w:tab w:val="right" w:leader="dot" w:pos="9072"/>
            </w:tabs>
          </w:pPr>
          <w:r>
            <w:fldChar w:fldCharType="begin"/>
          </w:r>
          <w:r>
            <w:instrText xml:space="preserve"> HYPERLINK \l _Toc16422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_Toc16422 \h </w:instrText>
          </w:r>
          <w:r>
            <w:fldChar w:fldCharType="separate"/>
          </w:r>
          <w:r>
            <w:t>7</w:t>
          </w:r>
          <w:r>
            <w:fldChar w:fldCharType="end"/>
          </w:r>
          <w:r>
            <w:fldChar w:fldCharType="end"/>
          </w:r>
        </w:p>
        <w:p>
          <w:pPr>
            <w:pStyle w:val="42"/>
            <w:tabs>
              <w:tab w:val="right" w:leader="dot" w:pos="9072"/>
            </w:tabs>
          </w:pPr>
          <w:r>
            <w:fldChar w:fldCharType="begin"/>
          </w:r>
          <w:r>
            <w:instrText xml:space="preserve"> HYPERLINK \l _Toc26677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_Toc26677 \h </w:instrText>
          </w:r>
          <w:r>
            <w:fldChar w:fldCharType="separate"/>
          </w:r>
          <w:r>
            <w:t>8</w:t>
          </w:r>
          <w:r>
            <w:fldChar w:fldCharType="end"/>
          </w:r>
          <w:r>
            <w:fldChar w:fldCharType="end"/>
          </w:r>
        </w:p>
        <w:p>
          <w:pPr>
            <w:pStyle w:val="43"/>
            <w:tabs>
              <w:tab w:val="right" w:leader="dot" w:pos="9072"/>
            </w:tabs>
          </w:pPr>
          <w:r>
            <w:fldChar w:fldCharType="begin"/>
          </w:r>
          <w:r>
            <w:instrText xml:space="preserve"> HYPERLINK \l _Toc18478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_Toc18478 \h </w:instrText>
          </w:r>
          <w:r>
            <w:fldChar w:fldCharType="separate"/>
          </w:r>
          <w:r>
            <w:t>8</w:t>
          </w:r>
          <w:r>
            <w:fldChar w:fldCharType="end"/>
          </w:r>
          <w:r>
            <w:fldChar w:fldCharType="end"/>
          </w:r>
        </w:p>
        <w:p>
          <w:pPr>
            <w:pStyle w:val="43"/>
            <w:tabs>
              <w:tab w:val="right" w:leader="dot" w:pos="9072"/>
            </w:tabs>
          </w:pPr>
          <w:r>
            <w:fldChar w:fldCharType="begin"/>
          </w:r>
          <w:r>
            <w:instrText xml:space="preserve"> HYPERLINK \l _Toc6917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_Toc6917 \h </w:instrText>
          </w:r>
          <w:r>
            <w:fldChar w:fldCharType="separate"/>
          </w:r>
          <w:r>
            <w:t>8</w:t>
          </w:r>
          <w:r>
            <w:fldChar w:fldCharType="end"/>
          </w:r>
          <w:r>
            <w:fldChar w:fldCharType="end"/>
          </w:r>
        </w:p>
        <w:p>
          <w:pPr>
            <w:pStyle w:val="43"/>
            <w:tabs>
              <w:tab w:val="right" w:leader="dot" w:pos="9072"/>
            </w:tabs>
          </w:pPr>
          <w:r>
            <w:fldChar w:fldCharType="begin"/>
          </w:r>
          <w:r>
            <w:instrText xml:space="preserve"> HYPERLINK \l _Toc4571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_Toc4571 \h </w:instrText>
          </w:r>
          <w:r>
            <w:fldChar w:fldCharType="separate"/>
          </w:r>
          <w:r>
            <w:t>9</w:t>
          </w:r>
          <w:r>
            <w:fldChar w:fldCharType="end"/>
          </w:r>
          <w:r>
            <w:fldChar w:fldCharType="end"/>
          </w:r>
        </w:p>
        <w:p>
          <w:pPr>
            <w:pStyle w:val="42"/>
            <w:tabs>
              <w:tab w:val="right" w:leader="dot" w:pos="9072"/>
            </w:tabs>
          </w:pPr>
          <w:r>
            <w:fldChar w:fldCharType="begin"/>
          </w:r>
          <w:r>
            <w:instrText xml:space="preserve"> HYPERLINK \l _Toc18884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_Toc18884 \h </w:instrText>
          </w:r>
          <w:r>
            <w:fldChar w:fldCharType="separate"/>
          </w:r>
          <w:r>
            <w:t>10</w:t>
          </w:r>
          <w:r>
            <w:fldChar w:fldCharType="end"/>
          </w:r>
          <w:r>
            <w:fldChar w:fldCharType="end"/>
          </w:r>
        </w:p>
        <w:p>
          <w:pPr>
            <w:pStyle w:val="42"/>
            <w:tabs>
              <w:tab w:val="right" w:leader="dot" w:pos="9072"/>
            </w:tabs>
          </w:pPr>
          <w:r>
            <w:fldChar w:fldCharType="begin"/>
          </w:r>
          <w:r>
            <w:instrText xml:space="preserve"> HYPERLINK \l _Toc19446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_Toc19446 \h </w:instrText>
          </w:r>
          <w:r>
            <w:fldChar w:fldCharType="separate"/>
          </w:r>
          <w:r>
            <w:t>11</w:t>
          </w:r>
          <w:r>
            <w:fldChar w:fldCharType="end"/>
          </w:r>
          <w:r>
            <w:fldChar w:fldCharType="end"/>
          </w:r>
        </w:p>
        <w:p>
          <w:pPr>
            <w:pStyle w:val="43"/>
            <w:tabs>
              <w:tab w:val="right" w:leader="dot" w:pos="9072"/>
            </w:tabs>
          </w:pPr>
          <w:r>
            <w:fldChar w:fldCharType="begin"/>
          </w:r>
          <w:r>
            <w:instrText xml:space="preserve"> HYPERLINK \l _Toc4787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_Toc4787 \h </w:instrText>
          </w:r>
          <w:r>
            <w:fldChar w:fldCharType="separate"/>
          </w:r>
          <w:r>
            <w:t>11</w:t>
          </w:r>
          <w:r>
            <w:fldChar w:fldCharType="end"/>
          </w:r>
          <w:r>
            <w:fldChar w:fldCharType="end"/>
          </w:r>
        </w:p>
        <w:p>
          <w:pPr>
            <w:pStyle w:val="43"/>
            <w:tabs>
              <w:tab w:val="right" w:leader="dot" w:pos="9072"/>
            </w:tabs>
          </w:pPr>
          <w:r>
            <w:fldChar w:fldCharType="begin"/>
          </w:r>
          <w:r>
            <w:instrText xml:space="preserve"> HYPERLINK \l _Toc13172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_Toc13172 \h </w:instrText>
          </w:r>
          <w:r>
            <w:fldChar w:fldCharType="separate"/>
          </w:r>
          <w:r>
            <w:t>11</w:t>
          </w:r>
          <w:r>
            <w:fldChar w:fldCharType="end"/>
          </w:r>
          <w:r>
            <w:fldChar w:fldCharType="end"/>
          </w:r>
        </w:p>
        <w:p>
          <w:pPr>
            <w:pStyle w:val="42"/>
            <w:tabs>
              <w:tab w:val="right" w:leader="dot" w:pos="9072"/>
            </w:tabs>
          </w:pPr>
          <w:r>
            <w:fldChar w:fldCharType="begin"/>
          </w:r>
          <w:r>
            <w:instrText xml:space="preserve"> HYPERLINK \l _Toc7029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_Toc7029 \h </w:instrText>
          </w:r>
          <w:r>
            <w:fldChar w:fldCharType="separate"/>
          </w:r>
          <w:r>
            <w:t>12</w:t>
          </w:r>
          <w:r>
            <w:fldChar w:fldCharType="end"/>
          </w:r>
          <w:r>
            <w:fldChar w:fldCharType="end"/>
          </w:r>
        </w:p>
        <w:p>
          <w:pPr>
            <w:pStyle w:val="42"/>
            <w:tabs>
              <w:tab w:val="right" w:leader="dot" w:pos="9072"/>
            </w:tabs>
          </w:pPr>
          <w:r>
            <w:fldChar w:fldCharType="begin"/>
          </w:r>
          <w:r>
            <w:instrText xml:space="preserve"> HYPERLINK \l _Toc18703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_Toc18703 \h </w:instrText>
          </w:r>
          <w:r>
            <w:fldChar w:fldCharType="separate"/>
          </w:r>
          <w:r>
            <w:t>12</w:t>
          </w:r>
          <w:r>
            <w:fldChar w:fldCharType="end"/>
          </w:r>
          <w:r>
            <w:fldChar w:fldCharType="end"/>
          </w:r>
        </w:p>
        <w:p>
          <w:pPr>
            <w:pStyle w:val="42"/>
            <w:tabs>
              <w:tab w:val="right" w:leader="dot" w:pos="9072"/>
            </w:tabs>
          </w:pPr>
          <w:r>
            <w:fldChar w:fldCharType="begin"/>
          </w:r>
          <w:r>
            <w:instrText xml:space="preserve"> HYPERLINK \l _Toc539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_Toc539 \h </w:instrText>
          </w:r>
          <w:r>
            <w:fldChar w:fldCharType="separate"/>
          </w:r>
          <w:r>
            <w:t>12</w:t>
          </w:r>
          <w:r>
            <w:fldChar w:fldCharType="end"/>
          </w:r>
          <w:r>
            <w:fldChar w:fldCharType="end"/>
          </w:r>
        </w:p>
        <w:p>
          <w:pPr>
            <w:pStyle w:val="43"/>
            <w:tabs>
              <w:tab w:val="right" w:leader="dot" w:pos="9072"/>
            </w:tabs>
          </w:pPr>
          <w:r>
            <w:fldChar w:fldCharType="begin"/>
          </w:r>
          <w:r>
            <w:instrText xml:space="preserve"> HYPERLINK \l _Toc31068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_Toc31068 \h </w:instrText>
          </w:r>
          <w:r>
            <w:fldChar w:fldCharType="separate"/>
          </w:r>
          <w:r>
            <w:t>12</w:t>
          </w:r>
          <w:r>
            <w:fldChar w:fldCharType="end"/>
          </w:r>
          <w:r>
            <w:fldChar w:fldCharType="end"/>
          </w:r>
        </w:p>
        <w:p>
          <w:pPr>
            <w:pStyle w:val="43"/>
            <w:tabs>
              <w:tab w:val="right" w:leader="dot" w:pos="9072"/>
            </w:tabs>
          </w:pPr>
          <w:r>
            <w:fldChar w:fldCharType="begin"/>
          </w:r>
          <w:r>
            <w:instrText xml:space="preserve"> HYPERLINK \l _Toc13469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_Toc13469 \h </w:instrText>
          </w:r>
          <w:r>
            <w:fldChar w:fldCharType="separate"/>
          </w:r>
          <w:r>
            <w:t>13</w:t>
          </w:r>
          <w:r>
            <w:fldChar w:fldCharType="end"/>
          </w:r>
          <w:r>
            <w:fldChar w:fldCharType="end"/>
          </w:r>
        </w:p>
        <w:p>
          <w:pPr>
            <w:pStyle w:val="43"/>
            <w:tabs>
              <w:tab w:val="right" w:leader="dot" w:pos="9072"/>
            </w:tabs>
          </w:pPr>
          <w:r>
            <w:fldChar w:fldCharType="begin"/>
          </w:r>
          <w:r>
            <w:instrText xml:space="preserve"> HYPERLINK \l _Toc18241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_Toc18241 \h </w:instrText>
          </w:r>
          <w:r>
            <w:fldChar w:fldCharType="separate"/>
          </w:r>
          <w:r>
            <w:t>13</w:t>
          </w:r>
          <w:r>
            <w:fldChar w:fldCharType="end"/>
          </w:r>
          <w:r>
            <w:fldChar w:fldCharType="end"/>
          </w:r>
        </w:p>
        <w:p>
          <w:pPr>
            <w:pStyle w:val="43"/>
            <w:tabs>
              <w:tab w:val="right" w:leader="dot" w:pos="9072"/>
            </w:tabs>
          </w:pPr>
          <w:r>
            <w:fldChar w:fldCharType="begin"/>
          </w:r>
          <w:r>
            <w:instrText xml:space="preserve"> HYPERLINK \l _Toc3023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_Toc3023 \h </w:instrText>
          </w:r>
          <w:r>
            <w:fldChar w:fldCharType="separate"/>
          </w:r>
          <w:r>
            <w:t>13</w:t>
          </w:r>
          <w:r>
            <w:fldChar w:fldCharType="end"/>
          </w:r>
          <w:r>
            <w:fldChar w:fldCharType="end"/>
          </w:r>
        </w:p>
        <w:p>
          <w:pPr>
            <w:pStyle w:val="41"/>
            <w:tabs>
              <w:tab w:val="right" w:leader="dot" w:pos="9072"/>
            </w:tabs>
          </w:pPr>
          <w:r>
            <w:fldChar w:fldCharType="begin"/>
          </w:r>
          <w:r>
            <w:instrText xml:space="preserve"> HYPERLINK \l _Toc6888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_Toc6888 \h </w:instrText>
          </w:r>
          <w:r>
            <w:fldChar w:fldCharType="separate"/>
          </w:r>
          <w:r>
            <w:t>15</w:t>
          </w:r>
          <w:r>
            <w:fldChar w:fldCharType="end"/>
          </w:r>
          <w:r>
            <w:fldChar w:fldCharType="end"/>
          </w:r>
        </w:p>
        <w:p>
          <w:pPr>
            <w:pStyle w:val="41"/>
            <w:tabs>
              <w:tab w:val="right" w:leader="dot" w:pos="9072"/>
            </w:tabs>
          </w:pPr>
          <w:r>
            <w:fldChar w:fldCharType="begin"/>
          </w:r>
          <w:r>
            <w:instrText xml:space="preserve"> HYPERLINK \l _Toc23374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_Toc23374 \h </w:instrText>
          </w:r>
          <w:r>
            <w:fldChar w:fldCharType="separate"/>
          </w:r>
          <w:r>
            <w:t>17</w:t>
          </w:r>
          <w:r>
            <w:fldChar w:fldCharType="end"/>
          </w:r>
          <w:r>
            <w:fldChar w:fldCharType="end"/>
          </w:r>
        </w:p>
        <w:p>
          <w:pPr>
            <w:pStyle w:val="41"/>
            <w:tabs>
              <w:tab w:val="right" w:leader="dot" w:pos="9072"/>
            </w:tabs>
          </w:pPr>
          <w:r>
            <w:fldChar w:fldCharType="begin"/>
          </w:r>
          <w:r>
            <w:instrText xml:space="preserve"> HYPERLINK \l _Toc3492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_Toc3492 \h </w:instrText>
          </w:r>
          <w:r>
            <w:fldChar w:fldCharType="separate"/>
          </w:r>
          <w:r>
            <w:t>83</w:t>
          </w:r>
          <w:r>
            <w:fldChar w:fldCharType="end"/>
          </w:r>
          <w:r>
            <w:fldChar w:fldCharType="end"/>
          </w:r>
        </w:p>
        <w:p>
          <w:pPr>
            <w:pStyle w:val="42"/>
            <w:tabs>
              <w:tab w:val="right" w:leader="dot" w:pos="9072"/>
            </w:tabs>
          </w:pPr>
          <w:r>
            <w:fldChar w:fldCharType="begin"/>
          </w:r>
          <w:r>
            <w:instrText xml:space="preserve"> HYPERLINK \l _Toc3070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_Toc3070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_Toc31788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_Toc31788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_Toc21667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_Toc21667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_Toc20528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_Toc20528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_Toc3810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_Toc3810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_Toc15920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_Toc15920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_Toc12233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_Toc12233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_Toc22375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_Toc22375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_Toc14973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_Toc14973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_Toc21974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_Toc21974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_Toc32427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_Toc32427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_Toc31099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_Toc31099 \h </w:instrText>
          </w:r>
          <w:r>
            <w:fldChar w:fldCharType="separate"/>
          </w:r>
          <w:r>
            <w:t>84</w:t>
          </w:r>
          <w:r>
            <w:fldChar w:fldCharType="end"/>
          </w:r>
          <w:r>
            <w:fldChar w:fldCharType="end"/>
          </w:r>
        </w:p>
        <w:p>
          <w:pPr>
            <w:pStyle w:val="42"/>
            <w:tabs>
              <w:tab w:val="right" w:leader="dot" w:pos="9072"/>
            </w:tabs>
          </w:pPr>
          <w:r>
            <w:fldChar w:fldCharType="begin"/>
          </w:r>
          <w:r>
            <w:instrText xml:space="preserve"> HYPERLINK \l _Toc14161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_Toc14161 \h </w:instrText>
          </w:r>
          <w:r>
            <w:fldChar w:fldCharType="separate"/>
          </w:r>
          <w:r>
            <w:t>84</w:t>
          </w:r>
          <w:r>
            <w:fldChar w:fldCharType="end"/>
          </w:r>
          <w:r>
            <w:fldChar w:fldCharType="end"/>
          </w:r>
        </w:p>
        <w:p>
          <w:r>
            <w:fldChar w:fldCharType="end"/>
          </w:r>
        </w:p>
      </w:sdtContent>
    </w:sdt>
    <w:p>
      <w:pPr>
        <w:pStyle w:val="3"/>
        <w:jc w:val="center"/>
        <w:rPr>
          <w:rFonts w:ascii="黑体" w:eastAsia="黑体"/>
          <w:color w:val="auto"/>
          <w:sz w:val="32"/>
          <w:szCs w:val="32"/>
          <w:highlight w:val="none"/>
        </w:rPr>
      </w:pPr>
      <w:bookmarkStart w:id="16" w:name="_Toc24747"/>
      <w:r>
        <w:rPr>
          <w:rFonts w:hint="eastAsia" w:ascii="黑体" w:hAnsi="黑体" w:eastAsia="黑体"/>
          <w:b w:val="0"/>
          <w:color w:val="auto"/>
          <w:highlight w:val="none"/>
        </w:rPr>
        <w:t xml:space="preserve">第一部分 </w:t>
      </w:r>
      <w:r>
        <w:rPr>
          <w:rStyle w:val="31"/>
          <w:rFonts w:hint="eastAsia" w:ascii="黑体" w:hAnsi="黑体" w:eastAsia="黑体"/>
          <w:b w:val="0"/>
          <w:bCs w:val="0"/>
          <w:color w:val="auto"/>
          <w:highlight w:val="none"/>
        </w:rPr>
        <w:t>部门概况</w:t>
      </w:r>
      <w:bookmarkEnd w:id="14"/>
      <w:bookmarkEnd w:id="15"/>
      <w:bookmarkEnd w:id="16"/>
    </w:p>
    <w:p>
      <w:pPr>
        <w:pStyle w:val="5"/>
        <w:pageBreakBefore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黑体" w:hAnsi="黑体" w:eastAsia="黑体"/>
          <w:b w:val="0"/>
          <w:color w:val="auto"/>
          <w:highlight w:val="none"/>
          <w:lang w:eastAsia="zh-CN"/>
        </w:rPr>
      </w:pPr>
      <w:bookmarkStart w:id="17" w:name="_Toc19655"/>
      <w:r>
        <w:rPr>
          <w:rFonts w:hint="eastAsia" w:ascii="黑体" w:hAnsi="黑体" w:eastAsia="黑体" w:cstheme="majorBidi"/>
          <w:b w:val="0"/>
          <w:bCs/>
          <w:color w:val="auto"/>
          <w:kern w:val="2"/>
          <w:sz w:val="32"/>
          <w:szCs w:val="32"/>
          <w:lang w:val="en-US" w:eastAsia="zh-CN" w:bidi="ar-SA"/>
        </w:rPr>
        <w:t>一、</w:t>
      </w:r>
      <w:r>
        <w:rPr>
          <w:rFonts w:hint="eastAsia" w:ascii="黑体" w:hAnsi="黑体" w:eastAsia="黑体"/>
          <w:b w:val="0"/>
          <w:color w:val="auto"/>
          <w:highlight w:val="none"/>
          <w:lang w:eastAsia="zh-CN"/>
        </w:rPr>
        <w:t>部门职责</w:t>
      </w:r>
      <w:bookmarkEnd w:id="17"/>
    </w:p>
    <w:p>
      <w:pPr>
        <w:pStyle w:val="15"/>
        <w:pageBreakBefore w:val="0"/>
        <w:shd w:val="clear" w:color="auto" w:fill="FFFFFF"/>
        <w:kinsoku/>
        <w:wordWrap/>
        <w:overflowPunct/>
        <w:topLinePunct w:val="0"/>
        <w:autoSpaceDE/>
        <w:autoSpaceDN/>
        <w:bidi w:val="0"/>
        <w:spacing w:before="0" w:beforeAutospacing="0" w:after="0" w:afterAutospacing="0" w:line="576" w:lineRule="exact"/>
        <w:ind w:firstLine="480"/>
        <w:textAlignment w:val="auto"/>
        <w:outlineLvl w:val="2"/>
        <w:rPr>
          <w:rFonts w:hint="eastAsia" w:ascii="楷体_GB2312" w:hAnsi="楷体_GB2312" w:eastAsia="楷体_GB2312" w:cs="楷体_GB2312"/>
          <w:bCs/>
          <w:sz w:val="32"/>
          <w:szCs w:val="32"/>
        </w:rPr>
      </w:pPr>
      <w:bookmarkStart w:id="18" w:name="_Toc15758"/>
      <w:bookmarkStart w:id="19" w:name="_Toc15377198"/>
      <w:bookmarkStart w:id="20" w:name="_Toc15378445"/>
      <w:r>
        <w:rPr>
          <w:rFonts w:hint="eastAsia" w:ascii="楷体_GB2312" w:hAnsi="楷体_GB2312" w:eastAsia="楷体_GB2312" w:cs="楷体_GB2312"/>
          <w:bCs/>
          <w:sz w:val="32"/>
          <w:szCs w:val="32"/>
        </w:rPr>
        <w:t>（一）主要职能</w:t>
      </w:r>
      <w:bookmarkEnd w:id="18"/>
    </w:p>
    <w:p>
      <w:pPr>
        <w:pStyle w:val="15"/>
        <w:pageBreakBefore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ascii="仿宋" w:hAnsi="仿宋" w:eastAsia="仿宋" w:cs="Times New Roman"/>
          <w:bCs/>
          <w:color w:val="000000"/>
          <w:sz w:val="32"/>
          <w:szCs w:val="32"/>
        </w:rPr>
      </w:pPr>
      <w:r>
        <w:rPr>
          <w:rFonts w:ascii="仿宋" w:hAnsi="仿宋" w:eastAsia="仿宋" w:cs="Times New Roman"/>
          <w:bCs/>
          <w:color w:val="000000"/>
          <w:sz w:val="32"/>
          <w:szCs w:val="32"/>
        </w:rPr>
        <w:t>1</w:t>
      </w:r>
      <w:r>
        <w:rPr>
          <w:rFonts w:hint="eastAsia" w:ascii="仿宋" w:hAnsi="仿宋" w:eastAsia="仿宋" w:cs="Times New Roman"/>
          <w:bCs/>
          <w:color w:val="000000"/>
          <w:sz w:val="32"/>
          <w:szCs w:val="32"/>
        </w:rPr>
        <w:t>、贯彻执行国家、省、市有关综合行政执法、城乡环境综合治理、环境卫生管理工作的方针政策和法律法规。</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2</w:t>
      </w:r>
      <w:r>
        <w:rPr>
          <w:rFonts w:hint="eastAsia" w:ascii="仿宋" w:hAnsi="仿宋" w:eastAsia="仿宋"/>
          <w:bCs/>
          <w:color w:val="000000"/>
          <w:kern w:val="0"/>
          <w:sz w:val="32"/>
          <w:szCs w:val="32"/>
        </w:rPr>
        <w:t>、负责行使原区城市城镇管理执法局</w:t>
      </w:r>
      <w:r>
        <w:rPr>
          <w:rFonts w:ascii="仿宋" w:hAnsi="仿宋" w:eastAsia="仿宋"/>
          <w:bCs/>
          <w:color w:val="000000"/>
          <w:kern w:val="0"/>
          <w:sz w:val="32"/>
          <w:szCs w:val="32"/>
        </w:rPr>
        <w:t>(</w:t>
      </w:r>
      <w:r>
        <w:rPr>
          <w:rFonts w:hint="eastAsia" w:ascii="仿宋" w:hAnsi="仿宋" w:eastAsia="仿宋"/>
          <w:bCs/>
          <w:color w:val="000000"/>
          <w:kern w:val="0"/>
          <w:sz w:val="32"/>
          <w:szCs w:val="32"/>
        </w:rPr>
        <w:t>广元市城市管理行政执法局朝天区分局</w:t>
      </w:r>
      <w:r>
        <w:rPr>
          <w:rFonts w:ascii="仿宋" w:hAnsi="仿宋" w:eastAsia="仿宋"/>
          <w:bCs/>
          <w:color w:val="000000"/>
          <w:kern w:val="0"/>
          <w:sz w:val="32"/>
          <w:szCs w:val="32"/>
        </w:rPr>
        <w:t>)</w:t>
      </w:r>
      <w:r>
        <w:rPr>
          <w:rFonts w:hint="eastAsia" w:ascii="仿宋" w:hAnsi="仿宋" w:eastAsia="仿宋"/>
          <w:bCs/>
          <w:color w:val="000000"/>
          <w:kern w:val="0"/>
          <w:sz w:val="32"/>
          <w:szCs w:val="32"/>
        </w:rPr>
        <w:t>、区住房和城乡建设局、区财政局、区经济和信息化局、区商务局等部门行使的行政执法权。</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3</w:t>
      </w:r>
      <w:r>
        <w:rPr>
          <w:rFonts w:hint="eastAsia" w:ascii="仿宋" w:hAnsi="仿宋" w:eastAsia="仿宋"/>
          <w:bCs/>
          <w:color w:val="000000"/>
          <w:kern w:val="0"/>
          <w:sz w:val="32"/>
          <w:szCs w:val="32"/>
        </w:rPr>
        <w:t>、实施授权行政处罚权相关的行政检查权、行政命令权和法律、法规规定的相应行政强制权</w:t>
      </w:r>
      <w:r>
        <w:rPr>
          <w:rFonts w:ascii="仿宋" w:hAnsi="仿宋" w:eastAsia="仿宋"/>
          <w:bCs/>
          <w:color w:val="000000"/>
          <w:kern w:val="0"/>
          <w:sz w:val="32"/>
          <w:szCs w:val="32"/>
        </w:rPr>
        <w:t>;</w:t>
      </w:r>
      <w:r>
        <w:rPr>
          <w:rFonts w:hint="eastAsia" w:ascii="仿宋" w:hAnsi="仿宋" w:eastAsia="仿宋"/>
          <w:bCs/>
          <w:color w:val="000000"/>
          <w:kern w:val="0"/>
          <w:sz w:val="32"/>
          <w:szCs w:val="32"/>
        </w:rPr>
        <w:t>负责派出机构综合执法队伍建设和业务指导。</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xml:space="preserve">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4</w:t>
      </w:r>
      <w:r>
        <w:rPr>
          <w:rFonts w:hint="eastAsia" w:ascii="仿宋" w:hAnsi="仿宋" w:eastAsia="仿宋"/>
          <w:bCs/>
          <w:color w:val="000000"/>
          <w:kern w:val="0"/>
          <w:sz w:val="32"/>
          <w:szCs w:val="32"/>
        </w:rPr>
        <w:t>、负责行使关闭、闲置、拆除生活垃圾处置设施、场所核准。</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 xml:space="preserve"> 5</w:t>
      </w:r>
      <w:r>
        <w:rPr>
          <w:rFonts w:hint="eastAsia" w:ascii="仿宋" w:hAnsi="仿宋" w:eastAsia="仿宋"/>
          <w:bCs/>
          <w:color w:val="000000"/>
          <w:kern w:val="0"/>
          <w:sz w:val="32"/>
          <w:szCs w:val="32"/>
        </w:rPr>
        <w:t>、负责组织开展全区城乡环境综合治理和爱国卫生运动工作。</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xml:space="preserve">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6</w:t>
      </w:r>
      <w:r>
        <w:rPr>
          <w:rFonts w:hint="eastAsia" w:ascii="仿宋" w:hAnsi="仿宋" w:eastAsia="仿宋"/>
          <w:bCs/>
          <w:color w:val="000000"/>
          <w:kern w:val="0"/>
          <w:sz w:val="32"/>
          <w:szCs w:val="32"/>
        </w:rPr>
        <w:t>、主管城区市容和环境卫生工作。</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xml:space="preserve">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7</w:t>
      </w:r>
      <w:r>
        <w:rPr>
          <w:rFonts w:hint="eastAsia" w:ascii="仿宋" w:hAnsi="仿宋" w:eastAsia="仿宋"/>
          <w:bCs/>
          <w:color w:val="000000"/>
          <w:kern w:val="0"/>
          <w:sz w:val="32"/>
          <w:szCs w:val="32"/>
        </w:rPr>
        <w:t>、负责有关法律法规的宣传工作，受理综合行政执法、城乡环境综合治理、城区市容和环境卫生管理工作相关的信访和群众投诉。</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xml:space="preserve">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8</w:t>
      </w:r>
      <w:r>
        <w:rPr>
          <w:rFonts w:hint="eastAsia" w:ascii="仿宋" w:hAnsi="仿宋" w:eastAsia="仿宋"/>
          <w:bCs/>
          <w:color w:val="000000"/>
          <w:kern w:val="0"/>
          <w:sz w:val="32"/>
          <w:szCs w:val="32"/>
        </w:rPr>
        <w:t>、负责编制全区综合行政执法、城乡环境综合治理、市容和环境卫生工作经费年度计划，会同有关部门对职能职责相关的行政事业性收费工作进行监督管理。</w:t>
      </w:r>
    </w:p>
    <w:p>
      <w:pPr>
        <w:pageBreakBefore w:val="0"/>
        <w:widowControl/>
        <w:shd w:val="clear" w:color="auto" w:fill="FFFFFF"/>
        <w:kinsoku/>
        <w:wordWrap/>
        <w:overflowPunct/>
        <w:topLinePunct w:val="0"/>
        <w:autoSpaceDE/>
        <w:autoSpaceDN/>
        <w:bidi w:val="0"/>
        <w:spacing w:line="576" w:lineRule="exact"/>
        <w:jc w:val="left"/>
        <w:textAlignment w:val="auto"/>
        <w:rPr>
          <w:rFonts w:ascii="仿宋" w:hAnsi="仿宋" w:eastAsia="仿宋"/>
          <w:bCs/>
          <w:color w:val="000000"/>
          <w:kern w:val="0"/>
          <w:sz w:val="32"/>
          <w:szCs w:val="32"/>
        </w:rPr>
      </w:pPr>
      <w:r>
        <w:rPr>
          <w:rFonts w:ascii="仿宋" w:hAnsi="仿宋" w:eastAsia="仿宋"/>
          <w:bCs/>
          <w:color w:val="000000"/>
          <w:kern w:val="0"/>
          <w:sz w:val="32"/>
          <w:szCs w:val="32"/>
        </w:rPr>
        <w:t xml:space="preserve">  </w:t>
      </w:r>
      <w:r>
        <w:rPr>
          <w:rFonts w:hint="eastAsia" w:ascii="仿宋" w:hAnsi="仿宋" w:eastAsia="仿宋"/>
          <w:bCs/>
          <w:color w:val="000000"/>
          <w:kern w:val="0"/>
          <w:sz w:val="32"/>
          <w:szCs w:val="32"/>
          <w:lang w:val="en-US" w:eastAsia="zh-CN"/>
        </w:rPr>
        <w:t xml:space="preserve">  </w:t>
      </w:r>
      <w:r>
        <w:rPr>
          <w:rFonts w:ascii="仿宋" w:hAnsi="仿宋" w:eastAsia="仿宋"/>
          <w:bCs/>
          <w:color w:val="000000"/>
          <w:kern w:val="0"/>
          <w:sz w:val="32"/>
          <w:szCs w:val="32"/>
        </w:rPr>
        <w:t>9</w:t>
      </w:r>
      <w:r>
        <w:rPr>
          <w:rFonts w:hint="eastAsia" w:ascii="仿宋" w:hAnsi="仿宋" w:eastAsia="仿宋"/>
          <w:bCs/>
          <w:color w:val="000000"/>
          <w:kern w:val="0"/>
          <w:sz w:val="32"/>
          <w:szCs w:val="32"/>
        </w:rPr>
        <w:t>、完成区委、区政府交办的其它任务。</w:t>
      </w:r>
    </w:p>
    <w:bookmarkEnd w:id="19"/>
    <w:bookmarkEnd w:id="20"/>
    <w:p>
      <w:pPr>
        <w:pStyle w:val="7"/>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ascii="楷体_GB2312" w:hAnsi="楷体_GB2312" w:eastAsia="楷体_GB2312" w:cs="楷体_GB2312"/>
          <w:bCs/>
          <w:sz w:val="32"/>
          <w:szCs w:val="32"/>
        </w:rPr>
      </w:pPr>
      <w:bookmarkStart w:id="21" w:name="_Toc15378446"/>
      <w:bookmarkStart w:id="22" w:name="_Toc15377199"/>
      <w:bookmarkStart w:id="23" w:name="_Toc12633"/>
      <w:r>
        <w:rPr>
          <w:rFonts w:hint="eastAsia" w:ascii="楷体_GB2312" w:hAnsi="楷体_GB2312" w:eastAsia="楷体_GB2312" w:cs="楷体_GB2312"/>
          <w:bCs/>
          <w:sz w:val="32"/>
          <w:szCs w:val="32"/>
        </w:rPr>
        <w:t>（二）202</w:t>
      </w: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年重点工作完成情况</w:t>
      </w:r>
      <w:bookmarkEnd w:id="21"/>
      <w:bookmarkEnd w:id="22"/>
      <w:bookmarkEnd w:id="23"/>
    </w:p>
    <w:p>
      <w:pPr>
        <w:pStyle w:val="15"/>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ascii="黑体" w:hAnsi="黑体" w:eastAsia="黑体" w:cs="黑体"/>
          <w:color w:val="000000"/>
          <w:kern w:val="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市下目标完成情况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ascii="仿宋_GB2312" w:hAnsi="方正仿宋简体" w:eastAsia="仿宋_GB2312"/>
          <w:sz w:val="32"/>
          <w:szCs w:val="32"/>
        </w:rPr>
      </w:pPr>
      <w:r>
        <w:rPr>
          <w:rFonts w:hint="eastAsia" w:ascii="仿宋_GB2312" w:hAnsi="方正仿宋简体" w:eastAsia="仿宋_GB2312"/>
          <w:sz w:val="32"/>
          <w:szCs w:val="32"/>
        </w:rPr>
        <w:t>（</w:t>
      </w:r>
      <w:r>
        <w:rPr>
          <w:rFonts w:ascii="仿宋_GB2312" w:hAnsi="方正仿宋简体" w:eastAsia="仿宋_GB2312"/>
          <w:sz w:val="32"/>
          <w:szCs w:val="32"/>
        </w:rPr>
        <w:t>1</w:t>
      </w:r>
      <w:r>
        <w:rPr>
          <w:rFonts w:hint="eastAsia" w:ascii="仿宋_GB2312" w:hAnsi="方正仿宋简体" w:eastAsia="仿宋_GB2312"/>
          <w:sz w:val="32"/>
          <w:szCs w:val="32"/>
        </w:rPr>
        <w:t>）城乡环境综合治理方面。创建农村生活垃圾分类示范乡镇</w:t>
      </w:r>
      <w:r>
        <w:rPr>
          <w:rFonts w:ascii="仿宋_GB2312" w:hAnsi="方正仿宋简体" w:eastAsia="仿宋_GB2312"/>
          <w:sz w:val="32"/>
          <w:szCs w:val="32"/>
        </w:rPr>
        <w:t>1</w:t>
      </w:r>
      <w:r>
        <w:rPr>
          <w:rFonts w:hint="eastAsia" w:ascii="仿宋_GB2312" w:hAnsi="方正仿宋简体" w:eastAsia="仿宋_GB2312"/>
          <w:sz w:val="32"/>
          <w:szCs w:val="32"/>
        </w:rPr>
        <w:t>个，农村生活垃圾分类示范村（社区）</w:t>
      </w:r>
      <w:r>
        <w:rPr>
          <w:rFonts w:ascii="仿宋_GB2312" w:hAnsi="方正仿宋简体" w:eastAsia="仿宋_GB2312"/>
          <w:sz w:val="32"/>
          <w:szCs w:val="32"/>
        </w:rPr>
        <w:t>10</w:t>
      </w:r>
      <w:r>
        <w:rPr>
          <w:rFonts w:hint="eastAsia" w:ascii="仿宋_GB2312" w:hAnsi="方正仿宋简体" w:eastAsia="仿宋_GB2312"/>
          <w:sz w:val="32"/>
          <w:szCs w:val="32"/>
        </w:rPr>
        <w:t>个，均达目标任务的</w:t>
      </w:r>
      <w:r>
        <w:rPr>
          <w:rFonts w:ascii="仿宋_GB2312" w:hAnsi="方正仿宋简体" w:eastAsia="仿宋_GB2312"/>
          <w:sz w:val="32"/>
          <w:szCs w:val="32"/>
        </w:rPr>
        <w:t>100</w:t>
      </w:r>
      <w:r>
        <w:rPr>
          <w:rFonts w:hint="eastAsia" w:ascii="仿宋_GB2312" w:hAnsi="方正仿宋简体" w:eastAsia="仿宋_GB2312"/>
          <w:sz w:val="32"/>
          <w:szCs w:val="32"/>
        </w:rPr>
        <w:t>％。</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ascii="仿宋_GB2312" w:hAnsi="方正仿宋简体" w:eastAsia="仿宋_GB2312"/>
          <w:sz w:val="32"/>
          <w:szCs w:val="32"/>
        </w:rPr>
      </w:pPr>
      <w:r>
        <w:rPr>
          <w:rFonts w:hint="eastAsia" w:ascii="仿宋_GB2312" w:hAnsi="方正仿宋简体" w:eastAsia="仿宋_GB2312"/>
          <w:sz w:val="32"/>
          <w:szCs w:val="32"/>
        </w:rPr>
        <w:t>（</w:t>
      </w:r>
      <w:r>
        <w:rPr>
          <w:rFonts w:ascii="仿宋_GB2312" w:hAnsi="方正仿宋简体" w:eastAsia="仿宋_GB2312"/>
          <w:sz w:val="32"/>
          <w:szCs w:val="32"/>
        </w:rPr>
        <w:t>2</w:t>
      </w:r>
      <w:r>
        <w:rPr>
          <w:rFonts w:hint="eastAsia" w:ascii="仿宋_GB2312" w:hAnsi="方正仿宋简体" w:eastAsia="仿宋_GB2312"/>
          <w:sz w:val="32"/>
          <w:szCs w:val="32"/>
        </w:rPr>
        <w:t>）爱国卫生运动方面。</w:t>
      </w:r>
      <w:r>
        <w:rPr>
          <w:rFonts w:hint="eastAsia" w:ascii="仿宋_GB2312" w:hAnsi="方正仿宋简体" w:eastAsia="仿宋_GB2312"/>
          <w:sz w:val="32"/>
          <w:szCs w:val="32"/>
          <w:lang w:val="en-US" w:eastAsia="zh-CN"/>
        </w:rPr>
        <w:t>城区</w:t>
      </w:r>
      <w:r>
        <w:rPr>
          <w:rFonts w:hint="eastAsia" w:ascii="仿宋_GB2312" w:hAnsi="方正仿宋简体" w:eastAsia="仿宋_GB2312"/>
          <w:sz w:val="32"/>
          <w:szCs w:val="32"/>
        </w:rPr>
        <w:t>国家卫生城市</w:t>
      </w:r>
      <w:r>
        <w:rPr>
          <w:rFonts w:hint="eastAsia" w:ascii="仿宋_GB2312" w:hAnsi="方正仿宋简体" w:eastAsia="仿宋_GB2312"/>
          <w:sz w:val="32"/>
          <w:szCs w:val="32"/>
          <w:lang w:val="en-US" w:eastAsia="zh-CN"/>
        </w:rPr>
        <w:t>病媒生物防制工作顺利通过验收，</w:t>
      </w:r>
      <w:r>
        <w:rPr>
          <w:rFonts w:hint="eastAsia" w:ascii="仿宋_GB2312" w:hAnsi="方正仿宋简体" w:eastAsia="仿宋_GB2312"/>
          <w:sz w:val="32"/>
          <w:szCs w:val="32"/>
        </w:rPr>
        <w:t>迎接国家暗访复审工作顺利完成并得到国家暗访组高度评价</w:t>
      </w:r>
      <w:r>
        <w:rPr>
          <w:rFonts w:hint="eastAsia" w:ascii="仿宋_GB2312" w:hAnsi="方正仿宋简体" w:eastAsia="仿宋_GB2312"/>
          <w:sz w:val="32"/>
          <w:szCs w:val="32"/>
          <w:lang w:eastAsia="zh-CN"/>
        </w:rPr>
        <w:t>。</w:t>
      </w:r>
      <w:r>
        <w:rPr>
          <w:rFonts w:hint="eastAsia" w:ascii="仿宋_GB2312" w:hAnsi="方正仿宋简体" w:eastAsia="仿宋_GB2312"/>
          <w:sz w:val="32"/>
          <w:szCs w:val="32"/>
        </w:rPr>
        <w:t>中子镇、两河口镇</w:t>
      </w:r>
      <w:r>
        <w:rPr>
          <w:rFonts w:ascii="仿宋_GB2312" w:hAnsi="方正仿宋简体" w:eastAsia="仿宋_GB2312"/>
          <w:sz w:val="32"/>
          <w:szCs w:val="32"/>
        </w:rPr>
        <w:t>2</w:t>
      </w:r>
      <w:r>
        <w:rPr>
          <w:rFonts w:hint="eastAsia" w:ascii="仿宋_GB2312" w:hAnsi="方正仿宋简体" w:eastAsia="仿宋_GB2312"/>
          <w:sz w:val="32"/>
          <w:szCs w:val="32"/>
        </w:rPr>
        <w:t>个乡镇创建国家卫生乡镇</w:t>
      </w:r>
      <w:r>
        <w:rPr>
          <w:rFonts w:hint="eastAsia" w:ascii="仿宋_GB2312" w:hAnsi="方正仿宋简体" w:eastAsia="仿宋_GB2312"/>
          <w:sz w:val="32"/>
          <w:szCs w:val="32"/>
          <w:lang w:val="en-US" w:eastAsia="zh-CN"/>
        </w:rPr>
        <w:t>病媒生物防制工作迎接现场评估并达到C级标准。各级</w:t>
      </w:r>
      <w:r>
        <w:rPr>
          <w:rFonts w:hint="eastAsia" w:ascii="仿宋_GB2312" w:hAnsi="方正仿宋简体" w:eastAsia="仿宋_GB2312"/>
          <w:sz w:val="32"/>
          <w:szCs w:val="32"/>
        </w:rPr>
        <w:t>创建</w:t>
      </w:r>
      <w:r>
        <w:rPr>
          <w:rFonts w:hint="eastAsia" w:ascii="仿宋_GB2312" w:hAnsi="方正仿宋简体" w:eastAsia="仿宋_GB2312"/>
          <w:sz w:val="32"/>
          <w:szCs w:val="32"/>
          <w:lang w:val="en-US" w:eastAsia="zh-CN"/>
        </w:rPr>
        <w:t>工作</w:t>
      </w:r>
      <w:r>
        <w:rPr>
          <w:rFonts w:hint="eastAsia" w:ascii="仿宋_GB2312" w:hAnsi="方正仿宋简体" w:eastAsia="仿宋_GB2312"/>
          <w:sz w:val="32"/>
          <w:szCs w:val="32"/>
        </w:rPr>
        <w:t>均</w:t>
      </w:r>
      <w:r>
        <w:rPr>
          <w:rFonts w:hint="eastAsia" w:ascii="仿宋_GB2312" w:hAnsi="方正仿宋简体" w:eastAsia="仿宋_GB2312"/>
          <w:sz w:val="32"/>
          <w:szCs w:val="32"/>
          <w:lang w:val="en-US" w:eastAsia="zh-CN"/>
        </w:rPr>
        <w:t>完成</w:t>
      </w:r>
      <w:r>
        <w:rPr>
          <w:rFonts w:hint="eastAsia" w:ascii="仿宋_GB2312" w:hAnsi="方正仿宋简体" w:eastAsia="仿宋_GB2312"/>
          <w:sz w:val="32"/>
          <w:szCs w:val="32"/>
        </w:rPr>
        <w:t>目标任务的</w:t>
      </w:r>
      <w:r>
        <w:rPr>
          <w:rFonts w:ascii="仿宋_GB2312" w:hAnsi="方正仿宋简体" w:eastAsia="仿宋_GB2312"/>
          <w:sz w:val="32"/>
          <w:szCs w:val="32"/>
        </w:rPr>
        <w:t>100</w:t>
      </w:r>
      <w:r>
        <w:rPr>
          <w:rFonts w:hint="eastAsia" w:ascii="仿宋_GB2312" w:hAnsi="方正仿宋简体" w:eastAsia="仿宋_GB2312"/>
          <w:sz w:val="32"/>
          <w:szCs w:val="32"/>
        </w:rPr>
        <w:t>％。</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ascii="仿宋_GB2312" w:hAnsi="方正仿宋简体" w:eastAsia="仿宋_GB2312"/>
          <w:sz w:val="32"/>
          <w:szCs w:val="32"/>
        </w:rPr>
      </w:pPr>
      <w:r>
        <w:rPr>
          <w:rFonts w:hint="eastAsia" w:ascii="仿宋_GB2312" w:hAnsi="方正仿宋简体" w:eastAsia="仿宋_GB2312"/>
          <w:sz w:val="32"/>
          <w:szCs w:val="32"/>
        </w:rPr>
        <w:t>（</w:t>
      </w:r>
      <w:r>
        <w:rPr>
          <w:rFonts w:ascii="仿宋_GB2312" w:hAnsi="方正仿宋简体" w:eastAsia="仿宋_GB2312"/>
          <w:sz w:val="32"/>
          <w:szCs w:val="32"/>
        </w:rPr>
        <w:t>3</w:t>
      </w:r>
      <w:r>
        <w:rPr>
          <w:rFonts w:hint="eastAsia" w:ascii="仿宋_GB2312" w:hAnsi="方正仿宋简体" w:eastAsia="仿宋_GB2312"/>
          <w:sz w:val="32"/>
          <w:szCs w:val="32"/>
        </w:rPr>
        <w:t>）城市生活垃圾分类方面。建成城市生活垃圾分类示范教育基地</w:t>
      </w:r>
      <w:r>
        <w:rPr>
          <w:rFonts w:ascii="仿宋_GB2312" w:hAnsi="方正仿宋简体" w:eastAsia="仿宋_GB2312"/>
          <w:sz w:val="32"/>
          <w:szCs w:val="32"/>
        </w:rPr>
        <w:t>1</w:t>
      </w:r>
      <w:r>
        <w:rPr>
          <w:rFonts w:hint="eastAsia" w:ascii="仿宋_GB2312" w:hAnsi="方正仿宋简体" w:eastAsia="仿宋_GB2312"/>
          <w:sz w:val="32"/>
          <w:szCs w:val="32"/>
        </w:rPr>
        <w:t>个、示范单位</w:t>
      </w:r>
      <w:r>
        <w:rPr>
          <w:rFonts w:hint="eastAsia" w:ascii="仿宋_GB2312" w:hAnsi="方正仿宋简体" w:eastAsia="仿宋_GB2312"/>
          <w:sz w:val="32"/>
          <w:szCs w:val="32"/>
          <w:lang w:val="en-US" w:eastAsia="zh-CN"/>
        </w:rPr>
        <w:t>6</w:t>
      </w:r>
      <w:r>
        <w:rPr>
          <w:rFonts w:hint="eastAsia" w:ascii="仿宋_GB2312" w:hAnsi="方正仿宋简体" w:eastAsia="仿宋_GB2312"/>
          <w:sz w:val="32"/>
          <w:szCs w:val="32"/>
        </w:rPr>
        <w:t>个，评选典型先进家庭</w:t>
      </w:r>
      <w:r>
        <w:rPr>
          <w:rFonts w:hint="eastAsia" w:ascii="仿宋_GB2312" w:hAnsi="方正仿宋简体" w:eastAsia="仿宋_GB2312"/>
          <w:sz w:val="32"/>
          <w:szCs w:val="32"/>
          <w:lang w:val="en-US" w:eastAsia="zh-CN"/>
        </w:rPr>
        <w:t>15</w:t>
      </w:r>
      <w:r>
        <w:rPr>
          <w:rFonts w:hint="eastAsia" w:ascii="仿宋_GB2312" w:hAnsi="方正仿宋简体" w:eastAsia="仿宋_GB2312"/>
          <w:sz w:val="32"/>
          <w:szCs w:val="32"/>
        </w:rPr>
        <w:t>户</w:t>
      </w:r>
      <w:r>
        <w:rPr>
          <w:rFonts w:ascii="仿宋_GB2312" w:hAnsi="方正仿宋简体" w:eastAsia="仿宋_GB2312"/>
          <w:sz w:val="32"/>
          <w:szCs w:val="32"/>
        </w:rPr>
        <w:t>,</w:t>
      </w:r>
      <w:r>
        <w:rPr>
          <w:rFonts w:hint="eastAsia" w:ascii="仿宋_GB2312" w:hAnsi="方正仿宋简体" w:eastAsia="仿宋_GB2312"/>
          <w:sz w:val="32"/>
          <w:szCs w:val="32"/>
        </w:rPr>
        <w:t>均达目标任务的</w:t>
      </w:r>
      <w:r>
        <w:rPr>
          <w:rFonts w:ascii="仿宋_GB2312" w:hAnsi="方正仿宋简体" w:eastAsia="仿宋_GB2312"/>
          <w:sz w:val="32"/>
          <w:szCs w:val="32"/>
        </w:rPr>
        <w:t>100%</w:t>
      </w:r>
      <w:r>
        <w:rPr>
          <w:rFonts w:hint="eastAsia" w:ascii="仿宋_GB2312" w:hAnsi="方正仿宋简体" w:eastAsia="仿宋_GB2312"/>
          <w:sz w:val="32"/>
          <w:szCs w:val="32"/>
        </w:rPr>
        <w:t>，垃圾分类积分制管理大力推广，体制机制进一步完善。</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经济指标完成情况</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hint="eastAsia"/>
          <w:color w:val="FF0000"/>
          <w:lang w:eastAsia="zh-CN"/>
        </w:rPr>
      </w:pPr>
      <w:r>
        <w:rPr>
          <w:rFonts w:ascii="仿宋_GB2312" w:hAnsi="方正仿宋简体" w:eastAsia="仿宋_GB2312"/>
          <w:color w:val="000000" w:themeColor="text1"/>
          <w:sz w:val="32"/>
          <w:szCs w:val="32"/>
          <w14:textFill>
            <w14:solidFill>
              <w14:schemeClr w14:val="tx1"/>
            </w14:solidFill>
          </w14:textFill>
        </w:rPr>
        <w:t>202</w:t>
      </w:r>
      <w:r>
        <w:rPr>
          <w:rFonts w:hint="eastAsia" w:ascii="仿宋_GB2312" w:hAnsi="方正仿宋简体" w:eastAsia="仿宋_GB2312"/>
          <w:color w:val="000000" w:themeColor="text1"/>
          <w:sz w:val="32"/>
          <w:szCs w:val="32"/>
          <w:lang w:val="en-US" w:eastAsia="zh-CN"/>
          <w14:textFill>
            <w14:solidFill>
              <w14:schemeClr w14:val="tx1"/>
            </w14:solidFill>
          </w14:textFill>
        </w:rPr>
        <w:t>2</w:t>
      </w:r>
      <w:r>
        <w:rPr>
          <w:rFonts w:hint="eastAsia" w:ascii="仿宋_GB2312" w:hAnsi="方正仿宋简体" w:eastAsia="仿宋_GB2312"/>
          <w:color w:val="000000" w:themeColor="text1"/>
          <w:sz w:val="32"/>
          <w:szCs w:val="32"/>
          <w14:textFill>
            <w14:solidFill>
              <w14:schemeClr w14:val="tx1"/>
            </w14:solidFill>
          </w14:textFill>
        </w:rPr>
        <w:t>年，</w:t>
      </w:r>
      <w:r>
        <w:rPr>
          <w:rFonts w:hint="eastAsia" w:ascii="仿宋_GB2312" w:hAnsi="仿宋_GB2312" w:eastAsia="仿宋_GB2312" w:cs="仿宋_GB2312"/>
          <w:sz w:val="32"/>
          <w:szCs w:val="32"/>
        </w:rPr>
        <w:t>完成非税收入44万元，达到目标任务40万元的110%；完成固定资产投资4100万元，达到目标任务4000万元的102%；向上争取到位项目及专项补助资金822万元，达到目标任务700万元的117%；引进到位项目资金5600万元，达到目标任务5000万元的112% </w:t>
      </w:r>
      <w:r>
        <w:rPr>
          <w:rFonts w:hint="eastAsia" w:ascii="仿宋_GB2312" w:hAnsi="仿宋_GB2312" w:eastAsia="仿宋_GB2312" w:cs="仿宋_GB2312"/>
          <w:sz w:val="32"/>
          <w:szCs w:val="32"/>
          <w:lang w:eastAsia="zh-CN"/>
        </w:rPr>
        <w:t>。</w:t>
      </w:r>
    </w:p>
    <w:p>
      <w:pPr>
        <w:pStyle w:val="5"/>
        <w:pageBreakBefore w:val="0"/>
        <w:kinsoku/>
        <w:wordWrap/>
        <w:overflowPunct/>
        <w:topLinePunct w:val="0"/>
        <w:autoSpaceDE/>
        <w:autoSpaceDN/>
        <w:bidi w:val="0"/>
        <w:spacing w:before="0" w:after="0" w:line="576" w:lineRule="exact"/>
        <w:ind w:firstLine="640" w:firstLineChars="200"/>
        <w:textAlignment w:val="auto"/>
        <w:rPr>
          <w:rStyle w:val="32"/>
          <w:b w:val="0"/>
          <w:bCs w:val="0"/>
          <w:color w:val="auto"/>
          <w:highlight w:val="none"/>
        </w:rPr>
      </w:pPr>
      <w:bookmarkStart w:id="24" w:name="_Toc15396601"/>
      <w:bookmarkStart w:id="25" w:name="_Toc15377200"/>
      <w:bookmarkStart w:id="26" w:name="_Toc4934"/>
      <w:r>
        <w:rPr>
          <w:rFonts w:hint="eastAsia" w:ascii="黑体" w:eastAsia="黑体"/>
          <w:b w:val="0"/>
          <w:color w:val="auto"/>
          <w:highlight w:val="none"/>
        </w:rPr>
        <w:t>二、</w:t>
      </w:r>
      <w:r>
        <w:rPr>
          <w:rFonts w:hint="eastAsia" w:ascii="黑体" w:hAnsi="黑体" w:eastAsia="黑体"/>
          <w:b w:val="0"/>
          <w:color w:val="auto"/>
          <w:highlight w:val="none"/>
        </w:rPr>
        <w:t>机</w:t>
      </w:r>
      <w:r>
        <w:rPr>
          <w:rStyle w:val="32"/>
          <w:rFonts w:hint="eastAsia" w:ascii="黑体" w:hAnsi="黑体" w:eastAsia="黑体"/>
          <w:b w:val="0"/>
          <w:bCs w:val="0"/>
          <w:color w:val="auto"/>
          <w:highlight w:val="none"/>
        </w:rPr>
        <w:t>构设置</w:t>
      </w:r>
      <w:bookmarkEnd w:id="24"/>
      <w:bookmarkEnd w:id="25"/>
      <w:bookmarkEnd w:id="26"/>
    </w:p>
    <w:p>
      <w:pPr>
        <w:pageBreakBefore w:val="0"/>
        <w:kinsoku/>
        <w:wordWrap/>
        <w:overflowPunct/>
        <w:topLinePunct w:val="0"/>
        <w:autoSpaceDE/>
        <w:autoSpaceDN/>
        <w:bidi w:val="0"/>
        <w:spacing w:line="576" w:lineRule="exact"/>
        <w:ind w:firstLine="800" w:firstLineChars="25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区综合行政执法局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1</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w:t>
      </w:r>
    </w:p>
    <w:p>
      <w:pPr>
        <w:pStyle w:val="7"/>
        <w:pageBreakBefore w:val="0"/>
        <w:kinsoku/>
        <w:wordWrap/>
        <w:overflowPunct/>
        <w:topLinePunct w:val="0"/>
        <w:autoSpaceDE/>
        <w:autoSpaceDN/>
        <w:bidi w:val="0"/>
        <w:adjustRightInd w:val="0"/>
        <w:snapToGrid w:val="0"/>
        <w:spacing w:beforeLines="0" w:line="576" w:lineRule="exact"/>
        <w:ind w:firstLine="672" w:firstLineChars="21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区综合行政执法局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年度部门决算编制范围的二级预算单位包括：</w:t>
      </w:r>
    </w:p>
    <w:p>
      <w:pPr>
        <w:pStyle w:val="7"/>
        <w:pageBreakBefore w:val="0"/>
        <w:numPr>
          <w:ilvl w:val="0"/>
          <w:numId w:val="0"/>
        </w:numPr>
        <w:kinsoku/>
        <w:wordWrap/>
        <w:overflowPunct/>
        <w:topLinePunct w:val="0"/>
        <w:autoSpaceDE/>
        <w:autoSpaceDN/>
        <w:bidi w:val="0"/>
        <w:adjustRightInd w:val="0"/>
        <w:snapToGrid w:val="0"/>
        <w:spacing w:beforeLines="0" w:line="576" w:lineRule="exact"/>
        <w:textAlignment w:val="auto"/>
        <w:outlineLvl w:val="9"/>
        <w:rPr>
          <w:rFonts w:ascii="仿宋" w:hAnsi="仿宋" w:eastAsia="仿宋"/>
          <w:color w:val="auto"/>
          <w:sz w:val="32"/>
          <w:szCs w:val="32"/>
          <w:highlight w:val="none"/>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31"/>
          <w:rFonts w:ascii="黑体" w:hAnsi="黑体" w:eastAsia="黑体"/>
          <w:b w:val="0"/>
          <w:bCs/>
          <w:color w:val="auto"/>
          <w:highlight w:val="none"/>
        </w:rPr>
      </w:pPr>
      <w:bookmarkStart w:id="27" w:name="_Toc15377204"/>
      <w:bookmarkStart w:id="28" w:name="_Toc15396602"/>
      <w:bookmarkStart w:id="29" w:name="_Toc1805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rPr>
        <w:t>部门决算情况说明</w:t>
      </w:r>
      <w:bookmarkEnd w:id="27"/>
      <w:bookmarkEnd w:id="28"/>
      <w:bookmarkEnd w:id="29"/>
    </w:p>
    <w:p>
      <w:pPr>
        <w:rPr>
          <w:color w:val="auto"/>
          <w:highlight w:val="none"/>
        </w:rPr>
      </w:pPr>
    </w:p>
    <w:p>
      <w:pPr>
        <w:pStyle w:val="30"/>
        <w:numPr>
          <w:ilvl w:val="0"/>
          <w:numId w:val="1"/>
        </w:numPr>
        <w:spacing w:line="600" w:lineRule="exact"/>
        <w:ind w:firstLineChars="0"/>
        <w:outlineLvl w:val="1"/>
        <w:rPr>
          <w:rStyle w:val="32"/>
          <w:rFonts w:ascii="黑体" w:hAnsi="黑体" w:eastAsia="黑体"/>
          <w:b w:val="0"/>
          <w:color w:val="auto"/>
          <w:highlight w:val="none"/>
        </w:rPr>
      </w:pPr>
      <w:bookmarkStart w:id="30" w:name="_Toc15396603"/>
      <w:bookmarkStart w:id="31" w:name="_Toc15377205"/>
      <w:bookmarkStart w:id="32" w:name="_Toc12024"/>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30"/>
      <w:bookmarkEnd w:id="31"/>
      <w:bookmarkEnd w:id="32"/>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1819.76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634.82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25.86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人员及项目减少</w:t>
      </w:r>
      <w:r>
        <w:rPr>
          <w:rFonts w:hint="eastAsia" w:ascii="仿宋" w:hAnsi="仿宋" w:eastAsia="仿宋"/>
          <w:color w:val="auto"/>
          <w:sz w:val="32"/>
          <w:szCs w:val="32"/>
          <w:highlight w:val="none"/>
          <w:lang w:eastAsia="zh-CN"/>
        </w:rPr>
        <w:t>。</w:t>
      </w:r>
    </w:p>
    <w:p>
      <w:pPr>
        <w:pStyle w:val="2"/>
        <w:ind w:left="0" w:leftChars="0" w:firstLine="0" w:firstLineChars="0"/>
        <w:jc w:val="center"/>
        <w:rPr>
          <w:rFonts w:hint="eastAsia"/>
          <w:lang w:eastAsia="zh-CN"/>
        </w:rPr>
      </w:pPr>
      <w:r>
        <w:rPr>
          <w:rFonts w:hint="eastAsia"/>
          <w:lang w:eastAsia="zh-CN"/>
        </w:rPr>
        <w:drawing>
          <wp:inline distT="0" distB="0" distL="114300" distR="114300">
            <wp:extent cx="4133215" cy="2426970"/>
            <wp:effectExtent l="4445" t="4445" r="1524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w:t>
      </w:r>
      <w:r>
        <w:rPr>
          <w:rFonts w:hint="eastAsia" w:ascii="仿宋" w:hAnsi="仿宋" w:eastAsia="仿宋"/>
          <w:color w:val="000000" w:themeColor="text1"/>
          <w:sz w:val="32"/>
          <w:szCs w:val="32"/>
          <w:highlight w:val="none"/>
          <w:lang w:eastAsia="zh-CN"/>
          <w14:textFill>
            <w14:solidFill>
              <w14:schemeClr w14:val="tx1"/>
            </w14:solidFill>
          </w14:textFill>
        </w:rPr>
        <w:t>入</w:t>
      </w:r>
      <w:r>
        <w:rPr>
          <w:rFonts w:hint="eastAsia" w:ascii="仿宋" w:hAnsi="仿宋" w:eastAsia="仿宋"/>
          <w:color w:val="000000" w:themeColor="text1"/>
          <w:sz w:val="32"/>
          <w:szCs w:val="32"/>
          <w:highlight w:val="none"/>
          <w14:textFill>
            <w14:solidFill>
              <w14:schemeClr w14:val="tx1"/>
            </w14:solidFill>
          </w14:textFill>
        </w:rPr>
        <w:t>决算总计变动情况图）（柱状图）</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2163.47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291.11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11.85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人员及项目减少</w:t>
      </w:r>
      <w:r>
        <w:rPr>
          <w:rFonts w:hint="eastAsia" w:ascii="仿宋" w:hAnsi="仿宋" w:eastAsia="仿宋"/>
          <w:color w:val="auto"/>
          <w:sz w:val="32"/>
          <w:szCs w:val="32"/>
          <w:highlight w:val="none"/>
          <w:lang w:eastAsia="zh-CN"/>
        </w:rPr>
        <w:t>。</w:t>
      </w:r>
    </w:p>
    <w:p>
      <w:pPr>
        <w:spacing w:line="600" w:lineRule="exact"/>
        <w:ind w:firstLine="960" w:firstLineChars="3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785495</wp:posOffset>
            </wp:positionH>
            <wp:positionV relativeFrom="paragraph">
              <wp:posOffset>104775</wp:posOffset>
            </wp:positionV>
            <wp:extent cx="4180840" cy="2255520"/>
            <wp:effectExtent l="4445" t="4445" r="5715" b="698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支出</w:t>
      </w:r>
      <w:r>
        <w:rPr>
          <w:rFonts w:hint="eastAsia" w:ascii="仿宋" w:hAnsi="仿宋" w:eastAsia="仿宋"/>
          <w:color w:val="000000" w:themeColor="text1"/>
          <w:sz w:val="32"/>
          <w:szCs w:val="32"/>
          <w:highlight w:val="none"/>
          <w14:textFill>
            <w14:solidFill>
              <w14:schemeClr w14:val="tx1"/>
            </w14:solidFill>
          </w14:textFill>
        </w:rPr>
        <w:t>决算总计变动情况图）（柱状图）</w:t>
      </w:r>
    </w:p>
    <w:p>
      <w:pPr>
        <w:spacing w:line="600" w:lineRule="exact"/>
        <w:ind w:firstLine="960" w:firstLineChars="300"/>
        <w:rPr>
          <w:rFonts w:hint="eastAsia" w:ascii="仿宋" w:hAnsi="仿宋" w:eastAsia="仿宋"/>
          <w:color w:val="000000" w:themeColor="text1"/>
          <w:sz w:val="32"/>
          <w:szCs w:val="32"/>
          <w:highlight w:val="none"/>
          <w14:textFill>
            <w14:solidFill>
              <w14:schemeClr w14:val="tx1"/>
            </w14:solidFill>
          </w14:textFill>
        </w:rPr>
      </w:pPr>
    </w:p>
    <w:p>
      <w:pPr>
        <w:pStyle w:val="30"/>
        <w:numPr>
          <w:ilvl w:val="0"/>
          <w:numId w:val="1"/>
        </w:numPr>
        <w:spacing w:line="600" w:lineRule="exact"/>
        <w:ind w:firstLineChars="0"/>
        <w:outlineLvl w:val="1"/>
        <w:rPr>
          <w:rStyle w:val="32"/>
          <w:rFonts w:ascii="黑体" w:hAnsi="黑体" w:eastAsia="黑体"/>
          <w:b w:val="0"/>
          <w:color w:val="auto"/>
          <w:highlight w:val="none"/>
        </w:rPr>
      </w:pPr>
      <w:bookmarkStart w:id="33" w:name="_Toc15396604"/>
      <w:bookmarkStart w:id="34" w:name="_Toc15377206"/>
      <w:bookmarkStart w:id="35" w:name="_Toc1924"/>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33"/>
      <w:bookmarkEnd w:id="34"/>
      <w:bookmarkEnd w:id="35"/>
    </w:p>
    <w:p>
      <w:pPr>
        <w:spacing w:line="600" w:lineRule="exact"/>
        <w:ind w:firstLine="640" w:firstLineChars="200"/>
        <w:outlineLvl w:val="1"/>
        <w:rPr>
          <w:rFonts w:ascii="仿宋" w:hAnsi="仿宋" w:eastAsia="仿宋"/>
          <w:color w:val="auto"/>
          <w:sz w:val="32"/>
          <w:szCs w:val="32"/>
          <w:highlight w:val="none"/>
        </w:rPr>
      </w:pPr>
      <w:bookmarkStart w:id="36" w:name="_Toc1607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1819.76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1819.76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6"/>
    </w:p>
    <w:p>
      <w:pPr>
        <w:jc w:val="center"/>
        <w:rPr>
          <w:rFonts w:hint="eastAsia" w:ascii="仿宋" w:hAnsi="仿宋" w:eastAsia="仿宋"/>
          <w:color w:val="FF0000"/>
          <w:sz w:val="32"/>
          <w:szCs w:val="32"/>
          <w:highlight w:val="none"/>
        </w:rPr>
      </w:pPr>
      <w:r>
        <w:rPr>
          <w:rFonts w:hint="eastAsia" w:ascii="仿宋" w:hAnsi="仿宋" w:eastAsia="仿宋"/>
          <w:color w:val="FF0000"/>
          <w:sz w:val="32"/>
          <w:szCs w:val="32"/>
          <w:highlight w:val="none"/>
          <w:lang w:eastAsia="zh-CN"/>
        </w:rPr>
        <w:drawing>
          <wp:inline distT="0" distB="0" distL="114300" distR="114300">
            <wp:extent cx="4739640" cy="2770505"/>
            <wp:effectExtent l="0" t="0" r="3810" b="10795"/>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9"/>
                    <a:stretch>
                      <a:fillRect/>
                    </a:stretch>
                  </pic:blipFill>
                  <pic:spPr>
                    <a:xfrm>
                      <a:off x="0" y="0"/>
                      <a:ext cx="4739640" cy="2770505"/>
                    </a:xfrm>
                    <a:prstGeom prst="rect">
                      <a:avLst/>
                    </a:prstGeom>
                  </pic:spPr>
                </pic:pic>
              </a:graphicData>
            </a:graphic>
          </wp:inline>
        </w:drawing>
      </w:r>
    </w:p>
    <w:p>
      <w:pPr>
        <w:spacing w:line="600" w:lineRule="exact"/>
        <w:ind w:firstLine="960" w:firstLineChars="300"/>
        <w:rPr>
          <w:rFonts w:ascii="仿宋_GB2312" w:eastAsia="仿宋_GB2312"/>
          <w:color w:val="auto"/>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：收入决算结构图）（饼状图）</w:t>
      </w:r>
    </w:p>
    <w:p>
      <w:pPr>
        <w:pStyle w:val="30"/>
        <w:numPr>
          <w:ilvl w:val="0"/>
          <w:numId w:val="1"/>
        </w:numPr>
        <w:spacing w:line="600" w:lineRule="exact"/>
        <w:ind w:firstLineChars="0"/>
        <w:outlineLvl w:val="1"/>
        <w:rPr>
          <w:rStyle w:val="32"/>
          <w:rFonts w:ascii="黑体" w:hAnsi="黑体" w:eastAsia="黑体"/>
          <w:b w:val="0"/>
          <w:color w:val="auto"/>
          <w:highlight w:val="none"/>
        </w:rPr>
      </w:pPr>
      <w:bookmarkStart w:id="37" w:name="_Toc15377207"/>
      <w:bookmarkStart w:id="38" w:name="_Toc15396605"/>
      <w:bookmarkStart w:id="39" w:name="_Toc12862"/>
      <w:r>
        <w:rPr>
          <w:rFonts w:hint="eastAsia" w:ascii="黑体" w:hAnsi="黑体" w:eastAsia="黑体"/>
          <w:color w:val="auto"/>
          <w:sz w:val="32"/>
          <w:szCs w:val="32"/>
          <w:highlight w:val="none"/>
        </w:rPr>
        <w:t>支</w:t>
      </w:r>
      <w:r>
        <w:rPr>
          <w:rStyle w:val="32"/>
          <w:rFonts w:hint="eastAsia" w:ascii="黑体" w:hAnsi="黑体" w:eastAsia="黑体"/>
          <w:b w:val="0"/>
          <w:color w:val="auto"/>
          <w:highlight w:val="none"/>
        </w:rPr>
        <w:t>出决算情况说明</w:t>
      </w:r>
      <w:bookmarkEnd w:id="37"/>
      <w:bookmarkEnd w:id="38"/>
      <w:bookmarkEnd w:id="39"/>
    </w:p>
    <w:p>
      <w:pPr>
        <w:spacing w:line="600" w:lineRule="exact"/>
        <w:ind w:firstLine="640" w:firstLineChars="200"/>
        <w:outlineLvl w:val="1"/>
        <w:rPr>
          <w:rFonts w:hint="eastAsia" w:ascii="仿宋" w:hAnsi="仿宋" w:eastAsia="仿宋"/>
          <w:color w:val="FF0000"/>
          <w:sz w:val="32"/>
          <w:szCs w:val="32"/>
          <w:highlight w:val="none"/>
        </w:rPr>
      </w:pPr>
      <w:bookmarkStart w:id="40" w:name="_Toc1441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2163.47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623.12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1540.35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0"/>
    </w:p>
    <w:p>
      <w:pPr>
        <w:spacing w:line="600" w:lineRule="exact"/>
        <w:ind w:firstLine="640" w:firstLineChars="200"/>
        <w:rPr>
          <w:rFonts w:hint="eastAsia" w:ascii="仿宋" w:hAnsi="仿宋" w:eastAsia="仿宋"/>
          <w:color w:val="FF0000"/>
          <w:sz w:val="32"/>
          <w:szCs w:val="32"/>
          <w:highlight w:val="none"/>
        </w:rPr>
      </w:pPr>
    </w:p>
    <w:p>
      <w:pPr>
        <w:spacing w:line="240" w:lineRule="auto"/>
        <w:ind w:left="1598" w:leftChars="304" w:hanging="960" w:hangingChars="300"/>
        <w:rPr>
          <w:rFonts w:ascii="仿宋_GB2312" w:eastAsia="仿宋_GB2312"/>
          <w:color w:val="FF0000"/>
          <w:sz w:val="32"/>
          <w:szCs w:val="32"/>
          <w:highlight w:val="none"/>
        </w:rPr>
      </w:pPr>
      <w:r>
        <w:rPr>
          <w:rFonts w:hint="eastAsia" w:ascii="仿宋" w:hAnsi="仿宋" w:eastAsia="仿宋"/>
          <w:color w:val="FF0000"/>
          <w:sz w:val="32"/>
          <w:szCs w:val="32"/>
          <w:highlight w:val="none"/>
          <w:lang w:eastAsia="zh-CN"/>
        </w:rPr>
        <w:drawing>
          <wp:inline distT="0" distB="0" distL="114300" distR="114300">
            <wp:extent cx="5273040" cy="2360930"/>
            <wp:effectExtent l="0" t="0" r="3810" b="1270"/>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10"/>
                    <a:stretch>
                      <a:fillRect/>
                    </a:stretch>
                  </pic:blipFill>
                  <pic:spPr>
                    <a:xfrm>
                      <a:off x="0" y="0"/>
                      <a:ext cx="5273040" cy="2360930"/>
                    </a:xfrm>
                    <a:prstGeom prst="rect">
                      <a:avLst/>
                    </a:prstGeom>
                  </pic:spPr>
                </pic:pic>
              </a:graphicData>
            </a:graphic>
          </wp:inline>
        </w:drawing>
      </w: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：支出决算结构图）（饼状图）</w:t>
      </w:r>
    </w:p>
    <w:p>
      <w:pPr>
        <w:spacing w:line="600" w:lineRule="exact"/>
        <w:ind w:firstLine="640" w:firstLineChars="200"/>
        <w:outlineLvl w:val="1"/>
        <w:rPr>
          <w:rStyle w:val="32"/>
          <w:rFonts w:ascii="黑体" w:hAnsi="黑体" w:eastAsia="黑体"/>
          <w:b w:val="0"/>
          <w:color w:val="auto"/>
          <w:highlight w:val="none"/>
        </w:rPr>
      </w:pPr>
      <w:bookmarkStart w:id="41" w:name="_Toc15396606"/>
      <w:bookmarkStart w:id="42" w:name="_Toc15377208"/>
      <w:bookmarkStart w:id="43" w:name="_Toc16422"/>
      <w:r>
        <w:rPr>
          <w:rFonts w:hint="eastAsia" w:ascii="黑体" w:hAnsi="黑体" w:eastAsia="黑体"/>
          <w:color w:val="auto"/>
          <w:sz w:val="32"/>
          <w:szCs w:val="32"/>
          <w:highlight w:val="none"/>
        </w:rPr>
        <w:t>四、财</w:t>
      </w:r>
      <w:r>
        <w:rPr>
          <w:rStyle w:val="32"/>
          <w:rFonts w:hint="eastAsia" w:ascii="黑体" w:hAnsi="黑体" w:eastAsia="黑体"/>
          <w:b w:val="0"/>
          <w:color w:val="auto"/>
          <w:highlight w:val="none"/>
        </w:rPr>
        <w:t>政拨款收入支出决算总体情况说明</w:t>
      </w:r>
      <w:bookmarkEnd w:id="41"/>
      <w:bookmarkEnd w:id="42"/>
      <w:bookmarkEnd w:id="43"/>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2163.47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291.11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11.85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人员及项目减少</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color w:val="auto"/>
          <w:sz w:val="32"/>
          <w:szCs w:val="32"/>
          <w:highlight w:val="none"/>
        </w:rPr>
      </w:pPr>
    </w:p>
    <w:p>
      <w:pPr>
        <w:spacing w:line="600" w:lineRule="exact"/>
        <w:ind w:firstLine="640"/>
        <w:rPr>
          <w:rFonts w:hint="eastAsia" w:ascii="仿宋" w:hAnsi="仿宋" w:eastAsia="仿宋"/>
          <w:color w:val="FF0000"/>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240" w:lineRule="auto"/>
        <w:jc w:val="center"/>
        <w:rPr>
          <w:rFonts w:hint="eastAsia" w:ascii="仿宋" w:hAnsi="仿宋" w:eastAsia="仿宋"/>
          <w:color w:val="FF0000"/>
          <w:sz w:val="32"/>
          <w:szCs w:val="32"/>
          <w:highlight w:val="none"/>
        </w:rPr>
      </w:pPr>
      <w:r>
        <w:rPr>
          <w:rFonts w:hint="eastAsia" w:ascii="仿宋" w:hAnsi="仿宋" w:eastAsia="仿宋"/>
          <w:color w:val="FF0000"/>
          <w:sz w:val="32"/>
          <w:szCs w:val="32"/>
          <w:highlight w:val="none"/>
          <w:lang w:eastAsia="zh-CN"/>
        </w:rPr>
        <w:drawing>
          <wp:inline distT="0" distB="0" distL="114300" distR="114300">
            <wp:extent cx="5273675" cy="3038475"/>
            <wp:effectExtent l="0" t="0" r="3175" b="9525"/>
            <wp:docPr id="1" name="图片 1" descr="财政拨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财政拨款"/>
                    <pic:cNvPicPr>
                      <a:picLocks noChangeAspect="1"/>
                    </pic:cNvPicPr>
                  </pic:nvPicPr>
                  <pic:blipFill>
                    <a:blip r:embed="rId11"/>
                    <a:stretch>
                      <a:fillRect/>
                    </a:stretch>
                  </pic:blipFill>
                  <pic:spPr>
                    <a:xfrm>
                      <a:off x="0" y="0"/>
                      <a:ext cx="5273675" cy="3038475"/>
                    </a:xfrm>
                    <a:prstGeom prst="rect">
                      <a:avLst/>
                    </a:prstGeom>
                  </pic:spPr>
                </pic:pic>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：财政拨款收、支决算总计变动情况）（柱状图）</w:t>
      </w:r>
    </w:p>
    <w:p>
      <w:pPr>
        <w:spacing w:line="600" w:lineRule="exact"/>
        <w:ind w:firstLine="640"/>
        <w:rPr>
          <w:rFonts w:ascii="仿宋" w:hAnsi="仿宋" w:eastAsia="仿宋"/>
          <w:b/>
          <w:color w:val="FF0000"/>
          <w:sz w:val="32"/>
          <w:szCs w:val="32"/>
          <w:highlight w:val="none"/>
        </w:rPr>
      </w:pPr>
    </w:p>
    <w:p>
      <w:pPr>
        <w:spacing w:line="600" w:lineRule="exact"/>
        <w:ind w:firstLine="640" w:firstLineChars="200"/>
        <w:outlineLvl w:val="1"/>
        <w:rPr>
          <w:rStyle w:val="32"/>
          <w:rFonts w:ascii="黑体" w:hAnsi="黑体" w:eastAsia="黑体"/>
          <w:b w:val="0"/>
          <w:color w:val="auto"/>
          <w:highlight w:val="none"/>
        </w:rPr>
      </w:pPr>
      <w:bookmarkStart w:id="44" w:name="_Toc15396607"/>
      <w:bookmarkStart w:id="45" w:name="_Toc15377209"/>
      <w:bookmarkStart w:id="46" w:name="_Toc2667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般公共预算财政拨款支出决算情况说明</w:t>
      </w:r>
      <w:bookmarkEnd w:id="44"/>
      <w:bookmarkEnd w:id="45"/>
      <w:bookmarkEnd w:id="46"/>
    </w:p>
    <w:p>
      <w:pPr>
        <w:spacing w:line="600" w:lineRule="exact"/>
        <w:ind w:firstLine="643" w:firstLineChars="200"/>
        <w:outlineLvl w:val="2"/>
        <w:rPr>
          <w:rFonts w:ascii="仿宋" w:hAnsi="仿宋" w:eastAsia="仿宋"/>
          <w:b/>
          <w:color w:val="auto"/>
          <w:sz w:val="32"/>
          <w:szCs w:val="32"/>
          <w:highlight w:val="none"/>
        </w:rPr>
      </w:pPr>
      <w:bookmarkStart w:id="47" w:name="_Toc15377210"/>
      <w:bookmarkStart w:id="48" w:name="_Toc18478"/>
      <w:r>
        <w:rPr>
          <w:rFonts w:hint="eastAsia" w:ascii="仿宋" w:hAnsi="仿宋" w:eastAsia="仿宋"/>
          <w:b/>
          <w:color w:val="auto"/>
          <w:sz w:val="32"/>
          <w:szCs w:val="32"/>
          <w:highlight w:val="none"/>
        </w:rPr>
        <w:t>（一）一般公共预算财政拨款支出决算总体情况</w:t>
      </w:r>
      <w:bookmarkEnd w:id="47"/>
      <w:bookmarkEnd w:id="48"/>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2163.47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291.11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13.4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人员及项目减少。</w:t>
      </w:r>
    </w:p>
    <w:p>
      <w:pPr>
        <w:spacing w:line="24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73675" cy="3038475"/>
            <wp:effectExtent l="0" t="0" r="3175" b="9525"/>
            <wp:docPr id="2" name="图片 2" descr="一般公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般公共"/>
                    <pic:cNvPicPr>
                      <a:picLocks noChangeAspect="1"/>
                    </pic:cNvPicPr>
                  </pic:nvPicPr>
                  <pic:blipFill>
                    <a:blip r:embed="rId12"/>
                    <a:stretch>
                      <a:fillRect/>
                    </a:stretch>
                  </pic:blipFill>
                  <pic:spPr>
                    <a:xfrm>
                      <a:off x="0" y="0"/>
                      <a:ext cx="5273675" cy="3038475"/>
                    </a:xfrm>
                    <a:prstGeom prst="rect">
                      <a:avLst/>
                    </a:prstGeom>
                  </pic:spPr>
                </pic:pic>
              </a:graphicData>
            </a:graphic>
          </wp:inline>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49" w:name="_Toc15377211"/>
      <w:bookmarkStart w:id="50" w:name="_Toc6917"/>
      <w:r>
        <w:rPr>
          <w:rFonts w:hint="eastAsia" w:ascii="仿宋" w:hAnsi="仿宋" w:eastAsia="仿宋"/>
          <w:b/>
          <w:color w:val="auto"/>
          <w:sz w:val="32"/>
          <w:szCs w:val="32"/>
          <w:highlight w:val="none"/>
        </w:rPr>
        <w:t>（二）一般公共预算财政拨款支出决算结构情况</w:t>
      </w:r>
      <w:bookmarkEnd w:id="49"/>
      <w:bookmarkEnd w:id="50"/>
    </w:p>
    <w:p>
      <w:pPr>
        <w:spacing w:line="600" w:lineRule="exact"/>
        <w:ind w:firstLine="640"/>
        <w:rPr>
          <w:rFonts w:hint="eastAsia" w:ascii="仿宋" w:hAnsi="仿宋" w:eastAsia="仿宋"/>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2163.47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sz w:val="32"/>
          <w:szCs w:val="32"/>
        </w:rPr>
        <w:t>城乡社区（类）支出</w:t>
      </w:r>
      <w:r>
        <w:rPr>
          <w:rFonts w:hint="eastAsia" w:ascii="仿宋" w:hAnsi="仿宋" w:eastAsia="仿宋"/>
          <w:sz w:val="32"/>
          <w:szCs w:val="32"/>
          <w:lang w:val="en-US" w:eastAsia="zh-CN"/>
        </w:rPr>
        <w:t>1916.37</w:t>
      </w:r>
      <w:r>
        <w:rPr>
          <w:rFonts w:hint="eastAsia" w:ascii="仿宋" w:hAnsi="仿宋" w:eastAsia="仿宋"/>
          <w:sz w:val="32"/>
          <w:szCs w:val="32"/>
        </w:rPr>
        <w:t>万元，占</w:t>
      </w:r>
      <w:r>
        <w:rPr>
          <w:rFonts w:hint="eastAsia" w:ascii="仿宋" w:hAnsi="仿宋" w:eastAsia="仿宋"/>
          <w:sz w:val="32"/>
          <w:szCs w:val="32"/>
          <w:lang w:val="en-US" w:eastAsia="zh-CN"/>
        </w:rPr>
        <w:t>88.57</w:t>
      </w:r>
      <w:r>
        <w:rPr>
          <w:rFonts w:ascii="仿宋" w:hAnsi="仿宋" w:eastAsia="仿宋"/>
          <w:sz w:val="32"/>
          <w:szCs w:val="32"/>
        </w:rPr>
        <w:t>%</w:t>
      </w:r>
      <w:r>
        <w:rPr>
          <w:rFonts w:hint="eastAsia" w:ascii="仿宋" w:hAnsi="仿宋" w:eastAsia="仿宋"/>
          <w:b/>
          <w:bCs/>
          <w:color w:val="auto"/>
          <w:sz w:val="32"/>
          <w:szCs w:val="32"/>
          <w:highlight w:val="none"/>
        </w:rPr>
        <w:t>文化旅游体育与传媒支出</w:t>
      </w:r>
      <w:r>
        <w:rPr>
          <w:rFonts w:hint="eastAsia" w:ascii="仿宋" w:hAnsi="仿宋" w:eastAsia="仿宋"/>
          <w:b w:val="0"/>
          <w:bCs w:val="0"/>
          <w:color w:val="auto"/>
          <w:sz w:val="32"/>
          <w:szCs w:val="32"/>
          <w:highlight w:val="none"/>
          <w:lang w:val="en-US" w:eastAsia="zh-CN"/>
        </w:rPr>
        <w:t>49.99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2.3</w:t>
      </w:r>
      <w:r>
        <w:rPr>
          <w:rFonts w:ascii="仿宋" w:hAnsi="仿宋" w:eastAsia="仿宋"/>
          <w:b w:val="0"/>
          <w:bCs w:val="0"/>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39.99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18.48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38.83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农林水支出</w:t>
      </w:r>
      <w:r>
        <w:rPr>
          <w:rFonts w:hint="eastAsia" w:ascii="仿宋" w:hAnsi="仿宋" w:eastAsia="仿宋"/>
          <w:b w:val="0"/>
          <w:bCs w:val="0"/>
          <w:color w:val="auto"/>
          <w:sz w:val="32"/>
          <w:szCs w:val="32"/>
          <w:highlight w:val="none"/>
          <w:lang w:val="en-US" w:eastAsia="zh-CN"/>
        </w:rPr>
        <w:t>99.81万元</w:t>
      </w:r>
      <w:r>
        <w:rPr>
          <w:rFonts w:hint="eastAsia" w:ascii="仿宋" w:hAnsi="仿宋" w:eastAsia="仿宋"/>
          <w:b/>
          <w:bCs/>
          <w:color w:val="auto"/>
          <w:sz w:val="32"/>
          <w:szCs w:val="32"/>
          <w:highlight w:val="none"/>
          <w:lang w:val="en-US"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4.61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FF0000"/>
          <w:sz w:val="32"/>
          <w:szCs w:val="32"/>
          <w:highlight w:val="none"/>
        </w:rPr>
      </w:pPr>
      <w:r>
        <w:rPr>
          <w:rFonts w:hint="eastAsia" w:eastAsia="仿宋"/>
          <w:lang w:eastAsia="zh-CN"/>
        </w:rPr>
        <w:drawing>
          <wp:inline distT="0" distB="0" distL="114300" distR="114300">
            <wp:extent cx="5266690" cy="3942080"/>
            <wp:effectExtent l="0" t="0" r="10160" b="1270"/>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13"/>
                    <a:stretch>
                      <a:fillRect/>
                    </a:stretch>
                  </pic:blipFill>
                  <pic:spPr>
                    <a:xfrm>
                      <a:off x="0" y="0"/>
                      <a:ext cx="5266690" cy="3942080"/>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51" w:name="_Toc15377212"/>
      <w:bookmarkStart w:id="52" w:name="_Toc4571"/>
      <w:r>
        <w:rPr>
          <w:rFonts w:hint="eastAsia" w:ascii="仿宋" w:hAnsi="仿宋" w:eastAsia="仿宋"/>
          <w:b/>
          <w:color w:val="auto"/>
          <w:sz w:val="32"/>
          <w:szCs w:val="32"/>
          <w:highlight w:val="none"/>
        </w:rPr>
        <w:t>（三）一般公共预算财政拨款支出决算具体情况</w:t>
      </w:r>
      <w:bookmarkEnd w:id="51"/>
      <w:bookmarkEnd w:id="52"/>
    </w:p>
    <w:p>
      <w:pPr>
        <w:spacing w:line="600" w:lineRule="exact"/>
        <w:ind w:firstLine="643" w:firstLineChars="200"/>
        <w:outlineLvl w:val="2"/>
        <w:rPr>
          <w:rFonts w:ascii="仿宋" w:hAnsi="仿宋" w:eastAsia="仿宋"/>
          <w:color w:val="000000" w:themeColor="text1"/>
          <w:sz w:val="32"/>
          <w:szCs w:val="32"/>
          <w:highlight w:val="none"/>
          <w14:textFill>
            <w14:solidFill>
              <w14:schemeClr w14:val="tx1"/>
            </w14:solidFill>
          </w14:textFill>
        </w:rPr>
      </w:pPr>
      <w:bookmarkStart w:id="53" w:name="_Toc15377213"/>
      <w:bookmarkStart w:id="54" w:name="_Toc15377444"/>
      <w:bookmarkStart w:id="55" w:name="_Toc15378460"/>
      <w:bookmarkStart w:id="56" w:name="_Toc4554"/>
      <w:r>
        <w:rPr>
          <w:rFonts w:hint="eastAsia" w:ascii="仿宋" w:hAnsi="仿宋" w:eastAsia="仿宋"/>
          <w:b/>
          <w:color w:val="000000" w:themeColor="text1"/>
          <w:sz w:val="32"/>
          <w:szCs w:val="32"/>
          <w:highlight w:val="none"/>
          <w14:textFill>
            <w14:solidFill>
              <w14:schemeClr w14:val="tx1"/>
            </w14:solidFill>
          </w14:textFill>
        </w:rPr>
        <w:t>20</w:t>
      </w:r>
      <w:r>
        <w:rPr>
          <w:rFonts w:hint="eastAsia" w:ascii="仿宋" w:hAnsi="仿宋" w:eastAsia="仿宋"/>
          <w:b/>
          <w:color w:val="000000" w:themeColor="text1"/>
          <w:sz w:val="32"/>
          <w:szCs w:val="32"/>
          <w:highlight w:val="none"/>
          <w:lang w:val="en-US" w:eastAsia="zh-CN"/>
          <w14:textFill>
            <w14:solidFill>
              <w14:schemeClr w14:val="tx1"/>
            </w14:solidFill>
          </w14:textFill>
        </w:rPr>
        <w:t>22</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eastAsia="zh-CN"/>
          <w14:textFill>
            <w14:solidFill>
              <w14:schemeClr w14:val="tx1"/>
            </w14:solidFill>
          </w14:textFill>
        </w:rPr>
        <w:t>一</w:t>
      </w:r>
      <w:r>
        <w:rPr>
          <w:rFonts w:hint="eastAsia" w:ascii="仿宋" w:hAnsi="仿宋" w:eastAsia="仿宋"/>
          <w:b/>
          <w:color w:val="000000" w:themeColor="text1"/>
          <w:sz w:val="32"/>
          <w:szCs w:val="32"/>
          <w:highlight w:val="none"/>
          <w14:textFill>
            <w14:solidFill>
              <w14:schemeClr w14:val="tx1"/>
            </w14:solidFill>
          </w14:textFill>
        </w:rPr>
        <w:t>般公共预算支出决算数为</w:t>
      </w:r>
      <w:r>
        <w:rPr>
          <w:rFonts w:hint="eastAsia" w:ascii="仿宋" w:hAnsi="仿宋" w:eastAsia="仿宋"/>
          <w:b/>
          <w:color w:val="000000" w:themeColor="text1"/>
          <w:sz w:val="32"/>
          <w:szCs w:val="32"/>
          <w:highlight w:val="none"/>
          <w:lang w:val="en-US" w:eastAsia="zh-CN"/>
          <w14:textFill>
            <w14:solidFill>
              <w14:schemeClr w14:val="tx1"/>
            </w14:solidFill>
          </w14:textFill>
        </w:rPr>
        <w:t>2163.47</w:t>
      </w:r>
      <w:r>
        <w:rPr>
          <w:rFonts w:hint="eastAsia" w:ascii="仿宋" w:hAnsi="仿宋" w:eastAsia="仿宋"/>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完成预算</w:t>
      </w:r>
      <w:r>
        <w:rPr>
          <w:rStyle w:val="20"/>
          <w:rFonts w:hint="eastAsia" w:ascii="仿宋" w:hAnsi="仿宋" w:eastAsia="仿宋"/>
          <w:bCs/>
          <w:color w:val="000000" w:themeColor="text1"/>
          <w:sz w:val="32"/>
          <w:szCs w:val="32"/>
          <w:highlight w:val="none"/>
          <w:lang w:val="en-US" w:eastAsia="zh-CN"/>
          <w14:textFill>
            <w14:solidFill>
              <w14:schemeClr w14:val="tx1"/>
            </w14:solidFill>
          </w14:textFill>
        </w:rPr>
        <w:t>100</w:t>
      </w:r>
      <w:r>
        <w:rPr>
          <w:rStyle w:val="20"/>
          <w:rFonts w:ascii="仿宋" w:hAnsi="仿宋" w:eastAsia="仿宋"/>
          <w:bCs/>
          <w:color w:val="000000" w:themeColor="text1"/>
          <w:sz w:val="32"/>
          <w:szCs w:val="32"/>
          <w:highlight w:val="none"/>
          <w14:textFill>
            <w14:solidFill>
              <w14:schemeClr w14:val="tx1"/>
            </w14:solidFill>
          </w14:textFill>
        </w:rPr>
        <w:t>%</w:t>
      </w:r>
      <w:r>
        <w:rPr>
          <w:rStyle w:val="20"/>
          <w:rFonts w:hint="eastAsia" w:ascii="仿宋" w:hAnsi="仿宋" w:eastAsia="仿宋"/>
          <w:bCs/>
          <w:color w:val="000000" w:themeColor="text1"/>
          <w:sz w:val="32"/>
          <w:szCs w:val="32"/>
          <w:highlight w:val="none"/>
          <w14:textFill>
            <w14:solidFill>
              <w14:schemeClr w14:val="tx1"/>
            </w14:solidFill>
          </w14:textFill>
        </w:rPr>
        <w:t>。其中：</w:t>
      </w:r>
      <w:bookmarkEnd w:id="53"/>
      <w:bookmarkEnd w:id="54"/>
      <w:bookmarkEnd w:id="55"/>
      <w:bookmarkEnd w:id="56"/>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20"/>
          <w:rFonts w:hint="eastAsia" w:ascii="仿宋" w:hAnsi="仿宋" w:eastAsia="仿宋"/>
          <w:bCs/>
          <w:color w:val="000000" w:themeColor="text1"/>
          <w:sz w:val="32"/>
          <w:szCs w:val="32"/>
          <w:lang w:val="en-US" w:eastAsia="zh-CN"/>
          <w14:textFill>
            <w14:solidFill>
              <w14:schemeClr w14:val="tx1"/>
            </w14:solidFill>
          </w14:textFill>
        </w:rPr>
        <w:t>1</w:t>
      </w:r>
      <w:r>
        <w:rPr>
          <w:rStyle w:val="20"/>
          <w:rFonts w:ascii="仿宋" w:hAnsi="仿宋" w:eastAsia="仿宋"/>
          <w:bCs/>
          <w:color w:val="000000" w:themeColor="text1"/>
          <w:sz w:val="32"/>
          <w:szCs w:val="32"/>
          <w14:textFill>
            <w14:solidFill>
              <w14:schemeClr w14:val="tx1"/>
            </w14:solidFill>
          </w14:textFill>
        </w:rPr>
        <w:t>.</w:t>
      </w:r>
      <w:r>
        <w:rPr>
          <w:rStyle w:val="20"/>
          <w:rFonts w:hint="eastAsia" w:ascii="仿宋" w:hAnsi="仿宋" w:eastAsia="仿宋"/>
          <w:bCs/>
          <w:color w:val="000000" w:themeColor="text1"/>
          <w:sz w:val="32"/>
          <w:szCs w:val="32"/>
          <w14:textFill>
            <w14:solidFill>
              <w14:schemeClr w14:val="tx1"/>
            </w14:solidFill>
          </w14:textFill>
        </w:rPr>
        <w:t>文化旅游体育与传媒</w:t>
      </w:r>
      <w:r>
        <w:rPr>
          <w:rStyle w:val="20"/>
          <w:rFonts w:ascii="仿宋" w:hAnsi="仿宋" w:eastAsia="仿宋"/>
          <w:bCs/>
          <w:color w:val="000000" w:themeColor="text1"/>
          <w:sz w:val="32"/>
          <w:szCs w:val="32"/>
          <w14:textFill>
            <w14:solidFill>
              <w14:schemeClr w14:val="tx1"/>
            </w14:solidFill>
          </w14:textFill>
        </w:rPr>
        <w:t>:</w:t>
      </w:r>
      <w:r>
        <w:rPr>
          <w:rStyle w:val="20"/>
          <w:rFonts w:ascii="仿宋" w:hAnsi="仿宋" w:eastAsia="仿宋"/>
          <w:b w:val="0"/>
          <w:bCs/>
          <w:color w:val="000000" w:themeColor="text1"/>
          <w:sz w:val="32"/>
          <w:szCs w:val="32"/>
          <w14:textFill>
            <w14:solidFill>
              <w14:schemeClr w14:val="tx1"/>
            </w14:solidFill>
          </w14:textFill>
        </w:rPr>
        <w:t xml:space="preserve"> </w:t>
      </w:r>
      <w:r>
        <w:rPr>
          <w:rStyle w:val="20"/>
          <w:rFonts w:hint="eastAsia" w:ascii="仿宋" w:hAnsi="仿宋" w:eastAsia="仿宋"/>
          <w:b w:val="0"/>
          <w:bCs/>
          <w:color w:val="000000" w:themeColor="text1"/>
          <w:sz w:val="32"/>
          <w:szCs w:val="32"/>
          <w14:textFill>
            <w14:solidFill>
              <w14:schemeClr w14:val="tx1"/>
            </w14:solidFill>
          </w14:textFill>
        </w:rPr>
        <w:t>支出决算为</w:t>
      </w:r>
      <w:r>
        <w:rPr>
          <w:rStyle w:val="20"/>
          <w:rFonts w:hint="eastAsia" w:ascii="仿宋" w:hAnsi="仿宋" w:eastAsia="仿宋"/>
          <w:b w:val="0"/>
          <w:bCs/>
          <w:color w:val="000000" w:themeColor="text1"/>
          <w:sz w:val="32"/>
          <w:szCs w:val="32"/>
          <w:lang w:val="en-US" w:eastAsia="zh-CN"/>
          <w14:textFill>
            <w14:solidFill>
              <w14:schemeClr w14:val="tx1"/>
            </w14:solidFill>
          </w14:textFill>
        </w:rPr>
        <w:t>49.99</w:t>
      </w:r>
      <w:r>
        <w:rPr>
          <w:rStyle w:val="20"/>
          <w:rFonts w:hint="eastAsia" w:ascii="仿宋" w:hAnsi="仿宋" w:eastAsia="仿宋"/>
          <w:b w:val="0"/>
          <w:bCs/>
          <w:color w:val="000000" w:themeColor="text1"/>
          <w:sz w:val="32"/>
          <w:szCs w:val="32"/>
          <w14:textFill>
            <w14:solidFill>
              <w14:schemeClr w14:val="tx1"/>
            </w14:solidFill>
          </w14:textFill>
        </w:rPr>
        <w:t>万元，完成预算</w:t>
      </w:r>
      <w:r>
        <w:rPr>
          <w:rStyle w:val="20"/>
          <w:rFonts w:ascii="仿宋" w:hAnsi="仿宋" w:eastAsia="仿宋"/>
          <w:b w:val="0"/>
          <w:bCs/>
          <w:color w:val="000000" w:themeColor="text1"/>
          <w:sz w:val="32"/>
          <w:szCs w:val="32"/>
          <w14:textFill>
            <w14:solidFill>
              <w14:schemeClr w14:val="tx1"/>
            </w14:solidFill>
          </w14:textFill>
        </w:rPr>
        <w:t>100%</w:t>
      </w:r>
      <w:r>
        <w:rPr>
          <w:rStyle w:val="20"/>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Style w:val="20"/>
          <w:rFonts w:hint="eastAsia" w:ascii="仿宋" w:hAnsi="仿宋" w:eastAsia="仿宋"/>
          <w:bCs/>
          <w:color w:val="000000" w:themeColor="text1"/>
          <w:sz w:val="32"/>
          <w:szCs w:val="32"/>
          <w:lang w:val="en-US" w:eastAsia="zh-CN"/>
          <w14:textFill>
            <w14:solidFill>
              <w14:schemeClr w14:val="tx1"/>
            </w14:solidFill>
          </w14:textFill>
        </w:rPr>
        <w:t>2</w:t>
      </w:r>
      <w:r>
        <w:rPr>
          <w:rStyle w:val="20"/>
          <w:rFonts w:ascii="仿宋" w:hAnsi="仿宋" w:eastAsia="仿宋"/>
          <w:bCs/>
          <w:color w:val="000000" w:themeColor="text1"/>
          <w:sz w:val="32"/>
          <w:szCs w:val="32"/>
          <w14:textFill>
            <w14:solidFill>
              <w14:schemeClr w14:val="tx1"/>
            </w14:solidFill>
          </w14:textFill>
        </w:rPr>
        <w:t>.</w:t>
      </w:r>
      <w:r>
        <w:rPr>
          <w:rStyle w:val="20"/>
          <w:rFonts w:hint="eastAsia" w:ascii="仿宋" w:hAnsi="仿宋" w:eastAsia="仿宋"/>
          <w:bCs/>
          <w:color w:val="000000" w:themeColor="text1"/>
          <w:sz w:val="32"/>
          <w:szCs w:val="32"/>
          <w14:textFill>
            <w14:solidFill>
              <w14:schemeClr w14:val="tx1"/>
            </w14:solidFill>
          </w14:textFill>
        </w:rPr>
        <w:t>社会保障和就业（类）行政事业单位养老支出（款）机关事业单位基本养老保险及职业年金缴费（项）</w:t>
      </w:r>
      <w:r>
        <w:rPr>
          <w:rStyle w:val="20"/>
          <w:rFonts w:ascii="仿宋" w:hAnsi="仿宋" w:eastAsia="仿宋"/>
          <w:bCs/>
          <w:color w:val="000000" w:themeColor="text1"/>
          <w:sz w:val="32"/>
          <w:szCs w:val="32"/>
          <w14:textFill>
            <w14:solidFill>
              <w14:schemeClr w14:val="tx1"/>
            </w14:solidFill>
          </w14:textFill>
        </w:rPr>
        <w:t>:</w:t>
      </w:r>
      <w:r>
        <w:rPr>
          <w:rStyle w:val="20"/>
          <w:rFonts w:ascii="仿宋" w:hAnsi="仿宋" w:eastAsia="仿宋"/>
          <w:b w:val="0"/>
          <w:bCs/>
          <w:color w:val="000000" w:themeColor="text1"/>
          <w:sz w:val="32"/>
          <w:szCs w:val="32"/>
          <w14:textFill>
            <w14:solidFill>
              <w14:schemeClr w14:val="tx1"/>
            </w14:solidFill>
          </w14:textFill>
        </w:rPr>
        <w:t xml:space="preserve"> </w:t>
      </w:r>
      <w:r>
        <w:rPr>
          <w:rStyle w:val="20"/>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lang w:val="en-US" w:eastAsia="zh-CN"/>
          <w14:textFill>
            <w14:solidFill>
              <w14:schemeClr w14:val="tx1"/>
            </w14:solidFill>
          </w14:textFill>
        </w:rPr>
        <w:t>39.99</w:t>
      </w:r>
      <w:r>
        <w:rPr>
          <w:rStyle w:val="20"/>
          <w:rFonts w:hint="eastAsia" w:ascii="仿宋" w:hAnsi="仿宋" w:eastAsia="仿宋"/>
          <w:b w:val="0"/>
          <w:bCs/>
          <w:color w:val="000000" w:themeColor="text1"/>
          <w:sz w:val="32"/>
          <w:szCs w:val="32"/>
          <w14:textFill>
            <w14:solidFill>
              <w14:schemeClr w14:val="tx1"/>
            </w14:solidFill>
          </w14:textFill>
        </w:rPr>
        <w:t>万元，完成预算</w:t>
      </w:r>
      <w:r>
        <w:rPr>
          <w:rStyle w:val="20"/>
          <w:rFonts w:ascii="仿宋" w:hAnsi="仿宋" w:eastAsia="仿宋"/>
          <w:b w:val="0"/>
          <w:bCs/>
          <w:color w:val="000000" w:themeColor="text1"/>
          <w:sz w:val="32"/>
          <w:szCs w:val="32"/>
          <w14:textFill>
            <w14:solidFill>
              <w14:schemeClr w14:val="tx1"/>
            </w14:solidFill>
          </w14:textFill>
        </w:rPr>
        <w:t>100%</w:t>
      </w:r>
      <w:r>
        <w:rPr>
          <w:rStyle w:val="20"/>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3" w:firstLineChars="200"/>
        <w:rPr>
          <w:rStyle w:val="20"/>
          <w:rFonts w:ascii="仿宋" w:hAnsi="仿宋" w:eastAsia="仿宋"/>
          <w:b w:val="0"/>
          <w:bCs/>
          <w:color w:val="000000" w:themeColor="text1"/>
          <w:sz w:val="32"/>
          <w:szCs w:val="32"/>
          <w14:textFill>
            <w14:solidFill>
              <w14:schemeClr w14:val="tx1"/>
            </w14:solidFill>
          </w14:textFill>
        </w:rPr>
      </w:pPr>
      <w:r>
        <w:rPr>
          <w:rStyle w:val="20"/>
          <w:rFonts w:hint="eastAsia" w:ascii="仿宋" w:hAnsi="仿宋" w:eastAsia="仿宋"/>
          <w:bCs/>
          <w:color w:val="000000" w:themeColor="text1"/>
          <w:sz w:val="32"/>
          <w:szCs w:val="32"/>
          <w:lang w:val="en-US" w:eastAsia="zh-CN"/>
          <w14:textFill>
            <w14:solidFill>
              <w14:schemeClr w14:val="tx1"/>
            </w14:solidFill>
          </w14:textFill>
        </w:rPr>
        <w:t>3</w:t>
      </w:r>
      <w:r>
        <w:rPr>
          <w:rStyle w:val="20"/>
          <w:rFonts w:ascii="仿宋" w:hAnsi="仿宋" w:eastAsia="仿宋"/>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Style w:val="20"/>
          <w:rFonts w:hint="eastAsia" w:ascii="仿宋" w:hAnsi="仿宋" w:eastAsia="仿宋"/>
          <w:bCs/>
          <w:color w:val="000000" w:themeColor="text1"/>
          <w:sz w:val="32"/>
          <w:szCs w:val="32"/>
          <w14:textFill>
            <w14:solidFill>
              <w14:schemeClr w14:val="tx1"/>
            </w14:solidFill>
          </w14:textFill>
        </w:rPr>
        <w:t>（类）行政事业单位医疗（款）行政单位医疗（项）</w:t>
      </w:r>
      <w:r>
        <w:rPr>
          <w:rStyle w:val="20"/>
          <w:rFonts w:ascii="仿宋" w:hAnsi="仿宋" w:eastAsia="仿宋"/>
          <w:bCs/>
          <w:color w:val="000000" w:themeColor="text1"/>
          <w:sz w:val="32"/>
          <w:szCs w:val="32"/>
          <w14:textFill>
            <w14:solidFill>
              <w14:schemeClr w14:val="tx1"/>
            </w14:solidFill>
          </w14:textFill>
        </w:rPr>
        <w:t>:</w:t>
      </w:r>
      <w:r>
        <w:rPr>
          <w:rStyle w:val="20"/>
          <w:rFonts w:hint="eastAsia" w:ascii="仿宋" w:hAnsi="仿宋" w:eastAsia="仿宋"/>
          <w:b w:val="0"/>
          <w:bCs/>
          <w:color w:val="000000" w:themeColor="text1"/>
          <w:sz w:val="32"/>
          <w:szCs w:val="32"/>
          <w14:textFill>
            <w14:solidFill>
              <w14:schemeClr w14:val="tx1"/>
            </w14:solidFill>
          </w14:textFill>
        </w:rPr>
        <w:t>支出决算为</w:t>
      </w:r>
      <w:r>
        <w:rPr>
          <w:rStyle w:val="20"/>
          <w:rFonts w:hint="eastAsia" w:ascii="仿宋" w:hAnsi="仿宋" w:eastAsia="仿宋"/>
          <w:b w:val="0"/>
          <w:bCs/>
          <w:color w:val="000000" w:themeColor="text1"/>
          <w:sz w:val="32"/>
          <w:szCs w:val="32"/>
          <w:lang w:val="en-US" w:eastAsia="zh-CN"/>
          <w14:textFill>
            <w14:solidFill>
              <w14:schemeClr w14:val="tx1"/>
            </w14:solidFill>
          </w14:textFill>
        </w:rPr>
        <w:t>18.48</w:t>
      </w:r>
      <w:r>
        <w:rPr>
          <w:rStyle w:val="20"/>
          <w:rFonts w:hint="eastAsia" w:ascii="仿宋" w:hAnsi="仿宋" w:eastAsia="仿宋"/>
          <w:b w:val="0"/>
          <w:bCs/>
          <w:color w:val="000000" w:themeColor="text1"/>
          <w:sz w:val="32"/>
          <w:szCs w:val="32"/>
          <w14:textFill>
            <w14:solidFill>
              <w14:schemeClr w14:val="tx1"/>
            </w14:solidFill>
          </w14:textFill>
        </w:rPr>
        <w:t>万元，完成预算</w:t>
      </w:r>
      <w:r>
        <w:rPr>
          <w:rStyle w:val="20"/>
          <w:rFonts w:ascii="仿宋" w:hAnsi="仿宋" w:eastAsia="仿宋"/>
          <w:b w:val="0"/>
          <w:bCs/>
          <w:color w:val="000000" w:themeColor="text1"/>
          <w:sz w:val="32"/>
          <w:szCs w:val="32"/>
          <w14:textFill>
            <w14:solidFill>
              <w14:schemeClr w14:val="tx1"/>
            </w14:solidFill>
          </w14:textFill>
        </w:rPr>
        <w:t>100%</w:t>
      </w:r>
      <w:r>
        <w:rPr>
          <w:rStyle w:val="20"/>
          <w:rFonts w:hint="eastAsia" w:ascii="仿宋" w:hAnsi="仿宋" w:eastAsia="仿宋"/>
          <w:b w:val="0"/>
          <w:bCs/>
          <w:color w:val="000000" w:themeColor="text1"/>
          <w:sz w:val="32"/>
          <w:szCs w:val="32"/>
          <w14:textFill>
            <w14:solidFill>
              <w14:schemeClr w14:val="tx1"/>
            </w14:solidFill>
          </w14:textFill>
        </w:rPr>
        <w:t>。</w:t>
      </w:r>
    </w:p>
    <w:p>
      <w:pPr>
        <w:spacing w:line="460" w:lineRule="exact"/>
        <w:ind w:firstLine="643" w:firstLineChars="200"/>
        <w:rPr>
          <w:rStyle w:val="20"/>
          <w:rFonts w:ascii="仿宋" w:hAnsi="仿宋" w:eastAsia="仿宋"/>
          <w:b w:val="0"/>
          <w:bCs/>
          <w:color w:val="000000" w:themeColor="text1"/>
          <w:sz w:val="32"/>
          <w:szCs w:val="32"/>
          <w14:textFill>
            <w14:solidFill>
              <w14:schemeClr w14:val="tx1"/>
            </w14:solidFill>
          </w14:textFill>
        </w:rPr>
      </w:pPr>
      <w:r>
        <w:rPr>
          <w:rStyle w:val="20"/>
          <w:rFonts w:hint="eastAsia" w:ascii="仿宋" w:hAnsi="仿宋" w:eastAsia="仿宋"/>
          <w:bCs/>
          <w:color w:val="000000" w:themeColor="text1"/>
          <w:sz w:val="32"/>
          <w:szCs w:val="32"/>
          <w:lang w:val="en-US" w:eastAsia="zh-CN"/>
          <w14:textFill>
            <w14:solidFill>
              <w14:schemeClr w14:val="tx1"/>
            </w14:solidFill>
          </w14:textFill>
        </w:rPr>
        <w:t>4</w:t>
      </w:r>
      <w:r>
        <w:rPr>
          <w:rStyle w:val="20"/>
          <w:rFonts w:ascii="仿宋" w:hAnsi="仿宋" w:eastAsia="仿宋"/>
          <w:bCs/>
          <w:color w:val="000000" w:themeColor="text1"/>
          <w:sz w:val="32"/>
          <w:szCs w:val="32"/>
          <w14:textFill>
            <w14:solidFill>
              <w14:schemeClr w14:val="tx1"/>
            </w14:solidFill>
          </w14:textFill>
        </w:rPr>
        <w:t>.</w:t>
      </w:r>
      <w:r>
        <w:rPr>
          <w:rStyle w:val="20"/>
          <w:rFonts w:hint="eastAsia" w:ascii="仿宋" w:hAnsi="仿宋" w:eastAsia="仿宋"/>
          <w:bCs/>
          <w:color w:val="000000" w:themeColor="text1"/>
          <w:sz w:val="32"/>
          <w:szCs w:val="32"/>
          <w14:textFill>
            <w14:solidFill>
              <w14:schemeClr w14:val="tx1"/>
            </w14:solidFill>
          </w14:textFill>
        </w:rPr>
        <w:t>城乡社区支出（类）城乡社区管理事务（款）行政运行（项）</w:t>
      </w:r>
      <w:r>
        <w:rPr>
          <w:rStyle w:val="20"/>
          <w:rFonts w:ascii="仿宋" w:hAnsi="仿宋" w:eastAsia="仿宋"/>
          <w:bCs/>
          <w:color w:val="000000" w:themeColor="text1"/>
          <w:sz w:val="32"/>
          <w:szCs w:val="32"/>
          <w14:textFill>
            <w14:solidFill>
              <w14:schemeClr w14:val="tx1"/>
            </w14:solidFill>
          </w14:textFill>
        </w:rPr>
        <w:t>:</w:t>
      </w:r>
      <w:r>
        <w:rPr>
          <w:rStyle w:val="20"/>
          <w:rFonts w:ascii="仿宋" w:hAnsi="仿宋" w:eastAsia="仿宋"/>
          <w:b w:val="0"/>
          <w:bCs/>
          <w:color w:val="000000" w:themeColor="text1"/>
          <w:sz w:val="32"/>
          <w:szCs w:val="32"/>
          <w14:textFill>
            <w14:solidFill>
              <w14:schemeClr w14:val="tx1"/>
            </w14:solidFill>
          </w14:textFill>
        </w:rPr>
        <w:t xml:space="preserve"> </w:t>
      </w:r>
      <w:r>
        <w:rPr>
          <w:rStyle w:val="20"/>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lang w:val="en-US" w:eastAsia="zh-CN"/>
          <w14:textFill>
            <w14:solidFill>
              <w14:schemeClr w14:val="tx1"/>
            </w14:solidFill>
          </w14:textFill>
        </w:rPr>
        <w:t>1916.37</w:t>
      </w:r>
      <w:r>
        <w:rPr>
          <w:rStyle w:val="20"/>
          <w:rFonts w:hint="eastAsia" w:ascii="仿宋" w:hAnsi="仿宋" w:eastAsia="仿宋"/>
          <w:b w:val="0"/>
          <w:bCs/>
          <w:color w:val="000000" w:themeColor="text1"/>
          <w:sz w:val="32"/>
          <w:szCs w:val="32"/>
          <w14:textFill>
            <w14:solidFill>
              <w14:schemeClr w14:val="tx1"/>
            </w14:solidFill>
          </w14:textFill>
        </w:rPr>
        <w:t>万元，完成预算</w:t>
      </w:r>
      <w:r>
        <w:rPr>
          <w:rStyle w:val="20"/>
          <w:rFonts w:ascii="仿宋" w:hAnsi="仿宋" w:eastAsia="仿宋"/>
          <w:b w:val="0"/>
          <w:bCs/>
          <w:color w:val="000000" w:themeColor="text1"/>
          <w:sz w:val="32"/>
          <w:szCs w:val="32"/>
          <w14:textFill>
            <w14:solidFill>
              <w14:schemeClr w14:val="tx1"/>
            </w14:solidFill>
          </w14:textFill>
        </w:rPr>
        <w:t>100%</w:t>
      </w:r>
      <w:r>
        <w:rPr>
          <w:rStyle w:val="20"/>
          <w:rFonts w:hint="eastAsia" w:ascii="仿宋" w:hAnsi="仿宋" w:eastAsia="仿宋"/>
          <w:b w:val="0"/>
          <w:bCs/>
          <w:color w:val="000000" w:themeColor="text1"/>
          <w:sz w:val="32"/>
          <w:szCs w:val="32"/>
          <w14:textFill>
            <w14:solidFill>
              <w14:schemeClr w14:val="tx1"/>
            </w14:solidFill>
          </w14:textFill>
        </w:rPr>
        <w:t>。</w:t>
      </w:r>
    </w:p>
    <w:p>
      <w:pPr>
        <w:spacing w:line="460" w:lineRule="exact"/>
        <w:ind w:firstLine="643" w:firstLineChars="200"/>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5</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 xml:space="preserve"> 农林水（类）农村基础设施建设：</w:t>
      </w:r>
      <w:r>
        <w:rPr>
          <w:rStyle w:val="20"/>
          <w:rFonts w:hint="eastAsia" w:ascii="仿宋" w:hAnsi="仿宋" w:eastAsia="仿宋"/>
          <w:b w:val="0"/>
          <w:bCs/>
          <w:color w:val="000000" w:themeColor="text1"/>
          <w:sz w:val="32"/>
          <w:szCs w:val="32"/>
          <w14:textFill>
            <w14:solidFill>
              <w14:schemeClr w14:val="tx1"/>
            </w14:solidFill>
          </w14:textFill>
        </w:rPr>
        <w:t>支出决算为</w:t>
      </w:r>
      <w:r>
        <w:rPr>
          <w:rStyle w:val="20"/>
          <w:rFonts w:hint="eastAsia" w:ascii="仿宋" w:hAnsi="仿宋" w:eastAsia="仿宋"/>
          <w:b w:val="0"/>
          <w:bCs/>
          <w:color w:val="000000" w:themeColor="text1"/>
          <w:sz w:val="32"/>
          <w:szCs w:val="32"/>
          <w:lang w:val="en-US" w:eastAsia="zh-CN"/>
          <w14:textFill>
            <w14:solidFill>
              <w14:schemeClr w14:val="tx1"/>
            </w14:solidFill>
          </w14:textFill>
        </w:rPr>
        <w:t>99.81</w:t>
      </w:r>
      <w:r>
        <w:rPr>
          <w:rStyle w:val="20"/>
          <w:rFonts w:hint="eastAsia" w:ascii="仿宋" w:hAnsi="仿宋" w:eastAsia="仿宋"/>
          <w:b w:val="0"/>
          <w:bCs/>
          <w:color w:val="000000" w:themeColor="text1"/>
          <w:sz w:val="32"/>
          <w:szCs w:val="32"/>
          <w14:textFill>
            <w14:solidFill>
              <w14:schemeClr w14:val="tx1"/>
            </w14:solidFill>
          </w14:textFill>
        </w:rPr>
        <w:t>万元，完成预算</w:t>
      </w:r>
      <w:r>
        <w:rPr>
          <w:rStyle w:val="20"/>
          <w:rFonts w:ascii="仿宋" w:hAnsi="仿宋" w:eastAsia="仿宋"/>
          <w:b w:val="0"/>
          <w:bCs/>
          <w:color w:val="000000" w:themeColor="text1"/>
          <w:sz w:val="32"/>
          <w:szCs w:val="32"/>
          <w14:textFill>
            <w14:solidFill>
              <w14:schemeClr w14:val="tx1"/>
            </w14:solidFill>
          </w14:textFill>
        </w:rPr>
        <w:t>100%</w:t>
      </w:r>
      <w:r>
        <w:rPr>
          <w:rStyle w:val="20"/>
          <w:rFonts w:hint="eastAsia" w:ascii="仿宋" w:hAnsi="仿宋" w:eastAsia="仿宋"/>
          <w:b w:val="0"/>
          <w:bCs/>
          <w:color w:val="000000" w:themeColor="text1"/>
          <w:sz w:val="32"/>
          <w:szCs w:val="32"/>
          <w14:textFill>
            <w14:solidFill>
              <w14:schemeClr w14:val="tx1"/>
            </w14:solidFill>
          </w14:textFill>
        </w:rPr>
        <w:t>。</w:t>
      </w:r>
    </w:p>
    <w:p>
      <w:pPr>
        <w:spacing w:line="460" w:lineRule="exact"/>
        <w:ind w:firstLine="643" w:firstLineChars="200"/>
        <w:rPr>
          <w:rFonts w:ascii="仿宋" w:hAnsi="仿宋" w:eastAsia="仿宋"/>
          <w:b/>
          <w:color w:val="auto"/>
          <w:sz w:val="32"/>
          <w:szCs w:val="32"/>
          <w:highlight w:val="none"/>
        </w:rPr>
      </w:pPr>
      <w:r>
        <w:rPr>
          <w:rFonts w:hint="eastAsia" w:ascii="仿宋" w:hAnsi="仿宋" w:eastAsia="仿宋"/>
          <w:b/>
          <w:bCs/>
          <w:color w:val="000000" w:themeColor="text1"/>
          <w:sz w:val="32"/>
          <w:szCs w:val="32"/>
          <w:lang w:val="en-US" w:eastAsia="zh-CN"/>
          <w14:textFill>
            <w14:solidFill>
              <w14:schemeClr w14:val="tx1"/>
            </w14:solidFill>
          </w14:textFill>
        </w:rPr>
        <w:t>6</w:t>
      </w:r>
      <w:r>
        <w:rPr>
          <w:rFonts w:ascii="仿宋" w:hAnsi="仿宋" w:eastAsia="仿宋"/>
          <w:b/>
          <w:bCs/>
          <w:color w:val="000000" w:themeColor="text1"/>
          <w:sz w:val="32"/>
          <w:szCs w:val="32"/>
          <w14:textFill>
            <w14:solidFill>
              <w14:schemeClr w14:val="tx1"/>
            </w14:solidFill>
          </w14:textFill>
        </w:rPr>
        <w:t>.</w:t>
      </w:r>
      <w:r>
        <w:rPr>
          <w:rStyle w:val="23"/>
          <w:rFonts w:ascii="仿宋" w:hAnsi="仿宋" w:eastAsia="仿宋"/>
          <w:bCs/>
          <w:color w:val="000000" w:themeColor="text1"/>
          <w:sz w:val="32"/>
          <w:szCs w:val="32"/>
          <w14:textFill>
            <w14:solidFill>
              <w14:schemeClr w14:val="tx1"/>
            </w14:solidFill>
          </w14:textFill>
        </w:rPr>
        <w:t xml:space="preserve"> </w:t>
      </w:r>
      <w:r>
        <w:rPr>
          <w:rStyle w:val="20"/>
          <w:rFonts w:hint="eastAsia" w:ascii="仿宋" w:hAnsi="仿宋" w:eastAsia="仿宋"/>
          <w:bCs/>
          <w:color w:val="000000" w:themeColor="text1"/>
          <w:sz w:val="32"/>
          <w:szCs w:val="32"/>
          <w14:textFill>
            <w14:solidFill>
              <w14:schemeClr w14:val="tx1"/>
            </w14:solidFill>
          </w14:textFill>
        </w:rPr>
        <w:t>住房保障（类）住房改革支出（款）住房公积金（项）</w:t>
      </w:r>
      <w:r>
        <w:rPr>
          <w:rStyle w:val="20"/>
          <w:rFonts w:ascii="仿宋" w:hAnsi="仿宋" w:eastAsia="仿宋"/>
          <w:bCs/>
          <w:color w:val="000000" w:themeColor="text1"/>
          <w:sz w:val="32"/>
          <w:szCs w:val="32"/>
          <w14:textFill>
            <w14:solidFill>
              <w14:schemeClr w14:val="tx1"/>
            </w14:solidFill>
          </w14:textFill>
        </w:rPr>
        <w:t>:</w:t>
      </w:r>
      <w:r>
        <w:rPr>
          <w:rStyle w:val="20"/>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color w:val="000000" w:themeColor="text1"/>
          <w:sz w:val="32"/>
          <w:szCs w:val="32"/>
          <w:lang w:val="en-US" w:eastAsia="zh-CN"/>
          <w14:textFill>
            <w14:solidFill>
              <w14:schemeClr w14:val="tx1"/>
            </w14:solidFill>
          </w14:textFill>
        </w:rPr>
        <w:t>38.83</w:t>
      </w:r>
      <w:r>
        <w:rPr>
          <w:rStyle w:val="20"/>
          <w:rFonts w:hint="eastAsia" w:ascii="仿宋" w:hAnsi="仿宋" w:eastAsia="仿宋"/>
          <w:b w:val="0"/>
          <w:bCs/>
          <w:color w:val="000000" w:themeColor="text1"/>
          <w:sz w:val="32"/>
          <w:szCs w:val="32"/>
          <w14:textFill>
            <w14:solidFill>
              <w14:schemeClr w14:val="tx1"/>
            </w14:solidFill>
          </w14:textFill>
        </w:rPr>
        <w:t>万元，完成预算</w:t>
      </w:r>
      <w:r>
        <w:rPr>
          <w:rStyle w:val="20"/>
          <w:rFonts w:ascii="仿宋" w:hAnsi="仿宋" w:eastAsia="仿宋"/>
          <w:b w:val="0"/>
          <w:bCs/>
          <w:color w:val="000000" w:themeColor="text1"/>
          <w:sz w:val="32"/>
          <w:szCs w:val="32"/>
          <w14:textFill>
            <w14:solidFill>
              <w14:schemeClr w14:val="tx1"/>
            </w14:solidFill>
          </w14:textFill>
        </w:rPr>
        <w:t>100%</w:t>
      </w:r>
      <w:r>
        <w:rPr>
          <w:rStyle w:val="20"/>
          <w:rFonts w:hint="eastAsia" w:ascii="仿宋" w:hAnsi="仿宋" w:eastAsia="仿宋"/>
          <w:b w:val="0"/>
          <w:bCs/>
          <w:color w:val="000000" w:themeColor="text1"/>
          <w:sz w:val="32"/>
          <w:szCs w:val="32"/>
          <w14:textFill>
            <w14:solidFill>
              <w14:schemeClr w14:val="tx1"/>
            </w14:solidFill>
          </w14:textFill>
        </w:rPr>
        <w:t>。</w:t>
      </w:r>
    </w:p>
    <w:p>
      <w:pPr>
        <w:tabs>
          <w:tab w:val="right" w:pos="8306"/>
        </w:tabs>
        <w:spacing w:line="600" w:lineRule="exact"/>
        <w:ind w:firstLine="640"/>
        <w:outlineLvl w:val="1"/>
        <w:rPr>
          <w:rStyle w:val="32"/>
          <w:color w:val="auto"/>
          <w:highlight w:val="none"/>
        </w:rPr>
      </w:pPr>
      <w:bookmarkStart w:id="57" w:name="_Toc15377214"/>
      <w:bookmarkStart w:id="58" w:name="_Toc15396608"/>
      <w:bookmarkStart w:id="59" w:name="_Toc1888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57"/>
      <w:bookmarkEnd w:id="58"/>
      <w:bookmarkEnd w:id="59"/>
      <w:r>
        <w:rPr>
          <w:rStyle w:val="32"/>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623.12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573.77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49.35</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2"/>
          <w:rFonts w:ascii="黑体" w:hAnsi="黑体" w:eastAsia="黑体"/>
          <w:b w:val="0"/>
          <w:color w:val="auto"/>
          <w:highlight w:val="none"/>
        </w:rPr>
      </w:pPr>
      <w:bookmarkStart w:id="60" w:name="_Toc15396609"/>
      <w:bookmarkStart w:id="61" w:name="_Toc15377215"/>
      <w:bookmarkStart w:id="62" w:name="_Toc19446"/>
      <w:r>
        <w:rPr>
          <w:rFonts w:hint="eastAsia" w:ascii="黑体" w:eastAsia="黑体"/>
          <w:color w:val="auto"/>
          <w:sz w:val="32"/>
          <w:szCs w:val="32"/>
          <w:highlight w:val="none"/>
        </w:rPr>
        <w:t>七、</w:t>
      </w:r>
      <w:r>
        <w:rPr>
          <w:rStyle w:val="32"/>
          <w:rFonts w:hint="eastAsia" w:ascii="黑体" w:hAnsi="黑体" w:eastAsia="黑体"/>
          <w:b w:val="0"/>
          <w:color w:val="auto"/>
          <w:highlight w:val="none"/>
        </w:rPr>
        <w:t>财政拨款</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三公”经费支出决算情况说明</w:t>
      </w:r>
      <w:bookmarkEnd w:id="60"/>
      <w:bookmarkEnd w:id="61"/>
      <w:bookmarkEnd w:id="62"/>
    </w:p>
    <w:p>
      <w:pPr>
        <w:spacing w:line="600" w:lineRule="exact"/>
        <w:ind w:firstLine="640"/>
        <w:outlineLvl w:val="2"/>
        <w:rPr>
          <w:rFonts w:ascii="仿宋" w:hAnsi="仿宋" w:eastAsia="仿宋"/>
          <w:b/>
          <w:color w:val="auto"/>
          <w:sz w:val="32"/>
          <w:szCs w:val="32"/>
          <w:highlight w:val="none"/>
        </w:rPr>
      </w:pPr>
      <w:bookmarkStart w:id="63" w:name="_Toc15377216"/>
      <w:bookmarkStart w:id="64" w:name="_Toc4787"/>
      <w:r>
        <w:rPr>
          <w:rFonts w:hint="eastAsia" w:ascii="仿宋" w:hAnsi="仿宋" w:eastAsia="仿宋"/>
          <w:b/>
          <w:color w:val="auto"/>
          <w:sz w:val="32"/>
          <w:szCs w:val="32"/>
          <w:highlight w:val="none"/>
        </w:rPr>
        <w:t>（一）“三公”经费财政拨款支出决算总体情况说明</w:t>
      </w:r>
      <w:bookmarkEnd w:id="63"/>
      <w:bookmarkEnd w:id="6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4.8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减少0.79万元，下降16.46%。</w:t>
      </w:r>
    </w:p>
    <w:p>
      <w:pPr>
        <w:spacing w:line="600" w:lineRule="exact"/>
        <w:ind w:firstLine="640"/>
        <w:outlineLvl w:val="2"/>
        <w:rPr>
          <w:rFonts w:ascii="仿宋" w:hAnsi="仿宋" w:eastAsia="仿宋"/>
          <w:b/>
          <w:color w:val="auto"/>
          <w:sz w:val="32"/>
          <w:szCs w:val="32"/>
          <w:highlight w:val="none"/>
        </w:rPr>
      </w:pPr>
      <w:bookmarkStart w:id="65" w:name="_Toc15377217"/>
      <w:bookmarkStart w:id="66" w:name="_Toc13172"/>
      <w:r>
        <w:rPr>
          <w:rFonts w:hint="eastAsia" w:ascii="仿宋" w:hAnsi="仿宋" w:eastAsia="仿宋"/>
          <w:b/>
          <w:color w:val="auto"/>
          <w:sz w:val="32"/>
          <w:szCs w:val="32"/>
          <w:highlight w:val="none"/>
        </w:rPr>
        <w:t>（二）“三公”经费财政拨款支出决算具体情况说明</w:t>
      </w:r>
      <w:bookmarkEnd w:id="65"/>
      <w:bookmarkEnd w:id="66"/>
    </w:p>
    <w:p>
      <w:pPr>
        <w:spacing w:line="600" w:lineRule="exact"/>
        <w:ind w:firstLine="640"/>
        <w:rPr>
          <w:rFonts w:hint="eastAsia" w:ascii="仿宋" w:hAnsi="仿宋" w:eastAsia="仿宋"/>
          <w:color w:val="FF0000"/>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rPr>
          <w:rFonts w:hint="eastAsia" w:ascii="仿宋" w:hAnsi="仿宋" w:eastAsia="仿宋"/>
          <w:color w:val="FF0000"/>
          <w:sz w:val="32"/>
          <w:szCs w:val="32"/>
          <w:highlight w:val="none"/>
        </w:rPr>
      </w:pPr>
      <w:r>
        <w:rPr>
          <w:rFonts w:hint="eastAsia" w:ascii="仿宋" w:hAnsi="仿宋" w:eastAsia="仿宋"/>
          <w:color w:val="FF0000"/>
          <w:sz w:val="32"/>
          <w:szCs w:val="32"/>
          <w:highlight w:val="none"/>
          <w:lang w:eastAsia="zh-CN"/>
        </w:rPr>
        <w:drawing>
          <wp:inline distT="0" distB="0" distL="114300" distR="114300">
            <wp:extent cx="5266690" cy="3106420"/>
            <wp:effectExtent l="0" t="0" r="10160" b="17780"/>
            <wp:docPr id="8" name="图片 8"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7"/>
                    <pic:cNvPicPr>
                      <a:picLocks noChangeAspect="1"/>
                    </pic:cNvPicPr>
                  </pic:nvPicPr>
                  <pic:blipFill>
                    <a:blip r:embed="rId14"/>
                    <a:stretch>
                      <a:fillRect/>
                    </a:stretch>
                  </pic:blipFill>
                  <pic:spPr>
                    <a:xfrm>
                      <a:off x="0" y="0"/>
                      <a:ext cx="5266690" cy="3106420"/>
                    </a:xfrm>
                    <a:prstGeom prst="rect">
                      <a:avLst/>
                    </a:prstGeom>
                  </pic:spPr>
                </pic:pic>
              </a:graphicData>
            </a:graphic>
          </wp:inline>
        </w:drawing>
      </w:r>
    </w:p>
    <w:p>
      <w:pPr>
        <w:spacing w:line="600" w:lineRule="exact"/>
        <w:ind w:firstLine="640"/>
        <w:rPr>
          <w:rFonts w:ascii="仿宋" w:hAnsi="仿宋" w:eastAsia="仿宋"/>
          <w:color w:val="FF0000"/>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w:t>
      </w: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4.8</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16.67</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严格按照相关规定精减车辆运行次数</w:t>
      </w:r>
      <w:r>
        <w:rPr>
          <w:rFonts w:hint="eastAsia" w:ascii="仿宋_GB2312" w:eastAsia="仿宋_GB2312"/>
          <w:color w:val="000000" w:themeColor="text1"/>
          <w:sz w:val="32"/>
          <w:szCs w:val="32"/>
          <w:highlight w:val="none"/>
          <w14:textFill>
            <w14:solidFill>
              <w14:schemeClr w14:val="tx1"/>
            </w14:solidFill>
          </w14:textFill>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4.8</w:t>
      </w:r>
      <w:r>
        <w:rPr>
          <w:rFonts w:hint="eastAsia" w:ascii="仿宋_GB2312" w:eastAsia="仿宋_GB2312"/>
          <w:color w:val="auto"/>
          <w:sz w:val="32"/>
          <w:szCs w:val="32"/>
          <w:highlight w:val="none"/>
        </w:rPr>
        <w:t>万元。</w:t>
      </w:r>
      <w:r>
        <w:rPr>
          <w:rFonts w:hint="eastAsia" w:ascii="仿宋_GB2312" w:eastAsia="仿宋_GB2312"/>
          <w:sz w:val="32"/>
          <w:szCs w:val="32"/>
        </w:rPr>
        <w:t>主要用于</w:t>
      </w:r>
      <w:r>
        <w:rPr>
          <w:rFonts w:hint="eastAsia" w:ascii="仿宋_GB2312" w:eastAsia="仿宋_GB2312"/>
          <w:color w:val="000000"/>
          <w:sz w:val="32"/>
          <w:szCs w:val="32"/>
        </w:rPr>
        <w:t>城乡环境治理、垃圾分类、现场会、扶贫帮扶</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未预算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万元，(执行公务、开展业务活动开支的交通费、住宿费、用餐费等)。国内公务接待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万元，（接待具体项目、金额）。</w:t>
      </w:r>
    </w:p>
    <w:p>
      <w:pPr>
        <w:spacing w:line="600" w:lineRule="exact"/>
        <w:ind w:firstLine="643" w:firstLineChars="200"/>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67" w:name="_Toc15396610"/>
      <w:bookmarkStart w:id="68" w:name="_Toc15377218"/>
    </w:p>
    <w:p>
      <w:pPr>
        <w:spacing w:line="600" w:lineRule="exact"/>
        <w:ind w:firstLine="640"/>
        <w:outlineLvl w:val="1"/>
        <w:rPr>
          <w:rStyle w:val="32"/>
          <w:rFonts w:ascii="黑体" w:hAnsi="黑体" w:eastAsia="黑体"/>
          <w:color w:val="auto"/>
          <w:highlight w:val="none"/>
        </w:rPr>
      </w:pPr>
      <w:bookmarkStart w:id="69" w:name="_Toc7029"/>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67"/>
      <w:bookmarkEnd w:id="68"/>
      <w:bookmarkEnd w:id="6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2"/>
          <w:rFonts w:ascii="黑体" w:hAnsi="黑体" w:eastAsia="黑体"/>
          <w:b w:val="0"/>
          <w:color w:val="auto"/>
          <w:highlight w:val="none"/>
        </w:rPr>
      </w:pPr>
      <w:bookmarkStart w:id="70" w:name="_Toc15377219"/>
      <w:bookmarkStart w:id="71" w:name="_Toc15396611"/>
      <w:bookmarkStart w:id="72" w:name="_Toc18703"/>
      <w:r>
        <w:rPr>
          <w:rStyle w:val="32"/>
          <w:rFonts w:hint="eastAsia" w:ascii="黑体" w:hAnsi="黑体" w:eastAsia="黑体"/>
          <w:b w:val="0"/>
          <w:color w:val="auto"/>
          <w:highlight w:val="none"/>
        </w:rPr>
        <w:t>国有资本经营预算支出决算情况说明</w:t>
      </w:r>
      <w:bookmarkEnd w:id="70"/>
      <w:bookmarkEnd w:id="71"/>
      <w:bookmarkEnd w:id="72"/>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2"/>
          <w:rFonts w:hint="eastAsia" w:ascii="黑体" w:hAnsi="黑体" w:eastAsia="黑体"/>
          <w:b w:val="0"/>
          <w:color w:val="auto"/>
          <w:highlight w:val="none"/>
        </w:rPr>
      </w:pPr>
      <w:bookmarkStart w:id="73" w:name="_Toc15396612"/>
      <w:bookmarkStart w:id="74" w:name="_Toc15377221"/>
      <w:bookmarkStart w:id="75" w:name="_Toc539"/>
      <w:r>
        <w:rPr>
          <w:rStyle w:val="32"/>
          <w:rFonts w:hint="eastAsia" w:ascii="黑体" w:hAnsi="黑体" w:eastAsia="黑体"/>
          <w:b w:val="0"/>
          <w:color w:val="auto"/>
          <w:highlight w:val="none"/>
        </w:rPr>
        <w:t>其他重要事项的情况说明</w:t>
      </w:r>
      <w:bookmarkEnd w:id="73"/>
      <w:bookmarkEnd w:id="74"/>
      <w:bookmarkEnd w:id="75"/>
    </w:p>
    <w:p>
      <w:pPr>
        <w:spacing w:line="600" w:lineRule="exact"/>
        <w:ind w:firstLine="643" w:firstLineChars="200"/>
        <w:outlineLvl w:val="2"/>
        <w:rPr>
          <w:rFonts w:ascii="仿宋" w:hAnsi="仿宋" w:eastAsia="仿宋"/>
          <w:color w:val="auto"/>
          <w:sz w:val="32"/>
          <w:szCs w:val="32"/>
          <w:highlight w:val="none"/>
        </w:rPr>
      </w:pPr>
      <w:bookmarkStart w:id="76" w:name="_Toc15377222"/>
      <w:bookmarkStart w:id="77" w:name="_Toc31068"/>
      <w:r>
        <w:rPr>
          <w:rFonts w:hint="eastAsia" w:ascii="仿宋" w:hAnsi="仿宋" w:eastAsia="仿宋"/>
          <w:b/>
          <w:color w:val="auto"/>
          <w:sz w:val="32"/>
          <w:szCs w:val="32"/>
          <w:highlight w:val="none"/>
        </w:rPr>
        <w:t>（一）机关运行经费支出情况</w:t>
      </w:r>
      <w:bookmarkEnd w:id="76"/>
      <w:bookmarkEnd w:id="7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区综合行政执法局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49.35</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0.65</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人员增加及运行费用增加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3"/>
      <w:bookmarkStart w:id="79" w:name="_Toc13469"/>
      <w:r>
        <w:rPr>
          <w:rFonts w:hint="eastAsia" w:ascii="仿宋" w:hAnsi="仿宋" w:eastAsia="仿宋"/>
          <w:b/>
          <w:color w:val="auto"/>
          <w:sz w:val="32"/>
          <w:szCs w:val="32"/>
          <w:highlight w:val="none"/>
        </w:rPr>
        <w:t>（二）政府采购支出情况</w:t>
      </w:r>
      <w:bookmarkEnd w:id="78"/>
      <w:bookmarkEnd w:id="79"/>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区综合行政执法局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0" w:name="_Toc15377224"/>
      <w:bookmarkStart w:id="81" w:name="_Toc18241"/>
      <w:r>
        <w:rPr>
          <w:rFonts w:hint="eastAsia" w:ascii="仿宋" w:hAnsi="仿宋" w:eastAsia="仿宋"/>
          <w:b/>
          <w:color w:val="auto"/>
          <w:sz w:val="32"/>
          <w:szCs w:val="32"/>
          <w:highlight w:val="none"/>
        </w:rPr>
        <w:t>（三）国有资产占有使用情况</w:t>
      </w:r>
      <w:bookmarkEnd w:id="80"/>
      <w:bookmarkEnd w:id="81"/>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区综合行政执法局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sz w:val="32"/>
          <w:szCs w:val="32"/>
        </w:rPr>
        <w:t>城管执法用车、环卫保洁车辆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2" w:name="_Toc3023"/>
      <w:r>
        <w:rPr>
          <w:rFonts w:hint="eastAsia" w:ascii="仿宋" w:hAnsi="仿宋" w:eastAsia="仿宋"/>
          <w:b/>
          <w:color w:val="auto"/>
          <w:sz w:val="32"/>
          <w:szCs w:val="32"/>
          <w:highlight w:val="none"/>
        </w:rPr>
        <w:t>（四）预算绩效管理情况</w:t>
      </w:r>
      <w:bookmarkEnd w:id="82"/>
    </w:p>
    <w:p>
      <w:pPr>
        <w:spacing w:line="600" w:lineRule="exact"/>
        <w:ind w:firstLine="640" w:firstLineChars="200"/>
        <w:outlineLvl w:val="1"/>
        <w:rPr>
          <w:rFonts w:ascii="仿宋_GB2312" w:hAnsi="仿宋_GB2312" w:eastAsia="仿宋_GB2312" w:cs="仿宋_GB2312"/>
          <w:color w:val="000000"/>
          <w:sz w:val="32"/>
          <w:szCs w:val="32"/>
        </w:rPr>
      </w:pPr>
      <w:bookmarkStart w:id="83" w:name="_Toc11169"/>
      <w:r>
        <w:rPr>
          <w:rFonts w:hint="eastAsia" w:ascii="仿宋_GB2312" w:hAnsi="仿宋_GB2312" w:eastAsia="仿宋_GB2312" w:cs="仿宋_GB2312"/>
          <w:color w:val="000000"/>
          <w:sz w:val="32"/>
          <w:szCs w:val="32"/>
        </w:rPr>
        <w:t>根据预算绩效管理要求，本部门在</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年度预算编制阶段，组织对省级城乡建设发展资金项目、城区生活垃圾市场化运行、及乡镇垃圾清运等</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个项目开展了预算事前绩效评估，对</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个项目编制了绩效目标，预算执行过程中，选取个项目开展绩效监控，年终执行完毕后，对</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个项目开展了绩效自评。同时，本部门对</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年部门整体开展绩效自评，《</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年朝天区综合行政执法局部门整体绩效评价报告》见附件（第四部分）。</w:t>
      </w:r>
      <w:bookmarkEnd w:id="83"/>
    </w:p>
    <w:p>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bCs/>
          <w:color w:val="auto"/>
          <w:kern w:val="2"/>
          <w:sz w:val="32"/>
          <w:szCs w:val="32"/>
          <w:lang w:val="en-US"/>
        </w:rPr>
        <w:t>2022年度省级城乡建设发展</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bCs/>
          <w:color w:val="auto"/>
          <w:kern w:val="2"/>
          <w:sz w:val="32"/>
          <w:szCs w:val="32"/>
          <w:lang w:val="en-US"/>
        </w:rPr>
        <w:t>2022年度省级城乡建设发展</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分。垃圾分类县区承担部分项目绩效自评得分为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城管大队运行及静态停车管理项目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城区生活垃圾清运及垃圾填埋场运行承包项目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城区餐厨垃圾处置费用项目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城区除四害项目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乡镇垃圾焚烧项目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乡镇生活垃圾清运市场化运行承包项目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31"/>
          <w:rFonts w:ascii="黑体" w:hAnsi="黑体" w:eastAsia="黑体"/>
          <w:b w:val="0"/>
          <w:color w:val="auto"/>
          <w:highlight w:val="none"/>
        </w:rPr>
      </w:pPr>
      <w:bookmarkStart w:id="84" w:name="_Toc15377225"/>
      <w:bookmarkStart w:id="85" w:name="_Toc15396613"/>
      <w:bookmarkStart w:id="86" w:name="_Toc6888"/>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84"/>
      <w:bookmarkEnd w:id="85"/>
      <w:bookmarkEnd w:id="86"/>
    </w:p>
    <w:p>
      <w:pPr>
        <w:spacing w:line="600" w:lineRule="exact"/>
        <w:jc w:val="left"/>
        <w:rPr>
          <w:rFonts w:ascii="宋体"/>
          <w:b/>
          <w:color w:val="auto"/>
          <w:sz w:val="44"/>
          <w:szCs w:val="44"/>
          <w:highlight w:val="none"/>
        </w:rPr>
      </w:pPr>
    </w:p>
    <w:p>
      <w:pPr>
        <w:pStyle w:val="29"/>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9"/>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社会保障和就业（类）行政事业单位养老支出（款）机关事业单位基本养老保险缴费支出（项）：指我单位在职人员缴纳养老保险支出及职业年金支出。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w:t>
      </w:r>
      <w:r>
        <w:rPr>
          <w:rFonts w:ascii="仿宋_GB2312" w:eastAsia="仿宋_GB2312"/>
          <w:color w:val="000000"/>
          <w:sz w:val="32"/>
          <w:szCs w:val="32"/>
        </w:rPr>
        <w:t xml:space="preserve">  </w:t>
      </w:r>
      <w:r>
        <w:rPr>
          <w:rFonts w:hint="eastAsia" w:ascii="仿宋_GB2312" w:eastAsia="仿宋_GB2312"/>
          <w:color w:val="000000"/>
          <w:sz w:val="32"/>
          <w:szCs w:val="32"/>
        </w:rPr>
        <w:t>事业单位医疗（项）：指我单位在职人员的医疗保险支出。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城乡社区</w:t>
      </w:r>
      <w:r>
        <w:rPr>
          <w:rFonts w:hint="eastAsia" w:ascii="仿宋_GB2312" w:eastAsia="仿宋_GB2312"/>
          <w:sz w:val="30"/>
          <w:szCs w:val="30"/>
        </w:rPr>
        <w:t>（类）城乡社区管理事务（款）行政运行（项）：指行政运行及好、城管执法、城乡社区环境卫生、其他城乡社区支出</w:t>
      </w:r>
      <w:r>
        <w:rPr>
          <w:rFonts w:hint="eastAsia" w:ascii="仿宋_GB2312" w:eastAsia="仿宋_GB2312"/>
          <w:color w:val="000000"/>
          <w:sz w:val="32"/>
          <w:szCs w:val="32"/>
        </w:rPr>
        <w:t>。</w:t>
      </w:r>
    </w:p>
    <w:p>
      <w:pPr>
        <w:ind w:firstLine="640" w:firstLineChars="200"/>
        <w:rPr>
          <w:rFonts w:ascii="仿宋_GB2312" w:eastAsia="仿宋_GB2312"/>
          <w:color w:val="auto"/>
          <w:sz w:val="32"/>
          <w:szCs w:val="32"/>
          <w:highlight w:val="none"/>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住房保障住房改革支出（款）住房公积金（项）：指我单位在职人员缴纳住房公积金支出。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ascii="仿宋_GB2312" w:eastAsia="仿宋_GB2312"/>
          <w:color w:val="auto"/>
          <w:sz w:val="32"/>
          <w:szCs w:val="32"/>
          <w:highlight w:val="none"/>
        </w:rPr>
      </w:pPr>
    </w:p>
    <w:p>
      <w:pPr>
        <w:pStyle w:val="29"/>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31"/>
          <w:rFonts w:hint="eastAsia" w:ascii="黑体" w:hAnsi="黑体" w:eastAsia="黑体"/>
          <w:b w:val="0"/>
          <w:color w:val="auto"/>
          <w:highlight w:val="none"/>
          <w:lang w:eastAsia="zh-CN"/>
        </w:rPr>
      </w:pPr>
      <w:bookmarkStart w:id="87" w:name="_Toc15377226"/>
      <w:r>
        <w:rPr>
          <w:rFonts w:ascii="宋体"/>
          <w:b/>
          <w:color w:val="auto"/>
          <w:sz w:val="44"/>
          <w:szCs w:val="44"/>
          <w:highlight w:val="none"/>
        </w:rPr>
        <w:br w:type="page"/>
      </w:r>
      <w:bookmarkStart w:id="88" w:name="_Toc15396614"/>
      <w:bookmarkStart w:id="89" w:name="_Toc23374"/>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88"/>
      <w:bookmarkEnd w:id="89"/>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bCs/>
          <w:sz w:val="44"/>
          <w:szCs w:val="44"/>
          <w:shd w:val="clear" w:color="auto" w:fill="FFFFFF"/>
        </w:rPr>
      </w:pPr>
      <w:bookmarkStart w:id="90" w:name="_Toc16408"/>
      <w:r>
        <w:rPr>
          <w:rFonts w:hint="eastAsia" w:ascii="黑体" w:hAnsi="黑体" w:eastAsia="黑体" w:cs="黑体"/>
          <w:color w:val="auto"/>
          <w:sz w:val="32"/>
          <w:szCs w:val="32"/>
          <w:highlight w:val="none"/>
        </w:rPr>
        <w:t>附件</w:t>
      </w:r>
      <w:bookmarkEnd w:id="90"/>
    </w:p>
    <w:p>
      <w:pPr>
        <w:widowControl/>
        <w:spacing w:line="576" w:lineRule="exact"/>
        <w:contextualSpacing/>
        <w:jc w:val="center"/>
        <w:rPr>
          <w:rFonts w:ascii="方正小标宋简体" w:hAnsi="方正小标宋简体" w:eastAsia="方正小标宋简体" w:cs="方正小标宋简体"/>
          <w:bCs/>
          <w:sz w:val="44"/>
          <w:szCs w:val="44"/>
          <w:shd w:val="clear" w:color="auto" w:fill="FFFFFF"/>
        </w:rPr>
      </w:pPr>
    </w:p>
    <w:p>
      <w:pPr>
        <w:widowControl/>
        <w:spacing w:line="576" w:lineRule="exact"/>
        <w:contextualSpacing/>
        <w:jc w:val="center"/>
        <w:rPr>
          <w:rFonts w:hint="eastAsia" w:ascii="方正小标宋简体" w:hAnsi="方正小标宋简体" w:eastAsia="方正小标宋简体" w:cs="方正小标宋简体"/>
          <w:bCs/>
          <w:sz w:val="44"/>
          <w:szCs w:val="44"/>
          <w:shd w:val="clear" w:color="auto" w:fill="FFFFFF"/>
        </w:rPr>
      </w:pPr>
      <w:r>
        <w:rPr>
          <w:rFonts w:ascii="方正小标宋简体" w:hAnsi="方正小标宋简体" w:eastAsia="方正小标宋简体" w:cs="方正小标宋简体"/>
          <w:bCs/>
          <w:sz w:val="44"/>
          <w:szCs w:val="44"/>
          <w:shd w:val="clear" w:color="auto" w:fill="FFFFFF"/>
        </w:rPr>
        <w:t>202</w:t>
      </w:r>
      <w:r>
        <w:rPr>
          <w:rFonts w:hint="eastAsia" w:ascii="方正小标宋简体" w:hAnsi="方正小标宋简体" w:eastAsia="方正小标宋简体" w:cs="方正小标宋简体"/>
          <w:bCs/>
          <w:sz w:val="44"/>
          <w:szCs w:val="44"/>
          <w:shd w:val="clear" w:color="auto" w:fill="FFFFFF"/>
          <w:lang w:val="en-US" w:eastAsia="zh-CN"/>
        </w:rPr>
        <w:t>2</w:t>
      </w:r>
      <w:r>
        <w:rPr>
          <w:rFonts w:hint="eastAsia" w:ascii="方正小标宋简体" w:hAnsi="方正小标宋简体" w:eastAsia="方正小标宋简体" w:cs="方正小标宋简体"/>
          <w:bCs/>
          <w:sz w:val="44"/>
          <w:szCs w:val="44"/>
          <w:shd w:val="clear" w:color="auto" w:fill="FFFFFF"/>
        </w:rPr>
        <w:t>年区综合行政执法局部门整体支出</w:t>
      </w:r>
    </w:p>
    <w:p>
      <w:pPr>
        <w:widowControl/>
        <w:spacing w:line="576" w:lineRule="exact"/>
        <w:contextualSpacing/>
        <w:jc w:val="center"/>
        <w:rPr>
          <w:rFonts w:ascii="黑体" w:hAnsi="宋体" w:eastAsia="黑体" w:cs="宋体"/>
          <w:color w:val="000000"/>
          <w:kern w:val="0"/>
          <w:sz w:val="32"/>
          <w:szCs w:val="32"/>
          <w:shd w:val="clear" w:color="auto" w:fill="FFFFFF"/>
        </w:rPr>
      </w:pPr>
      <w:r>
        <w:rPr>
          <w:rFonts w:hint="eastAsia" w:ascii="方正小标宋简体" w:hAnsi="方正小标宋简体" w:eastAsia="方正小标宋简体" w:cs="方正小标宋简体"/>
          <w:bCs/>
          <w:sz w:val="44"/>
          <w:szCs w:val="44"/>
          <w:shd w:val="clear" w:color="auto" w:fill="FFFFFF"/>
        </w:rPr>
        <w:t>绩效自评报告</w:t>
      </w:r>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kern w:val="0"/>
          <w:sz w:val="32"/>
          <w:szCs w:val="32"/>
        </w:rPr>
      </w:pPr>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按照《关于开展</w:t>
      </w: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年部门、政策和项目支出绩效自评工作的通知》（广朝财发〔</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号）文件要求，我单位认真组织开展了</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年度部门整体支出绩效自评工作，现将具体情况报告如下：</w:t>
      </w:r>
    </w:p>
    <w:p>
      <w:pPr>
        <w:widowControl/>
        <w:autoSpaceDE w:val="0"/>
        <w:adjustRightInd w:val="0"/>
        <w:snapToGrid w:val="0"/>
        <w:spacing w:line="576"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一、部门（单位）概况</w:t>
      </w:r>
    </w:p>
    <w:p>
      <w:pPr>
        <w:widowControl/>
        <w:autoSpaceDE w:val="0"/>
        <w:adjustRightInd w:val="0"/>
        <w:snapToGrid w:val="0"/>
        <w:spacing w:line="576"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（一）机构组成</w:t>
      </w:r>
    </w:p>
    <w:p>
      <w:pPr>
        <w:widowControl/>
        <w:autoSpaceDE w:val="0"/>
        <w:adjustRightInd w:val="0"/>
        <w:snapToGrid w:val="0"/>
        <w:spacing w:line="576" w:lineRule="exact"/>
        <w:ind w:firstLine="640" w:firstLineChars="200"/>
        <w:contextualSpacing/>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综合行政执法局属行政单位，区政府组成部门，属财政一级预算单位，无下属二级预算单位，内设综合股，下设区综合执法大队、区环境卫生管理所。区城乡环境综合治理办公室及区爱国卫生运动委员会办公室合署办公。</w:t>
      </w:r>
    </w:p>
    <w:p>
      <w:pPr>
        <w:spacing w:line="576" w:lineRule="exact"/>
        <w:ind w:firstLine="640" w:firstLineChars="200"/>
        <w:rPr>
          <w:rFonts w:ascii="方正楷体简体" w:hAnsi="方正楷体简体" w:eastAsia="方正楷体简体" w:cs="方正楷体简体"/>
          <w:b/>
          <w:szCs w:val="32"/>
        </w:rPr>
      </w:pPr>
      <w:r>
        <w:rPr>
          <w:rFonts w:hint="eastAsia" w:ascii="楷体_GB2312" w:hAnsi="Times New Roman" w:eastAsia="楷体_GB2312"/>
          <w:color w:val="000000"/>
          <w:kern w:val="0"/>
          <w:sz w:val="32"/>
          <w:szCs w:val="32"/>
          <w:shd w:val="clear" w:color="auto" w:fill="FFFFFF"/>
        </w:rPr>
        <w:t>（二）机构职能</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贯彻执行国家、省、市有关综合行政执法、城乡环境综合治理、环境卫生管理工作的方针政策和法律法规，起草有关规范性文件草案，编制年度工作计划并组织实施，研究制定城市（城镇）容貌管理标准。</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负责行使原区城市城镇管理执法局（广元市城市管理行政执法局朝天区分局）、区住房和城乡建设局、区财政局、区经济和信息化局、区商务局等部门行使的行政执法权。</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实施授权行政处罚权相关的行政检查权、行政命令权和法律、法规规定的相应行政强制权；组织统筹开展全区性重大综合执法活动和专项活动；负责授权行政处罚权职能范围内所属的行政违法举报、投诉或部门移送的案件线索查处、移送或转办；负责组织授权行政处罚权职能范围内有关行政处罚案件的会审和行政应诉工作；负责“行政执法与刑事司法”衔接工作，按相关规定和程序向司法机关移送涉嫌犯罪的案件线索；负责配合相关行政部门监督抽检、行业整治等活动；负责全区综合执法人员的教育培训、监督考核等；负责派出机构综合执法队伍建设和业务指导。</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负责行使关闭、闲置、拆除生活垃圾处置设施、场所核准；关闭、闲置、拆除城市环卫设施许可；从事生活垃圾（含粪便）经营性清扫、收集、运输、处理服务审批，城市建筑垃圾处置核准；设置大型户外广告及在城市建筑物、设施上悬挂、张贴宣传品审批，场镇户外广告设置申请，机动车临时停车泊位以及各类道路交通标志标牌的规划、设计、建设和日常管理申请。</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负责组织开展全区城乡环境综合治理和爱国卫生运动工作。</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主管城区市容和环境卫生工作，负责市容环卫设施建设项目的方案审查和监督管理。对城乡生活垃圾和城市特种垃圾、建筑垃圾按规范收集、清运和处置并行使管理权，负责机动车清洗、环境卫生的行业管理。</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负责有关法律法规的宣传工作，受理综合行政执法、城乡环境综合治理、城区市容和环境卫生管理工作相关的信访和群众投诉。</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负责编制全区综合行政执法、城乡环境综合治理、市容和环境卫生工作经费年度计划，会同有关部门对职能职责相关的行政事业性收费工作进行监督管理。</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完成区委、区政府交办的其他任务。</w:t>
      </w:r>
    </w:p>
    <w:p>
      <w:pPr>
        <w:widowControl/>
        <w:autoSpaceDE w:val="0"/>
        <w:adjustRightInd w:val="0"/>
        <w:snapToGrid w:val="0"/>
        <w:spacing w:line="576" w:lineRule="exact"/>
        <w:ind w:firstLine="640" w:firstLineChars="200"/>
        <w:contextualSpacing/>
        <w:jc w:val="left"/>
        <w:rPr>
          <w:rFonts w:hint="eastAsia" w:ascii="楷体_GB2312" w:hAnsi="Times New Roman" w:eastAsia="楷体_GB2312"/>
          <w:color w:val="000000"/>
          <w:kern w:val="0"/>
          <w:sz w:val="32"/>
          <w:szCs w:val="32"/>
          <w:shd w:val="clear" w:color="auto" w:fill="FFFFFF"/>
          <w:lang w:val="en-US" w:eastAsia="zh-CN"/>
        </w:rPr>
      </w:pPr>
      <w:r>
        <w:rPr>
          <w:rFonts w:hint="eastAsia" w:ascii="楷体_GB2312" w:hAnsi="Times New Roman" w:eastAsia="楷体_GB2312"/>
          <w:color w:val="000000"/>
          <w:kern w:val="0"/>
          <w:sz w:val="32"/>
          <w:szCs w:val="32"/>
          <w:shd w:val="clear" w:color="auto" w:fill="FFFFFF"/>
        </w:rPr>
        <w:t>（三）人员概况</w:t>
      </w:r>
      <w:r>
        <w:rPr>
          <w:rFonts w:hint="eastAsia" w:ascii="楷体_GB2312" w:eastAsia="楷体_GB2312"/>
          <w:color w:val="000000"/>
          <w:kern w:val="0"/>
          <w:sz w:val="32"/>
          <w:szCs w:val="32"/>
          <w:shd w:val="clear" w:color="auto" w:fill="FFFFFF"/>
          <w:lang w:val="en-US" w:eastAsia="zh-CN"/>
        </w:rPr>
        <w:t xml:space="preserve"> </w:t>
      </w:r>
    </w:p>
    <w:p>
      <w:pPr>
        <w:spacing w:line="576"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区人民政府核定我局编制</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人，其中：行政编制</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人，事业编制</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人，工勤编制</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人，核定城管协管员</w:t>
      </w:r>
      <w:r>
        <w:rPr>
          <w:rFonts w:ascii="仿宋_GB2312" w:hAnsi="仿宋_GB2312" w:eastAsia="仿宋_GB2312" w:cs="仿宋_GB2312"/>
          <w:kern w:val="0"/>
          <w:sz w:val="32"/>
          <w:szCs w:val="32"/>
        </w:rPr>
        <w:t>25</w:t>
      </w:r>
      <w:r>
        <w:rPr>
          <w:rFonts w:hint="eastAsia" w:ascii="仿宋_GB2312" w:hAnsi="仿宋_GB2312" w:eastAsia="仿宋_GB2312" w:cs="仿宋_GB2312"/>
          <w:kern w:val="0"/>
          <w:sz w:val="32"/>
          <w:szCs w:val="32"/>
        </w:rPr>
        <w:t>人，财政定额人员</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人。目前，我局在编在职人员</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人，其中：行政编制</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人，事业编制</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人，工勤编制</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人，城管协管员</w:t>
      </w:r>
      <w:r>
        <w:rPr>
          <w:rFonts w:ascii="仿宋_GB2312" w:hAnsi="仿宋_GB2312" w:eastAsia="仿宋_GB2312" w:cs="仿宋_GB2312"/>
          <w:kern w:val="0"/>
          <w:sz w:val="32"/>
          <w:szCs w:val="32"/>
        </w:rPr>
        <w:t>25</w:t>
      </w:r>
      <w:r>
        <w:rPr>
          <w:rFonts w:hint="eastAsia" w:ascii="仿宋_GB2312" w:hAnsi="仿宋_GB2312" w:eastAsia="仿宋_GB2312" w:cs="仿宋_GB2312"/>
          <w:kern w:val="0"/>
          <w:sz w:val="32"/>
          <w:szCs w:val="32"/>
        </w:rPr>
        <w:t>人，财政定额人员</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w:t>
      </w:r>
    </w:p>
    <w:p>
      <w:pPr>
        <w:widowControl/>
        <w:autoSpaceDE w:val="0"/>
        <w:adjustRightInd w:val="0"/>
        <w:snapToGrid w:val="0"/>
        <w:spacing w:line="576"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二、部门财政资金收支情况</w:t>
      </w:r>
    </w:p>
    <w:p>
      <w:pPr>
        <w:widowControl/>
        <w:autoSpaceDE w:val="0"/>
        <w:adjustRightInd w:val="0"/>
        <w:snapToGrid w:val="0"/>
        <w:spacing w:line="576"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（一）部门财政资金收入情况</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年度一般预算收入完成</w:t>
      </w:r>
      <w:r>
        <w:rPr>
          <w:rFonts w:hint="eastAsia" w:ascii="仿宋_GB2312" w:hAnsi="仿宋_GB2312" w:eastAsia="仿宋_GB2312" w:cs="仿宋_GB2312"/>
          <w:kern w:val="0"/>
          <w:sz w:val="32"/>
          <w:szCs w:val="32"/>
          <w:lang w:val="en-US" w:eastAsia="zh-CN"/>
        </w:rPr>
        <w:t>2163.47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其中，基本支出收入</w:t>
      </w:r>
      <w:r>
        <w:rPr>
          <w:rFonts w:hint="eastAsia" w:ascii="仿宋_GB2312" w:hAnsi="仿宋_GB2312" w:eastAsia="仿宋_GB2312" w:cs="仿宋_GB2312"/>
          <w:kern w:val="0"/>
          <w:sz w:val="32"/>
          <w:szCs w:val="32"/>
          <w:lang w:val="en-US" w:eastAsia="zh-CN"/>
        </w:rPr>
        <w:t>573.77</w:t>
      </w:r>
      <w:r>
        <w:rPr>
          <w:rFonts w:hint="eastAsia" w:ascii="仿宋_GB2312" w:hAnsi="仿宋_GB2312" w:eastAsia="仿宋_GB2312" w:cs="仿宋_GB2312"/>
          <w:kern w:val="0"/>
          <w:sz w:val="32"/>
          <w:szCs w:val="32"/>
        </w:rPr>
        <w:t>万元，日常公用支出收入</w:t>
      </w:r>
      <w:r>
        <w:rPr>
          <w:rFonts w:hint="eastAsia" w:ascii="仿宋_GB2312" w:hAnsi="仿宋_GB2312" w:eastAsia="仿宋_GB2312" w:cs="仿宋_GB2312"/>
          <w:kern w:val="0"/>
          <w:sz w:val="32"/>
          <w:szCs w:val="32"/>
          <w:lang w:val="en-US" w:eastAsia="zh-CN"/>
        </w:rPr>
        <w:t>49.36</w:t>
      </w:r>
      <w:r>
        <w:rPr>
          <w:rFonts w:hint="eastAsia" w:ascii="仿宋_GB2312" w:hAnsi="仿宋_GB2312" w:eastAsia="仿宋_GB2312" w:cs="仿宋_GB2312"/>
          <w:kern w:val="0"/>
          <w:sz w:val="32"/>
          <w:szCs w:val="32"/>
        </w:rPr>
        <w:t>万元，项目收入</w:t>
      </w:r>
      <w:r>
        <w:rPr>
          <w:rFonts w:hint="eastAsia" w:ascii="仿宋_GB2312" w:hAnsi="仿宋_GB2312" w:eastAsia="仿宋_GB2312" w:cs="仿宋_GB2312"/>
          <w:b w:val="0"/>
          <w:bCs w:val="0"/>
          <w:kern w:val="2"/>
          <w:sz w:val="32"/>
          <w:szCs w:val="32"/>
          <w:lang w:val="en-US" w:eastAsia="zh-CN" w:bidi="ar-SA"/>
        </w:rPr>
        <w:t>1,540.35</w:t>
      </w:r>
      <w:r>
        <w:rPr>
          <w:rFonts w:hint="eastAsia" w:ascii="仿宋_GB2312" w:hAnsi="仿宋_GB2312" w:eastAsia="仿宋_GB2312" w:cs="仿宋_GB2312"/>
          <w:kern w:val="0"/>
          <w:sz w:val="32"/>
          <w:szCs w:val="32"/>
        </w:rPr>
        <w:t>万元。</w:t>
      </w:r>
    </w:p>
    <w:p>
      <w:pPr>
        <w:widowControl/>
        <w:autoSpaceDE w:val="0"/>
        <w:adjustRightInd w:val="0"/>
        <w:snapToGrid w:val="0"/>
        <w:spacing w:line="576" w:lineRule="exact"/>
        <w:ind w:firstLine="640" w:firstLineChars="200"/>
        <w:contextualSpacing/>
        <w:jc w:val="left"/>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（二）部门财政资金支出情况</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年度一般预算支出完成</w:t>
      </w:r>
      <w:r>
        <w:rPr>
          <w:rFonts w:hint="eastAsia" w:ascii="仿宋_GB2312" w:hAnsi="仿宋_GB2312" w:eastAsia="仿宋_GB2312" w:cs="仿宋_GB2312"/>
          <w:kern w:val="0"/>
          <w:sz w:val="32"/>
          <w:szCs w:val="32"/>
          <w:lang w:val="en-US" w:eastAsia="zh-CN"/>
        </w:rPr>
        <w:t>2163.47</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573.77</w:t>
      </w:r>
      <w:r>
        <w:rPr>
          <w:rFonts w:hint="eastAsia" w:ascii="仿宋_GB2312" w:hAnsi="仿宋_GB2312" w:eastAsia="仿宋_GB2312" w:cs="仿宋_GB2312"/>
          <w:kern w:val="0"/>
          <w:sz w:val="32"/>
          <w:szCs w:val="32"/>
        </w:rPr>
        <w:t>万元，日常公用支出</w:t>
      </w:r>
      <w:r>
        <w:rPr>
          <w:rFonts w:hint="eastAsia" w:ascii="仿宋_GB2312" w:hAnsi="仿宋_GB2312" w:eastAsia="仿宋_GB2312" w:cs="仿宋_GB2312"/>
          <w:kern w:val="0"/>
          <w:sz w:val="32"/>
          <w:szCs w:val="32"/>
          <w:lang w:val="en-US" w:eastAsia="zh-CN"/>
        </w:rPr>
        <w:t>49.36</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1540.35</w:t>
      </w:r>
      <w:r>
        <w:rPr>
          <w:rFonts w:hint="eastAsia" w:ascii="仿宋_GB2312" w:hAnsi="仿宋_GB2312" w:eastAsia="仿宋_GB2312" w:cs="仿宋_GB2312"/>
          <w:kern w:val="0"/>
          <w:sz w:val="32"/>
          <w:szCs w:val="32"/>
        </w:rPr>
        <w:t>万元。</w:t>
      </w:r>
    </w:p>
    <w:p>
      <w:pPr>
        <w:widowControl/>
        <w:autoSpaceDE w:val="0"/>
        <w:adjustRightInd w:val="0"/>
        <w:snapToGrid w:val="0"/>
        <w:spacing w:line="576" w:lineRule="exact"/>
        <w:ind w:firstLine="640" w:firstLineChars="200"/>
        <w:contextualSpacing/>
        <w:jc w:val="left"/>
        <w:rPr>
          <w:rFonts w:ascii="仿宋_GB2312" w:hAnsi="Times New Roman" w:eastAsia="仿宋_GB2312"/>
          <w:color w:val="000000"/>
          <w:kern w:val="0"/>
          <w:sz w:val="28"/>
          <w:szCs w:val="28"/>
          <w:shd w:val="clear" w:color="auto" w:fill="FFFFFF"/>
        </w:rPr>
      </w:pPr>
      <w:r>
        <w:rPr>
          <w:rFonts w:hint="eastAsia" w:ascii="黑体" w:hAnsi="黑体" w:eastAsia="黑体"/>
          <w:color w:val="000000"/>
          <w:kern w:val="0"/>
          <w:sz w:val="32"/>
          <w:szCs w:val="32"/>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spacing w:line="576" w:lineRule="exact"/>
        <w:ind w:firstLine="640" w:firstLineChars="200"/>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（一）部门预算项目绩效</w:t>
      </w:r>
      <w:r>
        <w:rPr>
          <w:rFonts w:hint="eastAsia" w:ascii="楷体_GB2312" w:hAnsi="Times New Roman" w:eastAsia="楷体_GB2312"/>
          <w:color w:val="000000"/>
          <w:kern w:val="0"/>
          <w:sz w:val="32"/>
          <w:szCs w:val="32"/>
          <w:shd w:val="clear" w:color="auto" w:fill="FFFFFF"/>
          <w:lang w:val="en-US" w:eastAsia="zh-CN"/>
        </w:rPr>
        <w:t>分析</w:t>
      </w:r>
      <w:r>
        <w:rPr>
          <w:rFonts w:hint="eastAsia" w:ascii="楷体_GB2312" w:hAnsi="Times New Roman" w:eastAsia="楷体_GB2312"/>
          <w:color w:val="000000"/>
          <w:kern w:val="0"/>
          <w:sz w:val="32"/>
          <w:szCs w:val="32"/>
          <w:shd w:val="clear" w:color="auto" w:fill="FFFFFF"/>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人员类项目支出预算</w:t>
      </w:r>
      <w:r>
        <w:rPr>
          <w:rFonts w:hint="eastAsia" w:ascii="仿宋_GB2312" w:hAnsi="仿宋_GB2312" w:eastAsia="仿宋_GB2312" w:cs="仿宋_GB2312"/>
          <w:kern w:val="0"/>
          <w:sz w:val="32"/>
          <w:szCs w:val="32"/>
          <w:lang w:val="en-US" w:eastAsia="zh-CN"/>
        </w:rPr>
        <w:t>573.77</w:t>
      </w:r>
      <w:r>
        <w:rPr>
          <w:rFonts w:hint="eastAsia" w:ascii="仿宋_GB2312" w:hAnsi="仿宋_GB2312" w:eastAsia="仿宋_GB2312" w:cs="仿宋_GB2312"/>
          <w:sz w:val="32"/>
          <w:szCs w:val="32"/>
        </w:rPr>
        <w:t>万元，主要包括人员工资、社保缴费等，实现年初预算绩效。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运转类项目支出预算</w:t>
      </w:r>
      <w:r>
        <w:rPr>
          <w:rFonts w:hint="eastAsia" w:ascii="仿宋_GB2312" w:hAnsi="仿宋_GB2312" w:eastAsia="仿宋_GB2312" w:cs="仿宋_GB2312"/>
          <w:kern w:val="0"/>
          <w:sz w:val="32"/>
          <w:szCs w:val="32"/>
          <w:lang w:val="en-US" w:eastAsia="zh-CN"/>
        </w:rPr>
        <w:t>49.36</w:t>
      </w:r>
      <w:r>
        <w:rPr>
          <w:rFonts w:hint="eastAsia" w:ascii="仿宋_GB2312" w:hAnsi="仿宋_GB2312" w:eastAsia="仿宋_GB2312" w:cs="仿宋_GB2312"/>
          <w:sz w:val="32"/>
          <w:szCs w:val="32"/>
        </w:rPr>
        <w:t>万元，主要包括办公费、差旅费、公务车运行等，实现年初预算绩效。</w:t>
      </w:r>
    </w:p>
    <w:p>
      <w:pPr>
        <w:spacing w:line="576"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特定目标类项目支出预算</w:t>
      </w:r>
      <w:r>
        <w:rPr>
          <w:rFonts w:hint="eastAsia" w:ascii="仿宋_GB2312" w:hAnsi="仿宋_GB2312" w:eastAsia="仿宋_GB2312" w:cs="仿宋_GB2312"/>
          <w:kern w:val="0"/>
          <w:sz w:val="32"/>
          <w:szCs w:val="32"/>
          <w:lang w:val="en-US" w:eastAsia="zh-CN"/>
        </w:rPr>
        <w:t>1540.35</w:t>
      </w:r>
      <w:r>
        <w:rPr>
          <w:rFonts w:hint="eastAsia" w:ascii="仿宋_GB2312" w:hAnsi="仿宋_GB2312" w:eastAsia="仿宋_GB2312" w:cs="仿宋_GB2312"/>
          <w:sz w:val="32"/>
          <w:szCs w:val="32"/>
        </w:rPr>
        <w:t>万元，实现年初预算</w:t>
      </w:r>
      <w:r>
        <w:rPr>
          <w:rFonts w:hint="eastAsia" w:ascii="仿宋_GB2312" w:hAnsi="仿宋_GB2312" w:eastAsia="仿宋_GB2312" w:cs="仿宋_GB2312"/>
          <w:kern w:val="0"/>
          <w:sz w:val="32"/>
          <w:szCs w:val="32"/>
        </w:rPr>
        <w:t>绩效。</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执行进度：全年按照年初制定预算情况，截止本年度</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日，按</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进度执行。</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预算调整：年初预算编制结束，经单位领导确定，相关部门审核后，全年未做出预算相关调整。</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经费控制：严格按照年初预算的各项经费执行。</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政府采购：执行采购与采购预算及备案一致。</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资金结余率和违规记录：全年资金无结余，无任何违规违纪情况。</w:t>
      </w:r>
    </w:p>
    <w:p>
      <w:pPr>
        <w:spacing w:line="576" w:lineRule="exact"/>
        <w:ind w:firstLine="640" w:firstLineChars="200"/>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（二）结果应用情况</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初预算主要包括以下几项内容：一是单位人员经费预算，主要包括人员工资福利、保险缴费等；二是单位日常公用经费预算，其中包括：三公经费、差旅费等；三是对单位项目支出进行明细经费预算。在预算过程中本着预算测算与部门工作任务、事权划分相匹配，基本支出与项目支出界定清晰，科学、合理设立了整体绩效目标和项目绩效目标。</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通过自评，部门整体绩效评价公平、公正、公开，全年严格按照预算支出管理，完成了各项收支任务。</w:t>
      </w:r>
    </w:p>
    <w:p>
      <w:pPr>
        <w:spacing w:line="576" w:lineRule="exact"/>
        <w:ind w:firstLine="640" w:firstLineChars="200"/>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（三）自评质量</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一是进一步建立健全本单位资产管理的相关制度，完善资产管理信息系统，确保系统信息与账面、实物相符；二是按季度对单位固定资产的种类和数量进行清理核实，及时核销和更新资产台账；三是按月对固定资产资进行计提折旧和摊销；四是按月向资产管理部门上报资产清查报表，切实提升资产管理的质量和水平。</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建立健全部门内部控制制度，加强财务管理，强化财务监督，增强法纪观念，遵守规章制度，保证了财务管理有法可依、有章可循，财务工作质量水平大幅提升。</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按照上级及业务主管部门的统一要求，及时在政府网站上公开预决算及绩效信息情况。</w:t>
      </w:r>
    </w:p>
    <w:p>
      <w:pPr>
        <w:tabs>
          <w:tab w:val="left" w:pos="312"/>
        </w:tabs>
        <w:spacing w:line="576"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本次部门整体支出绩效自评得分</w:t>
      </w:r>
      <w:r>
        <w:rPr>
          <w:rFonts w:ascii="仿宋_GB2312" w:hAnsi="仿宋_GB2312" w:eastAsia="仿宋_GB2312" w:cs="仿宋_GB2312"/>
          <w:kern w:val="0"/>
          <w:sz w:val="32"/>
          <w:szCs w:val="32"/>
        </w:rPr>
        <w:t>97</w:t>
      </w:r>
      <w:r>
        <w:rPr>
          <w:rFonts w:hint="eastAsia" w:ascii="仿宋_GB2312" w:hAnsi="仿宋_GB2312" w:eastAsia="仿宋_GB2312" w:cs="仿宋_GB2312"/>
          <w:kern w:val="0"/>
          <w:sz w:val="32"/>
          <w:szCs w:val="32"/>
        </w:rPr>
        <w:t>分。</w:t>
      </w:r>
    </w:p>
    <w:p>
      <w:pPr>
        <w:widowControl/>
        <w:autoSpaceDE w:val="0"/>
        <w:adjustRightInd w:val="0"/>
        <w:snapToGrid w:val="0"/>
        <w:spacing w:line="576" w:lineRule="exact"/>
        <w:ind w:firstLine="640" w:firstLineChars="200"/>
        <w:contextualSpacing/>
        <w:jc w:val="left"/>
        <w:rPr>
          <w:rFonts w:ascii="黑体" w:hAnsi="黑体" w:eastAsia="黑体"/>
          <w:color w:val="000000"/>
          <w:kern w:val="0"/>
          <w:sz w:val="32"/>
          <w:szCs w:val="32"/>
          <w:shd w:val="clear" w:color="auto" w:fill="FFFFFF"/>
        </w:rPr>
      </w:pPr>
      <w:r>
        <w:rPr>
          <w:rFonts w:hint="eastAsia" w:ascii="黑体" w:hAnsi="黑体" w:eastAsia="黑体"/>
          <w:color w:val="000000"/>
          <w:kern w:val="0"/>
          <w:sz w:val="32"/>
          <w:szCs w:val="32"/>
          <w:shd w:val="clear" w:color="auto" w:fill="FFFFFF"/>
        </w:rPr>
        <w:t>四、自评结论及建议</w:t>
      </w:r>
    </w:p>
    <w:p>
      <w:pPr>
        <w:spacing w:line="576" w:lineRule="exact"/>
        <w:ind w:firstLine="640" w:firstLineChars="200"/>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（一）自评结论</w:t>
      </w:r>
    </w:p>
    <w:p>
      <w:pPr>
        <w:tabs>
          <w:tab w:val="left" w:pos="312"/>
        </w:tabs>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全年严格按照预算支出管理，完成了各项收支任务。</w:t>
      </w:r>
    </w:p>
    <w:p>
      <w:pPr>
        <w:tabs>
          <w:tab w:val="left" w:pos="312"/>
        </w:tabs>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全面完成绩效目标任务，大幅提升绩效工资的满意度，取得了良好的社会效益。</w:t>
      </w:r>
    </w:p>
    <w:p>
      <w:pPr>
        <w:spacing w:line="576" w:lineRule="exact"/>
        <w:ind w:firstLine="640" w:firstLineChars="200"/>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（二）存在问题</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重视程度有待加强，绩效目标设定不够精细合理；</w:t>
      </w:r>
    </w:p>
    <w:p>
      <w:pPr>
        <w:spacing w:line="576"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2.</w:t>
      </w:r>
      <w:r>
        <w:rPr>
          <w:rFonts w:hint="eastAsia" w:ascii="仿宋_GB2312" w:hAnsi="仿宋_GB2312" w:eastAsia="仿宋_GB2312" w:cs="仿宋_GB2312"/>
          <w:kern w:val="0"/>
          <w:sz w:val="32"/>
          <w:szCs w:val="32"/>
        </w:rPr>
        <w:t>绩效评价思想上存在误区，绩效评价方式比较单一，形式和内容不够全面；</w:t>
      </w:r>
    </w:p>
    <w:p>
      <w:pPr>
        <w:spacing w:line="576"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3.</w:t>
      </w:r>
      <w:r>
        <w:rPr>
          <w:rFonts w:hint="eastAsia" w:ascii="仿宋_GB2312" w:hAnsi="仿宋_GB2312" w:eastAsia="仿宋_GB2312" w:cs="仿宋_GB2312"/>
          <w:kern w:val="0"/>
          <w:sz w:val="32"/>
          <w:szCs w:val="32"/>
        </w:rPr>
        <w:t>项目支出绩效目标设置不够精细，指标数量不够明晰，结构不太合理。</w:t>
      </w:r>
    </w:p>
    <w:p>
      <w:pPr>
        <w:spacing w:line="576" w:lineRule="exact"/>
        <w:ind w:firstLine="640" w:firstLineChars="200"/>
        <w:rPr>
          <w:rFonts w:ascii="楷体_GB2312" w:hAnsi="Times New Roman" w:eastAsia="楷体_GB2312"/>
          <w:color w:val="000000"/>
          <w:kern w:val="0"/>
          <w:sz w:val="32"/>
          <w:szCs w:val="32"/>
          <w:shd w:val="clear" w:color="auto" w:fill="FFFFFF"/>
        </w:rPr>
      </w:pPr>
      <w:r>
        <w:rPr>
          <w:rFonts w:hint="eastAsia" w:ascii="楷体_GB2312" w:hAnsi="Times New Roman" w:eastAsia="楷体_GB2312"/>
          <w:color w:val="000000"/>
          <w:kern w:val="0"/>
          <w:sz w:val="32"/>
          <w:szCs w:val="32"/>
          <w:shd w:val="clear" w:color="auto" w:fill="FFFFFF"/>
        </w:rPr>
        <w:t>（三）改进建议</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进一步树立正确的绩效评价观，加强绩效评价工作中的预算编制、预算管理和预算执行等基础工作建设；</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进一步加强财务管理，建立健全财务管理制度及体系，规范财务行为，强化绩效目标完成与预算执行相互衔接、相互促进，确保绩效目标全面完成；</w:t>
      </w:r>
    </w:p>
    <w:p>
      <w:pPr>
        <w:spacing w:line="576"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加强业务培训学习，提升业务技能水平，切实提高预算编制、绩效目标设置的质量和水平。</w:t>
      </w:r>
    </w:p>
    <w:p>
      <w:pPr>
        <w:spacing w:line="576"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改进绩效评价工作方法。一是加强预算编制与目标设置的一致性；二是加强预算执行与绩效目标完成的一致性；三是构建合理、适当、可操作的评价体系；四是对绩效评价的结果，充分发挥作用。</w:t>
      </w:r>
    </w:p>
    <w:p>
      <w:pPr>
        <w:widowControl/>
        <w:autoSpaceDE w:val="0"/>
        <w:adjustRightInd w:val="0"/>
        <w:snapToGrid w:val="0"/>
        <w:spacing w:line="576" w:lineRule="exact"/>
        <w:ind w:firstLine="640" w:firstLineChars="200"/>
        <w:contextualSpacing/>
        <w:jc w:val="left"/>
        <w:rPr>
          <w:rFonts w:ascii="仿宋_GB2312" w:hAnsi="Times New Roman" w:eastAsia="仿宋_GB2312"/>
          <w:color w:val="000000"/>
          <w:kern w:val="0"/>
          <w:sz w:val="32"/>
          <w:szCs w:val="32"/>
          <w:shd w:val="clear" w:color="auto" w:fill="FFFFFF"/>
        </w:rPr>
      </w:pPr>
    </w:p>
    <w:p>
      <w:pPr>
        <w:widowControl/>
        <w:autoSpaceDE w:val="0"/>
        <w:adjustRightInd w:val="0"/>
        <w:snapToGrid w:val="0"/>
        <w:spacing w:line="576" w:lineRule="exact"/>
        <w:ind w:firstLine="640" w:firstLineChars="200"/>
        <w:contextualSpacing/>
        <w:jc w:val="left"/>
        <w:rPr>
          <w:rFonts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附件：</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年部门</w:t>
      </w:r>
      <w:r>
        <w:rPr>
          <w:rFonts w:hint="eastAsia" w:ascii="仿宋_GB2312" w:eastAsia="仿宋_GB2312"/>
          <w:color w:val="000000"/>
          <w:kern w:val="0"/>
          <w:sz w:val="32"/>
          <w:szCs w:val="32"/>
          <w:shd w:val="clear" w:color="auto" w:fill="FFFFFF"/>
          <w:lang w:val="en-US" w:eastAsia="zh-CN"/>
        </w:rPr>
        <w:t>预算项目</w:t>
      </w:r>
      <w:r>
        <w:rPr>
          <w:rFonts w:hint="eastAsia" w:ascii="仿宋_GB2312" w:hAnsi="Times New Roman" w:eastAsia="仿宋_GB2312"/>
          <w:color w:val="000000"/>
          <w:kern w:val="0"/>
          <w:sz w:val="32"/>
          <w:szCs w:val="32"/>
          <w:shd w:val="clear" w:color="auto" w:fill="FFFFFF"/>
        </w:rPr>
        <w:t>支出绩效自评表</w:t>
      </w:r>
    </w:p>
    <w:p>
      <w:pPr>
        <w:autoSpaceDE w:val="0"/>
        <w:spacing w:line="576" w:lineRule="exact"/>
        <w:ind w:firstLine="5120" w:firstLineChars="1600"/>
      </w:pPr>
      <w:r>
        <w:rPr>
          <w:rFonts w:ascii="仿宋_GB2312" w:hAnsi="Times New Roman" w:eastAsia="仿宋_GB2312"/>
          <w:color w:val="000000"/>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92"/>
        <w:gridCol w:w="927"/>
        <w:gridCol w:w="1247"/>
        <w:gridCol w:w="396"/>
        <w:gridCol w:w="870"/>
        <w:gridCol w:w="756"/>
        <w:gridCol w:w="873"/>
        <w:gridCol w:w="576"/>
        <w:gridCol w:w="576"/>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项目为人员类项目，主要保障部门1名定补聘用人员及25名协管队员工资及保险缴纳。2022年，该预算项目资金按月支付，及时足额发放，预算执行率100%，年末无资金结余情况。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120.65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该项目为人员类项目，主要对部门内年度优秀人员，为其发放奖励金。2022年，该预算项目资金按年支付，及时足额发放，预算执行率100%，年末无资金结余情况。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该项目为人员类项目，主要保障部门内在职人员中有独生子女情况的同志，为其发放独子费。2022年，该预算项目资金按月支付，及时足额发放，预算执行率100%，年末无资金结余情况。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13.96</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15.08</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13.96</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15.08</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108.43</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128.35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108.43</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128.35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111.88</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102.45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111.88</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19.88</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19.88</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16.85</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8.92</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8.92</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12.37</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12.37</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19.15</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19.86</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12.64</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19.86</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该项目为人员类项目，主要保障部门公务员机关工勤事业人员2022年度职业年金缴费等。2022年，该预算项目资金按月支付，及时足额缴纳，预算执行率100%，年末无资金结余情况。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61.20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该项目为人员类项目，主要保障部门行政工人人员目标绩效奖。2022年，该预算项目资金按月支付，及时足额发放，预算执行率100%，年末无资金结余情况。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51081222T000005653444-天府旅游名县奖励资金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创建天府旅游名县</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该项目主要为：完善天府旅游名县设施建设，营造宣传氛围。2022年，该预算项目资金年中有序支付，预算执行率100%，年末无资金结余情况。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51081222T000005657649-2016年第一批城乡环境治理专款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完成垃圾分类配套设施设备完善</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该项目主要为：初步建立垃圾收运体系，完善农村垃圾收集设施建设。2022年，该预算项目资金年中有序支付，预算执行率100%，年末无资金结余情况。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34.96%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51081222T000005702769-城区环卫保洁市场化运行承包费及乡镇垃圾收运费用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完成环卫保洁任务及填埋场正常运行</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城区清扫保洁及城区生活垃圾填埋场运行工作，按照考核细则进行考核结算，确保项目正常运行，改善朝天城区形象。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2800000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51081222T000005702771-生活垃圾分类设施建设和设备购置等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垃圾分类设施设备购置建设</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该项目主要为：垃圾分类工作有序，垃圾分类收集大到国家标准，购置设施设备。2022年，该预算项目资金年中有序支付，预算执行率100%，年末无资金结余情况。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51081222T000005702779-城管大队运行经费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城管大队运行费用</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该项目主要为：完成城市管理及静态停车管理等相关执法工作，规范城区秩序，提升城市形象，保证执法工作顺利开展。2022年，该预算项目资金年中有序支付，预算执行率100%，年末无资金结余情况。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8.76</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8.76</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51081222T000005936639-城管大队运行费用2022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城管大队费用</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该项目主要保障城管大队部门日常公用支出。2022年，该预算项目资金年中有序支付，预算执行率100%，年末无资金结余情况。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处理违章案件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管理规定</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项/点位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按预算执行</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改善城市环境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250000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改善环境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改善环境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健全机制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51081222T000005936732-垃圾分类县区承担部分项目2022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城区垃圾分类有序开展</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城区垃圾分类工作有序，垃圾分类收集大到国家标准，按照市人民政府签订的合同标准执行，推进垃圾分类工作，改善群众垃圾分类意识，提高垃圾分类水平，实现资源化有效利用40%以上。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财政承担补助</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0.688</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万户</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0.688</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考核</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100元标准</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元/户</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减少垃圾数量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增强意识</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垃圾资源化率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建立机制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51081222T000005936997-城区除四害项目2022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完成全年城区消杀工作</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2023年度城区创国文卫除四害工作任务，消杀29次，提升城区卫生防治工作水平，完善城区卫生防治工作，改善人居环境。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消杀29次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公斤</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劳务费药品费</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29</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减少安全隐患</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改善生态</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改善人居环境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建立机制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51081222T000005937100-乡镇垃圾焚烧费2022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完成乡镇垃圾焚烧处理</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该项目主要为：完成12个乡镇收集的生活垃圾焚烧处置任务，年处理生活垃圾12000吨。2022年，该预算项目资金年中有序支付，预算执行率100%，年末无资金结余情况。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合同约定</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考核细则</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合同约定</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840000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节约成本</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改善明显</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明显改善</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建议购买服务</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51081222T000005937140-2022城区生活垃圾清运及填埋场运行承包费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完成环卫保洁任务及填埋场正常运行</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城区清扫保洁及城区生活垃圾填埋场运行工作，按照考核细则进行考核结算，确保项目正常运行，改善朝天城区形象。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650.80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650.80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650.80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650.80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650.80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680.80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合同约定</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考核细则</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服务费</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节约成本</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人居环境</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防止污染</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建立机制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51081222T000005937217-2022乡镇生活垃圾清运市场化运行承包项目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完成乡镇垃圾焚烧任务</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该项目主要为：完成12个乡镇收集的生活垃圾焚烧处置任务，年处理生活垃圾12000吨。2022年，该预算项目资金年中有序支付，预算执行率100%，年末无资金结余情况。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垃圾焚烧数量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合同约定</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支付费用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1993000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减少处置费</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处置及时，防污染隐患</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防污染</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建议购买处理机制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51081222T000005937407-城区餐厨垃圾处置费用项目2022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完成全年餐厨垃圾运输工作</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完成朝天城区餐厨垃圾收运处置工作，解决城区餐厨垃圾的处置问题，达到餐厨垃圾处置规范有序的目的，改善城区环境，杜绝餐厨垃圾污染环境的隐患。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收运餐厨垃圾</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1333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按照合同约定</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工作日</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365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275元吨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275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减少设备运行费用</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收集有序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明显改善</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建立机制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元/户（套）</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51081222T000006551828-乡村振兴农村垃圾分类设施建设项目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建设垃圾分类收集点</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该项目主要为：全区12个乡镇建设垃圾分类收集点，购置垃圾收转运设施设备。2022年，该预算项目资金年中有序支付，预算执行率100%，年末无资金结余情况。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51081222T000006798976-2020年度第二批省级城乡发展专项资金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完成城区垃圾收集亭建设</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该项目主要为：在城区新建垃圾收集亭35个。2022年，该预算项目资金年中有序支付，预算执行率100%，年末无资金结余情况。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51081222T000006799076-2021年度第二批省级城乡垃圾建设项目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在城区及中子镇等11个乡镇建设垃圾收集点，购置垃圾收运车辆等设施设备采购</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该项目主要为：我区乡镇建垃圾收集点7000余个，购置垃圾收运车辆12辆，配套农村分类服务站80个。2022年，该预算项目资金年中有序支付，预算执行率100%，年末无资金结余情况。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51081222T000006874411-广元市朝天区城区生活垃圾中转站项目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完成城区中转站建设</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该项目主要为：城区建设垃圾中转站1座，购置18立方垃圾压缩箱体4个，垃圾转运车2辆，吸污车1辆，并配套相关附属设施。2022年，该预算项目资金年中有序支付，预算执行率100%，年末无资金结余情况。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51081222T000007293760-广元市朝天区农村厨余垃圾资源化利用设施建设项目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完成全区厨余垃圾收集处置</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该项目主要为：在我区羊木镇原西北乡，建厨余垃圾处理厂1座，投入相关设施设备。2022年，该预算项目资金年中有序支付，预算执行率100%，年末无资金结余情况。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保障乡村振兴驻村工作队日常公用支出运转。2022年，该预算项目资金年中有序支付，预算执行率100%，年末无资金结余情况。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51081223T000008109560-广元市朝天区城乡垃圾处理基础设施建设新增专项债券项目“一案两书”编制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广元市朝天区综合行政执法局部门</w:t>
            </w:r>
          </w:p>
        </w:tc>
        <w:tc>
          <w:tcPr>
            <w:tcW w:w="38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争取省级专项债券资金投入</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6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委托第三方机构对项目实施等方面的评估，纳入省发改委发行库。2022年，该预算项目资金年中有序支付，预算执行率100%，年末无资金结余情况。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bookmarkStart w:id="142" w:name="_GoBack"/>
            <w:bookmarkEnd w:id="142"/>
          </w:p>
        </w:tc>
        <w:tc>
          <w:tcPr>
            <w:tcW w:w="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6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项目负责人：熊小帅</w:t>
            </w:r>
          </w:p>
        </w:tc>
        <w:tc>
          <w:tcPr>
            <w:tcW w:w="24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23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6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pStyle w:val="7"/>
        <w:rPr>
          <w:rFonts w:hint="eastAsia" w:hAnsi="宋体" w:cs="宋体"/>
          <w:color w:val="auto"/>
          <w:kern w:val="0"/>
          <w:sz w:val="32"/>
          <w:szCs w:val="32"/>
          <w:highlight w:val="none"/>
          <w:shd w:val="clear" w:color="auto" w:fill="FFFFFF"/>
          <w:lang w:val="en-US" w:eastAsia="zh-CN"/>
        </w:rPr>
      </w:pPr>
    </w:p>
    <w:p>
      <w:pPr>
        <w:pStyle w:val="37"/>
        <w:spacing w:line="600" w:lineRule="exact"/>
        <w:jc w:val="center"/>
        <w:rPr>
          <w:rFonts w:ascii="方正小标宋简体" w:hAnsi="方正小标宋简体" w:eastAsia="方正小标宋简体" w:cs="方正小标宋简体"/>
          <w:bCs/>
          <w:color w:val="auto"/>
          <w:kern w:val="2"/>
          <w:sz w:val="44"/>
          <w:szCs w:val="44"/>
          <w:lang w:val="en-US"/>
        </w:rPr>
      </w:pPr>
    </w:p>
    <w:p>
      <w:pPr>
        <w:pStyle w:val="37"/>
        <w:spacing w:line="600" w:lineRule="exact"/>
        <w:jc w:val="center"/>
        <w:rPr>
          <w:rFonts w:ascii="仿宋" w:hAnsi="仿宋" w:eastAsia="仿宋" w:cs="方正小标宋简体"/>
          <w:b/>
          <w:color w:val="auto"/>
          <w:kern w:val="2"/>
          <w:sz w:val="44"/>
          <w:szCs w:val="44"/>
          <w:lang w:val="en-US"/>
        </w:rPr>
      </w:pPr>
      <w:r>
        <w:rPr>
          <w:rFonts w:ascii="方正小标宋简体" w:hAnsi="方正小标宋简体" w:eastAsia="方正小标宋简体" w:cs="方正小标宋简体"/>
          <w:bCs/>
          <w:color w:val="auto"/>
          <w:kern w:val="2"/>
          <w:sz w:val="44"/>
          <w:szCs w:val="44"/>
          <w:lang w:val="en-US"/>
        </w:rPr>
        <w:t>2022</w:t>
      </w:r>
      <w:r>
        <w:rPr>
          <w:rFonts w:hint="eastAsia" w:ascii="方正小标宋简体" w:hAnsi="方正小标宋简体" w:eastAsia="方正小标宋简体" w:cs="方正小标宋简体"/>
          <w:bCs/>
          <w:color w:val="auto"/>
          <w:kern w:val="2"/>
          <w:sz w:val="44"/>
          <w:szCs w:val="44"/>
          <w:lang w:val="en-US"/>
        </w:rPr>
        <w:t>年度省级城乡建设发展</w:t>
      </w:r>
      <w:r>
        <w:rPr>
          <w:rFonts w:hint="eastAsia" w:ascii="方正小标宋简体" w:hAnsi="方正小标宋简体" w:eastAsia="方正小标宋简体" w:cs="方正小标宋简体"/>
          <w:bCs/>
          <w:color w:val="auto"/>
          <w:kern w:val="2"/>
          <w:sz w:val="44"/>
          <w:szCs w:val="44"/>
        </w:rPr>
        <w:t>专项资金（污水垃圾处理设施建设方向）</w:t>
      </w:r>
      <w:r>
        <w:rPr>
          <w:rFonts w:hint="eastAsia" w:ascii="方正小标宋简体" w:hAnsi="方正小标宋简体" w:eastAsia="方正小标宋简体" w:cs="方正小标宋简体"/>
          <w:bCs/>
          <w:color w:val="auto"/>
          <w:kern w:val="2"/>
          <w:sz w:val="44"/>
          <w:szCs w:val="44"/>
          <w:lang w:val="en-US"/>
        </w:rPr>
        <w:t>绩效自评报告</w:t>
      </w:r>
    </w:p>
    <w:p>
      <w:pPr>
        <w:pStyle w:val="37"/>
        <w:spacing w:line="600" w:lineRule="exact"/>
        <w:jc w:val="center"/>
        <w:rPr>
          <w:rFonts w:ascii="黑体" w:cs="黑体"/>
          <w:bCs w:val="0"/>
          <w:szCs w:val="32"/>
        </w:rPr>
      </w:pPr>
      <w:r>
        <w:rPr>
          <w:rFonts w:hint="eastAsia" w:ascii="楷体_GB2312" w:hAnsi="楷体_GB2312" w:eastAsia="楷体_GB2312" w:cs="楷体_GB2312"/>
          <w:bCs/>
          <w:color w:val="auto"/>
          <w:kern w:val="2"/>
          <w:sz w:val="32"/>
          <w:szCs w:val="32"/>
        </w:rPr>
        <w:t>（朝天区综合行政执法局）</w:t>
      </w:r>
    </w:p>
    <w:p>
      <w:pPr>
        <w:pStyle w:val="3"/>
        <w:pageBreakBefore w:val="0"/>
        <w:widowControl w:val="0"/>
        <w:kinsoku/>
        <w:wordWrap/>
        <w:overflowPunct/>
        <w:topLinePunct w:val="0"/>
        <w:autoSpaceDE/>
        <w:autoSpaceDN/>
        <w:bidi w:val="0"/>
        <w:spacing w:before="0" w:after="0" w:line="576" w:lineRule="exact"/>
        <w:ind w:firstLine="632"/>
        <w:jc w:val="both"/>
        <w:textAlignment w:val="auto"/>
        <w:outlineLvl w:val="9"/>
        <w:rPr>
          <w:rFonts w:hint="eastAsia" w:ascii="黑体" w:hAnsi="黑体" w:eastAsia="黑体" w:cs="黑体"/>
          <w:b w:val="0"/>
          <w:bCs/>
          <w:sz w:val="32"/>
          <w:szCs w:val="32"/>
        </w:rPr>
      </w:pPr>
    </w:p>
    <w:p>
      <w:pPr>
        <w:pStyle w:val="3"/>
        <w:pageBreakBefore w:val="0"/>
        <w:widowControl w:val="0"/>
        <w:kinsoku/>
        <w:wordWrap/>
        <w:overflowPunct/>
        <w:topLinePunct w:val="0"/>
        <w:autoSpaceDE/>
        <w:autoSpaceDN/>
        <w:bidi w:val="0"/>
        <w:spacing w:before="0" w:after="0" w:line="576" w:lineRule="exact"/>
        <w:ind w:firstLine="632"/>
        <w:jc w:val="both"/>
        <w:textAlignment w:val="auto"/>
        <w:rPr>
          <w:rFonts w:hint="eastAsia" w:ascii="黑体" w:hAnsi="黑体" w:eastAsia="黑体" w:cs="黑体"/>
          <w:b w:val="0"/>
          <w:bCs/>
          <w:sz w:val="32"/>
          <w:szCs w:val="32"/>
        </w:rPr>
      </w:pPr>
      <w:bookmarkStart w:id="91" w:name="_Toc28089"/>
      <w:r>
        <w:rPr>
          <w:rFonts w:hint="eastAsia" w:ascii="黑体" w:hAnsi="黑体" w:eastAsia="黑体" w:cs="黑体"/>
          <w:b w:val="0"/>
          <w:bCs/>
          <w:sz w:val="32"/>
          <w:szCs w:val="32"/>
        </w:rPr>
        <w:t>一、概况</w:t>
      </w:r>
      <w:bookmarkEnd w:id="91"/>
    </w:p>
    <w:p>
      <w:pPr>
        <w:pStyle w:val="3"/>
        <w:pageBreakBefore w:val="0"/>
        <w:widowControl w:val="0"/>
        <w:kinsoku/>
        <w:wordWrap/>
        <w:overflowPunct/>
        <w:topLinePunct w:val="0"/>
        <w:autoSpaceDE/>
        <w:autoSpaceDN/>
        <w:bidi w:val="0"/>
        <w:spacing w:before="0" w:after="0" w:line="576" w:lineRule="exact"/>
        <w:ind w:firstLine="632"/>
        <w:jc w:val="both"/>
        <w:textAlignment w:val="auto"/>
        <w:rPr>
          <w:rFonts w:hint="eastAsia" w:ascii="楷体_GB2312" w:hAnsi="楷体_GB2312" w:eastAsia="楷体_GB2312" w:cs="楷体_GB2312"/>
          <w:b w:val="0"/>
          <w:bCs w:val="0"/>
          <w:sz w:val="32"/>
          <w:szCs w:val="32"/>
          <w:lang w:val="zh-CN"/>
        </w:rPr>
      </w:pPr>
      <w:bookmarkStart w:id="92" w:name="_Toc9993"/>
      <w:r>
        <w:rPr>
          <w:rFonts w:hint="eastAsia" w:ascii="楷体_GB2312" w:hAnsi="楷体_GB2312" w:eastAsia="楷体_GB2312" w:cs="楷体_GB2312"/>
          <w:b w:val="0"/>
          <w:bCs w:val="0"/>
          <w:sz w:val="32"/>
          <w:szCs w:val="32"/>
          <w:lang w:val="zh-CN"/>
        </w:rPr>
        <w:t>（一）本方向专项资金管理的基本情况</w:t>
      </w:r>
      <w:bookmarkEnd w:id="92"/>
    </w:p>
    <w:p>
      <w:pPr>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资金管理办法制定及执行情况。严格按照专项资金管理办法有关要求，加强对项目实施单位的项目和资金管理。结合朝天区综合行政执法局制定了《“三重一大”集体决策制度》、《党组会议制度》、《财务综合管理制度》等相关制度，严格执行财务管理制度，设立专账，专款专用。财务处理及时，会计核算规范，以确保项目资金使用效果。项目大额资金开支必须按财务管理制度实行转账，严格控制项目中的现金支付，加强固定资产的管理，符合采购要求的必须实行采购，切实加强财政资金管理，确保充分发挥效益。资金拨付具有完整的审批程序和手续，资金使用符合项目预算批复，不存在截留、挤占、挪用、虚列支出等情况。</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资金管理的职责分工、工作流程。按照朝天区综合行政执法局制定了《“三重一大”集体决策制度》、《党组会议制度》、《财务综合管理制度》等相关制度规定，项目建设及日常经费管理，按照</w:t>
      </w:r>
      <w:r>
        <w:rPr>
          <w:rFonts w:hint="eastAsia" w:ascii="仿宋_GB2312" w:hAnsi="仿宋_GB2312" w:eastAsia="仿宋_GB2312" w:cs="仿宋_GB2312"/>
          <w:sz w:val="32"/>
          <w:szCs w:val="32"/>
        </w:rPr>
        <w:t>经办人对具体支出的事项、原始凭证负责；业务分管领导对经办人支出事项及原始凭证负责；计财装备室负责人根据业务分管领导审核意见对支出原始凭证真实性、合法性、完整性等进行复核，明确列支会计科目；分管财务领导根据审签情况进行审批入账。所有发生的费用后一周内完善报销手续。对项目建设资金的申请拨付，严格按照</w:t>
      </w:r>
      <w:r>
        <w:rPr>
          <w:rFonts w:hint="eastAsia" w:ascii="仿宋_GB2312" w:hAnsi="仿宋_GB2312" w:eastAsia="仿宋_GB2312" w:cs="仿宋_GB2312"/>
          <w:sz w:val="32"/>
          <w:szCs w:val="32"/>
          <w:lang w:val="zh-CN"/>
        </w:rPr>
        <w:t>“三重一大”集体决策制度执行，对资金支付按照专项资金管理办法逐层审签执行，</w:t>
      </w:r>
      <w:r>
        <w:rPr>
          <w:rFonts w:hint="eastAsia" w:ascii="仿宋_GB2312" w:hAnsi="仿宋_GB2312" w:eastAsia="仿宋_GB2312" w:cs="仿宋_GB2312"/>
          <w:sz w:val="32"/>
          <w:szCs w:val="32"/>
        </w:rPr>
        <w:t>局务会审定事项要将会议纪要或记录作为附件。</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按照《“十四五”全国城镇生活垃圾无害化处理设施建设规划》，提出：加快垃圾处理设施建设，合理布局生活垃圾处理设施，尚不具备处理能力的设市城市和县城要在2023年前具备无害化处理能力。建制镇产生的生活垃圾就近纳入县级或市级垃圾处理设施集中处理，原则上建制镇不单独建设处理设施(距离县市较远的建制镇可视具体情况另行考虑)</w:t>
      </w:r>
      <w:r>
        <w:rPr>
          <w:rFonts w:hint="eastAsia" w:ascii="仿宋_GB2312" w:hAnsi="仿宋_GB2312" w:eastAsia="仿宋_GB2312" w:cs="仿宋_GB2312"/>
          <w:sz w:val="32"/>
          <w:szCs w:val="32"/>
          <w:lang w:val="zh-CN"/>
        </w:rPr>
        <w:t xml:space="preserve"> 的文件精神，根据广元市朝天区人民政府办公室关于印发《广元市朝天区城乡生活垃圾处理设施建设三年推进方案（2021-2023年）的通知 》（广朝府办发〔2021〕1号）文件内容要求，我区处于长江流域生态保护范围，基础设施建设不完善、垃圾处理专用设施欠缺等因素，完全符合该项目资金支持，项目资金使用方向为农村厨余垃圾资源化利用设施设备建设及农村生活垃圾分类设施设施建设两个项目，重点解决农村厨余垃圾处置及农村生活垃圾分类设施设施建设，从而形成农村厨余垃圾及垃圾分类收转运长效机制。在项目申报上重点考虑上述因素予以申报，补齐农村垃圾分类设施欠缺的短板，结合我区区情，本级财政的承载能力，合理科学的进行规划、资金整合等一系列工作，通过项目的事前绩效评价，该项目申报切实可行，并以规定进行了项目申报。</w:t>
      </w:r>
    </w:p>
    <w:p>
      <w:pPr>
        <w:pageBreakBefore w:val="0"/>
        <w:kinsoku/>
        <w:wordWrap/>
        <w:overflowPunct/>
        <w:topLinePunct w:val="0"/>
        <w:autoSpaceDE/>
        <w:autoSpaceDN/>
        <w:bidi w:val="0"/>
        <w:adjustRightInd w:val="0"/>
        <w:snapToGrid w:val="0"/>
        <w:spacing w:line="576" w:lineRule="exact"/>
        <w:ind w:firstLine="480" w:firstLineChars="15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资金严格按照资金跟着项目走的原则进行分配。在项目资金分配上，按照项目类别进行分配，农村厨余垃圾资源化利用设施设备建设及农村生活垃圾分类设施设施建设项目，</w:t>
      </w:r>
      <w:r>
        <w:rPr>
          <w:rFonts w:hint="eastAsia" w:ascii="仿宋_GB2312" w:hAnsi="仿宋_GB2312" w:eastAsia="仿宋_GB2312" w:cs="仿宋_GB2312"/>
          <w:color w:val="000000"/>
          <w:sz w:val="32"/>
          <w:szCs w:val="32"/>
          <w:lang w:val="zh-CN"/>
        </w:rPr>
        <w:t>根据2022年申报的省级城乡建设资金使用的方向和范围规定，该项目符合我区实施的项目建设内容；</w:t>
      </w:r>
      <w:r>
        <w:rPr>
          <w:rFonts w:hint="eastAsia" w:ascii="仿宋_GB2312" w:hAnsi="仿宋_GB2312" w:eastAsia="仿宋_GB2312" w:cs="仿宋_GB2312"/>
          <w:sz w:val="32"/>
          <w:szCs w:val="32"/>
          <w:lang w:val="zh-CN"/>
        </w:rPr>
        <w:t>按照2022年申报的省级城乡建设资金使用的方向和范围规定，结合《广元市朝天区城乡生活垃圾处理设施建设三年推进方案（2021-2023年）的通知 》的实施内容，重点解决了农村厨余垃圾处置及农村垃圾分类设施建设，重点集镇的垃圾收转运处理设施欠缺的短板。按照子项目涉及的工程量大小、区域位置、专项资金重点支持的方向等因素，对2022年省级城乡建设资金进行了进一步的明确细化，确保资金使用方向上、合理上等方面发挥财政资金的使用效益。</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（二）本方向专项资金绩效目标</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 xml:space="preserve"> 农村厨余垃圾资源化利用设施设备建设项目主要建设内容为：</w:t>
      </w:r>
      <w:bookmarkStart w:id="93" w:name="_Hlk101292461"/>
      <w:r>
        <w:rPr>
          <w:rFonts w:hint="eastAsia" w:ascii="仿宋_GB2312" w:hAnsi="仿宋_GB2312" w:eastAsia="仿宋_GB2312" w:cs="仿宋_GB2312"/>
          <w:sz w:val="32"/>
          <w:szCs w:val="32"/>
          <w:lang w:val="zh-CN"/>
        </w:rPr>
        <w:t>建设餐厨垃圾收集点及购置餐厨垃圾运输车辆等设施设备建，2022年第一批省级城乡建设发展资金支持购置240L餐厨垃圾收集桶700个，</w:t>
      </w:r>
      <w:bookmarkEnd w:id="93"/>
      <w:r>
        <w:rPr>
          <w:rFonts w:hint="eastAsia" w:ascii="仿宋_GB2312" w:hAnsi="仿宋_GB2312" w:eastAsia="仿宋_GB2312" w:cs="仿宋_GB2312"/>
          <w:sz w:val="32"/>
          <w:szCs w:val="32"/>
          <w:lang w:val="zh-CN"/>
        </w:rPr>
        <w:t>并配发到各项目乡镇，形成农村餐厨垃圾投放、收集、运输、处理全过程收运处理体系，达到生活餐厨垃圾减量化、资源化、无害化要求。</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本项目绩效目标：至2022年末计划开工项目个数1 个；至2022年末计划完工项目个数1 个；支持项目2022年计划投资9300万元；2022年项目计划开工率100%；到位2022年度省级城乡建设发展专项资金20万元，资金到位率100%，截止2022年年底专项资金计划拨付率100%。</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实际绩效目标完成情况：目前实际开工项目个数1 个；至2022年末实际完工项目个数1 个；支持项目2022年计划投资9300万元；至2022年末已拨付专项资金20万元；至2022年末项目开工率100%；至2022年末专项资金拨付率100%。</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该项目于2022年12月底前全部竣工并投入运行，项目运行正常，资金使用规范，充分发挥了专项资金的使用效益。</w:t>
      </w:r>
    </w:p>
    <w:p>
      <w:pPr>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朝天区农村生活垃圾分类设施设施建设项目主要建设内容为:</w:t>
      </w:r>
      <w:r>
        <w:rPr>
          <w:rFonts w:hint="eastAsia" w:ascii="仿宋_GB2312" w:hAnsi="仿宋_GB2312" w:eastAsia="仿宋_GB2312" w:cs="仿宋_GB2312"/>
          <w:sz w:val="32"/>
          <w:szCs w:val="32"/>
        </w:rPr>
        <w:t xml:space="preserve"> 建设生活垃圾分类分拣站400个，再生资源回收利用站60座，有害垃圾暂存点2处，并配套相关设施设备。</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本项目绩效目标：至2022年末计划开工项目个数1 个；支持项目2022年计划投资12660万元,实际投资12660万元；2022年项目计划开工率100%；2022年度省级城乡建设发展专项资金资金到位率100%；2021年省级城乡建设发展专项资金计划拨付率100%。</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实际绩效目标完成情况：目前实际开工项目个数1 个；</w:t>
      </w:r>
      <w:r>
        <w:rPr>
          <w:rFonts w:hint="eastAsia" w:ascii="仿宋_GB2312" w:hAnsi="仿宋_GB2312" w:eastAsia="仿宋_GB2312" w:cs="仿宋_GB2312"/>
          <w:sz w:val="32"/>
          <w:szCs w:val="32"/>
        </w:rPr>
        <w:t>朝天城区生活垃圾中转站建设273.46万元；建设生活垃圾分类二级分拣中心12座240万元；购置小型电动垃圾收集车10辆150万元；购置240L垃圾分类桶4860个138.54万元</w:t>
      </w:r>
      <w:r>
        <w:rPr>
          <w:rFonts w:hint="eastAsia" w:ascii="仿宋_GB2312" w:hAnsi="仿宋_GB2312" w:eastAsia="仿宋_GB2312" w:cs="仿宋_GB2312"/>
          <w:sz w:val="32"/>
          <w:szCs w:val="32"/>
          <w:lang w:val="zh-CN"/>
        </w:rPr>
        <w:t>。支持项目2022年计划投资12660万元； 2022年末完成投资12660万元。至2022年末项目开工率100%；已拨付2022年度省级城乡建设发展专项资金802万元；专项资金拨付率100%。</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截止目前，投入使用的项目，运行正常，后续项目正有序建设，已支付的2022年第一批省级城乡建设发展专项资金使用规范，充分发挥了专项资金的使用效益。</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区结合行政执法局主要职责职能为：依法行使城市（城镇）规划与建设方面、市容市貌和环境卫生方面、市政管理方面的行政执法，参与规划与建设管理全过程。制定朝天区城市（城镇）容貌和环境卫生管理及综合执法工作计划，研究制定城市（城镇）容貌管理标准，草拟朝天区城乡环境综合治理实施办法。主管城区市容和环境卫生工作，负责市容环卫设施建设项目的方案审查和实施监督管理。对城市（城镇）生活垃圾、特种垃圾、建筑垃圾按规范收集、清运和处置并行使管理权，负责机动车清洗、环境卫生的行业管理。</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本次项目完全符合省级城乡建设发展专项资金支持方向，申报内容与具体实施内容相符、申报目标合理可行。</w:t>
      </w:r>
    </w:p>
    <w:p>
      <w:pPr>
        <w:pageBreakBefore w:val="0"/>
        <w:kinsoku/>
        <w:wordWrap/>
        <w:overflowPunct/>
        <w:topLinePunct w:val="0"/>
        <w:autoSpaceDE/>
        <w:autoSpaceDN/>
        <w:bidi w:val="0"/>
        <w:adjustRightInd w:val="0"/>
        <w:snapToGrid w:val="0"/>
        <w:spacing w:line="576" w:lineRule="exact"/>
        <w:ind w:firstLine="572" w:firstLineChars="179"/>
        <w:jc w:val="both"/>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（三）自评步骤及方法</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自评步骤：一是自评程序</w:t>
      </w:r>
      <w:bookmarkStart w:id="94" w:name="_Toc86855939"/>
      <w:r>
        <w:rPr>
          <w:rFonts w:hint="eastAsia" w:ascii="仿宋_GB2312" w:hAnsi="仿宋_GB2312" w:eastAsia="仿宋_GB2312" w:cs="仿宋_GB2312"/>
          <w:sz w:val="32"/>
          <w:szCs w:val="32"/>
          <w:lang w:val="zh-CN"/>
        </w:rPr>
        <w:t>拟定工作方案。结合项目绩效评估工作要求。拟定《绩效评价工作方案》，包括评估对象、内容、方法、时间安排等。二是项目资料收集。熟悉项目内容；提前明确绩效评估资料准备清单，收集项目单位项目申报书、绩效目标申请表等。三是现场调研。在收集审核项目资料基础上，组织相关部门及人员到项目现场进行调研。通过查阅资料、实地勘察、核实、了解项目具体内容和项目实施的具体做法、依据等，将现场情况与上报资料进行对比，对项目疑点问题进行询问，听取并记录项目单位对有关问题的解释和答复。四是组织实施评估。结合项目资料、现场调研结果，进行分析论证，对项目进行评议。形成绩效评估结论完成最终评价报告，提出评估结论意见。</w:t>
      </w:r>
    </w:p>
    <w:p>
      <w:pPr>
        <w:pageBreakBefore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论证思路及方法</w:t>
      </w:r>
      <w:bookmarkEnd w:id="94"/>
      <w:r>
        <w:rPr>
          <w:rFonts w:hint="eastAsia" w:ascii="仿宋_GB2312" w:hAnsi="仿宋_GB2312" w:eastAsia="仿宋_GB2312" w:cs="仿宋_GB2312"/>
          <w:sz w:val="32"/>
          <w:szCs w:val="32"/>
          <w:lang w:val="zh-CN"/>
        </w:rPr>
        <w:t>：本次事前绩效评估主要针对项目实施的必要性、可行性、公益性评估、项目建设投资合规性与项目成熟度评估、资金需求和资金使用计划合理性评估等方面进行综合评估、分析与论证，并提出相关建议。</w:t>
      </w:r>
      <w:bookmarkStart w:id="95" w:name="_Toc86855940"/>
      <w:r>
        <w:rPr>
          <w:rFonts w:hint="eastAsia" w:ascii="仿宋_GB2312" w:hAnsi="仿宋_GB2312" w:eastAsia="仿宋_GB2312" w:cs="仿宋_GB2312"/>
          <w:sz w:val="32"/>
          <w:szCs w:val="32"/>
          <w:lang w:val="zh-CN"/>
        </w:rPr>
        <w:t>评估方式</w:t>
      </w:r>
      <w:bookmarkEnd w:id="95"/>
      <w:r>
        <w:rPr>
          <w:rFonts w:hint="eastAsia" w:ascii="仿宋_GB2312" w:hAnsi="仿宋_GB2312" w:eastAsia="仿宋_GB2312" w:cs="仿宋_GB2312"/>
          <w:sz w:val="32"/>
          <w:szCs w:val="32"/>
          <w:lang w:val="zh-CN"/>
        </w:rPr>
        <w:t>为：本次绩效评估遵循全面考虑、重点突出的原则，主要采用文献法、社会调查法、对比分析法等评估方式或手段，对项目的相关性、可行性、持续性等方面进行全面评估。文献法：通过检索、查阅、梳理各级政府部门制定的相关政策文件，以及其他地区政策文件，对政策目标的匹配性、政策内容的合理性等进行综合、全面的评价。</w:t>
      </w:r>
    </w:p>
    <w:p>
      <w:pPr>
        <w:pageBreakBefore w:val="0"/>
        <w:widowControl w:val="0"/>
        <w:kinsoku/>
        <w:wordWrap/>
        <w:overflowPunct/>
        <w:topLinePunct w:val="0"/>
        <w:autoSpaceDE/>
        <w:autoSpaceDN/>
        <w:bidi w:val="0"/>
        <w:adjustRightInd w:val="0"/>
        <w:snapToGrid w:val="0"/>
        <w:spacing w:line="576" w:lineRule="exact"/>
        <w:ind w:firstLine="72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社会调查法：社会调查是深入了解政策参与主体和受益方对政策认知及态度的主要方法。评价组将采用实地访谈方式对本次评价政策的制定方和受益方等进行充分调研，更加充分地掌握政策制定的目的、依据、主要内容、以及实际需求，为评价分析提供支撑。对比分析法：本次评价过程中，评价组首先将项目与上级战略规划进行对比，分析项目与战略规划的匹配性；同时，将本项目与其他地区的同类项目进行对比分析，作为判断采购内容合理性的依据之一。</w:t>
      </w:r>
    </w:p>
    <w:p>
      <w:pPr>
        <w:pStyle w:val="3"/>
        <w:pageBreakBefore w:val="0"/>
        <w:widowControl w:val="0"/>
        <w:kinsoku/>
        <w:wordWrap/>
        <w:overflowPunct/>
        <w:topLinePunct w:val="0"/>
        <w:autoSpaceDE/>
        <w:autoSpaceDN/>
        <w:bidi w:val="0"/>
        <w:spacing w:before="0" w:after="0" w:line="576" w:lineRule="exact"/>
        <w:ind w:firstLine="632"/>
        <w:jc w:val="both"/>
        <w:textAlignment w:val="auto"/>
        <w:rPr>
          <w:rFonts w:hint="eastAsia" w:ascii="黑体" w:hAnsi="黑体" w:eastAsia="黑体" w:cs="黑体"/>
          <w:b w:val="0"/>
          <w:bCs/>
          <w:sz w:val="32"/>
          <w:szCs w:val="32"/>
        </w:rPr>
      </w:pPr>
      <w:bookmarkStart w:id="96" w:name="_Toc29175"/>
      <w:r>
        <w:rPr>
          <w:rFonts w:hint="eastAsia" w:ascii="黑体" w:hAnsi="黑体" w:eastAsia="黑体" w:cs="黑体"/>
          <w:b w:val="0"/>
          <w:bCs/>
          <w:sz w:val="32"/>
          <w:szCs w:val="32"/>
        </w:rPr>
        <w:t>二、专项资金使用情况</w:t>
      </w:r>
      <w:bookmarkEnd w:id="96"/>
    </w:p>
    <w:p>
      <w:pPr>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z w:val="32"/>
          <w:szCs w:val="32"/>
          <w:highlight w:val="magenta"/>
        </w:rPr>
      </w:pPr>
      <w:r>
        <w:rPr>
          <w:rFonts w:hint="eastAsia" w:ascii="仿宋_GB2312" w:hAnsi="仿宋_GB2312" w:eastAsia="仿宋_GB2312" w:cs="仿宋_GB2312"/>
          <w:bCs/>
          <w:sz w:val="32"/>
          <w:szCs w:val="32"/>
          <w:lang w:val="zh-CN"/>
        </w:rPr>
        <w:t>（一）资金计划、到位及使用情况。</w:t>
      </w:r>
      <w:r>
        <w:rPr>
          <w:rFonts w:hint="eastAsia" w:ascii="仿宋_GB2312" w:hAnsi="仿宋_GB2312" w:eastAsia="仿宋_GB2312" w:cs="仿宋_GB2312"/>
          <w:sz w:val="32"/>
          <w:szCs w:val="32"/>
          <w:lang w:val="zh-CN"/>
        </w:rPr>
        <w:t>根据2022年8月4日广元市财政局《关于下达2022年第一批省级城乡建设发展专项资金预算的通知》（广财投〔2022〕78号）文件文件精神，下达我区2022年第一批省级城乡建设发展专项城乡垃圾设施建设资金预算822万元，专项用于以下项目建设。</w:t>
      </w:r>
    </w:p>
    <w:p>
      <w:pPr>
        <w:pageBreakBefore w:val="0"/>
        <w:kinsoku/>
        <w:wordWrap/>
        <w:overflowPunct/>
        <w:topLinePunct w:val="0"/>
        <w:autoSpaceDE/>
        <w:autoSpaceDN/>
        <w:bidi w:val="0"/>
        <w:adjustRightInd w:val="0"/>
        <w:snapToGrid w:val="0"/>
        <w:spacing w:line="576" w:lineRule="exact"/>
        <w:ind w:firstLine="425" w:firstLineChars="133"/>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1.农村厨余垃圾资源化利用设施设备建设项目资金到位及使用情况：</w:t>
      </w:r>
    </w:p>
    <w:p>
      <w:pPr>
        <w:pageBreakBefore w:val="0"/>
        <w:kinsoku/>
        <w:wordWrap/>
        <w:overflowPunct/>
        <w:topLinePunct w:val="0"/>
        <w:autoSpaceDE/>
        <w:autoSpaceDN/>
        <w:bidi w:val="0"/>
        <w:adjustRightInd w:val="0"/>
        <w:snapToGrid w:val="0"/>
        <w:spacing w:line="576" w:lineRule="exact"/>
        <w:ind w:firstLine="427" w:firstLineChars="133"/>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一是资金计划：</w:t>
      </w:r>
      <w:r>
        <w:rPr>
          <w:rFonts w:hint="eastAsia" w:ascii="仿宋_GB2312" w:hAnsi="仿宋_GB2312" w:eastAsia="仿宋_GB2312" w:cs="仿宋_GB2312"/>
          <w:sz w:val="32"/>
          <w:szCs w:val="32"/>
          <w:lang w:val="zh-CN"/>
        </w:rPr>
        <w:t>本项目总投资9300万元，资金来源省级预算内资金20万元，地方财政配套资金9280万元；</w:t>
      </w:r>
      <w:r>
        <w:rPr>
          <w:rFonts w:hint="eastAsia" w:ascii="仿宋_GB2312" w:hAnsi="仿宋_GB2312" w:eastAsia="仿宋_GB2312" w:cs="仿宋_GB2312"/>
          <w:b/>
          <w:sz w:val="32"/>
          <w:szCs w:val="32"/>
          <w:lang w:val="zh-CN"/>
        </w:rPr>
        <w:t>二是资金到位：</w:t>
      </w:r>
      <w:r>
        <w:rPr>
          <w:rFonts w:hint="eastAsia" w:ascii="仿宋_GB2312" w:hAnsi="仿宋_GB2312" w:eastAsia="仿宋_GB2312" w:cs="仿宋_GB2312"/>
          <w:sz w:val="32"/>
          <w:szCs w:val="32"/>
          <w:lang w:val="zh-CN"/>
        </w:rPr>
        <w:t>根据根据2022年8月4日广元市财政局《关于下达2022年第一批省级城乡建设发展专项资金预算的通知》（广财投〔2022〕78号）文件精神，下达我局2022年第一批省级城乡建设发展专项城乡垃圾设施建设资金预算20万元。2022年底前实际到位2022年第一批省级城乡建设发展专项资金20万元，地方财政资金到位9280万元，2022年第二批省级城乡建设发展专项资金到位率100%；</w:t>
      </w:r>
      <w:r>
        <w:rPr>
          <w:rFonts w:hint="eastAsia" w:ascii="仿宋_GB2312" w:hAnsi="仿宋_GB2312" w:eastAsia="仿宋_GB2312" w:cs="仿宋_GB2312"/>
          <w:b/>
          <w:sz w:val="32"/>
          <w:szCs w:val="32"/>
          <w:lang w:val="zh-CN"/>
        </w:rPr>
        <w:t>三是资金使用：</w:t>
      </w:r>
      <w:r>
        <w:rPr>
          <w:rFonts w:hint="eastAsia" w:ascii="仿宋_GB2312" w:hAnsi="仿宋_GB2312" w:eastAsia="仿宋_GB2312" w:cs="仿宋_GB2312"/>
          <w:sz w:val="32"/>
          <w:szCs w:val="32"/>
          <w:lang w:val="zh-CN"/>
        </w:rPr>
        <w:t>截止目前，2022年第一批省级城乡建设发展专项资金支付20万元，支付率为100%，截止目前项目建设完成，资金实际已根据相关合同付款节点支付，支付流程符合相关财务管理制度，与预算相符。</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 xml:space="preserve"> 朝天区农村生活垃圾分类设施设施建设项目资金到位及使用情况：</w:t>
      </w:r>
      <w:r>
        <w:rPr>
          <w:rFonts w:hint="eastAsia" w:ascii="仿宋_GB2312" w:hAnsi="仿宋_GB2312" w:eastAsia="仿宋_GB2312" w:cs="仿宋_GB2312"/>
          <w:b/>
          <w:sz w:val="32"/>
          <w:szCs w:val="32"/>
          <w:lang w:val="zh-CN"/>
        </w:rPr>
        <w:t>一是资金计划：</w:t>
      </w:r>
      <w:r>
        <w:rPr>
          <w:rFonts w:hint="eastAsia" w:ascii="仿宋_GB2312" w:hAnsi="仿宋_GB2312" w:eastAsia="仿宋_GB2312" w:cs="仿宋_GB2312"/>
          <w:sz w:val="32"/>
          <w:szCs w:val="32"/>
          <w:lang w:val="zh-CN"/>
        </w:rPr>
        <w:t>本项目2022年计划总投资12660万元，资金来源2022年第二批省级城乡建设发展专项资金802万元，地方财政资金11858万元。</w:t>
      </w:r>
      <w:r>
        <w:rPr>
          <w:rFonts w:hint="eastAsia" w:ascii="仿宋_GB2312" w:hAnsi="仿宋_GB2312" w:eastAsia="仿宋_GB2312" w:cs="仿宋_GB2312"/>
          <w:b/>
          <w:sz w:val="32"/>
          <w:szCs w:val="32"/>
          <w:lang w:val="zh-CN"/>
        </w:rPr>
        <w:t>二是资金到位：</w:t>
      </w:r>
      <w:r>
        <w:rPr>
          <w:rFonts w:hint="eastAsia" w:ascii="仿宋_GB2312" w:hAnsi="仿宋_GB2312" w:eastAsia="仿宋_GB2312" w:cs="仿宋_GB2312"/>
          <w:sz w:val="32"/>
          <w:szCs w:val="32"/>
          <w:lang w:val="zh-CN"/>
        </w:rPr>
        <w:t>根据2022年8月4日广元市财政局《关于下达2022年第一批省级城乡建设发展专项资金预算的通知》（广财投〔2022〕78号）文件精神，截止目前，下达我区2022年第一批省级城乡建设发展专项城乡垃圾设施建设资金预算802万元。截止评价时间实际到位2022年第二批省级城乡建设发展专项资金802万元，地方财政资金到位11858万元，2022年第一批省级城乡建设发展专项资金到位率达100%。</w:t>
      </w:r>
      <w:r>
        <w:rPr>
          <w:rFonts w:hint="eastAsia" w:ascii="仿宋_GB2312" w:hAnsi="仿宋_GB2312" w:eastAsia="仿宋_GB2312" w:cs="仿宋_GB2312"/>
          <w:b/>
          <w:sz w:val="32"/>
          <w:szCs w:val="32"/>
          <w:lang w:val="zh-CN"/>
        </w:rPr>
        <w:t>三是资金使用：</w:t>
      </w:r>
      <w:r>
        <w:rPr>
          <w:rFonts w:hint="eastAsia" w:ascii="仿宋_GB2312" w:hAnsi="仿宋_GB2312" w:eastAsia="仿宋_GB2312" w:cs="仿宋_GB2312"/>
          <w:sz w:val="32"/>
          <w:szCs w:val="32"/>
          <w:lang w:val="zh-CN"/>
        </w:rPr>
        <w:t>截止2022年12月底，项目投资12660万元，其中，2022年第一批省级城乡建设发展专项资金支付802万元，支付率100%。支出资金根据相关合同付款节点支付，支付流程符合相关财务管理制度，与预算相符。</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（二）财务管理情况。</w:t>
      </w:r>
      <w:r>
        <w:rPr>
          <w:rFonts w:hint="eastAsia" w:ascii="仿宋_GB2312" w:hAnsi="仿宋_GB2312" w:eastAsia="仿宋_GB2312" w:cs="仿宋_GB2312"/>
          <w:sz w:val="32"/>
          <w:szCs w:val="32"/>
          <w:lang w:val="zh-CN"/>
        </w:rPr>
        <w:t>严格按照专项资金管理办法有关要求，加强对项目实施单位的项目和资金管理。结合朝天区综合行政执法局制定了《“三重一大”集体决策制度》、《党组会议制度》、《财务综合管理制度》等相关制度，严格执行财务管理制度，设立专账，专款专用。财务处理及时，会计核算规范，以确保项目资金使用效果。项目大额资金开支必须按财务管理制度实行转账，严格控制项目中的现金支付，加强固定资产的管理，符合采购要求的必须实行采购，切实加强财政资金管理，确保充分发挥效益。资金拨付具有完整的审批程序和手续，资金使用符合项目预算批复，不存在截留、挤占、挪用、虚列支出等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三、本方向专项资金支持项目的实施及管理情况</w:t>
      </w:r>
    </w:p>
    <w:p>
      <w:pPr>
        <w:pageBreakBefore w:val="0"/>
        <w:kinsoku/>
        <w:wordWrap/>
        <w:overflowPunct/>
        <w:topLinePunct w:val="0"/>
        <w:autoSpaceDE/>
        <w:autoSpaceDN/>
        <w:bidi w:val="0"/>
        <w:adjustRightInd w:val="0"/>
        <w:snapToGrid w:val="0"/>
        <w:spacing w:line="576" w:lineRule="exact"/>
        <w:ind w:firstLine="425" w:firstLineChars="133"/>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（一）项目管理情况。</w:t>
      </w:r>
      <w:r>
        <w:rPr>
          <w:rFonts w:hint="eastAsia" w:ascii="仿宋_GB2312" w:hAnsi="仿宋_GB2312" w:eastAsia="仿宋_GB2312" w:cs="仿宋_GB2312"/>
          <w:sz w:val="32"/>
          <w:szCs w:val="32"/>
          <w:lang w:val="zh-CN"/>
        </w:rPr>
        <w:t>按照广元市朝天区人民政府关于专项资金管理办法的要求及朝天区综合行政执法局制定了《“三重一大”集体决策制度》、《党组会议制度》等一系列管理制度。结合广元市朝天区人民政府办公室关于印发《广元市朝天区城乡生活垃圾处理设施建设三年推进方案（2021-2023年）的通知 》（广朝府办发〔2021〕1号）文件内容，严格按照通知中对项目实施过程中的组织架构、项目建设督查督办、资金拨付、检查验收、审计结算等方面要求实施本项目。主要体现在如下几方面。</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组织措施。区委、政府成立了副县级领导带队的督查组，加强该项工作的督查力度，为了确保工作按质按量完成，我局成立了以张明光同志为组长，治理办、综合股为成员的项目建设领导小组和各相关股室业务骨干为主体的技术负责小组，为项目实施提供坚强组织保障。</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2</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日常管理措施。主要加强了现场施工技术的服务及监管，</w:t>
      </w:r>
      <w:r>
        <w:rPr>
          <w:rFonts w:hint="eastAsia" w:ascii="仿宋_GB2312" w:hAnsi="仿宋_GB2312" w:eastAsia="仿宋_GB2312" w:cs="仿宋_GB2312"/>
          <w:sz w:val="32"/>
          <w:szCs w:val="32"/>
          <w:lang w:val="zh-CN"/>
        </w:rPr>
        <w:t>实行分片包干开展工作，加强与建设、环保、纪检监察部门衔接沟通，加强项目事前、事中、事后的检查监督。</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制度执行。一是按照住建、环保、综合执法等领域关于工程项目建设的要求标准实施该项目，全程跟踪项目建设过程；二是通过工程质量组、督查督办组等相关组织机构加强项目建设的日常监管；三是按照广元市朝天区人民政府关于专项资金管理办法的相关要求及朝天区综合行政执法局制定了《“三重一大”集体决策制度》、《党组会议制度》等一系列管理制度执行，对符合验收的项目验收一批，资金拨付一批。资金拨付由项目单位填制专项资金专帐，并对财务资料的真实性和完整性进行审核。项目资金严格按照工程进度拨付。财务人员负责资金计划和财务监管，涉及重大事项均通过集体决策。项目实施过程中涉及招投标、政府采购、项目公示等严格按照相关法法规以及单位内部相关管理制度执行，抓好质量安全的同时抓进度，严格按照区委、区政府的要求顺利完工，确保检查验收合格。</w:t>
      </w:r>
    </w:p>
    <w:p>
      <w:pPr>
        <w:pageBreakBefore w:val="0"/>
        <w:kinsoku/>
        <w:wordWrap/>
        <w:overflowPunct/>
        <w:topLinePunct w:val="0"/>
        <w:autoSpaceDE/>
        <w:autoSpaceDN/>
        <w:bidi w:val="0"/>
        <w:adjustRightInd w:val="0"/>
        <w:snapToGrid w:val="0"/>
        <w:spacing w:line="576" w:lineRule="exact"/>
        <w:ind w:firstLine="425" w:firstLineChars="133"/>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总体评价本次项目实施单位项目实施过程中涉及招投标、政府采购、项目公示等严格按照相关法法规以及单位内部相关管理制度执行。</w:t>
      </w:r>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（二）项目监管情况。</w:t>
      </w:r>
      <w:r>
        <w:rPr>
          <w:rFonts w:hint="eastAsia" w:ascii="仿宋_GB2312" w:hAnsi="仿宋_GB2312" w:eastAsia="仿宋_GB2312" w:cs="仿宋_GB2312"/>
          <w:sz w:val="32"/>
          <w:szCs w:val="32"/>
          <w:lang w:val="zh-CN"/>
        </w:rPr>
        <w:t>本部门为加强项目管理制定了一系列监管措施。一是监管依据：按照《四川省政府采购办法》、广元市朝天区人民政府《关于政府预算专项资金管理办法》等文件要求执行，结合朝天区综合行政执法局制定了《“三重一大”集体决策制度》、《党组会议制度》、《财务综合管理制度》等一系列管理制度，规范项目建设及资金管理；二是成立由纪检监察牵头，综合行政执法局、建设、环保、目标督查办公室部门为成员的检查督查，加强项目建设事前、事中、事后的检查监督，积极推动项目建设；三是加强项目审计跟踪结算工作，对项目建设完成后，通过区审计局及社会审计中介机构对验收项目进行审计认定，项目单位根据项目审计认定的结算总价结合合同约定的付款方式进行资金拨付。本次项目在实施过程中无任何违规情况。</w:t>
      </w:r>
    </w:p>
    <w:p>
      <w:pPr>
        <w:pStyle w:val="3"/>
        <w:pageBreakBefore w:val="0"/>
        <w:widowControl w:val="0"/>
        <w:kinsoku/>
        <w:wordWrap/>
        <w:overflowPunct/>
        <w:topLinePunct w:val="0"/>
        <w:autoSpaceDE/>
        <w:autoSpaceDN/>
        <w:bidi w:val="0"/>
        <w:spacing w:before="0" w:after="0" w:line="576" w:lineRule="exact"/>
        <w:ind w:firstLine="632"/>
        <w:textAlignment w:val="auto"/>
        <w:rPr>
          <w:rFonts w:hint="eastAsia" w:ascii="黑体" w:hAnsi="黑体" w:eastAsia="黑体" w:cs="黑体"/>
          <w:b w:val="0"/>
          <w:bCs/>
          <w:sz w:val="32"/>
          <w:szCs w:val="32"/>
          <w:lang w:val="zh-CN"/>
        </w:rPr>
      </w:pPr>
      <w:bookmarkStart w:id="97" w:name="_Toc13377"/>
      <w:r>
        <w:rPr>
          <w:rFonts w:hint="eastAsia" w:ascii="黑体" w:hAnsi="黑体" w:eastAsia="黑体" w:cs="黑体"/>
          <w:b w:val="0"/>
          <w:bCs/>
          <w:sz w:val="32"/>
          <w:szCs w:val="32"/>
        </w:rPr>
        <w:t>四、本方向专项资金绩效情况</w:t>
      </w:r>
      <w:bookmarkEnd w:id="97"/>
      <w:r>
        <w:rPr>
          <w:rFonts w:hint="eastAsia" w:ascii="黑体" w:hAnsi="黑体" w:eastAsia="黑体" w:cs="黑体"/>
          <w:b w:val="0"/>
          <w:bCs/>
          <w:sz w:val="32"/>
          <w:szCs w:val="32"/>
          <w:lang w:val="zh-CN"/>
        </w:rPr>
        <w:tab/>
      </w:r>
    </w:p>
    <w:p>
      <w:pPr>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（一）完成情况</w:t>
      </w:r>
    </w:p>
    <w:p>
      <w:pPr>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 xml:space="preserve"> 农村厨余垃圾资源化利用设施设备建设项目完成情况：主要是省级补助专项资金方面，一是数量指标上，截止目前，已完成购置240L餐厨垃圾收集桶700个20万元；二是成本指标上，从项目启报、项目实施、项目验收审计结算综合分析项目建设未突破项目预算；三是项目建设时效上，该项目按照项目建设的工期要求，开工率100%，该项目于2022年10月底前建设完成，完工率100%；四是社会效益上，群众满意度90%以上，垃圾处理率达80%。五是省级补助专项资金支付上， 2022年10月，专项资金支付率为100%。本项目通过验收合格后，无任何违规情况，竣工项目已开始正常运转。</w:t>
      </w:r>
    </w:p>
    <w:p>
      <w:pPr>
        <w:pageBreakBefore w:val="0"/>
        <w:numPr>
          <w:ilvl w:val="0"/>
          <w:numId w:val="4"/>
        </w:numP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朝天区农村生活垃圾分类设施设施建设项目完成情况：主要是省级补助专项资金方面，一是数量指标上，完成</w:t>
      </w:r>
      <w:r>
        <w:rPr>
          <w:rFonts w:hint="eastAsia" w:ascii="仿宋_GB2312" w:hAnsi="仿宋_GB2312" w:eastAsia="仿宋_GB2312" w:cs="仿宋_GB2312"/>
          <w:sz w:val="32"/>
          <w:szCs w:val="32"/>
        </w:rPr>
        <w:t>朝天城区生活垃圾中转站建设一座；建设生活垃圾分类二级分拣中心12座；购置小型电动垃圾收集车10辆；购置240L垃圾分类桶4860个共802万元，</w:t>
      </w:r>
      <w:r>
        <w:rPr>
          <w:rFonts w:hint="eastAsia" w:ascii="仿宋_GB2312" w:hAnsi="仿宋_GB2312" w:eastAsia="仿宋_GB2312" w:cs="仿宋_GB2312"/>
          <w:sz w:val="32"/>
          <w:szCs w:val="32"/>
          <w:lang w:val="zh-CN"/>
        </w:rPr>
        <w:t>二是成本指标上，从项目启报、项目实施、部分完工项目验收审计结算综合分析项目建设未突破项目预算，项目建设良好；三是项目建设时效上，</w:t>
      </w:r>
      <w:r>
        <w:rPr>
          <w:rFonts w:hint="eastAsia" w:ascii="仿宋_GB2312" w:hAnsi="仿宋_GB2312" w:eastAsia="仿宋_GB2312" w:cs="仿宋_GB2312"/>
          <w:bCs/>
          <w:sz w:val="32"/>
          <w:szCs w:val="32"/>
          <w:lang w:val="zh-CN"/>
        </w:rPr>
        <w:t>整个项目建设完成为2022年12月，</w:t>
      </w:r>
      <w:r>
        <w:rPr>
          <w:rFonts w:hint="eastAsia" w:ascii="仿宋_GB2312" w:hAnsi="仿宋_GB2312" w:eastAsia="仿宋_GB2312" w:cs="仿宋_GB2312"/>
          <w:sz w:val="32"/>
          <w:szCs w:val="32"/>
          <w:lang w:val="zh-CN"/>
        </w:rPr>
        <w:t xml:space="preserve">该项目按照项目建设的工期要求，开工率100%；四是社会效益上，群众满意度90%以上，垃圾处理率达80%；五是省级补助专项资金支付上，截止2022年12月底，省级专项资金支付802万元，支付率为100%。已建成竣工验收合格的项目无任何违规情况，已开始正常运转，后续建设项目正按照规划加班加点建设中。  </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highlight w:val="magenta"/>
        </w:rPr>
      </w:pPr>
      <w:r>
        <w:rPr>
          <w:rFonts w:hint="eastAsia" w:ascii="仿宋_GB2312" w:hAnsi="仿宋_GB2312" w:eastAsia="仿宋_GB2312" w:cs="仿宋_GB2312"/>
          <w:sz w:val="32"/>
          <w:szCs w:val="32"/>
          <w:lang w:val="zh-CN"/>
        </w:rPr>
        <w:t>上述两项目整体上看，</w:t>
      </w:r>
      <w:r>
        <w:rPr>
          <w:rFonts w:hint="eastAsia" w:ascii="仿宋_GB2312" w:hAnsi="仿宋_GB2312" w:eastAsia="仿宋_GB2312" w:cs="仿宋_GB2312"/>
          <w:sz w:val="32"/>
          <w:szCs w:val="32"/>
        </w:rPr>
        <w:t>项目绩效目标完整、绩效目标准确、绩效目标可量化、绩效指标较科学可衡量。</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（二）效益情况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实施为深入贯彻落实省、市关于生态环境保护和城乡生活垃圾治理相关决策部署，根据国家发展改革委、住房城乡建设部、生态环境部联合印发的《城镇生活垃圾分类和处理设施补短板强弱项实施方案》（发改环资 (2020 J 1257 号）和四川省人民政府办公厅《关于印发四川省城镇生活污水和城乡生活垃圾处理设施建设三年推进总体方案 (2021-2023) 年的通知》（川办发(2020) 86号）要求，加快推进垃圾分类投放、分类收集、分类运输、分类处理设施建设。</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坚持以习近平新时代中国特色社会主义思想为指导，深入贯彻落实习近平生态文明思想以及党的十九大和十九届二中、三中、四中、五中全会精神，全面贯彻落实省委十一届六次、七次、八次，市委七届十一次、十二次、十三次和区委七届十一次、十 二次、十三次全会精神，牢固树立新发展理念，坚决打好污染防治攻坚战，按照推进长江经济带和主动融入成渝地区双城经济圈建设要求，建设完善城乡生活垃圾收运处理设施，深入推进城乡生活垃圾分类，全面实现减量化收集、无害化处理、资源化利用，奋力建设生态文明繁荣和谐现代化新朝天。</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实施不仅可以提高资源的利用率，提高经济效益，也可减少对环境的污染和后续处理过程中的能源消耗。因此全面推行生活垃圾分类处理，既是保护环境、加强生态文明建设的重要举措，也是实现绿色发展、循环发展、低碳发展的重要途径。</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综上所述，本项目具有一定社会、生态、可持续效益。服务对象满意度较高。</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（一）评价结论</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bdr w:val="single" w:color="auto" w:sz="4" w:space="0"/>
          <w:lang w:val="zh-CN"/>
        </w:rPr>
      </w:pPr>
      <w:r>
        <w:rPr>
          <w:rFonts w:hint="eastAsia" w:ascii="仿宋_GB2312" w:hAnsi="仿宋_GB2312" w:eastAsia="仿宋_GB2312" w:cs="仿宋_GB2312"/>
          <w:sz w:val="32"/>
          <w:szCs w:val="32"/>
          <w:lang w:val="zh-CN"/>
        </w:rPr>
        <w:t>本项目完全按照实施计划进行，资金支付进度较好，无任何违规情况。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（二）存在的问题</w:t>
      </w:r>
    </w:p>
    <w:p>
      <w:pPr>
        <w:pageBreakBefore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由于朝天区农村生活垃圾分类设施设施建设项目，建设涉及面大，建设期较长，资金需求较大，地方财政资金投入保障难度大。</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（三）相关建议</w:t>
      </w:r>
    </w:p>
    <w:p>
      <w:pPr>
        <w:pageBreakBefore w:val="0"/>
        <w:kinsoku/>
        <w:wordWrap/>
        <w:overflowPunct/>
        <w:topLinePunct w:val="0"/>
        <w:autoSpaceDE/>
        <w:autoSpaceDN/>
        <w:bidi w:val="0"/>
        <w:adjustRightInd w:val="0"/>
        <w:snapToGrid w:val="0"/>
        <w:spacing w:line="576" w:lineRule="exact"/>
        <w:ind w:firstLine="640" w:firstLineChars="200"/>
        <w:textAlignment w:val="auto"/>
        <w:rPr>
          <w:rStyle w:val="31"/>
          <w:rFonts w:ascii="黑体" w:hAnsi="黑体" w:eastAsia="黑体"/>
          <w:b w:val="0"/>
          <w:color w:val="auto"/>
          <w:highlight w:val="none"/>
        </w:rPr>
      </w:pPr>
      <w:r>
        <w:rPr>
          <w:rFonts w:hint="eastAsia" w:ascii="仿宋_GB2312" w:hAnsi="仿宋_GB2312" w:eastAsia="仿宋_GB2312" w:cs="仿宋_GB2312"/>
          <w:sz w:val="32"/>
          <w:szCs w:val="32"/>
          <w:lang w:val="zh-CN"/>
        </w:rPr>
        <w:t>一是加快推进朝天区农村生活垃圾分类设施设施建设项目后续建设进度，加强资金支付进度；二是加大逐年增加省级专项争取力度。</w:t>
      </w:r>
      <w:r>
        <w:rPr>
          <w:rFonts w:hint="eastAsia" w:ascii="仿宋_GB2312" w:hAnsi="仿宋_GB2312" w:eastAsia="仿宋_GB2312" w:cs="仿宋_GB2312"/>
          <w:sz w:val="32"/>
          <w:szCs w:val="32"/>
          <w:lang w:val="zh-CN"/>
        </w:rPr>
        <w:tab/>
      </w:r>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bookmarkStart w:id="98" w:name="_Toc15396618"/>
    </w:p>
    <w:p>
      <w:pPr>
        <w:pStyle w:val="16"/>
        <w:spacing w:line="576" w:lineRule="exact"/>
        <w:ind w:firstLine="1540" w:firstLineChars="350"/>
        <w:jc w:val="left"/>
        <w:textAlignment w:val="baseline"/>
      </w:pPr>
      <w:bookmarkStart w:id="99" w:name="_Toc11538"/>
      <w:r>
        <w:rPr>
          <w:rFonts w:hint="eastAsia"/>
        </w:rPr>
        <w:t>广元市朝天区综合行政执法局</w:t>
      </w:r>
      <w:bookmarkEnd w:id="99"/>
    </w:p>
    <w:p>
      <w:pPr>
        <w:pStyle w:val="16"/>
        <w:spacing w:line="576" w:lineRule="exact"/>
        <w:textAlignment w:val="baseline"/>
      </w:pPr>
      <w:bookmarkStart w:id="100" w:name="_Toc18624"/>
      <w:r>
        <w:rPr>
          <w:rFonts w:hint="eastAsia"/>
        </w:rPr>
        <w:t>关于城区除“四害”项目绩效自评报告</w:t>
      </w:r>
      <w:bookmarkEnd w:id="100"/>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outlineLvl w:val="9"/>
        <w:rPr>
          <w:rFonts w:hint="eastAsia" w:ascii="仿宋_GB2312" w:hAnsi="仿宋_GB2312" w:eastAsia="仿宋_GB2312" w:cs="仿宋_GB2312"/>
          <w:sz w:val="32"/>
          <w:szCs w:val="32"/>
          <w:lang w:eastAsia="zh-TW"/>
        </w:rPr>
      </w:pP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黑体" w:hAnsi="黑体" w:eastAsia="黑体" w:cs="黑体"/>
          <w:b w:val="0"/>
          <w:bCs w:val="0"/>
          <w:sz w:val="32"/>
          <w:szCs w:val="32"/>
        </w:rPr>
      </w:pPr>
      <w:bookmarkStart w:id="101" w:name="_Toc21441"/>
      <w:r>
        <w:rPr>
          <w:rFonts w:hint="eastAsia" w:ascii="黑体" w:hAnsi="黑体" w:eastAsia="黑体" w:cs="黑体"/>
          <w:sz w:val="32"/>
          <w:szCs w:val="32"/>
          <w:lang w:eastAsia="zh-TW"/>
        </w:rPr>
        <w:t>一</w:t>
      </w:r>
      <w:r>
        <w:rPr>
          <w:rFonts w:hint="eastAsia" w:ascii="黑体" w:hAnsi="黑体" w:eastAsia="黑体" w:cs="黑体"/>
          <w:b w:val="0"/>
          <w:bCs w:val="0"/>
          <w:sz w:val="32"/>
          <w:szCs w:val="32"/>
          <w:lang w:eastAsia="zh-TW"/>
        </w:rPr>
        <w:t>、</w:t>
      </w:r>
      <w:r>
        <w:rPr>
          <w:rFonts w:hint="eastAsia" w:ascii="黑体" w:hAnsi="黑体" w:eastAsia="黑体" w:cs="黑体"/>
          <w:b w:val="0"/>
          <w:bCs w:val="0"/>
          <w:sz w:val="32"/>
          <w:szCs w:val="32"/>
        </w:rPr>
        <w:t>基本情况</w:t>
      </w:r>
      <w:bookmarkEnd w:id="101"/>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项目名称：城区除“四害”项目</w:t>
      </w:r>
    </w:p>
    <w:p>
      <w:pPr>
        <w:spacing w:line="576"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项目背景：</w:t>
      </w:r>
      <w:r>
        <w:rPr>
          <w:rFonts w:hint="eastAsia" w:ascii="仿宋_GB2312" w:hAnsi="仿宋_GB2312" w:eastAsia="仿宋_GB2312" w:cs="仿宋_GB2312"/>
          <w:color w:val="000000"/>
          <w:sz w:val="32"/>
          <w:szCs w:val="32"/>
        </w:rPr>
        <w:t>为深入贯彻中央、省、市、关于爱国卫生工作决策部署，我区于2017年成功创建成为国家级卫生城市。按照国家级卫生城市的相关要求，历年来，我区每年均开展城区除“四害”消杀灭工作，有力的净化了城区环境，减少疾病的传播，改善了人居环境。</w:t>
      </w:r>
    </w:p>
    <w:p>
      <w:pPr>
        <w:spacing w:line="576"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主要内容：</w:t>
      </w:r>
      <w:r>
        <w:rPr>
          <w:rFonts w:hint="eastAsia" w:ascii="仿宋_GB2312" w:hAnsi="仿宋_GB2312" w:eastAsia="仿宋_GB2312" w:cs="仿宋_GB2312"/>
          <w:color w:val="000000"/>
          <w:sz w:val="32"/>
          <w:szCs w:val="32"/>
        </w:rPr>
        <w:t>主要是购置消杀专用药品和消杀劳务费用。</w:t>
      </w:r>
    </w:p>
    <w:p>
      <w:pPr>
        <w:spacing w:line="576" w:lineRule="exact"/>
        <w:ind w:firstLine="640" w:firstLineChars="20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投资规模：区财政本级专项预算资金10万元。资金性质为区本级专项预算</w:t>
      </w:r>
    </w:p>
    <w:p>
      <w:pPr>
        <w:snapToGrid w:val="0"/>
        <w:spacing w:line="600" w:lineRule="exact"/>
        <w:ind w:firstLine="72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运行周期：202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w:t>
      </w:r>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TW"/>
        </w:rPr>
        <w:t>（二）</w:t>
      </w:r>
      <w:r>
        <w:rPr>
          <w:rFonts w:hint="eastAsia" w:ascii="楷体_GB2312" w:hAnsi="楷体_GB2312" w:eastAsia="楷体_GB2312" w:cs="楷体_GB2312"/>
          <w:sz w:val="32"/>
          <w:szCs w:val="32"/>
        </w:rPr>
        <w:t>项目绩效目标</w:t>
      </w:r>
    </w:p>
    <w:p>
      <w:pPr>
        <w:snapToGrid w:val="0"/>
        <w:spacing w:line="576" w:lineRule="exact"/>
        <w:ind w:firstLine="7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计划总投资：</w:t>
      </w:r>
      <w:r>
        <w:rPr>
          <w:rFonts w:hint="eastAsia" w:ascii="仿宋_GB2312" w:hAnsi="仿宋_GB2312" w:eastAsia="仿宋_GB2312" w:cs="仿宋_GB2312"/>
          <w:sz w:val="32"/>
          <w:szCs w:val="32"/>
        </w:rPr>
        <w:t>10万元。</w:t>
      </w:r>
    </w:p>
    <w:p>
      <w:pPr>
        <w:snapToGrid w:val="0"/>
        <w:spacing w:line="576" w:lineRule="exact"/>
        <w:ind w:firstLine="7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年1-</w:t>
      </w:r>
      <w:r>
        <w:rPr>
          <w:rFonts w:hint="eastAsia" w:ascii="仿宋_GB2312" w:hAnsi="仿宋_GB2312" w:eastAsia="仿宋_GB2312" w:cs="仿宋_GB2312"/>
          <w:sz w:val="32"/>
          <w:szCs w:val="32"/>
        </w:rPr>
        <w:t>12月</w:t>
      </w:r>
      <w:r>
        <w:rPr>
          <w:rFonts w:hint="eastAsia" w:ascii="仿宋_GB2312" w:hAnsi="仿宋_GB2312" w:eastAsia="仿宋_GB2312" w:cs="仿宋_GB2312"/>
          <w:sz w:val="32"/>
          <w:szCs w:val="32"/>
          <w:lang w:val="zh-CN"/>
        </w:rPr>
        <w:t>计划投资</w:t>
      </w:r>
      <w:r>
        <w:rPr>
          <w:rFonts w:hint="eastAsia" w:ascii="仿宋_GB2312" w:hAnsi="仿宋_GB2312" w:eastAsia="仿宋_GB2312" w:cs="仿宋_GB2312"/>
          <w:sz w:val="32"/>
          <w:szCs w:val="32"/>
        </w:rPr>
        <w:t>:10万元。一是用于</w:t>
      </w:r>
      <w:r>
        <w:rPr>
          <w:rFonts w:hint="eastAsia" w:ascii="仿宋_GB2312" w:hAnsi="仿宋_GB2312" w:eastAsia="仿宋_GB2312" w:cs="仿宋_GB2312"/>
          <w:color w:val="000000"/>
          <w:sz w:val="32"/>
          <w:szCs w:val="32"/>
        </w:rPr>
        <w:t>购置除“四害”消杀药品</w:t>
      </w:r>
      <w:r>
        <w:rPr>
          <w:rFonts w:hint="eastAsia" w:ascii="仿宋_GB2312" w:hAnsi="仿宋_GB2312" w:eastAsia="仿宋_GB2312" w:cs="仿宋_GB2312"/>
          <w:sz w:val="32"/>
          <w:szCs w:val="32"/>
        </w:rPr>
        <w:t>费用；二是消杀劳务费用。资金支付按照合同约定考核确认后支付。</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02" w:name="_Toc1867"/>
      <w:r>
        <w:rPr>
          <w:rFonts w:hint="eastAsia" w:ascii="仿宋_GB2312" w:hAnsi="仿宋_GB2312" w:eastAsia="仿宋_GB2312" w:cs="仿宋_GB2312"/>
          <w:sz w:val="32"/>
          <w:szCs w:val="32"/>
        </w:rPr>
        <w:t>二、项目实施及管理情况</w:t>
      </w:r>
      <w:bookmarkEnd w:id="102"/>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（一）制度执行情况</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1.项目组织架构及实施流程。</w:t>
      </w:r>
    </w:p>
    <w:p>
      <w:pPr>
        <w:ind w:firstLine="640" w:firstLineChars="20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我局成立了以</w:t>
      </w:r>
      <w:r>
        <w:rPr>
          <w:rFonts w:hint="eastAsia" w:ascii="仿宋_GB2312" w:hAnsi="仿宋_GB2312" w:eastAsia="仿宋_GB2312" w:cs="仿宋_GB2312"/>
          <w:sz w:val="32"/>
          <w:szCs w:val="32"/>
          <w:lang w:val="en-US" w:eastAsia="zh-CN"/>
        </w:rPr>
        <w:t>张明光</w:t>
      </w:r>
      <w:r>
        <w:rPr>
          <w:rFonts w:hint="eastAsia" w:ascii="仿宋_GB2312" w:hAnsi="仿宋_GB2312" w:eastAsia="仿宋_GB2312" w:cs="仿宋_GB2312"/>
          <w:sz w:val="32"/>
          <w:szCs w:val="32"/>
        </w:rPr>
        <w:t>同志为组长，爱卫办、计财装备室等部门为成员的项目考核领导小组。爱卫办全面负责该项工作的统筹协调和督促，责任落实。</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2.项目管理情况。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项目建设按照</w:t>
      </w:r>
      <w:r>
        <w:rPr>
          <w:rFonts w:hint="eastAsia" w:ascii="仿宋_GB2312" w:hAnsi="仿宋_GB2312" w:eastAsia="仿宋_GB2312" w:cs="仿宋_GB2312"/>
          <w:color w:val="000000"/>
          <w:sz w:val="32"/>
          <w:szCs w:val="32"/>
        </w:rPr>
        <w:t>国家级卫生城市标准一要求</w:t>
      </w:r>
      <w:r>
        <w:rPr>
          <w:rFonts w:hint="eastAsia" w:ascii="仿宋_GB2312" w:hAnsi="仿宋_GB2312" w:eastAsia="仿宋_GB2312" w:cs="仿宋_GB2312"/>
          <w:sz w:val="32"/>
          <w:szCs w:val="32"/>
        </w:rPr>
        <w:t>执行，按照考核办法进行逐月考核和合同约定的标准验收药品货物。爱卫办对消杀工作进行日常考核，对发生的费用支出实行专项资金管理的模式进行管理。资金及时拨付给中标企业，确保专款专用。凡转移、挪用、拖欠、挤占、贪污和弄虚作假的，必须如数追回，视情节追究有关单位和个人的责任。</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3.项目监管情况。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根据消杀工作进度，及时拨付已到位的资金，确保资金按要求尽快用到消杀工作中，尽早发挥效益；二是深入城区进行监管，及时预警，把问题处理在萌芽状态。</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rPr>
        <w:t>（二）项目实施情况</w:t>
      </w:r>
    </w:p>
    <w:p>
      <w:pPr>
        <w:spacing w:line="576" w:lineRule="exact"/>
        <w:ind w:firstLine="640" w:firstLineChars="200"/>
        <w:textAlignment w:val="baseline"/>
        <w:rPr>
          <w:rFonts w:hint="eastAsia" w:ascii="仿宋_GB2312" w:hAnsi="仿宋_GB2312" w:eastAsia="仿宋_GB2312" w:cs="仿宋_GB2312"/>
          <w:sz w:val="32"/>
          <w:szCs w:val="32"/>
          <w:highlight w:val="red"/>
          <w:lang w:val="zh-CN"/>
        </w:rPr>
      </w:pPr>
      <w:r>
        <w:rPr>
          <w:rFonts w:hint="eastAsia" w:ascii="仿宋_GB2312" w:hAnsi="仿宋_GB2312" w:eastAsia="仿宋_GB2312" w:cs="仿宋_GB2312"/>
          <w:sz w:val="32"/>
          <w:szCs w:val="32"/>
          <w:lang w:val="zh-CN"/>
        </w:rPr>
        <w:t>本项目由业务部门</w:t>
      </w:r>
      <w:r>
        <w:rPr>
          <w:rFonts w:hint="eastAsia" w:ascii="仿宋_GB2312" w:hAnsi="仿宋_GB2312" w:eastAsia="仿宋_GB2312" w:cs="仿宋_GB2312"/>
          <w:sz w:val="32"/>
          <w:szCs w:val="32"/>
        </w:rPr>
        <w:t>按照</w:t>
      </w:r>
      <w:r>
        <w:rPr>
          <w:rFonts w:hint="eastAsia" w:ascii="仿宋_GB2312" w:hAnsi="仿宋_GB2312" w:eastAsia="仿宋_GB2312" w:cs="仿宋_GB2312"/>
          <w:color w:val="000000"/>
          <w:sz w:val="32"/>
          <w:szCs w:val="32"/>
        </w:rPr>
        <w:t>国家级卫生城市标准一要求</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zh-CN"/>
        </w:rPr>
        <w:t>，积极督查组织实施，按照“三重一大”的制度执行，经局党组召开专题会议研究，决定我局成立了以分管副局长为组长，爱卫办及计财装备等部门为成员的考核专班，爱卫办负责项目实施、考核，财务部门负责资金计划拨付和财务监管，涉及重大事项均通过局党组集体研究决定。</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该项目申报内容与实际规划建设项目相符，目标合理可行。</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03" w:name="_Toc25337"/>
      <w:r>
        <w:rPr>
          <w:rFonts w:hint="eastAsia" w:ascii="仿宋_GB2312" w:hAnsi="仿宋_GB2312" w:eastAsia="仿宋_GB2312" w:cs="仿宋_GB2312"/>
          <w:sz w:val="32"/>
          <w:szCs w:val="32"/>
        </w:rPr>
        <w:t>三、专项资金使用情况</w:t>
      </w:r>
      <w:bookmarkEnd w:id="103"/>
    </w:p>
    <w:p>
      <w:pPr>
        <w:spacing w:line="576" w:lineRule="exact"/>
        <w:ind w:firstLine="640" w:firstLineChars="200"/>
        <w:textAlignment w:val="baseline"/>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eastAsia="zh-TW"/>
        </w:rPr>
        <w:t>（一）</w:t>
      </w:r>
      <w:r>
        <w:rPr>
          <w:rFonts w:hint="eastAsia" w:ascii="楷体_GB2312" w:hAnsi="楷体_GB2312" w:eastAsia="楷体_GB2312" w:cs="楷体_GB2312"/>
          <w:sz w:val="32"/>
          <w:szCs w:val="32"/>
          <w:lang w:val="zh-CN"/>
        </w:rPr>
        <w:t>项目财务管理情况</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局财务管理制度建立健全，机构设置明确合理，会计核算及账务处理及时准确。项目资金按照国家财经法规和财务管理制度及有关专项资金管理办法规定专款专用，符合采购条件的一律按照规定进行采购，资金拨付具有完整的审批程序和手续，资金使用符合项目预算批复，不存在截留、挤占、挪用、虚列支出等情况。</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（二）专项资金的到位情况</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资金计划：</w:t>
      </w:r>
      <w:r>
        <w:rPr>
          <w:rFonts w:hint="eastAsia" w:ascii="仿宋_GB2312" w:hAnsi="仿宋_GB2312" w:eastAsia="仿宋_GB2312" w:cs="仿宋_GB2312"/>
          <w:sz w:val="32"/>
          <w:szCs w:val="32"/>
        </w:rPr>
        <w:t>按照</w:t>
      </w:r>
      <w:r>
        <w:rPr>
          <w:rFonts w:hint="eastAsia" w:ascii="仿宋_GB2312" w:hAnsi="仿宋_GB2312" w:eastAsia="仿宋_GB2312" w:cs="仿宋_GB2312"/>
          <w:color w:val="000000"/>
          <w:sz w:val="32"/>
          <w:szCs w:val="32"/>
        </w:rPr>
        <w:t>国家级卫生城市标准一要求</w:t>
      </w:r>
      <w:r>
        <w:rPr>
          <w:rFonts w:hint="eastAsia" w:ascii="仿宋_GB2312" w:hAnsi="仿宋_GB2312" w:eastAsia="仿宋_GB2312" w:cs="仿宋_GB2312"/>
          <w:sz w:val="32"/>
          <w:szCs w:val="32"/>
          <w:lang w:val="zh-CN"/>
        </w:rPr>
        <w:t>，年初区财政下达我局</w:t>
      </w:r>
      <w:r>
        <w:rPr>
          <w:rFonts w:hint="eastAsia" w:ascii="仿宋_GB2312" w:hAnsi="仿宋_GB2312" w:eastAsia="仿宋_GB2312" w:cs="仿宋_GB2312"/>
          <w:sz w:val="32"/>
          <w:szCs w:val="32"/>
        </w:rPr>
        <w:t>城区除“四害”项目</w:t>
      </w:r>
      <w:r>
        <w:rPr>
          <w:rFonts w:hint="eastAsia" w:ascii="仿宋_GB2312" w:hAnsi="仿宋_GB2312" w:eastAsia="仿宋_GB2312" w:cs="仿宋_GB2312"/>
          <w:sz w:val="32"/>
          <w:szCs w:val="32"/>
          <w:lang w:val="zh-CN"/>
        </w:rPr>
        <w:t>事项资金3万元，属于本级财政专项资金。</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资金到位：该项资金于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年1月纳入年初预算</w:t>
      </w:r>
      <w:r>
        <w:rPr>
          <w:rFonts w:hint="eastAsia" w:ascii="仿宋_GB2312" w:hAnsi="仿宋_GB2312" w:eastAsia="仿宋_GB2312" w:cs="仿宋_GB2312"/>
          <w:sz w:val="32"/>
          <w:szCs w:val="32"/>
          <w:lang w:val="zh-CN"/>
        </w:rPr>
        <w:t>。</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（三）专项资金的使用情况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截至当前时点，202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年12月，城区除“四害”项目</w:t>
      </w:r>
      <w:r>
        <w:rPr>
          <w:rFonts w:hint="eastAsia" w:ascii="仿宋_GB2312" w:hAnsi="仿宋_GB2312" w:eastAsia="仿宋_GB2312" w:cs="仿宋_GB2312"/>
          <w:color w:val="000000"/>
          <w:sz w:val="32"/>
          <w:szCs w:val="32"/>
        </w:rPr>
        <w:t>费用全部按照规定支付到帮扶项目或工作队，无拖欠情况。</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04" w:name="_Toc20796"/>
      <w:r>
        <w:rPr>
          <w:rFonts w:hint="eastAsia" w:ascii="仿宋_GB2312" w:hAnsi="仿宋_GB2312" w:eastAsia="仿宋_GB2312" w:cs="仿宋_GB2312"/>
          <w:sz w:val="32"/>
          <w:szCs w:val="32"/>
        </w:rPr>
        <w:t>四、项目绩效情况</w:t>
      </w:r>
      <w:bookmarkEnd w:id="104"/>
      <w:r>
        <w:rPr>
          <w:rFonts w:hint="eastAsia" w:ascii="仿宋_GB2312" w:hAnsi="仿宋_GB2312" w:eastAsia="仿宋_GB2312" w:cs="仿宋_GB2312"/>
          <w:sz w:val="32"/>
          <w:szCs w:val="32"/>
        </w:rPr>
        <w:tab/>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（一）社会效益</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观方面看，城区除“四害”项目是爱国卫生工作的基本要求，也是政府为民办实事的一项民生项目，更是疫情防控的需要。转变群众对爱国卫生工作的错误认识，形成全社会关注氛围，净化城区环境，减少疾病传播。形成城区除“四害”常态化，符合可持续发展的总体要求。</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（二）生态环境效益</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有效改善人居环境，积极有利疾病预防控制，消除城区“四害”危害，对城区外环境的消杀，对预防新冠疫情起到积极的作用，确保群众生命财产安全，营造了优美舒适、和谐宜人的人居环境，改善了城乡居民的居住环境，提高了人居生活水平，群众满意率高，评价好，是一项切实见效的惠民工程。</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（三）经济效益</w:t>
      </w:r>
    </w:p>
    <w:p>
      <w:pPr>
        <w:ind w:firstLine="640" w:firstLineChars="20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通过项目实施，切实转变政府职能，提高爱国卫生工作质量，规范了消杀业务，减少了对除“四害”各部门重复投资的情况，缓解了财政压力。我局在预算执行、预算管理及职责履行等方面执行情况较好，产生了较好的社会效益，确保了项目资金的使用效益，也得到了上级部门的肯定。对项目按照目标设定、资金管理、资金绩效三个方面进行评价，整体支出绩效综合评为达成绩效目标。</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05" w:name="_Toc5625"/>
      <w:r>
        <w:rPr>
          <w:rFonts w:hint="eastAsia" w:ascii="仿宋_GB2312" w:hAnsi="仿宋_GB2312" w:eastAsia="仿宋_GB2312" w:cs="仿宋_GB2312"/>
          <w:sz w:val="32"/>
          <w:szCs w:val="32"/>
          <w:lang w:eastAsia="zh-TW"/>
        </w:rPr>
        <w:t>五、</w:t>
      </w:r>
      <w:r>
        <w:rPr>
          <w:rFonts w:hint="eastAsia" w:ascii="仿宋_GB2312" w:hAnsi="仿宋_GB2312" w:eastAsia="仿宋_GB2312" w:cs="仿宋_GB2312"/>
          <w:sz w:val="32"/>
          <w:szCs w:val="32"/>
        </w:rPr>
        <w:t>问题及建议</w:t>
      </w:r>
      <w:bookmarkEnd w:id="105"/>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（一）存在的问题及改进措施</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城区条件、基础设施建设差等原因，城区消杀密度不够，城郊结合部消杀存在漏项现象；群众的思想观念还没有完全转变，思想认识上还有一定的偏差，破坏部分除“四害”设施，造成消杀不彻底现象时有发生。对此，我局将加强对消杀公司的考核，督促其按照标准进行消杀灭工作；加强爱国卫生知识宣传，转变群众观念，养成健康文明习惯。</w:t>
      </w:r>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（二）有关建议</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加强与财政部门沟通，积极主动衔接资金的调度，确保项目费用及时足额支付到企业，持续推进项目实施，对达到付款条件的及时完成资金支付，提高专项资金使用效率。</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lang w:eastAsia="zh-TW"/>
        </w:rPr>
      </w:pPr>
      <w:bookmarkStart w:id="106" w:name="_Toc7906"/>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TW"/>
        </w:rPr>
        <w:t>、其他需要说明的问题</w:t>
      </w:r>
      <w:bookmarkEnd w:id="106"/>
    </w:p>
    <w:p>
      <w:pPr>
        <w:spacing w:line="576"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ageBreakBefore w:val="0"/>
        <w:kinsoku/>
        <w:wordWrap/>
        <w:overflowPunct/>
        <w:topLinePunct w:val="0"/>
        <w:autoSpaceDE/>
        <w:autoSpaceDN/>
        <w:bidi w:val="0"/>
        <w:spacing w:line="576" w:lineRule="exact"/>
        <w:jc w:val="both"/>
        <w:textAlignment w:val="auto"/>
        <w:outlineLvl w:val="9"/>
        <w:rPr>
          <w:rFonts w:hint="eastAsia" w:ascii="黑体" w:hAnsi="黑体" w:eastAsia="黑体"/>
          <w:color w:val="auto"/>
          <w:sz w:val="44"/>
          <w:szCs w:val="44"/>
          <w:highlight w:val="none"/>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outlineLvl w:val="9"/>
        <w:rPr>
          <w:rFonts w:hint="eastAsia"/>
        </w:rPr>
      </w:pPr>
    </w:p>
    <w:p>
      <w:pPr>
        <w:pStyle w:val="16"/>
        <w:spacing w:line="576" w:lineRule="exact"/>
        <w:ind w:firstLine="1540" w:firstLineChars="350"/>
        <w:jc w:val="left"/>
        <w:textAlignment w:val="baseline"/>
      </w:pPr>
      <w:bookmarkStart w:id="107" w:name="_Toc11708"/>
      <w:r>
        <w:rPr>
          <w:rFonts w:hint="eastAsia"/>
        </w:rPr>
        <w:t>广元市朝天区综合行政执法局</w:t>
      </w:r>
      <w:bookmarkEnd w:id="107"/>
    </w:p>
    <w:p>
      <w:pPr>
        <w:pStyle w:val="16"/>
        <w:spacing w:line="576" w:lineRule="exact"/>
        <w:textAlignment w:val="baseline"/>
      </w:pPr>
      <w:bookmarkStart w:id="108" w:name="_Toc14244"/>
      <w:r>
        <w:rPr>
          <w:rFonts w:hint="eastAsia"/>
        </w:rPr>
        <w:t>关于乡镇垃圾转运特许经营项目绩效自评报告</w:t>
      </w:r>
      <w:bookmarkEnd w:id="108"/>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outlineLvl w:val="9"/>
        <w:rPr>
          <w:rFonts w:hint="eastAsia" w:ascii="仿宋_GB2312" w:hAnsi="仿宋_GB2312" w:eastAsia="仿宋_GB2312" w:cs="仿宋_GB2312"/>
          <w:sz w:val="32"/>
          <w:szCs w:val="32"/>
          <w:lang w:eastAsia="zh-TW"/>
        </w:rPr>
      </w:pP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09" w:name="_Toc7414"/>
      <w:r>
        <w:rPr>
          <w:rFonts w:hint="eastAsia" w:ascii="仿宋_GB2312" w:hAnsi="仿宋_GB2312" w:eastAsia="仿宋_GB2312" w:cs="仿宋_GB2312"/>
          <w:sz w:val="32"/>
          <w:szCs w:val="32"/>
          <w:lang w:eastAsia="zh-TW"/>
        </w:rPr>
        <w:t>一、</w:t>
      </w:r>
      <w:r>
        <w:rPr>
          <w:rFonts w:hint="eastAsia" w:ascii="仿宋_GB2312" w:hAnsi="仿宋_GB2312" w:eastAsia="仿宋_GB2312" w:cs="仿宋_GB2312"/>
          <w:sz w:val="32"/>
          <w:szCs w:val="32"/>
        </w:rPr>
        <w:t>基本情况</w:t>
      </w:r>
      <w:bookmarkEnd w:id="109"/>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项目名称：乡镇垃圾转运特许经营承包项目</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背景：为改革我区环卫工作管理机制，建立农村垃圾收转运体系的目标，朝天区人民政府决定将乡镇垃圾转运项目作为特许经营项目推出，通过拓展业务方式与城区环卫保洁公司签订《朝天区乡镇垃圾转运特许经营项目补充协议书》，负责乡镇垃圾运输事宜。由于全省最低工资标准、养老保险基数等政策性调整，2020年，经七届区委常委第181次会议和区政府第85次常务会议精神，同意对原协议进行调整费用，并签订了《补充协议》，现由广东明舒世环境科技集团有限公司（原协议乙方）负责运营该项目。</w:t>
      </w:r>
    </w:p>
    <w:p>
      <w:pPr>
        <w:spacing w:line="576" w:lineRule="exact"/>
        <w:ind w:firstLine="640" w:firstLineChars="200"/>
        <w:textAlignment w:val="baseline"/>
        <w:rPr>
          <w:rFonts w:hint="eastAsia" w:ascii="仿宋_GB2312" w:hAnsi="仿宋_GB2312" w:eastAsia="仿宋_GB2312" w:cs="仿宋_GB2312"/>
          <w:sz w:val="32"/>
          <w:szCs w:val="32"/>
          <w:highlight w:val="cyan"/>
        </w:rPr>
      </w:pPr>
      <w:r>
        <w:rPr>
          <w:rFonts w:hint="eastAsia" w:ascii="仿宋_GB2312" w:hAnsi="仿宋_GB2312" w:eastAsia="仿宋_GB2312" w:cs="仿宋_GB2312"/>
          <w:sz w:val="32"/>
          <w:szCs w:val="32"/>
        </w:rPr>
        <w:t>主要内容：</w:t>
      </w:r>
      <w:r>
        <w:rPr>
          <w:rFonts w:hint="eastAsia" w:ascii="仿宋_GB2312" w:hAnsi="仿宋_GB2312" w:eastAsia="仿宋_GB2312" w:cs="仿宋_GB2312"/>
          <w:color w:val="000000"/>
          <w:sz w:val="32"/>
          <w:szCs w:val="32"/>
        </w:rPr>
        <w:t>乡镇垃圾中转站垃圾转运</w:t>
      </w:r>
      <w:r>
        <w:rPr>
          <w:rFonts w:hint="eastAsia" w:ascii="仿宋_GB2312" w:hAnsi="仿宋_GB2312" w:eastAsia="仿宋_GB2312" w:cs="仿宋_GB2312"/>
          <w:sz w:val="32"/>
          <w:szCs w:val="32"/>
        </w:rPr>
        <w:t>。</w:t>
      </w:r>
    </w:p>
    <w:p>
      <w:pPr>
        <w:spacing w:line="576" w:lineRule="exact"/>
        <w:ind w:firstLine="640" w:firstLineChars="20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投资规模：区财政本级专项预算资金199.32万元。资金性质为区本级专项预算</w:t>
      </w:r>
    </w:p>
    <w:p>
      <w:pPr>
        <w:snapToGrid w:val="0"/>
        <w:spacing w:line="600" w:lineRule="exact"/>
        <w:ind w:firstLine="72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运行周期：202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w:t>
      </w:r>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TW"/>
        </w:rPr>
        <w:t>（二）</w:t>
      </w:r>
      <w:r>
        <w:rPr>
          <w:rFonts w:hint="eastAsia" w:ascii="楷体_GB2312" w:hAnsi="楷体_GB2312" w:eastAsia="楷体_GB2312" w:cs="楷体_GB2312"/>
          <w:sz w:val="32"/>
          <w:szCs w:val="32"/>
        </w:rPr>
        <w:t>项目绩效目标</w:t>
      </w:r>
    </w:p>
    <w:p>
      <w:pPr>
        <w:snapToGrid w:val="0"/>
        <w:spacing w:line="576" w:lineRule="exact"/>
        <w:ind w:firstLine="7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计划总投资：1</w:t>
      </w:r>
      <w:r>
        <w:rPr>
          <w:rFonts w:hint="eastAsia" w:ascii="仿宋_GB2312" w:hAnsi="仿宋_GB2312" w:eastAsia="仿宋_GB2312" w:cs="仿宋_GB2312"/>
          <w:sz w:val="32"/>
          <w:szCs w:val="32"/>
        </w:rPr>
        <w:t>99.32万元。</w:t>
      </w:r>
    </w:p>
    <w:p>
      <w:pPr>
        <w:snapToGrid w:val="0"/>
        <w:spacing w:line="576" w:lineRule="exact"/>
        <w:ind w:firstLine="7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年1-</w:t>
      </w:r>
      <w:r>
        <w:rPr>
          <w:rFonts w:hint="eastAsia" w:ascii="仿宋_GB2312" w:hAnsi="仿宋_GB2312" w:eastAsia="仿宋_GB2312" w:cs="仿宋_GB2312"/>
          <w:sz w:val="32"/>
          <w:szCs w:val="32"/>
        </w:rPr>
        <w:t>12月</w:t>
      </w:r>
      <w:r>
        <w:rPr>
          <w:rFonts w:hint="eastAsia" w:ascii="仿宋_GB2312" w:hAnsi="仿宋_GB2312" w:eastAsia="仿宋_GB2312" w:cs="仿宋_GB2312"/>
          <w:sz w:val="32"/>
          <w:szCs w:val="32"/>
          <w:lang w:val="zh-CN"/>
        </w:rPr>
        <w:t>计划投资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 xml:space="preserve"> 1</w:t>
      </w:r>
      <w:r>
        <w:rPr>
          <w:rFonts w:hint="eastAsia" w:ascii="仿宋_GB2312" w:hAnsi="仿宋_GB2312" w:eastAsia="仿宋_GB2312" w:cs="仿宋_GB2312"/>
          <w:sz w:val="32"/>
          <w:szCs w:val="32"/>
        </w:rPr>
        <w:t>99.32万元，一是用于乡镇垃圾中转站设备费用；二是乡镇生活垃圾转运人工及机械设备运行费用。资金支付按照合同约定的时间进行考核后支付。</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10" w:name="_Toc12431"/>
      <w:r>
        <w:rPr>
          <w:rFonts w:hint="eastAsia" w:ascii="仿宋_GB2312" w:hAnsi="仿宋_GB2312" w:eastAsia="仿宋_GB2312" w:cs="仿宋_GB2312"/>
          <w:sz w:val="32"/>
          <w:szCs w:val="32"/>
        </w:rPr>
        <w:t>二、项目实施及管理情况</w:t>
      </w:r>
      <w:bookmarkEnd w:id="110"/>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（一）制度执行情况</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1.项目组织架构及实施流程。</w:t>
      </w:r>
    </w:p>
    <w:p>
      <w:pPr>
        <w:ind w:firstLine="640" w:firstLineChars="20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我局成立了以</w:t>
      </w:r>
      <w:r>
        <w:rPr>
          <w:rFonts w:hint="eastAsia" w:ascii="仿宋_GB2312" w:hAnsi="仿宋_GB2312" w:eastAsia="仿宋_GB2312" w:cs="仿宋_GB2312"/>
          <w:sz w:val="32"/>
          <w:szCs w:val="32"/>
          <w:lang w:val="en-US" w:eastAsia="zh-CN"/>
        </w:rPr>
        <w:t>张明光</w:t>
      </w:r>
      <w:r>
        <w:rPr>
          <w:rFonts w:hint="eastAsia" w:ascii="仿宋_GB2312" w:hAnsi="仿宋_GB2312" w:eastAsia="仿宋_GB2312" w:cs="仿宋_GB2312"/>
          <w:sz w:val="32"/>
          <w:szCs w:val="32"/>
        </w:rPr>
        <w:t>同志为组长环卫所、计财装备室等部门为成员的项目考核领导小组。区环卫所全面负责该项工作的统筹协调和督促，责任落实。</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2.项目管理情况。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按照国家、省、市、区关于特许经营权转让方式向社会购买服务的相关规定执行，按照合同约定的考核办法进行逐月考核。项目建设资金实行财政专项资金管理，专户（账）管理、专款专用、专账核算。区财政局等部门要随时检查资金使用情况，建设项目资金及时拨付给相关实施单位，确保专款专用。凡转移、挪用、拖欠、挤占、贪污和弄虚作假的，必须如数追回，视情节追究有关单位和个人的责任，并削减次年项目计划。</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3.项目监管情况。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根据项目服务进度，及时拨付已到位的资金，并对使用情况跟踪监督，确保资金按要求尽快用到项目建设上，尽早发挥效益；二是将监管工作关口前移，从项目实施开始就深入项目管理内部，深入项目建设现场进行监管，及时预警，把问题处理在萌芽状态。</w:t>
      </w:r>
    </w:p>
    <w:p>
      <w:pPr>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w:t>
      </w:r>
      <w:r>
        <w:rPr>
          <w:rFonts w:hint="eastAsia" w:ascii="仿宋_GB2312" w:hAnsi="仿宋_GB2312" w:eastAsia="仿宋_GB2312" w:cs="仿宋_GB2312"/>
          <w:color w:val="000000"/>
          <w:sz w:val="32"/>
          <w:szCs w:val="32"/>
        </w:rPr>
        <w:t>乡镇垃圾转运特许经营运行项目</w:t>
      </w:r>
      <w:r>
        <w:rPr>
          <w:rFonts w:hint="eastAsia" w:ascii="仿宋_GB2312" w:hAnsi="仿宋_GB2312" w:eastAsia="仿宋_GB2312" w:cs="仿宋_GB2312"/>
          <w:sz w:val="32"/>
          <w:szCs w:val="32"/>
        </w:rPr>
        <w:t>按照特许经营权转让方式运行。项目建设初期按照朝天区人民政府决定将乡镇垃圾转运项目作为特许经营项目推出，通过拓展业务方式推出运行。并受区人民政府委托由我局负责行使监管、考核、劳务费用支付等职能职责。</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rPr>
        <w:t>（二）项目实施情况</w:t>
      </w:r>
    </w:p>
    <w:p>
      <w:pPr>
        <w:spacing w:line="576" w:lineRule="exact"/>
        <w:ind w:firstLine="640" w:firstLineChars="200"/>
        <w:textAlignment w:val="baseline"/>
        <w:rPr>
          <w:rFonts w:hint="eastAsia" w:ascii="仿宋_GB2312" w:hAnsi="仿宋_GB2312" w:eastAsia="仿宋_GB2312" w:cs="仿宋_GB2312"/>
          <w:sz w:val="32"/>
          <w:szCs w:val="32"/>
          <w:highlight w:val="red"/>
          <w:lang w:val="zh-CN"/>
        </w:rPr>
      </w:pPr>
      <w:r>
        <w:rPr>
          <w:rFonts w:hint="eastAsia" w:ascii="仿宋_GB2312" w:hAnsi="仿宋_GB2312" w:eastAsia="仿宋_GB2312" w:cs="仿宋_GB2312"/>
          <w:sz w:val="32"/>
          <w:szCs w:val="32"/>
          <w:lang w:val="zh-CN"/>
        </w:rPr>
        <w:t>本项目由业务部门按照七届区委常委第181次会议和区政府第85次常务会议精神及签订的</w:t>
      </w:r>
      <w:r>
        <w:rPr>
          <w:rFonts w:hint="eastAsia" w:ascii="仿宋_GB2312" w:hAnsi="仿宋_GB2312" w:eastAsia="仿宋_GB2312" w:cs="仿宋_GB2312"/>
          <w:sz w:val="32"/>
          <w:szCs w:val="32"/>
        </w:rPr>
        <w:t>《朝天区乡镇垃圾转运特许经营项目补充协议书》</w:t>
      </w:r>
      <w:r>
        <w:rPr>
          <w:rFonts w:hint="eastAsia" w:ascii="仿宋_GB2312" w:hAnsi="仿宋_GB2312" w:eastAsia="仿宋_GB2312" w:cs="仿宋_GB2312"/>
          <w:sz w:val="32"/>
          <w:szCs w:val="32"/>
          <w:lang w:val="zh-CN"/>
        </w:rPr>
        <w:t>精神，积极督查组织实施，按照“三重一大”的制度执行，经局党组召开专题会议研究，决定我局成立了以分管副局长为组长，环卫所及计财装备等部门为成员的考核专班，环卫所负责项目实施、考核，财务部门负责资金计划拨付和财务监管，涉及重大事项均通过局党组集体研究决定。</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1、按照合同约定中标企业（广东明舒世环境科技集团有限公司）每年服务费用为199.32万元，我局根据每月的考核情况将服务费用支付到合同乙方。</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2.该项目申报内容与实际规划建设项目相符，目标合理可行。</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11" w:name="_Toc1291"/>
      <w:r>
        <w:rPr>
          <w:rFonts w:hint="eastAsia" w:ascii="仿宋_GB2312" w:hAnsi="仿宋_GB2312" w:eastAsia="仿宋_GB2312" w:cs="仿宋_GB2312"/>
          <w:sz w:val="32"/>
          <w:szCs w:val="32"/>
        </w:rPr>
        <w:t>三、专项资金使用情况</w:t>
      </w:r>
      <w:bookmarkEnd w:id="111"/>
    </w:p>
    <w:p>
      <w:pPr>
        <w:spacing w:line="576" w:lineRule="exact"/>
        <w:ind w:firstLine="640" w:firstLineChars="200"/>
        <w:textAlignment w:val="baseline"/>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eastAsia="zh-TW"/>
        </w:rPr>
        <w:t>（一）</w:t>
      </w:r>
      <w:r>
        <w:rPr>
          <w:rFonts w:hint="eastAsia" w:ascii="楷体_GB2312" w:hAnsi="楷体_GB2312" w:eastAsia="楷体_GB2312" w:cs="楷体_GB2312"/>
          <w:sz w:val="32"/>
          <w:szCs w:val="32"/>
          <w:lang w:val="zh-CN"/>
        </w:rPr>
        <w:t>项目财务管理情况</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局财务管理制度建立健全，机构设置明确合理，会计核算及账务处理及时准确。项目资金按照国家财经法规和财务管理制度及有关专项资金管理办法规定专款专用，资金拨付具有完整的审批程序和手续，资金使用符合项目预算批复，不存在截留、挤占、挪用、虚列支出等情况。</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TW"/>
        </w:rPr>
        <w:t>专项资金的到位情况</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资金计划：根据</w:t>
      </w:r>
      <w:r>
        <w:rPr>
          <w:rFonts w:hint="eastAsia" w:ascii="仿宋_GB2312" w:hAnsi="仿宋_GB2312" w:eastAsia="仿宋_GB2312" w:cs="仿宋_GB2312"/>
          <w:sz w:val="32"/>
          <w:szCs w:val="32"/>
        </w:rPr>
        <w:t>《朝天区乡镇垃圾转运特许经营项目补充协议书》</w:t>
      </w:r>
      <w:r>
        <w:rPr>
          <w:rFonts w:hint="eastAsia" w:ascii="仿宋_GB2312" w:hAnsi="仿宋_GB2312" w:eastAsia="仿宋_GB2312" w:cs="仿宋_GB2312"/>
          <w:sz w:val="32"/>
          <w:szCs w:val="32"/>
          <w:lang w:val="zh-CN"/>
        </w:rPr>
        <w:t>合同规定，年初区财政下达我局</w:t>
      </w:r>
      <w:r>
        <w:rPr>
          <w:rFonts w:hint="eastAsia" w:ascii="仿宋_GB2312" w:hAnsi="仿宋_GB2312" w:eastAsia="仿宋_GB2312" w:cs="仿宋_GB2312"/>
          <w:sz w:val="32"/>
          <w:szCs w:val="32"/>
        </w:rPr>
        <w:t>朝天区乡镇垃圾转运特许经营项目</w:t>
      </w:r>
      <w:r>
        <w:rPr>
          <w:rFonts w:hint="eastAsia" w:ascii="仿宋_GB2312" w:hAnsi="仿宋_GB2312" w:eastAsia="仿宋_GB2312" w:cs="仿宋_GB2312"/>
          <w:color w:val="000000"/>
          <w:sz w:val="32"/>
          <w:szCs w:val="32"/>
        </w:rPr>
        <w:t>运行</w:t>
      </w:r>
      <w:r>
        <w:rPr>
          <w:rFonts w:hint="eastAsia" w:ascii="仿宋_GB2312" w:hAnsi="仿宋_GB2312" w:eastAsia="仿宋_GB2312" w:cs="仿宋_GB2312"/>
          <w:sz w:val="32"/>
          <w:szCs w:val="32"/>
          <w:lang w:val="zh-CN"/>
        </w:rPr>
        <w:t>事项资金199.32万元，属于本级财政专项资金。</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资金到位：该项资金于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年1月纳入年初预算</w:t>
      </w:r>
      <w:r>
        <w:rPr>
          <w:rFonts w:hint="eastAsia" w:ascii="仿宋_GB2312" w:hAnsi="仿宋_GB2312" w:eastAsia="仿宋_GB2312" w:cs="仿宋_GB2312"/>
          <w:sz w:val="32"/>
          <w:szCs w:val="32"/>
          <w:lang w:val="zh-CN"/>
        </w:rPr>
        <w:t>。</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TW"/>
        </w:rPr>
        <w:t>）</w:t>
      </w:r>
      <w:r>
        <w:rPr>
          <w:rFonts w:hint="eastAsia" w:ascii="楷体_GB2312" w:hAnsi="楷体_GB2312" w:eastAsia="楷体_GB2312" w:cs="楷体_GB2312"/>
          <w:sz w:val="32"/>
          <w:szCs w:val="32"/>
        </w:rPr>
        <w:t>专项</w:t>
      </w:r>
      <w:r>
        <w:rPr>
          <w:rFonts w:hint="eastAsia" w:ascii="楷体_GB2312" w:hAnsi="楷体_GB2312" w:eastAsia="楷体_GB2312" w:cs="楷体_GB2312"/>
          <w:sz w:val="32"/>
          <w:szCs w:val="32"/>
          <w:lang w:eastAsia="zh-TW"/>
        </w:rPr>
        <w:t>资金</w:t>
      </w:r>
      <w:r>
        <w:rPr>
          <w:rFonts w:hint="eastAsia" w:ascii="楷体_GB2312" w:hAnsi="楷体_GB2312" w:eastAsia="楷体_GB2312" w:cs="楷体_GB2312"/>
          <w:sz w:val="32"/>
          <w:szCs w:val="32"/>
        </w:rPr>
        <w:t>的</w:t>
      </w:r>
      <w:r>
        <w:rPr>
          <w:rFonts w:hint="eastAsia" w:ascii="楷体_GB2312" w:hAnsi="楷体_GB2312" w:eastAsia="楷体_GB2312" w:cs="楷体_GB2312"/>
          <w:sz w:val="32"/>
          <w:szCs w:val="32"/>
          <w:lang w:eastAsia="zh-TW"/>
        </w:rPr>
        <w:t>使用情况</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截至当前时点，202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年12月乡镇垃圾转运特许经营项目</w:t>
      </w:r>
      <w:r>
        <w:rPr>
          <w:rFonts w:hint="eastAsia" w:ascii="仿宋_GB2312" w:hAnsi="仿宋_GB2312" w:eastAsia="仿宋_GB2312" w:cs="仿宋_GB2312"/>
          <w:color w:val="000000"/>
          <w:sz w:val="32"/>
          <w:szCs w:val="32"/>
        </w:rPr>
        <w:t>运行服务费用全部按照合同约定支付到承包企业，无拖欠情况。</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12" w:name="_Toc3057"/>
      <w:r>
        <w:rPr>
          <w:rFonts w:hint="eastAsia" w:ascii="仿宋_GB2312" w:hAnsi="仿宋_GB2312" w:eastAsia="仿宋_GB2312" w:cs="仿宋_GB2312"/>
          <w:sz w:val="32"/>
          <w:szCs w:val="32"/>
        </w:rPr>
        <w:t>四、项目绩效情况</w:t>
      </w:r>
      <w:bookmarkEnd w:id="112"/>
      <w:r>
        <w:rPr>
          <w:rFonts w:hint="eastAsia" w:ascii="仿宋_GB2312" w:hAnsi="仿宋_GB2312" w:eastAsia="仿宋_GB2312" w:cs="仿宋_GB2312"/>
          <w:sz w:val="32"/>
          <w:szCs w:val="32"/>
        </w:rPr>
        <w:tab/>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TW"/>
        </w:rPr>
        <w:t>（一）社会效益</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观方面看，乡镇垃圾转运特许经营项目是政府为民办实事的一项民生工程，也是转变政府职能，改革创新之举。是逐步改善人们对环卫保洁工作重要性认识，特别是进一步认识到环保的重要性，改变垃圾处置只简易掩埋的错误认识，从思想上改变对垃圾处理工作的局限性认识。在客观方面看，按照垃圾处理的要求，对垃圾切实有效的处理必须有必要的专用设施设备，通过设施设备的投入，符合可持续发展的总体要求。</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（二）生态环境效益</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改善了城区环境面貌，垃圾处置更加合理规范，营造了优美舒适、和谐宜人的人居环境，确保了长江上游水环境安全，改善了城乡居民的居住环境，提高了人居生活水平，群众满意率高，评价好，是一项切实见效的惠民工程，也促进了富裕文明和谐新朝天建设和社会全面进步。</w:t>
      </w:r>
    </w:p>
    <w:p>
      <w:pPr>
        <w:spacing w:line="576" w:lineRule="exact"/>
        <w:ind w:firstLine="640" w:firstLineChars="200"/>
        <w:textAlignment w:val="baseline"/>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（三）经济效益</w:t>
      </w:r>
    </w:p>
    <w:p>
      <w:pPr>
        <w:ind w:firstLine="640" w:firstLineChars="200"/>
        <w:textAlignment w:val="baseline"/>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rPr>
        <w:t>通过项目实施，切实转变政府职能，提高乡镇垃圾处置质量，减少了对环卫设备的大额度投入，缓解了财政压力。我局在预算执行、预算管理及职责履行等方面执行情况较好，产生了较好的社会效益，确保了项目资金的使用效益，也得到了上级部门的肯定。对项目按照目标设定、资金管理、资金绩效三个方面进行评价，整体支出绩效综合评为达成绩效目标。</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rPr>
      </w:pPr>
      <w:bookmarkStart w:id="113" w:name="_Toc5022"/>
      <w:r>
        <w:rPr>
          <w:rFonts w:hint="eastAsia" w:ascii="仿宋_GB2312" w:hAnsi="仿宋_GB2312" w:eastAsia="仿宋_GB2312" w:cs="仿宋_GB2312"/>
          <w:sz w:val="32"/>
          <w:szCs w:val="32"/>
          <w:lang w:eastAsia="zh-TW"/>
        </w:rPr>
        <w:t>五、</w:t>
      </w:r>
      <w:r>
        <w:rPr>
          <w:rFonts w:hint="eastAsia" w:ascii="仿宋_GB2312" w:hAnsi="仿宋_GB2312" w:eastAsia="仿宋_GB2312" w:cs="仿宋_GB2312"/>
          <w:sz w:val="32"/>
          <w:szCs w:val="32"/>
        </w:rPr>
        <w:t>问题及建议</w:t>
      </w:r>
      <w:bookmarkEnd w:id="113"/>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（一）存在的问题及改进措施</w:t>
      </w:r>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我区地理条件较差、垃圾中转站设置较边远等原因垃圾清运还有不到位、不及时、不精细化的现象，我局将加大考核力度，督查运营管理公司加强日常工作，督查乡镇对存在的薄弱环节，增加人力、财力投入，确保给群众提供干净、整洁、和谐的生产生活环境。</w:t>
      </w:r>
    </w:p>
    <w:p>
      <w:pPr>
        <w:spacing w:line="576"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（二）有关建议</w:t>
      </w:r>
    </w:p>
    <w:p>
      <w:pPr>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加强与财政部门沟通，积极主动衔接资金的调度，确保项目费用及时按月足额支付到承包企业，持续推进项目实施，对达到付款条件的及时完成资金支付，提高专项资金使用效率。</w:t>
      </w:r>
    </w:p>
    <w:p>
      <w:pPr>
        <w:pStyle w:val="3"/>
        <w:keepNext/>
        <w:keepLines/>
        <w:pageBreakBefore w:val="0"/>
        <w:widowControl w:val="0"/>
        <w:kinsoku/>
        <w:wordWrap/>
        <w:overflowPunct/>
        <w:topLinePunct w:val="0"/>
        <w:autoSpaceDE/>
        <w:autoSpaceDN/>
        <w:bidi w:val="0"/>
        <w:adjustRightInd/>
        <w:snapToGrid/>
        <w:spacing w:before="0" w:after="0" w:line="576" w:lineRule="exact"/>
        <w:ind w:firstLine="632"/>
        <w:textAlignment w:val="baseline"/>
        <w:rPr>
          <w:rFonts w:hint="eastAsia" w:ascii="仿宋_GB2312" w:hAnsi="仿宋_GB2312" w:eastAsia="仿宋_GB2312" w:cs="仿宋_GB2312"/>
          <w:sz w:val="32"/>
          <w:szCs w:val="32"/>
          <w:lang w:eastAsia="zh-TW"/>
        </w:rPr>
      </w:pPr>
      <w:bookmarkStart w:id="114" w:name="_Toc27438"/>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TW"/>
        </w:rPr>
        <w:t>、其他需要说明的问题</w:t>
      </w:r>
      <w:bookmarkEnd w:id="114"/>
    </w:p>
    <w:p>
      <w:pPr>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bookmarkEnd w:id="87"/>
    <w:bookmarkEnd w:id="98"/>
    <w:p>
      <w:pPr>
        <w:pageBreakBefore w:val="0"/>
        <w:kinsoku/>
        <w:wordWrap/>
        <w:overflowPunct/>
        <w:topLinePunct w:val="0"/>
        <w:autoSpaceDE/>
        <w:autoSpaceDN/>
        <w:bidi w:val="0"/>
        <w:spacing w:line="576" w:lineRule="exact"/>
        <w:jc w:val="both"/>
        <w:textAlignment w:val="auto"/>
        <w:outlineLvl w:val="9"/>
        <w:rPr>
          <w:rFonts w:hint="eastAsia" w:ascii="黑体" w:hAnsi="黑体" w:eastAsia="黑体"/>
          <w:color w:val="auto"/>
          <w:sz w:val="44"/>
          <w:szCs w:val="44"/>
          <w:highlight w:val="none"/>
        </w:rPr>
      </w:pPr>
      <w:bookmarkStart w:id="115" w:name="_Toc15396619"/>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autoSpaceDE/>
        <w:autoSpaceDN/>
        <w:bidi w:val="0"/>
        <w:spacing w:line="576" w:lineRule="exact"/>
        <w:jc w:val="center"/>
        <w:textAlignment w:val="auto"/>
        <w:outlineLvl w:val="9"/>
        <w:rPr>
          <w:rFonts w:hint="eastAsia" w:ascii="黑体" w:hAnsi="黑体" w:eastAsia="黑体"/>
          <w:color w:val="auto"/>
          <w:sz w:val="44"/>
          <w:szCs w:val="44"/>
          <w:highlight w:val="none"/>
        </w:rPr>
      </w:pPr>
    </w:p>
    <w:p>
      <w:pPr>
        <w:pageBreakBefore w:val="0"/>
        <w:kinsoku/>
        <w:wordWrap/>
        <w:overflowPunct/>
        <w:topLinePunct w:val="0"/>
        <w:autoSpaceDE/>
        <w:autoSpaceDN/>
        <w:bidi w:val="0"/>
        <w:spacing w:line="576" w:lineRule="exact"/>
        <w:jc w:val="center"/>
        <w:textAlignment w:val="auto"/>
        <w:outlineLvl w:val="0"/>
        <w:rPr>
          <w:rFonts w:hint="eastAsia" w:ascii="仿宋" w:hAnsi="仿宋" w:eastAsia="仿宋"/>
          <w:b w:val="0"/>
          <w:color w:val="auto"/>
          <w:highlight w:val="none"/>
        </w:rPr>
      </w:pPr>
      <w:bookmarkStart w:id="116" w:name="_Toc3492"/>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116"/>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17" w:name="_Toc3070"/>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115"/>
      <w:bookmarkEnd w:id="117"/>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18" w:name="_Toc15396620"/>
      <w:bookmarkStart w:id="119" w:name="_Toc31788"/>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118"/>
      <w:bookmarkEnd w:id="119"/>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20" w:name="_Toc15396621"/>
      <w:bookmarkStart w:id="121" w:name="_Toc21667"/>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120"/>
      <w:bookmarkEnd w:id="121"/>
    </w:p>
    <w:p>
      <w:pPr>
        <w:pStyle w:val="5"/>
        <w:pageBreakBefore w:val="0"/>
        <w:kinsoku/>
        <w:wordWrap/>
        <w:overflowPunct/>
        <w:topLinePunct w:val="0"/>
        <w:autoSpaceDE/>
        <w:autoSpaceDN/>
        <w:bidi w:val="0"/>
        <w:spacing w:line="576" w:lineRule="exact"/>
        <w:textAlignment w:val="auto"/>
        <w:rPr>
          <w:rFonts w:ascii="仿宋" w:hAnsi="仿宋" w:eastAsia="仿宋"/>
          <w:b w:val="0"/>
          <w:color w:val="auto"/>
          <w:highlight w:val="none"/>
        </w:rPr>
      </w:pPr>
      <w:bookmarkStart w:id="122" w:name="_Toc15396622"/>
      <w:bookmarkStart w:id="123" w:name="_Toc20528"/>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122"/>
      <w:bookmarkEnd w:id="123"/>
    </w:p>
    <w:p>
      <w:pPr>
        <w:pStyle w:val="5"/>
        <w:pageBreakBefore w:val="0"/>
        <w:kinsoku/>
        <w:wordWrap/>
        <w:overflowPunct/>
        <w:topLinePunct w:val="0"/>
        <w:autoSpaceDE/>
        <w:autoSpaceDN/>
        <w:bidi w:val="0"/>
        <w:spacing w:line="576" w:lineRule="exact"/>
        <w:textAlignment w:val="auto"/>
        <w:rPr>
          <w:rStyle w:val="32"/>
          <w:rFonts w:ascii="仿宋" w:hAnsi="仿宋" w:eastAsia="仿宋"/>
          <w:b w:val="0"/>
          <w:bCs w:val="0"/>
          <w:color w:val="auto"/>
          <w:highlight w:val="none"/>
        </w:rPr>
      </w:pPr>
      <w:bookmarkStart w:id="124" w:name="_Toc15396623"/>
      <w:bookmarkStart w:id="125" w:name="_Toc3810"/>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124"/>
      <w:bookmarkEnd w:id="125"/>
      <w:bookmarkStart w:id="126" w:name="_Toc15396624"/>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27" w:name="_Toc15920"/>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126"/>
      <w:bookmarkEnd w:id="127"/>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28" w:name="_Toc15396625"/>
      <w:bookmarkStart w:id="129" w:name="_Toc12233"/>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128"/>
      <w:bookmarkEnd w:id="129"/>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30" w:name="_Toc15396626"/>
      <w:bookmarkStart w:id="131" w:name="_Toc22375"/>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130"/>
      <w:bookmarkEnd w:id="131"/>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32" w:name="_Toc15396627"/>
      <w:bookmarkStart w:id="133" w:name="_Toc14973"/>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132"/>
      <w:bookmarkEnd w:id="133"/>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34" w:name="_Toc15396628"/>
      <w:bookmarkStart w:id="135" w:name="_Toc21974"/>
      <w:r>
        <w:rPr>
          <w:rStyle w:val="32"/>
          <w:rFonts w:hint="eastAsia" w:ascii="仿宋" w:hAnsi="仿宋" w:eastAsia="仿宋"/>
          <w:b w:val="0"/>
          <w:bCs w:val="0"/>
          <w:color w:val="auto"/>
          <w:highlight w:val="none"/>
        </w:rPr>
        <w:t>十、</w:t>
      </w:r>
      <w:bookmarkEnd w:id="134"/>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bookmarkEnd w:id="135"/>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36" w:name="_Toc15396629"/>
      <w:bookmarkStart w:id="137" w:name="_Toc32427"/>
      <w:r>
        <w:rPr>
          <w:rStyle w:val="32"/>
          <w:rFonts w:hint="eastAsia" w:ascii="仿宋" w:hAnsi="仿宋" w:eastAsia="仿宋"/>
          <w:b w:val="0"/>
          <w:bCs w:val="0"/>
          <w:color w:val="auto"/>
          <w:highlight w:val="none"/>
        </w:rPr>
        <w:t>十一、</w:t>
      </w:r>
      <w:bookmarkEnd w:id="136"/>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bookmarkEnd w:id="137"/>
    </w:p>
    <w:p>
      <w:pPr>
        <w:pStyle w:val="5"/>
        <w:pageBreakBefore w:val="0"/>
        <w:kinsoku/>
        <w:wordWrap/>
        <w:overflowPunct/>
        <w:topLinePunct w:val="0"/>
        <w:autoSpaceDE/>
        <w:autoSpaceDN/>
        <w:bidi w:val="0"/>
        <w:spacing w:line="576" w:lineRule="exact"/>
        <w:textAlignment w:val="auto"/>
        <w:rPr>
          <w:rFonts w:ascii="仿宋" w:hAnsi="仿宋" w:eastAsia="仿宋"/>
          <w:color w:val="auto"/>
          <w:highlight w:val="none"/>
        </w:rPr>
      </w:pPr>
      <w:bookmarkStart w:id="138" w:name="_Toc15396630"/>
      <w:bookmarkStart w:id="139" w:name="_Toc31099"/>
      <w:r>
        <w:rPr>
          <w:rStyle w:val="32"/>
          <w:rFonts w:hint="eastAsia" w:ascii="仿宋" w:hAnsi="仿宋" w:eastAsia="仿宋"/>
          <w:b w:val="0"/>
          <w:bCs w:val="0"/>
          <w:color w:val="auto"/>
          <w:highlight w:val="none"/>
        </w:rPr>
        <w:t>十二、</w:t>
      </w:r>
      <w:bookmarkEnd w:id="138"/>
      <w:r>
        <w:rPr>
          <w:rStyle w:val="32"/>
          <w:rFonts w:hint="eastAsia" w:ascii="仿宋" w:hAnsi="仿宋" w:eastAsia="仿宋"/>
          <w:b w:val="0"/>
          <w:bCs w:val="0"/>
          <w:color w:val="auto"/>
          <w:highlight w:val="none"/>
          <w:lang w:eastAsia="zh-CN"/>
        </w:rPr>
        <w:t>国有资本经营预算财政拨款支出决算表</w:t>
      </w:r>
      <w:bookmarkEnd w:id="139"/>
    </w:p>
    <w:p>
      <w:pPr>
        <w:pStyle w:val="5"/>
        <w:pageBreakBefore w:val="0"/>
        <w:kinsoku/>
        <w:wordWrap/>
        <w:overflowPunct/>
        <w:topLinePunct w:val="0"/>
        <w:autoSpaceDE/>
        <w:autoSpaceDN/>
        <w:bidi w:val="0"/>
        <w:spacing w:line="576" w:lineRule="exact"/>
        <w:textAlignment w:val="auto"/>
        <w:rPr>
          <w:rFonts w:hint="eastAsia" w:eastAsia="仿宋"/>
          <w:color w:val="auto"/>
          <w:highlight w:val="none"/>
          <w:lang w:eastAsia="zh-CN"/>
        </w:rPr>
      </w:pPr>
      <w:bookmarkStart w:id="140" w:name="_Toc15396631"/>
      <w:bookmarkStart w:id="141" w:name="_Toc14161"/>
      <w:r>
        <w:rPr>
          <w:rStyle w:val="32"/>
          <w:rFonts w:hint="eastAsia" w:ascii="仿宋" w:hAnsi="仿宋" w:eastAsia="仿宋"/>
          <w:b w:val="0"/>
          <w:bCs w:val="0"/>
          <w:color w:val="auto"/>
          <w:highlight w:val="none"/>
        </w:rPr>
        <w:t>十三、</w:t>
      </w:r>
      <w:bookmarkEnd w:id="140"/>
      <w:r>
        <w:rPr>
          <w:rStyle w:val="32"/>
          <w:rFonts w:hint="eastAsia" w:ascii="仿宋" w:hAnsi="仿宋" w:eastAsia="仿宋"/>
          <w:b w:val="0"/>
          <w:bCs w:val="0"/>
          <w:color w:val="auto"/>
          <w:highlight w:val="none"/>
          <w:lang w:eastAsia="zh-CN"/>
        </w:rPr>
        <w:t>财政拨款“三公”经费支出决算表</w:t>
      </w:r>
      <w:bookmarkEnd w:id="141"/>
    </w:p>
    <w:sectPr>
      <w:footerReference r:id="rId5" w:type="first"/>
      <w:headerReference r:id="rId3" w:type="default"/>
      <w:footerReference r:id="rId4" w:type="default"/>
      <w:pgSz w:w="11906" w:h="16838"/>
      <w:pgMar w:top="1417" w:right="1417" w:bottom="1417" w:left="141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4371C"/>
    <w:multiLevelType w:val="singleLevel"/>
    <w:tmpl w:val="B754371C"/>
    <w:lvl w:ilvl="0" w:tentative="0">
      <w:start w:val="2"/>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6899"/>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57570"/>
    <w:rsid w:val="015975B8"/>
    <w:rsid w:val="017D31AE"/>
    <w:rsid w:val="01A95AA3"/>
    <w:rsid w:val="021008B6"/>
    <w:rsid w:val="02143E91"/>
    <w:rsid w:val="03433F84"/>
    <w:rsid w:val="03DD7F34"/>
    <w:rsid w:val="04194A08"/>
    <w:rsid w:val="04602913"/>
    <w:rsid w:val="05A86320"/>
    <w:rsid w:val="066E0107"/>
    <w:rsid w:val="06DB44D3"/>
    <w:rsid w:val="071C6FC5"/>
    <w:rsid w:val="07291773"/>
    <w:rsid w:val="07996F6E"/>
    <w:rsid w:val="07C442AC"/>
    <w:rsid w:val="07F35A71"/>
    <w:rsid w:val="08587F60"/>
    <w:rsid w:val="090E0B90"/>
    <w:rsid w:val="09F91840"/>
    <w:rsid w:val="0A2032A3"/>
    <w:rsid w:val="0BB73761"/>
    <w:rsid w:val="0D1424ED"/>
    <w:rsid w:val="0D8238FA"/>
    <w:rsid w:val="0D984ECC"/>
    <w:rsid w:val="0E511C4A"/>
    <w:rsid w:val="0E7B037C"/>
    <w:rsid w:val="0EB775D4"/>
    <w:rsid w:val="0EB8466C"/>
    <w:rsid w:val="0EF408B8"/>
    <w:rsid w:val="0F6B0AEA"/>
    <w:rsid w:val="0F98263C"/>
    <w:rsid w:val="0FB3423F"/>
    <w:rsid w:val="0FF7412C"/>
    <w:rsid w:val="101860EC"/>
    <w:rsid w:val="104C3191"/>
    <w:rsid w:val="10593038"/>
    <w:rsid w:val="10720A94"/>
    <w:rsid w:val="10C055FF"/>
    <w:rsid w:val="110F67A9"/>
    <w:rsid w:val="118107EC"/>
    <w:rsid w:val="123F7BEF"/>
    <w:rsid w:val="129B7938"/>
    <w:rsid w:val="12FB0DAF"/>
    <w:rsid w:val="137F46E6"/>
    <w:rsid w:val="13CA3115"/>
    <w:rsid w:val="13D50BC4"/>
    <w:rsid w:val="145F4995"/>
    <w:rsid w:val="155618F1"/>
    <w:rsid w:val="16372778"/>
    <w:rsid w:val="16BB723D"/>
    <w:rsid w:val="17793FC0"/>
    <w:rsid w:val="17935082"/>
    <w:rsid w:val="1814160E"/>
    <w:rsid w:val="19283F59"/>
    <w:rsid w:val="19287A4C"/>
    <w:rsid w:val="19C21C4E"/>
    <w:rsid w:val="1BE8440E"/>
    <w:rsid w:val="1C4032FE"/>
    <w:rsid w:val="1C6D4F43"/>
    <w:rsid w:val="1CB50221"/>
    <w:rsid w:val="1CBD6298"/>
    <w:rsid w:val="1D155CEE"/>
    <w:rsid w:val="1D1F2F14"/>
    <w:rsid w:val="1DA04055"/>
    <w:rsid w:val="1E960FB4"/>
    <w:rsid w:val="1EA25BAA"/>
    <w:rsid w:val="1ED55F80"/>
    <w:rsid w:val="1F9C4CF0"/>
    <w:rsid w:val="1FF35744"/>
    <w:rsid w:val="209C3CA3"/>
    <w:rsid w:val="21554126"/>
    <w:rsid w:val="21641C38"/>
    <w:rsid w:val="21C1459A"/>
    <w:rsid w:val="21D513D2"/>
    <w:rsid w:val="21E008B3"/>
    <w:rsid w:val="21FB1276"/>
    <w:rsid w:val="21FE759C"/>
    <w:rsid w:val="22A31EF1"/>
    <w:rsid w:val="235A2EF8"/>
    <w:rsid w:val="23860B96"/>
    <w:rsid w:val="240371BF"/>
    <w:rsid w:val="24F3072E"/>
    <w:rsid w:val="25A0096A"/>
    <w:rsid w:val="25EB4CB3"/>
    <w:rsid w:val="26270B2F"/>
    <w:rsid w:val="26292728"/>
    <w:rsid w:val="263F301E"/>
    <w:rsid w:val="26AF266D"/>
    <w:rsid w:val="27174C5C"/>
    <w:rsid w:val="272F01F7"/>
    <w:rsid w:val="27602512"/>
    <w:rsid w:val="27D63670"/>
    <w:rsid w:val="288A4FE4"/>
    <w:rsid w:val="28AD3762"/>
    <w:rsid w:val="29FD04D3"/>
    <w:rsid w:val="2A1738F0"/>
    <w:rsid w:val="2A2D6DAD"/>
    <w:rsid w:val="2A4346E5"/>
    <w:rsid w:val="2A9F337E"/>
    <w:rsid w:val="2AE83DFC"/>
    <w:rsid w:val="2AF05EF0"/>
    <w:rsid w:val="2B781AF8"/>
    <w:rsid w:val="2BCA4992"/>
    <w:rsid w:val="2BFE39DA"/>
    <w:rsid w:val="2C85243D"/>
    <w:rsid w:val="2C8A61B5"/>
    <w:rsid w:val="2CC04FBD"/>
    <w:rsid w:val="2D145493"/>
    <w:rsid w:val="2D482762"/>
    <w:rsid w:val="2DF04E50"/>
    <w:rsid w:val="2E211242"/>
    <w:rsid w:val="2E7D4916"/>
    <w:rsid w:val="2F040D46"/>
    <w:rsid w:val="2FD91648"/>
    <w:rsid w:val="3004782D"/>
    <w:rsid w:val="3029612C"/>
    <w:rsid w:val="303C59D0"/>
    <w:rsid w:val="30676611"/>
    <w:rsid w:val="30803872"/>
    <w:rsid w:val="3135742D"/>
    <w:rsid w:val="319F7F4E"/>
    <w:rsid w:val="32313075"/>
    <w:rsid w:val="3304709D"/>
    <w:rsid w:val="3371531A"/>
    <w:rsid w:val="33723946"/>
    <w:rsid w:val="33EA5EF4"/>
    <w:rsid w:val="34F34F5A"/>
    <w:rsid w:val="35386E11"/>
    <w:rsid w:val="35B94AD6"/>
    <w:rsid w:val="36604554"/>
    <w:rsid w:val="36A5701E"/>
    <w:rsid w:val="36AA5135"/>
    <w:rsid w:val="36CE7EC6"/>
    <w:rsid w:val="36F823B4"/>
    <w:rsid w:val="370945C1"/>
    <w:rsid w:val="376D39B2"/>
    <w:rsid w:val="37E16F03"/>
    <w:rsid w:val="38495AC2"/>
    <w:rsid w:val="38545D10"/>
    <w:rsid w:val="38926838"/>
    <w:rsid w:val="38CC7F9C"/>
    <w:rsid w:val="38D469F0"/>
    <w:rsid w:val="39287538"/>
    <w:rsid w:val="3A037A62"/>
    <w:rsid w:val="3A211C22"/>
    <w:rsid w:val="3B151A1C"/>
    <w:rsid w:val="3CE27D8E"/>
    <w:rsid w:val="3D962062"/>
    <w:rsid w:val="3D98207C"/>
    <w:rsid w:val="3DD6576A"/>
    <w:rsid w:val="3E0265D7"/>
    <w:rsid w:val="3E1D4E86"/>
    <w:rsid w:val="3E78745D"/>
    <w:rsid w:val="3EE02148"/>
    <w:rsid w:val="3FB850E4"/>
    <w:rsid w:val="401D10DD"/>
    <w:rsid w:val="40611E66"/>
    <w:rsid w:val="41BF13DE"/>
    <w:rsid w:val="42684C1F"/>
    <w:rsid w:val="42AA1EEF"/>
    <w:rsid w:val="445E3D4E"/>
    <w:rsid w:val="44636F6A"/>
    <w:rsid w:val="446D38F9"/>
    <w:rsid w:val="447132DA"/>
    <w:rsid w:val="449776B0"/>
    <w:rsid w:val="44C63AF1"/>
    <w:rsid w:val="44E268DA"/>
    <w:rsid w:val="465A0995"/>
    <w:rsid w:val="474B4BE4"/>
    <w:rsid w:val="47CD163B"/>
    <w:rsid w:val="47E471F3"/>
    <w:rsid w:val="47F46BC7"/>
    <w:rsid w:val="48162D42"/>
    <w:rsid w:val="481946DF"/>
    <w:rsid w:val="482E20D9"/>
    <w:rsid w:val="48A877FA"/>
    <w:rsid w:val="49815FF1"/>
    <w:rsid w:val="49B605D8"/>
    <w:rsid w:val="49F012F2"/>
    <w:rsid w:val="4A0B1FA6"/>
    <w:rsid w:val="4A627F82"/>
    <w:rsid w:val="4A941636"/>
    <w:rsid w:val="4B0E749A"/>
    <w:rsid w:val="4B4F25DA"/>
    <w:rsid w:val="4B8D35BB"/>
    <w:rsid w:val="4BB87F0C"/>
    <w:rsid w:val="4BE068DB"/>
    <w:rsid w:val="4CA2087B"/>
    <w:rsid w:val="4CAA4DA6"/>
    <w:rsid w:val="4CAC5CC3"/>
    <w:rsid w:val="4CEF7ACA"/>
    <w:rsid w:val="4CFD42E7"/>
    <w:rsid w:val="4CFF79A7"/>
    <w:rsid w:val="4D577224"/>
    <w:rsid w:val="4EAB630A"/>
    <w:rsid w:val="4ECE2238"/>
    <w:rsid w:val="4F1C6FAF"/>
    <w:rsid w:val="50CC248F"/>
    <w:rsid w:val="50F001D8"/>
    <w:rsid w:val="51CE0489"/>
    <w:rsid w:val="520F6430"/>
    <w:rsid w:val="526F21BD"/>
    <w:rsid w:val="53456A99"/>
    <w:rsid w:val="537E6D0A"/>
    <w:rsid w:val="53861684"/>
    <w:rsid w:val="53A85FCF"/>
    <w:rsid w:val="545F361A"/>
    <w:rsid w:val="550A2DCF"/>
    <w:rsid w:val="55B677C4"/>
    <w:rsid w:val="56D73520"/>
    <w:rsid w:val="57DB3900"/>
    <w:rsid w:val="599445C0"/>
    <w:rsid w:val="5A9034EB"/>
    <w:rsid w:val="5AF92295"/>
    <w:rsid w:val="5B0171D9"/>
    <w:rsid w:val="5B18349B"/>
    <w:rsid w:val="5CD71FC4"/>
    <w:rsid w:val="5D284DAF"/>
    <w:rsid w:val="5D6B3790"/>
    <w:rsid w:val="5E3867AE"/>
    <w:rsid w:val="5E3F454D"/>
    <w:rsid w:val="5EBF51BD"/>
    <w:rsid w:val="5F9A19AB"/>
    <w:rsid w:val="60073EBC"/>
    <w:rsid w:val="60520925"/>
    <w:rsid w:val="60AF76D8"/>
    <w:rsid w:val="60D661C8"/>
    <w:rsid w:val="60E329A8"/>
    <w:rsid w:val="60F4448F"/>
    <w:rsid w:val="615A7643"/>
    <w:rsid w:val="61ED04B8"/>
    <w:rsid w:val="62C456BC"/>
    <w:rsid w:val="62EA6AD3"/>
    <w:rsid w:val="637A5D7B"/>
    <w:rsid w:val="63DD455C"/>
    <w:rsid w:val="63F15E9E"/>
    <w:rsid w:val="63FC3DF1"/>
    <w:rsid w:val="64125E7C"/>
    <w:rsid w:val="64D56443"/>
    <w:rsid w:val="655F54A3"/>
    <w:rsid w:val="656C5B97"/>
    <w:rsid w:val="65DE4CE7"/>
    <w:rsid w:val="667411A7"/>
    <w:rsid w:val="66E37976"/>
    <w:rsid w:val="67A4786A"/>
    <w:rsid w:val="682D04B3"/>
    <w:rsid w:val="685A261F"/>
    <w:rsid w:val="68802085"/>
    <w:rsid w:val="68CB0E27"/>
    <w:rsid w:val="68DB1A86"/>
    <w:rsid w:val="68EF78C6"/>
    <w:rsid w:val="69365204"/>
    <w:rsid w:val="699D6C67"/>
    <w:rsid w:val="6A637E95"/>
    <w:rsid w:val="6AD370E6"/>
    <w:rsid w:val="6B0861FC"/>
    <w:rsid w:val="6B1B4485"/>
    <w:rsid w:val="6BB87D88"/>
    <w:rsid w:val="6BD11822"/>
    <w:rsid w:val="6C2471CC"/>
    <w:rsid w:val="6C4532E3"/>
    <w:rsid w:val="6C4A05C8"/>
    <w:rsid w:val="6DBE53FE"/>
    <w:rsid w:val="6E0C43BB"/>
    <w:rsid w:val="6E645FA5"/>
    <w:rsid w:val="6E7E3605"/>
    <w:rsid w:val="6EE36ECA"/>
    <w:rsid w:val="6FF5CC65"/>
    <w:rsid w:val="70F11508"/>
    <w:rsid w:val="715C0E4B"/>
    <w:rsid w:val="71724535"/>
    <w:rsid w:val="71E97F59"/>
    <w:rsid w:val="72734D90"/>
    <w:rsid w:val="727453AB"/>
    <w:rsid w:val="72F21DD2"/>
    <w:rsid w:val="72F773E8"/>
    <w:rsid w:val="73AD73D5"/>
    <w:rsid w:val="73B6EB34"/>
    <w:rsid w:val="74367A9C"/>
    <w:rsid w:val="744321B9"/>
    <w:rsid w:val="744731E5"/>
    <w:rsid w:val="746B2FF7"/>
    <w:rsid w:val="7475488F"/>
    <w:rsid w:val="74960B2D"/>
    <w:rsid w:val="74AE1D28"/>
    <w:rsid w:val="7528437E"/>
    <w:rsid w:val="759E7396"/>
    <w:rsid w:val="75AB270C"/>
    <w:rsid w:val="76587F18"/>
    <w:rsid w:val="76E3355F"/>
    <w:rsid w:val="778769C8"/>
    <w:rsid w:val="78177BE5"/>
    <w:rsid w:val="78CF711D"/>
    <w:rsid w:val="78DD2BDC"/>
    <w:rsid w:val="79EE5BA4"/>
    <w:rsid w:val="7A894339"/>
    <w:rsid w:val="7A92411C"/>
    <w:rsid w:val="7B1F7A9B"/>
    <w:rsid w:val="7B3D0369"/>
    <w:rsid w:val="7B86755B"/>
    <w:rsid w:val="7D2F3C22"/>
    <w:rsid w:val="7DB83C18"/>
    <w:rsid w:val="7EEF11D3"/>
    <w:rsid w:val="7EF36AAD"/>
    <w:rsid w:val="7F361298"/>
    <w:rsid w:val="7FA30C79"/>
    <w:rsid w:val="7FB7269E"/>
    <w:rsid w:val="7FC96657"/>
    <w:rsid w:val="7FE1217F"/>
    <w:rsid w:val="7FEB1665"/>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4">
    <w:name w:val="Normal Indent"/>
    <w:basedOn w:val="1"/>
    <w:semiHidden/>
    <w:qFormat/>
    <w:uiPriority w:val="99"/>
    <w:pPr>
      <w:ind w:firstLine="420" w:firstLineChars="200"/>
    </w:p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jc w:val="center"/>
      <w:outlineLvl w:val="0"/>
    </w:pPr>
    <w:rPr>
      <w:rFonts w:ascii="Cambria" w:hAnsi="Cambria" w:eastAsia="方正小标宋简体"/>
      <w:bCs/>
      <w:sz w:val="44"/>
      <w:szCs w:val="32"/>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3"/>
    <w:qFormat/>
    <w:uiPriority w:val="9"/>
    <w:rPr>
      <w:rFonts w:ascii="Times New Roman" w:hAnsi="Times New Roman"/>
      <w:b/>
      <w:bCs/>
      <w:kern w:val="44"/>
      <w:sz w:val="44"/>
      <w:szCs w:val="44"/>
    </w:rPr>
  </w:style>
  <w:style w:type="character" w:customStyle="1" w:styleId="32">
    <w:name w:val="标题 2 Char"/>
    <w:basedOn w:val="19"/>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character" w:customStyle="1" w:styleId="35">
    <w:name w:val="标题 3 Char"/>
    <w:basedOn w:val="19"/>
    <w:link w:val="6"/>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8">
    <w:name w:val="font71"/>
    <w:basedOn w:val="19"/>
    <w:qFormat/>
    <w:uiPriority w:val="0"/>
    <w:rPr>
      <w:rFonts w:hint="default" w:ascii="Times New Roman" w:hAnsi="Times New Roman" w:cs="Times New Roman"/>
      <w:color w:val="000000"/>
      <w:sz w:val="16"/>
      <w:szCs w:val="16"/>
      <w:u w:val="none"/>
    </w:rPr>
  </w:style>
  <w:style w:type="character" w:customStyle="1" w:styleId="39">
    <w:name w:val="font31"/>
    <w:basedOn w:val="19"/>
    <w:qFormat/>
    <w:uiPriority w:val="0"/>
    <w:rPr>
      <w:rFonts w:hint="eastAsia" w:ascii="宋体" w:hAnsi="宋体" w:eastAsia="宋体" w:cs="宋体"/>
      <w:color w:val="000000"/>
      <w:sz w:val="16"/>
      <w:szCs w:val="16"/>
      <w:u w:val="none"/>
    </w:rPr>
  </w:style>
  <w:style w:type="character" w:customStyle="1" w:styleId="40">
    <w:name w:val="font41"/>
    <w:basedOn w:val="19"/>
    <w:qFormat/>
    <w:uiPriority w:val="0"/>
    <w:rPr>
      <w:rFonts w:hint="eastAsia" w:ascii="宋体" w:hAnsi="宋体" w:eastAsia="宋体" w:cs="宋体"/>
      <w:color w:val="000000"/>
      <w:sz w:val="16"/>
      <w:szCs w:val="16"/>
      <w:u w:val="none"/>
    </w:rPr>
  </w:style>
  <w:style w:type="paragraph" w:customStyle="1" w:styleId="41">
    <w:name w:val="WPSOffice手动目录 1"/>
    <w:uiPriority w:val="0"/>
    <w:pPr>
      <w:ind w:leftChars="0"/>
    </w:pPr>
    <w:rPr>
      <w:sz w:val="20"/>
      <w:szCs w:val="20"/>
    </w:rPr>
  </w:style>
  <w:style w:type="paragraph" w:customStyle="1" w:styleId="42">
    <w:name w:val="WPSOffice手动目录 2"/>
    <w:uiPriority w:val="0"/>
    <w:pPr>
      <w:ind w:leftChars="200"/>
    </w:pPr>
    <w:rPr>
      <w:sz w:val="20"/>
      <w:szCs w:val="20"/>
    </w:rPr>
  </w:style>
  <w:style w:type="paragraph" w:customStyle="1" w:styleId="4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2021</c:v>
                </c:pt>
                <c:pt idx="1">
                  <c:v>2022</c:v>
                </c:pt>
              </c:numCache>
            </c:numRef>
          </c:cat>
          <c:val>
            <c:numRef>
              <c:f>Sheet1!$B$2:$B$3</c:f>
              <c:numCache>
                <c:formatCode>General</c:formatCode>
                <c:ptCount val="2"/>
                <c:pt idx="0">
                  <c:v>2454.58</c:v>
                </c:pt>
                <c:pt idx="1">
                  <c:v>1819.76</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2021</c:v>
                </c:pt>
                <c:pt idx="1">
                  <c:v>2022</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22686330"/>
        <c:axId val="424242062"/>
      </c:barChart>
      <c:catAx>
        <c:axId val="5226863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4242062"/>
        <c:crosses val="autoZero"/>
        <c:auto val="1"/>
        <c:lblAlgn val="ctr"/>
        <c:lblOffset val="100"/>
        <c:noMultiLvlLbl val="0"/>
      </c:catAx>
      <c:valAx>
        <c:axId val="42424206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268633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numRef>
              <c:f>Sheet1!$A$2:$A$5</c:f>
              <c:numCache>
                <c:formatCode>General</c:formatCode>
                <c:ptCount val="4"/>
                <c:pt idx="0">
                  <c:v>2021</c:v>
                </c:pt>
                <c:pt idx="1">
                  <c:v>2022</c:v>
                </c:pt>
              </c:numCache>
            </c:numRef>
          </c:cat>
          <c:val>
            <c:numRef>
              <c:f>Sheet1!$B$2:$B$5</c:f>
              <c:numCache>
                <c:formatCode>General</c:formatCode>
                <c:ptCount val="4"/>
                <c:pt idx="0">
                  <c:v>2454.58</c:v>
                </c:pt>
                <c:pt idx="1">
                  <c:v>2163.47</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numRef>
              <c:f>Sheet1!$A$2:$A$5</c:f>
              <c:numCache>
                <c:formatCode>General</c:formatCode>
                <c:ptCount val="4"/>
                <c:pt idx="0">
                  <c:v>2021</c:v>
                </c:pt>
                <c:pt idx="1">
                  <c:v>2022</c:v>
                </c:pt>
              </c:numCache>
            </c:num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477430609"/>
        <c:axId val="137297466"/>
      </c:barChart>
      <c:catAx>
        <c:axId val="477430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297466"/>
        <c:crosses val="autoZero"/>
        <c:auto val="1"/>
        <c:lblAlgn val="ctr"/>
        <c:lblOffset val="100"/>
        <c:noMultiLvlLbl val="0"/>
      </c:catAx>
      <c:valAx>
        <c:axId val="13729746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7430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85</Pages>
  <Words>39496</Words>
  <Characters>47554</Characters>
  <Lines>61</Lines>
  <Paragraphs>17</Paragraphs>
  <TotalTime>4</TotalTime>
  <ScaleCrop>false</ScaleCrop>
  <LinksUpToDate>false</LinksUpToDate>
  <CharactersWithSpaces>47708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2023-10-30T01:32:01Z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FEE6DD7792C54B989C0A9B0AD64FF528_13</vt:lpwstr>
  </property>
</Properties>
</file>