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440" w:lineRule="exact"/>
        <w:rPr>
          <w:rFonts w:ascii="楷体" w:hAnsi="楷体" w:eastAsia="楷体" w:cs="黑体"/>
          <w:b/>
          <w:sz w:val="28"/>
          <w:szCs w:val="32"/>
        </w:rPr>
      </w:pPr>
      <w:r>
        <w:rPr>
          <w:rFonts w:hint="eastAsia" w:ascii="楷体" w:hAnsi="楷体" w:eastAsia="楷体" w:cs="黑体"/>
          <w:b/>
          <w:sz w:val="28"/>
          <w:szCs w:val="32"/>
        </w:rPr>
        <w:t>朝天区镇乡级国土空间总体规划</w:t>
      </w:r>
    </w:p>
    <w:p>
      <w:pPr>
        <w:rPr>
          <w:rFonts w:ascii="Times New Roman" w:hAnsi="Times New Roman"/>
          <w:sz w:val="28"/>
          <w:szCs w:val="28"/>
        </w:rPr>
      </w:pPr>
    </w:p>
    <w:p>
      <w:pPr>
        <w:pStyle w:val="11"/>
      </w:pPr>
    </w:p>
    <w:p>
      <w:pPr>
        <w:pStyle w:val="11"/>
      </w:pPr>
    </w:p>
    <w:p>
      <w:pPr>
        <w:pStyle w:val="11"/>
      </w:pPr>
    </w:p>
    <w:p>
      <w:pPr>
        <w:pStyle w:val="11"/>
      </w:pPr>
    </w:p>
    <w:p>
      <w:pPr>
        <w:pStyle w:val="11"/>
      </w:pPr>
    </w:p>
    <w:p>
      <w:pPr>
        <w:pStyle w:val="11"/>
      </w:pPr>
    </w:p>
    <w:p>
      <w:pPr>
        <w:ind w:left="0" w:leftChars="0" w:firstLine="0" w:firstLineChars="0"/>
        <w:jc w:val="center"/>
        <w:outlineLvl w:val="0"/>
        <w:rPr>
          <w:rFonts w:hint="eastAsia" w:ascii="黑体" w:hAnsi="黑体" w:eastAsia="黑体" w:cs="黑体"/>
          <w:b/>
          <w:bCs/>
          <w:sz w:val="52"/>
          <w:szCs w:val="72"/>
        </w:rPr>
      </w:pPr>
      <w:bookmarkStart w:id="0" w:name="_Toc31175"/>
      <w:bookmarkStart w:id="1" w:name="_Toc11554"/>
      <w:bookmarkStart w:id="2" w:name="_Toc6699"/>
      <w:bookmarkStart w:id="3" w:name="_Toc48"/>
      <w:r>
        <w:rPr>
          <w:rFonts w:hint="eastAsia" w:ascii="黑体" w:hAnsi="黑体" w:eastAsia="黑体" w:cs="黑体"/>
          <w:b/>
          <w:bCs/>
          <w:sz w:val="52"/>
          <w:szCs w:val="72"/>
        </w:rPr>
        <w:t>羊木农商融合发展片区</w:t>
      </w:r>
      <w:bookmarkEnd w:id="0"/>
      <w:bookmarkEnd w:id="1"/>
      <w:bookmarkEnd w:id="2"/>
      <w:bookmarkEnd w:id="3"/>
    </w:p>
    <w:p>
      <w:pPr>
        <w:spacing w:line="480" w:lineRule="auto"/>
        <w:jc w:val="center"/>
        <w:rPr>
          <w:rFonts w:ascii="黑体" w:hAnsi="黑体" w:eastAsia="黑体"/>
          <w:b/>
          <w:caps/>
          <w:color w:val="000000"/>
          <w:sz w:val="48"/>
          <w:szCs w:val="52"/>
        </w:rPr>
      </w:pPr>
      <w:r>
        <w:rPr>
          <w:rFonts w:hint="eastAsia" w:ascii="黑体" w:hAnsi="黑体" w:eastAsia="黑体"/>
          <w:b/>
          <w:caps/>
          <w:color w:val="000000"/>
          <w:sz w:val="48"/>
          <w:szCs w:val="52"/>
        </w:rPr>
        <w:t>国土空间总体规划（</w:t>
      </w:r>
      <w:r>
        <w:rPr>
          <w:rFonts w:ascii="黑体" w:hAnsi="黑体" w:eastAsia="黑体"/>
          <w:b/>
          <w:caps/>
          <w:color w:val="000000"/>
          <w:sz w:val="48"/>
          <w:szCs w:val="52"/>
        </w:rPr>
        <w:t>2021-2035年）</w:t>
      </w:r>
    </w:p>
    <w:p>
      <w:pPr>
        <w:spacing w:line="480" w:lineRule="auto"/>
        <w:jc w:val="center"/>
        <w:rPr>
          <w:rFonts w:ascii="Times New Roman" w:hAnsi="Times New Roman" w:eastAsia="方正小标宋简体"/>
          <w:caps/>
          <w:color w:val="000000"/>
          <w:sz w:val="40"/>
          <w:szCs w:val="40"/>
        </w:rPr>
      </w:pPr>
    </w:p>
    <w:p>
      <w:pPr>
        <w:spacing w:line="480" w:lineRule="auto"/>
        <w:jc w:val="center"/>
        <w:rPr>
          <w:rFonts w:ascii="黑体" w:hAnsi="黑体" w:eastAsia="黑体"/>
          <w:b/>
          <w:sz w:val="16"/>
          <w:szCs w:val="16"/>
        </w:rPr>
      </w:pPr>
      <w:r>
        <w:rPr>
          <w:rFonts w:hint="eastAsia" w:ascii="黑体" w:hAnsi="黑体" w:eastAsia="黑体"/>
          <w:b/>
          <w:caps/>
          <w:color w:val="000000"/>
          <w:sz w:val="40"/>
          <w:szCs w:val="40"/>
        </w:rPr>
        <w:t>（公示）</w:t>
      </w: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Times New Roman" w:hAnsi="Times New Roman"/>
          <w:sz w:val="28"/>
          <w:szCs w:val="28"/>
        </w:rPr>
      </w:pPr>
    </w:p>
    <w:p>
      <w:pPr>
        <w:jc w:val="center"/>
        <w:rPr>
          <w:rFonts w:ascii="黑体" w:hAnsi="黑体" w:eastAsia="黑体"/>
          <w:b/>
          <w:sz w:val="36"/>
          <w:szCs w:val="36"/>
        </w:rPr>
      </w:pPr>
      <w:r>
        <w:rPr>
          <w:rFonts w:hint="eastAsia" w:ascii="黑体" w:hAnsi="黑体" w:eastAsia="黑体"/>
          <w:b/>
          <w:sz w:val="36"/>
          <w:szCs w:val="36"/>
        </w:rPr>
        <w:t>朝天区人民政府</w:t>
      </w:r>
    </w:p>
    <w:p>
      <w:pPr>
        <w:jc w:val="center"/>
        <w:rPr>
          <w:rFonts w:hint="eastAsia" w:ascii="黑体" w:hAnsi="黑体" w:eastAsia="黑体"/>
          <w:b/>
          <w:sz w:val="36"/>
          <w:szCs w:val="36"/>
          <w:lang w:val="en-US" w:eastAsia="zh-CN"/>
        </w:rPr>
      </w:pPr>
      <w:r>
        <w:rPr>
          <w:rFonts w:hint="eastAsia" w:ascii="黑体" w:hAnsi="黑体" w:eastAsia="黑体"/>
          <w:b/>
          <w:sz w:val="36"/>
          <w:szCs w:val="36"/>
          <w:lang w:val="en-US" w:eastAsia="zh-CN"/>
        </w:rPr>
        <w:t>成都中信天年规划设计有限公司</w:t>
      </w:r>
    </w:p>
    <w:p>
      <w:pPr>
        <w:jc w:val="center"/>
        <w:rPr>
          <w:rFonts w:ascii="黑体" w:hAnsi="黑体" w:eastAsia="黑体"/>
          <w:b/>
          <w:sz w:val="36"/>
          <w:szCs w:val="36"/>
        </w:rPr>
      </w:pPr>
      <w:r>
        <w:rPr>
          <w:rFonts w:hint="eastAsia" w:ascii="黑体" w:hAnsi="黑体" w:eastAsia="黑体"/>
          <w:b/>
          <w:sz w:val="36"/>
          <w:szCs w:val="36"/>
        </w:rPr>
        <w:t>2</w:t>
      </w:r>
      <w:r>
        <w:rPr>
          <w:rFonts w:ascii="黑体" w:hAnsi="黑体" w:eastAsia="黑体"/>
          <w:b/>
          <w:sz w:val="36"/>
          <w:szCs w:val="36"/>
        </w:rPr>
        <w:t>02</w:t>
      </w:r>
      <w:r>
        <w:rPr>
          <w:rFonts w:hint="eastAsia" w:ascii="黑体" w:hAnsi="黑体" w:eastAsia="黑体"/>
          <w:b/>
          <w:sz w:val="36"/>
          <w:szCs w:val="36"/>
          <w:lang w:val="en-US" w:eastAsia="zh-CN"/>
        </w:rPr>
        <w:t>3</w:t>
      </w:r>
      <w:r>
        <w:rPr>
          <w:rFonts w:hint="eastAsia" w:ascii="黑体" w:hAnsi="黑体" w:eastAsia="黑体"/>
          <w:b/>
          <w:sz w:val="36"/>
          <w:szCs w:val="36"/>
        </w:rPr>
        <w:t>年</w:t>
      </w:r>
      <w:r>
        <w:rPr>
          <w:rFonts w:hint="eastAsia" w:ascii="黑体" w:hAnsi="黑体" w:eastAsia="黑体"/>
          <w:b/>
          <w:sz w:val="36"/>
          <w:szCs w:val="36"/>
          <w:lang w:val="en-US" w:eastAsia="zh-CN"/>
        </w:rPr>
        <w:t>7</w:t>
      </w:r>
      <w:r>
        <w:rPr>
          <w:rFonts w:hint="eastAsia" w:ascii="黑体" w:hAnsi="黑体" w:eastAsia="黑体"/>
          <w:b/>
          <w:sz w:val="36"/>
          <w:szCs w:val="36"/>
        </w:rPr>
        <w:t>月</w:t>
      </w:r>
    </w:p>
    <w:p>
      <w:pPr>
        <w:pStyle w:val="4"/>
        <w:spacing w:before="0" w:after="240"/>
        <w:jc w:val="center"/>
      </w:pPr>
      <w:r>
        <w:rPr>
          <w:rFonts w:hint="eastAsia"/>
        </w:rPr>
        <w:t>序 言</w:t>
      </w:r>
    </w:p>
    <w:p>
      <w:pPr>
        <w:pStyle w:val="2"/>
        <w:spacing w:after="0" w:line="560" w:lineRule="exact"/>
        <w:ind w:firstLine="640" w:firstLineChars="200"/>
        <w:rPr>
          <w:rFonts w:ascii="仿宋_GB2312" w:hAnsi="等线" w:eastAsia="仿宋_GB2312"/>
          <w:color w:val="000000"/>
          <w:kern w:val="0"/>
          <w:sz w:val="32"/>
          <w:szCs w:val="32"/>
        </w:rPr>
      </w:pPr>
      <w:r>
        <w:rPr>
          <w:rFonts w:ascii="仿宋_GB2312" w:hAnsi="等线" w:eastAsia="仿宋_GB2312"/>
          <w:color w:val="000000"/>
          <w:kern w:val="0"/>
          <w:sz w:val="32"/>
          <w:szCs w:val="32"/>
        </w:rPr>
        <w:t>为做好全省乡镇行政区划和村级建制调整改革“后半篇”文章，按照</w:t>
      </w:r>
      <w:r>
        <w:rPr>
          <w:rFonts w:hint="eastAsia" w:ascii="仿宋_GB2312" w:hAnsi="等线" w:eastAsia="仿宋_GB2312"/>
          <w:color w:val="000000"/>
          <w:kern w:val="0"/>
          <w:sz w:val="32"/>
          <w:szCs w:val="32"/>
        </w:rPr>
        <w:t>广元市委</w:t>
      </w:r>
      <w:r>
        <w:rPr>
          <w:rFonts w:ascii="仿宋_GB2312" w:hAnsi="等线" w:eastAsia="仿宋_GB2312"/>
          <w:color w:val="000000"/>
          <w:kern w:val="0"/>
          <w:sz w:val="32"/>
          <w:szCs w:val="32"/>
        </w:rPr>
        <w:t>两项改革“后半篇”文章工作部署</w:t>
      </w:r>
      <w:r>
        <w:rPr>
          <w:rFonts w:hint="eastAsia" w:ascii="仿宋_GB2312" w:hAnsi="等线" w:eastAsia="仿宋_GB2312"/>
          <w:color w:val="000000"/>
          <w:kern w:val="0"/>
          <w:sz w:val="32"/>
          <w:szCs w:val="32"/>
        </w:rPr>
        <w:t>，</w:t>
      </w:r>
      <w:r>
        <w:rPr>
          <w:rFonts w:hint="eastAsia" w:ascii="仿宋_GB2312" w:hAnsi="等线" w:eastAsia="仿宋_GB2312"/>
          <w:color w:val="000000"/>
          <w:kern w:val="0"/>
          <w:sz w:val="32"/>
          <w:szCs w:val="32"/>
          <w:lang w:eastAsia="zh-CN"/>
        </w:rPr>
        <w:t>羊木农商融合发展片区</w:t>
      </w:r>
      <w:r>
        <w:rPr>
          <w:rFonts w:hint="eastAsia" w:ascii="仿宋_GB2312" w:hAnsi="等线" w:eastAsia="仿宋_GB2312"/>
          <w:color w:val="000000"/>
          <w:kern w:val="0"/>
          <w:sz w:val="32"/>
          <w:szCs w:val="32"/>
        </w:rPr>
        <w:t>被遴选为广元市“以片区为单元编制乡村国土空间规划”第</w:t>
      </w:r>
      <w:r>
        <w:rPr>
          <w:rFonts w:hint="eastAsia" w:ascii="仿宋_GB2312" w:hAnsi="等线" w:eastAsia="仿宋_GB2312"/>
          <w:color w:val="000000"/>
          <w:kern w:val="0"/>
          <w:sz w:val="32"/>
          <w:szCs w:val="32"/>
          <w:lang w:val="en-US" w:eastAsia="zh-CN"/>
        </w:rPr>
        <w:t>二</w:t>
      </w:r>
      <w:r>
        <w:rPr>
          <w:rFonts w:hint="eastAsia" w:ascii="仿宋_GB2312" w:hAnsi="等线" w:eastAsia="仿宋_GB2312"/>
          <w:color w:val="000000"/>
          <w:kern w:val="0"/>
          <w:sz w:val="32"/>
          <w:szCs w:val="32"/>
        </w:rPr>
        <w:t>批试点片区。</w:t>
      </w:r>
    </w:p>
    <w:p>
      <w:pPr>
        <w:ind w:firstLine="640" w:firstLineChars="200"/>
        <w:rPr>
          <w:rFonts w:hint="eastAsia" w:ascii="仿宋_GB2312" w:hAnsi="宋体" w:eastAsia="仿宋_GB2312" w:cs="Times New Roman"/>
          <w:kern w:val="0"/>
          <w:sz w:val="32"/>
          <w:szCs w:val="32"/>
          <w:lang w:eastAsia="zh-CN"/>
        </w:rPr>
      </w:pPr>
      <w:r>
        <w:rPr>
          <w:rFonts w:hint="eastAsia" w:ascii="仿宋_GB2312" w:hAnsi="宋体" w:eastAsia="仿宋_GB2312" w:cs="Times New Roman"/>
          <w:kern w:val="0"/>
          <w:sz w:val="32"/>
          <w:szCs w:val="32"/>
          <w:lang w:eastAsia="zh-CN"/>
        </w:rPr>
        <w:t>羊木农商融合发展片区位于朝天区西部，是朝天区西部整治、经济、文化中心。</w:t>
      </w:r>
      <w:r>
        <w:rPr>
          <w:rFonts w:hint="eastAsia" w:ascii="仿宋_GB2312" w:hAnsi="宋体" w:eastAsia="仿宋_GB2312" w:cs="Times New Roman"/>
          <w:kern w:val="0"/>
          <w:sz w:val="32"/>
          <w:szCs w:val="32"/>
          <w:lang w:val="en-US" w:eastAsia="zh-CN"/>
        </w:rPr>
        <w:t>片区</w:t>
      </w:r>
      <w:r>
        <w:rPr>
          <w:rFonts w:hint="eastAsia" w:ascii="仿宋_GB2312" w:hAnsi="宋体" w:eastAsia="仿宋_GB2312" w:cs="Times New Roman"/>
          <w:kern w:val="0"/>
          <w:sz w:val="32"/>
          <w:szCs w:val="32"/>
          <w:lang w:eastAsia="zh-CN"/>
        </w:rPr>
        <w:t>境内气候湿润，雨量充足，光照适宜，四季分明。羊木</w:t>
      </w:r>
      <w:r>
        <w:rPr>
          <w:rFonts w:hint="eastAsia" w:ascii="仿宋_GB2312" w:hAnsi="宋体" w:eastAsia="仿宋_GB2312" w:cs="Times New Roman"/>
          <w:kern w:val="0"/>
          <w:sz w:val="32"/>
          <w:szCs w:val="32"/>
          <w:lang w:val="en-US" w:eastAsia="zh-CN"/>
        </w:rPr>
        <w:t>片区</w:t>
      </w:r>
      <w:r>
        <w:rPr>
          <w:rFonts w:hint="eastAsia" w:ascii="仿宋_GB2312" w:hAnsi="宋体" w:eastAsia="仿宋_GB2312" w:cs="Times New Roman"/>
          <w:kern w:val="0"/>
          <w:sz w:val="32"/>
          <w:szCs w:val="32"/>
          <w:lang w:eastAsia="zh-CN"/>
        </w:rPr>
        <w:t>平均海拔1000米，年平均气温10℃-16℃，较适宜作物生长。水网发达，湖泊众多；嘉陵江支流石门子河贯穿西部，水网曲折遍布全区，流量较大，枯水期主要集中在秋冬，时间较短。地形地貌以高原为主，多高原山地、高原平地。</w:t>
      </w:r>
      <w:r>
        <w:rPr>
          <w:rFonts w:hint="eastAsia" w:ascii="仿宋_GB2312" w:hAnsi="宋体" w:eastAsia="仿宋_GB2312" w:cs="Times New Roman"/>
          <w:kern w:val="0"/>
          <w:sz w:val="32"/>
          <w:szCs w:val="32"/>
          <w:lang w:val="en-US" w:eastAsia="zh-CN"/>
        </w:rPr>
        <w:t>片区</w:t>
      </w:r>
      <w:r>
        <w:rPr>
          <w:rFonts w:hint="eastAsia" w:ascii="仿宋_GB2312" w:hAnsi="宋体" w:eastAsia="仿宋_GB2312" w:cs="Times New Roman"/>
          <w:kern w:val="0"/>
          <w:sz w:val="32"/>
          <w:szCs w:val="32"/>
          <w:lang w:eastAsia="zh-CN"/>
        </w:rPr>
        <w:t>包括羊木镇和云雾山镇，面积337.984平方公里。两项改革后，辖2个镇含2社区19个村。</w:t>
      </w:r>
    </w:p>
    <w:p>
      <w:pPr>
        <w:pStyle w:val="2"/>
        <w:spacing w:after="0" w:line="560" w:lineRule="exact"/>
        <w:ind w:firstLine="640" w:firstLineChars="200"/>
        <w:rPr>
          <w:rFonts w:ascii="仿宋_GB2312" w:hAnsi="仿宋" w:eastAsia="仿宋_GB2312"/>
          <w:kern w:val="0"/>
          <w:sz w:val="32"/>
          <w:szCs w:val="32"/>
        </w:rPr>
      </w:pPr>
      <w:r>
        <w:rPr>
          <w:rFonts w:hint="eastAsia" w:ascii="仿宋_GB2312" w:eastAsia="仿宋_GB2312" w:cs="仿宋_GB2312"/>
          <w:sz w:val="32"/>
          <w:szCs w:val="40"/>
        </w:rPr>
        <w:t>为巩固深化朝天区乡镇行政区划和村级建制</w:t>
      </w:r>
      <w:r>
        <w:rPr>
          <w:rFonts w:ascii="仿宋_GB2312" w:eastAsia="仿宋_GB2312" w:cs="仿宋_GB2312"/>
          <w:sz w:val="32"/>
          <w:szCs w:val="40"/>
        </w:rPr>
        <w:t>调整改革成果，促进乡村振兴</w:t>
      </w:r>
      <w:r>
        <w:rPr>
          <w:rFonts w:hint="eastAsia" w:ascii="仿宋_GB2312" w:eastAsia="仿宋_GB2312" w:cs="仿宋_GB2312"/>
          <w:sz w:val="32"/>
          <w:szCs w:val="40"/>
          <w:lang w:eastAsia="zh-CN"/>
        </w:rPr>
        <w:t>、</w:t>
      </w:r>
      <w:r>
        <w:rPr>
          <w:rFonts w:hint="eastAsia" w:ascii="仿宋_GB2312" w:eastAsia="仿宋_GB2312" w:cs="仿宋_GB2312"/>
          <w:sz w:val="32"/>
          <w:szCs w:val="40"/>
        </w:rPr>
        <w:t>共同富裕</w:t>
      </w:r>
      <w:r>
        <w:rPr>
          <w:rFonts w:ascii="仿宋_GB2312" w:eastAsia="仿宋_GB2312" w:cs="仿宋_GB2312"/>
          <w:sz w:val="32"/>
          <w:szCs w:val="40"/>
        </w:rPr>
        <w:t>，特编制本规划</w:t>
      </w:r>
      <w:r>
        <w:rPr>
          <w:rFonts w:hint="eastAsia" w:ascii="仿宋_GB2312" w:eastAsia="仿宋_GB2312" w:cs="仿宋_GB2312"/>
          <w:sz w:val="32"/>
          <w:szCs w:val="40"/>
        </w:rPr>
        <w:t>。本规划是《朝天区国土空间总体规划（2</w:t>
      </w:r>
      <w:r>
        <w:rPr>
          <w:rFonts w:ascii="仿宋_GB2312" w:eastAsia="仿宋_GB2312" w:cs="仿宋_GB2312"/>
          <w:sz w:val="32"/>
          <w:szCs w:val="40"/>
        </w:rPr>
        <w:t>02</w:t>
      </w:r>
      <w:r>
        <w:rPr>
          <w:rFonts w:hint="eastAsia" w:ascii="仿宋_GB2312" w:eastAsia="仿宋_GB2312" w:cs="仿宋_GB2312"/>
          <w:sz w:val="32"/>
          <w:szCs w:val="40"/>
          <w:lang w:val="en-US" w:eastAsia="zh-CN"/>
        </w:rPr>
        <w:t>1</w:t>
      </w:r>
      <w:r>
        <w:rPr>
          <w:rFonts w:ascii="仿宋_GB2312" w:eastAsia="仿宋_GB2312" w:cs="仿宋_GB2312"/>
          <w:sz w:val="32"/>
          <w:szCs w:val="40"/>
        </w:rPr>
        <w:t>-2035</w:t>
      </w:r>
      <w:r>
        <w:rPr>
          <w:rFonts w:hint="eastAsia" w:ascii="仿宋_GB2312" w:eastAsia="仿宋_GB2312" w:cs="仿宋_GB2312"/>
          <w:sz w:val="32"/>
          <w:szCs w:val="40"/>
        </w:rPr>
        <w:t>年）》的下位规划，是片区国土空间保护、开发、利用、修复等工作的具体安排，是该片区编制详细规划和相关专项规划、实施国土空间用途管制的法定依据；规划期限为2021—2035年，基期年为2020年。</w:t>
      </w:r>
    </w:p>
    <w:p>
      <w:pPr>
        <w:pStyle w:val="4"/>
        <w:spacing w:before="0" w:after="240" w:line="560" w:lineRule="exact"/>
        <w:jc w:val="center"/>
      </w:pPr>
      <w:r>
        <w:rPr>
          <w:rFonts w:hint="eastAsia"/>
        </w:rPr>
        <w:t>公示内容</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指导思想</w:t>
      </w:r>
    </w:p>
    <w:p>
      <w:pPr>
        <w:pStyle w:val="2"/>
        <w:spacing w:after="0" w:line="560" w:lineRule="exact"/>
        <w:ind w:firstLine="640" w:firstLineChars="200"/>
        <w:rPr>
          <w:rFonts w:ascii="仿宋_GB2312" w:hAnsi="仿宋" w:eastAsia="仿宋_GB2312"/>
          <w:kern w:val="0"/>
          <w:sz w:val="32"/>
          <w:szCs w:val="32"/>
        </w:rPr>
      </w:pPr>
      <w:r>
        <w:rPr>
          <w:rFonts w:hint="eastAsia" w:ascii="仿宋_GB2312" w:hAnsi="仿宋" w:eastAsia="仿宋_GB2312"/>
          <w:kern w:val="0"/>
          <w:sz w:val="32"/>
          <w:szCs w:val="32"/>
        </w:rPr>
        <w:t>认真贯彻落实省委关于统筹推进全省乡村国土空间规划编制和两项改革“后半篇”文章工作会议精神，牢固树立新发展理念，坚持“六个优化”“四个尊重”，统筹发展和安全。全面落实广元市建设中国生态康养名市、成渝地区高品质生态康养后花园、西部绿色商品供应地的战略任务，以“四个尊重”为根本遵循，以“六个优化”为重要内容，统筹资源要素配置，以保护秦巴森林与</w:t>
      </w:r>
      <w:r>
        <w:rPr>
          <w:rFonts w:hint="eastAsia" w:ascii="仿宋_GB2312" w:hAnsi="仿宋" w:eastAsia="仿宋_GB2312"/>
          <w:kern w:val="0"/>
          <w:sz w:val="32"/>
          <w:szCs w:val="32"/>
          <w:lang w:val="en-US" w:eastAsia="zh-CN"/>
        </w:rPr>
        <w:t>山地丘陵食用菌</w:t>
      </w:r>
      <w:r>
        <w:rPr>
          <w:rFonts w:hint="eastAsia" w:ascii="仿宋_GB2312" w:hAnsi="仿宋" w:eastAsia="仿宋_GB2312"/>
          <w:kern w:val="0"/>
          <w:sz w:val="32"/>
          <w:szCs w:val="32"/>
        </w:rPr>
        <w:t>为基础，</w:t>
      </w:r>
      <w:r>
        <w:rPr>
          <w:rFonts w:hint="eastAsia" w:ascii="仿宋_GB2312" w:hAnsi="仿宋" w:eastAsia="仿宋_GB2312"/>
          <w:kern w:val="0"/>
          <w:sz w:val="32"/>
          <w:szCs w:val="32"/>
          <w:lang w:val="en-US" w:eastAsia="zh-CN"/>
        </w:rPr>
        <w:t>注重羊木片区农商融合发展</w:t>
      </w:r>
      <w:r>
        <w:rPr>
          <w:rFonts w:hint="eastAsia" w:ascii="仿宋_GB2312" w:hAnsi="仿宋" w:eastAsia="仿宋_GB2312"/>
          <w:kern w:val="0"/>
          <w:sz w:val="32"/>
          <w:szCs w:val="32"/>
        </w:rPr>
        <w:t>，全面推进广朝一体化发展地区乡村振兴为目标，进一步优化片区空间格局，壮大乡村集体经济。</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规划原则</w:t>
      </w:r>
    </w:p>
    <w:p>
      <w:pPr>
        <w:spacing w:line="560" w:lineRule="exact"/>
        <w:ind w:firstLine="643" w:firstLineChars="200"/>
        <w:rPr>
          <w:rFonts w:ascii="仿宋" w:hAnsi="仿宋" w:eastAsia="仿宋" w:cs="仿宋"/>
          <w:bCs/>
          <w:sz w:val="32"/>
          <w:szCs w:val="32"/>
        </w:rPr>
      </w:pPr>
      <w:r>
        <w:rPr>
          <w:rFonts w:hint="eastAsia" w:ascii="仿宋_GB2312" w:hAnsi="仿宋" w:eastAsia="仿宋_GB2312"/>
          <w:b/>
          <w:kern w:val="0"/>
          <w:sz w:val="32"/>
          <w:szCs w:val="32"/>
        </w:rPr>
        <w:t>统筹协调，优化布局。</w:t>
      </w:r>
      <w:r>
        <w:rPr>
          <w:rFonts w:hint="eastAsia" w:ascii="仿宋" w:hAnsi="仿宋" w:eastAsia="仿宋" w:cs="仿宋"/>
          <w:bCs/>
          <w:sz w:val="32"/>
          <w:szCs w:val="32"/>
        </w:rPr>
        <w:t>充分衔接上位规划和专项规划，优化国土空间布局</w:t>
      </w:r>
      <w:r>
        <w:rPr>
          <w:rFonts w:ascii="仿宋" w:hAnsi="仿宋" w:eastAsia="仿宋" w:cs="仿宋"/>
          <w:bCs/>
          <w:sz w:val="32"/>
          <w:szCs w:val="32"/>
        </w:rPr>
        <w:t>、生产力布局、基础设施布局、公共服务设施布局</w:t>
      </w:r>
      <w:r>
        <w:rPr>
          <w:rFonts w:hint="eastAsia" w:ascii="仿宋" w:hAnsi="仿宋" w:eastAsia="仿宋" w:cs="仿宋"/>
          <w:bCs/>
          <w:sz w:val="32"/>
          <w:szCs w:val="32"/>
        </w:rPr>
        <w:t>、</w:t>
      </w:r>
      <w:r>
        <w:rPr>
          <w:rFonts w:ascii="仿宋" w:hAnsi="仿宋" w:eastAsia="仿宋" w:cs="仿宋"/>
          <w:bCs/>
          <w:sz w:val="32"/>
          <w:szCs w:val="32"/>
        </w:rPr>
        <w:t>新型城镇化和乡村振兴发展布局</w:t>
      </w:r>
      <w:r>
        <w:rPr>
          <w:rFonts w:hint="eastAsia" w:ascii="仿宋" w:hAnsi="仿宋" w:eastAsia="仿宋" w:cs="仿宋"/>
          <w:bCs/>
          <w:sz w:val="32"/>
          <w:szCs w:val="32"/>
        </w:rPr>
        <w:t>，推动片区一体化发展。</w:t>
      </w:r>
    </w:p>
    <w:p>
      <w:pPr>
        <w:pStyle w:val="2"/>
        <w:spacing w:after="0" w:line="560" w:lineRule="exact"/>
        <w:ind w:firstLine="643" w:firstLineChars="200"/>
        <w:rPr>
          <w:rFonts w:ascii="仿宋_GB2312" w:hAnsi="仿宋" w:eastAsia="仿宋_GB2312"/>
          <w:b/>
          <w:kern w:val="0"/>
          <w:sz w:val="32"/>
          <w:szCs w:val="32"/>
        </w:rPr>
      </w:pPr>
      <w:r>
        <w:rPr>
          <w:rFonts w:hint="eastAsia" w:ascii="仿宋_GB2312" w:hAnsi="仿宋" w:eastAsia="仿宋_GB2312"/>
          <w:b/>
          <w:kern w:val="0"/>
          <w:sz w:val="32"/>
          <w:szCs w:val="32"/>
        </w:rPr>
        <w:t>因地制宜，彰显特色。</w:t>
      </w:r>
      <w:r>
        <w:rPr>
          <w:rFonts w:hint="eastAsia" w:ascii="仿宋_GB2312" w:hAnsi="仿宋" w:eastAsia="仿宋_GB2312"/>
          <w:kern w:val="0"/>
          <w:sz w:val="32"/>
          <w:szCs w:val="32"/>
        </w:rPr>
        <w:t>坚持适地适用、</w:t>
      </w:r>
      <w:r>
        <w:rPr>
          <w:rFonts w:hint="eastAsia" w:ascii="仿宋_GB2312" w:hAnsi="仿宋" w:eastAsia="仿宋_GB2312"/>
          <w:kern w:val="0"/>
          <w:sz w:val="32"/>
          <w:szCs w:val="32"/>
          <w:lang w:val="en-US" w:eastAsia="zh-CN"/>
        </w:rPr>
        <w:t>农商</w:t>
      </w:r>
      <w:r>
        <w:rPr>
          <w:rFonts w:hint="eastAsia" w:ascii="仿宋_GB2312" w:hAnsi="仿宋" w:eastAsia="仿宋_GB2312"/>
          <w:kern w:val="0"/>
          <w:sz w:val="32"/>
          <w:szCs w:val="32"/>
        </w:rPr>
        <w:t>发展与生态资源相匹配，紧扣山地田园特征，顺应片区特点差异化制定空间发展策略，突出</w:t>
      </w:r>
      <w:r>
        <w:rPr>
          <w:rFonts w:hint="eastAsia" w:ascii="仿宋_GB2312" w:hAnsi="仿宋" w:eastAsia="仿宋_GB2312"/>
          <w:kern w:val="0"/>
          <w:sz w:val="32"/>
          <w:szCs w:val="32"/>
          <w:lang w:val="en-US" w:eastAsia="zh-CN"/>
        </w:rPr>
        <w:t>山地</w:t>
      </w:r>
      <w:r>
        <w:rPr>
          <w:rFonts w:hint="eastAsia" w:ascii="仿宋_GB2312" w:hAnsi="仿宋" w:eastAsia="仿宋_GB2312"/>
          <w:kern w:val="0"/>
          <w:sz w:val="32"/>
          <w:szCs w:val="32"/>
        </w:rPr>
        <w:t>森林保护、</w:t>
      </w:r>
      <w:r>
        <w:rPr>
          <w:rFonts w:hint="eastAsia" w:ascii="仿宋_GB2312" w:hAnsi="仿宋" w:eastAsia="仿宋_GB2312"/>
          <w:kern w:val="0"/>
          <w:sz w:val="32"/>
          <w:szCs w:val="32"/>
          <w:lang w:val="en-US" w:eastAsia="zh-CN"/>
        </w:rPr>
        <w:t>食用菌</w:t>
      </w:r>
      <w:r>
        <w:rPr>
          <w:rFonts w:hint="eastAsia" w:ascii="仿宋_GB2312" w:hAnsi="仿宋" w:eastAsia="仿宋_GB2312"/>
          <w:kern w:val="0"/>
          <w:sz w:val="32"/>
          <w:szCs w:val="32"/>
        </w:rPr>
        <w:t>种植、</w:t>
      </w:r>
      <w:r>
        <w:rPr>
          <w:rFonts w:hint="eastAsia" w:ascii="仿宋_GB2312" w:hAnsi="仿宋_GB2312" w:eastAsia="仿宋_GB2312" w:cs="仿宋_GB2312"/>
          <w:bCs/>
          <w:color w:val="auto"/>
          <w:sz w:val="32"/>
          <w:szCs w:val="40"/>
          <w:highlight w:val="none"/>
          <w:lang w:eastAsia="zh-CN"/>
        </w:rPr>
        <w:t>生态农业观光、</w:t>
      </w:r>
      <w:r>
        <w:rPr>
          <w:rFonts w:hint="eastAsia" w:ascii="仿宋_GB2312" w:hAnsi="仿宋_GB2312" w:eastAsia="仿宋_GB2312" w:cs="仿宋_GB2312"/>
          <w:sz w:val="32"/>
          <w:szCs w:val="32"/>
          <w:lang w:eastAsia="zh-CN"/>
        </w:rPr>
        <w:t>商贸物流</w:t>
      </w:r>
      <w:r>
        <w:rPr>
          <w:rFonts w:hint="eastAsia" w:ascii="仿宋_GB2312" w:hAnsi="仿宋" w:eastAsia="仿宋_GB2312"/>
          <w:kern w:val="0"/>
          <w:sz w:val="32"/>
          <w:szCs w:val="32"/>
        </w:rPr>
        <w:t>发展。</w:t>
      </w:r>
    </w:p>
    <w:p>
      <w:pPr>
        <w:pStyle w:val="2"/>
        <w:spacing w:after="0" w:line="560" w:lineRule="exact"/>
        <w:ind w:firstLine="643" w:firstLineChars="200"/>
        <w:rPr>
          <w:rFonts w:hint="eastAsia" w:ascii="仿宋_GB2312" w:hAnsi="仿宋" w:eastAsia="仿宋_GB2312" w:cs="Times New Roman"/>
          <w:kern w:val="0"/>
          <w:sz w:val="32"/>
          <w:szCs w:val="32"/>
          <w:lang w:val="en-US" w:eastAsia="zh-CN"/>
        </w:rPr>
      </w:pPr>
      <w:r>
        <w:rPr>
          <w:rFonts w:hint="eastAsia" w:ascii="仿宋_GB2312" w:hAnsi="仿宋" w:eastAsia="仿宋_GB2312"/>
          <w:b/>
          <w:kern w:val="0"/>
          <w:sz w:val="32"/>
          <w:szCs w:val="32"/>
        </w:rPr>
        <w:t>严守底线，绿色发展。</w:t>
      </w:r>
      <w:r>
        <w:rPr>
          <w:rFonts w:hint="eastAsia" w:ascii="仿宋_GB2312" w:hAnsi="仿宋" w:eastAsia="仿宋_GB2312" w:cs="Times New Roman"/>
          <w:kern w:val="0"/>
          <w:sz w:val="32"/>
          <w:szCs w:val="32"/>
          <w:lang w:val="en-US" w:eastAsia="zh-CN"/>
        </w:rPr>
        <w:t>落实最严格的耕地和永久基本农田保护制度、生态环境保护制度和节约集约用地制度，盘活闲置低效用地，划定落实生态保护红线、永久基本农田、城镇开发边界三条控制线。</w:t>
      </w:r>
    </w:p>
    <w:p>
      <w:pPr>
        <w:pStyle w:val="2"/>
        <w:spacing w:after="0" w:line="560" w:lineRule="exact"/>
        <w:ind w:firstLine="643" w:firstLineChars="200"/>
        <w:rPr>
          <w:rFonts w:ascii="仿宋_GB2312" w:hAnsi="仿宋" w:eastAsia="仿宋_GB2312"/>
          <w:kern w:val="0"/>
          <w:sz w:val="32"/>
          <w:szCs w:val="32"/>
        </w:rPr>
      </w:pPr>
      <w:r>
        <w:rPr>
          <w:rFonts w:hint="eastAsia" w:ascii="仿宋_GB2312" w:hAnsi="仿宋" w:eastAsia="仿宋_GB2312"/>
          <w:b/>
          <w:kern w:val="0"/>
          <w:sz w:val="32"/>
          <w:szCs w:val="32"/>
        </w:rPr>
        <w:t>系统思维，中心引领。</w:t>
      </w:r>
      <w:r>
        <w:rPr>
          <w:rFonts w:hint="eastAsia" w:ascii="仿宋_GB2312" w:hAnsi="仿宋" w:eastAsia="仿宋_GB2312"/>
          <w:kern w:val="0"/>
          <w:sz w:val="32"/>
          <w:szCs w:val="32"/>
        </w:rPr>
        <w:t>尊重乡村发展规律，科学规划，积极引导各类要素向中心镇村集聚。推动片区内各类公共资源集中布局、精准投放，加强旅游服务设施和基础设施建设，有效解决设施供给不平衡和资源闲置浪费问题。</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 w:eastAsia="仿宋_GB2312" w:cs="Times New Roman"/>
          <w:kern w:val="0"/>
          <w:sz w:val="32"/>
          <w:szCs w:val="32"/>
          <w:lang w:val="en-US" w:eastAsia="zh-CN" w:bidi="ar-SA"/>
        </w:rPr>
      </w:pPr>
      <w:r>
        <w:rPr>
          <w:rFonts w:hint="eastAsia" w:ascii="仿宋_GB2312" w:hAnsi="仿宋" w:eastAsia="仿宋_GB2312"/>
          <w:b/>
          <w:kern w:val="0"/>
          <w:sz w:val="32"/>
          <w:szCs w:val="32"/>
        </w:rPr>
        <w:t>以人为本，提升品质。</w:t>
      </w:r>
      <w:r>
        <w:rPr>
          <w:rFonts w:hint="default" w:ascii="仿宋_GB2312" w:hAnsi="仿宋" w:eastAsia="仿宋_GB2312" w:cs="Times New Roman"/>
          <w:kern w:val="0"/>
          <w:sz w:val="32"/>
          <w:szCs w:val="32"/>
          <w:lang w:val="en-US" w:eastAsia="zh-CN" w:bidi="ar-SA"/>
        </w:rPr>
        <w:t>坚持以人民为中心的发展思想，充分尊重群众意愿，从人的需求出发统筹片区空间和资源配置，合理安排乡村水利、交通、市政、公共服务等设施，提升人居环境品质，实现乡村高质量发展、高品质生活。</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 w:eastAsia="仿宋_GB2312" w:cs="Times New Roman"/>
          <w:kern w:val="0"/>
          <w:sz w:val="32"/>
          <w:szCs w:val="32"/>
          <w:lang w:val="en-US" w:eastAsia="zh-CN" w:bidi="ar-SA"/>
        </w:rPr>
      </w:pPr>
      <w:r>
        <w:rPr>
          <w:rFonts w:hint="eastAsia" w:ascii="仿宋_GB2312" w:hAnsi="仿宋" w:eastAsia="仿宋_GB2312"/>
          <w:b/>
          <w:kern w:val="0"/>
          <w:sz w:val="32"/>
          <w:szCs w:val="32"/>
        </w:rPr>
        <w:t>适度超前，规划引领。</w:t>
      </w:r>
      <w:r>
        <w:rPr>
          <w:rFonts w:hint="default" w:ascii="仿宋_GB2312" w:hAnsi="仿宋" w:eastAsia="仿宋_GB2312" w:cs="Times New Roman"/>
          <w:kern w:val="0"/>
          <w:sz w:val="32"/>
          <w:szCs w:val="32"/>
          <w:lang w:val="en-US" w:eastAsia="zh-CN" w:bidi="ar-SA"/>
        </w:rPr>
        <w:t>注重规划前瞻性，立足新发展阶段、贯彻新发展理念，坚持适度超前原则，强化规划引领；提升规划可操作性，确保规划能用管用好用。</w:t>
      </w:r>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发展定位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b/>
          <w:sz w:val="32"/>
          <w:szCs w:val="32"/>
        </w:rPr>
      </w:pPr>
      <w:bookmarkStart w:id="4" w:name="_Hlk105421934"/>
      <w:r>
        <w:rPr>
          <w:rFonts w:hint="eastAsia" w:ascii="仿宋_GB2312" w:hAnsi="仿宋_GB2312" w:eastAsia="仿宋_GB2312" w:cs="仿宋_GB2312"/>
          <w:sz w:val="32"/>
          <w:szCs w:val="32"/>
        </w:rPr>
        <w:t>落实《朝天区国民经济和社会发展第十四个五年规划和二</w:t>
      </w:r>
      <w:r>
        <w:rPr>
          <w:rFonts w:hint="eastAsia" w:ascii="微软雅黑" w:hAnsi="微软雅黑" w:eastAsia="微软雅黑" w:cs="微软雅黑"/>
          <w:sz w:val="32"/>
          <w:szCs w:val="32"/>
        </w:rPr>
        <w:t>〇</w:t>
      </w:r>
      <w:r>
        <w:rPr>
          <w:rFonts w:hint="eastAsia" w:ascii="仿宋_GB2312" w:hAnsi="仿宋_GB2312" w:eastAsia="仿宋_GB2312" w:cs="仿宋_GB2312"/>
          <w:sz w:val="32"/>
          <w:szCs w:val="32"/>
        </w:rPr>
        <w:t>三五年远景目标纲要》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《朝天区国土空间总体规划》要求，充分发挥</w:t>
      </w:r>
      <w:r>
        <w:rPr>
          <w:rFonts w:hint="eastAsia" w:ascii="仿宋_GB2312" w:hAnsi="仿宋_GB2312" w:eastAsia="仿宋_GB2312" w:cs="仿宋_GB2312"/>
          <w:sz w:val="32"/>
          <w:szCs w:val="32"/>
          <w:lang w:val="en-US" w:eastAsia="zh-CN"/>
        </w:rPr>
        <w:t>羊木片区食用菌种植</w:t>
      </w:r>
      <w:r>
        <w:rPr>
          <w:rFonts w:hint="eastAsia" w:ascii="仿宋_GB2312" w:hAnsi="仿宋_GB2312" w:eastAsia="仿宋_GB2312" w:cs="仿宋_GB2312"/>
          <w:sz w:val="32"/>
          <w:szCs w:val="32"/>
        </w:rPr>
        <w:t>优势，以</w:t>
      </w:r>
      <w:r>
        <w:rPr>
          <w:rFonts w:hint="eastAsia" w:ascii="仿宋_GB2312" w:hAnsi="仿宋_GB2312" w:eastAsia="仿宋_GB2312" w:cs="仿宋_GB2312"/>
          <w:sz w:val="32"/>
          <w:szCs w:val="32"/>
          <w:lang w:val="en-US" w:eastAsia="zh-CN"/>
        </w:rPr>
        <w:t>云雾山4A级旅游度假区</w:t>
      </w:r>
      <w:r>
        <w:rPr>
          <w:rFonts w:hint="eastAsia" w:ascii="仿宋_GB2312" w:hAnsi="仿宋_GB2312" w:eastAsia="仿宋_GB2312" w:cs="仿宋_GB2312"/>
          <w:sz w:val="32"/>
          <w:szCs w:val="32"/>
        </w:rPr>
        <w:t>创建为契机，</w:t>
      </w:r>
      <w:r>
        <w:rPr>
          <w:rFonts w:hint="default" w:ascii="仿宋_GB2312" w:hAnsi="仿宋_GB2312" w:eastAsia="仿宋_GB2312" w:cs="仿宋_GB2312"/>
          <w:sz w:val="32"/>
          <w:szCs w:val="32"/>
          <w:lang w:val="en-US" w:eastAsia="zh-CN"/>
        </w:rPr>
        <w:t>依托羊木新型工业园区、兰渝铁路货运接卸转运站、中航油储备基地、朝天木耳香菇食用菌基地、云雾山生态保育与生态农业、朝天商贸物流中转基地等，把羊木农商融合发展片区打造成川陕结合部重要物流基地、产业转移重要承接地、有机产品重要供给地、全区经济和城市副中心，乡村振兴示范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en-US" w:eastAsia="zh-CN"/>
        </w:rPr>
        <w:t>羊木镇</w:t>
      </w:r>
      <w:r>
        <w:rPr>
          <w:rFonts w:hint="eastAsia" w:ascii="仿宋_GB2312" w:hAnsi="仿宋_GB2312" w:eastAsia="仿宋_GB2312" w:cs="仿宋_GB2312"/>
          <w:sz w:val="32"/>
          <w:szCs w:val="32"/>
        </w:rPr>
        <w:t>中心引领，促进片区人口、产业及各类生产要素合理流动和高效集聚，</w:t>
      </w:r>
      <w:r>
        <w:rPr>
          <w:rFonts w:hint="eastAsia" w:ascii="仿宋_GB2312" w:hAnsi="仿宋_GB2312" w:eastAsia="仿宋_GB2312" w:cs="仿宋_GB2312"/>
          <w:sz w:val="32"/>
          <w:szCs w:val="32"/>
          <w:lang w:val="en-US" w:eastAsia="zh-CN"/>
        </w:rPr>
        <w:t>将片区定位为</w:t>
      </w:r>
      <w:r>
        <w:rPr>
          <w:rFonts w:hint="eastAsia" w:ascii="仿宋_GB2312" w:hAnsi="仿宋_GB2312" w:eastAsia="仿宋_GB2312" w:cs="仿宋_GB2312"/>
          <w:sz w:val="32"/>
          <w:szCs w:val="32"/>
        </w:rPr>
        <w:t>以</w:t>
      </w:r>
      <w:r>
        <w:rPr>
          <w:rFonts w:hint="eastAsia" w:ascii="仿宋_GB2312" w:hAnsi="仿宋_GB2312" w:eastAsia="仿宋_GB2312" w:cs="仿宋_GB2312"/>
          <w:b/>
          <w:bCs/>
          <w:sz w:val="32"/>
          <w:szCs w:val="32"/>
        </w:rPr>
        <w:t>矿产开发、物流、现代农业、旅游为发展方向的三产融合、产城一体、农商融合发展片区</w:t>
      </w:r>
      <w:r>
        <w:rPr>
          <w:rFonts w:hint="eastAsia" w:ascii="仿宋_GB2312" w:hAnsi="仿宋" w:eastAsia="仿宋_GB2312"/>
          <w:b/>
          <w:kern w:val="0"/>
          <w:sz w:val="32"/>
          <w:szCs w:val="32"/>
        </w:rPr>
        <w:t>。</w:t>
      </w:r>
    </w:p>
    <w:bookmarkEnd w:id="4"/>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规划目标</w:t>
      </w:r>
    </w:p>
    <w:p>
      <w:pPr>
        <w:spacing w:line="560" w:lineRule="exact"/>
        <w:ind w:firstLine="640" w:firstLineChars="200"/>
        <w:rPr>
          <w:rFonts w:hint="eastAsia" w:ascii="仿宋_GB2312" w:hAnsi="仿宋" w:eastAsia="仿宋_GB2312"/>
          <w:kern w:val="0"/>
          <w:sz w:val="32"/>
          <w:szCs w:val="32"/>
        </w:rPr>
      </w:pPr>
      <w:r>
        <w:rPr>
          <w:rFonts w:hint="eastAsia" w:ascii="仿宋_GB2312" w:hAnsi="仿宋_GB2312" w:eastAsia="仿宋_GB2312" w:cs="仿宋_GB2312"/>
          <w:sz w:val="32"/>
          <w:szCs w:val="32"/>
        </w:rPr>
        <w:t>2025年，筑牢粮食安全底线，三线管控初见成效，国土空间开发保护格局不断优化；完善朝天区“1+1+N”工业产业战略羊木布局；现代农业园区扩面提质，完善特色农产品产业链；区域物流商贸中心集聚效应形成，中心镇村集聚效应明显，公共服务能力增强，乡村振兴成效明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2035年，</w:t>
      </w:r>
      <w:r>
        <w:rPr>
          <w:rFonts w:hint="eastAsia" w:ascii="仿宋_GB2312" w:hAnsi="仿宋_GB2312" w:eastAsia="仿宋_GB2312" w:cs="仿宋_GB2312"/>
          <w:sz w:val="32"/>
          <w:szCs w:val="32"/>
          <w:lang w:val="en-US" w:eastAsia="zh-CN"/>
        </w:rPr>
        <w:t>粮食安全格局、生态保育格局及城乡发展格局得到全面优化，形成主体功能明显的国土空间保护开发新格局；农商旅产业深度融合，形成有效的全产业链发展，现代物流商贸产业、建材、塑品、有色金属和文化康旅产业发展形成品牌，农业农村现代化基本实现；中心镇村服务和发展带动能力显著提升，土地节约集约利用水平显著提高，基础设施和公共设施等资源要素配置更加合理，乡村振兴整体取得决定性进展。</w:t>
      </w:r>
      <w:bookmarkStart w:id="5" w:name="_GoBack"/>
      <w:bookmarkEnd w:id="5"/>
    </w:p>
    <w:p>
      <w:pPr>
        <w:pStyle w:val="5"/>
        <w:numPr>
          <w:ilvl w:val="0"/>
          <w:numId w:val="1"/>
        </w:numPr>
        <w:spacing w:before="120" w:after="120" w:line="560" w:lineRule="exact"/>
        <w:ind w:left="1061"/>
        <w:rPr>
          <w:rFonts w:ascii="黑体" w:hAnsi="黑体" w:eastAsia="黑体"/>
          <w:sz w:val="36"/>
          <w:szCs w:val="36"/>
        </w:rPr>
      </w:pPr>
      <w:r>
        <w:rPr>
          <w:rFonts w:hint="eastAsia" w:ascii="黑体" w:hAnsi="黑体" w:eastAsia="黑体"/>
          <w:sz w:val="36"/>
          <w:szCs w:val="36"/>
        </w:rPr>
        <w:t>主要内容</w:t>
      </w:r>
    </w:p>
    <w:p>
      <w:pPr>
        <w:pStyle w:val="6"/>
        <w:spacing w:before="0" w:after="0" w:line="560" w:lineRule="exact"/>
        <w:ind w:firstLine="643" w:firstLineChars="200"/>
        <w:rPr>
          <w:rFonts w:hint="eastAsia" w:ascii="仿宋_GB2312" w:eastAsia="仿宋_GB2312"/>
        </w:rPr>
      </w:pPr>
      <w:r>
        <w:rPr>
          <w:rFonts w:hint="eastAsia" w:ascii="仿宋_GB2312" w:eastAsia="仿宋_GB2312"/>
        </w:rPr>
        <w:t>（一）四向拓展促协同</w:t>
      </w:r>
      <w:r>
        <w:rPr>
          <w:rFonts w:hint="eastAsia" w:ascii="仿宋_GB2312" w:eastAsia="仿宋_GB2312"/>
          <w:lang w:eastAsia="zh-CN"/>
        </w:rPr>
        <w:t>，推动广朝一体化发展，建立区域开放合作新格局。</w:t>
      </w:r>
    </w:p>
    <w:p>
      <w:pPr>
        <w:pStyle w:val="2"/>
        <w:spacing w:after="0" w:line="560" w:lineRule="exact"/>
        <w:ind w:firstLine="643" w:firstLineChars="200"/>
        <w:rPr>
          <w:rFonts w:hint="eastAsia" w:ascii="仿宋" w:hAnsi="仿宋" w:eastAsia="仿宋"/>
          <w:kern w:val="0"/>
          <w:sz w:val="32"/>
          <w:szCs w:val="32"/>
        </w:rPr>
      </w:pPr>
      <w:r>
        <w:rPr>
          <w:rFonts w:hint="eastAsia" w:ascii="仿宋" w:hAnsi="仿宋" w:eastAsia="仿宋"/>
          <w:b/>
          <w:bCs/>
          <w:kern w:val="0"/>
          <w:sz w:val="32"/>
          <w:szCs w:val="32"/>
        </w:rPr>
        <w:t>四向拓展促协同。</w:t>
      </w:r>
      <w:r>
        <w:rPr>
          <w:rFonts w:hint="eastAsia" w:ascii="仿宋" w:hAnsi="仿宋" w:eastAsia="仿宋"/>
          <w:kern w:val="0"/>
          <w:sz w:val="32"/>
          <w:szCs w:val="32"/>
        </w:rPr>
        <w:t>采用“西通</w:t>
      </w:r>
      <w:r>
        <w:rPr>
          <w:rFonts w:hint="eastAsia" w:ascii="仿宋" w:hAnsi="仿宋" w:eastAsia="仿宋"/>
          <w:kern w:val="0"/>
          <w:sz w:val="32"/>
          <w:szCs w:val="32"/>
          <w:lang w:eastAsia="zh-CN"/>
        </w:rPr>
        <w:t>、</w:t>
      </w:r>
      <w:r>
        <w:rPr>
          <w:rFonts w:hint="eastAsia" w:ascii="仿宋" w:hAnsi="仿宋" w:eastAsia="仿宋"/>
          <w:kern w:val="0"/>
          <w:sz w:val="32"/>
          <w:szCs w:val="32"/>
        </w:rPr>
        <w:t>东联</w:t>
      </w:r>
      <w:r>
        <w:rPr>
          <w:rFonts w:hint="eastAsia" w:ascii="仿宋" w:hAnsi="仿宋" w:eastAsia="仿宋"/>
          <w:kern w:val="0"/>
          <w:sz w:val="32"/>
          <w:szCs w:val="32"/>
          <w:lang w:eastAsia="zh-CN"/>
        </w:rPr>
        <w:t>、</w:t>
      </w:r>
      <w:r>
        <w:rPr>
          <w:rFonts w:hint="eastAsia" w:ascii="仿宋" w:hAnsi="仿宋" w:eastAsia="仿宋"/>
          <w:kern w:val="0"/>
          <w:sz w:val="32"/>
          <w:szCs w:val="32"/>
          <w:lang w:val="en-US" w:eastAsia="zh-CN"/>
        </w:rPr>
        <w:t>北</w:t>
      </w:r>
      <w:r>
        <w:rPr>
          <w:rFonts w:hint="eastAsia" w:ascii="仿宋" w:hAnsi="仿宋" w:eastAsia="仿宋"/>
          <w:kern w:val="0"/>
          <w:sz w:val="32"/>
          <w:szCs w:val="32"/>
        </w:rPr>
        <w:t>接</w:t>
      </w:r>
      <w:r>
        <w:rPr>
          <w:rFonts w:hint="eastAsia" w:ascii="仿宋" w:hAnsi="仿宋" w:eastAsia="仿宋"/>
          <w:kern w:val="0"/>
          <w:sz w:val="32"/>
          <w:szCs w:val="32"/>
          <w:lang w:eastAsia="zh-CN"/>
        </w:rPr>
        <w:t>、</w:t>
      </w:r>
      <w:r>
        <w:rPr>
          <w:rFonts w:hint="eastAsia" w:ascii="仿宋" w:hAnsi="仿宋" w:eastAsia="仿宋"/>
          <w:kern w:val="0"/>
          <w:sz w:val="32"/>
          <w:szCs w:val="32"/>
        </w:rPr>
        <w:t>南融”协同策略。</w:t>
      </w:r>
      <w:r>
        <w:rPr>
          <w:rFonts w:hint="eastAsia" w:ascii="仿宋" w:hAnsi="仿宋" w:eastAsia="仿宋"/>
          <w:b/>
          <w:bCs/>
          <w:kern w:val="0"/>
          <w:sz w:val="32"/>
          <w:szCs w:val="32"/>
        </w:rPr>
        <w:t>西通</w:t>
      </w:r>
      <w:r>
        <w:rPr>
          <w:rFonts w:hint="eastAsia" w:ascii="仿宋" w:hAnsi="仿宋" w:eastAsia="仿宋"/>
          <w:kern w:val="0"/>
          <w:sz w:val="32"/>
          <w:szCs w:val="32"/>
        </w:rPr>
        <w:t>，</w:t>
      </w:r>
      <w:r>
        <w:rPr>
          <w:rFonts w:hint="eastAsia" w:ascii="仿宋" w:hAnsi="仿宋" w:eastAsia="仿宋"/>
          <w:kern w:val="0"/>
          <w:sz w:val="32"/>
          <w:szCs w:val="32"/>
          <w:lang w:val="en-US" w:eastAsia="zh-CN"/>
        </w:rPr>
        <w:t>通过省道410与青川县联系，强化文化和农旅联合发展优势，建立区域旅游线路和农产品运输通道；</w:t>
      </w:r>
      <w:r>
        <w:rPr>
          <w:rFonts w:hint="eastAsia" w:ascii="仿宋" w:hAnsi="仿宋" w:eastAsia="仿宋"/>
          <w:b/>
          <w:bCs/>
          <w:kern w:val="0"/>
          <w:sz w:val="32"/>
          <w:szCs w:val="32"/>
          <w:lang w:val="en-US" w:eastAsia="zh-CN"/>
        </w:rPr>
        <w:t>东联</w:t>
      </w:r>
      <w:r>
        <w:rPr>
          <w:rFonts w:hint="eastAsia" w:ascii="仿宋" w:hAnsi="仿宋" w:eastAsia="仿宋"/>
          <w:kern w:val="0"/>
          <w:sz w:val="32"/>
          <w:szCs w:val="32"/>
          <w:lang w:val="en-US" w:eastAsia="zh-CN"/>
        </w:rPr>
        <w:t>，协同发展</w:t>
      </w:r>
      <w:r>
        <w:rPr>
          <w:rFonts w:hint="eastAsia" w:ascii="仿宋" w:hAnsi="仿宋" w:eastAsia="仿宋"/>
          <w:kern w:val="0"/>
          <w:sz w:val="32"/>
          <w:szCs w:val="32"/>
        </w:rPr>
        <w:t>快速联系</w:t>
      </w:r>
      <w:r>
        <w:rPr>
          <w:rFonts w:hint="eastAsia" w:ascii="仿宋" w:hAnsi="仿宋" w:eastAsia="仿宋"/>
          <w:kern w:val="0"/>
          <w:sz w:val="32"/>
          <w:szCs w:val="32"/>
          <w:lang w:val="en-US" w:eastAsia="zh-CN"/>
        </w:rPr>
        <w:t>朝天区</w:t>
      </w:r>
      <w:r>
        <w:rPr>
          <w:rFonts w:hint="eastAsia" w:ascii="仿宋" w:hAnsi="仿宋" w:eastAsia="仿宋"/>
          <w:kern w:val="0"/>
          <w:sz w:val="32"/>
          <w:szCs w:val="32"/>
        </w:rPr>
        <w:t>，形成</w:t>
      </w:r>
      <w:r>
        <w:rPr>
          <w:rFonts w:hint="eastAsia" w:ascii="仿宋" w:hAnsi="仿宋" w:eastAsia="仿宋"/>
          <w:kern w:val="0"/>
          <w:sz w:val="32"/>
          <w:szCs w:val="32"/>
          <w:lang w:val="en-US" w:eastAsia="zh-CN"/>
        </w:rPr>
        <w:t>西部城市副中心</w:t>
      </w:r>
      <w:r>
        <w:rPr>
          <w:rFonts w:hint="eastAsia" w:ascii="仿宋" w:hAnsi="仿宋" w:eastAsia="仿宋"/>
          <w:kern w:val="0"/>
          <w:sz w:val="32"/>
          <w:szCs w:val="32"/>
        </w:rPr>
        <w:t>与</w:t>
      </w:r>
      <w:r>
        <w:rPr>
          <w:rFonts w:hint="eastAsia" w:ascii="仿宋" w:hAnsi="仿宋" w:eastAsia="仿宋"/>
          <w:kern w:val="0"/>
          <w:sz w:val="32"/>
          <w:szCs w:val="32"/>
          <w:lang w:val="en-US" w:eastAsia="zh-CN"/>
        </w:rPr>
        <w:t>朝天区</w:t>
      </w:r>
      <w:r>
        <w:rPr>
          <w:rFonts w:hint="eastAsia" w:ascii="仿宋" w:hAnsi="仿宋" w:eastAsia="仿宋"/>
          <w:kern w:val="0"/>
          <w:sz w:val="32"/>
          <w:szCs w:val="32"/>
        </w:rPr>
        <w:t>的联系互动</w:t>
      </w:r>
      <w:r>
        <w:rPr>
          <w:rFonts w:hint="eastAsia" w:ascii="仿宋" w:hAnsi="仿宋" w:eastAsia="仿宋"/>
          <w:kern w:val="0"/>
          <w:sz w:val="32"/>
          <w:szCs w:val="32"/>
          <w:lang w:eastAsia="zh-CN"/>
        </w:rPr>
        <w:t>，进一步加强与东侧</w:t>
      </w:r>
      <w:r>
        <w:rPr>
          <w:rFonts w:hint="eastAsia" w:ascii="仿宋" w:hAnsi="仿宋" w:eastAsia="仿宋"/>
          <w:kern w:val="0"/>
          <w:sz w:val="32"/>
          <w:szCs w:val="32"/>
          <w:lang w:val="en-US" w:eastAsia="zh-CN"/>
        </w:rPr>
        <w:t>朝天区的</w:t>
      </w:r>
      <w:r>
        <w:rPr>
          <w:rFonts w:hint="eastAsia" w:ascii="仿宋" w:hAnsi="仿宋" w:eastAsia="仿宋"/>
          <w:kern w:val="0"/>
          <w:sz w:val="32"/>
          <w:szCs w:val="32"/>
          <w:lang w:eastAsia="zh-CN"/>
        </w:rPr>
        <w:t>交通通道、文化走廊、农产品协作生产、公共设施建设，推动文旅线路和特色区域农产品</w:t>
      </w:r>
      <w:r>
        <w:rPr>
          <w:rFonts w:hint="eastAsia" w:ascii="仿宋" w:hAnsi="仿宋" w:eastAsia="仿宋"/>
          <w:kern w:val="0"/>
          <w:sz w:val="32"/>
          <w:szCs w:val="32"/>
          <w:lang w:val="en-US" w:eastAsia="zh-CN"/>
        </w:rPr>
        <w:t>食用菌</w:t>
      </w:r>
      <w:r>
        <w:rPr>
          <w:rFonts w:hint="eastAsia" w:ascii="仿宋" w:hAnsi="仿宋" w:eastAsia="仿宋"/>
          <w:kern w:val="0"/>
          <w:sz w:val="32"/>
          <w:szCs w:val="32"/>
          <w:lang w:eastAsia="zh-CN"/>
        </w:rPr>
        <w:t>品牌共建，积极联合周边区域共育成渝地区绿色产品供给地</w:t>
      </w:r>
      <w:r>
        <w:rPr>
          <w:rFonts w:hint="eastAsia" w:ascii="仿宋" w:hAnsi="仿宋" w:eastAsia="仿宋"/>
          <w:kern w:val="0"/>
          <w:sz w:val="32"/>
          <w:szCs w:val="32"/>
        </w:rPr>
        <w:t>。</w:t>
      </w:r>
      <w:r>
        <w:rPr>
          <w:rFonts w:hint="eastAsia" w:ascii="仿宋" w:hAnsi="仿宋" w:eastAsia="仿宋"/>
          <w:b/>
          <w:bCs/>
          <w:kern w:val="0"/>
          <w:sz w:val="32"/>
          <w:szCs w:val="32"/>
        </w:rPr>
        <w:t>北接</w:t>
      </w:r>
      <w:r>
        <w:rPr>
          <w:rFonts w:hint="eastAsia" w:ascii="仿宋" w:hAnsi="仿宋" w:eastAsia="仿宋"/>
          <w:kern w:val="0"/>
          <w:sz w:val="32"/>
          <w:szCs w:val="32"/>
        </w:rPr>
        <w:t>，与陕西邻域地区协同发展秦巴山区绿色农业、生态旅游等。</w:t>
      </w:r>
      <w:r>
        <w:rPr>
          <w:rFonts w:hint="eastAsia" w:ascii="仿宋" w:hAnsi="仿宋" w:eastAsia="仿宋"/>
          <w:b/>
          <w:bCs/>
          <w:kern w:val="0"/>
          <w:sz w:val="32"/>
          <w:szCs w:val="32"/>
        </w:rPr>
        <w:t>南</w:t>
      </w:r>
      <w:r>
        <w:rPr>
          <w:rFonts w:hint="eastAsia" w:ascii="仿宋" w:hAnsi="仿宋" w:eastAsia="仿宋"/>
          <w:b/>
          <w:bCs/>
          <w:kern w:val="0"/>
          <w:sz w:val="32"/>
          <w:szCs w:val="32"/>
          <w:lang w:val="en-US" w:eastAsia="zh-CN"/>
        </w:rPr>
        <w:t>融</w:t>
      </w:r>
      <w:r>
        <w:rPr>
          <w:rFonts w:hint="eastAsia" w:ascii="仿宋" w:hAnsi="仿宋" w:eastAsia="仿宋"/>
          <w:kern w:val="0"/>
          <w:sz w:val="32"/>
          <w:szCs w:val="32"/>
        </w:rPr>
        <w:t>，依托区域交通轴（兰渝铁路、S205）向北连接向南共融，积极融入广朝一体化发展；共建嘉陵江生态城镇发展带，共筑嘉陵江生态廊道。</w:t>
      </w:r>
    </w:p>
    <w:p>
      <w:pPr>
        <w:pStyle w:val="6"/>
        <w:spacing w:before="0" w:after="0" w:line="560" w:lineRule="exact"/>
        <w:ind w:firstLine="643" w:firstLineChars="200"/>
        <w:rPr>
          <w:rFonts w:ascii="仿宋_GB2312" w:eastAsia="仿宋_GB2312"/>
        </w:rPr>
      </w:pPr>
      <w:r>
        <w:rPr>
          <w:rFonts w:hint="eastAsia" w:ascii="仿宋_GB2312" w:eastAsia="仿宋_GB2312"/>
        </w:rPr>
        <w:t>（二）筑牢底线优空间。守护粮食和生态安全，优化国土空间布局。</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明确空间总体格局。</w:t>
      </w:r>
      <w:r>
        <w:rPr>
          <w:rFonts w:hint="eastAsia" w:ascii="仿宋" w:hAnsi="仿宋" w:eastAsia="仿宋" w:cs="仿宋"/>
          <w:bCs/>
          <w:sz w:val="32"/>
          <w:szCs w:val="32"/>
          <w:lang w:val="en-US" w:eastAsia="zh-CN"/>
        </w:rPr>
        <w:t>统筹协调三生空间，优化国土空间总体格局，推动乡村振兴发展，</w:t>
      </w:r>
      <w:r>
        <w:rPr>
          <w:rFonts w:hint="eastAsia" w:ascii="仿宋" w:hAnsi="仿宋" w:eastAsia="仿宋" w:cs="仿宋"/>
          <w:bCs/>
          <w:sz w:val="32"/>
          <w:szCs w:val="32"/>
        </w:rPr>
        <w:t>形成“</w:t>
      </w:r>
      <w:r>
        <w:rPr>
          <w:rFonts w:hint="eastAsia" w:ascii="仿宋" w:hAnsi="仿宋" w:eastAsia="仿宋" w:cs="仿宋"/>
          <w:b/>
          <w:bCs w:val="0"/>
          <w:sz w:val="32"/>
          <w:szCs w:val="32"/>
          <w:lang w:val="en-US" w:eastAsia="zh-CN"/>
        </w:rPr>
        <w:t>一带、一廊、两极、两片、多点</w:t>
      </w:r>
      <w:r>
        <w:rPr>
          <w:rFonts w:hint="eastAsia" w:ascii="仿宋" w:hAnsi="仿宋" w:eastAsia="仿宋" w:cs="仿宋"/>
          <w:bCs/>
          <w:sz w:val="32"/>
          <w:szCs w:val="32"/>
        </w:rPr>
        <w:t>”的国土空间总体格局。</w:t>
      </w:r>
    </w:p>
    <w:p>
      <w:pPr>
        <w:spacing w:line="560" w:lineRule="exact"/>
        <w:ind w:firstLine="643" w:firstLineChars="200"/>
        <w:rPr>
          <w:rFonts w:ascii="仿宋_GB2312" w:hAnsi="仿宋_GB2312" w:eastAsia="仿宋_GB2312" w:cs="仿宋_GB2312"/>
          <w:sz w:val="32"/>
          <w:szCs w:val="32"/>
        </w:rPr>
      </w:pPr>
      <w:r>
        <w:rPr>
          <w:rFonts w:hint="eastAsia" w:ascii="仿宋" w:hAnsi="仿宋" w:eastAsia="仿宋" w:cs="仿宋"/>
          <w:b/>
          <w:bCs/>
          <w:sz w:val="32"/>
          <w:szCs w:val="32"/>
        </w:rPr>
        <w:t>合理划定“三区三线”。</w:t>
      </w:r>
      <w:r>
        <w:rPr>
          <w:rFonts w:hint="eastAsia" w:ascii="仿宋" w:hAnsi="仿宋" w:eastAsia="仿宋" w:cs="仿宋"/>
          <w:bCs/>
          <w:sz w:val="32"/>
          <w:szCs w:val="32"/>
        </w:rPr>
        <w:t>坚持最严格的耕地保护制度、生态保护制度和节约用地制度，根据下达的目标任务，落实</w:t>
      </w:r>
      <w:r>
        <w:rPr>
          <w:rFonts w:hint="eastAsia" w:ascii="仿宋_GB2312" w:hAnsi="仿宋_GB2312" w:eastAsia="仿宋_GB2312" w:cs="仿宋_GB2312"/>
          <w:sz w:val="32"/>
          <w:szCs w:val="32"/>
        </w:rPr>
        <w:t>永久基本农田保护线、生态红线和城镇开发边界。根据片区资源本底，划定历史文化保护线、水资源保护线、人居安全保护线等其他保护线。</w:t>
      </w:r>
      <w:r>
        <w:rPr>
          <w:rFonts w:hint="eastAsia" w:ascii="Times New Roman" w:hAnsi="Times New Roman" w:eastAsia="仿宋_GB2312"/>
          <w:color w:val="000000"/>
          <w:kern w:val="0"/>
          <w:sz w:val="32"/>
          <w:szCs w:val="32"/>
        </w:rPr>
        <w:t>落实</w:t>
      </w:r>
      <w:r>
        <w:rPr>
          <w:rFonts w:hint="eastAsia" w:ascii="Times New Roman" w:hAnsi="Times New Roman" w:eastAsia="仿宋_GB2312"/>
          <w:color w:val="000000"/>
          <w:kern w:val="0"/>
          <w:sz w:val="32"/>
          <w:szCs w:val="32"/>
          <w:lang w:val="en-US" w:eastAsia="zh-CN"/>
        </w:rPr>
        <w:t>片区</w:t>
      </w:r>
      <w:r>
        <w:rPr>
          <w:rFonts w:hint="eastAsia" w:ascii="Times New Roman" w:hAnsi="Times New Roman" w:eastAsia="仿宋_GB2312"/>
          <w:b/>
          <w:bCs/>
          <w:color w:val="000000"/>
          <w:kern w:val="0"/>
          <w:sz w:val="32"/>
          <w:szCs w:val="32"/>
        </w:rPr>
        <w:t>永久基本农田</w:t>
      </w:r>
      <w:r>
        <w:rPr>
          <w:rFonts w:hint="eastAsia" w:ascii="Times New Roman" w:hAnsi="Times New Roman" w:eastAsia="仿宋_GB2312"/>
          <w:b/>
          <w:bCs/>
          <w:color w:val="000000"/>
          <w:kern w:val="0"/>
          <w:sz w:val="32"/>
          <w:szCs w:val="32"/>
          <w:lang w:val="en-US" w:eastAsia="zh-CN"/>
        </w:rPr>
        <w:t>1869.36公顷</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lang w:val="en-US" w:eastAsia="zh-CN"/>
        </w:rPr>
        <w:t>落实</w:t>
      </w:r>
      <w:r>
        <w:rPr>
          <w:rFonts w:ascii="Times New Roman" w:hAnsi="Times New Roman" w:eastAsia="仿宋_GB2312"/>
          <w:color w:val="000000"/>
          <w:kern w:val="0"/>
          <w:sz w:val="32"/>
          <w:szCs w:val="32"/>
        </w:rPr>
        <w:t>片区</w:t>
      </w:r>
      <w:r>
        <w:rPr>
          <w:rFonts w:ascii="Times New Roman" w:hAnsi="Times New Roman" w:eastAsia="仿宋_GB2312"/>
          <w:b/>
          <w:bCs/>
          <w:color w:val="000000"/>
          <w:kern w:val="0"/>
          <w:sz w:val="32"/>
          <w:szCs w:val="32"/>
        </w:rPr>
        <w:t>生态保护红线</w:t>
      </w:r>
      <w:r>
        <w:rPr>
          <w:rFonts w:hint="eastAsia" w:ascii="Times New Roman" w:hAnsi="Times New Roman" w:eastAsia="仿宋_GB2312"/>
          <w:b/>
          <w:bCs/>
          <w:color w:val="000000"/>
          <w:kern w:val="0"/>
          <w:sz w:val="32"/>
          <w:szCs w:val="32"/>
          <w:lang w:val="en-US" w:eastAsia="zh-CN"/>
        </w:rPr>
        <w:t>232.21公顷</w:t>
      </w:r>
      <w:r>
        <w:rPr>
          <w:rFonts w:hint="eastAsia" w:ascii="Times New Roman" w:hAnsi="Times New Roman" w:eastAsia="仿宋_GB2312"/>
          <w:color w:val="000000"/>
          <w:kern w:val="0"/>
          <w:sz w:val="32"/>
          <w:szCs w:val="32"/>
        </w:rPr>
        <w:t>；落实上位规划划定</w:t>
      </w:r>
      <w:r>
        <w:rPr>
          <w:rFonts w:hint="eastAsia" w:ascii="Times New Roman" w:hAnsi="Times New Roman" w:eastAsia="仿宋_GB2312"/>
          <w:b/>
          <w:bCs/>
          <w:color w:val="000000"/>
          <w:kern w:val="0"/>
          <w:sz w:val="32"/>
          <w:szCs w:val="32"/>
        </w:rPr>
        <w:t>城镇开发边</w:t>
      </w:r>
      <w:r>
        <w:rPr>
          <w:rFonts w:ascii="Times New Roman" w:hAnsi="Times New Roman" w:eastAsia="仿宋_GB2312"/>
          <w:b/>
          <w:bCs/>
          <w:color w:val="000000"/>
          <w:kern w:val="0"/>
          <w:sz w:val="32"/>
          <w:szCs w:val="32"/>
        </w:rPr>
        <w:t>界</w:t>
      </w:r>
      <w:r>
        <w:rPr>
          <w:rFonts w:hint="eastAsia" w:ascii="Times New Roman" w:hAnsi="Times New Roman" w:eastAsia="仿宋_GB2312"/>
          <w:b/>
          <w:bCs/>
          <w:color w:val="000000"/>
          <w:kern w:val="0"/>
          <w:sz w:val="32"/>
          <w:szCs w:val="32"/>
          <w:lang w:val="en-US" w:eastAsia="zh-CN"/>
        </w:rPr>
        <w:t>166.06公顷</w:t>
      </w:r>
      <w:r>
        <w:rPr>
          <w:rFonts w:hint="eastAsia" w:ascii="Times New Roman" w:hAnsi="Times New Roman"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sz w:val="32"/>
          <w:szCs w:val="32"/>
        </w:rPr>
        <w:t>优化国土空间布局。</w:t>
      </w:r>
      <w:r>
        <w:rPr>
          <w:rFonts w:hint="eastAsia" w:ascii="仿宋_GB2312" w:hAnsi="仿宋_GB2312" w:eastAsia="仿宋_GB2312" w:cs="仿宋_GB2312"/>
          <w:sz w:val="32"/>
          <w:szCs w:val="32"/>
        </w:rPr>
        <w:t>深化细化“双评价”，在确保粮食安全的前提下，坚持“宜耕则耕、宜园则园、宜林则林”农用地整理和“建设占用耕地向非耕地转变，建设占用平坝用地向沿山坡地转变，建设占用成片开发向点状组团转变”的建设用地优化思路。耕地面积</w:t>
      </w:r>
      <w:r>
        <w:rPr>
          <w:rFonts w:hint="eastAsia" w:ascii="仿宋_GB2312" w:hAnsi="仿宋_GB2312" w:eastAsia="仿宋_GB2312" w:cs="仿宋_GB2312"/>
          <w:sz w:val="32"/>
          <w:szCs w:val="32"/>
          <w:lang w:val="en-US" w:eastAsia="zh-CN"/>
        </w:rPr>
        <w:t>3588.80</w:t>
      </w:r>
      <w:r>
        <w:rPr>
          <w:rFonts w:hint="eastAsia" w:ascii="仿宋_GB2312" w:hAnsi="仿宋_GB2312" w:eastAsia="仿宋_GB2312" w:cs="仿宋_GB2312"/>
          <w:sz w:val="32"/>
          <w:szCs w:val="32"/>
        </w:rPr>
        <w:t>公顷，较现状增加</w:t>
      </w:r>
      <w:r>
        <w:rPr>
          <w:rFonts w:hint="eastAsia" w:ascii="仿宋_GB2312" w:hAnsi="仿宋_GB2312" w:eastAsia="仿宋_GB2312" w:cs="仿宋_GB2312"/>
          <w:sz w:val="32"/>
          <w:szCs w:val="32"/>
          <w:lang w:val="en-US" w:eastAsia="zh-CN"/>
        </w:rPr>
        <w:t>106.85</w:t>
      </w:r>
      <w:r>
        <w:rPr>
          <w:rFonts w:ascii="仿宋_GB2312" w:hAnsi="仿宋_GB2312" w:eastAsia="仿宋_GB2312" w:cs="仿宋_GB2312"/>
          <w:sz w:val="32"/>
          <w:szCs w:val="32"/>
        </w:rPr>
        <w:t>公顷</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建设用地</w:t>
      </w:r>
      <w:r>
        <w:rPr>
          <w:rFonts w:hint="eastAsia" w:ascii="仿宋_GB2312" w:hAnsi="仿宋_GB2312" w:eastAsia="仿宋_GB2312" w:cs="仿宋_GB2312"/>
          <w:color w:val="auto"/>
          <w:sz w:val="32"/>
          <w:szCs w:val="32"/>
          <w:highlight w:val="none"/>
          <w:lang w:val="en-US" w:eastAsia="zh-CN"/>
        </w:rPr>
        <w:t>1166.63</w:t>
      </w:r>
      <w:r>
        <w:rPr>
          <w:rFonts w:hint="eastAsia" w:ascii="仿宋_GB2312" w:hAnsi="仿宋_GB2312" w:eastAsia="仿宋_GB2312" w:cs="仿宋_GB2312"/>
          <w:color w:val="auto"/>
          <w:sz w:val="32"/>
          <w:szCs w:val="32"/>
          <w:highlight w:val="none"/>
        </w:rPr>
        <w:t>公顷，较现状</w:t>
      </w:r>
      <w:r>
        <w:rPr>
          <w:rFonts w:hint="eastAsia" w:ascii="仿宋_GB2312" w:hAnsi="仿宋_GB2312" w:eastAsia="仿宋_GB2312" w:cs="仿宋_GB2312"/>
          <w:color w:val="auto"/>
          <w:sz w:val="32"/>
          <w:szCs w:val="32"/>
          <w:highlight w:val="none"/>
          <w:lang w:val="en-US" w:eastAsia="zh-CN"/>
        </w:rPr>
        <w:t>增加</w:t>
      </w:r>
      <w:r>
        <w:rPr>
          <w:rFonts w:hint="eastAsia" w:ascii="仿宋_GB2312" w:hAnsi="仿宋_GB2312" w:eastAsia="仿宋_GB2312" w:cs="仿宋_GB2312"/>
          <w:color w:val="auto"/>
          <w:sz w:val="32"/>
          <w:szCs w:val="32"/>
          <w:highlight w:val="none"/>
        </w:rPr>
        <w:t>了</w:t>
      </w:r>
      <w:r>
        <w:rPr>
          <w:rFonts w:hint="eastAsia" w:ascii="仿宋_GB2312" w:hAnsi="仿宋_GB2312" w:eastAsia="仿宋_GB2312" w:cs="仿宋_GB2312"/>
          <w:color w:val="auto"/>
          <w:sz w:val="32"/>
          <w:szCs w:val="32"/>
          <w:highlight w:val="none"/>
          <w:lang w:val="en-US" w:eastAsia="zh-CN"/>
        </w:rPr>
        <w:t>336.41</w:t>
      </w:r>
      <w:r>
        <w:rPr>
          <w:rFonts w:hint="eastAsia" w:ascii="仿宋_GB2312" w:hAnsi="仿宋_GB2312" w:eastAsia="仿宋_GB2312" w:cs="仿宋_GB2312"/>
          <w:color w:val="auto"/>
          <w:sz w:val="32"/>
          <w:szCs w:val="32"/>
          <w:highlight w:val="none"/>
        </w:rPr>
        <w:t>公顷。</w:t>
      </w:r>
      <w:r>
        <w:rPr>
          <w:rFonts w:hint="eastAsia" w:ascii="仿宋_GB2312" w:hAnsi="仿宋_GB2312" w:eastAsia="仿宋_GB2312" w:cs="仿宋_GB2312"/>
          <w:sz w:val="32"/>
          <w:szCs w:val="32"/>
          <w:highlight w:val="none"/>
        </w:rPr>
        <w:t>农村聚居“宜聚则聚”，创新“四个三”原则，尤其是“近路不靠路，近景不侵景，靠山不占坝”，科学选址山区聚居点。</w:t>
      </w:r>
      <w:r>
        <w:rPr>
          <w:rFonts w:hint="default" w:ascii="仿宋_GB2312" w:hAnsi="仿宋_GB2312" w:eastAsia="仿宋_GB2312" w:cs="仿宋_GB2312"/>
          <w:color w:val="auto"/>
          <w:sz w:val="32"/>
          <w:szCs w:val="32"/>
          <w:highlight w:val="none"/>
          <w:lang w:val="en-US" w:eastAsia="zh-CN"/>
        </w:rPr>
        <w:t>聚集布局后，农村宅基地面积为</w:t>
      </w:r>
      <w:r>
        <w:rPr>
          <w:rFonts w:hint="eastAsia" w:ascii="仿宋_GB2312" w:hAnsi="仿宋_GB2312" w:eastAsia="仿宋_GB2312" w:cs="仿宋_GB2312"/>
          <w:color w:val="auto"/>
          <w:sz w:val="32"/>
          <w:szCs w:val="32"/>
          <w:highlight w:val="none"/>
          <w:lang w:val="en-US" w:eastAsia="zh-CN"/>
        </w:rPr>
        <w:t>256.98</w:t>
      </w:r>
      <w:r>
        <w:rPr>
          <w:rFonts w:hint="default" w:ascii="仿宋_GB2312" w:hAnsi="仿宋_GB2312" w:eastAsia="仿宋_GB2312" w:cs="仿宋_GB2312"/>
          <w:color w:val="auto"/>
          <w:sz w:val="32"/>
          <w:szCs w:val="32"/>
          <w:highlight w:val="none"/>
          <w:lang w:val="en-US" w:eastAsia="zh-CN"/>
        </w:rPr>
        <w:t>公顷，其中新建居民点面积为</w:t>
      </w:r>
      <w:r>
        <w:rPr>
          <w:rFonts w:hint="eastAsia" w:ascii="仿宋_GB2312" w:hAnsi="仿宋_GB2312" w:eastAsia="仿宋_GB2312" w:cs="仿宋_GB2312"/>
          <w:color w:val="auto"/>
          <w:sz w:val="32"/>
          <w:szCs w:val="32"/>
          <w:highlight w:val="none"/>
          <w:lang w:val="en-US" w:eastAsia="zh-CN"/>
        </w:rPr>
        <w:t>46.74</w:t>
      </w:r>
      <w:r>
        <w:rPr>
          <w:rFonts w:hint="default" w:ascii="仿宋_GB2312" w:hAnsi="仿宋_GB2312" w:eastAsia="仿宋_GB2312" w:cs="仿宋_GB2312"/>
          <w:color w:val="auto"/>
          <w:sz w:val="32"/>
          <w:szCs w:val="32"/>
          <w:highlight w:val="none"/>
          <w:lang w:val="en-US" w:eastAsia="zh-CN"/>
        </w:rPr>
        <w:t>公顷，保留原先宅基地</w:t>
      </w:r>
      <w:r>
        <w:rPr>
          <w:rFonts w:hint="eastAsia" w:ascii="仿宋_GB2312" w:hAnsi="仿宋_GB2312" w:eastAsia="仿宋_GB2312" w:cs="仿宋_GB2312"/>
          <w:color w:val="auto"/>
          <w:sz w:val="32"/>
          <w:szCs w:val="32"/>
          <w:highlight w:val="none"/>
          <w:lang w:val="en-US" w:eastAsia="zh-CN"/>
        </w:rPr>
        <w:t>210.24</w:t>
      </w:r>
      <w:r>
        <w:rPr>
          <w:rFonts w:hint="default" w:ascii="仿宋_GB2312" w:hAnsi="仿宋_GB2312" w:eastAsia="仿宋_GB2312" w:cs="仿宋_GB2312"/>
          <w:color w:val="auto"/>
          <w:sz w:val="32"/>
          <w:szCs w:val="32"/>
          <w:highlight w:val="none"/>
          <w:lang w:val="en-US" w:eastAsia="zh-CN"/>
        </w:rPr>
        <w:t>公顷，较规划前减少了</w:t>
      </w:r>
      <w:r>
        <w:rPr>
          <w:rFonts w:hint="eastAsia" w:ascii="仿宋_GB2312" w:hAnsi="仿宋_GB2312" w:eastAsia="仿宋_GB2312" w:cs="仿宋_GB2312"/>
          <w:color w:val="auto"/>
          <w:sz w:val="32"/>
          <w:szCs w:val="32"/>
          <w:highlight w:val="none"/>
          <w:lang w:val="en-US" w:eastAsia="zh-CN"/>
        </w:rPr>
        <w:t>247.90</w:t>
      </w:r>
      <w:r>
        <w:rPr>
          <w:rFonts w:hint="default" w:ascii="仿宋_GB2312" w:hAnsi="仿宋_GB2312" w:eastAsia="仿宋_GB2312" w:cs="仿宋_GB2312"/>
          <w:color w:val="auto"/>
          <w:sz w:val="32"/>
          <w:szCs w:val="32"/>
          <w:highlight w:val="none"/>
          <w:lang w:val="en-US" w:eastAsia="zh-CN"/>
        </w:rPr>
        <w:t>公顷。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highlight w:val="yellow"/>
          <w:lang w:val="en-US" w:eastAsia="zh-CN"/>
        </w:rPr>
      </w:pPr>
      <w:r>
        <w:rPr>
          <w:rFonts w:hint="default" w:ascii="仿宋_GB2312" w:hAnsi="仿宋_GB2312" w:eastAsia="仿宋_GB2312" w:cs="仿宋_GB2312"/>
          <w:color w:val="auto"/>
          <w:sz w:val="32"/>
          <w:szCs w:val="32"/>
          <w:highlight w:val="none"/>
          <w:lang w:val="en-US" w:eastAsia="zh-CN"/>
        </w:rPr>
        <w:t>保留现状居民点</w:t>
      </w:r>
      <w:r>
        <w:rPr>
          <w:rFonts w:hint="eastAsia" w:ascii="仿宋_GB2312" w:hAnsi="仿宋_GB2312" w:eastAsia="仿宋_GB2312" w:cs="仿宋_GB2312"/>
          <w:color w:val="auto"/>
          <w:sz w:val="32"/>
          <w:szCs w:val="32"/>
          <w:highlight w:val="none"/>
          <w:lang w:val="en-US" w:eastAsia="zh-CN"/>
        </w:rPr>
        <w:t>326</w:t>
      </w:r>
      <w:r>
        <w:rPr>
          <w:rFonts w:hint="default" w:ascii="仿宋_GB2312" w:hAnsi="仿宋_GB2312" w:eastAsia="仿宋_GB2312" w:cs="仿宋_GB2312"/>
          <w:color w:val="auto"/>
          <w:sz w:val="32"/>
          <w:szCs w:val="32"/>
          <w:highlight w:val="none"/>
          <w:lang w:val="en-US" w:eastAsia="zh-CN"/>
        </w:rPr>
        <w:t>个，</w:t>
      </w:r>
      <w:r>
        <w:rPr>
          <w:rFonts w:hint="eastAsia" w:ascii="仿宋_GB2312" w:hAnsi="仿宋_GB2312" w:eastAsia="仿宋_GB2312" w:cs="仿宋_GB2312"/>
          <w:color w:val="auto"/>
          <w:sz w:val="32"/>
          <w:szCs w:val="32"/>
          <w:highlight w:val="none"/>
          <w:lang w:val="en-US" w:eastAsia="zh-CN"/>
        </w:rPr>
        <w:t>提升居民点207个，</w:t>
      </w:r>
      <w:r>
        <w:rPr>
          <w:rFonts w:hint="default" w:ascii="仿宋_GB2312" w:hAnsi="仿宋_GB2312" w:eastAsia="仿宋_GB2312" w:cs="仿宋_GB2312"/>
          <w:color w:val="auto"/>
          <w:sz w:val="32"/>
          <w:szCs w:val="32"/>
          <w:highlight w:val="none"/>
          <w:lang w:val="en-US" w:eastAsia="zh-CN"/>
        </w:rPr>
        <w:t>规划新建集中居民点</w:t>
      </w:r>
      <w:r>
        <w:rPr>
          <w:rFonts w:hint="eastAsia" w:ascii="仿宋_GB2312" w:hAnsi="仿宋_GB2312" w:eastAsia="仿宋_GB2312" w:cs="仿宋_GB2312"/>
          <w:color w:val="auto"/>
          <w:sz w:val="32"/>
          <w:szCs w:val="32"/>
          <w:highlight w:val="none"/>
          <w:lang w:val="en-US" w:eastAsia="zh-CN"/>
        </w:rPr>
        <w:t>63</w:t>
      </w:r>
      <w:r>
        <w:rPr>
          <w:rFonts w:hint="default" w:ascii="仿宋_GB2312" w:hAnsi="仿宋_GB2312" w:eastAsia="仿宋_GB2312" w:cs="仿宋_GB2312"/>
          <w:color w:val="auto"/>
          <w:sz w:val="32"/>
          <w:szCs w:val="32"/>
          <w:highlight w:val="none"/>
          <w:lang w:val="en-US" w:eastAsia="zh-CN"/>
        </w:rPr>
        <w:t>个。</w:t>
      </w:r>
      <w:r>
        <w:rPr>
          <w:rFonts w:hint="default" w:ascii="仿宋_GB2312" w:hAnsi="仿宋_GB2312" w:eastAsia="仿宋_GB2312" w:cs="仿宋_GB2312"/>
          <w:sz w:val="32"/>
          <w:szCs w:val="32"/>
          <w:highlight w:val="none"/>
          <w:lang w:val="en-US" w:eastAsia="zh-CN"/>
        </w:rPr>
        <w:t>居民点多分布在地形地势平坦开阔，交通便利的地方，大体上呈“南北分散，中部集中”的空间分布。</w:t>
      </w:r>
    </w:p>
    <w:p>
      <w:pPr>
        <w:pStyle w:val="6"/>
        <w:numPr>
          <w:ilvl w:val="0"/>
          <w:numId w:val="2"/>
        </w:numPr>
        <w:spacing w:before="0" w:after="0"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eastAsia="仿宋_GB2312"/>
        </w:rPr>
        <w:t>高质量发展兴产业。</w:t>
      </w:r>
      <w:r>
        <w:rPr>
          <w:rFonts w:hint="eastAsia" w:ascii="仿宋_GB2312" w:hAnsi="仿宋_GB2312" w:eastAsia="仿宋_GB2312" w:cs="仿宋_GB2312"/>
          <w:sz w:val="32"/>
          <w:szCs w:val="32"/>
          <w:lang w:val="en-US" w:eastAsia="zh-CN"/>
        </w:rPr>
        <w:t>集现代工农业园区、商贸集散、仓储物流、乡村旅游于一体的产城一体化发展典范，以川陕甘三省结合部重要的产业基地、仓储物流中心、商贸集散地为目标。</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托片区自然禀赋及区位交通优势，结合新型建材、现代农业、商贸物流发展潜力，着力朝天区新型建材和塑品加工产业、特色农业产业园区等打造“羊木·万亩百亿现代融合产业园”目标，与朝天核桃农文旅融合发展片区、曾家山农旅文康融合发展片区、中子镇农工旅融合发展片区协同发展，错位竞合，支撑互补。打造集现代工、农业园区、商贸集散、仓储物流、养生度假于一体的产城一体化发展典范。形成“一心、两轴、三区、多点”的产业空间格局。</w:t>
      </w:r>
    </w:p>
    <w:p>
      <w:pPr>
        <w:spacing w:line="560" w:lineRule="exact"/>
        <w:ind w:firstLine="643"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val="en-US" w:eastAsia="zh-CN"/>
        </w:rPr>
        <w:t>一心：</w:t>
      </w:r>
      <w:r>
        <w:rPr>
          <w:rFonts w:hint="default" w:ascii="仿宋_GB2312" w:hAnsi="仿宋_GB2312" w:eastAsia="仿宋_GB2312" w:cs="仿宋_GB2312"/>
          <w:sz w:val="32"/>
          <w:szCs w:val="32"/>
          <w:lang w:val="en-US" w:eastAsia="zh-CN"/>
        </w:rPr>
        <w:t>即综合服务中心，将羊木镇作为片区经济综合服务中心，围绕羊木货运场站、工业园区、物流园区等功能板块的需求，完善产业配套设施和建设，推进羊木片区提升“服务力”。</w:t>
      </w:r>
    </w:p>
    <w:p>
      <w:pPr>
        <w:spacing w:line="560"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两</w:t>
      </w:r>
      <w:r>
        <w:rPr>
          <w:rFonts w:hint="default" w:ascii="仿宋_GB2312" w:hAnsi="仿宋_GB2312" w:eastAsia="仿宋_GB2312" w:cs="仿宋_GB2312"/>
          <w:b/>
          <w:bCs/>
          <w:sz w:val="32"/>
          <w:szCs w:val="32"/>
          <w:lang w:val="en-US" w:eastAsia="zh-CN"/>
        </w:rPr>
        <w:t>轴：</w:t>
      </w:r>
      <w:r>
        <w:rPr>
          <w:rFonts w:hint="eastAsia" w:ascii="仿宋_GB2312" w:hAnsi="仿宋_GB2312" w:eastAsia="仿宋_GB2312" w:cs="仿宋_GB2312"/>
          <w:sz w:val="32"/>
          <w:szCs w:val="32"/>
          <w:lang w:val="en-US" w:eastAsia="zh-CN"/>
        </w:rPr>
        <w:t>（省道205）现代产业发展轴：结合区位优势及货运基础，串联各重要节点项目，形成区域主要对外交通廊道，建设贯通南北的产业发展轴。</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（省道410）农旅融合发展轴：提升羊木河滨水廊道景观功能，改善人居环境，引导农旅融合的第三产业和人口向轴带聚集，形成区域发展的骨架，带动周边区域发展。</w:t>
      </w:r>
    </w:p>
    <w:p>
      <w:pPr>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w:t>
      </w:r>
      <w:r>
        <w:rPr>
          <w:rFonts w:hint="default" w:ascii="仿宋_GB2312" w:hAnsi="仿宋_GB2312" w:eastAsia="仿宋_GB2312" w:cs="仿宋_GB2312"/>
          <w:b/>
          <w:bCs/>
          <w:sz w:val="32"/>
          <w:szCs w:val="32"/>
          <w:lang w:val="en-US" w:eastAsia="zh-CN"/>
        </w:rPr>
        <w:t>区：</w:t>
      </w:r>
      <w:r>
        <w:rPr>
          <w:rFonts w:hint="default" w:ascii="仿宋_GB2312" w:hAnsi="仿宋_GB2312" w:eastAsia="仿宋_GB2312" w:cs="仿宋_GB2312"/>
          <w:sz w:val="32"/>
          <w:szCs w:val="32"/>
          <w:lang w:val="en-US" w:eastAsia="zh-CN"/>
        </w:rPr>
        <w:t>以云雾山生态本底为亮点，结合生态农业、生态旅游、森林运动为主题的北部云雾山农旅融合发展区；以电商物流、农旅融合、体验度假为抓手的中部朝羊城乡融合发展区；着力新型建材、塑制品制造为代表的工业园区、矿业加工、农业产业园、商贸物流园等发展的南部现代产业发展区。</w:t>
      </w:r>
    </w:p>
    <w:p>
      <w:pPr>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多基点：</w:t>
      </w:r>
      <w:r>
        <w:rPr>
          <w:rFonts w:hint="eastAsia" w:ascii="仿宋_GB2312" w:hAnsi="仿宋_GB2312" w:eastAsia="仿宋_GB2312" w:cs="仿宋_GB2312"/>
          <w:sz w:val="32"/>
          <w:szCs w:val="32"/>
          <w:lang w:val="en-US" w:eastAsia="zh-CN"/>
        </w:rPr>
        <w:t>即羊木工业园区、兰渝铁路货运接卸转运站、朝天商贸物流中转基地、中航油储备基地、朝天木耳香菇食用菌基地等。</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四</w:t>
      </w:r>
      <w:r>
        <w:rPr>
          <w:rFonts w:hint="eastAsia" w:ascii="仿宋_GB2312" w:eastAsia="仿宋_GB2312"/>
        </w:rPr>
        <w:t>）高品质生活优设施。满足人民居旅多元需求，推动公共资源精准投放。</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完善居民生活服务设施。</w:t>
      </w:r>
      <w:r>
        <w:rPr>
          <w:rFonts w:hint="eastAsia" w:ascii="仿宋" w:hAnsi="仿宋" w:eastAsia="仿宋" w:cs="仿宋"/>
          <w:bCs/>
          <w:sz w:val="32"/>
          <w:szCs w:val="32"/>
        </w:rPr>
        <w:t>按照山地乡村生活圈独立性与</w:t>
      </w:r>
      <w:r>
        <w:rPr>
          <w:rFonts w:ascii="仿宋" w:hAnsi="仿宋" w:eastAsia="仿宋" w:cs="仿宋"/>
          <w:bCs/>
          <w:sz w:val="32"/>
          <w:szCs w:val="32"/>
        </w:rPr>
        <w:t>“大分散、小聚居”</w:t>
      </w:r>
      <w:r>
        <w:rPr>
          <w:rFonts w:hint="eastAsia" w:ascii="仿宋" w:hAnsi="仿宋" w:eastAsia="仿宋" w:cs="仿宋"/>
          <w:bCs/>
          <w:sz w:val="32"/>
          <w:szCs w:val="32"/>
        </w:rPr>
        <w:t>聚居</w:t>
      </w:r>
      <w:r>
        <w:rPr>
          <w:rFonts w:ascii="仿宋" w:hAnsi="仿宋" w:eastAsia="仿宋" w:cs="仿宋"/>
          <w:bCs/>
          <w:sz w:val="32"/>
          <w:szCs w:val="32"/>
        </w:rPr>
        <w:t>规律</w:t>
      </w:r>
      <w:r>
        <w:rPr>
          <w:rFonts w:hint="eastAsia" w:ascii="仿宋" w:hAnsi="仿宋" w:eastAsia="仿宋" w:cs="仿宋"/>
          <w:bCs/>
          <w:sz w:val="32"/>
          <w:szCs w:val="32"/>
        </w:rPr>
        <w:t>，分级分类配套基础公服设施，以“中心镇-一般乡镇-中心村/社区-基层村”</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级镇村体系引导有限资源“梯级投放”，盘活撤并闲置公共资源。</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提升特色旅游服务设施。</w:t>
      </w:r>
      <w:r>
        <w:rPr>
          <w:rFonts w:hint="eastAsia" w:ascii="仿宋" w:hAnsi="仿宋" w:eastAsia="仿宋" w:cs="仿宋"/>
          <w:bCs/>
          <w:sz w:val="32"/>
          <w:szCs w:val="32"/>
        </w:rPr>
        <w:t>结合展示利用体系，按“旅游服务中心、旅游驿站”两级投放旅游配套设施，并结合基础公服，促进居旅设施兼容使用。</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构建内联外畅绿色高效交通体系。</w:t>
      </w:r>
      <w:r>
        <w:rPr>
          <w:rFonts w:hint="eastAsia" w:ascii="仿宋" w:hAnsi="仿宋" w:eastAsia="仿宋" w:cs="仿宋"/>
          <w:bCs/>
          <w:sz w:val="32"/>
          <w:szCs w:val="32"/>
        </w:rPr>
        <w:t>落实上位规划和衔接专项规划，形成“</w:t>
      </w:r>
      <w:r>
        <w:rPr>
          <w:rFonts w:hint="eastAsia" w:ascii="仿宋" w:hAnsi="仿宋" w:eastAsia="仿宋" w:cs="仿宋"/>
          <w:bCs/>
          <w:sz w:val="32"/>
          <w:szCs w:val="32"/>
          <w:lang w:val="en-US" w:eastAsia="zh-CN"/>
        </w:rPr>
        <w:t>一铁一高三省道</w:t>
      </w:r>
      <w:r>
        <w:rPr>
          <w:rFonts w:hint="eastAsia" w:ascii="仿宋" w:hAnsi="仿宋" w:eastAsia="仿宋" w:cs="仿宋"/>
          <w:bCs/>
          <w:sz w:val="32"/>
          <w:szCs w:val="32"/>
        </w:rPr>
        <w:t>”的区域交通干线公路网，提升区域枢纽联动性，优化片区路网，强化中心镇引领及镇村交通联系，建设</w:t>
      </w:r>
      <w:r>
        <w:rPr>
          <w:rFonts w:hint="eastAsia" w:ascii="Times New Roman" w:hAnsi="Times New Roman" w:eastAsia="仿宋_GB2312"/>
          <w:kern w:val="0"/>
          <w:sz w:val="32"/>
          <w:szCs w:val="32"/>
        </w:rPr>
        <w:t>“干支衔接，农旅融合”农村公路网，实现镇与中心村、中心村与一般村通双车道四级及以上公路</w:t>
      </w:r>
      <w:r>
        <w:rPr>
          <w:rFonts w:hint="eastAsia" w:ascii="仿宋" w:hAnsi="仿宋" w:eastAsia="仿宋" w:cs="仿宋"/>
          <w:bCs/>
          <w:sz w:val="32"/>
          <w:szCs w:val="32"/>
        </w:rPr>
        <w:t>。</w:t>
      </w:r>
    </w:p>
    <w:p>
      <w:pPr>
        <w:pStyle w:val="11"/>
        <w:spacing w:line="560" w:lineRule="exact"/>
        <w:ind w:left="0" w:leftChars="0" w:firstLine="643"/>
        <w:rPr>
          <w:rFonts w:ascii="仿宋" w:hAnsi="仿宋" w:eastAsia="仿宋" w:cs="仿宋"/>
          <w:bCs/>
          <w:sz w:val="32"/>
          <w:szCs w:val="32"/>
        </w:rPr>
      </w:pPr>
      <w:r>
        <w:rPr>
          <w:rFonts w:hint="eastAsia" w:ascii="仿宋" w:hAnsi="仿宋" w:eastAsia="仿宋" w:cs="仿宋"/>
          <w:b/>
          <w:bCs/>
          <w:sz w:val="32"/>
          <w:szCs w:val="32"/>
        </w:rPr>
        <w:t>建设“韧性”市政基础设施体系。</w:t>
      </w:r>
      <w:r>
        <w:rPr>
          <w:rFonts w:ascii="仿宋" w:hAnsi="仿宋" w:eastAsia="仿宋" w:cs="仿宋"/>
          <w:bCs/>
          <w:sz w:val="32"/>
          <w:szCs w:val="32"/>
        </w:rPr>
        <w:t>以城乡人口分布为导向优化设施布局，补齐各项基础设施短板，实现城乡资源、设施平等化</w:t>
      </w:r>
      <w:r>
        <w:rPr>
          <w:rFonts w:hint="eastAsia" w:ascii="仿宋" w:hAnsi="仿宋" w:eastAsia="仿宋" w:cs="仿宋"/>
          <w:bCs/>
          <w:sz w:val="32"/>
          <w:szCs w:val="32"/>
        </w:rPr>
        <w:t>。</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五</w:t>
      </w:r>
      <w:r>
        <w:rPr>
          <w:rFonts w:hint="eastAsia" w:ascii="仿宋_GB2312" w:eastAsia="仿宋_GB2312"/>
        </w:rPr>
        <w:t>）高效率布局促集约。推进建设用地减量增效，提高空间利用效能。</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农用地整治。</w:t>
      </w:r>
      <w:r>
        <w:rPr>
          <w:rFonts w:hint="eastAsia" w:ascii="仿宋" w:hAnsi="仿宋" w:eastAsia="仿宋" w:cs="仿宋"/>
          <w:bCs/>
          <w:sz w:val="32"/>
          <w:szCs w:val="32"/>
        </w:rPr>
        <w:t>优先考虑将连片度高、耕地等别平均以上的耕地纳入高标准农田，促进农田提质增效，实现“种植规模化”。实施耕地“坡改梯”项目。</w:t>
      </w:r>
    </w:p>
    <w:p>
      <w:pPr>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农田水利工程。</w:t>
      </w:r>
      <w:r>
        <w:rPr>
          <w:rFonts w:hint="eastAsia" w:ascii="仿宋_GB2312" w:hAnsi="仿宋" w:eastAsia="仿宋_GB2312"/>
          <w:kern w:val="0"/>
          <w:sz w:val="32"/>
          <w:szCs w:val="32"/>
        </w:rPr>
        <w:t>结合</w:t>
      </w:r>
      <w:r>
        <w:rPr>
          <w:rFonts w:hint="eastAsia" w:ascii="仿宋_GB2312" w:hAnsi="仿宋" w:eastAsia="仿宋_GB2312"/>
          <w:kern w:val="0"/>
          <w:sz w:val="32"/>
          <w:szCs w:val="32"/>
          <w:lang w:val="en-US" w:eastAsia="zh-CN"/>
        </w:rPr>
        <w:t>河道、溪流和灌溉水渠</w:t>
      </w:r>
      <w:r>
        <w:rPr>
          <w:rFonts w:hint="eastAsia" w:ascii="仿宋_GB2312" w:hAnsi="仿宋" w:eastAsia="仿宋_GB2312"/>
          <w:kern w:val="0"/>
          <w:sz w:val="32"/>
          <w:szCs w:val="32"/>
        </w:rPr>
        <w:t>，建造蓄水池和整修塘堰提高水的利用能力；结合</w:t>
      </w:r>
      <w:r>
        <w:rPr>
          <w:rFonts w:hint="eastAsia" w:ascii="仿宋_GB2312" w:hAnsi="仿宋" w:eastAsia="仿宋_GB2312"/>
          <w:kern w:val="0"/>
          <w:sz w:val="32"/>
          <w:szCs w:val="32"/>
          <w:lang w:val="en-US" w:eastAsia="zh-CN"/>
        </w:rPr>
        <w:t>河道</w:t>
      </w:r>
      <w:r>
        <w:rPr>
          <w:rFonts w:hint="eastAsia" w:ascii="仿宋_GB2312" w:hAnsi="仿宋" w:eastAsia="仿宋_GB2312"/>
          <w:kern w:val="0"/>
          <w:sz w:val="32"/>
          <w:szCs w:val="32"/>
        </w:rPr>
        <w:t>，建造排水系统。</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建设用地整治。</w:t>
      </w:r>
      <w:r>
        <w:rPr>
          <w:rFonts w:hint="eastAsia" w:ascii="仿宋" w:hAnsi="仿宋" w:eastAsia="仿宋" w:cs="仿宋"/>
          <w:bCs/>
          <w:sz w:val="32"/>
          <w:szCs w:val="32"/>
        </w:rPr>
        <w:t>以城镇低效用地、工矿废弃地、小散乱污企业以及闲置宅基地为重点对象，开展闲置低效建设用地整治。提高农村居民聚居度，提高建设用地利用效率。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仿宋" w:hAnsi="仿宋" w:eastAsia="仿宋" w:cs="仿宋"/>
          <w:bCs/>
          <w:sz w:val="32"/>
          <w:szCs w:val="32"/>
          <w:highlight w:val="yellow"/>
        </w:rPr>
      </w:pPr>
      <w:r>
        <w:rPr>
          <w:rFonts w:hint="eastAsia" w:ascii="仿宋" w:hAnsi="仿宋" w:eastAsia="仿宋" w:cs="仿宋"/>
          <w:b/>
          <w:bCs/>
          <w:sz w:val="32"/>
          <w:szCs w:val="32"/>
        </w:rPr>
        <w:t>生态修复。</w:t>
      </w:r>
      <w:r>
        <w:rPr>
          <w:rFonts w:hint="eastAsia" w:ascii="仿宋" w:hAnsi="仿宋" w:eastAsia="仿宋" w:cs="仿宋"/>
          <w:b/>
          <w:sz w:val="32"/>
          <w:szCs w:val="32"/>
        </w:rPr>
        <w:t>水环境生态修复。</w:t>
      </w:r>
      <w:r>
        <w:rPr>
          <w:rFonts w:hint="eastAsia" w:ascii="仿宋_GB2312" w:hAnsi="仿宋" w:eastAsia="仿宋_GB2312"/>
          <w:kern w:val="0"/>
          <w:sz w:val="32"/>
          <w:szCs w:val="32"/>
        </w:rPr>
        <w:t>新增</w:t>
      </w:r>
      <w:r>
        <w:rPr>
          <w:rFonts w:hint="eastAsia" w:ascii="仿宋_GB2312" w:hAnsi="仿宋" w:eastAsia="仿宋_GB2312"/>
          <w:kern w:val="0"/>
          <w:sz w:val="32"/>
          <w:szCs w:val="32"/>
          <w:lang w:val="en-US" w:eastAsia="zh-CN"/>
        </w:rPr>
        <w:t>源溪水库、云雾山水库</w:t>
      </w:r>
      <w:r>
        <w:rPr>
          <w:rFonts w:hint="eastAsia" w:ascii="仿宋_GB2312" w:hAnsi="仿宋" w:eastAsia="仿宋_GB2312"/>
          <w:kern w:val="0"/>
          <w:sz w:val="32"/>
          <w:szCs w:val="32"/>
        </w:rPr>
        <w:t>等水库水源工程</w:t>
      </w:r>
      <w:r>
        <w:rPr>
          <w:rFonts w:hint="eastAsia" w:ascii="仿宋_GB2312" w:hAnsi="仿宋" w:eastAsia="仿宋_GB2312"/>
          <w:kern w:val="0"/>
          <w:sz w:val="32"/>
          <w:szCs w:val="32"/>
          <w:lang w:val="en-US" w:eastAsia="zh-CN"/>
        </w:rPr>
        <w:t>2</w:t>
      </w:r>
      <w:r>
        <w:rPr>
          <w:rFonts w:hint="eastAsia" w:ascii="仿宋_GB2312" w:hAnsi="仿宋" w:eastAsia="仿宋_GB2312"/>
          <w:kern w:val="0"/>
          <w:sz w:val="32"/>
          <w:szCs w:val="32"/>
        </w:rPr>
        <w:t>处，</w:t>
      </w:r>
      <w:r>
        <w:rPr>
          <w:rFonts w:hint="eastAsia" w:ascii="仿宋_GB2312" w:hAnsi="仿宋" w:eastAsia="仿宋_GB2312"/>
          <w:kern w:val="0"/>
          <w:sz w:val="32"/>
          <w:szCs w:val="32"/>
          <w:highlight w:val="none"/>
          <w:lang w:val="en-US" w:eastAsia="zh-CN"/>
        </w:rPr>
        <w:t>划定广坪河、二岔河、西北河、瓦子河等河流管护范围线470.58公顷</w:t>
      </w:r>
      <w:r>
        <w:rPr>
          <w:rFonts w:hint="eastAsia" w:ascii="仿宋_GB2312" w:hAnsi="仿宋" w:eastAsia="仿宋_GB2312"/>
          <w:kern w:val="0"/>
          <w:sz w:val="32"/>
          <w:szCs w:val="32"/>
          <w:highlight w:val="none"/>
        </w:rPr>
        <w:t>。划定乡镇级集中式饮用水源地</w:t>
      </w:r>
      <w:r>
        <w:rPr>
          <w:rFonts w:hint="eastAsia" w:ascii="仿宋_GB2312" w:hAnsi="仿宋" w:eastAsia="仿宋_GB2312"/>
          <w:kern w:val="0"/>
          <w:sz w:val="32"/>
          <w:szCs w:val="32"/>
          <w:highlight w:val="none"/>
          <w:lang w:val="en-US" w:eastAsia="zh-CN"/>
        </w:rPr>
        <w:t>4</w:t>
      </w:r>
      <w:r>
        <w:rPr>
          <w:rFonts w:hint="eastAsia" w:ascii="仿宋_GB2312" w:hAnsi="仿宋" w:eastAsia="仿宋_GB2312"/>
          <w:kern w:val="0"/>
          <w:sz w:val="32"/>
          <w:szCs w:val="32"/>
          <w:highlight w:val="none"/>
        </w:rPr>
        <w:t>处。</w:t>
      </w:r>
      <w:r>
        <w:rPr>
          <w:rFonts w:hint="eastAsia" w:ascii="仿宋_GB2312" w:hAnsi="仿宋" w:eastAsia="仿宋_GB2312"/>
          <w:b/>
          <w:bCs/>
          <w:kern w:val="0"/>
          <w:sz w:val="32"/>
          <w:szCs w:val="32"/>
        </w:rPr>
        <w:t>山体林地修复。</w:t>
      </w:r>
      <w:r>
        <w:rPr>
          <w:rFonts w:hint="eastAsia" w:ascii="仿宋_GB2312" w:hAnsi="仿宋" w:eastAsia="仿宋_GB2312"/>
          <w:kern w:val="0"/>
          <w:sz w:val="32"/>
          <w:szCs w:val="32"/>
        </w:rPr>
        <w:t>对天然林和林分较好的次生林进行封山育林，采取全面封禁以及人工促进的方式，全面推进自然恢复。</w:t>
      </w:r>
      <w:r>
        <w:rPr>
          <w:rFonts w:hint="eastAsia" w:ascii="仿宋_GB2312" w:hAnsi="仿宋" w:eastAsia="仿宋_GB2312"/>
          <w:b/>
          <w:bCs/>
          <w:kern w:val="0"/>
          <w:sz w:val="32"/>
          <w:szCs w:val="32"/>
        </w:rPr>
        <w:t>矿山生态修复。</w:t>
      </w:r>
      <w:r>
        <w:rPr>
          <w:rFonts w:hint="eastAsia" w:ascii="仿宋_GB2312" w:hAnsi="仿宋" w:eastAsia="仿宋_GB2312"/>
          <w:kern w:val="0"/>
          <w:sz w:val="32"/>
          <w:szCs w:val="32"/>
        </w:rPr>
        <w:t>对</w:t>
      </w:r>
      <w:r>
        <w:rPr>
          <w:rFonts w:hint="eastAsia" w:ascii="仿宋_GB2312" w:hAnsi="仿宋" w:eastAsia="仿宋_GB2312"/>
          <w:kern w:val="0"/>
          <w:sz w:val="32"/>
          <w:szCs w:val="32"/>
          <w:lang w:val="en-US" w:eastAsia="zh-CN"/>
        </w:rPr>
        <w:t>上坝煤矿、乌木沱煤矿、基坪煤矿、天赐煤矿、关口煤矿</w:t>
      </w:r>
      <w:r>
        <w:rPr>
          <w:rFonts w:hint="eastAsia" w:ascii="仿宋_GB2312" w:hAnsi="仿宋" w:eastAsia="仿宋_GB2312"/>
          <w:kern w:val="0"/>
          <w:sz w:val="32"/>
          <w:szCs w:val="32"/>
          <w:lang w:eastAsia="zh-CN"/>
        </w:rPr>
        <w:t>、</w:t>
      </w:r>
      <w:r>
        <w:rPr>
          <w:rFonts w:hint="eastAsia" w:ascii="仿宋_GB2312" w:hAnsi="仿宋" w:eastAsia="仿宋_GB2312"/>
          <w:kern w:val="0"/>
          <w:sz w:val="32"/>
          <w:szCs w:val="32"/>
        </w:rPr>
        <w:t>等中小型矿山予以关停。结合矿山生态破坏情况，划定矿山重点治理区和次重点治理区。</w:t>
      </w:r>
      <w:r>
        <w:rPr>
          <w:rFonts w:hint="eastAsia" w:ascii="仿宋_GB2312" w:hAnsi="仿宋" w:eastAsia="仿宋_GB2312"/>
          <w:color w:val="auto"/>
          <w:kern w:val="0"/>
          <w:sz w:val="32"/>
          <w:szCs w:val="32"/>
          <w:highlight w:val="none"/>
        </w:rPr>
        <w:t>完成片区</w:t>
      </w:r>
      <w:r>
        <w:rPr>
          <w:rFonts w:hint="eastAsia" w:ascii="仿宋_GB2312" w:hAnsi="仿宋" w:eastAsia="仿宋_GB2312"/>
          <w:color w:val="auto"/>
          <w:kern w:val="0"/>
          <w:sz w:val="32"/>
          <w:szCs w:val="32"/>
          <w:highlight w:val="none"/>
          <w:lang w:val="en-US" w:eastAsia="zh-CN"/>
        </w:rPr>
        <w:t>8</w:t>
      </w:r>
      <w:r>
        <w:rPr>
          <w:rFonts w:hint="eastAsia" w:ascii="仿宋_GB2312" w:hAnsi="仿宋" w:eastAsia="仿宋_GB2312"/>
          <w:color w:val="auto"/>
          <w:kern w:val="0"/>
          <w:sz w:val="32"/>
          <w:szCs w:val="32"/>
          <w:highlight w:val="none"/>
        </w:rPr>
        <w:t>座</w:t>
      </w:r>
      <w:r>
        <w:rPr>
          <w:rFonts w:hint="eastAsia" w:ascii="仿宋_GB2312" w:hAnsi="仿宋" w:eastAsia="仿宋_GB2312"/>
          <w:color w:val="auto"/>
          <w:kern w:val="0"/>
          <w:sz w:val="32"/>
          <w:szCs w:val="32"/>
          <w:highlight w:val="none"/>
          <w:lang w:val="en-US" w:eastAsia="zh-CN"/>
        </w:rPr>
        <w:t>停采</w:t>
      </w:r>
      <w:r>
        <w:rPr>
          <w:rFonts w:hint="eastAsia" w:ascii="仿宋_GB2312" w:hAnsi="仿宋" w:eastAsia="仿宋_GB2312"/>
          <w:color w:val="auto"/>
          <w:kern w:val="0"/>
          <w:sz w:val="32"/>
          <w:szCs w:val="32"/>
          <w:highlight w:val="none"/>
        </w:rPr>
        <w:t>矿山生态恢复与修复</w:t>
      </w:r>
      <w:r>
        <w:rPr>
          <w:rFonts w:hint="eastAsia" w:ascii="仿宋" w:hAnsi="仿宋" w:eastAsia="仿宋" w:cs="仿宋"/>
          <w:bCs/>
          <w:color w:val="auto"/>
          <w:sz w:val="32"/>
          <w:szCs w:val="32"/>
          <w:highlight w:val="none"/>
        </w:rPr>
        <w:t>。</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六</w:t>
      </w:r>
      <w:r>
        <w:rPr>
          <w:rFonts w:hint="eastAsia" w:ascii="仿宋_GB2312" w:eastAsia="仿宋_GB2312"/>
        </w:rPr>
        <w:t>）山地田园强特色。营造</w:t>
      </w:r>
      <w:r>
        <w:rPr>
          <w:rFonts w:hint="eastAsia" w:ascii="仿宋_GB2312" w:eastAsia="仿宋_GB2312"/>
          <w:lang w:val="en-US" w:eastAsia="zh-CN"/>
        </w:rPr>
        <w:t>丰富多彩的大地景观风貌</w:t>
      </w:r>
      <w:r>
        <w:rPr>
          <w:rFonts w:hint="eastAsia" w:ascii="仿宋_GB2312" w:eastAsia="仿宋_GB2312"/>
        </w:rPr>
        <w:t>，提升乡村空间品质</w:t>
      </w:r>
    </w:p>
    <w:p>
      <w:pPr>
        <w:spacing w:line="560" w:lineRule="exact"/>
        <w:ind w:firstLine="640" w:firstLineChars="200"/>
        <w:rPr>
          <w:rFonts w:hint="eastAsia" w:ascii="仿宋_GB2312" w:hAnsi="仿宋" w:eastAsia="仿宋_GB2312"/>
          <w:kern w:val="0"/>
          <w:sz w:val="32"/>
          <w:szCs w:val="32"/>
          <w:lang w:val="en-US" w:eastAsia="zh-CN"/>
        </w:rPr>
      </w:pPr>
      <w:r>
        <w:rPr>
          <w:rFonts w:hint="default" w:ascii="仿宋_GB2312" w:hAnsi="仿宋" w:eastAsia="仿宋_GB2312"/>
          <w:kern w:val="0"/>
          <w:sz w:val="32"/>
          <w:szCs w:val="32"/>
          <w:lang w:val="en-US" w:eastAsia="zh-CN"/>
        </w:rPr>
        <w:t>结合羊木片区产业发展分布情况与地形地貌等因素，以景产兼顾的农业为基础，</w:t>
      </w:r>
      <w:r>
        <w:rPr>
          <w:rFonts w:hint="eastAsia" w:ascii="仿宋_GB2312" w:hAnsi="仿宋" w:eastAsia="仿宋_GB2312"/>
          <w:kern w:val="0"/>
          <w:sz w:val="32"/>
          <w:szCs w:val="32"/>
          <w:lang w:val="en-US" w:eastAsia="zh-CN"/>
        </w:rPr>
        <w:t>打造</w:t>
      </w:r>
      <w:r>
        <w:rPr>
          <w:rFonts w:hint="default" w:ascii="仿宋_GB2312" w:hAnsi="仿宋" w:eastAsia="仿宋_GB2312"/>
          <w:kern w:val="0"/>
          <w:sz w:val="32"/>
          <w:szCs w:val="32"/>
          <w:lang w:val="en-US" w:eastAsia="zh-CN"/>
        </w:rPr>
        <w:t>形成特色大地景观</w:t>
      </w:r>
      <w:r>
        <w:rPr>
          <w:rFonts w:hint="eastAsia" w:ascii="仿宋_GB2312" w:hAnsi="仿宋" w:eastAsia="仿宋_GB2312"/>
          <w:kern w:val="0"/>
          <w:sz w:val="32"/>
          <w:szCs w:val="32"/>
          <w:lang w:val="en-US" w:eastAsia="zh-CN"/>
        </w:rPr>
        <w:t>风貌。形成4片特色种植区，根据区域农作物特色，分片区分季节开展耕作指引，塑造全域全时全季有景可观的现代农业大地景观。</w:t>
      </w:r>
    </w:p>
    <w:p>
      <w:pPr>
        <w:spacing w:line="560" w:lineRule="exact"/>
        <w:ind w:firstLine="643" w:firstLineChars="200"/>
        <w:rPr>
          <w:rFonts w:hint="eastAsia"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多彩林木风貌</w:t>
      </w:r>
      <w:r>
        <w:rPr>
          <w:rFonts w:hint="eastAsia" w:ascii="仿宋_GB2312" w:hAnsi="仿宋" w:eastAsia="仿宋_GB2312"/>
          <w:kern w:val="0"/>
          <w:sz w:val="32"/>
          <w:szCs w:val="32"/>
          <w:lang w:val="en-US" w:eastAsia="zh-CN"/>
        </w:rPr>
        <w:t>：羊木片区西南部山地海拔较高，根据双评价结果，多为农业生产不适宜区以及生态保护极重要区，且区域林地较多，结合当地特色树种以及小水果产业，打造多彩林木大地景观。</w:t>
      </w:r>
    </w:p>
    <w:p>
      <w:pPr>
        <w:spacing w:line="560" w:lineRule="exact"/>
        <w:ind w:firstLine="643" w:firstLineChars="200"/>
        <w:rPr>
          <w:rFonts w:hint="eastAsia"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近郊花卉景观风貌</w:t>
      </w:r>
      <w:r>
        <w:rPr>
          <w:rFonts w:hint="eastAsia" w:ascii="仿宋_GB2312" w:hAnsi="仿宋" w:eastAsia="仿宋_GB2312"/>
          <w:kern w:val="0"/>
          <w:sz w:val="32"/>
          <w:szCs w:val="32"/>
          <w:lang w:val="en-US" w:eastAsia="zh-CN"/>
        </w:rPr>
        <w:t>：羊木片区中部主要为浅丘地区，水资源丰富，适合种植油菜花等粮油等产业，规划以春夏季节为主，打造近郊花卉大地景观。</w:t>
      </w:r>
    </w:p>
    <w:p>
      <w:pPr>
        <w:spacing w:line="560" w:lineRule="exact"/>
        <w:ind w:firstLine="643" w:firstLineChars="200"/>
        <w:rPr>
          <w:rFonts w:hint="eastAsia"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现代农业景观风貌</w:t>
      </w:r>
      <w:r>
        <w:rPr>
          <w:rFonts w:hint="eastAsia" w:ascii="仿宋_GB2312" w:hAnsi="仿宋" w:eastAsia="仿宋_GB2312"/>
          <w:kern w:val="0"/>
          <w:sz w:val="32"/>
          <w:szCs w:val="32"/>
          <w:lang w:val="en-US" w:eastAsia="zh-CN"/>
        </w:rPr>
        <w:t>：羊木片区东南部地势较为平缓，现状为羊木镇镇区，以现代农业产业园区为基底，结合可以以周边林木资源，打造四季有景的现代农业风貌大地景观。</w:t>
      </w:r>
    </w:p>
    <w:p>
      <w:pPr>
        <w:spacing w:line="560" w:lineRule="exact"/>
        <w:ind w:firstLine="643" w:firstLineChars="200"/>
        <w:rPr>
          <w:rFonts w:hint="default" w:ascii="仿宋_GB2312" w:hAnsi="仿宋" w:eastAsia="仿宋_GB2312"/>
          <w:kern w:val="0"/>
          <w:sz w:val="32"/>
          <w:szCs w:val="32"/>
          <w:lang w:val="en-US" w:eastAsia="zh-CN"/>
        </w:rPr>
      </w:pPr>
      <w:r>
        <w:rPr>
          <w:rFonts w:hint="default" w:ascii="仿宋_GB2312" w:hAnsi="仿宋" w:eastAsia="仿宋_GB2312"/>
          <w:b/>
          <w:bCs/>
          <w:kern w:val="0"/>
          <w:sz w:val="32"/>
          <w:szCs w:val="32"/>
          <w:lang w:val="en-US" w:eastAsia="zh-CN"/>
        </w:rPr>
        <w:t>特色农业生态风貌</w:t>
      </w:r>
      <w:r>
        <w:rPr>
          <w:rFonts w:hint="eastAsia" w:ascii="仿宋_GB2312" w:hAnsi="仿宋" w:eastAsia="仿宋_GB2312"/>
          <w:kern w:val="0"/>
          <w:sz w:val="32"/>
          <w:szCs w:val="32"/>
          <w:lang w:val="en-US" w:eastAsia="zh-CN"/>
        </w:rPr>
        <w:t>：羊木片区南部主要为丘陵地带，地势较为平缓，依托现状片区内丰富的森林资源，大面积种植木耳、香菇、核桃等土特产，发展畜牧养殖、水产养殖产业，打造特色生态农业大地景观。</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融合山地田园与乡村聚落。因地制宜采用</w:t>
      </w:r>
      <w:r>
        <w:rPr>
          <w:rFonts w:hint="eastAsia" w:ascii="仿宋_GB2312" w:hAnsi="仿宋" w:eastAsia="仿宋_GB2312"/>
          <w:kern w:val="0"/>
          <w:sz w:val="32"/>
          <w:szCs w:val="32"/>
        </w:rPr>
        <w:t>“小规模、组团式、微田园、生态化”、“大分散、小聚居”聚居形态。形成“沿山近林，依山就势，园在山中，房在林中”的山、水、林、田、村一体的生态镇村和</w:t>
      </w:r>
      <w:r>
        <w:rPr>
          <w:rFonts w:hint="eastAsia" w:ascii="仿宋_GB2312" w:hAnsi="仿宋" w:eastAsia="仿宋_GB2312"/>
          <w:kern w:val="0"/>
          <w:sz w:val="32"/>
          <w:szCs w:val="32"/>
          <w:lang w:val="en-US" w:eastAsia="zh-CN"/>
        </w:rPr>
        <w:t>食用菌</w:t>
      </w:r>
      <w:r>
        <w:rPr>
          <w:rFonts w:hint="eastAsia" w:ascii="仿宋_GB2312" w:hAnsi="仿宋" w:eastAsia="仿宋_GB2312"/>
          <w:kern w:val="0"/>
          <w:sz w:val="32"/>
          <w:szCs w:val="32"/>
        </w:rPr>
        <w:t>产业园区。</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采用川北民居风貌。</w:t>
      </w:r>
      <w:r>
        <w:rPr>
          <w:rFonts w:hint="eastAsia" w:ascii="仿宋" w:hAnsi="仿宋" w:eastAsia="仿宋" w:cs="仿宋"/>
          <w:bCs/>
          <w:sz w:val="32"/>
          <w:szCs w:val="32"/>
        </w:rPr>
        <w:t>延续“川东北”山地民居及聚落特征，</w:t>
      </w:r>
      <w:r>
        <w:rPr>
          <w:rFonts w:hint="eastAsia" w:ascii="仿宋_GB2312" w:hAnsi="仿宋" w:eastAsia="仿宋_GB2312"/>
          <w:kern w:val="0"/>
          <w:sz w:val="32"/>
          <w:szCs w:val="32"/>
        </w:rPr>
        <w:t>分城镇、民居、民宿三类进行指引与管控</w:t>
      </w:r>
      <w:r>
        <w:rPr>
          <w:rFonts w:hint="eastAsia" w:ascii="仿宋" w:hAnsi="仿宋" w:eastAsia="仿宋" w:cs="仿宋"/>
          <w:bCs/>
          <w:sz w:val="32"/>
          <w:szCs w:val="32"/>
        </w:rPr>
        <w:t>。</w:t>
      </w:r>
    </w:p>
    <w:p>
      <w:pPr>
        <w:spacing w:line="560" w:lineRule="exact"/>
        <w:ind w:firstLine="643" w:firstLineChars="200"/>
        <w:rPr>
          <w:rFonts w:ascii="仿宋" w:hAnsi="仿宋" w:eastAsia="仿宋" w:cs="仿宋"/>
          <w:bCs/>
          <w:sz w:val="32"/>
          <w:szCs w:val="32"/>
        </w:rPr>
      </w:pPr>
      <w:r>
        <w:rPr>
          <w:rFonts w:hint="eastAsia" w:ascii="仿宋" w:hAnsi="仿宋" w:eastAsia="仿宋" w:cs="仿宋"/>
          <w:b/>
          <w:bCs/>
          <w:sz w:val="32"/>
          <w:szCs w:val="32"/>
        </w:rPr>
        <w:t>提升人居环境品质。</w:t>
      </w:r>
      <w:r>
        <w:rPr>
          <w:rFonts w:ascii="仿宋_GB2312" w:hAnsi="仿宋" w:eastAsia="仿宋_GB2312"/>
          <w:kern w:val="0"/>
          <w:sz w:val="32"/>
          <w:szCs w:val="32"/>
        </w:rPr>
        <w:t>围绕“美丽四川·宜居乡村”建设，加强农村人居环境整治，</w:t>
      </w:r>
      <w:r>
        <w:rPr>
          <w:rFonts w:hint="eastAsia" w:ascii="仿宋" w:hAnsi="仿宋" w:eastAsia="仿宋" w:cs="仿宋"/>
          <w:bCs/>
          <w:sz w:val="32"/>
          <w:szCs w:val="32"/>
        </w:rPr>
        <w:t>一体化推进实现全域覆盖的垃圾污水治理，卫生美观的厕所革命，生态化、景观化的乡村道路整治。</w:t>
      </w:r>
    </w:p>
    <w:p>
      <w:pPr>
        <w:pStyle w:val="6"/>
        <w:spacing w:before="0" w:after="0" w:line="560" w:lineRule="exact"/>
        <w:ind w:firstLine="643" w:firstLineChars="200"/>
        <w:rPr>
          <w:rFonts w:ascii="仿宋_GB2312" w:eastAsia="仿宋_GB2312"/>
        </w:rPr>
      </w:pPr>
      <w:r>
        <w:rPr>
          <w:rFonts w:hint="eastAsia" w:ascii="仿宋_GB2312" w:eastAsia="仿宋_GB2312"/>
        </w:rPr>
        <w:t>（</w:t>
      </w:r>
      <w:r>
        <w:rPr>
          <w:rFonts w:hint="eastAsia" w:ascii="仿宋_GB2312" w:eastAsia="仿宋_GB2312"/>
          <w:lang w:val="en-US" w:eastAsia="zh-CN"/>
        </w:rPr>
        <w:t>七</w:t>
      </w:r>
      <w:r>
        <w:rPr>
          <w:rFonts w:hint="eastAsia" w:ascii="仿宋_GB2312" w:eastAsia="仿宋_GB2312"/>
        </w:rPr>
        <w:t>）宜居宜游强中心。做强中心镇、做优一般镇，促进片区整体发展</w:t>
      </w:r>
    </w:p>
    <w:p>
      <w:pPr>
        <w:tabs>
          <w:tab w:val="left" w:pos="720"/>
        </w:tabs>
        <w:spacing w:line="560" w:lineRule="exact"/>
        <w:ind w:firstLine="643" w:firstLineChars="200"/>
        <w:rPr>
          <w:rFonts w:ascii="仿宋" w:hAnsi="仿宋" w:eastAsia="仿宋" w:cs="仿宋"/>
          <w:bCs/>
          <w:sz w:val="32"/>
          <w:szCs w:val="32"/>
        </w:rPr>
      </w:pPr>
      <w:r>
        <w:rPr>
          <w:rFonts w:hint="eastAsia" w:ascii="仿宋" w:hAnsi="仿宋" w:eastAsia="仿宋" w:cs="仿宋"/>
          <w:b/>
          <w:sz w:val="32"/>
          <w:szCs w:val="32"/>
        </w:rPr>
        <w:t>做强中心镇</w:t>
      </w:r>
      <w:r>
        <w:rPr>
          <w:rFonts w:hint="eastAsia" w:ascii="仿宋" w:hAnsi="仿宋" w:eastAsia="仿宋" w:cs="仿宋"/>
          <w:b/>
          <w:sz w:val="32"/>
          <w:szCs w:val="32"/>
          <w:lang w:val="en-US" w:eastAsia="zh-CN"/>
        </w:rPr>
        <w:t>羊木</w:t>
      </w:r>
      <w:r>
        <w:rPr>
          <w:rFonts w:hint="eastAsia" w:ascii="仿宋" w:hAnsi="仿宋" w:eastAsia="仿宋" w:cs="仿宋"/>
          <w:b/>
          <w:sz w:val="32"/>
          <w:szCs w:val="32"/>
        </w:rPr>
        <w:t>镇。</w:t>
      </w:r>
      <w:r>
        <w:rPr>
          <w:rFonts w:hint="eastAsia" w:ascii="仿宋" w:hAnsi="仿宋" w:eastAsia="仿宋" w:cs="仿宋"/>
          <w:bCs/>
          <w:sz w:val="32"/>
          <w:szCs w:val="32"/>
        </w:rPr>
        <w:t>充分发挥</w:t>
      </w:r>
      <w:r>
        <w:rPr>
          <w:rFonts w:hint="eastAsia" w:ascii="仿宋" w:hAnsi="仿宋" w:eastAsia="仿宋" w:cs="仿宋"/>
          <w:bCs/>
          <w:sz w:val="32"/>
          <w:szCs w:val="32"/>
          <w:lang w:val="en-US" w:eastAsia="zh-CN"/>
        </w:rPr>
        <w:t>羊木</w:t>
      </w:r>
      <w:r>
        <w:rPr>
          <w:rFonts w:hint="eastAsia" w:ascii="仿宋" w:hAnsi="仿宋" w:eastAsia="仿宋" w:cs="仿宋"/>
          <w:bCs/>
          <w:sz w:val="32"/>
          <w:szCs w:val="32"/>
        </w:rPr>
        <w:t>镇区位优势，结合上位规划要求，确定</w:t>
      </w:r>
      <w:r>
        <w:rPr>
          <w:rFonts w:hint="eastAsia" w:ascii="仿宋" w:hAnsi="仿宋" w:eastAsia="仿宋" w:cs="仿宋"/>
          <w:bCs/>
          <w:sz w:val="32"/>
          <w:szCs w:val="32"/>
          <w:lang w:val="en-US" w:eastAsia="zh-CN"/>
        </w:rPr>
        <w:t>羊木镇</w:t>
      </w:r>
      <w:r>
        <w:rPr>
          <w:rFonts w:hint="eastAsia" w:ascii="仿宋" w:hAnsi="仿宋" w:eastAsia="仿宋" w:cs="仿宋"/>
          <w:bCs/>
          <w:sz w:val="32"/>
          <w:szCs w:val="32"/>
        </w:rPr>
        <w:t>镇区为片区综合服务中心，</w:t>
      </w:r>
      <w:r>
        <w:rPr>
          <w:rFonts w:hint="eastAsia" w:ascii="仿宋" w:hAnsi="仿宋" w:eastAsia="仿宋" w:cs="仿宋"/>
          <w:bCs/>
          <w:sz w:val="32"/>
          <w:szCs w:val="32"/>
          <w:lang w:val="en-US" w:eastAsia="zh-CN"/>
        </w:rPr>
        <w:t>经济中心</w:t>
      </w:r>
      <w:r>
        <w:rPr>
          <w:rFonts w:hint="eastAsia" w:ascii="仿宋" w:hAnsi="仿宋" w:eastAsia="仿宋" w:cs="仿宋"/>
          <w:bCs/>
          <w:sz w:val="32"/>
          <w:szCs w:val="32"/>
        </w:rPr>
        <w:t>。城镇性质为片区经济、文化、服务中心，依托</w:t>
      </w:r>
      <w:r>
        <w:rPr>
          <w:rFonts w:hint="eastAsia" w:ascii="仿宋" w:hAnsi="仿宋" w:eastAsia="仿宋" w:cs="仿宋"/>
          <w:bCs/>
          <w:sz w:val="32"/>
          <w:szCs w:val="32"/>
          <w:lang w:val="en-US" w:eastAsia="zh-CN"/>
        </w:rPr>
        <w:t>乡村旅游、食用菌研学基地</w:t>
      </w:r>
      <w:r>
        <w:rPr>
          <w:rFonts w:hint="eastAsia" w:ascii="仿宋" w:hAnsi="仿宋" w:eastAsia="仿宋" w:cs="仿宋"/>
          <w:bCs/>
          <w:sz w:val="32"/>
          <w:szCs w:val="32"/>
        </w:rPr>
        <w:t>等，发展旅游接待、公共服务的综合服务城镇。规划重点提升全域旅游接待承载力，优化居旅系统布局，外移过境交通。</w:t>
      </w:r>
      <w:r>
        <w:rPr>
          <w:rFonts w:hint="eastAsia" w:ascii="Times New Roman" w:hAnsi="Times New Roman" w:eastAsia="仿宋_GB2312"/>
          <w:kern w:val="0"/>
          <w:sz w:val="32"/>
          <w:szCs w:val="32"/>
        </w:rPr>
        <w:t>2035年，城镇人口</w:t>
      </w:r>
      <w:r>
        <w:rPr>
          <w:rFonts w:hint="eastAsia" w:ascii="Times New Roman" w:hAnsi="Times New Roman" w:eastAsia="仿宋_GB2312"/>
          <w:kern w:val="0"/>
          <w:sz w:val="32"/>
          <w:szCs w:val="32"/>
          <w:lang w:val="en-US" w:eastAsia="zh-CN"/>
        </w:rPr>
        <w:t>7361</w:t>
      </w:r>
      <w:r>
        <w:rPr>
          <w:rFonts w:hint="eastAsia" w:ascii="Times New Roman" w:hAnsi="Times New Roman" w:eastAsia="仿宋_GB2312"/>
          <w:kern w:val="0"/>
          <w:sz w:val="32"/>
          <w:szCs w:val="32"/>
        </w:rPr>
        <w:t>人，城镇建设用地</w:t>
      </w:r>
      <w:r>
        <w:rPr>
          <w:rFonts w:hint="eastAsia" w:ascii="Times New Roman" w:hAnsi="Times New Roman" w:eastAsia="仿宋_GB2312"/>
          <w:kern w:val="0"/>
          <w:sz w:val="32"/>
          <w:szCs w:val="32"/>
          <w:lang w:val="en-US" w:eastAsia="zh-CN"/>
        </w:rPr>
        <w:t>147.66</w:t>
      </w:r>
      <w:r>
        <w:rPr>
          <w:rFonts w:hint="eastAsia" w:ascii="Times New Roman" w:hAnsi="Times New Roman" w:eastAsia="仿宋_GB2312"/>
          <w:kern w:val="0"/>
          <w:sz w:val="32"/>
          <w:szCs w:val="32"/>
        </w:rPr>
        <w:t>公顷。</w:t>
      </w:r>
    </w:p>
    <w:p>
      <w:pPr>
        <w:tabs>
          <w:tab w:val="left" w:pos="720"/>
        </w:tabs>
        <w:spacing w:line="560" w:lineRule="exact"/>
        <w:ind w:firstLine="643" w:firstLineChars="200"/>
        <w:rPr>
          <w:rFonts w:hint="eastAsia" w:ascii="仿宋_GB2312" w:hAnsi="仿宋" w:eastAsia="仿宋_GB2312"/>
          <w:kern w:val="0"/>
          <w:sz w:val="32"/>
          <w:szCs w:val="32"/>
        </w:rPr>
      </w:pPr>
      <w:r>
        <w:rPr>
          <w:rFonts w:hint="eastAsia" w:ascii="仿宋" w:hAnsi="仿宋" w:eastAsia="仿宋" w:cs="仿宋"/>
          <w:b/>
          <w:sz w:val="32"/>
          <w:szCs w:val="32"/>
        </w:rPr>
        <w:t>做</w:t>
      </w:r>
      <w:r>
        <w:rPr>
          <w:rFonts w:hint="eastAsia" w:ascii="仿宋" w:hAnsi="仿宋" w:eastAsia="仿宋" w:cs="仿宋"/>
          <w:b/>
          <w:sz w:val="32"/>
          <w:szCs w:val="32"/>
          <w:lang w:val="en-US" w:eastAsia="zh-CN"/>
        </w:rPr>
        <w:t>优一般</w:t>
      </w:r>
      <w:r>
        <w:rPr>
          <w:rFonts w:hint="eastAsia" w:ascii="仿宋" w:hAnsi="仿宋" w:eastAsia="仿宋" w:cs="仿宋"/>
          <w:b/>
          <w:sz w:val="32"/>
          <w:szCs w:val="32"/>
        </w:rPr>
        <w:t>镇</w:t>
      </w:r>
      <w:r>
        <w:rPr>
          <w:rFonts w:hint="eastAsia" w:ascii="仿宋" w:hAnsi="仿宋" w:eastAsia="仿宋" w:cs="仿宋"/>
          <w:b/>
          <w:sz w:val="32"/>
          <w:szCs w:val="32"/>
          <w:lang w:val="en-US" w:eastAsia="zh-CN"/>
        </w:rPr>
        <w:t>云雾山</w:t>
      </w:r>
      <w:r>
        <w:rPr>
          <w:rFonts w:hint="eastAsia" w:ascii="仿宋" w:hAnsi="仿宋" w:eastAsia="仿宋" w:cs="仿宋"/>
          <w:b/>
          <w:sz w:val="32"/>
          <w:szCs w:val="32"/>
        </w:rPr>
        <w:t>镇。</w:t>
      </w:r>
      <w:r>
        <w:rPr>
          <w:rFonts w:hint="eastAsia" w:ascii="仿宋" w:hAnsi="仿宋" w:eastAsia="仿宋" w:cs="仿宋"/>
          <w:bCs/>
          <w:sz w:val="32"/>
          <w:szCs w:val="32"/>
          <w:lang w:val="en-US" w:eastAsia="zh-CN"/>
        </w:rPr>
        <w:t>云雾山镇</w:t>
      </w:r>
      <w:r>
        <w:rPr>
          <w:rFonts w:hint="eastAsia" w:ascii="仿宋" w:hAnsi="仿宋" w:eastAsia="仿宋" w:cs="仿宋"/>
          <w:bCs/>
          <w:sz w:val="32"/>
          <w:szCs w:val="32"/>
        </w:rPr>
        <w:t>镇区为片区休闲农旅服务基地。城镇性质为片区</w:t>
      </w:r>
      <w:r>
        <w:rPr>
          <w:rFonts w:hint="eastAsia" w:ascii="仿宋" w:hAnsi="仿宋" w:eastAsia="仿宋" w:cs="仿宋"/>
          <w:bCs/>
          <w:sz w:val="32"/>
          <w:szCs w:val="32"/>
          <w:lang w:val="en-US" w:eastAsia="zh-CN"/>
        </w:rPr>
        <w:t>北</w:t>
      </w:r>
      <w:r>
        <w:rPr>
          <w:rFonts w:hint="eastAsia" w:ascii="仿宋" w:hAnsi="仿宋" w:eastAsia="仿宋" w:cs="仿宋"/>
          <w:bCs/>
          <w:sz w:val="32"/>
          <w:szCs w:val="32"/>
        </w:rPr>
        <w:t>大门，依托边贸区位和花卉基地，</w:t>
      </w:r>
      <w:r>
        <w:rPr>
          <w:rFonts w:hint="eastAsia" w:ascii="仿宋_GB2312" w:hAnsi="仿宋_GB2312" w:eastAsia="仿宋_GB2312" w:cs="仿宋_GB2312"/>
          <w:sz w:val="32"/>
          <w:szCs w:val="32"/>
        </w:rPr>
        <w:t>云雾山生态保育与生态农业</w:t>
      </w:r>
      <w:r>
        <w:rPr>
          <w:rFonts w:hint="eastAsia" w:ascii="仿宋_GB2312" w:hAnsi="仿宋_GB2312" w:eastAsia="仿宋_GB2312" w:cs="仿宋_GB2312"/>
          <w:sz w:val="32"/>
          <w:szCs w:val="32"/>
          <w:lang w:eastAsia="zh-CN"/>
        </w:rPr>
        <w:t>，</w:t>
      </w:r>
      <w:r>
        <w:rPr>
          <w:rFonts w:hint="eastAsia" w:ascii="仿宋" w:hAnsi="仿宋" w:eastAsia="仿宋" w:cs="仿宋"/>
          <w:bCs/>
          <w:sz w:val="32"/>
          <w:szCs w:val="32"/>
        </w:rPr>
        <w:t>服务于休闲农商服务镇。</w:t>
      </w:r>
      <w:r>
        <w:rPr>
          <w:rFonts w:hint="eastAsia" w:ascii="仿宋_GB2312" w:hAnsi="仿宋" w:eastAsia="仿宋_GB2312"/>
          <w:kern w:val="0"/>
          <w:sz w:val="32"/>
          <w:szCs w:val="32"/>
        </w:rPr>
        <w:t>2035年，城镇人口规模</w:t>
      </w:r>
      <w:r>
        <w:rPr>
          <w:rFonts w:hint="eastAsia" w:ascii="仿宋_GB2312" w:hAnsi="仿宋" w:eastAsia="仿宋_GB2312"/>
          <w:kern w:val="0"/>
          <w:sz w:val="32"/>
          <w:szCs w:val="32"/>
          <w:lang w:val="en-US" w:eastAsia="zh-CN"/>
        </w:rPr>
        <w:t>952</w:t>
      </w:r>
      <w:r>
        <w:rPr>
          <w:rFonts w:hint="eastAsia" w:ascii="仿宋_GB2312" w:hAnsi="仿宋" w:eastAsia="仿宋_GB2312"/>
          <w:kern w:val="0"/>
          <w:sz w:val="32"/>
          <w:szCs w:val="32"/>
        </w:rPr>
        <w:t>人，城镇建设用地规模为</w:t>
      </w:r>
      <w:r>
        <w:rPr>
          <w:rFonts w:hint="eastAsia" w:ascii="仿宋_GB2312" w:hAnsi="仿宋" w:eastAsia="仿宋_GB2312"/>
          <w:kern w:val="0"/>
          <w:sz w:val="32"/>
          <w:szCs w:val="32"/>
          <w:lang w:val="en-US" w:eastAsia="zh-CN"/>
        </w:rPr>
        <w:t>7.01</w:t>
      </w:r>
      <w:r>
        <w:rPr>
          <w:rFonts w:hint="eastAsia" w:ascii="仿宋_GB2312" w:hAnsi="仿宋" w:eastAsia="仿宋_GB2312"/>
          <w:kern w:val="0"/>
          <w:sz w:val="32"/>
          <w:szCs w:val="32"/>
        </w:rPr>
        <w:t>公顷。</w:t>
      </w:r>
    </w:p>
    <w:p>
      <w:pPr>
        <w:pStyle w:val="2"/>
        <w:rPr>
          <w:rFonts w:hint="eastAsia" w:ascii="仿宋_GB2312" w:hAnsi="仿宋" w:eastAsia="仿宋_GB2312"/>
          <w:kern w:val="0"/>
          <w:sz w:val="32"/>
          <w:szCs w:val="32"/>
        </w:rPr>
      </w:pPr>
    </w:p>
    <w:p>
      <w:pPr>
        <w:pStyle w:val="3"/>
        <w:rPr>
          <w:rFonts w:hint="eastAsia" w:ascii="仿宋_GB2312" w:hAnsi="仿宋" w:eastAsia="仿宋_GB2312"/>
          <w:kern w:val="0"/>
          <w:sz w:val="32"/>
          <w:szCs w:val="32"/>
        </w:rPr>
      </w:pPr>
    </w:p>
    <w:p>
      <w:pPr>
        <w:pStyle w:val="6"/>
        <w:spacing w:after="0" w:line="415" w:lineRule="auto"/>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附图：片区国土空间用地规划图</w:t>
      </w:r>
    </w:p>
    <w:p>
      <w:pPr>
        <w:pStyle w:val="11"/>
        <w:ind w:left="0" w:leftChars="0" w:firstLine="0" w:firstLineChars="0"/>
        <w:rPr>
          <w:rFonts w:hint="eastAsia" w:eastAsiaTheme="minorEastAsia"/>
          <w:lang w:eastAsia="zh-CN"/>
        </w:rPr>
      </w:pPr>
      <w:r>
        <w:rPr>
          <w:rFonts w:hint="eastAsia" w:eastAsiaTheme="minorEastAsia"/>
          <w:lang w:eastAsia="zh-CN"/>
        </w:rPr>
        <w:drawing>
          <wp:inline distT="0" distB="0" distL="114300" distR="114300">
            <wp:extent cx="5260975" cy="7447915"/>
            <wp:effectExtent l="0" t="0" r="15875" b="635"/>
            <wp:docPr id="1" name="图片 1" descr="04国土空间用地规划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4国土空间用地规划图"/>
                    <pic:cNvPicPr>
                      <a:picLocks noChangeAspect="1"/>
                    </pic:cNvPicPr>
                  </pic:nvPicPr>
                  <pic:blipFill>
                    <a:blip r:embed="rId5"/>
                    <a:stretch>
                      <a:fillRect/>
                    </a:stretch>
                  </pic:blipFill>
                  <pic:spPr>
                    <a:xfrm>
                      <a:off x="0" y="0"/>
                      <a:ext cx="5260975" cy="7447915"/>
                    </a:xfrm>
                    <a:prstGeom prst="rect">
                      <a:avLst/>
                    </a:prstGeom>
                  </pic:spPr>
                </pic:pic>
              </a:graphicData>
            </a:graphic>
          </wp:inline>
        </w:drawing>
      </w:r>
    </w:p>
    <w:sectPr>
      <w:footerReference r:id="rId3" w:type="firs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3D71D"/>
    <w:multiLevelType w:val="singleLevel"/>
    <w:tmpl w:val="9233D71D"/>
    <w:lvl w:ilvl="0" w:tentative="0">
      <w:start w:val="3"/>
      <w:numFmt w:val="chineseCounting"/>
      <w:suff w:val="nothing"/>
      <w:lvlText w:val="（%1）"/>
      <w:lvlJc w:val="left"/>
      <w:rPr>
        <w:rFonts w:hint="eastAsia"/>
      </w:rPr>
    </w:lvl>
  </w:abstractNum>
  <w:abstractNum w:abstractNumId="1">
    <w:nsid w:val="74A65E7C"/>
    <w:multiLevelType w:val="multilevel"/>
    <w:tmpl w:val="74A65E7C"/>
    <w:lvl w:ilvl="0" w:tentative="0">
      <w:start w:val="1"/>
      <w:numFmt w:val="chineseCountingThousand"/>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OGMyOWU1YTM2M2U2YjExNzY0M2U1NGIzM2VjYzEifQ=="/>
  </w:docVars>
  <w:rsids>
    <w:rsidRoot w:val="00AB19D6"/>
    <w:rsid w:val="000314B6"/>
    <w:rsid w:val="00065A0C"/>
    <w:rsid w:val="000B1208"/>
    <w:rsid w:val="000B4A12"/>
    <w:rsid w:val="0010132C"/>
    <w:rsid w:val="00137AF7"/>
    <w:rsid w:val="0014449B"/>
    <w:rsid w:val="00144EC9"/>
    <w:rsid w:val="00154B25"/>
    <w:rsid w:val="001D1C63"/>
    <w:rsid w:val="001D36F6"/>
    <w:rsid w:val="001D732F"/>
    <w:rsid w:val="001F5D90"/>
    <w:rsid w:val="00205E10"/>
    <w:rsid w:val="002306A8"/>
    <w:rsid w:val="00234F82"/>
    <w:rsid w:val="00277474"/>
    <w:rsid w:val="00293032"/>
    <w:rsid w:val="0032448D"/>
    <w:rsid w:val="003436A8"/>
    <w:rsid w:val="003B01FF"/>
    <w:rsid w:val="003D1E40"/>
    <w:rsid w:val="004033FD"/>
    <w:rsid w:val="0043003F"/>
    <w:rsid w:val="00436FDD"/>
    <w:rsid w:val="004430D2"/>
    <w:rsid w:val="00443446"/>
    <w:rsid w:val="00494E93"/>
    <w:rsid w:val="004F4350"/>
    <w:rsid w:val="00536E2D"/>
    <w:rsid w:val="00565F61"/>
    <w:rsid w:val="005D447F"/>
    <w:rsid w:val="005E02DB"/>
    <w:rsid w:val="005E0BA2"/>
    <w:rsid w:val="00635E2E"/>
    <w:rsid w:val="00641203"/>
    <w:rsid w:val="0066229B"/>
    <w:rsid w:val="00681026"/>
    <w:rsid w:val="006A3897"/>
    <w:rsid w:val="006A5C11"/>
    <w:rsid w:val="006C1FA7"/>
    <w:rsid w:val="006F6AD7"/>
    <w:rsid w:val="007216E9"/>
    <w:rsid w:val="007276C0"/>
    <w:rsid w:val="00735911"/>
    <w:rsid w:val="007637D6"/>
    <w:rsid w:val="00774BAD"/>
    <w:rsid w:val="00780148"/>
    <w:rsid w:val="00783E16"/>
    <w:rsid w:val="00786050"/>
    <w:rsid w:val="00787E67"/>
    <w:rsid w:val="00797C3A"/>
    <w:rsid w:val="007D6E3D"/>
    <w:rsid w:val="007E5B61"/>
    <w:rsid w:val="008005BD"/>
    <w:rsid w:val="00812241"/>
    <w:rsid w:val="00813668"/>
    <w:rsid w:val="00813D20"/>
    <w:rsid w:val="00834F5B"/>
    <w:rsid w:val="00836510"/>
    <w:rsid w:val="00852C3E"/>
    <w:rsid w:val="008B571F"/>
    <w:rsid w:val="008D2C33"/>
    <w:rsid w:val="008D729E"/>
    <w:rsid w:val="009200C8"/>
    <w:rsid w:val="009322E3"/>
    <w:rsid w:val="00953C5D"/>
    <w:rsid w:val="009C07B7"/>
    <w:rsid w:val="009C7345"/>
    <w:rsid w:val="00A368B8"/>
    <w:rsid w:val="00AB19D6"/>
    <w:rsid w:val="00B03765"/>
    <w:rsid w:val="00B15C22"/>
    <w:rsid w:val="00B17D30"/>
    <w:rsid w:val="00B7117A"/>
    <w:rsid w:val="00B77CDA"/>
    <w:rsid w:val="00BE4015"/>
    <w:rsid w:val="00BF3A0B"/>
    <w:rsid w:val="00BF3E22"/>
    <w:rsid w:val="00C0399A"/>
    <w:rsid w:val="00C10AF7"/>
    <w:rsid w:val="00C42FE6"/>
    <w:rsid w:val="00C56361"/>
    <w:rsid w:val="00C72F7E"/>
    <w:rsid w:val="00C91B66"/>
    <w:rsid w:val="00CB6382"/>
    <w:rsid w:val="00CE79C1"/>
    <w:rsid w:val="00CF466D"/>
    <w:rsid w:val="00D445BD"/>
    <w:rsid w:val="00D4491B"/>
    <w:rsid w:val="00D76193"/>
    <w:rsid w:val="00E01C69"/>
    <w:rsid w:val="00E27AEC"/>
    <w:rsid w:val="00EA06F8"/>
    <w:rsid w:val="00EA52AE"/>
    <w:rsid w:val="00ED6785"/>
    <w:rsid w:val="00EF03C3"/>
    <w:rsid w:val="00F34C69"/>
    <w:rsid w:val="00F62DC5"/>
    <w:rsid w:val="05BD626F"/>
    <w:rsid w:val="13F56BD4"/>
    <w:rsid w:val="16230469"/>
    <w:rsid w:val="1686445B"/>
    <w:rsid w:val="182F304C"/>
    <w:rsid w:val="2F04145A"/>
    <w:rsid w:val="339648F0"/>
    <w:rsid w:val="3BAD1542"/>
    <w:rsid w:val="41714CED"/>
    <w:rsid w:val="479E7E1F"/>
    <w:rsid w:val="4D783DF7"/>
    <w:rsid w:val="4E3B0A45"/>
    <w:rsid w:val="51433C5D"/>
    <w:rsid w:val="5B9417F2"/>
    <w:rsid w:val="60BC5E80"/>
    <w:rsid w:val="62C27520"/>
    <w:rsid w:val="66ED3A01"/>
    <w:rsid w:val="6AA83F46"/>
    <w:rsid w:val="6B713F07"/>
    <w:rsid w:val="70201FDB"/>
    <w:rsid w:val="72431876"/>
    <w:rsid w:val="745915AC"/>
    <w:rsid w:val="77B4399B"/>
    <w:rsid w:val="7B094C60"/>
    <w:rsid w:val="7C30396B"/>
    <w:rsid w:val="7EA8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20"/>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21"/>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6"/>
    <w:unhideWhenUsed/>
    <w:qFormat/>
    <w:uiPriority w:val="99"/>
    <w:pPr>
      <w:spacing w:after="120"/>
    </w:pPr>
    <w:rPr>
      <w:rFonts w:ascii="Times New Roman" w:hAnsi="Times New Roman" w:eastAsia="宋体" w:cs="Times New Roman"/>
    </w:rPr>
  </w:style>
  <w:style w:type="paragraph" w:styleId="3">
    <w:name w:val="Body Text First Indent"/>
    <w:basedOn w:val="2"/>
    <w:link w:val="19"/>
    <w:semiHidden/>
    <w:unhideWhenUsed/>
    <w:qFormat/>
    <w:uiPriority w:val="99"/>
    <w:pPr>
      <w:ind w:firstLine="420" w:firstLineChars="100"/>
    </w:pPr>
    <w:rPr>
      <w:rFonts w:asciiTheme="minorHAnsi" w:hAnsiTheme="minorHAnsi" w:eastAsiaTheme="minorEastAsia" w:cstheme="minorBidi"/>
    </w:rPr>
  </w:style>
  <w:style w:type="paragraph" w:styleId="7">
    <w:name w:val="Body Text Indent"/>
    <w:basedOn w:val="1"/>
    <w:link w:val="17"/>
    <w:semiHidden/>
    <w:unhideWhenUsed/>
    <w:qFormat/>
    <w:uiPriority w:val="99"/>
    <w:pPr>
      <w:spacing w:after="120"/>
      <w:ind w:left="420" w:leftChars="200"/>
    </w:pPr>
  </w:style>
  <w:style w:type="paragraph" w:styleId="8">
    <w:name w:val="footer"/>
    <w:basedOn w:val="1"/>
    <w:link w:val="24"/>
    <w:unhideWhenUsed/>
    <w:qFormat/>
    <w:uiPriority w:val="99"/>
    <w:pPr>
      <w:tabs>
        <w:tab w:val="center" w:pos="4153"/>
        <w:tab w:val="right" w:pos="8306"/>
      </w:tabs>
      <w:snapToGrid w:val="0"/>
      <w:jc w:val="left"/>
    </w:pPr>
    <w:rPr>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1">
    <w:name w:val="Body Text First Indent 2"/>
    <w:basedOn w:val="7"/>
    <w:link w:val="18"/>
    <w:semiHidden/>
    <w:unhideWhenUsed/>
    <w:qFormat/>
    <w:uiPriority w:val="99"/>
    <w:pPr>
      <w:ind w:firstLine="420" w:firstLineChars="200"/>
    </w:pPr>
  </w:style>
  <w:style w:type="character" w:customStyle="1" w:styleId="14">
    <w:name w:val="正文文本 Char"/>
    <w:qFormat/>
    <w:locked/>
    <w:uiPriority w:val="99"/>
    <w:rPr>
      <w:kern w:val="2"/>
      <w:sz w:val="21"/>
      <w:szCs w:val="24"/>
    </w:rPr>
  </w:style>
  <w:style w:type="character" w:customStyle="1" w:styleId="15">
    <w:name w:val="标题 2 字符"/>
    <w:basedOn w:val="13"/>
    <w:link w:val="5"/>
    <w:qFormat/>
    <w:uiPriority w:val="9"/>
    <w:rPr>
      <w:rFonts w:asciiTheme="majorHAnsi" w:hAnsiTheme="majorHAnsi" w:eastAsiaTheme="majorEastAsia" w:cstheme="majorBidi"/>
      <w:b/>
      <w:bCs/>
      <w:sz w:val="32"/>
      <w:szCs w:val="32"/>
    </w:rPr>
  </w:style>
  <w:style w:type="character" w:customStyle="1" w:styleId="16">
    <w:name w:val="正文文本 字符"/>
    <w:basedOn w:val="13"/>
    <w:link w:val="2"/>
    <w:qFormat/>
    <w:uiPriority w:val="99"/>
    <w:rPr>
      <w:rFonts w:ascii="Times New Roman" w:hAnsi="Times New Roman" w:eastAsia="宋体" w:cs="Times New Roman"/>
      <w:szCs w:val="24"/>
    </w:rPr>
  </w:style>
  <w:style w:type="character" w:customStyle="1" w:styleId="17">
    <w:name w:val="正文文本缩进 字符"/>
    <w:basedOn w:val="13"/>
    <w:link w:val="7"/>
    <w:semiHidden/>
    <w:qFormat/>
    <w:uiPriority w:val="99"/>
    <w:rPr>
      <w:szCs w:val="24"/>
    </w:rPr>
  </w:style>
  <w:style w:type="character" w:customStyle="1" w:styleId="18">
    <w:name w:val="正文文本首行缩进 2 字符"/>
    <w:basedOn w:val="17"/>
    <w:link w:val="11"/>
    <w:semiHidden/>
    <w:qFormat/>
    <w:uiPriority w:val="99"/>
    <w:rPr>
      <w:szCs w:val="24"/>
    </w:rPr>
  </w:style>
  <w:style w:type="character" w:customStyle="1" w:styleId="19">
    <w:name w:val="正文文本首行缩进 字符"/>
    <w:basedOn w:val="16"/>
    <w:link w:val="3"/>
    <w:semiHidden/>
    <w:qFormat/>
    <w:uiPriority w:val="99"/>
    <w:rPr>
      <w:rFonts w:ascii="Times New Roman" w:hAnsi="Times New Roman" w:eastAsia="宋体" w:cs="Times New Roman"/>
      <w:szCs w:val="24"/>
    </w:rPr>
  </w:style>
  <w:style w:type="character" w:customStyle="1" w:styleId="20">
    <w:name w:val="标题 1 字符"/>
    <w:basedOn w:val="13"/>
    <w:link w:val="4"/>
    <w:qFormat/>
    <w:uiPriority w:val="0"/>
    <w:rPr>
      <w:b/>
      <w:bCs/>
      <w:kern w:val="44"/>
      <w:sz w:val="44"/>
      <w:szCs w:val="44"/>
    </w:rPr>
  </w:style>
  <w:style w:type="character" w:customStyle="1" w:styleId="21">
    <w:name w:val="标题 3 字符"/>
    <w:basedOn w:val="13"/>
    <w:link w:val="6"/>
    <w:qFormat/>
    <w:uiPriority w:val="0"/>
    <w:rPr>
      <w:b/>
      <w:bCs/>
      <w:sz w:val="32"/>
      <w:szCs w:val="32"/>
    </w:rPr>
  </w:style>
  <w:style w:type="paragraph" w:styleId="22">
    <w:name w:val="List Paragraph"/>
    <w:basedOn w:val="1"/>
    <w:qFormat/>
    <w:uiPriority w:val="34"/>
    <w:pPr>
      <w:ind w:firstLine="420" w:firstLineChars="200"/>
    </w:pPr>
  </w:style>
  <w:style w:type="character" w:customStyle="1" w:styleId="23">
    <w:name w:val="页眉 字符"/>
    <w:basedOn w:val="13"/>
    <w:link w:val="9"/>
    <w:qFormat/>
    <w:uiPriority w:val="99"/>
    <w:rPr>
      <w:sz w:val="18"/>
      <w:szCs w:val="18"/>
    </w:rPr>
  </w:style>
  <w:style w:type="character" w:customStyle="1" w:styleId="24">
    <w:name w:val="页脚 字符"/>
    <w:basedOn w:val="13"/>
    <w:link w:val="8"/>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12</Pages>
  <Words>5182</Words>
  <Characters>5325</Characters>
  <Lines>43</Lines>
  <Paragraphs>12</Paragraphs>
  <TotalTime>6</TotalTime>
  <ScaleCrop>false</ScaleCrop>
  <LinksUpToDate>false</LinksUpToDate>
  <CharactersWithSpaces>5326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2022-06-06T06:26:00Z</dcterms:created>
  <dc:creator>CZS</dc:creator>
  <cp:lastModifiedBy>忘言</cp:lastModifiedBy>
  <dcterms:modified xsi:type="dcterms:W3CDTF">2023-07-03T06:27:17Z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6DF6688FBAE54CA8967FE28C3C05BFC3_13</vt:lpwstr>
  </property>
</Properties>
</file>