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DB" w:rsidRDefault="00ED0FB5">
      <w:pPr>
        <w:pStyle w:val="1"/>
        <w:jc w:val="center"/>
        <w:rPr>
          <w:rFonts w:ascii="方正小标宋简体" w:eastAsia="方正小标宋简体" w:hAnsi="方正小标宋简体" w:cs="方正小标宋简体"/>
          <w:b w:val="0"/>
        </w:rPr>
      </w:pPr>
      <w:bookmarkStart w:id="0" w:name="_GoBack"/>
      <w:r>
        <w:rPr>
          <w:rFonts w:ascii="方正小标宋简体" w:eastAsia="方正小标宋简体" w:hAnsi="方正小标宋简体" w:cs="方正小标宋简体" w:hint="eastAsia"/>
          <w:b w:val="0"/>
        </w:rPr>
        <w:t>朝天区</w:t>
      </w:r>
      <w:r>
        <w:rPr>
          <w:rFonts w:ascii="方正小标宋简体" w:eastAsia="方正小标宋简体" w:hAnsi="方正小标宋简体" w:cs="方正小标宋简体" w:hint="eastAsia"/>
          <w:b w:val="0"/>
        </w:rPr>
        <w:t>社会保险领域政务公开标准目录</w:t>
      </w:r>
    </w:p>
    <w:tbl>
      <w:tblPr>
        <w:tblW w:w="15202"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46"/>
        <w:gridCol w:w="1728"/>
        <w:gridCol w:w="2550"/>
        <w:gridCol w:w="2296"/>
        <w:gridCol w:w="1477"/>
        <w:gridCol w:w="1292"/>
        <w:gridCol w:w="1489"/>
        <w:gridCol w:w="773"/>
        <w:gridCol w:w="669"/>
        <w:gridCol w:w="565"/>
        <w:gridCol w:w="877"/>
      </w:tblGrid>
      <w:tr w:rsidR="00BA6DDB">
        <w:trPr>
          <w:cantSplit/>
        </w:trPr>
        <w:tc>
          <w:tcPr>
            <w:tcW w:w="540" w:type="dxa"/>
            <w:vMerge w:val="restart"/>
            <w:shd w:val="clear" w:color="auto" w:fill="auto"/>
            <w:noWrap/>
            <w:vAlign w:val="center"/>
          </w:tcPr>
          <w:bookmarkEnd w:id="0"/>
          <w:p w:rsidR="00BA6DDB" w:rsidRDefault="00ED0FB5">
            <w:pPr>
              <w:widowControl/>
              <w:rPr>
                <w:rFonts w:ascii="黑体" w:eastAsia="黑体" w:hAnsi="Times New Roman"/>
                <w:color w:val="000000"/>
                <w:kern w:val="0"/>
                <w:sz w:val="22"/>
              </w:rPr>
            </w:pPr>
            <w:r>
              <w:rPr>
                <w:rFonts w:ascii="黑体" w:eastAsia="黑体" w:hAnsi="宋体" w:hint="eastAsia"/>
                <w:color w:val="000000"/>
                <w:kern w:val="0"/>
                <w:sz w:val="22"/>
              </w:rPr>
              <w:t>序号</w:t>
            </w:r>
          </w:p>
        </w:tc>
        <w:tc>
          <w:tcPr>
            <w:tcW w:w="2674" w:type="dxa"/>
            <w:gridSpan w:val="2"/>
            <w:shd w:val="clear" w:color="auto" w:fill="auto"/>
            <w:noWrap/>
            <w:vAlign w:val="center"/>
          </w:tcPr>
          <w:p w:rsidR="00BA6DDB" w:rsidRDefault="00ED0FB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550" w:type="dxa"/>
            <w:vMerge w:val="restart"/>
            <w:shd w:val="clear" w:color="auto" w:fill="auto"/>
            <w:noWrap/>
            <w:vAlign w:val="center"/>
          </w:tcPr>
          <w:p w:rsidR="00BA6DDB" w:rsidRDefault="00ED0FB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w:t>
            </w:r>
          </w:p>
          <w:p w:rsidR="00BA6DDB" w:rsidRDefault="00ED0FB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（要素）</w:t>
            </w:r>
          </w:p>
        </w:tc>
        <w:tc>
          <w:tcPr>
            <w:tcW w:w="2296" w:type="dxa"/>
            <w:vMerge w:val="restart"/>
            <w:shd w:val="clear" w:color="auto" w:fill="auto"/>
            <w:noWrap/>
            <w:vAlign w:val="center"/>
          </w:tcPr>
          <w:p w:rsidR="00BA6DDB" w:rsidRDefault="00ED0FB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477" w:type="dxa"/>
            <w:vMerge w:val="restart"/>
            <w:shd w:val="clear" w:color="auto" w:fill="auto"/>
            <w:noWrap/>
            <w:vAlign w:val="center"/>
          </w:tcPr>
          <w:p w:rsidR="00BA6DDB" w:rsidRDefault="00ED0FB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292" w:type="dxa"/>
            <w:vMerge w:val="restart"/>
            <w:shd w:val="clear" w:color="auto" w:fill="auto"/>
            <w:noWrap/>
            <w:vAlign w:val="center"/>
          </w:tcPr>
          <w:p w:rsidR="00BA6DDB" w:rsidRDefault="00ED0FB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89" w:type="dxa"/>
            <w:vMerge w:val="restart"/>
            <w:shd w:val="clear" w:color="auto" w:fill="auto"/>
            <w:noWrap/>
            <w:vAlign w:val="center"/>
          </w:tcPr>
          <w:p w:rsidR="00BA6DDB" w:rsidRDefault="00ED0FB5">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42" w:type="dxa"/>
            <w:gridSpan w:val="2"/>
            <w:shd w:val="clear" w:color="auto" w:fill="auto"/>
            <w:noWrap/>
            <w:vAlign w:val="center"/>
          </w:tcPr>
          <w:p w:rsidR="00BA6DDB" w:rsidRDefault="00ED0FB5">
            <w:pPr>
              <w:widowControl/>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442" w:type="dxa"/>
            <w:gridSpan w:val="2"/>
            <w:shd w:val="clear" w:color="auto" w:fill="auto"/>
            <w:noWrap/>
            <w:vAlign w:val="center"/>
          </w:tcPr>
          <w:p w:rsidR="00BA6DDB" w:rsidRDefault="00ED0FB5">
            <w:pPr>
              <w:widowControl/>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BA6DDB">
        <w:trPr>
          <w:cantSplit/>
        </w:trPr>
        <w:tc>
          <w:tcPr>
            <w:tcW w:w="540" w:type="dxa"/>
            <w:vMerge/>
            <w:shd w:val="clear" w:color="auto" w:fill="auto"/>
            <w:noWrap/>
            <w:vAlign w:val="center"/>
          </w:tcPr>
          <w:p w:rsidR="00BA6DDB" w:rsidRDefault="00BA6DDB">
            <w:pPr>
              <w:widowControl/>
              <w:rPr>
                <w:rFonts w:ascii="Times New Roman" w:hAnsi="Times New Roman"/>
                <w:color w:val="000000"/>
                <w:kern w:val="0"/>
                <w:sz w:val="15"/>
                <w:szCs w:val="15"/>
              </w:rPr>
            </w:pPr>
          </w:p>
        </w:tc>
        <w:tc>
          <w:tcPr>
            <w:tcW w:w="946" w:type="dxa"/>
            <w:shd w:val="clear" w:color="auto" w:fill="auto"/>
            <w:noWrap/>
            <w:vAlign w:val="center"/>
          </w:tcPr>
          <w:p w:rsidR="00BA6DDB" w:rsidRDefault="00ED0FB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728" w:type="dxa"/>
            <w:shd w:val="clear" w:color="auto" w:fill="auto"/>
            <w:noWrap/>
            <w:vAlign w:val="center"/>
          </w:tcPr>
          <w:p w:rsidR="00BA6DDB" w:rsidRDefault="00ED0FB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550" w:type="dxa"/>
            <w:vMerge/>
            <w:shd w:val="clear" w:color="auto" w:fill="auto"/>
            <w:noWrap/>
            <w:vAlign w:val="center"/>
          </w:tcPr>
          <w:p w:rsidR="00BA6DDB" w:rsidRDefault="00BA6DDB">
            <w:pPr>
              <w:widowControl/>
              <w:rPr>
                <w:rFonts w:ascii="黑体" w:eastAsia="黑体" w:hAnsi="宋体" w:cs="宋体"/>
                <w:color w:val="000000"/>
                <w:kern w:val="0"/>
                <w:sz w:val="22"/>
              </w:rPr>
            </w:pPr>
          </w:p>
        </w:tc>
        <w:tc>
          <w:tcPr>
            <w:tcW w:w="2296" w:type="dxa"/>
            <w:vMerge/>
            <w:shd w:val="clear" w:color="auto" w:fill="auto"/>
            <w:noWrap/>
            <w:vAlign w:val="center"/>
          </w:tcPr>
          <w:p w:rsidR="00BA6DDB" w:rsidRDefault="00BA6DDB">
            <w:pPr>
              <w:widowControl/>
              <w:rPr>
                <w:rFonts w:ascii="黑体" w:eastAsia="黑体" w:hAnsi="宋体" w:cs="宋体"/>
                <w:color w:val="000000"/>
                <w:kern w:val="0"/>
                <w:sz w:val="22"/>
              </w:rPr>
            </w:pPr>
          </w:p>
        </w:tc>
        <w:tc>
          <w:tcPr>
            <w:tcW w:w="1477" w:type="dxa"/>
            <w:vMerge/>
            <w:shd w:val="clear" w:color="auto" w:fill="auto"/>
            <w:noWrap/>
            <w:vAlign w:val="center"/>
          </w:tcPr>
          <w:p w:rsidR="00BA6DDB" w:rsidRDefault="00BA6DDB">
            <w:pPr>
              <w:widowControl/>
              <w:rPr>
                <w:rFonts w:ascii="黑体" w:eastAsia="黑体" w:hAnsi="宋体" w:cs="宋体"/>
                <w:color w:val="000000"/>
                <w:kern w:val="0"/>
                <w:sz w:val="22"/>
              </w:rPr>
            </w:pPr>
          </w:p>
        </w:tc>
        <w:tc>
          <w:tcPr>
            <w:tcW w:w="1292" w:type="dxa"/>
            <w:vMerge/>
            <w:shd w:val="clear" w:color="auto" w:fill="auto"/>
            <w:noWrap/>
            <w:vAlign w:val="center"/>
          </w:tcPr>
          <w:p w:rsidR="00BA6DDB" w:rsidRDefault="00BA6DDB">
            <w:pPr>
              <w:widowControl/>
              <w:rPr>
                <w:rFonts w:ascii="黑体" w:eastAsia="黑体" w:hAnsi="宋体" w:cs="宋体"/>
                <w:color w:val="000000"/>
                <w:kern w:val="0"/>
                <w:sz w:val="22"/>
              </w:rPr>
            </w:pPr>
          </w:p>
        </w:tc>
        <w:tc>
          <w:tcPr>
            <w:tcW w:w="1489" w:type="dxa"/>
            <w:vMerge/>
            <w:shd w:val="clear" w:color="auto" w:fill="auto"/>
            <w:noWrap/>
            <w:vAlign w:val="center"/>
          </w:tcPr>
          <w:p w:rsidR="00BA6DDB" w:rsidRDefault="00BA6DDB">
            <w:pPr>
              <w:widowControl/>
              <w:rPr>
                <w:rFonts w:ascii="黑体" w:eastAsia="黑体" w:hAnsi="宋体" w:cs="宋体"/>
                <w:kern w:val="0"/>
                <w:sz w:val="22"/>
              </w:rPr>
            </w:pPr>
          </w:p>
        </w:tc>
        <w:tc>
          <w:tcPr>
            <w:tcW w:w="773" w:type="dxa"/>
            <w:shd w:val="clear" w:color="auto" w:fill="auto"/>
            <w:noWrap/>
            <w:vAlign w:val="center"/>
          </w:tcPr>
          <w:p w:rsidR="00BA6DDB" w:rsidRDefault="00ED0FB5">
            <w:pPr>
              <w:widowControl/>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669" w:type="dxa"/>
            <w:shd w:val="clear" w:color="auto" w:fill="auto"/>
            <w:noWrap/>
            <w:vAlign w:val="center"/>
          </w:tcPr>
          <w:p w:rsidR="00BA6DDB" w:rsidRDefault="00ED0FB5">
            <w:pPr>
              <w:widowControl/>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65" w:type="dxa"/>
            <w:shd w:val="clear" w:color="auto" w:fill="auto"/>
            <w:noWrap/>
            <w:vAlign w:val="center"/>
          </w:tcPr>
          <w:p w:rsidR="00BA6DDB" w:rsidRDefault="00ED0FB5">
            <w:pPr>
              <w:widowControl/>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877" w:type="dxa"/>
            <w:shd w:val="clear" w:color="auto" w:fill="auto"/>
            <w:noWrap/>
            <w:vAlign w:val="center"/>
          </w:tcPr>
          <w:p w:rsidR="00BA6DDB" w:rsidRDefault="00ED0FB5">
            <w:pPr>
              <w:widowControl/>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BA6DDB">
        <w:trPr>
          <w:cantSplit/>
          <w:trHeight w:val="1656"/>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1</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机关事业单位社会保险登记</w:t>
            </w:r>
          </w:p>
        </w:tc>
        <w:tc>
          <w:tcPr>
            <w:tcW w:w="255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《政府信息公开条例》《社会保险法》《国务院关于机关事业单位工作人员养老保险制度改革的决定》</w:t>
            </w:r>
          </w:p>
        </w:tc>
        <w:tc>
          <w:tcPr>
            <w:tcW w:w="1477"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5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2</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工程建设项目办理工伤保险参保登记</w:t>
            </w:r>
          </w:p>
        </w:tc>
        <w:tc>
          <w:tcPr>
            <w:tcW w:w="2550"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BA6DDB" w:rsidRDefault="00BA6DDB">
            <w:pPr>
              <w:rPr>
                <w:rFonts w:ascii="仿宋_GB2312" w:eastAsia="仿宋_GB2312" w:hAnsi="宋体"/>
                <w:color w:val="000000"/>
                <w:sz w:val="18"/>
                <w:szCs w:val="18"/>
              </w:rPr>
            </w:pPr>
          </w:p>
          <w:p w:rsidR="00BA6DDB" w:rsidRDefault="00BA6DDB">
            <w:pPr>
              <w:rPr>
                <w:rFonts w:ascii="仿宋_GB2312" w:eastAsia="仿宋_GB2312" w:hAnsi="宋体"/>
                <w:color w:val="000000"/>
                <w:sz w:val="18"/>
                <w:szCs w:val="18"/>
              </w:rPr>
            </w:pPr>
          </w:p>
        </w:tc>
        <w:tc>
          <w:tcPr>
            <w:tcW w:w="1477"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vMerge w:val="restart"/>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vMerge w:val="restart"/>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47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3</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参保单位注销</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04"/>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4</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职工参保登记</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705"/>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5</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城乡居民养老保险参保登记</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705"/>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6</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sz w:val="18"/>
              </w:rPr>
            </w:pPr>
            <w:r>
              <w:rPr>
                <w:rFonts w:ascii="仿宋_GB2312" w:eastAsia="仿宋_GB2312" w:hAnsi="宋体" w:hint="eastAsia"/>
                <w:color w:val="000000"/>
                <w:sz w:val="18"/>
                <w:szCs w:val="18"/>
              </w:rPr>
              <w:t>企业社会保险登记</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91"/>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灵活就业人员、企业职工基本养老保险参保登记</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9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8</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2550"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477"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vMerge w:val="restart"/>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p w:rsidR="00BA6DDB" w:rsidRDefault="00BA6DDB">
            <w:pPr>
              <w:rPr>
                <w:rFonts w:ascii="仿宋_GB2312" w:eastAsia="仿宋_GB2312" w:hAnsi="宋体"/>
                <w:color w:val="000000"/>
                <w:sz w:val="18"/>
                <w:szCs w:val="18"/>
              </w:rPr>
            </w:pPr>
          </w:p>
        </w:tc>
        <w:tc>
          <w:tcPr>
            <w:tcW w:w="1489" w:type="dxa"/>
            <w:vMerge w:val="restart"/>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9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761"/>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10</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72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11</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工伤保险待遇发放账户维护申请</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76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12</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失业保险待遇发放账户维护申请</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2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13</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缴费人员增减申报</w:t>
            </w:r>
          </w:p>
        </w:tc>
        <w:tc>
          <w:tcPr>
            <w:tcW w:w="2550"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BA6DDB" w:rsidRDefault="00BA6DDB">
            <w:pPr>
              <w:rPr>
                <w:rFonts w:ascii="仿宋_GB2312" w:eastAsia="仿宋_GB2312" w:hAnsi="宋体"/>
                <w:color w:val="000000"/>
                <w:sz w:val="18"/>
                <w:szCs w:val="18"/>
              </w:rPr>
            </w:pPr>
          </w:p>
        </w:tc>
        <w:tc>
          <w:tcPr>
            <w:tcW w:w="1477"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p w:rsidR="00BA6DDB" w:rsidRDefault="00BA6DDB">
            <w:pPr>
              <w:rPr>
                <w:rFonts w:ascii="仿宋_GB2312" w:eastAsia="仿宋_GB2312" w:hAnsi="宋体"/>
                <w:color w:val="000000"/>
                <w:sz w:val="18"/>
                <w:szCs w:val="18"/>
              </w:rPr>
            </w:pPr>
          </w:p>
        </w:tc>
        <w:tc>
          <w:tcPr>
            <w:tcW w:w="1292" w:type="dxa"/>
            <w:vMerge w:val="restart"/>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vMerge w:val="restart"/>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76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14</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社会保险缴费申报与变更</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2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15</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社会保险费延缴申请</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74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16</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社会保险费欠费、断缴补缴申报</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9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17</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单位参保证明查询打印</w:t>
            </w:r>
          </w:p>
        </w:tc>
        <w:tc>
          <w:tcPr>
            <w:tcW w:w="2550"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477"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vMerge w:val="restart"/>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vMerge w:val="restart"/>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888"/>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18</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45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lastRenderedPageBreak/>
              <w:t>19</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职</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申请</w:t>
            </w:r>
          </w:p>
        </w:tc>
        <w:tc>
          <w:tcPr>
            <w:tcW w:w="2550"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BA6DDB" w:rsidRDefault="00BA6DDB">
            <w:pPr>
              <w:rPr>
                <w:rFonts w:ascii="仿宋_GB2312" w:eastAsia="仿宋_GB2312" w:hAnsi="宋体"/>
                <w:color w:val="000000"/>
                <w:sz w:val="18"/>
                <w:szCs w:val="18"/>
              </w:rPr>
            </w:pPr>
          </w:p>
        </w:tc>
        <w:tc>
          <w:tcPr>
            <w:tcW w:w="1477"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p w:rsidR="00BA6DDB" w:rsidRDefault="00BA6DDB">
            <w:pPr>
              <w:rPr>
                <w:rFonts w:ascii="仿宋_GB2312" w:eastAsia="仿宋_GB2312" w:hAnsi="宋体"/>
                <w:color w:val="000000"/>
                <w:sz w:val="18"/>
                <w:szCs w:val="18"/>
              </w:rPr>
            </w:pPr>
          </w:p>
        </w:tc>
        <w:tc>
          <w:tcPr>
            <w:tcW w:w="1292" w:type="dxa"/>
            <w:vMerge w:val="restart"/>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vMerge w:val="restart"/>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43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20</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44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21</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49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22</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478"/>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23</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446"/>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2</w:t>
            </w:r>
            <w:r>
              <w:rPr>
                <w:rFonts w:ascii="仿宋_GB2312" w:eastAsia="仿宋_GB2312" w:hAnsi="宋体" w:hint="eastAsia"/>
                <w:color w:val="000000"/>
                <w:sz w:val="18"/>
                <w:szCs w:val="18"/>
              </w:rPr>
              <w:t>4</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1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2</w:t>
            </w:r>
            <w:r>
              <w:rPr>
                <w:rFonts w:ascii="仿宋_GB2312" w:eastAsia="仿宋_GB2312" w:hAnsi="宋体" w:hint="eastAsia"/>
                <w:color w:val="000000"/>
                <w:sz w:val="18"/>
                <w:szCs w:val="18"/>
              </w:rPr>
              <w:t>5</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84"/>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2</w:t>
            </w:r>
            <w:r>
              <w:rPr>
                <w:rFonts w:ascii="仿宋_GB2312" w:eastAsia="仿宋_GB2312" w:hAnsi="宋体" w:hint="eastAsia"/>
                <w:color w:val="000000"/>
                <w:sz w:val="18"/>
                <w:szCs w:val="18"/>
              </w:rPr>
              <w:t>6</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9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27</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255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《政府信息公开条例》《社会保险法》《国务院办公厅关于转发人力资源社会保障部财政部城镇企业职工基本养老保险关系转移接续暂行办法的通知》</w:t>
            </w:r>
          </w:p>
        </w:tc>
        <w:tc>
          <w:tcPr>
            <w:tcW w:w="1477"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1933"/>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lastRenderedPageBreak/>
              <w:t>2</w:t>
            </w:r>
            <w:r>
              <w:rPr>
                <w:rFonts w:ascii="仿宋_GB2312" w:eastAsia="仿宋_GB2312" w:hAnsi="宋体" w:hint="eastAsia"/>
                <w:color w:val="000000"/>
                <w:sz w:val="18"/>
                <w:szCs w:val="18"/>
              </w:rPr>
              <w:t>8</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机关事业单位养老保险关系转移接续申请</w:t>
            </w:r>
          </w:p>
        </w:tc>
        <w:tc>
          <w:tcPr>
            <w:tcW w:w="255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《政府信息公开条例》《社会保险法》《人力资源社会保障部财政部关于机关事业单位基本养老保险关系和职业年金转移接续有关问题的通知》</w:t>
            </w:r>
          </w:p>
        </w:tc>
        <w:tc>
          <w:tcPr>
            <w:tcW w:w="1477"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1665"/>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255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tc>
        <w:tc>
          <w:tcPr>
            <w:tcW w:w="1477"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2005"/>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3</w:t>
            </w:r>
            <w:r>
              <w:rPr>
                <w:rFonts w:ascii="仿宋_GB2312" w:eastAsia="仿宋_GB2312" w:hAnsi="宋体" w:hint="eastAsia"/>
                <w:color w:val="000000"/>
                <w:sz w:val="18"/>
                <w:szCs w:val="18"/>
              </w:rPr>
              <w:t>0</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机关事业单位基本养老保险与城镇企业职工基本养老保险互转申请</w:t>
            </w:r>
          </w:p>
        </w:tc>
        <w:tc>
          <w:tcPr>
            <w:tcW w:w="255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《政府信息公开条例》《社会保险法》《人力资源社会保障部财政部关于机关事业单位基本养老保险关系和职业年金转移接续有关问题的通知》</w:t>
            </w:r>
          </w:p>
        </w:tc>
        <w:tc>
          <w:tcPr>
            <w:tcW w:w="1477"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2348"/>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3</w:t>
            </w:r>
            <w:r>
              <w:rPr>
                <w:rFonts w:ascii="仿宋_GB2312" w:eastAsia="仿宋_GB2312" w:hAnsi="宋体" w:hint="eastAsia"/>
                <w:color w:val="000000"/>
                <w:sz w:val="18"/>
                <w:szCs w:val="18"/>
              </w:rPr>
              <w:t>1</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城镇职工基本养老保险与城乡居民基本养老保险制度衔接申请</w:t>
            </w:r>
          </w:p>
        </w:tc>
        <w:tc>
          <w:tcPr>
            <w:tcW w:w="255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w:t>
            </w:r>
            <w:r>
              <w:rPr>
                <w:rFonts w:ascii="仿宋_GB2312" w:eastAsia="仿宋_GB2312" w:hAnsi="宋体" w:hint="eastAsia"/>
                <w:color w:val="000000"/>
                <w:sz w:val="18"/>
                <w:szCs w:val="18"/>
              </w:rPr>
              <w:t>办事时间、办理机构及地点、咨询查询途径、监督投诉渠道</w:t>
            </w:r>
          </w:p>
        </w:tc>
        <w:tc>
          <w:tcPr>
            <w:tcW w:w="2296"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《政府信息公开条例》《社会保险法》《人力资源社会保障部财政部关于印发＜城乡养老保险制度衔接暂行办法＞的通知》</w:t>
            </w:r>
          </w:p>
        </w:tc>
        <w:tc>
          <w:tcPr>
            <w:tcW w:w="1477"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1961"/>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lastRenderedPageBreak/>
              <w:t>3</w:t>
            </w:r>
            <w:r>
              <w:rPr>
                <w:rFonts w:ascii="仿宋_GB2312" w:eastAsia="仿宋_GB2312" w:hAnsi="宋体" w:hint="eastAsia"/>
                <w:color w:val="000000"/>
                <w:sz w:val="18"/>
                <w:szCs w:val="18"/>
              </w:rPr>
              <w:t>2</w:t>
            </w:r>
          </w:p>
        </w:tc>
        <w:tc>
          <w:tcPr>
            <w:tcW w:w="946"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军地养老保险关系转移接续申请</w:t>
            </w:r>
          </w:p>
        </w:tc>
        <w:tc>
          <w:tcPr>
            <w:tcW w:w="255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《政府信息公开条例》《社会保险法》《人力资源社会保障部财政部总参谋部总政治部总后勤部关于军人退役基本养老保险关系转移接续有关问题的通知》</w:t>
            </w:r>
          </w:p>
        </w:tc>
        <w:tc>
          <w:tcPr>
            <w:tcW w:w="1477"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1994"/>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3</w:t>
            </w:r>
            <w:r>
              <w:rPr>
                <w:rFonts w:ascii="仿宋_GB2312" w:eastAsia="仿宋_GB2312" w:hAnsi="宋体" w:hint="eastAsia"/>
                <w:color w:val="000000"/>
                <w:sz w:val="18"/>
                <w:szCs w:val="18"/>
              </w:rPr>
              <w:t>3</w:t>
            </w:r>
          </w:p>
        </w:tc>
        <w:tc>
          <w:tcPr>
            <w:tcW w:w="946"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多重养老保险关系个人账户退费</w:t>
            </w:r>
          </w:p>
        </w:tc>
        <w:tc>
          <w:tcPr>
            <w:tcW w:w="255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w:t>
            </w:r>
            <w:r>
              <w:rPr>
                <w:rFonts w:ascii="仿宋_GB2312" w:eastAsia="仿宋_GB2312" w:hAnsi="宋体" w:hint="eastAsia"/>
                <w:color w:val="000000"/>
                <w:sz w:val="18"/>
                <w:szCs w:val="18"/>
              </w:rPr>
              <w:t>理方式、办理时限、结果送达、收费依据及标准、办事时间、办理机构及地点、咨询查询途径、监督投诉渠道</w:t>
            </w:r>
          </w:p>
        </w:tc>
        <w:tc>
          <w:tcPr>
            <w:tcW w:w="2296"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《政府信息公开条例》《社会保险法》《人力资源和社会保障部＜关于贯彻落实国务院办公厅转发城镇企业职工基本养老保险关系转移接续暂行办法的通知》</w:t>
            </w:r>
          </w:p>
        </w:tc>
        <w:tc>
          <w:tcPr>
            <w:tcW w:w="1477"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39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3</w:t>
            </w:r>
            <w:r>
              <w:rPr>
                <w:rFonts w:ascii="仿宋_GB2312" w:eastAsia="仿宋_GB2312" w:hAnsi="宋体" w:hint="eastAsia"/>
                <w:color w:val="000000"/>
                <w:sz w:val="18"/>
                <w:szCs w:val="18"/>
              </w:rPr>
              <w:t>4</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工伤事故备案</w:t>
            </w:r>
          </w:p>
        </w:tc>
        <w:tc>
          <w:tcPr>
            <w:tcW w:w="2550"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477"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vMerge w:val="restart"/>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vMerge w:val="restart"/>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355"/>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35</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用人单位办理工伤登记</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35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36</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变更工伤登记</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9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37</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协议医疗机构的确认</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38</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协议康复机构的确认</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39</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辅助器具配置协议机构的确认</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31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4</w:t>
            </w:r>
            <w:r>
              <w:rPr>
                <w:rFonts w:ascii="仿宋_GB2312" w:eastAsia="仿宋_GB2312" w:hAnsi="宋体" w:hint="eastAsia"/>
                <w:color w:val="000000"/>
                <w:sz w:val="18"/>
                <w:szCs w:val="18"/>
              </w:rPr>
              <w:t>0</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异地居住就医申请确认</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318"/>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41</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异地工伤就医报告</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34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lastRenderedPageBreak/>
              <w:t>42</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旧伤复发申请确认</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229"/>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43</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转诊转院申请确认</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38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44</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工伤康复申请确认</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69"/>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45</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工伤康复治疗期延长申请</w:t>
            </w:r>
          </w:p>
        </w:tc>
        <w:tc>
          <w:tcPr>
            <w:tcW w:w="2550"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477"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vMerge w:val="restart"/>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vMerge w:val="restart"/>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45"/>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4</w:t>
            </w:r>
            <w:r>
              <w:rPr>
                <w:rFonts w:ascii="仿宋_GB2312" w:eastAsia="仿宋_GB2312" w:hAnsi="宋体" w:hint="eastAsia"/>
                <w:color w:val="000000"/>
                <w:sz w:val="18"/>
                <w:szCs w:val="18"/>
              </w:rPr>
              <w:t>6</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辅助器具配置或更换申请</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5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4</w:t>
            </w:r>
            <w:r>
              <w:rPr>
                <w:rFonts w:ascii="仿宋_GB2312" w:eastAsia="仿宋_GB2312" w:hAnsi="宋体" w:hint="eastAsia"/>
                <w:color w:val="000000"/>
                <w:sz w:val="18"/>
                <w:szCs w:val="18"/>
              </w:rPr>
              <w:t>7</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辅助器具异地配置申请</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5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48</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停工留薪期确认和延长确认</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74"/>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49</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工伤医疗（康复）费用申报</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98"/>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50</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住院伙食补助费申领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5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5</w:t>
            </w:r>
            <w:r>
              <w:rPr>
                <w:rFonts w:ascii="仿宋_GB2312" w:eastAsia="仿宋_GB2312" w:hAnsi="宋体" w:hint="eastAsia"/>
                <w:color w:val="000000"/>
                <w:sz w:val="18"/>
                <w:szCs w:val="18"/>
              </w:rPr>
              <w:t>1</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统筹地区以外交通、食宿费申领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3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5</w:t>
            </w:r>
            <w:r>
              <w:rPr>
                <w:rFonts w:ascii="仿宋_GB2312" w:eastAsia="仿宋_GB2312" w:hAnsi="宋体" w:hint="eastAsia"/>
                <w:color w:val="000000"/>
                <w:sz w:val="18"/>
                <w:szCs w:val="18"/>
              </w:rPr>
              <w:t>2</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一次性工伤医疗补助金申请</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81"/>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5</w:t>
            </w:r>
            <w:r>
              <w:rPr>
                <w:rFonts w:ascii="仿宋_GB2312" w:eastAsia="仿宋_GB2312" w:hAnsi="宋体" w:hint="eastAsia"/>
                <w:color w:val="000000"/>
                <w:sz w:val="18"/>
                <w:szCs w:val="18"/>
              </w:rPr>
              <w:t>3</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辅助器具配置（更换）费用申报</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879"/>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5</w:t>
            </w:r>
            <w:r>
              <w:rPr>
                <w:rFonts w:ascii="仿宋_GB2312" w:eastAsia="仿宋_GB2312" w:hAnsi="宋体" w:hint="eastAsia"/>
                <w:color w:val="000000"/>
                <w:sz w:val="18"/>
                <w:szCs w:val="18"/>
              </w:rPr>
              <w:t>4</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伤残待遇申领（一次性伤残补助金、伤残津贴和生活护理费）</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86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lastRenderedPageBreak/>
              <w:t>5</w:t>
            </w:r>
            <w:r>
              <w:rPr>
                <w:rFonts w:ascii="仿宋_GB2312" w:eastAsia="仿宋_GB2312" w:hAnsi="宋体" w:hint="eastAsia"/>
                <w:color w:val="000000"/>
                <w:sz w:val="18"/>
                <w:szCs w:val="18"/>
              </w:rPr>
              <w:t>5</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一次性工亡补助金（含生活困难，预支</w:t>
            </w:r>
            <w:r>
              <w:rPr>
                <w:rFonts w:ascii="仿宋_GB2312" w:eastAsia="仿宋_GB2312" w:hAnsi="宋体" w:hint="eastAsia"/>
                <w:color w:val="000000"/>
                <w:sz w:val="18"/>
                <w:szCs w:val="18"/>
              </w:rPr>
              <w:t>50%</w:t>
            </w:r>
            <w:r>
              <w:rPr>
                <w:rFonts w:ascii="仿宋_GB2312" w:eastAsia="仿宋_GB2312" w:hAnsi="宋体" w:hint="eastAsia"/>
                <w:color w:val="000000"/>
                <w:sz w:val="18"/>
                <w:szCs w:val="18"/>
              </w:rPr>
              <w:t>确认）、丧葬补助金申领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7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56</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供养亲属抚恤金申领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2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57</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工伤保险待遇变更</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31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58</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失业保险金申领</w:t>
            </w:r>
          </w:p>
        </w:tc>
        <w:tc>
          <w:tcPr>
            <w:tcW w:w="2550"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477"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vMerge w:val="restart"/>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vMerge w:val="restart"/>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264"/>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59</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265"/>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60</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职业培训补贴申领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25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61</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职业介绍补贴申领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27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62</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农民合同制工人一次性生活补助申领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27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63</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代缴基本医疗保险费</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19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64</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价格临时补贴申领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24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65</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失业保险关系转移接续</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204"/>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66</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稳岗补贴申领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18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67</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技能提升补贴申领</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39"/>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68</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领取失业保险待遇期间生育补助金申请和发放</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4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lastRenderedPageBreak/>
              <w:t>69</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企业年金方案备案</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企业年金方案备案</w:t>
            </w:r>
          </w:p>
        </w:tc>
        <w:tc>
          <w:tcPr>
            <w:tcW w:w="2550"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《政府信息公开条例》《社会保险法》《企业年金办法》</w:t>
            </w:r>
          </w:p>
        </w:tc>
        <w:tc>
          <w:tcPr>
            <w:tcW w:w="1477"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vMerge w:val="restart"/>
            <w:shd w:val="clear" w:color="auto" w:fill="auto"/>
            <w:noWrap/>
            <w:vAlign w:val="center"/>
          </w:tcPr>
          <w:p w:rsidR="00BA6DDB" w:rsidRDefault="00ED0FB5">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vMerge w:val="restart"/>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891"/>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70</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企业年金方案重要条款变更备案</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554"/>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71</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企业年金方案终止备案</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346"/>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72</w:t>
            </w:r>
          </w:p>
        </w:tc>
        <w:tc>
          <w:tcPr>
            <w:tcW w:w="94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社会保障卡申领</w:t>
            </w:r>
          </w:p>
        </w:tc>
        <w:tc>
          <w:tcPr>
            <w:tcW w:w="2550"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296"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477" w:type="dxa"/>
            <w:vMerge w:val="restart"/>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292" w:type="dxa"/>
            <w:vMerge w:val="restart"/>
            <w:shd w:val="clear" w:color="auto" w:fill="auto"/>
            <w:noWrap/>
            <w:vAlign w:val="center"/>
          </w:tcPr>
          <w:p w:rsidR="00BA6DDB" w:rsidRDefault="00ED0FB5">
            <w:pPr>
              <w:jc w:val="right"/>
              <w:rPr>
                <w:rFonts w:ascii="仿宋_GB2312" w:eastAsia="仿宋_GB2312" w:hAnsi="宋体"/>
                <w:color w:val="000000"/>
                <w:sz w:val="18"/>
                <w:szCs w:val="18"/>
              </w:rPr>
            </w:pPr>
            <w:r>
              <w:rPr>
                <w:rFonts w:ascii="仿宋_GB2312" w:eastAsia="仿宋_GB2312" w:hAnsi="宋体" w:hint="eastAsia"/>
                <w:color w:val="000000"/>
                <w:sz w:val="18"/>
                <w:szCs w:val="18"/>
              </w:rPr>
              <w:t>区</w:t>
            </w:r>
            <w:r>
              <w:rPr>
                <w:rFonts w:ascii="仿宋_GB2312" w:eastAsia="仿宋_GB2312" w:hAnsi="宋体" w:hint="eastAsia"/>
                <w:color w:val="000000"/>
                <w:sz w:val="18"/>
                <w:szCs w:val="18"/>
              </w:rPr>
              <w:t>人力资源和社会保障局</w:t>
            </w:r>
          </w:p>
        </w:tc>
        <w:tc>
          <w:tcPr>
            <w:tcW w:w="1489" w:type="dxa"/>
            <w:vMerge w:val="restart"/>
            <w:shd w:val="clear" w:color="auto" w:fill="auto"/>
            <w:noWrap/>
            <w:vAlign w:val="center"/>
          </w:tcPr>
          <w:p w:rsidR="00BA6DDB" w:rsidRDefault="00ED0FB5">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p>
          <w:p w:rsidR="00BA6DDB" w:rsidRDefault="00ED0FB5">
            <w:pPr>
              <w:rPr>
                <w:rFonts w:ascii="仿宋_GB2312" w:eastAsia="仿宋_GB2312" w:hAnsi="宋体"/>
                <w:color w:val="000000"/>
                <w:sz w:val="18"/>
                <w:szCs w:val="18"/>
              </w:rPr>
            </w:pPr>
            <w:r>
              <w:rPr>
                <w:rFonts w:ascii="仿宋_GB2312" w:eastAsia="仿宋_GB2312" w:hAnsi="宋体" w:hint="eastAsia"/>
                <w:color w:val="000000" w:themeColor="text1"/>
                <w:sz w:val="18"/>
                <w:szCs w:val="18"/>
              </w:rPr>
              <w:t>■政务服务网</w:t>
            </w: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827"/>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73</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社会保障卡启用（含社会保障卡银行账户激活）</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78"/>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74</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社会保障卡应用状态查询</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02"/>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75</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社会保障卡信息变更（非关键信息）</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71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76</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社会保障卡密码修改与重置</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84"/>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77</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社会保障卡挂失与解挂</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90"/>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color w:val="000000"/>
                <w:sz w:val="18"/>
                <w:szCs w:val="18"/>
              </w:rPr>
              <w:t>78</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社会保障卡补换、换领、换发</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18"/>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79</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社会保障卡注销</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r w:rsidR="00BA6DDB">
        <w:trPr>
          <w:cantSplit/>
          <w:trHeight w:val="663"/>
        </w:trPr>
        <w:tc>
          <w:tcPr>
            <w:tcW w:w="540"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80</w:t>
            </w:r>
          </w:p>
        </w:tc>
        <w:tc>
          <w:tcPr>
            <w:tcW w:w="946" w:type="dxa"/>
            <w:vMerge/>
            <w:shd w:val="clear" w:color="auto" w:fill="auto"/>
            <w:noWrap/>
            <w:vAlign w:val="center"/>
          </w:tcPr>
          <w:p w:rsidR="00BA6DDB" w:rsidRDefault="00BA6DDB">
            <w:pPr>
              <w:rPr>
                <w:rFonts w:ascii="仿宋_GB2312" w:eastAsia="仿宋_GB2312" w:hAnsi="宋体"/>
                <w:color w:val="000000"/>
                <w:sz w:val="18"/>
                <w:szCs w:val="18"/>
              </w:rPr>
            </w:pPr>
          </w:p>
        </w:tc>
        <w:tc>
          <w:tcPr>
            <w:tcW w:w="1728"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社会保障卡参保地转移</w:t>
            </w:r>
          </w:p>
        </w:tc>
        <w:tc>
          <w:tcPr>
            <w:tcW w:w="2550" w:type="dxa"/>
            <w:vMerge/>
            <w:shd w:val="clear" w:color="auto" w:fill="auto"/>
            <w:noWrap/>
            <w:vAlign w:val="center"/>
          </w:tcPr>
          <w:p w:rsidR="00BA6DDB" w:rsidRDefault="00BA6DDB">
            <w:pPr>
              <w:rPr>
                <w:rFonts w:ascii="仿宋_GB2312" w:eastAsia="仿宋_GB2312" w:hAnsi="宋体"/>
                <w:color w:val="000000"/>
                <w:sz w:val="18"/>
                <w:szCs w:val="18"/>
              </w:rPr>
            </w:pPr>
          </w:p>
        </w:tc>
        <w:tc>
          <w:tcPr>
            <w:tcW w:w="2296" w:type="dxa"/>
            <w:vMerge/>
            <w:shd w:val="clear" w:color="auto" w:fill="auto"/>
            <w:noWrap/>
            <w:vAlign w:val="center"/>
          </w:tcPr>
          <w:p w:rsidR="00BA6DDB" w:rsidRDefault="00BA6DDB">
            <w:pPr>
              <w:rPr>
                <w:rFonts w:ascii="仿宋_GB2312" w:eastAsia="仿宋_GB2312" w:hAnsi="宋体"/>
                <w:color w:val="000000"/>
                <w:sz w:val="18"/>
                <w:szCs w:val="18"/>
              </w:rPr>
            </w:pPr>
          </w:p>
        </w:tc>
        <w:tc>
          <w:tcPr>
            <w:tcW w:w="1477" w:type="dxa"/>
            <w:vMerge/>
            <w:shd w:val="clear" w:color="auto" w:fill="auto"/>
            <w:noWrap/>
            <w:vAlign w:val="center"/>
          </w:tcPr>
          <w:p w:rsidR="00BA6DDB" w:rsidRDefault="00BA6DDB">
            <w:pPr>
              <w:rPr>
                <w:rFonts w:ascii="仿宋_GB2312" w:eastAsia="仿宋_GB2312" w:hAnsi="宋体"/>
                <w:color w:val="000000"/>
                <w:sz w:val="18"/>
                <w:szCs w:val="18"/>
              </w:rPr>
            </w:pPr>
          </w:p>
        </w:tc>
        <w:tc>
          <w:tcPr>
            <w:tcW w:w="1292" w:type="dxa"/>
            <w:vMerge/>
            <w:shd w:val="clear" w:color="auto" w:fill="auto"/>
            <w:noWrap/>
            <w:vAlign w:val="center"/>
          </w:tcPr>
          <w:p w:rsidR="00BA6DDB" w:rsidRDefault="00BA6DDB">
            <w:pPr>
              <w:jc w:val="center"/>
              <w:rPr>
                <w:rFonts w:ascii="仿宋_GB2312" w:eastAsia="仿宋_GB2312" w:hAnsi="宋体"/>
                <w:color w:val="000000"/>
                <w:sz w:val="18"/>
                <w:szCs w:val="18"/>
              </w:rPr>
            </w:pPr>
          </w:p>
        </w:tc>
        <w:tc>
          <w:tcPr>
            <w:tcW w:w="1489" w:type="dxa"/>
            <w:vMerge/>
            <w:shd w:val="clear" w:color="auto" w:fill="auto"/>
            <w:noWrap/>
            <w:vAlign w:val="center"/>
          </w:tcPr>
          <w:p w:rsidR="00BA6DDB" w:rsidRDefault="00BA6DDB">
            <w:pPr>
              <w:rPr>
                <w:rFonts w:ascii="仿宋_GB2312" w:eastAsia="仿宋_GB2312" w:hAnsi="宋体"/>
                <w:color w:val="000000"/>
                <w:sz w:val="18"/>
                <w:szCs w:val="18"/>
              </w:rPr>
            </w:pPr>
          </w:p>
        </w:tc>
        <w:tc>
          <w:tcPr>
            <w:tcW w:w="773"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669" w:type="dxa"/>
            <w:shd w:val="clear" w:color="auto" w:fill="auto"/>
            <w:noWrap/>
            <w:vAlign w:val="center"/>
          </w:tcPr>
          <w:p w:rsidR="00BA6DDB" w:rsidRDefault="00BA6DDB">
            <w:pPr>
              <w:rPr>
                <w:rFonts w:ascii="仿宋_GB2312" w:eastAsia="仿宋_GB2312" w:hAnsi="宋体"/>
                <w:color w:val="000000"/>
                <w:sz w:val="18"/>
                <w:szCs w:val="18"/>
              </w:rPr>
            </w:pPr>
          </w:p>
        </w:tc>
        <w:tc>
          <w:tcPr>
            <w:tcW w:w="565" w:type="dxa"/>
            <w:shd w:val="clear" w:color="auto" w:fill="auto"/>
            <w:noWrap/>
            <w:vAlign w:val="center"/>
          </w:tcPr>
          <w:p w:rsidR="00BA6DDB" w:rsidRDefault="00ED0FB5">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77" w:type="dxa"/>
            <w:shd w:val="clear" w:color="auto" w:fill="auto"/>
            <w:noWrap/>
            <w:vAlign w:val="center"/>
          </w:tcPr>
          <w:p w:rsidR="00BA6DDB" w:rsidRDefault="00BA6DDB">
            <w:pPr>
              <w:rPr>
                <w:rFonts w:ascii="仿宋_GB2312" w:eastAsia="仿宋_GB2312" w:hAnsi="宋体"/>
                <w:color w:val="000000"/>
                <w:sz w:val="18"/>
                <w:szCs w:val="18"/>
              </w:rPr>
            </w:pPr>
          </w:p>
        </w:tc>
      </w:tr>
    </w:tbl>
    <w:p w:rsidR="00BA6DDB" w:rsidRDefault="00BA6DDB"/>
    <w:p w:rsidR="00BA6DDB" w:rsidRDefault="00BA6DDB"/>
    <w:sectPr w:rsidR="00BA6DDB" w:rsidSect="00BA6DD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4D85"/>
    <w:rsid w:val="003A4D85"/>
    <w:rsid w:val="00BA6DDB"/>
    <w:rsid w:val="00DA42B6"/>
    <w:rsid w:val="00ED0FB5"/>
    <w:rsid w:val="693D1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DB"/>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BA6DD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BA6DDB"/>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rsid w:val="00BA6D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rsid w:val="00BA6DDB"/>
    <w:rPr>
      <w:sz w:val="18"/>
      <w:szCs w:val="18"/>
    </w:rPr>
  </w:style>
  <w:style w:type="character" w:customStyle="1" w:styleId="Char">
    <w:name w:val="页脚 Char"/>
    <w:basedOn w:val="a0"/>
    <w:link w:val="a3"/>
    <w:rsid w:val="00BA6DDB"/>
    <w:rPr>
      <w:sz w:val="18"/>
      <w:szCs w:val="18"/>
    </w:rPr>
  </w:style>
  <w:style w:type="character" w:customStyle="1" w:styleId="1Char">
    <w:name w:val="标题 1 Char"/>
    <w:basedOn w:val="a0"/>
    <w:link w:val="1"/>
    <w:rsid w:val="00BA6DDB"/>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781</Words>
  <Characters>4458</Characters>
  <Application>Microsoft Office Word</Application>
  <DocSecurity>0</DocSecurity>
  <Lines>37</Lines>
  <Paragraphs>10</Paragraphs>
  <ScaleCrop>false</ScaleCrop>
  <Company>china</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cp:revision>
  <dcterms:created xsi:type="dcterms:W3CDTF">2020-07-30T07:37:00Z</dcterms:created>
  <dcterms:modified xsi:type="dcterms:W3CDTF">2020-09-04T08:43:00Z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