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FA" w:rsidRDefault="00AA55FA" w:rsidP="00AA55FA">
      <w:pPr>
        <w:spacing w:line="220" w:lineRule="atLeast"/>
        <w:ind w:firstLineChars="200" w:firstLine="723"/>
        <w:jc w:val="center"/>
        <w:rPr>
          <w:rFonts w:ascii="宋体" w:hAnsi="宋体" w:cs="宋体" w:hint="eastAsia"/>
          <w:b/>
          <w:bCs/>
          <w:color w:val="000000"/>
          <w:sz w:val="36"/>
          <w:szCs w:val="36"/>
        </w:rPr>
      </w:pPr>
      <w:r>
        <w:rPr>
          <w:rFonts w:ascii="宋体" w:hAnsi="宋体" w:cs="宋体" w:hint="eastAsia"/>
          <w:b/>
          <w:bCs/>
          <w:color w:val="000000"/>
          <w:kern w:val="0"/>
          <w:sz w:val="36"/>
          <w:szCs w:val="36"/>
          <w:lang/>
        </w:rPr>
        <w:t>朝天区2020年市场监管领域部门联合“双随机、一公开”监管计划</w:t>
      </w:r>
    </w:p>
    <w:p w:rsidR="00AA55FA" w:rsidRDefault="00AA55FA" w:rsidP="00AA55FA">
      <w:pPr>
        <w:spacing w:line="220" w:lineRule="atLeast"/>
        <w:ind w:firstLineChars="200" w:firstLine="560"/>
        <w:rPr>
          <w:rFonts w:hint="eastAsia"/>
        </w:rPr>
      </w:pPr>
      <w:r>
        <w:rPr>
          <w:rFonts w:ascii="仿宋" w:eastAsia="仿宋" w:hAnsi="仿宋" w:cs="仿宋" w:hint="eastAsia"/>
          <w:color w:val="000000"/>
          <w:sz w:val="28"/>
          <w:szCs w:val="28"/>
        </w:rPr>
        <w:t xml:space="preserve"> </w:t>
      </w:r>
    </w:p>
    <w:tbl>
      <w:tblPr>
        <w:tblStyle w:val="a3"/>
        <w:tblW w:w="0" w:type="auto"/>
        <w:tblInd w:w="0" w:type="dxa"/>
        <w:tblLook w:val="0000"/>
      </w:tblPr>
      <w:tblGrid>
        <w:gridCol w:w="522"/>
        <w:gridCol w:w="780"/>
        <w:gridCol w:w="1170"/>
        <w:gridCol w:w="4630"/>
        <w:gridCol w:w="2010"/>
        <w:gridCol w:w="1470"/>
        <w:gridCol w:w="850"/>
        <w:gridCol w:w="1920"/>
        <w:gridCol w:w="822"/>
      </w:tblGrid>
      <w:tr w:rsidR="00AA55FA" w:rsidTr="006A36FD">
        <w:trPr>
          <w:trHeight w:val="593"/>
        </w:trPr>
        <w:tc>
          <w:tcPr>
            <w:tcW w:w="522"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序号</w:t>
            </w:r>
          </w:p>
        </w:tc>
        <w:tc>
          <w:tcPr>
            <w:tcW w:w="780" w:type="dxa"/>
            <w:vAlign w:val="center"/>
          </w:tcPr>
          <w:p w:rsidR="00AA55FA" w:rsidRDefault="00AA55FA" w:rsidP="006A36FD">
            <w:pPr>
              <w:widowControl/>
              <w:jc w:val="center"/>
              <w:textAlignment w:val="center"/>
              <w:rPr>
                <w:rFonts w:ascii="宋体" w:hAnsi="宋体" w:cs="宋体" w:hint="eastAsia"/>
                <w:b/>
                <w:bCs/>
                <w:color w:val="000000"/>
                <w:sz w:val="15"/>
                <w:szCs w:val="15"/>
                <w:lang/>
              </w:rPr>
            </w:pPr>
            <w:r>
              <w:rPr>
                <w:rFonts w:ascii="宋体" w:hAnsi="宋体" w:cs="宋体" w:hint="eastAsia"/>
                <w:b/>
                <w:bCs/>
                <w:color w:val="000000"/>
                <w:sz w:val="15"/>
                <w:szCs w:val="15"/>
                <w:lang/>
              </w:rPr>
              <w:t>牵头</w:t>
            </w:r>
          </w:p>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部门</w:t>
            </w:r>
          </w:p>
        </w:tc>
        <w:tc>
          <w:tcPr>
            <w:tcW w:w="1170"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抽查计划名称</w:t>
            </w:r>
          </w:p>
        </w:tc>
        <w:tc>
          <w:tcPr>
            <w:tcW w:w="4630"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抽查事项</w:t>
            </w:r>
          </w:p>
        </w:tc>
        <w:tc>
          <w:tcPr>
            <w:tcW w:w="2010"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检查对象</w:t>
            </w:r>
          </w:p>
        </w:tc>
        <w:tc>
          <w:tcPr>
            <w:tcW w:w="1470"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检查方式</w:t>
            </w:r>
          </w:p>
        </w:tc>
        <w:tc>
          <w:tcPr>
            <w:tcW w:w="850"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抽查</w:t>
            </w:r>
            <w:r>
              <w:rPr>
                <w:rFonts w:ascii="宋体" w:hAnsi="宋体" w:cs="宋体" w:hint="eastAsia"/>
                <w:b/>
                <w:bCs/>
                <w:color w:val="000000"/>
                <w:sz w:val="15"/>
                <w:szCs w:val="15"/>
                <w:lang/>
              </w:rPr>
              <w:br/>
              <w:t>比例或者户数</w:t>
            </w:r>
          </w:p>
        </w:tc>
        <w:tc>
          <w:tcPr>
            <w:tcW w:w="1920"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参与部门</w:t>
            </w:r>
          </w:p>
        </w:tc>
        <w:tc>
          <w:tcPr>
            <w:tcW w:w="822" w:type="dxa"/>
            <w:vAlign w:val="center"/>
          </w:tcPr>
          <w:p w:rsidR="00AA55FA" w:rsidRDefault="00AA55FA" w:rsidP="006A36FD">
            <w:pPr>
              <w:widowControl/>
              <w:jc w:val="center"/>
              <w:textAlignment w:val="center"/>
              <w:rPr>
                <w:rFonts w:ascii="宋体" w:hAnsi="宋体" w:cs="宋体" w:hint="eastAsia"/>
                <w:b/>
                <w:bCs/>
                <w:color w:val="000000"/>
                <w:sz w:val="15"/>
                <w:szCs w:val="15"/>
              </w:rPr>
            </w:pPr>
            <w:r>
              <w:rPr>
                <w:rFonts w:ascii="宋体" w:hAnsi="宋体" w:cs="宋体" w:hint="eastAsia"/>
                <w:b/>
                <w:bCs/>
                <w:color w:val="000000"/>
                <w:sz w:val="15"/>
                <w:szCs w:val="15"/>
                <w:lang/>
              </w:rPr>
              <w:t>检查时间</w:t>
            </w:r>
          </w:p>
        </w:tc>
      </w:tr>
      <w:tr w:rsidR="00AA55FA" w:rsidTr="006A36FD">
        <w:trPr>
          <w:trHeight w:val="535"/>
        </w:trPr>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 xml:space="preserve">1 </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区发改局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国家投资工程建设项目招标投标专项检查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1.</w:t>
            </w:r>
            <w:r>
              <w:rPr>
                <w:rStyle w:val="font31"/>
                <w:rFonts w:ascii="宋体" w:hAnsi="宋体" w:cs="宋体" w:hint="eastAsia"/>
                <w:sz w:val="13"/>
                <w:szCs w:val="13"/>
                <w:lang/>
              </w:rPr>
              <w:t xml:space="preserve"> </w:t>
            </w:r>
            <w:r>
              <w:rPr>
                <w:rStyle w:val="font21"/>
                <w:rFonts w:ascii="宋体" w:eastAsia="宋体" w:hAnsi="宋体" w:cs="宋体"/>
                <w:sz w:val="13"/>
                <w:szCs w:val="13"/>
                <w:lang/>
              </w:rPr>
              <w:t>项目招投标政策执行情况2.相关制度和相关规定执行情况3.检查中标通知书发放前监督部门是否把关中标单位在项目所在地人社部门开具无拖欠农民工工资证明</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上年度房建市政、自然资源、交通、水利、农业等国家投资工程建设项目</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书面检查、现场检查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涉及房建市政、自然资源、交通、水利、农业等国家投资工程建设项目相关单位</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2020年11月20日前</w:t>
            </w:r>
          </w:p>
        </w:tc>
      </w:tr>
      <w:tr w:rsidR="00AA55FA" w:rsidTr="006A36FD">
        <w:trPr>
          <w:trHeight w:val="425"/>
        </w:trPr>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 xml:space="preserve">2 </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区经信局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成品油市场监督检查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成品油经营活动情况；成品油经营企业质量、计量、消防、安全、环保</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成品油经营单位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抽查资料、现场检查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市场监管局、应急管理局、公安分局、生态环境局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 xml:space="preserve">3 </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区教科局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学校卫生安全专项检查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食品安全、传染病防治、教育教学环境、公共卫生、生活饮用水卫生、烟草管制</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全区学校及相关经营单位食品经营单位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10%</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卫健局、市场监管局、烟草专卖局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4</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区人社局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根治欠薪专项检查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1.保障农民工工资支付情况</w:t>
            </w:r>
            <w:r>
              <w:rPr>
                <w:rFonts w:ascii="宋体" w:hAnsi="宋体" w:cs="宋体" w:hint="eastAsia"/>
                <w:color w:val="000000"/>
                <w:sz w:val="13"/>
                <w:szCs w:val="13"/>
                <w:lang/>
              </w:rPr>
              <w:t>2.工程建设领域欠薪源头治理</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企业</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3户</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住建局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5</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区自然资源局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非煤矿开发利用监督检查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1.是否按开发利用方案确定的方式开采并同步落实保生态保护和修复。2</w:t>
            </w:r>
            <w:r>
              <w:rPr>
                <w:rStyle w:val="font21"/>
                <w:rFonts w:ascii="宋体" w:eastAsia="宋体" w:hAnsi="宋体" w:cs="宋体"/>
                <w:sz w:val="13"/>
                <w:szCs w:val="13"/>
                <w:lang/>
              </w:rPr>
              <w:t>产能或生产规模是否符合规定。3</w:t>
            </w:r>
            <w:r>
              <w:rPr>
                <w:rFonts w:ascii="宋体" w:hAnsi="宋体" w:cs="宋体" w:hint="eastAsia"/>
                <w:color w:val="000000"/>
                <w:sz w:val="13"/>
                <w:szCs w:val="13"/>
                <w:lang/>
              </w:rPr>
              <w:t>落实安全生产情况</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非煤矿山的单位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现场核查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10%</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经信局、应急管理局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6</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区生态环境局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工业企业生态环境保护监督检查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1.执行生态环境保护法律法规、建设项目“三同时”制度和污染源治理设施运行、排污许可证执行、环境应急工作、固体废物管理</w:t>
            </w:r>
            <w:r>
              <w:rPr>
                <w:rFonts w:ascii="宋体" w:hAnsi="宋体" w:cs="宋体" w:hint="eastAsia"/>
                <w:color w:val="000000"/>
                <w:sz w:val="13"/>
                <w:szCs w:val="13"/>
                <w:lang/>
              </w:rPr>
              <w:t>2.产业政策、节能环保、循环经济、技术改造3.矿产资源、土地使用4.水土保持、下泄生态流量5.规模化畜禽养殖污染防治</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重点监控企业</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经信局、自然资源局、水利局、农业农村局。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w:t>
            </w:r>
            <w:r>
              <w:rPr>
                <w:rStyle w:val="font21"/>
                <w:rFonts w:ascii="宋体" w:eastAsia="宋体" w:hAnsi="宋体" w:cs="宋体"/>
                <w:sz w:val="13"/>
                <w:szCs w:val="13"/>
              </w:rPr>
              <w:t>年11月20日前</w:t>
            </w:r>
          </w:p>
        </w:tc>
      </w:tr>
      <w:tr w:rsidR="00AA55FA" w:rsidTr="006A36FD">
        <w:trPr>
          <w:trHeight w:val="90"/>
        </w:trPr>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7</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区住房和城乡建设局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对建设工程项目的监督检查</w:t>
            </w:r>
          </w:p>
        </w:tc>
        <w:tc>
          <w:tcPr>
            <w:tcW w:w="4630" w:type="dxa"/>
            <w:vAlign w:val="center"/>
          </w:tcPr>
          <w:p w:rsidR="00AA55FA" w:rsidRDefault="00AA55FA" w:rsidP="006A36FD">
            <w:pPr>
              <w:spacing w:line="220" w:lineRule="atLeast"/>
              <w:jc w:val="left"/>
              <w:rPr>
                <w:rFonts w:ascii="宋体" w:hAnsi="宋体" w:cs="宋体" w:hint="eastAsia"/>
                <w:color w:val="000000"/>
                <w:sz w:val="13"/>
                <w:szCs w:val="13"/>
              </w:rPr>
            </w:pPr>
            <w:r>
              <w:rPr>
                <w:rFonts w:ascii="宋体" w:hAnsi="宋体" w:cs="宋体" w:hint="eastAsia"/>
                <w:color w:val="000000"/>
                <w:sz w:val="13"/>
                <w:szCs w:val="13"/>
                <w:lang/>
              </w:rPr>
              <w:t>1.建筑施工企业安全生产条件</w:t>
            </w:r>
            <w:r>
              <w:rPr>
                <w:rFonts w:ascii="宋体" w:hAnsi="宋体" w:cs="宋体" w:hint="eastAsia"/>
                <w:sz w:val="13"/>
                <w:szCs w:val="13"/>
              </w:rPr>
              <w:t>2.建筑施工企业主要负责人、项目负责人、专职安全生产管理人员持证上岗、教育培训和履行安全职责情况3.房屋建筑和市政基础设施勘察设计质量4.建设单位履行质量责任和义务5.工地扬尘、施工围栏和占道6.水土保持7.工程建设项目抗震设防</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在建工程项目</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城管执法局、自然资源局、应急管理局、生态环境局、水利局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8</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区交通运</w:t>
            </w:r>
            <w:r>
              <w:rPr>
                <w:rFonts w:ascii="宋体" w:hAnsi="宋体" w:cs="宋体" w:hint="eastAsia"/>
                <w:color w:val="000000"/>
                <w:sz w:val="13"/>
                <w:szCs w:val="13"/>
              </w:rPr>
              <w:lastRenderedPageBreak/>
              <w:t>输局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lastRenderedPageBreak/>
              <w:t>对道路运输经营</w:t>
            </w:r>
            <w:r>
              <w:rPr>
                <w:rFonts w:ascii="宋体" w:hAnsi="宋体" w:cs="宋体" w:hint="eastAsia"/>
                <w:color w:val="000000"/>
                <w:sz w:val="13"/>
                <w:szCs w:val="13"/>
              </w:rPr>
              <w:lastRenderedPageBreak/>
              <w:t>者、站场等相关业务检查</w:t>
            </w:r>
          </w:p>
        </w:tc>
        <w:tc>
          <w:tcPr>
            <w:tcW w:w="4630" w:type="dxa"/>
            <w:vAlign w:val="center"/>
          </w:tcPr>
          <w:p w:rsidR="00AA55FA" w:rsidRDefault="00AA55FA" w:rsidP="006A36FD">
            <w:pPr>
              <w:spacing w:line="220" w:lineRule="atLeast"/>
              <w:jc w:val="left"/>
              <w:rPr>
                <w:rFonts w:ascii="宋体" w:hAnsi="宋体" w:cs="宋体" w:hint="eastAsia"/>
                <w:color w:val="000000"/>
                <w:sz w:val="13"/>
                <w:szCs w:val="13"/>
              </w:rPr>
            </w:pPr>
            <w:r>
              <w:rPr>
                <w:rFonts w:ascii="宋体" w:hAnsi="宋体" w:cs="宋体" w:hint="eastAsia"/>
                <w:color w:val="000000"/>
                <w:sz w:val="13"/>
                <w:szCs w:val="13"/>
              </w:rPr>
              <w:lastRenderedPageBreak/>
              <w:t>1.道路运输经营者、机动车维修经营者、机动车驾驶员培训经营者安全生产法</w:t>
            </w:r>
            <w:r>
              <w:rPr>
                <w:rFonts w:ascii="宋体" w:hAnsi="宋体" w:cs="宋体" w:hint="eastAsia"/>
                <w:color w:val="000000"/>
                <w:sz w:val="13"/>
                <w:szCs w:val="13"/>
              </w:rPr>
              <w:lastRenderedPageBreak/>
              <w:t>律法规、国家标准或行业标准执行情况和许可证、车辆、人员档案工作资</w:t>
            </w:r>
            <w:r>
              <w:rPr>
                <w:rFonts w:ascii="宋体" w:hAnsi="宋体" w:cs="宋体" w:hint="eastAsia"/>
                <w:sz w:val="13"/>
                <w:szCs w:val="13"/>
              </w:rPr>
              <w:t>2.道路运输客货运站场（含道路危险货物运输）中经营者、车辆、停车场地等与道路交通安全活动有关的档案资料和场地。3.危险废物收集、贮存、处置4.落实污染防治主体责任</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lastRenderedPageBreak/>
              <w:t>道路运输经营者</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公安分局、应急管理局、生态</w:t>
            </w:r>
            <w:r>
              <w:rPr>
                <w:rFonts w:ascii="宋体" w:hAnsi="宋体" w:cs="宋体" w:hint="eastAsia"/>
                <w:color w:val="000000"/>
                <w:sz w:val="13"/>
                <w:szCs w:val="13"/>
              </w:rPr>
              <w:lastRenderedPageBreak/>
              <w:t>环境局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lastRenderedPageBreak/>
              <w:t>全年</w:t>
            </w:r>
            <w:r>
              <w:rPr>
                <w:rStyle w:val="font21"/>
                <w:rFonts w:ascii="宋体" w:eastAsia="宋体" w:hAnsi="宋体" w:cs="宋体"/>
                <w:sz w:val="13"/>
                <w:szCs w:val="13"/>
              </w:rPr>
              <w:t>2次</w:t>
            </w:r>
          </w:p>
        </w:tc>
      </w:tr>
      <w:tr w:rsidR="00AA55FA" w:rsidTr="006A36FD">
        <w:trPr>
          <w:trHeight w:val="688"/>
        </w:trPr>
        <w:tc>
          <w:tcPr>
            <w:tcW w:w="522" w:type="dxa"/>
          </w:tcPr>
          <w:p w:rsidR="00AA55FA" w:rsidRDefault="00AA55FA" w:rsidP="006A36FD">
            <w:pPr>
              <w:spacing w:line="220" w:lineRule="atLeast"/>
              <w:jc w:val="left"/>
              <w:rPr>
                <w:rFonts w:ascii="宋体" w:hAnsi="宋体" w:cs="宋体" w:hint="eastAsia"/>
                <w:sz w:val="13"/>
                <w:szCs w:val="13"/>
              </w:rPr>
            </w:pPr>
            <w:r>
              <w:rPr>
                <w:rFonts w:ascii="宋体" w:hAnsi="宋体" w:cs="宋体" w:hint="eastAsia"/>
                <w:sz w:val="13"/>
                <w:szCs w:val="13"/>
              </w:rPr>
              <w:lastRenderedPageBreak/>
              <w:t>9</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区农业农村局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农资市场监督检查</w:t>
            </w:r>
          </w:p>
        </w:tc>
        <w:tc>
          <w:tcPr>
            <w:tcW w:w="4630" w:type="dxa"/>
            <w:vAlign w:val="center"/>
          </w:tcPr>
          <w:p w:rsidR="00AA55FA" w:rsidRDefault="00AA55FA" w:rsidP="006A36FD">
            <w:pPr>
              <w:spacing w:line="220" w:lineRule="atLeast"/>
              <w:jc w:val="left"/>
              <w:rPr>
                <w:rFonts w:ascii="宋体" w:hAnsi="宋体" w:cs="宋体" w:hint="eastAsia"/>
                <w:color w:val="000000"/>
                <w:sz w:val="13"/>
                <w:szCs w:val="13"/>
              </w:rPr>
            </w:pPr>
            <w:r>
              <w:rPr>
                <w:rFonts w:ascii="宋体" w:hAnsi="宋体" w:cs="宋体" w:hint="eastAsia"/>
                <w:color w:val="000000"/>
                <w:sz w:val="13"/>
                <w:szCs w:val="13"/>
              </w:rPr>
              <w:t xml:space="preserve">1. </w:t>
            </w:r>
            <w:r>
              <w:rPr>
                <w:rStyle w:val="font21"/>
                <w:rFonts w:ascii="宋体" w:eastAsia="宋体" w:hAnsi="宋体" w:cs="宋体"/>
                <w:sz w:val="13"/>
                <w:szCs w:val="13"/>
              </w:rPr>
              <w:t>市场主体许可登记</w:t>
            </w:r>
            <w:r>
              <w:rPr>
                <w:rFonts w:ascii="宋体" w:hAnsi="宋体" w:cs="宋体" w:hint="eastAsia"/>
                <w:sz w:val="13"/>
                <w:szCs w:val="13"/>
              </w:rPr>
              <w:t>2. 产品登记(审定)、产品质量、标签、计量3. 生产经营档案</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种子、农药、兽药、饲料生产经营企业及个人</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5户</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市场监管局、市经济信化局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全年2次</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10</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区商务局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单用途商业预付卡监督检查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1.卡面信息记载、章程协议公示、实名购卡、业务台账、预售资金归集与使用、业务报告</w:t>
            </w:r>
            <w:r>
              <w:rPr>
                <w:rFonts w:ascii="宋体" w:hAnsi="宋体" w:cs="宋体" w:hint="eastAsia"/>
                <w:color w:val="000000"/>
                <w:sz w:val="13"/>
                <w:szCs w:val="13"/>
                <w:lang/>
              </w:rPr>
              <w:t>2.消费者权益保障</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实施预付卡经营单位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100%</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市场监管局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11</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区文旅体局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2020年旅游市场双随机一公开抽查</w:t>
            </w:r>
          </w:p>
        </w:tc>
        <w:tc>
          <w:tcPr>
            <w:tcW w:w="4630" w:type="dxa"/>
            <w:vAlign w:val="center"/>
          </w:tcPr>
          <w:p w:rsidR="00AA55FA" w:rsidRDefault="00AA55FA" w:rsidP="006A36FD">
            <w:pPr>
              <w:spacing w:line="220" w:lineRule="atLeast"/>
              <w:jc w:val="left"/>
              <w:rPr>
                <w:rFonts w:ascii="宋体" w:hAnsi="宋体" w:cs="宋体" w:hint="eastAsia"/>
                <w:color w:val="000000"/>
                <w:sz w:val="13"/>
                <w:szCs w:val="13"/>
              </w:rPr>
            </w:pPr>
            <w:r>
              <w:rPr>
                <w:rFonts w:ascii="宋体" w:hAnsi="宋体" w:cs="宋体" w:hint="eastAsia"/>
                <w:color w:val="000000"/>
                <w:sz w:val="13"/>
                <w:szCs w:val="13"/>
              </w:rPr>
              <w:t>1.旅游景区和星级饭店设施设备安全情况</w:t>
            </w:r>
            <w:r>
              <w:rPr>
                <w:rFonts w:ascii="宋体" w:hAnsi="宋体" w:cs="宋体" w:hint="eastAsia"/>
                <w:sz w:val="13"/>
                <w:szCs w:val="13"/>
              </w:rPr>
              <w:t>2.旅游景区和星级饭店食品安全情况3.旅游景区和星级饭店特种设备安全情况4.旅游景区和星级饭店消防设施设备安全情况</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旅游景区、星级饭店</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市场监管局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全年2次</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12</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区卫健局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医疗废物监督检查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医废分类收集、转运、处置</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区医疗机构</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生态环境局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13</w:t>
            </w:r>
          </w:p>
        </w:tc>
        <w:tc>
          <w:tcPr>
            <w:tcW w:w="78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区应急管理局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企业安全生产制度落实情况监督检查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商贸、危险化学品相关企业</w:t>
            </w:r>
          </w:p>
          <w:p w:rsidR="00AA55FA" w:rsidRDefault="00AA55FA" w:rsidP="006A36FD">
            <w:pPr>
              <w:widowControl/>
              <w:jc w:val="left"/>
              <w:textAlignment w:val="center"/>
              <w:rPr>
                <w:rFonts w:ascii="宋体" w:hAnsi="宋体" w:cs="宋体" w:hint="eastAsia"/>
                <w:color w:val="000000"/>
                <w:sz w:val="13"/>
                <w:szCs w:val="13"/>
              </w:rPr>
            </w:pP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区危险化学品生产、经营、储存单位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市场监管局、经信局、生态环境局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Merge w:val="restart"/>
          </w:tcPr>
          <w:p w:rsidR="00AA55FA" w:rsidRDefault="00AA55FA" w:rsidP="006A36FD">
            <w:pPr>
              <w:spacing w:line="220" w:lineRule="atLeast"/>
              <w:jc w:val="left"/>
              <w:rPr>
                <w:rFonts w:ascii="宋体" w:hAnsi="宋体" w:cs="宋体" w:hint="eastAsia"/>
                <w:sz w:val="13"/>
                <w:szCs w:val="13"/>
              </w:rPr>
            </w:pPr>
            <w:r>
              <w:rPr>
                <w:rFonts w:ascii="宋体" w:hAnsi="宋体" w:cs="宋体" w:hint="eastAsia"/>
                <w:sz w:val="13"/>
                <w:szCs w:val="13"/>
              </w:rPr>
              <w:t>14</w:t>
            </w:r>
          </w:p>
        </w:tc>
        <w:tc>
          <w:tcPr>
            <w:tcW w:w="780" w:type="dxa"/>
            <w:vMerge w:val="restart"/>
          </w:tcPr>
          <w:p w:rsidR="00AA55FA" w:rsidRDefault="00AA55FA" w:rsidP="006A36FD">
            <w:pPr>
              <w:spacing w:line="220" w:lineRule="atLeast"/>
              <w:jc w:val="left"/>
              <w:rPr>
                <w:rFonts w:ascii="宋体" w:hAnsi="宋体" w:cs="宋体" w:hint="eastAsia"/>
                <w:sz w:val="13"/>
                <w:szCs w:val="13"/>
              </w:rPr>
            </w:pPr>
            <w:r>
              <w:rPr>
                <w:rFonts w:ascii="宋体" w:hAnsi="宋体" w:cs="宋体" w:hint="eastAsia"/>
                <w:color w:val="000000"/>
                <w:sz w:val="13"/>
                <w:szCs w:val="13"/>
                <w:lang/>
              </w:rPr>
              <w:t>区市场监管局</w:t>
            </w: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有机产品获证企业监督检查</w:t>
            </w:r>
          </w:p>
        </w:tc>
        <w:tc>
          <w:tcPr>
            <w:tcW w:w="4630" w:type="dxa"/>
            <w:vAlign w:val="center"/>
          </w:tcPr>
          <w:p w:rsidR="00AA55FA" w:rsidRDefault="00AA55FA" w:rsidP="006A36FD">
            <w:pPr>
              <w:spacing w:line="220" w:lineRule="atLeast"/>
              <w:jc w:val="left"/>
              <w:rPr>
                <w:rFonts w:ascii="宋体" w:hAnsi="宋体" w:cs="宋体" w:hint="eastAsia"/>
                <w:sz w:val="13"/>
                <w:szCs w:val="13"/>
              </w:rPr>
            </w:pPr>
            <w:r>
              <w:rPr>
                <w:rFonts w:ascii="宋体" w:hAnsi="宋体" w:cs="宋体" w:hint="eastAsia"/>
                <w:color w:val="000000"/>
                <w:sz w:val="13"/>
                <w:szCs w:val="13"/>
              </w:rPr>
              <w:t>1.认证合法性</w:t>
            </w:r>
            <w:r>
              <w:rPr>
                <w:rFonts w:ascii="宋体" w:hAnsi="宋体" w:cs="宋体" w:hint="eastAsia"/>
                <w:sz w:val="13"/>
                <w:szCs w:val="13"/>
              </w:rPr>
              <w:t>2.认证过程监督；3.生产过程符合性</w:t>
            </w:r>
          </w:p>
          <w:p w:rsidR="00AA55FA" w:rsidRDefault="00AA55FA" w:rsidP="006A36FD">
            <w:pPr>
              <w:widowControl/>
              <w:jc w:val="left"/>
              <w:textAlignment w:val="center"/>
              <w:rPr>
                <w:rFonts w:ascii="宋体" w:hAnsi="宋体" w:cs="宋体" w:hint="eastAsia"/>
                <w:color w:val="000000"/>
                <w:sz w:val="13"/>
                <w:szCs w:val="13"/>
              </w:rPr>
            </w:pP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区2019年度获证有机产品企业</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60%</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农业农村局、林业局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rPr>
              <w:t>2020年11月20日前</w:t>
            </w:r>
          </w:p>
        </w:tc>
      </w:tr>
      <w:tr w:rsidR="00AA55FA" w:rsidTr="006A36FD">
        <w:tc>
          <w:tcPr>
            <w:tcW w:w="522" w:type="dxa"/>
            <w:vMerge/>
          </w:tcPr>
          <w:p w:rsidR="00AA55FA" w:rsidRDefault="00AA55FA" w:rsidP="006A36FD">
            <w:pPr>
              <w:spacing w:line="220" w:lineRule="atLeast"/>
              <w:jc w:val="left"/>
              <w:rPr>
                <w:rFonts w:ascii="宋体" w:hAnsi="宋体" w:cs="宋体" w:hint="eastAsia"/>
                <w:sz w:val="13"/>
                <w:szCs w:val="13"/>
              </w:rPr>
            </w:pPr>
          </w:p>
        </w:tc>
        <w:tc>
          <w:tcPr>
            <w:tcW w:w="780" w:type="dxa"/>
            <w:vMerge/>
          </w:tcPr>
          <w:p w:rsidR="00AA55FA" w:rsidRDefault="00AA55FA" w:rsidP="006A36FD">
            <w:pPr>
              <w:spacing w:line="220" w:lineRule="atLeast"/>
              <w:jc w:val="left"/>
              <w:rPr>
                <w:rFonts w:ascii="宋体" w:hAnsi="宋体" w:cs="宋体" w:hint="eastAsia"/>
                <w:sz w:val="13"/>
                <w:szCs w:val="13"/>
              </w:rPr>
            </w:pP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特种设备安全监督监管</w:t>
            </w:r>
          </w:p>
        </w:tc>
        <w:tc>
          <w:tcPr>
            <w:tcW w:w="4630" w:type="dxa"/>
            <w:vAlign w:val="center"/>
          </w:tcPr>
          <w:p w:rsidR="00AA55FA" w:rsidRDefault="00AA55FA" w:rsidP="006A36FD">
            <w:pPr>
              <w:spacing w:line="220" w:lineRule="atLeast"/>
              <w:jc w:val="left"/>
              <w:rPr>
                <w:rFonts w:ascii="宋体" w:hAnsi="宋体" w:cs="宋体" w:hint="eastAsia"/>
                <w:color w:val="000000"/>
                <w:sz w:val="13"/>
                <w:szCs w:val="13"/>
              </w:rPr>
            </w:pPr>
            <w:r>
              <w:rPr>
                <w:rFonts w:ascii="宋体" w:hAnsi="宋体" w:cs="宋体" w:hint="eastAsia"/>
                <w:color w:val="000000"/>
                <w:sz w:val="13"/>
                <w:szCs w:val="13"/>
                <w:lang/>
              </w:rPr>
              <w:t>1.特种设备安全规章制度、管理机构、责任人员落实情况；</w:t>
            </w:r>
            <w:r>
              <w:rPr>
                <w:rFonts w:ascii="宋体" w:hAnsi="宋体" w:cs="宋体" w:hint="eastAsia"/>
                <w:sz w:val="13"/>
                <w:szCs w:val="13"/>
              </w:rPr>
              <w:t>2.特种设备注册登记、作业人员持证情况；3.特种设备检验情况；4.特种设备安全应急预案和演练情况；5.特种设备风险辨识管控和隐患排查治理双重预防体系。</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全市特种设备生产（设计、制造、安装、改造、修理）、经营、使用、检验、检测单位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4%</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应急管理局、经信息、住建局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 xml:space="preserve">2020年11月20日前 </w:t>
            </w:r>
          </w:p>
        </w:tc>
      </w:tr>
      <w:tr w:rsidR="00AA55FA" w:rsidTr="006A36FD">
        <w:tc>
          <w:tcPr>
            <w:tcW w:w="522" w:type="dxa"/>
            <w:vMerge/>
          </w:tcPr>
          <w:p w:rsidR="00AA55FA" w:rsidRDefault="00AA55FA" w:rsidP="006A36FD">
            <w:pPr>
              <w:spacing w:line="220" w:lineRule="atLeast"/>
              <w:jc w:val="left"/>
              <w:rPr>
                <w:rFonts w:ascii="宋体" w:hAnsi="宋体" w:cs="宋体" w:hint="eastAsia"/>
                <w:sz w:val="13"/>
                <w:szCs w:val="13"/>
              </w:rPr>
            </w:pPr>
          </w:p>
        </w:tc>
        <w:tc>
          <w:tcPr>
            <w:tcW w:w="780" w:type="dxa"/>
            <w:vMerge/>
          </w:tcPr>
          <w:p w:rsidR="00AA55FA" w:rsidRDefault="00AA55FA" w:rsidP="006A36FD">
            <w:pPr>
              <w:spacing w:line="220" w:lineRule="atLeast"/>
              <w:jc w:val="left"/>
              <w:rPr>
                <w:rFonts w:ascii="宋体" w:hAnsi="宋体" w:cs="宋体" w:hint="eastAsia"/>
                <w:sz w:val="13"/>
                <w:szCs w:val="13"/>
              </w:rPr>
            </w:pP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特殊食品监督检查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1.特殊医学用途配方食品管理</w:t>
            </w:r>
            <w:r>
              <w:rPr>
                <w:rFonts w:ascii="宋体" w:hAnsi="宋体" w:cs="宋体" w:hint="eastAsia"/>
                <w:color w:val="000000"/>
                <w:sz w:val="13"/>
                <w:szCs w:val="13"/>
                <w:lang/>
              </w:rPr>
              <w:br/>
              <w:t>2.特殊医学用途配方食品使用操作</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全市特殊医学用途配方食品经营单位</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卫健局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 xml:space="preserve">2020年11月20日前 </w:t>
            </w:r>
          </w:p>
        </w:tc>
      </w:tr>
      <w:tr w:rsidR="00AA55FA" w:rsidTr="006A36FD">
        <w:tc>
          <w:tcPr>
            <w:tcW w:w="522" w:type="dxa"/>
            <w:vMerge/>
          </w:tcPr>
          <w:p w:rsidR="00AA55FA" w:rsidRDefault="00AA55FA" w:rsidP="006A36FD">
            <w:pPr>
              <w:spacing w:line="220" w:lineRule="atLeast"/>
              <w:jc w:val="left"/>
              <w:rPr>
                <w:rFonts w:ascii="宋体" w:hAnsi="宋体" w:cs="宋体" w:hint="eastAsia"/>
                <w:sz w:val="13"/>
                <w:szCs w:val="13"/>
              </w:rPr>
            </w:pPr>
          </w:p>
        </w:tc>
        <w:tc>
          <w:tcPr>
            <w:tcW w:w="780" w:type="dxa"/>
            <w:vMerge/>
          </w:tcPr>
          <w:p w:rsidR="00AA55FA" w:rsidRDefault="00AA55FA" w:rsidP="006A36FD">
            <w:pPr>
              <w:spacing w:line="220" w:lineRule="atLeast"/>
              <w:jc w:val="left"/>
              <w:rPr>
                <w:rFonts w:ascii="宋体" w:hAnsi="宋体" w:cs="宋体" w:hint="eastAsia"/>
                <w:sz w:val="13"/>
                <w:szCs w:val="13"/>
              </w:rPr>
            </w:pPr>
          </w:p>
        </w:tc>
        <w:tc>
          <w:tcPr>
            <w:tcW w:w="11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疫苗管理监督检查</w:t>
            </w:r>
          </w:p>
        </w:tc>
        <w:tc>
          <w:tcPr>
            <w:tcW w:w="463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疫苗采购、验收、运输储存质量管理和使用</w:t>
            </w:r>
          </w:p>
        </w:tc>
        <w:tc>
          <w:tcPr>
            <w:tcW w:w="201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市县疾控中心和预防接种点</w:t>
            </w:r>
          </w:p>
        </w:tc>
        <w:tc>
          <w:tcPr>
            <w:tcW w:w="147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现场检查</w:t>
            </w:r>
          </w:p>
        </w:tc>
        <w:tc>
          <w:tcPr>
            <w:tcW w:w="85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5%</w:t>
            </w:r>
          </w:p>
        </w:tc>
        <w:tc>
          <w:tcPr>
            <w:tcW w:w="1920"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卫健局</w:t>
            </w:r>
          </w:p>
        </w:tc>
        <w:tc>
          <w:tcPr>
            <w:tcW w:w="822" w:type="dxa"/>
            <w:vAlign w:val="center"/>
          </w:tcPr>
          <w:p w:rsidR="00AA55FA" w:rsidRDefault="00AA55FA" w:rsidP="006A36FD">
            <w:pPr>
              <w:widowControl/>
              <w:jc w:val="left"/>
              <w:textAlignment w:val="center"/>
              <w:rPr>
                <w:rFonts w:ascii="宋体" w:hAnsi="宋体" w:cs="宋体" w:hint="eastAsia"/>
                <w:color w:val="000000"/>
                <w:sz w:val="13"/>
                <w:szCs w:val="13"/>
              </w:rPr>
            </w:pPr>
            <w:r>
              <w:rPr>
                <w:rFonts w:ascii="宋体" w:hAnsi="宋体" w:cs="宋体" w:hint="eastAsia"/>
                <w:color w:val="000000"/>
                <w:sz w:val="13"/>
                <w:szCs w:val="13"/>
                <w:lang/>
              </w:rPr>
              <w:t>2020</w:t>
            </w:r>
            <w:r>
              <w:rPr>
                <w:rStyle w:val="font21"/>
                <w:rFonts w:ascii="宋体" w:eastAsia="宋体" w:hAnsi="宋体" w:cs="宋体"/>
                <w:sz w:val="13"/>
                <w:szCs w:val="13"/>
                <w:lang/>
              </w:rPr>
              <w:t xml:space="preserve">年11月20日前 </w:t>
            </w:r>
          </w:p>
        </w:tc>
      </w:tr>
    </w:tbl>
    <w:p w:rsidR="00AA55FA" w:rsidRDefault="00AA55FA" w:rsidP="00AA55FA">
      <w:pPr>
        <w:spacing w:line="220" w:lineRule="atLeast"/>
        <w:ind w:firstLineChars="200" w:firstLine="260"/>
        <w:jc w:val="left"/>
        <w:rPr>
          <w:rFonts w:ascii="宋体" w:hAnsi="宋体" w:cs="宋体" w:hint="eastAsia"/>
          <w:sz w:val="13"/>
          <w:szCs w:val="13"/>
        </w:rPr>
      </w:pPr>
    </w:p>
    <w:p w:rsidR="00971CC6" w:rsidRDefault="00971CC6"/>
    <w:sectPr w:rsidR="00971CC6" w:rsidSect="00AA55F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5FA"/>
    <w:rsid w:val="00971CC6"/>
    <w:rsid w:val="00AA5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F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sid w:val="00AA55FA"/>
    <w:rPr>
      <w:rFonts w:ascii="仿宋_GB2312" w:eastAsia="仿宋_GB2312" w:cs="仿宋_GB2312" w:hint="eastAsia"/>
      <w:color w:val="000000"/>
      <w:sz w:val="24"/>
      <w:szCs w:val="24"/>
      <w:u w:val="none"/>
    </w:rPr>
  </w:style>
  <w:style w:type="character" w:customStyle="1" w:styleId="font31">
    <w:name w:val="font31"/>
    <w:basedOn w:val="a0"/>
    <w:qFormat/>
    <w:rsid w:val="00AA55FA"/>
    <w:rPr>
      <w:rFonts w:ascii="Arial" w:hAnsi="Arial" w:cs="Arial"/>
      <w:color w:val="000000"/>
      <w:sz w:val="24"/>
      <w:szCs w:val="24"/>
      <w:u w:val="none"/>
    </w:rPr>
  </w:style>
  <w:style w:type="table" w:styleId="a3">
    <w:name w:val="Table Grid"/>
    <w:basedOn w:val="a1"/>
    <w:uiPriority w:val="59"/>
    <w:qFormat/>
    <w:rsid w:val="00AA55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2020-09-15T08:35:00Z</dcterms:created>
  <dcterms:modified xsi:type="dcterms:W3CDTF">2020-09-15T08:35:00Z</dcterms:modified>
</cp:coreProperties>
</file>