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1" w:name="_Toc15377425"/>
      <w:bookmarkStart w:id="2" w:name="_Toc15378441"/>
      <w:bookmarkStart w:id="3" w:name="_Toc15396597"/>
      <w:bookmarkStart w:id="4" w:name="_Toc15377193"/>
      <w:bookmarkStart w:id="5" w:name="_Toc15396475"/>
      <w:r>
        <w:rPr>
          <w:rFonts w:hint="eastAsia" w:ascii="方正小标宋简体" w:hAnsi="宋体" w:eastAsia="方正小标宋简体"/>
          <w:color w:val="000000"/>
          <w:sz w:val="72"/>
          <w:szCs w:val="72"/>
          <w:lang w:val="en-US" w:eastAsia="zh-CN"/>
        </w:rPr>
        <w:t>2020</w:t>
      </w:r>
      <w:r>
        <w:rPr>
          <w:rFonts w:hint="eastAsia" w:ascii="方正小标宋简体" w:hAnsi="宋体" w:eastAsia="方正小标宋简体"/>
          <w:color w:val="000000"/>
          <w:sz w:val="72"/>
          <w:szCs w:val="72"/>
          <w:lang w:eastAsia="zh-CN"/>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8442"/>
      <w:bookmarkStart w:id="8" w:name="_Toc15396598"/>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广元市规划局朝天分局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公开时间：2020年9月3</w:t>
      </w:r>
      <w:r>
        <w:rPr>
          <w:rFonts w:hint="eastAsia"/>
          <w:lang w:val="en-US" w:eastAsia="zh-CN"/>
        </w:rPr>
        <w:t>0</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一、基本职能及主要工作</w:t>
      </w:r>
    </w:p>
    <w:p>
      <w:pPr>
        <w:pStyle w:val="12"/>
        <w:adjustRightInd w:val="0"/>
        <w:snapToGrid w:val="0"/>
        <w:spacing w:line="440" w:lineRule="exact"/>
        <w:jc w:val="left"/>
        <w:rPr>
          <w:rFonts w:ascii="仿宋" w:hAnsi="仿宋" w:eastAsia="仿宋" w:cstheme="minorBidi"/>
          <w:sz w:val="24"/>
        </w:rPr>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第二部分度部门决算情况说明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8"/>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2"/>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3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35"/>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r>
        <w:rPr>
          <w:rFonts w:hint="eastAsia" w:ascii="仿宋" w:hAnsi="仿宋" w:eastAsia="仿宋" w:cs="Times New Roman"/>
          <w:bCs/>
          <w:color w:val="000000"/>
          <w:sz w:val="32"/>
          <w:szCs w:val="32"/>
        </w:rPr>
        <w:t>组织编制本辖区国土空间规划、城市设计、概念规划等。负责制定管辖范围内的项目选址、规划设计前期研究和规划设计方案审查。承担辖区规划管理审查相关事务工作。</w:t>
      </w:r>
      <w:bookmarkEnd w:id="16"/>
      <w:bookmarkEnd w:id="17"/>
      <w:bookmarkStart w:id="18" w:name="_Toc15378446"/>
      <w:bookmarkStart w:id="19" w:name="_Toc15377199"/>
    </w:p>
    <w:p>
      <w:pPr>
        <w:pStyle w:val="2"/>
        <w:spacing w:line="576" w:lineRule="exact"/>
        <w:ind w:left="0" w:leftChars="0" w:firstLine="640" w:firstLineChars="200"/>
        <w:rPr>
          <w:rFonts w:eastAsia="黑体"/>
        </w:rPr>
      </w:pPr>
      <w:r>
        <w:rPr>
          <w:rFonts w:hint="eastAsia" w:ascii="仿宋" w:hAnsi="仿宋" w:eastAsia="仿宋" w:cs="Times New Roman"/>
          <w:bCs/>
          <w:color w:val="000000"/>
          <w:sz w:val="32"/>
          <w:szCs w:val="32"/>
        </w:rPr>
        <w:t>（二）2020年重点工作完成情况。</w:t>
      </w:r>
      <w:bookmarkEnd w:id="18"/>
      <w:bookmarkEnd w:id="19"/>
      <w:r>
        <w:rPr>
          <w:rFonts w:ascii="仿宋_GB2312" w:hAnsi="仿宋_GB2312" w:cs="仿宋_GB2312"/>
        </w:rPr>
        <w:t>20</w:t>
      </w:r>
      <w:r>
        <w:rPr>
          <w:rFonts w:hint="eastAsia" w:ascii="仿宋_GB2312" w:hAnsi="仿宋_GB2312" w:cs="仿宋_GB2312"/>
        </w:rPr>
        <w:t>20年区规划分局认真抓好区下目标管理工作，对照各项目标任务狠抓落实，截止目前，已全面完成年度目标任务。</w:t>
      </w:r>
    </w:p>
    <w:p>
      <w:pPr>
        <w:pStyle w:val="5"/>
        <w:widowControl/>
        <w:shd w:val="clear" w:color="auto" w:fill="FFFFFF"/>
        <w:spacing w:beforeAutospacing="0" w:afterAutospacing="0" w:line="576" w:lineRule="exact"/>
        <w:ind w:firstLine="640" w:firstLineChars="200"/>
        <w:rPr>
          <w:rFonts w:hint="default" w:ascii="黑体" w:hAnsi="黑体" w:eastAsia="黑体" w:cs="黑体"/>
          <w:b w:val="0"/>
          <w:kern w:val="2"/>
          <w:sz w:val="32"/>
          <w:szCs w:val="32"/>
        </w:rPr>
      </w:pPr>
      <w:r>
        <w:rPr>
          <w:rFonts w:hint="eastAsia" w:ascii="黑体" w:hAnsi="黑体" w:eastAsia="黑体" w:cs="黑体"/>
          <w:b w:val="0"/>
          <w:kern w:val="2"/>
          <w:sz w:val="32"/>
          <w:szCs w:val="32"/>
          <w:lang w:val="en-US" w:eastAsia="zh-CN"/>
        </w:rPr>
        <w:t>1、</w:t>
      </w:r>
      <w:r>
        <w:rPr>
          <w:rFonts w:ascii="黑体" w:hAnsi="黑体" w:eastAsia="黑体" w:cs="黑体"/>
          <w:b w:val="0"/>
          <w:kern w:val="2"/>
          <w:sz w:val="32"/>
          <w:szCs w:val="32"/>
        </w:rPr>
        <w:t>重点指标完成情况</w:t>
      </w:r>
    </w:p>
    <w:p>
      <w:pPr>
        <w:pStyle w:val="5"/>
        <w:widowControl/>
        <w:shd w:val="clear" w:color="auto" w:fill="FFFFFF"/>
        <w:spacing w:beforeAutospacing="0" w:afterAutospacing="0" w:line="576" w:lineRule="exact"/>
        <w:ind w:firstLine="640" w:firstLineChars="200"/>
        <w:rPr>
          <w:rFonts w:hint="default" w:ascii="仿宋_GB2312" w:hAnsi="仿宋" w:eastAsia="仿宋_GB2312" w:cs="黑体"/>
          <w:b w:val="0"/>
          <w:bCs/>
          <w:sz w:val="32"/>
          <w:szCs w:val="32"/>
        </w:rPr>
      </w:pPr>
      <w:r>
        <w:rPr>
          <w:rFonts w:ascii="仿宋_GB2312" w:hAnsi="仿宋" w:eastAsia="仿宋_GB2312" w:cs="黑体"/>
          <w:b w:val="0"/>
          <w:bCs/>
          <w:sz w:val="32"/>
          <w:szCs w:val="32"/>
        </w:rPr>
        <w:t>联系的荣乐养生谷项目年度完成投资8亿元，形成固定资产投资4.14亿元，完成固定投资任务2.8亿元的147％。</w:t>
      </w:r>
    </w:p>
    <w:p>
      <w:pPr>
        <w:pStyle w:val="5"/>
        <w:widowControl/>
        <w:shd w:val="clear" w:color="auto" w:fill="FFFFFF"/>
        <w:spacing w:beforeAutospacing="0" w:afterAutospacing="0" w:line="576" w:lineRule="exact"/>
        <w:ind w:firstLine="640" w:firstLineChars="200"/>
        <w:rPr>
          <w:rFonts w:hint="default" w:ascii="黑体" w:hAnsi="黑体" w:eastAsia="黑体" w:cs="黑体"/>
          <w:b w:val="0"/>
          <w:kern w:val="2"/>
          <w:sz w:val="32"/>
          <w:szCs w:val="32"/>
        </w:rPr>
      </w:pPr>
      <w:r>
        <w:rPr>
          <w:rFonts w:hint="eastAsia" w:ascii="黑体" w:hAnsi="黑体" w:eastAsia="黑体" w:cs="黑体"/>
          <w:b w:val="0"/>
          <w:kern w:val="2"/>
          <w:sz w:val="32"/>
          <w:szCs w:val="32"/>
          <w:lang w:val="en-US" w:eastAsia="zh-CN"/>
        </w:rPr>
        <w:t>2、</w:t>
      </w:r>
      <w:r>
        <w:rPr>
          <w:rFonts w:ascii="黑体" w:hAnsi="黑体" w:eastAsia="黑体" w:cs="黑体"/>
          <w:b w:val="0"/>
          <w:kern w:val="2"/>
          <w:sz w:val="32"/>
          <w:szCs w:val="32"/>
        </w:rPr>
        <w:t>特色亮点工作</w:t>
      </w:r>
    </w:p>
    <w:p>
      <w:pPr>
        <w:spacing w:line="576"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lang w:eastAsia="zh-CN"/>
        </w:rPr>
        <w:t>（</w:t>
      </w:r>
      <w:r>
        <w:rPr>
          <w:rFonts w:hint="eastAsia" w:ascii="楷体_GB2312" w:hAnsi="仿宋_GB2312" w:eastAsia="楷体_GB2312" w:cs="仿宋_GB2312"/>
          <w:bCs/>
          <w:sz w:val="32"/>
          <w:szCs w:val="32"/>
          <w:lang w:val="en-US" w:eastAsia="zh-CN"/>
        </w:rPr>
        <w:t>1</w:t>
      </w:r>
      <w:r>
        <w:rPr>
          <w:rFonts w:hint="eastAsia" w:ascii="楷体_GB2312" w:hAnsi="仿宋_GB2312" w:eastAsia="楷体_GB2312" w:cs="仿宋_GB2312"/>
          <w:bCs/>
          <w:sz w:val="32"/>
          <w:szCs w:val="32"/>
          <w:lang w:eastAsia="zh-CN"/>
        </w:rPr>
        <w:t>）</w:t>
      </w:r>
      <w:r>
        <w:rPr>
          <w:rFonts w:hint="eastAsia" w:ascii="楷体_GB2312" w:hAnsi="仿宋_GB2312" w:eastAsia="楷体_GB2312" w:cs="仿宋_GB2312"/>
          <w:bCs/>
          <w:sz w:val="32"/>
          <w:szCs w:val="32"/>
        </w:rPr>
        <w:t>抓好疫情防控，助力复工复产。</w:t>
      </w:r>
    </w:p>
    <w:p>
      <w:pPr>
        <w:spacing w:line="576" w:lineRule="exact"/>
        <w:ind w:firstLine="640" w:firstLineChars="200"/>
        <w:rPr>
          <w:rFonts w:ascii="仿宋_GB2312" w:hAnsi="仿宋" w:eastAsia="仿宋_GB2312"/>
          <w:sz w:val="32"/>
          <w:szCs w:val="32"/>
        </w:rPr>
      </w:pPr>
      <w:r>
        <w:rPr>
          <w:rFonts w:hint="eastAsia" w:ascii="楷体_GB2312" w:hAnsi="仿宋_GB2312" w:eastAsia="楷体_GB2312" w:cs="仿宋_GB2312"/>
          <w:bCs/>
          <w:sz w:val="32"/>
          <w:szCs w:val="32"/>
          <w:lang w:eastAsia="zh-CN"/>
        </w:rPr>
        <w:t>（</w:t>
      </w:r>
      <w:r>
        <w:rPr>
          <w:rFonts w:hint="eastAsia" w:ascii="楷体_GB2312" w:hAnsi="仿宋_GB2312" w:eastAsia="楷体_GB2312" w:cs="仿宋_GB2312"/>
          <w:bCs/>
          <w:sz w:val="32"/>
          <w:szCs w:val="32"/>
          <w:lang w:val="en-US" w:eastAsia="zh-CN"/>
        </w:rPr>
        <w:t>2</w:t>
      </w:r>
      <w:r>
        <w:rPr>
          <w:rFonts w:hint="eastAsia" w:ascii="楷体_GB2312" w:hAnsi="仿宋_GB2312" w:eastAsia="楷体_GB2312" w:cs="仿宋_GB2312"/>
          <w:bCs/>
          <w:sz w:val="32"/>
          <w:szCs w:val="32"/>
          <w:lang w:eastAsia="zh-CN"/>
        </w:rPr>
        <w:t>）</w:t>
      </w:r>
      <w:r>
        <w:rPr>
          <w:rFonts w:hint="eastAsia" w:ascii="楷体_GB2312" w:hAnsi="仿宋_GB2312" w:eastAsia="楷体_GB2312" w:cs="仿宋_GB2312"/>
          <w:bCs/>
          <w:sz w:val="32"/>
          <w:szCs w:val="32"/>
        </w:rPr>
        <w:t>强化规划编制，优化空间布局。</w:t>
      </w:r>
    </w:p>
    <w:p>
      <w:pPr>
        <w:spacing w:line="576" w:lineRule="exact"/>
        <w:ind w:firstLine="640" w:firstLineChars="200"/>
        <w:jc w:val="left"/>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lang w:eastAsia="zh-CN"/>
        </w:rPr>
        <w:t>（</w:t>
      </w:r>
      <w:r>
        <w:rPr>
          <w:rFonts w:hint="eastAsia" w:ascii="楷体_GB2312" w:hAnsi="仿宋_GB2312" w:eastAsia="楷体_GB2312" w:cs="仿宋_GB2312"/>
          <w:bCs/>
          <w:sz w:val="32"/>
          <w:szCs w:val="32"/>
          <w:lang w:val="en-US" w:eastAsia="zh-CN"/>
        </w:rPr>
        <w:t>3</w:t>
      </w:r>
      <w:r>
        <w:rPr>
          <w:rFonts w:hint="eastAsia" w:ascii="楷体_GB2312" w:hAnsi="仿宋_GB2312" w:eastAsia="楷体_GB2312" w:cs="仿宋_GB2312"/>
          <w:bCs/>
          <w:sz w:val="32"/>
          <w:szCs w:val="32"/>
          <w:lang w:eastAsia="zh-CN"/>
        </w:rPr>
        <w:t>）</w:t>
      </w:r>
      <w:r>
        <w:rPr>
          <w:rFonts w:hint="eastAsia" w:ascii="楷体_GB2312" w:hAnsi="仿宋_GB2312" w:eastAsia="楷体_GB2312" w:cs="仿宋_GB2312"/>
          <w:bCs/>
          <w:sz w:val="32"/>
          <w:szCs w:val="32"/>
        </w:rPr>
        <w:t>优化营商环境，服务经济建设。</w:t>
      </w:r>
    </w:p>
    <w:p>
      <w:pPr>
        <w:spacing w:line="576" w:lineRule="exact"/>
        <w:ind w:firstLine="640" w:firstLineChars="200"/>
        <w:jc w:val="left"/>
        <w:rPr>
          <w:rFonts w:ascii="仿宋_GB2312" w:hAnsi="仿宋" w:eastAsia="仿宋_GB2312"/>
          <w:sz w:val="32"/>
          <w:szCs w:val="32"/>
        </w:rPr>
      </w:pPr>
      <w:r>
        <w:rPr>
          <w:rFonts w:hint="eastAsia" w:ascii="楷体_GB2312" w:hAnsi="仿宋_GB2312" w:eastAsia="楷体_GB2312" w:cs="仿宋_GB2312"/>
          <w:bCs/>
          <w:sz w:val="32"/>
          <w:szCs w:val="32"/>
          <w:lang w:eastAsia="zh-CN"/>
        </w:rPr>
        <w:t>（</w:t>
      </w:r>
      <w:r>
        <w:rPr>
          <w:rFonts w:hint="eastAsia" w:ascii="楷体_GB2312" w:hAnsi="仿宋_GB2312" w:eastAsia="楷体_GB2312" w:cs="仿宋_GB2312"/>
          <w:bCs/>
          <w:sz w:val="32"/>
          <w:szCs w:val="32"/>
          <w:lang w:val="en-US" w:eastAsia="zh-CN"/>
        </w:rPr>
        <w:t>4</w:t>
      </w:r>
      <w:r>
        <w:rPr>
          <w:rFonts w:hint="eastAsia" w:ascii="楷体_GB2312" w:hAnsi="仿宋_GB2312" w:eastAsia="楷体_GB2312" w:cs="仿宋_GB2312"/>
          <w:bCs/>
          <w:sz w:val="32"/>
          <w:szCs w:val="32"/>
          <w:lang w:eastAsia="zh-CN"/>
        </w:rPr>
        <w:t>）</w:t>
      </w:r>
      <w:r>
        <w:rPr>
          <w:rFonts w:hint="eastAsia" w:ascii="楷体_GB2312" w:hAnsi="仿宋_GB2312" w:eastAsia="楷体_GB2312" w:cs="仿宋_GB2312"/>
          <w:bCs/>
          <w:sz w:val="32"/>
          <w:szCs w:val="32"/>
        </w:rPr>
        <w:t>真心真情帮扶，决胜脱贫攻坚。</w:t>
      </w:r>
    </w:p>
    <w:p>
      <w:pPr>
        <w:spacing w:line="576" w:lineRule="exact"/>
        <w:ind w:firstLine="640" w:firstLineChars="200"/>
        <w:rPr>
          <w:rFonts w:ascii="仿宋_GB2312" w:hAnsi="仿宋" w:eastAsia="仿宋_GB2312"/>
          <w:sz w:val="32"/>
          <w:szCs w:val="32"/>
          <w:shd w:val="clear" w:color="auto" w:fill="FFFFFF"/>
        </w:rPr>
      </w:pPr>
      <w:r>
        <w:rPr>
          <w:rFonts w:hint="eastAsia" w:ascii="楷体_GB2312" w:hAnsi="仿宋_GB2312" w:eastAsia="楷体_GB2312" w:cs="仿宋_GB2312"/>
          <w:bCs/>
          <w:sz w:val="32"/>
          <w:szCs w:val="32"/>
          <w:lang w:eastAsia="zh-CN"/>
        </w:rPr>
        <w:t>（</w:t>
      </w:r>
      <w:r>
        <w:rPr>
          <w:rFonts w:hint="eastAsia" w:ascii="楷体_GB2312" w:hAnsi="仿宋_GB2312" w:eastAsia="楷体_GB2312" w:cs="仿宋_GB2312"/>
          <w:bCs/>
          <w:sz w:val="32"/>
          <w:szCs w:val="32"/>
          <w:lang w:val="en-US" w:eastAsia="zh-CN"/>
        </w:rPr>
        <w:t>5</w:t>
      </w:r>
      <w:r>
        <w:rPr>
          <w:rFonts w:hint="eastAsia" w:ascii="楷体_GB2312" w:hAnsi="仿宋_GB2312" w:eastAsia="楷体_GB2312" w:cs="仿宋_GB2312"/>
          <w:bCs/>
          <w:sz w:val="32"/>
          <w:szCs w:val="32"/>
          <w:lang w:eastAsia="zh-CN"/>
        </w:rPr>
        <w:t>）</w:t>
      </w:r>
      <w:r>
        <w:rPr>
          <w:rFonts w:hint="eastAsia" w:ascii="楷体" w:hAnsi="楷体" w:eastAsia="楷体" w:cs="楷体_GB2312"/>
          <w:bCs/>
          <w:color w:val="000000"/>
          <w:sz w:val="32"/>
          <w:szCs w:val="32"/>
        </w:rPr>
        <w:t>加强从严治党，筑牢基层战斗堡垒。</w:t>
      </w:r>
    </w:p>
    <w:p>
      <w:pPr>
        <w:pStyle w:val="2"/>
        <w:spacing w:line="576" w:lineRule="exact"/>
        <w:ind w:left="0" w:leftChars="0" w:firstLine="640" w:firstLineChars="200"/>
        <w:jc w:val="left"/>
        <w:rPr>
          <w:rFonts w:ascii="仿宋_GB2312" w:hAnsi="仿宋"/>
          <w:bCs/>
        </w:rPr>
      </w:pPr>
      <w:r>
        <w:rPr>
          <w:rFonts w:hint="eastAsia" w:ascii="楷体_GB2312" w:hAnsi="仿宋_GB2312" w:eastAsia="楷体_GB2312" w:cs="仿宋_GB2312"/>
          <w:bCs/>
          <w:lang w:eastAsia="zh-CN"/>
        </w:rPr>
        <w:t>（</w:t>
      </w:r>
      <w:r>
        <w:rPr>
          <w:rFonts w:hint="eastAsia" w:ascii="楷体_GB2312" w:hAnsi="仿宋_GB2312" w:eastAsia="楷体_GB2312" w:cs="仿宋_GB2312"/>
          <w:bCs/>
          <w:lang w:val="en-US" w:eastAsia="zh-CN"/>
        </w:rPr>
        <w:t>6</w:t>
      </w:r>
      <w:r>
        <w:rPr>
          <w:rFonts w:hint="eastAsia" w:ascii="楷体_GB2312" w:hAnsi="仿宋_GB2312" w:eastAsia="楷体_GB2312" w:cs="仿宋_GB2312"/>
          <w:bCs/>
          <w:lang w:eastAsia="zh-CN"/>
        </w:rPr>
        <w:t>）</w:t>
      </w:r>
      <w:r>
        <w:rPr>
          <w:rFonts w:hint="eastAsia" w:ascii="楷体_GB2312" w:hAnsi="仿宋_GB2312" w:eastAsia="楷体_GB2312" w:cs="仿宋_GB2312"/>
          <w:bCs/>
        </w:rPr>
        <w:t>以案为警，全面开展“以案促改”和规划领域系统治理。</w:t>
      </w:r>
    </w:p>
    <w:p>
      <w:pPr>
        <w:pStyle w:val="6"/>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p>
    <w:p>
      <w:pPr>
        <w:pStyle w:val="4"/>
        <w:rPr>
          <w:rStyle w:val="3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3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广元市城乡规划局朝天分局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6"/>
        <w:adjustRightInd w:val="0"/>
        <w:snapToGrid w:val="0"/>
        <w:spacing w:before="93" w:line="600" w:lineRule="exact"/>
        <w:ind w:firstLine="1120" w:firstLineChars="350"/>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7"/>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2019年度部门决算情况说明</w:t>
      </w:r>
      <w:bookmarkEnd w:id="22"/>
      <w:bookmarkEnd w:id="23"/>
    </w:p>
    <w:p/>
    <w:p>
      <w:pPr>
        <w:pStyle w:val="26"/>
        <w:numPr>
          <w:ilvl w:val="0"/>
          <w:numId w:val="1"/>
        </w:numPr>
        <w:spacing w:line="600"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208.97</w:t>
      </w:r>
      <w:r>
        <w:rPr>
          <w:rFonts w:hint="eastAsia" w:ascii="仿宋" w:hAnsi="仿宋" w:eastAsia="仿宋"/>
          <w:color w:val="000000"/>
          <w:sz w:val="32"/>
          <w:szCs w:val="32"/>
        </w:rPr>
        <w:t>万元。与</w:t>
      </w:r>
      <w:r>
        <w:rPr>
          <w:rFonts w:hint="eastAsia" w:ascii="仿宋" w:hAnsi="仿宋" w:eastAsia="仿宋"/>
          <w:color w:val="000000"/>
          <w:sz w:val="32"/>
          <w:szCs w:val="32"/>
          <w:lang w:val="en-US" w:eastAsia="zh-CN"/>
        </w:rPr>
        <w:t>2019</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104.94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50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规划编制项目增加，收入、支出对应增加。</w:t>
      </w:r>
    </w:p>
    <w:p>
      <w:pPr>
        <w:spacing w:line="600" w:lineRule="exact"/>
        <w:ind w:firstLine="640" w:firstLineChars="200"/>
        <w:rPr>
          <w:rFonts w:hint="eastAsia" w:ascii="仿宋" w:hAnsi="仿宋" w:eastAsia="仿宋"/>
          <w:color w:val="000000"/>
          <w:sz w:val="32"/>
          <w:szCs w:val="32"/>
          <w:lang w:eastAsia="zh-CN"/>
        </w:rPr>
      </w:pPr>
      <w:r>
        <w:rPr>
          <w:rFonts w:hint="eastAsia" w:ascii="楷体_GB2312" w:eastAsia="楷体_GB2312"/>
          <w:sz w:val="32"/>
          <w:szCs w:val="32"/>
        </w:rPr>
        <w:drawing>
          <wp:anchor distT="0" distB="0" distL="114300" distR="114300" simplePos="0" relativeHeight="251659264" behindDoc="0" locked="0" layoutInCell="1" allowOverlap="1">
            <wp:simplePos x="0" y="0"/>
            <wp:positionH relativeFrom="column">
              <wp:posOffset>352425</wp:posOffset>
            </wp:positionH>
            <wp:positionV relativeFrom="paragraph">
              <wp:posOffset>250825</wp:posOffset>
            </wp:positionV>
            <wp:extent cx="4166235" cy="2945130"/>
            <wp:effectExtent l="4445" t="5080" r="20320" b="2159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rPr>
          <w:rFonts w:hint="eastAsia" w:ascii="仿宋" w:hAnsi="仿宋" w:eastAsia="仿宋"/>
          <w:color w:val="000000"/>
          <w:sz w:val="32"/>
          <w:szCs w:val="32"/>
          <w:lang w:eastAsia="zh-CN"/>
        </w:rPr>
      </w:pP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6"/>
        <w:numPr>
          <w:ilvl w:val="0"/>
          <w:numId w:val="1"/>
        </w:numPr>
        <w:spacing w:line="600" w:lineRule="exact"/>
        <w:ind w:firstLineChars="0"/>
        <w:outlineLvl w:val="1"/>
        <w:rPr>
          <w:rStyle w:val="2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208.97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208.97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hint="eastAsia" w:ascii="楷体_GB2312" w:eastAsia="楷体_GB2312"/>
          <w:sz w:val="32"/>
          <w:szCs w:val="32"/>
        </w:rPr>
        <w:drawing>
          <wp:anchor distT="0" distB="0" distL="114300" distR="114300" simplePos="0" relativeHeight="251660288" behindDoc="0" locked="0" layoutInCell="1" allowOverlap="1">
            <wp:simplePos x="0" y="0"/>
            <wp:positionH relativeFrom="column">
              <wp:posOffset>456565</wp:posOffset>
            </wp:positionH>
            <wp:positionV relativeFrom="paragraph">
              <wp:posOffset>86995</wp:posOffset>
            </wp:positionV>
            <wp:extent cx="3834130" cy="2212340"/>
            <wp:effectExtent l="4445" t="4445" r="9525" b="1206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r>
        <w:rPr>
          <w:sz w:val="32"/>
        </w:rPr>
        <mc:AlternateContent>
          <mc:Choice Requires="wps">
            <w:drawing>
              <wp:anchor distT="0" distB="0" distL="114300" distR="114300" simplePos="0" relativeHeight="251664384" behindDoc="1" locked="0" layoutInCell="1" allowOverlap="1">
                <wp:simplePos x="0" y="0"/>
                <wp:positionH relativeFrom="column">
                  <wp:posOffset>2160905</wp:posOffset>
                </wp:positionH>
                <wp:positionV relativeFrom="page">
                  <wp:posOffset>2268855</wp:posOffset>
                </wp:positionV>
                <wp:extent cx="571500" cy="209550"/>
                <wp:effectExtent l="4445" t="4445" r="14605" b="14605"/>
                <wp:wrapThrough wrapText="bothSides">
                  <wp:wrapPolygon>
                    <wp:start x="-168" y="-458"/>
                    <wp:lineTo x="-168" y="20422"/>
                    <wp:lineTo x="21432" y="20422"/>
                    <wp:lineTo x="21432" y="-458"/>
                    <wp:lineTo x="-168" y="-458"/>
                  </wp:wrapPolygon>
                </wp:wrapThrough>
                <wp:docPr id="3" name="文本框 3"/>
                <wp:cNvGraphicFramePr/>
                <a:graphic xmlns:a="http://schemas.openxmlformats.org/drawingml/2006/main">
                  <a:graphicData uri="http://schemas.microsoft.com/office/word/2010/wordprocessingShape">
                    <wps:wsp>
                      <wps:cNvSpPr txBox="1"/>
                      <wps:spPr>
                        <a:xfrm>
                          <a:off x="3303905" y="2268855"/>
                          <a:ext cx="571500" cy="209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15pt;margin-top:178.65pt;height:16.5pt;width:45pt;mso-position-vertical-relative:page;mso-wrap-distance-left:9pt;mso-wrap-distance-right:9pt;z-index:-251652096;mso-width-relative:page;mso-height-relative:page;" fillcolor="#FFFFFF [3201]" filled="t" stroked="t" coordsize="21600,21600" wrapcoords="-168 -458 -168 20422 21432 20422 21432 -458 -168 -458" o:gfxdata="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Cuw9jVAAAACwEAAA8AAAAAAAAAAQAgAAAAIgAAAGRycy9kb3ducmV2LnhtbFBLAQIUABQA&#10;AAAIAIdO4kB8BayaZQIAAMIEAAAOAAAAAAAAAAEAIAAAACQBAABkcnMvZTJvRG9jLnhtbFBLBQYA&#10;AAAABgAGAFkBAAD7BQ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100%</w:t>
                      </w:r>
                    </w:p>
                  </w:txbxContent>
                </v:textbox>
                <w10:wrap type="through"/>
              </v:shape>
            </w:pict>
          </mc:Fallback>
        </mc:AlternateContent>
      </w:r>
    </w:p>
    <w:p>
      <w:pPr>
        <w:spacing w:line="600" w:lineRule="exact"/>
        <w:outlineLvl w:val="1"/>
        <w:rPr>
          <w:rFonts w:ascii="仿宋" w:hAnsi="仿宋" w:eastAsia="仿宋"/>
          <w:color w:val="000000"/>
          <w:sz w:val="32"/>
          <w:szCs w:val="32"/>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960" w:firstLineChars="3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6"/>
        <w:numPr>
          <w:ilvl w:val="0"/>
          <w:numId w:val="1"/>
        </w:numPr>
        <w:spacing w:line="600" w:lineRule="exact"/>
        <w:ind w:firstLineChars="0"/>
        <w:outlineLvl w:val="1"/>
        <w:rPr>
          <w:rStyle w:val="2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208.97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104.93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104.04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r>
        <w:rPr>
          <w:rFonts w:hint="eastAsia" w:ascii="楷体_GB2312" w:eastAsia="楷体_GB2312"/>
          <w:sz w:val="32"/>
          <w:szCs w:val="32"/>
        </w:rPr>
        <w:drawing>
          <wp:anchor distT="0" distB="0" distL="114300" distR="114300" simplePos="0" relativeHeight="251661312" behindDoc="0" locked="0" layoutInCell="1" allowOverlap="1">
            <wp:simplePos x="0" y="0"/>
            <wp:positionH relativeFrom="column">
              <wp:posOffset>276225</wp:posOffset>
            </wp:positionH>
            <wp:positionV relativeFrom="paragraph">
              <wp:posOffset>95885</wp:posOffset>
            </wp:positionV>
            <wp:extent cx="4117340" cy="2410460"/>
            <wp:effectExtent l="5080" t="4445" r="11430" b="2349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208.97</w:t>
      </w:r>
      <w:r>
        <w:rPr>
          <w:rFonts w:hint="eastAsia" w:ascii="仿宋" w:hAnsi="仿宋" w:eastAsia="仿宋"/>
          <w:color w:val="000000"/>
          <w:sz w:val="32"/>
          <w:szCs w:val="32"/>
        </w:rPr>
        <w:t>万元。与</w:t>
      </w:r>
      <w:r>
        <w:rPr>
          <w:rFonts w:hint="eastAsia" w:ascii="仿宋" w:hAnsi="仿宋" w:eastAsia="仿宋"/>
          <w:color w:val="000000"/>
          <w:sz w:val="32"/>
          <w:szCs w:val="32"/>
          <w:lang w:val="en-US" w:eastAsia="zh-CN"/>
        </w:rPr>
        <w:t>2019</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104.94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50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规划编制项目增加，收入、支出对应增加。</w:t>
      </w:r>
    </w:p>
    <w:p>
      <w:pPr>
        <w:spacing w:line="600" w:lineRule="exact"/>
        <w:rPr>
          <w:rFonts w:ascii="仿宋" w:hAnsi="仿宋" w:eastAsia="仿宋"/>
          <w:color w:val="000000"/>
          <w:sz w:val="32"/>
          <w:szCs w:val="32"/>
        </w:rPr>
      </w:pPr>
      <w:r>
        <w:rPr>
          <w:rFonts w:hint="eastAsia" w:ascii="楷体_GB2312" w:eastAsia="楷体_GB2312"/>
          <w:sz w:val="32"/>
          <w:szCs w:val="32"/>
        </w:rPr>
        <w:drawing>
          <wp:anchor distT="0" distB="0" distL="114300" distR="114300" simplePos="0" relativeHeight="251662336" behindDoc="0" locked="0" layoutInCell="1" allowOverlap="1">
            <wp:simplePos x="0" y="0"/>
            <wp:positionH relativeFrom="column">
              <wp:posOffset>-66675</wp:posOffset>
            </wp:positionH>
            <wp:positionV relativeFrom="paragraph">
              <wp:posOffset>40005</wp:posOffset>
            </wp:positionV>
            <wp:extent cx="5433695" cy="2875280"/>
            <wp:effectExtent l="4445" t="4445" r="10160" b="1587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bookmarkStart w:id="73" w:name="_GoBack"/>
      <w:bookmarkEnd w:id="73"/>
    </w:p>
    <w:p>
      <w:pPr>
        <w:spacing w:line="600" w:lineRule="exact"/>
        <w:ind w:firstLine="640" w:firstLineChars="200"/>
        <w:rPr>
          <w:rFonts w:hint="eastAsia" w:ascii="仿宋" w:hAnsi="仿宋" w:eastAsia="仿宋"/>
          <w:color w:val="000000"/>
          <w:sz w:val="32"/>
          <w:szCs w:val="32"/>
          <w:lang w:eastAsia="zh-CN"/>
        </w:rPr>
      </w:pPr>
      <w:r>
        <w:rPr>
          <w:rFonts w:hint="default" w:ascii="楷体_GB2312" w:eastAsia="楷体_GB2312"/>
          <w:sz w:val="32"/>
          <w:szCs w:val="32"/>
          <w:lang w:val="en-US"/>
        </w:rPr>
        <w:drawing>
          <wp:anchor distT="0" distB="0" distL="114300" distR="114300" simplePos="0" relativeHeight="251660288" behindDoc="0" locked="0" layoutInCell="1" allowOverlap="1">
            <wp:simplePos x="0" y="0"/>
            <wp:positionH relativeFrom="column">
              <wp:posOffset>438785</wp:posOffset>
            </wp:positionH>
            <wp:positionV relativeFrom="paragraph">
              <wp:posOffset>1516380</wp:posOffset>
            </wp:positionV>
            <wp:extent cx="5165090" cy="2590165"/>
            <wp:effectExtent l="4445" t="4445" r="12065" b="1524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楷体_GB2312" w:eastAsia="楷体_GB2312"/>
          <w:sz w:val="32"/>
          <w:szCs w:val="32"/>
          <w:lang w:val="en-US" w:eastAsia="zh-CN"/>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208.97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hint="eastAsia" w:ascii="仿宋" w:hAnsi="仿宋" w:eastAsia="仿宋"/>
          <w:color w:val="000000"/>
          <w:sz w:val="32"/>
          <w:szCs w:val="32"/>
          <w:lang w:val="en-US" w:eastAsia="zh-CN"/>
        </w:rPr>
        <w:t>2019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104.94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50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规划编制项目增加，收入、支出对应增加。</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208.97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楷体_GB2312" w:eastAsia="楷体_GB2312"/>
          <w:sz w:val="32"/>
          <w:szCs w:val="32"/>
        </w:rPr>
        <w:t>城市社区（类）支出</w:t>
      </w:r>
      <w:r>
        <w:rPr>
          <w:rFonts w:hint="eastAsia" w:ascii="楷体_GB2312" w:eastAsia="楷体_GB2312"/>
          <w:sz w:val="32"/>
          <w:szCs w:val="32"/>
          <w:lang w:val="en-US" w:eastAsia="zh-CN"/>
        </w:rPr>
        <w:t>186.04</w:t>
      </w:r>
      <w:r>
        <w:rPr>
          <w:rFonts w:hint="eastAsia" w:ascii="楷体_GB2312" w:eastAsia="楷体_GB2312"/>
          <w:sz w:val="32"/>
          <w:szCs w:val="32"/>
        </w:rPr>
        <w:t>万元，占</w:t>
      </w:r>
      <w:r>
        <w:rPr>
          <w:rFonts w:hint="eastAsia" w:ascii="楷体_GB2312" w:eastAsia="楷体_GB2312"/>
          <w:sz w:val="32"/>
          <w:szCs w:val="32"/>
          <w:lang w:val="en-US" w:eastAsia="zh-CN"/>
        </w:rPr>
        <w:t>89.03</w:t>
      </w:r>
      <w:r>
        <w:rPr>
          <w:rFonts w:hint="eastAsia" w:ascii="楷体_GB2312" w:eastAsia="楷体_GB2312"/>
          <w:sz w:val="32"/>
          <w:szCs w:val="32"/>
        </w:rPr>
        <w:t>%；社会保障和就业（类）支出</w:t>
      </w:r>
      <w:r>
        <w:rPr>
          <w:rFonts w:hint="eastAsia" w:ascii="楷体_GB2312" w:eastAsia="楷体_GB2312"/>
          <w:sz w:val="32"/>
          <w:szCs w:val="32"/>
          <w:lang w:val="en-US" w:eastAsia="zh-CN"/>
        </w:rPr>
        <w:t>10.09</w:t>
      </w:r>
      <w:r>
        <w:rPr>
          <w:rFonts w:hint="eastAsia" w:ascii="楷体_GB2312" w:eastAsia="楷体_GB2312"/>
          <w:sz w:val="32"/>
          <w:szCs w:val="32"/>
        </w:rPr>
        <w:t>万元，占</w:t>
      </w:r>
      <w:r>
        <w:rPr>
          <w:rFonts w:hint="eastAsia" w:ascii="楷体_GB2312" w:eastAsia="楷体_GB2312"/>
          <w:sz w:val="32"/>
          <w:szCs w:val="32"/>
          <w:lang w:val="en-US" w:eastAsia="zh-CN"/>
        </w:rPr>
        <w:t>4.83</w:t>
      </w:r>
      <w:r>
        <w:rPr>
          <w:rFonts w:hint="eastAsia" w:ascii="楷体_GB2312" w:eastAsia="楷体_GB2312"/>
          <w:sz w:val="32"/>
          <w:szCs w:val="32"/>
        </w:rPr>
        <w:t>%；医疗卫生与计划生育（类）支出</w:t>
      </w:r>
      <w:r>
        <w:rPr>
          <w:rFonts w:hint="eastAsia" w:ascii="楷体_GB2312" w:eastAsia="楷体_GB2312"/>
          <w:sz w:val="32"/>
          <w:szCs w:val="32"/>
          <w:lang w:val="en-US" w:eastAsia="zh-CN"/>
        </w:rPr>
        <w:t>4.98</w:t>
      </w:r>
      <w:r>
        <w:rPr>
          <w:rFonts w:hint="eastAsia" w:ascii="楷体_GB2312" w:eastAsia="楷体_GB2312"/>
          <w:sz w:val="32"/>
          <w:szCs w:val="32"/>
        </w:rPr>
        <w:t>万元，占</w:t>
      </w:r>
      <w:r>
        <w:rPr>
          <w:rFonts w:hint="eastAsia" w:ascii="楷体_GB2312" w:eastAsia="楷体_GB2312"/>
          <w:sz w:val="32"/>
          <w:szCs w:val="32"/>
          <w:lang w:val="en-US" w:eastAsia="zh-CN"/>
        </w:rPr>
        <w:t>2.4</w:t>
      </w:r>
      <w:r>
        <w:rPr>
          <w:rFonts w:hint="eastAsia" w:ascii="楷体_GB2312" w:eastAsia="楷体_GB2312"/>
          <w:sz w:val="32"/>
          <w:szCs w:val="32"/>
        </w:rPr>
        <w:t>%；住房保障（类）支出</w:t>
      </w:r>
      <w:r>
        <w:rPr>
          <w:rFonts w:hint="eastAsia" w:ascii="楷体_GB2312" w:eastAsia="楷体_GB2312"/>
          <w:sz w:val="32"/>
          <w:szCs w:val="32"/>
          <w:lang w:val="en-US" w:eastAsia="zh-CN"/>
        </w:rPr>
        <w:t>7.06</w:t>
      </w:r>
      <w:r>
        <w:rPr>
          <w:rFonts w:hint="eastAsia" w:ascii="楷体_GB2312" w:eastAsia="楷体_GB2312"/>
          <w:sz w:val="32"/>
          <w:szCs w:val="32"/>
        </w:rPr>
        <w:t>万元，占</w:t>
      </w:r>
      <w:r>
        <w:rPr>
          <w:rFonts w:hint="eastAsia" w:ascii="楷体_GB2312" w:eastAsia="楷体_GB2312"/>
          <w:sz w:val="32"/>
          <w:szCs w:val="32"/>
          <w:lang w:val="en-US" w:eastAsia="zh-CN"/>
        </w:rPr>
        <w:t>3.36</w:t>
      </w:r>
      <w:r>
        <w:rPr>
          <w:rFonts w:hint="eastAsia" w:ascii="楷体_GB2312" w:eastAsia="楷体_GB2312"/>
          <w:sz w:val="32"/>
          <w:szCs w:val="32"/>
        </w:rPr>
        <w:t>%；农林水(类)支出0.8万元，占</w:t>
      </w:r>
      <w:r>
        <w:rPr>
          <w:rFonts w:hint="eastAsia" w:ascii="楷体_GB2312" w:eastAsia="楷体_GB2312"/>
          <w:sz w:val="32"/>
          <w:szCs w:val="32"/>
          <w:lang w:val="en-US" w:eastAsia="zh-CN"/>
        </w:rPr>
        <w:t>0.38</w:t>
      </w:r>
      <w:r>
        <w:rPr>
          <w:rFonts w:hint="eastAsia" w:ascii="楷体_GB2312" w:eastAsia="楷体_GB2312"/>
          <w:sz w:val="32"/>
          <w:szCs w:val="32"/>
        </w:rPr>
        <w:t>%。</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楷体_GB2312" w:eastAsia="楷体_GB2312"/>
          <w:sz w:val="32"/>
          <w:szCs w:val="32"/>
        </w:rPr>
        <w:drawing>
          <wp:anchor distT="0" distB="0" distL="114300" distR="114300" simplePos="0" relativeHeight="251663360" behindDoc="0" locked="0" layoutInCell="1" allowOverlap="1">
            <wp:simplePos x="0" y="0"/>
            <wp:positionH relativeFrom="column">
              <wp:posOffset>628650</wp:posOffset>
            </wp:positionH>
            <wp:positionV relativeFrom="paragraph">
              <wp:posOffset>192405</wp:posOffset>
            </wp:positionV>
            <wp:extent cx="4286885" cy="2820670"/>
            <wp:effectExtent l="4445" t="4445" r="13970" b="1333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Style w:val="16"/>
          <w:rFonts w:hint="eastAsia" w:ascii="仿宋" w:hAnsi="仿宋" w:eastAsia="仿宋"/>
          <w:bCs/>
          <w:color w:val="00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lang w:val="en-US" w:eastAsia="zh-CN"/>
          <w14:textFill>
            <w14:solidFill>
              <w14:schemeClr w14:val="tx1"/>
            </w14:solidFill>
          </w14:textFill>
        </w:rPr>
        <w:t>2020</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208.97万元</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pPr>
        <w:numPr>
          <w:ilvl w:val="0"/>
          <w:numId w:val="2"/>
        </w:numPr>
        <w:ind w:firstLine="643" w:firstLineChars="200"/>
        <w:rPr>
          <w:rFonts w:hint="eastAsia" w:ascii="楷体_GB2312" w:eastAsia="楷体_GB2312"/>
          <w:sz w:val="32"/>
          <w:szCs w:val="32"/>
          <w:lang w:eastAsia="zh-CN"/>
        </w:rPr>
      </w:pPr>
      <w:r>
        <w:rPr>
          <w:rFonts w:hint="eastAsia" w:ascii="楷体_GB2312" w:eastAsia="楷体_GB2312"/>
          <w:b/>
          <w:sz w:val="32"/>
          <w:szCs w:val="32"/>
        </w:rPr>
        <w:t xml:space="preserve">城市社区（类）城市社区管理事务（款）行政运行、（项）: </w:t>
      </w:r>
      <w:r>
        <w:rPr>
          <w:rFonts w:hint="eastAsia" w:ascii="楷体_GB2312" w:eastAsia="楷体_GB2312"/>
          <w:sz w:val="32"/>
          <w:szCs w:val="32"/>
        </w:rPr>
        <w:t>支出决算为</w:t>
      </w:r>
      <w:r>
        <w:rPr>
          <w:rFonts w:hint="eastAsia" w:ascii="楷体_GB2312" w:eastAsia="楷体_GB2312"/>
          <w:sz w:val="32"/>
          <w:szCs w:val="32"/>
          <w:lang w:val="en-US" w:eastAsia="zh-CN"/>
        </w:rPr>
        <w:t>186.04</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w:t>
      </w:r>
      <w:r>
        <w:rPr>
          <w:rFonts w:hint="eastAsia" w:ascii="楷体_GB2312" w:eastAsia="楷体_GB2312"/>
          <w:sz w:val="32"/>
          <w:szCs w:val="32"/>
          <w:lang w:eastAsia="zh-CN"/>
        </w:rPr>
        <w:t>等于</w:t>
      </w:r>
      <w:r>
        <w:rPr>
          <w:rFonts w:hint="eastAsia" w:ascii="楷体_GB2312" w:eastAsia="楷体_GB2312"/>
          <w:sz w:val="32"/>
          <w:szCs w:val="32"/>
        </w:rPr>
        <w:t>预算数的主要原因是严格按照预算指标执行；城市社区（类）城市社区管理事务（款）一般行政管理事务（项）: 支出决算为</w:t>
      </w:r>
      <w:r>
        <w:rPr>
          <w:rFonts w:hint="eastAsia" w:ascii="楷体_GB2312" w:eastAsia="楷体_GB2312"/>
          <w:sz w:val="32"/>
          <w:szCs w:val="32"/>
          <w:lang w:val="en-US" w:eastAsia="zh-CN"/>
        </w:rPr>
        <w:t>82.8</w:t>
      </w:r>
      <w:r>
        <w:rPr>
          <w:rFonts w:hint="eastAsia" w:ascii="楷体_GB2312" w:eastAsia="楷体_GB2312"/>
          <w:sz w:val="32"/>
          <w:szCs w:val="32"/>
        </w:rPr>
        <w:t>万元，完成预算100%，决算数等于预算数的主要原因是严格按照预算指标执行；城市社区（类）城市社区管理事务（款）其他城乡社区管理事务支出（项）: 支出决算为</w:t>
      </w:r>
      <w:r>
        <w:rPr>
          <w:rFonts w:hint="eastAsia" w:ascii="楷体_GB2312" w:eastAsia="楷体_GB2312"/>
          <w:sz w:val="32"/>
          <w:szCs w:val="32"/>
          <w:lang w:val="en-US" w:eastAsia="zh-CN"/>
        </w:rPr>
        <w:t>103.24</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w:t>
      </w:r>
      <w:r>
        <w:rPr>
          <w:rFonts w:hint="eastAsia" w:ascii="楷体_GB2312" w:eastAsia="楷体_GB2312"/>
          <w:sz w:val="32"/>
          <w:szCs w:val="32"/>
          <w:lang w:eastAsia="zh-CN"/>
        </w:rPr>
        <w:t>等于</w:t>
      </w:r>
      <w:r>
        <w:rPr>
          <w:rFonts w:hint="eastAsia" w:ascii="楷体_GB2312" w:eastAsia="楷体_GB2312"/>
          <w:sz w:val="32"/>
          <w:szCs w:val="32"/>
        </w:rPr>
        <w:t>预算数的主要原因是严格按照预算指标执行</w:t>
      </w:r>
      <w:r>
        <w:rPr>
          <w:rFonts w:hint="eastAsia" w:ascii="楷体_GB2312" w:eastAsia="楷体_GB2312"/>
          <w:sz w:val="32"/>
          <w:szCs w:val="32"/>
          <w:lang w:eastAsia="zh-CN"/>
        </w:rPr>
        <w:t>；</w:t>
      </w:r>
    </w:p>
    <w:p>
      <w:pPr>
        <w:numPr>
          <w:ilvl w:val="0"/>
          <w:numId w:val="2"/>
        </w:numPr>
        <w:ind w:firstLine="643" w:firstLineChars="200"/>
        <w:rPr>
          <w:rFonts w:hint="eastAsia" w:ascii="楷体_GB2312" w:eastAsia="楷体_GB2312"/>
          <w:sz w:val="32"/>
          <w:szCs w:val="32"/>
          <w:lang w:eastAsia="zh-CN"/>
        </w:rPr>
      </w:pPr>
      <w:r>
        <w:rPr>
          <w:rFonts w:hint="eastAsia" w:ascii="楷体_GB2312" w:eastAsia="楷体_GB2312"/>
          <w:b/>
          <w:sz w:val="32"/>
          <w:szCs w:val="32"/>
        </w:rPr>
        <w:t>社会保障和就业（类）行政事业单位离退休（款）机关事业单位基本养老保险缴费支出（项）</w:t>
      </w:r>
      <w:r>
        <w:rPr>
          <w:rFonts w:hint="eastAsia" w:ascii="楷体_GB2312" w:eastAsia="楷体_GB2312"/>
          <w:sz w:val="32"/>
          <w:szCs w:val="32"/>
        </w:rPr>
        <w:t>: 支出决算为</w:t>
      </w:r>
      <w:r>
        <w:rPr>
          <w:rFonts w:hint="eastAsia" w:ascii="楷体_GB2312" w:eastAsia="楷体_GB2312"/>
          <w:sz w:val="32"/>
          <w:szCs w:val="32"/>
          <w:lang w:val="en-US" w:eastAsia="zh-CN"/>
        </w:rPr>
        <w:t>10.09</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w:t>
      </w:r>
      <w:r>
        <w:rPr>
          <w:rFonts w:hint="eastAsia" w:ascii="楷体_GB2312" w:eastAsia="楷体_GB2312"/>
          <w:sz w:val="32"/>
          <w:szCs w:val="32"/>
          <w:lang w:eastAsia="zh-CN"/>
        </w:rPr>
        <w:t>等于</w:t>
      </w:r>
      <w:r>
        <w:rPr>
          <w:rFonts w:hint="eastAsia" w:ascii="楷体_GB2312" w:eastAsia="楷体_GB2312"/>
          <w:sz w:val="32"/>
          <w:szCs w:val="32"/>
        </w:rPr>
        <w:t>预算数的主要原因严格按照预算指标执行；社会保障和就业（类）其他社会保障和就业支出（款）其他社会保障和就业支出（项）: 支出决算为</w:t>
      </w:r>
      <w:r>
        <w:rPr>
          <w:rFonts w:hint="eastAsia" w:ascii="楷体_GB2312" w:eastAsia="楷体_GB2312"/>
          <w:sz w:val="32"/>
          <w:szCs w:val="32"/>
          <w:lang w:val="en-US" w:eastAsia="zh-CN"/>
        </w:rPr>
        <w:t>10.09</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w:t>
      </w:r>
      <w:r>
        <w:rPr>
          <w:rFonts w:hint="eastAsia" w:ascii="楷体_GB2312" w:eastAsia="楷体_GB2312"/>
          <w:sz w:val="32"/>
          <w:szCs w:val="32"/>
          <w:lang w:eastAsia="zh-CN"/>
        </w:rPr>
        <w:t>等于</w:t>
      </w:r>
      <w:r>
        <w:rPr>
          <w:rFonts w:hint="eastAsia" w:ascii="楷体_GB2312" w:eastAsia="楷体_GB2312"/>
          <w:sz w:val="32"/>
          <w:szCs w:val="32"/>
        </w:rPr>
        <w:t>预算数的主要原因是严格按照预算指标执行</w:t>
      </w:r>
      <w:r>
        <w:rPr>
          <w:rFonts w:hint="eastAsia" w:ascii="楷体_GB2312" w:eastAsia="楷体_GB2312"/>
          <w:sz w:val="32"/>
          <w:szCs w:val="32"/>
          <w:lang w:eastAsia="zh-CN"/>
        </w:rPr>
        <w:t>；</w:t>
      </w:r>
    </w:p>
    <w:p>
      <w:pPr>
        <w:ind w:firstLine="643" w:firstLineChars="200"/>
        <w:rPr>
          <w:rFonts w:ascii="楷体_GB2312" w:eastAsia="楷体_GB2312"/>
          <w:sz w:val="32"/>
          <w:szCs w:val="32"/>
        </w:rPr>
      </w:pPr>
      <w:r>
        <w:rPr>
          <w:rFonts w:hint="eastAsia" w:ascii="楷体_GB2312" w:eastAsia="楷体_GB2312"/>
          <w:b/>
          <w:sz w:val="32"/>
          <w:szCs w:val="32"/>
        </w:rPr>
        <w:t>3.医疗卫生与计划生育（类）行政事业单位医疗（款）  行政单位医疗（项）:</w:t>
      </w:r>
      <w:r>
        <w:rPr>
          <w:rFonts w:hint="eastAsia" w:ascii="楷体_GB2312" w:eastAsia="楷体_GB2312"/>
          <w:sz w:val="32"/>
          <w:szCs w:val="32"/>
        </w:rPr>
        <w:t>支出决算为</w:t>
      </w:r>
      <w:r>
        <w:rPr>
          <w:rFonts w:hint="eastAsia" w:ascii="楷体_GB2312" w:eastAsia="楷体_GB2312"/>
          <w:sz w:val="32"/>
          <w:szCs w:val="32"/>
          <w:lang w:val="en-US" w:eastAsia="zh-CN"/>
        </w:rPr>
        <w:t>4.98</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w:t>
      </w:r>
      <w:r>
        <w:rPr>
          <w:rFonts w:hint="eastAsia" w:ascii="楷体_GB2312" w:eastAsia="楷体_GB2312"/>
          <w:sz w:val="32"/>
          <w:szCs w:val="32"/>
          <w:lang w:eastAsia="zh-CN"/>
        </w:rPr>
        <w:t>等于</w:t>
      </w:r>
      <w:r>
        <w:rPr>
          <w:rFonts w:hint="eastAsia" w:ascii="楷体_GB2312" w:eastAsia="楷体_GB2312"/>
          <w:sz w:val="32"/>
          <w:szCs w:val="32"/>
        </w:rPr>
        <w:t>预算数的主要原因是严格按照预算指标执行</w:t>
      </w:r>
      <w:r>
        <w:rPr>
          <w:rFonts w:hint="eastAsia" w:ascii="楷体_GB2312" w:eastAsia="楷体_GB2312"/>
          <w:sz w:val="32"/>
          <w:szCs w:val="32"/>
          <w:lang w:eastAsia="zh-CN"/>
        </w:rPr>
        <w:t>；</w:t>
      </w:r>
    </w:p>
    <w:p>
      <w:pPr>
        <w:ind w:firstLine="643" w:firstLineChars="200"/>
        <w:rPr>
          <w:rFonts w:hint="eastAsia" w:ascii="楷体_GB2312" w:eastAsia="楷体_GB2312"/>
          <w:sz w:val="32"/>
          <w:szCs w:val="32"/>
          <w:lang w:eastAsia="zh-CN"/>
        </w:rPr>
      </w:pPr>
      <w:r>
        <w:rPr>
          <w:rFonts w:hint="eastAsia" w:ascii="楷体_GB2312" w:eastAsia="楷体_GB2312"/>
          <w:b/>
          <w:sz w:val="32"/>
          <w:szCs w:val="32"/>
        </w:rPr>
        <w:t>4. 住房保障（类）住房改革支出（款）住房公积金（项）:</w:t>
      </w:r>
      <w:r>
        <w:rPr>
          <w:rFonts w:hint="eastAsia" w:ascii="楷体_GB2312" w:eastAsia="楷体_GB2312"/>
          <w:sz w:val="32"/>
          <w:szCs w:val="32"/>
        </w:rPr>
        <w:t>支出决算为</w:t>
      </w:r>
      <w:r>
        <w:rPr>
          <w:rFonts w:hint="eastAsia" w:ascii="楷体_GB2312" w:eastAsia="楷体_GB2312"/>
          <w:sz w:val="32"/>
          <w:szCs w:val="32"/>
          <w:lang w:val="en-US" w:eastAsia="zh-CN"/>
        </w:rPr>
        <w:t>7.06</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%，，决算数等于预算数的主要原因是严格按照预算指标执行</w:t>
      </w:r>
      <w:r>
        <w:rPr>
          <w:rFonts w:hint="eastAsia" w:ascii="楷体_GB2312" w:eastAsia="楷体_GB2312"/>
          <w:sz w:val="32"/>
          <w:szCs w:val="32"/>
          <w:lang w:eastAsia="zh-CN"/>
        </w:rPr>
        <w:t>；</w:t>
      </w:r>
    </w:p>
    <w:p>
      <w:pPr>
        <w:ind w:firstLine="643" w:firstLineChars="200"/>
        <w:rPr>
          <w:rStyle w:val="16"/>
          <w:rFonts w:hint="eastAsia" w:ascii="仿宋" w:hAnsi="仿宋" w:eastAsia="仿宋"/>
          <w:bCs/>
          <w:color w:val="000000"/>
          <w:sz w:val="32"/>
          <w:szCs w:val="32"/>
        </w:rPr>
      </w:pPr>
      <w:r>
        <w:rPr>
          <w:rFonts w:hint="eastAsia" w:ascii="楷体_GB2312" w:eastAsia="楷体_GB2312"/>
          <w:b/>
          <w:sz w:val="32"/>
          <w:szCs w:val="32"/>
        </w:rPr>
        <w:t>5. 农林水(类) 扶贫（款）其他扶贫支出（项）:</w:t>
      </w:r>
      <w:r>
        <w:rPr>
          <w:rFonts w:hint="eastAsia" w:ascii="楷体_GB2312" w:eastAsia="楷体_GB2312"/>
          <w:sz w:val="32"/>
          <w:szCs w:val="32"/>
        </w:rPr>
        <w:t>支出决算为0.8万元，完成预算100%，决算数等于预算数的主要原因是严格按照预算指标执行。</w:t>
      </w:r>
    </w:p>
    <w:p>
      <w:pPr>
        <w:tabs>
          <w:tab w:val="right" w:pos="8306"/>
        </w:tabs>
        <w:spacing w:line="600" w:lineRule="exact"/>
        <w:ind w:firstLine="640"/>
        <w:outlineLvl w:val="1"/>
        <w:rPr>
          <w:rStyle w:val="2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104.94</w:t>
      </w:r>
      <w:r>
        <w:rPr>
          <w:rFonts w:hint="eastAsia" w:ascii="仿宋" w:hAnsi="仿宋" w:eastAsia="仿宋"/>
          <w:color w:val="000000"/>
          <w:sz w:val="32"/>
          <w:szCs w:val="32"/>
        </w:rPr>
        <w:t>万元，其中：</w:t>
      </w:r>
    </w:p>
    <w:p>
      <w:pPr>
        <w:ind w:firstLine="640" w:firstLineChars="200"/>
        <w:rPr>
          <w:rFonts w:hint="eastAsia" w:ascii="楷体_GB2312" w:eastAsia="楷体_GB2312"/>
          <w:sz w:val="32"/>
          <w:szCs w:val="32"/>
        </w:rPr>
      </w:pPr>
      <w:bookmarkStart w:id="42" w:name="_Toc15377215"/>
      <w:bookmarkStart w:id="43" w:name="_Toc15396609"/>
      <w:r>
        <w:rPr>
          <w:rFonts w:hint="eastAsia" w:ascii="楷体_GB2312" w:eastAsia="楷体_GB2312"/>
          <w:sz w:val="32"/>
          <w:szCs w:val="32"/>
        </w:rPr>
        <w:t>人员经费</w:t>
      </w:r>
      <w:r>
        <w:rPr>
          <w:rFonts w:hint="eastAsia" w:ascii="楷体_GB2312" w:eastAsia="楷体_GB2312"/>
          <w:color w:val="000000" w:themeColor="text1"/>
          <w:sz w:val="32"/>
          <w:szCs w:val="32"/>
          <w:lang w:val="en-US" w:eastAsia="zh-CN"/>
          <w14:textFill>
            <w14:solidFill>
              <w14:schemeClr w14:val="tx1"/>
            </w14:solidFill>
          </w14:textFill>
        </w:rPr>
        <w:t>95.99</w:t>
      </w:r>
      <w:r>
        <w:rPr>
          <w:rFonts w:hint="eastAsia" w:ascii="楷体_GB2312" w:eastAsia="楷体_GB2312"/>
          <w:sz w:val="32"/>
          <w:szCs w:val="32"/>
        </w:rPr>
        <w:t>万元，主要包括：基本工资、津贴补贴、绩效工资、机关事业单位基本养老保险缴费、其他社会保障缴费、职工基本医疗保险缴费、生活补助、奖励金、住房公积金。</w:t>
      </w:r>
    </w:p>
    <w:p>
      <w:pPr>
        <w:pStyle w:val="2"/>
        <w:ind w:left="0" w:leftChars="0" w:firstLine="640" w:firstLineChars="200"/>
        <w:rPr>
          <w:rFonts w:hint="eastAsia"/>
        </w:rPr>
      </w:pPr>
      <w:r>
        <w:rPr>
          <w:rFonts w:hint="eastAsia" w:ascii="楷体_GB2312" w:eastAsia="楷体_GB2312"/>
          <w:sz w:val="32"/>
          <w:szCs w:val="32"/>
        </w:rPr>
        <w:t>公用经费</w:t>
      </w:r>
      <w:r>
        <w:rPr>
          <w:rFonts w:hint="eastAsia" w:ascii="楷体_GB2312" w:eastAsia="楷体_GB2312"/>
          <w:sz w:val="32"/>
          <w:szCs w:val="32"/>
          <w:lang w:val="en-US" w:eastAsia="zh-CN"/>
        </w:rPr>
        <w:t>8.95</w:t>
      </w:r>
      <w:r>
        <w:rPr>
          <w:rFonts w:hint="eastAsia" w:ascii="楷体_GB2312" w:eastAsia="楷体_GB2312"/>
          <w:sz w:val="32"/>
          <w:szCs w:val="32"/>
        </w:rPr>
        <w:t>万元，主要包括：办公费、印刷费、手续费、电费、邮电费、物业管理费、维修（护）费、公务接待费、委托业务费、其他交通费。</w:t>
      </w:r>
    </w:p>
    <w:p>
      <w:pPr>
        <w:spacing w:line="600" w:lineRule="exact"/>
        <w:ind w:firstLine="640"/>
        <w:outlineLvl w:val="1"/>
        <w:rPr>
          <w:rStyle w:val="28"/>
          <w:rFonts w:ascii="黑体" w:hAnsi="黑体" w:eastAsia="黑体"/>
          <w:b w:val="0"/>
        </w:rPr>
      </w:pPr>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0.49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31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楷体_GB2312" w:eastAsia="楷体_GB2312"/>
          <w:sz w:val="32"/>
          <w:szCs w:val="32"/>
        </w:rPr>
        <w:t>决算数小于预算数持平的主要原因是严格控制“三公经费”支出。</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0.49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_GB2312" w:eastAsia="仿宋_GB2312"/>
          <w:b/>
          <w:color w:val="000000"/>
          <w:sz w:val="32"/>
          <w:szCs w:val="32"/>
          <w:lang w:val="en-US" w:eastAsia="zh-CN"/>
        </w:rPr>
        <w:t>1</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0.49</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31</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val="en-US" w:eastAsia="zh-CN"/>
        </w:rPr>
        <w:t>2019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0.16</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24.24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楷体_GB2312" w:eastAsia="楷体_GB2312"/>
          <w:sz w:val="32"/>
          <w:szCs w:val="32"/>
        </w:rPr>
        <w:t>严格控制“三公经费”支出。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0.49</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120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0.49</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规划审查领导小组会议工作餐</w:t>
      </w:r>
      <w:r>
        <w:rPr>
          <w:rFonts w:hint="eastAsia" w:ascii="仿宋_GB2312" w:eastAsia="仿宋_GB2312"/>
          <w:color w:val="000000"/>
          <w:sz w:val="32"/>
          <w:szCs w:val="32"/>
          <w:lang w:val="en-US" w:eastAsia="zh-CN"/>
        </w:rPr>
        <w:t>15次，金额：0.49万元</w:t>
      </w:r>
      <w:r>
        <w:rPr>
          <w:rFonts w:hint="eastAsia" w:ascii="仿宋_GB2312" w:eastAsia="仿宋_GB2312"/>
          <w:color w:val="000000"/>
          <w:sz w:val="32"/>
          <w:szCs w:val="32"/>
          <w:lang w:eastAsia="zh-CN"/>
        </w:rPr>
        <w:t>。</w:t>
      </w:r>
    </w:p>
    <w:p>
      <w:pPr>
        <w:spacing w:line="600" w:lineRule="exact"/>
        <w:ind w:firstLine="640"/>
        <w:outlineLvl w:val="1"/>
        <w:rPr>
          <w:rStyle w:val="28"/>
          <w:rFonts w:ascii="黑体" w:hAnsi="黑体" w:eastAsia="黑体"/>
        </w:rPr>
      </w:pPr>
      <w:bookmarkStart w:id="46" w:name="_Toc15377218"/>
      <w:bookmarkStart w:id="47" w:name="_Toc15396610"/>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8"/>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年机关运行经费支出</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广元市城乡规划局朝天分局</w:t>
      </w:r>
      <w:r>
        <w:rPr>
          <w:rFonts w:hint="eastAsia" w:ascii="仿宋_GB2312" w:eastAsia="仿宋_GB2312"/>
          <w:color w:val="000000"/>
          <w:sz w:val="32"/>
          <w:szCs w:val="32"/>
        </w:rPr>
        <w:t>政府采购支出</w:t>
      </w:r>
      <w:r>
        <w:rPr>
          <w:rFonts w:hint="eastAsia" w:ascii="仿宋_GB2312" w:eastAsia="仿宋_GB2312"/>
          <w:color w:val="000000"/>
          <w:sz w:val="32"/>
          <w:szCs w:val="32"/>
          <w:lang w:val="en-US" w:eastAsia="zh-CN"/>
        </w:rPr>
        <w:t>67.98万元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广元市城乡规划局朝天分局无车辆、无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eastAsia="zh-CN"/>
          <w14:textFill>
            <w14:solidFill>
              <w14:schemeClr w14:val="tx1"/>
            </w14:solidFill>
          </w14:textFill>
        </w:rPr>
        <w:t>、无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numPr>
          <w:ilvl w:val="0"/>
          <w:numId w:val="4"/>
        </w:num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年部门整体支出开展绩效自评，从评价情况来看能够严格做好预算配置、预算管理、资金管理、职责履行、履职效益等内容的绩效考评。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个项目绩效评价，从评价情况来看能够充分发挥了</w:t>
      </w:r>
      <w:r>
        <w:rPr>
          <w:rFonts w:hint="eastAsia" w:ascii="仿宋_GB2312" w:hAnsi="仿宋_GB2312" w:eastAsia="仿宋_GB2312" w:cs="仿宋_GB2312"/>
          <w:sz w:val="32"/>
          <w:szCs w:val="32"/>
          <w:lang w:eastAsia="zh-CN"/>
        </w:rPr>
        <w:t>预算绩效管理对项目运行的监管</w:t>
      </w:r>
      <w:r>
        <w:rPr>
          <w:rFonts w:hint="eastAsia" w:ascii="仿宋_GB2312" w:hAnsi="仿宋_GB2312" w:eastAsia="仿宋_GB2312" w:cs="仿宋_GB2312"/>
          <w:sz w:val="32"/>
          <w:szCs w:val="32"/>
        </w:rPr>
        <w:t>作用。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自行组织了“</w:t>
      </w:r>
      <w:r>
        <w:rPr>
          <w:rFonts w:hint="eastAsia" w:ascii="仿宋_GB2312" w:hAnsi="仿宋_GB2312" w:eastAsia="仿宋_GB2312" w:cs="仿宋_GB2312"/>
          <w:sz w:val="32"/>
          <w:szCs w:val="32"/>
          <w:lang w:eastAsia="zh-CN"/>
        </w:rPr>
        <w:t>规划编制费用”、“天府旅游名县创建资金”</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项目绩效目标实际完成情况。“</w:t>
      </w:r>
      <w:r>
        <w:rPr>
          <w:rFonts w:hint="eastAsia" w:ascii="仿宋_GB2312" w:hAnsi="仿宋_GB2312" w:eastAsia="仿宋_GB2312" w:cs="仿宋_GB2312"/>
          <w:sz w:val="32"/>
          <w:szCs w:val="32"/>
          <w:lang w:eastAsia="zh-CN"/>
        </w:rPr>
        <w:t>规划编制费用”</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万元，完成预算的100%</w:t>
      </w:r>
      <w:r>
        <w:rPr>
          <w:rFonts w:hint="eastAsia" w:ascii="仿宋_GB2312" w:hAnsi="仿宋_GB2312" w:eastAsia="仿宋_GB2312" w:cs="仿宋_GB2312"/>
          <w:sz w:val="32"/>
          <w:szCs w:val="32"/>
          <w:lang w:eastAsia="zh-CN"/>
        </w:rPr>
        <w:t>、“天府旅游名县创建资金”</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万元，完成预算的100%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预算绩效管理对项目运行的监管</w:t>
      </w:r>
      <w:r>
        <w:rPr>
          <w:rFonts w:hint="eastAsia" w:ascii="仿宋_GB2312" w:hAnsi="仿宋_GB2312" w:eastAsia="仿宋_GB2312" w:cs="仿宋_GB2312"/>
          <w:sz w:val="32"/>
          <w:szCs w:val="32"/>
        </w:rPr>
        <w:t>作用。发现的主要问题：绩效目标需要进一步量化细化。下一步改进措施：做好预算基础性工作。</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
    <w:p>
      <w:pPr>
        <w:pStyle w:val="2"/>
      </w:pPr>
    </w:p>
    <w:p/>
    <w:p>
      <w:pPr>
        <w:pStyle w:val="2"/>
      </w:pPr>
    </w:p>
    <w:p>
      <w:pPr>
        <w:spacing w:line="580" w:lineRule="exact"/>
        <w:ind w:firstLine="640" w:firstLineChars="200"/>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b/>
                <w:bCs/>
                <w:color w:val="000000"/>
                <w:kern w:val="0"/>
                <w:sz w:val="24"/>
                <w:szCs w:val="24"/>
              </w:rPr>
              <w:t>项目绩效目标完成情况表</w:t>
            </w:r>
            <w:r>
              <w:rPr>
                <w:rFonts w:hint="eastAsia" w:ascii="宋体" w:hAnsi="宋体" w:cs="宋体"/>
                <w:b/>
                <w:bCs/>
                <w:color w:val="000000"/>
                <w:kern w:val="0"/>
                <w:sz w:val="24"/>
                <w:szCs w:val="24"/>
              </w:rPr>
              <w:br w:type="textWrapping"/>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2020</w:t>
            </w:r>
            <w:r>
              <w:rPr>
                <w:rFonts w:hint="eastAsia" w:ascii="宋体" w:hAnsi="宋体" w:cs="宋体"/>
                <w:color w:val="000000"/>
                <w:kern w:val="0"/>
                <w:sz w:val="24"/>
                <w:szCs w:val="24"/>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规划编制费用、天府旅游名县创建资金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广元市城乡规划局朝天分局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90万元、10万元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90万元、10万元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90万元、10万元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90万元、10万元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实际完成目标</w:t>
            </w:r>
          </w:p>
        </w:tc>
      </w:tr>
      <w:tr>
        <w:tblPrEx>
          <w:tblCellMar>
            <w:top w:w="0" w:type="dxa"/>
            <w:left w:w="0" w:type="dxa"/>
            <w:bottom w:w="0" w:type="dxa"/>
            <w:right w:w="0" w:type="dxa"/>
          </w:tblCellMar>
        </w:tblPrEx>
        <w:trPr>
          <w:trHeight w:val="172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rPr>
              <w:t>建立空间规划体系，划定生产、生活、生态空间，开发管理界限</w:t>
            </w:r>
            <w:r>
              <w:rPr>
                <w:rFonts w:hint="eastAsia" w:ascii="宋体" w:hAnsi="宋体" w:cs="宋体"/>
                <w:color w:val="000000"/>
                <w:sz w:val="18"/>
                <w:szCs w:val="18"/>
                <w:lang w:eastAsia="zh-CN"/>
              </w:rPr>
              <w:t>；</w:t>
            </w:r>
          </w:p>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提升朝天文旅经济发展效益，提升朝天对外知名度和影响力，持续加快广元城市北部新城、北向桥头堡东出会客厅的建设进程。</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rPr>
              <w:t>建立空间规划体系，划定生产、生活、生态空间，开发管理界限</w:t>
            </w:r>
            <w:r>
              <w:rPr>
                <w:rFonts w:hint="eastAsia" w:ascii="宋体" w:hAnsi="宋体" w:cs="宋体"/>
                <w:color w:val="000000"/>
                <w:sz w:val="18"/>
                <w:szCs w:val="18"/>
                <w:lang w:eastAsia="zh-CN"/>
              </w:rPr>
              <w:t>；</w:t>
            </w:r>
          </w:p>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提升朝天文旅经济发展效益，提升朝天对外知名度和影响力，持续加快广元城市北部新城、北向桥头堡东出会客厅的建设进程。</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rPr>
              <w:t>规划编制（曾家山总体规划及控制性详细规划、曾家山旅游度假区统筹规划）</w:t>
            </w:r>
            <w:r>
              <w:rPr>
                <w:rFonts w:hint="eastAsia" w:ascii="宋体" w:hAnsi="宋体" w:cs="宋体"/>
                <w:color w:val="000000"/>
                <w:sz w:val="18"/>
                <w:szCs w:val="18"/>
                <w:lang w:eastAsia="zh-CN"/>
              </w:rPr>
              <w:t>；</w:t>
            </w:r>
          </w:p>
          <w:p>
            <w:pPr>
              <w:widowControl/>
              <w:jc w:val="both"/>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天府旅游名县创建（曾家山规划馆专题片制作、曾家山规划馆沙盘模型制作）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2个；2个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2个；2个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规划编制（曾家山总体规划及控制性详细规划、曾家山旅游度假区统筹规划）</w:t>
            </w:r>
            <w:r>
              <w:rPr>
                <w:rFonts w:hint="eastAsia" w:ascii="宋体" w:hAnsi="宋体" w:cs="宋体"/>
                <w:color w:val="000000"/>
                <w:kern w:val="0"/>
                <w:sz w:val="18"/>
                <w:szCs w:val="18"/>
                <w:lang w:eastAsia="zh-CN"/>
              </w:rPr>
              <w:t>；</w:t>
            </w:r>
          </w:p>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天府旅游名县创建（曾家山规划馆专题片制作、曾家山规划馆沙盘模型制作）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按合同约定执行，达到国家编制标准</w:t>
            </w:r>
            <w:r>
              <w:rPr>
                <w:rFonts w:hint="eastAsia" w:ascii="宋体" w:hAnsi="宋体" w:cs="宋体"/>
                <w:color w:val="000000"/>
                <w:kern w:val="0"/>
                <w:sz w:val="18"/>
                <w:szCs w:val="18"/>
                <w:lang w:eastAsia="zh-CN"/>
              </w:rPr>
              <w:t>；</w:t>
            </w:r>
          </w:p>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按合同约定执行，达到要求标准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按合同约定执行，达到国家编制标准</w:t>
            </w:r>
            <w:r>
              <w:rPr>
                <w:rFonts w:hint="eastAsia" w:ascii="宋体" w:hAnsi="宋体" w:cs="宋体"/>
                <w:color w:val="000000"/>
                <w:kern w:val="0"/>
                <w:sz w:val="18"/>
                <w:szCs w:val="18"/>
                <w:lang w:eastAsia="zh-CN"/>
              </w:rPr>
              <w:t>；</w:t>
            </w:r>
          </w:p>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按合同约定执行，达到要求标准</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规划编制（曾家山总体规划及控制性详细规划、曾家山旅游度假区统筹规划）</w:t>
            </w:r>
            <w:r>
              <w:rPr>
                <w:rFonts w:hint="eastAsia" w:ascii="宋体" w:hAnsi="宋体" w:cs="宋体"/>
                <w:color w:val="000000"/>
                <w:kern w:val="0"/>
                <w:sz w:val="18"/>
                <w:szCs w:val="18"/>
                <w:lang w:eastAsia="zh-CN"/>
              </w:rPr>
              <w:t>；</w:t>
            </w:r>
          </w:p>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天府旅游名县创建（曾家山规划馆专题片制作、曾家山规划馆沙盘模型制作）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按合同约定时限完成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按合同约定时限完成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规划编制（曾家山总体规划及控制性详细规划、曾家山旅游度假区统筹规划）</w:t>
            </w:r>
            <w:r>
              <w:rPr>
                <w:rFonts w:hint="eastAsia" w:ascii="宋体" w:hAnsi="宋体" w:cs="宋体"/>
                <w:color w:val="000000"/>
                <w:kern w:val="0"/>
                <w:sz w:val="18"/>
                <w:szCs w:val="18"/>
                <w:lang w:eastAsia="zh-CN"/>
              </w:rPr>
              <w:t>；</w:t>
            </w:r>
          </w:p>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天府旅游名县创建（曾家山规划馆专题片制作、曾家山规划馆沙盘模型制作）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规划编制</w:t>
            </w:r>
            <w:r>
              <w:rPr>
                <w:rFonts w:hint="eastAsia" w:ascii="宋体" w:hAnsi="宋体" w:cs="宋体"/>
                <w:color w:val="000000"/>
                <w:kern w:val="0"/>
                <w:sz w:val="18"/>
                <w:szCs w:val="18"/>
                <w:lang w:val="en-US" w:eastAsia="zh-CN"/>
              </w:rPr>
              <w:t>90万元（曾家山总体规划及控制性详细规划78万元、曾家山旅游度假区统筹规划12万元）；天府旅游名县创建（曾家山规划馆专题片制作5万元、曾家山规划馆沙盘模型制作5万元）。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规划编制</w:t>
            </w:r>
            <w:r>
              <w:rPr>
                <w:rFonts w:hint="eastAsia" w:ascii="宋体" w:hAnsi="宋体" w:cs="宋体"/>
                <w:color w:val="000000"/>
                <w:kern w:val="0"/>
                <w:sz w:val="18"/>
                <w:szCs w:val="18"/>
                <w:lang w:val="en-US" w:eastAsia="zh-CN"/>
              </w:rPr>
              <w:t>90万元（曾家山总体规划及控制性详细规划78万元、曾家山旅游度假区统筹规划12万元）；天府旅游名县创建（曾家山规划馆专题片制作5万元、曾家山规划馆沙盘模型制作5万元）。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 xml:space="preserve"> 环境合理规划（曾家山总体规划及控制性详细规划、曾家山旅游度假区统筹规划）</w:t>
            </w:r>
            <w:r>
              <w:rPr>
                <w:rFonts w:hint="eastAsia" w:ascii="宋体" w:hAnsi="宋体" w:cs="宋体"/>
                <w:color w:val="000000"/>
                <w:kern w:val="0"/>
                <w:sz w:val="18"/>
                <w:szCs w:val="18"/>
                <w:lang w:eastAsia="zh-CN"/>
              </w:rPr>
              <w:t>；基础设施（曾家山总体规划及控制性详细规划、曾家山旅游度假区统筹规划）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缓和村镇建设与农业用地矛盾，有利于合理利用土地资源；合理布局城乡内部功能组织，保障城乡安全、有利于保护自然和文化遗产</w:t>
            </w:r>
            <w:r>
              <w:rPr>
                <w:rFonts w:hint="eastAsia" w:ascii="宋体" w:hAnsi="宋体" w:cs="宋体"/>
                <w:color w:val="000000"/>
                <w:kern w:val="0"/>
                <w:sz w:val="18"/>
                <w:szCs w:val="18"/>
                <w:lang w:eastAsia="zh-CN"/>
              </w:rPr>
              <w:t>；基础设施配套更加完善，营造良好、宜居的生活环境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缓和村镇建设与农业用地矛盾，有利于合理利用土地资源；合理布局城乡内部功能组织，保障城乡安全、有利于保护自然和文化遗产</w:t>
            </w:r>
            <w:r>
              <w:rPr>
                <w:rFonts w:hint="eastAsia" w:ascii="宋体" w:hAnsi="宋体" w:cs="宋体"/>
                <w:color w:val="000000"/>
                <w:kern w:val="0"/>
                <w:sz w:val="18"/>
                <w:szCs w:val="18"/>
                <w:lang w:eastAsia="zh-CN"/>
              </w:rPr>
              <w:t>；基础设施配套更加完善，营造良好、宜居的生活环境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促进城乡经济发展（曾家山总体规划及控制性详细规划）</w:t>
            </w:r>
            <w:r>
              <w:rPr>
                <w:rFonts w:hint="eastAsia" w:ascii="宋体" w:hAnsi="宋体" w:cs="宋体"/>
                <w:color w:val="000000"/>
                <w:kern w:val="0"/>
                <w:sz w:val="18"/>
                <w:szCs w:val="18"/>
                <w:lang w:eastAsia="zh-CN"/>
              </w:rPr>
              <w:t>；助推文旅经济高质量发展（曾家山旅游度假区统筹规划）（曾家山规划馆专题片制作、曾家山规划馆沙盘模型制作）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努力打造生活、生产、生态于一体，产、城、人融合发展的城市生活生态圈</w:t>
            </w:r>
            <w:r>
              <w:rPr>
                <w:rFonts w:hint="eastAsia" w:ascii="宋体" w:hAnsi="宋体" w:cs="宋体"/>
                <w:color w:val="000000"/>
                <w:kern w:val="0"/>
                <w:sz w:val="18"/>
                <w:szCs w:val="18"/>
                <w:lang w:eastAsia="zh-CN"/>
              </w:rPr>
              <w:t>；</w:t>
            </w:r>
          </w:p>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搞好基础设施建设，宣传朝天城乡发展，助推文旅经济高质量发展。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努力打造生活、生产、生态于一体，产、城、人融合发展的城市生活生态圈</w:t>
            </w:r>
            <w:r>
              <w:rPr>
                <w:rFonts w:hint="eastAsia" w:ascii="宋体" w:hAnsi="宋体" w:cs="宋体"/>
                <w:color w:val="000000"/>
                <w:kern w:val="0"/>
                <w:sz w:val="18"/>
                <w:szCs w:val="18"/>
                <w:lang w:eastAsia="zh-CN"/>
              </w:rPr>
              <w:t>；</w:t>
            </w:r>
          </w:p>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搞好基础设施建设，宣传朝天城乡发展，助推文旅经济高质量发展。</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改善城乡环境（曾家山总体规划及控制性详细规划、曾家山旅游度假区统筹规划）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牢固树立绿水青山就是金山银山理念，实施保护优先、合理有序开发，防止破坏资源和环境.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牢固树立绿水青山就是金山银山理念，实施保护优先、合理有序开发，防止破坏资源和环境.</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公众满意度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r>
    </w:tbl>
    <w:p>
      <w:pPr>
        <w:widowControl/>
        <w:jc w:val="both"/>
        <w:textAlignment w:val="center"/>
        <w:rPr>
          <w:rFonts w:hint="eastAsia" w:ascii="宋体" w:hAnsi="宋体" w:cs="宋体"/>
          <w:color w:val="000000"/>
          <w:kern w:val="0"/>
          <w:sz w:val="18"/>
          <w:szCs w:val="18"/>
          <w:lang w:eastAsia="zh-CN"/>
        </w:rPr>
      </w:pPr>
    </w:p>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ind w:firstLine="640" w:firstLineChars="200"/>
        <w:rPr>
          <w:rFonts w:ascii="楷体_GB2312" w:eastAsia="楷体_GB2312"/>
          <w:sz w:val="32"/>
          <w:szCs w:val="32"/>
        </w:rPr>
      </w:pPr>
      <w:r>
        <w:rPr>
          <w:rFonts w:hint="eastAsia" w:ascii="楷体_GB2312" w:eastAsia="楷体_GB2312"/>
          <w:sz w:val="32"/>
          <w:szCs w:val="32"/>
        </w:rPr>
        <w:t>我局按要求对</w:t>
      </w:r>
      <w:r>
        <w:rPr>
          <w:rFonts w:hint="eastAsia" w:ascii="楷体_GB2312" w:eastAsia="楷体_GB2312"/>
          <w:sz w:val="32"/>
          <w:szCs w:val="32"/>
          <w:lang w:val="en-US" w:eastAsia="zh-CN"/>
        </w:rPr>
        <w:t>2020</w:t>
      </w:r>
      <w:r>
        <w:rPr>
          <w:rFonts w:hint="eastAsia" w:ascii="楷体_GB2312" w:eastAsia="楷体_GB2312"/>
          <w:sz w:val="32"/>
          <w:szCs w:val="32"/>
        </w:rPr>
        <w:t>年部门整体支出绩效评价情况开展自评，《广元市城乡规划局朝天分局部门</w:t>
      </w:r>
      <w:r>
        <w:rPr>
          <w:rFonts w:hint="eastAsia" w:ascii="楷体_GB2312" w:eastAsia="楷体_GB2312"/>
          <w:sz w:val="32"/>
          <w:szCs w:val="32"/>
          <w:lang w:val="en-US" w:eastAsia="zh-CN"/>
        </w:rPr>
        <w:t>2020</w:t>
      </w:r>
      <w:r>
        <w:rPr>
          <w:rFonts w:hint="eastAsia" w:ascii="楷体_GB2312" w:eastAsia="楷体_GB2312"/>
          <w:sz w:val="32"/>
          <w:szCs w:val="32"/>
        </w:rPr>
        <w:t>年部门整体支出绩效评价报告》见附件。</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7"/>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ind w:firstLine="640" w:firstLineChars="200"/>
        <w:rPr>
          <w:rFonts w:ascii="楷体_GB2312" w:eastAsia="楷体_GB2312"/>
          <w:sz w:val="32"/>
          <w:szCs w:val="32"/>
        </w:rPr>
      </w:pPr>
      <w:r>
        <w:rPr>
          <w:rFonts w:hint="eastAsia" w:ascii="楷体_GB2312" w:eastAsia="楷体_GB2312"/>
          <w:sz w:val="32"/>
          <w:szCs w:val="32"/>
        </w:rPr>
        <w:t>2.社会保障和就业（类）行政事业单位离退休（款）机关事业单位基本养老保险缴费支出（项）：指反应用于机关事业单位实施养老保险制度由单位缴纳的基本养老保险费支出；社会保障和就业（类）其他社会保障和就业支出（款）其他社会保障和就业支出（项）:指其他用于社会保障和就业方面的支出。</w:t>
      </w:r>
    </w:p>
    <w:p>
      <w:pPr>
        <w:ind w:firstLine="640" w:firstLineChars="200"/>
        <w:rPr>
          <w:rFonts w:ascii="楷体_GB2312" w:eastAsia="楷体_GB2312"/>
          <w:sz w:val="32"/>
          <w:szCs w:val="32"/>
        </w:rPr>
      </w:pPr>
      <w:r>
        <w:rPr>
          <w:rFonts w:hint="eastAsia" w:ascii="楷体_GB2312" w:eastAsia="楷体_GB2312"/>
          <w:sz w:val="32"/>
          <w:szCs w:val="32"/>
        </w:rPr>
        <w:t>3.医疗卫生与计划生育（类）行政事业单位医疗（款）  行政单位医疗（项）：指行政事业单位医疗方面的支出。</w:t>
      </w:r>
    </w:p>
    <w:p>
      <w:pPr>
        <w:ind w:firstLine="640" w:firstLineChars="200"/>
        <w:rPr>
          <w:rFonts w:ascii="楷体_GB2312" w:eastAsia="楷体_GB2312"/>
          <w:sz w:val="32"/>
          <w:szCs w:val="32"/>
        </w:rPr>
      </w:pPr>
      <w:r>
        <w:rPr>
          <w:rFonts w:hint="eastAsia" w:ascii="楷体_GB2312" w:eastAsia="楷体_GB2312"/>
          <w:sz w:val="32"/>
          <w:szCs w:val="32"/>
        </w:rPr>
        <w:t>4.城市社区（类）城市社区管理事务（款）行政运行、（项）：指城乡社区管理事务中单位的基本支出；社会保障和就业（类）其他社会保障和就业支出（款）其他社会保障和就业支出（项）:指城乡社区管理事务中未单独设置项级科目的其他项目支出。</w:t>
      </w:r>
    </w:p>
    <w:p>
      <w:pPr>
        <w:ind w:firstLine="640" w:firstLineChars="200"/>
        <w:rPr>
          <w:rFonts w:ascii="楷体_GB2312" w:eastAsia="楷体_GB2312"/>
          <w:sz w:val="32"/>
          <w:szCs w:val="32"/>
        </w:rPr>
      </w:pPr>
      <w:r>
        <w:rPr>
          <w:rFonts w:hint="eastAsia" w:ascii="楷体_GB2312" w:eastAsia="楷体_GB2312"/>
          <w:sz w:val="32"/>
          <w:szCs w:val="32"/>
        </w:rPr>
        <w:t>5.农林水(类) 扶贫（款）其他扶贫支出（项）：指其他用于扶贫方面的支出。</w:t>
      </w:r>
    </w:p>
    <w:p>
      <w:pPr>
        <w:ind w:firstLine="640" w:firstLineChars="200"/>
        <w:rPr>
          <w:rFonts w:ascii="楷体_GB2312" w:eastAsia="楷体_GB2312"/>
          <w:sz w:val="32"/>
          <w:szCs w:val="32"/>
        </w:rPr>
      </w:pPr>
      <w:r>
        <w:rPr>
          <w:rFonts w:hint="eastAsia" w:ascii="楷体_GB2312" w:eastAsia="楷体_GB2312"/>
          <w:sz w:val="32"/>
          <w:szCs w:val="32"/>
        </w:rPr>
        <w:t>6.住房保障（类）住房改革支出（款）住房公积金（项）：指行政事业单位按人力资源和社会保障部、财政部规定的基本工资和津贴补贴以及规定比例为职工缴纳的住房公积金。</w:t>
      </w:r>
    </w:p>
    <w:p>
      <w:pPr>
        <w:ind w:firstLine="640" w:firstLineChars="200"/>
        <w:rPr>
          <w:rFonts w:ascii="楷体_GB2312" w:eastAsia="楷体_GB2312"/>
          <w:sz w:val="32"/>
          <w:szCs w:val="32"/>
        </w:rPr>
      </w:pPr>
      <w:r>
        <w:rPr>
          <w:rFonts w:hint="eastAsia" w:ascii="楷体_GB2312" w:eastAsia="楷体_GB2312"/>
          <w:sz w:val="32"/>
          <w:szCs w:val="32"/>
        </w:rPr>
        <w:t>7.基本支出：指为保障机构正常运转、完成日常工作任务而发生的人员支出和公用支出。</w:t>
      </w:r>
    </w:p>
    <w:p>
      <w:pPr>
        <w:ind w:firstLine="640" w:firstLineChars="200"/>
        <w:rPr>
          <w:rFonts w:ascii="楷体_GB2312" w:eastAsia="楷体_GB2312"/>
          <w:sz w:val="32"/>
          <w:szCs w:val="32"/>
        </w:rPr>
      </w:pPr>
      <w:r>
        <w:rPr>
          <w:rFonts w:hint="eastAsia" w:ascii="楷体_GB2312" w:eastAsia="楷体_GB2312"/>
          <w:sz w:val="32"/>
          <w:szCs w:val="32"/>
        </w:rPr>
        <w:t xml:space="preserve">8.项目支出：指在基本支出之外为完成特定行政任务和事业发展目标所发生的支出。 </w:t>
      </w:r>
    </w:p>
    <w:p>
      <w:pPr>
        <w:ind w:firstLine="640" w:firstLineChars="200"/>
        <w:rPr>
          <w:rFonts w:ascii="楷体_GB2312" w:eastAsia="楷体_GB2312"/>
          <w:sz w:val="32"/>
          <w:szCs w:val="32"/>
        </w:rPr>
      </w:pPr>
      <w:r>
        <w:rPr>
          <w:rFonts w:hint="eastAsia" w:ascii="楷体_GB2312" w:eastAsia="楷体_GB2312"/>
          <w:sz w:val="32"/>
          <w:szCs w:val="32"/>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楷体_GB2312" w:eastAsia="楷体_GB2312"/>
          <w:sz w:val="32"/>
          <w:szCs w:val="32"/>
        </w:rPr>
      </w:pPr>
      <w:r>
        <w:rPr>
          <w:rFonts w:hint="eastAsia" w:ascii="楷体_GB2312" w:eastAsia="楷体_GB2312"/>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广元市城乡规划局朝天分局</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部门</w:t>
      </w:r>
      <w:r>
        <w:rPr>
          <w:rFonts w:hint="eastAsia" w:ascii="方正小标宋简体" w:hAnsi="宋体" w:eastAsia="方正小标宋简体"/>
          <w:color w:val="000000"/>
          <w:kern w:val="0"/>
          <w:sz w:val="40"/>
          <w:szCs w:val="44"/>
          <w:lang w:val="en-US" w:eastAsia="zh-CN"/>
        </w:rPr>
        <w:t>2020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ind w:firstLine="640" w:firstLineChars="200"/>
        <w:rPr>
          <w:rFonts w:hint="eastAsia" w:ascii="楷体_GB2312" w:eastAsia="楷体_GB2312"/>
          <w:sz w:val="32"/>
          <w:szCs w:val="32"/>
        </w:rPr>
      </w:pPr>
      <w:r>
        <w:rPr>
          <w:rFonts w:hint="eastAsia" w:ascii="楷体_GB2312" w:eastAsia="楷体_GB2312"/>
          <w:sz w:val="32"/>
          <w:szCs w:val="32"/>
        </w:rPr>
        <w:t>一、部门（单位）概况</w:t>
      </w:r>
    </w:p>
    <w:p>
      <w:pPr>
        <w:ind w:firstLine="640" w:firstLineChars="200"/>
        <w:rPr>
          <w:rFonts w:hint="eastAsia" w:ascii="楷体_GB2312" w:eastAsia="楷体_GB2312"/>
          <w:sz w:val="32"/>
          <w:szCs w:val="32"/>
        </w:rPr>
      </w:pPr>
      <w:r>
        <w:rPr>
          <w:rFonts w:hint="eastAsia" w:ascii="楷体_GB2312" w:eastAsia="楷体_GB2312"/>
          <w:sz w:val="32"/>
          <w:szCs w:val="32"/>
        </w:rPr>
        <w:t>（一）基本情况</w:t>
      </w:r>
    </w:p>
    <w:p>
      <w:pPr>
        <w:ind w:firstLine="640" w:firstLineChars="200"/>
        <w:rPr>
          <w:rFonts w:hint="eastAsia" w:ascii="楷体_GB2312" w:eastAsia="楷体_GB2312"/>
          <w:sz w:val="32"/>
          <w:szCs w:val="32"/>
        </w:rPr>
      </w:pPr>
      <w:r>
        <w:rPr>
          <w:rFonts w:hint="eastAsia" w:ascii="楷体_GB2312" w:eastAsia="楷体_GB2312"/>
          <w:sz w:val="32"/>
          <w:szCs w:val="32"/>
        </w:rPr>
        <w:t>广元市城乡规划局朝天分局属财政一级预算单位，下属二级预算单位0个，其中参照公务员法管理的事业单位0个，（其他事业单位0个）。</w:t>
      </w:r>
    </w:p>
    <w:p>
      <w:pPr>
        <w:ind w:firstLine="640" w:firstLineChars="200"/>
        <w:rPr>
          <w:rFonts w:hint="eastAsia" w:ascii="楷体_GB2312" w:eastAsia="楷体_GB2312"/>
          <w:sz w:val="32"/>
          <w:szCs w:val="32"/>
        </w:rPr>
      </w:pPr>
      <w:r>
        <w:rPr>
          <w:rFonts w:hint="eastAsia" w:ascii="楷体_GB2312" w:eastAsia="楷体_GB2312"/>
          <w:sz w:val="32"/>
          <w:szCs w:val="32"/>
        </w:rPr>
        <w:t xml:space="preserve">广元市城乡规划局朝天分局总编制12名，其中行政编制0名，行政执法编制0名，事业编制12名，工勤编制0人，自收自支编制0名。在职人员总数9人，其中行政人员0人，行政执法人员0人，事业人员9人，工勤人员0人；退休人员0人。资产总额32.49万元。 </w:t>
      </w:r>
    </w:p>
    <w:p>
      <w:pPr>
        <w:ind w:firstLine="640" w:firstLineChars="200"/>
        <w:rPr>
          <w:rFonts w:hint="eastAsia" w:ascii="楷体_GB2312" w:eastAsia="楷体_GB2312"/>
          <w:sz w:val="32"/>
          <w:szCs w:val="32"/>
        </w:rPr>
      </w:pPr>
      <w:r>
        <w:rPr>
          <w:rFonts w:hint="eastAsia" w:ascii="楷体_GB2312" w:eastAsia="楷体_GB2312"/>
          <w:sz w:val="32"/>
          <w:szCs w:val="32"/>
        </w:rPr>
        <w:t>组织编制本辖区国土空间规划、城市设计、概念规划等; 负责指定管辖范围内的项目选址、规划设计前期研究和规划设计方案审查; 承担辖区规划管理审查相关事务工作; 完成区委区政府交办的其他事项（区下工作目标任务、做好财政预算绩效管理等工作、做好依法治区、城乡环境综合治理、信访、维稳综合、扫黑除恶、禁毒等社会治理工作、加强党风廉政建设、从严治党等工作、脱贫攻坚工作、规划馆管理相关工作等其他工作）;</w:t>
      </w:r>
    </w:p>
    <w:p>
      <w:pPr>
        <w:ind w:firstLine="640" w:firstLineChars="200"/>
        <w:rPr>
          <w:rFonts w:hint="eastAsia" w:ascii="楷体_GB2312" w:eastAsia="楷体_GB2312"/>
          <w:sz w:val="32"/>
          <w:szCs w:val="32"/>
        </w:rPr>
      </w:pPr>
      <w:r>
        <w:rPr>
          <w:rFonts w:hint="eastAsia" w:ascii="楷体_GB2312" w:eastAsia="楷体_GB2312"/>
          <w:sz w:val="32"/>
          <w:szCs w:val="32"/>
        </w:rPr>
        <w:t>（二）部门自评步骤及方法</w:t>
      </w:r>
    </w:p>
    <w:p>
      <w:pPr>
        <w:ind w:firstLine="640" w:firstLineChars="200"/>
        <w:rPr>
          <w:rFonts w:hint="eastAsia" w:ascii="楷体_GB2312" w:eastAsia="楷体_GB2312"/>
          <w:sz w:val="32"/>
          <w:szCs w:val="32"/>
        </w:rPr>
      </w:pPr>
      <w:r>
        <w:rPr>
          <w:rFonts w:hint="eastAsia" w:ascii="楷体_GB2312" w:eastAsia="楷体_GB2312"/>
          <w:sz w:val="32"/>
          <w:szCs w:val="32"/>
        </w:rPr>
        <w:t>1、组织领导</w:t>
      </w:r>
    </w:p>
    <w:p>
      <w:pPr>
        <w:ind w:firstLine="640" w:firstLineChars="200"/>
        <w:rPr>
          <w:rFonts w:hint="eastAsia" w:ascii="楷体_GB2312" w:eastAsia="楷体_GB2312"/>
          <w:sz w:val="32"/>
          <w:szCs w:val="32"/>
        </w:rPr>
      </w:pPr>
      <w:r>
        <w:rPr>
          <w:rFonts w:hint="eastAsia" w:ascii="楷体_GB2312" w:eastAsia="楷体_GB2312"/>
          <w:sz w:val="32"/>
          <w:szCs w:val="32"/>
        </w:rPr>
        <w:t xml:space="preserve">为加强组织领导，更好的发挥开展评价工作，强化组织协调，形成工作合力，确保评价工作顺利完成，成立工作领导小组。  </w:t>
      </w:r>
    </w:p>
    <w:p>
      <w:pPr>
        <w:ind w:firstLine="640" w:firstLineChars="200"/>
        <w:rPr>
          <w:rFonts w:hint="eastAsia" w:ascii="楷体_GB2312" w:eastAsia="楷体_GB2312"/>
          <w:sz w:val="32"/>
          <w:szCs w:val="32"/>
        </w:rPr>
      </w:pPr>
      <w:r>
        <w:rPr>
          <w:rFonts w:hint="eastAsia" w:ascii="楷体_GB2312" w:eastAsia="楷体_GB2312"/>
          <w:sz w:val="32"/>
          <w:szCs w:val="32"/>
        </w:rPr>
        <w:t>组  长：李长斌</w:t>
      </w:r>
    </w:p>
    <w:p>
      <w:pPr>
        <w:ind w:firstLine="640" w:firstLineChars="200"/>
        <w:rPr>
          <w:rFonts w:hint="eastAsia" w:ascii="楷体_GB2312" w:eastAsia="楷体_GB2312"/>
          <w:sz w:val="32"/>
          <w:szCs w:val="32"/>
        </w:rPr>
      </w:pPr>
      <w:r>
        <w:rPr>
          <w:rFonts w:hint="eastAsia" w:ascii="楷体_GB2312" w:eastAsia="楷体_GB2312"/>
          <w:sz w:val="32"/>
          <w:szCs w:val="32"/>
        </w:rPr>
        <w:t>副组长：习中国、李刚</w:t>
      </w:r>
    </w:p>
    <w:p>
      <w:pPr>
        <w:ind w:firstLine="640" w:firstLineChars="200"/>
        <w:rPr>
          <w:rFonts w:hint="eastAsia" w:ascii="楷体_GB2312" w:eastAsia="楷体_GB2312"/>
          <w:sz w:val="32"/>
          <w:szCs w:val="32"/>
        </w:rPr>
      </w:pPr>
      <w:r>
        <w:rPr>
          <w:rFonts w:hint="eastAsia" w:ascii="楷体_GB2312" w:eastAsia="楷体_GB2312"/>
          <w:sz w:val="32"/>
          <w:szCs w:val="32"/>
        </w:rPr>
        <w:t>成  员：汪芊、庞斌、王俊明、蒲海静、雷雨</w:t>
      </w:r>
    </w:p>
    <w:p>
      <w:pPr>
        <w:ind w:firstLine="640" w:firstLineChars="200"/>
        <w:rPr>
          <w:rFonts w:hint="eastAsia" w:ascii="楷体_GB2312" w:eastAsia="楷体_GB2312"/>
          <w:sz w:val="32"/>
          <w:szCs w:val="32"/>
        </w:rPr>
      </w:pPr>
      <w:r>
        <w:rPr>
          <w:rFonts w:hint="eastAsia" w:ascii="楷体_GB2312" w:eastAsia="楷体_GB2312"/>
          <w:sz w:val="32"/>
          <w:szCs w:val="32"/>
        </w:rPr>
        <w:t>评价工作小组负责本次绩效评价工作的组织、协调、督促、检查工作。相关业务科室负责2020年度部门预算项目支出绩效评价工作，绩效评价工作小组负责复核项目数量的完整性及项目资金的准确性。</w:t>
      </w:r>
    </w:p>
    <w:p>
      <w:pPr>
        <w:ind w:firstLine="640" w:firstLineChars="200"/>
        <w:rPr>
          <w:rFonts w:hint="eastAsia" w:ascii="楷体_GB2312" w:eastAsia="楷体_GB2312"/>
          <w:sz w:val="32"/>
          <w:szCs w:val="32"/>
        </w:rPr>
      </w:pPr>
      <w:r>
        <w:rPr>
          <w:rFonts w:hint="eastAsia" w:ascii="楷体_GB2312" w:eastAsia="楷体_GB2312"/>
          <w:sz w:val="32"/>
          <w:szCs w:val="32"/>
        </w:rPr>
        <w:t>2、评价原则</w:t>
      </w:r>
    </w:p>
    <w:p>
      <w:pPr>
        <w:ind w:firstLine="640" w:firstLineChars="200"/>
        <w:rPr>
          <w:rFonts w:hint="eastAsia" w:ascii="楷体_GB2312" w:eastAsia="楷体_GB2312"/>
          <w:sz w:val="32"/>
          <w:szCs w:val="32"/>
        </w:rPr>
      </w:pPr>
      <w:r>
        <w:rPr>
          <w:rFonts w:hint="eastAsia" w:ascii="楷体_GB2312" w:eastAsia="楷体_GB2312"/>
          <w:sz w:val="32"/>
          <w:szCs w:val="32"/>
        </w:rPr>
        <w:t>（1）履行部门主体责任。按照“谁使用资金、谁负责绩效评价”的要求，各业务科室认真组织相关项目支出绩效评价的数据统计、信息采集以及资料汇总审核等相关工作。</w:t>
      </w:r>
    </w:p>
    <w:p>
      <w:pPr>
        <w:ind w:firstLine="640" w:firstLineChars="200"/>
        <w:rPr>
          <w:rFonts w:hint="eastAsia" w:ascii="楷体_GB2312" w:eastAsia="楷体_GB2312"/>
          <w:sz w:val="32"/>
          <w:szCs w:val="32"/>
        </w:rPr>
      </w:pPr>
      <w:r>
        <w:rPr>
          <w:rFonts w:hint="eastAsia" w:ascii="楷体_GB2312" w:eastAsia="楷体_GB2312"/>
          <w:sz w:val="32"/>
          <w:szCs w:val="32"/>
        </w:rPr>
        <w:t>（2）确保评价客观真实。项目绩效自评应做到依法依规，实事求是，确保数据真实、准确，内容全面、完整，严禁弄虚作假，刻意抬高分数。</w:t>
      </w:r>
    </w:p>
    <w:p>
      <w:pPr>
        <w:ind w:firstLine="640" w:firstLineChars="200"/>
        <w:rPr>
          <w:rFonts w:hint="eastAsia" w:ascii="楷体_GB2312" w:eastAsia="楷体_GB2312"/>
          <w:sz w:val="32"/>
          <w:szCs w:val="32"/>
        </w:rPr>
      </w:pPr>
      <w:r>
        <w:rPr>
          <w:rFonts w:hint="eastAsia" w:ascii="楷体_GB2312" w:eastAsia="楷体_GB2312"/>
          <w:sz w:val="32"/>
          <w:szCs w:val="32"/>
        </w:rPr>
        <w:t>（3）评价方法及工作流程</w:t>
      </w:r>
    </w:p>
    <w:p>
      <w:pPr>
        <w:ind w:firstLine="640" w:firstLineChars="200"/>
        <w:rPr>
          <w:rFonts w:hint="eastAsia" w:ascii="楷体_GB2312" w:eastAsia="楷体_GB2312"/>
          <w:sz w:val="32"/>
          <w:szCs w:val="32"/>
        </w:rPr>
      </w:pPr>
      <w:r>
        <w:rPr>
          <w:rFonts w:hint="eastAsia" w:ascii="楷体_GB2312" w:eastAsia="楷体_GB2312"/>
          <w:sz w:val="32"/>
          <w:szCs w:val="32"/>
        </w:rPr>
        <w:t>各项目责任科室自评 → 绩效评价工作小组复核 → 以单位的名义出具复核后的项目绩效自评报告，并按时报送区财政局绩效办。</w:t>
      </w:r>
    </w:p>
    <w:p>
      <w:pPr>
        <w:ind w:firstLine="640" w:firstLineChars="200"/>
        <w:rPr>
          <w:rFonts w:hint="eastAsia" w:ascii="楷体_GB2312" w:eastAsia="楷体_GB2312"/>
          <w:sz w:val="32"/>
          <w:szCs w:val="32"/>
        </w:rPr>
      </w:pPr>
      <w:r>
        <w:rPr>
          <w:rFonts w:hint="eastAsia" w:ascii="楷体_GB2312" w:eastAsia="楷体_GB2312"/>
          <w:sz w:val="32"/>
          <w:szCs w:val="32"/>
        </w:rPr>
        <w:t>3、工作步骤</w:t>
      </w:r>
    </w:p>
    <w:p>
      <w:pPr>
        <w:ind w:firstLine="640" w:firstLineChars="200"/>
        <w:rPr>
          <w:rFonts w:hint="eastAsia" w:ascii="楷体_GB2312" w:eastAsia="楷体_GB2312"/>
          <w:sz w:val="32"/>
          <w:szCs w:val="32"/>
        </w:rPr>
      </w:pPr>
      <w:r>
        <w:rPr>
          <w:rFonts w:hint="eastAsia" w:ascii="楷体_GB2312" w:eastAsia="楷体_GB2312"/>
          <w:sz w:val="32"/>
          <w:szCs w:val="32"/>
        </w:rPr>
        <w:t>（1）准备阶段（5月6日-5月12日）</w:t>
      </w:r>
    </w:p>
    <w:p>
      <w:pPr>
        <w:ind w:firstLine="640" w:firstLineChars="200"/>
        <w:rPr>
          <w:rFonts w:hint="eastAsia" w:ascii="楷体_GB2312" w:eastAsia="楷体_GB2312"/>
          <w:sz w:val="32"/>
          <w:szCs w:val="32"/>
        </w:rPr>
      </w:pPr>
      <w:r>
        <w:rPr>
          <w:rFonts w:hint="eastAsia" w:ascii="楷体_GB2312" w:eastAsia="楷体_GB2312"/>
          <w:sz w:val="32"/>
          <w:szCs w:val="32"/>
        </w:rPr>
        <w:t>按照区财政局绩效办要求，制定绩效评价工作方案，部署绩效评价相关工作，同步统计财务数据和准备佐证材料。</w:t>
      </w:r>
    </w:p>
    <w:p>
      <w:pPr>
        <w:ind w:firstLine="640" w:firstLineChars="200"/>
        <w:rPr>
          <w:rFonts w:hint="eastAsia" w:ascii="楷体_GB2312" w:eastAsia="楷体_GB2312"/>
          <w:sz w:val="32"/>
          <w:szCs w:val="32"/>
        </w:rPr>
      </w:pPr>
      <w:r>
        <w:rPr>
          <w:rFonts w:hint="eastAsia" w:ascii="楷体_GB2312" w:eastAsia="楷体_GB2312"/>
          <w:sz w:val="32"/>
          <w:szCs w:val="32"/>
        </w:rPr>
        <w:t>（2）自评阶段（5月13日-5月19日）</w:t>
      </w:r>
    </w:p>
    <w:p>
      <w:pPr>
        <w:ind w:firstLine="640" w:firstLineChars="200"/>
        <w:rPr>
          <w:rFonts w:hint="eastAsia" w:ascii="楷体_GB2312" w:eastAsia="楷体_GB2312"/>
          <w:sz w:val="32"/>
          <w:szCs w:val="32"/>
        </w:rPr>
      </w:pPr>
      <w:r>
        <w:rPr>
          <w:rFonts w:hint="eastAsia" w:ascii="楷体_GB2312" w:eastAsia="楷体_GB2312"/>
          <w:sz w:val="32"/>
          <w:szCs w:val="32"/>
        </w:rPr>
        <w:t>按照绩效评价工作要求，针对评价项目，建立科学规范的评价指标体系，根据项目实施情况严格评分，认真撰写绩效自评报告，财务科负责将自评报告汇总装订后，统一提交至区财政绩效办。</w:t>
      </w:r>
    </w:p>
    <w:p>
      <w:pPr>
        <w:ind w:firstLine="640" w:firstLineChars="200"/>
        <w:rPr>
          <w:rFonts w:hint="eastAsia" w:ascii="楷体_GB2312" w:eastAsia="楷体_GB2312"/>
          <w:sz w:val="32"/>
          <w:szCs w:val="32"/>
        </w:rPr>
      </w:pPr>
      <w:r>
        <w:rPr>
          <w:rFonts w:hint="eastAsia" w:ascii="楷体_GB2312" w:eastAsia="楷体_GB2312"/>
          <w:sz w:val="32"/>
          <w:szCs w:val="32"/>
        </w:rPr>
        <w:t>（3）结果应用</w:t>
      </w:r>
    </w:p>
    <w:p>
      <w:pPr>
        <w:ind w:firstLine="640" w:firstLineChars="200"/>
        <w:rPr>
          <w:rFonts w:hint="eastAsia" w:ascii="楷体_GB2312" w:eastAsia="楷体_GB2312"/>
          <w:sz w:val="32"/>
          <w:szCs w:val="32"/>
        </w:rPr>
      </w:pPr>
      <w:r>
        <w:rPr>
          <w:rFonts w:hint="eastAsia" w:ascii="楷体_GB2312" w:eastAsia="楷体_GB2312"/>
          <w:sz w:val="32"/>
          <w:szCs w:val="32"/>
        </w:rPr>
        <w:t>本次财务审核结果将作为部门预算绩效管理考核以及下一年度项目预算申报的重要依据。</w:t>
      </w:r>
    </w:p>
    <w:p>
      <w:pPr>
        <w:ind w:firstLine="640" w:firstLineChars="200"/>
        <w:rPr>
          <w:rFonts w:hint="eastAsia" w:ascii="楷体_GB2312" w:eastAsia="楷体_GB2312"/>
          <w:sz w:val="32"/>
          <w:szCs w:val="32"/>
        </w:rPr>
      </w:pPr>
      <w:r>
        <w:rPr>
          <w:rFonts w:hint="eastAsia" w:ascii="楷体_GB2312" w:eastAsia="楷体_GB2312"/>
          <w:sz w:val="32"/>
          <w:szCs w:val="32"/>
        </w:rPr>
        <w:t>（三）部门支出绩效评价自评得分情况（附件5）</w:t>
      </w:r>
    </w:p>
    <w:p>
      <w:pPr>
        <w:ind w:firstLine="640" w:firstLineChars="200"/>
        <w:rPr>
          <w:rFonts w:hint="eastAsia" w:ascii="楷体_GB2312" w:eastAsia="楷体_GB2312"/>
          <w:sz w:val="32"/>
          <w:szCs w:val="32"/>
          <w:lang w:val="zh-CN"/>
        </w:rPr>
      </w:pPr>
    </w:p>
    <w:p>
      <w:pPr>
        <w:ind w:firstLine="640" w:firstLineChars="200"/>
        <w:rPr>
          <w:rFonts w:hint="eastAsia" w:ascii="楷体_GB2312" w:eastAsia="楷体_GB2312"/>
          <w:sz w:val="32"/>
          <w:szCs w:val="32"/>
          <w:lang w:val="zh-CN"/>
        </w:rPr>
      </w:pPr>
    </w:p>
    <w:p>
      <w:pPr>
        <w:ind w:firstLine="640" w:firstLineChars="200"/>
        <w:rPr>
          <w:rFonts w:hint="eastAsia" w:ascii="楷体_GB2312" w:eastAsia="楷体_GB2312"/>
          <w:sz w:val="32"/>
          <w:szCs w:val="32"/>
          <w:lang w:val="zh-CN"/>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楷体_GB2312" w:eastAsia="楷体_GB2312"/>
          <w:sz w:val="32"/>
          <w:szCs w:val="32"/>
          <w:lang w:val="zh-CN"/>
        </w:rPr>
        <w:br w:type="page"/>
      </w:r>
    </w:p>
    <w:tbl>
      <w:tblPr>
        <w:tblStyle w:val="14"/>
        <w:tblW w:w="18990" w:type="dxa"/>
        <w:tblInd w:w="93" w:type="dxa"/>
        <w:shd w:val="clear" w:color="auto" w:fill="auto"/>
        <w:tblLayout w:type="fixed"/>
        <w:tblCellMar>
          <w:top w:w="0" w:type="dxa"/>
          <w:left w:w="108" w:type="dxa"/>
          <w:bottom w:w="0" w:type="dxa"/>
          <w:right w:w="108" w:type="dxa"/>
        </w:tblCellMar>
      </w:tblPr>
      <w:tblGrid>
        <w:gridCol w:w="18990"/>
      </w:tblGrid>
      <w:tr>
        <w:tblPrEx>
          <w:shd w:val="clear" w:color="auto" w:fill="auto"/>
          <w:tblCellMar>
            <w:top w:w="0" w:type="dxa"/>
            <w:left w:w="108" w:type="dxa"/>
            <w:bottom w:w="0" w:type="dxa"/>
            <w:right w:w="108" w:type="dxa"/>
          </w:tblCellMar>
        </w:tblPrEx>
        <w:trPr>
          <w:trHeight w:val="552" w:hRule="atLeast"/>
        </w:trPr>
        <w:tc>
          <w:tcPr>
            <w:tcW w:w="18990" w:type="dxa"/>
            <w:tcBorders>
              <w:top w:val="nil"/>
              <w:left w:val="nil"/>
              <w:bottom w:val="nil"/>
              <w:right w:val="nil"/>
            </w:tcBorders>
            <w:shd w:val="clear" w:color="auto" w:fill="auto"/>
            <w:vAlign w:val="top"/>
          </w:tcPr>
          <w:tbl>
            <w:tblPr>
              <w:tblStyle w:val="14"/>
              <w:tblW w:w="14268" w:type="dxa"/>
              <w:tblInd w:w="-20" w:type="dxa"/>
              <w:shd w:val="clear" w:color="auto" w:fill="auto"/>
              <w:tblLayout w:type="fixed"/>
              <w:tblCellMar>
                <w:top w:w="0" w:type="dxa"/>
                <w:left w:w="108" w:type="dxa"/>
                <w:bottom w:w="0" w:type="dxa"/>
                <w:right w:w="108" w:type="dxa"/>
              </w:tblCellMar>
            </w:tblPr>
            <w:tblGrid>
              <w:gridCol w:w="5"/>
              <w:gridCol w:w="1180"/>
              <w:gridCol w:w="1172"/>
              <w:gridCol w:w="1847"/>
              <w:gridCol w:w="4854"/>
              <w:gridCol w:w="3855"/>
              <w:gridCol w:w="1355"/>
            </w:tblGrid>
            <w:tr>
              <w:tblPrEx>
                <w:shd w:val="clear" w:color="auto" w:fill="auto"/>
                <w:tblCellMar>
                  <w:top w:w="0" w:type="dxa"/>
                  <w:left w:w="108" w:type="dxa"/>
                  <w:bottom w:w="0" w:type="dxa"/>
                  <w:right w:w="108" w:type="dxa"/>
                </w:tblCellMar>
              </w:tblPrEx>
              <w:trPr>
                <w:gridBefore w:val="1"/>
                <w:wBefore w:w="5" w:type="dxa"/>
                <w:trHeight w:val="552" w:hRule="atLeast"/>
              </w:trPr>
              <w:tc>
                <w:tcPr>
                  <w:tcW w:w="14263" w:type="dxa"/>
                  <w:gridSpan w:val="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2020年朝天区部门整体支出绩效评价指标体系</w:t>
                  </w:r>
                </w:p>
              </w:tc>
            </w:tr>
            <w:tr>
              <w:tblPrEx>
                <w:tblCellMar>
                  <w:top w:w="0" w:type="dxa"/>
                  <w:left w:w="108" w:type="dxa"/>
                  <w:bottom w:w="0" w:type="dxa"/>
                  <w:right w:w="108" w:type="dxa"/>
                </w:tblCellMar>
              </w:tblPrEx>
              <w:trPr>
                <w:gridBefore w:val="1"/>
                <w:wBefore w:w="5" w:type="dxa"/>
                <w:trHeight w:val="398" w:hRule="atLeast"/>
              </w:trPr>
              <w:tc>
                <w:tcPr>
                  <w:tcW w:w="14263"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部门（单位）名称：广元市城乡规划局朝天分局</w:t>
                  </w:r>
                </w:p>
              </w:tc>
            </w:tr>
            <w:tr>
              <w:tblPrEx>
                <w:tblCellMar>
                  <w:top w:w="0" w:type="dxa"/>
                  <w:left w:w="108" w:type="dxa"/>
                  <w:bottom w:w="0" w:type="dxa"/>
                  <w:right w:w="108" w:type="dxa"/>
                </w:tblCellMar>
              </w:tblPrEx>
              <w:trPr>
                <w:trHeight w:val="540" w:hRule="atLeast"/>
              </w:trPr>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计分标准（备注）</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  得分</w:t>
                  </w:r>
                </w:p>
              </w:tc>
            </w:tr>
            <w:tr>
              <w:tblPrEx>
                <w:tblCellMar>
                  <w:top w:w="0" w:type="dxa"/>
                  <w:left w:w="108" w:type="dxa"/>
                  <w:bottom w:w="0" w:type="dxa"/>
                  <w:right w:w="108" w:type="dxa"/>
                </w:tblCellMar>
              </w:tblPrEx>
              <w:trPr>
                <w:trHeight w:val="503" w:hRule="atLeast"/>
              </w:trPr>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预算编制（10分）</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报送时效（1分）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基础信息更新（1分）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部门是否按照部门预算编制通知和有关要求，按时完成基础库、项目库报送工作</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超过规定5个工作日扣0.5分，10个工作日扣1分，以此类推，直至扣完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编制质量（4分）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预算编制准确（2分）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（预算资金总来源-中期评估调整取消资金-预算结余注销资金）÷预算资金总来源*指标分值</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其中：预算资金总来源是指区级年初预算与执行中追加预算（不含当年中央专款）总和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预算编制要求（1分）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部门预算编制是否按照区财政局要求功能分类编制到款，经济分类到项</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各占0.5分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部门预算审查（1分）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根据区人大预工委对预算草案审查结果进行考核</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对预工委审查后提出并确需修改的问题，每个问题扣0.02分，直至扣完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绩效目标（5分）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部门整体绩效目标（2分）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部门整体绩效目标编制完整、合理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部门整体绩效目标能完整、合理反映部门年度职责履行情况的得分，否则不得分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重点项目绩效目标（3分）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项目绩效目标编制明确、量化</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项目支出绩效目标编制不明确和量化的发现一个扣0.5分，直至扣完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03" w:hRule="atLeast"/>
              </w:trPr>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预算执行（20分）</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执行进度（10分）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资金支付进度（4分）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按规定及时分配区级财力资金</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按《预算法》规定时限完成分配的考核得分，否则不得分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中央、省专款分配合规率（3分）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按《预算法》规定在一个月内分配中央、省专款</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（1-未按规定时间在1个月内分配的中央专款规模÷中央、省专款总规模）*指标分值</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部门预算执行进度（3分）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部门按要求严格预算执行管理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部门预算实际列支数÷部门预算总额*指标分值</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预算调整（4分）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执行中期评估（4分）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部门中期评估调整取消资金÷(中期评估调整取消资金+预算结余注销资金）*指标分值</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当中期评估调整取消资金与结余注销资金之和为零时，得满分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行政成本（6分）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节能降耗（3分）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严格执行节能降耗</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根据机关事务管理局节能考核换算得分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三公经费（3分）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严格执行“三公经费”预算</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部门“三公”经费决算数一项超预算扣1分，两项超预算扣2分，以此类推，直至扣完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03" w:hRule="atLeast"/>
              </w:trPr>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综合管理（40分）</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债务管理（2分）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债务还本付息（2）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按规定做好政府性债务还本付息工作</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实际还本付息金额÷应付金额×指标分值</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非税收入执收情况（4分）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非税收入征收情况（2分）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是否按照规定的项目、标准、征收方式执收非税收入，非税收入项目设立的权限和缓减免的依据，对非税收入进行缓减免</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发现有未按规定的非税收入项目、标准执收非税收入或有违反规定缓减免非税收入的，发现一次扣0.5分，直至扣完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非税收入上缴情况（2分）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是否及时足额将非税收入缴入财政</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发现未及时足额将非税收入缴入财政的或者截留、挪用非税收入的，发现一次扣0.5分，直至扣完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政府采购实施计划（4分）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政府采购实施计划编制（2）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实施计划与政府采购预算的一致性</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（1-调整或细化资金/政府采购预算资金）*分值</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政府采购实施计划的执行（2）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执行的实施计划与备案的实施计划的一致性</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（1-实施计划备案后的调整或细化资金/实施计划备案后的资金）*分值</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732"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资产管理（6分）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资产管理信息系统建设情况（2分）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考核部门和单位将国有资产纳入资产信息系统管理情况</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①未将所属单位国有资产纳入系统管理，每少一个单位扣1分。②未将资产变动情况及时录入系统，每次扣0.5分。③未落实人员负责管理系统，扣1分。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90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行政事业单位资产清查开展情况（2分）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考核行政事业单位按要求及时、准确、全面开展资产清查工作情况</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未在规定时间内完成资产清查任务扣1分。②资产清查结果与财政组织复核的结果误差超过10%的扣1分。③未及时按批复的清查结果进行账务调整扣1分。④未及时更新资产管理信息系统，导致系统资产数据与上报财政的资产清查结果不一致扣1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758"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行政事业单位资产报表上报情况（2分）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考核行政事业单位上报国有资产报表数据的真实性、准确性、全面性</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①未落实专人负责资产报表，未及时上报资产报表扣1分。②报表填报不规范，内容不完整，数据不真实，扣1分。③未提交分析报告，对资产变动情况未作分析说明，扣1分。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92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内控制度管理（2分）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内部控制度健全完整（2分）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考核部门内部控制制度的设置和执行情况</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内部控制制度健全完整并执行良好的得分，否则不得分。在本年度内因内控制度不健全或执行不到位，造成单位出现廉政风险或发生重大责任事故的不得分。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74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信息公开（6分）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预算公开（2分）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除涉密信息外，各部门要在财政部门批复后二十日内向社会公开本部门预算（含所有财政资金安排的“三公”经费、机关运行经费的安排、使用情况等）</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按财政厅通知要求公开预算，未按要求公开的，发现一处扣0.5分，直至扣完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792"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决算公开（2分）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除涉密信息外，各部门要在财政部门批复二十日内向社会公开本部门决算（含所有财政资金安排的“三公”经费、机关运行经费的安排、使用情况等）</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未按要求公开的，发现一处问题0.5分，直至扣完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2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绩效信息公开（2分）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按要求公开部门整体支出绩效自评报告及其他按要求应公开的绩效信息</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未按要求公开的，发现一处问题0.5分，直至扣完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74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绩效评价（10分）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评价项目覆盖率（2分）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部门实施绩效评价项目数量占部门管理专项预算项目数量的比重，部门申报绩效目标项目数量的比重，用以反映和考核部门实施绩效评价项目资金覆盖情况</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评价覆盖率=实施绩效评价项目数量/部门管理专项预算项目数量×100%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398"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评价层次（2分）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部门（单位）是否对下级预算单位开展整体绩效评价</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实施评价下级预算单位的得分，否则不得分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18"/>
                      <w:szCs w:val="18"/>
                      <w:u w:val="none"/>
                    </w:rPr>
                  </w:pPr>
                </w:p>
              </w:tc>
            </w:tr>
            <w:tr>
              <w:tblPrEx>
                <w:tblCellMar>
                  <w:top w:w="0" w:type="dxa"/>
                  <w:left w:w="108" w:type="dxa"/>
                  <w:bottom w:w="0" w:type="dxa"/>
                  <w:right w:w="108" w:type="dxa"/>
                </w:tblCellMar>
              </w:tblPrEx>
              <w:trPr>
                <w:trHeight w:val="44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评价结果报告（2分）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部门是否按要求向财政部门报告自评报告等相关绩效信息</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未按要求报送的，发现一处扣0.5分，直至扣完。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78"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整改完成率（4分）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部门是否按要求针对绩效评价发现问题制定整改措施，并整改落实到位</w:t>
                  </w:r>
                </w:p>
                <w:p>
                  <w:pPr>
                    <w:pStyle w:val="2"/>
                    <w:rPr>
                      <w:rFonts w:hint="eastAsia"/>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完成率=应制定整改措施的项目数量/部门实际制定整改措施项目数量×100%。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依法接受财政监督（6分）</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是否按要求开展自查自纠（2分）</w:t>
                  </w:r>
                </w:p>
              </w:tc>
              <w:tc>
                <w:tcPr>
                  <w:tcW w:w="4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根据相关自查自纠报告、报表报送时效和质量进行考核</w:t>
                  </w:r>
                </w:p>
              </w:tc>
              <w:tc>
                <w:tcPr>
                  <w:tcW w:w="3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未在规定时间内报送自查自纠相关材料（包括：纸质和电子版）的，扣0.5分；报告内容不完整，扣1分；报表质量差（如：数据、逻辑、勾稽关系错误）等扣0.5分；直至扣完</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612"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Calibri" w:hAnsi="Calibri" w:eastAsia="宋体" w:cs="Calibri"/>
                      <w:i w:val="0"/>
                      <w:iCs w:val="0"/>
                      <w:color w:val="000000"/>
                      <w:sz w:val="18"/>
                      <w:szCs w:val="18"/>
                      <w:u w:val="none"/>
                    </w:rPr>
                  </w:pPr>
                </w:p>
              </w:tc>
            </w:tr>
            <w:tr>
              <w:tblPrEx>
                <w:tblCellMar>
                  <w:top w:w="0" w:type="dxa"/>
                  <w:left w:w="108" w:type="dxa"/>
                  <w:bottom w:w="0" w:type="dxa"/>
                  <w:right w:w="108" w:type="dxa"/>
                </w:tblCellMar>
              </w:tblPrEx>
              <w:trPr>
                <w:trHeight w:val="503"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重点检查发现违规违纪问题（2分）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根据检查组提供的工作底稿、检查报告等资料进行考核</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专项检查发现的违纪违规问题，每个问题扣0.5分，直至扣完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2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存在问题整改是否到位(2分)</w:t>
                  </w:r>
                </w:p>
              </w:tc>
              <w:tc>
                <w:tcPr>
                  <w:tcW w:w="4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根据相关整改报告、凭证依据等相关证明材料进行考核</w:t>
                  </w:r>
                </w:p>
              </w:tc>
              <w:tc>
                <w:tcPr>
                  <w:tcW w:w="3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未在规定时间内完成整改，并提供相关证明材料的，每个问题0.5分，直至扣完</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2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Calibri" w:hAnsi="Calibri" w:eastAsia="宋体" w:cs="Calibri"/>
                      <w:i w:val="0"/>
                      <w:iCs w:val="0"/>
                      <w:color w:val="000000"/>
                      <w:sz w:val="18"/>
                      <w:szCs w:val="18"/>
                      <w:u w:val="none"/>
                    </w:rPr>
                  </w:pPr>
                </w:p>
              </w:tc>
            </w:tr>
            <w:tr>
              <w:tblPrEx>
                <w:tblCellMar>
                  <w:top w:w="0" w:type="dxa"/>
                  <w:left w:w="108" w:type="dxa"/>
                  <w:bottom w:w="0" w:type="dxa"/>
                  <w:right w:w="108" w:type="dxa"/>
                </w:tblCellMar>
              </w:tblPrEx>
              <w:trPr>
                <w:trHeight w:val="503" w:hRule="atLeast"/>
              </w:trPr>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整体效益（30分）</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部门整体绩效（30分）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重点项目绩效评价结果（10分）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部门实施重大项目的经济、社会效益</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根据财政局组织实施项目绩效评价结果换算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r>
            <w:tr>
              <w:tblPrEx>
                <w:tblCellMar>
                  <w:top w:w="0" w:type="dxa"/>
                  <w:left w:w="108" w:type="dxa"/>
                  <w:bottom w:w="0" w:type="dxa"/>
                  <w:right w:w="108" w:type="dxa"/>
                </w:tblCellMar>
              </w:tblPrEx>
              <w:trPr>
                <w:trHeight w:val="2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部门职能完成情况特性指标（20分）</w:t>
                  </w:r>
                </w:p>
              </w:tc>
              <w:tc>
                <w:tcPr>
                  <w:tcW w:w="4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根据部门职能职责、中央主管部门、省委省政府、市委市政府、区委区政府安排的各项专项工作任务及其他年度重点工作任务等，汇总梳理形成能够量化衡量且全面反映部门职能工作完成情况的若干指标。</w:t>
                  </w:r>
                </w:p>
              </w:tc>
              <w:tc>
                <w:tcPr>
                  <w:tcW w:w="3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部门和评价组根据部门实际设置</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r>
            <w:tr>
              <w:tblPrEx>
                <w:tblCellMar>
                  <w:top w:w="0" w:type="dxa"/>
                  <w:left w:w="108" w:type="dxa"/>
                  <w:bottom w:w="0" w:type="dxa"/>
                  <w:right w:w="108" w:type="dxa"/>
                </w:tblCellMar>
              </w:tblPrEx>
              <w:trPr>
                <w:trHeight w:val="60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18"/>
                      <w:szCs w:val="18"/>
                      <w:u w:val="none"/>
                    </w:rPr>
                  </w:pPr>
                </w:p>
              </w:tc>
            </w:tr>
          </w:tbl>
          <w:p>
            <w:pPr>
              <w:keepNext w:val="0"/>
              <w:keepLines w:val="0"/>
              <w:widowControl/>
              <w:suppressLineNumbers w:val="0"/>
              <w:jc w:val="center"/>
              <w:textAlignment w:val="top"/>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p>
        </w:tc>
      </w:tr>
    </w:tbl>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p>
    <w:p>
      <w:pPr>
        <w:rPr>
          <w:rFonts w:hint="eastAsia" w:ascii="黑体" w:hAnsi="宋体" w:eastAsia="黑体" w:cs="宋体"/>
          <w:color w:val="000000"/>
          <w:kern w:val="0"/>
          <w:sz w:val="32"/>
          <w:szCs w:val="32"/>
          <w:shd w:val="clear" w:color="auto" w:fill="FFFFFF"/>
          <w:lang w:val="zh-CN"/>
        </w:rPr>
        <w:sectPr>
          <w:pgSz w:w="16838" w:h="11906" w:orient="landscape"/>
          <w:pgMar w:top="1800" w:right="1440" w:bottom="1800" w:left="1440" w:header="851" w:footer="992" w:gutter="0"/>
          <w:pgNumType w:start="1"/>
          <w:cols w:space="425" w:num="1"/>
          <w:titlePg/>
          <w:docGrid w:type="lines" w:linePitch="312" w:charSpace="0"/>
        </w:sectPr>
      </w:pPr>
    </w:p>
    <w:p>
      <w:pPr>
        <w:widowControl/>
        <w:adjustRightInd w:val="0"/>
        <w:snapToGrid w:val="0"/>
        <w:spacing w:line="580" w:lineRule="exact"/>
        <w:contextualSpacing/>
        <w:jc w:val="left"/>
        <w:rPr>
          <w:rFonts w:hint="eastAsia" w:ascii="黑体" w:hAnsi="宋体" w:eastAsia="黑体"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四、部门财政支出管理情况</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（一）预算编制（评价本单位2020年度部门预算编制质量和预算配置情况）</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1.编制质量</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预算编制工作严格遵循合法性、真实性、完整性、重点性、绩效性，实行零基预算，按定额标准编制部门。专项预算细化，按规定及时公示了部门预算。及时清理，准确反映结余结转资金，严格执行结余结转资金的管理规定。</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2.预算配置</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编制人数12名，在职人员9人，在编制控制范围内，在职人员空置率25%。“三公”经费本年预算数1.61万元，较上年1.66万元减少3%。</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（二）预算执行（评价本单位2020年部门预算执行情况）</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1.执行进度。</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项目支出严格按部门预算均衡执行，根据批复的预算安排各项收支，确保预算严格有效执行。</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2.预算调整。</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项目支出按年初预算执行，未作出调整。</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3.经费控制。</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严格按照部门预算执行</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4.政府采购。</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严格按照政府采购限额进行采购</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预算管理。</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严格按照相关规定执行</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（三）综合管理情况（评价本单位2020年度资产管理、内控管理、信息公开、绩效评价等情况）</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1、资产管理制度、信息系统建设、资产清查上报情况。加强资产管理，资产录入国有资产管理信息系统，每项资产建立了资产卡片，实行动态管理，完成资产清查工作并按时上报。</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2、部门内部控制制度健全情况。建立和健全了预算业务管理、收支业务管理、政府采购业务管理、资产管理、合同管理等内部控制制度。查找了风险点，完善了业务流程。使经济业务管理更规范，健康。</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3、预决算及绩效信息公开情况。在朝天“门户”网上及时全面的进行预决算及绩效信息公开。</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4、绩效评价开展、评价结果报告及问题整改情况。我局成立自评工作组，组织实施2020年绩效管理自评工作。部门整体支出绩效良好,保障单位正常运转和完成各项工作，项目资金专款专用，拨款及时。存在的问题: 财务人员票据审核不严。改进建议：一是加强财务人员财务知识学习和培训，提高业务能力；二是严格票据审核，控制经费支出。</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（四）部门整体效益情况（本单位2020年度财政支出各项指标完成及效益情况）</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 xml:space="preserve">1、履职完成情况：效率性评价和有效性评价 </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 xml:space="preserve">我局基本完成了当年度计划经费的拨付工作，有效对其实行了监管，确保了专项经费专款专用。对于基本支出也能遵守各项规章制度，人员经费安排基本得当，业务工作与项目经费、人员经费安排配比率良好。 </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2、履职效果情况：社会效益</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加强规划科学实施，强化规划督导检查，努力打造生活、生产、生态于一体，产、城、人融合发展的城市生活生态圈。</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3、社会满意度及可持续性影响。构建朝天区域发展新格局和建设“美丽朝天”为主线，充分发挥规划引领城乡建设的职能作用，重点在“加强规划管理、强化规划保障、推进配套建设、优化规划服务”上发力，助推朝天社会经济发展再上新台阶。</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三、部门（单位）整体支出绩效中存在问题及改进措施</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1、合理编制年度预算。参考上年度预算执行情况和本年度收支预测，制订科学合理的预算标准，将预算支出项目细化，遵循实事求是的原则，进一步提高预算的可执行性。</w:t>
      </w:r>
    </w:p>
    <w:p>
      <w:pPr>
        <w:spacing w:line="576" w:lineRule="exact"/>
        <w:ind w:firstLine="640" w:firstLineChars="200"/>
        <w:rPr>
          <w:rFonts w:hint="eastAsia" w:ascii="仿宋_GB2312" w:hAnsi="仿宋" w:eastAsia="仿宋_GB2312" w:cs="黑体"/>
          <w:bCs/>
          <w:kern w:val="0"/>
          <w:sz w:val="32"/>
          <w:szCs w:val="32"/>
        </w:rPr>
      </w:pPr>
      <w:r>
        <w:rPr>
          <w:rFonts w:hint="eastAsia" w:ascii="仿宋_GB2312" w:hAnsi="仿宋" w:eastAsia="仿宋_GB2312" w:cs="黑体"/>
          <w:bCs/>
          <w:kern w:val="0"/>
          <w:sz w:val="32"/>
          <w:szCs w:val="32"/>
        </w:rPr>
        <w:t>2、进一步加强资产管理。应对账面固定资产实物进行核查，对历年应收、应付呆账等进行清理、处置，调整账务，夯实资产资金管理基础，摸清资产家底，以最大限度利用好现有资产。</w:t>
      </w:r>
    </w:p>
    <w:p>
      <w:pPr>
        <w:spacing w:line="576" w:lineRule="exact"/>
        <w:ind w:firstLine="640" w:firstLineChars="200"/>
        <w:rPr>
          <w:rStyle w:val="27"/>
          <w:rFonts w:ascii="黑体" w:hAnsi="黑体" w:eastAsia="黑体"/>
          <w:b w:val="0"/>
        </w:rPr>
      </w:pPr>
      <w:r>
        <w:rPr>
          <w:rFonts w:hint="eastAsia" w:ascii="仿宋_GB2312" w:hAnsi="仿宋" w:eastAsia="仿宋_GB2312" w:cs="黑体"/>
          <w:bCs/>
          <w:kern w:val="0"/>
          <w:sz w:val="32"/>
          <w:szCs w:val="32"/>
        </w:rPr>
        <w:t>3、进一步完善项目监管机制。项目立项须严格遵循一切从实际出发的原则，结合工作的必要性、以维护人民群众利益为落脚点。将项目做实，环环守规，节节有矩。项目前期加强预算审核、严格执行政府采购程序，项目中监管实施到位，确保项目的质量效益。</w:t>
      </w:r>
    </w:p>
    <w:p>
      <w:pPr>
        <w:spacing w:line="600" w:lineRule="exact"/>
        <w:jc w:val="center"/>
        <w:outlineLvl w:val="0"/>
        <w:rPr>
          <w:rStyle w:val="27"/>
          <w:rFonts w:ascii="黑体" w:hAnsi="黑体" w:eastAsia="黑体"/>
          <w:b w:val="0"/>
        </w:rPr>
      </w:pPr>
      <w:bookmarkStart w:id="59"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8"/>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3"/>
    </w:p>
    <w:p>
      <w:pPr>
        <w:pStyle w:val="4"/>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1"/>
    </w:p>
    <w:p>
      <w:pPr>
        <w:pStyle w:val="4"/>
        <w:rPr>
          <w:rStyle w:val="28"/>
          <w:rFonts w:hint="eastAsia" w:ascii="仿宋" w:hAnsi="仿宋" w:eastAsia="仿宋"/>
          <w:b w:val="0"/>
          <w:bCs w:val="0"/>
        </w:rPr>
      </w:pPr>
      <w:bookmarkStart w:id="72"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2"/>
    </w:p>
    <w:p>
      <w:pPr>
        <w:rPr>
          <w:rStyle w:val="28"/>
          <w:rFonts w:hint="eastAsia" w:ascii="仿宋" w:hAnsi="仿宋" w:eastAsia="仿宋"/>
          <w:b w:val="0"/>
          <w:bCs w:val="0"/>
        </w:rPr>
      </w:pPr>
    </w:p>
    <w:p/>
    <w:p>
      <w:pPr>
        <w:sectPr>
          <w:pgSz w:w="11906" w:h="16838"/>
          <w:pgMar w:top="1440" w:right="1800" w:bottom="1440" w:left="1800" w:header="851" w:footer="992" w:gutter="0"/>
          <w:pgNumType w:start="1"/>
          <w:cols w:space="425" w:num="1"/>
          <w:titlePg/>
          <w:docGrid w:type="lines" w:linePitch="312" w:charSpace="0"/>
        </w:sectPr>
      </w:pPr>
      <w:r>
        <w:fldChar w:fldCharType="begin"/>
      </w:r>
      <w:r>
        <w:instrText xml:space="preserve"> HYPERLINK "决算公开表2020年.xls" </w:instrText>
      </w:r>
      <w:r>
        <w:fldChar w:fldCharType="separate"/>
      </w:r>
      <w:r>
        <w:rPr>
          <w:rStyle w:val="17"/>
        </w:rPr>
        <w:t>决算公开表2020年.xls</w:t>
      </w:r>
      <w:r>
        <w:fldChar w:fldCharType="end"/>
      </w:r>
    </w:p>
    <w:p/>
    <w:sectPr>
      <w:pgSz w:w="16838" w:h="11906" w:orient="landscape"/>
      <w:pgMar w:top="720" w:right="720" w:bottom="720" w:left="72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947C7"/>
    <w:multiLevelType w:val="singleLevel"/>
    <w:tmpl w:val="A05947C7"/>
    <w:lvl w:ilvl="0" w:tentative="0">
      <w:start w:val="4"/>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1E1D4F4"/>
    <w:multiLevelType w:val="singleLevel"/>
    <w:tmpl w:val="41E1D4F4"/>
    <w:lvl w:ilvl="0" w:tentative="0">
      <w:start w:val="1"/>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25FE"/>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06C17"/>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249E"/>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41957"/>
    <w:rsid w:val="023319C4"/>
    <w:rsid w:val="02531F8C"/>
    <w:rsid w:val="0255299D"/>
    <w:rsid w:val="02AC7807"/>
    <w:rsid w:val="02CB4E7D"/>
    <w:rsid w:val="02F80C7F"/>
    <w:rsid w:val="034716F5"/>
    <w:rsid w:val="035B5094"/>
    <w:rsid w:val="036A4E2E"/>
    <w:rsid w:val="03DA715F"/>
    <w:rsid w:val="03F028DB"/>
    <w:rsid w:val="046E028B"/>
    <w:rsid w:val="04A72D0D"/>
    <w:rsid w:val="04C64AA7"/>
    <w:rsid w:val="04DD3253"/>
    <w:rsid w:val="054F41CA"/>
    <w:rsid w:val="067D5ACF"/>
    <w:rsid w:val="067F4FDE"/>
    <w:rsid w:val="091C0A9A"/>
    <w:rsid w:val="09391DD0"/>
    <w:rsid w:val="098228CE"/>
    <w:rsid w:val="09AB6350"/>
    <w:rsid w:val="0A3F7D80"/>
    <w:rsid w:val="0A5311F0"/>
    <w:rsid w:val="0A8F463D"/>
    <w:rsid w:val="0B997DC0"/>
    <w:rsid w:val="0BD35991"/>
    <w:rsid w:val="0D4A474A"/>
    <w:rsid w:val="0D8A16F2"/>
    <w:rsid w:val="0DD01C92"/>
    <w:rsid w:val="0DFA1E7B"/>
    <w:rsid w:val="0E123B77"/>
    <w:rsid w:val="0E2A34DC"/>
    <w:rsid w:val="0E8647E0"/>
    <w:rsid w:val="0EEB1C72"/>
    <w:rsid w:val="0F3016FC"/>
    <w:rsid w:val="0F7E1AD7"/>
    <w:rsid w:val="0FA11ADA"/>
    <w:rsid w:val="1004619E"/>
    <w:rsid w:val="10C055FF"/>
    <w:rsid w:val="10E20486"/>
    <w:rsid w:val="11B9648D"/>
    <w:rsid w:val="124C0AD8"/>
    <w:rsid w:val="12867DD0"/>
    <w:rsid w:val="132868B5"/>
    <w:rsid w:val="14D4008D"/>
    <w:rsid w:val="15036F60"/>
    <w:rsid w:val="150949D9"/>
    <w:rsid w:val="15E54700"/>
    <w:rsid w:val="16120F8C"/>
    <w:rsid w:val="16331D02"/>
    <w:rsid w:val="16BB723D"/>
    <w:rsid w:val="17786616"/>
    <w:rsid w:val="184D0C9E"/>
    <w:rsid w:val="18B36922"/>
    <w:rsid w:val="18D42E44"/>
    <w:rsid w:val="18E618C5"/>
    <w:rsid w:val="19474CC0"/>
    <w:rsid w:val="19491A19"/>
    <w:rsid w:val="198D1725"/>
    <w:rsid w:val="19FD780F"/>
    <w:rsid w:val="1B192665"/>
    <w:rsid w:val="1B6B0F4F"/>
    <w:rsid w:val="1BB23EB9"/>
    <w:rsid w:val="1D0A7CED"/>
    <w:rsid w:val="1D92036B"/>
    <w:rsid w:val="1D9D269D"/>
    <w:rsid w:val="1DC76852"/>
    <w:rsid w:val="1DD22863"/>
    <w:rsid w:val="1E41037A"/>
    <w:rsid w:val="1F427C0D"/>
    <w:rsid w:val="1FFC35DF"/>
    <w:rsid w:val="209D39FF"/>
    <w:rsid w:val="20E34E44"/>
    <w:rsid w:val="21841494"/>
    <w:rsid w:val="21BA30C7"/>
    <w:rsid w:val="226D1749"/>
    <w:rsid w:val="228F66AF"/>
    <w:rsid w:val="239E633F"/>
    <w:rsid w:val="240371BF"/>
    <w:rsid w:val="24774E6E"/>
    <w:rsid w:val="255B7CA2"/>
    <w:rsid w:val="26B272EE"/>
    <w:rsid w:val="27216901"/>
    <w:rsid w:val="27934675"/>
    <w:rsid w:val="27BE1629"/>
    <w:rsid w:val="27E36E7F"/>
    <w:rsid w:val="27FD3DF7"/>
    <w:rsid w:val="280E6B52"/>
    <w:rsid w:val="284E3864"/>
    <w:rsid w:val="286C2805"/>
    <w:rsid w:val="288A6950"/>
    <w:rsid w:val="28923DC1"/>
    <w:rsid w:val="29C23997"/>
    <w:rsid w:val="29D55417"/>
    <w:rsid w:val="29E8553E"/>
    <w:rsid w:val="29F65F90"/>
    <w:rsid w:val="29FD04D3"/>
    <w:rsid w:val="2A0E7DF5"/>
    <w:rsid w:val="2A845797"/>
    <w:rsid w:val="2B3D03F8"/>
    <w:rsid w:val="2B973AF2"/>
    <w:rsid w:val="2BCB6437"/>
    <w:rsid w:val="2D6976E2"/>
    <w:rsid w:val="2D877487"/>
    <w:rsid w:val="2DB13805"/>
    <w:rsid w:val="2E1B4DCD"/>
    <w:rsid w:val="2E3A55ED"/>
    <w:rsid w:val="2E471E18"/>
    <w:rsid w:val="2F6372FB"/>
    <w:rsid w:val="2FBA484C"/>
    <w:rsid w:val="2FCE0FCE"/>
    <w:rsid w:val="300A2335"/>
    <w:rsid w:val="301E6015"/>
    <w:rsid w:val="305E2083"/>
    <w:rsid w:val="307F0EE1"/>
    <w:rsid w:val="30DD4277"/>
    <w:rsid w:val="31762F0B"/>
    <w:rsid w:val="319F7F4E"/>
    <w:rsid w:val="31AD08E0"/>
    <w:rsid w:val="322C116A"/>
    <w:rsid w:val="32AB4368"/>
    <w:rsid w:val="332F1201"/>
    <w:rsid w:val="333B1BCA"/>
    <w:rsid w:val="339F4585"/>
    <w:rsid w:val="33FF14FF"/>
    <w:rsid w:val="35806F90"/>
    <w:rsid w:val="368217F2"/>
    <w:rsid w:val="372964D7"/>
    <w:rsid w:val="37A24DF5"/>
    <w:rsid w:val="37C11CFE"/>
    <w:rsid w:val="38107272"/>
    <w:rsid w:val="383B536C"/>
    <w:rsid w:val="38481569"/>
    <w:rsid w:val="391E0C95"/>
    <w:rsid w:val="39FB6CAE"/>
    <w:rsid w:val="3A0964E5"/>
    <w:rsid w:val="3A844099"/>
    <w:rsid w:val="3A9E330E"/>
    <w:rsid w:val="3B16002B"/>
    <w:rsid w:val="3B30115A"/>
    <w:rsid w:val="3B527314"/>
    <w:rsid w:val="3B7B5C91"/>
    <w:rsid w:val="3C3E03E9"/>
    <w:rsid w:val="3C6B530F"/>
    <w:rsid w:val="3C9B415B"/>
    <w:rsid w:val="3C9F4B45"/>
    <w:rsid w:val="3CF40F7B"/>
    <w:rsid w:val="3D9D1059"/>
    <w:rsid w:val="3DD97098"/>
    <w:rsid w:val="3DDD30ED"/>
    <w:rsid w:val="3E813E98"/>
    <w:rsid w:val="3E98315D"/>
    <w:rsid w:val="3EE07749"/>
    <w:rsid w:val="3F067DFB"/>
    <w:rsid w:val="3F3B1D7E"/>
    <w:rsid w:val="3F4C76F7"/>
    <w:rsid w:val="3FE73DD7"/>
    <w:rsid w:val="3FFB1C39"/>
    <w:rsid w:val="41534DDD"/>
    <w:rsid w:val="42B52C8E"/>
    <w:rsid w:val="43121116"/>
    <w:rsid w:val="43696D77"/>
    <w:rsid w:val="43724809"/>
    <w:rsid w:val="43870FDA"/>
    <w:rsid w:val="444D52B1"/>
    <w:rsid w:val="44597F94"/>
    <w:rsid w:val="44A52DC9"/>
    <w:rsid w:val="44E3366F"/>
    <w:rsid w:val="44F77F89"/>
    <w:rsid w:val="450E6446"/>
    <w:rsid w:val="453E2536"/>
    <w:rsid w:val="4634315B"/>
    <w:rsid w:val="46F73673"/>
    <w:rsid w:val="47661FF7"/>
    <w:rsid w:val="476A4031"/>
    <w:rsid w:val="479145AE"/>
    <w:rsid w:val="483A76BD"/>
    <w:rsid w:val="49E067D8"/>
    <w:rsid w:val="49E440F0"/>
    <w:rsid w:val="4AA9599D"/>
    <w:rsid w:val="4B241343"/>
    <w:rsid w:val="4B2C67C5"/>
    <w:rsid w:val="4B457DD5"/>
    <w:rsid w:val="4B5F0AF5"/>
    <w:rsid w:val="4C034FBD"/>
    <w:rsid w:val="4C8B23CE"/>
    <w:rsid w:val="4D523552"/>
    <w:rsid w:val="4E564CF4"/>
    <w:rsid w:val="4E674C45"/>
    <w:rsid w:val="4E91102D"/>
    <w:rsid w:val="4EC33F00"/>
    <w:rsid w:val="4ECE2238"/>
    <w:rsid w:val="4F0547A8"/>
    <w:rsid w:val="4F163C99"/>
    <w:rsid w:val="4F842B48"/>
    <w:rsid w:val="4F8F6FD3"/>
    <w:rsid w:val="4F9377E6"/>
    <w:rsid w:val="4FB610A3"/>
    <w:rsid w:val="4FE15F75"/>
    <w:rsid w:val="4FE84AAA"/>
    <w:rsid w:val="5024625E"/>
    <w:rsid w:val="51A27EF9"/>
    <w:rsid w:val="51C1196F"/>
    <w:rsid w:val="523E28FF"/>
    <w:rsid w:val="52563B07"/>
    <w:rsid w:val="527B64CE"/>
    <w:rsid w:val="52E25CAB"/>
    <w:rsid w:val="530B4309"/>
    <w:rsid w:val="539A3F1F"/>
    <w:rsid w:val="542B27AD"/>
    <w:rsid w:val="556C6A0E"/>
    <w:rsid w:val="55CA0BA0"/>
    <w:rsid w:val="55DB21D5"/>
    <w:rsid w:val="5612303A"/>
    <w:rsid w:val="568C78F1"/>
    <w:rsid w:val="579E03BB"/>
    <w:rsid w:val="59193EA4"/>
    <w:rsid w:val="59585F8D"/>
    <w:rsid w:val="596725AC"/>
    <w:rsid w:val="597653DD"/>
    <w:rsid w:val="59AC094B"/>
    <w:rsid w:val="59C2148F"/>
    <w:rsid w:val="5A142D09"/>
    <w:rsid w:val="5A45571A"/>
    <w:rsid w:val="5A902495"/>
    <w:rsid w:val="5AA06882"/>
    <w:rsid w:val="5AD87EEF"/>
    <w:rsid w:val="5B1D4929"/>
    <w:rsid w:val="5BAD45AF"/>
    <w:rsid w:val="5C3C4435"/>
    <w:rsid w:val="5D0A02A3"/>
    <w:rsid w:val="5D824874"/>
    <w:rsid w:val="5DE72C4D"/>
    <w:rsid w:val="5E7A5CCF"/>
    <w:rsid w:val="5F664606"/>
    <w:rsid w:val="5FC91638"/>
    <w:rsid w:val="60723054"/>
    <w:rsid w:val="60F16C71"/>
    <w:rsid w:val="613C015A"/>
    <w:rsid w:val="614A1AB0"/>
    <w:rsid w:val="615D2543"/>
    <w:rsid w:val="62853038"/>
    <w:rsid w:val="62E86D13"/>
    <w:rsid w:val="6330760E"/>
    <w:rsid w:val="6333284B"/>
    <w:rsid w:val="63563DB4"/>
    <w:rsid w:val="6392084C"/>
    <w:rsid w:val="64457199"/>
    <w:rsid w:val="645F7C64"/>
    <w:rsid w:val="64997569"/>
    <w:rsid w:val="64B52836"/>
    <w:rsid w:val="64E4797F"/>
    <w:rsid w:val="64EA3B6F"/>
    <w:rsid w:val="657543CD"/>
    <w:rsid w:val="658177F0"/>
    <w:rsid w:val="65DD7CCC"/>
    <w:rsid w:val="663C1AC4"/>
    <w:rsid w:val="66726EBB"/>
    <w:rsid w:val="66F1411E"/>
    <w:rsid w:val="67672B5C"/>
    <w:rsid w:val="67D70314"/>
    <w:rsid w:val="67E40438"/>
    <w:rsid w:val="68B7091A"/>
    <w:rsid w:val="68C8223D"/>
    <w:rsid w:val="68D52673"/>
    <w:rsid w:val="69205823"/>
    <w:rsid w:val="6954209E"/>
    <w:rsid w:val="6A8B2DD0"/>
    <w:rsid w:val="6B1A76D3"/>
    <w:rsid w:val="6B8C3669"/>
    <w:rsid w:val="6C262299"/>
    <w:rsid w:val="6D8A77DB"/>
    <w:rsid w:val="6E426A25"/>
    <w:rsid w:val="6E6C031C"/>
    <w:rsid w:val="6ECD03CE"/>
    <w:rsid w:val="6ECE2A59"/>
    <w:rsid w:val="6FE11CC6"/>
    <w:rsid w:val="708E59C0"/>
    <w:rsid w:val="70B4107F"/>
    <w:rsid w:val="715A05DE"/>
    <w:rsid w:val="71D25D1F"/>
    <w:rsid w:val="71D62259"/>
    <w:rsid w:val="72734D90"/>
    <w:rsid w:val="727B4E65"/>
    <w:rsid w:val="72B64CA7"/>
    <w:rsid w:val="72D66720"/>
    <w:rsid w:val="73497D82"/>
    <w:rsid w:val="73C40FFD"/>
    <w:rsid w:val="74102686"/>
    <w:rsid w:val="742F47A8"/>
    <w:rsid w:val="743375AF"/>
    <w:rsid w:val="74D4072E"/>
    <w:rsid w:val="7517438B"/>
    <w:rsid w:val="75217D14"/>
    <w:rsid w:val="761F0051"/>
    <w:rsid w:val="78150277"/>
    <w:rsid w:val="781E6990"/>
    <w:rsid w:val="79156756"/>
    <w:rsid w:val="792B63DE"/>
    <w:rsid w:val="79D4517D"/>
    <w:rsid w:val="7A2E0F89"/>
    <w:rsid w:val="7A6F063E"/>
    <w:rsid w:val="7ADD4CDE"/>
    <w:rsid w:val="7B34006F"/>
    <w:rsid w:val="7CFB5FA9"/>
    <w:rsid w:val="7D4F719A"/>
    <w:rsid w:val="7E3E2D48"/>
    <w:rsid w:val="7E7A3415"/>
    <w:rsid w:val="7FAA7B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table of figures1"/>
    <w:basedOn w:val="1"/>
    <w:next w:val="1"/>
    <w:qFormat/>
    <w:uiPriority w:val="99"/>
    <w:pPr>
      <w:ind w:left="200" w:leftChars="200" w:hanging="200" w:hangingChars="200"/>
    </w:pPr>
    <w:rPr>
      <w:rFonts w:eastAsia="仿宋_GB2312"/>
      <w:sz w:val="32"/>
      <w:szCs w:val="32"/>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FollowedHyperlink"/>
    <w:basedOn w:val="15"/>
    <w:semiHidden/>
    <w:unhideWhenUsed/>
    <w:qFormat/>
    <w:uiPriority w:val="99"/>
    <w:rPr>
      <w:color w:val="800080"/>
      <w:u w:val="single"/>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41"/>
    <w:basedOn w:val="15"/>
    <w:qFormat/>
    <w:uiPriority w:val="0"/>
    <w:rPr>
      <w:rFonts w:hint="eastAsia" w:ascii="宋体" w:hAnsi="宋体" w:eastAsia="宋体" w:cs="宋体"/>
      <w:color w:val="000000"/>
      <w:sz w:val="18"/>
      <w:szCs w:val="18"/>
      <w:u w:val="none"/>
    </w:rPr>
  </w:style>
  <w:style w:type="character" w:customStyle="1" w:styleId="34">
    <w:name w:val="font81"/>
    <w:basedOn w:val="15"/>
    <w:qFormat/>
    <w:uiPriority w:val="0"/>
    <w:rPr>
      <w:rFonts w:hint="eastAsia" w:ascii="宋体" w:hAnsi="宋体" w:eastAsia="宋体" w:cs="宋体"/>
      <w:color w:val="000000"/>
      <w:sz w:val="18"/>
      <w:szCs w:val="18"/>
      <w:u w:val="none"/>
    </w:rPr>
  </w:style>
  <w:style w:type="character" w:customStyle="1" w:styleId="35">
    <w:name w:val=" Char Char5"/>
    <w:basedOn w:val="15"/>
    <w:link w:val="4"/>
    <w:qFormat/>
    <w:locked/>
    <w:uiPriority w:val="9"/>
    <w:rPr>
      <w:rFonts w:ascii="Cambria" w:hAnsi="Cambria" w:eastAsia="宋体" w:cs="Times New Roman"/>
      <w:b/>
      <w:bCs/>
      <w:kern w:val="2"/>
      <w:sz w:val="32"/>
      <w:szCs w:val="32"/>
    </w:rPr>
  </w:style>
  <w:style w:type="character" w:customStyle="1" w:styleId="36">
    <w:name w:val="style131"/>
    <w:basedOn w:val="15"/>
    <w:qFormat/>
    <w:uiPriority w:val="0"/>
    <w:rPr>
      <w:b/>
      <w:bCs/>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597"/>
          <c:y val="0.2345"/>
          <c:w val="0.88905"/>
          <c:h val="0.716566666666667"/>
        </c:manualLayout>
      </c:layout>
      <c:barChart>
        <c:barDir val="col"/>
        <c:grouping val="stacked"/>
        <c:varyColors val="0"/>
        <c:ser>
          <c:idx val="0"/>
          <c:order val="0"/>
          <c:tx>
            <c:strRef>
              <c:f>Sheet1!$B$1</c:f>
              <c:strCache>
                <c:ptCount val="1"/>
                <c:pt idx="0">
                  <c:v>收入支出决算总体情况</c:v>
                </c:pt>
              </c:strCache>
            </c:strRef>
          </c:tx>
          <c:spPr>
            <a:solidFill>
              <a:schemeClr val="accent1"/>
            </a:solidFill>
            <a:ln>
              <a:noFill/>
            </a:ln>
            <a:effectLst/>
          </c:spPr>
          <c:invertIfNegative val="0"/>
          <c:dLbls>
            <c:dLbl>
              <c:idx val="0"/>
              <c:layout>
                <c:manualLayout>
                  <c:x val="0"/>
                  <c:y val="-0.33958602846054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208.97</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87580853816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104.03</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2020年度</c:v>
                </c:pt>
                <c:pt idx="1">
                  <c:v>2019年度</c:v>
                </c:pt>
              </c:strCache>
            </c:strRef>
          </c:cat>
          <c:val>
            <c:numRef>
              <c:f>Sheet1!$B$2:$B$3</c:f>
              <c:numCache>
                <c:formatCode>General</c:formatCode>
                <c:ptCount val="2"/>
                <c:pt idx="0">
                  <c:v>208.97</c:v>
                </c:pt>
                <c:pt idx="1">
                  <c:v>104.03</c:v>
                </c:pt>
              </c:numCache>
            </c:numRef>
          </c:val>
        </c:ser>
        <c:dLbls>
          <c:showLegendKey val="0"/>
          <c:showVal val="1"/>
          <c:showCatName val="0"/>
          <c:showSerName val="0"/>
          <c:showPercent val="0"/>
          <c:showBubbleSize val="0"/>
        </c:dLbls>
        <c:gapWidth val="150"/>
        <c:overlap val="100"/>
        <c:axId val="511327117"/>
        <c:axId val="664764737"/>
      </c:barChart>
      <c:catAx>
        <c:axId val="51132711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4764737"/>
        <c:crosses val="autoZero"/>
        <c:auto val="1"/>
        <c:lblAlgn val="ctr"/>
        <c:lblOffset val="100"/>
        <c:noMultiLvlLbl val="0"/>
      </c:catAx>
      <c:valAx>
        <c:axId val="6647647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132711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一般公共预算财政拨款收入占比100%</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2020年总收入208.97万元 </c:v>
                </c:pt>
              </c:strCache>
            </c:strRef>
          </c:cat>
          <c:val>
            <c:numRef>
              <c:f>Sheet1!$B$2</c:f>
              <c:numCache>
                <c:formatCode>General</c:formatCode>
                <c:ptCount val="1"/>
                <c:pt idx="0">
                  <c:v>208.97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2020年支出合计208.97万元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52970596984452"/>
                  <c:y val="-0.02908217250094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4220596919352"/>
                  <c:y val="0.08237371106754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基本支出占比50%</c:v>
                </c:pt>
                <c:pt idx="1">
                  <c:v>项目支出占比50%</c:v>
                </c:pt>
              </c:strCache>
            </c:strRef>
          </c:cat>
          <c:val>
            <c:numRef>
              <c:f>Sheet1!$B$2:$B$3</c:f>
              <c:numCache>
                <c:formatCode>General</c:formatCode>
                <c:ptCount val="2"/>
                <c:pt idx="0">
                  <c:v>104.93</c:v>
                </c:pt>
                <c:pt idx="1">
                  <c:v>104.04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072"/>
          <c:y val="0.224549603624009"/>
          <c:w val="0.88905"/>
          <c:h val="0.7169"/>
        </c:manualLayout>
      </c:layout>
      <c:barChart>
        <c:barDir val="col"/>
        <c:grouping val="stacked"/>
        <c:varyColors val="0"/>
        <c:ser>
          <c:idx val="0"/>
          <c:order val="0"/>
          <c:tx>
            <c:strRef>
              <c:f>Sheet1!$B$1</c:f>
              <c:strCache>
                <c:ptCount val="1"/>
                <c:pt idx="0">
                  <c:v>财政拨款收入支出决算总体情况</c:v>
                </c:pt>
              </c:strCache>
            </c:strRef>
          </c:tx>
          <c:spPr>
            <a:solidFill>
              <a:schemeClr val="accent1"/>
            </a:solidFill>
            <a:ln>
              <a:noFill/>
            </a:ln>
            <a:effectLst/>
          </c:spPr>
          <c:invertIfNegative val="0"/>
          <c:dLbls>
            <c:dLbl>
              <c:idx val="0"/>
              <c:layout>
                <c:manualLayout>
                  <c:x val="-0.0052588524015426"/>
                  <c:y val="-0.31802120141342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2588524015426"/>
                  <c:y val="-0.1722614840989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2020年度财政拨款</c:v>
                </c:pt>
                <c:pt idx="1">
                  <c:v>2019年度财政拨款</c:v>
                </c:pt>
              </c:strCache>
            </c:strRef>
          </c:cat>
          <c:val>
            <c:numRef>
              <c:f>Sheet1!$B$2:$B$3</c:f>
              <c:numCache>
                <c:formatCode>General</c:formatCode>
                <c:ptCount val="2"/>
                <c:pt idx="0">
                  <c:v>208.97</c:v>
                </c:pt>
                <c:pt idx="1">
                  <c:v>104.03</c:v>
                </c:pt>
              </c:numCache>
            </c:numRef>
          </c:val>
        </c:ser>
        <c:dLbls>
          <c:showLegendKey val="0"/>
          <c:showVal val="1"/>
          <c:showCatName val="0"/>
          <c:showSerName val="0"/>
          <c:showPercent val="0"/>
          <c:showBubbleSize val="0"/>
        </c:dLbls>
        <c:gapWidth val="150"/>
        <c:overlap val="100"/>
        <c:axId val="122214311"/>
        <c:axId val="160599148"/>
      </c:barChart>
      <c:catAx>
        <c:axId val="12221431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599148"/>
        <c:crosses val="autoZero"/>
        <c:auto val="1"/>
        <c:lblAlgn val="ctr"/>
        <c:lblOffset val="100"/>
        <c:noMultiLvlLbl val="0"/>
      </c:catAx>
      <c:valAx>
        <c:axId val="1605991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2143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1075"/>
          <c:y val="0.223491304347826"/>
          <c:w val="0.905175"/>
          <c:h val="0.716566666666667"/>
        </c:manualLayout>
      </c:layout>
      <c:barChart>
        <c:barDir val="col"/>
        <c:grouping val="stacked"/>
        <c:varyColors val="0"/>
        <c:ser>
          <c:idx val="0"/>
          <c:order val="0"/>
          <c:tx>
            <c:strRef>
              <c:f>Sheet1!$B$1</c:f>
              <c:strCache>
                <c:ptCount val="1"/>
                <c:pt idx="0">
                  <c:v> 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2019年</c:v>
                </c:pt>
              </c:strCache>
            </c:strRef>
          </c:cat>
          <c:val>
            <c:numRef>
              <c:f>Sheet1!$B$2:$B$3</c:f>
              <c:numCache>
                <c:formatCode>General</c:formatCode>
                <c:ptCount val="2"/>
                <c:pt idx="0">
                  <c:v>208.97</c:v>
                </c:pt>
                <c:pt idx="1">
                  <c:v>104.03</c:v>
                </c:pt>
              </c:numCache>
            </c:numRef>
          </c:val>
        </c:ser>
        <c:dLbls>
          <c:showLegendKey val="0"/>
          <c:showVal val="1"/>
          <c:showCatName val="0"/>
          <c:showSerName val="0"/>
          <c:showPercent val="0"/>
          <c:showBubbleSize val="0"/>
        </c:dLbls>
        <c:gapWidth val="219"/>
        <c:overlap val="100"/>
        <c:axId val="465014269"/>
        <c:axId val="143886594"/>
      </c:barChart>
      <c:catAx>
        <c:axId val="46501426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3886594"/>
        <c:crosses val="autoZero"/>
        <c:auto val="1"/>
        <c:lblAlgn val="ctr"/>
        <c:lblOffset val="100"/>
        <c:noMultiLvlLbl val="0"/>
      </c:catAx>
      <c:valAx>
        <c:axId val="1438865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501426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城市社区（类）支出占比89.03%</c:v>
                </c:pt>
                <c:pt idx="1">
                  <c:v>社会保障和就业（类）支出占比4.83%</c:v>
                </c:pt>
                <c:pt idx="2">
                  <c:v>医疗卫生与计划生育（类）支出占比2.4%</c:v>
                </c:pt>
                <c:pt idx="3">
                  <c:v>住房保障（类）支出占比3.36%</c:v>
                </c:pt>
                <c:pt idx="4">
                  <c:v>农林水(类)支出占比0.38%</c:v>
                </c:pt>
              </c:strCache>
            </c:strRef>
          </c:cat>
          <c:val>
            <c:numRef>
              <c:f>Sheet1!$B$2:$B$6</c:f>
              <c:numCache>
                <c:formatCode>General</c:formatCode>
                <c:ptCount val="5"/>
                <c:pt idx="0">
                  <c:v>186.04</c:v>
                </c:pt>
                <c:pt idx="1">
                  <c:v>10.09</c:v>
                </c:pt>
                <c:pt idx="2">
                  <c:v>4.98</c:v>
                </c:pt>
                <c:pt idx="3">
                  <c:v>7.06</c:v>
                </c:pt>
                <c:pt idx="4">
                  <c:v>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TotalTime>
  <ScaleCrop>false</ScaleCrop>
  <LinksUpToDate>false</LinksUpToDate>
  <CharactersWithSpaces>8536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薇薇</cp:lastModifiedBy>
  <cp:lastPrinted>2020-07-23T02:58:00Z</cp:lastPrinted>
  <dcterms:modified xsi:type="dcterms:W3CDTF">2021-09-16T09:46:50Z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A0C5BCC07FDF4EB7BC75CF9351B8AFEC</vt:lpwstr>
  </property>
</Properties>
</file>