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53" w:name="_GoBack"/>
      <w:bookmarkEnd w:id="53"/>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四川省广元市朝天区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发展和改革局部门决算</w:t>
      </w:r>
    </w:p>
    <w:p>
      <w:pPr>
        <w:pStyle w:val="11"/>
        <w:ind w:left="840" w:hanging="42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ascii="黑体" w:hAnsi="黑体" w:eastAsia="黑体"/>
          <w:color w:val="000000"/>
          <w:sz w:val="48"/>
          <w:szCs w:val="48"/>
        </w:rPr>
      </w:pP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rPr>
          <w:rFonts w:hint="eastAsia"/>
        </w:rPr>
        <w:t>公开时间：2020年9月</w:t>
      </w:r>
      <w:r>
        <w:rPr>
          <w:rFonts w:hint="eastAsia"/>
          <w:lang w:val="en-US" w:eastAsia="zh-CN"/>
        </w:rPr>
        <w:t>30</w:t>
      </w:r>
      <w:r>
        <w:rPr>
          <w:rFonts w:hint="eastAsia"/>
        </w:rPr>
        <w:t>日</w:t>
      </w:r>
    </w:p>
    <w:p>
      <w:pPr>
        <w:keepNext w:val="0"/>
        <w:keepLines w:val="0"/>
        <w:pageBreakBefore w:val="0"/>
        <w:kinsoku/>
        <w:wordWrap/>
        <w:overflowPunct/>
        <w:topLinePunct w:val="0"/>
        <w:autoSpaceDE/>
        <w:autoSpaceDN/>
        <w:bidi w:val="0"/>
        <w:adjustRightInd/>
        <w:snapToGrid/>
        <w:spacing w:line="560" w:lineRule="exact"/>
        <w:textAlignment w:val="auto"/>
      </w:pPr>
    </w:p>
    <w:p>
      <w:pPr>
        <w:pStyle w:val="10"/>
        <w:keepNext w:val="0"/>
        <w:keepLines w:val="0"/>
        <w:pageBreakBefore w:val="0"/>
        <w:kinsoku/>
        <w:wordWrap/>
        <w:overflowPunct/>
        <w:topLinePunct w:val="0"/>
        <w:autoSpaceDE/>
        <w:autoSpaceDN/>
        <w:bidi w:val="0"/>
        <w:adjustRightInd/>
        <w:snapToGrid/>
        <w:spacing w:line="560" w:lineRule="exact"/>
        <w:textAlignment w:val="auto"/>
        <w:rPr>
          <w:rFonts w:cstheme="minorBidi"/>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rPr>
        <w:t>部门概况</w:t>
      </w:r>
      <w:r>
        <w:tab/>
      </w:r>
      <w:r>
        <w:rPr>
          <w:rFonts w:hint="eastAsia"/>
          <w:lang w:val="en-US" w:eastAsia="zh-CN"/>
        </w:rPr>
        <w:t>1</w:t>
      </w:r>
      <w:r>
        <w:rPr>
          <w:rFonts w:hint="eastAsia"/>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lang w:val="en-US" w:eastAsia="zh-CN"/>
        </w:rPr>
        <w:t>1</w:t>
      </w:r>
      <w:r>
        <w:rPr>
          <w:rFonts w:hint="eastAsia"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0"/>
        <w:keepNext w:val="0"/>
        <w:keepLines w:val="0"/>
        <w:pageBreakBefore w:val="0"/>
        <w:kinsoku/>
        <w:wordWrap/>
        <w:overflowPunct/>
        <w:topLinePunct w:val="0"/>
        <w:autoSpaceDE/>
        <w:autoSpaceDN/>
        <w:bidi w:val="0"/>
        <w:adjustRightInd/>
        <w:snapToGrid/>
        <w:spacing w:line="560" w:lineRule="exact"/>
        <w:textAlignment w:val="auto"/>
      </w:pPr>
      <w:r>
        <w:fldChar w:fldCharType="begin"/>
      </w:r>
      <w:r>
        <w:instrText xml:space="preserve"> HYPERLINK \l "_Toc15396602" </w:instrText>
      </w:r>
      <w:r>
        <w:fldChar w:fldCharType="separate"/>
      </w:r>
      <w:r>
        <w:rPr>
          <w:rStyle w:val="18"/>
          <w:rFonts w:hint="eastAsia"/>
        </w:rPr>
        <w:t>第二部分</w:t>
      </w:r>
      <w:r>
        <w:rPr>
          <w:rStyle w:val="18"/>
          <w:rFonts w:hint="eastAsia"/>
          <w:lang w:val="en-US" w:eastAsia="zh-CN"/>
        </w:rPr>
        <w:t xml:space="preserve"> </w:t>
      </w:r>
      <w:r>
        <w:rPr>
          <w:rStyle w:val="18"/>
          <w:rFonts w:hint="eastAsia"/>
        </w:rPr>
        <w:t>年度部门决算情况说明</w:t>
      </w:r>
      <w:r>
        <w:tab/>
      </w:r>
      <w:r>
        <w:fldChar w:fldCharType="begin"/>
      </w:r>
      <w:r>
        <w:instrText xml:space="preserve"> PAGEREF _Toc15396602 \h </w:instrText>
      </w:r>
      <w:r>
        <w:fldChar w:fldCharType="separate"/>
      </w:r>
      <w:r>
        <w:t>7</w:t>
      </w:r>
      <w:r>
        <w:fldChar w:fldCharType="end"/>
      </w:r>
      <w: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2</w:t>
      </w:r>
      <w:r>
        <w:fldChar w:fldCharType="end"/>
      </w:r>
      <w:r>
        <w:rPr>
          <w:rFonts w:hint="eastAsia"/>
          <w:lang w:val="en-US" w:eastAsia="zh-CN"/>
        </w:rPr>
        <w:t>4</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2</w:t>
      </w:r>
      <w:r>
        <w:fldChar w:fldCharType="end"/>
      </w:r>
      <w:r>
        <w:rPr>
          <w:rFonts w:hint="eastAsia"/>
          <w:lang w:val="en-US" w:eastAsia="zh-CN"/>
        </w:rPr>
        <w:t>7</w:t>
      </w:r>
    </w:p>
    <w:p>
      <w:pPr>
        <w:pStyle w:val="10"/>
        <w:keepNext w:val="0"/>
        <w:keepLines w:val="0"/>
        <w:pageBreakBefore w:val="0"/>
        <w:kinsoku/>
        <w:wordWrap/>
        <w:overflowPunct/>
        <w:topLinePunct w:val="0"/>
        <w:autoSpaceDE/>
        <w:autoSpaceDN/>
        <w:bidi w:val="0"/>
        <w:adjustRightInd/>
        <w:snapToGrid/>
        <w:spacing w:line="560" w:lineRule="exact"/>
        <w:textAlignment w:val="auto"/>
        <w:rPr>
          <w:rFonts w:hint="eastAsia" w:eastAsia="仿宋" w:cstheme="minorBidi"/>
          <w:lang w:val="en-US"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w:t>
      </w:r>
      <w:r>
        <w:rPr>
          <w:rStyle w:val="18"/>
          <w:bCs/>
          <w:kern w:val="44"/>
        </w:rPr>
        <w:t xml:space="preserve"> </w:t>
      </w:r>
      <w:r>
        <w:rPr>
          <w:rStyle w:val="18"/>
          <w:rFonts w:hint="eastAsia"/>
          <w:bCs/>
          <w:kern w:val="44"/>
        </w:rPr>
        <w:t>附表</w:t>
      </w:r>
      <w:r>
        <w:tab/>
      </w:r>
      <w:r>
        <w:rPr>
          <w:rFonts w:hint="eastAsia"/>
          <w:lang w:val="en-US" w:eastAsia="zh-CN"/>
        </w:rPr>
        <w:t>3</w:t>
      </w:r>
      <w:r>
        <w:fldChar w:fldCharType="end"/>
      </w:r>
      <w:r>
        <w:rPr>
          <w:rFonts w:hint="eastAsia"/>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w:t>
      </w:r>
      <w:r>
        <w:rPr>
          <w:rStyle w:val="18"/>
          <w:rFonts w:hint="eastAsia" w:ascii="仿宋" w:hAnsi="仿宋" w:eastAsia="仿宋"/>
          <w:sz w:val="28"/>
          <w:szCs w:val="28"/>
          <w:lang w:eastAsia="zh-CN"/>
        </w:rPr>
        <w:t>决算</w:t>
      </w:r>
      <w:r>
        <w:rPr>
          <w:rStyle w:val="18"/>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w:t>
      </w:r>
      <w:r>
        <w:rPr>
          <w:rStyle w:val="18"/>
          <w:rFonts w:hint="eastAsia" w:ascii="仿宋" w:hAnsi="仿宋" w:eastAsia="仿宋"/>
          <w:sz w:val="28"/>
          <w:szCs w:val="28"/>
          <w:lang w:eastAsia="zh-CN"/>
        </w:rPr>
        <w:t>决算</w:t>
      </w:r>
      <w:r>
        <w:rPr>
          <w:rStyle w:val="18"/>
          <w:rFonts w:hint="eastAsia" w:ascii="仿宋" w:hAnsi="仿宋" w:eastAsia="仿宋"/>
          <w:sz w:val="28"/>
          <w:szCs w:val="28"/>
        </w:rPr>
        <w:t>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sz w:val="28"/>
          <w:szCs w:val="28"/>
          <w:lang w:val="en-US"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theme="minorBidi"/>
          <w:sz w:val="28"/>
          <w:szCs w:val="28"/>
          <w:lang w:val="en-US"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olor w:val="000000"/>
          <w:sz w:val="24"/>
          <w:lang w:val="en-US" w:eastAsia="zh-CN"/>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w:t>
      </w:r>
      <w:r>
        <w:rPr>
          <w:rFonts w:hint="eastAsia" w:ascii="仿宋" w:hAnsi="仿宋" w:eastAsia="仿宋"/>
          <w:sz w:val="28"/>
          <w:szCs w:val="28"/>
          <w:lang w:eastAsia="zh-CN"/>
        </w:rPr>
        <w:t>财政拨款收入</w:t>
      </w:r>
      <w:r>
        <w:rPr>
          <w:rStyle w:val="18"/>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color w:val="000000"/>
          <w:sz w:val="24"/>
        </w:rPr>
        <w:fldChar w:fldCharType="end"/>
      </w:r>
      <w:r>
        <w:rPr>
          <w:rFonts w:hint="eastAsia" w:ascii="仿宋" w:hAnsi="仿宋" w:eastAsia="仿宋"/>
          <w:color w:val="000000"/>
          <w:sz w:val="24"/>
          <w:lang w:val="en-US" w:eastAsia="zh-CN"/>
        </w:rPr>
        <w:t>8</w:t>
      </w:r>
    </w:p>
    <w:p>
      <w:pPr>
        <w:pStyle w:val="12"/>
        <w:keepNext w:val="0"/>
        <w:keepLines w:val="0"/>
        <w:pageBreakBefore w:val="0"/>
        <w:kinsoku/>
        <w:wordWrap/>
        <w:overflowPunct/>
        <w:topLinePunct w:val="0"/>
        <w:autoSpaceDE/>
        <w:autoSpaceDN/>
        <w:bidi w:val="0"/>
        <w:adjustRightInd/>
        <w:snapToGrid/>
        <w:spacing w:line="560" w:lineRule="exact"/>
        <w:textAlignment w:val="auto"/>
        <w:rPr>
          <w:rFonts w:hint="default" w:eastAsia="仿宋"/>
          <w:lang w:val="en-US" w:eastAsia="zh-CN"/>
        </w:rPr>
      </w:pPr>
      <w:r>
        <w:rPr>
          <w:rFonts w:hint="eastAsia" w:ascii="仿宋" w:hAnsi="仿宋" w:eastAsia="仿宋"/>
          <w:sz w:val="28"/>
          <w:szCs w:val="28"/>
          <w:lang w:eastAsia="zh-CN"/>
        </w:rPr>
        <w:t>十四、国有资本经营预算财政拨款支出决算表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38</w:t>
      </w:r>
    </w:p>
    <w:p>
      <w:pPr>
        <w:rPr>
          <w:rFonts w:ascii="仿宋" w:hAnsi="仿宋" w:eastAsia="仿宋"/>
          <w:color w:val="000000"/>
          <w:sz w:val="24"/>
        </w:rPr>
      </w:pPr>
    </w:p>
    <w:p>
      <w:pPr>
        <w:pStyle w:val="11"/>
        <w:rPr>
          <w:rFonts w:hint="eastAsia"/>
        </w:rPr>
        <w:sectPr>
          <w:headerReference r:id="rId3" w:type="default"/>
          <w:pgSz w:w="11906" w:h="16838"/>
          <w:pgMar w:top="1440" w:right="1800" w:bottom="1440" w:left="1800" w:header="851" w:footer="992" w:gutter="0"/>
          <w:pgNumType w:start="1"/>
          <w:cols w:space="425" w:num="1"/>
          <w:titlePg/>
          <w:docGrid w:type="lines" w:linePitch="312" w:charSpace="0"/>
        </w:sectPr>
      </w:pPr>
    </w:p>
    <w:p>
      <w:pPr>
        <w:keepNext w:val="0"/>
        <w:keepLines w:val="0"/>
        <w:pageBreakBefore w:val="0"/>
        <w:kinsoku/>
        <w:wordWrap/>
        <w:overflowPunct/>
        <w:topLinePunct w:val="0"/>
        <w:autoSpaceDE/>
        <w:autoSpaceDN/>
        <w:bidi w:val="0"/>
        <w:spacing w:line="560" w:lineRule="exact"/>
        <w:jc w:val="center"/>
        <w:textAlignment w:val="auto"/>
        <w:rPr>
          <w:rFonts w:ascii="宋体" w:hAnsi="宋体" w:cs="仿宋_GB2312"/>
          <w:b/>
          <w:bCs/>
          <w:sz w:val="32"/>
          <w:szCs w:val="32"/>
        </w:rPr>
      </w:pPr>
      <w:r>
        <w:rPr>
          <w:rFonts w:hint="eastAsia" w:ascii="方正小标宋简体" w:hAnsi="方正小标宋简体" w:eastAsia="方正小标宋简体" w:cs="方正小标宋简体"/>
          <w:b w:val="0"/>
          <w:bCs/>
          <w:sz w:val="44"/>
          <w:szCs w:val="44"/>
        </w:rPr>
        <w:t>第一部分</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 xml:space="preserve"> 部门概况</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一、基本职能及主要工作</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（一）主要职能</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研究提出全区经济发展的总量平衡、发展速度和结构调整的目标、政策；提出运用各种经济手段和政策的建议；衔接、平衡各主要行业的行业规划，加强实施过程中的宏观调控；受区政府委托向区人大作全区经济和社会发展计划的报告。</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研究分析区内外经济形势和发展情况，进行宏观经济的预测、预警；组织对全区经济和社会发展中的重大问题和热点、难点问题的调查研究，提出对策建议。</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组织拟订综合性经济体制改革方案，协调有关专项经济体制改革方案；指导和推进总体经济体制改革以及城区综合配套改革与体制创新，组织、指导和协调综合配套改革试点和重大专项经济体制改革试点。</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研究分析全区经济结构的状况，提出优化所有制结构的建议，拟订促进全区多种经济成分公平竞争和共同发展的政策措施；提出全区重要经济产业的发展战略和规划，推进产业结构战略性调整和升级。</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促进城乡区域协调发展。研究分析区域经济和城镇化发展情况，提出全区区域经济协调发展和实施西部大开发战略的规划，提出城镇化发展战略和政策措施建议。组织编制全区主体功能区规划并协调规划实施和进行监测评估，组织拟订区域协调发展战略、规划和重大政策，研究提出统筹城乡发展的重大政策，负责全区经济协作的统筹协调。</w:t>
      </w:r>
    </w:p>
    <w:p>
      <w:pPr>
        <w:keepNext w:val="0"/>
        <w:keepLines w:val="0"/>
        <w:pageBreakBefore w:val="0"/>
        <w:kinsoku/>
        <w:wordWrap/>
        <w:overflowPunct/>
        <w:topLinePunct w:val="0"/>
        <w:autoSpaceDE/>
        <w:autoSpaceDN/>
        <w:bidi w:val="0"/>
        <w:spacing w:line="560" w:lineRule="exact"/>
        <w:ind w:right="0" w:firstLine="757" w:firstLineChars="246"/>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spacing w:val="-6"/>
          <w:sz w:val="32"/>
          <w:szCs w:val="32"/>
        </w:rPr>
        <w:t>7</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kinsoku/>
        <w:wordWrap/>
        <w:overflowPunct/>
        <w:topLinePunct w:val="0"/>
        <w:autoSpaceDE/>
        <w:autoSpaceDN/>
        <w:bidi w:val="0"/>
        <w:spacing w:line="560" w:lineRule="exact"/>
        <w:ind w:right="0" w:firstLine="787" w:firstLineChars="246"/>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负责管理指导和协调全区招标投标工作，会同有关行政主管部门贯彻《招投标法》政策和措施，对全区项目建设过程中的工程招标投标活动实施监督检查，按照职责权限核准招标事项，查处招投标投诉案件。</w:t>
      </w:r>
    </w:p>
    <w:p>
      <w:pPr>
        <w:keepNext w:val="0"/>
        <w:keepLines w:val="0"/>
        <w:pageBreakBefore w:val="0"/>
        <w:kinsoku/>
        <w:wordWrap/>
        <w:overflowPunct/>
        <w:topLinePunct w:val="0"/>
        <w:autoSpaceDE/>
        <w:autoSpaceDN/>
        <w:bidi w:val="0"/>
        <w:spacing w:line="560" w:lineRule="exact"/>
        <w:ind w:right="0" w:firstLine="66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kinsoku/>
        <w:wordWrap/>
        <w:overflowPunct/>
        <w:topLinePunct w:val="0"/>
        <w:autoSpaceDE/>
        <w:autoSpaceDN/>
        <w:bidi w:val="0"/>
        <w:spacing w:line="560" w:lineRule="exact"/>
        <w:ind w:right="0" w:firstLine="787" w:firstLineChars="24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负责全区粮食物资储备及安全管理工作。承办区政府交办的其他事项。</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（二）20</w:t>
      </w:r>
      <w:r>
        <w:rPr>
          <w:rFonts w:hint="eastAsia" w:ascii="楷体_GB2312" w:hAnsi="楷体_GB2312" w:eastAsia="楷体_GB2312" w:cs="楷体_GB2312"/>
          <w:b w:val="0"/>
          <w:bCs/>
          <w:sz w:val="32"/>
          <w:szCs w:val="32"/>
          <w:lang w:val="en-US" w:eastAsia="zh-CN"/>
        </w:rPr>
        <w:t>20</w:t>
      </w:r>
      <w:r>
        <w:rPr>
          <w:rFonts w:hint="eastAsia" w:ascii="楷体_GB2312" w:hAnsi="楷体_GB2312" w:eastAsia="楷体_GB2312" w:cs="楷体_GB2312"/>
          <w:b w:val="0"/>
          <w:bCs/>
          <w:sz w:val="32"/>
          <w:szCs w:val="32"/>
        </w:rPr>
        <w:t>年重点工作完成情况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000000"/>
          <w:sz w:val="32"/>
          <w:szCs w:val="32"/>
        </w:rPr>
      </w:pPr>
      <w:r>
        <w:rPr>
          <w:rFonts w:hint="eastAsia" w:ascii="楷体_GB2312" w:hAnsi="楷体_GB2312" w:eastAsia="楷体_GB2312" w:cs="楷体_GB2312"/>
          <w:sz w:val="32"/>
          <w:szCs w:val="32"/>
          <w:lang w:val="en-US" w:eastAsia="zh-CN"/>
        </w:rPr>
        <w:t>1、抓运行重参谋，力促经济跨越发展。</w:t>
      </w:r>
      <w:r>
        <w:rPr>
          <w:rFonts w:hint="eastAsia" w:ascii="仿宋_GB2312" w:eastAsia="仿宋_GB2312"/>
          <w:color w:val="000000"/>
          <w:sz w:val="32"/>
          <w:szCs w:val="32"/>
        </w:rPr>
        <w:t>面对突如其来的新冠肺炎疫情，牵头负责全区企业和工地疫情防控，及时出台缓解中小企业生产经营困难十四条措施、激发文旅市场消费活力七条措施、鼓励机关事业单位和国有企业干部职工带头消费六条措施,促进了全区社会经济发展有序加快恢复。坚持主动抓好经济运行监管和预研预判，科学提出了全区经济社会发展目标建议，代区委、区政府起草了《关于进一步做好经济工作努力实现全年经济社会发展目标的实施意见》《关于推动县域经济高质量发展的实施意见》等重要文件，认真做好八大主要经济指标及GDP支撑指标调度分析，为区委、区政府决策提供重要依据和参考</w:t>
      </w:r>
      <w:r>
        <w:rPr>
          <w:rFonts w:hint="eastAsia" w:ascii="仿宋_GB2312" w:hAnsi="Times New Roman" w:eastAsia="仿宋_GB2312" w:cs="Times New Roman"/>
          <w:color w:val="000000"/>
          <w:sz w:val="32"/>
          <w:szCs w:val="32"/>
        </w:rPr>
        <w:t>，全年地区生产总值实现71.26亿元、增长6.5%，增速居全市第一。</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楷体_GB2312" w:hAnsi="楷体_GB2312" w:eastAsia="楷体_GB2312" w:cs="楷体_GB2312"/>
          <w:sz w:val="32"/>
          <w:szCs w:val="32"/>
          <w:lang w:val="en-US" w:eastAsia="zh-CN"/>
        </w:rPr>
        <w:t>2、抓调研谋长远，科学编制“十四五”规划。</w:t>
      </w:r>
      <w:r>
        <w:rPr>
          <w:rFonts w:hint="eastAsia" w:ascii="仿宋_GB2312" w:eastAsia="仿宋_GB2312"/>
          <w:color w:val="000000"/>
          <w:sz w:val="32"/>
          <w:szCs w:val="32"/>
          <w:lang w:eastAsia="zh-CN"/>
        </w:rPr>
        <w:t>充分发挥发改部门牵头抓总作用，切实加强与四川省县域经济研究中心合作，全力推进</w:t>
      </w:r>
      <w:r>
        <w:rPr>
          <w:rFonts w:hint="eastAsia" w:ascii="仿宋_GB2312" w:eastAsia="仿宋_GB2312"/>
          <w:color w:val="000000"/>
          <w:sz w:val="32"/>
          <w:szCs w:val="32"/>
        </w:rPr>
        <w:t>“十四五”规划编制工作，2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个调研课题全面完成，优化调整后的15个重点专</w:t>
      </w:r>
      <w:r>
        <w:rPr>
          <w:rFonts w:hint="eastAsia" w:ascii="仿宋_GB2312" w:eastAsia="仿宋_GB2312"/>
          <w:color w:val="000000"/>
          <w:sz w:val="32"/>
          <w:szCs w:val="32"/>
          <w:lang w:eastAsia="zh-CN"/>
        </w:rPr>
        <w:t>项</w:t>
      </w:r>
      <w:r>
        <w:rPr>
          <w:rFonts w:hint="eastAsia" w:ascii="仿宋_GB2312" w:eastAsia="仿宋_GB2312"/>
          <w:color w:val="000000"/>
          <w:sz w:val="32"/>
          <w:szCs w:val="32"/>
        </w:rPr>
        <w:t>规</w:t>
      </w:r>
      <w:r>
        <w:rPr>
          <w:rFonts w:hint="eastAsia" w:ascii="仿宋_GB2312" w:eastAsia="仿宋_GB2312"/>
          <w:color w:val="000000"/>
          <w:sz w:val="32"/>
          <w:szCs w:val="32"/>
          <w:lang w:eastAsia="zh-CN"/>
        </w:rPr>
        <w:t>划</w:t>
      </w:r>
      <w:r>
        <w:rPr>
          <w:rFonts w:hint="eastAsia" w:ascii="仿宋_GB2312" w:eastAsia="仿宋_GB2312"/>
          <w:color w:val="000000"/>
          <w:sz w:val="32"/>
          <w:szCs w:val="32"/>
        </w:rPr>
        <w:t>加快推进</w:t>
      </w:r>
      <w:r>
        <w:rPr>
          <w:rFonts w:hint="eastAsia" w:ascii="仿宋_GB2312" w:eastAsia="仿宋_GB2312"/>
          <w:color w:val="000000"/>
          <w:sz w:val="32"/>
          <w:szCs w:val="32"/>
          <w:lang w:eastAsia="zh-CN"/>
        </w:rPr>
        <w:t>，</w:t>
      </w:r>
      <w:r>
        <w:rPr>
          <w:rFonts w:hint="eastAsia" w:ascii="仿宋_GB2312" w:eastAsia="仿宋_GB2312"/>
          <w:color w:val="000000"/>
          <w:sz w:val="32"/>
          <w:szCs w:val="32"/>
        </w:rPr>
        <w:t>“四重”清单不断充实完善，</w:t>
      </w:r>
      <w:r>
        <w:rPr>
          <w:rFonts w:hint="eastAsia" w:ascii="仿宋_GB2312" w:eastAsia="仿宋_GB2312"/>
          <w:color w:val="000000"/>
          <w:sz w:val="32"/>
          <w:szCs w:val="32"/>
          <w:lang w:eastAsia="zh-CN"/>
        </w:rPr>
        <w:t>基本思路基本形成，区委《决定》抓紧撰写，</w:t>
      </w:r>
      <w:r>
        <w:rPr>
          <w:rFonts w:hint="eastAsia" w:ascii="仿宋_GB2312" w:eastAsia="仿宋_GB2312"/>
          <w:color w:val="000000"/>
          <w:sz w:val="32"/>
          <w:szCs w:val="32"/>
        </w:rPr>
        <w:t>规划《纲要》进入起草阶段。</w:t>
      </w:r>
      <w:r>
        <w:rPr>
          <w:rFonts w:hint="eastAsia" w:ascii="仿宋_GB2312" w:eastAsia="仿宋_GB2312"/>
          <w:color w:val="000000"/>
          <w:sz w:val="32"/>
          <w:szCs w:val="32"/>
          <w:lang w:eastAsia="zh-CN"/>
        </w:rPr>
        <w:t>同时，</w:t>
      </w:r>
      <w:r>
        <w:rPr>
          <w:rFonts w:hint="eastAsia" w:ascii="仿宋_GB2312" w:hAnsi="仿宋_GB2312" w:eastAsia="仿宋_GB2312" w:cs="仿宋_GB2312"/>
          <w:snapToGrid/>
          <w:kern w:val="2"/>
          <w:sz w:val="32"/>
          <w:szCs w:val="32"/>
          <w:lang w:eastAsia="zh-CN"/>
        </w:rPr>
        <w:t>主动加强与省市发改部门</w:t>
      </w:r>
      <w:r>
        <w:rPr>
          <w:rFonts w:hint="eastAsia" w:ascii="仿宋_GB2312" w:hAnsi="仿宋_GB2312" w:eastAsia="仿宋_GB2312" w:cs="仿宋_GB2312"/>
          <w:snapToGrid/>
          <w:kern w:val="2"/>
          <w:sz w:val="32"/>
          <w:szCs w:val="32"/>
          <w:lang w:val="en-US" w:eastAsia="zh-CN"/>
        </w:rPr>
        <w:t>衔接</w:t>
      </w:r>
      <w:r>
        <w:rPr>
          <w:rFonts w:hint="eastAsia" w:ascii="仿宋_GB2312" w:hAnsi="仿宋_GB2312" w:eastAsia="仿宋_GB2312" w:cs="仿宋_GB2312"/>
          <w:snapToGrid/>
          <w:kern w:val="2"/>
          <w:sz w:val="32"/>
          <w:szCs w:val="32"/>
          <w:lang w:eastAsia="zh-CN"/>
        </w:rPr>
        <w:t>汇报，一批重大项目、重大改革和重大平台纳入国家、省、</w:t>
      </w:r>
      <w:r>
        <w:rPr>
          <w:rFonts w:hint="eastAsia" w:ascii="仿宋_GB2312" w:hAnsi="仿宋_GB2312" w:eastAsia="仿宋_GB2312" w:cs="仿宋_GB2312"/>
          <w:snapToGrid/>
          <w:kern w:val="2"/>
          <w:sz w:val="32"/>
          <w:szCs w:val="32"/>
          <w:lang w:val="en-US" w:eastAsia="zh-CN"/>
        </w:rPr>
        <w:t>市</w:t>
      </w:r>
      <w:r>
        <w:rPr>
          <w:rFonts w:hint="eastAsia" w:ascii="仿宋_GB2312" w:hAnsi="仿宋_GB2312" w:eastAsia="仿宋_GB2312" w:cs="仿宋_GB2312"/>
          <w:snapToGrid/>
          <w:kern w:val="2"/>
          <w:sz w:val="32"/>
          <w:szCs w:val="32"/>
          <w:lang w:eastAsia="zh-CN"/>
        </w:rPr>
        <w:t>规划盘子。</w:t>
      </w:r>
    </w:p>
    <w:p>
      <w:pPr>
        <w:pStyle w:val="39"/>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3、抓项目促投资，多措并举稳定增长。</w:t>
      </w:r>
      <w:r>
        <w:rPr>
          <w:rFonts w:hint="eastAsia" w:ascii="仿宋_GB2312" w:hAnsi="仿宋_GB2312" w:eastAsia="仿宋_GB2312" w:cs="仿宋_GB2312"/>
          <w:color w:val="000000"/>
          <w:kern w:val="2"/>
          <w:sz w:val="32"/>
          <w:szCs w:val="32"/>
          <w:lang w:val="en-US" w:eastAsia="zh-CN" w:bidi="ar-SA"/>
        </w:rPr>
        <w:t>认真念好“谋、引、管”三字经，深入开展“项目决胜年”和项目投资“大比武”活动，坚持“五个一”的项目推进机制和月调度分析、季通报约谈等项目推进制度，创新实行项目大数据智慧</w:t>
      </w:r>
      <w:r>
        <w:rPr>
          <w:rFonts w:hint="eastAsia" w:ascii="仿宋_GB2312" w:hAnsi="仿宋_GB2312" w:cs="仿宋_GB2312"/>
          <w:color w:val="000000"/>
          <w:kern w:val="2"/>
          <w:sz w:val="32"/>
          <w:szCs w:val="32"/>
          <w:lang w:val="en-US" w:eastAsia="zh-CN" w:bidi="ar-SA"/>
        </w:rPr>
        <w:t>馆</w:t>
      </w:r>
      <w:r>
        <w:rPr>
          <w:rFonts w:hint="eastAsia" w:ascii="仿宋_GB2312" w:hAnsi="仿宋_GB2312" w:eastAsia="仿宋_GB2312" w:cs="仿宋_GB2312"/>
          <w:color w:val="000000"/>
          <w:kern w:val="2"/>
          <w:sz w:val="32"/>
          <w:szCs w:val="32"/>
          <w:lang w:val="en-US" w:eastAsia="zh-CN" w:bidi="ar-SA"/>
        </w:rPr>
        <w:t>，逗硬过程考核和约谈问责，有效促进了投资在高基数上实现持续稳定增长。全年累计实施各类项目213个，七曾路、罗圈岩风电等109个项目加快建设，蜀中源调味品等104个项目竣工投产。全年储备曾家山山地轨道交通、羊木物流园、七盘关超级服务区等项目357个、总投资1917.64亿元，较年初增长213.07%；年内向上争取2020年度中央省预算内项目21个，补助资金15414万元；集中开工项目6批次72个、总投资83.19亿元。羊木现代产业园项目正式启动；八庙沟水电站和罗圈岩风电项目全面开工。</w:t>
      </w:r>
      <w:r>
        <w:rPr>
          <w:rFonts w:hint="eastAsia"/>
          <w:shd w:val="clear" w:color="auto" w:fill="FFFFFF"/>
        </w:rPr>
        <w:t>全社会固定资产投资完成</w:t>
      </w:r>
      <w:r>
        <w:rPr>
          <w:shd w:val="clear" w:color="auto" w:fill="FFFFFF"/>
        </w:rPr>
        <w:t>64.1</w:t>
      </w:r>
      <w:r>
        <w:rPr>
          <w:rFonts w:hint="eastAsia"/>
          <w:shd w:val="clear" w:color="auto" w:fill="FFFFFF"/>
        </w:rPr>
        <w:t>亿元，增长</w:t>
      </w:r>
      <w:r>
        <w:rPr>
          <w:shd w:val="clear" w:color="auto" w:fill="FFFFFF"/>
        </w:rPr>
        <w:t>11%</w:t>
      </w:r>
      <w:r>
        <w:rPr>
          <w:rFonts w:hint="eastAsia"/>
          <w:shd w:val="clear" w:color="auto" w:fill="FFFFFF"/>
        </w:rPr>
        <w:t>，增速居全市第三</w:t>
      </w:r>
      <w:r>
        <w:rPr>
          <w:rFonts w:hint="eastAsia"/>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“大比武”</w:t>
      </w:r>
      <w:r>
        <w:rPr>
          <w:rFonts w:hint="eastAsia" w:ascii="仿宋_GB2312" w:hAnsi="仿宋_GB2312" w:cs="仿宋_GB2312"/>
          <w:color w:val="000000"/>
          <w:kern w:val="2"/>
          <w:sz w:val="32"/>
          <w:szCs w:val="32"/>
          <w:lang w:val="en-US" w:eastAsia="zh-CN" w:bidi="ar-SA"/>
        </w:rPr>
        <w:t>考评</w:t>
      </w:r>
      <w:r>
        <w:rPr>
          <w:rFonts w:hint="eastAsia" w:ascii="仿宋_GB2312" w:hAnsi="仿宋_GB2312" w:eastAsia="仿宋_GB2312" w:cs="仿宋_GB2312"/>
          <w:color w:val="000000"/>
          <w:kern w:val="2"/>
          <w:sz w:val="32"/>
          <w:szCs w:val="32"/>
          <w:lang w:val="en-US" w:eastAsia="zh-CN" w:bidi="ar-SA"/>
        </w:rPr>
        <w:t>持续走在全市前列。</w:t>
      </w:r>
    </w:p>
    <w:p>
      <w:pPr>
        <w:pStyle w:val="39"/>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4、抓融入促开放，主动唱好“双城”记。</w:t>
      </w:r>
      <w:r>
        <w:rPr>
          <w:rFonts w:hint="eastAsia" w:ascii="仿宋_GB2312" w:hAnsi="仿宋_GB2312" w:eastAsia="仿宋_GB2312" w:cs="仿宋_GB2312"/>
          <w:color w:val="000000"/>
          <w:kern w:val="2"/>
          <w:sz w:val="32"/>
          <w:szCs w:val="32"/>
          <w:lang w:val="en-US" w:eastAsia="zh-CN" w:bidi="ar-SA"/>
        </w:rPr>
        <w:t>代区委起草了《关于深入学习贯彻习近平总书记重要讲话精神和省委十一届七次全会精神抢抓成渝地区双城经济圈建设的决定》，出台了《朝天区主动融入成渝地区双城经济圈建设领导小组工作规则》、《朝天区主动融入成渝地区双城经济圈建设领导小组办公室及各专项推进组职责分工方案》，编制完成朝天区主动融入成渝地区双城经济圈建设“四重”清单</w:t>
      </w:r>
      <w:r>
        <w:rPr>
          <w:rFonts w:hint="eastAsia" w:ascii="仿宋_GB2312" w:hAnsi="仿宋_GB2312" w:cs="仿宋_GB2312"/>
          <w:color w:val="000000"/>
          <w:kern w:val="2"/>
          <w:sz w:val="32"/>
          <w:szCs w:val="32"/>
          <w:lang w:val="en-US" w:eastAsia="zh-CN" w:bidi="ar-SA"/>
        </w:rPr>
        <w:t>，压紧压实“四地一堡”目标责任，加强纵横协调，</w:t>
      </w:r>
      <w:r>
        <w:rPr>
          <w:rFonts w:hint="eastAsia" w:ascii="仿宋_GB2312" w:hAnsi="仿宋_GB2312" w:eastAsia="仿宋_GB2312" w:cs="仿宋_GB2312"/>
          <w:color w:val="000000"/>
          <w:kern w:val="2"/>
          <w:sz w:val="32"/>
          <w:szCs w:val="32"/>
          <w:lang w:val="en-US" w:eastAsia="zh-CN" w:bidi="ar-SA"/>
        </w:rPr>
        <w:t>先后与成都市郫都区、重庆市璧山区签订了战略合作框架协议，相关合作事项加快推进。</w:t>
      </w:r>
    </w:p>
    <w:p>
      <w:pPr>
        <w:pStyle w:val="40"/>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kern w:val="2"/>
          <w:sz w:val="32"/>
          <w:szCs w:val="32"/>
          <w:lang w:val="en-US" w:eastAsia="zh-CN" w:bidi="ar-SA"/>
        </w:rPr>
        <w:t>5、抓协作真帮扶，决战决胜脱贫奔康。</w:t>
      </w:r>
      <w:r>
        <w:rPr>
          <w:rFonts w:hint="eastAsia" w:ascii="仿宋_GB2312" w:hAnsi="仿宋_GB2312" w:eastAsia="仿宋_GB2312" w:cs="仿宋_GB2312"/>
          <w:color w:val="000000"/>
          <w:kern w:val="2"/>
          <w:sz w:val="32"/>
          <w:szCs w:val="32"/>
          <w:lang w:val="en-US" w:eastAsia="zh-CN" w:bidi="ar-SA"/>
        </w:rPr>
        <w:t>紧紧围绕创建东西部扶贫协作示范区目标，与路桥区共念“山海经”，同奏“协作曲”，各项工作开展有力有序。全年共接收浙江帮扶资金4210万元，实施帮扶项目13个；组织转移贫困人口就业1441人；引进东部企业9家，完成投资7.3309亿元；率先谋划建设共建产业园区3.1万平方米标准化厂房建设和配套基础基础设施；新建扶贫车间8个；多形式开展消费扶贫，通过线上线下销售朝天农特产品金额达8931万元，带动781名贫困人口增收；接收社会各类捐资捐物811.81万元；完成各类帮扶结对89对。截止目前，全区基础工作全面完成，创新工作亮点纷呈，经验推广扎实高效，成功承办了浙江省代表团来四川考察学习活动；在2020年度省级交叉成效考评中获得总得分114.5分的好成绩，可望在全省考核中持续获得“综合评价好”的等次。在驻村帮扶方面，始终坚持脱贫不脱帮扶，进一步健全了帮扶工作领导机构，及时调整充实了三个帮扶村的指挥长、第一书记和驻村工作队员。聚焦脱贫成果巩固，积极推进乡村振兴，大力发展集体经济，为张家、石烛两村各硬化通组公路1公里，顺利通过国家脱贫攻坚成效实地考核。</w:t>
      </w:r>
    </w:p>
    <w:p>
      <w:pPr>
        <w:pStyle w:val="4"/>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6、抓创新激活力，重点改革深入推进。</w:t>
      </w:r>
      <w:r>
        <w:rPr>
          <w:rFonts w:hint="eastAsia" w:ascii="仿宋_GB2312" w:hAnsi="仿宋_GB2312" w:eastAsia="仿宋_GB2312" w:cs="仿宋_GB2312"/>
          <w:b w:val="0"/>
          <w:bCs w:val="0"/>
          <w:color w:val="000000"/>
          <w:kern w:val="2"/>
          <w:sz w:val="32"/>
          <w:szCs w:val="32"/>
          <w:lang w:val="en-US" w:eastAsia="zh-CN" w:bidi="ar-SA"/>
        </w:rPr>
        <w:t>坚持以供给侧结构性改革为主线，紧扣经济体制改革九大台账，落实“清单制+责任制”，推动各项改革方案落地落实。经济体制改革小组所承担的85项改革事项年度任务全面完成。深化供给侧结构性改革，有序推进煤矿分类处置，关闭煤矿3家，去产能33万吨。签订产学研合作协议9项，入库国家科技型中小企业10家，市级科技型中小企业新增11家，培育高新技术企业1家，省级科技成果转移转化企业1家；组织民营企业申报国、省、市科技计划项目12项，实施6项；建成市级重点实验室1个，成功培育市级工程技术研究中心1个；四川岚晟生物科技股份有限公司国家海智计划工作站申报中，预计2021年下半年完成国家、省、市评审；入选市首届“蜀道英才”人才5名，全面创新创业成效日渐凸显。</w:t>
      </w:r>
    </w:p>
    <w:p>
      <w:pPr>
        <w:pStyle w:val="4"/>
        <w:keepNext w:val="0"/>
        <w:keepLines w:val="0"/>
        <w:pageBreakBefore w:val="0"/>
        <w:widowControl/>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7、抓整治优服务，发展环境不断改善。</w:t>
      </w:r>
      <w:r>
        <w:rPr>
          <w:rFonts w:hint="eastAsia" w:ascii="仿宋_GB2312" w:hAnsi="仿宋_GB2312" w:eastAsia="仿宋_GB2312" w:cs="仿宋_GB2312"/>
          <w:b w:val="0"/>
          <w:bCs w:val="0"/>
          <w:color w:val="000000"/>
          <w:kern w:val="2"/>
          <w:sz w:val="32"/>
          <w:szCs w:val="32"/>
          <w:lang w:val="en-US" w:eastAsia="zh-CN" w:bidi="ar-SA"/>
        </w:rPr>
        <w:t>扎实开展营商环境专项整治行动，对2015年以来实施的国家投资工程建设项目和扶贫领域工程建设项目的招投标进行了专项清查。牵头开展招投标领域系统治理，共互移线索17条，立案3起，查处典型案件13件13人、组织处理19人次，刑事立案5件11人，追缴退赔248.999万元。全面推进优化营商环境，全市营商环境现场测评100%满意。协调推动长江经济带发展和全区矿山环境问题综合治理，90个非煤矿山、13家煤矿和市级挂号的15家矿井涌水问题全面完成治理。绿色发展指数和单位GDP能耗降低率两项指标均达到全市平均水平，完成市下目标任务。社会信用体系建设深入推进，全区红黑名单制度初步建立。我区连续三年获得粮食安全行政首长责任制考核“优秀”等次。国省生猪市场保供稳价政策和社会救助及保障标准与物价上涨挂钩联动机制落实见效。</w:t>
      </w:r>
    </w:p>
    <w:p>
      <w:pPr>
        <w:pStyle w:val="37"/>
        <w:keepNext w:val="0"/>
        <w:keepLines w:val="0"/>
        <w:pageBreakBefore w:val="0"/>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auto"/>
          <w:kern w:val="2"/>
          <w:sz w:val="32"/>
          <w:szCs w:val="32"/>
          <w:lang w:val="en-US" w:eastAsia="zh-CN" w:bidi="ar-SA"/>
        </w:rPr>
        <w:t>8、抓管理转作风，队伍建设从严从实。</w:t>
      </w:r>
      <w:r>
        <w:rPr>
          <w:rFonts w:hint="eastAsia" w:ascii="仿宋_GB2312" w:eastAsia="仿宋_GB2312"/>
          <w:color w:val="000000"/>
          <w:sz w:val="32"/>
          <w:szCs w:val="32"/>
        </w:rPr>
        <w:t>全面落实“两学一做”学习教育常态化制度化，</w:t>
      </w:r>
      <w:r>
        <w:rPr>
          <w:rFonts w:hint="eastAsia" w:ascii="仿宋_GB2312" w:eastAsia="仿宋_GB2312"/>
          <w:color w:val="000000"/>
          <w:sz w:val="32"/>
          <w:szCs w:val="32"/>
          <w:lang w:eastAsia="zh-CN"/>
        </w:rPr>
        <w:t>持续</w:t>
      </w:r>
      <w:r>
        <w:rPr>
          <w:rFonts w:hint="eastAsia" w:ascii="仿宋_GB2312" w:eastAsia="仿宋_GB2312"/>
          <w:color w:val="000000"/>
          <w:sz w:val="32"/>
          <w:szCs w:val="32"/>
        </w:rPr>
        <w:t>开展“不忘初心</w:t>
      </w:r>
      <w:r>
        <w:rPr>
          <w:rFonts w:hint="eastAsia" w:ascii="仿宋_GB2312" w:eastAsia="仿宋_GB2312"/>
          <w:color w:val="000000"/>
          <w:sz w:val="32"/>
          <w:szCs w:val="32"/>
          <w:lang w:eastAsia="zh-CN"/>
        </w:rPr>
        <w:t>、</w:t>
      </w:r>
      <w:r>
        <w:rPr>
          <w:rFonts w:hint="eastAsia" w:ascii="仿宋_GB2312" w:eastAsia="仿宋_GB2312"/>
          <w:color w:val="000000"/>
          <w:sz w:val="32"/>
          <w:szCs w:val="32"/>
        </w:rPr>
        <w:t>牢记使命”主题教育，严格执行“三重一大”决策程序相关</w:t>
      </w:r>
      <w:r>
        <w:rPr>
          <w:rFonts w:hint="eastAsia" w:ascii="仿宋_GB2312" w:hAnsi="仿宋_GB2312" w:eastAsia="仿宋_GB2312" w:cs="仿宋_GB2312"/>
          <w:b w:val="0"/>
          <w:bCs w:val="0"/>
          <w:color w:val="000000"/>
          <w:kern w:val="2"/>
          <w:sz w:val="32"/>
          <w:szCs w:val="32"/>
          <w:lang w:val="en-US" w:eastAsia="zh-CN" w:bidi="ar-SA"/>
        </w:rPr>
        <w:t>规定</w:t>
      </w:r>
      <w:r>
        <w:rPr>
          <w:rFonts w:hint="eastAsia" w:ascii="仿宋_GB2312" w:eastAsia="仿宋_GB2312"/>
          <w:color w:val="000000"/>
          <w:sz w:val="32"/>
          <w:szCs w:val="32"/>
          <w:lang w:eastAsia="zh-CN"/>
        </w:rPr>
        <w:t>，研究制定了《局机关科级干部政务工作要求》，按照区委“六坚持、六配位”选人用人导向和区发改局系统干部</w:t>
      </w:r>
      <w:r>
        <w:rPr>
          <w:rFonts w:hint="eastAsia" w:ascii="仿宋_GB2312" w:eastAsia="仿宋_GB2312"/>
          <w:color w:val="000000"/>
          <w:sz w:val="32"/>
          <w:szCs w:val="32"/>
        </w:rPr>
        <w:t>的“三十六字”干部标准，</w:t>
      </w:r>
      <w:r>
        <w:rPr>
          <w:rFonts w:hint="eastAsia" w:ascii="仿宋_GB2312" w:eastAsia="仿宋_GB2312"/>
          <w:color w:val="000000"/>
          <w:sz w:val="32"/>
          <w:szCs w:val="32"/>
          <w:lang w:eastAsia="zh-CN"/>
        </w:rPr>
        <w:t>大胆选用善于谋划发展的干部、善于抓落实的干部、能干实事且业绩突出的干部、群众公认的干部。通过持续开展“作风纪律巩固年”和</w:t>
      </w:r>
      <w:r>
        <w:rPr>
          <w:rFonts w:hint="eastAsia" w:ascii="仿宋_GB2312" w:eastAsia="仿宋_GB2312"/>
          <w:color w:val="000000"/>
          <w:sz w:val="32"/>
          <w:szCs w:val="32"/>
        </w:rPr>
        <w:t>“五讲五比五争当”活动</w:t>
      </w:r>
      <w:r>
        <w:rPr>
          <w:rFonts w:hint="eastAsia" w:ascii="仿宋_GB2312" w:eastAsia="仿宋_GB2312"/>
          <w:color w:val="000000"/>
          <w:sz w:val="32"/>
          <w:szCs w:val="32"/>
          <w:lang w:eastAsia="zh-CN"/>
        </w:rPr>
        <w:t>，进一步激发干部干事创业的激情，</w:t>
      </w:r>
      <w:r>
        <w:rPr>
          <w:rFonts w:hint="eastAsia" w:ascii="仿宋_GB2312" w:eastAsia="仿宋_GB2312"/>
          <w:color w:val="000000"/>
          <w:sz w:val="32"/>
          <w:szCs w:val="32"/>
        </w:rPr>
        <w:t>机关风清气正氛围</w:t>
      </w:r>
      <w:r>
        <w:rPr>
          <w:rFonts w:hint="eastAsia" w:ascii="仿宋_GB2312" w:eastAsia="仿宋_GB2312"/>
          <w:color w:val="000000"/>
          <w:sz w:val="32"/>
          <w:szCs w:val="32"/>
          <w:lang w:eastAsia="zh-CN"/>
        </w:rPr>
        <w:t>正</w:t>
      </w:r>
      <w:r>
        <w:rPr>
          <w:rFonts w:hint="eastAsia" w:ascii="仿宋_GB2312" w:eastAsia="仿宋_GB2312"/>
          <w:color w:val="000000"/>
          <w:sz w:val="32"/>
          <w:szCs w:val="32"/>
        </w:rPr>
        <w:t>加快形成。</w:t>
      </w:r>
    </w:p>
    <w:p>
      <w:pPr>
        <w:pStyle w:val="11"/>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宋体" w:eastAsia="仿宋_GB2312"/>
          <w:sz w:val="32"/>
          <w:szCs w:val="32"/>
          <w:lang w:eastAsia="zh-CN"/>
        </w:rPr>
      </w:pPr>
      <w:r>
        <w:rPr>
          <w:rFonts w:hint="eastAsia" w:ascii="楷体_GB2312" w:hAnsi="楷体_GB2312" w:eastAsia="楷体_GB2312" w:cs="楷体_GB2312"/>
          <w:kern w:val="2"/>
          <w:sz w:val="32"/>
          <w:szCs w:val="32"/>
          <w:lang w:val="en-US" w:eastAsia="zh-CN" w:bidi="ar-SA"/>
        </w:rPr>
        <w:t>9、抓整改建机制，政治生态持续向好。</w:t>
      </w:r>
      <w:r>
        <w:rPr>
          <w:rFonts w:hint="eastAsia" w:ascii="仿宋_GB2312" w:hAnsi="宋体" w:eastAsia="仿宋_GB2312"/>
          <w:sz w:val="32"/>
          <w:szCs w:val="32"/>
        </w:rPr>
        <w:t>今年，接受了省委巡视和区委巡察工作，其中省委巡视反馈问题中涉及项目审批、招投标管理、干部监管3个方面的问题</w:t>
      </w:r>
      <w:r>
        <w:rPr>
          <w:rFonts w:hint="eastAsia" w:ascii="仿宋_GB2312" w:hAnsi="宋体" w:eastAsia="仿宋_GB2312"/>
          <w:sz w:val="32"/>
          <w:szCs w:val="32"/>
          <w:lang w:eastAsia="zh-CN"/>
        </w:rPr>
        <w:t>，</w:t>
      </w:r>
      <w:r>
        <w:rPr>
          <w:rFonts w:hint="eastAsia" w:ascii="仿宋_GB2312" w:hAnsi="宋体" w:eastAsia="仿宋_GB2312"/>
          <w:sz w:val="32"/>
          <w:szCs w:val="32"/>
        </w:rPr>
        <w:t>区委巡察共反馈</w:t>
      </w:r>
      <w:r>
        <w:rPr>
          <w:rFonts w:hint="eastAsia" w:ascii="仿宋_GB2312" w:hAnsi="宋体" w:eastAsia="仿宋_GB2312"/>
          <w:sz w:val="32"/>
          <w:szCs w:val="32"/>
          <w:lang w:eastAsia="zh-CN"/>
        </w:rPr>
        <w:t>三大类</w:t>
      </w:r>
      <w:r>
        <w:rPr>
          <w:rFonts w:hint="eastAsia" w:ascii="仿宋_GB2312" w:hAnsi="宋体" w:eastAsia="仿宋_GB2312"/>
          <w:sz w:val="32"/>
          <w:szCs w:val="32"/>
        </w:rPr>
        <w:t>10个问题</w:t>
      </w:r>
      <w:r>
        <w:rPr>
          <w:rFonts w:hint="eastAsia" w:ascii="仿宋_GB2312" w:hAnsi="宋体" w:eastAsia="仿宋_GB2312"/>
          <w:sz w:val="32"/>
          <w:szCs w:val="32"/>
          <w:lang w:eastAsia="zh-CN"/>
        </w:rPr>
        <w:t>，</w:t>
      </w:r>
      <w:r>
        <w:rPr>
          <w:rFonts w:hint="eastAsia" w:ascii="仿宋_GB2312" w:hAnsi="宋体" w:eastAsia="仿宋_GB2312"/>
          <w:sz w:val="32"/>
          <w:szCs w:val="32"/>
        </w:rPr>
        <w:t>对巡视巡察组反馈问题照单接受，并建立问题整改台账</w:t>
      </w:r>
      <w:r>
        <w:rPr>
          <w:rFonts w:hint="eastAsia" w:ascii="仿宋_GB2312" w:hAnsi="宋体" w:eastAsia="仿宋_GB2312"/>
          <w:sz w:val="32"/>
          <w:szCs w:val="32"/>
          <w:lang w:eastAsia="zh-CN"/>
        </w:rPr>
        <w:t>，研究制定整改措施</w:t>
      </w:r>
      <w:r>
        <w:rPr>
          <w:rFonts w:hint="eastAsia" w:ascii="仿宋_GB2312" w:hAnsi="宋体" w:eastAsia="仿宋_GB2312"/>
          <w:sz w:val="32"/>
          <w:szCs w:val="32"/>
        </w:rPr>
        <w:t>，</w:t>
      </w:r>
      <w:r>
        <w:rPr>
          <w:rFonts w:hint="eastAsia" w:ascii="仿宋_GB2312" w:hAnsi="宋体" w:eastAsia="仿宋_GB2312"/>
          <w:sz w:val="32"/>
          <w:szCs w:val="32"/>
          <w:lang w:eastAsia="zh-CN"/>
        </w:rPr>
        <w:t>明确整改任务和整改时限，推动</w:t>
      </w:r>
      <w:r>
        <w:rPr>
          <w:rFonts w:hint="eastAsia" w:ascii="仿宋_GB2312" w:hAnsi="宋体" w:eastAsia="仿宋_GB2312"/>
          <w:sz w:val="32"/>
          <w:szCs w:val="32"/>
        </w:rPr>
        <w:t>所有巡视巡察反馈问题全部整改到位。持续做好</w:t>
      </w:r>
      <w:r>
        <w:rPr>
          <w:rFonts w:hint="eastAsia" w:ascii="仿宋_GB2312" w:hAnsi="宋体" w:eastAsia="仿宋_GB2312"/>
          <w:sz w:val="32"/>
          <w:szCs w:val="32"/>
          <w:lang w:eastAsia="zh-CN"/>
        </w:rPr>
        <w:t>巡察反馈问题整改</w:t>
      </w:r>
      <w:r>
        <w:rPr>
          <w:rFonts w:hint="eastAsia" w:ascii="仿宋_GB2312" w:hAnsi="宋体" w:eastAsia="仿宋_GB2312"/>
          <w:sz w:val="32"/>
          <w:szCs w:val="32"/>
        </w:rPr>
        <w:t>“后半篇文章”</w:t>
      </w:r>
      <w:r>
        <w:rPr>
          <w:rFonts w:hint="eastAsia" w:ascii="仿宋_GB2312" w:hAnsi="宋体" w:eastAsia="仿宋_GB2312"/>
          <w:sz w:val="32"/>
          <w:szCs w:val="32"/>
          <w:lang w:eastAsia="zh-CN"/>
        </w:rPr>
        <w:t>，压实</w:t>
      </w:r>
      <w:r>
        <w:rPr>
          <w:rFonts w:hint="eastAsia" w:ascii="仿宋_GB2312" w:hAnsi="宋体" w:eastAsia="仿宋_GB2312"/>
          <w:sz w:val="32"/>
          <w:szCs w:val="32"/>
        </w:rPr>
        <w:t>“两个责任”，</w:t>
      </w:r>
      <w:r>
        <w:rPr>
          <w:rFonts w:hint="eastAsia" w:ascii="仿宋_GB2312" w:hAnsi="宋体" w:eastAsia="仿宋_GB2312"/>
          <w:sz w:val="32"/>
          <w:szCs w:val="32"/>
          <w:lang w:eastAsia="zh-CN"/>
        </w:rPr>
        <w:t>坚持</w:t>
      </w:r>
      <w:r>
        <w:rPr>
          <w:rFonts w:hint="eastAsia" w:ascii="仿宋_GB2312" w:hAnsi="宋体" w:eastAsia="仿宋_GB2312"/>
          <w:sz w:val="32"/>
          <w:szCs w:val="32"/>
        </w:rPr>
        <w:t>纠建并举、破立并进，着力构建整改长效机制</w:t>
      </w:r>
      <w:r>
        <w:rPr>
          <w:rFonts w:hint="eastAsia" w:ascii="仿宋_GB2312" w:hAnsi="宋体" w:eastAsia="仿宋_GB2312"/>
          <w:sz w:val="32"/>
          <w:szCs w:val="32"/>
          <w:lang w:eastAsia="zh-CN"/>
        </w:rPr>
        <w:t>，有效防控</w:t>
      </w:r>
      <w:r>
        <w:rPr>
          <w:rFonts w:hint="eastAsia" w:ascii="仿宋_GB2312" w:hAnsi="宋体" w:eastAsia="仿宋_GB2312"/>
          <w:sz w:val="32"/>
          <w:szCs w:val="32"/>
        </w:rPr>
        <w:t>各类廉</w:t>
      </w:r>
      <w:r>
        <w:rPr>
          <w:rFonts w:hint="eastAsia" w:ascii="仿宋_GB2312" w:hAnsi="宋体" w:eastAsia="仿宋_GB2312"/>
          <w:sz w:val="32"/>
          <w:szCs w:val="32"/>
          <w:lang w:eastAsia="zh-CN"/>
        </w:rPr>
        <w:t>政</w:t>
      </w:r>
      <w:r>
        <w:rPr>
          <w:rFonts w:hint="eastAsia" w:ascii="仿宋_GB2312" w:hAnsi="宋体" w:eastAsia="仿宋_GB2312"/>
          <w:sz w:val="32"/>
          <w:szCs w:val="32"/>
        </w:rPr>
        <w:t>风险，</w:t>
      </w:r>
      <w:r>
        <w:rPr>
          <w:rFonts w:hint="eastAsia" w:ascii="仿宋_GB2312" w:hAnsi="宋体" w:eastAsia="仿宋_GB2312"/>
          <w:sz w:val="32"/>
          <w:szCs w:val="32"/>
          <w:lang w:eastAsia="zh-CN"/>
        </w:rPr>
        <w:t>聚力维护良好的政治生态</w:t>
      </w:r>
      <w:r>
        <w:rPr>
          <w:rFonts w:hint="eastAsia" w:ascii="仿宋_GB2312" w:hAnsi="宋体" w:eastAsia="仿宋_GB2312"/>
          <w:sz w:val="32"/>
          <w:szCs w:val="32"/>
        </w:rPr>
        <w:t>。</w:t>
      </w:r>
    </w:p>
    <w:p>
      <w:pPr>
        <w:keepNext w:val="0"/>
        <w:keepLines w:val="0"/>
        <w:pageBreakBefore w:val="0"/>
        <w:kinsoku/>
        <w:wordWrap/>
        <w:overflowPunct/>
        <w:topLinePunct w:val="0"/>
        <w:autoSpaceDE/>
        <w:bidi w:val="0"/>
        <w:spacing w:line="560" w:lineRule="exact"/>
        <w:ind w:firstLine="640" w:firstLineChars="200"/>
        <w:rPr>
          <w:rFonts w:hint="eastAsia"/>
        </w:rPr>
      </w:pPr>
      <w:r>
        <w:rPr>
          <w:rFonts w:hint="eastAsia" w:ascii="楷体_GB2312" w:hAnsi="楷体_GB2312" w:eastAsia="楷体_GB2312" w:cs="楷体_GB2312"/>
          <w:sz w:val="32"/>
          <w:szCs w:val="32"/>
          <w:lang w:val="en-US" w:eastAsia="zh-CN"/>
        </w:rPr>
        <w:t>10、抓细胞促落实，保障目标全面完成。</w:t>
      </w:r>
      <w:r>
        <w:rPr>
          <w:rFonts w:hint="eastAsia" w:ascii="仿宋_GB2312" w:hAnsi="宋体" w:eastAsia="仿宋_GB2312" w:cs="宋体"/>
          <w:color w:val="000000"/>
          <w:kern w:val="0"/>
          <w:sz w:val="32"/>
          <w:szCs w:val="32"/>
        </w:rPr>
        <w:t>深入推进</w:t>
      </w:r>
      <w:r>
        <w:rPr>
          <w:rFonts w:hint="eastAsia" w:ascii="仿宋_GB2312" w:eastAsia="仿宋_GB2312"/>
          <w:color w:val="000000"/>
          <w:sz w:val="32"/>
          <w:szCs w:val="32"/>
        </w:rPr>
        <w:t>能源管理、推动长江经济带发展、价格管理</w:t>
      </w:r>
      <w:r>
        <w:rPr>
          <w:rFonts w:hint="eastAsia" w:ascii="仿宋_GB2312" w:eastAsia="仿宋_GB2312"/>
          <w:color w:val="000000"/>
          <w:sz w:val="32"/>
          <w:szCs w:val="32"/>
          <w:lang w:eastAsia="zh-CN"/>
        </w:rPr>
        <w:t>、</w:t>
      </w:r>
      <w:r>
        <w:rPr>
          <w:rFonts w:hint="eastAsia" w:ascii="仿宋_GB2312" w:hAnsi="宋体" w:eastAsia="仿宋_GB2312" w:cs="宋体"/>
          <w:color w:val="000000"/>
          <w:kern w:val="0"/>
          <w:sz w:val="32"/>
          <w:szCs w:val="32"/>
        </w:rPr>
        <w:t>安全生产、依法治区、统战、群团、人社、党政信息、政府信息公开、政务公开、督查督办、建议提案办理、政务服务、统计、网络管理、党管武装、应急管理、防震减灾、节能、机构编制、党史、区志、档案管理、保密、关心下一代、妇儿“两纲”、文明城市创建、卫生计生、体育等工作，全面完成各项目标任务。</w:t>
      </w:r>
    </w:p>
    <w:p>
      <w:pPr>
        <w:keepNext w:val="0"/>
        <w:keepLines w:val="0"/>
        <w:pageBreakBefore w:val="0"/>
        <w:kinsoku/>
        <w:wordWrap/>
        <w:overflowPunct/>
        <w:topLinePunct w:val="0"/>
        <w:autoSpaceDE/>
        <w:autoSpaceDN/>
        <w:bidi w:val="0"/>
        <w:spacing w:line="560" w:lineRule="exact"/>
        <w:ind w:right="0" w:firstLine="320"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二、机构设置</w:t>
      </w:r>
    </w:p>
    <w:p>
      <w:pPr>
        <w:keepNext w:val="0"/>
        <w:keepLines w:val="0"/>
        <w:pageBreakBefore w:val="0"/>
        <w:kinsoku/>
        <w:wordWrap/>
        <w:overflowPunct/>
        <w:topLinePunct w:val="0"/>
        <w:autoSpaceDE/>
        <w:autoSpaceDN/>
        <w:bidi w:val="0"/>
        <w:spacing w:line="560" w:lineRule="exact"/>
        <w:ind w:right="0" w:firstLine="640" w:firstLineChars="200"/>
        <w:jc w:val="both"/>
        <w:textAlignment w:val="auto"/>
        <w:rPr>
          <w:rStyle w:val="19"/>
          <w:rFonts w:hint="eastAsia" w:ascii="方正小标宋简体" w:hAnsi="方正小标宋简体" w:eastAsia="方正小标宋简体" w:cs="方正小标宋简体"/>
          <w:b w:val="0"/>
          <w:bCs w:val="0"/>
          <w:sz w:val="32"/>
          <w:szCs w:val="32"/>
        </w:rPr>
      </w:pPr>
      <w:r>
        <w:rPr>
          <w:rFonts w:hint="eastAsia" w:ascii="仿宋_GB2312" w:hAnsi="仿宋_GB2312" w:eastAsia="仿宋_GB2312" w:cs="仿宋_GB2312"/>
          <w:sz w:val="32"/>
          <w:szCs w:val="32"/>
        </w:rPr>
        <w:t>区发改局属财政一级预算单位，下属二级预算单位1个</w:t>
      </w:r>
      <w:r>
        <w:rPr>
          <w:rFonts w:hint="eastAsia" w:ascii="仿宋_GB2312" w:hAnsi="仿宋_GB2312" w:eastAsia="仿宋_GB2312" w:cs="仿宋_GB2312"/>
          <w:sz w:val="32"/>
          <w:szCs w:val="32"/>
          <w:lang w:eastAsia="zh-CN"/>
        </w:rPr>
        <w:t>（粮食和物资储备中心）</w:t>
      </w:r>
      <w:r>
        <w:rPr>
          <w:rFonts w:hint="eastAsia" w:ascii="仿宋_GB2312" w:hAnsi="仿宋_GB2312" w:eastAsia="仿宋_GB2312" w:cs="仿宋_GB2312"/>
          <w:sz w:val="32"/>
          <w:szCs w:val="32"/>
        </w:rPr>
        <w:t>，属参公管理事业单位。总编制数4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个，事业编制22个，工勤编制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个。在职人员总数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行政人员16人，事业人员18人，工勤人员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w:t>
      </w:r>
      <w:bookmarkEnd w:id="0"/>
      <w:bookmarkEnd w:id="1"/>
      <w:bookmarkEnd w:id="2"/>
      <w:bookmarkEnd w:id="3"/>
      <w:bookmarkEnd w:id="4"/>
      <w:bookmarkEnd w:id="5"/>
      <w:bookmarkStart w:id="6" w:name="_Toc15396602"/>
      <w:bookmarkStart w:id="7" w:name="_Toc15377204"/>
    </w:p>
    <w:p>
      <w:pPr>
        <w:keepNext w:val="0"/>
        <w:keepLines w:val="0"/>
        <w:pageBreakBefore w:val="0"/>
        <w:widowControl w:val="0"/>
        <w:kinsoku/>
        <w:wordWrap/>
        <w:overflowPunct/>
        <w:topLinePunct w:val="0"/>
        <w:autoSpaceDE/>
        <w:autoSpaceDN/>
        <w:bidi w:val="0"/>
        <w:adjustRightInd/>
        <w:snapToGrid/>
        <w:spacing w:line="576" w:lineRule="exact"/>
        <w:ind w:right="0" w:firstLine="440" w:firstLineChars="100"/>
        <w:jc w:val="both"/>
        <w:textAlignment w:val="auto"/>
        <w:rPr>
          <w:rStyle w:val="19"/>
          <w:rFonts w:hint="eastAsia" w:ascii="方正小标宋简体" w:hAnsi="方正小标宋简体" w:eastAsia="方正小标宋简体" w:cs="方正小标宋简体"/>
          <w:b w:val="0"/>
          <w:bCs w:val="0"/>
        </w:rPr>
      </w:pPr>
    </w:p>
    <w:p>
      <w:pPr>
        <w:keepNext w:val="0"/>
        <w:keepLines w:val="0"/>
        <w:pageBreakBefore w:val="0"/>
        <w:widowControl w:val="0"/>
        <w:kinsoku/>
        <w:wordWrap/>
        <w:overflowPunct/>
        <w:topLinePunct w:val="0"/>
        <w:autoSpaceDE/>
        <w:autoSpaceDN/>
        <w:bidi w:val="0"/>
        <w:adjustRightInd/>
        <w:snapToGrid/>
        <w:spacing w:line="576" w:lineRule="exact"/>
        <w:ind w:right="0" w:firstLine="440" w:firstLineChars="100"/>
        <w:jc w:val="both"/>
        <w:textAlignment w:val="auto"/>
        <w:rPr>
          <w:rStyle w:val="19"/>
          <w:rFonts w:hint="eastAsia" w:ascii="方正小标宋简体" w:hAnsi="方正小标宋简体" w:eastAsia="方正小标宋简体" w:cs="方正小标宋简体"/>
          <w:b w:val="0"/>
          <w:bCs w:val="0"/>
        </w:rPr>
      </w:pPr>
      <w:r>
        <w:rPr>
          <w:rStyle w:val="19"/>
          <w:rFonts w:hint="eastAsia" w:ascii="方正小标宋简体" w:hAnsi="方正小标宋简体" w:eastAsia="方正小标宋简体" w:cs="方正小标宋简体"/>
          <w:b w:val="0"/>
          <w:bCs w:val="0"/>
        </w:rPr>
        <w:t xml:space="preserve">第二部分 </w:t>
      </w:r>
      <w:r>
        <w:rPr>
          <w:rStyle w:val="19"/>
          <w:rFonts w:hint="eastAsia" w:ascii="方正小标宋简体" w:hAnsi="方正小标宋简体" w:eastAsia="方正小标宋简体" w:cs="方正小标宋简体"/>
          <w:b w:val="0"/>
          <w:bCs w:val="0"/>
          <w:lang w:val="en-US" w:eastAsia="zh-CN"/>
        </w:rPr>
        <w:t xml:space="preserve"> </w:t>
      </w:r>
      <w:r>
        <w:rPr>
          <w:rStyle w:val="19"/>
          <w:rFonts w:hint="eastAsia" w:ascii="方正小标宋简体" w:hAnsi="方正小标宋简体" w:eastAsia="方正小标宋简体" w:cs="方正小标宋简体"/>
          <w:b w:val="0"/>
          <w:bCs w:val="0"/>
        </w:rPr>
        <w:t>20</w:t>
      </w:r>
      <w:r>
        <w:rPr>
          <w:rStyle w:val="19"/>
          <w:rFonts w:hint="eastAsia" w:ascii="方正小标宋简体" w:hAnsi="方正小标宋简体" w:eastAsia="方正小标宋简体" w:cs="方正小标宋简体"/>
          <w:b w:val="0"/>
          <w:bCs w:val="0"/>
          <w:lang w:val="en-US" w:eastAsia="zh-CN"/>
        </w:rPr>
        <w:t>20</w:t>
      </w:r>
      <w:r>
        <w:rPr>
          <w:rStyle w:val="19"/>
          <w:rFonts w:hint="eastAsia" w:ascii="方正小标宋简体" w:hAnsi="方正小标宋简体" w:eastAsia="方正小标宋简体" w:cs="方正小标宋简体"/>
          <w:b w:val="0"/>
          <w:bCs w:val="0"/>
        </w:rPr>
        <w:t>年度部门决算情况说明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lang w:val="en-US" w:eastAsia="zh-CN"/>
        </w:rPr>
        <w:t>2221.48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w:t>
      </w:r>
      <w:r>
        <w:rPr>
          <w:rFonts w:hint="eastAsia" w:ascii="仿宋_GB2312" w:hAnsi="仿宋_GB2312" w:eastAsia="仿宋_GB2312" w:cs="仿宋_GB2312"/>
          <w:sz w:val="32"/>
          <w:szCs w:val="32"/>
          <w:lang w:eastAsia="zh-CN"/>
        </w:rPr>
        <w:t>收、支总计各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954.74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单位合并人员经费增加和项目资金</w:t>
      </w:r>
      <w:r>
        <w:rPr>
          <w:rFonts w:hint="eastAsia" w:ascii="仿宋_GB2312" w:hAnsi="仿宋_GB2312" w:eastAsia="仿宋_GB2312" w:cs="仿宋_GB2312"/>
          <w:sz w:val="32"/>
          <w:szCs w:val="32"/>
        </w:rPr>
        <w:t>增加。</w:t>
      </w:r>
    </w:p>
    <w:p>
      <w:pPr>
        <w:jc w:val="both"/>
        <w:rPr>
          <w:rFonts w:hint="eastAsia"/>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8480" behindDoc="1" locked="0" layoutInCell="1" allowOverlap="1">
            <wp:simplePos x="0" y="0"/>
            <wp:positionH relativeFrom="column">
              <wp:posOffset>224790</wp:posOffset>
            </wp:positionH>
            <wp:positionV relativeFrom="paragraph">
              <wp:posOffset>90805</wp:posOffset>
            </wp:positionV>
            <wp:extent cx="4786630" cy="3031490"/>
            <wp:effectExtent l="4445" t="4445" r="9525" b="12065"/>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ind w:firstLine="640" w:firstLineChars="200"/>
        <w:rPr>
          <w:rFonts w:ascii="宋体" w:hAnsi="宋体" w:cs="仿宋_GB2312"/>
          <w:sz w:val="32"/>
          <w:szCs w:val="32"/>
        </w:rPr>
      </w:pPr>
    </w:p>
    <w:p>
      <w:pPr>
        <w:rPr>
          <w:rFonts w:ascii="宋体" w:hAnsi="宋体" w:cs="仿宋_GB2312"/>
          <w:sz w:val="32"/>
          <w:szCs w:val="32"/>
        </w:rPr>
      </w:pPr>
    </w:p>
    <w:p>
      <w:pPr>
        <w:pStyle w:val="11"/>
        <w:ind w:left="1060" w:hanging="640"/>
        <w:rPr>
          <w:rFonts w:ascii="宋体" w:hAnsi="宋体" w:cs="仿宋_GB2312"/>
          <w:sz w:val="32"/>
          <w:szCs w:val="32"/>
        </w:rPr>
      </w:pPr>
    </w:p>
    <w:p>
      <w:pPr>
        <w:pStyle w:val="11"/>
        <w:ind w:left="0" w:leftChars="0" w:firstLine="0" w:firstLineChars="0"/>
        <w:rPr>
          <w:rFonts w:ascii="宋体" w:hAnsi="宋体" w:cs="仿宋_GB2312"/>
          <w:sz w:val="32"/>
          <w:szCs w:val="32"/>
        </w:rPr>
      </w:pPr>
    </w:p>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2068.82</w:t>
      </w:r>
      <w:r>
        <w:rPr>
          <w:rFonts w:hint="eastAsia" w:ascii="仿宋_GB2312" w:hAnsi="仿宋_GB2312" w:eastAsia="仿宋_GB2312" w:cs="仿宋_GB2312"/>
          <w:sz w:val="32"/>
          <w:szCs w:val="32"/>
        </w:rPr>
        <w:t>万元，其中：一般公共预</w:t>
      </w:r>
      <w:r>
        <w:rPr>
          <w:rFonts w:hint="eastAsia" w:ascii="仿宋_GB2312" w:hAnsi="仿宋_GB2312" w:eastAsia="仿宋_GB2312" w:cs="仿宋_GB2312"/>
          <w:spacing w:val="-6"/>
          <w:sz w:val="32"/>
          <w:szCs w:val="32"/>
        </w:rPr>
        <w:t>算财政拨款收入</w:t>
      </w:r>
      <w:r>
        <w:rPr>
          <w:rFonts w:hint="eastAsia" w:ascii="仿宋_GB2312" w:hAnsi="仿宋_GB2312" w:eastAsia="仿宋_GB2312" w:cs="仿宋_GB2312"/>
          <w:spacing w:val="-6"/>
          <w:sz w:val="32"/>
          <w:szCs w:val="32"/>
          <w:lang w:val="en-US" w:eastAsia="zh-CN"/>
        </w:rPr>
        <w:t>2068.82</w:t>
      </w:r>
      <w:r>
        <w:rPr>
          <w:rFonts w:hint="eastAsia" w:ascii="仿宋_GB2312" w:hAnsi="仿宋_GB2312" w:eastAsia="仿宋_GB2312" w:cs="仿宋_GB2312"/>
          <w:spacing w:val="-6"/>
          <w:sz w:val="32"/>
          <w:szCs w:val="32"/>
        </w:rPr>
        <w:t>万元，占100%；政府性基金预算财政拨款收入0万元，占0%；国有资本经营预算财政拨款收入0万元，占0%；事业收入0万元，占0%；经营收入0万元，占0%；附属单位上缴收入0万元，占0%；其他收入0万元，占0%。</w:t>
      </w:r>
    </w:p>
    <w:p>
      <w:pPr>
        <w:spacing w:line="560" w:lineRule="exact"/>
      </w:pPr>
      <w:r>
        <w:rPr>
          <w:rFonts w:hint="eastAsia" w:ascii="仿宋_GB2312" w:eastAsia="仿宋_GB2312"/>
          <w:color w:val="FF0000"/>
          <w:sz w:val="32"/>
          <w:szCs w:val="32"/>
        </w:rPr>
        <w:drawing>
          <wp:anchor distT="0" distB="0" distL="114300" distR="114300" simplePos="0" relativeHeight="251665408" behindDoc="1" locked="0" layoutInCell="1" allowOverlap="1">
            <wp:simplePos x="0" y="0"/>
            <wp:positionH relativeFrom="column">
              <wp:posOffset>245110</wp:posOffset>
            </wp:positionH>
            <wp:positionV relativeFrom="paragraph">
              <wp:posOffset>48895</wp:posOffset>
            </wp:positionV>
            <wp:extent cx="4707255" cy="2613025"/>
            <wp:effectExtent l="4445" t="4445" r="12700" b="1143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pPr>
        <w:rPr>
          <w:rFonts w:hint="eastAsia" w:ascii="宋体" w:hAnsi="宋体" w:cs="方正细黑一简体"/>
          <w:b/>
          <w:bCs/>
          <w:sz w:val="32"/>
          <w:szCs w:val="32"/>
        </w:rPr>
      </w:pPr>
      <w:bookmarkStart w:id="8" w:name="_Toc15377206"/>
      <w:bookmarkStart w:id="9" w:name="_Toc15396604"/>
    </w:p>
    <w:p>
      <w:pPr>
        <w:rPr>
          <w:rFonts w:hint="eastAsia" w:ascii="宋体" w:hAnsi="宋体" w:cs="方正细黑一简体"/>
          <w:b/>
          <w:bCs/>
          <w:sz w:val="32"/>
          <w:szCs w:val="32"/>
        </w:rPr>
      </w:pPr>
    </w:p>
    <w:p>
      <w:pPr>
        <w:rPr>
          <w:rFonts w:hint="eastAsia" w:ascii="宋体" w:hAnsi="宋体" w:cs="方正细黑一简体"/>
          <w:b/>
          <w:bCs/>
          <w:sz w:val="32"/>
          <w:szCs w:val="32"/>
        </w:rPr>
      </w:pPr>
    </w:p>
    <w:p>
      <w:pPr>
        <w:rPr>
          <w:rFonts w:hint="eastAsia" w:ascii="宋体" w:hAnsi="宋体" w:cs="方正细黑一简体"/>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FF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572.49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1153.54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%；上缴上级0万元，占0%；经营支出0万元，占0%；对附属单位补助支出0万元，占0%。</w:t>
      </w:r>
      <w:bookmarkEnd w:id="8"/>
      <w:bookmarkEnd w:id="9"/>
    </w:p>
    <w:p>
      <w:pPr>
        <w:spacing w:line="56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6432" behindDoc="1" locked="0" layoutInCell="1" allowOverlap="1">
            <wp:simplePos x="0" y="0"/>
            <wp:positionH relativeFrom="column">
              <wp:posOffset>241300</wp:posOffset>
            </wp:positionH>
            <wp:positionV relativeFrom="paragraph">
              <wp:posOffset>28575</wp:posOffset>
            </wp:positionV>
            <wp:extent cx="4657725" cy="2753360"/>
            <wp:effectExtent l="4445" t="5080" r="5080" b="228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60" w:lineRule="exact"/>
        <w:rPr>
          <w:rFonts w:ascii="仿宋_GB2312" w:eastAsia="仿宋_GB2312"/>
          <w:color w:val="FF0000"/>
          <w:sz w:val="32"/>
          <w:szCs w:val="32"/>
        </w:rPr>
      </w:pPr>
    </w:p>
    <w:p>
      <w:pPr>
        <w:pStyle w:val="29"/>
        <w:spacing w:line="560" w:lineRule="exact"/>
        <w:ind w:left="640" w:firstLine="0" w:firstLineChars="0"/>
        <w:outlineLvl w:val="1"/>
        <w:rPr>
          <w:rStyle w:val="20"/>
          <w:rFonts w:ascii="黑体" w:hAnsi="黑体" w:eastAsia="黑体"/>
          <w:b w:val="0"/>
        </w:rPr>
      </w:pPr>
      <w:bookmarkStart w:id="10" w:name="_Toc15396605"/>
      <w:bookmarkStart w:id="11" w:name="_Toc15377207"/>
    </w:p>
    <w:bookmarkEnd w:id="10"/>
    <w:bookmarkEnd w:id="11"/>
    <w:p>
      <w:pPr>
        <w:spacing w:line="560" w:lineRule="exact"/>
        <w:outlineLvl w:val="1"/>
        <w:rPr>
          <w:rFonts w:ascii="黑体" w:hAnsi="黑体" w:eastAsia="黑体"/>
          <w:color w:val="000000"/>
          <w:sz w:val="32"/>
          <w:szCs w:val="32"/>
        </w:rPr>
      </w:pPr>
      <w:bookmarkStart w:id="12" w:name="_Toc15377208"/>
      <w:bookmarkStart w:id="13" w:name="_Toc15396606"/>
    </w:p>
    <w:p>
      <w:pPr>
        <w:spacing w:line="560" w:lineRule="exact"/>
        <w:ind w:firstLine="640" w:firstLineChars="200"/>
        <w:outlineLvl w:val="1"/>
        <w:rPr>
          <w:rFonts w:hint="eastAsia" w:ascii="黑体" w:hAnsi="黑体" w:eastAsia="黑体"/>
          <w:color w:val="000000"/>
          <w:sz w:val="32"/>
          <w:szCs w:val="32"/>
        </w:rPr>
      </w:pPr>
    </w:p>
    <w:p>
      <w:pPr>
        <w:spacing w:line="560" w:lineRule="exact"/>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0"/>
          <w:rFonts w:ascii="黑体" w:hAnsi="黑体" w:eastAsia="黑体"/>
          <w:b w:val="0"/>
        </w:rPr>
      </w:pPr>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2068.82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年相比，财政拨款收入增加</w:t>
      </w:r>
      <w:r>
        <w:rPr>
          <w:rFonts w:hint="eastAsia" w:ascii="仿宋_GB2312" w:hAnsi="仿宋_GB2312" w:eastAsia="仿宋_GB2312" w:cs="仿宋_GB2312"/>
          <w:sz w:val="32"/>
          <w:szCs w:val="32"/>
          <w:lang w:val="en-US" w:eastAsia="zh-CN"/>
        </w:rPr>
        <w:t>1413.08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单位合并人员经费增加、项目资金</w:t>
      </w:r>
      <w:r>
        <w:rPr>
          <w:rFonts w:hint="eastAsia" w:ascii="仿宋_GB2312" w:hAnsi="仿宋_GB2312" w:eastAsia="仿宋_GB2312" w:cs="仿宋_GB2312"/>
          <w:sz w:val="32"/>
          <w:szCs w:val="32"/>
        </w:rPr>
        <w:t>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2020年度</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1070.29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增长163%。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单位合并人员经费增加、项目资金</w:t>
      </w:r>
      <w:r>
        <w:rPr>
          <w:rFonts w:hint="eastAsia" w:ascii="仿宋_GB2312" w:hAnsi="仿宋_GB2312" w:eastAsia="仿宋_GB2312" w:cs="仿宋_GB2312"/>
          <w:sz w:val="32"/>
          <w:szCs w:val="32"/>
        </w:rPr>
        <w:t>增加。</w:t>
      </w:r>
    </w:p>
    <w:p>
      <w:pPr>
        <w:pStyle w:val="2"/>
        <w:rPr>
          <w:rFonts w:hint="eastAsia"/>
          <w:lang w:eastAsia="zh-CN"/>
        </w:rPr>
      </w:pPr>
    </w:p>
    <w:p>
      <w:pPr>
        <w:spacing w:line="560" w:lineRule="exact"/>
        <w:ind w:firstLine="640"/>
        <w:rPr>
          <w:rFonts w:ascii="仿宋" w:hAnsi="仿宋" w:eastAsia="仿宋"/>
          <w:b/>
          <w:color w:val="00B050"/>
          <w:sz w:val="32"/>
          <w:szCs w:val="32"/>
        </w:rPr>
      </w:pPr>
      <w:r>
        <w:rPr>
          <w:rFonts w:hint="eastAsia" w:ascii="仿宋" w:hAnsi="仿宋" w:eastAsia="仿宋"/>
          <w:b/>
          <w:color w:val="00B050"/>
          <w:sz w:val="32"/>
          <w:szCs w:val="32"/>
        </w:rPr>
        <w:drawing>
          <wp:anchor distT="0" distB="0" distL="114300" distR="114300" simplePos="0" relativeHeight="251662336" behindDoc="1" locked="0" layoutInCell="1" allowOverlap="1">
            <wp:simplePos x="0" y="0"/>
            <wp:positionH relativeFrom="column">
              <wp:posOffset>194945</wp:posOffset>
            </wp:positionH>
            <wp:positionV relativeFrom="paragraph">
              <wp:posOffset>85090</wp:posOffset>
            </wp:positionV>
            <wp:extent cx="4915535" cy="2828290"/>
            <wp:effectExtent l="4445" t="4445" r="13970" b="571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ind w:firstLine="640"/>
        <w:rPr>
          <w:rFonts w:ascii="仿宋" w:hAnsi="仿宋" w:eastAsia="仿宋"/>
          <w:b/>
          <w:color w:val="00B050"/>
          <w:sz w:val="32"/>
          <w:szCs w:val="32"/>
        </w:rPr>
      </w:pPr>
    </w:p>
    <w:p>
      <w:pPr>
        <w:spacing w:line="560" w:lineRule="exact"/>
        <w:rPr>
          <w:rFonts w:ascii="仿宋" w:hAnsi="仿宋" w:eastAsia="仿宋"/>
          <w:b/>
          <w:color w:val="00B050"/>
          <w:sz w:val="32"/>
          <w:szCs w:val="32"/>
        </w:rPr>
      </w:pPr>
    </w:p>
    <w:p>
      <w:pPr>
        <w:spacing w:line="560" w:lineRule="exact"/>
        <w:ind w:firstLine="640" w:firstLineChars="200"/>
        <w:outlineLvl w:val="1"/>
        <w:rPr>
          <w:rFonts w:ascii="黑体" w:hAnsi="黑体" w:eastAsia="黑体"/>
          <w:color w:val="000000"/>
          <w:sz w:val="32"/>
          <w:szCs w:val="32"/>
        </w:rPr>
      </w:pPr>
      <w:bookmarkStart w:id="14" w:name="_Toc15396607"/>
      <w:bookmarkStart w:id="15" w:name="_Toc15377209"/>
    </w:p>
    <w:p>
      <w:pPr>
        <w:spacing w:line="560" w:lineRule="exact"/>
        <w:outlineLvl w:val="1"/>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0"/>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14"/>
      <w:bookmarkEnd w:id="15"/>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bookmarkStart w:id="16" w:name="_Toc15377210"/>
      <w:r>
        <w:rPr>
          <w:rFonts w:hint="eastAsia" w:ascii="楷体_GB2312" w:hAnsi="楷体_GB2312" w:eastAsia="楷体_GB2312" w:cs="楷体_GB2312"/>
          <w:b w:val="0"/>
          <w:bCs/>
          <w:sz w:val="32"/>
          <w:szCs w:val="32"/>
        </w:rPr>
        <w:t>（一）一般公共预算财政拨款支出决算总体情况</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b/>
          <w:color w:val="000000"/>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年一般公共预算财政拨款支出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万元，占本年支出合计的100%。与201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年相比，一般公共预算财政拨款增加</w:t>
      </w:r>
      <w:r>
        <w:rPr>
          <w:rFonts w:hint="eastAsia" w:ascii="仿宋_GB2312" w:hAnsi="仿宋_GB2312" w:eastAsia="仿宋_GB2312" w:cs="仿宋_GB2312"/>
          <w:sz w:val="32"/>
          <w:szCs w:val="32"/>
          <w:lang w:val="en-US" w:eastAsia="zh-CN"/>
        </w:rPr>
        <w:t>1070.29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主要变动原因是单位合并人员经费增加、项目资金增加。</w:t>
      </w:r>
      <w:bookmarkStart w:id="17" w:name="_Toc15377211"/>
    </w:p>
    <w:p>
      <w:pPr>
        <w:spacing w:line="560" w:lineRule="exact"/>
        <w:outlineLvl w:val="2"/>
        <w:rPr>
          <w:rFonts w:ascii="仿宋" w:hAnsi="仿宋" w:eastAsia="仿宋"/>
          <w:b/>
          <w:color w:val="000000"/>
          <w:sz w:val="32"/>
          <w:szCs w:val="32"/>
        </w:rPr>
      </w:pPr>
    </w:p>
    <w:p>
      <w:pPr>
        <w:spacing w:line="560" w:lineRule="exact"/>
        <w:ind w:firstLine="640" w:firstLineChars="200"/>
        <w:outlineLvl w:val="2"/>
        <w:rPr>
          <w:rFonts w:ascii="仿宋" w:hAnsi="仿宋" w:eastAsia="仿宋"/>
          <w:b/>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1" locked="0" layoutInCell="1" allowOverlap="1">
            <wp:simplePos x="0" y="0"/>
            <wp:positionH relativeFrom="column">
              <wp:posOffset>207645</wp:posOffset>
            </wp:positionH>
            <wp:positionV relativeFrom="paragraph">
              <wp:posOffset>91440</wp:posOffset>
            </wp:positionV>
            <wp:extent cx="4786630" cy="3031490"/>
            <wp:effectExtent l="4445" t="4445" r="9525" b="1206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60" w:lineRule="exact"/>
        <w:ind w:firstLine="642" w:firstLineChars="200"/>
        <w:outlineLvl w:val="2"/>
        <w:rPr>
          <w:rFonts w:ascii="仿宋" w:hAnsi="仿宋" w:eastAsia="仿宋"/>
          <w:b/>
          <w:color w:val="000000"/>
          <w:sz w:val="32"/>
          <w:szCs w:val="32"/>
        </w:rPr>
      </w:pPr>
    </w:p>
    <w:p>
      <w:pPr>
        <w:spacing w:line="560" w:lineRule="exact"/>
        <w:ind w:firstLine="642" w:firstLineChars="200"/>
        <w:outlineLvl w:val="2"/>
        <w:rPr>
          <w:rFonts w:ascii="仿宋" w:hAnsi="仿宋" w:eastAsia="仿宋"/>
          <w:b/>
          <w:color w:val="000000"/>
          <w:sz w:val="32"/>
          <w:szCs w:val="32"/>
        </w:rPr>
      </w:pPr>
    </w:p>
    <w:p>
      <w:pPr>
        <w:spacing w:line="560" w:lineRule="exact"/>
        <w:ind w:firstLine="642" w:firstLineChars="200"/>
        <w:outlineLvl w:val="2"/>
        <w:rPr>
          <w:rFonts w:ascii="仿宋" w:hAnsi="仿宋" w:eastAsia="仿宋"/>
          <w:b/>
          <w:color w:val="000000"/>
          <w:sz w:val="32"/>
          <w:szCs w:val="32"/>
        </w:rPr>
      </w:pPr>
    </w:p>
    <w:p>
      <w:pPr>
        <w:spacing w:line="560" w:lineRule="exact"/>
        <w:ind w:firstLine="642" w:firstLineChars="200"/>
        <w:outlineLvl w:val="2"/>
        <w:rPr>
          <w:rFonts w:ascii="仿宋" w:hAnsi="仿宋" w:eastAsia="仿宋"/>
          <w:b/>
          <w:color w:val="000000"/>
          <w:sz w:val="32"/>
          <w:szCs w:val="32"/>
        </w:rPr>
      </w:pPr>
    </w:p>
    <w:p>
      <w:pPr>
        <w:spacing w:line="560" w:lineRule="exact"/>
        <w:ind w:firstLine="642" w:firstLineChars="200"/>
        <w:outlineLvl w:val="2"/>
        <w:rPr>
          <w:rFonts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（二）一般公共预算财政拨款支出决算结构情况</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2020年一般公共预算财政拨款支出</w:t>
      </w:r>
      <w:r>
        <w:rPr>
          <w:rFonts w:hint="eastAsia" w:ascii="仿宋" w:hAnsi="仿宋" w:eastAsia="仿宋" w:cs="仿宋"/>
          <w:color w:val="000000"/>
          <w:sz w:val="32"/>
          <w:szCs w:val="32"/>
          <w:lang w:val="en-US" w:eastAsia="zh-CN"/>
        </w:rPr>
        <w:t>1726.03</w:t>
      </w:r>
      <w:r>
        <w:rPr>
          <w:rFonts w:hint="eastAsia" w:ascii="仿宋" w:hAnsi="仿宋" w:eastAsia="仿宋" w:cs="仿宋"/>
          <w:color w:val="000000"/>
          <w:sz w:val="32"/>
          <w:szCs w:val="32"/>
        </w:rPr>
        <w:t>万元，主要用于以下方面</w:t>
      </w:r>
      <w:r>
        <w:rPr>
          <w:rFonts w:hint="eastAsia" w:ascii="仿宋" w:hAnsi="仿宋" w:eastAsia="仿宋" w:cs="仿宋"/>
          <w:color w:val="000000"/>
          <w:sz w:val="32"/>
          <w:szCs w:val="32"/>
          <w:lang w:eastAsia="zh-CN"/>
        </w:rPr>
        <w:t>：</w:t>
      </w:r>
      <w:r>
        <w:rPr>
          <w:rFonts w:hint="eastAsia" w:ascii="仿宋" w:hAnsi="仿宋" w:eastAsia="仿宋" w:cs="仿宋"/>
          <w:b/>
          <w:color w:val="000000"/>
          <w:sz w:val="32"/>
          <w:szCs w:val="32"/>
        </w:rPr>
        <w:t>一般公共服务（类）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471.78</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27.3</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发展改革事务</w:t>
      </w:r>
      <w:r>
        <w:rPr>
          <w:rFonts w:hint="eastAsia" w:ascii="仿宋" w:hAnsi="仿宋" w:eastAsia="仿宋" w:cs="仿宋"/>
          <w:b/>
          <w:color w:val="000000"/>
          <w:sz w:val="32"/>
          <w:szCs w:val="32"/>
        </w:rPr>
        <w:t>（类）</w:t>
      </w:r>
      <w:r>
        <w:rPr>
          <w:rFonts w:hint="eastAsia" w:ascii="仿宋" w:hAnsi="仿宋" w:eastAsia="仿宋" w:cs="仿宋"/>
          <w:b w:val="0"/>
          <w:bCs/>
          <w:color w:val="000000"/>
          <w:sz w:val="32"/>
          <w:szCs w:val="32"/>
          <w:lang w:eastAsia="zh-CN"/>
        </w:rPr>
        <w:t>支出</w:t>
      </w:r>
      <w:r>
        <w:rPr>
          <w:rFonts w:hint="eastAsia" w:ascii="仿宋" w:hAnsi="仿宋" w:eastAsia="仿宋" w:cs="仿宋"/>
          <w:b w:val="0"/>
          <w:bCs/>
          <w:color w:val="000000"/>
          <w:sz w:val="32"/>
          <w:szCs w:val="32"/>
          <w:lang w:val="en-US" w:eastAsia="zh-CN"/>
        </w:rPr>
        <w:t>595</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34.5</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农林水事务</w:t>
      </w:r>
      <w:r>
        <w:rPr>
          <w:rFonts w:hint="eastAsia" w:ascii="仿宋" w:hAnsi="仿宋" w:eastAsia="仿宋" w:cs="仿宋"/>
          <w:b/>
          <w:color w:val="000000"/>
          <w:sz w:val="32"/>
          <w:szCs w:val="32"/>
        </w:rPr>
        <w:t>（类）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5.4</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0.3</w:t>
      </w:r>
      <w:r>
        <w:rPr>
          <w:rFonts w:hint="eastAsia" w:ascii="仿宋" w:hAnsi="仿宋" w:eastAsia="仿宋" w:cs="仿宋"/>
          <w:color w:val="000000"/>
          <w:sz w:val="32"/>
          <w:szCs w:val="32"/>
        </w:rPr>
        <w:t>%；</w:t>
      </w:r>
      <w:r>
        <w:rPr>
          <w:rFonts w:hint="eastAsia" w:ascii="仿宋" w:hAnsi="仿宋" w:eastAsia="仿宋" w:cs="仿宋"/>
          <w:b/>
          <w:bCs/>
          <w:color w:val="000000"/>
          <w:sz w:val="32"/>
          <w:szCs w:val="32"/>
          <w:lang w:eastAsia="zh-CN"/>
        </w:rPr>
        <w:t>粮油物资储备支出</w:t>
      </w:r>
      <w:r>
        <w:rPr>
          <w:rFonts w:hint="eastAsia" w:ascii="仿宋" w:hAnsi="仿宋" w:eastAsia="仿宋" w:cs="仿宋"/>
          <w:b/>
          <w:bCs/>
          <w:color w:val="000000"/>
          <w:sz w:val="32"/>
          <w:szCs w:val="32"/>
        </w:rPr>
        <w:t>（类）</w:t>
      </w:r>
      <w:r>
        <w:rPr>
          <w:rFonts w:hint="eastAsia" w:ascii="仿宋" w:hAnsi="仿宋" w:eastAsia="仿宋" w:cs="仿宋"/>
          <w:b w:val="0"/>
          <w:bCs w:val="0"/>
          <w:color w:val="000000"/>
          <w:sz w:val="32"/>
          <w:szCs w:val="32"/>
        </w:rPr>
        <w:t>支出</w:t>
      </w:r>
      <w:r>
        <w:rPr>
          <w:rFonts w:hint="eastAsia" w:ascii="仿宋" w:hAnsi="仿宋" w:eastAsia="仿宋" w:cs="仿宋"/>
          <w:b w:val="0"/>
          <w:bCs w:val="0"/>
          <w:color w:val="000000"/>
          <w:sz w:val="32"/>
          <w:szCs w:val="32"/>
          <w:lang w:val="en-US" w:eastAsia="zh-CN"/>
        </w:rPr>
        <w:t>553.14</w:t>
      </w:r>
      <w:r>
        <w:rPr>
          <w:rFonts w:hint="eastAsia" w:ascii="仿宋" w:hAnsi="仿宋" w:eastAsia="仿宋" w:cs="仿宋"/>
          <w:b w:val="0"/>
          <w:bCs w:val="0"/>
          <w:color w:val="000000"/>
          <w:sz w:val="32"/>
          <w:szCs w:val="32"/>
        </w:rPr>
        <w:t>万元，占</w:t>
      </w:r>
      <w:r>
        <w:rPr>
          <w:rFonts w:hint="eastAsia" w:ascii="仿宋" w:hAnsi="仿宋" w:eastAsia="仿宋" w:cs="仿宋"/>
          <w:b w:val="0"/>
          <w:bCs w:val="0"/>
          <w:color w:val="000000"/>
          <w:sz w:val="32"/>
          <w:szCs w:val="32"/>
          <w:lang w:val="en-US" w:eastAsia="zh-CN"/>
        </w:rPr>
        <w:t>32</w:t>
      </w:r>
      <w:r>
        <w:rPr>
          <w:rFonts w:hint="eastAsia" w:ascii="仿宋" w:hAnsi="仿宋" w:eastAsia="仿宋" w:cs="仿宋"/>
          <w:b w:val="0"/>
          <w:bCs w:val="0"/>
          <w:color w:val="000000"/>
          <w:sz w:val="32"/>
          <w:szCs w:val="32"/>
        </w:rPr>
        <w:t>%</w:t>
      </w:r>
      <w:r>
        <w:rPr>
          <w:rFonts w:hint="eastAsia" w:ascii="仿宋" w:hAnsi="仿宋" w:eastAsia="仿宋" w:cs="仿宋"/>
          <w:color w:val="000000"/>
          <w:sz w:val="32"/>
          <w:szCs w:val="32"/>
        </w:rPr>
        <w:t>；</w:t>
      </w:r>
      <w:r>
        <w:rPr>
          <w:rFonts w:hint="eastAsia" w:ascii="仿宋" w:hAnsi="仿宋" w:eastAsia="仿宋" w:cs="仿宋"/>
          <w:b/>
          <w:color w:val="000000"/>
          <w:sz w:val="32"/>
          <w:szCs w:val="32"/>
        </w:rPr>
        <w:t>社会保障和就业（类）</w:t>
      </w:r>
      <w:r>
        <w:rPr>
          <w:rFonts w:hint="eastAsia" w:ascii="仿宋" w:hAnsi="仿宋" w:eastAsia="仿宋" w:cs="仿宋"/>
          <w:color w:val="000000"/>
          <w:sz w:val="32"/>
          <w:szCs w:val="32"/>
        </w:rPr>
        <w:t>支出</w:t>
      </w:r>
      <w:r>
        <w:rPr>
          <w:rFonts w:hint="eastAsia" w:ascii="仿宋" w:hAnsi="仿宋" w:eastAsia="仿宋" w:cs="仿宋"/>
          <w:color w:val="000000"/>
          <w:sz w:val="32"/>
          <w:szCs w:val="32"/>
          <w:lang w:val="en-US" w:eastAsia="zh-CN"/>
        </w:rPr>
        <w:t>44.66</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卫生健康支出</w:t>
      </w:r>
      <w:r>
        <w:rPr>
          <w:rFonts w:hint="eastAsia" w:ascii="仿宋" w:hAnsi="仿宋" w:eastAsia="仿宋" w:cs="仿宋"/>
          <w:b w:val="0"/>
          <w:bCs w:val="0"/>
          <w:color w:val="000000"/>
          <w:sz w:val="32"/>
          <w:szCs w:val="32"/>
          <w:lang w:val="en-US" w:eastAsia="zh-CN"/>
        </w:rPr>
        <w:t>24.02</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住房保障支出</w:t>
      </w:r>
      <w:r>
        <w:rPr>
          <w:rFonts w:hint="eastAsia" w:ascii="仿宋" w:hAnsi="仿宋" w:eastAsia="仿宋" w:cs="仿宋"/>
          <w:color w:val="000000"/>
          <w:sz w:val="32"/>
          <w:szCs w:val="32"/>
          <w:lang w:val="en-US" w:eastAsia="zh-CN"/>
        </w:rPr>
        <w:t>32.03</w:t>
      </w:r>
      <w:r>
        <w:rPr>
          <w:rFonts w:hint="eastAsia" w:ascii="仿宋" w:hAnsi="仿宋" w:eastAsia="仿宋" w:cs="仿宋"/>
          <w:color w:val="000000"/>
          <w:sz w:val="32"/>
          <w:szCs w:val="32"/>
        </w:rPr>
        <w:t>万元，占</w:t>
      </w:r>
      <w:r>
        <w:rPr>
          <w:rFonts w:hint="eastAsia" w:ascii="仿宋" w:hAnsi="仿宋" w:eastAsia="仿宋" w:cs="仿宋"/>
          <w:color w:val="000000"/>
          <w:sz w:val="32"/>
          <w:szCs w:val="32"/>
          <w:lang w:val="en-US" w:eastAsia="zh-CN"/>
        </w:rPr>
        <w:t>1.9</w:t>
      </w:r>
      <w:r>
        <w:rPr>
          <w:rFonts w:hint="eastAsia" w:ascii="仿宋" w:hAnsi="仿宋" w:eastAsia="仿宋" w:cs="仿宋"/>
          <w:color w:val="000000"/>
          <w:sz w:val="32"/>
          <w:szCs w:val="32"/>
        </w:rPr>
        <w:t>%。</w:t>
      </w:r>
    </w:p>
    <w:p>
      <w:pPr>
        <w:spacing w:line="560" w:lineRule="exact"/>
        <w:outlineLvl w:val="2"/>
        <w:rPr>
          <w:rFonts w:ascii="仿宋" w:hAnsi="仿宋" w:eastAsia="仿宋"/>
          <w:b/>
          <w:color w:val="000000"/>
          <w:sz w:val="32"/>
          <w:szCs w:val="32"/>
        </w:rPr>
      </w:pPr>
      <w:bookmarkStart w:id="18" w:name="_Toc15377212"/>
      <w:r>
        <w:rPr>
          <w:rFonts w:hint="eastAsia"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156210</wp:posOffset>
            </wp:positionH>
            <wp:positionV relativeFrom="paragraph">
              <wp:posOffset>38100</wp:posOffset>
            </wp:positionV>
            <wp:extent cx="4897755" cy="2656205"/>
            <wp:effectExtent l="4445" t="4445" r="12700" b="635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560" w:lineRule="exact"/>
        <w:ind w:firstLine="642" w:firstLineChars="200"/>
        <w:outlineLvl w:val="2"/>
        <w:rPr>
          <w:rFonts w:ascii="仿宋" w:hAnsi="仿宋" w:eastAsia="仿宋"/>
          <w:b/>
          <w:color w:val="000000"/>
          <w:sz w:val="32"/>
          <w:szCs w:val="32"/>
        </w:rPr>
      </w:pPr>
    </w:p>
    <w:p>
      <w:pPr>
        <w:spacing w:line="560" w:lineRule="exact"/>
        <w:ind w:firstLine="642" w:firstLineChars="200"/>
        <w:outlineLvl w:val="2"/>
        <w:rPr>
          <w:rFonts w:ascii="仿宋" w:hAnsi="仿宋" w:eastAsia="仿宋"/>
          <w:b/>
          <w:color w:val="000000"/>
          <w:sz w:val="32"/>
          <w:szCs w:val="32"/>
        </w:rPr>
      </w:pPr>
    </w:p>
    <w:p>
      <w:pPr>
        <w:spacing w:line="560" w:lineRule="exact"/>
        <w:outlineLvl w:val="2"/>
        <w:rPr>
          <w:rFonts w:ascii="仿宋" w:hAnsi="仿宋" w:eastAsia="仿宋"/>
          <w:b/>
          <w:color w:val="000000"/>
          <w:sz w:val="32"/>
          <w:szCs w:val="32"/>
        </w:rPr>
      </w:pPr>
    </w:p>
    <w:bookmarkEnd w:id="18"/>
    <w:p>
      <w:pPr>
        <w:ind w:firstLine="642" w:firstLineChars="200"/>
        <w:rPr>
          <w:rFonts w:hint="eastAsia" w:ascii="宋体" w:hAnsi="宋体" w:cs="仿宋_GB2312"/>
          <w:b/>
          <w:sz w:val="32"/>
          <w:szCs w:val="32"/>
        </w:rPr>
      </w:pPr>
    </w:p>
    <w:p>
      <w:pPr>
        <w:ind w:firstLine="642" w:firstLineChars="200"/>
        <w:rPr>
          <w:rFonts w:hint="eastAsia" w:ascii="宋体" w:hAnsi="宋体" w:cs="仿宋_GB2312"/>
          <w:b/>
          <w:sz w:val="32"/>
          <w:szCs w:val="32"/>
        </w:rPr>
      </w:pPr>
    </w:p>
    <w:p>
      <w:pPr>
        <w:ind w:firstLine="642" w:firstLineChars="200"/>
        <w:rPr>
          <w:rFonts w:hint="eastAsia" w:ascii="宋体" w:hAnsi="宋体" w:cs="仿宋_GB2312"/>
          <w:b/>
          <w:sz w:val="32"/>
          <w:szCs w:val="32"/>
        </w:rPr>
      </w:pPr>
    </w:p>
    <w:p>
      <w:pPr>
        <w:pageBreakBefore w:val="0"/>
        <w:kinsoku/>
        <w:wordWrap/>
        <w:overflowPunct/>
        <w:topLinePunct w:val="0"/>
        <w:autoSpaceDE/>
        <w:autoSpaceDN/>
        <w:bidi w:val="0"/>
        <w:spacing w:line="576" w:lineRule="exact"/>
        <w:ind w:right="0"/>
        <w:textAlignment w:val="auto"/>
        <w:rPr>
          <w:rFonts w:hint="eastAsia" w:ascii="楷体_GB2312" w:hAnsi="楷体_GB2312" w:eastAsia="楷体_GB2312" w:cs="楷体_GB2312"/>
          <w:b w:val="0"/>
          <w:bCs/>
          <w:sz w:val="32"/>
          <w:szCs w:val="32"/>
        </w:rPr>
      </w:pP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（三）一般公共预算财政拨款支出决算具体情况</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bookmarkStart w:id="19" w:name="_Toc15377213"/>
      <w:bookmarkStart w:id="20" w:name="_Toc15378460"/>
      <w:bookmarkStart w:id="21" w:name="_Toc15377444"/>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年一般公共预算支出决算数为</w:t>
      </w:r>
      <w:r>
        <w:rPr>
          <w:rFonts w:hint="eastAsia" w:ascii="仿宋_GB2312" w:hAnsi="仿宋_GB2312" w:eastAsia="仿宋_GB2312" w:cs="仿宋_GB2312"/>
          <w:sz w:val="32"/>
          <w:szCs w:val="32"/>
          <w:lang w:val="en-US" w:eastAsia="zh-CN"/>
        </w:rPr>
        <w:t>1726.03</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%。其中：</w:t>
      </w:r>
      <w:bookmarkEnd w:id="19"/>
      <w:bookmarkEnd w:id="20"/>
      <w:bookmarkEnd w:id="21"/>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1.行政运行支出（2010401）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支出决算数为</w:t>
      </w:r>
      <w:r>
        <w:rPr>
          <w:rFonts w:hint="eastAsia" w:ascii="仿宋_GB2312" w:hAnsi="仿宋_GB2312" w:eastAsia="仿宋_GB2312" w:cs="仿宋_GB2312"/>
          <w:sz w:val="32"/>
          <w:szCs w:val="32"/>
          <w:lang w:val="en-US" w:eastAsia="zh-CN"/>
        </w:rPr>
        <w:t>471.78</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.其他发展与改革事务支出（2010499）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595</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.社会保障和就业支出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208</w:t>
      </w:r>
      <w:r>
        <w:rPr>
          <w:rFonts w:hint="eastAsia" w:ascii="仿宋_GB2312" w:hAnsi="仿宋_GB2312" w:eastAsia="仿宋_GB2312" w:cs="仿宋_GB2312"/>
          <w:b/>
          <w:bCs/>
          <w:sz w:val="32"/>
          <w:szCs w:val="32"/>
          <w:lang w:val="en-US" w:eastAsia="zh-CN"/>
        </w:rPr>
        <w:t>0505</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44.66</w:t>
      </w:r>
      <w:r>
        <w:rPr>
          <w:rFonts w:hint="eastAsia" w:ascii="仿宋_GB2312" w:hAnsi="仿宋_GB2312" w:eastAsia="仿宋_GB2312" w:cs="仿宋_GB2312"/>
          <w:spacing w:val="-6"/>
          <w:sz w:val="32"/>
          <w:szCs w:val="32"/>
        </w:rPr>
        <w:t>万元，完成预算</w:t>
      </w:r>
      <w:r>
        <w:rPr>
          <w:rFonts w:hint="eastAsia" w:ascii="仿宋_GB2312" w:hAnsi="仿宋_GB2312" w:eastAsia="仿宋_GB2312" w:cs="仿宋_GB2312"/>
          <w:spacing w:val="-6"/>
          <w:sz w:val="32"/>
          <w:szCs w:val="32"/>
          <w:lang w:val="en-US" w:eastAsia="zh-CN"/>
        </w:rPr>
        <w:t>93</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差异原因是年底追加退休人员职业年金。</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.医疗卫生与计划生育（2101101）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24.02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差异原因是年底追加退休人员生育奖励金。</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2210201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32.03</w:t>
      </w:r>
      <w:r>
        <w:rPr>
          <w:rFonts w:hint="eastAsia" w:ascii="仿宋_GB2312" w:hAnsi="仿宋_GB2312" w:eastAsia="仿宋_GB2312" w:cs="仿宋_GB2312"/>
          <w:sz w:val="32"/>
          <w:szCs w:val="32"/>
        </w:rPr>
        <w:t>万元，完成预算100%，决算数和预算数持平。</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其他扶贫支出（2130599</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万元，完成预算100%，决算数和预算数持平。</w:t>
      </w:r>
    </w:p>
    <w:p>
      <w:pPr>
        <w:pStyle w:val="11"/>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7.粮油物资储备支出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2220199</w:t>
      </w:r>
      <w:r>
        <w:rPr>
          <w:rFonts w:hint="eastAsia" w:ascii="仿宋_GB2312" w:hAnsi="仿宋_GB2312" w:eastAsia="仿宋_GB2312" w:cs="仿宋_GB2312"/>
          <w:sz w:val="32"/>
          <w:szCs w:val="32"/>
          <w:lang w:val="en-US" w:eastAsia="zh-CN"/>
        </w:rPr>
        <w:t>）：支出决算为553.14万元，完成预算63%。差异原因是项目审计决算未完成，尾款未付。</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bookmarkStart w:id="22" w:name="_Toc15396608"/>
      <w:bookmarkStart w:id="23" w:name="_Toc15377214"/>
      <w:r>
        <w:rPr>
          <w:rFonts w:hint="eastAsia" w:ascii="黑体" w:hAnsi="黑体" w:eastAsia="黑体" w:cs="黑体"/>
          <w:b w:val="0"/>
          <w:bCs w:val="0"/>
          <w:sz w:val="32"/>
          <w:szCs w:val="32"/>
        </w:rPr>
        <w:t>六、一般公共预算财政拨款基本支出决算情况说明</w:t>
      </w:r>
      <w:bookmarkEnd w:id="22"/>
      <w:bookmarkEnd w:id="23"/>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年一般公共预算财政拨款基本支出</w:t>
      </w:r>
      <w:r>
        <w:rPr>
          <w:rFonts w:hint="eastAsia" w:ascii="仿宋_GB2312" w:hAnsi="仿宋_GB2312" w:eastAsia="仿宋_GB2312" w:cs="仿宋_GB2312"/>
          <w:sz w:val="32"/>
          <w:szCs w:val="32"/>
          <w:lang w:val="en-US" w:eastAsia="zh-CN"/>
        </w:rPr>
        <w:t>572.49</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507.99</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bookmarkStart w:id="24" w:name="_Toc15377215"/>
      <w:bookmarkStart w:id="25" w:name="_Toc15396609"/>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ascii="宋体" w:hAnsi="宋体" w:cs="方正细黑一简体"/>
          <w:b/>
          <w:bCs/>
          <w:sz w:val="32"/>
          <w:szCs w:val="32"/>
        </w:rPr>
      </w:pPr>
      <w:r>
        <w:rPr>
          <w:rFonts w:hint="eastAsia" w:ascii="黑体" w:hAnsi="黑体" w:eastAsia="黑体" w:cs="黑体"/>
          <w:b w:val="0"/>
          <w:bCs w:val="0"/>
          <w:sz w:val="32"/>
          <w:szCs w:val="32"/>
        </w:rPr>
        <w:t>七、“三公”经费财政拨款支出决算情况说明</w:t>
      </w:r>
      <w:bookmarkEnd w:id="24"/>
      <w:bookmarkEnd w:id="25"/>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26" w:name="_Toc15377216"/>
      <w:r>
        <w:rPr>
          <w:rFonts w:hint="eastAsia" w:ascii="楷体_GB2312" w:hAnsi="楷体_GB2312" w:eastAsia="楷体_GB2312" w:cs="楷体_GB2312"/>
          <w:b w:val="0"/>
          <w:bCs/>
          <w:sz w:val="32"/>
          <w:szCs w:val="32"/>
        </w:rPr>
        <w:t>（一）“三公”经费财政拨款支出决算总体情况说明</w:t>
      </w:r>
      <w:bookmarkEnd w:id="26"/>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年“三公”经费财政拨款支出决算为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%，决算数比预算数减少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决算数小于预算数的原因是压缩支出，厉行节约。</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27" w:name="_Toc15377217"/>
      <w:r>
        <w:rPr>
          <w:rFonts w:hint="eastAsia" w:ascii="楷体_GB2312" w:hAnsi="楷体_GB2312" w:eastAsia="楷体_GB2312" w:cs="楷体_GB2312"/>
          <w:b w:val="0"/>
          <w:bCs/>
          <w:sz w:val="32"/>
          <w:szCs w:val="32"/>
        </w:rPr>
        <w:t>（二）“三公”经费财政拨款支出决算具体情况说明</w:t>
      </w:r>
      <w:bookmarkEnd w:id="27"/>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年“三公”经费财政拨款支出决算中，因公出国（境）费支出决算0万元；公务用车购置及运行维护费支出决算0万元；公务接待费支出决算</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4.97万元的97</w:t>
      </w:r>
      <w:r>
        <w:rPr>
          <w:rFonts w:hint="eastAsia" w:ascii="仿宋_GB2312" w:hAnsi="仿宋_GB2312" w:eastAsia="仿宋_GB2312" w:cs="仿宋_GB2312"/>
          <w:sz w:val="32"/>
          <w:szCs w:val="32"/>
        </w:rPr>
        <w:t>%。具体情况如下：</w:t>
      </w:r>
    </w:p>
    <w:p>
      <w:pPr>
        <w:rPr>
          <w:rFonts w:hint="eastAsia" w:ascii="仿宋_GB2312" w:hAnsi="仿宋_GB2312" w:eastAsia="仿宋_GB2312" w:cs="仿宋_GB2312"/>
          <w:sz w:val="32"/>
          <w:szCs w:val="32"/>
        </w:rPr>
      </w:pPr>
    </w:p>
    <w:p>
      <w:pPr>
        <w:pStyle w:val="11"/>
        <w:rPr>
          <w:rFonts w:hint="eastAsia"/>
        </w:rPr>
      </w:pPr>
      <w:r>
        <w:rPr>
          <w:rFonts w:hint="eastAsia" w:ascii="仿宋" w:hAnsi="仿宋" w:eastAsia="仿宋"/>
          <w:color w:val="000000"/>
          <w:sz w:val="32"/>
          <w:szCs w:val="32"/>
        </w:rPr>
        <w:drawing>
          <wp:anchor distT="0" distB="0" distL="114300" distR="114300" simplePos="0" relativeHeight="251667456" behindDoc="1" locked="0" layoutInCell="1" allowOverlap="1">
            <wp:simplePos x="0" y="0"/>
            <wp:positionH relativeFrom="column">
              <wp:posOffset>261620</wp:posOffset>
            </wp:positionH>
            <wp:positionV relativeFrom="paragraph">
              <wp:posOffset>113665</wp:posOffset>
            </wp:positionV>
            <wp:extent cx="4786630" cy="2803525"/>
            <wp:effectExtent l="4445" t="4445" r="9525" b="1143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b/>
          <w:bCs/>
          <w:color w:val="000000"/>
          <w:kern w:val="2"/>
          <w:sz w:val="32"/>
          <w:szCs w:val="32"/>
          <w:lang w:val="en-US" w:eastAsia="zh-CN" w:bidi="ar"/>
        </w:rPr>
      </w:pP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1.因公出国（境）经费支出</w:t>
      </w:r>
      <w:r>
        <w:rPr>
          <w:rFonts w:hint="eastAsia" w:ascii="仿宋_GB2312" w:hAnsi="仿宋_GB2312" w:eastAsia="仿宋_GB2312" w:cs="仿宋_GB2312"/>
          <w:sz w:val="32"/>
          <w:szCs w:val="32"/>
        </w:rPr>
        <w:t>0万元，完成预算0%。全年安排因公出国（境）团组0次，出国（境）0人。</w:t>
      </w:r>
    </w:p>
    <w:p>
      <w:pPr>
        <w:keepNext w:val="0"/>
        <w:keepLines w:val="0"/>
        <w:pageBreakBefore w:val="0"/>
        <w:widowControl w:val="0"/>
        <w:kinsoku/>
        <w:wordWrap/>
        <w:overflowPunct/>
        <w:topLinePunct w:val="0"/>
        <w:bidi w:val="0"/>
        <w:snapToGrid/>
        <w:spacing w:line="576"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2.公务用车购置及运行维护费支出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完成预算0%。</w:t>
      </w:r>
    </w:p>
    <w:p>
      <w:pPr>
        <w:keepNext w:val="0"/>
        <w:keepLines w:val="0"/>
        <w:pageBreakBefore w:val="0"/>
        <w:widowControl w:val="0"/>
        <w:kinsoku/>
        <w:wordWrap/>
        <w:overflowPunct/>
        <w:topLinePunct w:val="0"/>
        <w:bidi w:val="0"/>
        <w:snapToGrid/>
        <w:spacing w:line="576"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其中：公务用车购置支出0万元。全年按规定更新购置公务用车0辆，其中：轿车0辆、金额0万元，越野车0辆、金额0万元，载客汽车0辆、金额0万元。公务用车运行维护费支出0万元</w:t>
      </w:r>
    </w:p>
    <w:p>
      <w:pPr>
        <w:keepNext w:val="0"/>
        <w:keepLines w:val="0"/>
        <w:pageBreakBefore w:val="0"/>
        <w:widowControl w:val="0"/>
        <w:numPr>
          <w:ilvl w:val="0"/>
          <w:numId w:val="0"/>
        </w:numPr>
        <w:kinsoku/>
        <w:wordWrap/>
        <w:overflowPunct/>
        <w:topLinePunct w:val="0"/>
        <w:bidi w:val="0"/>
        <w:snapToGrid/>
        <w:spacing w:line="576" w:lineRule="exact"/>
        <w:ind w:firstLine="642" w:firstLineChars="200"/>
        <w:textAlignment w:val="auto"/>
        <w:rPr>
          <w:rFonts w:hint="eastAsia" w:ascii="黑体" w:hAnsi="黑体" w:eastAsia="黑体" w:cs="黑体"/>
          <w:b w:val="0"/>
          <w:bCs w:val="0"/>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公务接待费支出</w:t>
      </w:r>
      <w:r>
        <w:rPr>
          <w:rFonts w:hint="eastAsia" w:ascii="仿宋_GB2312" w:hAnsi="仿宋_GB2312" w:eastAsia="仿宋_GB2312" w:cs="仿宋_GB2312"/>
          <w:b w:val="0"/>
          <w:bCs w:val="0"/>
          <w:sz w:val="32"/>
          <w:szCs w:val="32"/>
          <w:lang w:val="en-US" w:eastAsia="zh-CN"/>
        </w:rPr>
        <w:t>4.8</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rPr>
        <w:t>%。主要用于执行公务、开展业务活动开支的交通费、住宿费、用餐费等。国内公务接待</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567</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万元，具体内容包括：大型会议、争取项目、迎接上级检查、调研督查等。其中：外事接待0批次，0人，共计支出0万元。外事接待支出0万元。其他国内公务接待支出0万元。</w:t>
      </w:r>
      <w:bookmarkStart w:id="28" w:name="_Toc15377218"/>
      <w:bookmarkStart w:id="29" w:name="_Toc15396610"/>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八、政府性基金预算支出决算情况说明</w:t>
      </w:r>
      <w:bookmarkEnd w:id="28"/>
      <w:bookmarkEnd w:id="29"/>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年政府性基金预算拨款支出0万元。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黑体" w:hAnsi="黑体" w:eastAsia="黑体" w:cs="黑体"/>
          <w:b w:val="0"/>
          <w:bCs w:val="0"/>
          <w:sz w:val="32"/>
          <w:szCs w:val="32"/>
        </w:rPr>
      </w:pPr>
      <w:bookmarkStart w:id="30" w:name="_Toc15396611"/>
      <w:bookmarkStart w:id="31" w:name="_Toc15377219"/>
      <w:r>
        <w:rPr>
          <w:rFonts w:hint="eastAsia" w:ascii="黑体" w:hAnsi="黑体" w:eastAsia="黑体" w:cs="黑体"/>
          <w:b w:val="0"/>
          <w:bCs w:val="0"/>
          <w:sz w:val="32"/>
          <w:szCs w:val="32"/>
        </w:rPr>
        <w:t>九、国有资本经营预算支出决算情况说明</w:t>
      </w:r>
      <w:bookmarkEnd w:id="30"/>
      <w:bookmarkEnd w:id="31"/>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年国有资本经营预算拨款支出0万元。</w:t>
      </w:r>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黑体" w:hAnsi="黑体" w:eastAsia="黑体" w:cs="黑体"/>
          <w:b w:val="0"/>
          <w:bCs w:val="0"/>
          <w:sz w:val="32"/>
          <w:szCs w:val="32"/>
        </w:rPr>
      </w:pPr>
      <w:bookmarkStart w:id="32" w:name="_Toc15377221"/>
      <w:bookmarkStart w:id="33" w:name="_Toc15396612"/>
      <w:r>
        <w:rPr>
          <w:rFonts w:hint="eastAsia" w:ascii="黑体" w:hAnsi="黑体" w:eastAsia="黑体" w:cs="黑体"/>
          <w:b w:val="0"/>
          <w:bCs w:val="0"/>
          <w:sz w:val="32"/>
          <w:szCs w:val="32"/>
        </w:rPr>
        <w:t>十、其他重要事项的情况说明</w:t>
      </w:r>
      <w:bookmarkEnd w:id="32"/>
      <w:bookmarkEnd w:id="33"/>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4" w:name="_Toc15377222"/>
      <w:r>
        <w:rPr>
          <w:rFonts w:hint="eastAsia" w:ascii="楷体_GB2312" w:hAnsi="楷体_GB2312" w:eastAsia="楷体_GB2312" w:cs="楷体_GB2312"/>
          <w:b w:val="0"/>
          <w:bCs/>
          <w:sz w:val="32"/>
          <w:szCs w:val="32"/>
        </w:rPr>
        <w:t>（一）机关运行经费支出情况</w:t>
      </w:r>
      <w:bookmarkEnd w:id="34"/>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年，区发展和改革局机关</w:t>
      </w:r>
      <w:r>
        <w:rPr>
          <w:rFonts w:hint="eastAsia" w:ascii="仿宋_GB2312" w:hAnsi="仿宋_GB2312" w:eastAsia="仿宋_GB2312" w:cs="仿宋_GB2312"/>
          <w:sz w:val="32"/>
          <w:szCs w:val="32"/>
          <w:lang w:eastAsia="zh-CN"/>
        </w:rPr>
        <w:t>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万元，比</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2019年增加28.28</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pacing w:val="-6"/>
          <w:sz w:val="32"/>
          <w:szCs w:val="32"/>
          <w:lang w:eastAsia="zh-CN"/>
        </w:rPr>
        <w:t>增长</w:t>
      </w:r>
      <w:r>
        <w:rPr>
          <w:rFonts w:hint="eastAsia" w:ascii="仿宋_GB2312" w:hAnsi="仿宋_GB2312" w:eastAsia="仿宋_GB2312" w:cs="仿宋_GB2312"/>
          <w:spacing w:val="-6"/>
          <w:sz w:val="32"/>
          <w:szCs w:val="32"/>
          <w:lang w:val="en-US" w:eastAsia="zh-CN"/>
        </w:rPr>
        <w:t>78</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主要原因是</w:t>
      </w:r>
      <w:r>
        <w:rPr>
          <w:rFonts w:hint="eastAsia" w:ascii="仿宋_GB2312" w:hAnsi="仿宋_GB2312" w:eastAsia="仿宋_GB2312" w:cs="仿宋_GB2312"/>
          <w:spacing w:val="-6"/>
          <w:sz w:val="32"/>
          <w:szCs w:val="32"/>
          <w:lang w:eastAsia="zh-CN"/>
        </w:rPr>
        <w:t>单位合并人员增加，经费增加</w:t>
      </w:r>
      <w:r>
        <w:rPr>
          <w:rFonts w:hint="eastAsia" w:ascii="仿宋_GB2312" w:hAnsi="仿宋_GB2312" w:eastAsia="仿宋_GB2312" w:cs="仿宋_GB2312"/>
          <w:spacing w:val="-6"/>
          <w:sz w:val="32"/>
          <w:szCs w:val="32"/>
        </w:rPr>
        <w:t>。</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5" w:name="_Toc15377223"/>
      <w:r>
        <w:rPr>
          <w:rFonts w:hint="eastAsia" w:ascii="楷体_GB2312" w:hAnsi="楷体_GB2312" w:eastAsia="楷体_GB2312" w:cs="楷体_GB2312"/>
          <w:b w:val="0"/>
          <w:bCs/>
          <w:sz w:val="32"/>
          <w:szCs w:val="32"/>
        </w:rPr>
        <w:t>（二）政府采购支出情况</w:t>
      </w:r>
      <w:bookmarkEnd w:id="35"/>
    </w:p>
    <w:p>
      <w:pPr>
        <w:keepNext w:val="0"/>
        <w:keepLines w:val="0"/>
        <w:pageBreakBefore w:val="0"/>
        <w:widowControl w:val="0"/>
        <w:kinsoku/>
        <w:wordWrap/>
        <w:overflowPunct/>
        <w:topLinePunct w:val="0"/>
        <w:bidi w:val="0"/>
        <w:snapToGrid/>
        <w:spacing w:line="576"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区发改局政府采购支出</w:t>
      </w:r>
      <w:r>
        <w:rPr>
          <w:rFonts w:hint="eastAsia" w:ascii="仿宋_GB2312" w:hAnsi="仿宋_GB2312" w:eastAsia="仿宋_GB2312" w:cs="仿宋_GB2312"/>
          <w:sz w:val="32"/>
          <w:szCs w:val="32"/>
        </w:rPr>
        <w:t>总额</w:t>
      </w:r>
      <w:r>
        <w:rPr>
          <w:rFonts w:hint="eastAsia" w:ascii="仿宋_GB2312" w:hAnsi="仿宋_GB2312" w:eastAsia="仿宋_GB2312" w:cs="仿宋_GB2312"/>
          <w:sz w:val="32"/>
          <w:szCs w:val="32"/>
          <w:lang w:val="en-US" w:eastAsia="zh-CN"/>
        </w:rPr>
        <w:t>75.04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主要用于办公电脑、桌椅采购</w:t>
      </w:r>
      <w:r>
        <w:rPr>
          <w:rFonts w:hint="eastAsia" w:ascii="仿宋_GB2312" w:hAnsi="仿宋_GB2312" w:eastAsia="仿宋_GB2312" w:cs="仿宋_GB2312"/>
          <w:spacing w:val="-6"/>
          <w:sz w:val="32"/>
          <w:szCs w:val="32"/>
          <w:lang w:eastAsia="zh-CN"/>
        </w:rPr>
        <w:t>和《“十四五”编制规划纲要》编制费用。授予中小企业合同金额</w:t>
      </w:r>
      <w:r>
        <w:rPr>
          <w:rFonts w:hint="eastAsia" w:ascii="仿宋_GB2312" w:hAnsi="仿宋_GB2312" w:eastAsia="仿宋_GB2312" w:cs="仿宋_GB2312"/>
          <w:spacing w:val="-6"/>
          <w:sz w:val="32"/>
          <w:szCs w:val="32"/>
          <w:lang w:val="en-US" w:eastAsia="zh-CN"/>
        </w:rPr>
        <w:t>75.04万元，占政府采购支出总额的100%，其中：授予小微企业合同金额1.04万元，占政府采购支出总额的1.4%。</w:t>
      </w:r>
    </w:p>
    <w:p>
      <w:pPr>
        <w:keepNext w:val="0"/>
        <w:keepLines w:val="0"/>
        <w:pageBreakBefore w:val="0"/>
        <w:widowControl w:val="0"/>
        <w:kinsoku/>
        <w:wordWrap/>
        <w:overflowPunct/>
        <w:topLinePunct w:val="0"/>
        <w:autoSpaceDE/>
        <w:autoSpaceDN/>
        <w:bidi w:val="0"/>
        <w:snapToGrid/>
        <w:spacing w:line="576" w:lineRule="exact"/>
        <w:ind w:left="0" w:leftChars="0" w:right="0" w:firstLine="640" w:firstLineChars="200"/>
        <w:textAlignment w:val="auto"/>
        <w:rPr>
          <w:rFonts w:hint="eastAsia" w:ascii="楷体_GB2312" w:hAnsi="楷体_GB2312" w:eastAsia="楷体_GB2312" w:cs="楷体_GB2312"/>
          <w:b w:val="0"/>
          <w:bCs/>
          <w:sz w:val="32"/>
          <w:szCs w:val="32"/>
        </w:rPr>
      </w:pPr>
      <w:bookmarkStart w:id="36" w:name="_Toc15377224"/>
      <w:r>
        <w:rPr>
          <w:rFonts w:hint="eastAsia" w:ascii="楷体_GB2312" w:hAnsi="楷体_GB2312" w:eastAsia="楷体_GB2312" w:cs="楷体_GB2312"/>
          <w:b w:val="0"/>
          <w:bCs/>
          <w:sz w:val="32"/>
          <w:szCs w:val="32"/>
        </w:rPr>
        <w:t>（三）国有资产占有使用情况</w:t>
      </w:r>
      <w:bookmarkEnd w:id="36"/>
    </w:p>
    <w:p>
      <w:pPr>
        <w:keepNext w:val="0"/>
        <w:keepLines w:val="0"/>
        <w:pageBreakBefore w:val="0"/>
        <w:widowControl w:val="0"/>
        <w:kinsoku/>
        <w:wordWrap/>
        <w:overflowPunct/>
        <w:topLinePunct w:val="0"/>
        <w:autoSpaceDE w:val="0"/>
        <w:autoSpaceDN w:val="0"/>
        <w:bidi w:val="0"/>
        <w:adjustRightInd w:val="0"/>
        <w:snapToGrid/>
        <w:spacing w:line="576" w:lineRule="exact"/>
        <w:ind w:left="0" w:lef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区发改局共有车辆0辆，其中：部级领导干部用车0辆、一般公务用车0辆、一般执法执勤用车0辆、特种专业技术用车0辆、其他用车0辆，单价0万元以上通用设备0台（套），单价100万元以上专用设备0台（套）。</w:t>
      </w:r>
    </w:p>
    <w:p>
      <w:pPr>
        <w:numPr>
          <w:ilvl w:val="0"/>
          <w:numId w:val="0"/>
        </w:numPr>
        <w:spacing w:line="58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预算绩效管理情况</w:t>
      </w:r>
    </w:p>
    <w:p>
      <w:pPr>
        <w:numPr>
          <w:ilvl w:val="0"/>
          <w:numId w:val="0"/>
        </w:numPr>
        <w:spacing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eastAsia="zh-CN"/>
        </w:rPr>
        <w:t>“山地轨道交通项目前期研究费”“驻村第一书记及贫困村工作队员”“东西部扶贫协作工作经费”“重大项目审批、审核工作经费”“全区项目集中开工仪式工作经费”“项目大数据平台运行维护费”“十四五规划编制工作经费”“县域经济年费及工作经费”“台州捐赠红包项目资金”“</w:t>
      </w:r>
      <w:r>
        <w:rPr>
          <w:rFonts w:hint="eastAsia" w:ascii="仿宋_GB2312" w:hAnsi="仿宋_GB2312" w:eastAsia="仿宋_GB2312" w:cs="仿宋_GB2312"/>
          <w:sz w:val="32"/>
          <w:szCs w:val="32"/>
          <w:lang w:val="en-US" w:eastAsia="zh-CN"/>
        </w:rPr>
        <w:t>2020年省预算内基本建设资金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粮食储备管理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keepNext w:val="0"/>
        <w:keepLines w:val="0"/>
        <w:pageBreakBefore w:val="0"/>
        <w:widowControl w:val="0"/>
        <w:kinsoku/>
        <w:wordWrap/>
        <w:overflowPunct/>
        <w:topLinePunct w:val="0"/>
        <w:bidi w:val="0"/>
        <w:snapToGrid/>
        <w:spacing w:line="576"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本部门按要求对2020年部门整体支出开展绩效自评，从评价情况来看能够严格做好预算配置、预算管理、资金管理、职责履行、履职效益等内容的绩效考评。本部门还自行组织了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在项目实施过程中充分体现了项目的前期评估、目标任务、绩效监控，通过项目实施确保了全年工作目标任务高质量的完成，为全区经济社会发展贡献了发改力量。</w:t>
      </w:r>
    </w:p>
    <w:p>
      <w:pPr>
        <w:spacing w:line="580" w:lineRule="exact"/>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1.项目绩效目标完成情况。</w:t>
      </w:r>
      <w:r>
        <w:rPr>
          <w:rFonts w:hint="eastAsia" w:ascii="仿宋_GB2312" w:hAnsi="仿宋_GB2312" w:eastAsia="仿宋_GB2312" w:cs="仿宋_GB2312"/>
          <w:sz w:val="32"/>
          <w:szCs w:val="32"/>
        </w:rPr>
        <w:t>本部门在2020年度部门决算中反映</w:t>
      </w:r>
      <w:r>
        <w:rPr>
          <w:rFonts w:hint="eastAsia" w:ascii="仿宋_GB2312" w:hAnsi="仿宋_GB2312" w:eastAsia="仿宋_GB2312" w:cs="仿宋_GB2312"/>
          <w:sz w:val="32"/>
          <w:szCs w:val="32"/>
          <w:lang w:eastAsia="zh-CN"/>
        </w:rPr>
        <w:t>了“山地轨道交通项目前期研究费”“东西部扶贫协作工作经费”“重大项目审批、审核工作经费”“全区项目集中开工仪式工作经费”“项目大数据平台运行维护费”“十四五规划编制工作经费”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绩效目标</w:t>
      </w:r>
      <w:r>
        <w:rPr>
          <w:rFonts w:hint="eastAsia" w:ascii="仿宋_GB2312" w:hAnsi="仿宋_GB2312" w:eastAsia="仿宋_GB2312" w:cs="仿宋_GB2312"/>
          <w:sz w:val="32"/>
          <w:szCs w:val="32"/>
          <w:lang w:eastAsia="zh-CN"/>
        </w:rPr>
        <w:t>已全部完成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现将其中</w:t>
      </w:r>
      <w:r>
        <w:rPr>
          <w:rFonts w:hint="eastAsia" w:ascii="仿宋_GB2312" w:hAnsi="仿宋_GB2312" w:eastAsia="仿宋_GB2312" w:cs="仿宋_GB2312"/>
          <w:sz w:val="32"/>
          <w:szCs w:val="32"/>
          <w:lang w:val="en-US" w:eastAsia="zh-CN"/>
        </w:rPr>
        <w:t>5个绩效目标完成情况依次公开如下：</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“十四五规划编制工作经费”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eastAsia="zh-CN"/>
        </w:rPr>
        <w:t>了我区“十四五规划编制工作经费”项目绩效目标任务全面完成。一是编制完成了《广元市朝天区国民经济和社会发展第十四个五年规划纲要》；二是编制完成了《朝天区“十四五”公共服务和就业促进规划》；三是编制完成了《朝天区“十四五”规划纲要“四重”清单》；完成了“十四五”规划编制重点课题5个。“十四五”规划编制的完成，将明确了我区未来五年经济社会发展的宏伟目标</w:t>
      </w:r>
      <w:r>
        <w:rPr>
          <w:rFonts w:hint="eastAsia" w:ascii="仿宋_GB2312" w:hAnsi="仿宋_GB2312" w:eastAsia="仿宋_GB2312" w:cs="仿宋_GB2312"/>
          <w:sz w:val="32"/>
          <w:szCs w:val="32"/>
          <w:lang w:val="en-US" w:eastAsia="zh-CN"/>
        </w:rPr>
        <w:t>、重大任务和重要举措，是政府履行职责的重要依据，是市场主体的行为导向，是全区人民建设生态文明繁荣和谐现代化新朝天的宏伟蓝图和行动纲领。在项目绩效管理过程中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“山地轨道交通项目前期研究费”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保障了“山地轨道交通项目前期研究费”绩效目标任务全面完成。一是完成了前期分析和线路规划；二是完成了规划方案研究；三是完成了《四川省山地轨道交通规划》的申报工作。曾家山“山地旅游交通项目”的申报成功，到后期的项目建成，将改善曾家山</w:t>
      </w:r>
      <w:r>
        <w:rPr>
          <w:rFonts w:hint="eastAsia" w:ascii="仿宋_GB2312" w:hAnsi="仿宋_GB2312" w:eastAsia="仿宋_GB2312" w:cs="仿宋_GB2312"/>
          <w:sz w:val="32"/>
          <w:szCs w:val="32"/>
          <w:lang w:val="en-US" w:eastAsia="zh-CN"/>
        </w:rPr>
        <w:t>6万人的便利出行，带动曾家康养旅游业的兴旺发展，促进朝天旅游产业、经济社会发展更上新台阶。在项目绩效管理过程中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“全区项目集中开工仪式工作经费”</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和绩效监督管理，保障了“全区项目集中开工仪式工作经费”绩效目标任务全面完成。全年成功举办全区项目集中开工仪式</w:t>
      </w:r>
      <w:r>
        <w:rPr>
          <w:rFonts w:hint="eastAsia" w:ascii="仿宋_GB2312" w:hAnsi="仿宋_GB2312" w:eastAsia="仿宋_GB2312" w:cs="仿宋_GB2312"/>
          <w:sz w:val="32"/>
          <w:szCs w:val="32"/>
          <w:lang w:val="en-US" w:eastAsia="zh-CN"/>
        </w:rPr>
        <w:t>8次。</w:t>
      </w:r>
      <w:r>
        <w:rPr>
          <w:rFonts w:hint="eastAsia" w:ascii="仿宋_GB2312" w:hAnsi="仿宋_GB2312" w:eastAsia="仿宋_GB2312" w:cs="仿宋_GB2312"/>
          <w:sz w:val="32"/>
          <w:szCs w:val="32"/>
          <w:lang w:eastAsia="zh-CN"/>
        </w:rPr>
        <w:t>“全区项目集中开工仪式工作经费”项目</w:t>
      </w:r>
      <w:r>
        <w:rPr>
          <w:rFonts w:hint="eastAsia" w:ascii="仿宋" w:hAnsi="仿宋" w:eastAsia="仿宋" w:cs="仿宋"/>
          <w:sz w:val="32"/>
          <w:szCs w:val="32"/>
        </w:rPr>
        <w:t>通过</w:t>
      </w:r>
      <w:r>
        <w:rPr>
          <w:rFonts w:hint="eastAsia" w:ascii="仿宋" w:hAnsi="仿宋" w:eastAsia="仿宋" w:cs="仿宋"/>
          <w:sz w:val="32"/>
          <w:szCs w:val="32"/>
          <w:lang w:eastAsia="zh-CN"/>
        </w:rPr>
        <w:t>集中</w:t>
      </w:r>
      <w:r>
        <w:rPr>
          <w:rFonts w:hint="eastAsia" w:ascii="仿宋" w:hAnsi="仿宋" w:eastAsia="仿宋" w:cs="仿宋"/>
          <w:sz w:val="32"/>
          <w:szCs w:val="32"/>
        </w:rPr>
        <w:t>开工建设</w:t>
      </w:r>
      <w:r>
        <w:rPr>
          <w:rFonts w:hint="eastAsia" w:ascii="仿宋" w:hAnsi="仿宋" w:eastAsia="仿宋" w:cs="仿宋"/>
          <w:sz w:val="32"/>
          <w:szCs w:val="32"/>
          <w:lang w:eastAsia="zh-CN"/>
        </w:rPr>
        <w:t>，促进了</w:t>
      </w:r>
      <w:r>
        <w:rPr>
          <w:rFonts w:hint="eastAsia" w:ascii="仿宋" w:hAnsi="仿宋" w:eastAsia="仿宋" w:cs="仿宋"/>
          <w:sz w:val="32"/>
          <w:szCs w:val="32"/>
        </w:rPr>
        <w:t>固定资产投资规模，实现固定资产投资总额64亿元</w:t>
      </w:r>
      <w:r>
        <w:rPr>
          <w:rFonts w:hint="eastAsia" w:ascii="仿宋" w:hAnsi="仿宋" w:eastAsia="仿宋" w:cs="仿宋"/>
          <w:sz w:val="32"/>
          <w:szCs w:val="32"/>
          <w:lang w:eastAsia="zh-CN"/>
        </w:rPr>
        <w:t>，</w:t>
      </w:r>
      <w:r>
        <w:rPr>
          <w:rFonts w:hint="eastAsia" w:ascii="仿宋" w:hAnsi="仿宋" w:eastAsia="仿宋" w:cs="仿宋"/>
          <w:sz w:val="32"/>
          <w:szCs w:val="32"/>
        </w:rPr>
        <w:t>推动</w:t>
      </w:r>
      <w:r>
        <w:rPr>
          <w:rFonts w:hint="eastAsia" w:ascii="仿宋" w:hAnsi="仿宋" w:eastAsia="仿宋" w:cs="仿宋"/>
          <w:sz w:val="32"/>
          <w:szCs w:val="32"/>
          <w:lang w:eastAsia="zh-CN"/>
        </w:rPr>
        <w:t>了</w:t>
      </w:r>
      <w:r>
        <w:rPr>
          <w:rFonts w:hint="eastAsia" w:ascii="仿宋" w:hAnsi="仿宋" w:eastAsia="仿宋" w:cs="仿宋"/>
          <w:sz w:val="32"/>
          <w:szCs w:val="32"/>
        </w:rPr>
        <w:t>地方经济社会</w:t>
      </w:r>
      <w:r>
        <w:rPr>
          <w:rFonts w:hint="eastAsia" w:ascii="仿宋" w:hAnsi="仿宋" w:eastAsia="仿宋" w:cs="仿宋"/>
          <w:sz w:val="32"/>
          <w:szCs w:val="32"/>
          <w:lang w:eastAsia="zh-CN"/>
        </w:rPr>
        <w:t>高速</w:t>
      </w:r>
      <w:r>
        <w:rPr>
          <w:rFonts w:hint="eastAsia" w:ascii="仿宋" w:hAnsi="仿宋" w:eastAsia="仿宋" w:cs="仿宋"/>
          <w:sz w:val="32"/>
          <w:szCs w:val="32"/>
        </w:rPr>
        <w:t>发展。</w:t>
      </w:r>
      <w:r>
        <w:rPr>
          <w:rFonts w:hint="eastAsia" w:ascii="仿宋_GB2312" w:hAnsi="仿宋_GB2312" w:eastAsia="仿宋_GB2312" w:cs="仿宋_GB2312"/>
          <w:sz w:val="32"/>
          <w:szCs w:val="32"/>
          <w:lang w:val="en-US" w:eastAsia="zh-CN"/>
        </w:rPr>
        <w:t>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一是预算管理和绩效理念尚未牢固树立；二是预算过程管理和绩效管理工作融合度不够。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2020年省级促进粮油产业高质量发展</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，完成新建“仓顶阳光”设施、维修改造仓储库房，建设粮食质量安全检验检测体系统，完善省级信息化管理平台，确保</w:t>
      </w:r>
      <w:r>
        <w:rPr>
          <w:rFonts w:hint="eastAsia" w:ascii="仿宋_GB2312" w:hAnsi="仿宋_GB2312" w:eastAsia="仿宋_GB2312" w:cs="仿宋_GB2312"/>
          <w:sz w:val="32"/>
          <w:szCs w:val="32"/>
          <w:lang w:val="en-US" w:eastAsia="zh-CN"/>
        </w:rPr>
        <w:t>地方粮食储备费息补贴以及粮油收购、仓储、流通、加工资金支出。</w:t>
      </w:r>
      <w:r>
        <w:rPr>
          <w:rFonts w:hint="eastAsia" w:ascii="仿宋_GB2312" w:hAnsi="仿宋_GB2312" w:eastAsia="仿宋_GB2312" w:cs="仿宋_GB2312"/>
          <w:sz w:val="32"/>
          <w:szCs w:val="32"/>
        </w:rPr>
        <w:t>全年预算数</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绩效监督管理，</w:t>
      </w:r>
      <w:r>
        <w:rPr>
          <w:rFonts w:hint="eastAsia" w:ascii="仿宋_GB2312" w:hAnsi="仿宋_GB2312" w:eastAsia="仿宋_GB2312" w:cs="仿宋_GB2312"/>
          <w:sz w:val="32"/>
          <w:szCs w:val="32"/>
          <w:lang w:val="en-US" w:eastAsia="zh-CN"/>
        </w:rPr>
        <w:t>提高了粮食储备数量、质量安全。保障各种突发灾情，粮食应急供应，确保社会稳定。在项目绩效管理过程中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一是预算管理和绩效理念尚未牢固树立；二是项目支出绩效目标设置不够精细，指标数量不够明晰，结构不太合理。</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：一是提高单位管理层领导重视意识；二是将项目预算执行过程管理与项目绩效管理有效融合；三是加强业务培训学习，提升业务技能水平，切实提高预算编制、绩效目标设置的质量和水平。</w:t>
      </w:r>
    </w:p>
    <w:p>
      <w:pPr>
        <w:keepNext w:val="0"/>
        <w:keepLines w:val="0"/>
        <w:pageBreakBefore w:val="0"/>
        <w:widowControl/>
        <w:kinsoku/>
        <w:wordWrap/>
        <w:overflowPunct/>
        <w:topLinePunct w:val="0"/>
        <w:autoSpaceDE/>
        <w:autoSpaceDN/>
        <w:bidi w:val="0"/>
        <w:adjustRightInd/>
        <w:snapToGrid/>
        <w:spacing w:line="576" w:lineRule="exact"/>
        <w:ind w:firstLine="601" w:firstLineChars="188"/>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2000吨区级储备粮管理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2000吨国家储备粮的仓储安全管理。</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2019年预算10万元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，完成预算的</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保障了区级粮食储备数量、质量及安全，维护了粮食市场稳定。</w:t>
      </w:r>
      <w:r>
        <w:rPr>
          <w:rFonts w:hint="eastAsia" w:ascii="仿宋_GB2312" w:hAnsi="仿宋_GB2312" w:eastAsia="仿宋_GB2312" w:cs="仿宋_GB2312"/>
          <w:kern w:val="0"/>
          <w:sz w:val="32"/>
          <w:szCs w:val="32"/>
          <w:lang w:val="en-US" w:eastAsia="zh-CN"/>
        </w:rPr>
        <w:t>在绩效管理过程中</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绩效评价思想上存在误区，绩效评价方式比较单一，形式和内容不够全面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进一步加强财务管理，建立健全财务管理制度及体系，规范财务行为，强化绩效监督管理，确保绩效目标任务全面完成。</w:t>
      </w: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kinsoku/>
        <w:wordWrap/>
        <w:overflowPunct/>
        <w:topLinePunct w:val="0"/>
        <w:autoSpaceDE/>
        <w:autoSpaceDN/>
        <w:bidi w:val="0"/>
        <w:adjustRightInd/>
        <w:snapToGrid/>
        <w:spacing w:beforeLines="0" w:line="576" w:lineRule="exact"/>
        <w:textAlignment w:val="auto"/>
        <w:rPr>
          <w:rFonts w:hint="eastAsia" w:asciiTheme="minorEastAsia" w:hAnsiTheme="minorEastAsia" w:eastAsiaTheme="minorEastAsia" w:cstheme="minorEastAsia"/>
          <w:b/>
          <w:bCs/>
          <w:color w:val="000000"/>
          <w:kern w:val="0"/>
          <w:sz w:val="22"/>
          <w:szCs w:val="22"/>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b/>
          <w:bCs/>
          <w:color w:val="000000"/>
          <w:kern w:val="0"/>
          <w:sz w:val="32"/>
          <w:szCs w:val="32"/>
          <w:lang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9032" w:type="dxa"/>
        <w:jc w:val="center"/>
        <w:tblLayout w:type="fixed"/>
        <w:tblCellMar>
          <w:top w:w="0" w:type="dxa"/>
          <w:left w:w="0" w:type="dxa"/>
          <w:bottom w:w="0" w:type="dxa"/>
          <w:right w:w="0" w:type="dxa"/>
        </w:tblCellMar>
      </w:tblPr>
      <w:tblGrid>
        <w:gridCol w:w="840"/>
        <w:gridCol w:w="1212"/>
        <w:gridCol w:w="420"/>
        <w:gridCol w:w="488"/>
        <w:gridCol w:w="1159"/>
        <w:gridCol w:w="804"/>
        <w:gridCol w:w="1546"/>
        <w:gridCol w:w="983"/>
        <w:gridCol w:w="1580"/>
      </w:tblGrid>
      <w:tr>
        <w:tblPrEx>
          <w:tblCellMar>
            <w:top w:w="0" w:type="dxa"/>
            <w:left w:w="0" w:type="dxa"/>
            <w:bottom w:w="0" w:type="dxa"/>
            <w:right w:w="0" w:type="dxa"/>
          </w:tblCellMar>
        </w:tblPrEx>
        <w:trPr>
          <w:trHeight w:val="454" w:hRule="atLeast"/>
          <w:jc w:val="center"/>
        </w:trPr>
        <w:tc>
          <w:tcPr>
            <w:tcW w:w="24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kern w:val="0"/>
                <w:sz w:val="20"/>
                <w:szCs w:val="20"/>
                <w:lang w:bidi="ar"/>
              </w:rPr>
              <w:t>项目名称</w:t>
            </w:r>
          </w:p>
        </w:tc>
        <w:tc>
          <w:tcPr>
            <w:tcW w:w="65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0"/>
                <w:szCs w:val="20"/>
                <w:lang w:eastAsia="zh-CN"/>
              </w:rPr>
            </w:pPr>
            <w:r>
              <w:rPr>
                <w:rFonts w:hint="eastAsia" w:asciiTheme="minorEastAsia" w:hAnsiTheme="minorEastAsia" w:eastAsiaTheme="minorEastAsia" w:cstheme="minorEastAsia"/>
                <w:b/>
                <w:bCs/>
                <w:color w:val="000000"/>
                <w:sz w:val="20"/>
                <w:szCs w:val="20"/>
                <w:lang w:eastAsia="zh-CN"/>
              </w:rPr>
              <w:t>“十四五”规划编制工作经费项目</w:t>
            </w:r>
          </w:p>
        </w:tc>
      </w:tr>
      <w:tr>
        <w:tblPrEx>
          <w:tblCellMar>
            <w:top w:w="0" w:type="dxa"/>
            <w:left w:w="0" w:type="dxa"/>
            <w:bottom w:w="0" w:type="dxa"/>
            <w:right w:w="0" w:type="dxa"/>
          </w:tblCellMar>
        </w:tblPrEx>
        <w:trPr>
          <w:trHeight w:val="454" w:hRule="atLeast"/>
          <w:jc w:val="center"/>
        </w:trPr>
        <w:tc>
          <w:tcPr>
            <w:tcW w:w="24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lang w:bidi="ar"/>
              </w:rPr>
              <w:t>预算单位</w:t>
            </w:r>
          </w:p>
        </w:tc>
        <w:tc>
          <w:tcPr>
            <w:tcW w:w="656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广元市朝天区发展改革局</w:t>
            </w:r>
          </w:p>
        </w:tc>
      </w:tr>
      <w:tr>
        <w:tblPrEx>
          <w:tblCellMar>
            <w:top w:w="0" w:type="dxa"/>
            <w:left w:w="0" w:type="dxa"/>
            <w:bottom w:w="0" w:type="dxa"/>
            <w:right w:w="0" w:type="dxa"/>
          </w:tblCellMar>
        </w:tblPrEx>
        <w:trPr>
          <w:trHeight w:val="454" w:hRule="atLeast"/>
          <w:jc w:val="center"/>
        </w:trPr>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预算执行情况</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万元</w:t>
            </w:r>
            <w:r>
              <w:rPr>
                <w:rFonts w:hint="eastAsia" w:asciiTheme="minorEastAsia" w:hAnsiTheme="minorEastAsia" w:eastAsiaTheme="minorEastAsia" w:cstheme="minorEastAsia"/>
                <w:color w:val="000000"/>
                <w:kern w:val="0"/>
                <w:sz w:val="18"/>
                <w:szCs w:val="18"/>
                <w:lang w:eastAsia="zh-CN" w:bidi="ar"/>
              </w:rPr>
              <w:t>）</w:t>
            </w: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预算数</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执行数</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r>
              <w:rPr>
                <w:rFonts w:hint="eastAsia" w:asciiTheme="minorEastAsia" w:hAnsiTheme="minorEastAsia" w:eastAsiaTheme="minorEastAsia" w:cstheme="minorEastAsia"/>
                <w:sz w:val="16"/>
                <w:szCs w:val="20"/>
                <w:lang w:val="en-US" w:eastAsia="zh-CN"/>
              </w:rPr>
              <w:t>20</w:t>
            </w:r>
          </w:p>
        </w:tc>
      </w:tr>
      <w:tr>
        <w:tblPrEx>
          <w:tblCellMar>
            <w:top w:w="0" w:type="dxa"/>
            <w:left w:w="0" w:type="dxa"/>
            <w:bottom w:w="0" w:type="dxa"/>
            <w:right w:w="0" w:type="dxa"/>
          </w:tblCellMar>
        </w:tblPrEx>
        <w:trPr>
          <w:trHeight w:val="454"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r>
              <w:rPr>
                <w:rFonts w:hint="eastAsia" w:asciiTheme="minorEastAsia" w:hAnsiTheme="minorEastAsia" w:eastAsiaTheme="minorEastAsia" w:cstheme="minorEastAsia"/>
                <w:sz w:val="16"/>
                <w:szCs w:val="20"/>
                <w:lang w:val="en-US" w:eastAsia="zh-CN"/>
              </w:rPr>
              <w:t>20</w:t>
            </w:r>
          </w:p>
        </w:tc>
      </w:tr>
      <w:tr>
        <w:tblPrEx>
          <w:tblCellMar>
            <w:top w:w="0" w:type="dxa"/>
            <w:left w:w="0" w:type="dxa"/>
            <w:bottom w:w="0" w:type="dxa"/>
            <w:right w:w="0" w:type="dxa"/>
          </w:tblCellMar>
        </w:tblPrEx>
        <w:trPr>
          <w:trHeight w:val="454" w:hRule="atLeast"/>
          <w:jc w:val="center"/>
        </w:trPr>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6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25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1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sz w:val="16"/>
                <w:szCs w:val="20"/>
                <w:lang w:val="en-US" w:eastAsia="zh-CN"/>
              </w:rPr>
            </w:pPr>
          </w:p>
        </w:tc>
      </w:tr>
      <w:tr>
        <w:tblPrEx>
          <w:tblCellMar>
            <w:top w:w="0" w:type="dxa"/>
            <w:left w:w="0" w:type="dxa"/>
            <w:bottom w:w="0" w:type="dxa"/>
            <w:right w:w="0" w:type="dxa"/>
          </w:tblCellMar>
        </w:tblPrEx>
        <w:trPr>
          <w:trHeight w:val="454"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年度目标完成情况</w:t>
            </w:r>
          </w:p>
        </w:tc>
        <w:tc>
          <w:tcPr>
            <w:tcW w:w="40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预期目标</w:t>
            </w:r>
          </w:p>
        </w:tc>
        <w:tc>
          <w:tcPr>
            <w:tcW w:w="41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实际完成目标</w:t>
            </w:r>
          </w:p>
        </w:tc>
      </w:tr>
      <w:tr>
        <w:tblPrEx>
          <w:tblCellMar>
            <w:top w:w="0" w:type="dxa"/>
            <w:left w:w="0" w:type="dxa"/>
            <w:bottom w:w="0" w:type="dxa"/>
            <w:right w:w="0" w:type="dxa"/>
          </w:tblCellMar>
        </w:tblPrEx>
        <w:trPr>
          <w:trHeight w:val="1552"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40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rPr>
              <w:t>召开“十四五”规划编制领导小组及</w:t>
            </w:r>
            <w:r>
              <w:rPr>
                <w:rFonts w:hint="eastAsia" w:asciiTheme="minorEastAsia" w:hAnsiTheme="minorEastAsia" w:eastAsiaTheme="minorEastAsia" w:cstheme="minorEastAsia"/>
                <w:color w:val="000000"/>
                <w:sz w:val="16"/>
                <w:szCs w:val="16"/>
                <w:lang w:eastAsia="zh-CN"/>
              </w:rPr>
              <w:t>办</w:t>
            </w:r>
            <w:r>
              <w:rPr>
                <w:rFonts w:hint="eastAsia" w:asciiTheme="minorEastAsia" w:hAnsiTheme="minorEastAsia" w:eastAsiaTheme="minorEastAsia" w:cstheme="minorEastAsia"/>
                <w:color w:val="000000"/>
                <w:sz w:val="16"/>
                <w:szCs w:val="16"/>
              </w:rPr>
              <w:t>公室工作会议3次以上</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完成“十四五”规划编制重点课题5个</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c>
          <w:tcPr>
            <w:tcW w:w="41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完成情况：召开“十四五”规划编制领导小组及办公室工作会议3次以上</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完成情况：完成“十四五”规划编制重点课题5个</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689" w:hRule="atLeast"/>
          <w:jc w:val="center"/>
        </w:trPr>
        <w:tc>
          <w:tcPr>
            <w:tcW w:w="8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绩效指标完成情况</w:t>
            </w: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一级指标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二级指标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三级指标</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预期指标值</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包含数字及文字描述</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实际完成指标值</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包含数字及文字描述</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730"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rPr>
              <w:t>召开“十四五”规划编制领导小组及</w:t>
            </w:r>
            <w:r>
              <w:rPr>
                <w:rFonts w:hint="eastAsia" w:asciiTheme="minorEastAsia" w:hAnsiTheme="minorEastAsia" w:eastAsiaTheme="minorEastAsia" w:cstheme="minorEastAsia"/>
                <w:color w:val="000000"/>
                <w:sz w:val="16"/>
                <w:szCs w:val="16"/>
                <w:lang w:eastAsia="zh-CN"/>
              </w:rPr>
              <w:t>办</w:t>
            </w:r>
            <w:r>
              <w:rPr>
                <w:rFonts w:hint="eastAsia" w:asciiTheme="minorEastAsia" w:hAnsiTheme="minorEastAsia" w:eastAsiaTheme="minorEastAsia" w:cstheme="minorEastAsia"/>
                <w:color w:val="000000"/>
                <w:sz w:val="16"/>
                <w:szCs w:val="16"/>
              </w:rPr>
              <w:t>公室工作会议3次以上</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完成情况：召开“十四五”规划编制领导小组及办公室工作会议3次以上</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727"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396"/>
              </w:tabs>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6"/>
                <w:szCs w:val="16"/>
                <w:lang w:val="en-US" w:eastAsia="zh-CN" w:bidi="ar-SA"/>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6"/>
                <w:szCs w:val="16"/>
                <w:lang w:val="en-US" w:eastAsia="zh-CN" w:bidi="ar-SA"/>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完成情况：编制完成《广元市朝天区国民经济和社会发展第十四个五年规划纲要》</w:t>
            </w:r>
            <w:r>
              <w:rPr>
                <w:rFonts w:hint="eastAsia" w:asciiTheme="minorEastAsia" w:hAnsiTheme="minorEastAsia" w:eastAsiaTheme="minorEastAsia" w:cstheme="minorEastAsia"/>
                <w:color w:val="000000"/>
                <w:sz w:val="16"/>
                <w:szCs w:val="16"/>
                <w:lang w:eastAsia="zh-CN"/>
              </w:rPr>
              <w:t>。</w:t>
            </w:r>
          </w:p>
        </w:tc>
      </w:tr>
      <w:tr>
        <w:tblPrEx>
          <w:tblCellMar>
            <w:top w:w="0" w:type="dxa"/>
            <w:left w:w="0" w:type="dxa"/>
            <w:bottom w:w="0" w:type="dxa"/>
            <w:right w:w="0" w:type="dxa"/>
          </w:tblCellMar>
        </w:tblPrEx>
        <w:trPr>
          <w:trHeight w:val="835"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3</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编制完成《朝天区“十四五”公共服务和就业促进规划》</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完成情况：编制完成《朝天区“十四五”公共服务和就业促进规划》</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614"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4</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 xml:space="preserve">编制完成《朝天区“十四五”规划纲要“四重”清单》 </w:t>
            </w:r>
            <w:r>
              <w:rPr>
                <w:rFonts w:hint="eastAsia" w:asciiTheme="minorEastAsia" w:hAnsiTheme="minorEastAsia" w:eastAsiaTheme="minorEastAsia" w:cstheme="minorEastAsia"/>
                <w:color w:val="000000"/>
                <w:sz w:val="16"/>
                <w:szCs w:val="16"/>
                <w:lang w:eastAsia="zh-CN"/>
              </w:rPr>
              <w:t>。</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4</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完成情况：编制完成《朝天区“十四五”规划纲要“四重”清单》</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569"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5</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完成“十四五”规划编制重点课题5个</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5</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rPr>
              <w:t xml:space="preserve">完成情况：完成“十四五”规划编制重点课题5个 </w:t>
            </w:r>
            <w:r>
              <w:rPr>
                <w:rFonts w:hint="eastAsia" w:asciiTheme="minorEastAsia" w:hAnsiTheme="minorEastAsia" w:eastAsiaTheme="minorEastAsia" w:cstheme="minorEastAsia"/>
                <w:color w:val="000000"/>
                <w:sz w:val="16"/>
                <w:szCs w:val="16"/>
                <w:lang w:eastAsia="zh-CN"/>
              </w:rPr>
              <w:t>。</w:t>
            </w:r>
            <w:r>
              <w:rPr>
                <w:rFonts w:hint="eastAsia" w:asciiTheme="minorEastAsia" w:hAnsiTheme="minorEastAsia" w:eastAsiaTheme="minorEastAsia" w:cstheme="minorEastAsia"/>
                <w:color w:val="000000"/>
                <w:sz w:val="16"/>
                <w:szCs w:val="16"/>
              </w:rPr>
              <w:t xml:space="preserve">   </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质量指标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高质量完成“十四五”编制规划任务</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高质量完成“十四五”编制规划任务</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时效指标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年内</w:t>
            </w:r>
            <w:r>
              <w:rPr>
                <w:rFonts w:hint="eastAsia" w:asciiTheme="minorEastAsia" w:hAnsiTheme="minorEastAsia" w:eastAsiaTheme="minorEastAsia" w:cstheme="minorEastAsia"/>
                <w:color w:val="000000"/>
                <w:sz w:val="16"/>
                <w:szCs w:val="16"/>
              </w:rPr>
              <w:t>完成“十四五”编制规划任务</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年内</w:t>
            </w:r>
            <w:r>
              <w:rPr>
                <w:rFonts w:hint="eastAsia" w:asciiTheme="minorEastAsia" w:hAnsiTheme="minorEastAsia" w:eastAsiaTheme="minorEastAsia" w:cstheme="minorEastAsia"/>
                <w:color w:val="000000"/>
                <w:sz w:val="16"/>
                <w:szCs w:val="16"/>
              </w:rPr>
              <w:t>完成“十四五”编制规划任务</w:t>
            </w:r>
          </w:p>
        </w:tc>
      </w:tr>
      <w:tr>
        <w:tblPrEx>
          <w:tblCellMar>
            <w:top w:w="0" w:type="dxa"/>
            <w:left w:w="0" w:type="dxa"/>
            <w:bottom w:w="0" w:type="dxa"/>
            <w:right w:w="0" w:type="dxa"/>
          </w:tblCellMar>
        </w:tblPrEx>
        <w:trPr>
          <w:trHeight w:val="52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项目完成指标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成本指标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工作经费</w:t>
            </w:r>
            <w:r>
              <w:rPr>
                <w:rFonts w:hint="eastAsia" w:asciiTheme="minorEastAsia" w:hAnsiTheme="minorEastAsia" w:eastAsiaTheme="minorEastAsia" w:cstheme="minorEastAsia"/>
                <w:color w:val="000000"/>
                <w:sz w:val="16"/>
                <w:szCs w:val="16"/>
                <w:lang w:val="en-US" w:eastAsia="zh-CN"/>
              </w:rPr>
              <w:t>20万</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工作经费</w:t>
            </w:r>
            <w:r>
              <w:rPr>
                <w:rFonts w:hint="eastAsia" w:asciiTheme="minorEastAsia" w:hAnsiTheme="minorEastAsia" w:eastAsiaTheme="minorEastAsia" w:cstheme="minorEastAsia"/>
                <w:color w:val="000000"/>
                <w:sz w:val="16"/>
                <w:szCs w:val="16"/>
                <w:lang w:val="en-US" w:eastAsia="zh-CN"/>
              </w:rPr>
              <w:t>20万</w:t>
            </w:r>
          </w:p>
        </w:tc>
      </w:tr>
      <w:tr>
        <w:tblPrEx>
          <w:tblCellMar>
            <w:top w:w="0" w:type="dxa"/>
            <w:left w:w="0" w:type="dxa"/>
            <w:bottom w:w="0" w:type="dxa"/>
            <w:right w:w="0" w:type="dxa"/>
          </w:tblCellMar>
        </w:tblPrEx>
        <w:trPr>
          <w:trHeight w:val="627"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效益指标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eastAsia="zh-CN" w:bidi="ar"/>
              </w:rPr>
              <w:t>经济效益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促进朝天经济高质量发展</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val="en-US" w:eastAsia="zh-CN"/>
              </w:rPr>
              <w:t>促进朝天经济高质量发展</w:t>
            </w:r>
          </w:p>
        </w:tc>
      </w:tr>
      <w:tr>
        <w:tblPrEx>
          <w:tblCellMar>
            <w:top w:w="0" w:type="dxa"/>
            <w:left w:w="0" w:type="dxa"/>
            <w:bottom w:w="0" w:type="dxa"/>
            <w:right w:w="0" w:type="dxa"/>
          </w:tblCellMar>
        </w:tblPrEx>
        <w:trPr>
          <w:trHeight w:val="632" w:hRule="atLeast"/>
          <w:jc w:val="center"/>
        </w:trPr>
        <w:tc>
          <w:tcPr>
            <w:tcW w:w="8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效益指标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eastAsia="zh-CN" w:bidi="ar"/>
              </w:rPr>
              <w:t>社会</w:t>
            </w:r>
            <w:r>
              <w:rPr>
                <w:rFonts w:hint="eastAsia" w:asciiTheme="minorEastAsia" w:hAnsiTheme="minorEastAsia" w:eastAsiaTheme="minorEastAsia" w:cstheme="minorEastAsia"/>
                <w:color w:val="000000"/>
                <w:kern w:val="0"/>
                <w:sz w:val="16"/>
                <w:szCs w:val="16"/>
                <w:lang w:bidi="ar"/>
              </w:rPr>
              <w:t>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《十四五编制规划》是朝天未来五年的行动纲领</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lang w:eastAsia="zh-CN"/>
              </w:rPr>
              <w:t>《十四五编制规划》是朝天未来五年的行动纲领</w:t>
            </w:r>
          </w:p>
        </w:tc>
      </w:tr>
      <w:tr>
        <w:tblPrEx>
          <w:tblCellMar>
            <w:top w:w="0" w:type="dxa"/>
            <w:left w:w="0" w:type="dxa"/>
            <w:bottom w:w="0" w:type="dxa"/>
            <w:right w:w="0" w:type="dxa"/>
          </w:tblCellMar>
        </w:tblPrEx>
        <w:trPr>
          <w:trHeight w:val="694" w:hRule="atLeast"/>
          <w:jc w:val="center"/>
        </w:trPr>
        <w:tc>
          <w:tcPr>
            <w:tcW w:w="8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2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满意度指标</w:t>
            </w:r>
          </w:p>
        </w:tc>
        <w:tc>
          <w:tcPr>
            <w:tcW w:w="90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kern w:val="0"/>
                <w:sz w:val="16"/>
                <w:szCs w:val="16"/>
                <w:lang w:bidi="ar"/>
              </w:rPr>
              <w:t>满意度指标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满意度指标</w:t>
            </w:r>
            <w:r>
              <w:rPr>
                <w:rFonts w:hint="eastAsia" w:asciiTheme="minorEastAsia" w:hAnsiTheme="minorEastAsia" w:eastAsiaTheme="minorEastAsia" w:cstheme="minorEastAsia"/>
                <w:color w:val="000000"/>
                <w:sz w:val="16"/>
                <w:szCs w:val="16"/>
                <w:lang w:val="en-US" w:eastAsia="zh-CN"/>
              </w:rPr>
              <w:t>98%</w:t>
            </w:r>
          </w:p>
        </w:tc>
        <w:tc>
          <w:tcPr>
            <w:tcW w:w="256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满意度指标</w:t>
            </w:r>
            <w:r>
              <w:rPr>
                <w:rFonts w:hint="eastAsia" w:asciiTheme="minorEastAsia" w:hAnsiTheme="minorEastAsia" w:eastAsiaTheme="minorEastAsia" w:cstheme="minorEastAsia"/>
                <w:color w:val="000000"/>
                <w:sz w:val="16"/>
                <w:szCs w:val="16"/>
                <w:lang w:val="en-US" w:eastAsia="zh-CN"/>
              </w:rPr>
              <w:t>98%</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357" w:type="dxa"/>
        <w:jc w:val="center"/>
        <w:tblLayout w:type="fixed"/>
        <w:tblCellMar>
          <w:top w:w="0" w:type="dxa"/>
          <w:left w:w="0" w:type="dxa"/>
          <w:bottom w:w="0" w:type="dxa"/>
          <w:right w:w="0" w:type="dxa"/>
        </w:tblCellMar>
      </w:tblPr>
      <w:tblGrid>
        <w:gridCol w:w="857"/>
        <w:gridCol w:w="1144"/>
        <w:gridCol w:w="626"/>
        <w:gridCol w:w="234"/>
        <w:gridCol w:w="831"/>
        <w:gridCol w:w="1386"/>
        <w:gridCol w:w="957"/>
        <w:gridCol w:w="1437"/>
        <w:gridCol w:w="885"/>
      </w:tblGrid>
      <w:tr>
        <w:tblPrEx>
          <w:tblCellMar>
            <w:top w:w="0" w:type="dxa"/>
            <w:left w:w="0" w:type="dxa"/>
            <w:bottom w:w="0" w:type="dxa"/>
            <w:right w:w="0" w:type="dxa"/>
          </w:tblCellMar>
        </w:tblPrEx>
        <w:trPr>
          <w:trHeight w:val="440" w:hRule="atLeast"/>
          <w:jc w:val="center"/>
        </w:trPr>
        <w:tc>
          <w:tcPr>
            <w:tcW w:w="2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57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lang w:eastAsia="zh-CN"/>
              </w:rPr>
            </w:pPr>
            <w:r>
              <w:rPr>
                <w:rFonts w:hint="eastAsia" w:asciiTheme="minorEastAsia" w:hAnsiTheme="minorEastAsia" w:eastAsiaTheme="minorEastAsia" w:cstheme="minorEastAsia"/>
                <w:b/>
                <w:bCs/>
                <w:color w:val="000000"/>
                <w:sz w:val="22"/>
                <w:szCs w:val="22"/>
                <w:lang w:eastAsia="zh-CN"/>
              </w:rPr>
              <w:t>山地轨道交通项目前期研究费项目</w:t>
            </w:r>
          </w:p>
        </w:tc>
      </w:tr>
      <w:tr>
        <w:tblPrEx>
          <w:tblCellMar>
            <w:top w:w="0" w:type="dxa"/>
            <w:left w:w="0" w:type="dxa"/>
            <w:bottom w:w="0" w:type="dxa"/>
            <w:right w:w="0" w:type="dxa"/>
          </w:tblCellMar>
        </w:tblPrEx>
        <w:trPr>
          <w:trHeight w:val="454" w:hRule="atLeast"/>
          <w:jc w:val="center"/>
        </w:trPr>
        <w:tc>
          <w:tcPr>
            <w:tcW w:w="262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预算单位</w:t>
            </w:r>
          </w:p>
        </w:tc>
        <w:tc>
          <w:tcPr>
            <w:tcW w:w="573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广元市朝天区发展改革局</w:t>
            </w:r>
          </w:p>
        </w:tc>
      </w:tr>
      <w:tr>
        <w:tblPrEx>
          <w:tblCellMar>
            <w:top w:w="0" w:type="dxa"/>
            <w:left w:w="0" w:type="dxa"/>
            <w:bottom w:w="0" w:type="dxa"/>
            <w:right w:w="0" w:type="dxa"/>
          </w:tblCellMar>
        </w:tblPrEx>
        <w:trPr>
          <w:trHeight w:val="454" w:hRule="atLeast"/>
          <w:jc w:val="center"/>
        </w:trPr>
        <w:tc>
          <w:tcPr>
            <w:tcW w:w="8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预算执行情况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（万元）</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预算数：</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执行数：</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r>
      <w:tr>
        <w:tblPrEx>
          <w:tblCellMar>
            <w:top w:w="0" w:type="dxa"/>
            <w:left w:w="0" w:type="dxa"/>
            <w:bottom w:w="0" w:type="dxa"/>
            <w:right w:w="0" w:type="dxa"/>
          </w:tblCellMar>
        </w:tblPrEx>
        <w:trPr>
          <w:trHeight w:val="454"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其中－财政拨款：</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eastAsia="zh-CN"/>
              </w:rPr>
              <w:t>其中－财政拨款：</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75</w:t>
            </w:r>
          </w:p>
        </w:tc>
      </w:tr>
      <w:tr>
        <w:tblPrEx>
          <w:tblCellMar>
            <w:top w:w="0" w:type="dxa"/>
            <w:left w:w="0" w:type="dxa"/>
            <w:bottom w:w="0" w:type="dxa"/>
            <w:right w:w="0" w:type="dxa"/>
          </w:tblCellMar>
        </w:tblPrEx>
        <w:trPr>
          <w:trHeight w:val="454" w:hRule="atLeast"/>
          <w:jc w:val="center"/>
        </w:trPr>
        <w:tc>
          <w:tcPr>
            <w:tcW w:w="8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其它资金：</w:t>
            </w:r>
          </w:p>
        </w:tc>
        <w:tc>
          <w:tcPr>
            <w:tcW w:w="2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p>
        </w:tc>
        <w:tc>
          <w:tcPr>
            <w:tcW w:w="23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其它资金：</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val="en-US" w:eastAsia="zh-CN"/>
              </w:rPr>
            </w:pPr>
          </w:p>
        </w:tc>
      </w:tr>
      <w:tr>
        <w:tblPrEx>
          <w:tblCellMar>
            <w:top w:w="0" w:type="dxa"/>
            <w:left w:w="0" w:type="dxa"/>
            <w:bottom w:w="0" w:type="dxa"/>
            <w:right w:w="0" w:type="dxa"/>
          </w:tblCellMar>
        </w:tblPrEx>
        <w:trPr>
          <w:trHeight w:val="404" w:hRule="atLeast"/>
          <w:jc w:val="center"/>
        </w:trPr>
        <w:tc>
          <w:tcPr>
            <w:tcW w:w="85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年度目标完成情况</w:t>
            </w:r>
          </w:p>
        </w:tc>
        <w:tc>
          <w:tcPr>
            <w:tcW w:w="42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预期目标</w:t>
            </w:r>
          </w:p>
        </w:tc>
        <w:tc>
          <w:tcPr>
            <w:tcW w:w="32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实际完成目标</w:t>
            </w:r>
          </w:p>
        </w:tc>
      </w:tr>
      <w:tr>
        <w:tblPrEx>
          <w:tblCellMar>
            <w:top w:w="0" w:type="dxa"/>
            <w:left w:w="0" w:type="dxa"/>
            <w:bottom w:w="0" w:type="dxa"/>
            <w:right w:w="0" w:type="dxa"/>
          </w:tblCellMar>
        </w:tblPrEx>
        <w:trPr>
          <w:trHeight w:val="973" w:hRule="atLeast"/>
          <w:jc w:val="center"/>
        </w:trPr>
        <w:tc>
          <w:tcPr>
            <w:tcW w:w="85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422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1.</w:t>
            </w:r>
            <w:r>
              <w:rPr>
                <w:rFonts w:hint="eastAsia" w:asciiTheme="minorEastAsia" w:hAnsiTheme="minorEastAsia" w:eastAsiaTheme="minorEastAsia" w:cstheme="minorEastAsia"/>
                <w:color w:val="000000"/>
                <w:sz w:val="16"/>
                <w:szCs w:val="16"/>
                <w:lang w:eastAsia="zh-CN"/>
              </w:rPr>
              <w:t>聘请专家实地查看山地轨道交通线路走向，并进行前期分析。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2.</w:t>
            </w:r>
            <w:r>
              <w:rPr>
                <w:rFonts w:hint="eastAsia" w:asciiTheme="minorEastAsia" w:hAnsiTheme="minorEastAsia" w:eastAsiaTheme="minorEastAsia" w:cstheme="minorEastAsia"/>
                <w:color w:val="000000"/>
                <w:sz w:val="16"/>
                <w:szCs w:val="16"/>
                <w:lang w:eastAsia="zh-CN"/>
              </w:rPr>
              <w:t>委托专业机构完成规划方案研究。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val="en-US" w:eastAsia="zh-CN"/>
              </w:rPr>
              <w:t>3.</w:t>
            </w:r>
            <w:r>
              <w:rPr>
                <w:rFonts w:hint="eastAsia" w:asciiTheme="minorEastAsia" w:hAnsiTheme="minorEastAsia" w:eastAsiaTheme="minorEastAsia" w:cstheme="minorEastAsia"/>
                <w:color w:val="000000"/>
                <w:sz w:val="16"/>
                <w:szCs w:val="16"/>
                <w:lang w:eastAsia="zh-CN"/>
              </w:rPr>
              <w:t>申报纳入《四川省山地轨道交通规划》。</w:t>
            </w:r>
          </w:p>
        </w:tc>
        <w:tc>
          <w:tcPr>
            <w:tcW w:w="327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1</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完成了前期分析和线路规划。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2</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完成了规划方案研究。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3</w:t>
            </w:r>
            <w:r>
              <w:rPr>
                <w:rFonts w:hint="eastAsia" w:asciiTheme="minorEastAsia" w:hAnsiTheme="minorEastAsia" w:eastAsiaTheme="minorEastAsia" w:cstheme="minorEastAsia"/>
                <w:color w:val="000000"/>
                <w:sz w:val="16"/>
                <w:szCs w:val="16"/>
                <w:lang w:val="en-US" w:eastAsia="zh-CN"/>
              </w:rPr>
              <w:t>.</w:t>
            </w:r>
            <w:r>
              <w:rPr>
                <w:rFonts w:hint="eastAsia" w:asciiTheme="minorEastAsia" w:hAnsiTheme="minorEastAsia" w:eastAsiaTheme="minorEastAsia" w:cstheme="minorEastAsia"/>
                <w:color w:val="000000"/>
                <w:sz w:val="16"/>
                <w:szCs w:val="16"/>
                <w:lang w:eastAsia="zh-CN"/>
              </w:rPr>
              <w:t>完成纳入《四川省山地轨道交通规划》的申报工作。</w:t>
            </w:r>
          </w:p>
        </w:tc>
      </w:tr>
      <w:tr>
        <w:tblPrEx>
          <w:tblCellMar>
            <w:top w:w="0" w:type="dxa"/>
            <w:left w:w="0" w:type="dxa"/>
            <w:bottom w:w="0" w:type="dxa"/>
            <w:right w:w="0" w:type="dxa"/>
          </w:tblCellMar>
        </w:tblPrEx>
        <w:trPr>
          <w:trHeight w:val="1042" w:hRule="atLeast"/>
          <w:jc w:val="center"/>
        </w:trPr>
        <w:tc>
          <w:tcPr>
            <w:tcW w:w="85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绩效指标完成情况</w:t>
            </w: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一级指标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二级指标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三级指标</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预期指标值（包含数字及文字描述）</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实际完成指标值（包含数字及文字描述）</w:t>
            </w:r>
          </w:p>
        </w:tc>
      </w:tr>
      <w:tr>
        <w:tblPrEx>
          <w:tblCellMar>
            <w:top w:w="0" w:type="dxa"/>
            <w:left w:w="0" w:type="dxa"/>
            <w:bottom w:w="0" w:type="dxa"/>
            <w:right w:w="0" w:type="dxa"/>
          </w:tblCellMar>
        </w:tblPrEx>
        <w:trPr>
          <w:trHeight w:val="559"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完成线路规划</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完成线路规划29.8公里</w:t>
            </w:r>
          </w:p>
        </w:tc>
      </w:tr>
      <w:tr>
        <w:tblPrEx>
          <w:tblCellMar>
            <w:top w:w="0" w:type="dxa"/>
            <w:left w:w="0" w:type="dxa"/>
            <w:bottom w:w="0" w:type="dxa"/>
            <w:right w:w="0" w:type="dxa"/>
          </w:tblCellMar>
        </w:tblPrEx>
        <w:trPr>
          <w:trHeight w:val="61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2</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进行规划方案研究</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完成规划方案研究，并与中铁二院签订了《方案研究合同》</w:t>
            </w:r>
          </w:p>
        </w:tc>
      </w:tr>
      <w:tr>
        <w:tblPrEx>
          <w:tblCellMar>
            <w:top w:w="0" w:type="dxa"/>
            <w:left w:w="0" w:type="dxa"/>
            <w:bottom w:w="0" w:type="dxa"/>
            <w:right w:w="0" w:type="dxa"/>
          </w:tblCellMar>
        </w:tblPrEx>
        <w:trPr>
          <w:trHeight w:val="597"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数量指标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3</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申报纳入《四川省山地轨道交通规划》</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按照高起点、高标准的要求完成了前期规划</w:t>
            </w:r>
          </w:p>
        </w:tc>
      </w:tr>
      <w:tr>
        <w:tblPrEx>
          <w:tblCellMar>
            <w:top w:w="0" w:type="dxa"/>
            <w:left w:w="0" w:type="dxa"/>
            <w:bottom w:w="0" w:type="dxa"/>
            <w:right w:w="0" w:type="dxa"/>
          </w:tblCellMar>
        </w:tblPrEx>
        <w:trPr>
          <w:trHeight w:val="657"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质量指标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高起点、高标准进行规划分析，规划方案可行性通过省上项目中心认可</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按照高起点、高标准的要求完成了前期规划，纳入《四川省山地轨道交通规划》</w:t>
            </w:r>
          </w:p>
        </w:tc>
      </w:tr>
      <w:tr>
        <w:tblPrEx>
          <w:tblCellMar>
            <w:top w:w="0" w:type="dxa"/>
            <w:left w:w="0" w:type="dxa"/>
            <w:bottom w:w="0" w:type="dxa"/>
            <w:right w:w="0" w:type="dxa"/>
          </w:tblCellMar>
        </w:tblPrEx>
        <w:trPr>
          <w:trHeight w:val="72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时效指标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力争年内完成</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力争年内完成</w:t>
            </w:r>
          </w:p>
        </w:tc>
      </w:tr>
      <w:tr>
        <w:tblPrEx>
          <w:tblCellMar>
            <w:top w:w="0" w:type="dxa"/>
            <w:left w:w="0" w:type="dxa"/>
            <w:bottom w:w="0" w:type="dxa"/>
            <w:right w:w="0" w:type="dxa"/>
          </w:tblCellMar>
        </w:tblPrEx>
        <w:trPr>
          <w:trHeight w:val="52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项目完成指标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成本指标</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年内工作经费</w:t>
            </w:r>
            <w:r>
              <w:rPr>
                <w:rFonts w:hint="eastAsia" w:asciiTheme="minorEastAsia" w:hAnsiTheme="minorEastAsia" w:eastAsiaTheme="minorEastAsia" w:cstheme="minorEastAsia"/>
                <w:color w:val="000000"/>
                <w:sz w:val="16"/>
                <w:szCs w:val="16"/>
                <w:lang w:val="en-US" w:eastAsia="zh-CN"/>
              </w:rPr>
              <w:t>75万元</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年内工作经费</w:t>
            </w:r>
            <w:r>
              <w:rPr>
                <w:rFonts w:hint="eastAsia" w:asciiTheme="minorEastAsia" w:hAnsiTheme="minorEastAsia" w:eastAsiaTheme="minorEastAsia" w:cstheme="minorEastAsia"/>
                <w:color w:val="000000"/>
                <w:sz w:val="16"/>
                <w:szCs w:val="16"/>
                <w:lang w:val="en-US" w:eastAsia="zh-CN"/>
              </w:rPr>
              <w:t>75万元</w:t>
            </w:r>
          </w:p>
        </w:tc>
      </w:tr>
      <w:tr>
        <w:tblPrEx>
          <w:tblCellMar>
            <w:top w:w="0" w:type="dxa"/>
            <w:left w:w="0" w:type="dxa"/>
            <w:bottom w:w="0" w:type="dxa"/>
            <w:right w:w="0" w:type="dxa"/>
          </w:tblCellMar>
        </w:tblPrEx>
        <w:trPr>
          <w:trHeight w:val="729"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效益指标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经济效益</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通过项目实施将带动地方经济快速发展</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通过项目实施将带动地方经济快速发展</w:t>
            </w:r>
          </w:p>
        </w:tc>
      </w:tr>
      <w:tr>
        <w:tblPrEx>
          <w:tblCellMar>
            <w:top w:w="0" w:type="dxa"/>
            <w:left w:w="0" w:type="dxa"/>
            <w:bottom w:w="0" w:type="dxa"/>
            <w:right w:w="0" w:type="dxa"/>
          </w:tblCellMar>
        </w:tblPrEx>
        <w:trPr>
          <w:trHeight w:val="104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效益指标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社会效益</w:t>
            </w: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项目建成将改善6万人的便利出行，带动曾家旅游业的兴旺发展，促进朝天经济发展更上新台阶</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项目建成将改善6万人的便利出行，带动曾家旅游业的兴旺发展，促进朝天经济发展更上新台阶</w:t>
            </w:r>
          </w:p>
        </w:tc>
      </w:tr>
      <w:tr>
        <w:tblPrEx>
          <w:tblCellMar>
            <w:top w:w="0" w:type="dxa"/>
            <w:left w:w="0" w:type="dxa"/>
            <w:bottom w:w="0" w:type="dxa"/>
            <w:right w:w="0" w:type="dxa"/>
          </w:tblCellMar>
        </w:tblPrEx>
        <w:trPr>
          <w:trHeight w:val="602" w:hRule="atLeast"/>
          <w:jc w:val="center"/>
        </w:trPr>
        <w:tc>
          <w:tcPr>
            <w:tcW w:w="85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p>
        </w:tc>
      </w:tr>
      <w:tr>
        <w:tblPrEx>
          <w:tblCellMar>
            <w:top w:w="0" w:type="dxa"/>
            <w:left w:w="0" w:type="dxa"/>
            <w:bottom w:w="0" w:type="dxa"/>
            <w:right w:w="0" w:type="dxa"/>
          </w:tblCellMar>
        </w:tblPrEx>
        <w:trPr>
          <w:trHeight w:val="1050" w:hRule="atLeast"/>
          <w:jc w:val="center"/>
        </w:trPr>
        <w:tc>
          <w:tcPr>
            <w:tcW w:w="85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11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满意度指标</w:t>
            </w:r>
          </w:p>
        </w:tc>
        <w:tc>
          <w:tcPr>
            <w:tcW w:w="8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eastAsia="zh-CN"/>
              </w:rPr>
            </w:pP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指标</w:t>
            </w:r>
            <w:r>
              <w:rPr>
                <w:rFonts w:hint="eastAsia" w:asciiTheme="minorEastAsia" w:hAnsiTheme="minorEastAsia" w:eastAsiaTheme="minorEastAsia" w:cstheme="minorEastAsia"/>
                <w:color w:val="000000"/>
                <w:sz w:val="16"/>
                <w:szCs w:val="16"/>
                <w:lang w:val="en-US" w:eastAsia="zh-CN"/>
              </w:rPr>
              <w:t>1</w:t>
            </w:r>
          </w:p>
        </w:tc>
        <w:tc>
          <w:tcPr>
            <w:tcW w:w="234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lang w:eastAsia="zh-CN"/>
              </w:rPr>
              <w:t>群众满意度</w:t>
            </w:r>
            <w:r>
              <w:rPr>
                <w:rFonts w:hint="eastAsia" w:asciiTheme="minorEastAsia" w:hAnsiTheme="minorEastAsia" w:eastAsiaTheme="minorEastAsia" w:cstheme="minorEastAsia"/>
                <w:color w:val="000000"/>
                <w:sz w:val="16"/>
                <w:szCs w:val="16"/>
                <w:lang w:val="en-US" w:eastAsia="zh-CN"/>
              </w:rPr>
              <w:t>98%</w:t>
            </w:r>
          </w:p>
        </w:tc>
        <w:tc>
          <w:tcPr>
            <w:tcW w:w="23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16"/>
                <w:szCs w:val="16"/>
                <w:lang w:eastAsia="zh-CN"/>
              </w:rPr>
            </w:pPr>
            <w:r>
              <w:rPr>
                <w:rFonts w:hint="eastAsia" w:asciiTheme="minorEastAsia" w:hAnsiTheme="minorEastAsia" w:eastAsiaTheme="minorEastAsia" w:cstheme="minorEastAsia"/>
                <w:color w:val="000000"/>
                <w:sz w:val="16"/>
                <w:szCs w:val="16"/>
                <w:lang w:eastAsia="zh-CN"/>
              </w:rPr>
              <w:t>群众满意度</w:t>
            </w:r>
            <w:r>
              <w:rPr>
                <w:rFonts w:hint="eastAsia" w:asciiTheme="minorEastAsia" w:hAnsiTheme="minorEastAsia" w:eastAsiaTheme="minorEastAsia" w:cstheme="minorEastAsia"/>
                <w:color w:val="000000"/>
                <w:sz w:val="16"/>
                <w:szCs w:val="16"/>
                <w:lang w:val="en-US" w:eastAsia="zh-CN"/>
              </w:rPr>
              <w:t>98%</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9059" w:type="dxa"/>
        <w:jc w:val="center"/>
        <w:tblLayout w:type="fixed"/>
        <w:tblCellMar>
          <w:top w:w="0" w:type="dxa"/>
          <w:left w:w="0" w:type="dxa"/>
          <w:bottom w:w="0" w:type="dxa"/>
          <w:right w:w="0" w:type="dxa"/>
        </w:tblCellMar>
      </w:tblPr>
      <w:tblGrid>
        <w:gridCol w:w="866"/>
        <w:gridCol w:w="891"/>
        <w:gridCol w:w="720"/>
        <w:gridCol w:w="261"/>
        <w:gridCol w:w="1159"/>
        <w:gridCol w:w="808"/>
        <w:gridCol w:w="1742"/>
        <w:gridCol w:w="435"/>
        <w:gridCol w:w="2177"/>
      </w:tblGrid>
      <w:tr>
        <w:tblPrEx>
          <w:tblCellMar>
            <w:top w:w="0" w:type="dxa"/>
            <w:left w:w="0" w:type="dxa"/>
            <w:bottom w:w="0" w:type="dxa"/>
            <w:right w:w="0" w:type="dxa"/>
          </w:tblCellMar>
        </w:tblPrEx>
        <w:trPr>
          <w:trHeight w:val="561"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65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color w:val="000000"/>
                <w:sz w:val="22"/>
                <w:szCs w:val="22"/>
                <w:lang w:eastAsia="zh-CN"/>
              </w:rPr>
            </w:pPr>
            <w:r>
              <w:rPr>
                <w:rFonts w:hint="eastAsia" w:asciiTheme="minorEastAsia" w:hAnsiTheme="minorEastAsia" w:eastAsiaTheme="minorEastAsia" w:cstheme="minorEastAsia"/>
                <w:b/>
                <w:bCs/>
                <w:color w:val="000000"/>
                <w:sz w:val="22"/>
                <w:szCs w:val="22"/>
                <w:lang w:eastAsia="zh-CN"/>
              </w:rPr>
              <w:t>全区项目集中开工仪式工作经费项目</w:t>
            </w:r>
          </w:p>
        </w:tc>
      </w:tr>
      <w:tr>
        <w:tblPrEx>
          <w:tblCellMar>
            <w:top w:w="0" w:type="dxa"/>
            <w:left w:w="0" w:type="dxa"/>
            <w:bottom w:w="0" w:type="dxa"/>
            <w:right w:w="0" w:type="dxa"/>
          </w:tblCellMar>
        </w:tblPrEx>
        <w:trPr>
          <w:trHeight w:val="561" w:hRule="atLeast"/>
          <w:jc w:val="center"/>
        </w:trPr>
        <w:tc>
          <w:tcPr>
            <w:tcW w:w="247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预算单位</w:t>
            </w:r>
          </w:p>
        </w:tc>
        <w:tc>
          <w:tcPr>
            <w:tcW w:w="6582"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广元市朝天区发展改革局</w:t>
            </w:r>
          </w:p>
        </w:tc>
      </w:tr>
      <w:tr>
        <w:tblPrEx>
          <w:tblCellMar>
            <w:top w:w="0" w:type="dxa"/>
            <w:left w:w="0" w:type="dxa"/>
            <w:bottom w:w="0" w:type="dxa"/>
            <w:right w:w="0" w:type="dxa"/>
          </w:tblCellMar>
        </w:tblPrEx>
        <w:trPr>
          <w:trHeight w:val="561" w:hRule="atLeast"/>
          <w:jc w:val="center"/>
        </w:trPr>
        <w:tc>
          <w:tcPr>
            <w:tcW w:w="8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预算执行情况</w:t>
            </w:r>
          </w:p>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万元</w:t>
            </w:r>
            <w:r>
              <w:rPr>
                <w:rFonts w:hint="eastAsia" w:asciiTheme="minorEastAsia" w:hAnsiTheme="minorEastAsia" w:eastAsiaTheme="minorEastAsia" w:cstheme="minorEastAsia"/>
                <w:color w:val="000000"/>
                <w:kern w:val="0"/>
                <w:sz w:val="21"/>
                <w:szCs w:val="21"/>
                <w:lang w:eastAsia="zh-CN" w:bidi="ar"/>
              </w:rPr>
              <w:t>）</w:t>
            </w: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预算数</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执行数</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default"/>
                <w:sz w:val="20"/>
                <w:szCs w:val="22"/>
                <w:lang w:val="en-US" w:eastAsia="zh-CN"/>
              </w:rPr>
            </w:pPr>
            <w:r>
              <w:rPr>
                <w:rFonts w:hint="eastAsia"/>
                <w:sz w:val="20"/>
                <w:szCs w:val="22"/>
                <w:lang w:val="en-US" w:eastAsia="zh-CN"/>
              </w:rPr>
              <w:t>15</w:t>
            </w:r>
          </w:p>
        </w:tc>
      </w:tr>
      <w:tr>
        <w:tblPrEx>
          <w:tblCellMar>
            <w:top w:w="0" w:type="dxa"/>
            <w:left w:w="0" w:type="dxa"/>
            <w:bottom w:w="0" w:type="dxa"/>
            <w:right w:w="0" w:type="dxa"/>
          </w:tblCellMar>
        </w:tblPrEx>
        <w:trPr>
          <w:trHeight w:val="56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default"/>
                <w:sz w:val="20"/>
                <w:szCs w:val="22"/>
                <w:lang w:val="en-US" w:eastAsia="zh-CN"/>
              </w:rPr>
            </w:pPr>
            <w:r>
              <w:rPr>
                <w:rFonts w:hint="eastAsia"/>
                <w:sz w:val="20"/>
                <w:szCs w:val="22"/>
                <w:lang w:val="en-US" w:eastAsia="zh-CN"/>
              </w:rPr>
              <w:t>15</w:t>
            </w:r>
          </w:p>
        </w:tc>
      </w:tr>
      <w:tr>
        <w:tblPrEx>
          <w:tblCellMar>
            <w:top w:w="0" w:type="dxa"/>
            <w:left w:w="0" w:type="dxa"/>
            <w:bottom w:w="0" w:type="dxa"/>
            <w:right w:w="0" w:type="dxa"/>
          </w:tblCellMar>
        </w:tblPrEx>
        <w:trPr>
          <w:trHeight w:val="561" w:hRule="atLeast"/>
          <w:jc w:val="center"/>
        </w:trPr>
        <w:tc>
          <w:tcPr>
            <w:tcW w:w="8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161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2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21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bidi w:val="0"/>
              <w:spacing w:before="0" w:beforeAutospacing="0" w:after="0" w:afterAutospacing="0"/>
              <w:ind w:left="0" w:right="0"/>
              <w:jc w:val="center"/>
              <w:rPr>
                <w:rFonts w:hint="eastAsia"/>
                <w:sz w:val="20"/>
                <w:szCs w:val="22"/>
                <w:lang w:val="en-US" w:eastAsia="zh-CN"/>
              </w:rPr>
            </w:pPr>
          </w:p>
        </w:tc>
      </w:tr>
      <w:tr>
        <w:tblPrEx>
          <w:tblCellMar>
            <w:top w:w="0" w:type="dxa"/>
            <w:left w:w="0" w:type="dxa"/>
            <w:bottom w:w="0" w:type="dxa"/>
            <w:right w:w="0" w:type="dxa"/>
          </w:tblCellMar>
        </w:tblPrEx>
        <w:trPr>
          <w:trHeight w:val="561" w:hRule="atLeast"/>
          <w:jc w:val="center"/>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年度目标完成情况</w:t>
            </w:r>
          </w:p>
        </w:tc>
        <w:tc>
          <w:tcPr>
            <w:tcW w:w="38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预期目标</w:t>
            </w:r>
          </w:p>
        </w:tc>
        <w:tc>
          <w:tcPr>
            <w:tcW w:w="43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实际完成目标</w:t>
            </w:r>
          </w:p>
        </w:tc>
      </w:tr>
      <w:tr>
        <w:tblPrEx>
          <w:tblCellMar>
            <w:top w:w="0" w:type="dxa"/>
            <w:left w:w="0" w:type="dxa"/>
            <w:bottom w:w="0" w:type="dxa"/>
            <w:right w:w="0" w:type="dxa"/>
          </w:tblCellMar>
        </w:tblPrEx>
        <w:trPr>
          <w:trHeight w:val="1264" w:hRule="atLeast"/>
          <w:jc w:val="center"/>
        </w:trPr>
        <w:tc>
          <w:tcPr>
            <w:tcW w:w="8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000000"/>
                <w:sz w:val="21"/>
                <w:szCs w:val="21"/>
              </w:rPr>
            </w:pPr>
          </w:p>
        </w:tc>
        <w:tc>
          <w:tcPr>
            <w:tcW w:w="383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按季度开展组织好全区项目集中开工</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仪式。</w:t>
            </w:r>
          </w:p>
        </w:tc>
        <w:tc>
          <w:tcPr>
            <w:tcW w:w="43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全年完成举办</w:t>
            </w:r>
            <w:r>
              <w:rPr>
                <w:rFonts w:hint="eastAsia" w:asciiTheme="minorEastAsia" w:hAnsiTheme="minorEastAsia" w:eastAsiaTheme="minorEastAsia" w:cstheme="minorEastAsia"/>
                <w:color w:val="000000"/>
                <w:sz w:val="21"/>
                <w:szCs w:val="21"/>
              </w:rPr>
              <w:t>全区项目集中开工仪式</w:t>
            </w:r>
            <w:r>
              <w:rPr>
                <w:rFonts w:hint="eastAsia" w:asciiTheme="minorEastAsia" w:hAnsiTheme="minorEastAsia" w:eastAsiaTheme="minorEastAsia" w:cstheme="minorEastAsia"/>
                <w:color w:val="000000"/>
                <w:sz w:val="21"/>
                <w:szCs w:val="21"/>
                <w:lang w:val="en-US" w:eastAsia="zh-CN"/>
              </w:rPr>
              <w:t>6次</w:t>
            </w:r>
            <w:r>
              <w:rPr>
                <w:rFonts w:hint="eastAsia" w:asciiTheme="minorEastAsia" w:hAnsiTheme="minorEastAsia" w:eastAsiaTheme="minorEastAsia" w:cstheme="minorEastAsia"/>
                <w:color w:val="000000"/>
                <w:sz w:val="21"/>
                <w:szCs w:val="21"/>
              </w:rPr>
              <w:t>。</w:t>
            </w:r>
          </w:p>
        </w:tc>
      </w:tr>
      <w:tr>
        <w:tblPrEx>
          <w:tblCellMar>
            <w:top w:w="0" w:type="dxa"/>
            <w:left w:w="0" w:type="dxa"/>
            <w:bottom w:w="0" w:type="dxa"/>
            <w:right w:w="0" w:type="dxa"/>
          </w:tblCellMar>
        </w:tblPrEx>
        <w:trPr>
          <w:trHeight w:val="1220" w:hRule="atLeast"/>
          <w:jc w:val="center"/>
        </w:trPr>
        <w:tc>
          <w:tcPr>
            <w:tcW w:w="86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绩效指标完成情况</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一级指标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二级指标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三级指标</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预期指标值（包含数字及文字描述）</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实际完成指标值（包含数字及文字描述）</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373"/>
              </w:tabs>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数量指标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全年</w:t>
            </w:r>
            <w:r>
              <w:rPr>
                <w:rFonts w:hint="eastAsia" w:asciiTheme="minorEastAsia" w:hAnsiTheme="minorEastAsia" w:eastAsiaTheme="minorEastAsia" w:cstheme="minorEastAsia"/>
                <w:color w:val="000000"/>
                <w:sz w:val="21"/>
                <w:szCs w:val="21"/>
                <w:lang w:eastAsia="zh-CN"/>
              </w:rPr>
              <w:t>计划举办</w:t>
            </w:r>
            <w:r>
              <w:rPr>
                <w:rFonts w:hint="eastAsia" w:asciiTheme="minorEastAsia" w:hAnsiTheme="minorEastAsia" w:eastAsiaTheme="minorEastAsia" w:cstheme="minorEastAsia"/>
                <w:color w:val="000000"/>
                <w:sz w:val="21"/>
                <w:szCs w:val="21"/>
              </w:rPr>
              <w:t>6次</w:t>
            </w:r>
            <w:r>
              <w:rPr>
                <w:rFonts w:hint="eastAsia" w:asciiTheme="minorEastAsia" w:hAnsiTheme="minorEastAsia" w:eastAsiaTheme="minorEastAsia" w:cstheme="minorEastAsia"/>
                <w:color w:val="000000"/>
                <w:sz w:val="21"/>
                <w:szCs w:val="21"/>
                <w:lang w:eastAsia="zh-CN"/>
              </w:rPr>
              <w:t>全区</w:t>
            </w:r>
            <w:r>
              <w:rPr>
                <w:rFonts w:hint="eastAsia" w:asciiTheme="minorEastAsia" w:hAnsiTheme="minorEastAsia" w:eastAsiaTheme="minorEastAsia" w:cstheme="minorEastAsia"/>
                <w:color w:val="000000"/>
                <w:sz w:val="21"/>
                <w:szCs w:val="21"/>
              </w:rPr>
              <w:t>项目集中开工</w:t>
            </w:r>
            <w:r>
              <w:rPr>
                <w:rFonts w:hint="eastAsia" w:asciiTheme="minorEastAsia" w:hAnsiTheme="minorEastAsia" w:eastAsiaTheme="minorEastAsia" w:cstheme="minorEastAsia"/>
                <w:color w:val="000000"/>
                <w:sz w:val="21"/>
                <w:szCs w:val="21"/>
                <w:lang w:eastAsia="zh-CN"/>
              </w:rPr>
              <w:t>仪式</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全年</w:t>
            </w:r>
            <w:r>
              <w:rPr>
                <w:rFonts w:hint="eastAsia" w:asciiTheme="minorEastAsia" w:hAnsiTheme="minorEastAsia" w:eastAsiaTheme="minorEastAsia" w:cstheme="minorEastAsia"/>
                <w:color w:val="000000"/>
                <w:sz w:val="21"/>
                <w:szCs w:val="21"/>
                <w:lang w:eastAsia="zh-CN"/>
              </w:rPr>
              <w:t>完成举办</w:t>
            </w:r>
            <w:r>
              <w:rPr>
                <w:rFonts w:hint="eastAsia" w:asciiTheme="minorEastAsia" w:hAnsiTheme="minorEastAsia" w:eastAsiaTheme="minorEastAsia" w:cstheme="minorEastAsia"/>
                <w:color w:val="000000"/>
                <w:sz w:val="21"/>
                <w:szCs w:val="21"/>
              </w:rPr>
              <w:t>6次</w:t>
            </w:r>
            <w:r>
              <w:rPr>
                <w:rFonts w:hint="eastAsia" w:asciiTheme="minorEastAsia" w:hAnsiTheme="minorEastAsia" w:eastAsiaTheme="minorEastAsia" w:cstheme="minorEastAsia"/>
                <w:color w:val="000000"/>
                <w:sz w:val="21"/>
                <w:szCs w:val="21"/>
                <w:lang w:eastAsia="zh-CN"/>
              </w:rPr>
              <w:t>全区</w:t>
            </w:r>
            <w:r>
              <w:rPr>
                <w:rFonts w:hint="eastAsia" w:asciiTheme="minorEastAsia" w:hAnsiTheme="minorEastAsia" w:eastAsiaTheme="minorEastAsia" w:cstheme="minorEastAsia"/>
                <w:color w:val="000000"/>
                <w:sz w:val="21"/>
                <w:szCs w:val="21"/>
              </w:rPr>
              <w:t>项目集中开工</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质量指标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通过开工，促进项目建设高质量完成</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通过开工，促进项目建设高质量完成</w:t>
            </w:r>
          </w:p>
        </w:tc>
      </w:tr>
      <w:tr>
        <w:tblPrEx>
          <w:tblCellMar>
            <w:top w:w="0" w:type="dxa"/>
            <w:left w:w="0" w:type="dxa"/>
            <w:bottom w:w="0" w:type="dxa"/>
            <w:right w:w="0" w:type="dxa"/>
          </w:tblCellMar>
        </w:tblPrEx>
        <w:trPr>
          <w:trHeight w:val="751"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时效指标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年内完成</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年内完成</w:t>
            </w:r>
          </w:p>
        </w:tc>
      </w:tr>
      <w:tr>
        <w:tblPrEx>
          <w:tblCellMar>
            <w:top w:w="0" w:type="dxa"/>
            <w:left w:w="0" w:type="dxa"/>
            <w:bottom w:w="0" w:type="dxa"/>
            <w:right w:w="0" w:type="dxa"/>
          </w:tblCellMar>
        </w:tblPrEx>
        <w:trPr>
          <w:trHeight w:val="789"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项目完成指标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成本指标</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工作经费</w:t>
            </w:r>
            <w:r>
              <w:rPr>
                <w:rFonts w:hint="eastAsia" w:asciiTheme="minorEastAsia" w:hAnsiTheme="minorEastAsia" w:eastAsiaTheme="minorEastAsia" w:cstheme="minorEastAsia"/>
                <w:color w:val="000000"/>
                <w:sz w:val="21"/>
                <w:szCs w:val="21"/>
                <w:lang w:val="en-US" w:eastAsia="zh-CN"/>
              </w:rPr>
              <w:t>15万元</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工作经费</w:t>
            </w:r>
            <w:r>
              <w:rPr>
                <w:rFonts w:hint="eastAsia" w:asciiTheme="minorEastAsia" w:hAnsiTheme="minorEastAsia" w:eastAsiaTheme="minorEastAsia" w:cstheme="minorEastAsia"/>
                <w:color w:val="000000"/>
                <w:sz w:val="21"/>
                <w:szCs w:val="21"/>
                <w:lang w:val="en-US" w:eastAsia="zh-CN"/>
              </w:rPr>
              <w:t>15万元</w:t>
            </w:r>
          </w:p>
        </w:tc>
      </w:tr>
      <w:tr>
        <w:tblPrEx>
          <w:tblCellMar>
            <w:top w:w="0" w:type="dxa"/>
            <w:left w:w="0" w:type="dxa"/>
            <w:bottom w:w="0" w:type="dxa"/>
            <w:right w:w="0" w:type="dxa"/>
          </w:tblCellMar>
        </w:tblPrEx>
        <w:trPr>
          <w:trHeight w:val="949"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效益指标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经济效益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通过项目开工建设，有效促进区域经济发展速度</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通过项目开工建设，有效促进区域经济发展速度</w:t>
            </w:r>
          </w:p>
        </w:tc>
      </w:tr>
      <w:tr>
        <w:tblPrEx>
          <w:tblCellMar>
            <w:top w:w="0" w:type="dxa"/>
            <w:left w:w="0" w:type="dxa"/>
            <w:bottom w:w="0" w:type="dxa"/>
            <w:right w:w="0" w:type="dxa"/>
          </w:tblCellMar>
        </w:tblPrEx>
        <w:trPr>
          <w:trHeight w:val="795" w:hRule="atLeast"/>
          <w:jc w:val="center"/>
        </w:trPr>
        <w:tc>
          <w:tcPr>
            <w:tcW w:w="86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效益指标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社会效益</w:t>
            </w: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指标</w:t>
            </w:r>
            <w:r>
              <w:rPr>
                <w:rFonts w:hint="eastAsia" w:asciiTheme="minorEastAsia" w:hAnsiTheme="minorEastAsia" w:eastAsiaTheme="minorEastAsia" w:cstheme="minorEastAsia"/>
                <w:color w:val="000000"/>
                <w:sz w:val="21"/>
                <w:szCs w:val="21"/>
                <w:lang w:val="en-US" w:eastAsia="zh-CN"/>
              </w:rPr>
              <w:t>1</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推动朝天经济建设可持续发展</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推动朝天经济建设可持续发展</w:t>
            </w:r>
          </w:p>
        </w:tc>
      </w:tr>
      <w:tr>
        <w:tblPrEx>
          <w:tblCellMar>
            <w:top w:w="0" w:type="dxa"/>
            <w:left w:w="0" w:type="dxa"/>
            <w:bottom w:w="0" w:type="dxa"/>
            <w:right w:w="0" w:type="dxa"/>
          </w:tblCellMar>
        </w:tblPrEx>
        <w:trPr>
          <w:trHeight w:val="1250" w:hRule="atLeast"/>
          <w:jc w:val="center"/>
        </w:trPr>
        <w:tc>
          <w:tcPr>
            <w:tcW w:w="86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满意度指标</w:t>
            </w:r>
          </w:p>
        </w:tc>
        <w:tc>
          <w:tcPr>
            <w:tcW w:w="98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11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000000"/>
                <w:sz w:val="21"/>
                <w:szCs w:val="21"/>
              </w:rPr>
            </w:pP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群众满意度大于等于</w:t>
            </w:r>
            <w:r>
              <w:rPr>
                <w:rFonts w:hint="eastAsia" w:asciiTheme="minorEastAsia" w:hAnsiTheme="minorEastAsia" w:eastAsiaTheme="minorEastAsia" w:cstheme="minorEastAsia"/>
                <w:color w:val="000000"/>
                <w:sz w:val="21"/>
                <w:szCs w:val="21"/>
                <w:lang w:val="en-US" w:eastAsia="zh-CN"/>
              </w:rPr>
              <w:t>95%</w:t>
            </w:r>
          </w:p>
        </w:tc>
        <w:tc>
          <w:tcPr>
            <w:tcW w:w="26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达到</w:t>
            </w:r>
            <w:r>
              <w:rPr>
                <w:rFonts w:hint="eastAsia" w:asciiTheme="minorEastAsia" w:hAnsiTheme="minorEastAsia" w:eastAsiaTheme="minorEastAsia" w:cstheme="minorEastAsia"/>
                <w:color w:val="000000"/>
                <w:sz w:val="21"/>
                <w:szCs w:val="21"/>
                <w:lang w:val="en-US" w:eastAsia="zh-CN"/>
              </w:rPr>
              <w:t>98%</w:t>
            </w:r>
          </w:p>
        </w:tc>
      </w:tr>
    </w:tbl>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Theme="minorEastAsia" w:hAnsiTheme="minorEastAsia" w:eastAsiaTheme="minorEastAsia" w:cstheme="minorEastAsia"/>
          <w:sz w:val="22"/>
          <w:szCs w:val="22"/>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959" w:type="dxa"/>
        <w:jc w:val="center"/>
        <w:tblLayout w:type="fixed"/>
        <w:tblCellMar>
          <w:top w:w="0" w:type="dxa"/>
          <w:left w:w="0" w:type="dxa"/>
          <w:bottom w:w="0" w:type="dxa"/>
          <w:right w:w="0" w:type="dxa"/>
        </w:tblCellMar>
      </w:tblPr>
      <w:tblGrid>
        <w:gridCol w:w="672"/>
        <w:gridCol w:w="938"/>
        <w:gridCol w:w="837"/>
        <w:gridCol w:w="404"/>
        <w:gridCol w:w="1227"/>
        <w:gridCol w:w="572"/>
        <w:gridCol w:w="1855"/>
        <w:gridCol w:w="297"/>
        <w:gridCol w:w="2157"/>
      </w:tblGrid>
      <w:tr>
        <w:tblPrEx>
          <w:tblCellMar>
            <w:top w:w="0" w:type="dxa"/>
            <w:left w:w="0" w:type="dxa"/>
            <w:bottom w:w="0" w:type="dxa"/>
            <w:right w:w="0" w:type="dxa"/>
          </w:tblCellMar>
        </w:tblPrEx>
        <w:trPr>
          <w:trHeight w:val="426" w:hRule="atLeast"/>
          <w:jc w:val="center"/>
        </w:trPr>
        <w:tc>
          <w:tcPr>
            <w:tcW w:w="2447" w:type="dxa"/>
            <w:gridSpan w:val="3"/>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2"/>
                <w:szCs w:val="22"/>
              </w:rPr>
            </w:pPr>
            <w:r>
              <w:rPr>
                <w:rFonts w:hint="eastAsia" w:asciiTheme="minorEastAsia" w:hAnsiTheme="minorEastAsia" w:eastAsiaTheme="minorEastAsia" w:cstheme="minorEastAsia"/>
                <w:b/>
                <w:bCs/>
                <w:color w:val="000000"/>
                <w:kern w:val="0"/>
                <w:sz w:val="22"/>
                <w:szCs w:val="22"/>
                <w:lang w:bidi="ar"/>
              </w:rPr>
              <w:t>项目名称</w:t>
            </w:r>
          </w:p>
        </w:tc>
        <w:tc>
          <w:tcPr>
            <w:tcW w:w="6512" w:type="dxa"/>
            <w:gridSpan w:val="6"/>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b/>
                <w:bCs/>
                <w:color w:val="000000"/>
                <w:sz w:val="22"/>
                <w:szCs w:val="22"/>
                <w:lang w:val="en-US" w:eastAsia="zh-CN"/>
              </w:rPr>
            </w:pPr>
            <w:r>
              <w:rPr>
                <w:rFonts w:hint="eastAsia" w:asciiTheme="minorEastAsia" w:hAnsiTheme="minorEastAsia" w:eastAsiaTheme="minorEastAsia" w:cstheme="minorEastAsia"/>
                <w:b/>
                <w:bCs/>
                <w:color w:val="000000"/>
                <w:sz w:val="22"/>
                <w:szCs w:val="22"/>
                <w:lang w:val="en-US" w:eastAsia="zh-CN"/>
              </w:rPr>
              <w:t>2020年省级促进粮油产业高质量发展项目</w:t>
            </w:r>
          </w:p>
        </w:tc>
      </w:tr>
      <w:tr>
        <w:tblPrEx>
          <w:tblCellMar>
            <w:top w:w="0" w:type="dxa"/>
            <w:left w:w="0" w:type="dxa"/>
            <w:bottom w:w="0" w:type="dxa"/>
            <w:right w:w="0" w:type="dxa"/>
          </w:tblCellMar>
        </w:tblPrEx>
        <w:trPr>
          <w:trHeight w:val="426" w:hRule="atLeast"/>
          <w:jc w:val="center"/>
        </w:trPr>
        <w:tc>
          <w:tcPr>
            <w:tcW w:w="2447"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预算单位</w:t>
            </w:r>
          </w:p>
        </w:tc>
        <w:tc>
          <w:tcPr>
            <w:tcW w:w="6512" w:type="dxa"/>
            <w:gridSpan w:val="6"/>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广元市朝天区发展改革局（粮食和物资储备中心）</w:t>
            </w:r>
          </w:p>
        </w:tc>
      </w:tr>
      <w:tr>
        <w:tblPrEx>
          <w:tblCellMar>
            <w:top w:w="0" w:type="dxa"/>
            <w:left w:w="0" w:type="dxa"/>
            <w:bottom w:w="0" w:type="dxa"/>
            <w:right w:w="0" w:type="dxa"/>
          </w:tblCellMar>
        </w:tblPrEx>
        <w:trPr>
          <w:trHeight w:val="426" w:hRule="atLeast"/>
          <w:jc w:val="center"/>
        </w:trPr>
        <w:tc>
          <w:tcPr>
            <w:tcW w:w="672"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预算执行情况</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万元</w:t>
            </w:r>
            <w:r>
              <w:rPr>
                <w:rFonts w:hint="eastAsia" w:asciiTheme="minorEastAsia" w:hAnsiTheme="minorEastAsia" w:eastAsiaTheme="minorEastAsia" w:cstheme="minorEastAsia"/>
                <w:color w:val="000000"/>
                <w:kern w:val="0"/>
                <w:sz w:val="21"/>
                <w:szCs w:val="21"/>
                <w:lang w:eastAsia="zh-CN" w:bidi="ar"/>
              </w:rPr>
              <w:t>）</w:t>
            </w: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预算数</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w:t>
            </w: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执行数</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0"/>
                <w:szCs w:val="22"/>
                <w:lang w:val="en-US" w:eastAsia="zh-CN"/>
              </w:rPr>
            </w:pPr>
            <w:r>
              <w:rPr>
                <w:rFonts w:hint="eastAsia"/>
                <w:sz w:val="20"/>
                <w:szCs w:val="22"/>
                <w:lang w:val="en-US" w:eastAsia="zh-CN"/>
              </w:rPr>
              <w:t>510</w:t>
            </w:r>
          </w:p>
        </w:tc>
      </w:tr>
      <w:tr>
        <w:tblPrEx>
          <w:tblCellMar>
            <w:top w:w="0" w:type="dxa"/>
            <w:left w:w="0" w:type="dxa"/>
            <w:bottom w:w="0" w:type="dxa"/>
            <w:right w:w="0" w:type="dxa"/>
          </w:tblCellMar>
        </w:tblPrEx>
        <w:trPr>
          <w:trHeight w:val="426"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800</w:t>
            </w: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color w:val="000000"/>
                <w:kern w:val="0"/>
                <w:sz w:val="21"/>
                <w:szCs w:val="21"/>
                <w:lang w:bidi="ar"/>
              </w:rPr>
              <w:t>其中</w:t>
            </w:r>
            <w:r>
              <w:rPr>
                <w:rFonts w:hint="eastAsia" w:asciiTheme="minorEastAsia" w:hAnsiTheme="minorEastAsia" w:eastAsiaTheme="minorEastAsia" w:cstheme="minorEastAsia"/>
                <w:color w:val="000000"/>
                <w:kern w:val="0"/>
                <w:sz w:val="21"/>
                <w:szCs w:val="21"/>
                <w:lang w:eastAsia="zh-CN" w:bidi="ar"/>
              </w:rPr>
              <w:t>－</w:t>
            </w:r>
            <w:r>
              <w:rPr>
                <w:rFonts w:hint="eastAsia" w:asciiTheme="minorEastAsia" w:hAnsiTheme="minorEastAsia" w:eastAsiaTheme="minorEastAsia" w:cstheme="minorEastAsia"/>
                <w:color w:val="000000"/>
                <w:kern w:val="0"/>
                <w:sz w:val="21"/>
                <w:szCs w:val="21"/>
                <w:lang w:bidi="ar"/>
              </w:rPr>
              <w:t>财政拨款</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20"/>
                <w:szCs w:val="22"/>
                <w:lang w:val="en-US" w:eastAsia="zh-CN"/>
              </w:rPr>
            </w:pPr>
            <w:r>
              <w:rPr>
                <w:rFonts w:hint="eastAsia"/>
                <w:sz w:val="20"/>
                <w:szCs w:val="22"/>
                <w:lang w:val="en-US" w:eastAsia="zh-CN"/>
              </w:rPr>
              <w:t>510</w:t>
            </w:r>
          </w:p>
        </w:tc>
      </w:tr>
      <w:tr>
        <w:tblPrEx>
          <w:tblCellMar>
            <w:top w:w="0" w:type="dxa"/>
            <w:left w:w="0" w:type="dxa"/>
            <w:bottom w:w="0" w:type="dxa"/>
            <w:right w:w="0" w:type="dxa"/>
          </w:tblCellMar>
        </w:tblPrEx>
        <w:trPr>
          <w:trHeight w:val="426" w:hRule="atLeast"/>
          <w:jc w:val="center"/>
        </w:trPr>
        <w:tc>
          <w:tcPr>
            <w:tcW w:w="672"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17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2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p>
        </w:tc>
        <w:tc>
          <w:tcPr>
            <w:tcW w:w="21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color w:val="000000"/>
                <w:kern w:val="0"/>
                <w:sz w:val="21"/>
                <w:szCs w:val="21"/>
                <w:lang w:bidi="ar"/>
              </w:rPr>
              <w:t>其它资金</w:t>
            </w:r>
            <w:r>
              <w:rPr>
                <w:rFonts w:hint="eastAsia" w:asciiTheme="minorEastAsia" w:hAnsiTheme="minorEastAsia" w:eastAsiaTheme="minorEastAsia" w:cstheme="minorEastAsia"/>
                <w:color w:val="000000"/>
                <w:kern w:val="0"/>
                <w:sz w:val="21"/>
                <w:szCs w:val="21"/>
                <w:lang w:eastAsia="zh-CN" w:bidi="ar"/>
              </w:rPr>
              <w:t>：</w:t>
            </w:r>
          </w:p>
        </w:tc>
        <w:tc>
          <w:tcPr>
            <w:tcW w:w="215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sz w:val="20"/>
                <w:szCs w:val="22"/>
                <w:lang w:val="en-US" w:eastAsia="zh-CN"/>
              </w:rPr>
            </w:pPr>
          </w:p>
        </w:tc>
      </w:tr>
      <w:tr>
        <w:tblPrEx>
          <w:tblCellMar>
            <w:top w:w="0" w:type="dxa"/>
            <w:left w:w="0" w:type="dxa"/>
            <w:bottom w:w="0" w:type="dxa"/>
            <w:right w:w="0" w:type="dxa"/>
          </w:tblCellMar>
        </w:tblPrEx>
        <w:trPr>
          <w:trHeight w:val="426" w:hRule="atLeast"/>
          <w:jc w:val="center"/>
        </w:trPr>
        <w:tc>
          <w:tcPr>
            <w:tcW w:w="672"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年度目标完成情况</w:t>
            </w:r>
          </w:p>
        </w:tc>
        <w:tc>
          <w:tcPr>
            <w:tcW w:w="3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预期目标</w:t>
            </w:r>
          </w:p>
        </w:tc>
        <w:tc>
          <w:tcPr>
            <w:tcW w:w="4309"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实际完成目标</w:t>
            </w:r>
          </w:p>
        </w:tc>
      </w:tr>
      <w:tr>
        <w:tblPrEx>
          <w:tblCellMar>
            <w:top w:w="0" w:type="dxa"/>
            <w:left w:w="0" w:type="dxa"/>
            <w:bottom w:w="0" w:type="dxa"/>
            <w:right w:w="0" w:type="dxa"/>
          </w:tblCellMar>
        </w:tblPrEx>
        <w:trPr>
          <w:trHeight w:val="1284" w:hRule="atLeast"/>
          <w:jc w:val="center"/>
        </w:trPr>
        <w:tc>
          <w:tcPr>
            <w:tcW w:w="672"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21"/>
                <w:szCs w:val="21"/>
              </w:rPr>
            </w:pPr>
          </w:p>
        </w:tc>
        <w:tc>
          <w:tcPr>
            <w:tcW w:w="397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新建、维修改造仓储设施；建设“仓顶阳光”专项；完善建设粮食质量安全检验检测体系项目、完善省级信息化管理平台。</w:t>
            </w:r>
          </w:p>
        </w:tc>
        <w:tc>
          <w:tcPr>
            <w:tcW w:w="4309"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新建仓容</w:t>
            </w:r>
            <w:r>
              <w:rPr>
                <w:rFonts w:hint="eastAsia" w:asciiTheme="minorEastAsia" w:hAnsiTheme="minorEastAsia" w:eastAsiaTheme="minorEastAsia" w:cstheme="minorEastAsia"/>
                <w:color w:val="000000"/>
                <w:sz w:val="21"/>
                <w:szCs w:val="21"/>
                <w:lang w:val="en-US" w:eastAsia="zh-CN"/>
              </w:rPr>
              <w:t>20万吨，维修改造仓容13万吨</w:t>
            </w:r>
            <w:r>
              <w:rPr>
                <w:rFonts w:hint="eastAsia" w:asciiTheme="minorEastAsia" w:hAnsiTheme="minorEastAsia" w:eastAsiaTheme="minorEastAsia" w:cstheme="minorEastAsia"/>
                <w:color w:val="000000"/>
                <w:sz w:val="21"/>
                <w:szCs w:val="21"/>
                <w:lang w:eastAsia="zh-CN"/>
              </w:rPr>
              <w:t>；建设“仓顶阳光”</w:t>
            </w:r>
            <w:r>
              <w:rPr>
                <w:rFonts w:hint="eastAsia" w:asciiTheme="minorEastAsia" w:hAnsiTheme="minorEastAsia" w:eastAsiaTheme="minorEastAsia" w:cstheme="minorEastAsia"/>
                <w:color w:val="000000"/>
                <w:sz w:val="21"/>
                <w:szCs w:val="21"/>
                <w:lang w:val="en-US" w:eastAsia="zh-CN"/>
              </w:rPr>
              <w:t>10个</w:t>
            </w:r>
            <w:r>
              <w:rPr>
                <w:rFonts w:hint="eastAsia" w:asciiTheme="minorEastAsia" w:hAnsiTheme="minorEastAsia" w:eastAsiaTheme="minorEastAsia" w:cstheme="minorEastAsia"/>
                <w:color w:val="000000"/>
                <w:sz w:val="21"/>
                <w:szCs w:val="21"/>
                <w:lang w:eastAsia="zh-CN"/>
              </w:rPr>
              <w:t>；完善建设粮食质量安全检验检测体系、完善省级信息化管理平台各</w:t>
            </w: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lang w:eastAsia="zh-CN"/>
              </w:rPr>
              <w:t>个。</w:t>
            </w:r>
          </w:p>
        </w:tc>
      </w:tr>
      <w:tr>
        <w:tblPrEx>
          <w:tblCellMar>
            <w:top w:w="0" w:type="dxa"/>
            <w:left w:w="0" w:type="dxa"/>
            <w:bottom w:w="0" w:type="dxa"/>
            <w:right w:w="0" w:type="dxa"/>
          </w:tblCellMar>
        </w:tblPrEx>
        <w:trPr>
          <w:trHeight w:val="868" w:hRule="atLeast"/>
          <w:jc w:val="center"/>
        </w:trPr>
        <w:tc>
          <w:tcPr>
            <w:tcW w:w="672"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绩效指标完成情况</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一级指标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二级指标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kern w:val="0"/>
                <w:sz w:val="21"/>
                <w:szCs w:val="21"/>
                <w:lang w:bidi="ar"/>
              </w:rPr>
              <w:t>三级指标</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预期指标值</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包含数字及文字描述</w:t>
            </w:r>
            <w:r>
              <w:rPr>
                <w:rFonts w:hint="eastAsia" w:asciiTheme="minorEastAsia" w:hAnsiTheme="minorEastAsia" w:eastAsiaTheme="minorEastAsia" w:cstheme="minorEastAsia"/>
                <w:color w:val="000000"/>
                <w:sz w:val="21"/>
                <w:szCs w:val="21"/>
                <w:lang w:eastAsia="zh-CN"/>
              </w:rPr>
              <w:t>）</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实际完成指标值</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包含数字及文字描述</w:t>
            </w:r>
            <w:r>
              <w:rPr>
                <w:rFonts w:hint="eastAsia" w:asciiTheme="minorEastAsia" w:hAnsiTheme="minorEastAsia" w:eastAsiaTheme="minorEastAsia" w:cstheme="minorEastAsia"/>
                <w:color w:val="000000"/>
                <w:sz w:val="21"/>
                <w:szCs w:val="21"/>
                <w:lang w:eastAsia="zh-CN"/>
              </w:rPr>
              <w:t>）</w:t>
            </w:r>
          </w:p>
        </w:tc>
      </w:tr>
      <w:tr>
        <w:tblPrEx>
          <w:tblCellMar>
            <w:top w:w="0" w:type="dxa"/>
            <w:left w:w="0" w:type="dxa"/>
            <w:bottom w:w="0" w:type="dxa"/>
            <w:right w:w="0" w:type="dxa"/>
          </w:tblCellMar>
        </w:tblPrEx>
        <w:trPr>
          <w:trHeight w:val="1000"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数量指标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新建、维修改造仓储设施新建仓容</w:t>
            </w:r>
            <w:r>
              <w:rPr>
                <w:rFonts w:hint="eastAsia" w:asciiTheme="minorEastAsia" w:hAnsiTheme="minorEastAsia" w:eastAsiaTheme="minorEastAsia" w:cstheme="minorEastAsia"/>
                <w:color w:val="000000"/>
                <w:sz w:val="21"/>
                <w:szCs w:val="21"/>
                <w:lang w:val="en-US" w:eastAsia="zh-CN"/>
              </w:rPr>
              <w:t>20万吨，维修改造仓容13万吨</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新建仓容</w:t>
            </w:r>
            <w:r>
              <w:rPr>
                <w:rFonts w:hint="eastAsia" w:asciiTheme="minorEastAsia" w:hAnsiTheme="minorEastAsia" w:eastAsiaTheme="minorEastAsia" w:cstheme="minorEastAsia"/>
                <w:color w:val="000000"/>
                <w:sz w:val="21"/>
                <w:szCs w:val="21"/>
                <w:lang w:val="en-US" w:eastAsia="zh-CN"/>
              </w:rPr>
              <w:t>20万吨，维修改造仓容13万吨</w:t>
            </w:r>
          </w:p>
        </w:tc>
      </w:tr>
      <w:tr>
        <w:tblPrEx>
          <w:tblCellMar>
            <w:top w:w="0" w:type="dxa"/>
            <w:left w:w="0" w:type="dxa"/>
            <w:bottom w:w="0" w:type="dxa"/>
            <w:right w:w="0" w:type="dxa"/>
          </w:tblCellMar>
        </w:tblPrEx>
        <w:trPr>
          <w:trHeight w:val="1000"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质量指标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省级粮油产业高质量发展示范项目重点粮油品牌产品提档升级</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已完成</w:t>
            </w:r>
            <w:r>
              <w:rPr>
                <w:rFonts w:hint="eastAsia" w:asciiTheme="minorEastAsia" w:hAnsiTheme="minorEastAsia" w:eastAsiaTheme="minorEastAsia" w:cstheme="minorEastAsia"/>
                <w:color w:val="000000"/>
                <w:sz w:val="21"/>
                <w:szCs w:val="21"/>
                <w:lang w:val="en-US" w:eastAsia="zh-CN"/>
              </w:rPr>
              <w:t>2个品牌产品</w:t>
            </w:r>
          </w:p>
        </w:tc>
      </w:tr>
      <w:tr>
        <w:tblPrEx>
          <w:tblCellMar>
            <w:top w:w="0" w:type="dxa"/>
            <w:left w:w="0" w:type="dxa"/>
            <w:bottom w:w="0" w:type="dxa"/>
            <w:right w:w="0" w:type="dxa"/>
          </w:tblCellMar>
        </w:tblPrEx>
        <w:trPr>
          <w:trHeight w:val="68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时效指标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粮油仓储设施建设项目按期完成率</w:t>
            </w:r>
            <w:r>
              <w:rPr>
                <w:rFonts w:hint="eastAsia" w:asciiTheme="minorEastAsia" w:hAnsiTheme="minorEastAsia" w:eastAsiaTheme="minorEastAsia" w:cstheme="minorEastAsia"/>
                <w:color w:val="000000"/>
                <w:sz w:val="21"/>
                <w:szCs w:val="21"/>
                <w:lang w:val="en-US" w:eastAsia="zh-CN"/>
              </w:rPr>
              <w:t>100%</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粮油仓储设施建设项目按期完成率</w:t>
            </w:r>
            <w:r>
              <w:rPr>
                <w:rFonts w:hint="eastAsia" w:asciiTheme="minorEastAsia" w:hAnsiTheme="minorEastAsia" w:eastAsiaTheme="minorEastAsia" w:cstheme="minorEastAsia"/>
                <w:color w:val="000000"/>
                <w:sz w:val="21"/>
                <w:szCs w:val="21"/>
                <w:lang w:val="en-US" w:eastAsia="zh-CN"/>
              </w:rPr>
              <w:t>100%</w:t>
            </w:r>
          </w:p>
        </w:tc>
      </w:tr>
      <w:tr>
        <w:tblPrEx>
          <w:tblCellMar>
            <w:top w:w="0" w:type="dxa"/>
            <w:left w:w="0" w:type="dxa"/>
            <w:bottom w:w="0" w:type="dxa"/>
            <w:right w:w="0" w:type="dxa"/>
          </w:tblCellMar>
        </w:tblPrEx>
        <w:trPr>
          <w:trHeight w:val="68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项目完成指标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成本指标</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1317"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效益指标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经济效益</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省级粮油产业高质量发展示范项目重点粮油工业总产值增长</w:t>
            </w:r>
            <w:r>
              <w:rPr>
                <w:rFonts w:hint="eastAsia" w:asciiTheme="minorEastAsia" w:hAnsiTheme="minorEastAsia" w:eastAsiaTheme="minorEastAsia" w:cstheme="minorEastAsia"/>
                <w:color w:val="000000"/>
                <w:sz w:val="21"/>
                <w:szCs w:val="21"/>
                <w:lang w:val="en-US" w:eastAsia="zh-CN"/>
              </w:rPr>
              <w:t>10%左右</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省级粮油产业高质量发展示范项目重点粮油工业总产值增长</w:t>
            </w:r>
            <w:r>
              <w:rPr>
                <w:rFonts w:hint="eastAsia" w:asciiTheme="minorEastAsia" w:hAnsiTheme="minorEastAsia" w:eastAsiaTheme="minorEastAsia" w:cstheme="minorEastAsia"/>
                <w:color w:val="000000"/>
                <w:sz w:val="21"/>
                <w:szCs w:val="21"/>
                <w:lang w:val="en-US" w:eastAsia="zh-CN"/>
              </w:rPr>
              <w:t>10%</w:t>
            </w:r>
          </w:p>
        </w:tc>
      </w:tr>
      <w:tr>
        <w:tblPrEx>
          <w:tblCellMar>
            <w:top w:w="0" w:type="dxa"/>
            <w:left w:w="0" w:type="dxa"/>
            <w:bottom w:w="0" w:type="dxa"/>
            <w:right w:w="0" w:type="dxa"/>
          </w:tblCellMar>
        </w:tblPrEx>
        <w:trPr>
          <w:trHeight w:val="1634" w:hRule="atLeast"/>
          <w:jc w:val="center"/>
        </w:trPr>
        <w:tc>
          <w:tcPr>
            <w:tcW w:w="672"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效益指标</w:t>
            </w:r>
          </w:p>
        </w:tc>
        <w:tc>
          <w:tcPr>
            <w:tcW w:w="124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社会效益</w:t>
            </w:r>
          </w:p>
        </w:tc>
        <w:tc>
          <w:tcPr>
            <w:tcW w:w="12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增加优质粮油产品供给，助农增收为市场提供更多优质粮油产品，服务消费者与售粮农民</w:t>
            </w:r>
          </w:p>
        </w:tc>
        <w:tc>
          <w:tcPr>
            <w:tcW w:w="245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增加优质粮油产品供给，助农增收为市场提供更多优质粮油产品，服务消费者与售粮农民</w:t>
            </w:r>
          </w:p>
        </w:tc>
      </w:tr>
      <w:tr>
        <w:tblPrEx>
          <w:tblCellMar>
            <w:top w:w="0" w:type="dxa"/>
            <w:left w:w="0" w:type="dxa"/>
            <w:bottom w:w="0" w:type="dxa"/>
            <w:right w:w="0" w:type="dxa"/>
          </w:tblCellMar>
        </w:tblPrEx>
        <w:trPr>
          <w:trHeight w:val="704" w:hRule="atLeast"/>
          <w:jc w:val="center"/>
        </w:trPr>
        <w:tc>
          <w:tcPr>
            <w:tcW w:w="67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20"/>
                <w:szCs w:val="20"/>
              </w:rPr>
            </w:pPr>
          </w:p>
        </w:tc>
        <w:tc>
          <w:tcPr>
            <w:tcW w:w="93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满意度指标</w:t>
            </w:r>
          </w:p>
        </w:tc>
        <w:tc>
          <w:tcPr>
            <w:tcW w:w="1241"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群众满意度</w:t>
            </w:r>
          </w:p>
        </w:tc>
        <w:tc>
          <w:tcPr>
            <w:tcW w:w="12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指标1</w:t>
            </w:r>
          </w:p>
        </w:tc>
        <w:tc>
          <w:tcPr>
            <w:tcW w:w="2427"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90%</w:t>
            </w:r>
          </w:p>
        </w:tc>
        <w:tc>
          <w:tcPr>
            <w:tcW w:w="2454"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90%</w:t>
            </w:r>
          </w:p>
        </w:tc>
      </w:tr>
    </w:tbl>
    <w:p>
      <w:pPr>
        <w:pStyle w:val="2"/>
        <w:keepNext w:val="0"/>
        <w:keepLines w:val="0"/>
        <w:pageBreakBefore w:val="0"/>
        <w:widowControl w:val="0"/>
        <w:kinsoku/>
        <w:wordWrap/>
        <w:overflowPunct/>
        <w:topLinePunct w:val="0"/>
        <w:autoSpaceDE/>
        <w:autoSpaceDN/>
        <w:bidi w:val="0"/>
        <w:adjustRightInd w:val="0"/>
        <w:snapToGrid w:val="0"/>
        <w:spacing w:beforeLines="0" w:line="576" w:lineRule="exact"/>
        <w:jc w:val="center"/>
        <w:textAlignment w:val="auto"/>
        <w:rPr>
          <w:rFonts w:hint="eastAsia" w:ascii="楷体_GB2312" w:hAnsi="楷体_GB2312" w:eastAsia="楷体_GB2312" w:cs="楷体_GB2312"/>
          <w:b/>
          <w:bCs/>
          <w:color w:val="000000"/>
          <w:kern w:val="0"/>
          <w:sz w:val="32"/>
          <w:szCs w:val="32"/>
          <w:lang w:bidi="ar"/>
        </w:rPr>
      </w:pP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项目绩效目标完成情况表</w:t>
      </w:r>
    </w:p>
    <w:p>
      <w:pPr>
        <w:pStyle w:val="2"/>
        <w:keepNext w:val="0"/>
        <w:keepLines w:val="0"/>
        <w:pageBreakBefore w:val="0"/>
        <w:widowControl w:val="0"/>
        <w:kinsoku/>
        <w:wordWrap/>
        <w:overflowPunct/>
        <w:topLinePunct w:val="0"/>
        <w:autoSpaceDE/>
        <w:autoSpaceDN/>
        <w:bidi w:val="0"/>
        <w:adjustRightInd/>
        <w:snapToGrid/>
        <w:spacing w:beforeLines="0" w:line="576" w:lineRule="exact"/>
        <w:jc w:val="center"/>
        <w:textAlignment w:val="auto"/>
        <w:rPr>
          <w:rFonts w:hint="eastAsia" w:ascii="楷体_GB2312" w:hAnsi="楷体_GB2312" w:eastAsia="楷体_GB2312" w:cs="楷体_GB2312"/>
          <w:b/>
          <w:bCs/>
          <w:color w:val="000000"/>
          <w:kern w:val="0"/>
          <w:sz w:val="32"/>
          <w:szCs w:val="32"/>
          <w:lang w:bidi="ar"/>
        </w:rPr>
      </w:pPr>
      <w:r>
        <w:rPr>
          <w:rFonts w:hint="eastAsia" w:ascii="楷体_GB2312" w:hAnsi="楷体_GB2312" w:eastAsia="楷体_GB2312" w:cs="楷体_GB2312"/>
          <w:b/>
          <w:bCs/>
          <w:color w:val="000000"/>
          <w:kern w:val="0"/>
          <w:sz w:val="32"/>
          <w:szCs w:val="32"/>
          <w:lang w:eastAsia="zh-CN" w:bidi="ar"/>
        </w:rPr>
        <w:t>（</w:t>
      </w:r>
      <w:r>
        <w:rPr>
          <w:rFonts w:hint="eastAsia" w:ascii="楷体_GB2312" w:hAnsi="楷体_GB2312" w:eastAsia="楷体_GB2312" w:cs="楷体_GB2312"/>
          <w:b/>
          <w:bCs/>
          <w:color w:val="000000"/>
          <w:kern w:val="0"/>
          <w:sz w:val="32"/>
          <w:szCs w:val="32"/>
          <w:lang w:bidi="ar"/>
        </w:rPr>
        <w:t>2020年度</w:t>
      </w:r>
      <w:r>
        <w:rPr>
          <w:rFonts w:hint="eastAsia" w:ascii="楷体_GB2312" w:hAnsi="楷体_GB2312" w:eastAsia="楷体_GB2312" w:cs="楷体_GB2312"/>
          <w:b/>
          <w:bCs/>
          <w:color w:val="000000"/>
          <w:kern w:val="0"/>
          <w:sz w:val="32"/>
          <w:szCs w:val="32"/>
          <w:lang w:eastAsia="zh-CN" w:bidi="ar"/>
        </w:rPr>
        <w:t>）</w:t>
      </w:r>
    </w:p>
    <w:tbl>
      <w:tblPr>
        <w:tblStyle w:val="15"/>
        <w:tblW w:w="8825" w:type="dxa"/>
        <w:jc w:val="center"/>
        <w:tblLayout w:type="fixed"/>
        <w:tblCellMar>
          <w:top w:w="0" w:type="dxa"/>
          <w:left w:w="0" w:type="dxa"/>
          <w:bottom w:w="0" w:type="dxa"/>
          <w:right w:w="0" w:type="dxa"/>
        </w:tblCellMar>
      </w:tblPr>
      <w:tblGrid>
        <w:gridCol w:w="739"/>
        <w:gridCol w:w="914"/>
        <w:gridCol w:w="983"/>
        <w:gridCol w:w="877"/>
        <w:gridCol w:w="797"/>
        <w:gridCol w:w="1799"/>
        <w:gridCol w:w="2716"/>
      </w:tblGrid>
      <w:tr>
        <w:tblPrEx>
          <w:tblCellMar>
            <w:top w:w="0" w:type="dxa"/>
            <w:left w:w="0" w:type="dxa"/>
            <w:bottom w:w="0" w:type="dxa"/>
            <w:right w:w="0" w:type="dxa"/>
          </w:tblCellMar>
        </w:tblPrEx>
        <w:trPr>
          <w:trHeight w:val="500" w:hRule="atLeast"/>
          <w:jc w:val="center"/>
        </w:trPr>
        <w:tc>
          <w:tcPr>
            <w:tcW w:w="2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kern w:val="0"/>
                <w:sz w:val="21"/>
                <w:szCs w:val="21"/>
                <w:lang w:bidi="ar"/>
              </w:rPr>
              <w:t>项目名称</w:t>
            </w:r>
          </w:p>
        </w:tc>
        <w:tc>
          <w:tcPr>
            <w:tcW w:w="6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b/>
                <w:bCs/>
                <w:color w:val="000000"/>
                <w:sz w:val="21"/>
                <w:szCs w:val="21"/>
                <w:lang w:val="en-US" w:eastAsia="zh-CN"/>
              </w:rPr>
            </w:pPr>
            <w:r>
              <w:rPr>
                <w:rFonts w:hint="eastAsia" w:asciiTheme="minorEastAsia" w:hAnsiTheme="minorEastAsia" w:eastAsiaTheme="minorEastAsia" w:cstheme="minorEastAsia"/>
                <w:b/>
                <w:bCs/>
                <w:color w:val="000000"/>
                <w:sz w:val="21"/>
                <w:szCs w:val="21"/>
                <w:lang w:val="en-US" w:eastAsia="zh-CN"/>
              </w:rPr>
              <w:t>2000吨区级储备粮管理项目</w:t>
            </w:r>
          </w:p>
        </w:tc>
      </w:tr>
      <w:tr>
        <w:tblPrEx>
          <w:tblCellMar>
            <w:top w:w="0" w:type="dxa"/>
            <w:left w:w="0" w:type="dxa"/>
            <w:bottom w:w="0" w:type="dxa"/>
            <w:right w:w="0" w:type="dxa"/>
          </w:tblCellMar>
        </w:tblPrEx>
        <w:trPr>
          <w:trHeight w:val="500" w:hRule="atLeast"/>
          <w:jc w:val="center"/>
        </w:trPr>
        <w:tc>
          <w:tcPr>
            <w:tcW w:w="2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预算单位</w:t>
            </w:r>
          </w:p>
        </w:tc>
        <w:tc>
          <w:tcPr>
            <w:tcW w:w="6189"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广元市朝天区发展改革局（粮食和物资储备中心）</w:t>
            </w:r>
          </w:p>
        </w:tc>
      </w:tr>
      <w:tr>
        <w:tblPrEx>
          <w:tblCellMar>
            <w:top w:w="0" w:type="dxa"/>
            <w:left w:w="0" w:type="dxa"/>
            <w:bottom w:w="0" w:type="dxa"/>
            <w:right w:w="0" w:type="dxa"/>
          </w:tblCellMar>
        </w:tblPrEx>
        <w:trPr>
          <w:trHeight w:val="500" w:hRule="atLeast"/>
          <w:jc w:val="center"/>
        </w:trPr>
        <w:tc>
          <w:tcPr>
            <w:tcW w:w="7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预算执行情况</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万元</w:t>
            </w:r>
            <w:r>
              <w:rPr>
                <w:rFonts w:hint="eastAsia" w:asciiTheme="minorEastAsia" w:hAnsiTheme="minorEastAsia" w:eastAsiaTheme="minorEastAsia" w:cstheme="minorEastAsia"/>
                <w:color w:val="000000"/>
                <w:kern w:val="0"/>
                <w:sz w:val="18"/>
                <w:szCs w:val="18"/>
                <w:lang w:eastAsia="zh-CN" w:bidi="ar"/>
              </w:rPr>
              <w:t>）</w:t>
            </w: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预算数</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执行数</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16"/>
                <w:szCs w:val="20"/>
                <w:lang w:val="en-US" w:eastAsia="zh-CN"/>
              </w:rPr>
            </w:pPr>
            <w:r>
              <w:rPr>
                <w:rFonts w:hint="eastAsia"/>
                <w:sz w:val="16"/>
                <w:szCs w:val="20"/>
                <w:lang w:val="en-US" w:eastAsia="zh-CN"/>
              </w:rPr>
              <w:t>30</w:t>
            </w:r>
          </w:p>
        </w:tc>
      </w:tr>
      <w:tr>
        <w:tblPrEx>
          <w:tblCellMar>
            <w:top w:w="0" w:type="dxa"/>
            <w:left w:w="0" w:type="dxa"/>
            <w:bottom w:w="0" w:type="dxa"/>
            <w:right w:w="0" w:type="dxa"/>
          </w:tblCellMar>
        </w:tblPrEx>
        <w:trPr>
          <w:trHeight w:val="500"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20</w:t>
            </w: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rightChars="0"/>
              <w:jc w:val="center"/>
              <w:textAlignment w:val="center"/>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kern w:val="0"/>
                <w:sz w:val="18"/>
                <w:szCs w:val="18"/>
                <w:lang w:bidi="ar"/>
              </w:rPr>
              <w:t>其中</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bidi="ar"/>
              </w:rPr>
              <w:t>财政拨款</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default"/>
                <w:sz w:val="16"/>
                <w:szCs w:val="20"/>
                <w:lang w:val="en-US" w:eastAsia="zh-CN"/>
              </w:rPr>
            </w:pPr>
            <w:r>
              <w:rPr>
                <w:rFonts w:hint="eastAsia"/>
                <w:sz w:val="16"/>
                <w:szCs w:val="20"/>
                <w:lang w:val="en-US" w:eastAsia="zh-CN"/>
              </w:rPr>
              <w:t>30</w:t>
            </w:r>
          </w:p>
        </w:tc>
      </w:tr>
      <w:tr>
        <w:tblPrEx>
          <w:tblCellMar>
            <w:top w:w="0" w:type="dxa"/>
            <w:left w:w="0" w:type="dxa"/>
            <w:bottom w:w="0" w:type="dxa"/>
            <w:right w:w="0" w:type="dxa"/>
          </w:tblCellMar>
        </w:tblPrEx>
        <w:trPr>
          <w:trHeight w:val="500" w:hRule="atLeast"/>
          <w:jc w:val="center"/>
        </w:trPr>
        <w:tc>
          <w:tcPr>
            <w:tcW w:w="7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16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17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其它资金</w:t>
            </w:r>
            <w:r>
              <w:rPr>
                <w:rFonts w:hint="eastAsia" w:asciiTheme="minorEastAsia" w:hAnsiTheme="minorEastAsia" w:eastAsiaTheme="minorEastAsia" w:cstheme="minorEastAsia"/>
                <w:color w:val="000000"/>
                <w:kern w:val="0"/>
                <w:sz w:val="18"/>
                <w:szCs w:val="18"/>
                <w:lang w:eastAsia="zh-CN" w:bidi="ar"/>
              </w:rPr>
              <w:t>：</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sz w:val="16"/>
                <w:szCs w:val="20"/>
                <w:lang w:val="en-US" w:eastAsia="zh-CN"/>
              </w:rPr>
            </w:pPr>
          </w:p>
        </w:tc>
      </w:tr>
      <w:tr>
        <w:tblPrEx>
          <w:tblCellMar>
            <w:top w:w="0" w:type="dxa"/>
            <w:left w:w="0" w:type="dxa"/>
            <w:bottom w:w="0" w:type="dxa"/>
            <w:right w:w="0" w:type="dxa"/>
          </w:tblCellMar>
        </w:tblPrEx>
        <w:trPr>
          <w:trHeight w:val="360"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年度目标完成情况</w:t>
            </w:r>
          </w:p>
        </w:tc>
        <w:tc>
          <w:tcPr>
            <w:tcW w:w="3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预期目标</w:t>
            </w:r>
          </w:p>
        </w:tc>
        <w:tc>
          <w:tcPr>
            <w:tcW w:w="4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实际完成目标</w:t>
            </w:r>
          </w:p>
        </w:tc>
      </w:tr>
      <w:tr>
        <w:tblPrEx>
          <w:tblCellMar>
            <w:top w:w="0" w:type="dxa"/>
            <w:left w:w="0" w:type="dxa"/>
            <w:bottom w:w="0" w:type="dxa"/>
            <w:right w:w="0" w:type="dxa"/>
          </w:tblCellMar>
        </w:tblPrEx>
        <w:trPr>
          <w:trHeight w:val="2156"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hint="eastAsia" w:asciiTheme="minorEastAsia" w:hAnsiTheme="minorEastAsia" w:eastAsiaTheme="minorEastAsia" w:cstheme="minorEastAsia"/>
                <w:color w:val="000000"/>
                <w:sz w:val="18"/>
                <w:szCs w:val="18"/>
              </w:rPr>
            </w:pPr>
          </w:p>
        </w:tc>
        <w:tc>
          <w:tcPr>
            <w:tcW w:w="3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管理，保证数量真实，质量良好和储存安全，有效发挥区级储备粮在保障安全中的作用，维护粮食市场稳定。结合我区实际，按照储备粮管理相关要求，实施储备粮管理项目。2020年初预算区级储备粮管理项目管理费20万元；2019年预算2000吨区级储备粮管理项目管理费10万元。合计30万元。</w:t>
            </w:r>
          </w:p>
        </w:tc>
        <w:tc>
          <w:tcPr>
            <w:tcW w:w="45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管理，保证数量真实，质量良好和储存安全，有效发挥区级储备粮在保障安全中的作用，维护粮食市场稳定。结合我区实际，按照储备粮管理相关要求，实施储备粮管理项目。已支付30万元（二次运输费、装卸费及保管员工资、熏蒸杀虫药品、日常管理费、机械设施维护保养费等）。</w:t>
            </w:r>
          </w:p>
        </w:tc>
      </w:tr>
      <w:tr>
        <w:tblPrEx>
          <w:tblCellMar>
            <w:top w:w="0" w:type="dxa"/>
            <w:left w:w="0" w:type="dxa"/>
            <w:bottom w:w="0" w:type="dxa"/>
            <w:right w:w="0" w:type="dxa"/>
          </w:tblCellMar>
        </w:tblPrEx>
        <w:trPr>
          <w:trHeight w:val="1083" w:hRule="atLeast"/>
          <w:jc w:val="center"/>
        </w:trPr>
        <w:tc>
          <w:tcPr>
            <w:tcW w:w="7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绩效指标完成情况</w:t>
            </w: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一级指标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二级指标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三级指标</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预期指标值（包含数字及文字描述）</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实际完成指标值（包含数字及文字描述）</w:t>
            </w:r>
          </w:p>
        </w:tc>
      </w:tr>
      <w:tr>
        <w:tblPrEx>
          <w:tblCellMar>
            <w:top w:w="0" w:type="dxa"/>
            <w:left w:w="0" w:type="dxa"/>
            <w:bottom w:w="0" w:type="dxa"/>
            <w:right w:w="0" w:type="dxa"/>
          </w:tblCellMar>
        </w:tblPrEx>
        <w:trPr>
          <w:trHeight w:val="1208"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二次运输费、装卸费及保管员工资、熏蒸杀虫药品、日常管理费、机械设施维护保养费等，主要指标：2000吨储备粮：小麦1000吨；稻谷1000吨。</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已全面完成2000吨储备粮的管理维护工作。</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粮食储存期限3年质量合格率达到100%，储存品质率达到95%以上。</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储备粮质量合格率、储存品质率达100%。</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每3年轮换一次。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 xml:space="preserve">每两月检查一次。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年内全面完成</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w:t>
            </w:r>
          </w:p>
        </w:tc>
      </w:tr>
      <w:tr>
        <w:tblPrEx>
          <w:tblCellMar>
            <w:top w:w="0" w:type="dxa"/>
            <w:left w:w="0" w:type="dxa"/>
            <w:bottom w:w="0" w:type="dxa"/>
            <w:right w:w="0" w:type="dxa"/>
          </w:tblCellMar>
        </w:tblPrEx>
        <w:trPr>
          <w:trHeight w:val="976"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项目完成指标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成本指标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开展二次运输、装卸、熏蒸杀虫、日常管理、机械设施维护保养，储备粮维护管理等费用支出30万元。</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完成率100%。</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效益指标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粮食储备保障突发灾害粮食应急供应。保障全区正常生产、生活秩序，确保社会稳定。</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粮食储备保障突发灾害粮食应急供应。保障全区正常生产、生活秩序，确保社会稳定</w:t>
            </w:r>
          </w:p>
        </w:tc>
      </w:tr>
      <w:tr>
        <w:tblPrEx>
          <w:tblCellMar>
            <w:top w:w="0" w:type="dxa"/>
            <w:left w:w="0" w:type="dxa"/>
            <w:bottom w:w="0" w:type="dxa"/>
            <w:right w:w="0" w:type="dxa"/>
          </w:tblCellMar>
        </w:tblPrEx>
        <w:trPr>
          <w:trHeight w:val="744" w:hRule="atLeast"/>
          <w:jc w:val="center"/>
        </w:trPr>
        <w:tc>
          <w:tcPr>
            <w:tcW w:w="73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效益指标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满足全区灾后粮食应急供应，保障正常生产、生活秩序，确保社会稳定。</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已全面完成。</w:t>
            </w:r>
          </w:p>
        </w:tc>
      </w:tr>
      <w:tr>
        <w:tblPrEx>
          <w:tblCellMar>
            <w:top w:w="0" w:type="dxa"/>
            <w:left w:w="0" w:type="dxa"/>
            <w:bottom w:w="0" w:type="dxa"/>
            <w:right w:w="0" w:type="dxa"/>
          </w:tblCellMar>
        </w:tblPrEx>
        <w:trPr>
          <w:trHeight w:val="866" w:hRule="atLeast"/>
          <w:jc w:val="center"/>
        </w:trPr>
        <w:tc>
          <w:tcPr>
            <w:tcW w:w="7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sz w:val="18"/>
                <w:szCs w:val="18"/>
              </w:rPr>
            </w:pPr>
          </w:p>
        </w:tc>
        <w:tc>
          <w:tcPr>
            <w:tcW w:w="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满意度指标</w:t>
            </w:r>
          </w:p>
        </w:tc>
        <w:tc>
          <w:tcPr>
            <w:tcW w:w="9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群众满意度</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指标1</w:t>
            </w:r>
          </w:p>
        </w:tc>
        <w:tc>
          <w:tcPr>
            <w:tcW w:w="25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满意度达到100%。</w:t>
            </w:r>
          </w:p>
        </w:tc>
        <w:tc>
          <w:tcPr>
            <w:tcW w:w="2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val="en-US" w:eastAsia="zh-CN" w:bidi="ar"/>
              </w:rPr>
              <w:t>满意度达到100%。</w:t>
            </w:r>
          </w:p>
        </w:tc>
      </w:tr>
    </w:tbl>
    <w:p>
      <w:pPr>
        <w:pStyle w:val="2"/>
        <w:rPr>
          <w:rFonts w:hint="eastAsia" w:asciiTheme="minorEastAsia" w:hAnsiTheme="minorEastAsia" w:eastAsiaTheme="minorEastAsia" w:cstheme="minorEastAsia"/>
          <w:sz w:val="22"/>
          <w:szCs w:val="2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44"/>
          <w:szCs w:val="44"/>
        </w:rPr>
      </w:pPr>
      <w:bookmarkStart w:id="37" w:name="_Toc15377225"/>
      <w:bookmarkStart w:id="38" w:name="_Toc15396613"/>
      <w:r>
        <w:rPr>
          <w:rFonts w:hint="eastAsia" w:ascii="方正小标宋简体" w:hAnsi="方正小标宋简体" w:eastAsia="方正小标宋简体" w:cs="方正小标宋简体"/>
          <w:b w:val="0"/>
          <w:bCs/>
          <w:sz w:val="44"/>
          <w:szCs w:val="44"/>
        </w:rPr>
        <w:t>第三部分  名词解释</w:t>
      </w:r>
      <w:bookmarkEnd w:id="37"/>
      <w:bookmarkEnd w:id="38"/>
    </w:p>
    <w:p>
      <w:pPr>
        <w:keepNext w:val="0"/>
        <w:keepLines w:val="0"/>
        <w:pageBreakBefore w:val="0"/>
        <w:kinsoku/>
        <w:wordWrap/>
        <w:overflowPunct/>
        <w:topLinePunct w:val="0"/>
        <w:autoSpaceDE/>
        <w:autoSpaceDN/>
        <w:bidi w:val="0"/>
        <w:adjustRightInd/>
        <w:snapToGrid/>
        <w:spacing w:line="576" w:lineRule="exact"/>
        <w:jc w:val="both"/>
        <w:textAlignment w:val="auto"/>
        <w:rPr>
          <w:rFonts w:ascii="宋体" w:hAnsi="宋体" w:cs="仿宋_GB2312"/>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000000"/>
          <w:spacing w:val="0"/>
          <w:kern w:val="2"/>
          <w:sz w:val="32"/>
          <w:szCs w:val="32"/>
          <w:lang w:val="en-US" w:eastAsia="zh-CN" w:bidi="ar"/>
        </w:rPr>
        <w:t>1.财政拨款收入：</w:t>
      </w:r>
      <w:r>
        <w:rPr>
          <w:rFonts w:hint="eastAsia" w:ascii="仿宋_GB2312" w:hAnsi="仿宋_GB2312" w:eastAsia="仿宋_GB2312" w:cs="仿宋_GB2312"/>
          <w:spacing w:val="0"/>
          <w:sz w:val="32"/>
          <w:szCs w:val="32"/>
        </w:rPr>
        <w:t>指单位从同级财政部门取得的财政预算资金。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2.事业收入：</w:t>
      </w:r>
      <w:r>
        <w:rPr>
          <w:rFonts w:hint="eastAsia" w:ascii="仿宋_GB2312" w:hAnsi="仿宋_GB2312" w:eastAsia="仿宋_GB2312" w:cs="仿宋_GB2312"/>
          <w:sz w:val="32"/>
          <w:szCs w:val="32"/>
        </w:rPr>
        <w:t>指事业单位开展专业业务活动及辅助活动所取得的收入。</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3.经营收入：</w:t>
      </w:r>
      <w:r>
        <w:rPr>
          <w:rFonts w:hint="eastAsia" w:ascii="仿宋_GB2312" w:hAnsi="仿宋_GB2312" w:eastAsia="仿宋_GB2312" w:cs="仿宋_GB2312"/>
          <w:sz w:val="32"/>
          <w:szCs w:val="32"/>
        </w:rPr>
        <w:t>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4.其他收入：</w:t>
      </w:r>
      <w:r>
        <w:rPr>
          <w:rFonts w:hint="eastAsia" w:ascii="仿宋_GB2312" w:hAnsi="仿宋_GB2312" w:eastAsia="仿宋_GB2312" w:cs="仿宋_GB2312"/>
          <w:sz w:val="32"/>
          <w:szCs w:val="32"/>
        </w:rPr>
        <w:t>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5.用事业基金弥补收支差额：</w:t>
      </w:r>
      <w:r>
        <w:rPr>
          <w:rFonts w:hint="eastAsia" w:ascii="仿宋_GB2312" w:hAnsi="仿宋_GB2312" w:eastAsia="仿宋_GB2312" w:cs="仿宋_GB2312"/>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6.年初结转和结余：</w:t>
      </w:r>
      <w:r>
        <w:rPr>
          <w:rFonts w:hint="eastAsia" w:ascii="仿宋_GB2312" w:hAnsi="仿宋_GB2312" w:eastAsia="仿宋_GB2312" w:cs="仿宋_GB2312"/>
          <w:sz w:val="32"/>
          <w:szCs w:val="32"/>
        </w:rPr>
        <w:t>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7.结余分配：</w:t>
      </w:r>
      <w:r>
        <w:rPr>
          <w:rFonts w:hint="eastAsia" w:ascii="仿宋_GB2312" w:hAnsi="仿宋_GB2312" w:eastAsia="仿宋_GB2312" w:cs="仿宋_GB2312"/>
          <w:sz w:val="32"/>
          <w:szCs w:val="32"/>
        </w:rPr>
        <w:t>指事业单位按照事业单位会计制度的规定从非财政补助结余中分配的事业基金和职工福利基金等。</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8.年末结转和结余：</w:t>
      </w:r>
      <w:r>
        <w:rPr>
          <w:rFonts w:hint="eastAsia" w:ascii="仿宋_GB2312" w:hAnsi="仿宋_GB2312" w:eastAsia="仿宋_GB2312" w:cs="仿宋_GB2312"/>
          <w:sz w:val="32"/>
          <w:szCs w:val="32"/>
        </w:rPr>
        <w:t>指单位按有关规定结转到下年或以后年度继续使用的资金。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9.一般公共服务支出（类）发展与改革事务（款）行政运行（项）：</w:t>
      </w:r>
      <w:r>
        <w:rPr>
          <w:rFonts w:hint="eastAsia" w:ascii="仿宋_GB2312" w:hAnsi="仿宋_GB2312" w:eastAsia="仿宋_GB2312" w:cs="仿宋_GB2312"/>
          <w:sz w:val="32"/>
          <w:szCs w:val="32"/>
        </w:rPr>
        <w:t>指反映行政单位（包括实行公务员管理的事业单位）的基本支出。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10.一般公共服务支出（类）发展与改革事务（款）一般行政管理事务（项）：</w:t>
      </w:r>
      <w:r>
        <w:rPr>
          <w:rFonts w:hint="eastAsia" w:ascii="仿宋_GB2312" w:hAnsi="仿宋_GB2312" w:eastAsia="仿宋_GB2312" w:cs="仿宋_GB2312"/>
          <w:b w:val="0"/>
          <w:bCs w:val="0"/>
          <w:sz w:val="32"/>
          <w:szCs w:val="32"/>
        </w:rPr>
        <w:t>指反映行政单位（包括实行公务</w:t>
      </w:r>
      <w:r>
        <w:rPr>
          <w:rFonts w:hint="eastAsia" w:ascii="仿宋_GB2312" w:hAnsi="仿宋_GB2312" w:eastAsia="仿宋_GB2312" w:cs="仿宋_GB2312"/>
          <w:sz w:val="32"/>
          <w:szCs w:val="32"/>
        </w:rPr>
        <w:t>员管理的事业单位）未单独设置项级科目的其他项目支出。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color w:val="000000"/>
          <w:kern w:val="2"/>
          <w:sz w:val="32"/>
          <w:szCs w:val="32"/>
          <w:lang w:val="en-US" w:eastAsia="zh-CN" w:bidi="ar"/>
        </w:rPr>
        <w:t>11.</w:t>
      </w:r>
      <w:r>
        <w:rPr>
          <w:rFonts w:hint="eastAsia" w:ascii="仿宋_GB2312" w:hAnsi="仿宋_GB2312" w:eastAsia="仿宋_GB2312" w:cs="仿宋_GB2312"/>
          <w:b/>
          <w:bCs/>
          <w:color w:val="000000"/>
          <w:spacing w:val="-11"/>
          <w:kern w:val="2"/>
          <w:sz w:val="32"/>
          <w:szCs w:val="32"/>
          <w:lang w:val="en-US" w:eastAsia="zh-CN" w:bidi="ar"/>
        </w:rPr>
        <w:t>一般公共服务支出（类）发展与改革事务（款）其他发展与改革事务支出（项）：</w:t>
      </w:r>
      <w:r>
        <w:rPr>
          <w:rFonts w:hint="eastAsia" w:ascii="仿宋_GB2312" w:hAnsi="仿宋_GB2312" w:eastAsia="仿宋_GB2312" w:cs="仿宋_GB2312"/>
          <w:spacing w:val="-11"/>
          <w:sz w:val="32"/>
          <w:szCs w:val="32"/>
        </w:rPr>
        <w:t>指反映其他发展与改革事务的支出。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b/>
          <w:bCs/>
          <w:color w:val="000000"/>
          <w:kern w:val="2"/>
          <w:sz w:val="32"/>
          <w:szCs w:val="32"/>
          <w:lang w:val="en-US" w:eastAsia="zh-CN" w:bidi="ar"/>
        </w:rPr>
        <w:t>12.</w:t>
      </w:r>
      <w:r>
        <w:rPr>
          <w:rFonts w:hint="eastAsia" w:ascii="仿宋_GB2312" w:hAnsi="仿宋_GB2312" w:eastAsia="仿宋_GB2312" w:cs="仿宋_GB2312"/>
          <w:b/>
          <w:bCs/>
          <w:color w:val="000000"/>
          <w:spacing w:val="-11"/>
          <w:kern w:val="2"/>
          <w:sz w:val="32"/>
          <w:szCs w:val="32"/>
          <w:lang w:val="en-US" w:eastAsia="zh-CN" w:bidi="ar"/>
        </w:rPr>
        <w:t>社会保障和就业支出（类）行政事业单位离退休（款）机关事业单位基本养老保险缴费支出（项）：</w:t>
      </w:r>
      <w:r>
        <w:rPr>
          <w:rFonts w:hint="eastAsia" w:ascii="仿宋_GB2312" w:hAnsi="仿宋_GB2312" w:eastAsia="仿宋_GB2312" w:cs="仿宋_GB2312"/>
          <w:spacing w:val="-11"/>
          <w:sz w:val="32"/>
          <w:szCs w:val="32"/>
        </w:rPr>
        <w:t>指反映机关事业单位实施养老保险制度由单位缴纳的基本养老保险缴费支出。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13.住房保障支出（类）住房改革支出（款）住房公积金（项）：</w:t>
      </w:r>
      <w:r>
        <w:rPr>
          <w:rFonts w:hint="eastAsia" w:ascii="仿宋_GB2312" w:hAnsi="仿宋_GB2312" w:eastAsia="仿宋_GB2312" w:cs="仿宋_GB2312"/>
          <w:sz w:val="32"/>
          <w:szCs w:val="32"/>
        </w:rPr>
        <w:t>指反映行政事业单位按人力资源和社会保障部、财政部规定的基本工资和津贴补贴以及规定比例为职工缴纳的住房公积金。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14.医疗卫生与计划生育（类） 行政事业单位医疗（款）行政单位医疗（项）：</w:t>
      </w:r>
      <w:r>
        <w:rPr>
          <w:rFonts w:hint="eastAsia" w:ascii="仿宋_GB2312" w:hAnsi="仿宋_GB2312" w:eastAsia="仿宋_GB2312" w:cs="仿宋_GB2312"/>
          <w:sz w:val="32"/>
          <w:szCs w:val="32"/>
        </w:rPr>
        <w:t>指单位职工医疗保险等支出。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2"/>
          <w:sz w:val="32"/>
          <w:szCs w:val="32"/>
          <w:lang w:val="en-US" w:eastAsia="zh-CN" w:bidi="ar"/>
        </w:rPr>
        <w:t>15.基本支出：</w:t>
      </w:r>
      <w:r>
        <w:rPr>
          <w:rFonts w:hint="eastAsia" w:ascii="仿宋_GB2312" w:hAnsi="仿宋_GB2312" w:eastAsia="仿宋_GB2312" w:cs="仿宋_GB2312"/>
          <w:sz w:val="32"/>
          <w:szCs w:val="32"/>
        </w:rPr>
        <w:t>指为保障机构正常运转、完成日常工作任务而发生的人员支出和公用支出。</w:t>
      </w:r>
    </w:p>
    <w:p>
      <w:pPr>
        <w:pStyle w:val="11"/>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2"/>
          <w:sz w:val="32"/>
          <w:szCs w:val="32"/>
          <w:lang w:val="en-US" w:eastAsia="zh-CN" w:bidi="ar"/>
        </w:rPr>
        <w:t>16.农林水（类）农林水支出（款）其他扶贫支出（项）：</w:t>
      </w:r>
      <w:r>
        <w:rPr>
          <w:rFonts w:hint="eastAsia" w:ascii="仿宋_GB2312" w:hAnsi="仿宋_GB2312" w:eastAsia="仿宋_GB2312" w:cs="仿宋_GB2312"/>
          <w:sz w:val="32"/>
          <w:szCs w:val="32"/>
          <w:lang w:val="en-US" w:eastAsia="zh-CN"/>
        </w:rPr>
        <w:t>指驻村第一书记及工作队员工作经费。</w:t>
      </w:r>
    </w:p>
    <w:p>
      <w:pPr>
        <w:pStyle w:val="11"/>
        <w:keepNext w:val="0"/>
        <w:keepLines w:val="0"/>
        <w:pageBreakBefore w:val="0"/>
        <w:kinsoku/>
        <w:wordWrap/>
        <w:overflowPunct/>
        <w:topLinePunct w:val="0"/>
        <w:autoSpaceDE/>
        <w:autoSpaceDN/>
        <w:bidi w:val="0"/>
        <w:spacing w:line="576" w:lineRule="exact"/>
        <w:ind w:left="0" w:leftChars="0"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17.粮油物资储备（类）粮油事务（款）其他粮油事务支出（项）</w:t>
      </w:r>
      <w:r>
        <w:rPr>
          <w:rFonts w:hint="eastAsia" w:ascii="仿宋_GB2312" w:hAnsi="仿宋_GB2312" w:eastAsia="仿宋_GB2312" w:cs="仿宋_GB2312"/>
          <w:b w:val="0"/>
          <w:bCs w:val="0"/>
          <w:sz w:val="32"/>
          <w:szCs w:val="32"/>
          <w:lang w:val="en-US" w:eastAsia="zh-CN"/>
        </w:rPr>
        <w:t>：指单位粮油储备事务管理等支出。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18.项目支出：</w:t>
      </w:r>
      <w:r>
        <w:rPr>
          <w:rFonts w:hint="eastAsia" w:ascii="仿宋_GB2312" w:hAnsi="仿宋_GB2312" w:eastAsia="仿宋_GB2312" w:cs="仿宋_GB2312"/>
          <w:sz w:val="32"/>
          <w:szCs w:val="32"/>
        </w:rPr>
        <w:t xml:space="preserve">指在基本支出之外为完成特定行政任务和事业发展目标所发生的支出。 </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19.经营支出：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20.“三公”经费：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2"/>
          <w:sz w:val="32"/>
          <w:szCs w:val="32"/>
          <w:lang w:val="en-US" w:eastAsia="zh-CN" w:bidi="ar"/>
        </w:rPr>
        <w:t>21.机关运行经费：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39" w:name="_Toc15377226"/>
    </w:p>
    <w:bookmarkEnd w:id="39"/>
    <w:p>
      <w:pPr>
        <w:pStyle w:val="11"/>
        <w:keepNext w:val="0"/>
        <w:keepLines w:val="0"/>
        <w:pageBreakBefore w:val="0"/>
        <w:kinsoku/>
        <w:wordWrap/>
        <w:overflowPunct/>
        <w:topLinePunct w:val="0"/>
        <w:autoSpaceDE/>
        <w:autoSpaceDN/>
        <w:bidi w:val="0"/>
        <w:spacing w:line="576" w:lineRule="exact"/>
        <w:ind w:left="0" w:leftChars="0" w:firstLine="0" w:firstLineChars="0"/>
        <w:textAlignment w:val="auto"/>
        <w:rPr>
          <w:rFonts w:asciiTheme="majorEastAsia" w:hAnsiTheme="majorEastAsia" w:eastAsiaTheme="majorEastAsia"/>
          <w:color w:val="000000"/>
          <w:sz w:val="32"/>
          <w:szCs w:val="32"/>
        </w:rPr>
      </w:pPr>
      <w:bookmarkStart w:id="40" w:name="_Toc15396619"/>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numPr>
          <w:ilvl w:val="0"/>
          <w:numId w:val="0"/>
        </w:numPr>
        <w:kinsoku/>
        <w:wordWrap/>
        <w:overflowPunct/>
        <w:topLinePunct w:val="0"/>
        <w:autoSpaceDE/>
        <w:autoSpaceDN/>
        <w:bidi w:val="0"/>
        <w:spacing w:line="576" w:lineRule="exact"/>
        <w:ind w:right="0" w:rightChars="0"/>
        <w:jc w:val="center"/>
        <w:textAlignment w:val="auto"/>
        <w:outlineLvl w:val="0"/>
        <w:rPr>
          <w:rStyle w:val="19"/>
          <w:rFonts w:hint="eastAsia" w:ascii="方正小标宋简体" w:hAnsi="方正小标宋简体" w:eastAsia="方正小标宋简体" w:cs="方正小标宋简体"/>
          <w:sz w:val="44"/>
          <w:szCs w:val="44"/>
        </w:rPr>
      </w:pPr>
      <w:r>
        <w:rPr>
          <w:rStyle w:val="19"/>
          <w:rFonts w:hint="eastAsia" w:ascii="方正小标宋简体" w:hAnsi="方正小标宋简体" w:eastAsia="方正小标宋简体" w:cs="方正小标宋简体"/>
          <w:b w:val="0"/>
          <w:bCs w:val="0"/>
          <w:sz w:val="44"/>
          <w:szCs w:val="44"/>
          <w:lang w:val="en-US" w:eastAsia="zh-CN"/>
        </w:rPr>
        <w:t xml:space="preserve">第四部分  </w:t>
      </w:r>
      <w:r>
        <w:rPr>
          <w:rStyle w:val="19"/>
          <w:rFonts w:hint="eastAsia" w:ascii="方正小标宋简体" w:hAnsi="方正小标宋简体" w:eastAsia="方正小标宋简体" w:cs="方正小标宋简体"/>
          <w:b w:val="0"/>
          <w:bCs w:val="0"/>
          <w:sz w:val="44"/>
          <w:szCs w:val="44"/>
        </w:rPr>
        <w:t>附件</w:t>
      </w:r>
    </w:p>
    <w:p>
      <w:pPr>
        <w:keepNext w:val="0"/>
        <w:keepLines w:val="0"/>
        <w:pageBreakBefore w:val="0"/>
        <w:kinsoku/>
        <w:wordWrap/>
        <w:overflowPunct/>
        <w:topLinePunct w:val="0"/>
        <w:autoSpaceDE/>
        <w:autoSpaceDN/>
        <w:bidi w:val="0"/>
        <w:spacing w:line="576" w:lineRule="exact"/>
        <w:ind w:right="0"/>
        <w:jc w:val="both"/>
        <w:textAlignment w:val="auto"/>
        <w:outlineLvl w:val="0"/>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spacing w:line="576"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zh-CN"/>
        </w:rPr>
      </w:pPr>
      <w:r>
        <w:rPr>
          <w:rFonts w:hint="eastAsia" w:ascii="方正小标宋简体" w:hAnsi="方正小标宋简体" w:eastAsia="方正小标宋简体" w:cs="方正小标宋简体"/>
          <w:b w:val="0"/>
          <w:bCs/>
          <w:color w:val="000000"/>
          <w:kern w:val="0"/>
          <w:sz w:val="44"/>
          <w:szCs w:val="44"/>
          <w:lang w:val="zh-CN"/>
        </w:rPr>
        <w:t>广元市朝天区发展和改革局</w:t>
      </w:r>
    </w:p>
    <w:p>
      <w:pPr>
        <w:keepNext w:val="0"/>
        <w:keepLines w:val="0"/>
        <w:pageBreakBefore w:val="0"/>
        <w:kinsoku/>
        <w:wordWrap/>
        <w:overflowPunct/>
        <w:topLinePunct w:val="0"/>
        <w:autoSpaceDE/>
        <w:autoSpaceDN/>
        <w:bidi w:val="0"/>
        <w:spacing w:line="576" w:lineRule="exact"/>
        <w:ind w:right="0"/>
        <w:jc w:val="center"/>
        <w:textAlignment w:val="auto"/>
        <w:rPr>
          <w:rFonts w:hint="eastAsia" w:ascii="方正小标宋简体" w:hAnsi="方正小标宋简体" w:eastAsia="方正小标宋简体" w:cs="方正小标宋简体"/>
          <w:b w:val="0"/>
          <w:bCs/>
          <w:color w:val="000000"/>
          <w:kern w:val="0"/>
          <w:sz w:val="44"/>
          <w:szCs w:val="44"/>
          <w:lang w:val="zh-CN"/>
        </w:rPr>
      </w:pPr>
      <w:r>
        <w:rPr>
          <w:rFonts w:hint="eastAsia" w:ascii="方正小标宋简体" w:hAnsi="方正小标宋简体" w:eastAsia="方正小标宋简体" w:cs="方正小标宋简体"/>
          <w:b w:val="0"/>
          <w:bCs/>
          <w:color w:val="000000"/>
          <w:kern w:val="0"/>
          <w:sz w:val="44"/>
          <w:szCs w:val="44"/>
          <w:lang w:val="zh-CN"/>
        </w:rPr>
        <w:t>部门</w:t>
      </w:r>
      <w:r>
        <w:rPr>
          <w:rFonts w:hint="eastAsia" w:ascii="方正小标宋简体" w:hAnsi="方正小标宋简体" w:eastAsia="方正小标宋简体" w:cs="方正小标宋简体"/>
          <w:b w:val="0"/>
          <w:bCs/>
          <w:color w:val="000000"/>
          <w:kern w:val="0"/>
          <w:sz w:val="44"/>
          <w:szCs w:val="44"/>
        </w:rPr>
        <w:t>20</w:t>
      </w:r>
      <w:r>
        <w:rPr>
          <w:rFonts w:hint="eastAsia" w:ascii="方正小标宋简体" w:hAnsi="方正小标宋简体" w:eastAsia="方正小标宋简体" w:cs="方正小标宋简体"/>
          <w:b w:val="0"/>
          <w:bCs/>
          <w:color w:val="000000"/>
          <w:kern w:val="0"/>
          <w:sz w:val="44"/>
          <w:szCs w:val="44"/>
          <w:lang w:val="en-US" w:eastAsia="zh-CN"/>
        </w:rPr>
        <w:t>20</w:t>
      </w:r>
      <w:r>
        <w:rPr>
          <w:rFonts w:hint="eastAsia" w:ascii="方正小标宋简体" w:hAnsi="方正小标宋简体" w:eastAsia="方正小标宋简体" w:cs="方正小标宋简体"/>
          <w:b w:val="0"/>
          <w:bCs/>
          <w:color w:val="000000"/>
          <w:kern w:val="0"/>
          <w:sz w:val="44"/>
          <w:szCs w:val="44"/>
        </w:rPr>
        <w:t>年部门</w:t>
      </w:r>
      <w:r>
        <w:rPr>
          <w:rFonts w:hint="eastAsia" w:ascii="方正小标宋简体" w:hAnsi="方正小标宋简体" w:eastAsia="方正小标宋简体" w:cs="方正小标宋简体"/>
          <w:b w:val="0"/>
          <w:bCs/>
          <w:color w:val="000000"/>
          <w:kern w:val="0"/>
          <w:sz w:val="44"/>
          <w:szCs w:val="44"/>
          <w:lang w:val="zh-CN"/>
        </w:rPr>
        <w:t>整体支出绩效评价报告</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cs="宋体" w:asciiTheme="majorEastAsia" w:hAnsiTheme="majorEastAsia" w:eastAsiaTheme="majorEastAsia"/>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lang w:val="zh-CN"/>
        </w:rPr>
      </w:pPr>
      <w:r>
        <w:rPr>
          <w:rFonts w:hint="eastAsia" w:ascii="黑体" w:hAnsi="黑体" w:eastAsia="黑体" w:cs="黑体"/>
          <w:b w:val="0"/>
          <w:bCs/>
          <w:color w:val="000000"/>
          <w:kern w:val="0"/>
          <w:sz w:val="32"/>
          <w:szCs w:val="32"/>
          <w:shd w:val="clear" w:color="auto" w:fill="FFFFFF"/>
        </w:rPr>
        <w:t>一、</w:t>
      </w:r>
      <w:r>
        <w:rPr>
          <w:rFonts w:hint="eastAsia" w:ascii="黑体" w:hAnsi="黑体" w:eastAsia="黑体" w:cs="黑体"/>
          <w:b w:val="0"/>
          <w:bCs/>
          <w:color w:val="000000"/>
          <w:kern w:val="0"/>
          <w:sz w:val="32"/>
          <w:szCs w:val="32"/>
          <w:shd w:val="clear" w:color="auto" w:fill="FFFFFF"/>
          <w:lang w:val="zh-CN"/>
        </w:rPr>
        <w:t>部门概况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shd w:val="clear" w:color="auto" w:fill="FFFFFF"/>
          <w:lang w:val="zh-CN"/>
        </w:rPr>
        <w:t>广元市朝天区发展和改革局属财政一级预算单位，下属粮食和物资储备中心二级预算单位</w:t>
      </w: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lang w:val="zh-CN"/>
        </w:rPr>
        <w:t>个。（本评价报告内容不包括二级预算单位）</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总编制数</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个，其中行政编制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个，事业编制22个，工勤编制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个。在职人员总数</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人，事业人员18人，工勤人员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（不含二级预算单位）</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主要职能职责</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执行国家、省市国民经济和社会发展的战略、方针和政策，研究提出相应的对策措施；拟订并组织实施全区经济和社会发展战略、中长期规划和年度计划；研究提出全区经济发展的总量平衡、发展速度和结构调整的目标、政策；提出运用各种经济手段和政策的建议；衔接、平衡各主要行业的行业规划，加强实施过程中的宏观调控；受区政府委托向区人大作全区经济和社会发展计划的报告。</w:t>
      </w:r>
    </w:p>
    <w:p>
      <w:pPr>
        <w:keepNext w:val="0"/>
        <w:keepLines w:val="0"/>
        <w:pageBreakBefore w:val="0"/>
        <w:numPr>
          <w:ilvl w:val="0"/>
          <w:numId w:val="0"/>
        </w:numPr>
        <w:kinsoku/>
        <w:wordWrap/>
        <w:overflowPunct/>
        <w:topLinePunct w:val="0"/>
        <w:autoSpaceDE/>
        <w:autoSpaceDN/>
        <w:bidi w:val="0"/>
        <w:spacing w:line="576"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研究分析区内外经济形势和发展情况，进行宏观经济的预测、预警；组织对全区经济和社会发展中的重大问题和热点、难点问题的调查研究，提出对策建议。</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全区经济体制改革和对外开放的综合性、全局性问题及对策，提出以改革开放促进发展的建议，协调发展与改革中的重大问题；组织拟订综合性经济体制改革方案，协调有关专项经济体制改革方案；指导和推进总体经济体制改革以及城区综合配套改革与体制创新，组织、指导和协调综合配套改革试点和重大专项经济体制改革试点。</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提出全区固定资产投资总规模、投资结构，编制年度投资计划；研究提出有关重大投资政策，规划重大项目和生产力布局。</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研究分析全区经济结构的状况，提出优化所有制结构的建议，拟订促进全区多种经济成分公平竞争和共同发展的政策措施；提出全区重要经济产业的发展战略和规划，推进产业结构战略性调整和升级。</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城乡区域协调发展。研究分析区域经济和城镇化发展情况，提出全区区域经济协调发展和实施西部大开发战略的规划，提出城镇化发展战略和政策措施建议。组织编制全区主体功能区规划并协调规划实施和进行监测评估，组织拟订区域协调发展战略、规划和重大政策，研究提出统筹城乡发展的重大政策，负责全区经济协作的统筹协调。</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推进可持续发展，负责全区节能减排的综合协调工作。</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负责管理指导和协调全区招标投标工作，会同有关行政主管部门贯彻《招投标法》政策和措施，对全区项目建设过程中的工程招标投标活动实施监督检查，按照职责权限核准招标事项，查处招投标投诉案件。</w:t>
      </w:r>
    </w:p>
    <w:p>
      <w:pPr>
        <w:keepNext w:val="0"/>
        <w:keepLines w:val="0"/>
        <w:pageBreakBefore w:val="0"/>
        <w:widowControl w:val="0"/>
        <w:kinsoku/>
        <w:wordWrap/>
        <w:overflowPunct/>
        <w:topLinePunct w:val="0"/>
        <w:autoSpaceDE/>
        <w:autoSpaceDN/>
        <w:bidi w:val="0"/>
        <w:adjustRightInd/>
        <w:snapToGrid/>
        <w:spacing w:line="576" w:lineRule="exact"/>
        <w:ind w:right="0" w:firstLine="66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负责区内物资价格监测和行政事业性、涉企收费定价管理工作。</w:t>
      </w:r>
    </w:p>
    <w:p>
      <w:pPr>
        <w:keepNext w:val="0"/>
        <w:keepLines w:val="0"/>
        <w:pageBreakBefore w:val="0"/>
        <w:widowControl w:val="0"/>
        <w:kinsoku/>
        <w:wordWrap/>
        <w:overflowPunct/>
        <w:topLinePunct w:val="0"/>
        <w:autoSpaceDE/>
        <w:autoSpaceDN/>
        <w:bidi w:val="0"/>
        <w:adjustRightInd/>
        <w:snapToGrid/>
        <w:spacing w:line="576" w:lineRule="exact"/>
        <w:ind w:right="0" w:firstLine="787" w:firstLineChars="246"/>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负责全区粮食物资储备及安全管理工作。承办区政府交办的其他事项。</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lang w:eastAsia="zh-CN"/>
        </w:rPr>
        <w:t>三</w:t>
      </w:r>
      <w:r>
        <w:rPr>
          <w:rFonts w:hint="eastAsia" w:ascii="黑体" w:hAnsi="黑体" w:eastAsia="黑体" w:cs="黑体"/>
          <w:b w:val="0"/>
          <w:bCs/>
          <w:color w:val="000000"/>
          <w:kern w:val="0"/>
          <w:sz w:val="32"/>
          <w:szCs w:val="32"/>
          <w:shd w:val="clear" w:color="auto" w:fill="FFFFFF"/>
        </w:rPr>
        <w:t>、部门财政资金收支情况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（一）部门财政资金收入情况</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年相比，财政拨款收入增加</w:t>
      </w:r>
      <w:r>
        <w:rPr>
          <w:rFonts w:hint="eastAsia" w:ascii="仿宋_GB2312" w:hAnsi="仿宋_GB2312" w:eastAsia="仿宋_GB2312" w:cs="仿宋_GB2312"/>
          <w:sz w:val="32"/>
          <w:szCs w:val="32"/>
          <w:lang w:val="en-US" w:eastAsia="zh-CN"/>
        </w:rPr>
        <w:t>320.8</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8%；主要变动原因是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增加。支出增加</w:t>
      </w:r>
      <w:r>
        <w:rPr>
          <w:rFonts w:hint="eastAsia" w:ascii="仿宋_GB2312" w:hAnsi="仿宋_GB2312" w:eastAsia="仿宋_GB2312" w:cs="仿宋_GB2312"/>
          <w:sz w:val="32"/>
          <w:szCs w:val="32"/>
          <w:lang w:val="en-US" w:eastAsia="zh-CN"/>
        </w:rPr>
        <w:t>320.8</w:t>
      </w:r>
      <w:r>
        <w:rPr>
          <w:rFonts w:hint="eastAsia" w:ascii="仿宋_GB2312" w:hAnsi="仿宋_GB2312" w:eastAsia="仿宋_GB2312" w:cs="仿宋_GB2312"/>
          <w:sz w:val="32"/>
          <w:szCs w:val="32"/>
        </w:rPr>
        <w:t>万元，上升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8%。主要变动原因是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增加。</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rPr>
        <w:t>（二）部门财政资金支出情况</w:t>
      </w:r>
      <w:r>
        <w:rPr>
          <w:rFonts w:hint="eastAsia" w:ascii="楷体_GB2312" w:hAnsi="楷体_GB2312" w:eastAsia="楷体_GB2312" w:cs="楷体_GB2312"/>
          <w:b w:val="0"/>
          <w:bCs/>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年本年支出合计</w:t>
      </w:r>
      <w:r>
        <w:rPr>
          <w:rFonts w:hint="eastAsia" w:ascii="仿宋_GB2312" w:hAnsi="仿宋_GB2312" w:eastAsia="仿宋_GB2312" w:cs="仿宋_GB2312"/>
          <w:sz w:val="32"/>
          <w:szCs w:val="32"/>
          <w:lang w:val="en-US" w:eastAsia="zh-CN"/>
        </w:rPr>
        <w:t>976.54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376.94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599.6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right="0" w:firstLine="640" w:firstLineChars="200"/>
        <w:contextualSpacing/>
        <w:jc w:val="both"/>
        <w:textAlignment w:val="auto"/>
        <w:rPr>
          <w:rFonts w:hint="eastAsia" w:ascii="黑体" w:hAnsi="黑体" w:eastAsia="黑体" w:cs="黑体"/>
          <w:b w:val="0"/>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lang w:eastAsia="zh-CN"/>
        </w:rPr>
        <w:t>四</w:t>
      </w:r>
      <w:r>
        <w:rPr>
          <w:rFonts w:hint="eastAsia" w:ascii="黑体" w:hAnsi="黑体" w:eastAsia="黑体" w:cs="黑体"/>
          <w:b w:val="0"/>
          <w:bCs/>
          <w:color w:val="000000"/>
          <w:kern w:val="0"/>
          <w:sz w:val="32"/>
          <w:szCs w:val="32"/>
          <w:shd w:val="clear" w:color="auto" w:fill="FFFFFF"/>
        </w:rPr>
        <w:t>、部门整体预算绩效管理情况</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zh-CN"/>
        </w:rPr>
        <w:t>（一）</w:t>
      </w:r>
      <w:r>
        <w:rPr>
          <w:rFonts w:hint="eastAsia" w:ascii="楷体_GB2312" w:hAnsi="楷体_GB2312" w:eastAsia="楷体_GB2312" w:cs="楷体_GB2312"/>
          <w:b w:val="0"/>
          <w:bCs/>
          <w:sz w:val="32"/>
          <w:szCs w:val="32"/>
          <w:lang w:val="en-US" w:eastAsia="zh-CN"/>
        </w:rPr>
        <w:t>预算编制</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1.测算依据。</w:t>
      </w:r>
      <w:r>
        <w:rPr>
          <w:rFonts w:hint="eastAsia" w:ascii="仿宋_GB2312" w:hAnsi="仿宋_GB2312" w:eastAsia="仿宋_GB2312" w:cs="仿宋_GB2312"/>
          <w:kern w:val="2"/>
          <w:sz w:val="32"/>
          <w:szCs w:val="32"/>
          <w:lang w:val="en-US" w:eastAsia="zh-CN" w:bidi="ar"/>
        </w:rPr>
        <w:t>年初预算合计为346.76万元，基本支出272.16万元，项目支出74.6万元。基本支出按照区财政部门制定的统一标准测算并编制预算。</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2.整体绩效目标设定。</w:t>
      </w:r>
      <w:r>
        <w:rPr>
          <w:rFonts w:hint="eastAsia" w:ascii="仿宋_GB2312" w:hAnsi="仿宋_GB2312" w:eastAsia="仿宋_GB2312" w:cs="仿宋_GB2312"/>
          <w:kern w:val="2"/>
          <w:sz w:val="32"/>
          <w:szCs w:val="32"/>
          <w:lang w:val="en-US" w:eastAsia="zh-CN" w:bidi="ar"/>
        </w:rPr>
        <w:t>本单位2020年初预算上报了部门整体绩效目标，与部门履职、年度工作任务相符。</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3.项目绩效目标设定。</w:t>
      </w:r>
      <w:r>
        <w:rPr>
          <w:rFonts w:hint="eastAsia" w:ascii="仿宋_GB2312" w:hAnsi="仿宋_GB2312" w:eastAsia="仿宋_GB2312" w:cs="仿宋_GB2312"/>
          <w:kern w:val="2"/>
          <w:sz w:val="32"/>
          <w:szCs w:val="32"/>
          <w:lang w:val="en-US" w:eastAsia="zh-CN" w:bidi="ar"/>
        </w:rPr>
        <w:t>项目均设有绩效目标，目标明确、部分指标量化可衡量。</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4.预算配置。</w:t>
      </w:r>
      <w:r>
        <w:rPr>
          <w:rFonts w:hint="eastAsia" w:ascii="仿宋_GB2312" w:hAnsi="仿宋_GB2312" w:eastAsia="仿宋_GB2312" w:cs="仿宋_GB2312"/>
          <w:kern w:val="2"/>
          <w:sz w:val="32"/>
          <w:szCs w:val="32"/>
          <w:lang w:val="en-US" w:eastAsia="zh-CN" w:bidi="ar"/>
        </w:rPr>
        <w:t>该单位2020年度发放工资人数28人，在职28人，在职人员控制率100%。</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（二）预算执行</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1.执行进度。</w:t>
      </w:r>
      <w:r>
        <w:rPr>
          <w:rFonts w:hint="eastAsia" w:ascii="仿宋_GB2312" w:hAnsi="仿宋_GB2312" w:eastAsia="仿宋_GB2312" w:cs="仿宋_GB2312"/>
          <w:kern w:val="2"/>
          <w:sz w:val="32"/>
          <w:szCs w:val="32"/>
          <w:lang w:val="en-US" w:eastAsia="zh-CN" w:bidi="ar"/>
        </w:rPr>
        <w:t>该单位2020年度年初预算安排7个项目，预算支出74.6万元。中途调整增加3个项目，实际执行10个项目，年末决算合计金额599.6万元（其中：台州市捐赠项目资金400万元，省预算内基本建设项目资金50万元，山地轨道交通前期费用75万元）。</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2.预算调整。</w:t>
      </w:r>
      <w:r>
        <w:rPr>
          <w:rFonts w:hint="eastAsia" w:ascii="仿宋_GB2312" w:hAnsi="仿宋_GB2312" w:eastAsia="仿宋_GB2312" w:cs="仿宋_GB2312"/>
          <w:kern w:val="2"/>
          <w:sz w:val="32"/>
          <w:szCs w:val="32"/>
          <w:lang w:val="en-US" w:eastAsia="zh-CN" w:bidi="ar"/>
        </w:rPr>
        <w:t>年初预算346.76万元，调整629.78万元，年末决算数976.54万元。广朝财预〔2020〕9号、11号、12号、13号，广朝投〔2020〕9号、17号、19号、38号、44号、45号、46号、追加预算629.78万元，均为区委区政府正常调整。</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3.经费控制。</w:t>
      </w:r>
      <w:r>
        <w:rPr>
          <w:rFonts w:hint="eastAsia" w:ascii="仿宋_GB2312" w:hAnsi="仿宋_GB2312" w:eastAsia="仿宋_GB2312" w:cs="仿宋_GB2312"/>
          <w:kern w:val="2"/>
          <w:sz w:val="32"/>
          <w:szCs w:val="32"/>
          <w:lang w:val="en-US" w:eastAsia="zh-CN" w:bidi="ar"/>
        </w:rPr>
        <w:t>公用经费年初预算安排36.89万元，实际支出总额36.09万元。公用经费控制率98%。</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4.政府采购。</w:t>
      </w:r>
      <w:r>
        <w:rPr>
          <w:rFonts w:hint="eastAsia" w:ascii="仿宋_GB2312" w:hAnsi="仿宋_GB2312" w:eastAsia="仿宋_GB2312" w:cs="仿宋_GB2312"/>
          <w:kern w:val="2"/>
          <w:sz w:val="32"/>
          <w:szCs w:val="32"/>
          <w:lang w:val="en-US" w:eastAsia="zh-CN" w:bidi="ar"/>
        </w:rPr>
        <w:t>年初政府采购预算申报计划0万元。因机构调整按照实际情况实施采购，均履行政府采购程序。</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5.预算管理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资金使用合规性。通过评价审核检查，未发现本单位违反相关预算财务管理制度规定情况：资金使用符合国家财经法规和财务管理制度规定；资金拨付有完整的审批程序和手续；未发现存在截留、挤占、挪用、虚列支出等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（2）资金使用合理性。通过评价审核检查，部门预算资金使用与批准的预算内容相符合。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（3）问题整改落实。2020年该单位对审计、财政等部门各项专项检查所反映的问题已全部整改到位。</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（三）综合管理情况</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1.资产管理。</w:t>
      </w:r>
      <w:r>
        <w:rPr>
          <w:rFonts w:hint="eastAsia" w:ascii="仿宋_GB2312" w:hAnsi="仿宋_GB2312" w:eastAsia="仿宋_GB2312" w:cs="仿宋_GB2312"/>
          <w:kern w:val="2"/>
          <w:sz w:val="32"/>
          <w:szCs w:val="32"/>
          <w:lang w:val="en-US" w:eastAsia="zh-CN" w:bidi="ar"/>
        </w:rPr>
        <w:t>资产管理制度健全完整，合法合规。该单位2020年末账务系统固定资产总额315.39万元，与资产管理报表固定资产总额相符，全部资产已纳入国有资产系统管理，资产金额与账面一致，指定专人管理资产系统，上报资产报表数据与财务数据相符。</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2.内控制度管理。</w:t>
      </w:r>
      <w:r>
        <w:rPr>
          <w:rFonts w:hint="eastAsia" w:ascii="仿宋_GB2312" w:hAnsi="仿宋_GB2312" w:eastAsia="仿宋_GB2312" w:cs="仿宋_GB2312"/>
          <w:kern w:val="2"/>
          <w:sz w:val="32"/>
          <w:szCs w:val="32"/>
          <w:lang w:val="en-US" w:eastAsia="zh-CN" w:bidi="ar"/>
        </w:rPr>
        <w:t>本单位内部控制制度基本健全。</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3.信息公开。</w:t>
      </w:r>
      <w:r>
        <w:rPr>
          <w:rFonts w:hint="eastAsia" w:ascii="仿宋_GB2312" w:hAnsi="仿宋_GB2312" w:eastAsia="仿宋_GB2312" w:cs="仿宋_GB2312"/>
          <w:kern w:val="2"/>
          <w:sz w:val="32"/>
          <w:szCs w:val="32"/>
          <w:lang w:val="en-US" w:eastAsia="zh-CN" w:bidi="ar"/>
        </w:rPr>
        <w:t>2019年该单位按照要求进行了 部门预算公开、部门决算公开、绩效信息公开。</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4.绩效评价。</w:t>
      </w:r>
      <w:r>
        <w:rPr>
          <w:rFonts w:hint="eastAsia" w:ascii="仿宋_GB2312" w:hAnsi="仿宋_GB2312" w:eastAsia="仿宋_GB2312" w:cs="仿宋_GB2312"/>
          <w:kern w:val="2"/>
          <w:sz w:val="32"/>
          <w:szCs w:val="32"/>
          <w:lang w:val="en-US" w:eastAsia="zh-CN" w:bidi="ar"/>
        </w:rPr>
        <w:t>2020年实施的项目已进行项目绩效自评，并向财政部门报送了自评报告。</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sz w:val="32"/>
          <w:szCs w:val="32"/>
          <w:lang w:val="en-US" w:eastAsia="zh-CN"/>
        </w:rPr>
        <w:t>（四）部门履职成效</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1.产出情况。</w:t>
      </w:r>
      <w:r>
        <w:rPr>
          <w:rFonts w:hint="eastAsia" w:ascii="仿宋_GB2312" w:hAnsi="仿宋_GB2312" w:eastAsia="仿宋_GB2312" w:cs="仿宋_GB2312"/>
          <w:kern w:val="2"/>
          <w:sz w:val="32"/>
          <w:szCs w:val="32"/>
          <w:lang w:val="en-US" w:eastAsia="zh-CN" w:bidi="ar"/>
        </w:rPr>
        <w:t>2020年区发改局主要实施下列工作：完成项目开工、审批、储备、大数据、大比武、改革工作等其他发展改革事务，确保全区发展改革事务工作、东西部扶贫协作工作目标任务全面完成。</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2.效益情况。</w:t>
      </w:r>
      <w:r>
        <w:rPr>
          <w:rFonts w:hint="eastAsia" w:ascii="仿宋_GB2312" w:hAnsi="仿宋_GB2312" w:eastAsia="仿宋_GB2312" w:cs="仿宋_GB2312"/>
          <w:kern w:val="2"/>
          <w:sz w:val="32"/>
          <w:szCs w:val="32"/>
          <w:lang w:val="en-US" w:eastAsia="zh-CN" w:bidi="ar"/>
        </w:rPr>
        <w:t>《关于2020年度目标绩效综合考核结果的通报》（广朝委〔2020〕20号文件）对全区110多个目标绩效管理单位2020年目标绩效完成结果情况进行了通报，区发改局为优秀单位。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五、存在的问题</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sz w:val="32"/>
          <w:szCs w:val="32"/>
          <w:lang w:val="en-US" w:eastAsia="zh-CN"/>
        </w:rPr>
        <w:t>（一）预算编制方面。</w:t>
      </w:r>
      <w:r>
        <w:rPr>
          <w:rFonts w:hint="eastAsia" w:ascii="仿宋_GB2312" w:hAnsi="仿宋_GB2312" w:eastAsia="仿宋_GB2312" w:cs="仿宋_GB2312"/>
          <w:kern w:val="2"/>
          <w:sz w:val="32"/>
          <w:szCs w:val="32"/>
          <w:lang w:val="en-US" w:eastAsia="zh-CN" w:bidi="ar"/>
        </w:rPr>
        <w:t>该单位年初项目支出预算费用无明确测算依据，没有科学、合理测算费用金额；没有对部门整体绩效目标进行分解、量化，没有对项目效益指标量化，成本指标未分解细化。</w:t>
      </w:r>
    </w:p>
    <w:p>
      <w:pPr>
        <w:keepNext w:val="0"/>
        <w:keepLines w:val="0"/>
        <w:pageBreakBefore w:val="0"/>
        <w:kinsoku/>
        <w:wordWrap/>
        <w:overflowPunct/>
        <w:topLinePunct w:val="0"/>
        <w:autoSpaceDE/>
        <w:autoSpaceDN/>
        <w:bidi w:val="0"/>
        <w:spacing w:line="576" w:lineRule="exact"/>
        <w:ind w:right="0" w:firstLine="640"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（二）综合管理方面</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color w:val="000000"/>
          <w:kern w:val="2"/>
          <w:sz w:val="32"/>
          <w:szCs w:val="32"/>
          <w:lang w:val="en-US" w:eastAsia="zh-CN" w:bidi="ar"/>
        </w:rPr>
        <w:t>1.内控制度建设有待完善。</w:t>
      </w:r>
      <w:r>
        <w:rPr>
          <w:rFonts w:hint="eastAsia" w:ascii="仿宋_GB2312" w:hAnsi="仿宋_GB2312" w:eastAsia="仿宋_GB2312" w:cs="仿宋_GB2312"/>
          <w:kern w:val="2"/>
          <w:sz w:val="32"/>
          <w:szCs w:val="32"/>
          <w:lang w:val="en-US" w:eastAsia="zh-CN" w:bidi="ar"/>
        </w:rPr>
        <w:t>虽建有一系列管理制度，但不全面，岗位制约、流程控制、控制重点等均未明确。</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仿宋_GB2312" w:hAnsi="仿宋_GB2312" w:eastAsia="仿宋_GB2312" w:cs="仿宋_GB2312"/>
          <w:b/>
          <w:bCs/>
          <w:color w:val="000000"/>
          <w:kern w:val="2"/>
          <w:sz w:val="32"/>
          <w:szCs w:val="32"/>
          <w:lang w:val="en-US" w:eastAsia="zh-CN" w:bidi="ar"/>
        </w:rPr>
      </w:pPr>
      <w:r>
        <w:rPr>
          <w:rFonts w:hint="eastAsia" w:ascii="仿宋_GB2312" w:hAnsi="仿宋_GB2312" w:eastAsia="仿宋_GB2312" w:cs="仿宋_GB2312"/>
          <w:b/>
          <w:bCs/>
          <w:color w:val="000000"/>
          <w:kern w:val="2"/>
          <w:sz w:val="32"/>
          <w:szCs w:val="32"/>
          <w:lang w:val="en-US" w:eastAsia="zh-CN" w:bidi="ar"/>
        </w:rPr>
        <w:t>2.预算管理和绩效管理工作融合度不够。</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黑体" w:hAnsi="黑体" w:eastAsia="黑体" w:cs="黑体"/>
          <w:b w:val="0"/>
          <w:bCs w:val="0"/>
          <w:sz w:val="32"/>
          <w:szCs w:val="32"/>
          <w:lang w:val="en-US"/>
        </w:rPr>
      </w:pPr>
      <w:r>
        <w:rPr>
          <w:rFonts w:hint="eastAsia" w:ascii="黑体" w:hAnsi="黑体" w:eastAsia="黑体" w:cs="黑体"/>
          <w:b w:val="0"/>
          <w:bCs w:val="0"/>
          <w:kern w:val="2"/>
          <w:sz w:val="32"/>
          <w:szCs w:val="32"/>
          <w:lang w:val="en-US" w:eastAsia="zh-CN" w:bidi="ar"/>
        </w:rPr>
        <w:t>六、相关建议</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楷体_GB2312" w:hAnsi="楷体_GB2312" w:eastAsia="楷体_GB2312" w:cs="楷体_GB2312"/>
          <w:b/>
          <w:bCs w:val="0"/>
          <w:sz w:val="32"/>
          <w:szCs w:val="32"/>
          <w:lang w:val="en-US"/>
        </w:rPr>
      </w:pPr>
      <w:r>
        <w:rPr>
          <w:rFonts w:hint="eastAsia" w:ascii="楷体_GB2312" w:hAnsi="楷体_GB2312" w:eastAsia="楷体_GB2312" w:cs="楷体_GB2312"/>
          <w:b/>
          <w:bCs w:val="0"/>
          <w:sz w:val="32"/>
          <w:szCs w:val="32"/>
          <w:lang w:val="en-US" w:eastAsia="zh-CN"/>
        </w:rPr>
        <w:t>（一）加强预算编制管理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要按政策规定、部门的发展规划结合上一年度预算执行情况和本年度预算收支变化因素，根据相关支出标准，合理测算费用，科学编制项目预算；二是不论是整体绩效目标还是项目绩效目标，都要结合实际情况客观设定，做到依据充分、目标清晰、分解细化、量化可衡量、目标努力可达到，便于部门工作有序开展和财政资金效益提升。</w:t>
      </w:r>
    </w:p>
    <w:p>
      <w:pPr>
        <w:keepNext w:val="0"/>
        <w:keepLines w:val="0"/>
        <w:pageBreakBefore w:val="0"/>
        <w:kinsoku/>
        <w:wordWrap/>
        <w:overflowPunct/>
        <w:topLinePunct w:val="0"/>
        <w:autoSpaceDE/>
        <w:autoSpaceDN/>
        <w:bidi w:val="0"/>
        <w:spacing w:line="576" w:lineRule="exact"/>
        <w:ind w:right="0" w:firstLine="642" w:firstLineChars="200"/>
        <w:jc w:val="both"/>
        <w:textAlignment w:val="auto"/>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（二）加强综合管理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一是完善内控制度建设，并将内部控制制度落到实处；二是将绩效管理理念贯穿于资金分配到资金使用全过程。项目设立之初要明确项目绩效目标，</w:t>
      </w:r>
      <w:r>
        <w:rPr>
          <w:rFonts w:hint="eastAsia" w:ascii="仿宋_GB2312" w:hAnsi="仿宋_GB2312" w:eastAsia="仿宋_GB2312" w:cs="仿宋_GB2312"/>
          <w:color w:val="000000"/>
          <w:kern w:val="2"/>
          <w:sz w:val="32"/>
          <w:szCs w:val="32"/>
          <w:lang w:val="en-US" w:eastAsia="zh-CN" w:bidi="ar"/>
        </w:rPr>
        <w:t>实施中加强审查和纠偏，项目结束后进行绩效自评，全面对比绩效完成情况，分析原因总结经验，以利于今后项目管理中提高管理水平和项目效益水平；三是将预算执行过程管理与绩效管理有效融合。</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40" w:firstLineChars="200"/>
        <w:jc w:val="both"/>
        <w:textAlignment w:val="auto"/>
        <w:rPr>
          <w:rFonts w:cs="宋体" w:asciiTheme="majorEastAsia" w:hAnsiTheme="majorEastAsia" w:eastAsiaTheme="majorEastAsia"/>
          <w:color w:val="000000"/>
          <w:kern w:val="0"/>
          <w:sz w:val="32"/>
          <w:szCs w:val="32"/>
          <w:shd w:val="clear" w:color="auto" w:fill="FFFFFF"/>
          <w:lang w:val="zh-CN"/>
        </w:rPr>
      </w:pPr>
      <w:r>
        <w:rPr>
          <w:rFonts w:hint="eastAsia" w:ascii="仿宋_GB2312" w:hAnsi="仿宋_GB2312" w:eastAsia="仿宋_GB2312" w:cs="仿宋_GB2312"/>
          <w:b w:val="0"/>
          <w:bCs w:val="0"/>
          <w:kern w:val="2"/>
          <w:sz w:val="32"/>
          <w:szCs w:val="32"/>
          <w:lang w:val="en-US" w:eastAsia="zh-CN" w:bidi="ar"/>
        </w:rPr>
        <w:t>附：</w:t>
      </w:r>
      <w:r>
        <w:rPr>
          <w:rFonts w:hint="eastAsia" w:ascii="仿宋_GB2312" w:hAnsi="仿宋_GB2312" w:eastAsia="仿宋_GB2312" w:cs="仿宋_GB2312"/>
          <w:kern w:val="2"/>
          <w:sz w:val="32"/>
          <w:szCs w:val="32"/>
          <w:lang w:val="en-US" w:eastAsia="zh-CN" w:bidi="ar"/>
        </w:rPr>
        <w:t>2020年朝天区部门整体支出绩效评价得分表</w:t>
      </w:r>
    </w:p>
    <w:p>
      <w:pPr>
        <w:rPr>
          <w:rFonts w:cs="宋体" w:asciiTheme="majorEastAsia" w:hAnsiTheme="majorEastAsia" w:eastAsiaTheme="majorEastAsia"/>
          <w:color w:val="000000"/>
          <w:kern w:val="0"/>
          <w:sz w:val="32"/>
          <w:szCs w:val="32"/>
          <w:shd w:val="clear" w:color="auto" w:fill="FFFFFF"/>
          <w:lang w:val="zh-CN"/>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hint="eastAsia" w:cs="宋体" w:asciiTheme="majorEastAsia" w:hAnsiTheme="majorEastAsia" w:eastAsiaTheme="majorEastAsia"/>
          <w:color w:val="000000"/>
          <w:kern w:val="0"/>
          <w:sz w:val="32"/>
          <w:szCs w:val="32"/>
          <w:shd w:val="clear" w:color="auto" w:fill="FFFFFF"/>
          <w:lang w:val="zh-CN"/>
        </w:rPr>
        <w:br w:type="page"/>
      </w:r>
    </w:p>
    <w:p>
      <w:pPr>
        <w:widowControl/>
        <w:adjustRightInd w:val="0"/>
        <w:snapToGrid w:val="0"/>
        <w:spacing w:line="580" w:lineRule="exact"/>
        <w:contextualSpacing/>
        <w:jc w:val="center"/>
        <w:rPr>
          <w:rFonts w:ascii="仿宋_GB2312" w:hAnsi="宋体" w:eastAsia="仿宋_GB2312" w:cs="宋体"/>
          <w:color w:val="000000"/>
          <w:kern w:val="0"/>
          <w:sz w:val="32"/>
          <w:szCs w:val="32"/>
          <w:shd w:val="clear" w:color="auto" w:fill="FFFFFF"/>
          <w:lang w:val="zh-CN"/>
        </w:rPr>
      </w:pPr>
      <w:r>
        <w:rPr>
          <w:rFonts w:hint="eastAsia" w:ascii="方正小标宋简体" w:hAnsi="方正小标宋简体" w:eastAsia="方正小标宋简体" w:cs="方正小标宋简体"/>
          <w:b w:val="0"/>
          <w:bCs/>
          <w:color w:val="333333"/>
          <w:kern w:val="0"/>
          <w:sz w:val="44"/>
          <w:szCs w:val="44"/>
        </w:rPr>
        <w:t>20</w:t>
      </w:r>
      <w:r>
        <w:rPr>
          <w:rFonts w:hint="eastAsia" w:ascii="方正小标宋简体" w:hAnsi="方正小标宋简体" w:eastAsia="方正小标宋简体" w:cs="方正小标宋简体"/>
          <w:b w:val="0"/>
          <w:bCs/>
          <w:color w:val="333333"/>
          <w:kern w:val="0"/>
          <w:sz w:val="44"/>
          <w:szCs w:val="44"/>
          <w:lang w:val="en-US" w:eastAsia="zh-CN"/>
        </w:rPr>
        <w:t>20</w:t>
      </w:r>
      <w:r>
        <w:rPr>
          <w:rFonts w:hint="eastAsia" w:ascii="方正小标宋简体" w:hAnsi="方正小标宋简体" w:eastAsia="方正小标宋简体" w:cs="方正小标宋简体"/>
          <w:b w:val="0"/>
          <w:bCs/>
          <w:color w:val="333333"/>
          <w:kern w:val="0"/>
          <w:sz w:val="44"/>
          <w:szCs w:val="44"/>
        </w:rPr>
        <w:t>年度朝天区部门整体支出绩效评价指标体系</w:t>
      </w:r>
    </w:p>
    <w:p>
      <w:pPr>
        <w:pStyle w:val="11"/>
        <w:keepNext w:val="0"/>
        <w:keepLines w:val="0"/>
        <w:pageBreakBefore w:val="0"/>
        <w:widowControl w:val="0"/>
        <w:kinsoku/>
        <w:wordWrap/>
        <w:overflowPunct/>
        <w:topLinePunct w:val="0"/>
        <w:autoSpaceDE/>
        <w:autoSpaceDN/>
        <w:bidi w:val="0"/>
        <w:adjustRightInd/>
        <w:snapToGrid/>
        <w:spacing w:line="576" w:lineRule="exact"/>
        <w:textAlignment w:val="auto"/>
        <w:rPr>
          <w:rFonts w:ascii="仿宋_GB2312" w:hAnsi="宋体" w:eastAsia="仿宋_GB2312" w:cs="宋体"/>
          <w:color w:val="000000"/>
          <w:kern w:val="0"/>
          <w:sz w:val="32"/>
          <w:szCs w:val="32"/>
          <w:shd w:val="clear" w:color="auto" w:fill="FFFFFF"/>
          <w:lang w:val="zh-CN"/>
        </w:rPr>
      </w:pPr>
      <w:r>
        <w:rPr>
          <w:rFonts w:hint="eastAsia" w:ascii="微软雅黑" w:hAnsi="微软雅黑" w:eastAsia="微软雅黑" w:cs="微软雅黑"/>
          <w:color w:val="333333"/>
          <w:kern w:val="0"/>
          <w:sz w:val="20"/>
          <w:szCs w:val="20"/>
        </w:rPr>
        <w:t>部门（单位）名称：</w:t>
      </w:r>
      <w:r>
        <w:rPr>
          <w:rFonts w:hint="eastAsia" w:ascii="微软雅黑" w:hAnsi="微软雅黑" w:eastAsia="微软雅黑" w:cs="微软雅黑"/>
          <w:color w:val="333333"/>
          <w:kern w:val="0"/>
          <w:sz w:val="20"/>
          <w:szCs w:val="20"/>
          <w:lang w:val="en-US" w:eastAsia="zh-CN"/>
        </w:rPr>
        <w:t>区发改局</w:t>
      </w:r>
    </w:p>
    <w:tbl>
      <w:tblPr>
        <w:tblStyle w:val="15"/>
        <w:tblW w:w="13988" w:type="dxa"/>
        <w:tblInd w:w="0" w:type="dxa"/>
        <w:tblLayout w:type="fixed"/>
        <w:tblCellMar>
          <w:top w:w="0" w:type="dxa"/>
          <w:left w:w="0" w:type="dxa"/>
          <w:bottom w:w="0" w:type="dxa"/>
          <w:right w:w="0" w:type="dxa"/>
        </w:tblCellMar>
      </w:tblPr>
      <w:tblGrid>
        <w:gridCol w:w="819"/>
        <w:gridCol w:w="800"/>
        <w:gridCol w:w="911"/>
        <w:gridCol w:w="564"/>
        <w:gridCol w:w="5058"/>
        <w:gridCol w:w="3940"/>
        <w:gridCol w:w="1197"/>
        <w:gridCol w:w="699"/>
      </w:tblGrid>
      <w:tr>
        <w:tblPrEx>
          <w:tblCellMar>
            <w:top w:w="0" w:type="dxa"/>
            <w:left w:w="0" w:type="dxa"/>
            <w:bottom w:w="0" w:type="dxa"/>
            <w:right w:w="0" w:type="dxa"/>
          </w:tblCellMar>
        </w:tblPrEx>
        <w:trPr>
          <w:trHeight w:val="522" w:hRule="atLeast"/>
          <w:tblHeader/>
        </w:trPr>
        <w:tc>
          <w:tcPr>
            <w:tcW w:w="8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一级指标</w:t>
            </w:r>
          </w:p>
        </w:tc>
        <w:tc>
          <w:tcPr>
            <w:tcW w:w="8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二级指标</w:t>
            </w: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三级指标</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分值</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指标解释</w:t>
            </w:r>
          </w:p>
        </w:tc>
        <w:tc>
          <w:tcPr>
            <w:tcW w:w="3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评分标准</w:t>
            </w:r>
          </w:p>
        </w:tc>
        <w:tc>
          <w:tcPr>
            <w:tcW w:w="119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指标实际完成情况及依据</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黑体" w:hAnsi="黑体" w:eastAsia="黑体" w:cs="黑体"/>
                <w:b w:val="0"/>
                <w:bCs/>
                <w:color w:val="000000"/>
                <w:sz w:val="18"/>
                <w:szCs w:val="18"/>
              </w:rPr>
            </w:pPr>
            <w:r>
              <w:rPr>
                <w:rFonts w:hint="eastAsia" w:ascii="黑体" w:hAnsi="黑体" w:eastAsia="黑体" w:cs="黑体"/>
                <w:b w:val="0"/>
                <w:bCs/>
                <w:color w:val="000000"/>
                <w:kern w:val="0"/>
                <w:sz w:val="18"/>
                <w:szCs w:val="18"/>
              </w:rPr>
              <w:t>评价得分</w:t>
            </w:r>
          </w:p>
        </w:tc>
      </w:tr>
      <w:tr>
        <w:tblPrEx>
          <w:tblCellMar>
            <w:top w:w="0" w:type="dxa"/>
            <w:left w:w="0" w:type="dxa"/>
            <w:bottom w:w="0" w:type="dxa"/>
            <w:right w:w="0" w:type="dxa"/>
          </w:tblCellMar>
        </w:tblPrEx>
        <w:trPr>
          <w:trHeight w:val="1840" w:hRule="atLeast"/>
        </w:trPr>
        <w:tc>
          <w:tcPr>
            <w:tcW w:w="81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预算编制（15分）</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编制质量</w:t>
            </w: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测算依据</w:t>
            </w:r>
          </w:p>
        </w:tc>
        <w:tc>
          <w:tcPr>
            <w:tcW w:w="56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预算测算与部门工作任务（项目）的匹配情况，体现部门工作内容的全面情况；预算测算与事权划分内容的匹配情况；基本支出与项目支出边界界定的清晰明确情况；项目间内容划分界定的清晰情况，重点内容优先保障安排情况；预算测算与相关定额标准相符程度，按照国家行政事业单位相关支出标准及进行费用测算情况。</w:t>
            </w:r>
          </w:p>
        </w:tc>
        <w:tc>
          <w:tcPr>
            <w:tcW w:w="3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依据预算测算的依据充分程度，最高得3分，其余的按0.5分依次递减，直至0分。</w:t>
            </w:r>
          </w:p>
        </w:tc>
        <w:tc>
          <w:tcPr>
            <w:tcW w:w="11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依据充分</w:t>
            </w:r>
          </w:p>
        </w:tc>
        <w:tc>
          <w:tcPr>
            <w:tcW w:w="6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2065"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整体绩效目标设定</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部门（含所属二级预算单位，下同）或单位是否制定了年度预算整体绩效目标；整体绩效目标制定依据是否充分，是否与部门履职、年度工作任务相符；整体绩效目标是否清晰、细化、可衡量。</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设有整体绩效目标2分；目标设定依据充分符合客观实际1分；目标清晰、细化1分；目标可衡量1分。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整体绩效目标制定依据充分，与部门履职、年度工作任务相符，整体绩效目标清晰、细化、可衡量</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49"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项目绩效目标设定</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spacing w:val="-11"/>
                <w:kern w:val="0"/>
                <w:sz w:val="18"/>
                <w:szCs w:val="18"/>
              </w:rPr>
              <w:t>是否科学、合理设立了项目绩效目标；目标是否明确、细化、量化。</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项目均设有绩效目标1分；目标科学合理1分；目标明确1分；指标细化1分；指标量化1分。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科学、合理</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1549" w:hRule="atLeast"/>
        </w:trPr>
        <w:tc>
          <w:tcPr>
            <w:tcW w:w="81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预算配置</w:t>
            </w: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在职人员控制率</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在职人员控制率=[在职人员数/编制数]×100%                                  在职人员数：部门实际在职人数，以财政确定的部门决算编制口径为准，结合工资发放表上的年平均人数。                                                       编制数：机构编制部门核定批复的部门的人员编制数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含临时人员</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p>
        </w:tc>
        <w:tc>
          <w:tcPr>
            <w:tcW w:w="39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结果≤100%，得2分；结果＞100%，得0分。</w:t>
            </w:r>
          </w:p>
        </w:tc>
        <w:tc>
          <w:tcPr>
            <w:tcW w:w="119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69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40" w:hRule="atLeast"/>
        </w:trPr>
        <w:tc>
          <w:tcPr>
            <w:tcW w:w="819"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预算执行（25分）</w:t>
            </w:r>
          </w:p>
        </w:tc>
        <w:tc>
          <w:tcPr>
            <w:tcW w:w="80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执行进度</w:t>
            </w:r>
          </w:p>
        </w:tc>
        <w:tc>
          <w:tcPr>
            <w:tcW w:w="91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项目预算执行率</w:t>
            </w:r>
          </w:p>
        </w:tc>
        <w:tc>
          <w:tcPr>
            <w:tcW w:w="56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项目预算执行率=[项目预算执行数/项目预算数]×100%。                         项目预算执行数：部门本年度实际执行的项目预算数。                            项目预算数：财政部门批复的本年度部门项目预算数。</w:t>
            </w:r>
          </w:p>
        </w:tc>
        <w:tc>
          <w:tcPr>
            <w:tcW w:w="3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95%≤结果≤100%，得5分；90%≤结果＜95%，得3分；80%≤结果＜90%，得1分；结果＜80%，得0分。</w:t>
            </w:r>
          </w:p>
        </w:tc>
        <w:tc>
          <w:tcPr>
            <w:tcW w:w="119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1073"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预算调整率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预算调整率=[预算调整数/预算数]×100%                                     预算调整数：部门在本年度内涉及预算的追加、追减或结构调整的资金总和（因落实国家政策、发生不可抗力、上级部门或党委政府临时交办而产生的调整除外）。</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结果≤5%，得3分；5%＜结果≤10%，得1分；结果＞10%，得0分。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9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56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经费控制</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公用经费控制率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公用经费控制率=[公用经费实际支出总额/公用经费预算安排总额]×100%</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结果≤100%，得2分；结果＞100%，得0分。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2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政府采购计划编制</w:t>
            </w:r>
          </w:p>
        </w:tc>
        <w:tc>
          <w:tcPr>
            <w:tcW w:w="564" w:type="dxa"/>
            <w:tcBorders>
              <w:top w:val="nil"/>
              <w:left w:val="nil"/>
              <w:bottom w:val="nil"/>
              <w:right w:val="nil"/>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实施计划与政府采购预算的一致性，是否按要求进行合理地编制采购预算计划。</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调整或细化资金/政府采购预算资金）*分值</w:t>
            </w:r>
          </w:p>
        </w:tc>
        <w:tc>
          <w:tcPr>
            <w:tcW w:w="119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50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政府采购计划执行</w:t>
            </w:r>
          </w:p>
        </w:tc>
        <w:tc>
          <w:tcPr>
            <w:tcW w:w="56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执行的采购是否与采购预算及备案一致。</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实施计划备案后的调整或细化资金/实施计划备案后的资金）*分值</w:t>
            </w:r>
          </w:p>
        </w:tc>
        <w:tc>
          <w:tcPr>
            <w:tcW w:w="119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22"/>
                <w:szCs w:val="22"/>
              </w:rPr>
            </w:pPr>
          </w:p>
        </w:tc>
        <w:tc>
          <w:tcPr>
            <w:tcW w:w="69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115"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政府采购完成率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政府采购完成率=（政府采购完成项目数/政府采购预算项目数）×100%；                                                   政府采购预算项目：采购机关根据事业发展计划和行政任务编制的、并经过规定程序批准的年度政府采购计划项目。</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按照完成率得分，若完成率＜50%，得0分。</w:t>
            </w:r>
          </w:p>
        </w:tc>
        <w:tc>
          <w:tcPr>
            <w:tcW w:w="119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20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资金使用是否符合相关的预算财务管理制度的规定。如①是否符合国家财经法规和财务管理制度规定以及有关专项资金管理办法的规定；②资金的拨付是否有完整的审批程序和手续；③是否存在截留、挤占、挪用、虚列支出等情况。</w:t>
            </w:r>
          </w:p>
        </w:tc>
        <w:tc>
          <w:tcPr>
            <w:tcW w:w="39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完全符合得全分，凡有一项有不符合的扣0.5分。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完全符合</w:t>
            </w:r>
          </w:p>
        </w:tc>
        <w:tc>
          <w:tcPr>
            <w:tcW w:w="6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3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资金使用合理性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部门预算资金使用是否与批准的预算内容相符合。</w:t>
            </w:r>
          </w:p>
        </w:tc>
        <w:tc>
          <w:tcPr>
            <w:tcW w:w="39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完全符合得全分，凡有一项有不符合的扣0.5分。</w:t>
            </w:r>
          </w:p>
        </w:tc>
        <w:tc>
          <w:tcPr>
            <w:tcW w:w="1197"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完全符合</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78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整改落实</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是否对上年度审计、财政等部门各项检查、绩效评价发现违法违规问题已经进行有效整改。</w:t>
            </w:r>
          </w:p>
        </w:tc>
        <w:tc>
          <w:tcPr>
            <w:tcW w:w="39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没发现违法违规问题或发现违法违纪行为并积极制定措施全部整改的，得3分；部分整改的，视整改情况得1-2分；未整改的，得0分。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无违规问题</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564"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综合管理（25分）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资产管理制度健全性</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部门为加强资产管理、规范资产管理行为而制定的管理制度是否健全完整，是否合法合规，是否执行到位。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每发现一项问题，扣0.5分，扣完为止。</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健全</w:t>
            </w: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2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资产管理信息系统建设情况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部门和单位是否全部将国有资产纳入资产信息系统管理。</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①未将所属单位国有资产纳入系统管理，每少一个单位扣1分。②未将资产变动情况及时录入系统，每次扣0.5分。③未落实人员负责管理系统，扣1分。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纳入</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99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行政事业单位资产清查开展情况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单位是否按要求及时、准确、全面开展了资产清查工作情况。</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在规定时间内完成资产清查任务扣1分。②资产清查结果与财政组织复核的结果误差超过10%的扣1分。③未及时按批复的清查结果进行账务调整扣1分。④未及时更新资产管理信息系统，导致系统资产数据与上报财政的资产清查结果不一致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按要求完成</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84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行政事业单位资产报表上报情况</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单位上报国有资产报表数据的是否真实、准确、全面。</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①未落实专人负责资产报表，未及时上报资产报表扣1分。②报表填报不规范，内容不完整，数据不真实，扣1分。③未提交分析报告，对资产变动情况未作分析说明，扣1分。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真实、全面、准确上报</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内控制度管理</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内部控制</w:t>
            </w:r>
            <w:r>
              <w:rPr>
                <w:rFonts w:hint="eastAsia" w:ascii="宋体" w:hAnsi="宋体" w:cs="宋体"/>
                <w:color w:val="000000"/>
                <w:kern w:val="0"/>
                <w:sz w:val="18"/>
                <w:szCs w:val="18"/>
                <w:lang w:eastAsia="zh-CN"/>
              </w:rPr>
              <w:t>制度</w:t>
            </w:r>
            <w:r>
              <w:rPr>
                <w:rFonts w:hint="eastAsia" w:ascii="宋体" w:hAnsi="宋体" w:cs="宋体"/>
                <w:color w:val="000000"/>
                <w:kern w:val="0"/>
                <w:sz w:val="18"/>
                <w:szCs w:val="18"/>
              </w:rPr>
              <w:t>健全完整</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部门内部控制制度的设置是否健全，执行是否到位。</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内部控制制度健全完整并执行良好的得分，否则不得分。在本年度内因内控制度不健全或执行不到位，造成单位出现廉政风险或发生重大责任事故的不得分。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健全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12"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信息公开</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预算公开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除涉密信息外，各部门要在财政部门批复后二十日内向社会公开本部门预算（含所有财政资金安排的“三公”经费、机关运行经费的安排、使用情况等）。</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Style w:val="34"/>
                <w:rFonts w:hint="default"/>
              </w:rPr>
              <w:t>按要求公开预算，未按要求公开的，发现一处扣0.5分，直至扣完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66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决算公开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除涉密信息外，各部门要在财政部门批复二十日内向社会公开本部门决算（含所有财政资金安排的“三公”经费、机关运行经费的安排、使用情况等）。</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未按要求公开的，发现一处问题0.5分，直至扣完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504"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绩效信息公开</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按要求公开部门整体支出绩效自评报告及其他按要求应公开的绩效信息。</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未按要求公开的，发现一处问题0.5分，直至扣完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公开</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708"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绩效评价</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评价项目覆盖率</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Style w:val="34"/>
                <w:rFonts w:hint="default"/>
              </w:rPr>
              <w:t>用以反映和考核部门实施绩效评价项目资金覆盖情况：部门实施绩效评价项目数量占</w:t>
            </w:r>
            <w:r>
              <w:rPr>
                <w:rStyle w:val="35"/>
                <w:rFonts w:hint="default"/>
              </w:rPr>
              <w:t>部门申报绩效目标项目数量的比重。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评价覆盖率=实施绩效评价项目数量/部门管理预算项目数量×100%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0" w:type="dxa"/>
            <w:bottom w:w="0" w:type="dxa"/>
            <w:right w:w="0" w:type="dxa"/>
          </w:tblCellMar>
        </w:tblPrEx>
        <w:trPr>
          <w:trHeight w:val="84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评价层次</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部门（单位）是否对下级预算单位开展整体绩效评价。</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实施评价下级预算单位的得分，否则不得分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无下级部门</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70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评价结果报告</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部门是否按要求向财政部门报告自评报告等相关绩效信息。</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未按要求报送的，发现一处扣0.5分，直至扣完。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按要求报送</w:t>
            </w: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95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整改完成率</w:t>
            </w:r>
          </w:p>
        </w:tc>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0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部门是否按要求针对绩效评价发现问题制定整改措施，并整改落实到位。</w:t>
            </w:r>
          </w:p>
        </w:tc>
        <w:tc>
          <w:tcPr>
            <w:tcW w:w="3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完成率=应制定整改措施的项目数量/部门实际制定整改措施项目数量×100%。</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r>
      <w:tr>
        <w:tblPrEx>
          <w:tblCellMar>
            <w:top w:w="0" w:type="dxa"/>
            <w:left w:w="0" w:type="dxa"/>
            <w:bottom w:w="0" w:type="dxa"/>
            <w:right w:w="0" w:type="dxa"/>
          </w:tblCellMar>
        </w:tblPrEx>
        <w:trPr>
          <w:trHeight w:val="1016" w:hRule="atLeast"/>
        </w:trPr>
        <w:tc>
          <w:tcPr>
            <w:tcW w:w="8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color w:val="000000"/>
                <w:sz w:val="18"/>
                <w:szCs w:val="18"/>
              </w:rPr>
            </w:pPr>
            <w:r>
              <w:rPr>
                <w:rFonts w:hint="eastAsia" w:ascii="宋体" w:hAnsi="宋体" w:cs="宋体"/>
                <w:color w:val="000000"/>
                <w:kern w:val="0"/>
                <w:sz w:val="18"/>
                <w:szCs w:val="18"/>
              </w:rPr>
              <w:t>履职成效（35分）</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对照整体绩效目标评价。未设置整体绩效目标，或整体绩效目标设置不完善的，根据部门年度履行职责主要工作和重点工作计划任务数与实际完成任务数的比率评价得分。</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对照绩效目标，按实际产出数量率计算得分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06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对照整体绩效目标评价。未设置整体绩效目标，或整体绩效目标设置不完善的，根据部门年度履行职责主要工作和重点工作，标识具体明确的产出质量。</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对照绩效目标，按实际产出质量计算得分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9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对照整体绩效目标评价。未设置整体绩效目标，或整体绩效目标设置不完善的，根据部门年度履行职责主要工作和重点工作，标识具体明确的产出时效。</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对照绩效目标，按实际产出时效计算得分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030"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56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对照整体绩效目标评价。未设置整体绩效目标，或整体绩效目标设置不完善的，根据部门年度履行职责主要工作和重点工作，标识具体明确的产出成本。</w:t>
            </w:r>
          </w:p>
        </w:tc>
        <w:tc>
          <w:tcPr>
            <w:tcW w:w="3940"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对照绩效目标，按实际产出成本计算得分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3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911"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564" w:type="dxa"/>
            <w:vMerge w:val="restart"/>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12（根据需要增减指标并赋分值）　</w:t>
            </w:r>
          </w:p>
        </w:tc>
        <w:tc>
          <w:tcPr>
            <w:tcW w:w="5058"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对照整体绩效目标评价。未设置整体绩效目标，或整体绩效目标设置不完善的，根据部门年度履行职责主要工作和重点工作，标识所产生的直接或间接的经济效益</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对照绩效目标，按经济效益实现程度计算得分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96"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对照整体绩效目标评价。未设置整体绩效目标，或整体绩效目标设置不完善的，根据部门年度履行职责主要工作和重点工作，标识所产生的社会效益</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对照绩效目标，按社会效益实现程度计算得分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r>
      <w:tr>
        <w:tblPrEx>
          <w:tblCellMar>
            <w:top w:w="0" w:type="dxa"/>
            <w:left w:w="0" w:type="dxa"/>
            <w:bottom w:w="0" w:type="dxa"/>
            <w:right w:w="0" w:type="dxa"/>
          </w:tblCellMar>
        </w:tblPrEx>
        <w:trPr>
          <w:trHeight w:val="1057"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环境效益</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对照整体绩效目标评价。未设置整体绩效目标，或整体绩效目标设置不完善的，根据部门年度履行职责主要工作和重点工作，标识对环境所产生的积极或消极影响</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对照绩效目标，按对环境所产生的实际影响程度计算得分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939"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可持续性</w:t>
            </w: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对照整体绩效目标评价。未设置整体绩效目标，或整体绩效目标设置不完善的，根据部门年度履行职责主要工作和重点工作，标识可持续性</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对照绩效目标，按实际情况计算得分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r>
      <w:tr>
        <w:tblPrEx>
          <w:tblCellMar>
            <w:top w:w="0" w:type="dxa"/>
            <w:left w:w="0" w:type="dxa"/>
            <w:bottom w:w="0" w:type="dxa"/>
            <w:right w:w="0" w:type="dxa"/>
          </w:tblCellMar>
        </w:tblPrEx>
        <w:trPr>
          <w:trHeight w:val="1071" w:hRule="atLeast"/>
        </w:trPr>
        <w:tc>
          <w:tcPr>
            <w:tcW w:w="8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left"/>
              <w:rPr>
                <w:rFonts w:ascii="宋体" w:hAnsi="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满意度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社会公众与服务对象满意度</w:t>
            </w:r>
          </w:p>
        </w:tc>
        <w:tc>
          <w:tcPr>
            <w:tcW w:w="5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50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社会公众、服务对象对部门主要工作实施的满意程度</w:t>
            </w:r>
          </w:p>
        </w:tc>
        <w:tc>
          <w:tcPr>
            <w:tcW w:w="3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113" w:right="0"/>
              <w:jc w:val="left"/>
              <w:textAlignment w:val="center"/>
              <w:rPr>
                <w:rFonts w:ascii="宋体" w:hAnsi="宋体" w:cs="宋体"/>
                <w:color w:val="000000"/>
                <w:sz w:val="18"/>
                <w:szCs w:val="18"/>
              </w:rPr>
            </w:pPr>
            <w:r>
              <w:rPr>
                <w:rFonts w:hint="eastAsia" w:ascii="宋体" w:hAnsi="宋体" w:cs="宋体"/>
                <w:color w:val="000000"/>
                <w:kern w:val="0"/>
                <w:sz w:val="18"/>
                <w:szCs w:val="18"/>
              </w:rPr>
              <w:t>按收集到的社会公众、服务对象的满意率计算得分</w:t>
            </w:r>
          </w:p>
        </w:tc>
        <w:tc>
          <w:tcPr>
            <w:tcW w:w="11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right="0"/>
              <w:jc w:val="center"/>
              <w:rPr>
                <w:rFonts w:ascii="宋体" w:hAnsi="宋体" w:cs="宋体"/>
                <w:color w:val="000000"/>
                <w:sz w:val="18"/>
                <w:szCs w:val="18"/>
              </w:rPr>
            </w:pPr>
          </w:p>
        </w:tc>
        <w:tc>
          <w:tcPr>
            <w:tcW w:w="6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0" w:type="dxa"/>
            <w:bottom w:w="0" w:type="dxa"/>
            <w:right w:w="0" w:type="dxa"/>
          </w:tblCellMar>
        </w:tblPrEx>
        <w:trPr>
          <w:trHeight w:val="870" w:hRule="atLeast"/>
        </w:trPr>
        <w:tc>
          <w:tcPr>
            <w:tcW w:w="8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合计</w:t>
            </w:r>
          </w:p>
        </w:tc>
        <w:tc>
          <w:tcPr>
            <w:tcW w:w="8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911"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56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100</w:t>
            </w:r>
          </w:p>
        </w:tc>
        <w:tc>
          <w:tcPr>
            <w:tcW w:w="505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39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评价得分</w:t>
            </w:r>
          </w:p>
        </w:tc>
        <w:tc>
          <w:tcPr>
            <w:tcW w:w="119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w:t>
            </w:r>
          </w:p>
        </w:tc>
        <w:tc>
          <w:tcPr>
            <w:tcW w:w="69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宋体" w:hAnsi="宋体" w:eastAsia="宋体" w:cs="宋体"/>
                <w:b/>
                <w:color w:val="000000"/>
                <w:sz w:val="18"/>
                <w:szCs w:val="18"/>
                <w:lang w:val="en-US" w:eastAsia="zh-CN"/>
              </w:rPr>
            </w:pPr>
            <w:r>
              <w:rPr>
                <w:rFonts w:hint="eastAsia" w:ascii="宋体" w:hAnsi="宋体" w:cs="宋体"/>
                <w:b/>
                <w:color w:val="000000"/>
                <w:sz w:val="18"/>
                <w:szCs w:val="18"/>
                <w:lang w:val="en-US" w:eastAsia="zh-CN"/>
              </w:rPr>
              <w:t>90</w:t>
            </w:r>
          </w:p>
        </w:tc>
      </w:tr>
      <w:tr>
        <w:tblPrEx>
          <w:tblCellMar>
            <w:top w:w="0" w:type="dxa"/>
            <w:left w:w="0" w:type="dxa"/>
            <w:bottom w:w="0" w:type="dxa"/>
            <w:right w:w="0" w:type="dxa"/>
          </w:tblCellMar>
        </w:tblPrEx>
        <w:trPr>
          <w:trHeight w:val="886" w:hRule="atLeast"/>
        </w:trPr>
        <w:tc>
          <w:tcPr>
            <w:tcW w:w="819"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center"/>
              <w:rPr>
                <w:rFonts w:ascii="宋体" w:hAnsi="宋体" w:cs="宋体"/>
                <w:b/>
                <w:color w:val="000000"/>
                <w:sz w:val="18"/>
                <w:szCs w:val="18"/>
              </w:rPr>
            </w:pPr>
            <w:r>
              <w:rPr>
                <w:rFonts w:hint="eastAsia" w:ascii="宋体" w:hAnsi="宋体" w:cs="宋体"/>
                <w:b/>
                <w:color w:val="000000"/>
                <w:kern w:val="0"/>
                <w:sz w:val="18"/>
                <w:szCs w:val="18"/>
              </w:rPr>
              <w:t>评价等次</w:t>
            </w:r>
          </w:p>
        </w:tc>
        <w:tc>
          <w:tcPr>
            <w:tcW w:w="13169" w:type="dxa"/>
            <w:gridSpan w:val="7"/>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□优秀  90分≤得分≤100分；      □良好  80分≤得分＜89分；     □及格 60分≤得分＜79分；      □不及格  得分＜60分。</w:t>
            </w:r>
          </w:p>
        </w:tc>
      </w:tr>
    </w:tbl>
    <w:p>
      <w:pPr>
        <w:widowControl/>
        <w:adjustRightInd w:val="0"/>
        <w:snapToGrid w:val="0"/>
        <w:spacing w:line="580" w:lineRule="exact"/>
        <w:contextualSpacing/>
        <w:jc w:val="left"/>
        <w:rPr>
          <w:rFonts w:ascii="仿宋_GB2312" w:hAnsi="宋体" w:eastAsia="仿宋_GB2312" w:cs="宋体"/>
          <w:color w:val="000000"/>
          <w:kern w:val="0"/>
          <w:sz w:val="32"/>
          <w:szCs w:val="32"/>
          <w:shd w:val="clear" w:color="auto" w:fill="FFFFFF"/>
        </w:rPr>
      </w:pPr>
    </w:p>
    <w:p>
      <w:pPr>
        <w:rPr>
          <w:rFonts w:ascii="黑体" w:hAnsi="宋体" w:eastAsia="黑体" w:cs="宋体"/>
          <w:color w:val="000000"/>
          <w:kern w:val="0"/>
          <w:sz w:val="32"/>
          <w:szCs w:val="32"/>
          <w:shd w:val="clear" w:color="auto" w:fill="FFFFFF"/>
        </w:rPr>
        <w:sectPr>
          <w:pgSz w:w="16838" w:h="11906" w:orient="landscape"/>
          <w:pgMar w:top="1800" w:right="1440" w:bottom="1800" w:left="1440" w:header="851" w:footer="992" w:gutter="0"/>
          <w:pgNumType w:fmt="decimal"/>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576" w:lineRule="exact"/>
        <w:contextualSpacing/>
        <w:jc w:val="left"/>
        <w:textAlignment w:val="auto"/>
        <w:rPr>
          <w:rStyle w:val="19"/>
          <w:rFonts w:asciiTheme="majorEastAsia" w:hAnsiTheme="majorEastAsia" w:eastAsiaTheme="majorEastAsia"/>
          <w:b w:val="0"/>
        </w:rPr>
      </w:pPr>
    </w:p>
    <w:p>
      <w:pPr>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第五部分     附   表</w:t>
      </w:r>
    </w:p>
    <w:p>
      <w:pPr>
        <w:keepNext w:val="0"/>
        <w:keepLines w:val="0"/>
        <w:pageBreakBefore w:val="0"/>
        <w:kinsoku/>
        <w:wordWrap/>
        <w:overflowPunct/>
        <w:topLinePunct w:val="0"/>
        <w:autoSpaceDE/>
        <w:autoSpaceDN/>
        <w:bidi w:val="0"/>
        <w:spacing w:line="576" w:lineRule="exact"/>
        <w:textAlignment w:val="auto"/>
        <w:rPr>
          <w:rFonts w:ascii="宋体" w:hAnsi="宋体" w:cs="仿宋_GB2312"/>
          <w:b/>
          <w:sz w:val="32"/>
          <w:szCs w:val="32"/>
        </w:rPr>
      </w:pP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收入支出决算总表</w:t>
      </w:r>
      <w:bookmarkEnd w:id="40"/>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1" w:name="_Toc15396620"/>
      <w:r>
        <w:rPr>
          <w:rFonts w:hint="eastAsia" w:ascii="仿宋_GB2312" w:hAnsi="仿宋_GB2312" w:eastAsia="仿宋_GB2312" w:cs="仿宋_GB2312"/>
          <w:sz w:val="32"/>
          <w:szCs w:val="32"/>
        </w:rPr>
        <w:t>二、收入</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bookmarkEnd w:id="41"/>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2" w:name="_Toc15396621"/>
      <w:r>
        <w:rPr>
          <w:rFonts w:hint="eastAsia" w:ascii="仿宋_GB2312" w:hAnsi="仿宋_GB2312" w:eastAsia="仿宋_GB2312" w:cs="仿宋_GB2312"/>
          <w:sz w:val="32"/>
          <w:szCs w:val="32"/>
        </w:rPr>
        <w:t>三、支出</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sz w:val="32"/>
          <w:szCs w:val="32"/>
        </w:rPr>
        <w:t>表</w:t>
      </w:r>
      <w:bookmarkEnd w:id="42"/>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3" w:name="_Toc15396622"/>
      <w:r>
        <w:rPr>
          <w:rFonts w:hint="eastAsia" w:ascii="仿宋_GB2312" w:hAnsi="仿宋_GB2312" w:eastAsia="仿宋_GB2312" w:cs="仿宋_GB2312"/>
          <w:sz w:val="32"/>
          <w:szCs w:val="32"/>
        </w:rPr>
        <w:t>四、财政拨款收入支出决算总表</w:t>
      </w:r>
      <w:bookmarkEnd w:id="43"/>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4" w:name="_Toc15396623"/>
      <w:r>
        <w:rPr>
          <w:rFonts w:hint="eastAsia" w:ascii="仿宋_GB2312" w:hAnsi="仿宋_GB2312" w:eastAsia="仿宋_GB2312" w:cs="仿宋_GB2312"/>
          <w:sz w:val="32"/>
          <w:szCs w:val="32"/>
        </w:rPr>
        <w:t>五、财政拨款支出决算明细表</w:t>
      </w:r>
      <w:bookmarkEnd w:id="44"/>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5" w:name="_Toc15396624"/>
      <w:r>
        <w:rPr>
          <w:rFonts w:hint="eastAsia" w:ascii="仿宋_GB2312" w:hAnsi="仿宋_GB2312" w:eastAsia="仿宋_GB2312" w:cs="仿宋_GB2312"/>
          <w:sz w:val="32"/>
          <w:szCs w:val="32"/>
        </w:rPr>
        <w:t>六、一般公共预算财政拨款支出决算表</w:t>
      </w:r>
      <w:bookmarkEnd w:id="45"/>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6" w:name="_Toc15396625"/>
      <w:r>
        <w:rPr>
          <w:rFonts w:hint="eastAsia" w:ascii="仿宋_GB2312" w:hAnsi="仿宋_GB2312" w:eastAsia="仿宋_GB2312" w:cs="仿宋_GB2312"/>
          <w:sz w:val="32"/>
          <w:szCs w:val="32"/>
        </w:rPr>
        <w:t>七、一般公共预算财政拨款支出决算明细表</w:t>
      </w:r>
      <w:bookmarkEnd w:id="46"/>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7" w:name="_Toc15396626"/>
      <w:r>
        <w:rPr>
          <w:rFonts w:hint="eastAsia" w:ascii="仿宋_GB2312" w:hAnsi="仿宋_GB2312" w:eastAsia="仿宋_GB2312" w:cs="仿宋_GB2312"/>
          <w:sz w:val="32"/>
          <w:szCs w:val="32"/>
        </w:rPr>
        <w:t>八、一般公共预算财政拨款基本支出决算表</w:t>
      </w:r>
      <w:bookmarkEnd w:id="47"/>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8" w:name="_Toc15396627"/>
      <w:r>
        <w:rPr>
          <w:rFonts w:hint="eastAsia" w:ascii="仿宋_GB2312" w:hAnsi="仿宋_GB2312" w:eastAsia="仿宋_GB2312" w:cs="仿宋_GB2312"/>
          <w:sz w:val="32"/>
          <w:szCs w:val="32"/>
        </w:rPr>
        <w:t>九、一般公共预算财政拨款项目支出决算表</w:t>
      </w:r>
      <w:bookmarkEnd w:id="48"/>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49" w:name="_Toc15396628"/>
      <w:r>
        <w:rPr>
          <w:rFonts w:hint="eastAsia" w:ascii="仿宋_GB2312" w:hAnsi="仿宋_GB2312" w:eastAsia="仿宋_GB2312" w:cs="仿宋_GB2312"/>
          <w:sz w:val="32"/>
          <w:szCs w:val="32"/>
        </w:rPr>
        <w:t>十、一般公共预算财政拨款“三公”经费支出决算表</w:t>
      </w:r>
      <w:bookmarkEnd w:id="49"/>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0" w:name="_Toc15396629"/>
      <w:r>
        <w:rPr>
          <w:rFonts w:hint="eastAsia" w:ascii="仿宋_GB2312" w:hAnsi="仿宋_GB2312" w:eastAsia="仿宋_GB2312" w:cs="仿宋_GB2312"/>
          <w:sz w:val="32"/>
          <w:szCs w:val="32"/>
        </w:rPr>
        <w:t>十一、政府性基金预算财政拨款收入支出决算表</w:t>
      </w:r>
      <w:bookmarkEnd w:id="50"/>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1" w:name="_Toc15396630"/>
      <w:r>
        <w:rPr>
          <w:rFonts w:hint="eastAsia" w:ascii="仿宋_GB2312" w:hAnsi="仿宋_GB2312" w:eastAsia="仿宋_GB2312" w:cs="仿宋_GB2312"/>
          <w:sz w:val="32"/>
          <w:szCs w:val="32"/>
        </w:rPr>
        <w:t>十二、政府性基金预算财政拨款“三公”经费支出决算表</w:t>
      </w:r>
      <w:bookmarkEnd w:id="51"/>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sz w:val="32"/>
          <w:szCs w:val="32"/>
        </w:rPr>
      </w:pPr>
      <w:bookmarkStart w:id="52" w:name="_Toc15396631"/>
      <w:r>
        <w:rPr>
          <w:rFonts w:hint="eastAsia" w:ascii="仿宋_GB2312" w:hAnsi="仿宋_GB2312" w:eastAsia="仿宋_GB2312" w:cs="仿宋_GB2312"/>
          <w:sz w:val="32"/>
          <w:szCs w:val="32"/>
        </w:rPr>
        <w:t>十三、国有资本经营预算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bookmarkEnd w:id="52"/>
    </w:p>
    <w:p>
      <w:pPr>
        <w:pStyle w:val="11"/>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十四、国有资本经营预算财政拨款支出决算表</w:t>
      </w:r>
    </w:p>
    <w:sectPr>
      <w:headerReference r:id="rId6" w:type="default"/>
      <w:footerReference r:id="rId7"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MingLiU">
    <w:altName w:val="宋体"/>
    <w:panose1 w:val="02020509000000000000"/>
    <w:charset w:val="88"/>
    <w:family w:val="auto"/>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1yKZm0AQAAUgMAAA4AAABkcnMv&#10;ZTJvRG9jLnhtbK1TS44TMRDdI3EHy3viTgQ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Q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XIpmbQBAABSAwAADgAAAAAAAAABACAAAAA0AQAAZHJzL2Uyb0Rv&#10;Yy54bWxQSwUGAAAAAAYABgBZAQAAWgU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vpYnG0AQAAUgMAAA4AAABkcnMv&#10;ZTJvRG9jLnhtbK1TS44TMRDdI3EHy3viTiQ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S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licbQBAABSAwAADgAAAAAAAAABACAAAAA0AQAAZHJzL2Uyb0Rv&#10;Yy54bWxQSwUGAAAAAAYABgBZAQAAWgU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7CpfSzAQAAUg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5xUF44HNHx29fj95/HH1/IdWnPEFOL&#10;Wc8R8/J4F0ZOM+zUFEroL8JHDa58URLBFOz14dJfNWYi0TlfLpbLBkMSY9MFS7CX3yOk/KiCI8Xg&#10;FHCAta9i/5TyKXVKKdV8eDDW1iFa/4cDMYuHFfonjsXK42Y8a9qE7oCSBpw9px6XkxL7zmNry5pM&#10;BkzGZjJ2Ecy2R2pa2FSGIxD+dpeRSOVXqpygz8VxcFXhecnKZvx+r1kvT2H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uwqX0swEAAFIDAAAOAAAAAAAAAAEAIAAAADQ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5DA2"/>
    <w:rsid w:val="00114E9B"/>
    <w:rsid w:val="00142216"/>
    <w:rsid w:val="00144D6A"/>
    <w:rsid w:val="0014729F"/>
    <w:rsid w:val="00157BAB"/>
    <w:rsid w:val="001654D1"/>
    <w:rsid w:val="00174518"/>
    <w:rsid w:val="0018106D"/>
    <w:rsid w:val="001877A7"/>
    <w:rsid w:val="00191536"/>
    <w:rsid w:val="00196687"/>
    <w:rsid w:val="001C0962"/>
    <w:rsid w:val="001D7531"/>
    <w:rsid w:val="001E27B6"/>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6A89"/>
    <w:rsid w:val="002A31DE"/>
    <w:rsid w:val="002B2613"/>
    <w:rsid w:val="002D19B0"/>
    <w:rsid w:val="002D6D05"/>
    <w:rsid w:val="002F1818"/>
    <w:rsid w:val="002F567B"/>
    <w:rsid w:val="003216A9"/>
    <w:rsid w:val="00335A74"/>
    <w:rsid w:val="0036561B"/>
    <w:rsid w:val="0037013F"/>
    <w:rsid w:val="00380C92"/>
    <w:rsid w:val="00383388"/>
    <w:rsid w:val="003A484F"/>
    <w:rsid w:val="003A4883"/>
    <w:rsid w:val="003B0BE0"/>
    <w:rsid w:val="003B0C1B"/>
    <w:rsid w:val="003B688C"/>
    <w:rsid w:val="003C0291"/>
    <w:rsid w:val="003C39AE"/>
    <w:rsid w:val="003C7B60"/>
    <w:rsid w:val="003D0C0F"/>
    <w:rsid w:val="003D1FB2"/>
    <w:rsid w:val="003D66DA"/>
    <w:rsid w:val="003E1310"/>
    <w:rsid w:val="003E3B2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082A"/>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31FD9"/>
    <w:rsid w:val="007348BA"/>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4717"/>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580"/>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138D"/>
    <w:rsid w:val="00BB4DF0"/>
    <w:rsid w:val="00BC289F"/>
    <w:rsid w:val="00BC2D50"/>
    <w:rsid w:val="00BC5361"/>
    <w:rsid w:val="00BC5460"/>
    <w:rsid w:val="00BC6B50"/>
    <w:rsid w:val="00BD0E25"/>
    <w:rsid w:val="00BF5BD6"/>
    <w:rsid w:val="00C03E31"/>
    <w:rsid w:val="00C241BC"/>
    <w:rsid w:val="00C30E69"/>
    <w:rsid w:val="00C33E72"/>
    <w:rsid w:val="00C354B2"/>
    <w:rsid w:val="00C35554"/>
    <w:rsid w:val="00C42709"/>
    <w:rsid w:val="00C533CC"/>
    <w:rsid w:val="00C5751C"/>
    <w:rsid w:val="00C61BFC"/>
    <w:rsid w:val="00C62B85"/>
    <w:rsid w:val="00C65438"/>
    <w:rsid w:val="00C70713"/>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65D6"/>
    <w:rsid w:val="00DA634F"/>
    <w:rsid w:val="00DA65AC"/>
    <w:rsid w:val="00DB1913"/>
    <w:rsid w:val="00DC410D"/>
    <w:rsid w:val="00DC5A81"/>
    <w:rsid w:val="00DC5C42"/>
    <w:rsid w:val="00DC68CA"/>
    <w:rsid w:val="00DC7CBA"/>
    <w:rsid w:val="00DD1279"/>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9302D"/>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EB7"/>
    <w:rsid w:val="00F36D8F"/>
    <w:rsid w:val="00F417B1"/>
    <w:rsid w:val="00F45853"/>
    <w:rsid w:val="00F602DF"/>
    <w:rsid w:val="00F754A1"/>
    <w:rsid w:val="00F81FD9"/>
    <w:rsid w:val="00F841AA"/>
    <w:rsid w:val="00F84A94"/>
    <w:rsid w:val="00F87E96"/>
    <w:rsid w:val="00FA056B"/>
    <w:rsid w:val="00FA23E8"/>
    <w:rsid w:val="00FB7729"/>
    <w:rsid w:val="00FD3CC1"/>
    <w:rsid w:val="00FF1E02"/>
    <w:rsid w:val="00FF1EF9"/>
    <w:rsid w:val="00FF30B4"/>
    <w:rsid w:val="0128599D"/>
    <w:rsid w:val="017B382B"/>
    <w:rsid w:val="01B77847"/>
    <w:rsid w:val="01C364CF"/>
    <w:rsid w:val="01F661A0"/>
    <w:rsid w:val="02AC0279"/>
    <w:rsid w:val="02B564AC"/>
    <w:rsid w:val="02DF6E08"/>
    <w:rsid w:val="02E23AFB"/>
    <w:rsid w:val="02F66684"/>
    <w:rsid w:val="03087A1D"/>
    <w:rsid w:val="03AC48CB"/>
    <w:rsid w:val="03AE6E0C"/>
    <w:rsid w:val="040821E8"/>
    <w:rsid w:val="047C2635"/>
    <w:rsid w:val="048052DC"/>
    <w:rsid w:val="04AE4458"/>
    <w:rsid w:val="04B1236B"/>
    <w:rsid w:val="04FF5B84"/>
    <w:rsid w:val="055E1D56"/>
    <w:rsid w:val="05C41A95"/>
    <w:rsid w:val="05C50B23"/>
    <w:rsid w:val="0606761A"/>
    <w:rsid w:val="060C3530"/>
    <w:rsid w:val="06AF6313"/>
    <w:rsid w:val="06CA07E0"/>
    <w:rsid w:val="06D93F17"/>
    <w:rsid w:val="07042732"/>
    <w:rsid w:val="0720257D"/>
    <w:rsid w:val="077D56C3"/>
    <w:rsid w:val="079B5377"/>
    <w:rsid w:val="07B83BE8"/>
    <w:rsid w:val="07B91890"/>
    <w:rsid w:val="07DA3334"/>
    <w:rsid w:val="08086D20"/>
    <w:rsid w:val="083D37A4"/>
    <w:rsid w:val="08A11DC7"/>
    <w:rsid w:val="08D91C1A"/>
    <w:rsid w:val="094870C5"/>
    <w:rsid w:val="09673A20"/>
    <w:rsid w:val="096E10F7"/>
    <w:rsid w:val="09A86A7F"/>
    <w:rsid w:val="09C20786"/>
    <w:rsid w:val="09DF180D"/>
    <w:rsid w:val="09FB1E76"/>
    <w:rsid w:val="09FF67E7"/>
    <w:rsid w:val="0A1173C2"/>
    <w:rsid w:val="0A151B94"/>
    <w:rsid w:val="0A2B2AC3"/>
    <w:rsid w:val="0A4A39F0"/>
    <w:rsid w:val="0A4E2758"/>
    <w:rsid w:val="0A880DDF"/>
    <w:rsid w:val="0A993B1B"/>
    <w:rsid w:val="0B20760C"/>
    <w:rsid w:val="0B2D26EE"/>
    <w:rsid w:val="0B3B0CFF"/>
    <w:rsid w:val="0B53429B"/>
    <w:rsid w:val="0BB52D11"/>
    <w:rsid w:val="0CC330F0"/>
    <w:rsid w:val="0CC42BB0"/>
    <w:rsid w:val="0CD85676"/>
    <w:rsid w:val="0CE66B92"/>
    <w:rsid w:val="0D1A207E"/>
    <w:rsid w:val="0D3E6687"/>
    <w:rsid w:val="0D597E5C"/>
    <w:rsid w:val="0D6C7EF6"/>
    <w:rsid w:val="0D942E1E"/>
    <w:rsid w:val="0DA52806"/>
    <w:rsid w:val="0DD23E75"/>
    <w:rsid w:val="0E282C21"/>
    <w:rsid w:val="0E597B9B"/>
    <w:rsid w:val="0E5F2407"/>
    <w:rsid w:val="0E793A88"/>
    <w:rsid w:val="0E903B22"/>
    <w:rsid w:val="0EC048F2"/>
    <w:rsid w:val="0EFA0D13"/>
    <w:rsid w:val="0F127C88"/>
    <w:rsid w:val="0F3F56C6"/>
    <w:rsid w:val="0F707293"/>
    <w:rsid w:val="0F9762FA"/>
    <w:rsid w:val="0F9D15F9"/>
    <w:rsid w:val="0FA30D7D"/>
    <w:rsid w:val="0FB03E96"/>
    <w:rsid w:val="0FBB58CD"/>
    <w:rsid w:val="0FEB17CA"/>
    <w:rsid w:val="100D1612"/>
    <w:rsid w:val="107049F1"/>
    <w:rsid w:val="108A3B75"/>
    <w:rsid w:val="108B71B2"/>
    <w:rsid w:val="108F30CD"/>
    <w:rsid w:val="1097424A"/>
    <w:rsid w:val="10C055FF"/>
    <w:rsid w:val="11113548"/>
    <w:rsid w:val="111C231C"/>
    <w:rsid w:val="113B0236"/>
    <w:rsid w:val="113B2104"/>
    <w:rsid w:val="1154746E"/>
    <w:rsid w:val="11EB2F69"/>
    <w:rsid w:val="12325CE5"/>
    <w:rsid w:val="12662061"/>
    <w:rsid w:val="126F3E7F"/>
    <w:rsid w:val="12754648"/>
    <w:rsid w:val="129D2547"/>
    <w:rsid w:val="13AD4991"/>
    <w:rsid w:val="13B37337"/>
    <w:rsid w:val="13E62365"/>
    <w:rsid w:val="14173DA4"/>
    <w:rsid w:val="147A0B80"/>
    <w:rsid w:val="14AC3C61"/>
    <w:rsid w:val="14CA64EE"/>
    <w:rsid w:val="14F2132D"/>
    <w:rsid w:val="153D0BF2"/>
    <w:rsid w:val="156462AC"/>
    <w:rsid w:val="158906A2"/>
    <w:rsid w:val="15B27A63"/>
    <w:rsid w:val="15B40374"/>
    <w:rsid w:val="15C80872"/>
    <w:rsid w:val="15D9273B"/>
    <w:rsid w:val="15DC52A8"/>
    <w:rsid w:val="15E015DC"/>
    <w:rsid w:val="15F74476"/>
    <w:rsid w:val="160B6560"/>
    <w:rsid w:val="16543555"/>
    <w:rsid w:val="167B6696"/>
    <w:rsid w:val="168A485C"/>
    <w:rsid w:val="16AB4AC7"/>
    <w:rsid w:val="16BB723D"/>
    <w:rsid w:val="177371B4"/>
    <w:rsid w:val="17966D5A"/>
    <w:rsid w:val="17983725"/>
    <w:rsid w:val="180C1FFE"/>
    <w:rsid w:val="180D0151"/>
    <w:rsid w:val="186C7C1B"/>
    <w:rsid w:val="18CE501A"/>
    <w:rsid w:val="18CF416C"/>
    <w:rsid w:val="18FF347F"/>
    <w:rsid w:val="193424AF"/>
    <w:rsid w:val="196772B7"/>
    <w:rsid w:val="198E3C79"/>
    <w:rsid w:val="1A732C75"/>
    <w:rsid w:val="1A763170"/>
    <w:rsid w:val="1AC24D56"/>
    <w:rsid w:val="1ACA3DF9"/>
    <w:rsid w:val="1AFA55FD"/>
    <w:rsid w:val="1BEE5EDC"/>
    <w:rsid w:val="1BFF255A"/>
    <w:rsid w:val="1C2E1C1C"/>
    <w:rsid w:val="1C4B0062"/>
    <w:rsid w:val="1C7E46D0"/>
    <w:rsid w:val="1C8D2239"/>
    <w:rsid w:val="1D000970"/>
    <w:rsid w:val="1D16439F"/>
    <w:rsid w:val="1D6A4516"/>
    <w:rsid w:val="1D6C3910"/>
    <w:rsid w:val="1DD04148"/>
    <w:rsid w:val="1E3E4424"/>
    <w:rsid w:val="1E517F54"/>
    <w:rsid w:val="1F756E5F"/>
    <w:rsid w:val="1F9801C9"/>
    <w:rsid w:val="1FBD05C0"/>
    <w:rsid w:val="1FEF0176"/>
    <w:rsid w:val="1FFF33D9"/>
    <w:rsid w:val="20905EC6"/>
    <w:rsid w:val="20E035DF"/>
    <w:rsid w:val="210F5968"/>
    <w:rsid w:val="212D40AE"/>
    <w:rsid w:val="21C939DB"/>
    <w:rsid w:val="21E62D9C"/>
    <w:rsid w:val="21F10450"/>
    <w:rsid w:val="229526CC"/>
    <w:rsid w:val="22AF5381"/>
    <w:rsid w:val="232C4512"/>
    <w:rsid w:val="2335109D"/>
    <w:rsid w:val="233C2C81"/>
    <w:rsid w:val="235E545F"/>
    <w:rsid w:val="238D74EE"/>
    <w:rsid w:val="23960849"/>
    <w:rsid w:val="23ED20DA"/>
    <w:rsid w:val="240371BF"/>
    <w:rsid w:val="2434041C"/>
    <w:rsid w:val="24557088"/>
    <w:rsid w:val="246E0443"/>
    <w:rsid w:val="24B60A2C"/>
    <w:rsid w:val="24D17891"/>
    <w:rsid w:val="253F1797"/>
    <w:rsid w:val="257C3D35"/>
    <w:rsid w:val="25803FE7"/>
    <w:rsid w:val="25875F47"/>
    <w:rsid w:val="25A90CDB"/>
    <w:rsid w:val="25C855E8"/>
    <w:rsid w:val="26FC6FD4"/>
    <w:rsid w:val="27001E0E"/>
    <w:rsid w:val="276A42EF"/>
    <w:rsid w:val="277A12E9"/>
    <w:rsid w:val="27CD5F8C"/>
    <w:rsid w:val="283C6AF6"/>
    <w:rsid w:val="28544148"/>
    <w:rsid w:val="28696C73"/>
    <w:rsid w:val="28841473"/>
    <w:rsid w:val="289E6654"/>
    <w:rsid w:val="28AC7DAD"/>
    <w:rsid w:val="28FD3DCD"/>
    <w:rsid w:val="292D07C9"/>
    <w:rsid w:val="294A5E79"/>
    <w:rsid w:val="29DD3FF2"/>
    <w:rsid w:val="29FD04D3"/>
    <w:rsid w:val="2A1E1D56"/>
    <w:rsid w:val="2A5C51F2"/>
    <w:rsid w:val="2A7C1BDE"/>
    <w:rsid w:val="2AE05BBC"/>
    <w:rsid w:val="2AE67AD9"/>
    <w:rsid w:val="2B346E73"/>
    <w:rsid w:val="2B925942"/>
    <w:rsid w:val="2BCC2B8C"/>
    <w:rsid w:val="2BFC2EAF"/>
    <w:rsid w:val="2C573B6D"/>
    <w:rsid w:val="2C6015AB"/>
    <w:rsid w:val="2C814E4A"/>
    <w:rsid w:val="2C8E68A5"/>
    <w:rsid w:val="2CA87F11"/>
    <w:rsid w:val="2CE05B3F"/>
    <w:rsid w:val="2D0233B1"/>
    <w:rsid w:val="2D062202"/>
    <w:rsid w:val="2D425D8E"/>
    <w:rsid w:val="2D5B7933"/>
    <w:rsid w:val="2D66323B"/>
    <w:rsid w:val="2D8964B8"/>
    <w:rsid w:val="2DC5137E"/>
    <w:rsid w:val="2DF650BF"/>
    <w:rsid w:val="2E29400A"/>
    <w:rsid w:val="2EA40793"/>
    <w:rsid w:val="2EC22124"/>
    <w:rsid w:val="2ECF1EBC"/>
    <w:rsid w:val="2EF45AB6"/>
    <w:rsid w:val="2F11764B"/>
    <w:rsid w:val="2F99402B"/>
    <w:rsid w:val="2FA70928"/>
    <w:rsid w:val="2FB72FC2"/>
    <w:rsid w:val="2FB74D8F"/>
    <w:rsid w:val="2FC6739D"/>
    <w:rsid w:val="2FD20367"/>
    <w:rsid w:val="2FD43D21"/>
    <w:rsid w:val="2FE40450"/>
    <w:rsid w:val="2FF24F07"/>
    <w:rsid w:val="303A28AD"/>
    <w:rsid w:val="30781BC3"/>
    <w:rsid w:val="30A679ED"/>
    <w:rsid w:val="30BE155E"/>
    <w:rsid w:val="31561DE6"/>
    <w:rsid w:val="319F7F4E"/>
    <w:rsid w:val="31A9136A"/>
    <w:rsid w:val="31F74F6B"/>
    <w:rsid w:val="327F556A"/>
    <w:rsid w:val="32C23066"/>
    <w:rsid w:val="33181D41"/>
    <w:rsid w:val="33363350"/>
    <w:rsid w:val="334C3D61"/>
    <w:rsid w:val="33796F6E"/>
    <w:rsid w:val="33AE4706"/>
    <w:rsid w:val="33BE11D4"/>
    <w:rsid w:val="33C54355"/>
    <w:rsid w:val="34076A71"/>
    <w:rsid w:val="343C1D13"/>
    <w:rsid w:val="34E812C3"/>
    <w:rsid w:val="34F54A13"/>
    <w:rsid w:val="350A7CD8"/>
    <w:rsid w:val="359B0F16"/>
    <w:rsid w:val="36105747"/>
    <w:rsid w:val="366F5FC6"/>
    <w:rsid w:val="36BF5D4B"/>
    <w:rsid w:val="36E000F8"/>
    <w:rsid w:val="371922AD"/>
    <w:rsid w:val="371B014E"/>
    <w:rsid w:val="37513A03"/>
    <w:rsid w:val="378E05F3"/>
    <w:rsid w:val="378F0375"/>
    <w:rsid w:val="37E01670"/>
    <w:rsid w:val="37E2505B"/>
    <w:rsid w:val="38B312DB"/>
    <w:rsid w:val="38D01305"/>
    <w:rsid w:val="392E2D80"/>
    <w:rsid w:val="39701BBF"/>
    <w:rsid w:val="39854A07"/>
    <w:rsid w:val="3994161F"/>
    <w:rsid w:val="39A03C65"/>
    <w:rsid w:val="39BD23A1"/>
    <w:rsid w:val="39EE3FAF"/>
    <w:rsid w:val="3A6D6AA2"/>
    <w:rsid w:val="3A8A414D"/>
    <w:rsid w:val="3A9C205E"/>
    <w:rsid w:val="3B3B347F"/>
    <w:rsid w:val="3B6569AB"/>
    <w:rsid w:val="3BAE07B5"/>
    <w:rsid w:val="3C103ECE"/>
    <w:rsid w:val="3C1D3AA3"/>
    <w:rsid w:val="3CDA7C61"/>
    <w:rsid w:val="3D27659F"/>
    <w:rsid w:val="3D6A6413"/>
    <w:rsid w:val="3D8E4787"/>
    <w:rsid w:val="3D9F66BD"/>
    <w:rsid w:val="3DBB59AB"/>
    <w:rsid w:val="3E060868"/>
    <w:rsid w:val="3E3F01D0"/>
    <w:rsid w:val="3E4E3B7A"/>
    <w:rsid w:val="3E63211C"/>
    <w:rsid w:val="3E654B27"/>
    <w:rsid w:val="3E772EF2"/>
    <w:rsid w:val="3E8D2EB2"/>
    <w:rsid w:val="3EAD6DED"/>
    <w:rsid w:val="3EF40D26"/>
    <w:rsid w:val="3EFE323C"/>
    <w:rsid w:val="3F427118"/>
    <w:rsid w:val="3F7C52F1"/>
    <w:rsid w:val="3F867A87"/>
    <w:rsid w:val="407A5F4C"/>
    <w:rsid w:val="40BE4311"/>
    <w:rsid w:val="40DA0EDA"/>
    <w:rsid w:val="413918AF"/>
    <w:rsid w:val="413952E9"/>
    <w:rsid w:val="415A3AED"/>
    <w:rsid w:val="417E0AFF"/>
    <w:rsid w:val="419E5442"/>
    <w:rsid w:val="41BF720E"/>
    <w:rsid w:val="41E56738"/>
    <w:rsid w:val="42000A38"/>
    <w:rsid w:val="4216075D"/>
    <w:rsid w:val="42744E4E"/>
    <w:rsid w:val="42B66816"/>
    <w:rsid w:val="42B93416"/>
    <w:rsid w:val="42DD3DCD"/>
    <w:rsid w:val="42EF1AAF"/>
    <w:rsid w:val="43324F46"/>
    <w:rsid w:val="43677B7A"/>
    <w:rsid w:val="43E77ABD"/>
    <w:rsid w:val="44577D29"/>
    <w:rsid w:val="448151A8"/>
    <w:rsid w:val="44964E7A"/>
    <w:rsid w:val="44A30778"/>
    <w:rsid w:val="44B1654A"/>
    <w:rsid w:val="44FA1271"/>
    <w:rsid w:val="452C6B0B"/>
    <w:rsid w:val="454461F2"/>
    <w:rsid w:val="45571374"/>
    <w:rsid w:val="458B2528"/>
    <w:rsid w:val="458B4CAC"/>
    <w:rsid w:val="45D35DF5"/>
    <w:rsid w:val="45E87C53"/>
    <w:rsid w:val="45F37C2D"/>
    <w:rsid w:val="4658194D"/>
    <w:rsid w:val="465E3360"/>
    <w:rsid w:val="466E0FEF"/>
    <w:rsid w:val="4676503A"/>
    <w:rsid w:val="46791F70"/>
    <w:rsid w:val="467A6D36"/>
    <w:rsid w:val="467B2845"/>
    <w:rsid w:val="46C30068"/>
    <w:rsid w:val="46EC1F29"/>
    <w:rsid w:val="474D53A0"/>
    <w:rsid w:val="475671CB"/>
    <w:rsid w:val="4827200B"/>
    <w:rsid w:val="483B3E95"/>
    <w:rsid w:val="48567930"/>
    <w:rsid w:val="48A46EAA"/>
    <w:rsid w:val="48E2133B"/>
    <w:rsid w:val="48E45073"/>
    <w:rsid w:val="48F15904"/>
    <w:rsid w:val="490E2636"/>
    <w:rsid w:val="49105544"/>
    <w:rsid w:val="491F6AAE"/>
    <w:rsid w:val="493D6C32"/>
    <w:rsid w:val="495768BF"/>
    <w:rsid w:val="496251B8"/>
    <w:rsid w:val="49832E24"/>
    <w:rsid w:val="49AC10CC"/>
    <w:rsid w:val="49D307A4"/>
    <w:rsid w:val="4A4B097D"/>
    <w:rsid w:val="4AEB1A03"/>
    <w:rsid w:val="4AEC57B0"/>
    <w:rsid w:val="4AEE7960"/>
    <w:rsid w:val="4B223CD6"/>
    <w:rsid w:val="4B4C5053"/>
    <w:rsid w:val="4B537C9B"/>
    <w:rsid w:val="4B893862"/>
    <w:rsid w:val="4B9D4764"/>
    <w:rsid w:val="4BE112D1"/>
    <w:rsid w:val="4BF56323"/>
    <w:rsid w:val="4C0F4EAD"/>
    <w:rsid w:val="4C7B3FDB"/>
    <w:rsid w:val="4CE57C5F"/>
    <w:rsid w:val="4CF75AA0"/>
    <w:rsid w:val="4D6C24A3"/>
    <w:rsid w:val="4DB42C65"/>
    <w:rsid w:val="4DC340F8"/>
    <w:rsid w:val="4E2E2A80"/>
    <w:rsid w:val="4E3B3CD2"/>
    <w:rsid w:val="4ECE2238"/>
    <w:rsid w:val="4EED71EB"/>
    <w:rsid w:val="4F1D4660"/>
    <w:rsid w:val="4FFB3A6A"/>
    <w:rsid w:val="500B355A"/>
    <w:rsid w:val="50134DE5"/>
    <w:rsid w:val="501A3F56"/>
    <w:rsid w:val="5036025F"/>
    <w:rsid w:val="5056230D"/>
    <w:rsid w:val="505C0AE2"/>
    <w:rsid w:val="50660883"/>
    <w:rsid w:val="506F3B36"/>
    <w:rsid w:val="507F3FFE"/>
    <w:rsid w:val="50916031"/>
    <w:rsid w:val="50CE4DB3"/>
    <w:rsid w:val="5107431A"/>
    <w:rsid w:val="511E78A3"/>
    <w:rsid w:val="51566403"/>
    <w:rsid w:val="51A93EF0"/>
    <w:rsid w:val="5201083B"/>
    <w:rsid w:val="522572C4"/>
    <w:rsid w:val="52313F75"/>
    <w:rsid w:val="524A54F0"/>
    <w:rsid w:val="527534A0"/>
    <w:rsid w:val="529041FE"/>
    <w:rsid w:val="533F18D0"/>
    <w:rsid w:val="539C69B8"/>
    <w:rsid w:val="53FC750B"/>
    <w:rsid w:val="543C474F"/>
    <w:rsid w:val="54772354"/>
    <w:rsid w:val="54866415"/>
    <w:rsid w:val="5499210C"/>
    <w:rsid w:val="549A798E"/>
    <w:rsid w:val="54BB5CEB"/>
    <w:rsid w:val="55334961"/>
    <w:rsid w:val="559461F5"/>
    <w:rsid w:val="55D4128F"/>
    <w:rsid w:val="55D527E1"/>
    <w:rsid w:val="55F25794"/>
    <w:rsid w:val="56123815"/>
    <w:rsid w:val="564A74A4"/>
    <w:rsid w:val="565A7A10"/>
    <w:rsid w:val="56A31E8E"/>
    <w:rsid w:val="56A608DA"/>
    <w:rsid w:val="56CB167B"/>
    <w:rsid w:val="56FC5D08"/>
    <w:rsid w:val="576D3270"/>
    <w:rsid w:val="577E0E22"/>
    <w:rsid w:val="57A70D7C"/>
    <w:rsid w:val="57AD2661"/>
    <w:rsid w:val="57F60C03"/>
    <w:rsid w:val="582F2744"/>
    <w:rsid w:val="586A08D9"/>
    <w:rsid w:val="58A20866"/>
    <w:rsid w:val="593327D1"/>
    <w:rsid w:val="593C14A5"/>
    <w:rsid w:val="598665F8"/>
    <w:rsid w:val="59BE558F"/>
    <w:rsid w:val="59C740D8"/>
    <w:rsid w:val="5A415B07"/>
    <w:rsid w:val="5A5F7DDF"/>
    <w:rsid w:val="5A8D293E"/>
    <w:rsid w:val="5AC0574F"/>
    <w:rsid w:val="5AE018A8"/>
    <w:rsid w:val="5B48673E"/>
    <w:rsid w:val="5B5216D8"/>
    <w:rsid w:val="5B582204"/>
    <w:rsid w:val="5B5D36BF"/>
    <w:rsid w:val="5B9E26FA"/>
    <w:rsid w:val="5BC75E38"/>
    <w:rsid w:val="5BF0453A"/>
    <w:rsid w:val="5C1271EB"/>
    <w:rsid w:val="5C5714D6"/>
    <w:rsid w:val="5CA42E3C"/>
    <w:rsid w:val="5CA64B5D"/>
    <w:rsid w:val="5D3A3493"/>
    <w:rsid w:val="5D3B6E33"/>
    <w:rsid w:val="5E223A2C"/>
    <w:rsid w:val="5EDE2D2A"/>
    <w:rsid w:val="5EE2140E"/>
    <w:rsid w:val="5F6D0B75"/>
    <w:rsid w:val="5F976844"/>
    <w:rsid w:val="5FC61AA4"/>
    <w:rsid w:val="5FE203E3"/>
    <w:rsid w:val="603416E5"/>
    <w:rsid w:val="603C23DC"/>
    <w:rsid w:val="60807F86"/>
    <w:rsid w:val="60A96632"/>
    <w:rsid w:val="60C7706D"/>
    <w:rsid w:val="60CB49ED"/>
    <w:rsid w:val="60E2126A"/>
    <w:rsid w:val="610D0A83"/>
    <w:rsid w:val="61766B03"/>
    <w:rsid w:val="61CD6F45"/>
    <w:rsid w:val="61F35E92"/>
    <w:rsid w:val="62501E96"/>
    <w:rsid w:val="6298715D"/>
    <w:rsid w:val="62AC4B25"/>
    <w:rsid w:val="63420069"/>
    <w:rsid w:val="63A052F3"/>
    <w:rsid w:val="63C9518F"/>
    <w:rsid w:val="63CB2EEB"/>
    <w:rsid w:val="63FE7F18"/>
    <w:rsid w:val="64C10F80"/>
    <w:rsid w:val="64D16904"/>
    <w:rsid w:val="65202610"/>
    <w:rsid w:val="654E2FE4"/>
    <w:rsid w:val="65A159C5"/>
    <w:rsid w:val="660A6331"/>
    <w:rsid w:val="661076D2"/>
    <w:rsid w:val="6641288B"/>
    <w:rsid w:val="6669472B"/>
    <w:rsid w:val="66F8070C"/>
    <w:rsid w:val="66FD376A"/>
    <w:rsid w:val="676D5F02"/>
    <w:rsid w:val="67713727"/>
    <w:rsid w:val="67C2244C"/>
    <w:rsid w:val="67C81B2D"/>
    <w:rsid w:val="67CF2A6F"/>
    <w:rsid w:val="67E42245"/>
    <w:rsid w:val="67F13455"/>
    <w:rsid w:val="68251981"/>
    <w:rsid w:val="686F4D76"/>
    <w:rsid w:val="68AA06F0"/>
    <w:rsid w:val="68FD7B55"/>
    <w:rsid w:val="693905BA"/>
    <w:rsid w:val="695A5C58"/>
    <w:rsid w:val="69757DEC"/>
    <w:rsid w:val="69CD1A7A"/>
    <w:rsid w:val="69F20A3B"/>
    <w:rsid w:val="69FA5E22"/>
    <w:rsid w:val="6A5B74A4"/>
    <w:rsid w:val="6A767D4E"/>
    <w:rsid w:val="6A7A1606"/>
    <w:rsid w:val="6A7F3E95"/>
    <w:rsid w:val="6AB96EF0"/>
    <w:rsid w:val="6AE93A1B"/>
    <w:rsid w:val="6B7F558C"/>
    <w:rsid w:val="6BC428FA"/>
    <w:rsid w:val="6BD47290"/>
    <w:rsid w:val="6BE94B3D"/>
    <w:rsid w:val="6C2C7FD5"/>
    <w:rsid w:val="6C4035FE"/>
    <w:rsid w:val="6C430A84"/>
    <w:rsid w:val="6D560228"/>
    <w:rsid w:val="6D5C5006"/>
    <w:rsid w:val="6D99771A"/>
    <w:rsid w:val="6DBD4A26"/>
    <w:rsid w:val="6E1F7A5A"/>
    <w:rsid w:val="6E290EA7"/>
    <w:rsid w:val="6E617C4A"/>
    <w:rsid w:val="6EB41455"/>
    <w:rsid w:val="6EF824F5"/>
    <w:rsid w:val="6F1A04A8"/>
    <w:rsid w:val="6F2D5808"/>
    <w:rsid w:val="6F4D5CFB"/>
    <w:rsid w:val="6F5B5750"/>
    <w:rsid w:val="6F6C047F"/>
    <w:rsid w:val="6F7B40ED"/>
    <w:rsid w:val="6F8C1102"/>
    <w:rsid w:val="6FDB5D33"/>
    <w:rsid w:val="701107C7"/>
    <w:rsid w:val="70282FDC"/>
    <w:rsid w:val="704E07E7"/>
    <w:rsid w:val="706A0303"/>
    <w:rsid w:val="70B06BC4"/>
    <w:rsid w:val="70D162A0"/>
    <w:rsid w:val="71123FA4"/>
    <w:rsid w:val="713730E5"/>
    <w:rsid w:val="718B3188"/>
    <w:rsid w:val="71B636E9"/>
    <w:rsid w:val="71BA19FF"/>
    <w:rsid w:val="71DA52C1"/>
    <w:rsid w:val="71DA6C75"/>
    <w:rsid w:val="72107E17"/>
    <w:rsid w:val="72734D90"/>
    <w:rsid w:val="72EE678D"/>
    <w:rsid w:val="72F6333D"/>
    <w:rsid w:val="734C0EC4"/>
    <w:rsid w:val="735C2FC5"/>
    <w:rsid w:val="73701895"/>
    <w:rsid w:val="73775D14"/>
    <w:rsid w:val="739C6FAB"/>
    <w:rsid w:val="73CF6C86"/>
    <w:rsid w:val="73D462EC"/>
    <w:rsid w:val="73DC0E31"/>
    <w:rsid w:val="746D713F"/>
    <w:rsid w:val="748764FC"/>
    <w:rsid w:val="74B927FB"/>
    <w:rsid w:val="74BC0B72"/>
    <w:rsid w:val="75172D80"/>
    <w:rsid w:val="75370E39"/>
    <w:rsid w:val="7595633D"/>
    <w:rsid w:val="75EA2DB1"/>
    <w:rsid w:val="764D7DC8"/>
    <w:rsid w:val="765037A0"/>
    <w:rsid w:val="765B7D5E"/>
    <w:rsid w:val="768066B4"/>
    <w:rsid w:val="769D5165"/>
    <w:rsid w:val="769D6619"/>
    <w:rsid w:val="76B974F8"/>
    <w:rsid w:val="76C249E8"/>
    <w:rsid w:val="770B7016"/>
    <w:rsid w:val="775E23F4"/>
    <w:rsid w:val="77695F06"/>
    <w:rsid w:val="777A160B"/>
    <w:rsid w:val="779429C5"/>
    <w:rsid w:val="779D1446"/>
    <w:rsid w:val="77AB6515"/>
    <w:rsid w:val="77AE308A"/>
    <w:rsid w:val="7823478D"/>
    <w:rsid w:val="78262260"/>
    <w:rsid w:val="78344A5E"/>
    <w:rsid w:val="78AF6AB1"/>
    <w:rsid w:val="78CF64B4"/>
    <w:rsid w:val="794C4D43"/>
    <w:rsid w:val="79880858"/>
    <w:rsid w:val="79D50702"/>
    <w:rsid w:val="79ED2039"/>
    <w:rsid w:val="79FF06E4"/>
    <w:rsid w:val="7A043A69"/>
    <w:rsid w:val="7A3A798A"/>
    <w:rsid w:val="7A5D63E4"/>
    <w:rsid w:val="7A797721"/>
    <w:rsid w:val="7A861BCE"/>
    <w:rsid w:val="7A9F4017"/>
    <w:rsid w:val="7AAD2B53"/>
    <w:rsid w:val="7AF109C9"/>
    <w:rsid w:val="7AF27F7C"/>
    <w:rsid w:val="7B633F34"/>
    <w:rsid w:val="7B6414A6"/>
    <w:rsid w:val="7B6951EC"/>
    <w:rsid w:val="7B7A3CA8"/>
    <w:rsid w:val="7BAC7F8E"/>
    <w:rsid w:val="7BB96DFD"/>
    <w:rsid w:val="7BFD122C"/>
    <w:rsid w:val="7BFE11C5"/>
    <w:rsid w:val="7C0C5E95"/>
    <w:rsid w:val="7C2939DF"/>
    <w:rsid w:val="7C5E5095"/>
    <w:rsid w:val="7C7A323E"/>
    <w:rsid w:val="7CC50C7B"/>
    <w:rsid w:val="7D021393"/>
    <w:rsid w:val="7DA10A67"/>
    <w:rsid w:val="7DF16F00"/>
    <w:rsid w:val="7DFC7B63"/>
    <w:rsid w:val="7E083CCB"/>
    <w:rsid w:val="7E536F7E"/>
    <w:rsid w:val="7ED510E4"/>
    <w:rsid w:val="7EF231CF"/>
    <w:rsid w:val="7F183A26"/>
    <w:rsid w:val="7F2F32F4"/>
    <w:rsid w:val="7F3A3616"/>
    <w:rsid w:val="7F675513"/>
    <w:rsid w:val="7F735188"/>
    <w:rsid w:val="7F9008F3"/>
    <w:rsid w:val="7F973FAE"/>
    <w:rsid w:val="7F9A58A5"/>
    <w:rsid w:val="7FCB5D78"/>
    <w:rsid w:val="EF4FF7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99"/>
    <w:pPr>
      <w:ind w:left="200" w:leftChars="200" w:hanging="200" w:hangingChars="200"/>
    </w:pPr>
    <w:rPr>
      <w:szCs w:val="22"/>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link w:val="38"/>
    <w:qFormat/>
    <w:uiPriority w:val="10"/>
    <w:pPr>
      <w:spacing w:before="240" w:beforeLines="0" w:beforeAutospacing="0" w:after="60" w:afterLines="0" w:afterAutospacing="0"/>
      <w:jc w:val="center"/>
      <w:outlineLvl w:val="0"/>
    </w:pPr>
    <w:rPr>
      <w:rFonts w:ascii="Arial" w:hAnsi="Arial"/>
      <w:b/>
      <w:sz w:val="32"/>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9"/>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8"/>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7"/>
    <w:semiHidden/>
    <w:qFormat/>
    <w:uiPriority w:val="99"/>
    <w:rPr>
      <w:rFonts w:ascii="Times New Roman" w:hAnsi="Times New Roman"/>
      <w:kern w:val="2"/>
      <w:sz w:val="18"/>
      <w:szCs w:val="18"/>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公文主体"/>
    <w:basedOn w:val="1"/>
    <w:qFormat/>
    <w:uiPriority w:val="0"/>
    <w:pPr>
      <w:spacing w:line="580" w:lineRule="exact"/>
      <w:ind w:firstLine="200" w:firstLineChars="200"/>
    </w:pPr>
    <w:rPr>
      <w:rFonts w:eastAsia="仿宋_GB2312"/>
      <w:kern w:val="0"/>
      <w:sz w:val="32"/>
      <w:szCs w:val="20"/>
    </w:rPr>
  </w:style>
  <w:style w:type="character" w:customStyle="1" w:styleId="34">
    <w:name w:val="font41"/>
    <w:basedOn w:val="16"/>
    <w:qFormat/>
    <w:uiPriority w:val="0"/>
    <w:rPr>
      <w:rFonts w:hint="eastAsia" w:ascii="宋体" w:hAnsi="宋体" w:eastAsia="宋体" w:cs="宋体"/>
      <w:color w:val="000000"/>
      <w:sz w:val="18"/>
      <w:szCs w:val="18"/>
      <w:u w:val="none"/>
    </w:rPr>
  </w:style>
  <w:style w:type="character" w:customStyle="1" w:styleId="35">
    <w:name w:val="font81"/>
    <w:basedOn w:val="16"/>
    <w:qFormat/>
    <w:uiPriority w:val="0"/>
    <w:rPr>
      <w:rFonts w:hint="eastAsia" w:ascii="宋体" w:hAnsi="宋体" w:eastAsia="宋体" w:cs="宋体"/>
      <w:color w:val="000000"/>
      <w:sz w:val="18"/>
      <w:szCs w:val="18"/>
      <w:u w:val="none"/>
    </w:rPr>
  </w:style>
  <w:style w:type="paragraph" w:customStyle="1" w:styleId="36">
    <w:name w:val="msonospacing"/>
    <w:basedOn w:val="1"/>
    <w:qFormat/>
    <w:uiPriority w:val="0"/>
    <w:pPr>
      <w:keepNext w:val="0"/>
      <w:keepLines w:val="0"/>
      <w:widowControl/>
      <w:suppressLineNumbers w:val="0"/>
      <w:adjustRightInd w:val="0"/>
      <w:snapToGrid w:val="0"/>
      <w:spacing w:before="0" w:beforeAutospacing="0" w:after="0" w:afterAutospacing="0"/>
      <w:ind w:left="0" w:right="0"/>
      <w:jc w:val="left"/>
    </w:pPr>
    <w:rPr>
      <w:rFonts w:hint="default" w:ascii="Tahoma" w:hAnsi="Tahoma" w:eastAsia="微软雅黑" w:cs="Times New Roman"/>
      <w:kern w:val="0"/>
      <w:sz w:val="22"/>
      <w:szCs w:val="22"/>
      <w:lang w:val="en-US" w:eastAsia="zh-CN" w:bidi="ar"/>
    </w:rPr>
  </w:style>
  <w:style w:type="paragraph" w:customStyle="1" w:styleId="37">
    <w:name w:val="Body text|1"/>
    <w:basedOn w:val="1"/>
    <w:qFormat/>
    <w:uiPriority w:val="0"/>
    <w:pPr>
      <w:keepNext w:val="0"/>
      <w:keepLines w:val="0"/>
      <w:widowControl w:val="0"/>
      <w:suppressLineNumbers w:val="0"/>
      <w:spacing w:before="0" w:beforeAutospacing="0" w:after="0" w:afterAutospacing="0" w:line="386" w:lineRule="auto"/>
      <w:ind w:left="0" w:right="0" w:firstLine="400"/>
      <w:jc w:val="left"/>
    </w:pPr>
    <w:rPr>
      <w:rFonts w:hint="eastAsia" w:ascii="MingLiU" w:hAnsi="MingLiU" w:eastAsia="MingLiU" w:cs="宋体"/>
      <w:color w:val="000000"/>
      <w:kern w:val="0"/>
      <w:sz w:val="19"/>
      <w:szCs w:val="19"/>
      <w:lang w:val="en-US" w:eastAsia="zh-CN" w:bidi="ar"/>
    </w:rPr>
  </w:style>
  <w:style w:type="character" w:customStyle="1" w:styleId="38">
    <w:name w:val="标题 Char"/>
    <w:basedOn w:val="16"/>
    <w:link w:val="14"/>
    <w:qFormat/>
    <w:uiPriority w:val="0"/>
    <w:rPr>
      <w:rFonts w:ascii="Cambria" w:hAnsi="Cambria" w:eastAsia="Cambria" w:cs="Times New Roman"/>
      <w:b/>
      <w:kern w:val="2"/>
      <w:sz w:val="32"/>
      <w:szCs w:val="32"/>
    </w:rPr>
  </w:style>
  <w:style w:type="paragraph" w:customStyle="1" w:styleId="39">
    <w:name w:val="table of figures1"/>
    <w:basedOn w:val="1"/>
    <w:next w:val="1"/>
    <w:qFormat/>
    <w:uiPriority w:val="0"/>
    <w:pPr>
      <w:keepNext w:val="0"/>
      <w:keepLines w:val="0"/>
      <w:widowControl w:val="0"/>
      <w:suppressLineNumbers w:val="0"/>
      <w:spacing w:before="0" w:beforeAutospacing="0" w:after="0" w:afterAutospacing="0"/>
      <w:ind w:left="200" w:leftChars="200" w:right="0" w:hanging="200" w:hangingChars="200"/>
      <w:jc w:val="both"/>
    </w:pPr>
    <w:rPr>
      <w:rFonts w:hint="default" w:ascii="Times New Roman" w:hAnsi="Times New Roman" w:eastAsia="仿宋_GB2312" w:cs="Times New Roman"/>
      <w:kern w:val="2"/>
      <w:sz w:val="32"/>
      <w:szCs w:val="32"/>
      <w:lang w:val="en-US" w:eastAsia="zh-CN" w:bidi="ar"/>
    </w:rPr>
  </w:style>
  <w:style w:type="paragraph" w:styleId="40">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收、支决算总计变动情况图</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2221.48</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1266.74</c:v>
                </c:pt>
              </c:numCache>
            </c:numRef>
          </c:val>
        </c:ser>
        <c:dLbls>
          <c:showLegendKey val="false"/>
          <c:showVal val="true"/>
          <c:showCatName val="false"/>
          <c:showSerName val="false"/>
          <c:showPercent val="false"/>
          <c:showBubbleSize val="false"/>
        </c:dLbls>
        <c:gapWidth val="423"/>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r>
              <a:rPr lang="en-US" altLang="zh-CN"/>
              <a:t>                     </a:t>
            </a:r>
            <a:r>
              <a:rPr sz="1200"/>
              <a:t>单位：万元</a:t>
            </a:r>
            <a:endParaRPr sz="1200"/>
          </a:p>
        </c:rich>
      </c:tx>
      <c:layout>
        <c:manualLayout>
          <c:xMode val="edge"/>
          <c:yMode val="edge"/>
          <c:x val="0.380625"/>
          <c:y val="0.034881087202718"/>
        </c:manualLayout>
      </c:layout>
      <c:overlay val="false"/>
      <c:spPr>
        <a:noFill/>
        <a:ln>
          <a:noFill/>
        </a:ln>
        <a:effectLst/>
      </c:spPr>
    </c:title>
    <c:autoTitleDeleted val="false"/>
    <c:plotArea>
      <c:layout/>
      <c:pieChart>
        <c:varyColors val="true"/>
        <c:ser>
          <c:idx val="0"/>
          <c:order val="0"/>
          <c:tx>
            <c:strRef>
              <c:f>Sheet1!$B$1</c:f>
              <c:strCache>
                <c:ptCount val="1"/>
                <c:pt idx="0">
                  <c:v>收入决算结构图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2068.82</c:v>
                </c:pt>
                <c:pt idx="1">
                  <c:v>0</c:v>
                </c:pt>
                <c:pt idx="2">
                  <c:v>0</c:v>
                </c:pt>
                <c:pt idx="3">
                  <c:v>0</c:v>
                </c:pt>
                <c:pt idx="4">
                  <c:v>0</c:v>
                </c:pt>
                <c:pt idx="5">
                  <c:v>0</c:v>
                </c:pt>
                <c:pt idx="6">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r>
              <a:rPr lang="en-US" altLang="zh-CN"/>
              <a:t>               </a:t>
            </a:r>
            <a:r>
              <a:rPr lang="en-US" altLang="zh-CN" sz="1200"/>
              <a:t> </a:t>
            </a:r>
            <a:r>
              <a:rPr altLang="en-US" sz="1200"/>
              <a:t>单位：万元</a:t>
            </a:r>
            <a:endParaRPr lang="en-US" altLang="en-US" sz="1200"/>
          </a:p>
        </c:rich>
      </c:tx>
      <c:layout>
        <c:manualLayout>
          <c:xMode val="edge"/>
          <c:yMode val="edge"/>
          <c:x val="0.372125"/>
          <c:y val="0.025974025974026"/>
        </c:manualLayout>
      </c:layout>
      <c:overlay val="false"/>
      <c:spPr>
        <a:noFill/>
        <a:ln>
          <a:noFill/>
        </a:ln>
        <a:effectLst/>
      </c:spPr>
    </c:title>
    <c:autoTitleDeleted val="false"/>
    <c:plotArea>
      <c:layout>
        <c:manualLayout>
          <c:layoutTarget val="inner"/>
          <c:xMode val="edge"/>
          <c:yMode val="edge"/>
          <c:x val="0.326325"/>
          <c:y val="0.193311688311688"/>
          <c:w val="0.35035"/>
          <c:h val="0.606666666666667"/>
        </c:manualLayout>
      </c:layout>
      <c:pieChart>
        <c:varyColors val="true"/>
        <c:ser>
          <c:idx val="0"/>
          <c:order val="0"/>
          <c:tx>
            <c:strRef>
              <c:f>Sheet1!$B$1</c:f>
              <c:strCache>
                <c:ptCount val="1"/>
                <c:pt idx="0">
                  <c:v>支出决算结构图</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572.49</c:v>
                </c:pt>
                <c:pt idx="1">
                  <c:v>1153.54</c:v>
                </c:pt>
                <c:pt idx="2">
                  <c:v>0</c:v>
                </c:pt>
                <c:pt idx="3">
                  <c:v>0</c:v>
                </c:pt>
                <c:pt idx="4">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收入</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2019</c:v>
                </c:pt>
              </c:numCache>
            </c:numRef>
          </c:cat>
          <c:val>
            <c:numRef>
              <c:f>Sheet1!$B$2:$B$3</c:f>
              <c:numCache>
                <c:formatCode>General</c:formatCode>
                <c:ptCount val="2"/>
                <c:pt idx="0">
                  <c:v>2068.82</c:v>
                </c:pt>
                <c:pt idx="1">
                  <c:v>655.74</c:v>
                </c:pt>
              </c:numCache>
            </c:numRef>
          </c:val>
        </c:ser>
        <c:ser>
          <c:idx val="1"/>
          <c:order val="1"/>
          <c:tx>
            <c:strRef>
              <c:f>Sheet1!$C$1</c:f>
              <c:strCache>
                <c:ptCount val="1"/>
                <c:pt idx="0">
                  <c:v>支出</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2020</c:v>
                </c:pt>
                <c:pt idx="1">
                  <c:v>2019</c:v>
                </c:pt>
              </c:numCache>
            </c:numRef>
          </c:cat>
          <c:val>
            <c:numRef>
              <c:f>Sheet1!$C$2:$C$3</c:f>
              <c:numCache>
                <c:formatCode>General</c:formatCode>
                <c:ptCount val="2"/>
                <c:pt idx="0">
                  <c:v>1726.03</c:v>
                </c:pt>
                <c:pt idx="1">
                  <c:v>655.74</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numRef>
              <c:f>Sheet1!$A$2:$A$3</c:f>
              <c:numCache>
                <c:formatCode>General</c:formatCode>
                <c:ptCount val="2"/>
                <c:pt idx="0">
                  <c:v>2020</c:v>
                </c:pt>
                <c:pt idx="1">
                  <c:v>2019</c:v>
                </c:pt>
              </c:numCache>
            </c:num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36600832"/>
        <c:axId val="36610816"/>
      </c:barChart>
      <c:catAx>
        <c:axId val="36600832"/>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10816"/>
        <c:crosses val="autoZero"/>
        <c:auto val="true"/>
        <c:lblAlgn val="ctr"/>
        <c:lblOffset val="100"/>
        <c:noMultiLvlLbl val="false"/>
      </c:catAx>
      <c:valAx>
        <c:axId val="3661081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00832"/>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2020年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1726.03</c:v>
                </c:pt>
              </c:numCache>
            </c:numRef>
          </c:val>
        </c:ser>
        <c:ser>
          <c:idx val="1"/>
          <c:order val="1"/>
          <c:tx>
            <c:strRef>
              <c:f>Sheet1!$C$1</c:f>
              <c:strCache>
                <c:ptCount val="1"/>
                <c:pt idx="0">
                  <c:v>2019年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655.74</c:v>
                </c:pt>
              </c:numCache>
            </c:numRef>
          </c:val>
        </c:ser>
        <c:dLbls>
          <c:showLegendKey val="false"/>
          <c:showVal val="true"/>
          <c:showCatName val="false"/>
          <c:showSerName val="false"/>
          <c:showPercent val="false"/>
          <c:showBubbleSize val="false"/>
        </c:dLbls>
        <c:gapWidth val="388"/>
        <c:overlap val="-100"/>
        <c:axId val="36641408"/>
        <c:axId val="366472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false"/>
                <c:dLbls>
                  <c:delete val="true"/>
                </c:dLbls>
                <c:cat>
                  <c:strRef>
                    <c:extLst>
                      <c:ext uri="{02D57815-91ED-43cb-92C2-25804820EDAC}">
                        <c15:fullRef>
                          <c15:sqref/>
                        </c15:fullRef>
                        <c15:formulaRef>
                          <c15:sqref>Sheet1!$A$2</c15:sqref>
                        </c15:formulaRef>
                      </c:ext>
                    </c:extLst>
                    <c:strCache>
                      <c:ptCount val="1"/>
                      <c:pt idx="0">
                        <c:v>类别 1</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36641408"/>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7296"/>
        <c:crosses val="autoZero"/>
        <c:auto val="true"/>
        <c:lblAlgn val="ctr"/>
        <c:lblOffset val="100"/>
        <c:noMultiLvlLbl val="false"/>
      </c:catAx>
      <c:valAx>
        <c:axId val="3664729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6641408"/>
        <c:crosses val="autoZero"/>
        <c:crossBetween val="between"/>
      </c:valAx>
      <c:spPr>
        <a:noFill/>
        <a:ln>
          <a:noFill/>
        </a:ln>
        <a:effectLst/>
      </c:spPr>
    </c:plotArea>
    <c:legend>
      <c:legendPos val="b"/>
      <c:layout>
        <c:manualLayout>
          <c:xMode val="edge"/>
          <c:yMode val="edge"/>
          <c:x val="0.396875"/>
          <c:y val="0.914881297046902"/>
          <c:w val="0.264125"/>
          <c:h val="0.0619571511291256"/>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一般公共服务</c:v>
                </c:pt>
                <c:pt idx="1">
                  <c:v>发展改革事务</c:v>
                </c:pt>
                <c:pt idx="2">
                  <c:v>社会保障和就业</c:v>
                </c:pt>
                <c:pt idx="3">
                  <c:v>卫生健康支出</c:v>
                </c:pt>
                <c:pt idx="4">
                  <c:v>住房保障支出</c:v>
                </c:pt>
                <c:pt idx="5">
                  <c:v>粮油物资储备支出</c:v>
                </c:pt>
                <c:pt idx="6">
                  <c:v>农林水事务</c:v>
                </c:pt>
              </c:strCache>
            </c:strRef>
          </c:cat>
          <c:val>
            <c:numRef>
              <c:f>Sheet1!$B$2:$B$8</c:f>
              <c:numCache>
                <c:formatCode>General</c:formatCode>
                <c:ptCount val="7"/>
                <c:pt idx="0">
                  <c:v>471.78</c:v>
                </c:pt>
                <c:pt idx="1">
                  <c:v>595</c:v>
                </c:pt>
                <c:pt idx="2">
                  <c:v>44.66</c:v>
                </c:pt>
                <c:pt idx="3">
                  <c:v>24.02</c:v>
                </c:pt>
                <c:pt idx="4">
                  <c:v>32.03</c:v>
                </c:pt>
                <c:pt idx="5">
                  <c:v>553.14</c:v>
                </c:pt>
                <c:pt idx="6">
                  <c:v>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“三公”经费财政拨款支出决算结构</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因公出国（境）经费支出</c:v>
                </c:pt>
                <c:pt idx="1">
                  <c:v>公务用车购置及运行维护费支出</c:v>
                </c:pt>
                <c:pt idx="2">
                  <c:v>公务接待费支出</c:v>
                </c:pt>
              </c:strCache>
            </c:strRef>
          </c:cat>
          <c:val>
            <c:numRef>
              <c:f>Sheet1!$B$2:$B$4</c:f>
              <c:numCache>
                <c:formatCode>General</c:formatCode>
                <c:ptCount val="3"/>
                <c:pt idx="0">
                  <c:v>0</c:v>
                </c:pt>
                <c:pt idx="1">
                  <c:v>0</c:v>
                </c:pt>
                <c:pt idx="2">
                  <c:v>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2622</Words>
  <Characters>14951</Characters>
  <Lines>124</Lines>
  <Paragraphs>35</Paragraphs>
  <TotalTime>27</TotalTime>
  <ScaleCrop>false</ScaleCrop>
  <LinksUpToDate>false</LinksUpToDate>
  <CharactersWithSpaces>17538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2021-09-27T16:36:05Z</dcterms:modified>
  <dc:title>四川省***</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215B139522AC49A097342C684101A08B</vt:lpwstr>
  </property>
</Properties>
</file>