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96475"/>
      <w:bookmarkStart w:id="4" w:name="_Toc15378441"/>
      <w:bookmarkStart w:id="5" w:name="_Toc15377425"/>
      <w:r>
        <w:rPr>
          <w:rFonts w:ascii="黑体" w:hAnsi="黑体" w:eastAsia="黑体" w:cs="黑体"/>
          <w:color w:val="000000"/>
          <w:sz w:val="72"/>
          <w:szCs w:val="72"/>
        </w:rPr>
        <w:t>2020</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s="方正小标宋简体"/>
          <w:color w:val="000000"/>
          <w:sz w:val="72"/>
          <w:szCs w:val="72"/>
        </w:rPr>
      </w:pPr>
      <w:bookmarkStart w:id="6" w:name="_Toc15377426"/>
      <w:bookmarkStart w:id="7" w:name="_Toc15396598"/>
      <w:bookmarkStart w:id="8" w:name="_Toc15396476"/>
      <w:bookmarkStart w:id="9" w:name="_Toc15377194"/>
      <w:bookmarkStart w:id="10" w:name="_Toc15378442"/>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广元市朝天区</w:t>
      </w:r>
    </w:p>
    <w:p>
      <w:pPr>
        <w:adjustRightInd w:val="0"/>
        <w:snapToGrid w:val="0"/>
        <w:spacing w:line="360" w:lineRule="auto"/>
        <w:jc w:val="center"/>
        <w:outlineLvl w:val="0"/>
        <w:rPr>
          <w:rFonts w:ascii="方正小标宋简体" w:hAnsi="宋体" w:eastAsia="方正小标宋简体" w:cs="方正小标宋简体"/>
          <w:color w:val="000000"/>
          <w:sz w:val="72"/>
          <w:szCs w:val="72"/>
        </w:rPr>
      </w:pPr>
      <w:r>
        <w:rPr>
          <w:rFonts w:hint="eastAsia" w:ascii="方正小标宋简体" w:hAnsi="宋体" w:eastAsia="方正小标宋简体" w:cs="方正小标宋简体"/>
          <w:color w:val="000000"/>
          <w:sz w:val="72"/>
          <w:szCs w:val="72"/>
          <w:lang w:eastAsia="zh-CN"/>
        </w:rPr>
        <w:t>曾家镇</w:t>
      </w:r>
      <w:r>
        <w:rPr>
          <w:rFonts w:hint="eastAsia" w:ascii="方正小标宋简体" w:hAnsi="宋体" w:eastAsia="方正小标宋简体" w:cs="方正小标宋简体"/>
          <w:color w:val="000000"/>
          <w:sz w:val="72"/>
          <w:szCs w:val="72"/>
        </w:rPr>
        <w:t>人民政府</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s="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w:t>
      </w:r>
      <w:r>
        <w:rPr>
          <w:rFonts w:ascii="黑体" w:hAnsi="黑体" w:eastAsia="黑体" w:cs="黑体"/>
          <w:color w:val="000000"/>
          <w:sz w:val="48"/>
          <w:szCs w:val="48"/>
        </w:rPr>
        <w:t xml:space="preserve">  </w:t>
      </w:r>
      <w:r>
        <w:rPr>
          <w:rFonts w:hint="eastAsia" w:ascii="黑体" w:hAnsi="黑体" w:eastAsia="黑体" w:cs="黑体"/>
          <w:color w:val="000000"/>
          <w:sz w:val="48"/>
          <w:szCs w:val="48"/>
        </w:rPr>
        <w:t>录</w:t>
      </w:r>
    </w:p>
    <w:p>
      <w:pPr>
        <w:widowControl/>
        <w:jc w:val="center"/>
        <w:rPr>
          <w:rFonts w:ascii="黑体" w:hAnsi="黑体" w:eastAsia="黑体"/>
          <w:sz w:val="28"/>
          <w:szCs w:val="28"/>
        </w:rPr>
      </w:pPr>
    </w:p>
    <w:p>
      <w:pPr>
        <w:pStyle w:val="9"/>
        <w:rPr>
          <w:rFonts w:cs="Times New Roman"/>
        </w:rPr>
      </w:pPr>
      <w:r>
        <w:rPr>
          <w:rFonts w:hint="eastAsia"/>
        </w:rPr>
        <w:t>公开时间：</w:t>
      </w:r>
      <w:r>
        <w:t>2021</w:t>
      </w:r>
      <w:r>
        <w:rPr>
          <w:rFonts w:hint="eastAsia"/>
        </w:rPr>
        <w:t>年</w:t>
      </w:r>
      <w:r>
        <w:t>9</w:t>
      </w:r>
      <w:r>
        <w:rPr>
          <w:rFonts w:hint="eastAsia"/>
        </w:rPr>
        <w:t>月</w:t>
      </w:r>
      <w:r>
        <w:t>30</w:t>
      </w:r>
      <w:r>
        <w:rPr>
          <w:rFonts w:hint="eastAsia"/>
        </w:rPr>
        <w:t>日</w:t>
      </w:r>
    </w:p>
    <w:p/>
    <w:p>
      <w:pPr>
        <w:pStyle w:val="9"/>
        <w:adjustRightInd w:val="0"/>
        <w:snapToGrid w:val="0"/>
        <w:spacing w:before="0" w:line="440" w:lineRule="exact"/>
        <w:jc w:val="left"/>
        <w:rPr>
          <w:rFonts w:cs="Times New Roman"/>
          <w:b/>
          <w:bCs/>
          <w:sz w:val="24"/>
          <w:szCs w:val="24"/>
        </w:rPr>
      </w:pPr>
      <w:r>
        <w:rPr>
          <w:rFonts w:hint="eastAsia"/>
          <w:b/>
          <w:bCs/>
          <w:sz w:val="24"/>
          <w:szCs w:val="24"/>
        </w:rPr>
        <w:t>第一部分</w:t>
      </w:r>
      <w:r>
        <w:rPr>
          <w:b/>
          <w:bCs/>
          <w:sz w:val="24"/>
          <w:szCs w:val="24"/>
        </w:rPr>
        <w:t xml:space="preserve"> </w:t>
      </w:r>
      <w:r>
        <w:rPr>
          <w:rFonts w:hint="eastAsia"/>
          <w:b/>
          <w:bCs/>
          <w:sz w:val="24"/>
          <w:szCs w:val="24"/>
        </w:rPr>
        <w:t>部门概况</w:t>
      </w:r>
    </w:p>
    <w:p>
      <w:pPr>
        <w:pStyle w:val="15"/>
        <w:adjustRightInd w:val="0"/>
        <w:snapToGrid w:val="0"/>
        <w:spacing w:line="440" w:lineRule="exact"/>
        <w:jc w:val="left"/>
      </w:pPr>
      <w:r>
        <w:rPr>
          <w:rFonts w:hint="eastAsia" w:cs="宋体"/>
          <w:sz w:val="24"/>
          <w:szCs w:val="24"/>
        </w:rPr>
        <w:t>一、基本职能及主要工作</w:t>
      </w:r>
      <w:r>
        <w:rPr>
          <w:sz w:val="24"/>
          <w:szCs w:val="24"/>
        </w:rPr>
        <w:t>------------------------------------------------------</w:t>
      </w:r>
      <w:r>
        <w:rPr>
          <w:rFonts w:hint="eastAsia"/>
          <w:sz w:val="24"/>
          <w:szCs w:val="24"/>
        </w:rPr>
        <w:t>-</w:t>
      </w:r>
      <w:r>
        <w:rPr>
          <w:sz w:val="24"/>
          <w:szCs w:val="24"/>
        </w:rPr>
        <w:t>-----------</w:t>
      </w:r>
      <w:r>
        <w:rPr>
          <w:rFonts w:hint="eastAsia" w:ascii="宋体" w:hAnsi="宋体" w:eastAsia="宋体" w:cs="宋体"/>
          <w:sz w:val="24"/>
          <w:szCs w:val="24"/>
        </w:rPr>
        <w:t>1</w:t>
      </w:r>
      <w:r>
        <w:rPr>
          <w:rFonts w:hint="eastAsia" w:cs="宋体"/>
          <w:sz w:val="24"/>
          <w:szCs w:val="24"/>
        </w:rPr>
        <w:t>（一）主要职能</w:t>
      </w:r>
      <w:r>
        <w:rPr>
          <w:sz w:val="24"/>
          <w:szCs w:val="24"/>
        </w:rPr>
        <w:t>--------------------------------------------------------------------------- ---</w:t>
      </w:r>
      <w:r>
        <w:rPr>
          <w:rFonts w:hint="eastAsia" w:ascii="宋体" w:hAnsi="宋体" w:eastAsia="宋体" w:cs="宋体"/>
          <w:sz w:val="24"/>
          <w:szCs w:val="24"/>
        </w:rPr>
        <w:t>1</w:t>
      </w:r>
      <w:r>
        <w:rPr>
          <w:rFonts w:hint="eastAsia" w:cs="宋体"/>
          <w:sz w:val="24"/>
          <w:szCs w:val="24"/>
        </w:rPr>
        <w:t>（二）</w:t>
      </w:r>
      <w:r>
        <w:rPr>
          <w:sz w:val="24"/>
          <w:szCs w:val="24"/>
        </w:rPr>
        <w:t>2020</w:t>
      </w:r>
      <w:r>
        <w:rPr>
          <w:rFonts w:hint="eastAsia" w:cs="宋体"/>
          <w:sz w:val="24"/>
          <w:szCs w:val="24"/>
        </w:rPr>
        <w:t>年重点工作完成情况</w:t>
      </w:r>
      <w:r>
        <w:rPr>
          <w:sz w:val="24"/>
          <w:szCs w:val="24"/>
        </w:rPr>
        <w:t>----------------------------------------------</w:t>
      </w:r>
      <w:r>
        <w:rPr>
          <w:rFonts w:hint="eastAsia"/>
          <w:sz w:val="24"/>
          <w:szCs w:val="24"/>
        </w:rPr>
        <w:t>-</w:t>
      </w:r>
      <w:r>
        <w:rPr>
          <w:sz w:val="24"/>
          <w:szCs w:val="24"/>
        </w:rPr>
        <w:t>----------</w:t>
      </w:r>
      <w:r>
        <w:rPr>
          <w:rFonts w:hint="eastAsia" w:ascii="宋体" w:hAnsi="宋体" w:eastAsia="宋体" w:cs="宋体"/>
          <w:sz w:val="24"/>
          <w:szCs w:val="24"/>
        </w:rPr>
        <w:t>2</w:t>
      </w:r>
    </w:p>
    <w:p>
      <w:pPr>
        <w:pStyle w:val="15"/>
        <w:adjustRightInd w:val="0"/>
        <w:snapToGrid w:val="0"/>
        <w:spacing w:line="440" w:lineRule="exact"/>
        <w:jc w:val="left"/>
        <w:rPr>
          <w:rFonts w:hint="eastAsia" w:ascii="仿宋" w:eastAsia="宋体"/>
          <w:sz w:val="24"/>
          <w:szCs w:val="24"/>
          <w:lang w:eastAsia="zh-CN"/>
        </w:rPr>
      </w:pPr>
      <w:r>
        <w:rPr>
          <w:rFonts w:hint="eastAsia" w:cs="宋体"/>
          <w:sz w:val="24"/>
          <w:szCs w:val="24"/>
        </w:rPr>
        <w:t>二、机构设置</w:t>
      </w:r>
      <w:r>
        <w:rPr>
          <w:sz w:val="24"/>
          <w:szCs w:val="24"/>
        </w:rPr>
        <w:t>------------------------------------------------------------</w:t>
      </w:r>
      <w:r>
        <w:rPr>
          <w:rFonts w:hint="eastAsia"/>
          <w:sz w:val="24"/>
          <w:szCs w:val="24"/>
        </w:rPr>
        <w:t>-</w:t>
      </w:r>
      <w:r>
        <w:rPr>
          <w:sz w:val="24"/>
          <w:szCs w:val="24"/>
        </w:rPr>
        <w:t>---------------------</w:t>
      </w:r>
      <w:r>
        <w:rPr>
          <w:rFonts w:hint="eastAsia" w:ascii="宋体" w:hAnsi="宋体" w:cs="宋体"/>
          <w:sz w:val="24"/>
          <w:szCs w:val="24"/>
          <w:lang w:val="en-US" w:eastAsia="zh-CN"/>
        </w:rPr>
        <w:t>9</w:t>
      </w:r>
    </w:p>
    <w:p>
      <w:pPr>
        <w:pStyle w:val="9"/>
        <w:adjustRightInd w:val="0"/>
        <w:snapToGrid w:val="0"/>
        <w:spacing w:before="0" w:line="440" w:lineRule="exact"/>
        <w:jc w:val="left"/>
        <w:rPr>
          <w:rFonts w:cs="Times New Roman"/>
          <w:b/>
          <w:bCs/>
          <w:sz w:val="24"/>
          <w:szCs w:val="24"/>
        </w:rPr>
      </w:pPr>
      <w:r>
        <w:rPr>
          <w:rFonts w:hint="eastAsia"/>
          <w:b/>
          <w:bCs/>
          <w:sz w:val="24"/>
          <w:szCs w:val="24"/>
        </w:rPr>
        <w:t>第二部分度部门决算情况说明</w:t>
      </w:r>
    </w:p>
    <w:p>
      <w:pPr>
        <w:pStyle w:val="15"/>
        <w:adjustRightInd w:val="0"/>
        <w:snapToGrid w:val="0"/>
        <w:spacing w:line="440" w:lineRule="exact"/>
        <w:jc w:val="left"/>
        <w:rPr>
          <w:rFonts w:hint="eastAsia" w:ascii="仿宋" w:eastAsia="宋体"/>
          <w:sz w:val="24"/>
          <w:szCs w:val="24"/>
          <w:lang w:val="en-US" w:eastAsia="zh-CN"/>
        </w:rPr>
      </w:pPr>
      <w:r>
        <w:rPr>
          <w:rFonts w:hint="eastAsia" w:cs="宋体"/>
          <w:sz w:val="24"/>
          <w:szCs w:val="24"/>
        </w:rPr>
        <w:t>三、收入支出决算总体情况说明</w:t>
      </w:r>
      <w:r>
        <w:rPr>
          <w:sz w:val="24"/>
          <w:szCs w:val="24"/>
        </w:rPr>
        <w:t>---------------------------------------------------------</w:t>
      </w:r>
      <w:r>
        <w:rPr>
          <w:rFonts w:hint="eastAsia" w:ascii="宋体" w:hAnsi="宋体" w:cs="宋体"/>
          <w:sz w:val="24"/>
          <w:szCs w:val="24"/>
          <w:lang w:val="en-US" w:eastAsia="zh-CN"/>
        </w:rPr>
        <w:t>9</w:t>
      </w:r>
    </w:p>
    <w:p>
      <w:pPr>
        <w:pStyle w:val="15"/>
        <w:adjustRightInd w:val="0"/>
        <w:snapToGrid w:val="0"/>
        <w:spacing w:line="440" w:lineRule="exact"/>
        <w:jc w:val="left"/>
        <w:rPr>
          <w:rFonts w:hint="default" w:ascii="宋体" w:hAnsi="宋体" w:cs="宋体"/>
          <w:sz w:val="24"/>
          <w:szCs w:val="24"/>
          <w:lang w:val="en-US" w:eastAsia="zh-CN"/>
        </w:rPr>
      </w:pPr>
      <w:r>
        <w:rPr>
          <w:rFonts w:hint="eastAsia" w:cs="宋体"/>
          <w:sz w:val="24"/>
          <w:szCs w:val="24"/>
        </w:rPr>
        <w:t>四、收入决算情况说明</w:t>
      </w:r>
      <w:r>
        <w:rPr>
          <w:sz w:val="24"/>
          <w:szCs w:val="24"/>
        </w:rPr>
        <w:t>-----------------------------------------------------------------</w:t>
      </w:r>
      <w:r>
        <w:rPr>
          <w:b w:val="0"/>
          <w:bCs w:val="0"/>
          <w:sz w:val="24"/>
          <w:szCs w:val="24"/>
        </w:rPr>
        <w:t>---</w:t>
      </w:r>
      <w:r>
        <w:rPr>
          <w:rFonts w:hint="eastAsia" w:ascii="宋体" w:hAnsi="宋体" w:cs="宋体"/>
          <w:sz w:val="24"/>
          <w:szCs w:val="24"/>
          <w:lang w:val="en-US" w:eastAsia="zh-CN"/>
        </w:rPr>
        <w:t>11</w:t>
      </w:r>
    </w:p>
    <w:p>
      <w:pPr>
        <w:pStyle w:val="15"/>
        <w:adjustRightInd w:val="0"/>
        <w:snapToGrid w:val="0"/>
        <w:spacing w:line="440" w:lineRule="exact"/>
        <w:jc w:val="left"/>
        <w:rPr>
          <w:rFonts w:hint="default" w:ascii="仿宋" w:eastAsia="宋体"/>
          <w:sz w:val="24"/>
          <w:szCs w:val="24"/>
          <w:lang w:val="en-US" w:eastAsia="zh-CN"/>
        </w:rPr>
      </w:pPr>
      <w:r>
        <w:rPr>
          <w:rFonts w:hint="eastAsia" w:cs="宋体"/>
          <w:sz w:val="24"/>
          <w:szCs w:val="24"/>
        </w:rPr>
        <w:t>五、支出决算情况说明</w:t>
      </w:r>
      <w:r>
        <w:rPr>
          <w:sz w:val="24"/>
          <w:szCs w:val="24"/>
        </w:rPr>
        <w:t>--------------------------------------------------------------------</w:t>
      </w:r>
      <w:r>
        <w:rPr>
          <w:rFonts w:hint="eastAsia" w:ascii="宋体" w:hAnsi="宋体" w:cs="宋体"/>
          <w:sz w:val="24"/>
          <w:szCs w:val="24"/>
          <w:lang w:val="en-US" w:eastAsia="zh-CN"/>
        </w:rPr>
        <w:t>12</w:t>
      </w:r>
      <w:r>
        <w:rPr>
          <w:rFonts w:hint="eastAsia" w:cs="宋体"/>
          <w:sz w:val="24"/>
          <w:szCs w:val="24"/>
        </w:rPr>
        <w:t>六、财政拨款收入支出决算总体情况说明</w:t>
      </w:r>
      <w:r>
        <w:rPr>
          <w:sz w:val="24"/>
          <w:szCs w:val="24"/>
        </w:rPr>
        <w:t>--------------------------------------------</w:t>
      </w:r>
      <w:r>
        <w:rPr>
          <w:rFonts w:hint="eastAsia"/>
          <w:sz w:val="24"/>
          <w:szCs w:val="24"/>
          <w:lang w:val="en-US" w:eastAsia="zh-CN"/>
        </w:rPr>
        <w:t>15</w:t>
      </w:r>
    </w:p>
    <w:p>
      <w:pPr>
        <w:pStyle w:val="15"/>
        <w:adjustRightInd w:val="0"/>
        <w:snapToGrid w:val="0"/>
        <w:spacing w:line="440" w:lineRule="exact"/>
        <w:jc w:val="left"/>
        <w:rPr>
          <w:rFonts w:hint="default" w:ascii="仿宋" w:eastAsia="宋体"/>
          <w:sz w:val="24"/>
          <w:szCs w:val="24"/>
          <w:lang w:val="en-US" w:eastAsia="zh-CN"/>
        </w:rPr>
      </w:pPr>
      <w:r>
        <w:rPr>
          <w:rFonts w:hint="eastAsia" w:cs="宋体"/>
          <w:sz w:val="24"/>
          <w:szCs w:val="24"/>
        </w:rPr>
        <w:t>七、一般公共预算财政拨款支出决算情况说明</w:t>
      </w:r>
      <w:r>
        <w:rPr>
          <w:sz w:val="24"/>
          <w:szCs w:val="24"/>
        </w:rPr>
        <w:t>--------------------------------------</w:t>
      </w:r>
      <w:r>
        <w:rPr>
          <w:rFonts w:hint="eastAsia" w:ascii="宋体" w:hAnsi="宋体" w:cs="宋体"/>
          <w:sz w:val="24"/>
          <w:szCs w:val="24"/>
          <w:lang w:val="en-US" w:eastAsia="zh-CN"/>
        </w:rPr>
        <w:t>16</w:t>
      </w:r>
    </w:p>
    <w:p>
      <w:pPr>
        <w:pStyle w:val="15"/>
        <w:adjustRightInd w:val="0"/>
        <w:snapToGrid w:val="0"/>
        <w:spacing w:line="440" w:lineRule="exact"/>
        <w:jc w:val="left"/>
        <w:rPr>
          <w:rFonts w:hint="default" w:ascii="仿宋" w:eastAsia="宋体"/>
          <w:sz w:val="24"/>
          <w:szCs w:val="24"/>
          <w:lang w:val="en-US" w:eastAsia="zh-CN"/>
        </w:rPr>
      </w:pPr>
      <w:r>
        <w:rPr>
          <w:rFonts w:hint="eastAsia" w:cs="宋体"/>
          <w:sz w:val="24"/>
          <w:szCs w:val="24"/>
        </w:rPr>
        <w:t>八、政府性基金预算支出决算情况说明</w:t>
      </w:r>
      <w:r>
        <w:rPr>
          <w:sz w:val="24"/>
          <w:szCs w:val="24"/>
        </w:rPr>
        <w:t>----------------------------</w:t>
      </w:r>
      <w:r>
        <w:rPr>
          <w:rFonts w:hint="eastAsia"/>
          <w:sz w:val="24"/>
          <w:szCs w:val="24"/>
          <w:lang w:val="en-US" w:eastAsia="zh-CN"/>
        </w:rPr>
        <w:t xml:space="preserve"> </w:t>
      </w:r>
      <w:r>
        <w:rPr>
          <w:sz w:val="24"/>
          <w:szCs w:val="24"/>
        </w:rPr>
        <w:t>-----------------</w:t>
      </w:r>
      <w:r>
        <w:rPr>
          <w:rFonts w:hint="eastAsia"/>
          <w:sz w:val="24"/>
          <w:szCs w:val="24"/>
          <w:lang w:val="en-US" w:eastAsia="zh-CN"/>
        </w:rPr>
        <w:t>17</w:t>
      </w:r>
    </w:p>
    <w:p>
      <w:pPr>
        <w:pStyle w:val="15"/>
        <w:adjustRightInd w:val="0"/>
        <w:snapToGrid w:val="0"/>
        <w:spacing w:line="440" w:lineRule="exact"/>
        <w:jc w:val="left"/>
        <w:rPr>
          <w:rFonts w:hint="eastAsia" w:ascii="仿宋" w:eastAsia="宋体"/>
          <w:sz w:val="24"/>
          <w:szCs w:val="24"/>
          <w:lang w:val="en-US" w:eastAsia="zh-CN"/>
        </w:rPr>
      </w:pPr>
      <w:r>
        <w:rPr>
          <w:rFonts w:hint="eastAsia" w:cs="宋体"/>
          <w:sz w:val="24"/>
          <w:szCs w:val="24"/>
        </w:rPr>
        <w:t>九、</w:t>
      </w:r>
      <w:r>
        <w:rPr>
          <w:rFonts w:hint="eastAsia" w:ascii="宋体" w:hAnsi="宋体" w:eastAsia="宋体" w:cs="宋体"/>
          <w:sz w:val="24"/>
          <w:szCs w:val="24"/>
        </w:rPr>
        <w:t>国有资本经营预算支出决算情况说明</w:t>
      </w:r>
      <w:r>
        <w:rPr>
          <w:sz w:val="24"/>
          <w:szCs w:val="24"/>
        </w:rPr>
        <w:t>-------------------------</w:t>
      </w:r>
      <w:r>
        <w:rPr>
          <w:rFonts w:hint="eastAsia"/>
          <w:sz w:val="24"/>
          <w:szCs w:val="24"/>
          <w:lang w:val="en-US" w:eastAsia="zh-CN"/>
        </w:rPr>
        <w:t xml:space="preserve"> </w:t>
      </w:r>
      <w:r>
        <w:rPr>
          <w:sz w:val="24"/>
          <w:szCs w:val="24"/>
        </w:rPr>
        <w:t>-----------------</w:t>
      </w:r>
      <w:r>
        <w:rPr>
          <w:rFonts w:hint="eastAsia" w:ascii="宋体" w:hAnsi="宋体" w:eastAsia="宋体" w:cs="宋体"/>
          <w:sz w:val="24"/>
          <w:szCs w:val="24"/>
        </w:rPr>
        <w:t>1</w:t>
      </w:r>
      <w:r>
        <w:rPr>
          <w:rFonts w:hint="eastAsia" w:ascii="宋体" w:hAnsi="宋体" w:cs="宋体"/>
          <w:sz w:val="24"/>
          <w:szCs w:val="24"/>
          <w:lang w:val="en-US" w:eastAsia="zh-CN"/>
        </w:rPr>
        <w:t>7</w:t>
      </w:r>
    </w:p>
    <w:p>
      <w:pPr>
        <w:pStyle w:val="15"/>
        <w:adjustRightInd w:val="0"/>
        <w:snapToGrid w:val="0"/>
        <w:spacing w:line="440" w:lineRule="exact"/>
        <w:ind w:leftChars="0"/>
        <w:jc w:val="left"/>
        <w:rPr>
          <w:rFonts w:hint="eastAsia" w:ascii="仿宋" w:hAnsi="仿宋" w:eastAsia="宋体"/>
          <w:sz w:val="24"/>
          <w:szCs w:val="24"/>
          <w:lang w:val="en-US" w:eastAsia="zh-CN"/>
        </w:rPr>
      </w:pPr>
      <w:r>
        <w:rPr>
          <w:rStyle w:val="22"/>
          <w:rFonts w:hint="eastAsia" w:ascii="宋体" w:hAnsi="宋体" w:eastAsia="宋体" w:cs="宋体"/>
          <w:color w:val="000000"/>
          <w:sz w:val="24"/>
          <w:szCs w:val="24"/>
          <w:u w:val="none"/>
        </w:rPr>
        <w:t>十</w:t>
      </w:r>
      <w:r>
        <w:rPr>
          <w:rStyle w:val="22"/>
          <w:rFonts w:hint="eastAsia" w:ascii="宋体" w:hAnsi="宋体" w:eastAsia="宋体" w:cs="宋体"/>
          <w:color w:val="000000"/>
          <w:sz w:val="24"/>
          <w:szCs w:val="24"/>
          <w:u w:val="none"/>
          <w:lang w:eastAsia="zh-CN"/>
        </w:rPr>
        <w:t>、</w:t>
      </w:r>
      <w:r>
        <w:rPr>
          <w:rFonts w:hint="eastAsia" w:cs="宋体"/>
          <w:sz w:val="24"/>
          <w:szCs w:val="24"/>
        </w:rPr>
        <w:t>其他重要事项的情况说明</w:t>
      </w:r>
      <w:r>
        <w:rPr>
          <w:sz w:val="24"/>
          <w:szCs w:val="24"/>
        </w:rPr>
        <w:t>-----------------------------------------------------------</w:t>
      </w:r>
      <w:r>
        <w:rPr>
          <w:rFonts w:hint="eastAsia" w:ascii="宋体" w:hAnsi="宋体" w:eastAsia="宋体" w:cs="宋体"/>
          <w:sz w:val="24"/>
          <w:szCs w:val="24"/>
        </w:rPr>
        <w:t>1</w:t>
      </w:r>
      <w:r>
        <w:rPr>
          <w:rFonts w:hint="eastAsia" w:ascii="宋体" w:hAnsi="宋体" w:cs="宋体"/>
          <w:sz w:val="24"/>
          <w:szCs w:val="24"/>
          <w:lang w:val="en-US" w:eastAsia="zh-CN"/>
        </w:rPr>
        <w:t>7</w:t>
      </w:r>
    </w:p>
    <w:p>
      <w:pPr>
        <w:pStyle w:val="9"/>
        <w:adjustRightInd w:val="0"/>
        <w:snapToGrid w:val="0"/>
        <w:spacing w:before="0" w:line="440" w:lineRule="exact"/>
        <w:jc w:val="left"/>
        <w:rPr>
          <w:rFonts w:cs="Times New Roman"/>
          <w:b/>
          <w:bCs/>
          <w:sz w:val="24"/>
          <w:szCs w:val="24"/>
        </w:rPr>
      </w:pPr>
      <w:r>
        <w:rPr>
          <w:rFonts w:hint="eastAsia"/>
          <w:b/>
          <w:bCs/>
          <w:sz w:val="24"/>
          <w:szCs w:val="24"/>
        </w:rPr>
        <w:t>第三部分</w:t>
      </w:r>
      <w:r>
        <w:rPr>
          <w:b/>
          <w:bCs/>
          <w:sz w:val="24"/>
          <w:szCs w:val="24"/>
        </w:rPr>
        <w:t xml:space="preserve">  </w:t>
      </w:r>
      <w:r>
        <w:rPr>
          <w:rFonts w:hint="eastAsia"/>
          <w:b/>
          <w:bCs/>
          <w:sz w:val="24"/>
          <w:szCs w:val="24"/>
        </w:rPr>
        <w:t>名词解释</w:t>
      </w:r>
    </w:p>
    <w:p>
      <w:pPr>
        <w:pStyle w:val="9"/>
        <w:adjustRightInd w:val="0"/>
        <w:snapToGrid w:val="0"/>
        <w:spacing w:before="0" w:line="440" w:lineRule="exact"/>
        <w:jc w:val="left"/>
        <w:rPr>
          <w:rFonts w:ascii="Times New Roman" w:hAnsi="Times New Roman" w:eastAsia="宋体" w:cs="Times New Roman"/>
          <w:sz w:val="24"/>
          <w:szCs w:val="24"/>
        </w:rPr>
      </w:pPr>
      <w:r>
        <w:rPr>
          <w:rFonts w:hint="eastAsia"/>
          <w:b/>
          <w:bCs/>
          <w:sz w:val="24"/>
          <w:szCs w:val="24"/>
        </w:rPr>
        <w:t>第四部分</w:t>
      </w:r>
      <w:r>
        <w:rPr>
          <w:b/>
          <w:bCs/>
          <w:sz w:val="24"/>
          <w:szCs w:val="24"/>
        </w:rPr>
        <w:t xml:space="preserve">  </w:t>
      </w:r>
      <w:r>
        <w:rPr>
          <w:rFonts w:hint="eastAsia"/>
          <w:b/>
          <w:bCs/>
          <w:sz w:val="24"/>
          <w:szCs w:val="24"/>
        </w:rPr>
        <w:t>附件</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Times New Roman" w:hAnsi="Times New Roman"/>
          <w:kern w:val="2"/>
        </w:rPr>
        <w:t>附件</w:t>
      </w:r>
      <w:r>
        <w:rPr>
          <w:rFonts w:ascii="Times New Roman" w:hAnsi="Times New Roman" w:cs="Times New Roman"/>
          <w:kern w:val="2"/>
        </w:rPr>
        <w:t>1</w:t>
      </w:r>
      <w:r>
        <w:rPr>
          <w:rFonts w:hint="eastAsia" w:ascii="Times New Roman" w:hAnsi="Times New Roman"/>
          <w:kern w:val="2"/>
        </w:rPr>
        <w:t>：</w:t>
      </w:r>
      <w:r>
        <w:rPr>
          <w:rFonts w:ascii="Times New Roman" w:hAnsi="Times New Roman" w:cs="Times New Roman"/>
          <w:kern w:val="2"/>
        </w:rPr>
        <w:t>2020</w:t>
      </w:r>
      <w:r>
        <w:rPr>
          <w:rFonts w:hint="eastAsia" w:ascii="Times New Roman" w:hAnsi="Times New Roman"/>
          <w:kern w:val="2"/>
        </w:rPr>
        <w:t>年整体支出绩效评价自评报告</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lang w:val="en-US" w:eastAsia="zh-CN"/>
        </w:rPr>
        <w:t>24</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eastAsia="宋体"/>
          <w:lang w:val="en-US" w:eastAsia="zh-CN"/>
        </w:rPr>
      </w:pPr>
      <w:r>
        <w:rPr>
          <w:rFonts w:hint="eastAsia" w:ascii="Times New Roman" w:hAnsi="Times New Roman"/>
          <w:kern w:val="2"/>
        </w:rPr>
        <w:t>附件</w:t>
      </w:r>
      <w:r>
        <w:rPr>
          <w:rFonts w:ascii="Times New Roman" w:hAnsi="Times New Roman" w:cs="Times New Roman"/>
          <w:kern w:val="2"/>
        </w:rPr>
        <w:t>2</w:t>
      </w:r>
      <w:r>
        <w:rPr>
          <w:rFonts w:hint="eastAsia" w:ascii="Times New Roman" w:hAnsi="Times New Roman"/>
          <w:kern w:val="2"/>
        </w:rPr>
        <w:t>：</w:t>
      </w:r>
      <w:r>
        <w:rPr>
          <w:rFonts w:hint="eastAsia" w:ascii="Times New Roman" w:hAnsi="Times New Roman"/>
          <w:kern w:val="2"/>
          <w:lang w:eastAsia="zh-CN"/>
        </w:rPr>
        <w:t>农村公共运行维护</w:t>
      </w:r>
      <w:r>
        <w:rPr>
          <w:rFonts w:hint="eastAsia" w:ascii="Times New Roman" w:hAnsi="Times New Roman"/>
          <w:kern w:val="2"/>
        </w:rPr>
        <w:t>项目支出绩效评价报告</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2</w:t>
      </w:r>
      <w:r>
        <w:rPr>
          <w:rFonts w:hint="eastAsia" w:cs="宋体"/>
          <w:kern w:val="2"/>
          <w:lang w:val="en-US" w:eastAsia="zh-CN"/>
        </w:rPr>
        <w:t>9</w:t>
      </w:r>
    </w:p>
    <w:p>
      <w:pPr>
        <w:pStyle w:val="9"/>
        <w:adjustRightInd w:val="0"/>
        <w:snapToGrid w:val="0"/>
        <w:spacing w:before="0" w:line="440" w:lineRule="exact"/>
        <w:jc w:val="left"/>
      </w:pPr>
      <w:r>
        <w:rPr>
          <w:rFonts w:hint="eastAsia"/>
          <w:b/>
          <w:bCs/>
          <w:sz w:val="24"/>
          <w:szCs w:val="24"/>
        </w:rPr>
        <w:t>第</w:t>
      </w:r>
      <w:r>
        <w:rPr>
          <w:rFonts w:hint="eastAsia"/>
          <w:b/>
          <w:bCs/>
          <w:sz w:val="24"/>
          <w:szCs w:val="24"/>
          <w:lang w:eastAsia="zh-CN"/>
        </w:rPr>
        <w:t>五</w:t>
      </w:r>
      <w:r>
        <w:rPr>
          <w:rFonts w:hint="eastAsia"/>
          <w:b/>
          <w:bCs/>
          <w:sz w:val="24"/>
          <w:szCs w:val="24"/>
        </w:rPr>
        <w:t>部分</w:t>
      </w:r>
      <w:r>
        <w:rPr>
          <w:b/>
          <w:bCs/>
          <w:sz w:val="24"/>
          <w:szCs w:val="24"/>
        </w:rPr>
        <w:t xml:space="preserve">  </w:t>
      </w:r>
      <w:r>
        <w:rPr>
          <w:rFonts w:hint="eastAsia"/>
          <w:b/>
          <w:bCs/>
          <w:sz w:val="24"/>
          <w:szCs w:val="24"/>
        </w:rPr>
        <w:t>附</w:t>
      </w:r>
      <w:r>
        <w:rPr>
          <w:rFonts w:hint="eastAsia"/>
          <w:b/>
          <w:bCs/>
          <w:sz w:val="24"/>
          <w:szCs w:val="24"/>
          <w:lang w:eastAsia="zh-CN"/>
        </w:rPr>
        <w:t>表</w:t>
      </w:r>
    </w:p>
    <w:p>
      <w:pPr>
        <w:adjustRightInd w:val="0"/>
        <w:snapToGrid w:val="0"/>
        <w:spacing w:line="440" w:lineRule="exact"/>
        <w:ind w:firstLine="480" w:firstLineChars="200"/>
        <w:jc w:val="left"/>
        <w:rPr>
          <w:rFonts w:hint="default" w:ascii="仿宋" w:hAnsi="仿宋" w:eastAsia="宋体"/>
          <w:sz w:val="24"/>
          <w:szCs w:val="24"/>
          <w:lang w:val="en-US" w:eastAsia="zh-CN"/>
        </w:rPr>
      </w:pPr>
      <w:r>
        <w:rPr>
          <w:rFonts w:hint="eastAsia" w:ascii="宋体" w:hAnsi="宋体" w:eastAsia="宋体" w:cs="宋体"/>
          <w:sz w:val="24"/>
          <w:szCs w:val="24"/>
        </w:rPr>
        <w:t>一、收入支出决算总表</w:t>
      </w:r>
      <w:r>
        <w:rPr>
          <w:sz w:val="24"/>
          <w:szCs w:val="24"/>
        </w:rPr>
        <w:t>-------------------------------------------------------------------</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p>
    <w:p>
      <w:pPr>
        <w:adjustRightInd w:val="0"/>
        <w:snapToGrid w:val="0"/>
        <w:spacing w:line="440" w:lineRule="exact"/>
        <w:ind w:left="479" w:leftChars="228" w:firstLine="0" w:firstLineChars="0"/>
        <w:jc w:val="left"/>
        <w:rPr>
          <w:rFonts w:hint="default" w:ascii="仿宋" w:hAnsi="仿宋" w:eastAsia="宋体"/>
          <w:lang w:val="en-US" w:eastAsia="zh-CN"/>
        </w:rPr>
      </w:pPr>
      <w:r>
        <w:rPr>
          <w:rFonts w:hint="eastAsia" w:ascii="宋体" w:hAnsi="宋体" w:eastAsia="宋体" w:cs="宋体"/>
          <w:sz w:val="24"/>
          <w:szCs w:val="24"/>
        </w:rPr>
        <w:t>二、收入决算表</w:t>
      </w:r>
      <w:r>
        <w:rPr>
          <w:sz w:val="24"/>
          <w:szCs w:val="24"/>
        </w:rPr>
        <w:t>----------------------------------------------------------------------------</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7</w:t>
      </w:r>
      <w:r>
        <w:rPr>
          <w:rFonts w:hint="eastAsia" w:ascii="宋体" w:hAnsi="宋体" w:eastAsia="宋体" w:cs="宋体"/>
          <w:sz w:val="24"/>
          <w:szCs w:val="24"/>
        </w:rPr>
        <w:t>三、支出决算表</w:t>
      </w:r>
      <w:r>
        <w:rPr>
          <w:sz w:val="24"/>
          <w:szCs w:val="24"/>
        </w:rPr>
        <w:t>----------------------------------------------------------------------------</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9</w:t>
      </w:r>
    </w:p>
    <w:p>
      <w:pPr>
        <w:pStyle w:val="16"/>
        <w:widowControl w:val="0"/>
        <w:tabs>
          <w:tab w:val="right" w:leader="dot" w:pos="8296"/>
        </w:tabs>
        <w:adjustRightInd w:val="0"/>
        <w:snapToGrid w:val="0"/>
        <w:spacing w:before="0" w:beforeAutospacing="0" w:after="0" w:afterAutospacing="0" w:line="440" w:lineRule="exact"/>
        <w:ind w:firstLine="480" w:firstLineChars="200"/>
        <w:rPr>
          <w:rFonts w:hint="default" w:ascii="仿宋" w:hAnsi="仿宋" w:eastAsia="宋体" w:cs="Times New Roman"/>
          <w:lang w:val="en-US" w:eastAsia="zh-CN"/>
        </w:rPr>
      </w:pPr>
      <w:r>
        <w:rPr>
          <w:rFonts w:hint="eastAsia" w:ascii="宋体" w:hAnsi="宋体" w:eastAsia="宋体" w:cs="宋体"/>
          <w:kern w:val="2"/>
        </w:rPr>
        <w:t>四、财政拨款收入支出决算总表</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4</w:t>
      </w:r>
      <w:r>
        <w:rPr>
          <w:rFonts w:hint="eastAsia" w:cs="宋体"/>
          <w:kern w:val="2"/>
          <w:lang w:val="en-US" w:eastAsia="zh-CN"/>
        </w:rPr>
        <w:t>1</w:t>
      </w:r>
    </w:p>
    <w:p>
      <w:pPr>
        <w:pStyle w:val="16"/>
        <w:widowControl w:val="0"/>
        <w:tabs>
          <w:tab w:val="right" w:leader="dot" w:pos="8296"/>
        </w:tabs>
        <w:adjustRightInd w:val="0"/>
        <w:snapToGrid w:val="0"/>
        <w:spacing w:before="0" w:beforeAutospacing="0" w:after="0" w:afterAutospacing="0" w:line="440" w:lineRule="exact"/>
        <w:ind w:firstLine="480" w:firstLineChars="200"/>
        <w:rPr>
          <w:rFonts w:hint="default" w:ascii="仿宋" w:hAnsi="仿宋" w:eastAsia="宋体" w:cs="Times New Roman"/>
          <w:lang w:val="en-US" w:eastAsia="zh-CN"/>
        </w:rPr>
      </w:pPr>
      <w:r>
        <w:rPr>
          <w:rFonts w:hint="eastAsia" w:ascii="宋体" w:hAnsi="宋体" w:eastAsia="宋体" w:cs="宋体"/>
          <w:kern w:val="2"/>
        </w:rPr>
        <w:t>五、财政拨款支出决算明细表</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4</w:t>
      </w:r>
      <w:r>
        <w:rPr>
          <w:rFonts w:hint="eastAsia" w:cs="宋体"/>
          <w:kern w:val="2"/>
          <w:lang w:val="en-US" w:eastAsia="zh-CN"/>
        </w:rPr>
        <w:t>3</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六、</w:t>
      </w:r>
      <w:r>
        <w:rPr>
          <w:rFonts w:hint="eastAsia" w:ascii="Times New Roman" w:hAnsi="Times New Roman"/>
          <w:kern w:val="2"/>
        </w:rPr>
        <w:t>一般公共预算财政拨款支出决算表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49</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七、一般公</w:t>
      </w:r>
      <w:r>
        <w:rPr>
          <w:rFonts w:hint="eastAsia" w:ascii="Times New Roman" w:hAnsi="Times New Roman"/>
          <w:kern w:val="2"/>
        </w:rPr>
        <w:t>共预算财政拨款支出决算明细表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51</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八、一般</w:t>
      </w:r>
      <w:r>
        <w:rPr>
          <w:rFonts w:hint="eastAsia" w:ascii="Times New Roman" w:hAnsi="Times New Roman"/>
          <w:kern w:val="2"/>
        </w:rPr>
        <w:t>公共预算财政拨款基本支出决算表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cs="宋体"/>
          <w:kern w:val="2"/>
          <w:lang w:val="en-US" w:eastAsia="zh-CN"/>
        </w:rPr>
        <w:t>68</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九、一</w:t>
      </w:r>
      <w:r>
        <w:rPr>
          <w:rFonts w:hint="eastAsia" w:ascii="Times New Roman" w:hAnsi="Times New Roman"/>
          <w:kern w:val="2"/>
        </w:rPr>
        <w:t>般公共预算财政拨款项目支出决算表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w:t>
      </w:r>
      <w:r>
        <w:rPr>
          <w:rFonts w:hint="eastAsia" w:cs="宋体"/>
          <w:kern w:val="2"/>
          <w:lang w:val="en-US" w:eastAsia="zh-CN"/>
        </w:rPr>
        <w:t>0</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w:t>
      </w:r>
      <w:r>
        <w:rPr>
          <w:rFonts w:hint="eastAsia" w:ascii="Times New Roman" w:hAnsi="Times New Roman"/>
          <w:kern w:val="2"/>
        </w:rPr>
        <w:t>一般公共预算财政拨款“三公”经费支出决算表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w:t>
      </w:r>
      <w:r>
        <w:rPr>
          <w:rFonts w:hint="eastAsia" w:cs="宋体"/>
          <w:kern w:val="2"/>
          <w:lang w:val="en-US" w:eastAsia="zh-CN"/>
        </w:rPr>
        <w:t>1</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十一、</w:t>
      </w:r>
      <w:r>
        <w:rPr>
          <w:rFonts w:hint="eastAsia" w:ascii="Times New Roman" w:hAnsi="Times New Roman"/>
          <w:kern w:val="2"/>
        </w:rPr>
        <w:t>政府性基金预算财政拨款收入支出决算表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w:t>
      </w:r>
      <w:r>
        <w:rPr>
          <w:rFonts w:hint="eastAsia" w:cs="宋体"/>
          <w:kern w:val="2"/>
          <w:lang w:val="en-US" w:eastAsia="zh-CN"/>
        </w:rPr>
        <w:t>2</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十二、</w:t>
      </w:r>
      <w:r>
        <w:rPr>
          <w:rFonts w:hint="eastAsia" w:ascii="Times New Roman" w:hAnsi="Times New Roman"/>
          <w:kern w:val="2"/>
        </w:rPr>
        <w:t>政府性基金预算财政拨款“三公”经费支出决算表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w:t>
      </w:r>
      <w:r>
        <w:rPr>
          <w:rFonts w:hint="eastAsia" w:cs="宋体"/>
          <w:kern w:val="2"/>
          <w:lang w:val="en-US" w:eastAsia="zh-CN"/>
        </w:rPr>
        <w:t>3</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十三、国有资本经营预算财政拨款收入支出决算表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w:t>
      </w:r>
      <w:r>
        <w:rPr>
          <w:rFonts w:hint="eastAsia" w:cs="宋体"/>
          <w:kern w:val="2"/>
          <w:lang w:val="en-US" w:eastAsia="zh-CN"/>
        </w:rPr>
        <w:t>4</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十四、国有资本经营预算财政拨款支出决算表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w:t>
      </w:r>
      <w:r>
        <w:rPr>
          <w:rFonts w:hint="eastAsia" w:cs="宋体"/>
          <w:kern w:val="2"/>
          <w:lang w:val="en-US" w:eastAsia="zh-CN"/>
        </w:rPr>
        <w:t>5</w:t>
      </w:r>
    </w:p>
    <w:p>
      <w:pPr>
        <w:pStyle w:val="16"/>
        <w:widowControl w:val="0"/>
        <w:tabs>
          <w:tab w:val="right" w:leader="dot" w:pos="8296"/>
        </w:tabs>
        <w:adjustRightInd w:val="0"/>
        <w:snapToGrid w:val="0"/>
        <w:spacing w:before="0" w:beforeAutospacing="0" w:after="0" w:afterAutospacing="0" w:line="440" w:lineRule="exact"/>
        <w:ind w:left="420" w:leftChars="200"/>
        <w:rPr>
          <w:rFonts w:ascii="仿宋" w:hAnsi="仿宋" w:eastAsia="仿宋" w:cs="Times New Roman"/>
        </w:rPr>
      </w:pPr>
    </w:p>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pStyle w:val="15"/>
        <w:adjustRightInd w:val="0"/>
        <w:snapToGrid w:val="0"/>
        <w:spacing w:line="440" w:lineRule="exact"/>
        <w:jc w:val="left"/>
        <w:rPr>
          <w:rFonts w:ascii="仿宋" w:hAnsi="仿宋" w:eastAsia="仿宋"/>
          <w:sz w:val="24"/>
          <w:szCs w:val="24"/>
        </w:rPr>
      </w:pPr>
    </w:p>
    <w:p>
      <w:pPr>
        <w:widowControl/>
        <w:spacing w:line="440" w:lineRule="exact"/>
        <w:jc w:val="left"/>
        <w:rPr>
          <w:rFonts w:ascii="仿宋" w:hAnsi="仿宋" w:eastAsia="仿宋"/>
          <w:kern w:val="44"/>
          <w:sz w:val="24"/>
          <w:szCs w:val="24"/>
        </w:rPr>
        <w:sectPr>
          <w:headerReference r:id="rId4" w:type="first"/>
          <w:footerReference r:id="rId6" w:type="first"/>
          <w:headerReference r:id="rId3" w:type="default"/>
          <w:footerReference r:id="rId5" w:type="default"/>
          <w:pgSz w:w="11906" w:h="16838"/>
          <w:pgMar w:top="1440" w:right="1746" w:bottom="1440" w:left="1746" w:header="851" w:footer="992" w:gutter="0"/>
          <w:pgNumType w:fmt="numberInDash" w:start="1"/>
          <w:cols w:space="0" w:num="1"/>
          <w:titlePg/>
          <w:docGrid w:type="lines" w:linePitch="312" w:charSpace="0"/>
        </w:sectPr>
      </w:pPr>
      <w:bookmarkStart w:id="12" w:name="_Toc15396599"/>
      <w:bookmarkStart w:id="13" w:name="_Toc15377196"/>
    </w:p>
    <w:p>
      <w:pPr>
        <w:pStyle w:val="3"/>
        <w:ind w:right="440"/>
        <w:jc w:val="center"/>
        <w:rPr>
          <w:rFonts w:ascii="黑体" w:hAnsi="黑体" w:eastAsia="黑体"/>
          <w:b w:val="0"/>
          <w:bCs w:val="0"/>
          <w:color w:val="000000"/>
        </w:rPr>
      </w:pPr>
      <w:r>
        <w:rPr>
          <w:rFonts w:hint="eastAsia" w:ascii="黑体" w:hAnsi="黑体" w:eastAsia="黑体" w:cs="黑体"/>
          <w:b w:val="0"/>
          <w:bCs w:val="0"/>
          <w:color w:val="000000"/>
        </w:rPr>
        <w:t>第一部分</w:t>
      </w:r>
      <w:r>
        <w:rPr>
          <w:rFonts w:ascii="黑体" w:hAnsi="黑体" w:eastAsia="黑体" w:cs="黑体"/>
          <w:b w:val="0"/>
          <w:bCs w:val="0"/>
          <w:color w:val="000000"/>
        </w:rPr>
        <w:t xml:space="preserve">  </w:t>
      </w:r>
      <w:r>
        <w:rPr>
          <w:rFonts w:hint="eastAsia" w:ascii="黑体" w:hAnsi="黑体" w:eastAsia="黑体" w:cs="黑体"/>
          <w:b w:val="0"/>
          <w:bCs w:val="0"/>
          <w:color w:val="000000"/>
        </w:rPr>
        <w:t>部门概况</w:t>
      </w:r>
    </w:p>
    <w:p>
      <w:pPr>
        <w:pStyle w:val="4"/>
        <w:ind w:firstLine="640" w:firstLineChars="200"/>
        <w:rPr>
          <w:rStyle w:val="26"/>
          <w:rFonts w:ascii="仿宋" w:hAnsi="仿宋" w:eastAsia="仿宋" w:cs="Times New Roman"/>
          <w:b w:val="0"/>
          <w:bCs w:val="0"/>
        </w:rPr>
      </w:pPr>
      <w:r>
        <w:rPr>
          <w:rFonts w:hint="eastAsia" w:ascii="黑体" w:hAnsi="黑体" w:eastAsia="黑体" w:cs="黑体"/>
          <w:b w:val="0"/>
          <w:bCs w:val="0"/>
          <w:color w:val="000000"/>
        </w:rPr>
        <w:t>一、基</w:t>
      </w:r>
      <w:r>
        <w:rPr>
          <w:rStyle w:val="26"/>
          <w:rFonts w:hint="eastAsia" w:ascii="黑体" w:hAnsi="黑体" w:eastAsia="黑体" w:cs="黑体"/>
          <w:b w:val="0"/>
          <w:bCs w:val="0"/>
        </w:rPr>
        <w:t>本职能及主要工作</w:t>
      </w:r>
    </w:p>
    <w:bookmarkEnd w:id="12"/>
    <w:bookmarkEnd w:id="13"/>
    <w:p>
      <w:pPr>
        <w:pStyle w:val="8"/>
        <w:adjustRightInd w:val="0"/>
        <w:snapToGrid w:val="0"/>
        <w:spacing w:before="93" w:line="600" w:lineRule="exact"/>
        <w:ind w:firstLine="672" w:firstLineChars="210"/>
        <w:outlineLvl w:val="2"/>
        <w:rPr>
          <w:rFonts w:ascii="仿宋" w:hAnsi="仿宋" w:eastAsia="仿宋"/>
          <w:bCs/>
          <w:color w:val="000000"/>
          <w:sz w:val="32"/>
          <w:szCs w:val="32"/>
        </w:rPr>
      </w:pPr>
      <w:bookmarkStart w:id="14" w:name="_Toc15377198"/>
      <w:bookmarkStart w:id="15" w:name="_Toc15378445"/>
      <w:r>
        <w:rPr>
          <w:rFonts w:hint="eastAsia" w:ascii="仿宋" w:hAnsi="仿宋" w:eastAsia="仿宋"/>
          <w:bCs/>
          <w:color w:val="000000"/>
          <w:sz w:val="32"/>
          <w:szCs w:val="32"/>
        </w:rPr>
        <w:t>（一）主要职能。</w:t>
      </w:r>
      <w:bookmarkEnd w:id="14"/>
      <w:bookmarkEnd w:id="15"/>
    </w:p>
    <w:p>
      <w:pPr>
        <w:spacing w:line="560" w:lineRule="exact"/>
        <w:ind w:firstLine="646"/>
        <w:rPr>
          <w:rFonts w:hint="eastAsia" w:ascii="仿宋" w:hAnsi="仿宋" w:eastAsia="仿宋" w:cs="Times New Roman"/>
          <w:color w:val="000000"/>
          <w:kern w:val="2"/>
          <w:sz w:val="32"/>
          <w:szCs w:val="32"/>
          <w:lang w:val="en-US" w:eastAsia="zh-CN" w:bidi="ar-SA"/>
        </w:rPr>
      </w:pPr>
      <w:bookmarkStart w:id="16" w:name="_Toc15378446"/>
      <w:bookmarkStart w:id="17" w:name="_Toc15377199"/>
      <w:r>
        <w:rPr>
          <w:rFonts w:hint="eastAsia" w:ascii="仿宋" w:hAnsi="仿宋" w:eastAsia="仿宋" w:cs="Times New Roman"/>
          <w:color w:val="000000"/>
          <w:kern w:val="2"/>
          <w:sz w:val="32"/>
          <w:szCs w:val="32"/>
          <w:lang w:val="en-US" w:eastAsia="zh-CN" w:bidi="ar-SA"/>
        </w:rPr>
        <w:t xml:space="preserve">1、执行上级国家行政机关的决定、命令和国家制定的法令、法规，接受同级党委的领导，执行本级人民代表大会的各项决议，并报告执行决议、决定和命令的情况。 </w:t>
      </w:r>
    </w:p>
    <w:p>
      <w:pPr>
        <w:spacing w:line="560" w:lineRule="exact"/>
        <w:ind w:firstLine="646"/>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2、整及其他经济保持平衡协调发展，全面提高人民群众的生活水平和生活质量。 </w:t>
      </w:r>
    </w:p>
    <w:p>
      <w:pPr>
        <w:spacing w:line="560" w:lineRule="exact"/>
        <w:ind w:firstLine="646"/>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3、承担国有资产、集体资产管理、监督及增值保值责任;保护公民私人所有合法财产，保障集体经济组织应有的自主权;监督企业和各种经济联合体、个体户认真执行国家的法律、法令和政策，履行经济合同。 </w:t>
      </w:r>
    </w:p>
    <w:p>
      <w:pPr>
        <w:spacing w:line="560" w:lineRule="exact"/>
        <w:ind w:firstLine="646"/>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60" w:lineRule="exact"/>
        <w:ind w:firstLine="646"/>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5、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6、加强镇级财政的监督和管理，按计划组织、管理镇财政收入和支出，执行国家有关财经纪律和政策，保证国家财政收入的完成;做好统计工作。 </w:t>
      </w:r>
    </w:p>
    <w:p>
      <w:pPr>
        <w:spacing w:line="560" w:lineRule="exact"/>
        <w:ind w:firstLine="646"/>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7、指导、支持、帮助村(居)民委员会的组织制度建设和业务建设，促进村(居)民委员会民主自治。 </w:t>
      </w:r>
    </w:p>
    <w:p>
      <w:pPr>
        <w:spacing w:line="560" w:lineRule="exact"/>
        <w:ind w:firstLine="646"/>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8、制定和组织实施镇村建设规划;加强公用、市政设施、水利建设和管理以及房屋土地管理和环境综合整治工作，保护和改善生活环境和生态环境。 </w:t>
      </w:r>
    </w:p>
    <w:p>
      <w:pPr>
        <w:spacing w:line="560" w:lineRule="exact"/>
        <w:ind w:firstLine="646"/>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9、协助和支持设置在本行政区域内不隶属于镇的国家机关和企事业单位工作，监督其遵守和执行国家的法律、法规和政策。  </w:t>
      </w:r>
    </w:p>
    <w:p>
      <w:pPr>
        <w:spacing w:line="560" w:lineRule="exact"/>
        <w:ind w:firstLine="646"/>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10、承办区委、区政府及上级主管部门交办的其他事项。</w:t>
      </w:r>
    </w:p>
    <w:p>
      <w:pPr>
        <w:pStyle w:val="8"/>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6"/>
      <w:bookmarkEnd w:id="17"/>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bookmarkStart w:id="18" w:name="_Toc15396601"/>
      <w:bookmarkStart w:id="19" w:name="_Toc15377200"/>
      <w:r>
        <w:rPr>
          <w:rFonts w:hint="eastAsia" w:ascii="仿宋" w:hAnsi="仿宋" w:eastAsia="仿宋" w:cs="Times New Roman"/>
          <w:color w:val="000000"/>
          <w:kern w:val="2"/>
          <w:sz w:val="32"/>
          <w:szCs w:val="32"/>
          <w:lang w:val="en-US" w:eastAsia="zh-CN" w:bidi="ar-SA"/>
        </w:rPr>
        <w:t>1、突出转变作风，党的建设不断加强</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在百年未遇的时局下，我镇聚焦全年工作目标任务的完成，有力有序抓好党建工作，引领带动全局工作提质增效。一是压实意识形态工作责任。严格落实意识形态工作责任制，建立健全的意识形态责任体系和研判工作机制，形成党委统一领导、党政齐抓共管的工作格局，扎实抓好了区巡察巡视反馈问题整改成果的转化运用，提高对苗头性倾向性问题的发现力、研判力、处置力。及时妥善处理群众来电、来信、来访，共解决热点、难题问题60余个。二是狠抓干部作风建设。持续深化“不忘初心、牢记使命”主题教育成果，深入开展“作风纪律深化年”活动，持之以恒落实中央八项规定精神，常态化开展纪检监察工作，扎实开展“以案促改”工作，抓好党员干部警示教育，持续开展扫黑除恶专项斗争。三是加强党风廉政建设。以乡镇行政区划调整改革与村建制调整改革为契机，充实调整党风廉政建设工作领导小组成员,优中选优组建配强纪检监察队伍，把党风廉政建设和反腐败工作任务责任落实到人头，坚持每周组织开展一次集中学习，教育引导广大党员干部牢固树立法纪观念和廉洁从政意识，使廉洁从政意识入耳、入脑、入心。四是扎实开展基层党建。突出抓好了党建促脱贫攻坚、软弱涣散村党组织整顿、农民工党建等重点工作，全面完成本年度党员发展相关工作，我镇新转正党员12名，发展预备党员12人，结合“两学一做”学习教育常态化制度化，严格落实在家党员和流动党员的日常教育管理工作，定期开展培训学习，汇报思想动态，召开全体镇村干部会和全镇群众大会学习共约16次，各支部、村组召开学习会议40余次。五是巩固主题教育成效。先后召开中心组集中学习12次，党委成员赴基层宣讲24次，组织集体政治教育16次，在强化理解、坚定信念的同时，推动了党员思想、作风的转变。发挥“学习强国”等平台作用，持续推进各级党员干部读原著、学原文、悟原理，持续推动习近平新时代中国特色社会主义思想走深走实。截至目前，曾家镇机关干部学习强国积分人均达1.5万积分，学习氛围浓厚。</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2、坚持抗牢责任，统筹抓好“两项改革”。</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上半年，按照区委区政府相关要求，我镇已顺利完成乡镇行政区划调整和村建制调整两项改革工作的“前半篇文章”。村建制调整改革后村11个、社区1个，减幅33%, 村民小组87个，居民小组2个，减幅22%。12个村（社区）同步实行“一肩挑”，设立临时党组织和工作委员会。我镇正在深度思考“后半篇“文章，切实优化资源配置、提升发展质量、增强服务能力、提高治理效能，释放发展红利，进一步推进镇农旅文康融合发展。</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3、全民疫情防控，坚持“两手抓、两不误”</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新年伊始，一场突如其来的新冠肺炎疫情席卷全国。面对前所未有的冲击和挑战，我镇在区委区政府的坚强领导下，全体总出动，全面打响疫情防控人民战争、总体战、阻击战。坚持科学防控、抓早抓快，第一时间作出安排部署，及时成立领导小组和应急指挥部，建立联防联控机制，构建18个村（社区）疫情应急指挥部体系，实现了镇领导班子成员、镇干部包村，村组干部、驻村工作队、帮扶干部包组、包户，严格按照国家、省最新防控要求精准落实各项防控工作，制定防疫工作清单，着力抓实抓细排查宣传工作、重点人员检测工作、后勤保障工作，严格落实“外防输入”措施，疫情防控工作取得了阶段性胜利。在疫情防控各项工作要求下，我镇坚持“两手抓、两不误”，在防境外输入和高风险地区输入下功夫，坚持“六稳六保”的要求，统筹推进疫情防控和经济社会发展工作，确保“两手抓、两不误”。</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4、全面对标补短，脱贫攻坚顺利收官</w:t>
      </w:r>
    </w:p>
    <w:p>
      <w:pPr>
        <w:keepNext w:val="0"/>
        <w:keepLines w:val="0"/>
        <w:pageBreakBefore w:val="0"/>
        <w:widowControl w:val="0"/>
        <w:wordWrap/>
        <w:topLinePunct w:val="0"/>
        <w:bidi w:val="0"/>
        <w:adjustRightInd/>
        <w:snapToGrid/>
        <w:spacing w:line="576" w:lineRule="exact"/>
        <w:ind w:leftChars="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脱贫攻坚工作开展以来，全镇紧紧围绕“加快跨越发展，决胜脱贫奔康，建设更高水平的生态文明繁荣和谐新朝天”这一主题，用“脱贫摘帽”统揽全局工作。今年是脱贫攻坚收官之年，全镇上下铆足力气，狠抓落实，对脱贫攻坚以来发现的61个问题进行全面梳理核查，并对第一轮大排查发现的11个问题、第二轮大排查发现的8个问题点对点开展整改，形成“问题+责任”清单，全面完成整改“清零”行动，顺利通过省、市、区考核验收和省第三方评估检查，完成全国脱贫攻坚普查摸排，各项工作取得了新成效、实现了新突破。严格按照《朝天区2020年贫困户脱贫验收和已脱贫户巩固提升情况核查工作方案》要求，全面完成脱贫目标任务，严格落实“四个不摘”要求，扎实开展返贫致贫阻击，抓好易地扶贫搬迁群众后续扶持，统筹抓好国家脱贫攻坚普查、贯彻落实国家重大政策措施情况延伸审计、全市第3季度脱贫攻坚“巩固提升战”推进行动大督战等发现问题整改工作，全力巩固提升脱贫成果。</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5、强化工作推进，产业发展再上台阶</w:t>
      </w:r>
    </w:p>
    <w:p>
      <w:pPr>
        <w:pStyle w:val="38"/>
        <w:keepNext w:val="0"/>
        <w:keepLines w:val="0"/>
        <w:pageBreakBefore w:val="0"/>
        <w:widowControl w:val="0"/>
        <w:kinsoku/>
        <w:wordWrap/>
        <w:overflowPunct/>
        <w:topLinePunct w:val="0"/>
        <w:autoSpaceDE w:val="0"/>
        <w:autoSpaceDN w:val="0"/>
        <w:bidi w:val="0"/>
        <w:adjustRightInd w:val="0"/>
        <w:snapToGrid/>
        <w:spacing w:line="576" w:lineRule="exact"/>
        <w:ind w:leftChars="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农业产业不断壮大。深入推进“中国农业公园”建设，全面展开农业产业强镇项目和平曾现代农业园区上档升级建设工作，新增高标准高山露地蔬菜种植示范园区400亩，新建蔬菜产地冷藏保鲜库2个，完成多彩曾家山花卉种植600余亩，顺利迎接了全省高山露地蔬菜产业发展现场会、全省现代农业“五良”融合暨农业装备转型升级推进会、全市蔬菜产业发展现场会和全市园区建设现场会，圆满完成第二届美丽中国田园博览会暨2020年“中国农民丰收节”广元庆丰收活动，激励农户种植蔬菜10万亩，产量达26万余吨，人均增收实现6000余元。全面落实乡村振兴“1+4+N”政策体系，深入推进农村人居环境整治“五大行动”，全面完成尧坪村新村建设，完成省级乡村振兴先进乡镇和市级示范村、省级基层治理示范镇创建筹备工作。</w:t>
      </w:r>
    </w:p>
    <w:p>
      <w:pPr>
        <w:keepNext w:val="0"/>
        <w:keepLines w:val="0"/>
        <w:pageBreakBefore w:val="0"/>
        <w:widowControl w:val="0"/>
        <w:wordWrap/>
        <w:topLinePunct w:val="0"/>
        <w:bidi w:val="0"/>
        <w:snapToGrid/>
        <w:spacing w:line="576" w:lineRule="exact"/>
        <w:ind w:lef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文旅产业稳步推进。全面落实区委对曾家镇“全区经济副中心、生态康养旅游重要目的地”的目标定位，主抓康养旅游产业促经济发展。投资约2200万元的汉王老街整体规划提升工程，对川北民俗风情步行街进行了全面的打造提升，大力实施园林、景观、文创、牌坊、风貌整治、业态培育“六大工程”，充分挖掘本地特色美食，培育“曾家山菜系”特色餐饮店，引入10余家特色业态，进一步丰富完善了步行街业态体系，打造提升汉王老街特色商业街区，积极发展夜间经济、假日经济、度假经济，旅游旺季汉王老街日均人流量达5000人，曾家镇境内达到5万左右，汉王老街晋升为新一轮“网红打卡地”，圆满完成四川省第十一届夏季乡村文化旅游节活动，进一步激发我镇消费和经济发展的新活力，康养发展已走上快车道，荣获“世界避暑名山”称号。今年以来，全镇累计接待游客80万人次，旅游收入达6亿元，创造就业岗位3000余个，人均增收6000元。</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康养项目有序建设。认真念好“谋、引、管”三字经，对已经开工建设的荣乐养生谷、曾家山原乡、滑雪小镇、五坊街等项目，成立项目协调专班，积极解决和化解项目建设征地、拆迁过程中与当地群众的纠纷和矛盾，确保项目有序推进；顺利推进七盘关至曾家山旅游扶贫公路、曾家山生态旅游环线建设协调服务工作，完善镇南停车场、旅游公厕、污水处理站等旅游配套设施建设；对即将进场的嘉仁康旅、曾家山旅游配套PPP项目以及曾家老粮站棚户区改造等项目，均已组建专班，并与有关部门开展前期工作。截止目前，荣乐养生谷完成一期建设任务的70%,总投资达15亿元左右。曾家山原乡完成一期建设，二期建设达到50%，总投资达3.2亿元。五坊街项目接近尾声，总投资达2亿元。滑雪小镇一期全面完成，二期建设达到30%，总投资达1.5亿元，共计销售康养度假房2300余套。已完成储备项目2个，投资10亿元以上，招引签约项目1个，投资5亿元以上。镇内各类项目完成总投资30亿元以上。</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6、统筹其他工作，保持社会和谐稳定</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惠民政策落实到位。认真实施民生工程和各项民生实事，全面落实促进就业再就业各项优惠政策，加强城乡养老服务体系建设，积极开展各类基本公共卫生服务，落实好特困人员等救济、救助相关政策措施，不断规范新型社会救助体系。今年以来，我镇城镇新增就业125人，就业困难人员就业9人，高校毕业生就业8人、高校毕业生创业2人，培育创业主体4个，完成劳务输出4826人、劳务收入2776万元，办理小额创业贷款2人，城乡居民养老保险参保10383人，待遇领取2736人，城乡居民医疗保险参保14117人。</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地质灾害防治有力。认真贯彻省、市、区防汛抗旱指挥部的文件精神和省、市、区领导的重要指示，扎实开展防汛、地质灾害防治各项工作，及时调整充实了镇、村防汛、地质灾害领导小组和防汛、地质灾害应急抢险队伍，与各村签订了防汛、地质灾害防治安全责任书，修订和完善了《曾家镇山洪灾害和防洪抢险应急预案》、地质灾害预案，加强地质灾害隐患点监测和预警，落实监测人员，签订监测协议，加强防汛应急值守，落实了汛期24小时领导带班和专人值班制度。</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森林防火管控到位。全面落实森林防火工作责任制，把每个重点森林火险区域的防火责任落实到具体责任人，制定防灭火工作措施，在旅游景区，重要路口、集中居民点等重要地段醒目告示有关森林防火注意事项，加强对生态护林员巡山管护的监督管理，充分利用村村通广播、宣传标语等灵活、有效、多样的形式进行广泛宣传，积极营造浓厚氛围，加大检查力度，杜绝一切人为引发森林火灾，进一步完善义务扑火队员管理，严格执行24小时值班和领导带班制度。</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应急管理及时有效。牢固树立安全发展理念，切实增强安全生产红线意识，强化重点领域隐患整治排查，对全镇的小型企业进行督查整治，继续开展乡村道路劝导执法，扎实开展安全月活动，对9家烟花爆竹经营点开展了56余次检查，对各类农家乐、民宿、酒店开展消防安全、食品安全检查62次，开展食品药品检查20次，开展辖区内车辆检查42次，对辖区内的建筑工地进行安全排查，利用多种形式加强安全宣传教育，提高村居安全员发现隐患、整改隐患的能力。</w:t>
      </w:r>
    </w:p>
    <w:p>
      <w:pPr>
        <w:pStyle w:val="17"/>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综治维稳长治久安。成立了以分管领导为组长的综治和维稳工作领导小组，明确了工作职责，突出重点，狠抓矛盾纠纷排查调处，营造和谐社会环境。各村（社区）相应建立健全了矛盾纠纷排查机制，落实社会矛盾纠纷调处责任制。继续在各村（社区）开展扫黑除恶专项斗争工作。开展禁毒宣传教育，提高禁毒意识和参与禁毒战争的积极性和主动性。持续开展镇农贸市场乱点乱象整治工作，规范市场摊位占道经营、店铺越线经营、摊档擅自加长加宽台面摆卖、乱堆放杂物、车辆乱停放等问题。</w:t>
      </w:r>
    </w:p>
    <w:p>
      <w:pPr>
        <w:pStyle w:val="4"/>
        <w:rPr>
          <w:rStyle w:val="43"/>
          <w:rFonts w:hint="eastAsia" w:ascii="黑体" w:hAnsi="黑体" w:eastAsia="黑体"/>
          <w:b w:val="0"/>
          <w:bCs w:val="0"/>
          <w:highlight w:val="none"/>
        </w:rPr>
      </w:pPr>
      <w:r>
        <w:rPr>
          <w:rFonts w:hint="eastAsia" w:ascii="黑体" w:eastAsia="黑体"/>
          <w:b w:val="0"/>
          <w:color w:val="000000"/>
          <w:highlight w:val="none"/>
        </w:rPr>
        <w:t>二、</w:t>
      </w:r>
      <w:r>
        <w:rPr>
          <w:rFonts w:hint="eastAsia" w:ascii="黑体" w:hAnsi="黑体" w:eastAsia="黑体"/>
          <w:b w:val="0"/>
          <w:color w:val="000000"/>
          <w:highlight w:val="none"/>
        </w:rPr>
        <w:t>机</w:t>
      </w:r>
      <w:r>
        <w:rPr>
          <w:rStyle w:val="43"/>
          <w:rFonts w:hint="eastAsia" w:ascii="黑体" w:hAnsi="黑体" w:eastAsia="黑体"/>
          <w:b w:val="0"/>
          <w:bCs w:val="0"/>
          <w:highlight w:val="none"/>
        </w:rPr>
        <w:t>构设置</w:t>
      </w:r>
      <w:bookmarkEnd w:id="18"/>
      <w:bookmarkEnd w:id="19"/>
      <w:bookmarkStart w:id="20" w:name="_Toc15377204"/>
      <w:bookmarkStart w:id="21" w:name="_Toc15396602"/>
    </w:p>
    <w:p>
      <w:pPr>
        <w:pStyle w:val="4"/>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本单位隶属行政单位，执行行政会计制度，一级预算单位，决算汇编户数1个。人员及编制情况73名。其中：行政编制32名，事业编制38名、机关工勤编制3名。期末在岗人数61人；其中公务员25人，事业人员31人，机关工勤人员5人。</w:t>
      </w:r>
    </w:p>
    <w:p>
      <w:pPr>
        <w:pStyle w:val="3"/>
        <w:ind w:right="440"/>
        <w:jc w:val="right"/>
        <w:rPr>
          <w:highlight w:val="none"/>
        </w:rPr>
      </w:pPr>
      <w:r>
        <w:rPr>
          <w:rFonts w:hint="eastAsia" w:ascii="黑体" w:hAnsi="黑体" w:eastAsia="黑体"/>
          <w:b w:val="0"/>
          <w:color w:val="000000"/>
          <w:highlight w:val="none"/>
        </w:rPr>
        <w:t>第二部分</w:t>
      </w:r>
      <w:r>
        <w:rPr>
          <w:rFonts w:ascii="黑体" w:hAnsi="黑体" w:eastAsia="黑体"/>
          <w:color w:val="000000"/>
          <w:highlight w:val="none"/>
        </w:rPr>
        <w:t xml:space="preserve"> </w:t>
      </w:r>
      <w:r>
        <w:rPr>
          <w:rStyle w:val="25"/>
          <w:rFonts w:ascii="黑体" w:hAnsi="黑体" w:eastAsia="黑体"/>
          <w:b w:val="0"/>
          <w:bCs w:val="0"/>
          <w:highlight w:val="none"/>
        </w:rPr>
        <w:t>2020</w:t>
      </w:r>
      <w:r>
        <w:rPr>
          <w:rStyle w:val="25"/>
          <w:rFonts w:hint="eastAsia" w:ascii="黑体" w:hAnsi="黑体" w:eastAsia="黑体"/>
          <w:b w:val="0"/>
          <w:bCs w:val="0"/>
          <w:highlight w:val="none"/>
        </w:rPr>
        <w:t>年度部门决算情况说明</w:t>
      </w:r>
      <w:bookmarkEnd w:id="20"/>
      <w:bookmarkEnd w:id="21"/>
    </w:p>
    <w:p>
      <w:pPr>
        <w:pStyle w:val="58"/>
        <w:numPr>
          <w:ilvl w:val="0"/>
          <w:numId w:val="2"/>
        </w:numPr>
        <w:spacing w:line="600" w:lineRule="exact"/>
        <w:ind w:firstLineChars="0"/>
        <w:outlineLvl w:val="1"/>
        <w:rPr>
          <w:rStyle w:val="43"/>
          <w:rFonts w:ascii="黑体" w:hAnsi="黑体" w:eastAsia="黑体"/>
          <w:b w:val="0"/>
          <w:highlight w:val="none"/>
        </w:rPr>
      </w:pPr>
      <w:bookmarkStart w:id="22" w:name="_Toc15377205"/>
      <w:bookmarkStart w:id="23" w:name="_Toc15396603"/>
      <w:r>
        <w:rPr>
          <w:rFonts w:hint="eastAsia" w:ascii="黑体" w:hAnsi="黑体" w:eastAsia="黑体"/>
          <w:color w:val="000000"/>
          <w:sz w:val="32"/>
          <w:szCs w:val="32"/>
          <w:highlight w:val="none"/>
        </w:rPr>
        <w:t>收</w:t>
      </w:r>
      <w:r>
        <w:rPr>
          <w:rStyle w:val="43"/>
          <w:rFonts w:hint="eastAsia" w:ascii="黑体" w:hAnsi="黑体" w:eastAsia="黑体"/>
          <w:b w:val="0"/>
          <w:highlight w:val="none"/>
        </w:rPr>
        <w:t>入支出决算总体情况说明</w:t>
      </w:r>
      <w:bookmarkEnd w:id="22"/>
      <w:bookmarkEnd w:id="23"/>
    </w:p>
    <w:p>
      <w:pPr>
        <w:keepNext w:val="0"/>
        <w:keepLines w:val="0"/>
        <w:widowControl w:val="0"/>
        <w:suppressLineNumbers w:val="0"/>
        <w:spacing w:before="0" w:beforeAutospacing="0" w:after="0" w:afterAutospacing="0" w:line="600" w:lineRule="exact"/>
        <w:ind w:right="0" w:firstLine="640" w:firstLineChars="200"/>
        <w:jc w:val="left"/>
        <w:rPr>
          <w:rFonts w:hint="eastAsia"/>
          <w:highlight w:val="none"/>
          <w:lang w:val="en-US"/>
        </w:rPr>
      </w:pPr>
      <w:r>
        <w:rPr>
          <w:rFonts w:hint="eastAsia" w:ascii="仿宋" w:hAnsi="仿宋" w:eastAsia="仿宋"/>
          <w:color w:val="000000"/>
          <w:sz w:val="32"/>
          <w:szCs w:val="32"/>
          <w:highlight w:val="none"/>
        </w:rPr>
        <w:t>2020年度收、支总计12</w:t>
      </w:r>
      <w:r>
        <w:rPr>
          <w:rFonts w:hint="eastAsia" w:ascii="仿宋" w:hAnsi="仿宋" w:eastAsia="仿宋"/>
          <w:color w:val="000000"/>
          <w:sz w:val="32"/>
          <w:szCs w:val="32"/>
          <w:highlight w:val="none"/>
          <w:lang w:val="en-US" w:eastAsia="zh-CN"/>
        </w:rPr>
        <w:t>30.32</w:t>
      </w:r>
      <w:r>
        <w:rPr>
          <w:rFonts w:hint="eastAsia" w:ascii="仿宋" w:hAnsi="仿宋" w:eastAsia="仿宋"/>
          <w:color w:val="000000"/>
          <w:sz w:val="32"/>
          <w:szCs w:val="32"/>
          <w:highlight w:val="none"/>
        </w:rPr>
        <w:t>万元。与2019年相比，收、支总计各增加</w:t>
      </w:r>
      <w:r>
        <w:rPr>
          <w:rFonts w:hint="eastAsia" w:ascii="仿宋" w:hAnsi="仿宋" w:eastAsia="仿宋"/>
          <w:color w:val="000000"/>
          <w:sz w:val="32"/>
          <w:szCs w:val="32"/>
          <w:highlight w:val="none"/>
          <w:lang w:val="en-US" w:eastAsia="zh-CN"/>
        </w:rPr>
        <w:t>67.28</w:t>
      </w:r>
      <w:r>
        <w:rPr>
          <w:rFonts w:hint="eastAsia" w:ascii="仿宋" w:hAnsi="仿宋" w:eastAsia="仿宋"/>
          <w:color w:val="000000"/>
          <w:sz w:val="32"/>
          <w:szCs w:val="32"/>
          <w:highlight w:val="none"/>
        </w:rPr>
        <w:t>万元，增长5</w:t>
      </w:r>
      <w:r>
        <w:rPr>
          <w:rFonts w:hint="eastAsia" w:ascii="仿宋" w:hAnsi="仿宋" w:eastAsia="仿宋"/>
          <w:color w:val="000000"/>
          <w:sz w:val="32"/>
          <w:szCs w:val="32"/>
          <w:highlight w:val="none"/>
          <w:lang w:val="en-US" w:eastAsia="zh-CN"/>
        </w:rPr>
        <w:t>.37</w:t>
      </w:r>
      <w:r>
        <w:rPr>
          <w:rFonts w:hint="eastAsia" w:ascii="仿宋" w:hAnsi="仿宋" w:eastAsia="仿宋"/>
          <w:color w:val="000000"/>
          <w:sz w:val="32"/>
          <w:szCs w:val="32"/>
          <w:highlight w:val="none"/>
        </w:rPr>
        <w:t>%。主要变动原因是行政区划调整乡镇合并后，人员增加，工作任务加重，行政运行成本增加，人员经费和日常公用经费开支增加，项目支出增加。</w:t>
      </w:r>
    </w:p>
    <w:p>
      <w:pPr>
        <w:pStyle w:val="23"/>
        <w:numPr>
          <w:ilvl w:val="4"/>
          <w:numId w:val="0"/>
        </w:numPr>
        <w:rPr>
          <w:rFonts w:hint="eastAsia"/>
          <w:highlight w:val="none"/>
          <w:lang w:val="en-US"/>
        </w:rPr>
      </w:pPr>
      <w:r>
        <w:rPr>
          <w:rFonts w:hint="eastAsia"/>
          <w:highlight w:val="none"/>
          <w:lang w:val="en-US"/>
        </w:rPr>
        <w:drawing>
          <wp:inline distT="0" distB="0" distL="114300" distR="114300">
            <wp:extent cx="4939030" cy="2562860"/>
            <wp:effectExtent l="4445" t="4445" r="952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color w:val="000000"/>
          <w:sz w:val="32"/>
          <w:szCs w:val="32"/>
          <w:highlight w:val="none"/>
        </w:rPr>
      </w:pPr>
      <w:r>
        <w:rPr>
          <w:rFonts w:hint="eastAsia" w:ascii="仿宋" w:hAnsi="仿宋" w:eastAsia="仿宋"/>
          <w:color w:val="000000"/>
          <w:sz w:val="32"/>
          <w:szCs w:val="32"/>
          <w:highlight w:val="none"/>
        </w:rPr>
        <w:t>（图</w:t>
      </w:r>
      <w:r>
        <w:rPr>
          <w:rFonts w:ascii="仿宋" w:hAnsi="仿宋" w:eastAsia="仿宋"/>
          <w:color w:val="000000"/>
          <w:sz w:val="32"/>
          <w:szCs w:val="32"/>
          <w:highlight w:val="none"/>
        </w:rPr>
        <w:t>1</w:t>
      </w:r>
      <w:r>
        <w:rPr>
          <w:rFonts w:hint="eastAsia" w:ascii="仿宋" w:hAnsi="仿宋" w:eastAsia="仿宋"/>
          <w:color w:val="000000"/>
          <w:sz w:val="32"/>
          <w:szCs w:val="32"/>
          <w:highlight w:val="none"/>
        </w:rPr>
        <w:t>：收、支决算总计变动情况图）（柱状图）</w:t>
      </w:r>
    </w:p>
    <w:p>
      <w:pPr>
        <w:pStyle w:val="58"/>
        <w:numPr>
          <w:ilvl w:val="0"/>
          <w:numId w:val="2"/>
        </w:numPr>
        <w:spacing w:line="600" w:lineRule="exact"/>
        <w:ind w:firstLineChars="0"/>
        <w:outlineLvl w:val="1"/>
        <w:rPr>
          <w:rStyle w:val="43"/>
          <w:rFonts w:ascii="黑体" w:hAnsi="黑体" w:eastAsia="黑体"/>
          <w:b w:val="0"/>
          <w:highlight w:val="none"/>
        </w:rPr>
      </w:pPr>
      <w:bookmarkStart w:id="24" w:name="_Toc15396604"/>
      <w:bookmarkStart w:id="25" w:name="_Toc15377206"/>
      <w:r>
        <w:rPr>
          <w:rFonts w:hint="eastAsia" w:ascii="黑体" w:hAnsi="黑体" w:eastAsia="黑体"/>
          <w:color w:val="000000"/>
          <w:sz w:val="32"/>
          <w:szCs w:val="32"/>
          <w:highlight w:val="none"/>
        </w:rPr>
        <w:t>收</w:t>
      </w:r>
      <w:r>
        <w:rPr>
          <w:rStyle w:val="43"/>
          <w:rFonts w:hint="eastAsia" w:ascii="黑体" w:hAnsi="黑体" w:eastAsia="黑体"/>
          <w:b w:val="0"/>
          <w:highlight w:val="none"/>
        </w:rPr>
        <w:t>入决算情况说明</w:t>
      </w:r>
      <w:bookmarkEnd w:id="24"/>
      <w:bookmarkEnd w:id="25"/>
    </w:p>
    <w:p>
      <w:pPr>
        <w:spacing w:line="600" w:lineRule="exact"/>
        <w:ind w:firstLine="640" w:firstLineChars="2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2020年本年收入合计</w:t>
      </w:r>
      <w:r>
        <w:rPr>
          <w:rFonts w:hint="eastAsia" w:ascii="仿宋" w:hAnsi="仿宋" w:eastAsia="仿宋"/>
          <w:color w:val="000000"/>
          <w:sz w:val="32"/>
          <w:szCs w:val="32"/>
          <w:highlight w:val="none"/>
          <w:lang w:val="en-US" w:eastAsia="zh-CN"/>
        </w:rPr>
        <w:t>1230.32</w:t>
      </w:r>
      <w:r>
        <w:rPr>
          <w:rFonts w:hint="eastAsia" w:ascii="仿宋" w:hAnsi="仿宋" w:eastAsia="仿宋"/>
          <w:color w:val="000000"/>
          <w:sz w:val="32"/>
          <w:szCs w:val="32"/>
          <w:highlight w:val="none"/>
        </w:rPr>
        <w:t>万元，其中：一般公共预算财政拨款收入1229.05万元，占</w:t>
      </w:r>
      <w:r>
        <w:rPr>
          <w:rFonts w:hint="eastAsia" w:ascii="仿宋" w:hAnsi="仿宋" w:eastAsia="仿宋"/>
          <w:color w:val="000000"/>
          <w:sz w:val="32"/>
          <w:szCs w:val="32"/>
          <w:highlight w:val="none"/>
          <w:lang w:val="en-US" w:eastAsia="zh-CN"/>
        </w:rPr>
        <w:t>99.9</w:t>
      </w:r>
      <w:r>
        <w:rPr>
          <w:rFonts w:hint="eastAsia" w:ascii="仿宋" w:hAnsi="仿宋" w:eastAsia="仿宋"/>
          <w:color w:val="000000"/>
          <w:sz w:val="32"/>
          <w:szCs w:val="32"/>
          <w:highlight w:val="none"/>
        </w:rPr>
        <w:t>%；政府性基金预算财政拨款收入0万元，占0%；上级补助收入0万元，占0%；事业收入0万元，占0%；经营收入0万元，占0%；附属单位上缴收入0万元，占0%；其他收入</w:t>
      </w:r>
      <w:r>
        <w:rPr>
          <w:rFonts w:hint="eastAsia" w:ascii="仿宋" w:hAnsi="仿宋" w:eastAsia="仿宋"/>
          <w:color w:val="000000"/>
          <w:sz w:val="32"/>
          <w:szCs w:val="32"/>
          <w:highlight w:val="none"/>
          <w:lang w:val="en-US" w:eastAsia="zh-CN"/>
        </w:rPr>
        <w:t>1.27</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0.1</w:t>
      </w:r>
      <w:r>
        <w:rPr>
          <w:rFonts w:hint="eastAsia" w:ascii="仿宋" w:hAnsi="仿宋" w:eastAsia="仿宋"/>
          <w:color w:val="000000"/>
          <w:sz w:val="32"/>
          <w:szCs w:val="32"/>
          <w:highlight w:val="none"/>
        </w:rPr>
        <w:t>%。</w:t>
      </w:r>
    </w:p>
    <w:p>
      <w:pPr>
        <w:pStyle w:val="23"/>
        <w:numPr>
          <w:ilvl w:val="4"/>
          <w:numId w:val="0"/>
        </w:numPr>
        <w:rPr>
          <w:rFonts w:hint="eastAsia"/>
          <w:highlight w:val="none"/>
        </w:rPr>
      </w:pPr>
      <w:r>
        <w:rPr>
          <w:rFonts w:hint="eastAsia"/>
          <w:highlight w:val="none"/>
        </w:rPr>
        <w:drawing>
          <wp:inline distT="0" distB="0" distL="0" distR="0">
            <wp:extent cx="5240020" cy="2494915"/>
            <wp:effectExtent l="4445" t="4445" r="13335" b="152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color w:val="FF0000"/>
          <w:sz w:val="32"/>
          <w:szCs w:val="32"/>
          <w:highlight w:val="none"/>
        </w:rPr>
      </w:pPr>
      <w:r>
        <w:rPr>
          <w:rFonts w:hint="eastAsia" w:ascii="仿宋" w:hAnsi="仿宋" w:eastAsia="仿宋"/>
          <w:color w:val="000000"/>
          <w:sz w:val="32"/>
          <w:szCs w:val="32"/>
          <w:highlight w:val="none"/>
        </w:rPr>
        <w:t>（图</w:t>
      </w:r>
      <w:r>
        <w:rPr>
          <w:rFonts w:ascii="仿宋" w:hAnsi="仿宋" w:eastAsia="仿宋"/>
          <w:color w:val="000000"/>
          <w:sz w:val="32"/>
          <w:szCs w:val="32"/>
          <w:highlight w:val="none"/>
        </w:rPr>
        <w:t>2</w:t>
      </w:r>
      <w:r>
        <w:rPr>
          <w:rFonts w:hint="eastAsia" w:ascii="仿宋" w:hAnsi="仿宋" w:eastAsia="仿宋"/>
          <w:color w:val="000000"/>
          <w:sz w:val="32"/>
          <w:szCs w:val="32"/>
          <w:highlight w:val="none"/>
        </w:rPr>
        <w:t>：收入决算结构图）（饼状图）</w:t>
      </w:r>
    </w:p>
    <w:p>
      <w:pPr>
        <w:pStyle w:val="58"/>
        <w:numPr>
          <w:ilvl w:val="0"/>
          <w:numId w:val="2"/>
        </w:numPr>
        <w:spacing w:line="600" w:lineRule="exact"/>
        <w:ind w:firstLineChars="0"/>
        <w:outlineLvl w:val="1"/>
        <w:rPr>
          <w:rStyle w:val="43"/>
          <w:rFonts w:ascii="黑体" w:hAnsi="黑体" w:eastAsia="黑体"/>
          <w:b w:val="0"/>
          <w:highlight w:val="none"/>
        </w:rPr>
      </w:pPr>
      <w:bookmarkStart w:id="26" w:name="_Toc15377207"/>
      <w:bookmarkStart w:id="27" w:name="_Toc15396605"/>
      <w:r>
        <w:rPr>
          <w:rFonts w:hint="eastAsia" w:ascii="黑体" w:hAnsi="黑体" w:eastAsia="黑体"/>
          <w:color w:val="000000"/>
          <w:sz w:val="32"/>
          <w:szCs w:val="32"/>
          <w:highlight w:val="none"/>
        </w:rPr>
        <w:t>支</w:t>
      </w:r>
      <w:r>
        <w:rPr>
          <w:rStyle w:val="43"/>
          <w:rFonts w:hint="eastAsia" w:ascii="黑体" w:hAnsi="黑体" w:eastAsia="黑体"/>
          <w:b w:val="0"/>
          <w:highlight w:val="none"/>
        </w:rPr>
        <w:t>出决算情况说明</w:t>
      </w:r>
      <w:bookmarkEnd w:id="26"/>
      <w:bookmarkEnd w:id="27"/>
    </w:p>
    <w:p>
      <w:pPr>
        <w:spacing w:line="600" w:lineRule="exact"/>
        <w:ind w:firstLine="640" w:firstLineChars="200"/>
        <w:outlineLvl w:val="1"/>
        <w:rPr>
          <w:rFonts w:ascii="仿宋" w:hAnsi="仿宋" w:eastAsia="仿宋"/>
          <w:color w:val="000000"/>
          <w:sz w:val="32"/>
          <w:szCs w:val="32"/>
          <w:highlight w:val="none"/>
        </w:rPr>
      </w:pPr>
      <w:r>
        <w:rPr>
          <w:rFonts w:ascii="仿宋" w:hAnsi="仿宋" w:eastAsia="仿宋"/>
          <w:color w:val="000000"/>
          <w:sz w:val="32"/>
          <w:szCs w:val="32"/>
          <w:highlight w:val="none"/>
        </w:rPr>
        <w:t>2020年本年支出合计1230.35万元，其中：基本支出768.23万元，占62.4%；项目支出462.12万元，占37.6%；上缴上级支出0万元，占0%；经营支出0万元，占0%；对附属单位补助支出0万元，占0%。</w:t>
      </w:r>
    </w:p>
    <w:p>
      <w:pPr>
        <w:pStyle w:val="24"/>
        <w:rPr>
          <w:rFonts w:hint="eastAsia" w:ascii="仿宋" w:hAnsi="仿宋" w:eastAsia="仿宋"/>
          <w:color w:val="000000"/>
          <w:sz w:val="32"/>
          <w:szCs w:val="32"/>
          <w:highlight w:val="none"/>
          <w:shd w:val="pct10" w:color="auto" w:fill="FFFFFF"/>
          <w:lang w:eastAsia="zh-CN"/>
        </w:rPr>
      </w:pPr>
      <w:r>
        <w:rPr>
          <w:rFonts w:hint="eastAsia" w:ascii="仿宋" w:hAnsi="仿宋" w:eastAsia="仿宋"/>
          <w:color w:val="000000"/>
          <w:sz w:val="32"/>
          <w:szCs w:val="32"/>
          <w:highlight w:val="none"/>
          <w:shd w:val="pct10" w:color="auto" w:fill="FFFFFF"/>
          <w:lang w:eastAsia="zh-CN"/>
        </w:rPr>
        <w:drawing>
          <wp:inline distT="0" distB="0" distL="114300" distR="114300">
            <wp:extent cx="5100320" cy="2724785"/>
            <wp:effectExtent l="4445" t="4445" r="1968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_GB2312" w:eastAsia="仿宋_GB2312"/>
          <w:color w:val="FF0000"/>
          <w:sz w:val="32"/>
          <w:szCs w:val="32"/>
          <w:highlight w:val="none"/>
        </w:rPr>
      </w:pPr>
      <w:r>
        <w:rPr>
          <w:rFonts w:hint="eastAsia" w:ascii="仿宋" w:hAnsi="仿宋" w:eastAsia="仿宋"/>
          <w:color w:val="000000"/>
          <w:sz w:val="32"/>
          <w:szCs w:val="32"/>
          <w:highlight w:val="none"/>
        </w:rPr>
        <w:t>（图</w:t>
      </w:r>
      <w:r>
        <w:rPr>
          <w:rFonts w:ascii="仿宋" w:hAnsi="仿宋" w:eastAsia="仿宋"/>
          <w:color w:val="000000"/>
          <w:sz w:val="32"/>
          <w:szCs w:val="32"/>
          <w:highlight w:val="none"/>
        </w:rPr>
        <w:t>3</w:t>
      </w:r>
      <w:r>
        <w:rPr>
          <w:rFonts w:hint="eastAsia" w:ascii="仿宋" w:hAnsi="仿宋" w:eastAsia="仿宋"/>
          <w:color w:val="000000"/>
          <w:sz w:val="32"/>
          <w:szCs w:val="32"/>
          <w:highlight w:val="none"/>
        </w:rPr>
        <w:t>：支出决算结构图）（饼状图）</w:t>
      </w:r>
    </w:p>
    <w:p>
      <w:pPr>
        <w:spacing w:line="600" w:lineRule="exact"/>
        <w:ind w:firstLine="640" w:firstLineChars="200"/>
        <w:outlineLvl w:val="1"/>
        <w:rPr>
          <w:rStyle w:val="43"/>
          <w:rFonts w:ascii="黑体" w:hAnsi="黑体" w:eastAsia="黑体"/>
          <w:b w:val="0"/>
          <w:highlight w:val="none"/>
        </w:rPr>
      </w:pPr>
      <w:bookmarkStart w:id="28" w:name="_Toc15396606"/>
      <w:bookmarkStart w:id="29" w:name="_Toc15377208"/>
      <w:r>
        <w:rPr>
          <w:rFonts w:hint="eastAsia" w:ascii="黑体" w:hAnsi="黑体" w:eastAsia="黑体"/>
          <w:color w:val="000000"/>
          <w:sz w:val="32"/>
          <w:szCs w:val="32"/>
          <w:highlight w:val="none"/>
        </w:rPr>
        <w:t>四、财</w:t>
      </w:r>
      <w:r>
        <w:rPr>
          <w:rStyle w:val="43"/>
          <w:rFonts w:hint="eastAsia" w:ascii="黑体" w:hAnsi="黑体" w:eastAsia="黑体"/>
          <w:b w:val="0"/>
          <w:highlight w:val="none"/>
        </w:rPr>
        <w:t>政拨款收入支出决算总体情况说明</w:t>
      </w:r>
      <w:bookmarkEnd w:id="28"/>
      <w:bookmarkEnd w:id="29"/>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2020年财政拨款收、支总计1229.05万元。与2019年相比，财政拨款收、支总计各增加61.51万元，增长5%。主要变动原因是行政区划调整乡镇合并后，人员增加，工作任务加重，行政运行成本增加，人员经费和日常公用经费开支增加，项目支出增加。</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olor w:val="000000"/>
          <w:sz w:val="32"/>
          <w:szCs w:val="32"/>
          <w:highlight w:val="none"/>
          <w:lang w:eastAsia="zh-CN"/>
        </w:rPr>
      </w:pPr>
    </w:p>
    <w:p>
      <w:pPr>
        <w:pStyle w:val="24"/>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lang w:eastAsia="zh-CN"/>
        </w:rPr>
        <w:drawing>
          <wp:inline distT="0" distB="0" distL="114300" distR="114300">
            <wp:extent cx="5070475" cy="2921000"/>
            <wp:effectExtent l="4445" t="4445" r="11430"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b/>
          <w:color w:val="00B050"/>
          <w:sz w:val="32"/>
          <w:szCs w:val="32"/>
          <w:highlight w:val="none"/>
        </w:rPr>
      </w:pPr>
      <w:r>
        <w:rPr>
          <w:rFonts w:hint="eastAsia" w:ascii="仿宋" w:hAnsi="仿宋" w:eastAsia="仿宋"/>
          <w:color w:val="000000"/>
          <w:sz w:val="32"/>
          <w:szCs w:val="32"/>
          <w:highlight w:val="none"/>
        </w:rPr>
        <w:t>（图</w:t>
      </w:r>
      <w:r>
        <w:rPr>
          <w:rFonts w:ascii="仿宋" w:hAnsi="仿宋" w:eastAsia="仿宋"/>
          <w:color w:val="000000"/>
          <w:sz w:val="32"/>
          <w:szCs w:val="32"/>
          <w:highlight w:val="none"/>
        </w:rPr>
        <w:t>4</w:t>
      </w:r>
      <w:r>
        <w:rPr>
          <w:rFonts w:hint="eastAsia" w:ascii="仿宋" w:hAnsi="仿宋" w:eastAsia="仿宋"/>
          <w:color w:val="000000"/>
          <w:sz w:val="32"/>
          <w:szCs w:val="32"/>
          <w:highlight w:val="none"/>
        </w:rPr>
        <w:t>：财政拨款收、支决算总计变动情况）（柱状图）</w:t>
      </w:r>
    </w:p>
    <w:p>
      <w:pPr>
        <w:spacing w:line="600" w:lineRule="exact"/>
        <w:ind w:firstLine="640" w:firstLineChars="200"/>
        <w:outlineLvl w:val="1"/>
        <w:rPr>
          <w:rStyle w:val="43"/>
          <w:rFonts w:ascii="黑体" w:hAnsi="黑体" w:eastAsia="黑体"/>
          <w:b w:val="0"/>
          <w:highlight w:val="none"/>
        </w:rPr>
      </w:pPr>
      <w:bookmarkStart w:id="30" w:name="_Toc15377209"/>
      <w:bookmarkStart w:id="31" w:name="_Toc15396607"/>
      <w:r>
        <w:rPr>
          <w:rFonts w:hint="eastAsia" w:ascii="黑体" w:hAnsi="黑体" w:eastAsia="黑体"/>
          <w:color w:val="000000"/>
          <w:sz w:val="32"/>
          <w:szCs w:val="32"/>
          <w:highlight w:val="none"/>
        </w:rPr>
        <w:t>五、</w:t>
      </w:r>
      <w:r>
        <w:rPr>
          <w:rFonts w:hint="eastAsia" w:ascii="黑体" w:hAnsi="黑体" w:eastAsia="黑体"/>
          <w:b/>
          <w:color w:val="000000"/>
          <w:sz w:val="32"/>
          <w:szCs w:val="32"/>
          <w:highlight w:val="none"/>
        </w:rPr>
        <w:t>一</w:t>
      </w:r>
      <w:r>
        <w:rPr>
          <w:rStyle w:val="43"/>
          <w:rFonts w:hint="eastAsia" w:ascii="黑体" w:hAnsi="黑体" w:eastAsia="黑体"/>
          <w:b w:val="0"/>
          <w:highlight w:val="none"/>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highlight w:val="none"/>
        </w:rPr>
      </w:pPr>
      <w:bookmarkStart w:id="32" w:name="_Toc15377210"/>
      <w:r>
        <w:rPr>
          <w:rFonts w:hint="eastAsia" w:ascii="仿宋" w:hAnsi="仿宋" w:eastAsia="仿宋"/>
          <w:b/>
          <w:color w:val="000000"/>
          <w:sz w:val="32"/>
          <w:szCs w:val="32"/>
          <w:highlight w:val="none"/>
        </w:rPr>
        <w:t>（一）一般公共预算财政拨款支出决算总体情况</w:t>
      </w:r>
      <w:bookmarkEnd w:id="32"/>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olor w:val="000000"/>
          <w:sz w:val="32"/>
          <w:szCs w:val="32"/>
          <w:highlight w:val="yellow"/>
          <w:lang w:eastAsia="zh-CN"/>
        </w:rPr>
      </w:pPr>
      <w:r>
        <w:rPr>
          <w:rFonts w:hint="eastAsia" w:ascii="仿宋" w:hAnsi="仿宋" w:eastAsia="仿宋"/>
          <w:color w:val="000000"/>
          <w:sz w:val="32"/>
          <w:szCs w:val="32"/>
          <w:highlight w:val="none"/>
        </w:rPr>
        <w:t>2020年一般公共预算财政拨款支出1229.05万元，占本年支出合计的100%。与2019年相比，一般公共预算财政拨款增加549.8万元，增长44.7%。其中，一般公共服务支出增加293.37万元；社会保障和就业支出增加44.13万元；医疗卫生与计划生育支出增加29.63万元；农林水支出增加162.59万元，教育培训支出增加0.1万元，住房保障支出增加19.980228万元。主要变动原因是2020年机构改革人员增加，人员变动及工资增加，养老、医疗保险及住房公积金缴费基数增加。</w:t>
      </w:r>
    </w:p>
    <w:p>
      <w:pPr>
        <w:pStyle w:val="24"/>
        <w:rPr>
          <w:rFonts w:hint="eastAsia" w:ascii="仿宋" w:hAnsi="仿宋" w:eastAsia="仿宋"/>
          <w:color w:val="000000"/>
          <w:sz w:val="32"/>
          <w:szCs w:val="32"/>
          <w:highlight w:val="none"/>
          <w:lang w:eastAsia="zh-CN"/>
        </w:rPr>
      </w:pPr>
      <w:r>
        <w:rPr>
          <w:rFonts w:hint="eastAsia" w:ascii="仿宋" w:hAnsi="仿宋" w:eastAsia="仿宋"/>
          <w:color w:val="000000"/>
          <w:sz w:val="32"/>
          <w:szCs w:val="32"/>
          <w:lang w:eastAsia="zh-CN"/>
        </w:rPr>
        <w:drawing>
          <wp:inline distT="0" distB="0" distL="114300" distR="114300">
            <wp:extent cx="5080000" cy="2286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（图</w:t>
      </w:r>
      <w:r>
        <w:rPr>
          <w:rFonts w:ascii="仿宋" w:hAnsi="仿宋" w:eastAsia="仿宋"/>
          <w:color w:val="000000"/>
          <w:sz w:val="32"/>
          <w:szCs w:val="32"/>
          <w:highlight w:val="none"/>
        </w:rPr>
        <w:t>5</w:t>
      </w:r>
      <w:r>
        <w:rPr>
          <w:rFonts w:hint="eastAsia" w:ascii="仿宋" w:hAnsi="仿宋" w:eastAsia="仿宋"/>
          <w:color w:val="000000"/>
          <w:sz w:val="32"/>
          <w:szCs w:val="32"/>
          <w:highlight w:val="none"/>
        </w:rPr>
        <w:t>：一般公共预算财政拨款支出决算变动情况）（柱状图）</w:t>
      </w:r>
    </w:p>
    <w:p>
      <w:pPr>
        <w:spacing w:line="600" w:lineRule="exact"/>
        <w:ind w:firstLine="643" w:firstLineChars="200"/>
        <w:outlineLvl w:val="2"/>
        <w:rPr>
          <w:rFonts w:ascii="仿宋" w:hAnsi="仿宋" w:eastAsia="仿宋"/>
          <w:b/>
          <w:color w:val="000000"/>
          <w:sz w:val="32"/>
          <w:szCs w:val="32"/>
          <w:highlight w:val="none"/>
        </w:rPr>
      </w:pPr>
      <w:bookmarkStart w:id="33" w:name="_Toc15377211"/>
      <w:r>
        <w:rPr>
          <w:rFonts w:hint="eastAsia" w:ascii="仿宋" w:hAnsi="仿宋" w:eastAsia="仿宋"/>
          <w:b/>
          <w:color w:val="000000"/>
          <w:sz w:val="32"/>
          <w:szCs w:val="32"/>
          <w:highlight w:val="none"/>
        </w:rPr>
        <w:t>（二）一般公共预算财政拨款支出决算结构情况</w:t>
      </w:r>
      <w:bookmarkEnd w:id="33"/>
    </w:p>
    <w:p>
      <w:pPr>
        <w:pStyle w:val="8"/>
        <w:ind w:firstLine="640" w:firstLineChars="200"/>
        <w:rPr>
          <w:rFonts w:hint="eastAsia" w:ascii="仿宋" w:hAnsi="仿宋" w:eastAsia="仿宋" w:cs="Times New Roman"/>
          <w:color w:val="000000"/>
          <w:kern w:val="2"/>
          <w:sz w:val="32"/>
          <w:szCs w:val="32"/>
          <w:highlight w:val="none"/>
          <w:lang w:val="en-US" w:eastAsia="zh-CN" w:bidi="ar-SA"/>
        </w:rPr>
      </w:pPr>
      <w:r>
        <w:rPr>
          <w:rFonts w:hint="eastAsia" w:ascii="仿宋" w:hAnsi="仿宋" w:eastAsia="仿宋" w:cs="Times New Roman"/>
          <w:color w:val="000000"/>
          <w:kern w:val="2"/>
          <w:sz w:val="32"/>
          <w:szCs w:val="32"/>
          <w:highlight w:val="none"/>
          <w:lang w:val="en-US" w:eastAsia="zh-CN" w:bidi="ar-SA"/>
        </w:rPr>
        <w:t>2020年一般公共预算财政拨款支出1229.05万元，主要用于以下方面:一般公共服务（类）支出563.84万元，占45.9%；教育支出（类）2.11万元，占0.2%；社会保障和就业（类）支出96.41万元，占7.8%；卫生健康支出57.48万元，占4.7%；农林水支出（类）464.35万元，占37.8%；住房保障支出（类）44.89万元，占3.6%。</w:t>
      </w:r>
    </w:p>
    <w:p>
      <w:pPr>
        <w:pStyle w:val="23"/>
        <w:rPr>
          <w:rFonts w:hint="eastAsia"/>
          <w:highlight w:val="none"/>
          <w:lang w:eastAsia="zh-CN"/>
        </w:rPr>
      </w:pPr>
      <w:r>
        <w:rPr>
          <w:rFonts w:hint="eastAsia"/>
          <w:highlight w:val="none"/>
          <w:lang w:eastAsia="zh-CN"/>
        </w:rPr>
        <w:drawing>
          <wp:inline distT="0" distB="0" distL="114300" distR="114300">
            <wp:extent cx="5080000" cy="2505075"/>
            <wp:effectExtent l="4445" t="4445" r="2095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320" w:firstLineChars="100"/>
        <w:rPr>
          <w:rFonts w:ascii="仿宋" w:hAnsi="仿宋" w:eastAsia="仿宋"/>
          <w:color w:val="000000"/>
          <w:sz w:val="32"/>
          <w:szCs w:val="32"/>
          <w:highlight w:val="yellow"/>
        </w:rPr>
      </w:pPr>
      <w:r>
        <w:rPr>
          <w:rFonts w:hint="eastAsia" w:ascii="仿宋" w:hAnsi="仿宋" w:eastAsia="仿宋"/>
          <w:color w:val="000000"/>
          <w:sz w:val="32"/>
          <w:szCs w:val="32"/>
          <w:highlight w:val="none"/>
        </w:rPr>
        <w:t>（图</w:t>
      </w:r>
      <w:r>
        <w:rPr>
          <w:rFonts w:ascii="仿宋" w:hAnsi="仿宋" w:eastAsia="仿宋"/>
          <w:color w:val="000000"/>
          <w:sz w:val="32"/>
          <w:szCs w:val="32"/>
          <w:highlight w:val="none"/>
        </w:rPr>
        <w:t>6</w:t>
      </w:r>
      <w:r>
        <w:rPr>
          <w:rFonts w:hint="eastAsia" w:ascii="仿宋" w:hAnsi="仿宋" w:eastAsia="仿宋"/>
          <w:color w:val="000000"/>
          <w:sz w:val="32"/>
          <w:szCs w:val="32"/>
          <w:highlight w:val="none"/>
        </w:rPr>
        <w:t>：一般公共预算财政拨款支出决算结构）（饼状图）</w:t>
      </w:r>
    </w:p>
    <w:p>
      <w:pPr>
        <w:spacing w:line="600" w:lineRule="exact"/>
        <w:ind w:firstLine="643" w:firstLineChars="200"/>
        <w:outlineLvl w:val="2"/>
        <w:rPr>
          <w:rFonts w:ascii="仿宋" w:hAnsi="仿宋" w:eastAsia="仿宋"/>
          <w:b/>
          <w:color w:val="000000"/>
          <w:sz w:val="32"/>
          <w:szCs w:val="32"/>
          <w:highlight w:val="none"/>
        </w:rPr>
      </w:pPr>
      <w:bookmarkStart w:id="34" w:name="_Toc15377212"/>
      <w:r>
        <w:rPr>
          <w:rFonts w:hint="eastAsia" w:ascii="仿宋" w:hAnsi="仿宋" w:eastAsia="仿宋"/>
          <w:b/>
          <w:color w:val="000000"/>
          <w:sz w:val="32"/>
          <w:szCs w:val="32"/>
          <w:highlight w:val="none"/>
        </w:rPr>
        <w:t>（三）一般公共预算财政拨款支出决算具体情况</w:t>
      </w:r>
      <w:bookmarkEnd w:id="34"/>
    </w:p>
    <w:p>
      <w:pPr>
        <w:pStyle w:val="8"/>
        <w:jc w:val="left"/>
        <w:rPr>
          <w:rStyle w:val="21"/>
          <w:rFonts w:hint="eastAsia" w:ascii="仿宋" w:hAnsi="仿宋" w:eastAsia="仿宋"/>
          <w:b w:val="0"/>
          <w:color w:val="000000"/>
          <w:kern w:val="2"/>
          <w:sz w:val="32"/>
          <w:szCs w:val="32"/>
          <w:highlight w:val="none"/>
          <w:lang w:val="en-US" w:eastAsia="zh-CN" w:bidi="ar-SA"/>
        </w:rPr>
      </w:pPr>
      <w:r>
        <w:rPr>
          <w:rStyle w:val="21"/>
          <w:rFonts w:hint="eastAsia" w:ascii="仿宋" w:hAnsi="仿宋" w:eastAsia="仿宋"/>
          <w:b w:val="0"/>
          <w:color w:val="000000"/>
          <w:kern w:val="2"/>
          <w:sz w:val="32"/>
          <w:szCs w:val="32"/>
          <w:highlight w:val="none"/>
          <w:lang w:val="en-US" w:eastAsia="zh-CN" w:bidi="ar-SA"/>
        </w:rPr>
        <w:t>2020年一般公共预算支出决算数为1229.05万元，完成预算100%。其中：</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1.一般公共服务（类）人大事务（款）行政运行（项）: 支出决算为10.91万元，完成预算100%。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2.一般公共服务（类）政府办公厅（室）及相关机构事务（款）行政运行（项）:支出决算为421.42万元，完成预算100%。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3.一般公共服务（类）政府办公厅（室）及相关机构事务（款）一般行政管理事务（项）:支出决算为7.04万元，完成预算100%。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4.一般公共服务（类）财政事务（款）行政运行（项）:支出决算为19.21万元，完成预算100%。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5.一般公共服务（类）党委办公厅（室）及相关机构事务（款）行政运行（项）:支出决算为46.32万元，完成预算100%。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6.一般公共服务（类）其他一般公共服务支出（款）其他一般公共服务支出（项）:支出决算为65.98万元，完成预算100%。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7.教育（类）进修及培训（款）培训支出（项）: 支出决算为2.11万元，完成预算100%。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8.社会保障和就业（类）人力资源和社会保障管理事务（款）行政运行（项）: 支出决算为3.36万元，完成预算100%。</w:t>
      </w:r>
    </w:p>
    <w:p>
      <w:pPr>
        <w:pStyle w:val="8"/>
        <w:numPr>
          <w:ilvl w:val="0"/>
          <w:numId w:val="3"/>
        </w:numPr>
        <w:ind w:firstLine="640" w:firstLineChars="200"/>
        <w:rPr>
          <w:rStyle w:val="21"/>
          <w:rFonts w:hint="eastAsia" w:ascii="仿宋" w:hAnsi="仿宋" w:eastAsia="仿宋"/>
          <w:b w:val="0"/>
          <w:color w:val="000000"/>
          <w:kern w:val="2"/>
          <w:sz w:val="32"/>
          <w:szCs w:val="32"/>
          <w:highlight w:val="none"/>
          <w:lang w:val="en-US" w:eastAsia="zh-CN" w:bidi="ar-SA"/>
        </w:rPr>
      </w:pPr>
      <w:r>
        <w:rPr>
          <w:rStyle w:val="21"/>
          <w:rFonts w:hint="eastAsia" w:ascii="仿宋" w:hAnsi="仿宋" w:eastAsia="仿宋"/>
          <w:b w:val="0"/>
          <w:color w:val="000000"/>
          <w:kern w:val="2"/>
          <w:sz w:val="32"/>
          <w:szCs w:val="32"/>
          <w:highlight w:val="none"/>
          <w:lang w:val="en-US" w:eastAsia="zh-CN" w:bidi="ar-SA"/>
        </w:rPr>
        <w:t>社会保障和就业（类）行政事业单位养老支出（款）  机关事业单位基本养老保险缴费支出（项）: 支出决算为93.04万元，完成预算100%。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10.卫生健康（类）卫生健康管理事务（款）行政运行（项）:支出决算为7.34万元，完成预算100%。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11.卫生健康（类）公共卫生（款）突发公共卫生事件应急处理（项）:支出决算为9.86万元，完成预算100%。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12.卫生健康（类）行政事业单位医疗（款）行政单位医疗（项）:支出决算为40.28万元，完成预算100%。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13.农林水支出（类）农业农村（款）行政运行（项）:支出决算为72.54万元，完成预算100%。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14.农林水支出（类）林业和草原（款）行政运行（项）:支出决算为4.11万元，完成预算100%。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15.农林水支出（类）水利（款）行政运行（项）:支出决算为10.57万元，完成预算100%。</w:t>
      </w:r>
      <w:r>
        <w:rPr>
          <w:rStyle w:val="21"/>
          <w:rFonts w:hint="eastAsia" w:ascii="仿宋" w:hAnsi="仿宋" w:eastAsia="仿宋"/>
          <w:b w:val="0"/>
          <w:color w:val="000000"/>
          <w:kern w:val="2"/>
          <w:sz w:val="32"/>
          <w:szCs w:val="32"/>
          <w:highlight w:val="none"/>
          <w:lang w:val="en-US" w:eastAsia="zh-CN" w:bidi="ar-SA"/>
        </w:rPr>
        <w:br w:type="textWrapping"/>
      </w:r>
      <w:r>
        <w:rPr>
          <w:rStyle w:val="21"/>
          <w:rFonts w:hint="eastAsia" w:ascii="仿宋" w:hAnsi="仿宋" w:eastAsia="仿宋"/>
          <w:b w:val="0"/>
          <w:color w:val="000000"/>
          <w:kern w:val="2"/>
          <w:sz w:val="32"/>
          <w:szCs w:val="32"/>
          <w:highlight w:val="none"/>
          <w:lang w:val="en-US" w:eastAsia="zh-CN" w:bidi="ar-SA"/>
        </w:rPr>
        <w:t xml:space="preserve">    16.农林水支出（类）农村综合改革（款）对村民委员会和村党支部的补助（项）:支出决算为377.13万元，完成预算100%。</w:t>
      </w:r>
    </w:p>
    <w:p>
      <w:pPr>
        <w:pStyle w:val="9"/>
        <w:numPr>
          <w:ilvl w:val="0"/>
          <w:numId w:val="0"/>
        </w:numPr>
        <w:jc w:val="both"/>
        <w:rPr>
          <w:rStyle w:val="21"/>
          <w:rFonts w:hint="default" w:ascii="仿宋" w:hAnsi="仿宋" w:eastAsia="仿宋"/>
          <w:b w:val="0"/>
          <w:color w:val="000000"/>
          <w:kern w:val="2"/>
          <w:sz w:val="32"/>
          <w:szCs w:val="32"/>
          <w:highlight w:val="none"/>
          <w:lang w:val="en-US" w:eastAsia="zh-CN" w:bidi="ar-SA"/>
        </w:rPr>
      </w:pPr>
      <w:r>
        <w:rPr>
          <w:rFonts w:hint="eastAsia"/>
          <w:lang w:val="en-US" w:eastAsia="zh-CN"/>
        </w:rPr>
        <w:t xml:space="preserve">     17.</w:t>
      </w:r>
      <w:r>
        <w:rPr>
          <w:rStyle w:val="21"/>
          <w:rFonts w:hint="eastAsia" w:ascii="仿宋" w:hAnsi="仿宋" w:eastAsia="仿宋"/>
          <w:b w:val="0"/>
          <w:color w:val="000000"/>
          <w:kern w:val="2"/>
          <w:sz w:val="32"/>
          <w:szCs w:val="32"/>
          <w:highlight w:val="none"/>
          <w:lang w:val="en-US" w:eastAsia="zh-CN" w:bidi="ar-SA"/>
        </w:rPr>
        <w:t>住房保障支出（类）住房改革支出（款）住房公积金（项）:支出决算为44.89万元，完成预算100%。</w:t>
      </w:r>
    </w:p>
    <w:p>
      <w:pPr>
        <w:tabs>
          <w:tab w:val="right" w:pos="8306"/>
        </w:tabs>
        <w:spacing w:line="600" w:lineRule="exact"/>
        <w:ind w:firstLine="640"/>
        <w:outlineLvl w:val="1"/>
        <w:rPr>
          <w:rStyle w:val="43"/>
          <w:highlight w:val="yellow"/>
        </w:rPr>
      </w:pPr>
      <w:bookmarkStart w:id="35" w:name="_Toc15377214"/>
      <w:bookmarkStart w:id="36" w:name="_Toc15396608"/>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43"/>
          <w:rFonts w:hint="eastAsia" w:ascii="黑体" w:hAnsi="黑体" w:eastAsia="黑体"/>
          <w:b w:val="0"/>
          <w:highlight w:val="none"/>
        </w:rPr>
        <w:t>般公共预算财政拨款基本支出决算情况说明</w:t>
      </w:r>
      <w:bookmarkEnd w:id="35"/>
      <w:bookmarkEnd w:id="36"/>
      <w:r>
        <w:rPr>
          <w:rStyle w:val="43"/>
          <w:rFonts w:ascii="黑体" w:hAnsi="黑体" w:eastAsia="黑体"/>
          <w:b w:val="0"/>
          <w:highlight w:val="none"/>
        </w:rPr>
        <w:tab/>
      </w:r>
    </w:p>
    <w:p>
      <w:pPr>
        <w:spacing w:line="600" w:lineRule="exact"/>
        <w:ind w:firstLine="645"/>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2020年一般公共预算财政拨款基本支出766.94万元，其中：</w:t>
      </w:r>
      <w:r>
        <w:rPr>
          <w:rFonts w:hint="eastAsia" w:ascii="仿宋" w:hAnsi="仿宋" w:eastAsia="仿宋"/>
          <w:color w:val="000000"/>
          <w:sz w:val="32"/>
          <w:szCs w:val="32"/>
          <w:highlight w:val="none"/>
        </w:rPr>
        <w:br w:type="textWrapping"/>
      </w:r>
      <w:r>
        <w:rPr>
          <w:rFonts w:hint="eastAsia" w:ascii="仿宋" w:hAnsi="仿宋" w:eastAsia="仿宋"/>
          <w:color w:val="000000"/>
          <w:sz w:val="32"/>
          <w:szCs w:val="32"/>
          <w:highlight w:val="none"/>
          <w:lang w:val="en-US" w:eastAsia="zh-CN"/>
        </w:rPr>
        <w:t xml:space="preserve">    </w:t>
      </w:r>
      <w:r>
        <w:rPr>
          <w:rFonts w:hint="eastAsia" w:ascii="仿宋" w:hAnsi="仿宋" w:eastAsia="仿宋"/>
          <w:color w:val="000000"/>
          <w:sz w:val="32"/>
          <w:szCs w:val="32"/>
          <w:highlight w:val="none"/>
        </w:rPr>
        <w:t>人员经费685.12万元，主要包括：基本工资、津贴补贴、奖金、绩效工资、机关事业单位基本养老保险缴费、其他工资福利支出、生活补助、行政单位医疗保险缴费、奖励金、住房公积金等。</w:t>
      </w:r>
      <w:r>
        <w:rPr>
          <w:rFonts w:hint="eastAsia" w:ascii="仿宋" w:hAnsi="仿宋" w:eastAsia="仿宋"/>
          <w:color w:val="000000"/>
          <w:sz w:val="32"/>
          <w:szCs w:val="32"/>
          <w:highlight w:val="none"/>
        </w:rPr>
        <w:br w:type="textWrapping"/>
      </w:r>
      <w:r>
        <w:rPr>
          <w:rFonts w:hint="eastAsia" w:ascii="仿宋" w:hAnsi="仿宋" w:eastAsia="仿宋"/>
          <w:color w:val="000000"/>
          <w:sz w:val="32"/>
          <w:szCs w:val="32"/>
          <w:highlight w:val="none"/>
          <w:lang w:val="en-US" w:eastAsia="zh-CN"/>
        </w:rPr>
        <w:t xml:space="preserve">    </w:t>
      </w:r>
      <w:r>
        <w:rPr>
          <w:rFonts w:hint="eastAsia" w:ascii="仿宋" w:hAnsi="仿宋" w:eastAsia="仿宋"/>
          <w:color w:val="000000"/>
          <w:sz w:val="32"/>
          <w:szCs w:val="32"/>
          <w:highlight w:val="none"/>
        </w:rPr>
        <w:t>日常公用经费81.82万元，主要包括：办公费、印刷费、水费、电费、邮电费、差旅费、维修（护）费、租赁费、会议费、公务接待费、劳务费、其他交通费。</w:t>
      </w:r>
    </w:p>
    <w:p>
      <w:pPr>
        <w:spacing w:line="600" w:lineRule="exact"/>
        <w:ind w:firstLine="640"/>
        <w:rPr>
          <w:rFonts w:ascii="仿宋" w:hAnsi="仿宋" w:eastAsia="仿宋"/>
          <w:b/>
          <w:color w:val="FF0000"/>
          <w:sz w:val="32"/>
          <w:szCs w:val="32"/>
        </w:rPr>
      </w:pPr>
    </w:p>
    <w:p>
      <w:pPr>
        <w:spacing w:line="600" w:lineRule="exact"/>
        <w:ind w:firstLine="640"/>
        <w:outlineLvl w:val="1"/>
        <w:rPr>
          <w:rStyle w:val="43"/>
          <w:rFonts w:ascii="黑体" w:hAnsi="黑体" w:eastAsia="黑体"/>
          <w:b w:val="0"/>
        </w:rPr>
      </w:pPr>
      <w:bookmarkStart w:id="37" w:name="_Toc15377215"/>
      <w:bookmarkStart w:id="38" w:name="_Toc15396609"/>
      <w:r>
        <w:rPr>
          <w:rFonts w:hint="eastAsia" w:ascii="黑体" w:eastAsia="黑体"/>
          <w:color w:val="000000"/>
          <w:sz w:val="32"/>
          <w:szCs w:val="32"/>
        </w:rPr>
        <w:t>七、</w:t>
      </w:r>
      <w:r>
        <w:rPr>
          <w:rStyle w:val="43"/>
          <w:rFonts w:hint="eastAsia" w:ascii="黑体" w:hAnsi="黑体" w:eastAsia="黑体"/>
        </w:rPr>
        <w:t>“</w:t>
      </w:r>
      <w:r>
        <w:rPr>
          <w:rStyle w:val="43"/>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color w:val="000000"/>
          <w:sz w:val="32"/>
          <w:szCs w:val="32"/>
          <w:highlight w:val="none"/>
        </w:rPr>
      </w:pPr>
      <w:bookmarkStart w:id="39" w:name="_Toc15377216"/>
      <w:r>
        <w:rPr>
          <w:rFonts w:hint="eastAsia" w:ascii="仿宋" w:hAnsi="仿宋" w:eastAsia="仿宋"/>
          <w:b/>
          <w:color w:val="000000"/>
          <w:sz w:val="32"/>
          <w:szCs w:val="32"/>
          <w:highlight w:val="none"/>
        </w:rPr>
        <w:t>（一）“三公”经费财政拨款支出决算总体情况说明</w:t>
      </w:r>
      <w:bookmarkEnd w:id="39"/>
    </w:p>
    <w:p>
      <w:pPr>
        <w:spacing w:line="600" w:lineRule="exact"/>
        <w:ind w:firstLine="645"/>
        <w:rPr>
          <w:rFonts w:ascii="仿宋" w:hAnsi="仿宋" w:eastAsia="仿宋"/>
          <w:color w:val="000000"/>
          <w:sz w:val="32"/>
          <w:szCs w:val="32"/>
          <w:highlight w:val="none"/>
        </w:rPr>
      </w:pPr>
      <w:r>
        <w:rPr>
          <w:rFonts w:ascii="仿宋" w:hAnsi="仿宋" w:eastAsia="仿宋"/>
          <w:color w:val="000000"/>
          <w:sz w:val="32"/>
          <w:szCs w:val="32"/>
          <w:highlight w:val="none"/>
        </w:rPr>
        <w:t>2020</w:t>
      </w:r>
      <w:r>
        <w:rPr>
          <w:rFonts w:hint="eastAsia" w:ascii="仿宋" w:hAnsi="仿宋" w:eastAsia="仿宋"/>
          <w:color w:val="000000"/>
          <w:sz w:val="32"/>
          <w:szCs w:val="32"/>
          <w:highlight w:val="none"/>
        </w:rPr>
        <w:t>年“三公”经费财政拨款支出决算为5.48万元，完成预算</w:t>
      </w:r>
      <w:r>
        <w:rPr>
          <w:rFonts w:hint="eastAsia" w:ascii="仿宋" w:hAnsi="仿宋" w:eastAsia="仿宋"/>
          <w:color w:val="000000"/>
          <w:sz w:val="32"/>
          <w:szCs w:val="32"/>
          <w:highlight w:val="none"/>
          <w:lang w:eastAsia="zh-CN"/>
        </w:rPr>
        <w:t>的</w:t>
      </w:r>
      <w:r>
        <w:rPr>
          <w:rFonts w:hint="eastAsia" w:ascii="仿宋" w:hAnsi="仿宋" w:eastAsia="仿宋"/>
          <w:color w:val="000000"/>
          <w:sz w:val="32"/>
          <w:szCs w:val="32"/>
          <w:highlight w:val="none"/>
        </w:rPr>
        <w:t>99.9%，决算数小于预算数的</w:t>
      </w:r>
      <w:r>
        <w:rPr>
          <w:rFonts w:hint="eastAsia" w:ascii="仿宋" w:hAnsi="仿宋" w:eastAsia="仿宋" w:cs="仿宋"/>
          <w:color w:val="000000"/>
          <w:sz w:val="32"/>
          <w:szCs w:val="32"/>
          <w:highlight w:val="none"/>
        </w:rPr>
        <w:t>主要原因是严格按接待要求，控制配餐人数和接待标准。</w:t>
      </w:r>
    </w:p>
    <w:p>
      <w:pPr>
        <w:spacing w:line="600" w:lineRule="exact"/>
        <w:ind w:firstLine="640"/>
        <w:outlineLvl w:val="2"/>
        <w:rPr>
          <w:rFonts w:ascii="仿宋" w:hAnsi="仿宋" w:eastAsia="仿宋"/>
          <w:b/>
          <w:color w:val="000000"/>
          <w:sz w:val="32"/>
          <w:szCs w:val="32"/>
          <w:highlight w:val="none"/>
        </w:rPr>
      </w:pPr>
      <w:bookmarkStart w:id="40" w:name="_Toc15377217"/>
      <w:r>
        <w:rPr>
          <w:rFonts w:hint="eastAsia" w:ascii="仿宋" w:hAnsi="仿宋" w:eastAsia="仿宋"/>
          <w:b/>
          <w:color w:val="000000"/>
          <w:sz w:val="32"/>
          <w:szCs w:val="32"/>
          <w:highlight w:val="none"/>
        </w:rPr>
        <w:t>（二）“三公”经费财政拨款支出决算具体情况说明</w:t>
      </w:r>
      <w:bookmarkEnd w:id="40"/>
    </w:p>
    <w:p>
      <w:pPr>
        <w:spacing w:line="600" w:lineRule="exact"/>
        <w:ind w:firstLine="640"/>
        <w:rPr>
          <w:rFonts w:hint="eastAsia" w:ascii="仿宋" w:hAnsi="仿宋" w:eastAsia="仿宋"/>
          <w:color w:val="000000"/>
          <w:sz w:val="32"/>
          <w:szCs w:val="32"/>
          <w:highlight w:val="none"/>
          <w:lang w:val="en-US" w:eastAsia="zh-CN"/>
        </w:rPr>
      </w:pPr>
      <w:r>
        <w:rPr>
          <w:rFonts w:ascii="仿宋" w:hAnsi="仿宋" w:eastAsia="仿宋"/>
          <w:color w:val="000000"/>
          <w:sz w:val="32"/>
          <w:szCs w:val="32"/>
          <w:highlight w:val="none"/>
        </w:rPr>
        <w:t>2020</w:t>
      </w:r>
      <w:r>
        <w:rPr>
          <w:rFonts w:hint="eastAsia" w:ascii="仿宋" w:hAnsi="仿宋" w:eastAsia="仿宋"/>
          <w:color w:val="000000"/>
          <w:sz w:val="32"/>
          <w:szCs w:val="32"/>
          <w:highlight w:val="none"/>
        </w:rPr>
        <w:t>年“三公”经费财政拨款支出决算中，因公出国（境）费支出决算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；公务用车购置及运行维护费支出决</w:t>
      </w:r>
      <w:r>
        <w:rPr>
          <w:rFonts w:hint="eastAsia" w:ascii="仿宋" w:hAnsi="仿宋" w:eastAsia="仿宋"/>
          <w:color w:val="000000"/>
          <w:sz w:val="32"/>
          <w:szCs w:val="32"/>
          <w:highlight w:val="none"/>
          <w:lang w:val="en-US" w:eastAsia="zh-CN"/>
        </w:rPr>
        <w:t>算2.75万元，占50.1%；公务接待费支出决算2.73万元，占49.9%。具体情况如下：</w:t>
      </w:r>
    </w:p>
    <w:p>
      <w:pPr>
        <w:pStyle w:val="24"/>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80000" cy="2924175"/>
            <wp:effectExtent l="4445" t="4445" r="2095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numPr>
          <w:ilvl w:val="0"/>
          <w:numId w:val="0"/>
        </w:numPr>
        <w:spacing w:line="600" w:lineRule="exact"/>
        <w:ind w:firstLine="643" w:firstLineChars="200"/>
        <w:rPr>
          <w:rStyle w:val="21"/>
          <w:rFonts w:hint="eastAsia" w:ascii="仿宋" w:hAnsi="仿宋" w:eastAsia="仿宋"/>
          <w:b w:val="0"/>
          <w:bCs w:val="0"/>
          <w:color w:val="000000"/>
          <w:sz w:val="32"/>
          <w:szCs w:val="32"/>
          <w:highlight w:val="none"/>
        </w:rPr>
      </w:pPr>
      <w:r>
        <w:rPr>
          <w:rFonts w:hint="eastAsia" w:ascii="仿宋_GB2312" w:eastAsia="仿宋_GB2312"/>
          <w:b/>
          <w:bCs w:val="0"/>
          <w:color w:val="000000"/>
          <w:sz w:val="32"/>
          <w:szCs w:val="32"/>
          <w:highlight w:val="none"/>
          <w:lang w:val="en-US" w:eastAsia="zh-CN"/>
        </w:rPr>
        <w:t>1.</w:t>
      </w:r>
      <w:r>
        <w:rPr>
          <w:rFonts w:hint="eastAsia" w:ascii="仿宋_GB2312" w:eastAsia="仿宋_GB2312"/>
          <w:b/>
          <w:bCs w:val="0"/>
          <w:color w:val="000000"/>
          <w:sz w:val="32"/>
          <w:szCs w:val="32"/>
          <w:highlight w:val="none"/>
        </w:rPr>
        <w:t>因</w:t>
      </w:r>
      <w:r>
        <w:rPr>
          <w:rFonts w:hint="eastAsia" w:ascii="仿宋_GB2312" w:eastAsia="仿宋_GB2312"/>
          <w:b/>
          <w:color w:val="000000"/>
          <w:sz w:val="32"/>
          <w:szCs w:val="32"/>
          <w:highlight w:val="none"/>
        </w:rPr>
        <w:t>公出国（境）经费支出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Style w:val="21"/>
          <w:rFonts w:hint="eastAsia" w:ascii="仿宋" w:hAnsi="仿宋" w:eastAsia="仿宋"/>
          <w:b w:val="0"/>
          <w:bCs w:val="0"/>
          <w:color w:val="000000"/>
          <w:sz w:val="32"/>
          <w:szCs w:val="32"/>
          <w:highlight w:val="none"/>
        </w:rPr>
        <w:t>完成预算</w:t>
      </w:r>
      <w:r>
        <w:rPr>
          <w:rStyle w:val="21"/>
          <w:rFonts w:hint="eastAsia" w:ascii="仿宋" w:hAnsi="仿宋" w:eastAsia="仿宋"/>
          <w:b w:val="0"/>
          <w:bCs w:val="0"/>
          <w:color w:val="000000"/>
          <w:sz w:val="32"/>
          <w:szCs w:val="32"/>
          <w:highlight w:val="none"/>
          <w:lang w:val="en-US" w:eastAsia="zh-CN"/>
        </w:rPr>
        <w:t>0</w:t>
      </w:r>
      <w:r>
        <w:rPr>
          <w:rStyle w:val="21"/>
          <w:rFonts w:ascii="仿宋" w:hAnsi="仿宋" w:eastAsia="仿宋"/>
          <w:b w:val="0"/>
          <w:bCs w:val="0"/>
          <w:color w:val="000000"/>
          <w:sz w:val="32"/>
          <w:szCs w:val="32"/>
          <w:highlight w:val="none"/>
        </w:rPr>
        <w:t>%</w:t>
      </w:r>
      <w:r>
        <w:rPr>
          <w:rStyle w:val="21"/>
          <w:rFonts w:hint="eastAsia" w:ascii="仿宋" w:hAnsi="仿宋" w:eastAsia="仿宋"/>
          <w:b w:val="0"/>
          <w:bCs w:val="0"/>
          <w:color w:val="000000"/>
          <w:sz w:val="32"/>
          <w:szCs w:val="32"/>
          <w:highlight w:val="none"/>
        </w:rPr>
        <w:t>。</w:t>
      </w:r>
    </w:p>
    <w:p>
      <w:pPr>
        <w:numPr>
          <w:ilvl w:val="0"/>
          <w:numId w:val="0"/>
        </w:numPr>
        <w:spacing w:line="600" w:lineRule="exact"/>
        <w:ind w:firstLine="643" w:firstLineChars="200"/>
        <w:rPr>
          <w:rFonts w:hint="eastAsia" w:ascii="仿宋_GB2312" w:eastAsia="仿宋_GB2312"/>
          <w:color w:val="000000"/>
          <w:sz w:val="32"/>
          <w:szCs w:val="32"/>
          <w:highlight w:val="none"/>
          <w:lang w:eastAsia="zh-CN"/>
        </w:rPr>
      </w:pPr>
      <w:r>
        <w:rPr>
          <w:rFonts w:ascii="仿宋_GB2312" w:eastAsia="仿宋_GB2312"/>
          <w:b/>
          <w:color w:val="000000"/>
          <w:sz w:val="32"/>
          <w:szCs w:val="32"/>
          <w:highlight w:val="none"/>
        </w:rPr>
        <w:t>2.</w:t>
      </w:r>
      <w:r>
        <w:rPr>
          <w:rFonts w:hint="eastAsia" w:ascii="仿宋_GB2312" w:eastAsia="仿宋_GB2312"/>
          <w:b/>
          <w:color w:val="000000"/>
          <w:sz w:val="32"/>
          <w:szCs w:val="32"/>
          <w:highlight w:val="none"/>
        </w:rPr>
        <w:t>公务用车购置及运行维护费支出</w:t>
      </w:r>
      <w:r>
        <w:rPr>
          <w:rFonts w:hint="eastAsia" w:ascii="仿宋_GB2312" w:eastAsia="仿宋_GB2312"/>
          <w:color w:val="000000"/>
          <w:sz w:val="32"/>
          <w:szCs w:val="32"/>
          <w:highlight w:val="none"/>
          <w:lang w:val="en-US" w:eastAsia="zh-CN"/>
        </w:rPr>
        <w:t>2.75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2.75</w:t>
      </w:r>
      <w:r>
        <w:rPr>
          <w:rFonts w:hint="eastAsia" w:ascii="仿宋_GB2312" w:eastAsia="仿宋_GB2312"/>
          <w:color w:val="000000"/>
          <w:sz w:val="32"/>
          <w:szCs w:val="32"/>
        </w:rPr>
        <w:t>万元。主要用于公务用车燃料费、维修费、过路过桥费、保险费等支出。</w:t>
      </w:r>
    </w:p>
    <w:p>
      <w:pPr>
        <w:spacing w:line="600" w:lineRule="exact"/>
        <w:ind w:firstLine="640"/>
        <w:rPr>
          <w:rFonts w:hint="eastAsia" w:ascii="仿宋_GB2312" w:eastAsia="仿宋_GB2312"/>
          <w:color w:val="000000"/>
          <w:sz w:val="32"/>
          <w:szCs w:val="32"/>
          <w:highlight w:val="none"/>
        </w:rPr>
      </w:pPr>
      <w:r>
        <w:rPr>
          <w:rFonts w:ascii="仿宋_GB2312" w:eastAsia="仿宋_GB2312"/>
          <w:b/>
          <w:color w:val="000000"/>
          <w:sz w:val="32"/>
          <w:szCs w:val="32"/>
          <w:highlight w:val="none"/>
        </w:rPr>
        <w:t>3.</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lang w:val="en-US" w:eastAsia="zh-CN"/>
        </w:rPr>
        <w:t>2.73</w:t>
      </w:r>
      <w:r>
        <w:rPr>
          <w:rFonts w:hint="eastAsia" w:ascii="仿宋_GB2312" w:eastAsia="仿宋_GB2312"/>
          <w:color w:val="000000"/>
          <w:sz w:val="32"/>
          <w:szCs w:val="32"/>
          <w:highlight w:val="none"/>
        </w:rPr>
        <w:t>万元，</w:t>
      </w:r>
      <w:bookmarkStart w:id="41" w:name="_Toc15377218"/>
      <w:bookmarkStart w:id="42" w:name="_Toc15396610"/>
      <w:r>
        <w:rPr>
          <w:rFonts w:hint="eastAsia" w:ascii="仿宋_GB2312" w:eastAsia="仿宋_GB2312"/>
          <w:color w:val="000000"/>
          <w:sz w:val="32"/>
          <w:szCs w:val="32"/>
          <w:highlight w:val="none"/>
        </w:rPr>
        <w:t>完成预算100%。公务接待费支出决算比2019年增加了0.96万元，原因为乡镇合并后人员增多，运行成本增加。国内公务接待国内公务接待</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308</w:t>
      </w:r>
      <w:r>
        <w:rPr>
          <w:rFonts w:hint="eastAsia" w:ascii="仿宋_GB2312" w:eastAsia="仿宋_GB2312"/>
          <w:color w:val="000000"/>
          <w:sz w:val="32"/>
          <w:szCs w:val="32"/>
          <w:highlight w:val="none"/>
        </w:rPr>
        <w:t>人次，主要用于是上级单位工作督查、指导等活动接待开支。外事接待支出0万元。</w:t>
      </w:r>
    </w:p>
    <w:p>
      <w:pPr>
        <w:spacing w:line="600" w:lineRule="exact"/>
        <w:ind w:firstLine="640"/>
        <w:outlineLvl w:val="1"/>
        <w:rPr>
          <w:rStyle w:val="43"/>
          <w:rFonts w:ascii="黑体" w:hAnsi="黑体" w:eastAsia="黑体"/>
        </w:rPr>
      </w:pPr>
      <w:r>
        <w:rPr>
          <w:rFonts w:hint="eastAsia" w:ascii="黑体" w:eastAsia="黑体"/>
          <w:color w:val="000000"/>
          <w:sz w:val="32"/>
          <w:szCs w:val="32"/>
        </w:rPr>
        <w:t>八、</w:t>
      </w:r>
      <w:r>
        <w:rPr>
          <w:rStyle w:val="43"/>
          <w:rFonts w:hint="eastAsia" w:ascii="黑体" w:hAnsi="黑体" w:eastAsia="黑体"/>
          <w:b w:val="0"/>
        </w:rPr>
        <w:t>政府性基金预算支出决算情况说明</w:t>
      </w:r>
      <w:bookmarkEnd w:id="41"/>
      <w:bookmarkEnd w:id="42"/>
      <w:bookmarkStart w:id="68" w:name="_GoBack"/>
      <w:bookmarkEnd w:id="6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w:t>
      </w:r>
    </w:p>
    <w:p>
      <w:pPr>
        <w:numPr>
          <w:ilvl w:val="0"/>
          <w:numId w:val="4"/>
        </w:numPr>
        <w:spacing w:line="600" w:lineRule="exact"/>
        <w:ind w:firstLine="640"/>
        <w:outlineLvl w:val="1"/>
        <w:rPr>
          <w:rStyle w:val="43"/>
          <w:rFonts w:ascii="黑体" w:hAnsi="黑体" w:eastAsia="黑体"/>
          <w:b w:val="0"/>
        </w:rPr>
      </w:pPr>
      <w:bookmarkStart w:id="43" w:name="_Toc15377219"/>
      <w:bookmarkStart w:id="44" w:name="_Toc15396611"/>
      <w:r>
        <w:rPr>
          <w:rStyle w:val="43"/>
          <w:rFonts w:hint="eastAsia" w:ascii="黑体" w:hAnsi="黑体" w:eastAsia="黑体"/>
          <w:b w:val="0"/>
        </w:rPr>
        <w:t>国有资本经营预算支出决算情况说明</w:t>
      </w:r>
      <w:bookmarkEnd w:id="43"/>
      <w:bookmarkEnd w:id="4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w:t>
      </w:r>
    </w:p>
    <w:p>
      <w:pPr>
        <w:spacing w:line="600" w:lineRule="exact"/>
        <w:ind w:firstLine="640" w:firstLineChars="200"/>
        <w:outlineLvl w:val="1"/>
        <w:rPr>
          <w:rStyle w:val="43"/>
          <w:rFonts w:ascii="黑体" w:hAnsi="黑体" w:eastAsia="黑体"/>
        </w:rPr>
      </w:pPr>
      <w:bookmarkStart w:id="45" w:name="_Toc15396612"/>
      <w:bookmarkStart w:id="46" w:name="_Toc15377221"/>
      <w:r>
        <w:rPr>
          <w:rFonts w:hint="eastAsia" w:ascii="黑体" w:hAnsi="黑体" w:eastAsia="黑体"/>
          <w:color w:val="000000"/>
          <w:sz w:val="32"/>
          <w:szCs w:val="32"/>
        </w:rPr>
        <w:t>十</w:t>
      </w:r>
      <w:r>
        <w:rPr>
          <w:rStyle w:val="43"/>
          <w:rFonts w:hint="eastAsia" w:ascii="黑体" w:hAnsi="黑体" w:eastAsia="黑体"/>
        </w:rPr>
        <w:t>、</w:t>
      </w:r>
      <w:r>
        <w:rPr>
          <w:rStyle w:val="43"/>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color w:val="000000"/>
          <w:sz w:val="32"/>
          <w:szCs w:val="32"/>
        </w:rPr>
      </w:pPr>
      <w:bookmarkStart w:id="47" w:name="_Toc15377222"/>
      <w:r>
        <w:rPr>
          <w:rFonts w:hint="eastAsia" w:ascii="仿宋" w:hAnsi="仿宋" w:eastAsia="仿宋"/>
          <w:b/>
          <w:color w:val="000000"/>
          <w:sz w:val="32"/>
          <w:szCs w:val="32"/>
        </w:rPr>
        <w:t>（一）机关运行经费支出情况</w:t>
      </w:r>
      <w:bookmarkEnd w:id="47"/>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2020年，广元市朝天区曾家镇人民政府机关运行经费支出81.82万元，比2019年增加26.37万元，增长47.56%。主要原因是行政区划调整，乡镇合并后日常事务增多，农业站、林业站和人社所人员划转到乡镇后人员增多，加大了行政运行成本。</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8" w:name="_Toc15377223"/>
      <w:r>
        <w:rPr>
          <w:rFonts w:hint="eastAsia" w:ascii="仿宋" w:hAnsi="仿宋" w:eastAsia="仿宋"/>
          <w:b/>
          <w:color w:val="000000"/>
          <w:sz w:val="32"/>
          <w:szCs w:val="32"/>
        </w:rPr>
        <w:t>（二）政府采购支出情况</w:t>
      </w:r>
      <w:bookmarkEnd w:id="48"/>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2020年，广元市朝天区曾家镇人民政府采购支出总额230万元，其中：政府采购货物支出0万元、政府采购工程支出230万元、政府采购服务支出0万元。主要用于农村道路便民桥项目建设。授予中小企业合同金额264.5万元，占政府采购支出总额的100%，其中：授予小微企业合同金额230万元，占政府采购支出总额的100%。</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4"/>
      <w:r>
        <w:rPr>
          <w:rFonts w:hint="eastAsia" w:ascii="仿宋" w:hAnsi="仿宋" w:eastAsia="仿宋"/>
          <w:b/>
          <w:color w:val="000000"/>
          <w:sz w:val="32"/>
          <w:szCs w:val="32"/>
        </w:rPr>
        <w:t>（三）国有资产占有使用情况</w:t>
      </w:r>
      <w:bookmarkEnd w:id="49"/>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截至2020年12月31日，广元市朝天区曾家镇人民政府共有车辆</w:t>
      </w:r>
      <w:r>
        <w:rPr>
          <w:rFonts w:hint="eastAsia" w:ascii="仿宋_GB2312" w:eastAsia="仿宋_GB2312"/>
          <w:color w:val="000000"/>
          <w:sz w:val="32"/>
          <w:szCs w:val="32"/>
          <w:highlight w:val="none"/>
          <w:lang w:val="en-US" w:eastAsia="zh-CN"/>
        </w:rPr>
        <w:t>1</w:t>
      </w:r>
      <w:r>
        <w:rPr>
          <w:rFonts w:ascii="仿宋_GB2312" w:eastAsia="仿宋_GB2312"/>
          <w:color w:val="000000"/>
          <w:sz w:val="32"/>
          <w:szCs w:val="32"/>
          <w:highlight w:val="none"/>
        </w:rPr>
        <w:t>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pStyle w:val="24"/>
        <w:ind w:firstLine="640" w:firstLineChars="200"/>
        <w:rPr>
          <w:rFonts w:ascii="仿宋_GB2312" w:hAnsi="Times New Roman" w:eastAsia="仿宋_GB2312" w:cs="Times New Roman"/>
          <w:color w:val="000000"/>
          <w:kern w:val="2"/>
          <w:sz w:val="32"/>
          <w:szCs w:val="32"/>
          <w:highlight w:val="none"/>
          <w:lang w:val="en-US" w:eastAsia="zh-CN" w:bidi="ar-SA"/>
        </w:rPr>
      </w:pPr>
      <w:r>
        <w:rPr>
          <w:rFonts w:ascii="仿宋_GB2312" w:hAnsi="Times New Roman" w:eastAsia="仿宋_GB2312" w:cs="Times New Roman"/>
          <w:color w:val="000000"/>
          <w:kern w:val="2"/>
          <w:sz w:val="32"/>
          <w:szCs w:val="32"/>
          <w:highlight w:val="none"/>
          <w:lang w:val="en-US" w:eastAsia="zh-CN" w:bidi="ar-SA"/>
        </w:rPr>
        <w:t>根据预算绩效管理要求，本部门（单位）在年初预算编制阶段，组织对2020年农村公共服务运行维护项目开展了预算事前绩效评估，对2个项目编制了绩效目标，预算执行过程中，选取1个项目开展绩效监控，年终执行完毕后，对1个项目开展了绩效目标完成情况自评。</w:t>
      </w:r>
      <w:r>
        <w:rPr>
          <w:rFonts w:ascii="仿宋_GB2312" w:hAnsi="Times New Roman" w:eastAsia="仿宋_GB2312" w:cs="Times New Roman"/>
          <w:color w:val="000000"/>
          <w:kern w:val="2"/>
          <w:sz w:val="32"/>
          <w:szCs w:val="32"/>
          <w:highlight w:val="none"/>
          <w:lang w:val="en-US" w:eastAsia="zh-CN" w:bidi="ar-SA"/>
        </w:rPr>
        <w:br w:type="textWrapping"/>
      </w:r>
      <w:r>
        <w:rPr>
          <w:rFonts w:hint="eastAsia" w:ascii="仿宋_GB2312" w:hAnsi="Times New Roman" w:eastAsia="仿宋_GB2312" w:cs="Times New Roman"/>
          <w:color w:val="000000"/>
          <w:kern w:val="2"/>
          <w:sz w:val="32"/>
          <w:szCs w:val="32"/>
          <w:highlight w:val="none"/>
          <w:lang w:val="en-US" w:eastAsia="zh-CN" w:bidi="ar-SA"/>
        </w:rPr>
        <w:t xml:space="preserve">   </w:t>
      </w:r>
      <w:r>
        <w:rPr>
          <w:rFonts w:ascii="仿宋_GB2312" w:hAnsi="Times New Roman" w:eastAsia="仿宋_GB2312" w:cs="Times New Roman"/>
          <w:color w:val="000000"/>
          <w:kern w:val="2"/>
          <w:sz w:val="32"/>
          <w:szCs w:val="32"/>
          <w:highlight w:val="none"/>
          <w:lang w:val="en-US" w:eastAsia="zh-CN" w:bidi="ar-SA"/>
        </w:rPr>
        <w:t>本部门按要求对2020年部门整体支出开展绩效自评，从评价情况来看：2020年我镇资金运行维护决策正确，资金管理规范，项目管理到位，政策执行有力，圆满地完成了年度工作目标，通过加强预算收支管理，不断健全内部管理制度，梳理内部管理流程，部门整体支出管理水平得到提升。根据部门整体支出绩效评价指标体系，从预算编制、预算执行、综合管理、整体效益等方面开展自评。本部门还自行组织了1个项目绩效评价，从评价情况来看，达到了预先绩效评估的要求。</w:t>
      </w:r>
      <w:r>
        <w:rPr>
          <w:rFonts w:ascii="仿宋_GB2312" w:hAnsi="Times New Roman" w:eastAsia="仿宋_GB2312" w:cs="Times New Roman"/>
          <w:color w:val="000000"/>
          <w:kern w:val="2"/>
          <w:sz w:val="32"/>
          <w:szCs w:val="32"/>
          <w:highlight w:val="none"/>
          <w:lang w:val="en-US" w:eastAsia="zh-CN" w:bidi="ar-SA"/>
        </w:rPr>
        <w:br w:type="textWrapping"/>
      </w:r>
      <w:r>
        <w:rPr>
          <w:rFonts w:hint="eastAsia" w:ascii="仿宋_GB2312" w:hAnsi="Times New Roman" w:eastAsia="仿宋_GB2312" w:cs="Times New Roman"/>
          <w:color w:val="000000"/>
          <w:kern w:val="2"/>
          <w:sz w:val="32"/>
          <w:szCs w:val="32"/>
          <w:highlight w:val="none"/>
          <w:lang w:val="en-US" w:eastAsia="zh-CN" w:bidi="ar-SA"/>
        </w:rPr>
        <w:t xml:space="preserve">    </w:t>
      </w:r>
      <w:r>
        <w:rPr>
          <w:rFonts w:ascii="仿宋_GB2312" w:hAnsi="Times New Roman" w:eastAsia="仿宋_GB2312" w:cs="Times New Roman"/>
          <w:color w:val="000000"/>
          <w:kern w:val="2"/>
          <w:sz w:val="32"/>
          <w:szCs w:val="32"/>
          <w:highlight w:val="none"/>
          <w:lang w:val="en-US" w:eastAsia="zh-CN" w:bidi="ar-SA"/>
        </w:rPr>
        <w:t>1.项目绩效目标完成情况。</w:t>
      </w:r>
      <w:r>
        <w:rPr>
          <w:rFonts w:ascii="仿宋_GB2312" w:hAnsi="Times New Roman" w:eastAsia="仿宋_GB2312" w:cs="Times New Roman"/>
          <w:color w:val="000000"/>
          <w:kern w:val="2"/>
          <w:sz w:val="32"/>
          <w:szCs w:val="32"/>
          <w:highlight w:val="none"/>
          <w:lang w:val="en-US" w:eastAsia="zh-CN" w:bidi="ar-SA"/>
        </w:rPr>
        <w:br w:type="textWrapping"/>
      </w:r>
      <w:r>
        <w:rPr>
          <w:rFonts w:ascii="仿宋_GB2312" w:hAnsi="Times New Roman" w:eastAsia="仿宋_GB2312" w:cs="Times New Roman"/>
          <w:color w:val="000000"/>
          <w:kern w:val="2"/>
          <w:sz w:val="32"/>
          <w:szCs w:val="32"/>
          <w:highlight w:val="none"/>
          <w:lang w:val="en-US" w:eastAsia="zh-CN" w:bidi="ar-SA"/>
        </w:rPr>
        <w:t>本单位在2020年度部门决算中反映“2020年农村公共服务运行维护项目”1个项目绩效目标实际完成情况。</w:t>
      </w:r>
      <w:r>
        <w:rPr>
          <w:rFonts w:ascii="仿宋_GB2312" w:hAnsi="Times New Roman" w:eastAsia="仿宋_GB2312" w:cs="Times New Roman"/>
          <w:color w:val="000000"/>
          <w:kern w:val="2"/>
          <w:sz w:val="32"/>
          <w:szCs w:val="32"/>
          <w:highlight w:val="none"/>
          <w:lang w:val="en-US" w:eastAsia="zh-CN" w:bidi="ar-SA"/>
        </w:rPr>
        <w:br w:type="textWrapping"/>
      </w:r>
      <w:r>
        <w:rPr>
          <w:rFonts w:ascii="仿宋_GB2312" w:hAnsi="Times New Roman" w:eastAsia="仿宋_GB2312" w:cs="Times New Roman"/>
          <w:color w:val="000000"/>
          <w:kern w:val="2"/>
          <w:sz w:val="32"/>
          <w:szCs w:val="32"/>
          <w:highlight w:val="none"/>
          <w:lang w:val="en-US" w:eastAsia="zh-CN" w:bidi="ar-SA"/>
        </w:rPr>
        <w:t>2020年农村公共服务运行维护项目绩效目标完成情况综述。项目全年预算数80万元，执行数为80万元，完成预算的100%。通过项目实施，惠民人数达到15117人。保障了全镇16个行政村公共服务设施运行正常，支持了农村基础设施建设，解决了村内最及需、群众最急盼、受益最直接的突出问题，促进农业生产、方便村民生活，进一步改善农村基础设施条件。</w:t>
      </w:r>
      <w:r>
        <w:rPr>
          <w:rFonts w:ascii="仿宋_GB2312" w:hAnsi="Times New Roman" w:eastAsia="仿宋_GB2312" w:cs="Times New Roman"/>
          <w:color w:val="000000"/>
          <w:kern w:val="2"/>
          <w:sz w:val="32"/>
          <w:szCs w:val="32"/>
          <w:highlight w:val="none"/>
          <w:lang w:val="en-US" w:eastAsia="zh-CN" w:bidi="ar-SA"/>
        </w:rPr>
        <w:br w:type="textWrapping"/>
      </w:r>
      <w:r>
        <w:rPr>
          <w:rFonts w:ascii="仿宋_GB2312" w:hAnsi="Times New Roman" w:eastAsia="仿宋_GB2312" w:cs="Times New Roman"/>
          <w:color w:val="000000"/>
          <w:kern w:val="2"/>
          <w:sz w:val="32"/>
          <w:szCs w:val="32"/>
          <w:highlight w:val="none"/>
          <w:lang w:val="en-US" w:eastAsia="zh-CN" w:bidi="ar-SA"/>
        </w:rPr>
        <w:t>发现的主要问题：一是项目实施单位，受其自身条件、村内条件无专业队伍施工等因素的制约，在保证质量的前提下，施工进度有待加快。二是重建设，轻管理，养护管理制度还待进一步完善。三是补助标准偏低，项目实施困难。鉴于农村外出务工人员多，在家劳动力少的实际情况，群众筹资酬劳相当困难，补标准偏低，项目实施难度较大。下一步改进措施：要通过发展壮大集体经济，创收节支解决资金不足的问题。</w:t>
      </w:r>
    </w:p>
    <w:p>
      <w:pPr>
        <w:pStyle w:val="24"/>
        <w:rPr>
          <w:highlight w:val="yellow"/>
        </w:rPr>
      </w:pPr>
    </w:p>
    <w:tbl>
      <w:tblPr>
        <w:tblStyle w:val="18"/>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71"/>
        <w:gridCol w:w="864"/>
        <w:gridCol w:w="1038"/>
        <w:gridCol w:w="2160"/>
        <w:gridCol w:w="2310"/>
        <w:gridCol w:w="2617"/>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36"/>
                <w:szCs w:val="36"/>
                <w:highlight w:val="yellow"/>
              </w:rPr>
            </w:pPr>
            <w:r>
              <w:rPr>
                <w:rFonts w:hint="eastAsia" w:ascii="黑体" w:hAnsi="宋体" w:eastAsia="黑体" w:cs="黑体"/>
                <w:b/>
                <w:bCs/>
                <w:i w:val="0"/>
                <w:iCs w:val="0"/>
                <w:color w:val="000000"/>
                <w:kern w:val="0"/>
                <w:sz w:val="36"/>
                <w:szCs w:val="36"/>
                <w:u w:val="none"/>
                <w:lang w:val="en-US" w:eastAsia="zh-CN" w:bidi="ar"/>
              </w:rPr>
              <w:t>项目支出绩效目标自评表</w:t>
            </w:r>
          </w:p>
        </w:tc>
      </w:tr>
      <w:tr>
        <w:tblPrEx>
          <w:tblCellMar>
            <w:top w:w="0" w:type="dxa"/>
            <w:left w:w="0" w:type="dxa"/>
            <w:bottom w:w="0" w:type="dxa"/>
            <w:right w:w="0" w:type="dxa"/>
          </w:tblCellMar>
        </w:tblPrEx>
        <w:trPr>
          <w:trHeight w:val="276" w:hRule="atLeast"/>
          <w:jc w:val="center"/>
        </w:trPr>
        <w:tc>
          <w:tcPr>
            <w:tcW w:w="99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黑体" w:hAnsi="宋体" w:eastAsia="黑体" w:cs="黑体"/>
                <w:i w:val="0"/>
                <w:iCs w:val="0"/>
                <w:color w:val="000000"/>
                <w:kern w:val="0"/>
                <w:sz w:val="22"/>
                <w:szCs w:val="22"/>
                <w:u w:val="none"/>
                <w:lang w:val="en-US" w:eastAsia="zh-CN" w:bidi="ar"/>
              </w:rPr>
              <w:t>（2020 年度）</w:t>
            </w:r>
          </w:p>
        </w:tc>
      </w:tr>
      <w:tr>
        <w:tblPrEx>
          <w:tblCellMar>
            <w:top w:w="0" w:type="dxa"/>
            <w:left w:w="0" w:type="dxa"/>
            <w:bottom w:w="0" w:type="dxa"/>
            <w:right w:w="0" w:type="dxa"/>
          </w:tblCellMar>
        </w:tblPrEx>
        <w:trPr>
          <w:trHeight w:val="276" w:hRule="atLeast"/>
          <w:jc w:val="center"/>
        </w:trPr>
        <w:tc>
          <w:tcPr>
            <w:tcW w:w="99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highlight w:val="yellow"/>
                <w:lang w:eastAsia="zh-CN"/>
              </w:rPr>
            </w:pPr>
            <w:r>
              <w:rPr>
                <w:rFonts w:hint="eastAsia" w:ascii="宋体" w:hAnsi="宋体" w:eastAsia="宋体" w:cs="宋体"/>
                <w:b/>
                <w:bCs/>
                <w:i w:val="0"/>
                <w:iCs w:val="0"/>
                <w:color w:val="000000"/>
                <w:kern w:val="0"/>
                <w:sz w:val="24"/>
                <w:szCs w:val="24"/>
                <w:u w:val="none"/>
                <w:lang w:val="en-US" w:eastAsia="zh-CN" w:bidi="ar"/>
              </w:rPr>
              <w:t>预算单位：广元市朝天区曾家镇人民政府</w:t>
            </w:r>
          </w:p>
        </w:tc>
      </w:tr>
      <w:tr>
        <w:tblPrEx>
          <w:tblCellMar>
            <w:top w:w="0" w:type="dxa"/>
            <w:left w:w="0" w:type="dxa"/>
            <w:bottom w:w="0" w:type="dxa"/>
            <w:right w:w="0" w:type="dxa"/>
          </w:tblCellMar>
        </w:tblPrEx>
        <w:trPr>
          <w:trHeight w:val="276" w:hRule="atLeast"/>
          <w:jc w:val="center"/>
        </w:trPr>
        <w:tc>
          <w:tcPr>
            <w:tcW w:w="1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项目名称</w:t>
            </w:r>
          </w:p>
        </w:tc>
        <w:tc>
          <w:tcPr>
            <w:tcW w:w="31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2020年农村公共服务运行维护项目</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highlight w:val="yellow"/>
                <w:lang w:val="en-US" w:eastAsia="zh-CN"/>
              </w:rPr>
            </w:pPr>
            <w:r>
              <w:rPr>
                <w:rFonts w:hint="eastAsia" w:ascii="宋体" w:hAnsi="宋体" w:eastAsia="宋体" w:cs="宋体"/>
                <w:i w:val="0"/>
                <w:iCs w:val="0"/>
                <w:color w:val="000000"/>
                <w:kern w:val="0"/>
                <w:sz w:val="20"/>
                <w:szCs w:val="20"/>
                <w:u w:val="none"/>
                <w:lang w:val="en-US" w:eastAsia="zh-CN" w:bidi="ar"/>
              </w:rPr>
              <w:t>项目属性</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eastAsia="宋体" w:cs="宋体"/>
                <w:color w:val="000000"/>
                <w:sz w:val="24"/>
                <w:highlight w:val="yellow"/>
                <w:lang w:val="en-US" w:eastAsia="zh-CN"/>
              </w:rPr>
            </w:pPr>
            <w:r>
              <w:rPr>
                <w:rFonts w:hint="eastAsia" w:ascii="宋体" w:hAnsi="宋体" w:eastAsia="宋体" w:cs="宋体"/>
                <w:i w:val="0"/>
                <w:iCs w:val="0"/>
                <w:color w:val="000000"/>
                <w:kern w:val="0"/>
                <w:sz w:val="20"/>
                <w:szCs w:val="20"/>
                <w:u w:val="none"/>
                <w:lang w:val="en-US" w:eastAsia="zh-CN" w:bidi="ar"/>
              </w:rPr>
              <w:t xml:space="preserve">□新增项目   </w:t>
            </w:r>
            <w:r>
              <w:rPr>
                <w:rFonts w:ascii="Wingdings" w:hAnsi="Wingdings" w:eastAsia="宋体" w:cs="Wingdings"/>
                <w:i w:val="0"/>
                <w:iCs w:val="0"/>
                <w:color w:val="000000"/>
                <w:kern w:val="0"/>
                <w:sz w:val="20"/>
                <w:szCs w:val="20"/>
                <w:u w:val="none"/>
                <w:lang w:val="en-US" w:eastAsia="zh-CN" w:bidi="ar"/>
              </w:rPr>
              <w:t>þ</w:t>
            </w:r>
            <w:r>
              <w:rPr>
                <w:rFonts w:hint="eastAsia" w:ascii="宋体" w:hAnsi="宋体" w:eastAsia="宋体" w:cs="宋体"/>
                <w:i w:val="0"/>
                <w:iCs w:val="0"/>
                <w:color w:val="000000"/>
                <w:kern w:val="0"/>
                <w:sz w:val="20"/>
                <w:szCs w:val="20"/>
                <w:u w:val="none"/>
                <w:lang w:val="en-US" w:eastAsia="zh-CN" w:bidi="ar"/>
              </w:rPr>
              <w:t>延续项目</w:t>
            </w:r>
          </w:p>
        </w:tc>
      </w:tr>
      <w:tr>
        <w:tblPrEx>
          <w:tblCellMar>
            <w:top w:w="0" w:type="dxa"/>
            <w:left w:w="0" w:type="dxa"/>
            <w:bottom w:w="0" w:type="dxa"/>
            <w:right w:w="0" w:type="dxa"/>
          </w:tblCellMar>
        </w:tblPrEx>
        <w:trPr>
          <w:trHeight w:val="276" w:hRule="atLeast"/>
          <w:jc w:val="center"/>
        </w:trPr>
        <w:tc>
          <w:tcPr>
            <w:tcW w:w="1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项目起止时间</w:t>
            </w:r>
          </w:p>
        </w:tc>
        <w:tc>
          <w:tcPr>
            <w:tcW w:w="31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2020年1月1日-2020年12月31日</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highlight w:val="yellow"/>
                <w:lang w:val="en-US" w:eastAsia="zh-CN"/>
              </w:rPr>
            </w:pPr>
            <w:r>
              <w:rPr>
                <w:rFonts w:hint="eastAsia" w:ascii="宋体" w:hAnsi="宋体" w:eastAsia="宋体" w:cs="宋体"/>
                <w:i w:val="0"/>
                <w:iCs w:val="0"/>
                <w:color w:val="000000"/>
                <w:kern w:val="0"/>
                <w:sz w:val="20"/>
                <w:szCs w:val="20"/>
                <w:u w:val="none"/>
                <w:lang w:val="en-US" w:eastAsia="zh-CN" w:bidi="ar"/>
              </w:rPr>
              <w:t>项目口径</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eastAsia="宋体" w:cs="宋体"/>
                <w:color w:val="000000"/>
                <w:sz w:val="24"/>
                <w:highlight w:val="yellow"/>
                <w:lang w:val="en-US" w:eastAsia="zh-CN"/>
              </w:rPr>
            </w:pPr>
            <w:r>
              <w:rPr>
                <w:rFonts w:hint="default" w:ascii="Wingdings" w:hAnsi="Wingdings" w:eastAsia="宋体" w:cs="Wingdings"/>
                <w:i w:val="0"/>
                <w:iCs w:val="0"/>
                <w:color w:val="000000"/>
                <w:kern w:val="0"/>
                <w:sz w:val="20"/>
                <w:szCs w:val="20"/>
                <w:u w:val="none"/>
                <w:lang w:val="en-US" w:eastAsia="zh-CN" w:bidi="ar"/>
              </w:rPr>
              <w:t>þ</w:t>
            </w:r>
            <w:r>
              <w:rPr>
                <w:rFonts w:hint="eastAsia" w:ascii="宋体" w:hAnsi="宋体" w:eastAsia="宋体" w:cs="宋体"/>
                <w:i w:val="0"/>
                <w:iCs w:val="0"/>
                <w:color w:val="000000"/>
                <w:kern w:val="0"/>
                <w:sz w:val="20"/>
                <w:szCs w:val="20"/>
                <w:u w:val="none"/>
                <w:lang w:val="en-US" w:eastAsia="zh-CN" w:bidi="ar"/>
              </w:rPr>
              <w:t>经常性   □阶段性   □一次性</w:t>
            </w:r>
          </w:p>
        </w:tc>
      </w:tr>
      <w:tr>
        <w:tblPrEx>
          <w:tblCellMar>
            <w:top w:w="0" w:type="dxa"/>
            <w:left w:w="0" w:type="dxa"/>
            <w:bottom w:w="0" w:type="dxa"/>
            <w:right w:w="0" w:type="dxa"/>
          </w:tblCellMar>
        </w:tblPrEx>
        <w:trPr>
          <w:trHeight w:val="1511"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b/>
                <w:bCs/>
                <w:i w:val="0"/>
                <w:iCs w:val="0"/>
                <w:color w:val="000000"/>
                <w:kern w:val="0"/>
                <w:sz w:val="20"/>
                <w:szCs w:val="20"/>
                <w:u w:val="none"/>
                <w:lang w:val="en-US" w:eastAsia="zh-CN" w:bidi="ar"/>
              </w:rPr>
              <w:t xml:space="preserve"> 全年预算数 </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b/>
                <w:bCs/>
                <w:i w:val="0"/>
                <w:iCs w:val="0"/>
                <w:color w:val="000000"/>
                <w:kern w:val="0"/>
                <w:sz w:val="20"/>
                <w:szCs w:val="20"/>
                <w:u w:val="none"/>
                <w:lang w:val="en-US" w:eastAsia="zh-CN" w:bidi="ar"/>
              </w:rPr>
              <w:t>850000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b/>
                <w:bCs/>
                <w:i w:val="0"/>
                <w:iCs w:val="0"/>
                <w:color w:val="000000"/>
                <w:kern w:val="0"/>
                <w:sz w:val="20"/>
                <w:szCs w:val="20"/>
                <w:u w:val="none"/>
                <w:lang w:val="en-US" w:eastAsia="zh-CN" w:bidi="ar"/>
              </w:rPr>
              <w:t xml:space="preserve"> 全年执行数</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850000</w:t>
            </w:r>
          </w:p>
        </w:tc>
      </w:tr>
      <w:tr>
        <w:tblPrEx>
          <w:tblCellMar>
            <w:top w:w="0" w:type="dxa"/>
            <w:left w:w="0" w:type="dxa"/>
            <w:bottom w:w="0" w:type="dxa"/>
            <w:right w:w="0" w:type="dxa"/>
          </w:tblCellMar>
        </w:tblPrEx>
        <w:trPr>
          <w:trHeight w:val="276"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1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其中：一般公共预算</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i w:val="0"/>
                <w:iCs w:val="0"/>
                <w:color w:val="000000"/>
                <w:kern w:val="0"/>
                <w:sz w:val="20"/>
                <w:szCs w:val="20"/>
                <w:u w:val="none"/>
                <w:lang w:val="en-US" w:eastAsia="zh-CN" w:bidi="ar"/>
              </w:rPr>
              <w:t>850000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其中：一般公共预算</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i w:val="0"/>
                <w:iCs w:val="0"/>
                <w:color w:val="000000"/>
                <w:kern w:val="0"/>
                <w:sz w:val="20"/>
                <w:szCs w:val="20"/>
                <w:u w:val="none"/>
                <w:lang w:val="en-US" w:eastAsia="zh-CN" w:bidi="ar"/>
              </w:rPr>
              <w:t>850000</w:t>
            </w:r>
          </w:p>
        </w:tc>
      </w:tr>
      <w:tr>
        <w:tblPrEx>
          <w:tblCellMar>
            <w:top w:w="0" w:type="dxa"/>
            <w:left w:w="0" w:type="dxa"/>
            <w:bottom w:w="0" w:type="dxa"/>
            <w:right w:w="0" w:type="dxa"/>
          </w:tblCellMar>
        </w:tblPrEx>
        <w:trPr>
          <w:trHeight w:val="1159"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1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政府性基金预算</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pP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sz w:val="24"/>
                <w:highlight w:val="yellow"/>
                <w:lang w:val="en-US"/>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pPr>
          </w:p>
        </w:tc>
      </w:tr>
      <w:tr>
        <w:tblPrEx>
          <w:tblCellMar>
            <w:top w:w="0" w:type="dxa"/>
            <w:left w:w="0" w:type="dxa"/>
            <w:bottom w:w="0" w:type="dxa"/>
            <w:right w:w="0" w:type="dxa"/>
          </w:tblCellMar>
        </w:tblPrEx>
        <w:trPr>
          <w:trHeight w:val="1042" w:hRule="atLeast"/>
          <w:jc w:val="center"/>
        </w:trPr>
        <w:tc>
          <w:tcPr>
            <w:tcW w:w="971"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1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ascii="宋体" w:cs="宋体"/>
                <w:color w:val="000000"/>
                <w:sz w:val="24"/>
                <w:highlight w:val="yellow"/>
              </w:rPr>
            </w:pPr>
          </w:p>
        </w:tc>
      </w:tr>
      <w:tr>
        <w:tblPrEx>
          <w:tblCellMar>
            <w:top w:w="0" w:type="dxa"/>
            <w:left w:w="0" w:type="dxa"/>
            <w:bottom w:w="0" w:type="dxa"/>
            <w:right w:w="0" w:type="dxa"/>
          </w:tblCellMar>
        </w:tblPrEx>
        <w:trPr>
          <w:trHeight w:val="953" w:hRule="atLeast"/>
          <w:jc w:val="center"/>
        </w:trPr>
        <w:tc>
          <w:tcPr>
            <w:tcW w:w="97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1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 xml:space="preserve">      社会保险基金预算</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eastAsia="宋体" w:cs="宋体"/>
                <w:color w:val="000000"/>
                <w:sz w:val="24"/>
                <w:highlight w:val="yellow"/>
                <w:lang w:eastAsia="zh-CN"/>
              </w:rPr>
            </w:pP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eastAsia="宋体" w:cs="宋体"/>
                <w:color w:val="000000"/>
                <w:sz w:val="24"/>
                <w:highlight w:val="yellow"/>
                <w:lang w:val="en-US" w:eastAsia="zh-CN"/>
              </w:rPr>
            </w:pPr>
            <w:r>
              <w:rPr>
                <w:rFonts w:hint="eastAsia" w:ascii="宋体" w:hAnsi="宋体" w:eastAsia="宋体" w:cs="宋体"/>
                <w:i w:val="0"/>
                <w:iCs w:val="0"/>
                <w:color w:val="000000"/>
                <w:kern w:val="0"/>
                <w:sz w:val="20"/>
                <w:szCs w:val="20"/>
                <w:u w:val="none"/>
                <w:lang w:val="en-US" w:eastAsia="zh-CN" w:bidi="ar"/>
              </w:rPr>
              <w:t xml:space="preserve">      社会保险基金预算</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ascii="宋体" w:cs="宋体"/>
                <w:color w:val="000000"/>
                <w:sz w:val="24"/>
                <w:highlight w:val="yellow"/>
              </w:rPr>
            </w:pPr>
          </w:p>
        </w:tc>
      </w:tr>
      <w:tr>
        <w:tblPrEx>
          <w:tblCellMar>
            <w:top w:w="0" w:type="dxa"/>
            <w:left w:w="0" w:type="dxa"/>
            <w:bottom w:w="0" w:type="dxa"/>
            <w:right w:w="0" w:type="dxa"/>
          </w:tblCellMar>
        </w:tblPrEx>
        <w:trPr>
          <w:trHeight w:val="1297" w:hRule="atLeast"/>
          <w:jc w:val="center"/>
        </w:trPr>
        <w:tc>
          <w:tcPr>
            <w:tcW w:w="971"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p>
        </w:tc>
        <w:tc>
          <w:tcPr>
            <w:tcW w:w="40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全年预期目标</w:t>
            </w:r>
          </w:p>
        </w:tc>
        <w:tc>
          <w:tcPr>
            <w:tcW w:w="4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全年实际完成目标</w:t>
            </w:r>
          </w:p>
        </w:tc>
      </w:tr>
      <w:tr>
        <w:tblPrEx>
          <w:tblCellMar>
            <w:top w:w="0" w:type="dxa"/>
            <w:left w:w="0" w:type="dxa"/>
            <w:bottom w:w="0" w:type="dxa"/>
            <w:right w:w="0" w:type="dxa"/>
          </w:tblCellMar>
        </w:tblPrEx>
        <w:trPr>
          <w:trHeight w:val="1042" w:hRule="atLeast"/>
          <w:jc w:val="center"/>
        </w:trPr>
        <w:tc>
          <w:tcPr>
            <w:tcW w:w="97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40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通过道路维修、环境卫生整治、活动阵地改造等项目的实施，改善群众的生产生活条件，提高群众生活质量，完善农村基础设施，为进一步深化农村综合改革、统筹城乡发展探索新路径，农村公共服务能力得到有效提升。</w:t>
            </w:r>
          </w:p>
        </w:tc>
        <w:tc>
          <w:tcPr>
            <w:tcW w:w="4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通过项目的实施，基础设施得到改善，农村面貌焕然一新，农村产业大力发展，农民收入大幅增加，提高了群众生产生活及参与、决策村类各类事业的积极性。各村环境卫生得到了很大改善，提高了村民维护环境卫生意识，也提升了村民居住的舒适感、幸福感。通过道路维护，有效的解决了群众出行难的问题。通过对水利设施维护，确保了相关村组的人畜饮水项目持续、正常发挥作用。</w:t>
            </w:r>
          </w:p>
        </w:tc>
      </w:tr>
      <w:tr>
        <w:tblPrEx>
          <w:tblCellMar>
            <w:top w:w="0" w:type="dxa"/>
            <w:left w:w="0" w:type="dxa"/>
            <w:bottom w:w="0" w:type="dxa"/>
            <w:right w:w="0" w:type="dxa"/>
          </w:tblCellMar>
        </w:tblPrEx>
        <w:trPr>
          <w:trHeight w:val="1042" w:hRule="atLeast"/>
          <w:jc w:val="center"/>
        </w:trPr>
        <w:tc>
          <w:tcPr>
            <w:tcW w:w="971"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绩效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highlight w:val="yellow"/>
              </w:rPr>
            </w:pPr>
            <w:r>
              <w:rPr>
                <w:rFonts w:hint="eastAsia" w:ascii="宋体" w:hAnsi="宋体" w:eastAsia="宋体" w:cs="宋体"/>
                <w:i w:val="0"/>
                <w:iCs w:val="0"/>
                <w:color w:val="000000"/>
                <w:kern w:val="0"/>
                <w:sz w:val="20"/>
                <w:szCs w:val="20"/>
                <w:u w:val="none"/>
                <w:lang w:val="en-US" w:eastAsia="zh-CN" w:bidi="ar"/>
              </w:rPr>
              <w:t>一级指标</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二级指标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三级指标</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全年预期指标值                        （包含数字及文字描述）</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全年实际完成指标值                           （包含数字及文字描述）</w:t>
            </w:r>
          </w:p>
        </w:tc>
      </w:tr>
      <w:tr>
        <w:tblPrEx>
          <w:tblCellMar>
            <w:top w:w="0" w:type="dxa"/>
            <w:left w:w="0" w:type="dxa"/>
            <w:bottom w:w="0" w:type="dxa"/>
            <w:right w:w="0" w:type="dxa"/>
          </w:tblCellMar>
        </w:tblPrEx>
        <w:trPr>
          <w:trHeight w:val="1042" w:hRule="atLeast"/>
          <w:jc w:val="center"/>
        </w:trPr>
        <w:tc>
          <w:tcPr>
            <w:tcW w:w="97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8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项目完成指标</w:t>
            </w: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指标1：道路维修项目</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21个道路维护项目，其中：浆砌堡坎695.2立方米；道路维修312.2立方米。</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21个道路维护项目已完成。</w:t>
            </w:r>
          </w:p>
        </w:tc>
      </w:tr>
      <w:tr>
        <w:tblPrEx>
          <w:tblCellMar>
            <w:top w:w="0" w:type="dxa"/>
            <w:left w:w="0" w:type="dxa"/>
            <w:bottom w:w="0" w:type="dxa"/>
            <w:right w:w="0" w:type="dxa"/>
          </w:tblCellMar>
        </w:tblPrEx>
        <w:trPr>
          <w:trHeight w:val="1297" w:hRule="atLeast"/>
          <w:jc w:val="center"/>
        </w:trPr>
        <w:tc>
          <w:tcPr>
            <w:tcW w:w="97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eastAsia="宋体" w:cs="宋体"/>
                <w:color w:val="000000"/>
                <w:sz w:val="24"/>
                <w:highlight w:val="yellow"/>
                <w:lang w:eastAsia="zh-CN"/>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指标2：环境卫生项目</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12个环境卫生项目，包括垃圾清理、垃圾房修建等。</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12个环境卫生项目已完成。</w:t>
            </w:r>
          </w:p>
        </w:tc>
      </w:tr>
      <w:tr>
        <w:tblPrEx>
          <w:tblCellMar>
            <w:top w:w="0" w:type="dxa"/>
            <w:left w:w="0" w:type="dxa"/>
            <w:bottom w:w="0" w:type="dxa"/>
            <w:right w:w="0" w:type="dxa"/>
          </w:tblCellMar>
        </w:tblPrEx>
        <w:trPr>
          <w:trHeight w:val="1050" w:hRule="atLeast"/>
          <w:jc w:val="center"/>
        </w:trPr>
        <w:tc>
          <w:tcPr>
            <w:tcW w:w="97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ascii="宋体" w:cs="宋体"/>
                <w:color w:val="000000"/>
                <w:sz w:val="24"/>
                <w:highlight w:val="yellow"/>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eastAsia="宋体" w:cs="宋体"/>
                <w:color w:val="000000"/>
                <w:sz w:val="24"/>
                <w:highlight w:val="yellow"/>
                <w:lang w:val="en-US" w:eastAsia="zh-CN"/>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指标3：集中供水水井维修项目</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highlight w:val="yellow"/>
                <w:lang w:eastAsia="zh-CN"/>
              </w:rPr>
            </w:pPr>
            <w:r>
              <w:rPr>
                <w:rFonts w:hint="eastAsia" w:ascii="宋体" w:hAnsi="宋体" w:eastAsia="宋体" w:cs="宋体"/>
                <w:i w:val="0"/>
                <w:iCs w:val="0"/>
                <w:color w:val="000000"/>
                <w:kern w:val="0"/>
                <w:sz w:val="20"/>
                <w:szCs w:val="20"/>
                <w:u w:val="none"/>
                <w:lang w:val="en-US" w:eastAsia="zh-CN" w:bidi="ar"/>
              </w:rPr>
              <w:t>1个集中供水水井维修项目</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cs="宋体"/>
                <w:color w:val="000000"/>
                <w:sz w:val="24"/>
                <w:highlight w:val="yellow"/>
              </w:rPr>
            </w:pPr>
            <w:r>
              <w:rPr>
                <w:rFonts w:hint="eastAsia" w:ascii="宋体" w:hAnsi="宋体" w:eastAsia="宋体" w:cs="宋体"/>
                <w:i w:val="0"/>
                <w:iCs w:val="0"/>
                <w:color w:val="000000"/>
                <w:kern w:val="0"/>
                <w:sz w:val="20"/>
                <w:szCs w:val="20"/>
                <w:u w:val="none"/>
                <w:lang w:val="en-US" w:eastAsia="zh-CN" w:bidi="ar"/>
              </w:rPr>
              <w:t>1个集中供水水井维修项目已完成。</w:t>
            </w:r>
          </w:p>
        </w:tc>
      </w:tr>
    </w:tbl>
    <w:p>
      <w:pPr>
        <w:spacing w:line="580" w:lineRule="exact"/>
        <w:rPr>
          <w:rFonts w:ascii="仿宋_GB2312" w:hAnsi="仿宋_GB2312" w:eastAsia="仿宋_GB2312" w:cs="仿宋_GB2312"/>
          <w:sz w:val="32"/>
          <w:szCs w:val="32"/>
          <w:highlight w:val="yellow"/>
        </w:rPr>
      </w:pPr>
    </w:p>
    <w:p>
      <w:pPr>
        <w:spacing w:line="580" w:lineRule="exact"/>
        <w:ind w:left="630"/>
        <w:rPr>
          <w:rFonts w:ascii="仿宋_GB2312" w:hAnsi="仿宋_GB2312" w:eastAsia="仿宋_GB2312" w:cs="仿宋_GB2312"/>
          <w:sz w:val="32"/>
          <w:szCs w:val="32"/>
          <w:highlight w:val="none"/>
        </w:rPr>
      </w:pPr>
      <w:r>
        <w:rPr>
          <w:rFonts w:ascii="楷体_GB2312" w:hAnsi="楷体_GB2312" w:eastAsia="楷体_GB2312" w:cs="楷体_GB2312"/>
          <w:sz w:val="32"/>
          <w:szCs w:val="32"/>
          <w:highlight w:val="none"/>
        </w:rPr>
        <w:t>2.</w:t>
      </w:r>
      <w:r>
        <w:rPr>
          <w:rFonts w:hint="eastAsia" w:ascii="楷体_GB2312" w:hAnsi="楷体_GB2312" w:eastAsia="楷体_GB2312" w:cs="楷体_GB2312"/>
          <w:sz w:val="32"/>
          <w:szCs w:val="32"/>
          <w:highlight w:val="none"/>
        </w:rPr>
        <w:t>部门绩效评价结果。</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区曾家镇</w:t>
      </w:r>
      <w:r>
        <w:rPr>
          <w:rFonts w:hint="eastAsia" w:ascii="仿宋_GB2312" w:hAnsi="仿宋_GB2312" w:eastAsia="仿宋_GB2312" w:cs="仿宋_GB2312"/>
          <w:sz w:val="32"/>
          <w:szCs w:val="32"/>
          <w:highlight w:val="none"/>
        </w:rPr>
        <w:t>按要求对</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年部门整体支出绩效评价情况开展自评，《</w:t>
      </w:r>
      <w:r>
        <w:rPr>
          <w:rFonts w:hint="eastAsia" w:ascii="仿宋_GB2312" w:hAnsi="仿宋_GB2312" w:eastAsia="仿宋_GB2312" w:cs="仿宋_GB2312"/>
          <w:sz w:val="32"/>
          <w:szCs w:val="32"/>
          <w:highlight w:val="none"/>
          <w:lang w:eastAsia="zh-CN"/>
        </w:rPr>
        <w:t>曾家镇</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年部门整体支出绩效评价报告》见附件（附件</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区曾家镇</w:t>
      </w:r>
      <w:r>
        <w:rPr>
          <w:rFonts w:hint="eastAsia" w:ascii="仿宋_GB2312" w:hAnsi="仿宋_GB2312" w:eastAsia="仿宋_GB2312" w:cs="仿宋_GB2312"/>
          <w:sz w:val="32"/>
          <w:szCs w:val="32"/>
          <w:highlight w:val="none"/>
        </w:rPr>
        <w:t>自行组织对</w:t>
      </w:r>
      <w:r>
        <w:rPr>
          <w:rFonts w:hint="eastAsia" w:ascii="仿宋_GB2312" w:hAnsi="仿宋_GB2312" w:eastAsia="仿宋_GB2312" w:cs="仿宋_GB2312"/>
          <w:sz w:val="32"/>
          <w:szCs w:val="32"/>
          <w:highlight w:val="none"/>
          <w:lang w:eastAsia="zh-CN"/>
        </w:rPr>
        <w:t>农村</w:t>
      </w:r>
      <w:r>
        <w:rPr>
          <w:rFonts w:hint="eastAsia" w:ascii="仿宋" w:hAnsi="仿宋" w:eastAsia="仿宋" w:cs="仿宋"/>
          <w:b w:val="0"/>
          <w:bCs/>
          <w:color w:val="000000"/>
          <w:sz w:val="32"/>
          <w:szCs w:val="32"/>
          <w:highlight w:val="none"/>
          <w:lang w:eastAsia="zh-CN"/>
        </w:rPr>
        <w:t>公共服务运行维护</w:t>
      </w:r>
      <w:r>
        <w:rPr>
          <w:rFonts w:hint="eastAsia" w:ascii="仿宋_GB2312" w:hAnsi="仿宋_GB2312" w:eastAsia="仿宋_GB2312" w:cs="仿宋_GB2312"/>
          <w:sz w:val="32"/>
          <w:szCs w:val="32"/>
          <w:highlight w:val="none"/>
        </w:rPr>
        <w:t>项目开展了绩效评价，《</w:t>
      </w:r>
      <w:r>
        <w:rPr>
          <w:rFonts w:hint="eastAsia" w:ascii="仿宋_GB2312" w:hAnsi="仿宋_GB2312" w:eastAsia="仿宋_GB2312" w:cs="仿宋_GB2312"/>
          <w:sz w:val="32"/>
          <w:szCs w:val="32"/>
          <w:highlight w:val="none"/>
          <w:lang w:eastAsia="zh-CN"/>
        </w:rPr>
        <w:t>农村</w:t>
      </w:r>
      <w:r>
        <w:rPr>
          <w:rFonts w:hint="eastAsia" w:ascii="仿宋" w:hAnsi="仿宋" w:eastAsia="仿宋" w:cs="仿宋"/>
          <w:b w:val="0"/>
          <w:bCs/>
          <w:color w:val="000000"/>
          <w:sz w:val="32"/>
          <w:szCs w:val="32"/>
          <w:highlight w:val="none"/>
          <w:lang w:eastAsia="zh-CN"/>
        </w:rPr>
        <w:t>公共服务运行</w:t>
      </w:r>
      <w:r>
        <w:rPr>
          <w:rFonts w:hint="eastAsia" w:ascii="仿宋_GB2312" w:hAnsi="仿宋_GB2312" w:eastAsia="仿宋_GB2312" w:cs="仿宋_GB2312"/>
          <w:sz w:val="32"/>
          <w:szCs w:val="32"/>
          <w:highlight w:val="none"/>
        </w:rPr>
        <w:t>项目</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年绩效评价报告》见附件（附件</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p>
    <w:p>
      <w:pPr>
        <w:pStyle w:val="8"/>
        <w:rPr>
          <w:highlight w:val="yellow"/>
        </w:rPr>
      </w:pPr>
    </w:p>
    <w:p>
      <w:pPr>
        <w:widowControl/>
        <w:jc w:val="center"/>
        <w:rPr>
          <w:rStyle w:val="25"/>
          <w:rFonts w:ascii="黑体" w:hAnsi="黑体" w:eastAsia="黑体"/>
          <w:b w:val="0"/>
          <w:highlight w:val="none"/>
        </w:rPr>
      </w:pPr>
      <w:bookmarkStart w:id="50" w:name="_Toc15396613"/>
      <w:bookmarkStart w:id="51" w:name="_Toc15377225"/>
      <w:r>
        <w:rPr>
          <w:rFonts w:hint="eastAsia" w:ascii="黑体" w:hAnsi="黑体" w:eastAsia="黑体"/>
          <w:color w:val="000000"/>
          <w:sz w:val="44"/>
          <w:szCs w:val="44"/>
          <w:highlight w:val="none"/>
          <w:lang w:eastAsia="zh-CN"/>
        </w:rPr>
        <w:t>第三部分</w:t>
      </w:r>
      <w:r>
        <w:rPr>
          <w:rFonts w:hint="eastAsia" w:ascii="黑体" w:hAnsi="黑体" w:eastAsia="黑体"/>
          <w:color w:val="000000"/>
          <w:sz w:val="44"/>
          <w:szCs w:val="44"/>
          <w:highlight w:val="none"/>
          <w:lang w:val="en-US" w:eastAsia="zh-CN"/>
        </w:rPr>
        <w:t xml:space="preserve"> </w:t>
      </w:r>
      <w:r>
        <w:rPr>
          <w:rFonts w:hint="eastAsia" w:ascii="黑体" w:hAnsi="黑体" w:eastAsia="黑体"/>
          <w:color w:val="000000"/>
          <w:sz w:val="44"/>
          <w:szCs w:val="44"/>
          <w:highlight w:val="none"/>
        </w:rPr>
        <w:t>名</w:t>
      </w:r>
      <w:r>
        <w:rPr>
          <w:rStyle w:val="25"/>
          <w:rFonts w:hint="eastAsia" w:ascii="黑体" w:hAnsi="黑体" w:eastAsia="黑体"/>
          <w:b w:val="0"/>
          <w:highlight w:val="none"/>
        </w:rPr>
        <w:t>词解释</w:t>
      </w:r>
      <w:bookmarkEnd w:id="50"/>
      <w:bookmarkEnd w:id="51"/>
    </w:p>
    <w:p>
      <w:pPr>
        <w:spacing w:line="600" w:lineRule="exact"/>
        <w:jc w:val="left"/>
        <w:rPr>
          <w:rFonts w:ascii="宋体"/>
          <w:b/>
          <w:color w:val="000000"/>
          <w:sz w:val="44"/>
          <w:szCs w:val="44"/>
          <w:highlight w:val="none"/>
        </w:rPr>
      </w:pPr>
    </w:p>
    <w:p>
      <w:pPr>
        <w:pStyle w:val="38"/>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财政拨款收入：指单位从同级财政部门取得的财政预算资金。</w:t>
      </w:r>
    </w:p>
    <w:p>
      <w:pPr>
        <w:pStyle w:val="38"/>
        <w:spacing w:line="560" w:lineRule="exact"/>
        <w:ind w:firstLine="640" w:firstLineChars="200"/>
        <w:rPr>
          <w:rFonts w:hint="eastAsia" w:ascii="仿宋" w:hAnsi="仿宋" w:eastAsia="仿宋" w:cs="仿宋"/>
          <w:kern w:val="2"/>
          <w:sz w:val="32"/>
          <w:szCs w:val="32"/>
          <w:highlight w:val="none"/>
          <w:lang w:val="en-US" w:eastAsia="zh-CN" w:bidi="ar-SA"/>
        </w:rPr>
      </w:pPr>
      <w:r>
        <w:rPr>
          <w:rFonts w:ascii="仿宋_GB2312" w:eastAsia="仿宋_GB2312"/>
          <w:sz w:val="32"/>
          <w:szCs w:val="32"/>
          <w:highlight w:val="none"/>
        </w:rPr>
        <w:t>2.</w:t>
      </w:r>
      <w:r>
        <w:rPr>
          <w:rFonts w:hint="eastAsia" w:ascii="仿宋_GB2312" w:eastAsia="仿宋_GB2312"/>
          <w:sz w:val="32"/>
          <w:szCs w:val="32"/>
          <w:highlight w:val="none"/>
        </w:rPr>
        <w:t>其他收入：</w:t>
      </w:r>
      <w:r>
        <w:rPr>
          <w:rFonts w:hint="eastAsia" w:ascii="仿宋" w:hAnsi="仿宋" w:eastAsia="仿宋" w:cs="仿宋"/>
          <w:kern w:val="2"/>
          <w:sz w:val="32"/>
          <w:szCs w:val="32"/>
          <w:highlight w:val="none"/>
          <w:lang w:val="en-US" w:eastAsia="zh-CN" w:bidi="ar-SA"/>
        </w:rPr>
        <w:t>指单位取得的除上述收入以外的各项收入。主要是利息收入。</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color w:val="000000"/>
          <w:sz w:val="32"/>
          <w:szCs w:val="32"/>
          <w:highlight w:val="none"/>
        </w:rPr>
        <w:t>3.一般公共服务（201）：</w:t>
      </w:r>
      <w:r>
        <w:rPr>
          <w:rFonts w:hint="eastAsia" w:ascii="仿宋" w:hAnsi="仿宋" w:eastAsia="仿宋" w:cs="仿宋"/>
          <w:b w:val="0"/>
          <w:bCs w:val="0"/>
          <w:kern w:val="2"/>
          <w:sz w:val="32"/>
          <w:szCs w:val="32"/>
          <w:highlight w:val="none"/>
          <w:lang w:val="en-US" w:eastAsia="zh-CN" w:bidi="ar-SA"/>
        </w:rPr>
        <w:t>反映政府提供一般公共服务的支出，其中：</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color w:val="000000"/>
          <w:sz w:val="32"/>
          <w:szCs w:val="32"/>
          <w:highlight w:val="none"/>
        </w:rPr>
      </w:pPr>
      <w:r>
        <w:rPr>
          <w:rFonts w:hint="eastAsia" w:ascii="仿宋" w:hAnsi="仿宋" w:eastAsia="仿宋" w:cs="仿宋"/>
          <w:b w:val="0"/>
          <w:bCs w:val="0"/>
          <w:kern w:val="2"/>
          <w:sz w:val="32"/>
          <w:szCs w:val="32"/>
          <w:highlight w:val="none"/>
          <w:lang w:val="en-US" w:eastAsia="zh-CN" w:bidi="ar-SA"/>
        </w:rPr>
        <w:t>行政运行</w:t>
      </w:r>
      <w:r>
        <w:rPr>
          <w:rFonts w:hint="eastAsia" w:ascii="仿宋" w:hAnsi="仿宋" w:eastAsia="仿宋" w:cs="仿宋"/>
          <w:b w:val="0"/>
          <w:bCs w:val="0"/>
          <w:color w:val="000000"/>
          <w:sz w:val="32"/>
          <w:szCs w:val="32"/>
          <w:highlight w:val="none"/>
        </w:rPr>
        <w:t>（2010301）：</w:t>
      </w:r>
      <w:r>
        <w:rPr>
          <w:rFonts w:hint="eastAsia" w:ascii="仿宋" w:hAnsi="仿宋" w:eastAsia="仿宋" w:cs="仿宋"/>
          <w:b w:val="0"/>
          <w:bCs w:val="0"/>
          <w:kern w:val="2"/>
          <w:sz w:val="32"/>
          <w:szCs w:val="32"/>
          <w:highlight w:val="none"/>
          <w:lang w:val="en-US" w:eastAsia="zh-CN" w:bidi="ar-SA"/>
        </w:rPr>
        <w:t>指反映行政单位（包括实行公务员管理的事业单位）的基本支出。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一般行政管理事务</w:t>
      </w:r>
      <w:r>
        <w:rPr>
          <w:rFonts w:hint="eastAsia" w:ascii="仿宋" w:hAnsi="仿宋" w:eastAsia="仿宋" w:cs="仿宋"/>
          <w:b w:val="0"/>
          <w:bCs w:val="0"/>
          <w:color w:val="000000"/>
          <w:sz w:val="32"/>
          <w:szCs w:val="32"/>
          <w:highlight w:val="none"/>
        </w:rPr>
        <w:t>（2010302）：</w:t>
      </w:r>
      <w:r>
        <w:rPr>
          <w:rFonts w:hint="eastAsia" w:ascii="仿宋" w:hAnsi="仿宋" w:eastAsia="仿宋" w:cs="仿宋"/>
          <w:b w:val="0"/>
          <w:bCs w:val="0"/>
          <w:kern w:val="2"/>
          <w:sz w:val="32"/>
          <w:szCs w:val="32"/>
          <w:highlight w:val="none"/>
          <w:lang w:val="en-US" w:eastAsia="zh-CN" w:bidi="ar-SA"/>
        </w:rPr>
        <w:t>指反映行政单位（包括实行公务员管理的事业单位）未单独设置项级科目的其他项目支出。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rPr>
        <w:t>4.社会保障和就业（208）：</w:t>
      </w:r>
      <w:r>
        <w:rPr>
          <w:rFonts w:hint="eastAsia" w:ascii="仿宋" w:hAnsi="仿宋" w:eastAsia="仿宋" w:cs="仿宋"/>
          <w:b w:val="0"/>
          <w:bCs w:val="0"/>
          <w:kern w:val="2"/>
          <w:sz w:val="32"/>
          <w:szCs w:val="32"/>
          <w:highlight w:val="none"/>
          <w:lang w:val="en-US" w:eastAsia="zh-CN" w:bidi="ar-SA"/>
        </w:rPr>
        <w:t>指反映政府在社会保障与就业方面的支出，其中：</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机关事业单位基本养老保险费支出</w:t>
      </w:r>
      <w:r>
        <w:rPr>
          <w:rFonts w:hint="eastAsia" w:ascii="仿宋" w:hAnsi="仿宋" w:eastAsia="仿宋" w:cs="仿宋"/>
          <w:b w:val="0"/>
          <w:bCs w:val="0"/>
          <w:color w:val="000000"/>
          <w:sz w:val="32"/>
          <w:szCs w:val="32"/>
          <w:highlight w:val="none"/>
        </w:rPr>
        <w:t>（2080505）：</w:t>
      </w:r>
      <w:r>
        <w:rPr>
          <w:rFonts w:hint="eastAsia" w:ascii="仿宋" w:hAnsi="仿宋" w:eastAsia="仿宋" w:cs="仿宋"/>
          <w:b w:val="0"/>
          <w:bCs w:val="0"/>
          <w:kern w:val="2"/>
          <w:sz w:val="32"/>
          <w:szCs w:val="32"/>
          <w:highlight w:val="none"/>
          <w:lang w:val="en-US" w:eastAsia="zh-CN" w:bidi="ar-SA"/>
        </w:rPr>
        <w:t>指反映机关事业单位实施养老保险制度由单位缴纳的基本养老保险费支出。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rPr>
        <w:t>5.卫生健康支出（210）：</w:t>
      </w:r>
      <w:r>
        <w:rPr>
          <w:rFonts w:hint="eastAsia" w:ascii="仿宋" w:hAnsi="仿宋" w:eastAsia="仿宋" w:cs="仿宋"/>
          <w:b w:val="0"/>
          <w:bCs w:val="0"/>
          <w:kern w:val="2"/>
          <w:sz w:val="32"/>
          <w:szCs w:val="32"/>
          <w:highlight w:val="none"/>
          <w:lang w:val="en-US" w:eastAsia="zh-CN" w:bidi="ar-SA"/>
        </w:rPr>
        <w:t>指反映政府卫生健康方面的支出，其中：</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行政单位医疗</w:t>
      </w:r>
      <w:r>
        <w:rPr>
          <w:rFonts w:hint="eastAsia" w:ascii="仿宋" w:hAnsi="仿宋" w:eastAsia="仿宋" w:cs="仿宋"/>
          <w:b w:val="0"/>
          <w:bCs w:val="0"/>
          <w:color w:val="000000"/>
          <w:sz w:val="32"/>
          <w:szCs w:val="32"/>
          <w:highlight w:val="none"/>
        </w:rPr>
        <w:t>（2101101）：</w:t>
      </w:r>
      <w:r>
        <w:rPr>
          <w:rFonts w:hint="eastAsia" w:ascii="仿宋" w:hAnsi="仿宋" w:eastAsia="仿宋" w:cs="仿宋"/>
          <w:b w:val="0"/>
          <w:bCs w:val="0"/>
          <w:kern w:val="2"/>
          <w:sz w:val="32"/>
          <w:szCs w:val="32"/>
          <w:highlight w:val="none"/>
          <w:lang w:val="en-US" w:eastAsia="zh-CN" w:bidi="ar-SA"/>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kern w:val="2"/>
          <w:sz w:val="32"/>
          <w:szCs w:val="32"/>
          <w:highlight w:val="none"/>
        </w:rPr>
        <w:t>6.农林水支出（213）：</w:t>
      </w:r>
      <w:r>
        <w:rPr>
          <w:rFonts w:hint="eastAsia" w:ascii="仿宋" w:hAnsi="仿宋" w:eastAsia="仿宋" w:cs="仿宋"/>
          <w:b w:val="0"/>
          <w:bCs w:val="0"/>
          <w:kern w:val="2"/>
          <w:sz w:val="32"/>
          <w:szCs w:val="32"/>
          <w:highlight w:val="none"/>
          <w:lang w:val="en-US" w:eastAsia="zh-CN" w:bidi="ar-SA"/>
        </w:rPr>
        <w:t>指反映政府农林水事务支出。</w:t>
      </w:r>
    </w:p>
    <w:p>
      <w:pPr>
        <w:ind w:firstLine="640" w:firstLineChars="200"/>
        <w:jc w:val="left"/>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color w:val="000000"/>
          <w:sz w:val="32"/>
          <w:szCs w:val="32"/>
          <w:highlight w:val="none"/>
        </w:rPr>
        <w:t>7.住房保障（221）：</w:t>
      </w:r>
      <w:r>
        <w:rPr>
          <w:rFonts w:hint="eastAsia" w:ascii="仿宋" w:hAnsi="仿宋" w:eastAsia="仿宋" w:cs="仿宋"/>
          <w:b w:val="0"/>
          <w:bCs w:val="0"/>
          <w:kern w:val="2"/>
          <w:sz w:val="32"/>
          <w:szCs w:val="32"/>
          <w:highlight w:val="none"/>
          <w:lang w:val="en-US" w:eastAsia="zh-CN" w:bidi="ar-SA"/>
        </w:rPr>
        <w:t>指集中反映政府用于住房方面的支出。</w:t>
      </w:r>
    </w:p>
    <w:p>
      <w:pPr>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住房公积金</w:t>
      </w:r>
      <w:r>
        <w:rPr>
          <w:rFonts w:hint="eastAsia" w:ascii="仿宋" w:hAnsi="仿宋" w:eastAsia="仿宋" w:cs="仿宋"/>
          <w:b w:val="0"/>
          <w:bCs w:val="0"/>
          <w:color w:val="000000"/>
          <w:sz w:val="32"/>
          <w:szCs w:val="32"/>
          <w:highlight w:val="none"/>
        </w:rPr>
        <w:t>（2210201）：</w:t>
      </w:r>
      <w:r>
        <w:rPr>
          <w:rFonts w:hint="eastAsia" w:ascii="仿宋" w:hAnsi="仿宋" w:eastAsia="仿宋" w:cs="仿宋"/>
          <w:b w:val="0"/>
          <w:bCs w:val="0"/>
          <w:kern w:val="2"/>
          <w:sz w:val="32"/>
          <w:szCs w:val="32"/>
          <w:highlight w:val="none"/>
          <w:lang w:val="en-US" w:eastAsia="zh-CN" w:bidi="ar-SA"/>
        </w:rPr>
        <w:t>指反映行政事业单位按人力资源和社会保障部、财政部规定的基本工资和津贴补贴以及规定比例为职工缴纳的住房公积金。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color w:val="000000"/>
          <w:sz w:val="32"/>
          <w:szCs w:val="32"/>
          <w:highlight w:val="none"/>
        </w:rPr>
        <w:t>8.基本支出：</w:t>
      </w:r>
      <w:r>
        <w:rPr>
          <w:rFonts w:hint="eastAsia" w:ascii="仿宋" w:hAnsi="仿宋" w:eastAsia="仿宋" w:cs="仿宋"/>
          <w:b w:val="0"/>
          <w:bCs w:val="0"/>
          <w:kern w:val="2"/>
          <w:sz w:val="32"/>
          <w:szCs w:val="32"/>
          <w:highlight w:val="none"/>
          <w:lang w:val="en-US" w:eastAsia="zh-CN" w:bidi="ar-SA"/>
        </w:rPr>
        <w:t>指为保障机构正常运转、完成日常工作任务而发生的人员支出和公用支出。</w:t>
      </w:r>
    </w:p>
    <w:p>
      <w:pPr>
        <w:ind w:firstLine="640" w:firstLineChars="20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9.项目支出：</w:t>
      </w:r>
      <w:r>
        <w:rPr>
          <w:rFonts w:hint="eastAsia" w:ascii="仿宋" w:hAnsi="仿宋" w:eastAsia="仿宋" w:cs="仿宋"/>
          <w:b w:val="0"/>
          <w:bCs w:val="0"/>
          <w:kern w:val="2"/>
          <w:sz w:val="32"/>
          <w:szCs w:val="32"/>
          <w:highlight w:val="none"/>
          <w:lang w:val="en-US" w:eastAsia="zh-CN" w:bidi="ar-SA"/>
        </w:rPr>
        <w:t>指在基本支出之外为完成特定行政任务和事业发展目标所发生的支出。</w:t>
      </w:r>
      <w:r>
        <w:rPr>
          <w:rFonts w:hint="eastAsia" w:ascii="仿宋" w:hAnsi="仿宋" w:eastAsia="仿宋" w:cs="仿宋"/>
          <w:b w:val="0"/>
          <w:bCs w:val="0"/>
          <w:color w:val="000000"/>
          <w:sz w:val="32"/>
          <w:szCs w:val="32"/>
          <w:highlight w:val="none"/>
        </w:rPr>
        <w:t xml:space="preserve"> </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rPr>
        <w:t>10.“三公”经费：</w:t>
      </w:r>
      <w:r>
        <w:rPr>
          <w:rFonts w:hint="eastAsia" w:ascii="仿宋" w:hAnsi="仿宋" w:eastAsia="仿宋" w:cs="仿宋"/>
          <w:b w:val="0"/>
          <w:bCs w:val="0"/>
          <w:kern w:val="2"/>
          <w:sz w:val="32"/>
          <w:szCs w:val="32"/>
          <w:highlight w:val="none"/>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rPr>
        <w:t>11.机关运行经费：</w:t>
      </w:r>
      <w:r>
        <w:rPr>
          <w:rFonts w:hint="eastAsia" w:ascii="仿宋" w:hAnsi="仿宋" w:eastAsia="仿宋" w:cs="仿宋"/>
          <w:b w:val="0"/>
          <w:bCs w:val="0"/>
          <w:kern w:val="2"/>
          <w:sz w:val="32"/>
          <w:szCs w:val="32"/>
          <w:highlight w:val="none"/>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8"/>
        <w:spacing w:line="560" w:lineRule="exact"/>
        <w:rPr>
          <w:rFonts w:hint="eastAsia" w:ascii="仿宋" w:hAnsi="仿宋" w:eastAsia="仿宋" w:cs="仿宋"/>
          <w:kern w:val="2"/>
          <w:sz w:val="32"/>
          <w:szCs w:val="32"/>
          <w:highlight w:val="yellow"/>
          <w:lang w:val="en-US" w:eastAsia="zh-CN" w:bidi="ar-SA"/>
        </w:rPr>
      </w:pPr>
    </w:p>
    <w:p>
      <w:pPr>
        <w:pStyle w:val="38"/>
        <w:spacing w:line="560" w:lineRule="exact"/>
        <w:rPr>
          <w:rFonts w:hint="eastAsia" w:ascii="仿宋" w:hAnsi="仿宋" w:eastAsia="仿宋" w:cs="仿宋"/>
          <w:kern w:val="2"/>
          <w:sz w:val="32"/>
          <w:szCs w:val="32"/>
          <w:highlight w:val="yellow"/>
          <w:lang w:val="en-US" w:eastAsia="zh-CN" w:bidi="ar-SA"/>
        </w:rPr>
      </w:pPr>
    </w:p>
    <w:p>
      <w:pPr>
        <w:pStyle w:val="38"/>
        <w:spacing w:line="560" w:lineRule="exact"/>
        <w:rPr>
          <w:rFonts w:hint="eastAsia" w:ascii="仿宋" w:hAnsi="仿宋" w:eastAsia="仿宋" w:cs="仿宋"/>
          <w:kern w:val="2"/>
          <w:sz w:val="32"/>
          <w:szCs w:val="32"/>
          <w:highlight w:val="yellow"/>
          <w:lang w:val="en-US" w:eastAsia="zh-CN" w:bidi="ar-SA"/>
        </w:rPr>
      </w:pPr>
    </w:p>
    <w:p>
      <w:pPr>
        <w:pStyle w:val="38"/>
        <w:spacing w:line="560" w:lineRule="exact"/>
        <w:rPr>
          <w:rFonts w:hint="eastAsia" w:ascii="仿宋" w:hAnsi="仿宋" w:eastAsia="仿宋" w:cs="仿宋"/>
          <w:kern w:val="2"/>
          <w:sz w:val="32"/>
          <w:szCs w:val="32"/>
          <w:highlight w:val="yellow"/>
          <w:lang w:val="en-US" w:eastAsia="zh-CN" w:bidi="ar-SA"/>
        </w:rPr>
      </w:pPr>
    </w:p>
    <w:p>
      <w:pPr>
        <w:pStyle w:val="38"/>
        <w:spacing w:line="560" w:lineRule="exact"/>
        <w:rPr>
          <w:rFonts w:hint="eastAsia" w:ascii="仿宋" w:hAnsi="仿宋" w:eastAsia="仿宋" w:cs="仿宋"/>
          <w:kern w:val="2"/>
          <w:sz w:val="32"/>
          <w:szCs w:val="32"/>
          <w:highlight w:val="yellow"/>
          <w:lang w:val="en-US" w:eastAsia="zh-CN" w:bidi="ar-SA"/>
        </w:rPr>
      </w:pPr>
    </w:p>
    <w:p>
      <w:pPr>
        <w:pStyle w:val="38"/>
        <w:spacing w:line="560" w:lineRule="exact"/>
        <w:rPr>
          <w:rFonts w:hint="eastAsia" w:ascii="仿宋" w:hAnsi="仿宋" w:eastAsia="仿宋" w:cs="仿宋"/>
          <w:kern w:val="2"/>
          <w:sz w:val="32"/>
          <w:szCs w:val="32"/>
          <w:highlight w:val="yellow"/>
          <w:lang w:val="en-US" w:eastAsia="zh-CN" w:bidi="ar-SA"/>
        </w:rPr>
      </w:pPr>
    </w:p>
    <w:p>
      <w:pPr>
        <w:pStyle w:val="38"/>
        <w:spacing w:line="560" w:lineRule="exact"/>
        <w:rPr>
          <w:rFonts w:hint="eastAsia" w:ascii="仿宋" w:hAnsi="仿宋" w:eastAsia="仿宋" w:cs="仿宋"/>
          <w:kern w:val="2"/>
          <w:sz w:val="32"/>
          <w:szCs w:val="32"/>
          <w:highlight w:val="yellow"/>
          <w:lang w:val="en-US" w:eastAsia="zh-CN" w:bidi="ar-SA"/>
        </w:rPr>
      </w:pPr>
    </w:p>
    <w:p>
      <w:pPr>
        <w:pStyle w:val="38"/>
        <w:spacing w:line="560" w:lineRule="exact"/>
        <w:rPr>
          <w:rFonts w:hint="eastAsia" w:ascii="仿宋" w:hAnsi="仿宋" w:eastAsia="仿宋" w:cs="仿宋"/>
          <w:kern w:val="2"/>
          <w:sz w:val="32"/>
          <w:szCs w:val="32"/>
          <w:highlight w:val="yellow"/>
          <w:lang w:val="en-US" w:eastAsia="zh-CN" w:bidi="ar-SA"/>
        </w:rPr>
      </w:pPr>
    </w:p>
    <w:p>
      <w:pPr>
        <w:spacing w:line="600" w:lineRule="exact"/>
        <w:jc w:val="center"/>
        <w:outlineLvl w:val="0"/>
        <w:rPr>
          <w:rStyle w:val="25"/>
          <w:rFonts w:ascii="黑体" w:hAnsi="黑体" w:eastAsia="黑体"/>
          <w:b w:val="0"/>
          <w:highlight w:val="none"/>
        </w:rPr>
      </w:pPr>
      <w:bookmarkStart w:id="52" w:name="_Toc15396614"/>
      <w:bookmarkStart w:id="53" w:name="_Toc15377226"/>
      <w:r>
        <w:rPr>
          <w:rFonts w:hint="eastAsia" w:ascii="黑体" w:hAnsi="黑体" w:eastAsia="黑体"/>
          <w:color w:val="000000"/>
          <w:sz w:val="44"/>
          <w:szCs w:val="44"/>
          <w:highlight w:val="none"/>
        </w:rPr>
        <w:t>第</w:t>
      </w:r>
      <w:r>
        <w:rPr>
          <w:rStyle w:val="25"/>
          <w:rFonts w:hint="eastAsia" w:ascii="黑体" w:hAnsi="黑体" w:eastAsia="黑体"/>
          <w:b w:val="0"/>
          <w:highlight w:val="none"/>
        </w:rPr>
        <w:t>四部分</w:t>
      </w:r>
      <w:r>
        <w:rPr>
          <w:rStyle w:val="25"/>
          <w:rFonts w:ascii="黑体" w:hAnsi="黑体" w:eastAsia="黑体"/>
          <w:b w:val="0"/>
          <w:highlight w:val="none"/>
        </w:rPr>
        <w:t xml:space="preserve"> </w:t>
      </w:r>
      <w:r>
        <w:rPr>
          <w:rStyle w:val="25"/>
          <w:rFonts w:hint="eastAsia" w:ascii="黑体" w:hAnsi="黑体" w:eastAsia="黑体"/>
          <w:b w:val="0"/>
          <w:highlight w:val="none"/>
        </w:rPr>
        <w:t>附件</w:t>
      </w:r>
      <w:bookmarkEnd w:id="52"/>
    </w:p>
    <w:p>
      <w:pPr>
        <w:spacing w:line="600" w:lineRule="exact"/>
        <w:jc w:val="left"/>
        <w:outlineLvl w:val="0"/>
        <w:rPr>
          <w:rFonts w:ascii="方正小标宋简体" w:hAnsi="方正小标宋简体" w:eastAsia="方正小标宋简体" w:cs="方正小标宋简体"/>
          <w:sz w:val="32"/>
          <w:szCs w:val="32"/>
          <w:highlight w:val="none"/>
        </w:rPr>
      </w:pPr>
      <w:r>
        <w:rPr>
          <w:rFonts w:hint="eastAsia" w:ascii="黑体" w:hAnsi="黑体" w:eastAsia="黑体" w:cs="黑体"/>
          <w:sz w:val="32"/>
          <w:szCs w:val="32"/>
          <w:highlight w:val="none"/>
        </w:rPr>
        <w:t>附件</w:t>
      </w:r>
      <w:r>
        <w:rPr>
          <w:rFonts w:ascii="黑体" w:hAnsi="黑体" w:eastAsia="黑体" w:cs="黑体"/>
          <w:sz w:val="32"/>
          <w:szCs w:val="32"/>
          <w:highlight w:val="none"/>
        </w:rPr>
        <w:t>1</w:t>
      </w:r>
    </w:p>
    <w:p>
      <w:pPr>
        <w:spacing w:line="580" w:lineRule="exact"/>
        <w:jc w:val="center"/>
        <w:rPr>
          <w:rFonts w:ascii="方正小标宋简体" w:hAnsi="方正小标宋简体" w:eastAsia="方正小标宋简体" w:cs="方正小标宋简体"/>
          <w:sz w:val="44"/>
          <w:szCs w:val="44"/>
          <w:highlight w:val="yellow"/>
        </w:rPr>
      </w:pPr>
    </w:p>
    <w:p>
      <w:pPr>
        <w:spacing w:line="600" w:lineRule="exact"/>
        <w:jc w:val="center"/>
        <w:rPr>
          <w:rFonts w:hint="eastAsia" w:ascii="方正小标宋简体" w:hAnsi="宋体" w:eastAsia="方正小标宋简体"/>
          <w:color w:val="000000"/>
          <w:kern w:val="0"/>
          <w:sz w:val="40"/>
          <w:szCs w:val="44"/>
          <w:highlight w:val="none"/>
          <w:lang w:eastAsia="zh-CN"/>
        </w:rPr>
      </w:pPr>
      <w:r>
        <w:rPr>
          <w:rFonts w:hint="eastAsia" w:ascii="方正小标宋简体" w:hAnsi="宋体" w:eastAsia="方正小标宋简体"/>
          <w:color w:val="000000"/>
          <w:kern w:val="0"/>
          <w:sz w:val="40"/>
          <w:szCs w:val="44"/>
          <w:highlight w:val="none"/>
          <w:lang w:eastAsia="zh-CN"/>
        </w:rPr>
        <w:t>广元市朝天区曾家镇</w:t>
      </w:r>
    </w:p>
    <w:p>
      <w:pPr>
        <w:spacing w:line="600" w:lineRule="exact"/>
        <w:jc w:val="center"/>
        <w:rPr>
          <w:rFonts w:ascii="方正小标宋简体" w:hAnsi="宋体" w:eastAsia="方正小标宋简体"/>
          <w:color w:val="000000"/>
          <w:kern w:val="0"/>
          <w:sz w:val="40"/>
          <w:szCs w:val="44"/>
          <w:highlight w:val="none"/>
          <w:lang w:val="zh-CN"/>
        </w:rPr>
      </w:pPr>
      <w:r>
        <w:rPr>
          <w:rFonts w:ascii="方正小标宋简体" w:hAnsi="宋体" w:eastAsia="方正小标宋简体"/>
          <w:color w:val="000000"/>
          <w:kern w:val="0"/>
          <w:sz w:val="40"/>
          <w:szCs w:val="44"/>
          <w:highlight w:val="none"/>
        </w:rPr>
        <w:t>2020</w:t>
      </w:r>
      <w:r>
        <w:rPr>
          <w:rFonts w:hint="eastAsia" w:ascii="方正小标宋简体" w:hAnsi="宋体" w:eastAsia="方正小标宋简体"/>
          <w:color w:val="000000"/>
          <w:kern w:val="0"/>
          <w:sz w:val="40"/>
          <w:szCs w:val="44"/>
          <w:highlight w:val="none"/>
        </w:rPr>
        <w:t>年部门</w:t>
      </w:r>
      <w:r>
        <w:rPr>
          <w:rFonts w:hint="eastAsia" w:ascii="方正小标宋简体" w:hAnsi="宋体" w:eastAsia="方正小标宋简体"/>
          <w:color w:val="000000"/>
          <w:kern w:val="0"/>
          <w:sz w:val="40"/>
          <w:szCs w:val="44"/>
          <w:highlight w:val="none"/>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lang w:val="zh-CN"/>
        </w:rPr>
      </w:pPr>
      <w:r>
        <w:rPr>
          <w:rFonts w:hint="eastAsia" w:ascii="黑体" w:hAnsi="宋体" w:eastAsia="黑体" w:cs="宋体"/>
          <w:color w:val="000000"/>
          <w:kern w:val="0"/>
          <w:sz w:val="32"/>
          <w:szCs w:val="32"/>
          <w:highlight w:val="none"/>
          <w:shd w:val="clear" w:color="auto" w:fill="FFFFFF"/>
        </w:rPr>
        <w:t>一、</w:t>
      </w:r>
      <w:r>
        <w:rPr>
          <w:rFonts w:hint="eastAsia" w:ascii="黑体" w:hAnsi="宋体" w:eastAsia="黑体" w:cs="宋体"/>
          <w:color w:val="000000"/>
          <w:kern w:val="0"/>
          <w:sz w:val="32"/>
          <w:szCs w:val="32"/>
          <w:highlight w:val="none"/>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b w:val="0"/>
          <w:bCs w:val="0"/>
          <w:color w:val="000000"/>
          <w:kern w:val="0"/>
          <w:sz w:val="32"/>
          <w:szCs w:val="32"/>
          <w:highlight w:val="none"/>
          <w:shd w:val="clear" w:color="auto" w:fill="FFFFFF"/>
          <w:lang w:val="zh-CN"/>
        </w:rPr>
      </w:pPr>
      <w:r>
        <w:rPr>
          <w:rFonts w:hint="eastAsia" w:ascii="仿宋_GB2312" w:hAnsi="宋体" w:eastAsia="仿宋_GB2312" w:cs="宋体"/>
          <w:b w:val="0"/>
          <w:bCs w:val="0"/>
          <w:color w:val="000000"/>
          <w:kern w:val="0"/>
          <w:sz w:val="32"/>
          <w:szCs w:val="32"/>
          <w:highlight w:val="none"/>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b w:val="0"/>
          <w:bCs w:val="0"/>
          <w:color w:val="000000"/>
          <w:kern w:val="0"/>
          <w:sz w:val="32"/>
          <w:szCs w:val="32"/>
          <w:highlight w:val="none"/>
          <w:shd w:val="clear" w:color="auto" w:fill="FFFFFF"/>
          <w:lang w:val="zh-CN"/>
        </w:rPr>
      </w:pPr>
      <w:r>
        <w:rPr>
          <w:rFonts w:hint="eastAsia" w:ascii="仿宋_GB2312" w:hAnsi="宋体" w:eastAsia="仿宋_GB2312" w:cs="宋体"/>
          <w:b w:val="0"/>
          <w:bCs w:val="0"/>
          <w:color w:val="000000"/>
          <w:kern w:val="0"/>
          <w:sz w:val="32"/>
          <w:szCs w:val="32"/>
          <w:highlight w:val="none"/>
          <w:shd w:val="clear" w:color="auto" w:fill="FFFFFF"/>
          <w:lang w:val="zh-CN"/>
        </w:rPr>
        <w:t>本单位隶属行政单位，执行行政会计制度，一级预算单位，决算汇编户数1个。</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机构职能。</w:t>
      </w:r>
    </w:p>
    <w:p>
      <w:pPr>
        <w:spacing w:line="560" w:lineRule="exact"/>
        <w:ind w:firstLine="646"/>
        <w:rPr>
          <w:rFonts w:ascii="仿宋" w:hAnsi="仿宋" w:eastAsia="仿宋"/>
          <w:sz w:val="32"/>
          <w:szCs w:val="32"/>
          <w:highlight w:val="none"/>
        </w:rPr>
      </w:pPr>
      <w:r>
        <w:rPr>
          <w:rFonts w:hint="eastAsia" w:ascii="仿宋_GB2312" w:hAnsi="宋体" w:eastAsia="仿宋_GB2312" w:cs="宋体"/>
          <w:color w:val="000000"/>
          <w:kern w:val="0"/>
          <w:sz w:val="32"/>
          <w:szCs w:val="32"/>
          <w:highlight w:val="none"/>
          <w:shd w:val="clear" w:color="auto" w:fill="FFFFFF"/>
          <w:lang w:val="en-US" w:eastAsia="zh-CN"/>
        </w:rPr>
        <w:t xml:space="preserve">  </w:t>
      </w:r>
      <w:r>
        <w:rPr>
          <w:rFonts w:ascii="仿宋" w:hAnsi="仿宋" w:eastAsia="仿宋"/>
          <w:sz w:val="32"/>
          <w:szCs w:val="32"/>
          <w:highlight w:val="none"/>
        </w:rPr>
        <w:t>1</w:t>
      </w:r>
      <w:r>
        <w:rPr>
          <w:rFonts w:hint="eastAsia" w:ascii="仿宋" w:hAnsi="仿宋" w:eastAsia="仿宋"/>
          <w:sz w:val="32"/>
          <w:szCs w:val="32"/>
          <w:highlight w:val="none"/>
        </w:rPr>
        <w:t>、执行上级国家行政机关的决定、命令和国家制定的法令、法规，接受同级党委的领导，执行本级人民代表大会的各项决议，并报告执行决议、决定和命令的情况。</w:t>
      </w:r>
      <w:r>
        <w:rPr>
          <w:rFonts w:ascii="仿宋" w:hAnsi="仿宋" w:eastAsia="仿宋"/>
          <w:sz w:val="32"/>
          <w:szCs w:val="32"/>
          <w:highlight w:val="none"/>
        </w:rPr>
        <w:t xml:space="preserve"> </w:t>
      </w:r>
    </w:p>
    <w:p>
      <w:pPr>
        <w:spacing w:line="560" w:lineRule="exact"/>
        <w:ind w:firstLine="646"/>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、制定并落实本行政区域的经济计划和措施，促进产业结构调整及其他经济保持平衡协调发展，全面提高人民群众的生活水平和生活质量。</w:t>
      </w:r>
      <w:r>
        <w:rPr>
          <w:rFonts w:ascii="仿宋" w:hAnsi="仿宋" w:eastAsia="仿宋"/>
          <w:sz w:val="32"/>
          <w:szCs w:val="32"/>
          <w:highlight w:val="none"/>
        </w:rPr>
        <w:t xml:space="preserve"> </w:t>
      </w:r>
    </w:p>
    <w:p>
      <w:pPr>
        <w:spacing w:line="560" w:lineRule="exact"/>
        <w:ind w:firstLine="646"/>
        <w:rPr>
          <w:rFonts w:ascii="仿宋" w:hAnsi="仿宋" w:eastAsia="仿宋"/>
          <w:sz w:val="32"/>
          <w:szCs w:val="32"/>
          <w:highlight w:val="none"/>
        </w:rPr>
      </w:pPr>
      <w:r>
        <w:rPr>
          <w:rFonts w:ascii="仿宋" w:hAnsi="仿宋" w:eastAsia="仿宋"/>
          <w:sz w:val="32"/>
          <w:szCs w:val="32"/>
          <w:highlight w:val="none"/>
        </w:rPr>
        <w:t xml:space="preserve"> 3</w:t>
      </w:r>
      <w:r>
        <w:rPr>
          <w:rFonts w:hint="eastAsia" w:ascii="仿宋" w:hAnsi="仿宋" w:eastAsia="仿宋"/>
          <w:sz w:val="32"/>
          <w:szCs w:val="32"/>
          <w:highlight w:val="none"/>
        </w:rPr>
        <w:t>、承担国有资产、集体资产管理、监督及增值保值责任</w:t>
      </w:r>
      <w:r>
        <w:rPr>
          <w:rFonts w:ascii="仿宋" w:hAnsi="仿宋" w:eastAsia="仿宋"/>
          <w:sz w:val="32"/>
          <w:szCs w:val="32"/>
          <w:highlight w:val="none"/>
        </w:rPr>
        <w:t>;</w:t>
      </w:r>
      <w:r>
        <w:rPr>
          <w:rFonts w:hint="eastAsia" w:ascii="仿宋" w:hAnsi="仿宋" w:eastAsia="仿宋"/>
          <w:sz w:val="32"/>
          <w:szCs w:val="32"/>
          <w:highlight w:val="none"/>
        </w:rPr>
        <w:t>保护公民私人所有合法财产，保障集体经济组织应有的自主权</w:t>
      </w:r>
      <w:r>
        <w:rPr>
          <w:rFonts w:ascii="仿宋" w:hAnsi="仿宋" w:eastAsia="仿宋"/>
          <w:sz w:val="32"/>
          <w:szCs w:val="32"/>
          <w:highlight w:val="none"/>
        </w:rPr>
        <w:t>;</w:t>
      </w:r>
      <w:r>
        <w:rPr>
          <w:rFonts w:hint="eastAsia" w:ascii="仿宋" w:hAnsi="仿宋" w:eastAsia="仿宋"/>
          <w:sz w:val="32"/>
          <w:szCs w:val="32"/>
          <w:highlight w:val="none"/>
        </w:rPr>
        <w:t>监督企业和各种经济联合体、个体户认真执行国家的法律、法令和政策，履行经济合同。</w:t>
      </w:r>
      <w:r>
        <w:rPr>
          <w:rFonts w:ascii="仿宋" w:hAnsi="仿宋" w:eastAsia="仿宋"/>
          <w:sz w:val="32"/>
          <w:szCs w:val="32"/>
          <w:highlight w:val="none"/>
        </w:rPr>
        <w:t xml:space="preserve"> </w:t>
      </w:r>
    </w:p>
    <w:p>
      <w:pPr>
        <w:spacing w:line="560" w:lineRule="exact"/>
        <w:ind w:firstLine="646"/>
        <w:rPr>
          <w:rFonts w:ascii="仿宋" w:hAnsi="仿宋" w:eastAsia="仿宋"/>
          <w:sz w:val="32"/>
          <w:szCs w:val="32"/>
          <w:highlight w:val="none"/>
        </w:rPr>
      </w:pPr>
      <w:r>
        <w:rPr>
          <w:rFonts w:ascii="仿宋" w:hAnsi="仿宋" w:eastAsia="仿宋"/>
          <w:sz w:val="32"/>
          <w:szCs w:val="32"/>
          <w:highlight w:val="none"/>
        </w:rPr>
        <w:t xml:space="preserve"> 4</w:t>
      </w:r>
      <w:r>
        <w:rPr>
          <w:rFonts w:hint="eastAsia" w:ascii="仿宋" w:hAnsi="仿宋" w:eastAsia="仿宋"/>
          <w:sz w:val="32"/>
          <w:szCs w:val="32"/>
          <w:highlight w:val="none"/>
        </w:rPr>
        <w:t>、开展社会主义民主和法制的宣传教育，保障公民的权利</w:t>
      </w:r>
      <w:r>
        <w:rPr>
          <w:rFonts w:ascii="仿宋" w:hAnsi="仿宋" w:eastAsia="仿宋"/>
          <w:sz w:val="32"/>
          <w:szCs w:val="32"/>
          <w:highlight w:val="none"/>
        </w:rPr>
        <w:t>;</w:t>
      </w:r>
      <w:r>
        <w:rPr>
          <w:rFonts w:hint="eastAsia" w:ascii="仿宋" w:hAnsi="仿宋" w:eastAsia="仿宋"/>
          <w:sz w:val="32"/>
          <w:szCs w:val="32"/>
          <w:highlight w:val="none"/>
        </w:rPr>
        <w:t>制定社会治安综合治理工作规划并组织实施</w:t>
      </w:r>
      <w:r>
        <w:rPr>
          <w:rFonts w:ascii="仿宋" w:hAnsi="仿宋" w:eastAsia="仿宋"/>
          <w:sz w:val="32"/>
          <w:szCs w:val="32"/>
          <w:highlight w:val="none"/>
        </w:rPr>
        <w:t>;</w:t>
      </w:r>
      <w:r>
        <w:rPr>
          <w:rFonts w:hint="eastAsia" w:ascii="仿宋" w:hAnsi="仿宋" w:eastAsia="仿宋"/>
          <w:sz w:val="32"/>
          <w:szCs w:val="32"/>
          <w:highlight w:val="none"/>
        </w:rPr>
        <w:t>加强社区管理工作，依法管理外来流动人口，处理人民来信来访，调解民间纠纷，打击违法犯罪，维护社会稳定。</w:t>
      </w:r>
    </w:p>
    <w:p>
      <w:pPr>
        <w:spacing w:line="560" w:lineRule="exact"/>
        <w:ind w:firstLine="646"/>
        <w:rPr>
          <w:rFonts w:ascii="仿宋" w:hAnsi="仿宋" w:eastAsia="仿宋"/>
          <w:sz w:val="32"/>
          <w:szCs w:val="32"/>
          <w:highlight w:val="none"/>
        </w:rPr>
      </w:pPr>
      <w:r>
        <w:rPr>
          <w:rFonts w:ascii="仿宋" w:hAnsi="仿宋" w:eastAsia="仿宋"/>
          <w:sz w:val="32"/>
          <w:szCs w:val="32"/>
          <w:highlight w:val="none"/>
        </w:rPr>
        <w:t xml:space="preserve"> 5</w:t>
      </w:r>
      <w:r>
        <w:rPr>
          <w:rFonts w:hint="eastAsia" w:ascii="仿宋" w:hAnsi="仿宋" w:eastAsia="仿宋"/>
          <w:sz w:val="32"/>
          <w:szCs w:val="32"/>
          <w:highlight w:val="none"/>
        </w:rPr>
        <w:t>、制定社会各项事业发展计划，发展教育、卫生、科技、民政、广播电视、文化、体育事业</w:t>
      </w:r>
      <w:r>
        <w:rPr>
          <w:rFonts w:ascii="仿宋" w:hAnsi="仿宋" w:eastAsia="仿宋"/>
          <w:sz w:val="32"/>
          <w:szCs w:val="32"/>
          <w:highlight w:val="none"/>
        </w:rPr>
        <w:t>;</w:t>
      </w:r>
      <w:r>
        <w:rPr>
          <w:rFonts w:hint="eastAsia" w:ascii="仿宋" w:hAnsi="仿宋" w:eastAsia="仿宋"/>
          <w:sz w:val="32"/>
          <w:szCs w:val="32"/>
          <w:highlight w:val="none"/>
        </w:rPr>
        <w:t>组织实施义务教育和其他各类教育</w:t>
      </w:r>
      <w:r>
        <w:rPr>
          <w:rFonts w:ascii="仿宋" w:hAnsi="仿宋" w:eastAsia="仿宋"/>
          <w:sz w:val="32"/>
          <w:szCs w:val="32"/>
          <w:highlight w:val="none"/>
        </w:rPr>
        <w:t>;</w:t>
      </w:r>
      <w:r>
        <w:rPr>
          <w:rFonts w:hint="eastAsia" w:ascii="仿宋" w:hAnsi="仿宋" w:eastAsia="仿宋"/>
          <w:sz w:val="32"/>
          <w:szCs w:val="32"/>
          <w:highlight w:val="none"/>
        </w:rPr>
        <w:t>加强计划生育工作</w:t>
      </w:r>
      <w:r>
        <w:rPr>
          <w:rFonts w:ascii="仿宋" w:hAnsi="仿宋" w:eastAsia="仿宋"/>
          <w:sz w:val="32"/>
          <w:szCs w:val="32"/>
          <w:highlight w:val="none"/>
        </w:rPr>
        <w:t>;</w:t>
      </w:r>
      <w:r>
        <w:rPr>
          <w:rFonts w:hint="eastAsia" w:ascii="仿宋" w:hAnsi="仿宋" w:eastAsia="仿宋"/>
          <w:sz w:val="32"/>
          <w:szCs w:val="32"/>
          <w:highlight w:val="none"/>
        </w:rPr>
        <w:t>推进社会保障、社会福利事业和养老保险工作</w:t>
      </w:r>
      <w:r>
        <w:rPr>
          <w:rFonts w:ascii="仿宋" w:hAnsi="仿宋" w:eastAsia="仿宋"/>
          <w:sz w:val="32"/>
          <w:szCs w:val="32"/>
          <w:highlight w:val="none"/>
        </w:rPr>
        <w:t>;</w:t>
      </w:r>
      <w:r>
        <w:rPr>
          <w:rFonts w:hint="eastAsia" w:ascii="仿宋" w:hAnsi="仿宋" w:eastAsia="仿宋"/>
          <w:sz w:val="32"/>
          <w:szCs w:val="32"/>
          <w:highlight w:val="none"/>
        </w:rPr>
        <w:t>做好劳动管理、科普、老龄及宗教、侨务等工作。</w:t>
      </w:r>
      <w:r>
        <w:rPr>
          <w:rFonts w:ascii="仿宋" w:hAnsi="仿宋" w:eastAsia="仿宋"/>
          <w:sz w:val="32"/>
          <w:szCs w:val="32"/>
          <w:highlight w:val="none"/>
        </w:rPr>
        <w:t xml:space="preserve"> </w:t>
      </w:r>
    </w:p>
    <w:p>
      <w:pPr>
        <w:spacing w:line="560" w:lineRule="exact"/>
        <w:ind w:firstLine="646"/>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、加强乡级财政的监督和管理，按计划组织、管理乡财政收入和支出，执行国家有关财经纪律和政策，保证国家财政收入的完成</w:t>
      </w:r>
      <w:r>
        <w:rPr>
          <w:rFonts w:ascii="仿宋" w:hAnsi="仿宋" w:eastAsia="仿宋"/>
          <w:sz w:val="32"/>
          <w:szCs w:val="32"/>
          <w:highlight w:val="none"/>
        </w:rPr>
        <w:t>;</w:t>
      </w:r>
      <w:r>
        <w:rPr>
          <w:rFonts w:hint="eastAsia" w:ascii="仿宋" w:hAnsi="仿宋" w:eastAsia="仿宋"/>
          <w:sz w:val="32"/>
          <w:szCs w:val="32"/>
          <w:highlight w:val="none"/>
        </w:rPr>
        <w:t>做好统计工作。</w:t>
      </w:r>
      <w:r>
        <w:rPr>
          <w:rFonts w:ascii="仿宋" w:hAnsi="仿宋" w:eastAsia="仿宋"/>
          <w:sz w:val="32"/>
          <w:szCs w:val="32"/>
          <w:highlight w:val="none"/>
        </w:rPr>
        <w:t xml:space="preserve"> </w:t>
      </w:r>
    </w:p>
    <w:p>
      <w:pPr>
        <w:spacing w:line="560" w:lineRule="exact"/>
        <w:ind w:firstLine="646"/>
        <w:rPr>
          <w:rFonts w:ascii="仿宋" w:hAnsi="仿宋" w:eastAsia="仿宋"/>
          <w:sz w:val="32"/>
          <w:szCs w:val="32"/>
          <w:highlight w:val="none"/>
        </w:rPr>
      </w:pPr>
      <w:r>
        <w:rPr>
          <w:rFonts w:ascii="仿宋" w:hAnsi="仿宋" w:eastAsia="仿宋"/>
          <w:sz w:val="32"/>
          <w:szCs w:val="32"/>
          <w:highlight w:val="none"/>
        </w:rPr>
        <w:t>7</w:t>
      </w:r>
      <w:r>
        <w:rPr>
          <w:rFonts w:hint="eastAsia" w:ascii="仿宋" w:hAnsi="仿宋" w:eastAsia="仿宋"/>
          <w:sz w:val="32"/>
          <w:szCs w:val="32"/>
          <w:highlight w:val="none"/>
        </w:rPr>
        <w:t>、指导、支持、帮助村</w:t>
      </w:r>
      <w:r>
        <w:rPr>
          <w:rFonts w:ascii="仿宋" w:hAnsi="仿宋" w:eastAsia="仿宋"/>
          <w:sz w:val="32"/>
          <w:szCs w:val="32"/>
          <w:highlight w:val="none"/>
        </w:rPr>
        <w:t>(</w:t>
      </w:r>
      <w:r>
        <w:rPr>
          <w:rFonts w:hint="eastAsia" w:ascii="仿宋" w:hAnsi="仿宋" w:eastAsia="仿宋"/>
          <w:sz w:val="32"/>
          <w:szCs w:val="32"/>
          <w:highlight w:val="none"/>
        </w:rPr>
        <w:t>居</w:t>
      </w:r>
      <w:r>
        <w:rPr>
          <w:rFonts w:ascii="仿宋" w:hAnsi="仿宋" w:eastAsia="仿宋"/>
          <w:sz w:val="32"/>
          <w:szCs w:val="32"/>
          <w:highlight w:val="none"/>
        </w:rPr>
        <w:t>)</w:t>
      </w:r>
      <w:r>
        <w:rPr>
          <w:rFonts w:hint="eastAsia" w:ascii="仿宋" w:hAnsi="仿宋" w:eastAsia="仿宋"/>
          <w:sz w:val="32"/>
          <w:szCs w:val="32"/>
          <w:highlight w:val="none"/>
        </w:rPr>
        <w:t>民委员会的组织制度建设和业务建设，促进村</w:t>
      </w:r>
      <w:r>
        <w:rPr>
          <w:rFonts w:ascii="仿宋" w:hAnsi="仿宋" w:eastAsia="仿宋"/>
          <w:sz w:val="32"/>
          <w:szCs w:val="32"/>
          <w:highlight w:val="none"/>
        </w:rPr>
        <w:t>(</w:t>
      </w:r>
      <w:r>
        <w:rPr>
          <w:rFonts w:hint="eastAsia" w:ascii="仿宋" w:hAnsi="仿宋" w:eastAsia="仿宋"/>
          <w:sz w:val="32"/>
          <w:szCs w:val="32"/>
          <w:highlight w:val="none"/>
        </w:rPr>
        <w:t>居</w:t>
      </w:r>
      <w:r>
        <w:rPr>
          <w:rFonts w:ascii="仿宋" w:hAnsi="仿宋" w:eastAsia="仿宋"/>
          <w:sz w:val="32"/>
          <w:szCs w:val="32"/>
          <w:highlight w:val="none"/>
        </w:rPr>
        <w:t>)</w:t>
      </w:r>
      <w:r>
        <w:rPr>
          <w:rFonts w:hint="eastAsia" w:ascii="仿宋" w:hAnsi="仿宋" w:eastAsia="仿宋"/>
          <w:sz w:val="32"/>
          <w:szCs w:val="32"/>
          <w:highlight w:val="none"/>
        </w:rPr>
        <w:t>民委员会民主自治。</w:t>
      </w:r>
      <w:r>
        <w:rPr>
          <w:rFonts w:ascii="仿宋" w:hAnsi="仿宋" w:eastAsia="仿宋"/>
          <w:sz w:val="32"/>
          <w:szCs w:val="32"/>
          <w:highlight w:val="none"/>
        </w:rPr>
        <w:t xml:space="preserve"> </w:t>
      </w:r>
    </w:p>
    <w:p>
      <w:pPr>
        <w:spacing w:line="560" w:lineRule="exact"/>
        <w:ind w:firstLine="646"/>
        <w:rPr>
          <w:rFonts w:ascii="仿宋" w:hAnsi="仿宋" w:eastAsia="仿宋"/>
          <w:sz w:val="32"/>
          <w:szCs w:val="32"/>
          <w:highlight w:val="none"/>
        </w:rPr>
      </w:pPr>
      <w:r>
        <w:rPr>
          <w:rFonts w:ascii="仿宋" w:hAnsi="仿宋" w:eastAsia="仿宋"/>
          <w:sz w:val="32"/>
          <w:szCs w:val="32"/>
          <w:highlight w:val="none"/>
        </w:rPr>
        <w:t>8</w:t>
      </w:r>
      <w:r>
        <w:rPr>
          <w:rFonts w:hint="eastAsia" w:ascii="仿宋" w:hAnsi="仿宋" w:eastAsia="仿宋"/>
          <w:sz w:val="32"/>
          <w:szCs w:val="32"/>
          <w:highlight w:val="none"/>
        </w:rPr>
        <w:t>、制定和组织实施乡村建设规划</w:t>
      </w:r>
      <w:r>
        <w:rPr>
          <w:rFonts w:ascii="仿宋" w:hAnsi="仿宋" w:eastAsia="仿宋"/>
          <w:sz w:val="32"/>
          <w:szCs w:val="32"/>
          <w:highlight w:val="none"/>
        </w:rPr>
        <w:t>;</w:t>
      </w:r>
      <w:r>
        <w:rPr>
          <w:rFonts w:hint="eastAsia" w:ascii="仿宋" w:hAnsi="仿宋" w:eastAsia="仿宋"/>
          <w:sz w:val="32"/>
          <w:szCs w:val="32"/>
          <w:highlight w:val="none"/>
        </w:rPr>
        <w:t>加强公用、市政设施、水利建设和管理以及房屋土地管理和环境综合整治工作，保护和改善生活环境和生态环境。</w:t>
      </w:r>
      <w:r>
        <w:rPr>
          <w:rFonts w:ascii="仿宋" w:hAnsi="仿宋" w:eastAsia="仿宋"/>
          <w:sz w:val="32"/>
          <w:szCs w:val="32"/>
          <w:highlight w:val="none"/>
        </w:rPr>
        <w:t xml:space="preserve"> </w:t>
      </w:r>
    </w:p>
    <w:p>
      <w:pPr>
        <w:pStyle w:val="23"/>
        <w:rPr>
          <w:rFonts w:ascii="仿宋_GB2312" w:hAnsi="宋体" w:eastAsia="仿宋_GB2312" w:cs="宋体"/>
          <w:color w:val="000000"/>
          <w:kern w:val="0"/>
          <w:sz w:val="32"/>
          <w:szCs w:val="32"/>
          <w:highlight w:val="none"/>
          <w:shd w:val="clear" w:color="auto" w:fill="FFFFFF"/>
          <w:lang w:val="zh-CN"/>
        </w:rPr>
      </w:pPr>
      <w:r>
        <w:rPr>
          <w:rFonts w:ascii="仿宋" w:hAnsi="仿宋" w:eastAsia="仿宋"/>
          <w:b w:val="0"/>
          <w:bCs w:val="0"/>
          <w:sz w:val="32"/>
          <w:szCs w:val="32"/>
          <w:highlight w:val="none"/>
        </w:rPr>
        <w:t>9</w:t>
      </w:r>
      <w:r>
        <w:rPr>
          <w:rFonts w:hint="eastAsia" w:ascii="仿宋" w:hAnsi="仿宋" w:eastAsia="仿宋"/>
          <w:b w:val="0"/>
          <w:bCs w:val="0"/>
          <w:sz w:val="32"/>
          <w:szCs w:val="32"/>
          <w:highlight w:val="none"/>
        </w:rPr>
        <w:t>、协助和支持设置在本行政区域内不隶属于乡的国家机关和企事业单位工作，监督其遵守和执行国家的法律、法规和政策。</w:t>
      </w:r>
    </w:p>
    <w:p>
      <w:pPr>
        <w:pStyle w:val="23"/>
        <w:rPr>
          <w:rFonts w:ascii="仿宋_GB2312" w:hAnsi="宋体" w:eastAsia="仿宋_GB2312" w:cs="宋体"/>
          <w:color w:val="000000"/>
          <w:kern w:val="0"/>
          <w:sz w:val="32"/>
          <w:szCs w:val="32"/>
          <w:highlight w:val="none"/>
          <w:shd w:val="clear" w:color="auto" w:fill="FFFFFF"/>
          <w:lang w:val="zh-CN"/>
        </w:rPr>
      </w:pPr>
      <w:r>
        <w:rPr>
          <w:rFonts w:hint="eastAsia" w:ascii="仿宋" w:hAnsi="仿宋" w:eastAsia="仿宋"/>
          <w:b w:val="0"/>
          <w:bCs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shd w:val="clear" w:color="auto" w:fill="FFFFFF"/>
          <w:lang w:val="zh-CN"/>
        </w:rPr>
        <w:t>（三）人员概况。</w:t>
      </w:r>
    </w:p>
    <w:p>
      <w:pPr>
        <w:ind w:firstLine="800" w:firstLineChars="250"/>
        <w:rPr>
          <w:rFonts w:hint="eastAsia" w:ascii="仿宋" w:hAnsi="仿宋" w:eastAsia="仿宋" w:cs="仿宋"/>
          <w:b w:val="0"/>
          <w:bCs w:val="0"/>
          <w:sz w:val="32"/>
          <w:szCs w:val="32"/>
          <w:highlight w:val="none"/>
          <w:lang w:val="zh-CN"/>
        </w:rPr>
      </w:pPr>
      <w:r>
        <w:rPr>
          <w:rFonts w:hint="eastAsia" w:ascii="仿宋" w:hAnsi="仿宋" w:eastAsia="仿宋"/>
          <w:sz w:val="32"/>
          <w:szCs w:val="32"/>
          <w:highlight w:val="none"/>
        </w:rPr>
        <w:t>广元市朝天区</w:t>
      </w:r>
      <w:r>
        <w:rPr>
          <w:rFonts w:hint="eastAsia" w:ascii="仿宋" w:hAnsi="仿宋" w:eastAsia="仿宋"/>
          <w:sz w:val="32"/>
          <w:szCs w:val="32"/>
          <w:highlight w:val="none"/>
          <w:lang w:eastAsia="zh-CN"/>
        </w:rPr>
        <w:t>曾家镇</w:t>
      </w:r>
      <w:r>
        <w:rPr>
          <w:rFonts w:hint="eastAsia" w:ascii="仿宋" w:hAnsi="仿宋" w:eastAsia="仿宋"/>
          <w:sz w:val="32"/>
          <w:szCs w:val="32"/>
          <w:highlight w:val="none"/>
        </w:rPr>
        <w:t>人民政府2020年编制</w:t>
      </w:r>
      <w:r>
        <w:rPr>
          <w:rFonts w:hint="eastAsia" w:ascii="仿宋_GB2312" w:hAnsi="宋体" w:eastAsia="仿宋_GB2312" w:cs="宋体"/>
          <w:b w:val="0"/>
          <w:bCs w:val="0"/>
          <w:color w:val="000000"/>
          <w:kern w:val="0"/>
          <w:sz w:val="32"/>
          <w:szCs w:val="32"/>
          <w:highlight w:val="none"/>
          <w:shd w:val="clear" w:color="auto" w:fill="FFFFFF"/>
          <w:lang w:val="zh-CN"/>
        </w:rPr>
        <w:t>人员</w:t>
      </w:r>
      <w:r>
        <w:rPr>
          <w:rFonts w:hint="eastAsia" w:ascii="仿宋_GB2312" w:hAnsi="宋体" w:eastAsia="仿宋_GB2312" w:cs="宋体"/>
          <w:b w:val="0"/>
          <w:bCs w:val="0"/>
          <w:color w:val="000000"/>
          <w:kern w:val="0"/>
          <w:sz w:val="32"/>
          <w:szCs w:val="32"/>
          <w:highlight w:val="none"/>
          <w:shd w:val="clear" w:color="auto" w:fill="FFFFFF"/>
          <w:lang w:val="en-US" w:eastAsia="zh-CN"/>
        </w:rPr>
        <w:t>73</w:t>
      </w:r>
      <w:r>
        <w:rPr>
          <w:rFonts w:hint="eastAsia" w:ascii="仿宋_GB2312" w:hAnsi="宋体" w:eastAsia="仿宋_GB2312" w:cs="宋体"/>
          <w:b w:val="0"/>
          <w:bCs w:val="0"/>
          <w:color w:val="000000"/>
          <w:kern w:val="0"/>
          <w:sz w:val="32"/>
          <w:szCs w:val="32"/>
          <w:highlight w:val="none"/>
          <w:shd w:val="clear" w:color="auto" w:fill="FFFFFF"/>
          <w:lang w:val="zh-CN"/>
        </w:rPr>
        <w:t>名。其中：行政编制</w:t>
      </w:r>
      <w:r>
        <w:rPr>
          <w:rFonts w:hint="eastAsia" w:ascii="仿宋_GB2312" w:hAnsi="宋体" w:eastAsia="仿宋_GB2312" w:cs="宋体"/>
          <w:b w:val="0"/>
          <w:bCs w:val="0"/>
          <w:color w:val="000000"/>
          <w:kern w:val="0"/>
          <w:sz w:val="32"/>
          <w:szCs w:val="32"/>
          <w:highlight w:val="none"/>
          <w:shd w:val="clear" w:color="auto" w:fill="FFFFFF"/>
          <w:lang w:val="en-US" w:eastAsia="zh-CN"/>
        </w:rPr>
        <w:t>32</w:t>
      </w:r>
      <w:r>
        <w:rPr>
          <w:rFonts w:hint="eastAsia" w:ascii="仿宋_GB2312" w:hAnsi="宋体" w:eastAsia="仿宋_GB2312" w:cs="宋体"/>
          <w:b w:val="0"/>
          <w:bCs w:val="0"/>
          <w:color w:val="000000"/>
          <w:kern w:val="0"/>
          <w:sz w:val="32"/>
          <w:szCs w:val="32"/>
          <w:highlight w:val="none"/>
          <w:shd w:val="clear" w:color="auto" w:fill="FFFFFF"/>
          <w:lang w:val="zh-CN"/>
        </w:rPr>
        <w:t>名，事业编制</w:t>
      </w:r>
      <w:r>
        <w:rPr>
          <w:rFonts w:hint="eastAsia" w:ascii="仿宋_GB2312" w:hAnsi="宋体" w:eastAsia="仿宋_GB2312" w:cs="宋体"/>
          <w:b w:val="0"/>
          <w:bCs w:val="0"/>
          <w:color w:val="000000"/>
          <w:kern w:val="0"/>
          <w:sz w:val="32"/>
          <w:szCs w:val="32"/>
          <w:highlight w:val="none"/>
          <w:shd w:val="clear" w:color="auto" w:fill="FFFFFF"/>
          <w:lang w:val="en-US" w:eastAsia="zh-CN"/>
        </w:rPr>
        <w:t>38</w:t>
      </w:r>
      <w:r>
        <w:rPr>
          <w:rFonts w:hint="eastAsia" w:ascii="仿宋_GB2312" w:hAnsi="宋体" w:eastAsia="仿宋_GB2312" w:cs="宋体"/>
          <w:b w:val="0"/>
          <w:bCs w:val="0"/>
          <w:color w:val="000000"/>
          <w:kern w:val="0"/>
          <w:sz w:val="32"/>
          <w:szCs w:val="32"/>
          <w:highlight w:val="none"/>
          <w:shd w:val="clear" w:color="auto" w:fill="FFFFFF"/>
          <w:lang w:val="zh-CN"/>
        </w:rPr>
        <w:t>名、机关工勤编制</w:t>
      </w:r>
      <w:r>
        <w:rPr>
          <w:rFonts w:hint="eastAsia" w:ascii="仿宋_GB2312" w:hAnsi="宋体" w:eastAsia="仿宋_GB2312" w:cs="宋体"/>
          <w:b w:val="0"/>
          <w:bCs w:val="0"/>
          <w:color w:val="000000"/>
          <w:kern w:val="0"/>
          <w:sz w:val="32"/>
          <w:szCs w:val="32"/>
          <w:highlight w:val="none"/>
          <w:shd w:val="clear" w:color="auto" w:fill="FFFFFF"/>
          <w:lang w:val="en-US" w:eastAsia="zh-CN"/>
        </w:rPr>
        <w:t>3</w:t>
      </w:r>
      <w:r>
        <w:rPr>
          <w:rFonts w:hint="eastAsia" w:ascii="仿宋_GB2312" w:hAnsi="宋体" w:eastAsia="仿宋_GB2312" w:cs="宋体"/>
          <w:b w:val="0"/>
          <w:bCs w:val="0"/>
          <w:color w:val="000000"/>
          <w:kern w:val="0"/>
          <w:sz w:val="32"/>
          <w:szCs w:val="32"/>
          <w:highlight w:val="none"/>
          <w:shd w:val="clear" w:color="auto" w:fill="FFFFFF"/>
          <w:lang w:val="zh-CN"/>
        </w:rPr>
        <w:t>名。期末在岗人数</w:t>
      </w:r>
      <w:r>
        <w:rPr>
          <w:rFonts w:hint="eastAsia" w:ascii="仿宋_GB2312" w:hAnsi="宋体" w:eastAsia="仿宋_GB2312" w:cs="宋体"/>
          <w:b w:val="0"/>
          <w:bCs w:val="0"/>
          <w:color w:val="000000"/>
          <w:kern w:val="0"/>
          <w:sz w:val="32"/>
          <w:szCs w:val="32"/>
          <w:highlight w:val="none"/>
          <w:shd w:val="clear" w:color="auto" w:fill="FFFFFF"/>
          <w:lang w:val="en-US" w:eastAsia="zh-CN"/>
        </w:rPr>
        <w:t>61</w:t>
      </w:r>
      <w:r>
        <w:rPr>
          <w:rFonts w:hint="eastAsia" w:ascii="仿宋_GB2312" w:hAnsi="宋体" w:eastAsia="仿宋_GB2312" w:cs="宋体"/>
          <w:b w:val="0"/>
          <w:bCs w:val="0"/>
          <w:color w:val="000000"/>
          <w:kern w:val="0"/>
          <w:sz w:val="32"/>
          <w:szCs w:val="32"/>
          <w:highlight w:val="none"/>
          <w:shd w:val="clear" w:color="auto" w:fill="FFFFFF"/>
          <w:lang w:val="zh-CN"/>
        </w:rPr>
        <w:t>人；其中公务员</w:t>
      </w:r>
      <w:r>
        <w:rPr>
          <w:rFonts w:hint="eastAsia" w:ascii="仿宋_GB2312" w:hAnsi="宋体" w:eastAsia="仿宋_GB2312" w:cs="宋体"/>
          <w:b w:val="0"/>
          <w:bCs w:val="0"/>
          <w:color w:val="000000"/>
          <w:kern w:val="0"/>
          <w:sz w:val="32"/>
          <w:szCs w:val="32"/>
          <w:highlight w:val="none"/>
          <w:shd w:val="clear" w:color="auto" w:fill="FFFFFF"/>
          <w:lang w:val="en-US" w:eastAsia="zh-CN"/>
        </w:rPr>
        <w:t>25</w:t>
      </w:r>
      <w:r>
        <w:rPr>
          <w:rFonts w:hint="eastAsia" w:ascii="仿宋_GB2312" w:hAnsi="宋体" w:eastAsia="仿宋_GB2312" w:cs="宋体"/>
          <w:b w:val="0"/>
          <w:bCs w:val="0"/>
          <w:color w:val="000000"/>
          <w:kern w:val="0"/>
          <w:sz w:val="32"/>
          <w:szCs w:val="32"/>
          <w:highlight w:val="none"/>
          <w:shd w:val="clear" w:color="auto" w:fill="FFFFFF"/>
          <w:lang w:val="zh-CN"/>
        </w:rPr>
        <w:t>人，事业人员</w:t>
      </w:r>
      <w:r>
        <w:rPr>
          <w:rFonts w:hint="eastAsia" w:ascii="仿宋_GB2312" w:hAnsi="宋体" w:eastAsia="仿宋_GB2312" w:cs="宋体"/>
          <w:b w:val="0"/>
          <w:bCs w:val="0"/>
          <w:color w:val="000000"/>
          <w:kern w:val="0"/>
          <w:sz w:val="32"/>
          <w:szCs w:val="32"/>
          <w:highlight w:val="none"/>
          <w:shd w:val="clear" w:color="auto" w:fill="FFFFFF"/>
          <w:lang w:val="en-US" w:eastAsia="zh-CN"/>
        </w:rPr>
        <w:t>31</w:t>
      </w:r>
      <w:r>
        <w:rPr>
          <w:rFonts w:hint="eastAsia" w:ascii="仿宋_GB2312" w:hAnsi="宋体" w:eastAsia="仿宋_GB2312" w:cs="宋体"/>
          <w:b w:val="0"/>
          <w:bCs w:val="0"/>
          <w:color w:val="000000"/>
          <w:kern w:val="0"/>
          <w:sz w:val="32"/>
          <w:szCs w:val="32"/>
          <w:highlight w:val="none"/>
          <w:shd w:val="clear" w:color="auto" w:fill="FFFFFF"/>
          <w:lang w:val="zh-CN"/>
        </w:rPr>
        <w:t>人</w:t>
      </w:r>
      <w:r>
        <w:rPr>
          <w:rFonts w:hint="eastAsia" w:ascii="仿宋_GB2312" w:hAnsi="宋体" w:eastAsia="仿宋_GB2312" w:cs="宋体"/>
          <w:b w:val="0"/>
          <w:bCs w:val="0"/>
          <w:color w:val="000000"/>
          <w:kern w:val="0"/>
          <w:sz w:val="32"/>
          <w:szCs w:val="32"/>
          <w:highlight w:val="none"/>
          <w:shd w:val="clear" w:color="auto" w:fill="FFFFFF"/>
          <w:lang w:val="zh-CN" w:eastAsia="zh-CN"/>
        </w:rPr>
        <w:t>，机关工勤人员</w:t>
      </w:r>
      <w:r>
        <w:rPr>
          <w:rFonts w:hint="eastAsia" w:ascii="仿宋_GB2312" w:hAnsi="宋体" w:eastAsia="仿宋_GB2312" w:cs="宋体"/>
          <w:b w:val="0"/>
          <w:bCs w:val="0"/>
          <w:color w:val="000000"/>
          <w:kern w:val="0"/>
          <w:sz w:val="32"/>
          <w:szCs w:val="32"/>
          <w:highlight w:val="none"/>
          <w:shd w:val="clear" w:color="auto" w:fill="FFFFFF"/>
          <w:lang w:val="en-US" w:eastAsia="zh-CN"/>
        </w:rPr>
        <w:t>5人</w:t>
      </w:r>
      <w:r>
        <w:rPr>
          <w:rFonts w:hint="eastAsia" w:ascii="仿宋_GB2312" w:hAnsi="宋体" w:eastAsia="仿宋_GB2312" w:cs="宋体"/>
          <w:b w:val="0"/>
          <w:bCs w:val="0"/>
          <w:color w:val="000000"/>
          <w:kern w:val="0"/>
          <w:sz w:val="32"/>
          <w:szCs w:val="32"/>
          <w:highlight w:val="none"/>
          <w:shd w:val="clear" w:color="auto" w:fill="FFFFFF"/>
          <w:lang w:val="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（一）部门财政资金收入情况。</w:t>
      </w:r>
    </w:p>
    <w:p>
      <w:pPr>
        <w:spacing w:line="560" w:lineRule="exact"/>
        <w:ind w:firstLine="640" w:firstLineChars="200"/>
        <w:rPr>
          <w:rFonts w:hint="default" w:ascii="仿宋" w:hAnsi="仿宋" w:eastAsia="仿宋"/>
          <w:sz w:val="32"/>
          <w:szCs w:val="32"/>
          <w:highlight w:val="none"/>
          <w:lang w:val="en-US" w:eastAsia="zh-CN"/>
        </w:rPr>
      </w:pPr>
      <w:r>
        <w:rPr>
          <w:rFonts w:ascii="仿宋" w:hAnsi="仿宋" w:eastAsia="仿宋" w:cs="仿宋"/>
          <w:sz w:val="32"/>
          <w:szCs w:val="32"/>
          <w:highlight w:val="none"/>
        </w:rPr>
        <w:t>2020</w:t>
      </w:r>
      <w:r>
        <w:rPr>
          <w:rFonts w:hint="eastAsia" w:ascii="仿宋" w:hAnsi="仿宋" w:eastAsia="仿宋" w:cs="仿宋"/>
          <w:sz w:val="32"/>
          <w:szCs w:val="32"/>
          <w:highlight w:val="none"/>
        </w:rPr>
        <w:t>年初预算收入</w:t>
      </w:r>
      <w:r>
        <w:rPr>
          <w:rFonts w:hint="eastAsia" w:ascii="仿宋" w:hAnsi="仿宋" w:eastAsia="仿宋" w:cs="仿宋"/>
          <w:sz w:val="32"/>
          <w:szCs w:val="32"/>
          <w:highlight w:val="none"/>
          <w:lang w:val="en-US" w:eastAsia="zh-CN"/>
        </w:rPr>
        <w:t>1230.32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决算收入</w:t>
      </w:r>
      <w:r>
        <w:rPr>
          <w:rFonts w:hint="eastAsia" w:ascii="仿宋" w:hAnsi="仿宋" w:eastAsia="仿宋" w:cs="仿宋"/>
          <w:sz w:val="32"/>
          <w:szCs w:val="32"/>
          <w:highlight w:val="none"/>
          <w:lang w:val="en-US" w:eastAsia="zh-CN"/>
        </w:rPr>
        <w:t>1230.32万元，其中一般公共预算财政拨款收入</w:t>
      </w:r>
      <w:r>
        <w:rPr>
          <w:rFonts w:hint="eastAsia" w:ascii="仿宋" w:hAnsi="仿宋" w:eastAsia="仿宋"/>
          <w:color w:val="000000"/>
          <w:sz w:val="32"/>
          <w:szCs w:val="32"/>
          <w:highlight w:val="none"/>
        </w:rPr>
        <w:t>1229.05</w:t>
      </w:r>
      <w:r>
        <w:rPr>
          <w:rFonts w:hint="eastAsia" w:ascii="仿宋" w:hAnsi="仿宋" w:eastAsia="仿宋" w:cs="仿宋"/>
          <w:sz w:val="32"/>
          <w:szCs w:val="32"/>
          <w:highlight w:val="none"/>
          <w:lang w:val="en-US" w:eastAsia="zh-CN"/>
        </w:rPr>
        <w:t>万元，其他收入1.27万元。</w:t>
      </w:r>
    </w:p>
    <w:p>
      <w:pPr>
        <w:pStyle w:val="7"/>
        <w:rPr>
          <w:highlight w:val="yellow"/>
          <w:lang w:val="zh-CN"/>
        </w:rPr>
      </w:pP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部门财政资金支出情况。</w:t>
      </w:r>
    </w:p>
    <w:p>
      <w:pPr>
        <w:spacing w:line="580" w:lineRule="exact"/>
        <w:ind w:firstLine="420" w:firstLineChars="200"/>
        <w:rPr>
          <w:rFonts w:hint="eastAsia" w:ascii="仿宋" w:hAnsi="仿宋" w:eastAsia="仿宋" w:cs="仿宋_GB2312"/>
          <w:sz w:val="32"/>
          <w:szCs w:val="32"/>
          <w:highlight w:val="yellow"/>
          <w:lang w:val="en-US" w:eastAsia="zh-CN"/>
        </w:rPr>
      </w:pPr>
      <w:r>
        <w:rPr>
          <w:rFonts w:hint="eastAsia"/>
          <w:highlight w:val="none"/>
          <w:lang w:val="en-US" w:eastAsia="zh-CN"/>
        </w:rPr>
        <w:t xml:space="preserve">  </w:t>
      </w:r>
      <w:r>
        <w:rPr>
          <w:rFonts w:hint="eastAsia" w:ascii="仿宋" w:hAnsi="仿宋" w:eastAsia="仿宋" w:cs="仿宋_GB2312"/>
          <w:sz w:val="32"/>
          <w:szCs w:val="32"/>
          <w:highlight w:val="none"/>
          <w:lang w:eastAsia="zh-CN"/>
        </w:rPr>
        <w:t>2020</w:t>
      </w:r>
      <w:r>
        <w:rPr>
          <w:rFonts w:hint="eastAsia" w:ascii="仿宋" w:hAnsi="仿宋" w:eastAsia="仿宋" w:cs="仿宋_GB2312"/>
          <w:sz w:val="32"/>
          <w:szCs w:val="32"/>
          <w:highlight w:val="none"/>
        </w:rPr>
        <w:t>年度部门整体支出规模为</w:t>
      </w:r>
      <w:r>
        <w:rPr>
          <w:rFonts w:hint="eastAsia" w:ascii="仿宋" w:hAnsi="仿宋" w:eastAsia="仿宋" w:cs="仿宋"/>
          <w:sz w:val="32"/>
          <w:szCs w:val="32"/>
          <w:highlight w:val="none"/>
          <w:lang w:val="en-US" w:eastAsia="zh-CN"/>
        </w:rPr>
        <w:t>1230.32</w:t>
      </w:r>
      <w:r>
        <w:rPr>
          <w:rFonts w:hint="eastAsia" w:ascii="仿宋" w:hAnsi="仿宋" w:eastAsia="仿宋" w:cs="仿宋_GB2312"/>
          <w:sz w:val="32"/>
          <w:szCs w:val="32"/>
          <w:highlight w:val="none"/>
        </w:rPr>
        <w:t>万元（其中：基本支出</w:t>
      </w:r>
      <w:r>
        <w:rPr>
          <w:rFonts w:hint="eastAsia" w:ascii="仿宋" w:hAnsi="仿宋" w:eastAsia="仿宋" w:cs="仿宋_GB2312"/>
          <w:sz w:val="32"/>
          <w:szCs w:val="32"/>
          <w:highlight w:val="none"/>
          <w:lang w:val="en-US" w:eastAsia="zh-CN"/>
        </w:rPr>
        <w:t>768.23</w:t>
      </w:r>
      <w:r>
        <w:rPr>
          <w:rFonts w:hint="eastAsia" w:ascii="仿宋" w:hAnsi="仿宋" w:eastAsia="仿宋" w:cs="仿宋_GB2312"/>
          <w:sz w:val="32"/>
          <w:szCs w:val="32"/>
          <w:highlight w:val="none"/>
        </w:rPr>
        <w:t>万元，项目支出</w:t>
      </w:r>
      <w:r>
        <w:rPr>
          <w:rFonts w:hint="eastAsia" w:ascii="仿宋" w:hAnsi="仿宋" w:eastAsia="仿宋" w:cs="仿宋_GB2312"/>
          <w:sz w:val="32"/>
          <w:szCs w:val="32"/>
          <w:highlight w:val="none"/>
          <w:lang w:val="en-US" w:eastAsia="zh-CN"/>
        </w:rPr>
        <w:t>462.1</w:t>
      </w:r>
      <w:r>
        <w:rPr>
          <w:rFonts w:hint="eastAsia" w:ascii="仿宋" w:hAnsi="仿宋" w:eastAsia="仿宋" w:cs="仿宋_GB2312"/>
          <w:sz w:val="32"/>
          <w:szCs w:val="32"/>
          <w:highlight w:val="none"/>
        </w:rPr>
        <w:t>万元）。</w:t>
      </w:r>
    </w:p>
    <w:p>
      <w:pPr>
        <w:pStyle w:val="7"/>
        <w:numPr>
          <w:ilvl w:val="0"/>
          <w:numId w:val="0"/>
        </w:numPr>
        <w:rPr>
          <w:rFonts w:hint="default" w:eastAsia="宋体"/>
          <w:highlight w:val="yellow"/>
          <w:lang w:val="en-US"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（一）部门预算管理。</w:t>
      </w:r>
    </w:p>
    <w:p>
      <w:pPr>
        <w:spacing w:line="580" w:lineRule="exact"/>
        <w:ind w:firstLine="640" w:firstLineChars="200"/>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我</w:t>
      </w:r>
      <w:r>
        <w:rPr>
          <w:rFonts w:hint="eastAsia" w:ascii="仿宋" w:hAnsi="仿宋" w:eastAsia="仿宋" w:cs="仿宋_GB2312"/>
          <w:color w:val="000000"/>
          <w:sz w:val="32"/>
          <w:szCs w:val="32"/>
          <w:highlight w:val="none"/>
          <w:lang w:eastAsia="zh-CN"/>
        </w:rPr>
        <w:t>镇</w:t>
      </w:r>
      <w:r>
        <w:rPr>
          <w:rFonts w:hint="eastAsia" w:ascii="仿宋" w:hAnsi="仿宋" w:eastAsia="仿宋" w:cs="仿宋_GB2312"/>
          <w:color w:val="000000"/>
          <w:sz w:val="32"/>
          <w:szCs w:val="32"/>
          <w:highlight w:val="none"/>
        </w:rPr>
        <w:t>严格制定了“三公”经费预算管理的规定、关于落实厉行节约反对浪费条例的实施意见、机关财务管理制度、机关内接待管理规定、机关公务用车管理等相关制度；加强了资金的使用管理，坚持勤俭节约，反对奢侈浪费，按制度办事，确保每一分钱都落到实处，每一环节按程序进行，部门财务管理做到了细、严、实。一是项目负责人应按照相关项目经费编制预算报表</w:t>
      </w:r>
      <w:r>
        <w:rPr>
          <w:rFonts w:hint="eastAsia" w:ascii="仿宋" w:hAnsi="仿宋" w:eastAsia="仿宋" w:cs="仿宋_GB2312"/>
          <w:color w:val="000000"/>
          <w:sz w:val="32"/>
          <w:szCs w:val="32"/>
          <w:highlight w:val="none"/>
          <w:lang w:eastAsia="zh-CN"/>
        </w:rPr>
        <w:t>并按</w:t>
      </w:r>
      <w:r>
        <w:rPr>
          <w:rFonts w:hint="eastAsia" w:ascii="仿宋" w:hAnsi="仿宋" w:eastAsia="仿宋" w:cs="仿宋_GB2312"/>
          <w:color w:val="000000"/>
          <w:sz w:val="32"/>
          <w:szCs w:val="32"/>
          <w:highlight w:val="none"/>
        </w:rPr>
        <w:t>项目内容说明的要求填报预算，开支的具体类别和预算额度应考虑周全，避免遗漏；二是项目支出预算应当对各项支出的主要用途、项目研究的相关性等进行详细说明；三是严格按照批准的预算使用专项经费，不得违反</w:t>
      </w:r>
      <w:r>
        <w:rPr>
          <w:rFonts w:hint="eastAsia" w:ascii="仿宋" w:hAnsi="仿宋" w:eastAsia="仿宋" w:cs="仿宋_GB2312"/>
          <w:color w:val="000000"/>
          <w:sz w:val="32"/>
          <w:szCs w:val="32"/>
          <w:highlight w:val="none"/>
          <w:lang w:eastAsia="zh-CN"/>
        </w:rPr>
        <w:t>规定</w:t>
      </w:r>
      <w:r>
        <w:rPr>
          <w:rFonts w:hint="eastAsia" w:ascii="仿宋" w:hAnsi="仿宋" w:eastAsia="仿宋" w:cs="仿宋_GB2312"/>
          <w:color w:val="000000"/>
          <w:sz w:val="32"/>
          <w:szCs w:val="32"/>
          <w:highlight w:val="none"/>
        </w:rPr>
        <w:t>自行调整预算，各项支出均不能超出规定的开支范围和开支标准，严禁挤占挪用项目经费。</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结果应用情况。</w:t>
      </w:r>
    </w:p>
    <w:p>
      <w:pPr>
        <w:spacing w:line="580" w:lineRule="exact"/>
        <w:ind w:firstLine="420" w:firstLineChars="200"/>
        <w:rPr>
          <w:rFonts w:hint="default" w:eastAsia="宋体"/>
          <w:highlight w:val="none"/>
          <w:lang w:val="en-US" w:eastAsia="zh-CN"/>
        </w:rPr>
      </w:pPr>
      <w:r>
        <w:rPr>
          <w:rFonts w:hint="eastAsia" w:eastAsia="宋体"/>
          <w:highlight w:val="none"/>
          <w:lang w:val="en-US" w:eastAsia="zh-CN"/>
        </w:rPr>
        <w:t xml:space="preserve">  </w:t>
      </w:r>
      <w:r>
        <w:rPr>
          <w:rFonts w:hint="eastAsia" w:ascii="仿宋" w:hAnsi="仿宋" w:eastAsia="仿宋" w:cs="仿宋_GB2312"/>
          <w:color w:val="000000"/>
          <w:sz w:val="32"/>
          <w:szCs w:val="32"/>
          <w:highlight w:val="none"/>
        </w:rPr>
        <w:t>根据各项目提出的问题和建议，对相关项目提出整改意见</w:t>
      </w:r>
      <w:r>
        <w:rPr>
          <w:rFonts w:hint="eastAsia" w:ascii="仿宋" w:hAnsi="仿宋" w:eastAsia="仿宋" w:cs="仿宋_GB2312"/>
          <w:color w:val="000000"/>
          <w:sz w:val="32"/>
          <w:szCs w:val="32"/>
          <w:highlight w:val="none"/>
          <w:lang w:eastAsia="zh-CN"/>
        </w:rPr>
        <w:t>和</w:t>
      </w:r>
      <w:r>
        <w:rPr>
          <w:rFonts w:hint="eastAsia" w:ascii="仿宋" w:hAnsi="仿宋" w:eastAsia="仿宋" w:cs="仿宋_GB2312"/>
          <w:color w:val="000000"/>
          <w:sz w:val="32"/>
          <w:szCs w:val="32"/>
          <w:highlight w:val="none"/>
        </w:rPr>
        <w:t>整改措施，并对整改情况进行再检查、再核实，督促整改措施落到实处，确保每个项目取得实效。</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（一）评价结论。</w:t>
      </w:r>
    </w:p>
    <w:p>
      <w:pPr>
        <w:pStyle w:val="8"/>
        <w:rPr>
          <w:rFonts w:hint="eastAsia" w:eastAsia="仿宋"/>
          <w:highlight w:val="none"/>
          <w:lang w:val="en-US" w:eastAsia="zh-CN"/>
        </w:rPr>
      </w:pPr>
      <w:r>
        <w:rPr>
          <w:rFonts w:hint="eastAsia" w:ascii="仿宋_GB2312" w:hAnsi="宋体" w:eastAsia="仿宋_GB2312" w:cs="宋体"/>
          <w:color w:val="000000"/>
          <w:kern w:val="0"/>
          <w:sz w:val="32"/>
          <w:szCs w:val="32"/>
          <w:highlight w:val="none"/>
          <w:shd w:val="clear" w:color="auto" w:fill="FFFFFF"/>
          <w:lang w:val="en-US" w:eastAsia="zh-CN"/>
        </w:rPr>
        <w:t xml:space="preserve">    </w:t>
      </w:r>
      <w:r>
        <w:rPr>
          <w:rFonts w:hint="eastAsia" w:ascii="仿宋" w:hAnsi="仿宋" w:eastAsia="仿宋" w:cs="仿宋_GB2312"/>
          <w:sz w:val="32"/>
          <w:szCs w:val="32"/>
          <w:highlight w:val="none"/>
        </w:rPr>
        <w:t>通过绩效评价，</w:t>
      </w:r>
      <w:r>
        <w:rPr>
          <w:rFonts w:hint="eastAsia" w:ascii="仿宋" w:hAnsi="仿宋" w:eastAsia="仿宋" w:cs="仿宋_GB2312"/>
          <w:sz w:val="32"/>
          <w:szCs w:val="32"/>
          <w:highlight w:val="none"/>
          <w:lang w:eastAsia="zh-CN"/>
        </w:rPr>
        <w:t>2020</w:t>
      </w:r>
      <w:r>
        <w:rPr>
          <w:rFonts w:hint="eastAsia" w:ascii="仿宋" w:hAnsi="仿宋" w:eastAsia="仿宋" w:cs="仿宋_GB2312"/>
          <w:sz w:val="32"/>
          <w:szCs w:val="32"/>
          <w:highlight w:val="none"/>
        </w:rPr>
        <w:t>年度部门预算具有明确的目标和用途，</w:t>
      </w:r>
      <w:r>
        <w:rPr>
          <w:rFonts w:hint="eastAsia" w:ascii="仿宋" w:hAnsi="仿宋" w:eastAsia="仿宋" w:cs="仿宋_GB2312"/>
          <w:sz w:val="32"/>
          <w:szCs w:val="32"/>
          <w:highlight w:val="none"/>
          <w:lang w:eastAsia="zh-CN"/>
        </w:rPr>
        <w:t>在</w:t>
      </w:r>
      <w:r>
        <w:rPr>
          <w:rFonts w:hint="eastAsia" w:ascii="仿宋" w:hAnsi="仿宋" w:eastAsia="仿宋" w:cs="仿宋_GB2312"/>
          <w:sz w:val="32"/>
          <w:szCs w:val="32"/>
          <w:highlight w:val="none"/>
        </w:rPr>
        <w:t>制定详细的执行计划</w:t>
      </w:r>
      <w:r>
        <w:rPr>
          <w:rFonts w:hint="eastAsia" w:ascii="仿宋" w:hAnsi="仿宋" w:eastAsia="仿宋" w:cs="仿宋_GB2312"/>
          <w:sz w:val="32"/>
          <w:szCs w:val="32"/>
          <w:highlight w:val="none"/>
          <w:lang w:eastAsia="zh-CN"/>
        </w:rPr>
        <w:t>的同时</w:t>
      </w:r>
      <w:r>
        <w:rPr>
          <w:rFonts w:hint="eastAsia" w:ascii="仿宋" w:hAnsi="仿宋" w:eastAsia="仿宋" w:cs="仿宋_GB2312"/>
          <w:sz w:val="32"/>
          <w:szCs w:val="32"/>
          <w:highlight w:val="none"/>
        </w:rPr>
        <w:t>，严格按照财政有关规定使用</w:t>
      </w:r>
      <w:r>
        <w:rPr>
          <w:rFonts w:hint="eastAsia" w:ascii="仿宋" w:hAnsi="仿宋" w:eastAsia="仿宋" w:cs="仿宋_GB2312"/>
          <w:sz w:val="32"/>
          <w:szCs w:val="32"/>
          <w:highlight w:val="none"/>
          <w:lang w:eastAsia="zh-CN"/>
        </w:rPr>
        <w:t>各类资金</w:t>
      </w:r>
      <w:r>
        <w:rPr>
          <w:rFonts w:hint="eastAsia" w:ascii="仿宋" w:hAnsi="仿宋" w:eastAsia="仿宋" w:cs="仿宋_GB2312"/>
          <w:sz w:val="32"/>
          <w:szCs w:val="32"/>
          <w:highlight w:val="none"/>
        </w:rPr>
        <w:t>。预算决策、管理、执行等日益规范，能较好地满足工作需要，取得了良好</w:t>
      </w:r>
      <w:r>
        <w:rPr>
          <w:rFonts w:hint="eastAsia" w:ascii="仿宋" w:hAnsi="仿宋" w:eastAsia="仿宋" w:cs="仿宋_GB2312"/>
          <w:sz w:val="32"/>
          <w:szCs w:val="32"/>
          <w:highlight w:val="none"/>
          <w:lang w:eastAsia="zh-CN"/>
        </w:rPr>
        <w:t>的</w:t>
      </w:r>
      <w:r>
        <w:rPr>
          <w:rFonts w:hint="eastAsia" w:ascii="仿宋" w:hAnsi="仿宋" w:eastAsia="仿宋" w:cs="仿宋_GB2312"/>
          <w:sz w:val="32"/>
          <w:szCs w:val="32"/>
          <w:highlight w:val="none"/>
        </w:rPr>
        <w:t>经济效益和社会</w:t>
      </w:r>
      <w:r>
        <w:rPr>
          <w:rFonts w:hint="eastAsia" w:ascii="仿宋" w:hAnsi="仿宋" w:eastAsia="仿宋" w:cs="仿宋_GB2312"/>
          <w:sz w:val="32"/>
          <w:szCs w:val="32"/>
          <w:highlight w:val="none"/>
          <w:lang w:eastAsia="zh-CN"/>
        </w:rPr>
        <w:t>效益。</w:t>
      </w:r>
    </w:p>
    <w:p>
      <w:pPr>
        <w:widowControl/>
        <w:numPr>
          <w:ilvl w:val="0"/>
          <w:numId w:val="6"/>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存在问题。</w:t>
      </w:r>
    </w:p>
    <w:p>
      <w:pPr>
        <w:spacing w:line="580" w:lineRule="exact"/>
        <w:ind w:firstLine="420" w:firstLineChars="200"/>
        <w:rPr>
          <w:rFonts w:ascii="仿宋" w:hAnsi="仿宋" w:eastAsia="仿宋" w:cs="仿宋_GB2312"/>
          <w:sz w:val="32"/>
          <w:szCs w:val="32"/>
          <w:highlight w:val="none"/>
        </w:rPr>
      </w:pPr>
      <w:r>
        <w:rPr>
          <w:rFonts w:hint="eastAsia" w:eastAsia="宋体"/>
          <w:highlight w:val="none"/>
          <w:lang w:val="en-US" w:eastAsia="zh-CN"/>
        </w:rPr>
        <w:t xml:space="preserve">   </w:t>
      </w:r>
      <w:r>
        <w:rPr>
          <w:rFonts w:ascii="仿宋" w:hAnsi="仿宋" w:eastAsia="仿宋" w:cs="仿宋_GB2312"/>
          <w:sz w:val="32"/>
          <w:szCs w:val="32"/>
          <w:highlight w:val="none"/>
        </w:rPr>
        <w:t>1</w:t>
      </w:r>
      <w:r>
        <w:rPr>
          <w:rFonts w:hint="eastAsia" w:ascii="仿宋" w:hAnsi="仿宋" w:eastAsia="仿宋" w:cs="仿宋_GB2312"/>
          <w:sz w:val="32"/>
          <w:szCs w:val="32"/>
          <w:highlight w:val="none"/>
        </w:rPr>
        <w:t>、年初编制的预算不够精确，导致年内预算追加较大，政府采购执行率和预算控制率较低；</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2</w:t>
      </w:r>
      <w:r>
        <w:rPr>
          <w:rFonts w:hint="eastAsia" w:ascii="仿宋" w:hAnsi="仿宋" w:eastAsia="仿宋" w:cs="仿宋_GB2312"/>
          <w:sz w:val="32"/>
          <w:szCs w:val="32"/>
          <w:highlight w:val="none"/>
        </w:rPr>
        <w:t>、预算执行情况还有待加强，年终有结余，加快支出；</w:t>
      </w:r>
    </w:p>
    <w:p>
      <w:pPr>
        <w:spacing w:line="580" w:lineRule="exact"/>
        <w:ind w:firstLine="640" w:firstLineChars="200"/>
        <w:rPr>
          <w:rFonts w:hint="default" w:eastAsia="宋体"/>
          <w:highlight w:val="none"/>
          <w:lang w:val="en-US" w:eastAsia="zh-CN"/>
        </w:rPr>
      </w:pPr>
      <w:r>
        <w:rPr>
          <w:rFonts w:ascii="仿宋" w:hAnsi="仿宋" w:eastAsia="仿宋" w:cs="仿宋_GB2312"/>
          <w:sz w:val="32"/>
          <w:szCs w:val="32"/>
          <w:highlight w:val="none"/>
        </w:rPr>
        <w:t>3</w:t>
      </w:r>
      <w:r>
        <w:rPr>
          <w:rFonts w:hint="eastAsia" w:ascii="仿宋" w:hAnsi="仿宋" w:eastAsia="仿宋" w:cs="仿宋_GB2312"/>
          <w:sz w:val="32"/>
          <w:szCs w:val="32"/>
          <w:highlight w:val="none"/>
        </w:rPr>
        <w:t>、财务制度方面不够规范、人员分工不明等原因造成的财务工作的拖延和滞后。</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（三）改进建议。</w:t>
      </w:r>
    </w:p>
    <w:p>
      <w:pPr>
        <w:widowControl/>
        <w:adjustRightInd w:val="0"/>
        <w:snapToGrid w:val="0"/>
        <w:spacing w:line="580" w:lineRule="exact"/>
        <w:ind w:firstLine="640" w:firstLineChars="200"/>
        <w:contextualSpacing/>
        <w:jc w:val="left"/>
        <w:rPr>
          <w:rFonts w:ascii="仿宋" w:hAnsi="仿宋" w:eastAsia="仿宋" w:cs="仿宋_GB2312"/>
          <w:sz w:val="32"/>
          <w:szCs w:val="32"/>
          <w:highlight w:val="none"/>
        </w:rPr>
      </w:pPr>
      <w:r>
        <w:rPr>
          <w:rFonts w:ascii="仿宋" w:hAnsi="仿宋" w:eastAsia="仿宋" w:cs="仿宋_GB2312"/>
          <w:sz w:val="32"/>
          <w:szCs w:val="32"/>
          <w:highlight w:val="none"/>
        </w:rPr>
        <w:t>1</w:t>
      </w:r>
      <w:r>
        <w:rPr>
          <w:rFonts w:hint="eastAsia" w:ascii="仿宋" w:hAnsi="仿宋" w:eastAsia="仿宋" w:cs="仿宋_GB2312"/>
          <w:sz w:val="32"/>
          <w:szCs w:val="32"/>
          <w:highlight w:val="none"/>
        </w:rPr>
        <w:t>、细化预算编制工作，认真做好预算的编制。进一步加强</w:t>
      </w:r>
      <w:r>
        <w:rPr>
          <w:rFonts w:hint="eastAsia" w:ascii="仿宋" w:hAnsi="仿宋" w:eastAsia="仿宋" w:cs="仿宋_GB2312"/>
          <w:sz w:val="32"/>
          <w:szCs w:val="32"/>
          <w:highlight w:val="none"/>
          <w:lang w:eastAsia="zh-CN"/>
        </w:rPr>
        <w:t>政府</w:t>
      </w:r>
      <w:r>
        <w:rPr>
          <w:rFonts w:hint="eastAsia" w:ascii="仿宋" w:hAnsi="仿宋" w:eastAsia="仿宋" w:cs="仿宋_GB2312"/>
          <w:sz w:val="32"/>
          <w:szCs w:val="32"/>
          <w:highlight w:val="none"/>
        </w:rPr>
        <w:t>内部机构各部门的预算管理意识，严格按照预算编制的相关制度和要求进行预算编制；全面编制预算项目，优先保障固定性的、相对性的费用支出项目，尽量压缩变动性的、有控制空间的费用项目，进一步提高预算编制的科学性、严谨性和可控性。</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2</w:t>
      </w:r>
      <w:r>
        <w:rPr>
          <w:rFonts w:hint="eastAsia" w:ascii="仿宋" w:hAnsi="仿宋" w:eastAsia="仿宋" w:cs="仿宋_GB2312"/>
          <w:sz w:val="32"/>
          <w:szCs w:val="32"/>
          <w:highlight w:val="none"/>
        </w:rPr>
        <w:t>、加强财务管理，严格财务审核。在费用报账支付时，按照预算规定的费用项目和用途进行资金使用审核、列报支付、财务核算，杜绝超支现象的发生。</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3</w:t>
      </w:r>
      <w:r>
        <w:rPr>
          <w:rFonts w:hint="eastAsia" w:ascii="仿宋" w:hAnsi="仿宋" w:eastAsia="仿宋" w:cs="仿宋_GB2312"/>
          <w:sz w:val="32"/>
          <w:szCs w:val="32"/>
          <w:highlight w:val="none"/>
        </w:rPr>
        <w:t>、持续抓好“三公”经费的规模和比例，把关“三公”经费支出的审核、审批，杜绝挪用和挤占其他预算资金行为；进一步细化“三公”经费的管理，合理压缩“三公”经费支出。</w:t>
      </w:r>
    </w:p>
    <w:p>
      <w:pPr>
        <w:spacing w:line="580" w:lineRule="exact"/>
        <w:ind w:firstLine="640" w:firstLineChars="200"/>
        <w:rPr>
          <w:rFonts w:hint="eastAsia"/>
          <w:highlight w:val="yellow"/>
        </w:rPr>
      </w:pPr>
      <w:r>
        <w:rPr>
          <w:rFonts w:ascii="仿宋" w:hAnsi="仿宋" w:eastAsia="仿宋" w:cs="仿宋_GB2312"/>
          <w:sz w:val="32"/>
          <w:szCs w:val="32"/>
          <w:highlight w:val="none"/>
        </w:rPr>
        <w:t>4</w:t>
      </w:r>
      <w:r>
        <w:rPr>
          <w:rFonts w:hint="eastAsia" w:ascii="仿宋" w:hAnsi="仿宋" w:eastAsia="仿宋" w:cs="仿宋_GB2312"/>
          <w:sz w:val="32"/>
          <w:szCs w:val="32"/>
          <w:highlight w:val="none"/>
        </w:rPr>
        <w:t>、加强项目开展进度的跟踪，开展项目绩效评价，确保项目绩效目标的完成。</w:t>
      </w:r>
    </w:p>
    <w:p>
      <w:pPr>
        <w:spacing w:line="580" w:lineRule="exact"/>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8"/>
        <w:rPr>
          <w:rFonts w:hint="eastAsia"/>
        </w:rPr>
      </w:pPr>
    </w:p>
    <w:p>
      <w:pPr>
        <w:spacing w:line="580" w:lineRule="exact"/>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附件</w:t>
      </w:r>
      <w:r>
        <w:rPr>
          <w:rFonts w:ascii="黑体" w:hAnsi="黑体" w:eastAsia="黑体" w:cs="黑体"/>
          <w:sz w:val="32"/>
          <w:szCs w:val="32"/>
          <w:highlight w:val="none"/>
        </w:rPr>
        <w:t>2</w:t>
      </w:r>
    </w:p>
    <w:p>
      <w:pPr>
        <w:spacing w:line="580" w:lineRule="exact"/>
        <w:ind w:firstLine="640" w:firstLineChars="200"/>
        <w:rPr>
          <w:rFonts w:ascii="仿宋_GB2312" w:hAnsi="仿宋_GB2312" w:eastAsia="仿宋_GB2312" w:cs="仿宋_GB2312"/>
          <w:sz w:val="32"/>
          <w:szCs w:val="32"/>
          <w:highlight w:val="none"/>
        </w:rPr>
      </w:pPr>
    </w:p>
    <w:p>
      <w:pPr>
        <w:spacing w:line="600" w:lineRule="exact"/>
        <w:jc w:val="center"/>
        <w:rPr>
          <w:rFonts w:ascii="方正小标宋简体" w:hAnsi="宋体" w:eastAsia="方正小标宋简体"/>
          <w:color w:val="auto"/>
          <w:kern w:val="0"/>
          <w:sz w:val="36"/>
          <w:szCs w:val="36"/>
          <w:highlight w:val="none"/>
          <w:lang w:val="zh-CN"/>
        </w:rPr>
      </w:pPr>
      <w:r>
        <w:rPr>
          <w:rFonts w:hint="eastAsia" w:ascii="方正小标宋简体" w:hAnsi="宋体" w:eastAsia="方正小标宋简体"/>
          <w:color w:val="auto"/>
          <w:kern w:val="0"/>
          <w:sz w:val="36"/>
          <w:szCs w:val="36"/>
          <w:highlight w:val="none"/>
          <w:lang w:eastAsia="zh-CN"/>
        </w:rPr>
        <w:t>农村公共运行维护</w:t>
      </w:r>
      <w:r>
        <w:rPr>
          <w:rFonts w:hint="eastAsia" w:ascii="方正小标宋简体" w:hAnsi="宋体" w:eastAsia="方正小标宋简体"/>
          <w:color w:val="auto"/>
          <w:kern w:val="0"/>
          <w:sz w:val="36"/>
          <w:szCs w:val="36"/>
          <w:highlight w:val="none"/>
          <w:lang w:val="zh-CN"/>
        </w:rPr>
        <w:t>项目</w:t>
      </w:r>
      <w:r>
        <w:rPr>
          <w:rFonts w:ascii="方正小标宋简体" w:hAnsi="宋体" w:eastAsia="方正小标宋简体"/>
          <w:color w:val="auto"/>
          <w:kern w:val="0"/>
          <w:sz w:val="36"/>
          <w:szCs w:val="36"/>
          <w:highlight w:val="none"/>
        </w:rPr>
        <w:t>2020</w:t>
      </w:r>
      <w:r>
        <w:rPr>
          <w:rFonts w:hint="eastAsia" w:ascii="方正小标宋简体" w:hAnsi="宋体" w:eastAsia="方正小标宋简体"/>
          <w:color w:val="auto"/>
          <w:kern w:val="0"/>
          <w:sz w:val="36"/>
          <w:szCs w:val="36"/>
          <w:highlight w:val="none"/>
        </w:rPr>
        <w:t>年</w:t>
      </w:r>
      <w:r>
        <w:rPr>
          <w:rFonts w:hint="eastAsia" w:ascii="方正小标宋简体" w:hAnsi="宋体" w:eastAsia="方正小标宋简体"/>
          <w:color w:val="auto"/>
          <w:kern w:val="0"/>
          <w:sz w:val="36"/>
          <w:szCs w:val="36"/>
          <w:highlight w:val="none"/>
          <w:lang w:val="zh-CN"/>
        </w:rPr>
        <w:t>绩效评价报告</w:t>
      </w:r>
    </w:p>
    <w:p>
      <w:pPr>
        <w:spacing w:line="600" w:lineRule="exact"/>
        <w:rPr>
          <w:rFonts w:ascii="宋体"/>
          <w:sz w:val="32"/>
          <w:szCs w:val="32"/>
          <w:highlight w:val="none"/>
          <w:lang w:val="zh-CN"/>
        </w:rPr>
      </w:pPr>
    </w:p>
    <w:p>
      <w:pPr>
        <w:adjustRightInd w:val="0"/>
        <w:snapToGrid w:val="0"/>
        <w:spacing w:line="600"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spacing w:line="540" w:lineRule="exact"/>
        <w:ind w:firstLine="640" w:firstLineChars="200"/>
        <w:rPr>
          <w:rFonts w:ascii="仿宋" w:hAnsi="仿宋" w:eastAsia="仿宋" w:cs="仿宋_GB2312"/>
          <w:sz w:val="32"/>
          <w:szCs w:val="32"/>
          <w:highlight w:val="none"/>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年度，我</w:t>
      </w:r>
      <w:r>
        <w:rPr>
          <w:rFonts w:hint="eastAsia" w:ascii="仿宋_GB2312" w:hAnsi="仿宋_GB2312" w:eastAsia="仿宋_GB2312" w:cs="仿宋_GB2312"/>
          <w:sz w:val="32"/>
          <w:szCs w:val="32"/>
          <w:highlight w:val="none"/>
          <w:lang w:eastAsia="zh-CN"/>
        </w:rPr>
        <w:t>镇</w:t>
      </w:r>
      <w:r>
        <w:rPr>
          <w:rFonts w:hint="eastAsia" w:ascii="仿宋_GB2312" w:hAnsi="仿宋_GB2312" w:eastAsia="仿宋_GB2312" w:cs="仿宋_GB2312"/>
          <w:sz w:val="32"/>
          <w:szCs w:val="32"/>
          <w:highlight w:val="none"/>
        </w:rPr>
        <w:t>共申报农村公共服务运行维护项目</w:t>
      </w:r>
      <w:r>
        <w:rPr>
          <w:rFonts w:hint="eastAsia" w:ascii="仿宋_GB2312" w:hAnsi="仿宋_GB2312" w:eastAsia="仿宋_GB2312" w:cs="仿宋_GB2312"/>
          <w:sz w:val="32"/>
          <w:szCs w:val="32"/>
          <w:highlight w:val="none"/>
          <w:lang w:val="en-US" w:eastAsia="zh-CN"/>
        </w:rPr>
        <w:t>37</w:t>
      </w:r>
      <w:r>
        <w:rPr>
          <w:rFonts w:hint="eastAsia" w:ascii="仿宋_GB2312" w:hAnsi="仿宋_GB2312" w:eastAsia="仿宋_GB2312" w:cs="仿宋_GB2312"/>
          <w:sz w:val="32"/>
          <w:szCs w:val="32"/>
          <w:highlight w:val="none"/>
        </w:rPr>
        <w:t>个，其中包括</w:t>
      </w:r>
      <w:r>
        <w:rPr>
          <w:rFonts w:hint="eastAsia" w:ascii="仿宋_GB2312" w:hAnsi="仿宋_GB2312" w:eastAsia="仿宋_GB2312" w:cs="仿宋_GB2312"/>
          <w:sz w:val="32"/>
          <w:szCs w:val="32"/>
          <w:highlight w:val="none"/>
          <w:lang w:val="en-US" w:eastAsia="zh-CN"/>
        </w:rPr>
        <w:t>21个道路维护项目，12个环境卫生项目，1个集中供水水井维修项目，3个村进行村级活动阵地维修改造项目</w:t>
      </w:r>
      <w:r>
        <w:rPr>
          <w:rFonts w:hint="eastAsia" w:ascii="仿宋_GB2312" w:hAnsi="仿宋_GB2312" w:eastAsia="仿宋_GB2312" w:cs="仿宋_GB2312"/>
          <w:sz w:val="32"/>
          <w:szCs w:val="32"/>
          <w:highlight w:val="none"/>
        </w:rPr>
        <w:t>。项目涉及我</w:t>
      </w:r>
      <w:r>
        <w:rPr>
          <w:rFonts w:hint="eastAsia" w:ascii="仿宋_GB2312" w:hAnsi="仿宋_GB2312" w:eastAsia="仿宋_GB2312" w:cs="仿宋_GB2312"/>
          <w:sz w:val="32"/>
          <w:szCs w:val="32"/>
          <w:highlight w:val="none"/>
          <w:lang w:eastAsia="zh-CN"/>
        </w:rPr>
        <w:t>镇</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村</w:t>
      </w:r>
      <w:r>
        <w:rPr>
          <w:rFonts w:hint="eastAsia" w:ascii="仿宋_GB2312" w:hAnsi="仿宋_GB2312" w:eastAsia="仿宋_GB2312" w:cs="仿宋_GB2312"/>
          <w:sz w:val="32"/>
          <w:szCs w:val="32"/>
          <w:highlight w:val="none"/>
          <w:lang w:val="en-US" w:eastAsia="zh-CN"/>
        </w:rPr>
        <w:t>1社区，</w:t>
      </w:r>
      <w:r>
        <w:rPr>
          <w:rFonts w:hint="eastAsia" w:ascii="仿宋_GB2312" w:hAnsi="仿宋_GB2312" w:eastAsia="仿宋_GB2312" w:cs="仿宋_GB2312"/>
          <w:sz w:val="32"/>
          <w:szCs w:val="32"/>
          <w:highlight w:val="none"/>
        </w:rPr>
        <w:t>惠及群众达到</w:t>
      </w:r>
      <w:r>
        <w:rPr>
          <w:rFonts w:hint="eastAsia" w:ascii="仿宋_GB2312" w:hAnsi="仿宋_GB2312" w:eastAsia="仿宋_GB2312" w:cs="仿宋_GB2312"/>
          <w:sz w:val="32"/>
          <w:szCs w:val="32"/>
          <w:highlight w:val="none"/>
          <w:lang w:val="en-US" w:eastAsia="zh-CN"/>
        </w:rPr>
        <w:t>15117</w:t>
      </w:r>
      <w:r>
        <w:rPr>
          <w:rFonts w:hint="eastAsia" w:ascii="仿宋_GB2312" w:hAnsi="仿宋_GB2312" w:eastAsia="仿宋_GB2312" w:cs="仿宋_GB2312"/>
          <w:sz w:val="32"/>
          <w:szCs w:val="32"/>
          <w:highlight w:val="none"/>
        </w:rPr>
        <w:t>余人。</w:t>
      </w:r>
      <w:r>
        <w:rPr>
          <w:rFonts w:hint="eastAsia" w:ascii="仿宋" w:hAnsi="仿宋" w:eastAsia="仿宋"/>
          <w:sz w:val="32"/>
          <w:szCs w:val="32"/>
          <w:highlight w:val="none"/>
        </w:rPr>
        <w:t>农村公共服务运行维护机制建设是农村公益事业建设的重要内容，具体由项目村实施，</w:t>
      </w:r>
      <w:r>
        <w:rPr>
          <w:rFonts w:hint="eastAsia" w:ascii="仿宋" w:hAnsi="仿宋" w:eastAsia="仿宋"/>
          <w:sz w:val="32"/>
          <w:szCs w:val="32"/>
          <w:highlight w:val="none"/>
          <w:lang w:eastAsia="zh-CN"/>
        </w:rPr>
        <w:t>镇</w:t>
      </w:r>
      <w:r>
        <w:rPr>
          <w:rFonts w:hint="eastAsia" w:ascii="仿宋" w:hAnsi="仿宋" w:eastAsia="仿宋"/>
          <w:sz w:val="32"/>
          <w:szCs w:val="32"/>
          <w:highlight w:val="none"/>
        </w:rPr>
        <w:t>政府主导监管的方式进行，同时充分调动村“两委”、农民群众和社会各界的积极性，共同推进农村公共服务运行维护机制建设，确保进一步改善农村基础设施条件。</w:t>
      </w:r>
    </w:p>
    <w:p>
      <w:pPr>
        <w:numPr>
          <w:ilvl w:val="0"/>
          <w:numId w:val="7"/>
        </w:numPr>
        <w:adjustRightInd w:val="0"/>
        <w:snapToGrid w:val="0"/>
        <w:spacing w:line="600" w:lineRule="exact"/>
        <w:ind w:left="-90" w:leftChars="0" w:firstLine="720" w:firstLineChars="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项目绩效目标。</w:t>
      </w:r>
    </w:p>
    <w:p>
      <w:pPr>
        <w:spacing w:line="560" w:lineRule="exact"/>
        <w:ind w:firstLine="420" w:firstLineChars="200"/>
        <w:rPr>
          <w:rFonts w:hint="default" w:eastAsia="宋体"/>
          <w:highlight w:val="none"/>
          <w:lang w:val="en-US" w:eastAsia="zh-CN"/>
        </w:rPr>
      </w:pPr>
      <w:r>
        <w:rPr>
          <w:rFonts w:hint="eastAsia" w:eastAsia="宋体"/>
          <w:highlight w:val="none"/>
          <w:lang w:val="en-US" w:eastAsia="zh-CN"/>
        </w:rPr>
        <w:t xml:space="preserve">  </w:t>
      </w:r>
      <w:r>
        <w:rPr>
          <w:rFonts w:hint="eastAsia" w:ascii="仿宋" w:hAnsi="仿宋" w:eastAsia="仿宋" w:cs="仿宋"/>
          <w:sz w:val="32"/>
          <w:szCs w:val="32"/>
          <w:highlight w:val="none"/>
          <w:lang w:eastAsia="zh-CN"/>
        </w:rPr>
        <w:t>一是有效改变村容村貌；二是初步形成一套运行维护标准体系，促进新农村建设，使村民愿意做事，有钱做事，充分调动老百姓参与村级事物的积极性。</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hint="eastAsia" w:ascii="黑体" w:hAnsi="宋体" w:eastAsia="黑体"/>
          <w:sz w:val="32"/>
          <w:szCs w:val="32"/>
          <w:highlight w:val="none"/>
          <w:lang w:eastAsia="zh-CN"/>
        </w:rPr>
      </w:pPr>
      <w:r>
        <w:rPr>
          <w:rFonts w:hint="eastAsia" w:ascii="仿宋" w:hAnsi="仿宋" w:eastAsia="仿宋" w:cs="仿宋"/>
          <w:b w:val="0"/>
          <w:bCs w:val="0"/>
          <w:sz w:val="32"/>
          <w:szCs w:val="32"/>
          <w:highlight w:val="none"/>
          <w:lang w:eastAsia="zh-CN"/>
        </w:rPr>
        <w:t>实施进度评估，项目成本评估，效果评估。</w:t>
      </w:r>
    </w:p>
    <w:p>
      <w:pPr>
        <w:spacing w:line="560" w:lineRule="exact"/>
        <w:ind w:firstLine="960" w:firstLineChars="300"/>
        <w:rPr>
          <w:rFonts w:ascii="黑体" w:hAnsi="宋体" w:eastAsia="黑体"/>
          <w:sz w:val="32"/>
          <w:szCs w:val="32"/>
          <w:highlight w:val="yellow"/>
        </w:rPr>
      </w:pPr>
      <w:r>
        <w:rPr>
          <w:rFonts w:hint="eastAsia" w:ascii="黑体" w:hAnsi="宋体" w:eastAsia="黑体" w:cs="黑体"/>
          <w:sz w:val="32"/>
          <w:szCs w:val="32"/>
          <w:highlight w:val="yellow"/>
        </w:rPr>
        <w:t>二、项目资金管理情况</w:t>
      </w:r>
    </w:p>
    <w:p>
      <w:pPr>
        <w:spacing w:line="560" w:lineRule="exact"/>
        <w:ind w:firstLine="645"/>
        <w:rPr>
          <w:rFonts w:ascii="仿宋" w:hAnsi="仿宋" w:eastAsia="仿宋"/>
          <w:sz w:val="32"/>
          <w:szCs w:val="32"/>
          <w:highlight w:val="yellow"/>
        </w:rPr>
      </w:pPr>
      <w:r>
        <w:rPr>
          <w:rFonts w:hint="eastAsia" w:ascii="仿宋" w:hAnsi="仿宋" w:eastAsia="仿宋" w:cs="仿宋"/>
          <w:b/>
          <w:bCs/>
          <w:sz w:val="32"/>
          <w:szCs w:val="32"/>
          <w:highlight w:val="yellow"/>
        </w:rPr>
        <w:t>（一）资金到位情况：</w:t>
      </w:r>
      <w:r>
        <w:rPr>
          <w:rFonts w:ascii="??_GB2312" w:hAnsi="仿宋" w:eastAsia="Times New Roman" w:cs="??_GB2312"/>
          <w:sz w:val="32"/>
          <w:szCs w:val="32"/>
          <w:highlight w:val="yellow"/>
        </w:rPr>
        <w:t>2</w:t>
      </w:r>
      <w:r>
        <w:rPr>
          <w:rFonts w:ascii="仿宋" w:hAnsi="仿宋" w:eastAsia="仿宋" w:cs="仿宋"/>
          <w:sz w:val="32"/>
          <w:szCs w:val="32"/>
          <w:highlight w:val="yellow"/>
        </w:rPr>
        <w:t>020</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eastAsia="zh-CN"/>
        </w:rPr>
        <w:t>农村公共运行维护</w:t>
      </w:r>
      <w:r>
        <w:rPr>
          <w:rFonts w:hint="eastAsia" w:ascii="仿宋" w:hAnsi="仿宋" w:eastAsia="仿宋" w:cs="仿宋"/>
          <w:sz w:val="32"/>
          <w:szCs w:val="32"/>
          <w:highlight w:val="yellow"/>
        </w:rPr>
        <w:t>资金共计</w:t>
      </w:r>
      <w:r>
        <w:rPr>
          <w:rFonts w:hint="eastAsia" w:ascii="仿宋" w:hAnsi="仿宋" w:eastAsia="仿宋" w:cs="仿宋"/>
          <w:sz w:val="32"/>
          <w:szCs w:val="32"/>
          <w:highlight w:val="yellow"/>
          <w:lang w:val="en-US" w:eastAsia="zh-CN"/>
        </w:rPr>
        <w:t>68万</w:t>
      </w:r>
      <w:r>
        <w:rPr>
          <w:rFonts w:hint="eastAsia" w:ascii="仿宋" w:hAnsi="仿宋" w:eastAsia="仿宋" w:cs="仿宋"/>
          <w:sz w:val="32"/>
          <w:szCs w:val="32"/>
          <w:highlight w:val="yellow"/>
        </w:rPr>
        <w:t>元。</w:t>
      </w:r>
    </w:p>
    <w:p>
      <w:pPr>
        <w:spacing w:line="560" w:lineRule="exact"/>
        <w:ind w:firstLine="645"/>
        <w:rPr>
          <w:rFonts w:ascii="仿宋" w:hAnsi="仿宋" w:eastAsia="仿宋"/>
          <w:sz w:val="32"/>
          <w:szCs w:val="32"/>
          <w:highlight w:val="yellow"/>
        </w:rPr>
      </w:pPr>
      <w:r>
        <w:rPr>
          <w:rFonts w:hint="eastAsia" w:ascii="仿宋" w:hAnsi="仿宋" w:eastAsia="仿宋" w:cs="仿宋"/>
          <w:b/>
          <w:bCs/>
          <w:sz w:val="32"/>
          <w:szCs w:val="32"/>
          <w:highlight w:val="yellow"/>
        </w:rPr>
        <w:t>（二）预算资金执行情况：</w:t>
      </w:r>
      <w:r>
        <w:rPr>
          <w:rFonts w:ascii="仿宋" w:hAnsi="仿宋" w:eastAsia="仿宋" w:cs="仿宋"/>
          <w:sz w:val="32"/>
          <w:szCs w:val="32"/>
          <w:highlight w:val="yellow"/>
        </w:rPr>
        <w:t>2020</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eastAsia="zh-CN"/>
        </w:rPr>
        <w:t>农村公共运行维护</w:t>
      </w:r>
      <w:r>
        <w:rPr>
          <w:rFonts w:hint="eastAsia" w:ascii="仿宋" w:hAnsi="仿宋" w:eastAsia="仿宋" w:cs="仿宋"/>
          <w:sz w:val="32"/>
          <w:szCs w:val="32"/>
          <w:highlight w:val="yellow"/>
        </w:rPr>
        <w:t>费用共计</w:t>
      </w:r>
      <w:r>
        <w:rPr>
          <w:rFonts w:hint="eastAsia" w:ascii="仿宋" w:hAnsi="仿宋" w:eastAsia="仿宋" w:cs="仿宋"/>
          <w:sz w:val="32"/>
          <w:szCs w:val="32"/>
          <w:highlight w:val="yellow"/>
          <w:lang w:val="en-US" w:eastAsia="zh-CN"/>
        </w:rPr>
        <w:t>68万</w:t>
      </w:r>
      <w:r>
        <w:rPr>
          <w:rFonts w:hint="eastAsia" w:ascii="仿宋" w:hAnsi="仿宋" w:eastAsia="仿宋" w:cs="仿宋"/>
          <w:sz w:val="32"/>
          <w:szCs w:val="32"/>
          <w:highlight w:val="yellow"/>
        </w:rPr>
        <w:t>元。</w:t>
      </w:r>
    </w:p>
    <w:p>
      <w:pPr>
        <w:spacing w:line="560" w:lineRule="exact"/>
        <w:ind w:firstLine="645"/>
        <w:rPr>
          <w:rFonts w:ascii="仿宋" w:hAnsi="仿宋" w:eastAsia="仿宋"/>
          <w:sz w:val="32"/>
          <w:szCs w:val="32"/>
          <w:highlight w:val="none"/>
        </w:rPr>
      </w:pPr>
      <w:r>
        <w:rPr>
          <w:rFonts w:hint="eastAsia" w:ascii="仿宋" w:hAnsi="仿宋" w:eastAsia="仿宋" w:cs="仿宋"/>
          <w:b/>
          <w:bCs/>
          <w:sz w:val="32"/>
          <w:szCs w:val="32"/>
          <w:highlight w:val="none"/>
        </w:rPr>
        <w:t>（三）项目资金规范运行情况：</w:t>
      </w:r>
      <w:r>
        <w:rPr>
          <w:rFonts w:ascii="??_GB2312" w:hAnsi="仿宋" w:eastAsia="Times New Roman" w:cs="??_GB2312"/>
          <w:sz w:val="32"/>
          <w:szCs w:val="32"/>
          <w:highlight w:val="none"/>
        </w:rPr>
        <w:t>2</w:t>
      </w:r>
      <w:r>
        <w:rPr>
          <w:rFonts w:ascii="仿宋" w:hAnsi="仿宋" w:eastAsia="仿宋" w:cs="仿宋"/>
          <w:sz w:val="32"/>
          <w:szCs w:val="32"/>
          <w:highlight w:val="none"/>
        </w:rPr>
        <w:t>020</w:t>
      </w:r>
      <w:r>
        <w:rPr>
          <w:rFonts w:hint="eastAsia" w:ascii="仿宋" w:hAnsi="仿宋" w:eastAsia="仿宋" w:cs="仿宋"/>
          <w:sz w:val="32"/>
          <w:szCs w:val="32"/>
          <w:highlight w:val="none"/>
        </w:rPr>
        <w:t>年按照</w:t>
      </w:r>
      <w:r>
        <w:rPr>
          <w:rFonts w:hint="eastAsia" w:ascii="仿宋" w:hAnsi="仿宋" w:eastAsia="仿宋" w:cs="仿宋"/>
          <w:sz w:val="32"/>
          <w:szCs w:val="32"/>
          <w:highlight w:val="none"/>
          <w:lang w:eastAsia="zh-CN"/>
        </w:rPr>
        <w:t>农村公共运行维护相关</w:t>
      </w:r>
      <w:r>
        <w:rPr>
          <w:rFonts w:hint="eastAsia" w:ascii="仿宋" w:hAnsi="仿宋" w:eastAsia="仿宋" w:cs="仿宋"/>
          <w:sz w:val="32"/>
          <w:szCs w:val="32"/>
          <w:highlight w:val="none"/>
        </w:rPr>
        <w:t>合同，及时兑现费用。</w:t>
      </w:r>
    </w:p>
    <w:p>
      <w:pPr>
        <w:spacing w:line="560" w:lineRule="exact"/>
        <w:ind w:firstLine="645"/>
        <w:rPr>
          <w:rFonts w:ascii="仿宋" w:hAnsi="仿宋" w:eastAsia="仿宋"/>
          <w:sz w:val="32"/>
          <w:szCs w:val="32"/>
          <w:highlight w:val="none"/>
        </w:rPr>
      </w:pPr>
      <w:r>
        <w:rPr>
          <w:rFonts w:hint="eastAsia" w:ascii="仿宋" w:hAnsi="仿宋" w:eastAsia="仿宋" w:cs="仿宋"/>
          <w:b/>
          <w:bCs/>
          <w:sz w:val="32"/>
          <w:szCs w:val="32"/>
          <w:highlight w:val="none"/>
        </w:rPr>
        <w:t>（四）财务管理情况</w:t>
      </w:r>
      <w:r>
        <w:rPr>
          <w:rFonts w:hint="eastAsia" w:ascii="仿宋" w:hAnsi="仿宋" w:eastAsia="仿宋" w:cs="仿宋"/>
          <w:b/>
          <w:bCs/>
          <w:sz w:val="32"/>
          <w:szCs w:val="32"/>
          <w:highlight w:val="none"/>
          <w:lang w:eastAsia="zh-CN"/>
        </w:rPr>
        <w:t>：</w:t>
      </w:r>
      <w:r>
        <w:rPr>
          <w:rFonts w:hint="eastAsia" w:ascii="仿宋_GB2312" w:hAnsi="宋体" w:eastAsia="仿宋_GB2312"/>
          <w:sz w:val="32"/>
          <w:szCs w:val="32"/>
          <w:highlight w:val="none"/>
          <w:lang w:val="zh-CN"/>
        </w:rPr>
        <w:t>财务管理制度健全，</w:t>
      </w:r>
      <w:r>
        <w:rPr>
          <w:rFonts w:hint="eastAsia" w:ascii="仿宋" w:hAnsi="仿宋" w:eastAsia="仿宋" w:cs="仿宋"/>
          <w:sz w:val="32"/>
          <w:szCs w:val="32"/>
          <w:highlight w:val="none"/>
        </w:rPr>
        <w:t>我</w:t>
      </w:r>
      <w:r>
        <w:rPr>
          <w:rFonts w:hint="eastAsia" w:ascii="仿宋" w:hAnsi="仿宋" w:eastAsia="仿宋" w:cs="仿宋"/>
          <w:sz w:val="32"/>
          <w:szCs w:val="32"/>
          <w:highlight w:val="none"/>
          <w:lang w:eastAsia="zh-CN"/>
        </w:rPr>
        <w:t>镇</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农村公共运行维护相关</w:t>
      </w:r>
      <w:r>
        <w:rPr>
          <w:rFonts w:hint="eastAsia" w:ascii="仿宋" w:hAnsi="仿宋" w:eastAsia="仿宋" w:cs="仿宋"/>
          <w:sz w:val="32"/>
          <w:szCs w:val="32"/>
          <w:highlight w:val="none"/>
        </w:rPr>
        <w:t>合同，按时兑现</w:t>
      </w:r>
      <w:r>
        <w:rPr>
          <w:rFonts w:hint="eastAsia" w:ascii="仿宋" w:hAnsi="仿宋" w:eastAsia="仿宋" w:cs="仿宋"/>
          <w:sz w:val="32"/>
          <w:szCs w:val="32"/>
          <w:highlight w:val="none"/>
          <w:lang w:eastAsia="zh-CN"/>
        </w:rPr>
        <w:t>农村公共运行维护</w:t>
      </w:r>
      <w:r>
        <w:rPr>
          <w:rFonts w:hint="eastAsia" w:ascii="仿宋" w:hAnsi="仿宋" w:eastAsia="仿宋" w:cs="仿宋"/>
          <w:sz w:val="32"/>
          <w:szCs w:val="32"/>
          <w:highlight w:val="none"/>
        </w:rPr>
        <w:t>费用，及时</w:t>
      </w:r>
      <w:r>
        <w:rPr>
          <w:rFonts w:hint="eastAsia" w:ascii="仿宋" w:hAnsi="仿宋" w:eastAsia="仿宋" w:cs="仿宋"/>
          <w:sz w:val="32"/>
          <w:szCs w:val="32"/>
          <w:highlight w:val="none"/>
          <w:lang w:eastAsia="zh-CN"/>
        </w:rPr>
        <w:t>进行</w:t>
      </w:r>
      <w:r>
        <w:rPr>
          <w:rFonts w:hint="eastAsia" w:ascii="仿宋" w:hAnsi="仿宋" w:eastAsia="仿宋" w:cs="仿宋"/>
          <w:sz w:val="32"/>
          <w:szCs w:val="32"/>
          <w:highlight w:val="none"/>
        </w:rPr>
        <w:t>财务入账处理。</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三、项目实施及管理情况</w:t>
      </w:r>
    </w:p>
    <w:p>
      <w:pPr>
        <w:adjustRightInd w:val="0"/>
        <w:snapToGrid w:val="0"/>
        <w:spacing w:line="600" w:lineRule="exact"/>
        <w:ind w:firstLine="643" w:firstLineChars="20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（一）项目组织架构及实施流程。</w:t>
      </w:r>
    </w:p>
    <w:p>
      <w:pPr>
        <w:spacing w:line="540" w:lineRule="exact"/>
        <w:ind w:firstLine="640" w:firstLineChars="200"/>
        <w:rPr>
          <w:rFonts w:hint="eastAsia" w:ascii="仿宋" w:hAnsi="仿宋" w:eastAsia="仿宋" w:cs="仿宋"/>
          <w:b w:val="0"/>
          <w:bCs/>
          <w:sz w:val="32"/>
          <w:szCs w:val="32"/>
          <w:highlight w:val="none"/>
          <w:lang w:val="zh-CN"/>
        </w:rPr>
      </w:pPr>
      <w:r>
        <w:rPr>
          <w:rFonts w:hint="eastAsia" w:ascii="仿宋" w:hAnsi="仿宋" w:eastAsia="仿宋" w:cs="仿宋"/>
          <w:b w:val="0"/>
          <w:bCs/>
          <w:sz w:val="32"/>
          <w:szCs w:val="32"/>
          <w:highlight w:val="none"/>
          <w:lang w:val="zh-CN"/>
        </w:rPr>
        <w:t>农村公共运行维护机制建设的主要内容包括村级基础设施建设、村级环境治理、村级文化设施、村级社会管理等，着力解决村内最急需、群众最盼望、受益最突出的问题。前期结合本镇实际情况，认真调查研究，深入分析，科学制定研究方案，制定</w:t>
      </w:r>
      <w:r>
        <w:rPr>
          <w:rFonts w:hint="eastAsia" w:ascii="仿宋" w:hAnsi="仿宋" w:eastAsia="仿宋" w:cs="仿宋"/>
          <w:sz w:val="32"/>
          <w:szCs w:val="32"/>
          <w:highlight w:val="none"/>
        </w:rPr>
        <w:t>包括</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村</w:t>
      </w:r>
      <w:r>
        <w:rPr>
          <w:rFonts w:hint="eastAsia" w:ascii="仿宋_GB2312" w:hAnsi="仿宋_GB2312" w:eastAsia="仿宋_GB2312" w:cs="仿宋_GB2312"/>
          <w:sz w:val="32"/>
          <w:szCs w:val="32"/>
          <w:highlight w:val="none"/>
          <w:lang w:val="en-US" w:eastAsia="zh-CN"/>
        </w:rPr>
        <w:t>1社区21个道路维护项目，12个环境卫生项目，1个集中供水水井维修项目，3个村进行村级活动阵地维修改造</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项目</w:t>
      </w:r>
      <w:r>
        <w:rPr>
          <w:rFonts w:hint="eastAsia" w:ascii="仿宋" w:hAnsi="仿宋" w:eastAsia="仿宋" w:cs="仿宋"/>
          <w:b w:val="0"/>
          <w:bCs/>
          <w:sz w:val="32"/>
          <w:szCs w:val="32"/>
          <w:highlight w:val="none"/>
          <w:lang w:val="zh-CN"/>
        </w:rPr>
        <w:t>具体工作方案。后期项目完工后，由“村两委”和监督小组进行组织验收。</w:t>
      </w:r>
    </w:p>
    <w:p>
      <w:pPr>
        <w:spacing w:line="540" w:lineRule="exact"/>
        <w:ind w:firstLine="643" w:firstLineChars="20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（二）项目管理情况。</w:t>
      </w:r>
    </w:p>
    <w:p>
      <w:pPr>
        <w:spacing w:line="540" w:lineRule="exact"/>
        <w:ind w:firstLine="640" w:firstLineChars="200"/>
        <w:rPr>
          <w:rFonts w:ascii="仿宋_GB2312" w:hAnsi="宋体" w:eastAsia="仿宋_GB2312"/>
          <w:sz w:val="32"/>
          <w:szCs w:val="32"/>
          <w:highlight w:val="none"/>
          <w:lang w:val="zh-CN"/>
        </w:rPr>
      </w:pPr>
      <w:r>
        <w:rPr>
          <w:rFonts w:hint="eastAsia" w:ascii="仿宋" w:hAnsi="仿宋" w:eastAsia="仿宋"/>
          <w:sz w:val="32"/>
          <w:szCs w:val="32"/>
          <w:highlight w:val="none"/>
        </w:rPr>
        <w:t>严格按照《项目资金管理制度》，充分认识资金的重要性和特殊性，以高度的责任感、使命感和工作热情，管好用好每一分钱，使资金的安排使用发挥出最大效益,实现了项目目标</w:t>
      </w:r>
      <w:r>
        <w:rPr>
          <w:rFonts w:hint="eastAsia" w:ascii="仿宋" w:hAnsi="仿宋" w:eastAsia="仿宋"/>
          <w:sz w:val="32"/>
          <w:szCs w:val="32"/>
          <w:highlight w:val="none"/>
          <w:lang w:eastAsia="zh-CN"/>
        </w:rPr>
        <w:t>，</w:t>
      </w:r>
      <w:r>
        <w:rPr>
          <w:rFonts w:hint="eastAsia" w:ascii="仿宋" w:hAnsi="仿宋" w:eastAsia="仿宋"/>
          <w:sz w:val="32"/>
          <w:szCs w:val="32"/>
          <w:highlight w:val="none"/>
        </w:rPr>
        <w:t>财务管理规范，账务处理符合国家规定，</w:t>
      </w:r>
      <w:r>
        <w:rPr>
          <w:rFonts w:hint="eastAsia" w:ascii="仿宋" w:hAnsi="仿宋" w:eastAsia="仿宋" w:cs="Arial"/>
          <w:color w:val="222222"/>
          <w:sz w:val="32"/>
          <w:szCs w:val="32"/>
          <w:highlight w:val="none"/>
        </w:rPr>
        <w:t>没有出现截留</w:t>
      </w:r>
      <w:r>
        <w:rPr>
          <w:rFonts w:hint="eastAsia" w:ascii="仿宋" w:hAnsi="仿宋" w:eastAsia="仿宋"/>
          <w:sz w:val="32"/>
          <w:szCs w:val="32"/>
          <w:highlight w:val="none"/>
        </w:rPr>
        <w:t>、挤占、挪用、贪污和骗取专项资金的情况，各项支出均符合国家有关规定。</w:t>
      </w:r>
      <w:r>
        <w:rPr>
          <w:rFonts w:hint="eastAsia" w:ascii="仿宋" w:hAnsi="仿宋" w:eastAsia="仿宋"/>
          <w:sz w:val="32"/>
          <w:szCs w:val="32"/>
          <w:highlight w:val="none"/>
          <w:lang w:eastAsia="zh-CN"/>
        </w:rPr>
        <w:t>2020</w:t>
      </w:r>
      <w:r>
        <w:rPr>
          <w:rFonts w:hint="eastAsia" w:ascii="仿宋" w:hAnsi="仿宋" w:eastAsia="仿宋"/>
          <w:sz w:val="32"/>
          <w:szCs w:val="32"/>
          <w:highlight w:val="none"/>
        </w:rPr>
        <w:t>年农村公共服务运行维护项目资金已全部兑付到各村账户，严格执行统一核算，专款专用，没有出现违规使用资金的行为，</w:t>
      </w:r>
      <w:r>
        <w:rPr>
          <w:rFonts w:hint="eastAsia" w:ascii="仿宋" w:hAnsi="仿宋" w:eastAsia="仿宋" w:cs="方正仿宋简体"/>
          <w:sz w:val="32"/>
          <w:szCs w:val="32"/>
          <w:highlight w:val="none"/>
        </w:rPr>
        <w:t>资金拨付根据工程进度进行划拨，项目完工验收合格并公示无异议后兑付及清算</w:t>
      </w:r>
      <w:r>
        <w:rPr>
          <w:rFonts w:hint="eastAsia" w:ascii="仿宋" w:hAnsi="仿宋" w:eastAsia="仿宋"/>
          <w:sz w:val="32"/>
          <w:szCs w:val="32"/>
          <w:highlight w:val="none"/>
        </w:rPr>
        <w:t>全部资金。为农村公共服务运行维护机制提供了保障。</w:t>
      </w:r>
    </w:p>
    <w:p>
      <w:pPr>
        <w:numPr>
          <w:ilvl w:val="0"/>
          <w:numId w:val="6"/>
        </w:numPr>
        <w:spacing w:line="540" w:lineRule="exact"/>
        <w:ind w:left="0" w:leftChars="0" w:firstLine="643" w:firstLineChars="20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项目监管情况。</w:t>
      </w:r>
    </w:p>
    <w:p>
      <w:pPr>
        <w:numPr>
          <w:ilvl w:val="0"/>
          <w:numId w:val="0"/>
        </w:numPr>
        <w:spacing w:line="540" w:lineRule="exact"/>
        <w:ind w:firstLine="640" w:firstLineChars="200"/>
        <w:rPr>
          <w:rFonts w:ascii="仿宋" w:hAnsi="仿宋" w:eastAsia="仿宋" w:cs="方正仿宋简体"/>
          <w:bCs/>
          <w:sz w:val="32"/>
          <w:szCs w:val="32"/>
          <w:highlight w:val="none"/>
        </w:rPr>
      </w:pPr>
      <w:r>
        <w:rPr>
          <w:rFonts w:hint="eastAsia" w:ascii="仿宋" w:hAnsi="仿宋" w:eastAsia="仿宋"/>
          <w:sz w:val="32"/>
          <w:szCs w:val="32"/>
          <w:highlight w:val="none"/>
        </w:rPr>
        <w:t>为确保该项工作有序开展，我</w:t>
      </w:r>
      <w:r>
        <w:rPr>
          <w:rFonts w:hint="eastAsia" w:ascii="仿宋" w:hAnsi="仿宋" w:eastAsia="仿宋"/>
          <w:sz w:val="32"/>
          <w:szCs w:val="32"/>
          <w:highlight w:val="none"/>
          <w:lang w:eastAsia="zh-CN"/>
        </w:rPr>
        <w:t>镇</w:t>
      </w:r>
      <w:r>
        <w:rPr>
          <w:rFonts w:hint="eastAsia" w:ascii="仿宋" w:hAnsi="仿宋" w:eastAsia="仿宋"/>
          <w:sz w:val="32"/>
          <w:szCs w:val="32"/>
          <w:highlight w:val="none"/>
        </w:rPr>
        <w:t>成立了由</w:t>
      </w:r>
      <w:r>
        <w:rPr>
          <w:rFonts w:hint="eastAsia" w:ascii="仿宋" w:hAnsi="仿宋" w:eastAsia="仿宋"/>
          <w:sz w:val="32"/>
          <w:szCs w:val="32"/>
          <w:highlight w:val="none"/>
          <w:lang w:eastAsia="zh-CN"/>
        </w:rPr>
        <w:t>镇</w:t>
      </w:r>
      <w:r>
        <w:rPr>
          <w:rFonts w:hint="eastAsia" w:ascii="仿宋" w:hAnsi="仿宋" w:eastAsia="仿宋"/>
          <w:sz w:val="32"/>
          <w:szCs w:val="32"/>
          <w:highlight w:val="none"/>
        </w:rPr>
        <w:t>政府</w:t>
      </w:r>
      <w:r>
        <w:rPr>
          <w:rFonts w:hint="eastAsia" w:ascii="仿宋" w:hAnsi="仿宋" w:eastAsia="仿宋"/>
          <w:sz w:val="32"/>
          <w:szCs w:val="32"/>
          <w:highlight w:val="none"/>
          <w:lang w:eastAsia="zh-CN"/>
        </w:rPr>
        <w:t>书记宋伟</w:t>
      </w:r>
      <w:r>
        <w:rPr>
          <w:rFonts w:hint="eastAsia" w:ascii="仿宋" w:hAnsi="仿宋" w:eastAsia="仿宋"/>
          <w:sz w:val="32"/>
          <w:szCs w:val="32"/>
          <w:highlight w:val="none"/>
        </w:rPr>
        <w:t>为组长，</w:t>
      </w:r>
      <w:r>
        <w:rPr>
          <w:rFonts w:hint="eastAsia" w:ascii="仿宋" w:hAnsi="仿宋" w:eastAsia="仿宋"/>
          <w:sz w:val="32"/>
          <w:szCs w:val="32"/>
          <w:highlight w:val="none"/>
          <w:lang w:eastAsia="zh-CN"/>
        </w:rPr>
        <w:t>镇</w:t>
      </w:r>
      <w:r>
        <w:rPr>
          <w:rFonts w:hint="eastAsia" w:ascii="仿宋" w:hAnsi="仿宋" w:eastAsia="仿宋"/>
          <w:sz w:val="32"/>
          <w:szCs w:val="32"/>
          <w:highlight w:val="none"/>
        </w:rPr>
        <w:t>财政所负责人为副组长，财政所出纳以及各村主任为成员的</w:t>
      </w:r>
      <w:r>
        <w:rPr>
          <w:rFonts w:hint="eastAsia" w:ascii="仿宋" w:hAnsi="仿宋" w:eastAsia="仿宋" w:cs="方正仿宋简体"/>
          <w:bCs/>
          <w:sz w:val="32"/>
          <w:szCs w:val="32"/>
          <w:highlight w:val="none"/>
        </w:rPr>
        <w:t>农村公共运行维护工作领导小组，</w:t>
      </w:r>
      <w:r>
        <w:rPr>
          <w:rFonts w:hint="eastAsia" w:ascii="仿宋" w:hAnsi="仿宋" w:eastAsia="仿宋" w:cs="方正仿宋简体"/>
          <w:bCs/>
          <w:sz w:val="32"/>
          <w:szCs w:val="32"/>
          <w:highlight w:val="none"/>
          <w:lang w:eastAsia="zh-CN"/>
        </w:rPr>
        <w:t>镇</w:t>
      </w:r>
      <w:r>
        <w:rPr>
          <w:rFonts w:hint="eastAsia" w:ascii="仿宋" w:hAnsi="仿宋" w:eastAsia="仿宋" w:cs="方正仿宋简体"/>
          <w:bCs/>
          <w:sz w:val="32"/>
          <w:szCs w:val="32"/>
          <w:highlight w:val="none"/>
        </w:rPr>
        <w:t>党政办主任以及各村书记为成员的监督小组</w:t>
      </w:r>
      <w:r>
        <w:rPr>
          <w:rFonts w:hint="eastAsia" w:ascii="仿宋" w:hAnsi="仿宋" w:eastAsia="仿宋" w:cs="方正仿宋简体"/>
          <w:bCs/>
          <w:sz w:val="32"/>
          <w:szCs w:val="32"/>
          <w:highlight w:val="none"/>
          <w:lang w:eastAsia="zh-CN"/>
        </w:rPr>
        <w:t>，</w:t>
      </w:r>
      <w:r>
        <w:rPr>
          <w:rFonts w:hint="eastAsia" w:ascii="仿宋" w:hAnsi="仿宋" w:eastAsia="仿宋" w:cs="方正仿宋简体"/>
          <w:bCs/>
          <w:sz w:val="32"/>
          <w:szCs w:val="32"/>
          <w:highlight w:val="none"/>
        </w:rPr>
        <w:t>同时，根据《广元市朝天区农村公共运行服务运行维护机制建设实施方案》，我</w:t>
      </w:r>
      <w:r>
        <w:rPr>
          <w:rFonts w:hint="eastAsia" w:ascii="仿宋" w:hAnsi="仿宋" w:eastAsia="仿宋" w:cs="方正仿宋简体"/>
          <w:bCs/>
          <w:sz w:val="32"/>
          <w:szCs w:val="32"/>
          <w:highlight w:val="none"/>
          <w:lang w:eastAsia="zh-CN"/>
        </w:rPr>
        <w:t>镇</w:t>
      </w:r>
      <w:r>
        <w:rPr>
          <w:rFonts w:hint="eastAsia" w:ascii="仿宋" w:hAnsi="仿宋" w:eastAsia="仿宋" w:cs="方正仿宋简体"/>
          <w:bCs/>
          <w:sz w:val="32"/>
          <w:szCs w:val="32"/>
          <w:highlight w:val="none"/>
        </w:rPr>
        <w:t>结合实际，制定了《</w:t>
      </w:r>
      <w:r>
        <w:rPr>
          <w:rFonts w:hint="eastAsia" w:ascii="仿宋" w:hAnsi="仿宋" w:eastAsia="仿宋" w:cs="方正仿宋简体"/>
          <w:bCs/>
          <w:sz w:val="32"/>
          <w:szCs w:val="32"/>
          <w:highlight w:val="none"/>
          <w:lang w:eastAsia="zh-CN"/>
        </w:rPr>
        <w:t>曾家镇</w:t>
      </w:r>
      <w:r>
        <w:rPr>
          <w:rFonts w:hint="eastAsia" w:ascii="仿宋" w:hAnsi="仿宋" w:eastAsia="仿宋" w:cs="方正仿宋简体"/>
          <w:bCs/>
          <w:sz w:val="32"/>
          <w:szCs w:val="32"/>
          <w:highlight w:val="none"/>
        </w:rPr>
        <w:t>农村公共运行服务运行维护机制建设实施方案》，并相继出台了农村公共服务运行维护机制资金管理暂行办法等条例，规范资金使用管理。</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黑体" w:hAnsi="宋体" w:eastAsia="黑体"/>
          <w:sz w:val="32"/>
          <w:szCs w:val="32"/>
          <w:highlight w:val="none"/>
        </w:rPr>
        <w:t>四、项目绩效情况</w:t>
      </w:r>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spacing w:line="540" w:lineRule="exact"/>
        <w:ind w:firstLine="640" w:firstLineChars="200"/>
        <w:rPr>
          <w:rFonts w:ascii="仿宋" w:hAnsi="仿宋" w:eastAsia="仿宋"/>
          <w:sz w:val="32"/>
          <w:szCs w:val="32"/>
          <w:highlight w:val="none"/>
        </w:rPr>
      </w:pPr>
      <w:r>
        <w:rPr>
          <w:rFonts w:hint="eastAsia" w:ascii="仿宋" w:hAnsi="仿宋" w:eastAsia="仿宋"/>
          <w:color w:val="auto"/>
          <w:sz w:val="32"/>
          <w:szCs w:val="32"/>
          <w:highlight w:val="none"/>
          <w:lang w:eastAsia="zh-CN"/>
        </w:rPr>
        <w:t>农村公共运行维护</w:t>
      </w:r>
      <w:r>
        <w:rPr>
          <w:rFonts w:hint="eastAsia" w:ascii="仿宋" w:hAnsi="仿宋" w:eastAsia="仿宋"/>
          <w:color w:val="auto"/>
          <w:sz w:val="32"/>
          <w:szCs w:val="32"/>
          <w:highlight w:val="none"/>
        </w:rPr>
        <w:t>项目</w:t>
      </w:r>
      <w:r>
        <w:rPr>
          <w:rFonts w:hint="eastAsia" w:ascii="仿宋" w:hAnsi="仿宋" w:eastAsia="仿宋"/>
          <w:sz w:val="32"/>
          <w:szCs w:val="32"/>
          <w:highlight w:val="none"/>
        </w:rPr>
        <w:t>建设均按照批准的《朝天区农村公共服务运行维护项目审批汇总表》确定的建设内容开展项目建设工作，目前实施项目均已竣工。</w:t>
      </w:r>
    </w:p>
    <w:p>
      <w:pPr>
        <w:numPr>
          <w:ilvl w:val="0"/>
          <w:numId w:val="8"/>
        </w:numPr>
        <w:adjustRightInd w:val="0"/>
        <w:snapToGrid w:val="0"/>
        <w:spacing w:line="600" w:lineRule="exact"/>
        <w:ind w:firstLine="72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项目效益情况。</w:t>
      </w:r>
    </w:p>
    <w:p>
      <w:pPr>
        <w:numPr>
          <w:ilvl w:val="0"/>
          <w:numId w:val="0"/>
        </w:numPr>
        <w:adjustRightInd w:val="0"/>
        <w:snapToGrid w:val="0"/>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经济效益</w:t>
      </w:r>
      <w:r>
        <w:rPr>
          <w:rFonts w:hint="eastAsia" w:ascii="仿宋" w:hAnsi="仿宋" w:eastAsia="仿宋"/>
          <w:sz w:val="32"/>
          <w:szCs w:val="32"/>
          <w:highlight w:val="none"/>
          <w:lang w:eastAsia="zh-CN"/>
        </w:rPr>
        <w:t>。</w:t>
      </w:r>
      <w:r>
        <w:rPr>
          <w:rFonts w:hint="eastAsia" w:ascii="仿宋" w:hAnsi="仿宋" w:eastAsia="仿宋"/>
          <w:sz w:val="32"/>
          <w:szCs w:val="32"/>
          <w:highlight w:val="none"/>
        </w:rPr>
        <w:t>通过农村公共服务运行维护项目的实施，解决了村民出行困难</w:t>
      </w:r>
      <w:r>
        <w:rPr>
          <w:rFonts w:hint="eastAsia" w:ascii="仿宋" w:hAnsi="仿宋" w:eastAsia="仿宋"/>
          <w:sz w:val="32"/>
          <w:szCs w:val="32"/>
          <w:highlight w:val="none"/>
          <w:lang w:eastAsia="zh-CN"/>
        </w:rPr>
        <w:t>的问题</w:t>
      </w:r>
      <w:r>
        <w:rPr>
          <w:rFonts w:hint="eastAsia" w:ascii="仿宋" w:hAnsi="仿宋" w:eastAsia="仿宋"/>
          <w:sz w:val="32"/>
          <w:szCs w:val="32"/>
          <w:highlight w:val="none"/>
        </w:rPr>
        <w:t>，</w:t>
      </w:r>
      <w:r>
        <w:rPr>
          <w:rFonts w:hint="eastAsia" w:ascii="仿宋" w:hAnsi="仿宋" w:eastAsia="仿宋"/>
          <w:sz w:val="32"/>
          <w:szCs w:val="32"/>
          <w:highlight w:val="none"/>
          <w:lang w:eastAsia="zh-CN"/>
        </w:rPr>
        <w:t>使</w:t>
      </w:r>
      <w:r>
        <w:rPr>
          <w:rFonts w:hint="eastAsia" w:ascii="仿宋" w:hAnsi="仿宋" w:eastAsia="仿宋"/>
          <w:sz w:val="32"/>
          <w:szCs w:val="32"/>
          <w:highlight w:val="none"/>
        </w:rPr>
        <w:t>生产生活条件得以改善，促进了农村经济发展，农业增效</w:t>
      </w:r>
      <w:r>
        <w:rPr>
          <w:rFonts w:hint="eastAsia" w:ascii="仿宋" w:hAnsi="仿宋" w:eastAsia="仿宋"/>
          <w:sz w:val="32"/>
          <w:szCs w:val="32"/>
          <w:highlight w:val="none"/>
          <w:lang w:eastAsia="zh-CN"/>
        </w:rPr>
        <w:t>以及</w:t>
      </w:r>
      <w:r>
        <w:rPr>
          <w:rFonts w:hint="eastAsia" w:ascii="仿宋" w:hAnsi="仿宋" w:eastAsia="仿宋"/>
          <w:sz w:val="32"/>
          <w:szCs w:val="32"/>
          <w:highlight w:val="none"/>
        </w:rPr>
        <w:t>农民增收。</w:t>
      </w:r>
    </w:p>
    <w:p>
      <w:pPr>
        <w:numPr>
          <w:ilvl w:val="0"/>
          <w:numId w:val="0"/>
        </w:numPr>
        <w:adjustRightInd w:val="0"/>
        <w:snapToGrid w:val="0"/>
        <w:spacing w:line="600" w:lineRule="exact"/>
        <w:ind w:firstLine="640" w:firstLineChars="200"/>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lang w:val="en-US" w:eastAsia="zh-CN"/>
        </w:rPr>
        <w:t>2、</w:t>
      </w:r>
      <w:r>
        <w:rPr>
          <w:rFonts w:hint="eastAsia" w:ascii="仿宋" w:hAnsi="仿宋" w:eastAsia="仿宋"/>
          <w:b w:val="0"/>
          <w:bCs w:val="0"/>
          <w:color w:val="auto"/>
          <w:sz w:val="32"/>
          <w:szCs w:val="32"/>
          <w:highlight w:val="none"/>
        </w:rPr>
        <w:t>社会效益</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农村公共服务运行维护项目的实施，</w:t>
      </w:r>
      <w:r>
        <w:rPr>
          <w:rFonts w:hint="eastAsia" w:ascii="仿宋" w:hAnsi="仿宋" w:eastAsia="仿宋" w:cs="仿宋"/>
          <w:b w:val="0"/>
          <w:bCs w:val="0"/>
          <w:color w:val="auto"/>
          <w:sz w:val="32"/>
          <w:szCs w:val="32"/>
          <w:highlight w:val="none"/>
        </w:rPr>
        <w:t>一是让</w:t>
      </w:r>
      <w:r>
        <w:rPr>
          <w:rFonts w:hint="eastAsia" w:ascii="仿宋" w:hAnsi="仿宋" w:eastAsia="仿宋" w:cs="仿宋"/>
          <w:b w:val="0"/>
          <w:bCs w:val="0"/>
          <w:color w:val="auto"/>
          <w:sz w:val="32"/>
          <w:szCs w:val="32"/>
          <w:highlight w:val="none"/>
          <w:lang w:eastAsia="zh-CN"/>
        </w:rPr>
        <w:t>村</w:t>
      </w:r>
      <w:r>
        <w:rPr>
          <w:rFonts w:hint="eastAsia" w:ascii="仿宋" w:hAnsi="仿宋" w:eastAsia="仿宋" w:cs="仿宋"/>
          <w:b w:val="0"/>
          <w:bCs w:val="0"/>
          <w:color w:val="auto"/>
          <w:sz w:val="32"/>
          <w:szCs w:val="32"/>
          <w:highlight w:val="none"/>
        </w:rPr>
        <w:t>民感受到了党和政府的关怀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二是扩大了基层民主议事</w:t>
      </w:r>
      <w:r>
        <w:rPr>
          <w:rFonts w:hint="eastAsia" w:ascii="仿宋" w:hAnsi="仿宋" w:eastAsia="仿宋"/>
          <w:b w:val="0"/>
          <w:bCs w:val="0"/>
          <w:color w:val="auto"/>
          <w:sz w:val="32"/>
          <w:szCs w:val="32"/>
          <w:highlight w:val="none"/>
        </w:rPr>
        <w:t>能力。农村公共服务运行维护项目实行区定范围、村“两委会”组织、村民议定、审批报账的程序，具体议事程序严格实行“三议五公开一监督”，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w:t>
      </w:r>
      <w:r>
        <w:rPr>
          <w:rFonts w:hint="eastAsia" w:ascii="仿宋" w:hAnsi="仿宋" w:eastAsia="仿宋" w:cs="仿宋"/>
          <w:b w:val="0"/>
          <w:bCs w:val="0"/>
          <w:color w:val="auto"/>
          <w:sz w:val="32"/>
          <w:szCs w:val="32"/>
          <w:highlight w:val="none"/>
        </w:rPr>
        <w:t>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三是融洽了</w:t>
      </w:r>
      <w:r>
        <w:rPr>
          <w:rFonts w:hint="eastAsia" w:ascii="仿宋" w:hAnsi="仿宋" w:eastAsia="仿宋"/>
          <w:b w:val="0"/>
          <w:bCs w:val="0"/>
          <w:color w:val="auto"/>
          <w:sz w:val="32"/>
          <w:szCs w:val="32"/>
          <w:highlight w:val="none"/>
        </w:rPr>
        <w:t>干群关系。农村公共服务运行维护项目实施的过程，是村级组织凝聚力、向心力、号召力不断增强的过程，使基层干部在组织动员群众中找到了“抓手”，在新农村建设中赢</w:t>
      </w:r>
      <w:r>
        <w:rPr>
          <w:rFonts w:hint="eastAsia" w:ascii="仿宋" w:hAnsi="仿宋" w:eastAsia="仿宋"/>
          <w:b w:val="0"/>
          <w:bCs w:val="0"/>
          <w:color w:val="auto"/>
          <w:sz w:val="32"/>
          <w:szCs w:val="32"/>
          <w:highlight w:val="none"/>
          <w:lang w:eastAsia="zh-CN"/>
        </w:rPr>
        <w:t>取得了较好的成绩</w:t>
      </w:r>
      <w:r>
        <w:rPr>
          <w:rFonts w:hint="eastAsia" w:ascii="仿宋" w:hAnsi="仿宋" w:eastAsia="仿宋"/>
          <w:b w:val="0"/>
          <w:bCs w:val="0"/>
          <w:color w:val="auto"/>
          <w:sz w:val="32"/>
          <w:szCs w:val="32"/>
          <w:highlight w:val="none"/>
        </w:rPr>
        <w:t>，党群、干群关系更加密切，增强了农村的和谐稳定。</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五、评价结论及建议</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720"/>
        <w:rPr>
          <w:rFonts w:hint="eastAsia" w:ascii="仿宋_GB2312" w:hAnsi="宋体" w:eastAsia="仿宋_GB2312"/>
          <w:color w:val="000000" w:themeColor="text1"/>
          <w:sz w:val="32"/>
          <w:szCs w:val="32"/>
          <w:highlight w:val="none"/>
          <w:lang w:val="zh-CN"/>
        </w:rPr>
      </w:pPr>
      <w:r>
        <w:rPr>
          <w:rFonts w:hint="eastAsia" w:ascii="仿宋_GB2312" w:hAnsi="宋体" w:eastAsia="仿宋_GB2312"/>
          <w:color w:val="000000" w:themeColor="text1"/>
          <w:sz w:val="32"/>
          <w:szCs w:val="32"/>
          <w:highlight w:val="none"/>
          <w:lang w:val="zh-CN"/>
        </w:rPr>
        <w:t>总体上看，项目目标明确、资金到位率高、组织监管体系完善。农村公共服务设施运行维护项目资金较好地实现了绩效目标。</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spacing w:line="54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1、项目实施单位，受其自身条件、村内条件无专业队伍施工等因素的制约，在保证质量的前提下，施工进度有待加快。重建设，轻管理，养护管理制度还待进一步完善。</w:t>
      </w:r>
    </w:p>
    <w:p>
      <w:pPr>
        <w:spacing w:line="54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2、补助标准偏低，项目实施困难。虽然我们按照“谁受益、谁分摊的”原则，严格执行国家对农民负担的政策要求，鉴于农村外出务工人员多，在家劳动力少的实际情况，群众筹资酬劳相当困难，补标准偏低，项目实施难度大。</w:t>
      </w:r>
    </w:p>
    <w:p>
      <w:pPr>
        <w:adjustRightInd w:val="0"/>
        <w:snapToGrid w:val="0"/>
        <w:spacing w:line="600" w:lineRule="exact"/>
        <w:ind w:firstLine="640" w:firstLineChars="200"/>
        <w:rPr>
          <w:rFonts w:ascii="仿宋_GB2312" w:hAnsi="宋体" w:eastAsia="仿宋_GB2312"/>
          <w:sz w:val="32"/>
          <w:szCs w:val="32"/>
          <w:highlight w:val="none"/>
          <w:lang w:val="zh-CN"/>
        </w:rPr>
      </w:pPr>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spacing w:line="540" w:lineRule="exact"/>
        <w:ind w:firstLine="640" w:firstLineChars="200"/>
        <w:rPr>
          <w:rFonts w:hint="eastAsia" w:ascii="仿宋" w:hAnsi="仿宋" w:eastAsia="仿宋"/>
          <w:sz w:val="32"/>
          <w:szCs w:val="32"/>
          <w:highlight w:val="none"/>
          <w:lang w:eastAsia="zh-CN"/>
        </w:rPr>
      </w:pPr>
      <w:r>
        <w:rPr>
          <w:rFonts w:hint="eastAsia" w:ascii="仿宋" w:hAnsi="仿宋" w:eastAsia="仿宋"/>
          <w:color w:val="000000"/>
          <w:sz w:val="32"/>
          <w:szCs w:val="32"/>
          <w:highlight w:val="none"/>
        </w:rPr>
        <w:t>1、加大督促指导力度，完善农村公共服务运行维护项</w:t>
      </w:r>
      <w:r>
        <w:rPr>
          <w:rFonts w:hint="eastAsia" w:ascii="仿宋" w:hAnsi="仿宋" w:eastAsia="仿宋"/>
          <w:sz w:val="32"/>
          <w:szCs w:val="32"/>
          <w:highlight w:val="none"/>
        </w:rPr>
        <w:t>目程序，简化手续。</w:t>
      </w:r>
    </w:p>
    <w:p>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3、配套一定的工作经费。建议配套一定的工作经费，减轻乡财政压力，更能抓好项目落实。  </w:t>
      </w: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bookmarkStart w:id="54" w:name="_Toc15396618"/>
      <w:r>
        <w:rPr>
          <w:rFonts w:hint="eastAsia" w:ascii="黑体" w:hAnsi="黑体" w:eastAsia="黑体"/>
          <w:color w:val="000000"/>
          <w:sz w:val="44"/>
          <w:szCs w:val="44"/>
        </w:rPr>
        <w:t>第</w:t>
      </w:r>
      <w:r>
        <w:rPr>
          <w:rStyle w:val="25"/>
          <w:rFonts w:hint="eastAsia" w:ascii="黑体" w:hAnsi="黑体" w:eastAsia="黑体"/>
          <w:b w:val="0"/>
        </w:rPr>
        <w:t>五部分</w:t>
      </w:r>
      <w:r>
        <w:rPr>
          <w:rStyle w:val="25"/>
          <w:rFonts w:ascii="黑体" w:hAnsi="黑体" w:eastAsia="黑体"/>
          <w:b w:val="0"/>
        </w:rPr>
        <w:t xml:space="preserve"> </w:t>
      </w:r>
      <w:r>
        <w:rPr>
          <w:rStyle w:val="25"/>
          <w:rFonts w:hint="eastAsia" w:ascii="黑体" w:hAnsi="黑体" w:eastAsia="黑体"/>
          <w:b w:val="0"/>
        </w:rPr>
        <w:t>附表</w:t>
      </w:r>
      <w:bookmarkEnd w:id="54"/>
    </w:p>
    <w:bookmarkEnd w:id="53"/>
    <w:p>
      <w:pPr>
        <w:pStyle w:val="4"/>
        <w:rPr>
          <w:rFonts w:ascii="仿宋" w:hAnsi="仿宋" w:eastAsia="仿宋"/>
          <w:color w:val="000000"/>
        </w:rPr>
      </w:pPr>
      <w:bookmarkStart w:id="55" w:name="_Toc15396619"/>
      <w:r>
        <w:rPr>
          <w:rFonts w:hint="eastAsia" w:ascii="仿宋" w:hAnsi="仿宋" w:eastAsia="仿宋"/>
          <w:b w:val="0"/>
          <w:color w:val="000000"/>
        </w:rPr>
        <w:t>一、收</w:t>
      </w:r>
      <w:r>
        <w:rPr>
          <w:rStyle w:val="43"/>
          <w:rFonts w:hint="eastAsia" w:ascii="仿宋" w:hAnsi="仿宋" w:eastAsia="仿宋"/>
          <w:b w:val="0"/>
          <w:bCs w:val="0"/>
        </w:rPr>
        <w:t>入支出决算总表</w:t>
      </w:r>
      <w:bookmarkEnd w:id="55"/>
    </w:p>
    <w:p>
      <w:pPr>
        <w:pStyle w:val="4"/>
        <w:rPr>
          <w:rFonts w:ascii="仿宋" w:hAnsi="仿宋" w:eastAsia="仿宋"/>
          <w:color w:val="000000"/>
        </w:rPr>
      </w:pPr>
      <w:bookmarkStart w:id="56" w:name="_Toc15396620"/>
      <w:r>
        <w:rPr>
          <w:rFonts w:hint="eastAsia" w:ascii="仿宋" w:hAnsi="仿宋" w:eastAsia="仿宋"/>
          <w:b w:val="0"/>
          <w:color w:val="000000"/>
        </w:rPr>
        <w:t>二、收</w:t>
      </w:r>
      <w:r>
        <w:rPr>
          <w:rStyle w:val="43"/>
          <w:rFonts w:hint="eastAsia" w:ascii="仿宋" w:hAnsi="仿宋" w:eastAsia="仿宋"/>
          <w:b w:val="0"/>
          <w:bCs w:val="0"/>
        </w:rPr>
        <w:t>入决算表</w:t>
      </w:r>
      <w:bookmarkEnd w:id="56"/>
    </w:p>
    <w:p>
      <w:pPr>
        <w:pStyle w:val="4"/>
        <w:rPr>
          <w:rFonts w:ascii="仿宋" w:hAnsi="仿宋" w:eastAsia="仿宋"/>
          <w:color w:val="000000"/>
        </w:rPr>
      </w:pPr>
      <w:bookmarkStart w:id="57" w:name="_Toc15396621"/>
      <w:r>
        <w:rPr>
          <w:rStyle w:val="43"/>
          <w:rFonts w:hint="eastAsia" w:ascii="仿宋" w:hAnsi="仿宋" w:eastAsia="仿宋"/>
          <w:b w:val="0"/>
          <w:bCs w:val="0"/>
        </w:rPr>
        <w:t>三、</w:t>
      </w:r>
      <w:r>
        <w:rPr>
          <w:rFonts w:hint="eastAsia" w:ascii="仿宋" w:hAnsi="仿宋" w:eastAsia="仿宋"/>
          <w:b w:val="0"/>
          <w:color w:val="000000"/>
        </w:rPr>
        <w:t>支</w:t>
      </w:r>
      <w:r>
        <w:rPr>
          <w:rStyle w:val="43"/>
          <w:rFonts w:hint="eastAsia" w:ascii="仿宋" w:hAnsi="仿宋" w:eastAsia="仿宋"/>
          <w:b w:val="0"/>
          <w:bCs w:val="0"/>
        </w:rPr>
        <w:t>出决算表</w:t>
      </w:r>
      <w:bookmarkEnd w:id="57"/>
    </w:p>
    <w:p>
      <w:pPr>
        <w:pStyle w:val="4"/>
        <w:rPr>
          <w:rFonts w:ascii="仿宋" w:hAnsi="仿宋" w:eastAsia="仿宋"/>
          <w:b w:val="0"/>
          <w:color w:val="000000"/>
        </w:rPr>
      </w:pPr>
      <w:bookmarkStart w:id="58" w:name="_Toc15396622"/>
      <w:r>
        <w:rPr>
          <w:rStyle w:val="43"/>
          <w:rFonts w:hint="eastAsia" w:ascii="仿宋" w:hAnsi="仿宋" w:eastAsia="仿宋"/>
          <w:b w:val="0"/>
          <w:bCs w:val="0"/>
        </w:rPr>
        <w:t>四、</w:t>
      </w:r>
      <w:r>
        <w:rPr>
          <w:rFonts w:hint="eastAsia" w:ascii="仿宋" w:hAnsi="仿宋" w:eastAsia="仿宋"/>
          <w:b w:val="0"/>
          <w:color w:val="000000"/>
        </w:rPr>
        <w:t>财</w:t>
      </w:r>
      <w:r>
        <w:rPr>
          <w:rStyle w:val="43"/>
          <w:rFonts w:hint="eastAsia" w:ascii="仿宋" w:hAnsi="仿宋" w:eastAsia="仿宋"/>
          <w:b w:val="0"/>
          <w:bCs w:val="0"/>
        </w:rPr>
        <w:t>政拨款收入支出决算总表</w:t>
      </w:r>
      <w:bookmarkEnd w:id="58"/>
    </w:p>
    <w:p>
      <w:pPr>
        <w:pStyle w:val="4"/>
        <w:rPr>
          <w:rStyle w:val="43"/>
          <w:rFonts w:ascii="仿宋" w:hAnsi="仿宋" w:eastAsia="仿宋"/>
          <w:b w:val="0"/>
          <w:bCs w:val="0"/>
        </w:rPr>
      </w:pPr>
      <w:bookmarkStart w:id="59" w:name="_Toc15396623"/>
      <w:r>
        <w:rPr>
          <w:rStyle w:val="43"/>
          <w:rFonts w:hint="eastAsia" w:ascii="仿宋" w:hAnsi="仿宋" w:eastAsia="仿宋"/>
          <w:b w:val="0"/>
          <w:bCs w:val="0"/>
        </w:rPr>
        <w:t>五、</w:t>
      </w:r>
      <w:r>
        <w:rPr>
          <w:rFonts w:hint="eastAsia" w:ascii="仿宋" w:hAnsi="仿宋" w:eastAsia="仿宋"/>
          <w:b w:val="0"/>
          <w:color w:val="000000"/>
        </w:rPr>
        <w:t>财</w:t>
      </w:r>
      <w:r>
        <w:rPr>
          <w:rStyle w:val="43"/>
          <w:rFonts w:hint="eastAsia" w:ascii="仿宋" w:hAnsi="仿宋" w:eastAsia="仿宋"/>
          <w:b w:val="0"/>
          <w:bCs w:val="0"/>
        </w:rPr>
        <w:t>政拨款支出决算明细表</w:t>
      </w:r>
      <w:bookmarkEnd w:id="59"/>
      <w:bookmarkStart w:id="60" w:name="_Toc15396624"/>
    </w:p>
    <w:p>
      <w:pPr>
        <w:pStyle w:val="4"/>
        <w:rPr>
          <w:rFonts w:ascii="仿宋" w:hAnsi="仿宋" w:eastAsia="仿宋"/>
          <w:color w:val="000000"/>
        </w:rPr>
      </w:pPr>
      <w:r>
        <w:rPr>
          <w:rStyle w:val="43"/>
          <w:rFonts w:hint="eastAsia" w:ascii="仿宋" w:hAnsi="仿宋" w:eastAsia="仿宋"/>
          <w:b w:val="0"/>
          <w:bCs w:val="0"/>
        </w:rPr>
        <w:t>六、</w:t>
      </w:r>
      <w:r>
        <w:rPr>
          <w:rFonts w:hint="eastAsia" w:ascii="仿宋" w:hAnsi="仿宋" w:eastAsia="仿宋"/>
          <w:b w:val="0"/>
          <w:color w:val="000000"/>
        </w:rPr>
        <w:t>一</w:t>
      </w:r>
      <w:r>
        <w:rPr>
          <w:rStyle w:val="43"/>
          <w:rFonts w:hint="eastAsia" w:ascii="仿宋" w:hAnsi="仿宋" w:eastAsia="仿宋"/>
          <w:b w:val="0"/>
          <w:bCs w:val="0"/>
        </w:rPr>
        <w:t>般公共预算财政拨款支出决算表</w:t>
      </w:r>
      <w:bookmarkEnd w:id="60"/>
    </w:p>
    <w:p>
      <w:pPr>
        <w:pStyle w:val="4"/>
        <w:rPr>
          <w:rFonts w:ascii="仿宋" w:hAnsi="仿宋" w:eastAsia="仿宋"/>
          <w:color w:val="000000"/>
        </w:rPr>
      </w:pPr>
      <w:bookmarkStart w:id="61" w:name="_Toc15396625"/>
      <w:r>
        <w:rPr>
          <w:rStyle w:val="43"/>
          <w:rFonts w:hint="eastAsia" w:ascii="仿宋" w:hAnsi="仿宋" w:eastAsia="仿宋"/>
          <w:b w:val="0"/>
          <w:bCs w:val="0"/>
        </w:rPr>
        <w:t>七、</w:t>
      </w:r>
      <w:r>
        <w:rPr>
          <w:rFonts w:hint="eastAsia" w:ascii="仿宋" w:hAnsi="仿宋" w:eastAsia="仿宋"/>
          <w:b w:val="0"/>
          <w:color w:val="000000"/>
        </w:rPr>
        <w:t>一</w:t>
      </w:r>
      <w:r>
        <w:rPr>
          <w:rStyle w:val="43"/>
          <w:rFonts w:hint="eastAsia" w:ascii="仿宋" w:hAnsi="仿宋" w:eastAsia="仿宋"/>
          <w:b w:val="0"/>
          <w:bCs w:val="0"/>
        </w:rPr>
        <w:t>般公共预算财政拨款支出决算明细表</w:t>
      </w:r>
      <w:bookmarkEnd w:id="61"/>
    </w:p>
    <w:p>
      <w:pPr>
        <w:pStyle w:val="4"/>
        <w:rPr>
          <w:rFonts w:ascii="仿宋" w:hAnsi="仿宋" w:eastAsia="仿宋"/>
          <w:color w:val="000000"/>
        </w:rPr>
      </w:pPr>
      <w:bookmarkStart w:id="62" w:name="_Toc15396626"/>
      <w:r>
        <w:rPr>
          <w:rStyle w:val="43"/>
          <w:rFonts w:hint="eastAsia" w:ascii="仿宋" w:hAnsi="仿宋" w:eastAsia="仿宋"/>
          <w:b w:val="0"/>
          <w:bCs w:val="0"/>
        </w:rPr>
        <w:t>八、</w:t>
      </w:r>
      <w:r>
        <w:rPr>
          <w:rFonts w:hint="eastAsia" w:ascii="仿宋" w:hAnsi="仿宋" w:eastAsia="仿宋"/>
          <w:b w:val="0"/>
          <w:color w:val="000000"/>
        </w:rPr>
        <w:t>一</w:t>
      </w:r>
      <w:r>
        <w:rPr>
          <w:rStyle w:val="43"/>
          <w:rFonts w:hint="eastAsia" w:ascii="仿宋" w:hAnsi="仿宋" w:eastAsia="仿宋"/>
          <w:b w:val="0"/>
          <w:bCs w:val="0"/>
        </w:rPr>
        <w:t>般公共预算财政拨款基本支出决算表</w:t>
      </w:r>
      <w:bookmarkEnd w:id="62"/>
    </w:p>
    <w:p>
      <w:pPr>
        <w:pStyle w:val="4"/>
        <w:rPr>
          <w:rFonts w:ascii="仿宋" w:hAnsi="仿宋" w:eastAsia="仿宋"/>
          <w:color w:val="000000"/>
        </w:rPr>
      </w:pPr>
      <w:bookmarkStart w:id="63" w:name="_Toc15396627"/>
      <w:r>
        <w:rPr>
          <w:rStyle w:val="43"/>
          <w:rFonts w:hint="eastAsia" w:ascii="仿宋" w:hAnsi="仿宋" w:eastAsia="仿宋"/>
          <w:b w:val="0"/>
          <w:bCs w:val="0"/>
        </w:rPr>
        <w:t>九、</w:t>
      </w:r>
      <w:r>
        <w:rPr>
          <w:rFonts w:hint="eastAsia" w:ascii="仿宋" w:hAnsi="仿宋" w:eastAsia="仿宋"/>
          <w:b w:val="0"/>
          <w:color w:val="000000"/>
        </w:rPr>
        <w:t>一</w:t>
      </w:r>
      <w:r>
        <w:rPr>
          <w:rStyle w:val="43"/>
          <w:rFonts w:hint="eastAsia" w:ascii="仿宋" w:hAnsi="仿宋" w:eastAsia="仿宋"/>
          <w:b w:val="0"/>
          <w:bCs w:val="0"/>
        </w:rPr>
        <w:t>般公共预算财政拨款项目支出决算表</w:t>
      </w:r>
      <w:bookmarkEnd w:id="63"/>
    </w:p>
    <w:p>
      <w:pPr>
        <w:pStyle w:val="4"/>
        <w:rPr>
          <w:rFonts w:ascii="仿宋" w:hAnsi="仿宋" w:eastAsia="仿宋"/>
          <w:color w:val="000000"/>
        </w:rPr>
      </w:pPr>
      <w:bookmarkStart w:id="64" w:name="_Toc15396628"/>
      <w:r>
        <w:rPr>
          <w:rStyle w:val="43"/>
          <w:rFonts w:hint="eastAsia" w:ascii="仿宋" w:hAnsi="仿宋" w:eastAsia="仿宋"/>
          <w:b w:val="0"/>
          <w:bCs w:val="0"/>
        </w:rPr>
        <w:t>十、</w:t>
      </w:r>
      <w:r>
        <w:rPr>
          <w:rFonts w:hint="eastAsia" w:ascii="仿宋" w:hAnsi="仿宋" w:eastAsia="仿宋"/>
          <w:b w:val="0"/>
          <w:color w:val="000000"/>
        </w:rPr>
        <w:t>一</w:t>
      </w:r>
      <w:r>
        <w:rPr>
          <w:rStyle w:val="43"/>
          <w:rFonts w:hint="eastAsia" w:ascii="仿宋" w:hAnsi="仿宋" w:eastAsia="仿宋"/>
          <w:b w:val="0"/>
          <w:bCs w:val="0"/>
        </w:rPr>
        <w:t>般公共预算财政拨款“三公”经费支出决算表</w:t>
      </w:r>
      <w:bookmarkEnd w:id="64"/>
    </w:p>
    <w:p>
      <w:pPr>
        <w:pStyle w:val="4"/>
        <w:rPr>
          <w:rFonts w:ascii="仿宋" w:hAnsi="仿宋" w:eastAsia="仿宋"/>
          <w:color w:val="000000"/>
        </w:rPr>
      </w:pPr>
      <w:bookmarkStart w:id="65" w:name="_Toc15396629"/>
      <w:r>
        <w:rPr>
          <w:rStyle w:val="43"/>
          <w:rFonts w:hint="eastAsia" w:ascii="仿宋" w:hAnsi="仿宋" w:eastAsia="仿宋"/>
          <w:b w:val="0"/>
          <w:bCs w:val="0"/>
        </w:rPr>
        <w:t>十一、</w:t>
      </w:r>
      <w:r>
        <w:rPr>
          <w:rFonts w:hint="eastAsia" w:ascii="仿宋" w:hAnsi="仿宋" w:eastAsia="仿宋"/>
          <w:b w:val="0"/>
          <w:color w:val="000000"/>
        </w:rPr>
        <w:t>政</w:t>
      </w:r>
      <w:r>
        <w:rPr>
          <w:rStyle w:val="43"/>
          <w:rFonts w:hint="eastAsia" w:ascii="仿宋" w:hAnsi="仿宋" w:eastAsia="仿宋"/>
          <w:b w:val="0"/>
          <w:bCs w:val="0"/>
        </w:rPr>
        <w:t>府性基金预算财政拨款收入支出决算表</w:t>
      </w:r>
      <w:bookmarkEnd w:id="65"/>
    </w:p>
    <w:p>
      <w:pPr>
        <w:pStyle w:val="4"/>
        <w:rPr>
          <w:rFonts w:ascii="仿宋" w:hAnsi="仿宋" w:eastAsia="仿宋"/>
          <w:color w:val="000000"/>
        </w:rPr>
      </w:pPr>
      <w:bookmarkStart w:id="66" w:name="_Toc15396630"/>
      <w:r>
        <w:rPr>
          <w:rStyle w:val="43"/>
          <w:rFonts w:hint="eastAsia" w:ascii="仿宋" w:hAnsi="仿宋" w:eastAsia="仿宋"/>
          <w:b w:val="0"/>
          <w:bCs w:val="0"/>
        </w:rPr>
        <w:t>十二、</w:t>
      </w:r>
      <w:r>
        <w:rPr>
          <w:rFonts w:hint="eastAsia" w:ascii="仿宋" w:hAnsi="仿宋" w:eastAsia="仿宋"/>
          <w:b w:val="0"/>
          <w:color w:val="000000"/>
        </w:rPr>
        <w:t>政</w:t>
      </w:r>
      <w:r>
        <w:rPr>
          <w:rStyle w:val="43"/>
          <w:rFonts w:hint="eastAsia" w:ascii="仿宋" w:hAnsi="仿宋" w:eastAsia="仿宋"/>
          <w:b w:val="0"/>
          <w:bCs w:val="0"/>
        </w:rPr>
        <w:t>府性基金预算财政拨款“三公”经费支出决算表</w:t>
      </w:r>
      <w:bookmarkEnd w:id="66"/>
    </w:p>
    <w:p>
      <w:pPr>
        <w:pStyle w:val="4"/>
      </w:pPr>
      <w:bookmarkStart w:id="67" w:name="_Toc15396631"/>
      <w:r>
        <w:rPr>
          <w:rStyle w:val="43"/>
          <w:rFonts w:hint="eastAsia" w:ascii="仿宋" w:hAnsi="仿宋" w:eastAsia="仿宋"/>
          <w:b w:val="0"/>
          <w:bCs w:val="0"/>
        </w:rPr>
        <w:t>十三、</w:t>
      </w:r>
      <w:r>
        <w:rPr>
          <w:rFonts w:hint="eastAsia" w:ascii="仿宋" w:hAnsi="仿宋" w:eastAsia="仿宋"/>
          <w:b w:val="0"/>
          <w:color w:val="000000"/>
        </w:rPr>
        <w:t>国</w:t>
      </w:r>
      <w:r>
        <w:rPr>
          <w:rStyle w:val="43"/>
          <w:rFonts w:hint="eastAsia" w:ascii="仿宋" w:hAnsi="仿宋" w:eastAsia="仿宋"/>
          <w:b w:val="0"/>
          <w:bCs w:val="0"/>
        </w:rPr>
        <w:t>有资本经营预算财政拨款收入支出决算表</w:t>
      </w:r>
      <w:bookmarkEnd w:id="67"/>
    </w:p>
    <w:p>
      <w:pPr>
        <w:pStyle w:val="4"/>
        <w:rPr>
          <w:rStyle w:val="43"/>
          <w:rFonts w:hint="eastAsia" w:ascii="仿宋" w:hAnsi="仿宋" w:eastAsia="仿宋"/>
          <w:b w:val="0"/>
          <w:bCs w:val="0"/>
        </w:rPr>
      </w:pPr>
      <w:r>
        <w:rPr>
          <w:rStyle w:val="43"/>
          <w:rFonts w:hint="eastAsia" w:ascii="仿宋" w:hAnsi="仿宋" w:eastAsia="仿宋"/>
          <w:b w:val="0"/>
          <w:bCs w:val="0"/>
        </w:rPr>
        <w:t>十四、</w:t>
      </w:r>
      <w:r>
        <w:rPr>
          <w:rFonts w:hint="eastAsia" w:ascii="仿宋" w:hAnsi="仿宋" w:eastAsia="仿宋"/>
          <w:b w:val="0"/>
          <w:color w:val="000000"/>
        </w:rPr>
        <w:t>国</w:t>
      </w:r>
      <w:r>
        <w:rPr>
          <w:rStyle w:val="43"/>
          <w:rFonts w:hint="eastAsia" w:ascii="仿宋" w:hAnsi="仿宋" w:eastAsia="仿宋"/>
          <w:b w:val="0"/>
          <w:bCs w:val="0"/>
        </w:rPr>
        <w:t>有资本经营预算财政拨款支出决算表</w:t>
      </w:r>
    </w:p>
    <w:p>
      <w:pPr>
        <w:pStyle w:val="24"/>
        <w:rPr>
          <w:rStyle w:val="43"/>
          <w:rFonts w:hint="eastAsia" w:ascii="仿宋" w:hAnsi="仿宋" w:eastAsia="仿宋"/>
          <w:b w:val="0"/>
          <w:bCs w:val="0"/>
        </w:rPr>
      </w:pP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sectPr>
          <w:footerReference r:id="rId8" w:type="first"/>
          <w:footerReference r:id="rId7" w:type="default"/>
          <w:pgSz w:w="11906" w:h="16838"/>
          <w:pgMar w:top="1440" w:right="1746" w:bottom="1440" w:left="1746" w:header="851" w:footer="992" w:gutter="0"/>
          <w:pgNumType w:fmt="numberInDash" w:start="1"/>
          <w:cols w:space="0" w:num="1"/>
          <w:titlePg/>
          <w:docGrid w:type="lines" w:linePitch="312" w:charSpace="0"/>
        </w:sectPr>
      </w:pPr>
    </w:p>
    <w:tbl>
      <w:tblPr>
        <w:tblStyle w:val="18"/>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6"/>
        <w:gridCol w:w="710"/>
        <w:gridCol w:w="1446"/>
        <w:gridCol w:w="3808"/>
        <w:gridCol w:w="710"/>
        <w:gridCol w:w="2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4083"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1,230.32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1,230.32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4083"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注：1.本表反映部门本年度的总收支和年末结转结余情况。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23"/>
        <w:sectPr>
          <w:pgSz w:w="16838" w:h="11906" w:orient="landscape"/>
          <w:pgMar w:top="1746" w:right="1440" w:bottom="1746" w:left="1440" w:header="851" w:footer="992" w:gutter="0"/>
          <w:pgNumType w:fmt="numberInDash"/>
          <w:cols w:space="0" w:num="1"/>
          <w:titlePg/>
          <w:docGrid w:type="lines" w:linePitch="312" w:charSpace="0"/>
        </w:sect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1155"/>
        <w:gridCol w:w="690"/>
        <w:gridCol w:w="4170"/>
        <w:gridCol w:w="1395"/>
        <w:gridCol w:w="1305"/>
        <w:gridCol w:w="810"/>
        <w:gridCol w:w="795"/>
        <w:gridCol w:w="765"/>
        <w:gridCol w:w="847"/>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70" w:type="dxa"/>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收入决算表</w:t>
            </w:r>
          </w:p>
        </w:tc>
        <w:tc>
          <w:tcPr>
            <w:tcW w:w="79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1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9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4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62"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139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4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17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4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0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7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7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7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7"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15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69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1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7"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1,230.32</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1,229.05</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565.11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563.84</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421.42</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415.65</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414.38</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464.35</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464.35</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9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注：本表以“万元”为金额单位（保留两位小数）；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本表反映部门本年度取得的各项收入情况。</w:t>
            </w:r>
          </w:p>
        </w:tc>
      </w:tr>
    </w:tbl>
    <w:p>
      <w:pPr>
        <w:pStyle w:val="24"/>
        <w:rPr>
          <w:rFonts w:ascii="仿宋" w:hAnsi="仿宋" w:eastAsia="仿宋"/>
          <w:color w:val="000000"/>
          <w:sz w:val="32"/>
          <w:szCs w:val="32"/>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647"/>
        <w:gridCol w:w="647"/>
        <w:gridCol w:w="5690"/>
        <w:gridCol w:w="1406"/>
        <w:gridCol w:w="1135"/>
        <w:gridCol w:w="1135"/>
        <w:gridCol w:w="862"/>
        <w:gridCol w:w="862"/>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10"/>
            <w:tcBorders>
              <w:top w:val="nil"/>
              <w:left w:val="nil"/>
              <w:bottom w:val="nil"/>
              <w:right w:val="nil"/>
            </w:tcBorders>
            <w:shd w:val="clear" w:color="auto" w:fill="auto"/>
            <w:noWrap/>
            <w:vAlign w:val="top"/>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91"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03"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91"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9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05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0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1,230.35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768.23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注：本表以“万元”为金额单位（保留两位小数），反映部门本年度各项支出情况。</w:t>
            </w:r>
          </w:p>
        </w:tc>
      </w:tr>
    </w:tbl>
    <w:p>
      <w:pPr>
        <w:pStyle w:val="24"/>
        <w:rPr>
          <w:rFonts w:ascii="仿宋" w:hAnsi="仿宋" w:eastAsia="仿宋"/>
          <w:color w:val="000000"/>
          <w:sz w:val="32"/>
          <w:szCs w:val="32"/>
        </w:rPr>
      </w:pPr>
    </w:p>
    <w:tbl>
      <w:tblPr>
        <w:tblStyle w:val="18"/>
        <w:tblW w:w="134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7"/>
        <w:gridCol w:w="705"/>
        <w:gridCol w:w="1350"/>
        <w:gridCol w:w="3255"/>
        <w:gridCol w:w="615"/>
        <w:gridCol w:w="1140"/>
        <w:gridCol w:w="1275"/>
        <w:gridCol w:w="927"/>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497" w:type="dxa"/>
            <w:gridSpan w:val="9"/>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1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90"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22"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32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1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90"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2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175"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67"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4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9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67"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3"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1,229.05</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563.83</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563.83</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464.34</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464.34</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1,229.05</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1,229.06</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1,229.06</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1,229.05</w:t>
            </w:r>
          </w:p>
        </w:tc>
        <w:tc>
          <w:tcPr>
            <w:tcW w:w="32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1,229.06</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1,229.06</w:t>
            </w:r>
          </w:p>
        </w:tc>
        <w:tc>
          <w:tcPr>
            <w:tcW w:w="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497"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注：本表以“万元”为金额单位（保留两位小数），反映部门本年度一般公共预算财政拨款、政府性基金预算财政拨款和国有资本经营预算财政拨款的总收支和年末结转结余情况。</w:t>
            </w:r>
          </w:p>
        </w:tc>
      </w:tr>
    </w:tbl>
    <w:p>
      <w:pPr>
        <w:pStyle w:val="24"/>
        <w:rPr>
          <w:rFonts w:ascii="仿宋" w:hAnsi="仿宋" w:eastAsia="仿宋"/>
          <w:color w:val="000000"/>
          <w:sz w:val="32"/>
          <w:szCs w:val="32"/>
        </w:rPr>
      </w:pPr>
    </w:p>
    <w:p>
      <w:pPr>
        <w:pStyle w:val="24"/>
        <w:rPr>
          <w:rFonts w:ascii="仿宋" w:hAnsi="仿宋" w:eastAsia="仿宋"/>
          <w:color w:val="000000"/>
          <w:sz w:val="32"/>
          <w:szCs w:val="32"/>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
        <w:gridCol w:w="606"/>
        <w:gridCol w:w="3550"/>
        <w:gridCol w:w="516"/>
        <w:gridCol w:w="877"/>
        <w:gridCol w:w="877"/>
        <w:gridCol w:w="877"/>
        <w:gridCol w:w="855"/>
        <w:gridCol w:w="877"/>
        <w:gridCol w:w="877"/>
        <w:gridCol w:w="878"/>
        <w:gridCol w:w="878"/>
        <w:gridCol w:w="860"/>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14"/>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财政拨款支出决算明细表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4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36"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32"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4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420"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516"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77"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09"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63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02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70"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8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766.94</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462.11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655.31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655.31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651.80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207.19</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96.12</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93.74</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81.82</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33.32</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260.66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260.66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其他个人和家庭的补助支出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资本性支出（基本建设）</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30905</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30906</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30908</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30913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30919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其他基本建设支出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对企业补助（基本建设）</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对社会保障基金补助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31302</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对社会保险基金补助</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31303</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补充全国社会保障基金</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赠与</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22"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注：本表以“万元”为金额单位（保留两位小数），反映部门本年度财政拨款实际支出情况。</w:t>
            </w:r>
          </w:p>
        </w:tc>
        <w:tc>
          <w:tcPr>
            <w:tcW w:w="87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7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7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7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8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2"/>
        <w:gridCol w:w="1455"/>
        <w:gridCol w:w="1365"/>
        <w:gridCol w:w="3975"/>
        <w:gridCol w:w="2175"/>
        <w:gridCol w:w="2063"/>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1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3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32"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6150"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20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3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w:t>
            </w:r>
          </w:p>
        </w:tc>
        <w:tc>
          <w:tcPr>
            <w:tcW w:w="39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206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3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03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6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12"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4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3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6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12"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1,229.08</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766.96</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563.84</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490.82</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421.42</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414.38</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414.38</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414.38</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47.62</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464.35</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87.22</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20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注：本表以“万元”为金额单位（保留两位小数），反映部门本年度一般公共预算财政拨款实际支出情况。</w:t>
            </w:r>
          </w:p>
        </w:tc>
      </w:tr>
    </w:tbl>
    <w:p>
      <w:pPr>
        <w:pStyle w:val="24"/>
        <w:rPr>
          <w:rFonts w:ascii="仿宋" w:hAnsi="仿宋" w:eastAsia="仿宋"/>
          <w:color w:val="000000"/>
          <w:sz w:val="32"/>
          <w:szCs w:val="32"/>
        </w:rPr>
      </w:pPr>
    </w:p>
    <w:p>
      <w:pPr>
        <w:pStyle w:val="24"/>
        <w:jc w:val="center"/>
        <w:rPr>
          <w:rFonts w:hint="eastAsia" w:ascii="仿宋" w:hAnsi="仿宋" w:eastAsia="仿宋"/>
          <w:color w:val="000000"/>
          <w:sz w:val="32"/>
          <w:szCs w:val="32"/>
        </w:rPr>
      </w:pPr>
      <w:r>
        <w:rPr>
          <w:rFonts w:hint="eastAsia" w:ascii="仿宋" w:hAnsi="仿宋" w:eastAsia="仿宋"/>
          <w:color w:val="000000"/>
          <w:sz w:val="32"/>
          <w:szCs w:val="32"/>
        </w:rPr>
        <w:t>一般公共预算财政拨款支出决算明细表</w:t>
      </w:r>
    </w:p>
    <w:p>
      <w:pPr>
        <w:pStyle w:val="24"/>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2020年度</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财决公开07表</w:t>
      </w:r>
    </w:p>
    <w:p>
      <w:pPr>
        <w:pStyle w:val="24"/>
        <w:ind w:firstLine="12600" w:firstLineChars="6300"/>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金额单位：万元</w:t>
      </w:r>
    </w:p>
    <w:p>
      <w:pPr>
        <w:pStyle w:val="24"/>
        <w:jc w:val="left"/>
        <w:rPr>
          <w:rFonts w:hint="default" w:ascii="宋体" w:hAnsi="宋体" w:eastAsia="宋体" w:cs="宋体"/>
          <w:i w:val="0"/>
          <w:iCs w:val="0"/>
          <w:color w:val="000000"/>
          <w:kern w:val="0"/>
          <w:sz w:val="20"/>
          <w:szCs w:val="20"/>
          <w:u w:val="none"/>
          <w:lang w:val="en-US" w:eastAsia="zh-CN" w:bidi="ar"/>
        </w:rPr>
      </w:pPr>
    </w:p>
    <w:tbl>
      <w:tblPr>
        <w:tblStyle w:val="18"/>
        <w:tblW w:w="17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389"/>
        <w:gridCol w:w="47"/>
        <w:gridCol w:w="88"/>
        <w:gridCol w:w="348"/>
        <w:gridCol w:w="162"/>
        <w:gridCol w:w="150"/>
        <w:gridCol w:w="300"/>
        <w:gridCol w:w="525"/>
        <w:gridCol w:w="435"/>
        <w:gridCol w:w="60"/>
        <w:gridCol w:w="105"/>
        <w:gridCol w:w="615"/>
        <w:gridCol w:w="180"/>
        <w:gridCol w:w="387"/>
        <w:gridCol w:w="48"/>
        <w:gridCol w:w="135"/>
        <w:gridCol w:w="390"/>
        <w:gridCol w:w="90"/>
        <w:gridCol w:w="447"/>
        <w:gridCol w:w="168"/>
        <w:gridCol w:w="255"/>
        <w:gridCol w:w="120"/>
        <w:gridCol w:w="240"/>
        <w:gridCol w:w="252"/>
        <w:gridCol w:w="348"/>
        <w:gridCol w:w="15"/>
        <w:gridCol w:w="612"/>
        <w:gridCol w:w="3"/>
        <w:gridCol w:w="330"/>
        <w:gridCol w:w="285"/>
        <w:gridCol w:w="327"/>
        <w:gridCol w:w="288"/>
        <w:gridCol w:w="60"/>
        <w:gridCol w:w="507"/>
        <w:gridCol w:w="48"/>
        <w:gridCol w:w="405"/>
        <w:gridCol w:w="210"/>
        <w:gridCol w:w="297"/>
        <w:gridCol w:w="318"/>
        <w:gridCol w:w="135"/>
        <w:gridCol w:w="477"/>
        <w:gridCol w:w="3"/>
        <w:gridCol w:w="480"/>
        <w:gridCol w:w="135"/>
        <w:gridCol w:w="615"/>
        <w:gridCol w:w="42"/>
        <w:gridCol w:w="168"/>
        <w:gridCol w:w="405"/>
        <w:gridCol w:w="87"/>
        <w:gridCol w:w="528"/>
        <w:gridCol w:w="523"/>
        <w:gridCol w:w="92"/>
        <w:gridCol w:w="598"/>
        <w:gridCol w:w="17"/>
        <w:gridCol w:w="615"/>
        <w:gridCol w:w="58"/>
        <w:gridCol w:w="557"/>
        <w:gridCol w:w="209"/>
        <w:gridCol w:w="406"/>
        <w:gridCol w:w="284"/>
        <w:gridCol w:w="331"/>
        <w:gridCol w:w="435"/>
        <w:gridCol w:w="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 w:type="dxa"/>
          <w:trHeight w:val="308" w:hRule="atLeast"/>
        </w:trPr>
        <w:tc>
          <w:tcPr>
            <w:tcW w:w="4227" w:type="dxa"/>
            <w:gridSpan w:val="15"/>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10" w:type="dxa"/>
            <w:gridSpan w:val="5"/>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88" w:type="dxa"/>
            <w:gridSpan w:val="4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2919"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10"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3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7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945"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85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93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27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机关事业单位基本养老保险费</w:t>
            </w:r>
          </w:p>
        </w:tc>
        <w:tc>
          <w:tcPr>
            <w:tcW w:w="66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051"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69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69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766"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9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766"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19"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3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45"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1"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19"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3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45"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1"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919"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1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1"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6"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6"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436"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19"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1,229.07</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655.33</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207.19</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96.11</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66.09</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563.84</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377.92</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161.72</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92.55</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39.95</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421.42</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309.84</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133.29</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69.28</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39.95</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414.38</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309.84</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133.29</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69.28</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39.95</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40.96</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40.96</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96.40</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96.39</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47.38</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464.35</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88.75</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39.27</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24.71</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70.81</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70.81</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91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03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9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6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8" w:hRule="atLeast"/>
        </w:trPr>
        <w:tc>
          <w:tcPr>
            <w:tcW w:w="1308" w:type="dxa"/>
            <w:gridSpan w:val="5"/>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919" w:type="dxa"/>
            <w:gridSpan w:val="10"/>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10"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1035"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97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5"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1"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690"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805" w:type="dxa"/>
            <w:gridSpan w:val="64"/>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9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82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60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61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61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61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61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61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61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61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6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9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2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0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1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173.09</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115.78</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24.83</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82.38</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75.34</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26.92</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26.92</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12480" w:type="dxa"/>
            <w:gridSpan w:val="48"/>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96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96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96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9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其他个人和家庭的补助支出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6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6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276.59</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260.66</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229.54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233.42</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227.62</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233.42</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227.62</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5325" w:type="dxa"/>
          <w:trHeight w:val="308" w:hRule="atLeast"/>
        </w:trPr>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7350" w:type="dxa"/>
            <w:gridSpan w:val="29"/>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147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147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147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7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7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7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7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5"/>
          <w:wAfter w:w="10455" w:type="dxa"/>
          <w:trHeight w:val="308" w:hRule="atLeast"/>
        </w:trPr>
        <w:tc>
          <w:tcPr>
            <w:tcW w:w="147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pStyle w:val="24"/>
        <w:jc w:val="left"/>
        <w:rPr>
          <w:rFonts w:hint="default" w:ascii="宋体" w:hAnsi="宋体" w:eastAsia="宋体" w:cs="宋体"/>
          <w:i w:val="0"/>
          <w:iCs w:val="0"/>
          <w:color w:val="000000"/>
          <w:kern w:val="0"/>
          <w:sz w:val="20"/>
          <w:szCs w:val="20"/>
          <w:u w:val="none"/>
          <w:lang w:val="en-US" w:eastAsia="zh-CN" w:bidi="ar"/>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280"/>
        <w:gridCol w:w="123"/>
        <w:gridCol w:w="161"/>
        <w:gridCol w:w="220"/>
        <w:gridCol w:w="564"/>
        <w:gridCol w:w="223"/>
        <w:gridCol w:w="106"/>
        <w:gridCol w:w="327"/>
        <w:gridCol w:w="354"/>
        <w:gridCol w:w="66"/>
        <w:gridCol w:w="533"/>
        <w:gridCol w:w="277"/>
        <w:gridCol w:w="211"/>
        <w:gridCol w:w="131"/>
        <w:gridCol w:w="446"/>
        <w:gridCol w:w="212"/>
        <w:gridCol w:w="413"/>
        <w:gridCol w:w="163"/>
        <w:gridCol w:w="75"/>
        <w:gridCol w:w="623"/>
        <w:gridCol w:w="89"/>
        <w:gridCol w:w="119"/>
        <w:gridCol w:w="609"/>
        <w:gridCol w:w="59"/>
        <w:gridCol w:w="398"/>
        <w:gridCol w:w="4"/>
        <w:gridCol w:w="387"/>
        <w:gridCol w:w="592"/>
        <w:gridCol w:w="91"/>
        <w:gridCol w:w="104"/>
        <w:gridCol w:w="96"/>
        <w:gridCol w:w="691"/>
        <w:gridCol w:w="178"/>
        <w:gridCol w:w="280"/>
        <w:gridCol w:w="125"/>
        <w:gridCol w:w="205"/>
        <w:gridCol w:w="460"/>
        <w:gridCol w:w="327"/>
        <w:gridCol w:w="282"/>
        <w:gridCol w:w="41"/>
        <w:gridCol w:w="420"/>
        <w:gridCol w:w="45"/>
        <w:gridCol w:w="787"/>
        <w:gridCol w:w="238"/>
        <w:gridCol w:w="551"/>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4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资本性支出（基本建设）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69"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1076"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1151"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1071"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1069"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107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107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1069"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107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107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107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1071"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其他基本建设支出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6"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1"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1"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9"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1"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6"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1"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1"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9"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1"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69"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76"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51"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71"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69"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7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7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69"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7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7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7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71"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1"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9"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1"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13561" w:type="dxa"/>
            <w:gridSpan w:val="4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86"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787"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787"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87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788"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788"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787"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787"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789"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787"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787"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788"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787"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788"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7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789"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6"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9"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9"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6"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9"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9"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86"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787"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78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7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78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8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78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78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89"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78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87"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788"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787"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788"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78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89"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124.06</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124.06</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0" w:type="dxa"/>
          <w:trHeight w:val="308" w:hRule="atLeast"/>
        </w:trPr>
        <w:tc>
          <w:tcPr>
            <w:tcW w:w="87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6"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5"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9"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3832" w:type="dxa"/>
            <w:gridSpan w:val="1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对企业补助（基本建设）</w:t>
            </w:r>
          </w:p>
        </w:tc>
        <w:tc>
          <w:tcPr>
            <w:tcW w:w="7647" w:type="dxa"/>
            <w:gridSpan w:val="2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74"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1279"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1277"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74"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1274"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1274"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1274"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1274"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4"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74"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79"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77"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74"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74"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74"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74"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74"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602" w:type="dxa"/>
          <w:trHeight w:val="308" w:hRule="atLeast"/>
        </w:trPr>
        <w:tc>
          <w:tcPr>
            <w:tcW w:w="1279"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9"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4"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4320" w:type="dxa"/>
            <w:gridSpan w:val="1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对社会保障基金补助</w:t>
            </w:r>
          </w:p>
        </w:tc>
        <w:tc>
          <w:tcPr>
            <w:tcW w:w="7200" w:type="dxa"/>
            <w:gridSpan w:val="2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对社会保险基金补助</w:t>
            </w:r>
          </w:p>
        </w:tc>
        <w:tc>
          <w:tcPr>
            <w:tcW w:w="14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补充全国社会保障基金</w:t>
            </w:r>
          </w:p>
        </w:tc>
        <w:tc>
          <w:tcPr>
            <w:tcW w:w="14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4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赠与</w:t>
            </w:r>
          </w:p>
        </w:tc>
        <w:tc>
          <w:tcPr>
            <w:tcW w:w="14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14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14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4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4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4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44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4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4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4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61" w:type="dxa"/>
          <w:trHeight w:val="308" w:hRule="atLeast"/>
        </w:trPr>
        <w:tc>
          <w:tcPr>
            <w:tcW w:w="144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846"/>
        <w:gridCol w:w="705"/>
        <w:gridCol w:w="1229"/>
        <w:gridCol w:w="106"/>
        <w:gridCol w:w="979"/>
        <w:gridCol w:w="971"/>
        <w:gridCol w:w="1560"/>
        <w:gridCol w:w="165"/>
        <w:gridCol w:w="978"/>
        <w:gridCol w:w="864"/>
        <w:gridCol w:w="453"/>
        <w:gridCol w:w="2865"/>
        <w:gridCol w:w="787"/>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15"/>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8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8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4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6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862"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81" w:type="dxa"/>
            <w:gridSpan w:val="6"/>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9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4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6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862"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81"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400" w:type="dxa"/>
            <w:gridSpan w:val="9"/>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8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5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3"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6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10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8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3"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0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651.80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81.82</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207.19</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96.12</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93.74</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33.32</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其他个人和家庭的补助支出</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312099</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赠与</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7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1"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43"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8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410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9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10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685.12</w:t>
            </w:r>
          </w:p>
        </w:tc>
        <w:tc>
          <w:tcPr>
            <w:tcW w:w="8643"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7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714" w:hRule="atLeast"/>
        </w:trPr>
        <w:tc>
          <w:tcPr>
            <w:tcW w:w="12537" w:type="dxa"/>
            <w:gridSpan w:val="1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一般公共预算财政拨款项目支出决算表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255" w:hRule="atLeast"/>
        </w:trPr>
        <w:tc>
          <w:tcPr>
            <w:tcW w:w="16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3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75"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95"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255" w:hRule="atLeast"/>
        </w:trPr>
        <w:tc>
          <w:tcPr>
            <w:tcW w:w="7377"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2295"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28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675"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95"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8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75"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9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6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1662"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7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33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75" w:type="dxa"/>
            <w:gridSpan w:val="4"/>
            <w:tcBorders>
              <w:top w:val="single" w:color="000000" w:sz="4" w:space="0"/>
              <w:left w:val="nil"/>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95" w:type="dxa"/>
            <w:gridSpan w:val="3"/>
            <w:tcBorders>
              <w:top w:val="single" w:color="000000" w:sz="4" w:space="0"/>
              <w:left w:val="nil"/>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65" w:type="dxa"/>
            <w:tcBorders>
              <w:top w:val="single" w:color="000000" w:sz="4" w:space="0"/>
              <w:left w:val="nil"/>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1662"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5"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7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462.12</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308" w:hRule="atLeast"/>
        </w:trPr>
        <w:tc>
          <w:tcPr>
            <w:tcW w:w="370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75"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4" w:type="dxa"/>
          <w:trHeight w:val="585" w:hRule="atLeast"/>
        </w:trPr>
        <w:tc>
          <w:tcPr>
            <w:tcW w:w="12537"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注：本表以“万元”为金额单位（保留两位小数），反映部门本年度一般公共预算财政拨款项目支出收支明细情况。</w:t>
            </w:r>
          </w:p>
        </w:tc>
      </w:tr>
    </w:tbl>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tbl>
      <w:tblPr>
        <w:tblStyle w:val="18"/>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2"/>
        <w:gridCol w:w="2488"/>
        <w:gridCol w:w="823"/>
        <w:gridCol w:w="1066"/>
        <w:gridCol w:w="842"/>
        <w:gridCol w:w="1485"/>
        <w:gridCol w:w="1206"/>
        <w:gridCol w:w="1084"/>
        <w:gridCol w:w="749"/>
        <w:gridCol w:w="857"/>
        <w:gridCol w:w="842"/>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4083"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99"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部门：四川省广元市朝天区曾家镇人民政府（本级）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0" w:type="auto"/>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4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2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38"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公务用车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购置费</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公务用车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2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9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8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4083"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注：本表以“万元”为金额单位（保留两位小数），反映部门本年度一般公共预算财政拨款“三公”经费支出决算情况，决算数包括当年一般公共预算财政拨款和以前年度结转资金安排的实际支出。</w:t>
            </w:r>
          </w:p>
        </w:tc>
      </w:tr>
    </w:tbl>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tbl>
      <w:tblPr>
        <w:tblStyle w:val="18"/>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0"/>
        <w:gridCol w:w="436"/>
        <w:gridCol w:w="968"/>
        <w:gridCol w:w="2157"/>
        <w:gridCol w:w="1255"/>
        <w:gridCol w:w="1255"/>
        <w:gridCol w:w="1255"/>
        <w:gridCol w:w="1255"/>
        <w:gridCol w:w="125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3"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3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w:t>
            </w:r>
            <w:r>
              <w:rPr>
                <w:rFonts w:hint="eastAsia" w:ascii="宋体" w:hAnsi="宋体" w:cs="宋体"/>
                <w:i w:val="0"/>
                <w:iCs w:val="0"/>
                <w:color w:val="000000"/>
                <w:kern w:val="0"/>
                <w:sz w:val="20"/>
                <w:szCs w:val="20"/>
                <w:u w:val="none"/>
                <w:lang w:val="en-US" w:eastAsia="zh-CN" w:bidi="ar"/>
              </w:rPr>
              <w:t>曾家镇</w:t>
            </w:r>
            <w:r>
              <w:rPr>
                <w:rFonts w:hint="eastAsia" w:ascii="宋体" w:hAnsi="宋体" w:eastAsia="宋体" w:cs="宋体"/>
                <w:i w:val="0"/>
                <w:iCs w:val="0"/>
                <w:color w:val="000000"/>
                <w:kern w:val="0"/>
                <w:sz w:val="20"/>
                <w:szCs w:val="20"/>
                <w:u w:val="none"/>
                <w:lang w:val="en-US" w:eastAsia="zh-CN" w:bidi="ar"/>
              </w:rPr>
              <w:t>人民政府（本级）</w:t>
            </w:r>
          </w:p>
        </w:tc>
        <w:tc>
          <w:tcPr>
            <w:tcW w:w="21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1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76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3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9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1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注：本表以“万元”为金额单位（保留两位小数），反映部门本年度政府性预算财政拨款收入、支出及结转和结余情况。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说明：如部门没有政府性基金收入，也没有使用政府性基金安排的支出，应注明本表无数据。</w:t>
            </w:r>
          </w:p>
        </w:tc>
      </w:tr>
    </w:tbl>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6"/>
        <w:gridCol w:w="2153"/>
        <w:gridCol w:w="1639"/>
        <w:gridCol w:w="2153"/>
        <w:gridCol w:w="1782"/>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政府性基金预算财政拨款“三公”经费支出决算表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w:t>
            </w:r>
            <w:r>
              <w:rPr>
                <w:rFonts w:hint="eastAsia" w:ascii="宋体" w:hAnsi="宋体" w:cs="宋体"/>
                <w:i w:val="0"/>
                <w:iCs w:val="0"/>
                <w:color w:val="000000"/>
                <w:kern w:val="0"/>
                <w:sz w:val="20"/>
                <w:szCs w:val="20"/>
                <w:u w:val="none"/>
                <w:lang w:val="en-US" w:eastAsia="zh-CN" w:bidi="ar"/>
              </w:rPr>
              <w:t>曾家镇</w:t>
            </w:r>
            <w:r>
              <w:rPr>
                <w:rFonts w:hint="eastAsia" w:ascii="宋体" w:hAnsi="宋体" w:eastAsia="宋体" w:cs="宋体"/>
                <w:i w:val="0"/>
                <w:iCs w:val="0"/>
                <w:color w:val="000000"/>
                <w:kern w:val="0"/>
                <w:sz w:val="20"/>
                <w:szCs w:val="20"/>
                <w:u w:val="none"/>
                <w:lang w:val="en-US" w:eastAsia="zh-CN" w:bidi="ar"/>
              </w:rPr>
              <w:t>人民政府（本级）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55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5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623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21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55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5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5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22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213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14081"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注：本表以“万元”为金额单位（保留两位小数），反映部门本年度政府性基金预算财政拨款“三公”经费支出决算情况，决算数包括当年政府性基金预算财政拨款和以前年度结转资金安排的实际支出。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如部门没有政府性基金收入，也没有使用政府性基金安排的支出，应注明本表无数据。</w:t>
            </w:r>
          </w:p>
        </w:tc>
      </w:tr>
    </w:tbl>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6"/>
        <w:gridCol w:w="436"/>
        <w:gridCol w:w="436"/>
        <w:gridCol w:w="2548"/>
        <w:gridCol w:w="1721"/>
        <w:gridCol w:w="1561"/>
        <w:gridCol w:w="154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8"/>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w:t>
            </w:r>
            <w:r>
              <w:rPr>
                <w:rFonts w:hint="eastAsia" w:ascii="宋体" w:hAnsi="宋体" w:cs="宋体"/>
                <w:i w:val="0"/>
                <w:iCs w:val="0"/>
                <w:color w:val="000000"/>
                <w:kern w:val="0"/>
                <w:sz w:val="20"/>
                <w:szCs w:val="20"/>
                <w:u w:val="none"/>
                <w:lang w:val="en-US" w:eastAsia="zh-CN" w:bidi="ar"/>
              </w:rPr>
              <w:t>曾家镇</w:t>
            </w:r>
            <w:r>
              <w:rPr>
                <w:rFonts w:hint="eastAsia" w:ascii="宋体" w:hAnsi="宋体" w:eastAsia="宋体" w:cs="宋体"/>
                <w:i w:val="0"/>
                <w:iCs w:val="0"/>
                <w:color w:val="000000"/>
                <w:kern w:val="0"/>
                <w:sz w:val="20"/>
                <w:szCs w:val="20"/>
                <w:u w:val="none"/>
                <w:lang w:val="en-US" w:eastAsia="zh-CN" w:bidi="ar"/>
              </w:rPr>
              <w:t>人民政府（本级）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46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72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6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4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5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2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95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95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42"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5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81"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注：本表以“万元”为金额单位（保留两位小数），反映部门本年度国有资本经营预算财政拨款支出情况；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如部门没有国有资本经营预算收入，也没有使用国有资本经营预算安排的支出，应注明本表无数据。</w:t>
            </w:r>
          </w:p>
        </w:tc>
      </w:tr>
    </w:tbl>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p>
      <w:pPr>
        <w:pStyle w:val="24"/>
        <w:rPr>
          <w:rFonts w:ascii="仿宋" w:hAnsi="仿宋" w:eastAsia="仿宋"/>
          <w:color w:val="000000"/>
          <w:sz w:val="32"/>
          <w:szCs w:val="32"/>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6"/>
        <w:gridCol w:w="436"/>
        <w:gridCol w:w="436"/>
        <w:gridCol w:w="3445"/>
        <w:gridCol w:w="1937"/>
        <w:gridCol w:w="1762"/>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w:t>
            </w:r>
            <w:r>
              <w:rPr>
                <w:rFonts w:hint="eastAsia" w:ascii="宋体" w:hAnsi="宋体" w:cs="宋体"/>
                <w:i w:val="0"/>
                <w:iCs w:val="0"/>
                <w:color w:val="000000"/>
                <w:kern w:val="0"/>
                <w:sz w:val="20"/>
                <w:szCs w:val="20"/>
                <w:u w:val="none"/>
                <w:lang w:val="en-US" w:eastAsia="zh-CN" w:bidi="ar"/>
              </w:rPr>
              <w:t>曾家镇</w:t>
            </w:r>
            <w:r>
              <w:rPr>
                <w:rFonts w:hint="eastAsia" w:ascii="宋体" w:hAnsi="宋体" w:eastAsia="宋体" w:cs="宋体"/>
                <w:i w:val="0"/>
                <w:iCs w:val="0"/>
                <w:color w:val="000000"/>
                <w:kern w:val="0"/>
                <w:sz w:val="20"/>
                <w:szCs w:val="20"/>
                <w:u w:val="none"/>
                <w:lang w:val="en-US" w:eastAsia="zh-CN" w:bidi="ar"/>
              </w:rPr>
              <w:t>人民政府（本级）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1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566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2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8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4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2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8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78"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2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8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78"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62"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8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81"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注：本表反映部门本年度国有资本经营预算财政拨款支出情况。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如单位没有使用国有资本经营预算安排的支出，应注明本表无数据。</w:t>
            </w:r>
          </w:p>
        </w:tc>
      </w:tr>
    </w:tbl>
    <w:p>
      <w:pPr>
        <w:pStyle w:val="24"/>
        <w:rPr>
          <w:rFonts w:ascii="仿宋" w:hAnsi="仿宋" w:eastAsia="仿宋"/>
          <w:color w:val="000000"/>
          <w:sz w:val="32"/>
          <w:szCs w:val="32"/>
        </w:rPr>
      </w:pPr>
    </w:p>
    <w:sectPr>
      <w:pgSz w:w="16838" w:h="11906" w:orient="landscape"/>
      <w:pgMar w:top="1746" w:right="1440" w:bottom="1746" w:left="1440"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BZBs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bV&#10;6k1WqA9QY+JDwNQ03PkB92b2Azoz8UFFm79IiWAc9T1f9ZVDIiI/Wq/W6wpDAmPzBfHZ4/MQIb2V&#10;3pJsNDTiAIuu/PQe0pg6p+Rqzt9rY8oQjfvLgZjZw3LvY4/ZSsN+mAjtfXtGPj3OvqEOV50S886h&#10;tHlNZiPOxn42jiHqQ1f2KNeDcHtM2ETpLVcYYafCOLTCblqwvBV/3kvW4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ABZBsoBAACcAwAADgAAAAAAAAABACAAAAAeAQAAZHJzL2Uyb0Rv&#10;Yy54bWxQSwUGAAAAAAYABgBZAQAAWgU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32AAMo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tXqd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932AAMoBAACdAwAADgAAAAAAAAABACAAAAAeAQAAZHJzL2Uyb0Rv&#10;Yy54bWxQSwUGAAAAAAYABgBZAQAAWgUAAAAA&#10;">
          <v:path/>
          <v:fill on="f" focussize="0,0"/>
          <v:stroke on="f" joinstyle="miter"/>
          <v:imagedata o:title=""/>
          <o:lock v:ext="edit"/>
          <v:textbox inset="0mm,0mm,0mm,0mm" style="mso-fit-shape-to-text:t;">
            <w:txbxContent>
              <w:p/>
            </w:txbxContent>
          </v:textbox>
        </v:shape>
      </w:pict>
    </w: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3CsM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g3CsMoBAACcAwAADgAAAAAAAAABACAAAAAeAQAAZHJzL2Uyb0Rv&#10;Yy54bWxQSwUGAAAAAAYABgBZAQAAWgUAAAAA&#10;">
          <v:path/>
          <v:fill on="f" focussize="0,0"/>
          <v:stroke on="f"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dKrM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YUmJ4xYnfvn+7fLj1+XnV7Ks&#10;XhaJ+gA1Zj4EzE3DGz9gepYu+wGdmfmgos1f5EQwjgKfrwLLIRGRH61X63WFIYGx+YI47PY8REhv&#10;pbckGw2NOMEiLD+9hzSmzim5mvP32pgyReP+ciBm9rBbj9lKw36YGt/79ox8ehx+Qx3uOiXmnUNt&#10;857MRpyN/WwcQ9SHrixSrgfh9TFhE6W3XGGEnQrj1Aq7acPyWvx5L1m3v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qB0qsyQEAAJ0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stgcsBAACd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W0osNzjx8/dv5x+/zj+/&#10;kmWxKpNEvYcKM5885sbhzg2YPvsBnYn50AaTvsiJYBwFPl0ElkMkIj0qV2VZ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bbLYHLAQAAnQMAAA4AAAAAAAAAAQAgAAAAHgEAAGRycy9lMm9E&#10;b2MueG1sUEsFBgAAAAAGAAYAWQEAAFs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a2N8sBAACd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wU0oKbHc4MTP37+df/w6//xK&#10;lkX5LknUe6gw88ljbhzu3IDpsx/QmZgPbTDpi5wIxlHg00VgOUQi0qNVuVoVGBIYmy+Iz56f+wDx&#10;vXSGJKOmASeYheXHR4hj6pySqll3r7TOU9T2LwdiJg9LvY89JisOu2EitHPNCfn0OPyaWtx1SvSD&#10;RW3TnsxGmI3dbBx8UPsuL1KqB/72ELGJ3FuqMMJOhXFqmd20YWkt/rznrOe/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zWtjfLAQAAnQMAAA4AAAAAAAAAAQAgAAAAHgEAAGRycy9lMm9E&#10;b2MueG1sUEsFBgAAAAAGAAYAWQEAAFsFAAAAAA==&#1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5A5E8"/>
    <w:multiLevelType w:val="singleLevel"/>
    <w:tmpl w:val="A055A5E8"/>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3"/>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A4286E9"/>
    <w:multiLevelType w:val="singleLevel"/>
    <w:tmpl w:val="0A4286E9"/>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2315DFCB"/>
    <w:multiLevelType w:val="singleLevel"/>
    <w:tmpl w:val="2315DFCB"/>
    <w:lvl w:ilvl="0" w:tentative="0">
      <w:start w:val="9"/>
      <w:numFmt w:val="decimal"/>
      <w:lvlText w:val="%1."/>
      <w:lvlJc w:val="left"/>
      <w:pPr>
        <w:tabs>
          <w:tab w:val="left" w:pos="312"/>
        </w:tabs>
      </w:pPr>
    </w:lvl>
  </w:abstractNum>
  <w:abstractNum w:abstractNumId="6">
    <w:nsid w:val="28E3FF4C"/>
    <w:multiLevelType w:val="singleLevel"/>
    <w:tmpl w:val="28E3FF4C"/>
    <w:lvl w:ilvl="0" w:tentative="0">
      <w:start w:val="2"/>
      <w:numFmt w:val="chineseCounting"/>
      <w:suff w:val="nothing"/>
      <w:lvlText w:val="（%1）"/>
      <w:lvlJc w:val="left"/>
      <w:pPr>
        <w:ind w:left="-90"/>
      </w:pPr>
      <w:rPr>
        <w:rFonts w:hint="eastAsia"/>
      </w:rPr>
    </w:lvl>
  </w:abstractNum>
  <w:abstractNum w:abstractNumId="7">
    <w:nsid w:val="346C4BC3"/>
    <w:multiLevelType w:val="singleLevel"/>
    <w:tmpl w:val="346C4BC3"/>
    <w:lvl w:ilvl="0" w:tentative="0">
      <w:start w:val="2"/>
      <w:numFmt w:val="chineseCounting"/>
      <w:suff w:val="nothing"/>
      <w:lvlText w:val="（%1）"/>
      <w:lvlJc w:val="left"/>
      <w:rPr>
        <w:rFonts w:hint="eastAsia"/>
      </w:r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oNotHyphenateCaps/>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rsids>
    <w:rsidRoot w:val="00172A27"/>
    <w:rsid w:val="000222C6"/>
    <w:rsid w:val="0002549F"/>
    <w:rsid w:val="000468DB"/>
    <w:rsid w:val="0006487A"/>
    <w:rsid w:val="00065114"/>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0B2"/>
    <w:rsid w:val="000D5782"/>
    <w:rsid w:val="000E6613"/>
    <w:rsid w:val="000E7119"/>
    <w:rsid w:val="000F564B"/>
    <w:rsid w:val="00104EB7"/>
    <w:rsid w:val="00114E9B"/>
    <w:rsid w:val="00142216"/>
    <w:rsid w:val="00144D6A"/>
    <w:rsid w:val="0014729F"/>
    <w:rsid w:val="00157BAB"/>
    <w:rsid w:val="00163ED0"/>
    <w:rsid w:val="001654D1"/>
    <w:rsid w:val="00174518"/>
    <w:rsid w:val="0018106D"/>
    <w:rsid w:val="001850A1"/>
    <w:rsid w:val="001877A7"/>
    <w:rsid w:val="00191536"/>
    <w:rsid w:val="00196687"/>
    <w:rsid w:val="001B132D"/>
    <w:rsid w:val="001C0962"/>
    <w:rsid w:val="001C7AC8"/>
    <w:rsid w:val="001D6182"/>
    <w:rsid w:val="001D7531"/>
    <w:rsid w:val="001E737D"/>
    <w:rsid w:val="001F0592"/>
    <w:rsid w:val="001F7506"/>
    <w:rsid w:val="002006CD"/>
    <w:rsid w:val="00202B36"/>
    <w:rsid w:val="00204B7A"/>
    <w:rsid w:val="00204CDE"/>
    <w:rsid w:val="0021101A"/>
    <w:rsid w:val="00217A73"/>
    <w:rsid w:val="00220536"/>
    <w:rsid w:val="0022614C"/>
    <w:rsid w:val="00235629"/>
    <w:rsid w:val="00260C38"/>
    <w:rsid w:val="002616C0"/>
    <w:rsid w:val="00265372"/>
    <w:rsid w:val="002662AA"/>
    <w:rsid w:val="00280496"/>
    <w:rsid w:val="00294DC9"/>
    <w:rsid w:val="00295495"/>
    <w:rsid w:val="002A31DE"/>
    <w:rsid w:val="002B2613"/>
    <w:rsid w:val="002C734D"/>
    <w:rsid w:val="002D19B0"/>
    <w:rsid w:val="002D6D05"/>
    <w:rsid w:val="002D7D8C"/>
    <w:rsid w:val="002F1818"/>
    <w:rsid w:val="002F567B"/>
    <w:rsid w:val="003216A9"/>
    <w:rsid w:val="00335A74"/>
    <w:rsid w:val="00357330"/>
    <w:rsid w:val="0036561B"/>
    <w:rsid w:val="0037013F"/>
    <w:rsid w:val="00380C92"/>
    <w:rsid w:val="00385C59"/>
    <w:rsid w:val="003A484F"/>
    <w:rsid w:val="003A4883"/>
    <w:rsid w:val="003B0BE0"/>
    <w:rsid w:val="003B0C1B"/>
    <w:rsid w:val="003B688C"/>
    <w:rsid w:val="003C0291"/>
    <w:rsid w:val="003C39AE"/>
    <w:rsid w:val="003C7B60"/>
    <w:rsid w:val="003D0C0F"/>
    <w:rsid w:val="003D1FB2"/>
    <w:rsid w:val="003D66DA"/>
    <w:rsid w:val="003E1310"/>
    <w:rsid w:val="003E2364"/>
    <w:rsid w:val="003E6F55"/>
    <w:rsid w:val="00406254"/>
    <w:rsid w:val="00416CD4"/>
    <w:rsid w:val="004223DE"/>
    <w:rsid w:val="00434489"/>
    <w:rsid w:val="00437085"/>
    <w:rsid w:val="00443880"/>
    <w:rsid w:val="004463EC"/>
    <w:rsid w:val="004464F4"/>
    <w:rsid w:val="004620DE"/>
    <w:rsid w:val="00471401"/>
    <w:rsid w:val="00473F31"/>
    <w:rsid w:val="00481464"/>
    <w:rsid w:val="0048263A"/>
    <w:rsid w:val="00487E5D"/>
    <w:rsid w:val="004A3FC2"/>
    <w:rsid w:val="004A711F"/>
    <w:rsid w:val="004B199D"/>
    <w:rsid w:val="004B4690"/>
    <w:rsid w:val="004E0A2D"/>
    <w:rsid w:val="004E206B"/>
    <w:rsid w:val="004E6DF7"/>
    <w:rsid w:val="004F0FBD"/>
    <w:rsid w:val="004F403E"/>
    <w:rsid w:val="00505A47"/>
    <w:rsid w:val="00512FDA"/>
    <w:rsid w:val="00515AD2"/>
    <w:rsid w:val="00520DA0"/>
    <w:rsid w:val="00524800"/>
    <w:rsid w:val="005664BB"/>
    <w:rsid w:val="00566FFA"/>
    <w:rsid w:val="0057481D"/>
    <w:rsid w:val="00575F0B"/>
    <w:rsid w:val="0058486E"/>
    <w:rsid w:val="00585B33"/>
    <w:rsid w:val="0059014D"/>
    <w:rsid w:val="005967C6"/>
    <w:rsid w:val="005A1D5D"/>
    <w:rsid w:val="005A3A90"/>
    <w:rsid w:val="005B5C64"/>
    <w:rsid w:val="005C6BD0"/>
    <w:rsid w:val="005C6C4C"/>
    <w:rsid w:val="005D1C8B"/>
    <w:rsid w:val="005D468D"/>
    <w:rsid w:val="005D5CED"/>
    <w:rsid w:val="005E1EC4"/>
    <w:rsid w:val="005E6B3B"/>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087"/>
    <w:rsid w:val="006617D0"/>
    <w:rsid w:val="0066343B"/>
    <w:rsid w:val="00664777"/>
    <w:rsid w:val="006748A4"/>
    <w:rsid w:val="00681A31"/>
    <w:rsid w:val="00683E73"/>
    <w:rsid w:val="006A0F41"/>
    <w:rsid w:val="006A3141"/>
    <w:rsid w:val="006A5E34"/>
    <w:rsid w:val="006B2422"/>
    <w:rsid w:val="006B2B9A"/>
    <w:rsid w:val="006C1937"/>
    <w:rsid w:val="006F020C"/>
    <w:rsid w:val="006F7BB6"/>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C5A95"/>
    <w:rsid w:val="007D1682"/>
    <w:rsid w:val="007D312A"/>
    <w:rsid w:val="007D3F19"/>
    <w:rsid w:val="007D7EFB"/>
    <w:rsid w:val="007E23B0"/>
    <w:rsid w:val="007F1991"/>
    <w:rsid w:val="007F2C2F"/>
    <w:rsid w:val="007F3524"/>
    <w:rsid w:val="007F55FC"/>
    <w:rsid w:val="007F5665"/>
    <w:rsid w:val="00800112"/>
    <w:rsid w:val="0080130A"/>
    <w:rsid w:val="00813348"/>
    <w:rsid w:val="008176EC"/>
    <w:rsid w:val="008253BB"/>
    <w:rsid w:val="00833962"/>
    <w:rsid w:val="00834AD5"/>
    <w:rsid w:val="0083706E"/>
    <w:rsid w:val="008408F6"/>
    <w:rsid w:val="008416BA"/>
    <w:rsid w:val="008423A5"/>
    <w:rsid w:val="00850625"/>
    <w:rsid w:val="00853718"/>
    <w:rsid w:val="00855221"/>
    <w:rsid w:val="00860645"/>
    <w:rsid w:val="00871F71"/>
    <w:rsid w:val="00872FD8"/>
    <w:rsid w:val="00885AF4"/>
    <w:rsid w:val="008939CD"/>
    <w:rsid w:val="008A1263"/>
    <w:rsid w:val="008B768C"/>
    <w:rsid w:val="008C4DB1"/>
    <w:rsid w:val="008C4EAF"/>
    <w:rsid w:val="008C5176"/>
    <w:rsid w:val="008C7FD0"/>
    <w:rsid w:val="008E1DE7"/>
    <w:rsid w:val="008E52E3"/>
    <w:rsid w:val="008E707C"/>
    <w:rsid w:val="00900B08"/>
    <w:rsid w:val="00902155"/>
    <w:rsid w:val="00902FA3"/>
    <w:rsid w:val="009153E5"/>
    <w:rsid w:val="00923564"/>
    <w:rsid w:val="0092392E"/>
    <w:rsid w:val="009315F9"/>
    <w:rsid w:val="00933499"/>
    <w:rsid w:val="00935C98"/>
    <w:rsid w:val="00946945"/>
    <w:rsid w:val="00946A39"/>
    <w:rsid w:val="00951248"/>
    <w:rsid w:val="0095152F"/>
    <w:rsid w:val="00953C7F"/>
    <w:rsid w:val="00954C49"/>
    <w:rsid w:val="00955E37"/>
    <w:rsid w:val="0096265B"/>
    <w:rsid w:val="00965A78"/>
    <w:rsid w:val="0097099F"/>
    <w:rsid w:val="00971997"/>
    <w:rsid w:val="00971FFC"/>
    <w:rsid w:val="0098660A"/>
    <w:rsid w:val="009931C3"/>
    <w:rsid w:val="009B0A98"/>
    <w:rsid w:val="009B2C43"/>
    <w:rsid w:val="009B4EAE"/>
    <w:rsid w:val="009B7573"/>
    <w:rsid w:val="009C057A"/>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740A"/>
    <w:rsid w:val="00A56DF2"/>
    <w:rsid w:val="00A56E6E"/>
    <w:rsid w:val="00A67AB5"/>
    <w:rsid w:val="00A733B2"/>
    <w:rsid w:val="00A741C2"/>
    <w:rsid w:val="00A81234"/>
    <w:rsid w:val="00A91760"/>
    <w:rsid w:val="00A918EB"/>
    <w:rsid w:val="00A93B00"/>
    <w:rsid w:val="00A93C21"/>
    <w:rsid w:val="00AA37CF"/>
    <w:rsid w:val="00AB64C9"/>
    <w:rsid w:val="00AB7BE8"/>
    <w:rsid w:val="00AC3C6A"/>
    <w:rsid w:val="00AD0F83"/>
    <w:rsid w:val="00AD5620"/>
    <w:rsid w:val="00AD656B"/>
    <w:rsid w:val="00AD7C1B"/>
    <w:rsid w:val="00AE16BA"/>
    <w:rsid w:val="00AE1EBE"/>
    <w:rsid w:val="00AF3E3C"/>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3CE"/>
    <w:rsid w:val="00BB4DF0"/>
    <w:rsid w:val="00BC289F"/>
    <w:rsid w:val="00BC2D50"/>
    <w:rsid w:val="00BC3339"/>
    <w:rsid w:val="00BC5361"/>
    <w:rsid w:val="00BC5460"/>
    <w:rsid w:val="00BC6B50"/>
    <w:rsid w:val="00BD0E25"/>
    <w:rsid w:val="00BD42D2"/>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53AD"/>
    <w:rsid w:val="00D20620"/>
    <w:rsid w:val="00D254F7"/>
    <w:rsid w:val="00D26091"/>
    <w:rsid w:val="00D2685C"/>
    <w:rsid w:val="00D34E7C"/>
    <w:rsid w:val="00D35489"/>
    <w:rsid w:val="00D36AFE"/>
    <w:rsid w:val="00D41037"/>
    <w:rsid w:val="00D42B9D"/>
    <w:rsid w:val="00D42D8E"/>
    <w:rsid w:val="00D51276"/>
    <w:rsid w:val="00D54605"/>
    <w:rsid w:val="00D62D0B"/>
    <w:rsid w:val="00D7035F"/>
    <w:rsid w:val="00DA634F"/>
    <w:rsid w:val="00DA65AC"/>
    <w:rsid w:val="00DB1913"/>
    <w:rsid w:val="00DC410D"/>
    <w:rsid w:val="00DC5A81"/>
    <w:rsid w:val="00DC68CA"/>
    <w:rsid w:val="00DC7CBA"/>
    <w:rsid w:val="00DD65FE"/>
    <w:rsid w:val="00DD73B7"/>
    <w:rsid w:val="00DE1530"/>
    <w:rsid w:val="00DF28BC"/>
    <w:rsid w:val="00DF34B9"/>
    <w:rsid w:val="00E00307"/>
    <w:rsid w:val="00E01053"/>
    <w:rsid w:val="00E05309"/>
    <w:rsid w:val="00E07ACF"/>
    <w:rsid w:val="00E331A1"/>
    <w:rsid w:val="00E33202"/>
    <w:rsid w:val="00E336A9"/>
    <w:rsid w:val="00E46E97"/>
    <w:rsid w:val="00E472B1"/>
    <w:rsid w:val="00E50624"/>
    <w:rsid w:val="00E55C65"/>
    <w:rsid w:val="00E568DF"/>
    <w:rsid w:val="00E64269"/>
    <w:rsid w:val="00E66797"/>
    <w:rsid w:val="00E70E89"/>
    <w:rsid w:val="00E82267"/>
    <w:rsid w:val="00E853CE"/>
    <w:rsid w:val="00E867B6"/>
    <w:rsid w:val="00E87F08"/>
    <w:rsid w:val="00EA010F"/>
    <w:rsid w:val="00EB4E65"/>
    <w:rsid w:val="00ED1B63"/>
    <w:rsid w:val="00ED3C1F"/>
    <w:rsid w:val="00ED4085"/>
    <w:rsid w:val="00ED420E"/>
    <w:rsid w:val="00ED6FBE"/>
    <w:rsid w:val="00EE2F57"/>
    <w:rsid w:val="00EF4C34"/>
    <w:rsid w:val="00EF77C6"/>
    <w:rsid w:val="00F05438"/>
    <w:rsid w:val="00F05AE1"/>
    <w:rsid w:val="00F1361C"/>
    <w:rsid w:val="00F156F0"/>
    <w:rsid w:val="00F160C7"/>
    <w:rsid w:val="00F2408F"/>
    <w:rsid w:val="00F240E9"/>
    <w:rsid w:val="00F330CE"/>
    <w:rsid w:val="00F36D8F"/>
    <w:rsid w:val="00F417B1"/>
    <w:rsid w:val="00F45853"/>
    <w:rsid w:val="00F462F7"/>
    <w:rsid w:val="00F602DF"/>
    <w:rsid w:val="00F7449A"/>
    <w:rsid w:val="00F754A1"/>
    <w:rsid w:val="00F81FD9"/>
    <w:rsid w:val="00F841AA"/>
    <w:rsid w:val="00F84A94"/>
    <w:rsid w:val="00F87E96"/>
    <w:rsid w:val="00FA23E8"/>
    <w:rsid w:val="00FD3CC1"/>
    <w:rsid w:val="00FF1E02"/>
    <w:rsid w:val="00FF30B4"/>
    <w:rsid w:val="01756278"/>
    <w:rsid w:val="02296F01"/>
    <w:rsid w:val="024C10C2"/>
    <w:rsid w:val="025926C3"/>
    <w:rsid w:val="028E57CB"/>
    <w:rsid w:val="02917FF2"/>
    <w:rsid w:val="02BD3913"/>
    <w:rsid w:val="02F0523D"/>
    <w:rsid w:val="03A53792"/>
    <w:rsid w:val="03B46800"/>
    <w:rsid w:val="03E00B1B"/>
    <w:rsid w:val="03E435C8"/>
    <w:rsid w:val="043C4183"/>
    <w:rsid w:val="044871E2"/>
    <w:rsid w:val="046C235F"/>
    <w:rsid w:val="048B3E6C"/>
    <w:rsid w:val="04D5532E"/>
    <w:rsid w:val="04D7065A"/>
    <w:rsid w:val="04F103B3"/>
    <w:rsid w:val="05032525"/>
    <w:rsid w:val="050D1ACA"/>
    <w:rsid w:val="05977C1E"/>
    <w:rsid w:val="05B3534A"/>
    <w:rsid w:val="05B60226"/>
    <w:rsid w:val="05C37FE7"/>
    <w:rsid w:val="05D95AE5"/>
    <w:rsid w:val="060A6DBD"/>
    <w:rsid w:val="06F8166A"/>
    <w:rsid w:val="07425357"/>
    <w:rsid w:val="074C7CE6"/>
    <w:rsid w:val="075D4B03"/>
    <w:rsid w:val="07760233"/>
    <w:rsid w:val="07EF3627"/>
    <w:rsid w:val="0820437C"/>
    <w:rsid w:val="092E5A7A"/>
    <w:rsid w:val="095C074B"/>
    <w:rsid w:val="09D47EDF"/>
    <w:rsid w:val="0A0B0E67"/>
    <w:rsid w:val="0A3841B6"/>
    <w:rsid w:val="0A3977AE"/>
    <w:rsid w:val="0A570BF7"/>
    <w:rsid w:val="0A71015F"/>
    <w:rsid w:val="0AAA2B12"/>
    <w:rsid w:val="0ABF4D71"/>
    <w:rsid w:val="0AFD08A1"/>
    <w:rsid w:val="0B154613"/>
    <w:rsid w:val="0B85481B"/>
    <w:rsid w:val="0B921863"/>
    <w:rsid w:val="0BE50649"/>
    <w:rsid w:val="0C1A2E87"/>
    <w:rsid w:val="0C276952"/>
    <w:rsid w:val="0C2A4BDF"/>
    <w:rsid w:val="0C362356"/>
    <w:rsid w:val="0CED221A"/>
    <w:rsid w:val="0D164203"/>
    <w:rsid w:val="0D1B4046"/>
    <w:rsid w:val="0D2115D2"/>
    <w:rsid w:val="0D4D2808"/>
    <w:rsid w:val="0DBA0098"/>
    <w:rsid w:val="0DF5160D"/>
    <w:rsid w:val="0E10407F"/>
    <w:rsid w:val="0E4E603E"/>
    <w:rsid w:val="0EAE33EE"/>
    <w:rsid w:val="0EE83CFA"/>
    <w:rsid w:val="0F4F3785"/>
    <w:rsid w:val="100368F3"/>
    <w:rsid w:val="10C055FF"/>
    <w:rsid w:val="10DF348C"/>
    <w:rsid w:val="11316BAF"/>
    <w:rsid w:val="113A4415"/>
    <w:rsid w:val="116901A2"/>
    <w:rsid w:val="1174163D"/>
    <w:rsid w:val="11747C81"/>
    <w:rsid w:val="11A26358"/>
    <w:rsid w:val="11A65146"/>
    <w:rsid w:val="11EB69A8"/>
    <w:rsid w:val="1280509E"/>
    <w:rsid w:val="12CC456E"/>
    <w:rsid w:val="12CF5244"/>
    <w:rsid w:val="12D933BC"/>
    <w:rsid w:val="132056E4"/>
    <w:rsid w:val="133E37DD"/>
    <w:rsid w:val="138D7A82"/>
    <w:rsid w:val="139E0753"/>
    <w:rsid w:val="13B01608"/>
    <w:rsid w:val="13BD35B1"/>
    <w:rsid w:val="144D37D7"/>
    <w:rsid w:val="14535E29"/>
    <w:rsid w:val="14EE1FB5"/>
    <w:rsid w:val="154555BE"/>
    <w:rsid w:val="154735CD"/>
    <w:rsid w:val="154D21E3"/>
    <w:rsid w:val="15525838"/>
    <w:rsid w:val="158309F9"/>
    <w:rsid w:val="15867838"/>
    <w:rsid w:val="15967673"/>
    <w:rsid w:val="15B624CB"/>
    <w:rsid w:val="15CC3F92"/>
    <w:rsid w:val="164664DB"/>
    <w:rsid w:val="168155AE"/>
    <w:rsid w:val="16BB723D"/>
    <w:rsid w:val="16C2380F"/>
    <w:rsid w:val="16C866E4"/>
    <w:rsid w:val="16F45CD1"/>
    <w:rsid w:val="16FC5787"/>
    <w:rsid w:val="16FD72D6"/>
    <w:rsid w:val="172848AA"/>
    <w:rsid w:val="173C103F"/>
    <w:rsid w:val="17831D92"/>
    <w:rsid w:val="17AA4AF6"/>
    <w:rsid w:val="17B54367"/>
    <w:rsid w:val="18150C3D"/>
    <w:rsid w:val="183A4D18"/>
    <w:rsid w:val="184C1F8F"/>
    <w:rsid w:val="185A6EF5"/>
    <w:rsid w:val="18FC52A7"/>
    <w:rsid w:val="19351CD2"/>
    <w:rsid w:val="195E2681"/>
    <w:rsid w:val="19AC210A"/>
    <w:rsid w:val="19B7354F"/>
    <w:rsid w:val="1A3126AE"/>
    <w:rsid w:val="1A7E4822"/>
    <w:rsid w:val="1A9E7B19"/>
    <w:rsid w:val="1AC5133B"/>
    <w:rsid w:val="1ADB584E"/>
    <w:rsid w:val="1AE74155"/>
    <w:rsid w:val="1B0B6ED7"/>
    <w:rsid w:val="1B0E5268"/>
    <w:rsid w:val="1B835E99"/>
    <w:rsid w:val="1BA073DE"/>
    <w:rsid w:val="1BBA21B5"/>
    <w:rsid w:val="1C0F18F4"/>
    <w:rsid w:val="1C2154F8"/>
    <w:rsid w:val="1C53246F"/>
    <w:rsid w:val="1C6002B1"/>
    <w:rsid w:val="1C702D0C"/>
    <w:rsid w:val="1C710D19"/>
    <w:rsid w:val="1C8B3D70"/>
    <w:rsid w:val="1C972B84"/>
    <w:rsid w:val="1CE07A3E"/>
    <w:rsid w:val="1CF218AC"/>
    <w:rsid w:val="1D52650E"/>
    <w:rsid w:val="1D6642C9"/>
    <w:rsid w:val="1D6D5984"/>
    <w:rsid w:val="1D8E79CA"/>
    <w:rsid w:val="1E4C7F51"/>
    <w:rsid w:val="1E5250AF"/>
    <w:rsid w:val="1E7F10C3"/>
    <w:rsid w:val="1E812761"/>
    <w:rsid w:val="1ED97629"/>
    <w:rsid w:val="1F36142B"/>
    <w:rsid w:val="1F58118C"/>
    <w:rsid w:val="1FE05969"/>
    <w:rsid w:val="1FF6161A"/>
    <w:rsid w:val="2005372B"/>
    <w:rsid w:val="20094C90"/>
    <w:rsid w:val="204C01D8"/>
    <w:rsid w:val="206474B2"/>
    <w:rsid w:val="207A6388"/>
    <w:rsid w:val="20863F65"/>
    <w:rsid w:val="209D5BB1"/>
    <w:rsid w:val="20B41340"/>
    <w:rsid w:val="20C407A1"/>
    <w:rsid w:val="20EA2DB9"/>
    <w:rsid w:val="21176773"/>
    <w:rsid w:val="213A777E"/>
    <w:rsid w:val="2178567F"/>
    <w:rsid w:val="21A06E23"/>
    <w:rsid w:val="21A93A0F"/>
    <w:rsid w:val="21C5288A"/>
    <w:rsid w:val="21ED0617"/>
    <w:rsid w:val="220B3D93"/>
    <w:rsid w:val="2242216B"/>
    <w:rsid w:val="224C22AE"/>
    <w:rsid w:val="22582072"/>
    <w:rsid w:val="22A878B6"/>
    <w:rsid w:val="22D81A85"/>
    <w:rsid w:val="230618E9"/>
    <w:rsid w:val="23216D63"/>
    <w:rsid w:val="23337417"/>
    <w:rsid w:val="233F1D32"/>
    <w:rsid w:val="2381558A"/>
    <w:rsid w:val="239A5A8B"/>
    <w:rsid w:val="23A80AC3"/>
    <w:rsid w:val="23DD4268"/>
    <w:rsid w:val="24031F07"/>
    <w:rsid w:val="240371BF"/>
    <w:rsid w:val="24C77ACF"/>
    <w:rsid w:val="24D965AD"/>
    <w:rsid w:val="24E10A8F"/>
    <w:rsid w:val="24F44A79"/>
    <w:rsid w:val="24F90409"/>
    <w:rsid w:val="24FE3A30"/>
    <w:rsid w:val="25620FA7"/>
    <w:rsid w:val="25713576"/>
    <w:rsid w:val="25A4767B"/>
    <w:rsid w:val="25AF34A3"/>
    <w:rsid w:val="25F80108"/>
    <w:rsid w:val="26070721"/>
    <w:rsid w:val="26495F8F"/>
    <w:rsid w:val="264D7767"/>
    <w:rsid w:val="267A45CF"/>
    <w:rsid w:val="27890524"/>
    <w:rsid w:val="27942451"/>
    <w:rsid w:val="27BD2DAA"/>
    <w:rsid w:val="27C71DC1"/>
    <w:rsid w:val="280633F7"/>
    <w:rsid w:val="285F5BFB"/>
    <w:rsid w:val="289971DF"/>
    <w:rsid w:val="28B17E98"/>
    <w:rsid w:val="29474BB6"/>
    <w:rsid w:val="295D4598"/>
    <w:rsid w:val="299A548F"/>
    <w:rsid w:val="29FD04D3"/>
    <w:rsid w:val="2A2F3719"/>
    <w:rsid w:val="2A742ABF"/>
    <w:rsid w:val="2A7E6A80"/>
    <w:rsid w:val="2A897258"/>
    <w:rsid w:val="2A8D283C"/>
    <w:rsid w:val="2AA05D56"/>
    <w:rsid w:val="2AFF5F4F"/>
    <w:rsid w:val="2B2C46F5"/>
    <w:rsid w:val="2B4378F6"/>
    <w:rsid w:val="2B596EA1"/>
    <w:rsid w:val="2BBC59BA"/>
    <w:rsid w:val="2BDE0926"/>
    <w:rsid w:val="2C4F2E92"/>
    <w:rsid w:val="2C585E7E"/>
    <w:rsid w:val="2CEB78AE"/>
    <w:rsid w:val="2D4C1B58"/>
    <w:rsid w:val="2D735491"/>
    <w:rsid w:val="2DB022C1"/>
    <w:rsid w:val="2DF54E9B"/>
    <w:rsid w:val="2E960B9E"/>
    <w:rsid w:val="2F3355ED"/>
    <w:rsid w:val="2F3F606F"/>
    <w:rsid w:val="2F7D5D8F"/>
    <w:rsid w:val="2F9561B9"/>
    <w:rsid w:val="2F9E3DCF"/>
    <w:rsid w:val="2FB536EC"/>
    <w:rsid w:val="2FD47DC8"/>
    <w:rsid w:val="30295AA4"/>
    <w:rsid w:val="302B7ED2"/>
    <w:rsid w:val="304C21B4"/>
    <w:rsid w:val="307F5541"/>
    <w:rsid w:val="30ED1D7A"/>
    <w:rsid w:val="31664FBF"/>
    <w:rsid w:val="3195453E"/>
    <w:rsid w:val="31995EBC"/>
    <w:rsid w:val="319F7F4E"/>
    <w:rsid w:val="31B6708C"/>
    <w:rsid w:val="32032053"/>
    <w:rsid w:val="32535A8C"/>
    <w:rsid w:val="32F82AFC"/>
    <w:rsid w:val="32FE46F6"/>
    <w:rsid w:val="3305398E"/>
    <w:rsid w:val="331F26E6"/>
    <w:rsid w:val="332237AE"/>
    <w:rsid w:val="33247588"/>
    <w:rsid w:val="339A6F57"/>
    <w:rsid w:val="33BD1908"/>
    <w:rsid w:val="33E50A62"/>
    <w:rsid w:val="341016C7"/>
    <w:rsid w:val="341830FA"/>
    <w:rsid w:val="342B1ECD"/>
    <w:rsid w:val="343D4030"/>
    <w:rsid w:val="34817415"/>
    <w:rsid w:val="34975D91"/>
    <w:rsid w:val="34BD4D8A"/>
    <w:rsid w:val="34E82EF6"/>
    <w:rsid w:val="35135369"/>
    <w:rsid w:val="354F185B"/>
    <w:rsid w:val="3555296D"/>
    <w:rsid w:val="35D21A63"/>
    <w:rsid w:val="35EA23A4"/>
    <w:rsid w:val="35ED25E6"/>
    <w:rsid w:val="362A78D0"/>
    <w:rsid w:val="36545D67"/>
    <w:rsid w:val="36C4394E"/>
    <w:rsid w:val="36E778EB"/>
    <w:rsid w:val="36EA53F4"/>
    <w:rsid w:val="36F94837"/>
    <w:rsid w:val="37486C85"/>
    <w:rsid w:val="37685589"/>
    <w:rsid w:val="376A49AA"/>
    <w:rsid w:val="37811A14"/>
    <w:rsid w:val="37C04ED2"/>
    <w:rsid w:val="37EB444D"/>
    <w:rsid w:val="3808271F"/>
    <w:rsid w:val="387E3FE6"/>
    <w:rsid w:val="39041649"/>
    <w:rsid w:val="394B1FD6"/>
    <w:rsid w:val="3963428D"/>
    <w:rsid w:val="396A6E53"/>
    <w:rsid w:val="396D7AE7"/>
    <w:rsid w:val="39FF5AA3"/>
    <w:rsid w:val="3A126FDE"/>
    <w:rsid w:val="3A253004"/>
    <w:rsid w:val="3A3034C0"/>
    <w:rsid w:val="3A6F6C64"/>
    <w:rsid w:val="3A882441"/>
    <w:rsid w:val="3A8A22CF"/>
    <w:rsid w:val="3AEE5C76"/>
    <w:rsid w:val="3AFF2CF6"/>
    <w:rsid w:val="3B0C4942"/>
    <w:rsid w:val="3B170BCE"/>
    <w:rsid w:val="3B7849E7"/>
    <w:rsid w:val="3B817478"/>
    <w:rsid w:val="3B8D758D"/>
    <w:rsid w:val="3C251B53"/>
    <w:rsid w:val="3CC0267E"/>
    <w:rsid w:val="3D0B350B"/>
    <w:rsid w:val="3D2039DB"/>
    <w:rsid w:val="3D692ADB"/>
    <w:rsid w:val="3D7F29FC"/>
    <w:rsid w:val="3D832865"/>
    <w:rsid w:val="3D8579C8"/>
    <w:rsid w:val="3DC76201"/>
    <w:rsid w:val="3DCF0478"/>
    <w:rsid w:val="3DF4321D"/>
    <w:rsid w:val="3DFA5816"/>
    <w:rsid w:val="3E257C1A"/>
    <w:rsid w:val="3E3673A8"/>
    <w:rsid w:val="3E720C9F"/>
    <w:rsid w:val="3EA9223D"/>
    <w:rsid w:val="3EAB4251"/>
    <w:rsid w:val="3ECF7FF5"/>
    <w:rsid w:val="3EEB4211"/>
    <w:rsid w:val="3F000AE6"/>
    <w:rsid w:val="3F516F85"/>
    <w:rsid w:val="3F605FB9"/>
    <w:rsid w:val="3F6A5C14"/>
    <w:rsid w:val="3FFD4924"/>
    <w:rsid w:val="40280B69"/>
    <w:rsid w:val="40335192"/>
    <w:rsid w:val="40452528"/>
    <w:rsid w:val="40787CE9"/>
    <w:rsid w:val="40965563"/>
    <w:rsid w:val="40F66EF6"/>
    <w:rsid w:val="41295F0E"/>
    <w:rsid w:val="41A563E9"/>
    <w:rsid w:val="41AB2449"/>
    <w:rsid w:val="41B70C3D"/>
    <w:rsid w:val="425B590D"/>
    <w:rsid w:val="42A25461"/>
    <w:rsid w:val="42AB2375"/>
    <w:rsid w:val="42F06635"/>
    <w:rsid w:val="42FF5FCF"/>
    <w:rsid w:val="432E1B29"/>
    <w:rsid w:val="439B6FED"/>
    <w:rsid w:val="43BD508F"/>
    <w:rsid w:val="441150D6"/>
    <w:rsid w:val="442C4FA8"/>
    <w:rsid w:val="44435AA5"/>
    <w:rsid w:val="44933ACE"/>
    <w:rsid w:val="44F31394"/>
    <w:rsid w:val="45707A4E"/>
    <w:rsid w:val="45982C3C"/>
    <w:rsid w:val="459D44EC"/>
    <w:rsid w:val="45A50A11"/>
    <w:rsid w:val="45B53C69"/>
    <w:rsid w:val="45C665DC"/>
    <w:rsid w:val="467A5ED4"/>
    <w:rsid w:val="46D14493"/>
    <w:rsid w:val="47191A6B"/>
    <w:rsid w:val="474E4E54"/>
    <w:rsid w:val="479049A7"/>
    <w:rsid w:val="479B7848"/>
    <w:rsid w:val="47AF4629"/>
    <w:rsid w:val="47EA258F"/>
    <w:rsid w:val="483156AF"/>
    <w:rsid w:val="48485563"/>
    <w:rsid w:val="48653E82"/>
    <w:rsid w:val="48780856"/>
    <w:rsid w:val="48781AEB"/>
    <w:rsid w:val="48813650"/>
    <w:rsid w:val="48A431E8"/>
    <w:rsid w:val="48AA2A54"/>
    <w:rsid w:val="48B137EB"/>
    <w:rsid w:val="4921750B"/>
    <w:rsid w:val="49862244"/>
    <w:rsid w:val="49E32A72"/>
    <w:rsid w:val="4A72769E"/>
    <w:rsid w:val="4AC015B4"/>
    <w:rsid w:val="4AED2405"/>
    <w:rsid w:val="4B0D0234"/>
    <w:rsid w:val="4B2931DE"/>
    <w:rsid w:val="4B2D2606"/>
    <w:rsid w:val="4B355F17"/>
    <w:rsid w:val="4B396C86"/>
    <w:rsid w:val="4B4A493F"/>
    <w:rsid w:val="4B5D43C3"/>
    <w:rsid w:val="4BA655A5"/>
    <w:rsid w:val="4BBB151D"/>
    <w:rsid w:val="4C4D6E4D"/>
    <w:rsid w:val="4C764FC9"/>
    <w:rsid w:val="4C8943B7"/>
    <w:rsid w:val="4C9A5875"/>
    <w:rsid w:val="4CB72CC4"/>
    <w:rsid w:val="4CCC0221"/>
    <w:rsid w:val="4CD6761C"/>
    <w:rsid w:val="4CE5123B"/>
    <w:rsid w:val="4CE613E7"/>
    <w:rsid w:val="4D180E82"/>
    <w:rsid w:val="4D1D5922"/>
    <w:rsid w:val="4D2D7740"/>
    <w:rsid w:val="4D4D3553"/>
    <w:rsid w:val="4D4F2747"/>
    <w:rsid w:val="4D7250AE"/>
    <w:rsid w:val="4D7C0404"/>
    <w:rsid w:val="4D9E5503"/>
    <w:rsid w:val="4DA235A3"/>
    <w:rsid w:val="4DA63C7F"/>
    <w:rsid w:val="4DC95078"/>
    <w:rsid w:val="4DE11801"/>
    <w:rsid w:val="4DF029DE"/>
    <w:rsid w:val="4E0C17DE"/>
    <w:rsid w:val="4E6006A2"/>
    <w:rsid w:val="4E763E14"/>
    <w:rsid w:val="4EBD1877"/>
    <w:rsid w:val="4EC31EFB"/>
    <w:rsid w:val="4ECE2238"/>
    <w:rsid w:val="4F000598"/>
    <w:rsid w:val="4F032233"/>
    <w:rsid w:val="4F676BB1"/>
    <w:rsid w:val="4F8E798E"/>
    <w:rsid w:val="4F905BF7"/>
    <w:rsid w:val="4FD569A3"/>
    <w:rsid w:val="4FDD09C9"/>
    <w:rsid w:val="50050F49"/>
    <w:rsid w:val="504C6B0A"/>
    <w:rsid w:val="506E6DF3"/>
    <w:rsid w:val="50775B8A"/>
    <w:rsid w:val="50795EE0"/>
    <w:rsid w:val="51433121"/>
    <w:rsid w:val="51442E27"/>
    <w:rsid w:val="516303EF"/>
    <w:rsid w:val="51857280"/>
    <w:rsid w:val="51A764CB"/>
    <w:rsid w:val="52182992"/>
    <w:rsid w:val="521A7BB5"/>
    <w:rsid w:val="521D440C"/>
    <w:rsid w:val="521F1D24"/>
    <w:rsid w:val="522A7C2D"/>
    <w:rsid w:val="523C627A"/>
    <w:rsid w:val="52D34986"/>
    <w:rsid w:val="530E0C2A"/>
    <w:rsid w:val="53DB42CF"/>
    <w:rsid w:val="53E501D2"/>
    <w:rsid w:val="53F13DC1"/>
    <w:rsid w:val="54472D5A"/>
    <w:rsid w:val="545318C4"/>
    <w:rsid w:val="54F57322"/>
    <w:rsid w:val="555452AF"/>
    <w:rsid w:val="556638A7"/>
    <w:rsid w:val="556C6EFD"/>
    <w:rsid w:val="55A10391"/>
    <w:rsid w:val="55CA5F57"/>
    <w:rsid w:val="55D74B5F"/>
    <w:rsid w:val="55E34689"/>
    <w:rsid w:val="55E54078"/>
    <w:rsid w:val="55F400CD"/>
    <w:rsid w:val="56040C98"/>
    <w:rsid w:val="56060410"/>
    <w:rsid w:val="560966F3"/>
    <w:rsid w:val="56380CC2"/>
    <w:rsid w:val="564F2401"/>
    <w:rsid w:val="569641F4"/>
    <w:rsid w:val="570815A1"/>
    <w:rsid w:val="57151DAF"/>
    <w:rsid w:val="576909AF"/>
    <w:rsid w:val="577D03E5"/>
    <w:rsid w:val="579D3F89"/>
    <w:rsid w:val="57FB3D0F"/>
    <w:rsid w:val="58626E0E"/>
    <w:rsid w:val="58BF1518"/>
    <w:rsid w:val="58D335E8"/>
    <w:rsid w:val="58DC5DB4"/>
    <w:rsid w:val="58FB430D"/>
    <w:rsid w:val="59307F52"/>
    <w:rsid w:val="598607EF"/>
    <w:rsid w:val="59DB16F7"/>
    <w:rsid w:val="59FE2080"/>
    <w:rsid w:val="5ACD211B"/>
    <w:rsid w:val="5AD23E67"/>
    <w:rsid w:val="5ADD5264"/>
    <w:rsid w:val="5B2253B0"/>
    <w:rsid w:val="5B2519F5"/>
    <w:rsid w:val="5B76132E"/>
    <w:rsid w:val="5BFB0028"/>
    <w:rsid w:val="5C097E09"/>
    <w:rsid w:val="5C636098"/>
    <w:rsid w:val="5CB90297"/>
    <w:rsid w:val="5D26237B"/>
    <w:rsid w:val="5D450D08"/>
    <w:rsid w:val="5D4F058F"/>
    <w:rsid w:val="5D651A47"/>
    <w:rsid w:val="5DAF7500"/>
    <w:rsid w:val="5E067866"/>
    <w:rsid w:val="5E78394E"/>
    <w:rsid w:val="5E9A74A5"/>
    <w:rsid w:val="5EA462D3"/>
    <w:rsid w:val="5EF524BB"/>
    <w:rsid w:val="5EFE05D7"/>
    <w:rsid w:val="5F3C432D"/>
    <w:rsid w:val="5F400CAD"/>
    <w:rsid w:val="5F47067E"/>
    <w:rsid w:val="5F5E43F5"/>
    <w:rsid w:val="5FC64BE7"/>
    <w:rsid w:val="6015516A"/>
    <w:rsid w:val="606C15B8"/>
    <w:rsid w:val="607438EC"/>
    <w:rsid w:val="607D22CC"/>
    <w:rsid w:val="609D31FB"/>
    <w:rsid w:val="609E2940"/>
    <w:rsid w:val="613D00A0"/>
    <w:rsid w:val="614F6506"/>
    <w:rsid w:val="618364FF"/>
    <w:rsid w:val="62437E06"/>
    <w:rsid w:val="62832E5B"/>
    <w:rsid w:val="63022D7C"/>
    <w:rsid w:val="631236B8"/>
    <w:rsid w:val="631600D0"/>
    <w:rsid w:val="631C1A76"/>
    <w:rsid w:val="634F6738"/>
    <w:rsid w:val="636E2182"/>
    <w:rsid w:val="63906679"/>
    <w:rsid w:val="63963A5A"/>
    <w:rsid w:val="63B40B62"/>
    <w:rsid w:val="643E6AE2"/>
    <w:rsid w:val="646D14BA"/>
    <w:rsid w:val="64DD6ED1"/>
    <w:rsid w:val="64F120D4"/>
    <w:rsid w:val="64F74B24"/>
    <w:rsid w:val="6512568C"/>
    <w:rsid w:val="652D5158"/>
    <w:rsid w:val="65CF1B36"/>
    <w:rsid w:val="65EF01D0"/>
    <w:rsid w:val="66122278"/>
    <w:rsid w:val="66306E9C"/>
    <w:rsid w:val="666166EF"/>
    <w:rsid w:val="6680488E"/>
    <w:rsid w:val="67B244C9"/>
    <w:rsid w:val="67B3188D"/>
    <w:rsid w:val="68097F6B"/>
    <w:rsid w:val="6815297F"/>
    <w:rsid w:val="682A0429"/>
    <w:rsid w:val="682E5C6A"/>
    <w:rsid w:val="68BB37F4"/>
    <w:rsid w:val="68C90916"/>
    <w:rsid w:val="68FB57AE"/>
    <w:rsid w:val="691308F7"/>
    <w:rsid w:val="6929461E"/>
    <w:rsid w:val="6ADD73F9"/>
    <w:rsid w:val="6AE42930"/>
    <w:rsid w:val="6B020BBA"/>
    <w:rsid w:val="6B2E125D"/>
    <w:rsid w:val="6B5D072C"/>
    <w:rsid w:val="6B775511"/>
    <w:rsid w:val="6BE94BF0"/>
    <w:rsid w:val="6C143DCB"/>
    <w:rsid w:val="6C2D7689"/>
    <w:rsid w:val="6CDE419A"/>
    <w:rsid w:val="6CE57F1A"/>
    <w:rsid w:val="6D401761"/>
    <w:rsid w:val="6D8B23FB"/>
    <w:rsid w:val="6DB4650C"/>
    <w:rsid w:val="6E006F0B"/>
    <w:rsid w:val="6E323134"/>
    <w:rsid w:val="6EBF584D"/>
    <w:rsid w:val="6F3B13DF"/>
    <w:rsid w:val="6F44097B"/>
    <w:rsid w:val="6FB61590"/>
    <w:rsid w:val="6FC21CC0"/>
    <w:rsid w:val="6FCC30F8"/>
    <w:rsid w:val="701662EF"/>
    <w:rsid w:val="70362D5C"/>
    <w:rsid w:val="70515C4C"/>
    <w:rsid w:val="708A3211"/>
    <w:rsid w:val="70A03948"/>
    <w:rsid w:val="70B05D26"/>
    <w:rsid w:val="70BD408B"/>
    <w:rsid w:val="710F2959"/>
    <w:rsid w:val="710F5166"/>
    <w:rsid w:val="712633B1"/>
    <w:rsid w:val="71747031"/>
    <w:rsid w:val="71B10B6C"/>
    <w:rsid w:val="71EF641E"/>
    <w:rsid w:val="72734D90"/>
    <w:rsid w:val="72996EA1"/>
    <w:rsid w:val="72A36E5C"/>
    <w:rsid w:val="72B464F3"/>
    <w:rsid w:val="72D43CCD"/>
    <w:rsid w:val="73111E88"/>
    <w:rsid w:val="73114320"/>
    <w:rsid w:val="732C076E"/>
    <w:rsid w:val="739D01C6"/>
    <w:rsid w:val="73D05578"/>
    <w:rsid w:val="74176A78"/>
    <w:rsid w:val="742369FA"/>
    <w:rsid w:val="74702AAB"/>
    <w:rsid w:val="74CD24E1"/>
    <w:rsid w:val="74DF7E5C"/>
    <w:rsid w:val="74E769DB"/>
    <w:rsid w:val="74F471F0"/>
    <w:rsid w:val="752E22CB"/>
    <w:rsid w:val="7546092F"/>
    <w:rsid w:val="755D0F86"/>
    <w:rsid w:val="759D23FC"/>
    <w:rsid w:val="75B93CE7"/>
    <w:rsid w:val="75BC7CF1"/>
    <w:rsid w:val="75F214F8"/>
    <w:rsid w:val="761D028F"/>
    <w:rsid w:val="763D70B2"/>
    <w:rsid w:val="76E44557"/>
    <w:rsid w:val="76FF7CC3"/>
    <w:rsid w:val="77235423"/>
    <w:rsid w:val="77360486"/>
    <w:rsid w:val="77571F53"/>
    <w:rsid w:val="778453E9"/>
    <w:rsid w:val="7790393F"/>
    <w:rsid w:val="77977106"/>
    <w:rsid w:val="781973D4"/>
    <w:rsid w:val="78262475"/>
    <w:rsid w:val="78323806"/>
    <w:rsid w:val="787C43D0"/>
    <w:rsid w:val="78856F8E"/>
    <w:rsid w:val="79410D2C"/>
    <w:rsid w:val="79540249"/>
    <w:rsid w:val="7976632F"/>
    <w:rsid w:val="799B4D0C"/>
    <w:rsid w:val="79C83E4C"/>
    <w:rsid w:val="79ED47C0"/>
    <w:rsid w:val="79F6770C"/>
    <w:rsid w:val="79FB4A2F"/>
    <w:rsid w:val="7A2054E0"/>
    <w:rsid w:val="7A2D05CB"/>
    <w:rsid w:val="7A51479F"/>
    <w:rsid w:val="7A59667C"/>
    <w:rsid w:val="7A933B62"/>
    <w:rsid w:val="7AAF5893"/>
    <w:rsid w:val="7AC74AC5"/>
    <w:rsid w:val="7B2A3D7E"/>
    <w:rsid w:val="7B3D6139"/>
    <w:rsid w:val="7B602C16"/>
    <w:rsid w:val="7B8A30CA"/>
    <w:rsid w:val="7C6852EA"/>
    <w:rsid w:val="7C8E36AB"/>
    <w:rsid w:val="7C997C5C"/>
    <w:rsid w:val="7CBD0E9E"/>
    <w:rsid w:val="7D1E4FC7"/>
    <w:rsid w:val="7D2B7AA2"/>
    <w:rsid w:val="7D361F2C"/>
    <w:rsid w:val="7DA50F78"/>
    <w:rsid w:val="7DB46EC2"/>
    <w:rsid w:val="7E5B6117"/>
    <w:rsid w:val="7E8232B5"/>
    <w:rsid w:val="7EB11CC8"/>
    <w:rsid w:val="7EB47BDF"/>
    <w:rsid w:val="7F8B749C"/>
    <w:rsid w:val="7F940F60"/>
    <w:rsid w:val="7FB656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0" w:semiHidden="0"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7"/>
    <w:qFormat/>
    <w:uiPriority w:val="9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1"/>
    <w:qFormat/>
    <w:locked/>
    <w:uiPriority w:val="0"/>
    <w:pPr>
      <w:ind w:firstLine="420"/>
    </w:pPr>
  </w:style>
  <w:style w:type="paragraph" w:styleId="6">
    <w:name w:val="Document Map"/>
    <w:basedOn w:val="1"/>
    <w:link w:val="28"/>
    <w:semiHidden/>
    <w:qFormat/>
    <w:uiPriority w:val="99"/>
    <w:rPr>
      <w:rFonts w:ascii="宋体" w:cs="宋体"/>
      <w:sz w:val="18"/>
      <w:szCs w:val="18"/>
    </w:rPr>
  </w:style>
  <w:style w:type="paragraph" w:styleId="7">
    <w:name w:val="Salutation"/>
    <w:basedOn w:val="1"/>
    <w:next w:val="1"/>
    <w:qFormat/>
    <w:locked/>
    <w:uiPriority w:val="0"/>
    <w:rPr>
      <w:rFonts w:ascii="Times New Roman" w:hAnsi="Times New Roman"/>
    </w:rPr>
  </w:style>
  <w:style w:type="paragraph" w:styleId="8">
    <w:name w:val="Body Text"/>
    <w:basedOn w:val="1"/>
    <w:next w:val="9"/>
    <w:link w:val="37"/>
    <w:qFormat/>
    <w:uiPriority w:val="99"/>
    <w:pPr>
      <w:spacing w:beforeLines="30"/>
    </w:pPr>
    <w:rPr>
      <w:rFonts w:ascii="??_GB2312" w:eastAsia="Times New Roman" w:cs="??_GB2312"/>
      <w:kern w:val="0"/>
      <w:sz w:val="24"/>
      <w:szCs w:val="24"/>
    </w:rPr>
  </w:style>
  <w:style w:type="paragraph" w:styleId="9">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0">
    <w:name w:val="Body Text Indent"/>
    <w:basedOn w:val="1"/>
    <w:link w:val="56"/>
    <w:qFormat/>
    <w:uiPriority w:val="99"/>
    <w:pPr>
      <w:ind w:left="420" w:leftChars="200"/>
    </w:pPr>
  </w:style>
  <w:style w:type="paragraph" w:styleId="11">
    <w:name w:val="toc 3"/>
    <w:basedOn w:val="1"/>
    <w:next w:val="1"/>
    <w:semiHidden/>
    <w:qFormat/>
    <w:uiPriority w:val="99"/>
    <w:pPr>
      <w:tabs>
        <w:tab w:val="right" w:leader="dot" w:pos="8296"/>
      </w:tabs>
      <w:ind w:left="840" w:leftChars="400"/>
    </w:pPr>
  </w:style>
  <w:style w:type="paragraph" w:styleId="12">
    <w:name w:val="Balloon Text"/>
    <w:basedOn w:val="1"/>
    <w:link w:val="31"/>
    <w:semiHidden/>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rFonts w:ascii="Calibri" w:hAnsi="Calibri" w:cs="Calibri"/>
      <w:kern w:val="0"/>
      <w:sz w:val="18"/>
      <w:szCs w:val="18"/>
    </w:rPr>
  </w:style>
  <w:style w:type="paragraph" w:styleId="14">
    <w:name w:val="header"/>
    <w:basedOn w:val="1"/>
    <w:link w:val="35"/>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5">
    <w:name w:val="toc 2"/>
    <w:basedOn w:val="1"/>
    <w:next w:val="1"/>
    <w:semiHidden/>
    <w:qFormat/>
    <w:uiPriority w:val="99"/>
    <w:pPr>
      <w:tabs>
        <w:tab w:val="right" w:leader="dot" w:pos="8296"/>
      </w:tabs>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10"/>
    <w:next w:val="1"/>
    <w:link w:val="57"/>
    <w:qFormat/>
    <w:uiPriority w:val="99"/>
    <w:pPr>
      <w:ind w:firstLine="420" w:firstLineChars="200"/>
    </w:pPr>
  </w:style>
  <w:style w:type="table" w:styleId="19">
    <w:name w:val="Table Grid"/>
    <w:basedOn w:val="18"/>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ascii="Times New Roman" w:hAnsi="Times New Roman" w:cs="Times New Roman"/>
      <w:b/>
      <w:bCs/>
    </w:rPr>
  </w:style>
  <w:style w:type="character" w:styleId="22">
    <w:name w:val="Hyperlink"/>
    <w:basedOn w:val="20"/>
    <w:qFormat/>
    <w:uiPriority w:val="99"/>
    <w:rPr>
      <w:color w:val="0000FF"/>
      <w:u w:val="single"/>
    </w:rPr>
  </w:style>
  <w:style w:type="paragraph" w:customStyle="1" w:styleId="23">
    <w:name w:val="标题 5（有编号）（绿盟科技）"/>
    <w:basedOn w:val="1"/>
    <w:next w:val="24"/>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24">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25">
    <w:name w:val="标题 1 Char"/>
    <w:basedOn w:val="20"/>
    <w:link w:val="3"/>
    <w:qFormat/>
    <w:locked/>
    <w:uiPriority w:val="9"/>
    <w:rPr>
      <w:rFonts w:ascii="Times New Roman" w:hAnsi="Times New Roman" w:cs="Times New Roman"/>
      <w:b/>
      <w:bCs/>
      <w:kern w:val="44"/>
      <w:sz w:val="44"/>
      <w:szCs w:val="44"/>
    </w:rPr>
  </w:style>
  <w:style w:type="character" w:customStyle="1" w:styleId="26">
    <w:name w:val="Heading 2 Char"/>
    <w:basedOn w:val="20"/>
    <w:link w:val="4"/>
    <w:qFormat/>
    <w:locked/>
    <w:uiPriority w:val="99"/>
    <w:rPr>
      <w:rFonts w:ascii="Cambria" w:hAnsi="Cambria" w:eastAsia="宋体" w:cs="Cambria"/>
      <w:b/>
      <w:bCs/>
      <w:kern w:val="2"/>
      <w:sz w:val="32"/>
      <w:szCs w:val="32"/>
    </w:rPr>
  </w:style>
  <w:style w:type="character" w:customStyle="1" w:styleId="27">
    <w:name w:val="标题 3 Char"/>
    <w:basedOn w:val="20"/>
    <w:link w:val="5"/>
    <w:qFormat/>
    <w:locked/>
    <w:uiPriority w:val="99"/>
    <w:rPr>
      <w:rFonts w:ascii="Times New Roman" w:hAnsi="Times New Roman" w:cs="Times New Roman"/>
      <w:b/>
      <w:bCs/>
      <w:kern w:val="2"/>
      <w:sz w:val="32"/>
      <w:szCs w:val="32"/>
    </w:rPr>
  </w:style>
  <w:style w:type="character" w:customStyle="1" w:styleId="28">
    <w:name w:val="文档结构图 Char"/>
    <w:basedOn w:val="20"/>
    <w:link w:val="6"/>
    <w:semiHidden/>
    <w:qFormat/>
    <w:locked/>
    <w:uiPriority w:val="99"/>
    <w:rPr>
      <w:rFonts w:ascii="宋体" w:hAnsi="Times New Roman" w:eastAsia="宋体" w:cs="宋体"/>
      <w:kern w:val="2"/>
      <w:sz w:val="18"/>
      <w:szCs w:val="18"/>
    </w:rPr>
  </w:style>
  <w:style w:type="character" w:customStyle="1" w:styleId="29">
    <w:name w:val="Body Text Char"/>
    <w:basedOn w:val="20"/>
    <w:link w:val="8"/>
    <w:semiHidden/>
    <w:qFormat/>
    <w:locked/>
    <w:uiPriority w:val="99"/>
    <w:rPr>
      <w:rFonts w:ascii="Times New Roman" w:hAnsi="Times New Roman" w:cs="Times New Roman"/>
      <w:sz w:val="24"/>
      <w:szCs w:val="24"/>
    </w:rPr>
  </w:style>
  <w:style w:type="character" w:customStyle="1" w:styleId="30">
    <w:name w:val="Body Text Indent Char"/>
    <w:basedOn w:val="20"/>
    <w:link w:val="10"/>
    <w:semiHidden/>
    <w:qFormat/>
    <w:locked/>
    <w:uiPriority w:val="99"/>
    <w:rPr>
      <w:rFonts w:ascii="Times New Roman" w:hAnsi="Times New Roman" w:cs="Times New Roman"/>
      <w:sz w:val="21"/>
      <w:szCs w:val="21"/>
    </w:rPr>
  </w:style>
  <w:style w:type="character" w:customStyle="1" w:styleId="31">
    <w:name w:val="批注框文本 Char"/>
    <w:basedOn w:val="20"/>
    <w:link w:val="12"/>
    <w:semiHidden/>
    <w:qFormat/>
    <w:locked/>
    <w:uiPriority w:val="99"/>
    <w:rPr>
      <w:rFonts w:ascii="Times New Roman" w:hAnsi="Times New Roman" w:cs="Times New Roman"/>
      <w:kern w:val="2"/>
      <w:sz w:val="18"/>
      <w:szCs w:val="18"/>
    </w:rPr>
  </w:style>
  <w:style w:type="character" w:customStyle="1" w:styleId="32">
    <w:name w:val="Footer Char"/>
    <w:basedOn w:val="20"/>
    <w:link w:val="13"/>
    <w:semiHidden/>
    <w:qFormat/>
    <w:locked/>
    <w:uiPriority w:val="99"/>
    <w:rPr>
      <w:rFonts w:ascii="Times New Roman" w:hAnsi="Times New Roman" w:cs="Times New Roman"/>
      <w:sz w:val="18"/>
      <w:szCs w:val="18"/>
    </w:rPr>
  </w:style>
  <w:style w:type="character" w:customStyle="1" w:styleId="33">
    <w:name w:val="Header Char"/>
    <w:basedOn w:val="20"/>
    <w:link w:val="14"/>
    <w:semiHidden/>
    <w:qFormat/>
    <w:locked/>
    <w:uiPriority w:val="99"/>
    <w:rPr>
      <w:rFonts w:ascii="Times New Roman" w:hAnsi="Times New Roman" w:cs="Times New Roman"/>
      <w:sz w:val="18"/>
      <w:szCs w:val="18"/>
    </w:rPr>
  </w:style>
  <w:style w:type="character" w:customStyle="1" w:styleId="34">
    <w:name w:val="Body Text First Indent 2 Char"/>
    <w:basedOn w:val="30"/>
    <w:link w:val="17"/>
    <w:semiHidden/>
    <w:qFormat/>
    <w:locked/>
    <w:uiPriority w:val="99"/>
  </w:style>
  <w:style w:type="character" w:customStyle="1" w:styleId="35">
    <w:name w:val="页眉 Char"/>
    <w:link w:val="14"/>
    <w:semiHidden/>
    <w:qFormat/>
    <w:locked/>
    <w:uiPriority w:val="99"/>
    <w:rPr>
      <w:sz w:val="18"/>
      <w:szCs w:val="18"/>
    </w:rPr>
  </w:style>
  <w:style w:type="character" w:customStyle="1" w:styleId="36">
    <w:name w:val="页脚 Char"/>
    <w:link w:val="13"/>
    <w:qFormat/>
    <w:locked/>
    <w:uiPriority w:val="99"/>
    <w:rPr>
      <w:sz w:val="18"/>
      <w:szCs w:val="18"/>
    </w:rPr>
  </w:style>
  <w:style w:type="character" w:customStyle="1" w:styleId="37">
    <w:name w:val="正文文本 Char"/>
    <w:link w:val="8"/>
    <w:qFormat/>
    <w:locked/>
    <w:uiPriority w:val="99"/>
    <w:rPr>
      <w:rFonts w:ascii="??_GB2312" w:hAnsi="Times New Roman" w:eastAsia="Times New Roman" w:cs="??_GB2312"/>
      <w:sz w:val="24"/>
      <w:szCs w:val="24"/>
    </w:rPr>
  </w:style>
  <w:style w:type="paragraph" w:customStyle="1" w:styleId="3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9">
    <w:name w:val="列出段落1"/>
    <w:basedOn w:val="1"/>
    <w:qFormat/>
    <w:uiPriority w:val="99"/>
    <w:pPr>
      <w:ind w:firstLine="420" w:firstLineChars="200"/>
    </w:pPr>
  </w:style>
  <w:style w:type="paragraph" w:customStyle="1" w:styleId="40">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1">
    <w:name w:val="TOC 标题2"/>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2">
    <w:name w:val="普通(网站)1"/>
    <w:basedOn w:val="1"/>
    <w:qFormat/>
    <w:uiPriority w:val="99"/>
    <w:pPr>
      <w:spacing w:before="100" w:beforeAutospacing="1" w:after="100" w:afterAutospacing="1"/>
    </w:pPr>
  </w:style>
  <w:style w:type="character" w:customStyle="1" w:styleId="43">
    <w:name w:val="标题 2 Char"/>
    <w:basedOn w:val="20"/>
    <w:link w:val="4"/>
    <w:qFormat/>
    <w:locked/>
    <w:uiPriority w:val="9"/>
    <w:rPr>
      <w:rFonts w:ascii="Cambria" w:hAnsi="Cambria" w:eastAsia="宋体" w:cs="Cambria"/>
      <w:b/>
      <w:bCs/>
      <w:kern w:val="2"/>
      <w:sz w:val="32"/>
      <w:szCs w:val="32"/>
    </w:rPr>
  </w:style>
  <w:style w:type="character" w:customStyle="1" w:styleId="44">
    <w:name w:val="font71"/>
    <w:basedOn w:val="20"/>
    <w:qFormat/>
    <w:uiPriority w:val="99"/>
    <w:rPr>
      <w:rFonts w:ascii="宋体" w:hAnsi="宋体" w:eastAsia="宋体" w:cs="宋体"/>
      <w:color w:val="000000"/>
      <w:sz w:val="20"/>
      <w:szCs w:val="20"/>
      <w:u w:val="none"/>
    </w:rPr>
  </w:style>
  <w:style w:type="character" w:customStyle="1" w:styleId="45">
    <w:name w:val="font91"/>
    <w:basedOn w:val="20"/>
    <w:qFormat/>
    <w:uiPriority w:val="99"/>
    <w:rPr>
      <w:rFonts w:ascii="宋体" w:hAnsi="宋体" w:eastAsia="宋体" w:cs="宋体"/>
      <w:b/>
      <w:bCs/>
      <w:color w:val="000000"/>
      <w:sz w:val="20"/>
      <w:szCs w:val="20"/>
      <w:u w:val="none"/>
    </w:rPr>
  </w:style>
  <w:style w:type="character" w:customStyle="1" w:styleId="46">
    <w:name w:val="font11"/>
    <w:basedOn w:val="20"/>
    <w:qFormat/>
    <w:uiPriority w:val="99"/>
    <w:rPr>
      <w:rFonts w:ascii="宋体" w:hAnsi="宋体" w:eastAsia="宋体" w:cs="宋体"/>
      <w:color w:val="000000"/>
      <w:sz w:val="20"/>
      <w:szCs w:val="20"/>
      <w:u w:val="none"/>
    </w:rPr>
  </w:style>
  <w:style w:type="character" w:customStyle="1" w:styleId="47">
    <w:name w:val="font31"/>
    <w:basedOn w:val="20"/>
    <w:qFormat/>
    <w:uiPriority w:val="99"/>
    <w:rPr>
      <w:rFonts w:ascii="宋体" w:hAnsi="宋体" w:eastAsia="宋体" w:cs="宋体"/>
      <w:color w:val="000000"/>
      <w:sz w:val="20"/>
      <w:szCs w:val="20"/>
      <w:u w:val="none"/>
    </w:rPr>
  </w:style>
  <w:style w:type="character" w:customStyle="1" w:styleId="48">
    <w:name w:val="font61"/>
    <w:basedOn w:val="20"/>
    <w:qFormat/>
    <w:uiPriority w:val="99"/>
    <w:rPr>
      <w:rFonts w:ascii="宋体" w:hAnsi="宋体" w:eastAsia="宋体" w:cs="宋体"/>
      <w:color w:val="000000"/>
      <w:sz w:val="20"/>
      <w:szCs w:val="20"/>
      <w:u w:val="none"/>
    </w:rPr>
  </w:style>
  <w:style w:type="character" w:customStyle="1" w:styleId="49">
    <w:name w:val="font81"/>
    <w:basedOn w:val="20"/>
    <w:qFormat/>
    <w:uiPriority w:val="99"/>
    <w:rPr>
      <w:rFonts w:ascii="宋体" w:hAnsi="宋体" w:eastAsia="宋体" w:cs="宋体"/>
      <w:b/>
      <w:bCs/>
      <w:color w:val="000000"/>
      <w:sz w:val="20"/>
      <w:szCs w:val="20"/>
      <w:u w:val="none"/>
    </w:rPr>
  </w:style>
  <w:style w:type="character" w:customStyle="1" w:styleId="50">
    <w:name w:val="font21"/>
    <w:basedOn w:val="20"/>
    <w:qFormat/>
    <w:uiPriority w:val="99"/>
    <w:rPr>
      <w:rFonts w:ascii="宋体" w:hAnsi="宋体" w:eastAsia="宋体" w:cs="宋体"/>
      <w:color w:val="000000"/>
      <w:sz w:val="20"/>
      <w:szCs w:val="20"/>
      <w:u w:val="none"/>
    </w:rPr>
  </w:style>
  <w:style w:type="character" w:customStyle="1" w:styleId="51">
    <w:name w:val="font131"/>
    <w:basedOn w:val="20"/>
    <w:qFormat/>
    <w:uiPriority w:val="99"/>
    <w:rPr>
      <w:rFonts w:ascii="宋体" w:hAnsi="宋体" w:eastAsia="宋体" w:cs="宋体"/>
      <w:color w:val="FF0000"/>
      <w:sz w:val="20"/>
      <w:szCs w:val="20"/>
      <w:u w:val="none"/>
    </w:rPr>
  </w:style>
  <w:style w:type="character" w:customStyle="1" w:styleId="52">
    <w:name w:val="font112"/>
    <w:basedOn w:val="20"/>
    <w:qFormat/>
    <w:uiPriority w:val="99"/>
    <w:rPr>
      <w:rFonts w:ascii="宋体" w:hAnsi="宋体" w:eastAsia="宋体" w:cs="宋体"/>
      <w:color w:val="000000"/>
      <w:sz w:val="20"/>
      <w:szCs w:val="20"/>
      <w:u w:val="none"/>
    </w:rPr>
  </w:style>
  <w:style w:type="character" w:customStyle="1" w:styleId="53">
    <w:name w:val="font01"/>
    <w:basedOn w:val="20"/>
    <w:qFormat/>
    <w:uiPriority w:val="99"/>
    <w:rPr>
      <w:rFonts w:ascii="宋体" w:hAnsi="宋体" w:eastAsia="宋体" w:cs="宋体"/>
      <w:color w:val="000000"/>
      <w:sz w:val="22"/>
      <w:szCs w:val="22"/>
      <w:u w:val="none"/>
    </w:rPr>
  </w:style>
  <w:style w:type="character" w:customStyle="1" w:styleId="54">
    <w:name w:val="font151"/>
    <w:basedOn w:val="20"/>
    <w:qFormat/>
    <w:uiPriority w:val="99"/>
    <w:rPr>
      <w:rFonts w:ascii="宋体" w:hAnsi="宋体" w:eastAsia="宋体" w:cs="宋体"/>
      <w:color w:val="000000"/>
      <w:sz w:val="22"/>
      <w:szCs w:val="22"/>
      <w:u w:val="none"/>
    </w:rPr>
  </w:style>
  <w:style w:type="character" w:customStyle="1" w:styleId="55">
    <w:name w:val="font41"/>
    <w:basedOn w:val="20"/>
    <w:qFormat/>
    <w:uiPriority w:val="99"/>
    <w:rPr>
      <w:rFonts w:ascii="宋体" w:hAnsi="宋体" w:eastAsia="宋体" w:cs="宋体"/>
      <w:color w:val="000000"/>
      <w:sz w:val="20"/>
      <w:szCs w:val="20"/>
      <w:u w:val="none"/>
    </w:rPr>
  </w:style>
  <w:style w:type="character" w:customStyle="1" w:styleId="56">
    <w:name w:val="正文文本缩进 Char"/>
    <w:basedOn w:val="20"/>
    <w:link w:val="10"/>
    <w:qFormat/>
    <w:uiPriority w:val="0"/>
    <w:rPr>
      <w:rFonts w:hint="default" w:ascii="Calibri" w:hAnsi="Calibri" w:cs="Calibri"/>
      <w:kern w:val="2"/>
      <w:sz w:val="21"/>
      <w:szCs w:val="22"/>
    </w:rPr>
  </w:style>
  <w:style w:type="character" w:customStyle="1" w:styleId="57">
    <w:name w:val="正文首行缩进 2 Char"/>
    <w:basedOn w:val="56"/>
    <w:link w:val="17"/>
    <w:qFormat/>
    <w:uiPriority w:val="0"/>
    <w:rPr>
      <w:rFonts w:hint="default" w:ascii="Calibri" w:hAnsi="Calibri" w:cs="Calibri"/>
      <w:kern w:val="2"/>
      <w:sz w:val="21"/>
      <w:szCs w:val="22"/>
    </w:rPr>
  </w:style>
  <w:style w:type="paragraph" w:customStyle="1" w:styleId="58">
    <w:name w:val="列出段落2"/>
    <w:basedOn w:val="1"/>
    <w:qFormat/>
    <w:uiPriority w:val="34"/>
    <w:pPr>
      <w:ind w:firstLine="420" w:firstLineChars="200"/>
    </w:pPr>
    <w:rPr>
      <w:szCs w:val="24"/>
    </w:rPr>
  </w:style>
  <w:style w:type="paragraph" w:customStyle="1" w:styleId="5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manualLayout>
          <c:layoutTarget val="inner"/>
          <c:xMode val="edge"/>
          <c:yMode val="edge"/>
          <c:x val="0.069246592954487"/>
          <c:y val="0.299098196392786"/>
          <c:w val="0.89411159681152"/>
          <c:h val="0.479058116232465"/>
        </c:manualLayout>
      </c:layout>
      <c:barChart>
        <c:barDir val="col"/>
        <c:grouping val="clustered"/>
        <c:varyColors val="0"/>
        <c:ser>
          <c:idx val="0"/>
          <c:order val="0"/>
          <c:tx>
            <c:strRef>
              <c:f>Sheet1!$B$1</c:f>
              <c:strCache>
                <c:ptCount val="1"/>
                <c:pt idx="0">
                  <c:v>收入决算数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1163.04</c:v>
                </c:pt>
                <c:pt idx="1">
                  <c:v>1230.32</c:v>
                </c:pt>
              </c:numCache>
            </c:numRef>
          </c:val>
        </c:ser>
        <c:ser>
          <c:idx val="1"/>
          <c:order val="1"/>
          <c:tx>
            <c:strRef>
              <c:f>Sheet1!$C$1</c:f>
              <c:strCache>
                <c:ptCount val="1"/>
                <c:pt idx="0">
                  <c:v>支出决算数</c:v>
                </c:pt>
              </c:strCache>
            </c:strRef>
          </c:tx>
          <c:spPr>
            <a:solidFill>
              <a:schemeClr val="accent2"/>
            </a:solidFill>
            <a:ln>
              <a:noFill/>
            </a:ln>
            <a:effectLst/>
          </c:spPr>
          <c:invertIfNegative val="0"/>
          <c:dLbls>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1167.54</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1229.05</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Sheet1!$C$2:$C$5</c:f>
              <c:numCache>
                <c:formatCode>General</c:formatCode>
                <c:ptCount val="4"/>
                <c:pt idx="2">
                  <c:v>1163.04</c:v>
                </c:pt>
                <c:pt idx="3">
                  <c:v>1230.32</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653605384"/>
        <c:axId val="228303440"/>
      </c:barChart>
      <c:catAx>
        <c:axId val="653605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303440"/>
        <c:crosses val="autoZero"/>
        <c:auto val="1"/>
        <c:lblAlgn val="ctr"/>
        <c:lblOffset val="100"/>
        <c:noMultiLvlLbl val="0"/>
      </c:catAx>
      <c:valAx>
        <c:axId val="22830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60538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收入决算结构（单位：万元）</c:v>
                </c:pt>
              </c:strCache>
            </c:strRef>
          </c:tx>
          <c:spPr/>
          <c:explosion val="0"/>
          <c:dPt>
            <c:idx val="0"/>
            <c:bubble3D val="0"/>
            <c:explosion val="1"/>
            <c:spPr>
              <a:solidFill>
                <a:schemeClr val="accent1">
                  <a:shade val="76667"/>
                </a:schemeClr>
              </a:solidFill>
              <a:ln>
                <a:noFill/>
              </a:ln>
              <a:effectLst>
                <a:outerShdw blurRad="254000" sx="102000" sy="102000" algn="ctr" rotWithShape="0">
                  <a:prstClr val="black">
                    <a:alpha val="20000"/>
                  </a:prstClr>
                </a:outerShdw>
              </a:effectLst>
            </c:spPr>
          </c:dPt>
          <c:dPt>
            <c:idx val="1"/>
            <c:bubble3D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spPr>
              <a:solidFill>
                <a:schemeClr val="accent4">
                  <a:shade val="76667"/>
                </a:schemeClr>
              </a:solidFill>
              <a:ln>
                <a:noFill/>
              </a:ln>
              <a:effectLst>
                <a:outerShdw blurRad="254000" sx="102000" sy="102000" algn="ctr" rotWithShape="0">
                  <a:prstClr val="black">
                    <a:alpha val="20000"/>
                  </a:prstClr>
                </a:outerShdw>
              </a:effectLst>
            </c:spPr>
          </c:dPt>
          <c:dPt>
            <c:idx val="4"/>
            <c:bubble3D val="0"/>
            <c:spPr>
              <a:solidFill>
                <a:schemeClr val="accent5">
                  <a:shade val="76667"/>
                </a:schemeClr>
              </a:solidFill>
              <a:ln>
                <a:noFill/>
              </a:ln>
              <a:effectLst>
                <a:outerShdw blurRad="254000" sx="102000" sy="102000" algn="ctr" rotWithShape="0">
                  <a:prstClr val="black">
                    <a:alpha val="20000"/>
                  </a:prstClr>
                </a:outerShdw>
              </a:effectLst>
            </c:spPr>
          </c:dPt>
          <c:dPt>
            <c:idx val="5"/>
            <c:bubble3D val="0"/>
            <c:spPr>
              <a:solidFill>
                <a:schemeClr val="accent6">
                  <a:shade val="76667"/>
                </a:schemeClr>
              </a:solidFill>
              <a:ln>
                <a:noFill/>
              </a:ln>
              <a:effectLst>
                <a:outerShdw blurRad="254000" sx="102000" sy="102000" algn="ctr" rotWithShape="0">
                  <a:prstClr val="black">
                    <a:alpha val="20000"/>
                  </a:prstClr>
                </a:outerShdw>
              </a:effectLst>
            </c:spPr>
          </c:dPt>
          <c:dPt>
            <c:idx val="6"/>
            <c:bubble3D val="0"/>
            <c:spPr>
              <a:solidFill>
                <a:schemeClr val="accent1">
                  <a:tint val="76667"/>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903.07,</a:t>
                    </a:r>
                    <a:r>
                      <a:rPr lang="en-US" altLang="zh-CN"/>
                      <a:t>99.89</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dLblPos val="ctr"/>
              <c:showLegendKey val="0"/>
              <c:showVal val="0"/>
              <c:showCatName val="0"/>
              <c:showSerName val="0"/>
              <c:showPercent val="1"/>
              <c:showBubbleSize val="0"/>
              <c:extLst>
                <c:ext xmlns:c15="http://schemas.microsoft.com/office/drawing/2012/chart" uri="{CE6537A1-D6FC-4f65-9D91-7224C49458BB}"/>
              </c:extLst>
            </c:dLbl>
            <c:dLbl>
              <c:idx val="2"/>
              <c:layout/>
              <c:dLblPos val="ctr"/>
              <c:showLegendKey val="0"/>
              <c:showVal val="0"/>
              <c:showCatName val="0"/>
              <c:showSerName val="0"/>
              <c:showPercent val="1"/>
              <c:showBubbleSize val="0"/>
              <c:extLst>
                <c:ext xmlns:c15="http://schemas.microsoft.com/office/drawing/2012/chart" uri="{CE6537A1-D6FC-4f65-9D91-7224C49458BB}"/>
              </c:extLst>
            </c:dLbl>
            <c:dLbl>
              <c:idx val="3"/>
              <c:layout/>
              <c:dLblPos val="ctr"/>
              <c:showLegendKey val="0"/>
              <c:showVal val="0"/>
              <c:showCatName val="0"/>
              <c:showSerName val="0"/>
              <c:showPercent val="1"/>
              <c:showBubbleSize val="0"/>
              <c:extLst>
                <c:ext xmlns:c15="http://schemas.microsoft.com/office/drawing/2012/chart" uri="{CE6537A1-D6FC-4f65-9D91-7224C49458BB}"/>
              </c:extLst>
            </c:dLbl>
            <c:dLbl>
              <c:idx val="4"/>
              <c:layout/>
              <c:dLblPos val="ctr"/>
              <c:showLegendKey val="0"/>
              <c:showVal val="0"/>
              <c:showCatName val="0"/>
              <c:showSerName val="0"/>
              <c:showPercent val="1"/>
              <c:showBubbleSize val="0"/>
              <c:extLst>
                <c:ext xmlns:c15="http://schemas.microsoft.com/office/drawing/2012/chart" uri="{CE6537A1-D6FC-4f65-9D91-7224C49458BB}"/>
              </c:extLst>
            </c:dLbl>
            <c:dLbl>
              <c:idx val="5"/>
              <c:layout/>
              <c:dLblPos val="ctr"/>
              <c:showLegendKey val="0"/>
              <c:showVal val="0"/>
              <c:showCatName val="0"/>
              <c:showSerName val="0"/>
              <c:showPercent val="1"/>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0.92, 0</a:t>
                    </a:r>
                    <a:r>
                      <a:rPr lang="en-US" altLang="zh-CN"/>
                      <a:t>.1</a:t>
                    </a:r>
                    <a:r>
                      <a:t>%</a:t>
                    </a:r>
                  </a:p>
                </c:rich>
              </c:tx>
              <c:dLblPos val="ctr"/>
              <c:showLegendKey val="0"/>
              <c:showVal val="1"/>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1229.05</c:v>
                </c:pt>
                <c:pt idx="1">
                  <c:v>0</c:v>
                </c:pt>
                <c:pt idx="2">
                  <c:v>0</c:v>
                </c:pt>
                <c:pt idx="3">
                  <c:v>0</c:v>
                </c:pt>
                <c:pt idx="4">
                  <c:v>0</c:v>
                </c:pt>
                <c:pt idx="5">
                  <c:v>0</c:v>
                </c:pt>
                <c:pt idx="6">
                  <c:v>1.27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768.23</a:t>
                    </a:r>
                    <a:r>
                      <a:t>, </a:t>
                    </a:r>
                    <a:r>
                      <a:rPr lang="en-US" altLang="zh-CN"/>
                      <a:t>62.4</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462.12</a:t>
                    </a:r>
                    <a:r>
                      <a:t>, </a:t>
                    </a:r>
                    <a:r>
                      <a:rPr lang="en-US" altLang="zh-CN"/>
                      <a:t>37.6</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2"/>
              <c:delete val="1"/>
            </c:dLbl>
            <c:dLbl>
              <c:idx val="3"/>
              <c:delete val="1"/>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768.23</c:v>
                </c:pt>
                <c:pt idx="1">
                  <c:v>462.12</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0961155378486"/>
          <c:y val="0.401909722222222"/>
          <c:w val="0.194098605577689"/>
          <c:h val="0.240972222222222"/>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a:p>
            <a:pPr defTabSz="914400">
              <a:defRPr lang="zh-CN" sz="1400" b="1" i="0" u="none" strike="noStrike" kern="1200" spc="0" baseline="0">
                <a:solidFill>
                  <a:schemeClr val="tx1">
                    <a:lumMod val="65000"/>
                    <a:lumOff val="35000"/>
                  </a:schemeClr>
                </a:solidFill>
                <a:latin typeface="+mn-lt"/>
                <a:ea typeface="+mn-ea"/>
                <a:cs typeface="+mn-cs"/>
              </a:defRPr>
            </a:pPr>
            <a:r>
              <a:rPr b="1"/>
              <a:t>（单位：万元）</a:t>
            </a:r>
            <a:endParaRPr b="1"/>
          </a:p>
        </c:rich>
      </c:tx>
      <c:layout>
        <c:manualLayout>
          <c:xMode val="edge"/>
          <c:yMode val="edge"/>
          <c:x val="0.219974953036944"/>
          <c:y val="0.026636225266362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财政拨款收入总计</c:v>
                </c:pt>
              </c:strCache>
            </c:strRef>
          </c:tx>
          <c:spPr>
            <a:solidFill>
              <a:schemeClr val="accent1"/>
            </a:solidFill>
            <a:ln>
              <a:noFill/>
            </a:ln>
            <a:effectLst/>
          </c:spPr>
          <c:invertIfNegative val="0"/>
          <c:dLbls>
            <c:dLbl>
              <c:idx val="0"/>
              <c:layout>
                <c:manualLayout>
                  <c:x val="0"/>
                  <c:y val="-0.190258751902588"/>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7852222917971"/>
                  <c:y val="-0.45662100456621"/>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1167.54</c:v>
                </c:pt>
                <c:pt idx="1">
                  <c:v>1229.05</c:v>
                </c:pt>
              </c:numCache>
            </c:numRef>
          </c:val>
        </c:ser>
        <c:ser>
          <c:idx val="1"/>
          <c:order val="1"/>
          <c:tx>
            <c:strRef>
              <c:f>Sheet1!$C$1</c:f>
              <c:strCache>
                <c:ptCount val="1"/>
                <c:pt idx="0">
                  <c:v>财政拨款支出总计</c:v>
                </c:pt>
              </c:strCache>
            </c:strRef>
          </c:tx>
          <c:spPr>
            <a:solidFill>
              <a:schemeClr val="accent2"/>
            </a:solidFill>
            <a:ln>
              <a:noFill/>
            </a:ln>
            <a:effectLst/>
          </c:spPr>
          <c:invertIfNegative val="0"/>
          <c:dLbls>
            <c:dLbl>
              <c:idx val="2"/>
              <c:layout>
                <c:manualLayout>
                  <c:x val="-0.00187852222917971"/>
                  <c:y val="-0.194063926940639"/>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45662100456621"/>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Sheet1!$C$2:$C$5</c:f>
              <c:numCache>
                <c:formatCode>General</c:formatCode>
                <c:ptCount val="4"/>
                <c:pt idx="2">
                  <c:v>1167.54</c:v>
                </c:pt>
                <c:pt idx="3">
                  <c:v>1229.05</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806145740"/>
        <c:axId val="849364219"/>
      </c:barChart>
      <c:catAx>
        <c:axId val="8061457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49364219"/>
        <c:crosses val="autoZero"/>
        <c:auto val="1"/>
        <c:lblAlgn val="ctr"/>
        <c:lblOffset val="100"/>
        <c:noMultiLvlLbl val="0"/>
      </c:catAx>
      <c:valAx>
        <c:axId val="8493642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061457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一般公共预算财政拨款支出</a:t>
            </a:r>
            <a:endParaRPr b="1"/>
          </a:p>
          <a:p>
            <a:pPr defTabSz="914400">
              <a:defRPr lang="zh-CN" sz="1400" b="1" i="0" u="none" strike="noStrike" kern="1200" spc="0" baseline="0">
                <a:solidFill>
                  <a:schemeClr val="tx1">
                    <a:lumMod val="65000"/>
                    <a:lumOff val="35000"/>
                  </a:schemeClr>
                </a:solidFill>
                <a:latin typeface="+mn-lt"/>
                <a:ea typeface="+mn-ea"/>
                <a:cs typeface="+mn-cs"/>
              </a:defRPr>
            </a:pPr>
            <a:r>
              <a:rPr b="1"/>
              <a:t>（单位：万元）</a:t>
            </a:r>
            <a:endParaRPr b="1"/>
          </a:p>
        </c:rich>
      </c:tx>
      <c:layout/>
      <c:overlay val="0"/>
      <c:spPr>
        <a:noFill/>
        <a:ln>
          <a:noFill/>
        </a:ln>
        <a:effectLst/>
      </c:spPr>
    </c:title>
    <c:autoTitleDeleted val="0"/>
    <c:plotArea>
      <c:layout>
        <c:manualLayout>
          <c:layoutTarget val="inner"/>
          <c:xMode val="edge"/>
          <c:yMode val="edge"/>
          <c:x val="0.15095"/>
          <c:y val="0.258796296296296"/>
          <c:w val="0.8453"/>
          <c:h val="0.555648148148148"/>
        </c:manualLayout>
      </c:layout>
      <c:barChart>
        <c:barDir val="col"/>
        <c:grouping val="percentStack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Lbl>
              <c:idx val="0"/>
              <c:layout>
                <c:manualLayout>
                  <c:x val="-0.001875"/>
                  <c:y val="-0.0793650793650794"/>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a:t>679.25</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75"/>
                  <c:y val="-0.0761904761904762"/>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a:t>1229.05</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numCache>
            </c:numRef>
          </c:cat>
          <c:val>
            <c:numRef>
              <c:f>Sheet1!$B$2:$B$5</c:f>
              <c:numCache>
                <c:formatCode>General</c:formatCode>
                <c:ptCount val="4"/>
                <c:pt idx="0">
                  <c:v>760.28</c:v>
                </c:pt>
                <c:pt idx="1">
                  <c:v>903.07</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numCache>
            </c:num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numCache>
            </c:numRef>
          </c:cat>
          <c:val>
            <c:numRef>
              <c:f>Sheet1!$D$2:$D$5</c:f>
              <c:numCache>
                <c:formatCode>General</c:formatCode>
                <c:ptCount val="4"/>
              </c:numCache>
            </c:numRef>
          </c:val>
        </c:ser>
        <c:dLbls>
          <c:showLegendKey val="0"/>
          <c:showVal val="1"/>
          <c:showCatName val="0"/>
          <c:showSerName val="0"/>
          <c:showPercent val="0"/>
          <c:showBubbleSize val="0"/>
        </c:dLbls>
        <c:gapWidth val="150"/>
        <c:overlap val="100"/>
        <c:axId val="375516302"/>
        <c:axId val="703684810"/>
      </c:barChart>
      <c:catAx>
        <c:axId val="3755163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03684810"/>
        <c:crosses val="autoZero"/>
        <c:auto val="1"/>
        <c:lblAlgn val="ctr"/>
        <c:lblOffset val="100"/>
        <c:noMultiLvlLbl val="0"/>
      </c:catAx>
      <c:valAx>
        <c:axId val="70368481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7551630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
（单位：万元）</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4</a:t>
                    </a:r>
                    <a:r>
                      <a:rPr lang="en-US" altLang="zh-CN"/>
                      <a:t>3.58</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rPr lang="en-US" altLang="zh-CN"/>
                      <a:t>5.92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rPr lang="en-US" altLang="zh-CN"/>
                      <a:t>4.94</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40</a:t>
                    </a:r>
                    <a:r>
                      <a:rPr lang="en-US" altLang="zh-CN"/>
                      <a:t>.33</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4"/>
              <c:layout>
                <c:manualLayout>
                  <c:x val="0.016517264216822"/>
                  <c:y val="0.117545708993024"/>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3</a:t>
                    </a:r>
                    <a:r>
                      <a:rPr lang="en-US" altLang="zh-CN"/>
                      <a:t>.02</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120924536791643"/>
                  <c:y val="0.0619600178309152"/>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2</a:t>
                    </a:r>
                    <a:r>
                      <a:rPr lang="en-US" altLang="zh-CN"/>
                      <a:t>.21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农林水支出</c:v>
                </c:pt>
                <c:pt idx="4">
                  <c:v>住房保障支出</c:v>
                </c:pt>
                <c:pt idx="5">
                  <c:v>教育支出</c:v>
                </c:pt>
              </c:strCache>
            </c:strRef>
          </c:cat>
          <c:val>
            <c:numRef>
              <c:f>Sheet1!$B$2:$B$7</c:f>
              <c:numCache>
                <c:formatCode>General</c:formatCode>
                <c:ptCount val="6"/>
                <c:pt idx="0">
                  <c:v>563.84</c:v>
                </c:pt>
                <c:pt idx="1">
                  <c:v>96.41</c:v>
                </c:pt>
                <c:pt idx="2">
                  <c:v>57.48</c:v>
                </c:pt>
                <c:pt idx="3">
                  <c:v>464.35</c:v>
                </c:pt>
                <c:pt idx="4">
                  <c:v>44.89</c:v>
                </c:pt>
                <c:pt idx="5">
                  <c:v>2.11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029375"/>
          <c:y val="0.183"/>
          <c:w val="0.945"/>
          <c:h val="0.704833333333333"/>
        </c:manualLayout>
      </c:layout>
      <c:pieChart>
        <c:varyColors val="1"/>
        <c:ser>
          <c:idx val="0"/>
          <c:order val="0"/>
          <c:tx>
            <c:strRef>
              <c:f>Sheet1!$B$1</c:f>
              <c:strCache>
                <c:ptCount val="1"/>
                <c:pt idx="0">
                  <c:v>“三公”经费财政拨款支出
（单位：万元）</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公务接待费     </a:t>
                    </a:r>
                    <a:r>
                      <a:rPr lang="en-US" altLang="zh-CN"/>
                      <a:t>50</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因公出国（境）费</c:v>
                </c:pt>
                <c:pt idx="1">
                  <c:v>公务用车购置及运行维护费</c:v>
                </c:pt>
                <c:pt idx="2">
                  <c:v>公务接待费</c:v>
                </c:pt>
              </c:strCache>
            </c:strRef>
          </c:cat>
          <c:val>
            <c:numRef>
              <c:f>Sheet1!$B$2:$B$5</c:f>
              <c:numCache>
                <c:formatCode>General</c:formatCode>
                <c:ptCount val="4"/>
                <c:pt idx="0">
                  <c:v>0</c:v>
                </c:pt>
                <c:pt idx="1">
                  <c:v>2.75</c:v>
                </c:pt>
                <c:pt idx="2">
                  <c:v>2.73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7"/>
    <customShpInfo spid="_x0000_s4098"/>
    <customShpInfo spid="_x0000_s4102"/>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1985</Words>
  <Characters>11315</Characters>
  <Lines>94</Lines>
  <Paragraphs>26</Paragraphs>
  <TotalTime>1</TotalTime>
  <ScaleCrop>false</ScaleCrop>
  <LinksUpToDate>false</LinksUpToDate>
  <CharactersWithSpaces>13274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2021-09-10T02:25:00Z</dcterms:created>
  <dc:creator>曹颖</dc:creator>
  <cp:lastModifiedBy>Administrator</cp:lastModifiedBy>
  <cp:lastPrinted>2021-09-29T04:07:00Z</cp:lastPrinted>
  <dcterms:modified xsi:type="dcterms:W3CDTF">2022-07-08T08:57:52Z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E92AE5815E364654BC056C6A0044565C</vt:lpwstr>
  </property>
</Properties>
</file>