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ascii="黑体" w:hAnsi="黑体" w:eastAsia="黑体"/>
          <w:color w:val="000000"/>
          <w:sz w:val="72"/>
          <w:szCs w:val="72"/>
        </w:rPr>
      </w:pPr>
      <w:bookmarkStart w:id="0" w:name="_Toc15396597"/>
      <w:bookmarkStart w:id="1" w:name="_Toc15377425"/>
      <w:bookmarkStart w:id="2" w:name="_Toc15396475"/>
      <w:bookmarkStart w:id="3" w:name="_Toc15378441"/>
      <w:bookmarkStart w:id="4" w:name="_Toc15377193"/>
    </w:p>
    <w:p>
      <w:pPr>
        <w:adjustRightInd w:val="0"/>
        <w:snapToGrid w:val="0"/>
        <w:spacing w:line="360" w:lineRule="auto"/>
        <w:jc w:val="both"/>
        <w:outlineLvl w:val="0"/>
        <w:rPr>
          <w:rFonts w:ascii="黑体" w:hAnsi="黑体" w:eastAsia="黑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r>
        <w:rPr>
          <w:rFonts w:ascii="黑体" w:hAnsi="黑体" w:eastAsia="黑体"/>
          <w:color w:val="000000"/>
          <w:sz w:val="72"/>
          <w:szCs w:val="72"/>
        </w:rPr>
        <w:t>2020</w:t>
      </w:r>
      <w:r>
        <w:rPr>
          <w:rFonts w:hint="eastAsia" w:ascii="方正小标宋简体" w:hAnsi="宋体" w:eastAsia="方正小标宋简体"/>
          <w:color w:val="000000"/>
          <w:sz w:val="72"/>
          <w:szCs w:val="72"/>
        </w:rPr>
        <w:t>年度</w:t>
      </w:r>
      <w:bookmarkEnd w:id="0"/>
      <w:bookmarkEnd w:id="1"/>
      <w:bookmarkEnd w:id="2"/>
      <w:bookmarkEnd w:id="3"/>
      <w:bookmarkEnd w:id="4"/>
    </w:p>
    <w:p>
      <w:pPr>
        <w:adjustRightInd w:val="0"/>
        <w:snapToGrid w:val="0"/>
        <w:spacing w:line="360" w:lineRule="auto"/>
        <w:jc w:val="center"/>
        <w:outlineLvl w:val="0"/>
        <w:rPr>
          <w:rFonts w:ascii="方正小标宋简体" w:hAnsi="宋体" w:eastAsia="方正小标宋简体"/>
          <w:color w:val="000000"/>
          <w:sz w:val="72"/>
          <w:szCs w:val="72"/>
        </w:rPr>
      </w:pPr>
      <w:bookmarkStart w:id="5" w:name="_Toc15306268"/>
      <w:bookmarkStart w:id="6" w:name="_Toc15377426"/>
      <w:bookmarkStart w:id="7" w:name="_Toc15377194"/>
      <w:bookmarkStart w:id="8" w:name="_Toc15396598"/>
      <w:bookmarkStart w:id="9" w:name="_Toc15378442"/>
      <w:bookmarkStart w:id="10" w:name="_Toc15396476"/>
      <w:r>
        <w:rPr>
          <w:rFonts w:hint="eastAsia" w:ascii="方正小标宋简体" w:hAnsi="宋体" w:eastAsia="方正小标宋简体"/>
          <w:color w:val="000000"/>
          <w:sz w:val="72"/>
          <w:szCs w:val="72"/>
          <w:lang w:val="en-US" w:eastAsia="zh-CN"/>
        </w:rPr>
        <w:t>广元市朝天区农业农村局</w:t>
      </w:r>
      <w:r>
        <w:rPr>
          <w:rFonts w:hint="eastAsia" w:ascii="方正小标宋简体" w:hAnsi="宋体" w:eastAsia="方正小标宋简体"/>
          <w:color w:val="000000"/>
          <w:sz w:val="72"/>
          <w:szCs w:val="72"/>
        </w:rPr>
        <w:t>决</w:t>
      </w:r>
      <w:r>
        <w:rPr>
          <w:rFonts w:hint="eastAsia" w:ascii="方正小标宋简体" w:hAnsi="宋体" w:eastAsia="方正小标宋简体"/>
          <w:color w:val="000000"/>
          <w:sz w:val="72"/>
          <w:szCs w:val="72"/>
          <w:lang w:val="en-US" w:eastAsia="zh-CN"/>
        </w:rPr>
        <w:t xml:space="preserve">   </w:t>
      </w:r>
      <w:r>
        <w:rPr>
          <w:rFonts w:hint="eastAsia" w:ascii="方正小标宋简体" w:hAnsi="宋体" w:eastAsia="方正小标宋简体"/>
          <w:color w:val="000000"/>
          <w:sz w:val="72"/>
          <w:szCs w:val="72"/>
        </w:rPr>
        <w:t>算</w:t>
      </w:r>
      <w:bookmarkEnd w:id="5"/>
      <w:bookmarkEnd w:id="6"/>
      <w:bookmarkEnd w:id="7"/>
      <w:bookmarkEnd w:id="8"/>
      <w:bookmarkEnd w:id="9"/>
      <w:bookmarkEnd w:id="10"/>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8"/>
      </w:pPr>
      <w:r>
        <w:rPr>
          <w:rFonts w:hint="eastAsia"/>
        </w:rPr>
        <w:t>公开时间：</w:t>
      </w:r>
      <w:r>
        <w:t>2021</w:t>
      </w:r>
      <w:r>
        <w:rPr>
          <w:rFonts w:hint="eastAsia"/>
        </w:rPr>
        <w:t>年 9月</w:t>
      </w:r>
      <w:r>
        <w:rPr>
          <w:rFonts w:hint="eastAsia"/>
          <w:lang w:val="en-US" w:eastAsia="zh-CN"/>
        </w:rPr>
        <w:t>29</w:t>
      </w:r>
      <w:r>
        <w:rPr>
          <w:rFonts w:hint="eastAsia"/>
        </w:rPr>
        <w:t>日</w:t>
      </w:r>
    </w:p>
    <w:p/>
    <w:p>
      <w:pPr>
        <w:pStyle w:val="8"/>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部门概况</w:t>
      </w:r>
    </w:p>
    <w:p>
      <w:pPr>
        <w:pStyle w:val="8"/>
        <w:adjustRightInd w:val="0"/>
        <w:snapToGrid w:val="0"/>
        <w:spacing w:before="0" w:line="440" w:lineRule="exact"/>
        <w:ind w:firstLine="480" w:firstLineChars="200"/>
        <w:jc w:val="left"/>
        <w:rPr>
          <w:rFonts w:hint="eastAsia"/>
          <w:sz w:val="24"/>
        </w:rPr>
      </w:pPr>
      <w:r>
        <w:rPr>
          <w:rFonts w:hint="eastAsia"/>
          <w:sz w:val="24"/>
        </w:rPr>
        <w:t>一、基本职能及主要工作</w:t>
      </w:r>
    </w:p>
    <w:p>
      <w:pPr>
        <w:pStyle w:val="8"/>
        <w:adjustRightInd w:val="0"/>
        <w:snapToGrid w:val="0"/>
        <w:spacing w:before="0" w:line="440" w:lineRule="exact"/>
        <w:ind w:firstLine="480" w:firstLineChars="200"/>
        <w:jc w:val="left"/>
        <w:rPr>
          <w:rFonts w:hint="eastAsia"/>
          <w:sz w:val="24"/>
        </w:rPr>
      </w:pPr>
      <w:r>
        <w:rPr>
          <w:rFonts w:hint="eastAsia"/>
          <w:sz w:val="24"/>
        </w:rPr>
        <w:t>二、机构设置</w:t>
      </w:r>
    </w:p>
    <w:p>
      <w:pPr>
        <w:pStyle w:val="8"/>
        <w:adjustRightInd w:val="0"/>
        <w:snapToGrid w:val="0"/>
        <w:spacing w:before="0" w:line="440" w:lineRule="exact"/>
        <w:jc w:val="left"/>
        <w:rPr>
          <w:rFonts w:hint="eastAsia"/>
          <w:sz w:val="24"/>
        </w:rPr>
      </w:pPr>
      <w:r>
        <w:rPr>
          <w:rFonts w:hint="eastAsia"/>
          <w:sz w:val="24"/>
        </w:rPr>
        <w:t>第二部分度部门决算情况说明</w:t>
      </w:r>
    </w:p>
    <w:p>
      <w:pPr>
        <w:pStyle w:val="8"/>
        <w:adjustRightInd w:val="0"/>
        <w:snapToGrid w:val="0"/>
        <w:spacing w:before="0" w:line="440" w:lineRule="exact"/>
        <w:ind w:firstLine="480" w:firstLineChars="200"/>
        <w:jc w:val="left"/>
        <w:rPr>
          <w:rFonts w:hint="eastAsia"/>
          <w:sz w:val="24"/>
        </w:rPr>
      </w:pPr>
      <w:r>
        <w:rPr>
          <w:rFonts w:hint="eastAsia"/>
          <w:sz w:val="24"/>
        </w:rPr>
        <w:t>一、收入支出决算总体情况说明</w:t>
      </w:r>
    </w:p>
    <w:p>
      <w:pPr>
        <w:pStyle w:val="8"/>
        <w:adjustRightInd w:val="0"/>
        <w:snapToGrid w:val="0"/>
        <w:spacing w:before="0" w:line="440" w:lineRule="exact"/>
        <w:ind w:firstLine="480" w:firstLineChars="200"/>
        <w:jc w:val="left"/>
        <w:rPr>
          <w:rFonts w:hint="eastAsia"/>
          <w:sz w:val="24"/>
        </w:rPr>
      </w:pPr>
      <w:r>
        <w:rPr>
          <w:rFonts w:hint="eastAsia"/>
          <w:sz w:val="24"/>
        </w:rPr>
        <w:t>二、收入决算情况说明</w:t>
      </w:r>
    </w:p>
    <w:p>
      <w:pPr>
        <w:pStyle w:val="8"/>
        <w:adjustRightInd w:val="0"/>
        <w:snapToGrid w:val="0"/>
        <w:spacing w:before="0" w:line="440" w:lineRule="exact"/>
        <w:ind w:firstLine="480" w:firstLineChars="200"/>
        <w:jc w:val="left"/>
        <w:rPr>
          <w:rFonts w:hint="eastAsia"/>
          <w:sz w:val="24"/>
        </w:rPr>
      </w:pPr>
      <w:r>
        <w:rPr>
          <w:rFonts w:hint="eastAsia"/>
          <w:sz w:val="24"/>
        </w:rPr>
        <w:t>三、支出决算情况说明</w:t>
      </w:r>
    </w:p>
    <w:p>
      <w:pPr>
        <w:pStyle w:val="8"/>
        <w:adjustRightInd w:val="0"/>
        <w:snapToGrid w:val="0"/>
        <w:spacing w:before="0" w:line="440" w:lineRule="exact"/>
        <w:ind w:firstLine="480" w:firstLineChars="200"/>
        <w:jc w:val="left"/>
        <w:rPr>
          <w:rFonts w:hint="eastAsia"/>
          <w:sz w:val="24"/>
        </w:rPr>
      </w:pPr>
      <w:r>
        <w:rPr>
          <w:rFonts w:hint="eastAsia"/>
          <w:sz w:val="24"/>
        </w:rPr>
        <w:t>四、财政拨款收入支出决算总体情况说明</w:t>
      </w:r>
    </w:p>
    <w:p>
      <w:pPr>
        <w:pStyle w:val="8"/>
        <w:adjustRightInd w:val="0"/>
        <w:snapToGrid w:val="0"/>
        <w:spacing w:before="0" w:line="440" w:lineRule="exact"/>
        <w:ind w:firstLine="480" w:firstLineChars="200"/>
        <w:jc w:val="left"/>
        <w:rPr>
          <w:rFonts w:hint="eastAsia"/>
          <w:sz w:val="24"/>
        </w:rPr>
      </w:pPr>
      <w:r>
        <w:rPr>
          <w:rFonts w:hint="eastAsia"/>
          <w:sz w:val="24"/>
        </w:rPr>
        <w:t>五、一般公共预算财政拨款支出决算情况说明</w:t>
      </w:r>
    </w:p>
    <w:p>
      <w:pPr>
        <w:pStyle w:val="8"/>
        <w:adjustRightInd w:val="0"/>
        <w:snapToGrid w:val="0"/>
        <w:spacing w:before="0" w:line="440" w:lineRule="exact"/>
        <w:ind w:firstLine="480" w:firstLineChars="200"/>
        <w:jc w:val="left"/>
        <w:rPr>
          <w:rFonts w:hint="eastAsia"/>
          <w:sz w:val="24"/>
        </w:rPr>
      </w:pPr>
      <w:r>
        <w:rPr>
          <w:rFonts w:hint="eastAsia"/>
          <w:sz w:val="24"/>
        </w:rPr>
        <w:t>六、一般公共预算财政拨款基本支出决算情况说明</w:t>
      </w:r>
    </w:p>
    <w:p>
      <w:pPr>
        <w:pStyle w:val="8"/>
        <w:adjustRightInd w:val="0"/>
        <w:snapToGrid w:val="0"/>
        <w:spacing w:before="0" w:line="440" w:lineRule="exact"/>
        <w:ind w:firstLine="480" w:firstLineChars="200"/>
        <w:jc w:val="left"/>
        <w:rPr>
          <w:rFonts w:hint="eastAsia"/>
          <w:sz w:val="24"/>
        </w:rPr>
      </w:pPr>
      <w:r>
        <w:rPr>
          <w:rFonts w:hint="eastAsia"/>
          <w:sz w:val="24"/>
        </w:rPr>
        <w:t>七、“三公”经费财政拨款支出决算情况说明</w:t>
      </w:r>
    </w:p>
    <w:p>
      <w:pPr>
        <w:pStyle w:val="8"/>
        <w:adjustRightInd w:val="0"/>
        <w:snapToGrid w:val="0"/>
        <w:spacing w:before="0" w:line="440" w:lineRule="exact"/>
        <w:ind w:firstLine="480" w:firstLineChars="200"/>
        <w:jc w:val="left"/>
        <w:rPr>
          <w:rFonts w:hint="eastAsia"/>
          <w:sz w:val="24"/>
        </w:rPr>
      </w:pPr>
      <w:r>
        <w:rPr>
          <w:rFonts w:hint="eastAsia"/>
          <w:sz w:val="24"/>
        </w:rPr>
        <w:t>八、政府性基金预算支出决算情况说明</w:t>
      </w:r>
    </w:p>
    <w:p>
      <w:pPr>
        <w:pStyle w:val="8"/>
        <w:adjustRightInd w:val="0"/>
        <w:snapToGrid w:val="0"/>
        <w:spacing w:before="0" w:line="440" w:lineRule="exact"/>
        <w:ind w:firstLine="480" w:firstLineChars="200"/>
        <w:jc w:val="left"/>
        <w:rPr>
          <w:rFonts w:hint="eastAsia"/>
          <w:sz w:val="24"/>
        </w:rPr>
      </w:pPr>
      <w:r>
        <w:rPr>
          <w:rFonts w:hint="eastAsia"/>
          <w:sz w:val="24"/>
        </w:rPr>
        <w:t>九、 国有资本经营预算支出决算情况说明</w:t>
      </w:r>
    </w:p>
    <w:p>
      <w:pPr>
        <w:pStyle w:val="8"/>
        <w:adjustRightInd w:val="0"/>
        <w:snapToGrid w:val="0"/>
        <w:spacing w:before="0" w:line="440" w:lineRule="exact"/>
        <w:ind w:firstLine="480" w:firstLineChars="200"/>
        <w:jc w:val="left"/>
        <w:rPr>
          <w:rFonts w:hint="eastAsia"/>
          <w:sz w:val="24"/>
        </w:rPr>
      </w:pPr>
      <w:r>
        <w:rPr>
          <w:rFonts w:hint="eastAsia"/>
          <w:sz w:val="24"/>
        </w:rPr>
        <w:t>十、其他重要事项的情况说明</w:t>
      </w:r>
    </w:p>
    <w:p>
      <w:pPr>
        <w:pStyle w:val="8"/>
        <w:adjustRightInd w:val="0"/>
        <w:snapToGrid w:val="0"/>
        <w:spacing w:before="0" w:line="440" w:lineRule="exact"/>
        <w:jc w:val="left"/>
        <w:rPr>
          <w:rFonts w:hint="eastAsia"/>
          <w:sz w:val="24"/>
        </w:rPr>
      </w:pPr>
      <w:r>
        <w:rPr>
          <w:rFonts w:hint="eastAsia"/>
          <w:sz w:val="24"/>
        </w:rPr>
        <w:t>第三部分 名词解释</w:t>
      </w:r>
    </w:p>
    <w:p>
      <w:pPr>
        <w:pStyle w:val="8"/>
        <w:adjustRightInd w:val="0"/>
        <w:snapToGrid w:val="0"/>
        <w:spacing w:before="0" w:line="440" w:lineRule="exact"/>
        <w:jc w:val="left"/>
        <w:rPr>
          <w:rFonts w:hint="eastAsia"/>
          <w:sz w:val="24"/>
        </w:rPr>
      </w:pPr>
      <w:r>
        <w:rPr>
          <w:rFonts w:hint="eastAsia"/>
          <w:sz w:val="24"/>
        </w:rPr>
        <w:t>第四部分 附件</w:t>
      </w:r>
    </w:p>
    <w:p>
      <w:pPr>
        <w:pStyle w:val="8"/>
        <w:adjustRightInd w:val="0"/>
        <w:snapToGrid w:val="0"/>
        <w:spacing w:before="0" w:line="440" w:lineRule="exact"/>
        <w:jc w:val="left"/>
        <w:rPr>
          <w:rFonts w:hint="eastAsia"/>
          <w:sz w:val="24"/>
        </w:rPr>
      </w:pPr>
      <w:r>
        <w:rPr>
          <w:rFonts w:hint="eastAsia"/>
          <w:sz w:val="24"/>
        </w:rPr>
        <w:t>第五部分 附表</w:t>
      </w:r>
    </w:p>
    <w:p>
      <w:pPr>
        <w:pStyle w:val="8"/>
        <w:adjustRightInd w:val="0"/>
        <w:snapToGrid w:val="0"/>
        <w:spacing w:before="0" w:line="440" w:lineRule="exact"/>
        <w:ind w:firstLine="480" w:firstLineChars="200"/>
        <w:jc w:val="left"/>
        <w:rPr>
          <w:rFonts w:hint="eastAsia"/>
          <w:sz w:val="24"/>
        </w:rPr>
      </w:pPr>
      <w:r>
        <w:rPr>
          <w:rFonts w:hint="eastAsia"/>
          <w:sz w:val="24"/>
        </w:rPr>
        <w:t>一、收入支出决算总表</w:t>
      </w:r>
    </w:p>
    <w:p>
      <w:pPr>
        <w:pStyle w:val="8"/>
        <w:adjustRightInd w:val="0"/>
        <w:snapToGrid w:val="0"/>
        <w:spacing w:before="0" w:line="440" w:lineRule="exact"/>
        <w:ind w:firstLine="480" w:firstLineChars="200"/>
        <w:jc w:val="left"/>
        <w:rPr>
          <w:rFonts w:hint="eastAsia"/>
          <w:sz w:val="24"/>
        </w:rPr>
      </w:pPr>
      <w:r>
        <w:rPr>
          <w:rFonts w:hint="eastAsia"/>
          <w:sz w:val="24"/>
        </w:rPr>
        <w:t>二、收入决算表</w:t>
      </w:r>
    </w:p>
    <w:p>
      <w:pPr>
        <w:pStyle w:val="8"/>
        <w:adjustRightInd w:val="0"/>
        <w:snapToGrid w:val="0"/>
        <w:spacing w:before="0" w:line="440" w:lineRule="exact"/>
        <w:ind w:firstLine="480" w:firstLineChars="200"/>
        <w:jc w:val="left"/>
        <w:rPr>
          <w:rFonts w:hint="eastAsia"/>
          <w:sz w:val="24"/>
        </w:rPr>
      </w:pPr>
      <w:r>
        <w:rPr>
          <w:rFonts w:hint="eastAsia"/>
          <w:sz w:val="24"/>
        </w:rPr>
        <w:t>三、支出决算表</w:t>
      </w:r>
    </w:p>
    <w:p>
      <w:pPr>
        <w:pStyle w:val="8"/>
        <w:adjustRightInd w:val="0"/>
        <w:snapToGrid w:val="0"/>
        <w:spacing w:before="0" w:line="440" w:lineRule="exact"/>
        <w:ind w:firstLine="480" w:firstLineChars="200"/>
        <w:jc w:val="left"/>
        <w:rPr>
          <w:rFonts w:hint="eastAsia"/>
          <w:sz w:val="24"/>
        </w:rPr>
      </w:pPr>
      <w:r>
        <w:rPr>
          <w:rFonts w:hint="eastAsia"/>
          <w:sz w:val="24"/>
        </w:rPr>
        <w:t>四、财政拨款收入支出决算总表</w:t>
      </w:r>
    </w:p>
    <w:p>
      <w:pPr>
        <w:pStyle w:val="8"/>
        <w:adjustRightInd w:val="0"/>
        <w:snapToGrid w:val="0"/>
        <w:spacing w:before="0" w:line="440" w:lineRule="exact"/>
        <w:ind w:firstLine="480" w:firstLineChars="200"/>
        <w:jc w:val="left"/>
        <w:rPr>
          <w:rFonts w:hint="eastAsia"/>
          <w:sz w:val="24"/>
        </w:rPr>
      </w:pPr>
      <w:r>
        <w:rPr>
          <w:rFonts w:hint="eastAsia"/>
          <w:sz w:val="24"/>
        </w:rPr>
        <w:t>五、财政拨款支出决算明细表</w:t>
      </w:r>
    </w:p>
    <w:p>
      <w:pPr>
        <w:pStyle w:val="8"/>
        <w:adjustRightInd w:val="0"/>
        <w:snapToGrid w:val="0"/>
        <w:spacing w:before="0" w:line="440" w:lineRule="exact"/>
        <w:ind w:firstLine="480" w:firstLineChars="200"/>
        <w:jc w:val="left"/>
        <w:rPr>
          <w:rFonts w:hint="eastAsia"/>
          <w:sz w:val="24"/>
        </w:rPr>
      </w:pPr>
      <w:r>
        <w:rPr>
          <w:rFonts w:hint="eastAsia"/>
          <w:sz w:val="24"/>
        </w:rPr>
        <w:t>六、一般公共预算财政拨款支出决算表</w:t>
      </w:r>
    </w:p>
    <w:p>
      <w:pPr>
        <w:pStyle w:val="8"/>
        <w:adjustRightInd w:val="0"/>
        <w:snapToGrid w:val="0"/>
        <w:spacing w:before="0" w:line="440" w:lineRule="exact"/>
        <w:ind w:firstLine="480" w:firstLineChars="200"/>
        <w:jc w:val="left"/>
        <w:rPr>
          <w:rFonts w:hint="eastAsia"/>
          <w:sz w:val="24"/>
        </w:rPr>
      </w:pPr>
      <w:r>
        <w:rPr>
          <w:rFonts w:hint="eastAsia"/>
          <w:sz w:val="24"/>
        </w:rPr>
        <w:t>七、一般公共预算财政拨款支出决算明细表</w:t>
      </w:r>
    </w:p>
    <w:p>
      <w:pPr>
        <w:pStyle w:val="8"/>
        <w:adjustRightInd w:val="0"/>
        <w:snapToGrid w:val="0"/>
        <w:spacing w:before="0" w:line="440" w:lineRule="exact"/>
        <w:ind w:firstLine="480" w:firstLineChars="200"/>
        <w:jc w:val="left"/>
        <w:rPr>
          <w:rFonts w:hint="eastAsia"/>
          <w:sz w:val="24"/>
        </w:rPr>
      </w:pPr>
      <w:r>
        <w:rPr>
          <w:rFonts w:hint="eastAsia"/>
          <w:sz w:val="24"/>
        </w:rPr>
        <w:t>八、一般公共预算财政拨款基本支出决算表</w:t>
      </w:r>
    </w:p>
    <w:p>
      <w:pPr>
        <w:pStyle w:val="8"/>
        <w:adjustRightInd w:val="0"/>
        <w:snapToGrid w:val="0"/>
        <w:spacing w:before="0" w:line="440" w:lineRule="exact"/>
        <w:ind w:firstLine="480" w:firstLineChars="200"/>
        <w:jc w:val="left"/>
        <w:rPr>
          <w:rFonts w:hint="eastAsia"/>
          <w:sz w:val="24"/>
        </w:rPr>
      </w:pPr>
      <w:r>
        <w:rPr>
          <w:rFonts w:hint="eastAsia"/>
          <w:sz w:val="24"/>
        </w:rPr>
        <w:t>九、一般公共预算财政拨款项目支出决算表</w:t>
      </w:r>
    </w:p>
    <w:p>
      <w:pPr>
        <w:pStyle w:val="8"/>
        <w:adjustRightInd w:val="0"/>
        <w:snapToGrid w:val="0"/>
        <w:spacing w:before="0" w:line="440" w:lineRule="exact"/>
        <w:ind w:firstLine="480" w:firstLineChars="200"/>
        <w:jc w:val="left"/>
        <w:rPr>
          <w:rFonts w:hint="eastAsia"/>
          <w:sz w:val="24"/>
        </w:rPr>
      </w:pPr>
      <w:r>
        <w:rPr>
          <w:rFonts w:hint="eastAsia"/>
          <w:sz w:val="24"/>
        </w:rPr>
        <w:t>十、一般公共预算财政拨款“三公”经费支出决算表</w:t>
      </w:r>
    </w:p>
    <w:p>
      <w:pPr>
        <w:pStyle w:val="8"/>
        <w:adjustRightInd w:val="0"/>
        <w:snapToGrid w:val="0"/>
        <w:spacing w:before="0" w:line="440" w:lineRule="exact"/>
        <w:ind w:firstLine="480" w:firstLineChars="200"/>
        <w:jc w:val="left"/>
        <w:rPr>
          <w:rFonts w:hint="eastAsia"/>
          <w:sz w:val="24"/>
        </w:rPr>
      </w:pPr>
      <w:r>
        <w:rPr>
          <w:rFonts w:hint="eastAsia"/>
          <w:sz w:val="24"/>
        </w:rPr>
        <w:t>十一、政府性基金预算财政拨款收入支出决算表</w:t>
      </w:r>
    </w:p>
    <w:p>
      <w:pPr>
        <w:pStyle w:val="8"/>
        <w:adjustRightInd w:val="0"/>
        <w:snapToGrid w:val="0"/>
        <w:spacing w:before="0" w:line="440" w:lineRule="exact"/>
        <w:ind w:firstLine="480" w:firstLineChars="200"/>
        <w:jc w:val="left"/>
        <w:rPr>
          <w:rFonts w:hint="eastAsia"/>
          <w:sz w:val="24"/>
        </w:rPr>
      </w:pPr>
      <w:r>
        <w:rPr>
          <w:rFonts w:hint="eastAsia"/>
          <w:sz w:val="24"/>
        </w:rPr>
        <w:t>十二、政府性基金预算财政拨款“三公”经费支出决算表</w:t>
      </w:r>
    </w:p>
    <w:p>
      <w:pPr>
        <w:pStyle w:val="8"/>
        <w:adjustRightInd w:val="0"/>
        <w:snapToGrid w:val="0"/>
        <w:spacing w:before="0" w:line="440" w:lineRule="exact"/>
        <w:ind w:firstLine="480" w:firstLineChars="200"/>
        <w:jc w:val="left"/>
        <w:rPr>
          <w:rFonts w:hint="eastAsia"/>
          <w:sz w:val="24"/>
        </w:rPr>
      </w:pPr>
      <w:r>
        <w:rPr>
          <w:rFonts w:hint="eastAsia"/>
          <w:sz w:val="24"/>
        </w:rPr>
        <w:t>十三、国有资本经营预算财政拨款收入支出决算表</w:t>
      </w:r>
    </w:p>
    <w:p>
      <w:pPr>
        <w:pStyle w:val="8"/>
        <w:adjustRightInd w:val="0"/>
        <w:snapToGrid w:val="0"/>
        <w:spacing w:before="0" w:line="440" w:lineRule="exact"/>
        <w:ind w:firstLine="480" w:firstLineChars="200"/>
        <w:jc w:val="left"/>
        <w:rPr>
          <w:rFonts w:hint="eastAsia"/>
          <w:sz w:val="24"/>
        </w:rPr>
      </w:pPr>
      <w:r>
        <w:rPr>
          <w:rFonts w:hint="eastAsia"/>
          <w:sz w:val="24"/>
        </w:rPr>
        <w:t>十四、国有资本经营预算财政拨款支出决算表</w:t>
      </w:r>
    </w:p>
    <w:p>
      <w:pPr>
        <w:pStyle w:val="8"/>
        <w:adjustRightInd w:val="0"/>
        <w:snapToGrid w:val="0"/>
        <w:spacing w:before="0" w:line="440" w:lineRule="exact"/>
        <w:ind w:firstLine="480" w:firstLineChars="200"/>
        <w:jc w:val="left"/>
        <w:rPr>
          <w:rFonts w:hint="eastAsia"/>
          <w:sz w:val="24"/>
        </w:rPr>
      </w:pPr>
      <w:r>
        <w:rPr>
          <w:rFonts w:hint="eastAsia"/>
          <w:sz w:val="24"/>
        </w:rPr>
        <w:t>(注：请部门根据实际注明页码)</w:t>
      </w:r>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both"/>
        <w:rPr>
          <w:rFonts w:hint="eastAsia" w:ascii="黑体" w:hAnsi="黑体" w:eastAsia="黑体"/>
          <w:b w:val="0"/>
        </w:rPr>
      </w:pPr>
    </w:p>
    <w:p>
      <w:pPr>
        <w:rPr>
          <w:rFonts w:hint="eastAsia" w:ascii="黑体" w:hAnsi="黑体" w:eastAsia="黑体"/>
          <w:b w:val="0"/>
        </w:rPr>
      </w:pPr>
    </w:p>
    <w:p>
      <w:pPr>
        <w:pStyle w:val="3"/>
        <w:jc w:val="both"/>
        <w:rPr>
          <w:rFonts w:hint="eastAsia" w:ascii="黑体" w:hAnsi="黑体" w:eastAsia="黑体"/>
          <w:b w:val="0"/>
          <w:sz w:val="32"/>
          <w:szCs w:val="32"/>
        </w:rPr>
      </w:pPr>
    </w:p>
    <w:p>
      <w:pPr>
        <w:rPr>
          <w:rFonts w:hint="eastAsia" w:ascii="黑体" w:hAnsi="黑体" w:eastAsia="黑体"/>
          <w:b w:val="0"/>
          <w:sz w:val="32"/>
          <w:szCs w:val="32"/>
          <w:lang w:val="en-US" w:eastAsia="zh-CN"/>
        </w:rPr>
      </w:pPr>
      <w:r>
        <w:rPr>
          <w:rFonts w:hint="eastAsia" w:ascii="黑体" w:hAnsi="黑体" w:eastAsia="黑体"/>
          <w:b w:val="0"/>
          <w:sz w:val="32"/>
          <w:szCs w:val="32"/>
          <w:lang w:val="en-US" w:eastAsia="zh-CN"/>
        </w:rPr>
        <w:t xml:space="preserve">  </w:t>
      </w:r>
    </w:p>
    <w:p>
      <w:pPr>
        <w:pStyle w:val="9"/>
        <w:rPr>
          <w:rFonts w:hint="eastAsia"/>
        </w:rPr>
      </w:pPr>
    </w:p>
    <w:p>
      <w:pPr>
        <w:pStyle w:val="3"/>
        <w:jc w:val="center"/>
        <w:rPr>
          <w:rFonts w:ascii="华文中宋" w:hAnsi="华文中宋" w:eastAsia="华文中宋"/>
          <w:sz w:val="36"/>
          <w:szCs w:val="36"/>
        </w:rPr>
      </w:pPr>
      <w:r>
        <w:rPr>
          <w:rFonts w:hint="eastAsia" w:ascii="黑体" w:hAnsi="黑体" w:eastAsia="黑体"/>
          <w:b w:val="0"/>
        </w:rPr>
        <w:t>第一部分</w:t>
      </w:r>
      <w:r>
        <w:rPr>
          <w:rFonts w:ascii="黑体" w:hAnsi="黑体" w:eastAsia="黑体"/>
          <w:b w:val="0"/>
        </w:rPr>
        <w:t xml:space="preserve"> </w:t>
      </w:r>
      <w:r>
        <w:rPr>
          <w:rStyle w:val="22"/>
          <w:rFonts w:hint="eastAsia" w:ascii="黑体" w:hAnsi="黑体" w:eastAsia="黑体"/>
          <w:b w:val="0"/>
          <w:bCs w:val="0"/>
        </w:rPr>
        <w:t>部门概况</w:t>
      </w:r>
    </w:p>
    <w:p>
      <w:pPr>
        <w:snapToGrid w:val="0"/>
        <w:spacing w:line="520" w:lineRule="exact"/>
        <w:ind w:firstLine="640" w:firstLineChars="200"/>
        <w:rPr>
          <w:rFonts w:hint="eastAsia" w:ascii="黑体" w:hAnsi="黑体" w:eastAsia="黑体" w:cs="黑体"/>
          <w:b w:val="0"/>
          <w:bCs w:val="0"/>
          <w:sz w:val="32"/>
          <w:szCs w:val="32"/>
        </w:rPr>
      </w:pPr>
      <w:bookmarkStart w:id="11" w:name="YS060101"/>
      <w:r>
        <w:rPr>
          <w:rFonts w:hint="eastAsia" w:ascii="黑体" w:hAnsi="黑体" w:eastAsia="黑体" w:cs="黑体"/>
          <w:b w:val="0"/>
          <w:bCs w:val="0"/>
          <w:sz w:val="32"/>
          <w:szCs w:val="32"/>
        </w:rPr>
        <w:t>一、</w:t>
      </w:r>
      <w:bookmarkEnd w:id="11"/>
      <w:r>
        <w:rPr>
          <w:rFonts w:hint="eastAsia" w:ascii="黑体" w:hAnsi="黑体" w:eastAsia="黑体" w:cs="黑体"/>
          <w:b w:val="0"/>
          <w:bCs w:val="0"/>
          <w:sz w:val="32"/>
          <w:szCs w:val="32"/>
          <w:lang w:val="en-US" w:eastAsia="zh-CN"/>
        </w:rPr>
        <w:t>基本职能及主要工作</w:t>
      </w:r>
    </w:p>
    <w:p>
      <w:pPr>
        <w:snapToGrid w:val="0"/>
        <w:spacing w:line="52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lang w:eastAsia="zh-CN"/>
        </w:rPr>
        <w:t>（</w:t>
      </w:r>
      <w:r>
        <w:rPr>
          <w:rFonts w:hint="eastAsia" w:ascii="仿宋_GB2312" w:hAnsi="仿宋" w:eastAsia="仿宋_GB2312"/>
          <w:b/>
          <w:bCs/>
          <w:sz w:val="32"/>
          <w:szCs w:val="32"/>
          <w:lang w:val="en-US" w:eastAsia="zh-CN"/>
        </w:rPr>
        <w:t>一</w:t>
      </w:r>
      <w:r>
        <w:rPr>
          <w:rFonts w:hint="eastAsia" w:ascii="仿宋_GB2312" w:hAnsi="仿宋" w:eastAsia="仿宋_GB2312"/>
          <w:b/>
          <w:bCs/>
          <w:sz w:val="32"/>
          <w:szCs w:val="32"/>
          <w:lang w:eastAsia="zh-CN"/>
        </w:rPr>
        <w:t>）</w:t>
      </w:r>
      <w:r>
        <w:rPr>
          <w:rFonts w:hint="eastAsia" w:ascii="仿宋_GB2312" w:hAnsi="仿宋" w:eastAsia="仿宋_GB2312"/>
          <w:b/>
          <w:bCs/>
          <w:sz w:val="32"/>
          <w:szCs w:val="32"/>
          <w:lang w:val="en-US" w:eastAsia="zh-CN"/>
        </w:rPr>
        <w:t>基本</w:t>
      </w:r>
      <w:r>
        <w:rPr>
          <w:rFonts w:hint="eastAsia" w:ascii="仿宋_GB2312" w:hAnsi="仿宋" w:eastAsia="仿宋_GB2312"/>
          <w:b/>
          <w:bCs/>
          <w:sz w:val="32"/>
          <w:szCs w:val="32"/>
        </w:rPr>
        <w:t>职能</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贯彻执行党和国家有关种植业、畜牧业、渔业、农业机械化、农垦等农业领域（以下简称农业）工作的法律、法规与方针、政策以及省委省政府、市委市政府、区委区政府关于农业方面的决策部署，拟订全区农业和农村经济发展战略、中长期发展规划、政策并组织实施，组织起草有关农业和农村经济的规范性文件，参与拟订涉农财税、价格、金融保险等政策，提出农业产业保护的政策建议，推进农业依法行政。</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承担完善农村经营管理体制的责任。提出深化农村经济体制改革和稳定完善农村基本经营制度的政策建议，指导农村土地承包、耕地使用权流转和承包纠纷仲裁管理；指导、监督减轻农民负担和村民筹资筹劳管理工作，指导农村集体资产和财务管理；拟订农业产业化经营的发展规划与政策并组织实施，指导、扶持农业社会化服务体系、农村合作经济组织、农民合作社和农产品行业协会的建设与发展。</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指导粮油、畜禽、水产等主要农产品生产工作，组织落实促进粮油、畜禽、水产等主要农产品生产发展的相关政策措施，引导农业产业结构调整和产品品质的改善；会同有关部门指导农业标准化、规模化生产；拟订农业开发规划并监督实施，负责提出农业固定资产投资规模和方向、有关财政性资金安排、财政政策和项目的建议意见并指导实施；配合区级财政部门组织实施农业综合开发有关项目。参与组织实施种粮农民补贴、畜牧水产良种补贴和政策性农业保险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指导农业产业化经营，促进农业产前、产中、产后一体化发展；组织拟订优势特色效益农业发展、现代农业产业基地建设等政策与规划并组织实施，提出促进大宗农产品流通政策和主要农产品进口建议，研究制订大宗农产品市场体系建设与发展规划，培育、保护和发展农产品品牌；负责指导全区休闲农业发展；负责生猪屠宰管理；组织协调“菜篮子”工程有关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承担提升农产品质量安全水平的责任；组织开展全区农产品质量安全的监督管理，组织拟订农产品质量地方标准并会同有关部门组织实施和监督管理，负责农产品质量安全监测，依法开展农产品质量安全风险评估和质量追溯，发布有关农产品质量安全状况信息，指导农业检验检测体系建设和机构考核，依法组织实施符合安全标准的农产品生产基地认定、产品认证、农产品地理标志登记保护和监督管理。</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组织、协调农业生产资料市场体系建设，依法实施农作物种子（种苗）、食用菌种、蚕种、草种、种畜禽、水产种苗、农药、肥料、兽药（渔药）、饲料、饲料添加剂等农业生产资料的许可及监督管理职责，监督管理兽医医疗器械、肥料；会同有关部门监督实施农业生产资料国家标准，拟订有关农业生产资料地方标准并会同有关部门监督实施，依法开展农资市场秩序的整顿、规范和农资打假工作；承担渔政、渔港、渔船、渔机、网具的监督管理职责。</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负责制定全区农业机械化发展规划并组织实施；组织开展农业机械化重大技术攻关和关键技术装备开发，引进、示范和推广农业机械新技术、新机具，指导全区农业机械化基础设施建设的规划、建设和技术工作，指导农村机电提灌、机耕道建设，承担农业机械化使用安全监管职责。</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8、</w:t>
      </w:r>
      <w:r>
        <w:rPr>
          <w:rFonts w:hint="eastAsia" w:ascii="仿宋_GB2312" w:hAnsi="仿宋" w:eastAsia="仿宋_GB2312"/>
          <w:sz w:val="32"/>
          <w:szCs w:val="32"/>
        </w:rPr>
        <w:t>指导农作物重大病虫害防治；会同有关部门制定动植物防疫检疫政策并指导实施；指导动植物防疫检疫体系建设，组织、监督对区内动植物的防疫检疫工作，上报疫情并组织扑灭；组织植物检疫性有害生物普查；承担区内从境外引进农作物种子（种苗）检疫工作，牵头管理外来农业物种；组织兽医医政和兽药药政药检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9、</w:t>
      </w:r>
      <w:r>
        <w:rPr>
          <w:rFonts w:hint="eastAsia" w:ascii="仿宋_GB2312" w:hAnsi="仿宋" w:eastAsia="仿宋_GB2312"/>
          <w:sz w:val="32"/>
          <w:szCs w:val="32"/>
        </w:rPr>
        <w:t>承担农业防灾减灾责任，监测、核查、发布农业灾情，组织种子、种苗、化肥、兽药（渔药）等农业生产救灾物资的储备和调拨，提出生产救灾资金安排建议，指导紧急救灾和灾后生产恢复。</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10、</w:t>
      </w:r>
      <w:r>
        <w:rPr>
          <w:rFonts w:hint="eastAsia" w:ascii="仿宋_GB2312" w:hAnsi="仿宋" w:eastAsia="仿宋_GB2312"/>
          <w:sz w:val="32"/>
          <w:szCs w:val="32"/>
        </w:rPr>
        <w:t>管理农业和农村经济信息，监测分析农业和农村经济运行，开展相关农业统计工作；发布农业和农村经济信息，负责农业信息体系建设，指导农业信息服务。</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11、</w:t>
      </w:r>
      <w:r>
        <w:rPr>
          <w:rFonts w:hint="eastAsia" w:ascii="仿宋_GB2312" w:hAnsi="仿宋" w:eastAsia="仿宋_GB2312"/>
          <w:sz w:val="32"/>
          <w:szCs w:val="32"/>
        </w:rPr>
        <w:t>制定全区农业科研、农技推广的规划、计划和有关政策并组织实施，会同有关部门组织区级农业科技创新体系、农业产业技术体系建设；组织农作物、畜禽、水产养殖等新品种育种攻关和农业先进技术引进、试验、示范，组织实施农业领域的高新技术和应用技术研究、科技成果转化和技术推广，负责农业科技成果管理，指导农技推广体系改革与建设；负责农业植物新品种保护和农业转基因生物的安全监督管理。</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12、</w:t>
      </w:r>
      <w:r>
        <w:rPr>
          <w:rFonts w:hint="eastAsia" w:ascii="仿宋_GB2312" w:hAnsi="仿宋" w:eastAsia="仿宋_GB2312"/>
          <w:sz w:val="32"/>
          <w:szCs w:val="32"/>
        </w:rPr>
        <w:t>负责农业资源区划和资源保护工作，指导农用地、渔业水域、宜农滩涂、宜农湿地以及农业生物物种资源的保护和管理，负责水生野生动植物保护工作；依法管理耕地质量，拟订耕地及基本农田质量保护与改良政策并指导实施；运用工程设施、农艺、农机、生物等措施发展资源节约型、环境友好型农业。</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13、</w:t>
      </w:r>
      <w:r>
        <w:rPr>
          <w:rFonts w:hint="eastAsia" w:ascii="仿宋_GB2312" w:hAnsi="仿宋" w:eastAsia="仿宋_GB2312"/>
          <w:sz w:val="32"/>
          <w:szCs w:val="32"/>
        </w:rPr>
        <w:t>负责农村能源建设和资源环境工作，制定并组织实施农业资源环境建设规划，指导农村可再生能源综合开发与利用，指导农业生物质产业发展和农业农村节能减排，承担指导农业面源污染防治工作；提出划定农产品禁止生产区域的政策建议，指导生态农业、循环农业等发展；会同有关部门保护渔业水域生态环境。</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14、</w:t>
      </w:r>
      <w:r>
        <w:rPr>
          <w:rFonts w:hint="eastAsia" w:ascii="仿宋_GB2312" w:hAnsi="仿宋" w:eastAsia="仿宋_GB2312"/>
          <w:sz w:val="32"/>
          <w:szCs w:val="32"/>
        </w:rPr>
        <w:t>负责水产渔政工作。拟订渔业发展和渔业资源保护利用规划；负责全区渔业生产，指导水产品加工、流通和市场建设；负责水产品质量安全管理和水生动物的防疫、检疫以及渔药、渔饲料使用环节的监督检查；负责水生生物和水产种质资源保护区管理；实施渔业环境监测；协调仲裁重大渔事纠纷，查处重大渔政案件，牵头查处渔业污染事故；负责全区渔业船舶登记检验和各类渔业项目审查；指导渔业安全生产。</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15、</w:t>
      </w:r>
      <w:r>
        <w:rPr>
          <w:rFonts w:hint="eastAsia" w:ascii="仿宋_GB2312" w:hAnsi="仿宋" w:eastAsia="仿宋_GB2312"/>
          <w:sz w:val="32"/>
          <w:szCs w:val="32"/>
        </w:rPr>
        <w:t>会同有关部门拟订全区农业农村人才队伍建设规划并组织实施，指导农业职业教育和农业职业技能开发工作，参与实施农村实用人才培训工程；承担农民教育培训工作，会同有关部门实施农业农村人才专业技术资格和从业资格管理有关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16、</w:t>
      </w:r>
      <w:r>
        <w:rPr>
          <w:rFonts w:hint="eastAsia" w:ascii="仿宋_GB2312" w:hAnsi="仿宋" w:eastAsia="仿宋_GB2312"/>
          <w:sz w:val="32"/>
          <w:szCs w:val="32"/>
        </w:rPr>
        <w:t>承办政府间农业涉外事务，参与拟订农业对外开放政策和外向型农业发展规划，指导外向型农业发展；组织实施农业“引进来”和“走出去”战略，促进农业贸易工作，协助开展农业领域国际经济、技术交流与合作，协助有关部门组织实施农业援外项目。</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17、</w:t>
      </w:r>
      <w:r>
        <w:rPr>
          <w:rFonts w:hint="eastAsia" w:ascii="仿宋_GB2312" w:hAnsi="仿宋" w:eastAsia="仿宋_GB2312"/>
          <w:sz w:val="32"/>
          <w:szCs w:val="32"/>
        </w:rPr>
        <w:t>承担区政府公布的有关行政审批事项。</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18、</w:t>
      </w:r>
      <w:r>
        <w:rPr>
          <w:rFonts w:hint="eastAsia" w:ascii="仿宋_GB2312" w:hAnsi="仿宋" w:eastAsia="仿宋_GB2312" w:cs="Times New Roman"/>
          <w:sz w:val="32"/>
          <w:szCs w:val="32"/>
        </w:rPr>
        <w:t>承办</w:t>
      </w:r>
      <w:r>
        <w:rPr>
          <w:rFonts w:hint="eastAsia" w:ascii="仿宋_GB2312" w:hAnsi="仿宋" w:eastAsia="仿宋_GB2312"/>
          <w:sz w:val="32"/>
          <w:szCs w:val="32"/>
        </w:rPr>
        <w:t>区政府交办的其他事项。</w:t>
      </w:r>
    </w:p>
    <w:p>
      <w:pPr>
        <w:snapToGrid w:val="0"/>
        <w:spacing w:line="520" w:lineRule="exact"/>
        <w:ind w:firstLine="643" w:firstLineChars="200"/>
        <w:rPr>
          <w:rFonts w:hint="default"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（二）2020年重点工作完成情况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kern w:val="0"/>
          <w:sz w:val="32"/>
          <w:szCs w:val="32"/>
        </w:rPr>
        <w:t>2020年</w:t>
      </w:r>
      <w:r>
        <w:rPr>
          <w:rFonts w:hint="eastAsia" w:ascii="仿宋_GB2312" w:hAnsi="仿宋_GB2312" w:eastAsia="仿宋_GB2312" w:cs="仿宋_GB2312"/>
          <w:bCs/>
          <w:color w:val="auto"/>
          <w:kern w:val="0"/>
          <w:sz w:val="32"/>
          <w:szCs w:val="32"/>
          <w:lang w:val="zh-CN"/>
        </w:rPr>
        <w:t>是全面建成小康社会目标实现之年，是全面打赢脱贫攻坚战收官之年，是发展规划工作承上启下的关键之年。</w:t>
      </w:r>
      <w:r>
        <w:rPr>
          <w:rFonts w:hint="eastAsia" w:ascii="仿宋_GB2312" w:hAnsi="仿宋_GB2312" w:eastAsia="仿宋_GB2312" w:cs="仿宋_GB2312"/>
          <w:bCs/>
          <w:color w:val="auto"/>
          <w:kern w:val="0"/>
          <w:sz w:val="32"/>
          <w:szCs w:val="32"/>
        </w:rPr>
        <w:t>我局坚持以习近平新时代中国特色社会主义思想为指导，聚焦“六稳”“六保”，大力推进乡村振兴攻势，在常态化疫情防控中着力推动“农业多贡献”，稳住农业基本盘，发挥“三农”压舱石作用，实现全区农业稳产保供和农民增收，推进全区农业高质量发展，助推乡村振兴全面推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highlight w:val="none"/>
          <w:u w:val="none"/>
          <w:lang w:val="en-US" w:eastAsia="zh-CN"/>
        </w:rPr>
        <w:t>1、大力实施</w:t>
      </w:r>
      <w:r>
        <w:rPr>
          <w:rFonts w:hint="eastAsia" w:ascii="仿宋_GB2312" w:hAnsi="仿宋_GB2312" w:eastAsia="仿宋_GB2312" w:cs="仿宋_GB2312"/>
          <w:b/>
          <w:bCs/>
          <w:color w:val="auto"/>
          <w:sz w:val="32"/>
          <w:szCs w:val="32"/>
          <w:highlight w:val="none"/>
          <w:u w:val="none"/>
          <w:lang w:eastAsia="zh-CN"/>
        </w:rPr>
        <w:t>乡村振兴战略</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Cs/>
          <w:color w:val="auto"/>
          <w:kern w:val="0"/>
          <w:sz w:val="32"/>
          <w:szCs w:val="32"/>
        </w:rPr>
        <w:t>一是全面完成农村人居环境整治三年行动。加强人居环境整治“六大行动”，建成农村生活垃圾治理示范村50个，100%的行政</w:t>
      </w:r>
      <w:r>
        <w:rPr>
          <w:rFonts w:hint="eastAsia" w:ascii="仿宋_GB2312" w:hAnsi="仿宋_GB2312" w:eastAsia="仿宋_GB2312" w:cs="仿宋_GB2312"/>
          <w:color w:val="auto"/>
          <w:sz w:val="32"/>
          <w:szCs w:val="32"/>
        </w:rPr>
        <w:t>村生活垃圾得到分类和有效处理；完成13个村农村生活污水治理“千村示范工程”，71.8%的行政村生活污水得到有效治理；完成12个农村厕所整村推进示范村5910户卫生厕所改造，卫生厕所普及率累计达92.5%；指导96个畜禽规模养殖场完善配套粪污资源化利用设施装备，规模养殖场粪污处理设施装备配套率达100%，畜禽粪污资源化利用率达85%以上；结合疫情防控全域开展村庄清洁行动，实现农户房前屋后“五净六无”；加强农村精神文明建设管理，指导50余个村修订完善了村规民约及红白理事会制度。全市农村人居环境整治现场会在我区召开，朝天区荣获“全国农村生活垃圾分类和资源化利用示范县称号”。二是纵深推进全域新村建设。全面完成覆盖朝天镇、中子镇、沙河镇、曾家镇4个镇8180户新农村建设，全域新村建设累计覆盖100%的乡镇、96%的村（社区）、92%的农户。三是大力推进乡村振兴先进示范创建。制定了实施乡村振兴战略任务清单，全力推进省级先进乡镇1个、示范村4个创建工作；成功创建省级乡村治理示范镇1个、示范村2个，市级乡村振兴先进乡镇1个、示范村6个。成功承办了第二届美丽中国田园博览会 2020年中国农民丰收节广元市庆丰收活动，两河口镇老林村成功入选中国美丽休闲乡村。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highlight w:val="none"/>
          <w:u w:val="none"/>
          <w:lang w:val="en-US" w:eastAsia="zh-CN"/>
        </w:rPr>
        <w:t>2.深入推进现代农业园区建设。</w:t>
      </w:r>
      <w:r>
        <w:rPr>
          <w:rFonts w:hint="eastAsia" w:ascii="仿宋_GB2312" w:hAnsi="仿宋_GB2312" w:eastAsia="仿宋_GB2312" w:cs="仿宋_GB2312"/>
          <w:color w:val="auto"/>
          <w:sz w:val="32"/>
          <w:szCs w:val="32"/>
        </w:rPr>
        <w:t>一是</w:t>
      </w:r>
      <w:r>
        <w:rPr>
          <w:rFonts w:hint="eastAsia" w:ascii="仿宋_GB2312" w:hAnsi="仿宋_GB2312" w:eastAsia="仿宋_GB2312" w:cs="仿宋_GB2312"/>
          <w:color w:val="auto"/>
          <w:sz w:val="32"/>
          <w:szCs w:val="32"/>
          <w:lang w:eastAsia="zh-CN"/>
        </w:rPr>
        <w:t>大力</w:t>
      </w:r>
      <w:r>
        <w:rPr>
          <w:rFonts w:hint="eastAsia" w:ascii="仿宋_GB2312" w:hAnsi="仿宋_GB2312" w:eastAsia="仿宋_GB2312" w:cs="仿宋_GB2312"/>
          <w:color w:val="auto"/>
          <w:sz w:val="32"/>
          <w:szCs w:val="32"/>
        </w:rPr>
        <w:t>提升</w:t>
      </w:r>
      <w:r>
        <w:rPr>
          <w:rFonts w:hint="eastAsia" w:ascii="仿宋_GB2312" w:hAnsi="仿宋_GB2312" w:eastAsia="仿宋_GB2312" w:cs="仿宋_GB2312"/>
          <w:color w:val="auto"/>
          <w:sz w:val="32"/>
          <w:szCs w:val="32"/>
          <w:lang w:eastAsia="zh-CN"/>
        </w:rPr>
        <w:t>蔬菜省级</w:t>
      </w:r>
      <w:r>
        <w:rPr>
          <w:rFonts w:hint="eastAsia" w:ascii="仿宋_GB2312" w:hAnsi="仿宋_GB2312" w:eastAsia="仿宋_GB2312" w:cs="仿宋_GB2312"/>
          <w:color w:val="auto"/>
          <w:sz w:val="32"/>
          <w:szCs w:val="32"/>
        </w:rPr>
        <w:t>现代农业园区。持续扩大主导产业基地规模，新建和改造提升园区蔬菜基地面积7639亩。全面提升全程机械化水平，扩建机械化育苗棚960平方米，配备主导产业蔬菜生产全流程农机装备。大力发展产地采后初加工，新（改）建冷库12座1200立方米，扩建蔬菜产地初加工大棚1200平方米，建成蔬菜采后商品化处理生产线1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建成川东北山地蔬菜专家大院和专家工作站，引进高产优质蔬菜新品种14个。建成园区信息管理中心。积极推广种养循环模式。园区升星创建工作已通过省考评考核组现场检查验收。</w:t>
      </w:r>
      <w:r>
        <w:rPr>
          <w:rFonts w:hint="eastAsia" w:ascii="仿宋_GB2312" w:hAnsi="仿宋_GB2312" w:eastAsia="仿宋_GB2312" w:cs="仿宋_GB2312"/>
          <w:color w:val="auto"/>
          <w:sz w:val="32"/>
          <w:szCs w:val="32"/>
          <w:lang w:eastAsia="zh-CN"/>
        </w:rPr>
        <w:t>全市现代农业园区建设现场会在园区内召开，我区作经验交流发言。</w:t>
      </w:r>
      <w:r>
        <w:rPr>
          <w:rFonts w:hint="eastAsia" w:ascii="仿宋_GB2312" w:hAnsi="仿宋_GB2312" w:eastAsia="仿宋_GB2312" w:cs="仿宋_GB2312"/>
          <w:color w:val="auto"/>
          <w:sz w:val="32"/>
          <w:szCs w:val="32"/>
        </w:rPr>
        <w:t>二是加快建设羊木坝食用菌现代农业园区。种植食（药）用菌3000亩，绿之衡生猪规模养殖场存栏生猪3500头。完成一坝二坝三坝旧大棚改造，新建标准化食用菌大棚约50万平方米，安装喷灌系统约40余万平方米。启动与中国农科院食用菌研究所的合作，食用菌科技文化馆、羊木乡村记忆馆建设等项目正加快推进。园区创建为市等级园区。三是全面推进老旧园区改造提升。完成了羊木食用菌和羊西食用菌</w:t>
      </w:r>
      <w:r>
        <w:rPr>
          <w:rFonts w:hint="eastAsia" w:ascii="仿宋_GB2312" w:hAnsi="仿宋_GB2312" w:eastAsia="仿宋_GB2312" w:cs="仿宋_GB2312"/>
          <w:color w:val="auto"/>
          <w:sz w:val="32"/>
          <w:szCs w:val="32"/>
          <w:lang w:val="en-US" w:eastAsia="zh-CN"/>
        </w:rPr>
        <w:t>2个</w:t>
      </w:r>
      <w:r>
        <w:rPr>
          <w:rFonts w:hint="eastAsia" w:ascii="仿宋_GB2312" w:hAnsi="仿宋_GB2312" w:eastAsia="仿宋_GB2312" w:cs="仿宋_GB2312"/>
          <w:color w:val="auto"/>
          <w:sz w:val="32"/>
          <w:szCs w:val="32"/>
        </w:rPr>
        <w:t>老园区改造提升任务，完成两河口、李家、金罗</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老旧园区部分项目提升。</w:t>
      </w:r>
      <w:r>
        <w:rPr>
          <w:rFonts w:hint="eastAsia" w:ascii="仿宋_GB2312" w:hAnsi="仿宋_GB2312" w:eastAsia="仿宋_GB2312" w:cs="仿宋_GB2312"/>
          <w:color w:val="auto"/>
          <w:sz w:val="32"/>
          <w:szCs w:val="32"/>
          <w:lang w:eastAsia="zh-CN"/>
        </w:rPr>
        <w:t>四是加强现代农业园区管理。</w:t>
      </w:r>
      <w:r>
        <w:rPr>
          <w:rFonts w:hint="eastAsia" w:ascii="仿宋_GB2312" w:hAnsi="仿宋_GB2312" w:eastAsia="仿宋_GB2312" w:cs="仿宋_GB2312"/>
          <w:color w:val="auto"/>
          <w:sz w:val="32"/>
          <w:szCs w:val="32"/>
        </w:rPr>
        <w:t>全面落实“园长制”，成立了农业园区服务中心，出台了现代农业园区管理试行办法。</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highlight w:val="none"/>
          <w:u w:val="none"/>
          <w:lang w:val="en-US" w:eastAsia="zh-CN"/>
        </w:rPr>
        <w:t>3.特色产业发展稳中有进。</w:t>
      </w:r>
      <w:r>
        <w:rPr>
          <w:rFonts w:hint="eastAsia" w:ascii="仿宋_GB2312" w:hAnsi="仿宋_GB2312" w:eastAsia="仿宋_GB2312" w:cs="仿宋_GB2312"/>
          <w:color w:val="auto"/>
          <w:sz w:val="32"/>
          <w:szCs w:val="32"/>
          <w:highlight w:val="none"/>
        </w:rPr>
        <w:t>一是粮油生产稳定发展。大力实施“藏粮于地、藏粮于技”战略，全区实现粮食产量12.07吨，同比增长1.02%；油料产量1万吨，同比增0.7%。粮食扩面0.72万亩。二是生猪稳产保供全面完成。出台了《朝天区促进生猪生产十六条措施》，落实“六抓”举措，新（改扩）建生猪规模养殖场30个，年新增产能10万头以上，巩固提升生猪养殖专业户356户，新（改扩）建畜禽标准化养</w:t>
      </w:r>
      <w:r>
        <w:rPr>
          <w:rFonts w:hint="eastAsia" w:ascii="仿宋_GB2312" w:hAnsi="仿宋_GB2312" w:eastAsia="仿宋_GB2312" w:cs="仿宋_GB2312"/>
          <w:color w:val="auto"/>
          <w:sz w:val="32"/>
          <w:szCs w:val="32"/>
        </w:rPr>
        <w:t>殖场（小区）8个，全年出栏生猪23.25万头。三是蔬菜（食用菌）产业转型升级。新建标准化蔬菜基地8500亩，引进甘蓝、辣椒新品种等14个，推广高产优质优良品种30多个，改造提升蔬菜现代农业科技温室大棚10亩，建成产地冷库22座，建立蔬菜和食用菌初加工设施100余处，蔬菜（山珍）产品产地初加工率达80%，精深加工率达15%。全区蔬菜种植40.2万亩，总产量100.1万吨。食用菌种植1万亩，其中，灵芝、猴头菇、羊肚菌等高端品种1000余亩，总产量1万吨。成功承办全省高山蔬菜产业发展现场会、全省现代农业“五良”融合暨农业装备转型升级推进会、全市山地蔬菜（山珍）产业发展推进会，并在会上作交流发言。我区被认定为“菜祖文化之乡”。四是肉牛羊、土鸡产业突破性发展。全年出栏肉羊9.512万只、肉牛1.43万头、土鸡490万只。四川羊乐公司在曾家镇、朝天镇分别开设了以肉羊为主的特色餐饮店2家。五是其他特色产业同步发展。实现水产品总产量220吨，实施稻渔综合养殖600亩。</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highlight w:val="none"/>
          <w:u w:val="none"/>
          <w:lang w:val="en-US" w:eastAsia="zh-CN"/>
        </w:rPr>
        <w:t>4、项目投资力度加大。</w:t>
      </w:r>
      <w:r>
        <w:rPr>
          <w:rFonts w:hint="eastAsia" w:ascii="仿宋_GB2312" w:hAnsi="仿宋_GB2312" w:eastAsia="仿宋_GB2312" w:cs="仿宋_GB2312"/>
          <w:color w:val="auto"/>
          <w:sz w:val="32"/>
          <w:szCs w:val="32"/>
        </w:rPr>
        <w:t>一是大力争取项目资金。向上争取农业行业资金20360万元，争取乡村振兴专项债券资金12040万元；完成招商引资项目签约5个，引进到位资金42700万元；固定资产投资</w:t>
      </w:r>
      <w:r>
        <w:rPr>
          <w:rFonts w:hint="eastAsia" w:ascii="仿宋_GB2312" w:hAnsi="仿宋_GB2312" w:eastAsia="仿宋_GB2312" w:cs="仿宋_GB2312"/>
          <w:color w:val="auto"/>
          <w:sz w:val="32"/>
          <w:szCs w:val="32"/>
          <w:lang w:val="en-US" w:eastAsia="zh-CN"/>
        </w:rPr>
        <w:t>20022</w:t>
      </w:r>
      <w:r>
        <w:rPr>
          <w:rFonts w:hint="eastAsia" w:ascii="仿宋_GB2312" w:hAnsi="仿宋_GB2312" w:eastAsia="仿宋_GB2312" w:cs="仿宋_GB2312"/>
          <w:color w:val="auto"/>
          <w:sz w:val="32"/>
          <w:szCs w:val="32"/>
        </w:rPr>
        <w:t>万元；完成非税收入57.5万元。二是不断完善基础设施建设。全面完成2019年高标准农田建设项目，建成高标准农田2.6万亩，其中高效节水灌溉2000亩。全面启动2020年高标准农田建设项目，预计2021年5月全面完成建设任务。建成种养循环综合利用农村沼气1处，全面完成2018年、2019年建设的5处集中供气项问题整改，并通过市级验收合格。</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highlight w:val="none"/>
          <w:u w:val="none"/>
          <w:lang w:val="en-US" w:eastAsia="zh-CN"/>
        </w:rPr>
        <w:t>5、农业农村综合改革不断深入。</w:t>
      </w:r>
      <w:r>
        <w:rPr>
          <w:rFonts w:hint="eastAsia" w:ascii="仿宋_GB2312" w:hAnsi="仿宋_GB2312" w:eastAsia="仿宋_GB2312" w:cs="仿宋_GB2312"/>
          <w:color w:val="auto"/>
          <w:sz w:val="32"/>
          <w:szCs w:val="32"/>
        </w:rPr>
        <w:t>一是加强农业和农村体制改革。出台了《广元市朝天区农业和农村体制改革专项小组2020年工作要点及台账》，涉及农业农村改革任务清单48项，建立了专项改革台账。二是深化农村集体产权制度改革。清理资产总额154549万元，其中，经营性资产总额11027万元，资源性资产1860037亩。全面完成集体经济组织成员身份界定工作，确认成员身份54881户188125人。完成集体经济股份量化214个村1108个组。完成64个贫困村股份经济合作联合社登记。加快“两改”后合并村的股权合并和资产移交工作。三是持续壮大村集体经济发展。全区214个村集体经济经营性收入累积总额达925.8万元，人均累计经营性收入达49.6元。其中，64个贫困村集体经济累积经营性收入总额达458.5万元，人均累计经营性收入达99.25元；150个非贫困村集体经济累积经营性总额达467.3万元，人均累计经营性收入达33.27元。四是加强农村宅基地和农房建设管理。出台了《广元市朝天区农村村民宅基地审批和住房建设管理办法（试行）》，各项工作有力有序有效推进。组织改革后第一次农房集中会审工作，全区共审核新建房农户20户。五是培育新型农业经营主体。新培育农民专业合作社44家，其中，省级示范社4家、市级示范社9家；新培育家庭农场108家，其中，省级示范场1家，市级示范场9家。六是依法有序流转土地。新增流转耕地0.55万亩。七是加强信息工程建设。规范农业社会化服务超市111家。完成了四川省农业公共安全突发事件应急处置系统建设项目建设任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highlight w:val="none"/>
          <w:u w:val="none"/>
          <w:lang w:val="en-US" w:eastAsia="zh-CN"/>
        </w:rPr>
        <w:t>6、农业行业安全形势稳定。</w:t>
      </w:r>
      <w:r>
        <w:rPr>
          <w:rFonts w:hint="eastAsia" w:ascii="仿宋_GB2312" w:hAnsi="仿宋_GB2312" w:eastAsia="仿宋_GB2312" w:cs="仿宋_GB2312"/>
          <w:color w:val="auto"/>
          <w:sz w:val="32"/>
          <w:szCs w:val="32"/>
        </w:rPr>
        <w:t>一是加强农产品质量安全监管。巩固提升国家农产品质量安全县创建成果，农业信息综合服务平台收录信息5万余条。协助部、省、市农业农村部门组织开展各项抽检任务10余次，抽检农产品样品124份；全区定量抽检农产品样品606份，农兽药残留快检1.5万份，未检出违禁药物；市级“菜篮子”专项监测中检出佳惠超市所售鲈鱼中兽药残留超标样品1份，全区定量抽检农产品合格率达99.86%以上。制发了《朝天区试行食用农产品合格证制度实施方案》，为全区301家生产经营主体开具合格证6000余份。200余家生产经营主体入驻国家农产品质量安全追溯平台，录入信息4000余条。二是</w:t>
      </w:r>
      <w:r>
        <w:rPr>
          <w:rFonts w:hint="eastAsia" w:ascii="仿宋_GB2312" w:hAnsi="仿宋_GB2312" w:eastAsia="仿宋_GB2312" w:cs="仿宋_GB2312"/>
          <w:color w:val="auto"/>
          <w:sz w:val="32"/>
          <w:szCs w:val="32"/>
          <w:lang w:eastAsia="zh-CN"/>
        </w:rPr>
        <w:t>加</w:t>
      </w:r>
      <w:r>
        <w:rPr>
          <w:rFonts w:hint="eastAsia" w:ascii="仿宋_GB2312" w:hAnsi="仿宋_GB2312" w:eastAsia="仿宋_GB2312" w:cs="仿宋_GB2312"/>
          <w:color w:val="auto"/>
          <w:sz w:val="32"/>
          <w:szCs w:val="32"/>
        </w:rPr>
        <w:t>强动植物疫病防控。全力抓好非洲猪瘟防控，制定非洲猪瘟防控应急预案，优化设置卡口20个，扎实开展非洲猪瘟等重大动物疫病防控“大消毒、大宣传、大培训”四季行动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印发技术手册等资料2.6万余份。处置不明原因死亡生猪389头，全区未发现非洲猪瘟疫情。扎实开展监测流调及实验室工作，设置定点监测点70个，年度监测数据显示养殖动物病种数10种。全面提升区兽医实验室的监测能力，共检测样品8554份。认真开展布病净化工作，实现人感染布病零发生。加强草地贪夜蛾等植物疫病防控，安装草地贪夜蛾高空测报灯1盏，更换性诱监测诱芯30套，启动31个监测点监测工作。落实资金60万元，在重点区域开展生物防治1万亩。购买水稻病虫害防治药品4000袋，开展水稻稻水象甲及稻瘟病防治2000亩。三是加强动物卫生监督。严把检疫关。产地检疫生猪9.5万头、肉牛0.056万头、肉羊0.153万只、家禽32.39万只（羽），开展“瘦肉精”监督抽检0.243万头次，产地申报检疫率100%；屠宰检疫生猪4.348万头；开展“瘦肉精”监督抽检0.126万头次，未检出“瘦肉精”生猪；监督屠宰企业开展非洲猪瘟检测4.348万头次，未检出非洲猪瘟核酸阳性，屠宰检疫率、监管率均达100%。严把流通关。七盘关公路动物防疫监督检查站共监督检查入川生猪1665车216644头，牛101车2395头，羊283车59941只，禽兔2309车3029000只（羽），猪副产品2177车25497.6吨，牛副产品285车1846.8吨，羊副产品502车7613.1吨，禽兔副产品11573车266386吨，其它副产品204车3338.7吨；监督无害化处理经检测为非洲猪瘟核酸阳性生猪128头。严把监督关。扎实开展春秋两季动物防疫专项督查，开展非洲猪瘟防控专项宣传培训30余场次，签订承诺书、发放告知书各2000余份。区外引入种猪、仔猪共0.73万头未发生重大动物疫病。监督养殖环节无害化处理病死畜禽381头（只），其中生猪132头，病死畜禽无害化处理率达100%；监督屠宰环节无害化处理病害产品4835公斤，检出病害生猪及病害产品无害化处理率达100%。严把整治关。扎实开展动物检疫“大清查、大警示、大培训”活动，全面清查官方兽医76人和检疫出证账号26个，未发生检疫出证账号被盗现象。优化设置动物检疫申报点16个，明确出证点官方兽医37人，加强官方兽医队伍培训74人次，签订廉洁履职承诺书37份。建立完善了检疫证“三分离”和畜禽标识台账管理等制度。检查农产品生产经营企业1300余家次，收缴不合格农资300公斤，立案查处违规调运生猪、经营假劣农资、无证经营兽药等违法行为15起，移送司法机关2起，处罚款71万余元。被省农业农村厅评为2020年全省农业行政处罚案卷1件，被市动物卫生监督所表彰为2020年度动物卫生监督工作先进者3人。四是抓实农机监督管理。严格执行国家农机购置补贴政策，及时、公开补贴到户，128户农户购机132台，发放购机补贴资金29.222万元。持续深入开展农机档案清理、农业机械年检工作，全区现存量运行拖拉机302台，检验拖拉机232台，检验率达76.8%；办理拖拉机注册登记40台，转移登记13台，补证10台，注销29台，初次申领拖拉机驾驶证34人，补领、换领拖拉机牌证90人、省内（外）转入2人、吊销3人、系统自动注销27人。签订提灌站安全管理责任书62份，举办农机安全培训班4期130余人。我区被省农机化技术推广总站评为农机推广工作和农机推广信息宣传工作突出单位。五是加强农村能源（沼气）安全管理。对全区农村户用沼气进行拉网式摸底排查，落实安全责任制清单，明确12个乡镇农村能源安全生产责任。制定了《沼气工程企业安全生产管理责任清单》，随机抽查户用沼气池1100口，排除不同程度安全隐患210余口，已维修病险80口。扎实开展农村沼气安全生产月活动，发放《农村沼气综合实用技术》270本、沼气安全宣传单682份，张贴《关于进一步加强全区农村能源安全生产管理工作的通知》421张，累计发放各类宣传资料3800余份。</w:t>
      </w:r>
    </w:p>
    <w:p>
      <w:pPr>
        <w:pStyle w:val="9"/>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7、农业科技推广品牌创建力度加大。</w:t>
      </w:r>
      <w:r>
        <w:rPr>
          <w:rFonts w:hint="eastAsia" w:ascii="仿宋_GB2312" w:hAnsi="仿宋_GB2312" w:eastAsia="仿宋_GB2312" w:cs="仿宋_GB2312"/>
          <w:color w:val="auto"/>
          <w:kern w:val="2"/>
          <w:sz w:val="32"/>
          <w:szCs w:val="32"/>
          <w:lang w:val="en-US" w:eastAsia="zh-CN" w:bidi="ar-SA"/>
        </w:rPr>
        <w:t>一是实施科技兴农战略。选拔出340名农村实用人才，并建立了“信息库”，实行分类管理、跟踪培育。选派现代青年农场主、农业经理人17人，在西南大学、川农大、省农科院，参加了省级市级调训。选派7名村干部、致富带头人、种养大户、专业合作社带头人、家庭农场主，在湖北省武汉市、浙江省嘉兴市，参加了农村实用人才带头人示范培训班。派出70名基层农技人员到市科教中心和川农大参加知识更新培训。组织新型农业经营主体带头人培训323人。加强与中国农科院、省农科院、省畜科院合作，邀请“周末工程师”和首席专家7人，5名专家签约协议，培育土专家、田秀才12人，受训实用技术1500余人次。落实特聘农技员1名。建成科技示范基地2个。2人被评为蜀道英才农业大师，申报农业专业技术职称高级3人、中级5人，印发各类技术资料、手册1万余份。二是推进农产品品牌建设。强化农产品“三品一标”认证和证后监督管理工作，完成8张有机（有机转换）农产品证书19个产品，“朝天黑木耳”成功通过国家知识产权中心地理标志证明商标注册登记。鼓励和支持农产品生产经营企业参加农博会、菜博会等农产品宣传推介活动。三是抓实绿色防控。实施《朝天区秸秆综合利用试点项目》，争取项目资金300万元，推进秸秆燃料化、肥料化、饲料化利用，秸秆可收集量11.4万吨，综合利用10.42万吨，利用率达到91.4%。</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highlight w:val="none"/>
          <w:u w:val="none"/>
          <w:lang w:val="en-US" w:eastAsia="zh-CN"/>
        </w:rPr>
        <w:t>8、加强新冠肺炎疫情防控。</w:t>
      </w:r>
      <w:r>
        <w:rPr>
          <w:rFonts w:hint="eastAsia" w:ascii="仿宋_GB2312" w:hAnsi="仿宋_GB2312" w:eastAsia="仿宋_GB2312" w:cs="仿宋_GB2312"/>
          <w:color w:val="auto"/>
          <w:sz w:val="32"/>
          <w:szCs w:val="32"/>
        </w:rPr>
        <w:t>扎实做好农村地区、所负责的城区老旧小区、局机关新冠肺炎疫情防控工作，在住户小区实行胸牌进去；在局机关安装了门岗系统，执行扫码制度；在农村地区坚持疫情防控统计日报制度，全区农村地区新冠肺炎疫情“0”发生。组织干部职工、区内30家新型农业经营主体，捐款（捐物）10.4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2"/>
          <w:sz w:val="32"/>
          <w:szCs w:val="32"/>
          <w:highlight w:val="none"/>
          <w:u w:val="none"/>
          <w:lang w:val="en-US" w:eastAsia="zh-CN" w:bidi="ar-SA"/>
        </w:rPr>
        <w:t>9、全力打赢脱贫攻坚战。</w:t>
      </w:r>
      <w:r>
        <w:rPr>
          <w:rFonts w:hint="eastAsia" w:ascii="仿宋_GB2312" w:hAnsi="仿宋_GB2312" w:eastAsia="仿宋_GB2312" w:cs="仿宋_GB2312"/>
          <w:color w:val="auto"/>
          <w:sz w:val="32"/>
          <w:szCs w:val="32"/>
        </w:rPr>
        <w:t>一是产业扶贫。投入资金（到位、拨付）8001.756万，实施项目254个。二是集体经济扶贫。累计投入产业扶持基金总规模达4330万元，村平均20万元，其中，64个贫困村产业扶持基金总规模达2830万元，村平均44.21万元；150个非贫困村产业扶持基金总规模达1500万元，村平均10万元，彻底消除了集体经济“空壳村”。三是新村扶贫。涉及4个镇30个村8180户的全域新村建设已完成规划建设任务。今年拟退出的5户贫困户达到室内“五净”、院内“五无”。四是抓好部门帮扶。全面完成部门帮扶工作任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2"/>
          <w:sz w:val="32"/>
          <w:szCs w:val="32"/>
          <w:highlight w:val="none"/>
          <w:u w:val="none"/>
          <w:lang w:val="en-US" w:eastAsia="zh-CN" w:bidi="ar-SA"/>
        </w:rPr>
        <w:t>10、转作风强素质推进系统建设。</w:t>
      </w:r>
      <w:r>
        <w:rPr>
          <w:rFonts w:hint="eastAsia" w:ascii="仿宋_GB2312" w:hAnsi="仿宋_GB2312" w:eastAsia="仿宋_GB2312" w:cs="仿宋_GB2312"/>
          <w:color w:val="auto"/>
          <w:sz w:val="32"/>
          <w:szCs w:val="32"/>
        </w:rPr>
        <w:t>一是落实党建工作责任制。制定了《朝天区农业农村局2020年党组理论学习中心组学习计划》，严格履行“一岗双责”责任，切实履行党组主体责任、党组书记第一责任人责任、分管领导直接责任人责任，压实党建工作主体责任，召开意识形态工作专题会4次、党组中心组学习会议12次。严格落实“三会一课”制度，全年召开支部大会12次，开展上党课活动10次，受教育党员干部约920人次。我局荣获“朝天区2020年度‘学习强国’先进学习组织”荣誉。二是从严从实持续深化正风肃纪。持续开展农业农村系统行风整顿活动，制定了《朝天区农业农村系统行风整顿实施方案》，健全和完善党风廉政建设工作责任机制，制定了全面从严治党“三张清单”，梳理主体责任事项36项、廉政风险防控点21个；局党组对1名违纪干部作出政务警告处分，对局内受处分干部开展严肃批评教育9人次，组织党员干部观看《越界》等警示教育片5次，召开“以案促改”专题会3次、“以案促改”及案发地专题民主社会1次、全面从严治党“四责同述”专题会1次。三是全面推进依法行政。严格执法监督。制定了《朝天区农业行政执法公示实施细则》等行政执法三项制度，执法人员信息、行政处罚信息、行政许可信息均在朝天区人民政府网站进行了公示。加强执法人员执法证件管理，新办理执法证件36个，注销执法证件95个；对行政处罚案件全部进行了法制审查；开展了行政执法案卷评查活动，案件办理合格率达100%。认真落实“放管服”工作。清理整理机改后的权力事项357项。对四川省一体化政务服务平台3.0新版进行了全面完善，实现行政权力事项100%在一体化政务服务平台运行。组织开展“双随机一公开”抽查4次，检查经营单位17家，抽取监管对象比率8.7%。办理行政许可事项6项435件，按时办结率、群众满意率均达100%。四是认真办理建议提案。牵头承办区人大代表建议案件10件，协办7件；承办区政协委员提案8件，协办9件。在办理中，严格执行办理工作三级责任制，明确主要领导负总责、分管领导具体负责、承办人员具体办理，形成了“层层有专人负责、逐级有专人落实”的办理工作网络。主动与区人大代表、政协委员联系沟通，做到与代表、委员“三次见面”，广泛听取和采纳意见建议，确保办理之初拜访访明意图，办理过程中协商狠抓落实，办理结束后回访寻求支持，实现了见面率、答复率、满意率均达到100%。五是切实抓好中心工作。认真开展学习型机关、文明单位、市级节约型公共机构示范单位创建活动，加强服务型队伍和机关文化建设，统筹做好计生工作、社会管理综合治理、维稳、防邪、扫黑除恶、禁毒、人民防线、平安创建、信访、安全生产、关心下一代、保密、统战、工青妇、农业信息及档案管理、离退休干部管理等各项工作，确保农业系统的和谐稳定和农业健康发展。同时，抓好全区中心工作以及区委、区政府交办的其他工作。曾家山综合农事服务中心“服务高山农业</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打造现代品牌”案例材料入选农业农村部“全程机械化+综合农事”服务中心典型案例，朝天区英明农机专业合作社入选为省农业农村厅农机专业合作社典型案例。农业农村工作5次在《新闻联播》播报。</w:t>
      </w:r>
    </w:p>
    <w:p>
      <w:pPr>
        <w:snapToGrid w:val="0"/>
        <w:spacing w:line="520" w:lineRule="exact"/>
        <w:ind w:firstLine="640" w:firstLineChars="20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二、机构设置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lang w:eastAsia="zh-CN"/>
        </w:rPr>
      </w:pPr>
      <w:bookmarkStart w:id="12" w:name="YS060102"/>
      <w:r>
        <w:rPr>
          <w:rFonts w:hint="eastAsia" w:ascii="仿宋_GB2312" w:hAnsi="仿宋_GB2312" w:eastAsia="仿宋_GB2312" w:cs="仿宋_GB2312"/>
          <w:color w:val="auto"/>
          <w:sz w:val="32"/>
          <w:szCs w:val="32"/>
          <w:highlight w:val="none"/>
        </w:rPr>
        <w:t>区农业农村局共有编制数85名，</w:t>
      </w:r>
      <w:r>
        <w:rPr>
          <w:rFonts w:hint="eastAsia" w:ascii="仿宋_GB2312" w:hAnsi="仿宋_GB2312" w:eastAsia="仿宋_GB2312" w:cs="仿宋_GB2312"/>
          <w:color w:val="auto"/>
          <w:sz w:val="32"/>
          <w:szCs w:val="32"/>
          <w:highlight w:val="none"/>
          <w:lang w:val="en-US" w:eastAsia="zh-CN"/>
        </w:rPr>
        <w:t>实</w:t>
      </w:r>
      <w:r>
        <w:rPr>
          <w:rFonts w:hint="eastAsia" w:ascii="仿宋_GB2312" w:hAnsi="仿宋_GB2312" w:eastAsia="仿宋_GB2312" w:cs="仿宋_GB2312"/>
          <w:color w:val="auto"/>
          <w:sz w:val="32"/>
          <w:szCs w:val="32"/>
          <w:highlight w:val="none"/>
        </w:rPr>
        <w:t>有人员9</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人。其中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行政</w:t>
      </w:r>
      <w:r>
        <w:rPr>
          <w:rFonts w:hint="eastAsia" w:ascii="仿宋_GB2312" w:hAnsi="仿宋_GB2312" w:eastAsia="仿宋_GB2312" w:cs="仿宋_GB2312"/>
          <w:color w:val="auto"/>
          <w:sz w:val="32"/>
          <w:szCs w:val="32"/>
          <w:highlight w:val="none"/>
          <w:lang w:val="en-US" w:eastAsia="zh-CN"/>
        </w:rPr>
        <w:t>人员31人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参照公务员法管理事业人员15人，非参公事业人员52人</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单位内设：</w:t>
      </w:r>
      <w:r>
        <w:rPr>
          <w:rFonts w:hint="eastAsia" w:ascii="仿宋_GB2312" w:hAnsi="仿宋_GB2312" w:eastAsia="仿宋_GB2312" w:cs="仿宋_GB2312"/>
          <w:color w:val="auto"/>
          <w:sz w:val="32"/>
          <w:szCs w:val="32"/>
          <w:highlight w:val="none"/>
          <w:lang w:val="en-US" w:eastAsia="zh-CN"/>
        </w:rPr>
        <w:t>办公室、农村合作经济与改革指导股、特色产业发展与农业园区股、畜牧和水产管理股、宜居乡村与农田建设管理股、科技股、计划投资项目股。</w:t>
      </w:r>
    </w:p>
    <w:p>
      <w:pPr>
        <w:snapToGrid w:val="0"/>
        <w:spacing w:line="520" w:lineRule="exact"/>
        <w:ind w:firstLine="640" w:firstLineChars="200"/>
        <w:rPr>
          <w:rFonts w:hint="eastAsia" w:ascii="黑体" w:hAnsi="黑体" w:eastAsia="黑体"/>
          <w:sz w:val="32"/>
          <w:szCs w:val="32"/>
          <w:highlight w:val="none"/>
        </w:rPr>
      </w:pPr>
    </w:p>
    <w:p>
      <w:pPr>
        <w:snapToGrid w:val="0"/>
        <w:spacing w:line="520" w:lineRule="exact"/>
        <w:ind w:firstLine="640" w:firstLineChars="200"/>
        <w:rPr>
          <w:rFonts w:hint="eastAsia" w:ascii="黑体" w:hAnsi="黑体" w:eastAsia="黑体"/>
          <w:sz w:val="32"/>
          <w:szCs w:val="32"/>
        </w:rPr>
      </w:pPr>
    </w:p>
    <w:p>
      <w:pPr>
        <w:snapToGrid w:val="0"/>
        <w:spacing w:line="520" w:lineRule="exact"/>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bookmarkEnd w:id="12"/>
    <w:p>
      <w:pPr>
        <w:pStyle w:val="3"/>
        <w:ind w:right="440"/>
        <w:jc w:val="right"/>
        <w:rPr>
          <w:rStyle w:val="22"/>
          <w:rFonts w:ascii="黑体" w:hAnsi="黑体" w:eastAsia="黑体"/>
          <w:b w:val="0"/>
          <w:bCs w:val="0"/>
        </w:rPr>
      </w:pPr>
      <w:bookmarkStart w:id="13" w:name="_Toc15377204"/>
      <w:bookmarkStart w:id="14" w:name="_Toc15396602"/>
      <w:r>
        <w:rPr>
          <w:rFonts w:hint="eastAsia" w:ascii="黑体" w:hAnsi="黑体" w:eastAsia="黑体"/>
          <w:b w:val="0"/>
          <w:color w:val="000000"/>
        </w:rPr>
        <w:t>第二部分</w:t>
      </w:r>
      <w:r>
        <w:rPr>
          <w:rFonts w:ascii="黑体" w:hAnsi="黑体" w:eastAsia="黑体"/>
          <w:color w:val="000000"/>
        </w:rPr>
        <w:t xml:space="preserve"> </w:t>
      </w:r>
      <w:r>
        <w:rPr>
          <w:rStyle w:val="22"/>
          <w:rFonts w:ascii="黑体" w:hAnsi="黑体" w:eastAsia="黑体"/>
          <w:b w:val="0"/>
          <w:bCs w:val="0"/>
        </w:rPr>
        <w:t>2020</w:t>
      </w:r>
      <w:r>
        <w:rPr>
          <w:rStyle w:val="22"/>
          <w:rFonts w:hint="eastAsia" w:ascii="黑体" w:hAnsi="黑体" w:eastAsia="黑体"/>
          <w:b w:val="0"/>
          <w:bCs w:val="0"/>
        </w:rPr>
        <w:t>年度部门决算情况说明</w:t>
      </w:r>
      <w:bookmarkEnd w:id="13"/>
      <w:bookmarkEnd w:id="14"/>
    </w:p>
    <w:p>
      <w:pPr>
        <w:spacing w:line="600" w:lineRule="exact"/>
        <w:ind w:firstLine="640"/>
        <w:outlineLvl w:val="1"/>
        <w:rPr>
          <w:rStyle w:val="21"/>
          <w:rFonts w:hint="eastAsia" w:ascii="黑体" w:hAnsi="黑体" w:eastAsia="黑体"/>
          <w:b w:val="0"/>
          <w:highlight w:val="none"/>
          <w:lang w:val="en-US" w:eastAsia="zh-CN"/>
        </w:rPr>
      </w:pPr>
      <w:r>
        <w:rPr>
          <w:rStyle w:val="21"/>
          <w:rFonts w:hint="eastAsia" w:ascii="黑体" w:hAnsi="黑体" w:eastAsia="黑体"/>
          <w:b w:val="0"/>
          <w:highlight w:val="none"/>
          <w:lang w:val="en-US" w:eastAsia="zh-CN"/>
        </w:rPr>
        <w:t>一、收入支出决算总体情况说明</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2020年度收、支总计37137.15万元，与2019年相比，收、支总计各增加了18112.21万元，增加原因为对上项目争取资金增加。</w:t>
      </w:r>
    </w:p>
    <w:p>
      <w:pPr>
        <w:pStyle w:val="9"/>
        <w:ind w:left="0" w:leftChars="0" w:firstLine="0" w:firstLineChars="0"/>
        <w:jc w:val="center"/>
        <w:rPr>
          <w:rFonts w:hint="default"/>
          <w:lang w:val="en-US" w:eastAsia="zh-CN"/>
        </w:rPr>
      </w:pPr>
      <w:r>
        <w:rPr>
          <w:rFonts w:hint="default"/>
          <w:lang w:val="en-US" w:eastAsia="zh-CN"/>
        </w:rPr>
        <w:object>
          <v:shape id="_x0000_i1025" o:spt="75" type="#_x0000_t75" style="height:222.75pt;width:285pt;" o:ole="t" filled="f" o:preferrelative="t" stroked="f" coordsize="21600,21600">
            <v:path/>
            <v:fill on="f" focussize="0,0"/>
            <v:stroke on="f"/>
            <v:imagedata r:id="rId7" o:title=""/>
            <o:lock v:ext="edit" aspectratio="t"/>
            <w10:wrap type="none"/>
            <w10:anchorlock/>
          </v:shape>
          <o:OLEObject Type="Embed" ProgID="Excel.Chart.8" ShapeID="_x0000_i1025" DrawAspect="Content" ObjectID="_1468075725" r:id="rId6">
            <o:LockedField>false</o:LockedField>
          </o:OLEObject>
        </w:object>
      </w:r>
    </w:p>
    <w:p>
      <w:pPr>
        <w:spacing w:line="600" w:lineRule="exact"/>
        <w:ind w:firstLine="640"/>
        <w:outlineLvl w:val="1"/>
        <w:rPr>
          <w:rStyle w:val="21"/>
          <w:rFonts w:hint="eastAsia" w:ascii="黑体" w:hAnsi="黑体" w:eastAsia="黑体"/>
          <w:b w:val="0"/>
          <w:highlight w:val="none"/>
          <w:lang w:val="en-US" w:eastAsia="zh-CN"/>
        </w:rPr>
      </w:pPr>
      <w:r>
        <w:rPr>
          <w:rStyle w:val="21"/>
          <w:rFonts w:hint="eastAsia" w:ascii="黑体" w:hAnsi="黑体" w:eastAsia="黑体"/>
          <w:b w:val="0"/>
          <w:highlight w:val="none"/>
          <w:lang w:val="en-US" w:eastAsia="zh-CN"/>
        </w:rPr>
        <w:t>二、收入决算情况说明</w:t>
      </w:r>
    </w:p>
    <w:p>
      <w:pPr>
        <w:numPr>
          <w:ilvl w:val="0"/>
          <w:numId w:val="0"/>
        </w:num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2020</w:t>
      </w:r>
      <w:r>
        <w:rPr>
          <w:rFonts w:hint="eastAsia" w:ascii="仿宋_GB2312" w:hAnsi="仿宋" w:eastAsia="仿宋_GB2312"/>
          <w:sz w:val="32"/>
          <w:szCs w:val="32"/>
        </w:rPr>
        <w:t>年</w:t>
      </w:r>
      <w:r>
        <w:rPr>
          <w:rFonts w:hint="eastAsia" w:ascii="仿宋_GB2312" w:hAnsi="仿宋" w:eastAsia="仿宋_GB2312"/>
          <w:sz w:val="32"/>
          <w:szCs w:val="32"/>
          <w:lang w:val="en-US" w:eastAsia="zh-CN"/>
        </w:rPr>
        <w:t>本年收入合计35913.7万元，其中：一般公共预算财政拨款收入23873.7万元，占66.5%，政府性基金预算财政拨款收入12040万元，占33.5%。</w:t>
      </w:r>
    </w:p>
    <w:p>
      <w:pPr>
        <w:pStyle w:val="9"/>
        <w:jc w:val="center"/>
      </w:pPr>
      <w:r>
        <w:object>
          <v:shape id="_x0000_i1026" o:spt="75" type="#_x0000_t75" style="height:175.45pt;width:227.3pt;" o:ole="t" filled="f" o:preferrelative="t" stroked="f" coordsize="21600,21600">
            <v:path/>
            <v:fill on="f" focussize="0,0"/>
            <v:stroke on="f"/>
            <v:imagedata r:id="rId9" o:title=""/>
            <o:lock v:ext="edit" aspectratio="t"/>
            <w10:wrap type="none"/>
            <w10:anchorlock/>
          </v:shape>
          <o:OLEObject Type="Embed" ProgID="Excel.Chart.8" ShapeID="_x0000_i1026" DrawAspect="Content" ObjectID="_1468075726" r:id="rId8">
            <o:LockedField>false</o:LockedField>
          </o:OLEObject>
        </w:object>
      </w:r>
    </w:p>
    <w:p>
      <w:pPr>
        <w:spacing w:line="600" w:lineRule="exact"/>
        <w:ind w:firstLine="640"/>
        <w:outlineLvl w:val="1"/>
        <w:rPr>
          <w:rStyle w:val="21"/>
          <w:rFonts w:hint="default" w:ascii="黑体" w:hAnsi="黑体" w:eastAsia="黑体"/>
          <w:b w:val="0"/>
          <w:highlight w:val="none"/>
          <w:lang w:val="en-US" w:eastAsia="zh-CN"/>
        </w:rPr>
      </w:pPr>
      <w:r>
        <w:rPr>
          <w:rStyle w:val="21"/>
          <w:rFonts w:hint="default" w:ascii="黑体" w:hAnsi="黑体" w:eastAsia="黑体"/>
          <w:b w:val="0"/>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7090410</wp:posOffset>
                </wp:positionH>
                <wp:positionV relativeFrom="paragraph">
                  <wp:posOffset>2080260</wp:posOffset>
                </wp:positionV>
                <wp:extent cx="1214120" cy="761365"/>
                <wp:effectExtent l="4445" t="4445" r="19685" b="15240"/>
                <wp:wrapNone/>
                <wp:docPr id="1" name="自选图形 9"/>
                <wp:cNvGraphicFramePr/>
                <a:graphic xmlns:a="http://schemas.openxmlformats.org/drawingml/2006/main">
                  <a:graphicData uri="http://schemas.microsoft.com/office/word/2010/wordprocessingShape">
                    <wps:wsp>
                      <wps:cNvSpPr/>
                      <wps:spPr>
                        <a:xfrm>
                          <a:off x="0" y="0"/>
                          <a:ext cx="1214120" cy="761365"/>
                        </a:xfrm>
                        <a:prstGeom prst="ellipseRibbon">
                          <a:avLst>
                            <a:gd name="adj1" fmla="val 25000"/>
                            <a:gd name="adj2" fmla="val 50000"/>
                            <a:gd name="adj3" fmla="val 12500"/>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自选图形 9" o:spid="_x0000_s1026" o:spt="107" type="#_x0000_t107" style="position:absolute;left:0pt;margin-left:558.3pt;margin-top:163.8pt;height:59.95pt;width:95.6pt;z-index:251659264;mso-width-relative:page;mso-height-relative:page;" fillcolor="#FFFFFF" filled="t" stroked="t" coordsize="21600,21600" o:gfxdata="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Ffs4NoAAAANAQAADwAAAAAAAAABACAAAAAiAAAAZHJzL2Rvd25yZXYu&#10;eG1sUEsBAhQAFAAAAAgAh07iQF1K3F4yAgAAmAQAAA4AAAAAAAAAAQAgAAAAKQEAAGRycy9lMm9E&#10;b2MueG1sUEsFBgAAAAAGAAYAWQEAAM0FAAAAAA==&#10;" adj="5400,5400,18900">
                <v:fill on="t" focussize="0,0"/>
                <v:stroke color="#000000" joinstyle="round"/>
                <v:imagedata o:title=""/>
                <o:lock v:ext="edit" aspectratio="f"/>
              </v:shape>
            </w:pict>
          </mc:Fallback>
        </mc:AlternateContent>
      </w:r>
      <w:r>
        <w:rPr>
          <w:rStyle w:val="21"/>
          <w:rFonts w:hint="eastAsia" w:ascii="黑体" w:hAnsi="黑体" w:eastAsia="黑体"/>
          <w:b w:val="0"/>
          <w:highlight w:val="none"/>
          <w:lang w:val="en-US" w:eastAsia="zh-CN"/>
        </w:rPr>
        <w:t>三、支出决算情况说明</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2020年本年支出合计24521.47万元，其中：社会保障和就业支出209.58万元，占0.85%；卫生健康支出108.81万元，占0.44%；节能环保支出171万元，占0.7%；农林水支出17118.06万元，占69.81%；住房保障支出150.52万元；占0.61%；其他支出5723.5万元，占23.34%；抗疫特别国债安排的支出1040万元，占4.24%。</w:t>
      </w:r>
    </w:p>
    <w:p>
      <w:pPr>
        <w:pStyle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object>
          <v:shape id="_x0000_i1027" o:spt="75" type="#_x0000_t75" style="height:196.8pt;width:366pt;" o:ole="t" filled="f" o:preferrelative="t" stroked="f" coordsize="21600,21600">
            <v:path/>
            <v:fill on="f" focussize="0,0"/>
            <v:stroke on="f"/>
            <v:imagedata r:id="rId11" o:title=""/>
            <o:lock v:ext="edit" aspectratio="t"/>
            <w10:wrap type="none"/>
            <w10:anchorlock/>
          </v:shape>
          <o:OLEObject Type="Embed" ProgID="Excel.Chart.8" ShapeID="_x0000_i1027" DrawAspect="Content" ObjectID="_1468075727" r:id="rId10">
            <o:LockedField>false</o:LockedField>
          </o:OLEObject>
        </w:object>
      </w:r>
    </w:p>
    <w:p>
      <w:pPr>
        <w:pStyle w:val="9"/>
        <w:rPr>
          <w:rStyle w:val="21"/>
          <w:rFonts w:hint="default" w:ascii="黑体" w:hAnsi="黑体" w:eastAsia="黑体"/>
          <w:b w:val="0"/>
          <w:highlight w:val="none"/>
          <w:lang w:val="en-US" w:eastAsia="zh-CN"/>
        </w:rPr>
      </w:pPr>
      <w:r>
        <w:rPr>
          <w:rStyle w:val="21"/>
          <w:rFonts w:hint="eastAsia" w:ascii="黑体" w:hAnsi="黑体" w:eastAsia="黑体"/>
          <w:b w:val="0"/>
          <w:highlight w:val="none"/>
          <w:lang w:val="en-US" w:eastAsia="zh-CN"/>
        </w:rPr>
        <w:t>四、财政拨款收入支出决算总体情况说明</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2020年度收、支总计37137.15万元，与2019年相比，收、支总计各增加了18112.21万元，增加原因为对上项目争取资金增加。</w:t>
      </w:r>
    </w:p>
    <w:p>
      <w:pPr>
        <w:pStyle w:val="9"/>
        <w:jc w:val="center"/>
        <w:rPr>
          <w:rFonts w:hint="eastAsia" w:ascii="仿宋_GB2312" w:hAnsi="仿宋" w:eastAsia="仿宋_GB2312"/>
          <w:sz w:val="32"/>
          <w:szCs w:val="32"/>
          <w:lang w:val="en-US" w:eastAsia="zh-CN"/>
        </w:rPr>
      </w:pPr>
      <w:r>
        <w:rPr>
          <w:rFonts w:hint="default"/>
          <w:lang w:val="en-US" w:eastAsia="zh-CN"/>
        </w:rPr>
        <w:object>
          <v:shape id="_x0000_i1028" o:spt="75" type="#_x0000_t75" style="height:189.75pt;width:294.7pt;" o:ole="t" filled="f" o:preferrelative="t" stroked="f" coordsize="21600,21600">
            <v:path/>
            <v:fill on="f" focussize="0,0"/>
            <v:stroke on="f"/>
            <v:imagedata r:id="rId13" o:title=""/>
            <o:lock v:ext="edit" aspectratio="t"/>
            <w10:wrap type="none"/>
            <w10:anchorlock/>
          </v:shape>
          <o:OLEObject Type="Embed" ProgID="Excel.Chart.8" ShapeID="_x0000_i1028" DrawAspect="Content" ObjectID="_1468075728" r:id="rId12">
            <o:LockedField>false</o:LockedField>
          </o:OLEObject>
        </w:object>
      </w:r>
    </w:p>
    <w:p>
      <w:pPr>
        <w:spacing w:line="600" w:lineRule="exact"/>
        <w:ind w:firstLine="640" w:firstLineChars="200"/>
        <w:outlineLvl w:val="1"/>
        <w:rPr>
          <w:rStyle w:val="21"/>
          <w:rFonts w:hint="eastAsia" w:ascii="黑体" w:hAnsi="黑体" w:eastAsia="黑体"/>
          <w:b w:val="0"/>
          <w:highlight w:val="none"/>
          <w:lang w:val="en-US" w:eastAsia="zh-CN"/>
        </w:rPr>
      </w:pPr>
      <w:r>
        <w:rPr>
          <w:rStyle w:val="21"/>
          <w:rFonts w:hint="eastAsia" w:ascii="黑体" w:hAnsi="黑体" w:eastAsia="黑体"/>
          <w:b w:val="0"/>
          <w:highlight w:val="none"/>
          <w:lang w:val="en-US" w:eastAsia="zh-CN"/>
        </w:rPr>
        <w:t>五、一般公共预算财政拨款支出决算情况说明</w:t>
      </w:r>
    </w:p>
    <w:p>
      <w:pPr>
        <w:numPr>
          <w:ilvl w:val="0"/>
          <w:numId w:val="0"/>
        </w:numPr>
        <w:snapToGrid w:val="0"/>
        <w:spacing w:line="520" w:lineRule="exact"/>
        <w:ind w:left="630" w:leftChars="0"/>
        <w:rPr>
          <w:rFonts w:hint="default"/>
          <w:lang w:val="en-US" w:eastAsia="zh-CN"/>
        </w:rPr>
      </w:pPr>
      <w:r>
        <w:rPr>
          <w:rFonts w:hint="eastAsia" w:ascii="仿宋_GB2312" w:hAnsi="仿宋" w:eastAsia="仿宋_GB2312"/>
          <w:b/>
          <w:sz w:val="32"/>
          <w:szCs w:val="32"/>
          <w:lang w:val="en-US" w:eastAsia="zh-CN"/>
        </w:rPr>
        <w:t>（一）一般公共预算财政拨款支出决算总体情况</w:t>
      </w:r>
    </w:p>
    <w:p>
      <w:pPr>
        <w:spacing w:line="600" w:lineRule="exact"/>
        <w:ind w:firstLine="640" w:firstLineChars="200"/>
        <w:rPr>
          <w:rFonts w:hint="default" w:ascii="仿宋_GB2312" w:hAnsi="仿宋" w:eastAsia="仿宋_GB2312"/>
          <w:sz w:val="32"/>
          <w:szCs w:val="32"/>
          <w:highlight w:val="yellow"/>
          <w:lang w:val="en-US" w:eastAsia="zh-CN"/>
        </w:rPr>
      </w:pPr>
      <w:r>
        <w:rPr>
          <w:rFonts w:hint="eastAsia" w:ascii="仿宋_GB2312" w:eastAsia="仿宋_GB2312"/>
          <w:color w:val="000000"/>
          <w:sz w:val="32"/>
          <w:szCs w:val="32"/>
          <w:lang w:val="en-US" w:eastAsia="zh-CN"/>
        </w:rPr>
        <w:t>2020年一般公共预算财政拨款支出17757.97万元，占本年支出合计的47.8%，与2019年相比减少了2788.33万元，主要原因是机构改革将我局原畜牧兽医站人员人事关系及工资福利划转到乡镇人民政府。</w:t>
      </w:r>
    </w:p>
    <w:p>
      <w:pPr>
        <w:numPr>
          <w:ilvl w:val="0"/>
          <w:numId w:val="0"/>
        </w:numPr>
        <w:snapToGrid w:val="0"/>
        <w:spacing w:line="520" w:lineRule="exact"/>
        <w:ind w:left="630" w:leftChars="0"/>
        <w:rPr>
          <w:rFonts w:hint="default"/>
          <w:highlight w:val="none"/>
          <w:lang w:val="en-US" w:eastAsia="zh-CN"/>
        </w:rPr>
      </w:pPr>
      <w:r>
        <w:rPr>
          <w:rFonts w:hint="eastAsia" w:ascii="仿宋_GB2312" w:hAnsi="仿宋" w:eastAsia="仿宋_GB2312"/>
          <w:b/>
          <w:bCs/>
          <w:sz w:val="32"/>
          <w:szCs w:val="32"/>
          <w:highlight w:val="none"/>
          <w:lang w:val="en-US" w:eastAsia="zh-CN"/>
        </w:rPr>
        <w:t>（二）一般</w:t>
      </w:r>
      <w:r>
        <w:rPr>
          <w:rFonts w:hint="eastAsia" w:ascii="仿宋_GB2312" w:hAnsi="仿宋" w:eastAsia="仿宋_GB2312"/>
          <w:b/>
          <w:sz w:val="32"/>
          <w:szCs w:val="32"/>
          <w:highlight w:val="none"/>
          <w:lang w:val="en-US" w:eastAsia="zh-CN"/>
        </w:rPr>
        <w:t>公共预算财政拨款支出决算结构情况</w:t>
      </w:r>
    </w:p>
    <w:p>
      <w:p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highlight w:val="none"/>
          <w:lang w:val="en-US" w:eastAsia="zh-CN"/>
        </w:rPr>
        <w:t>2020年一般公共预算财政拨款支出17757.97万元，主要用于以下方面：社</w:t>
      </w:r>
      <w:r>
        <w:rPr>
          <w:rFonts w:hint="eastAsia" w:ascii="仿宋_GB2312" w:hAnsi="仿宋" w:eastAsia="仿宋_GB2312"/>
          <w:sz w:val="32"/>
          <w:szCs w:val="32"/>
          <w:lang w:val="en-US" w:eastAsia="zh-CN"/>
        </w:rPr>
        <w:t>会保障和就业支出209.58万元，占1.18%；卫生健康支出108.81万元，占0.61%；节能环保支出171万元，占0.96%；农林水支出17118.06万元，占96.4%；住房保障支出150.52万元，占0.85%。</w:t>
      </w:r>
    </w:p>
    <w:tbl>
      <w:tblPr>
        <w:tblStyle w:val="13"/>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5"/>
        <w:gridCol w:w="436"/>
        <w:gridCol w:w="436"/>
        <w:gridCol w:w="3276"/>
        <w:gridCol w:w="1033"/>
        <w:gridCol w:w="942"/>
        <w:gridCol w:w="1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429" w:type="dxa"/>
            <w:gridSpan w:val="7"/>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b/>
                <w:bCs/>
                <w:i w:val="0"/>
                <w:iCs w:val="0"/>
                <w:color w:val="000000"/>
                <w:kern w:val="0"/>
                <w:sz w:val="24"/>
                <w:szCs w:val="24"/>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174"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w:t>
            </w:r>
          </w:p>
        </w:tc>
        <w:tc>
          <w:tcPr>
            <w:tcW w:w="255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4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77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09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3174"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55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7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9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466"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35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35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255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7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9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66"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5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5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55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17,757.97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1,940.95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15,817.02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108.81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108.81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108.81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108.81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108.81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108.81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自然生态保护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农村环境保护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17,118.06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15,646.02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3,157.40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病虫害控制</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农业生产发展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农村合作经济</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其他农业农村支出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扶贫</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10,498.01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10,498.01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农村基础设施建设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2,091.59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8,298.83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8,298.83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其他扶贫支出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普惠金融发展支出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944.79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2130803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农业保险保费补贴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944.79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目标价格补贴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其他目标价格补贴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2,498.70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2,498.70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rPr>
          <w:rFonts w:hint="default"/>
          <w:lang w:val="en-US" w:eastAsia="zh-CN"/>
        </w:rPr>
      </w:pPr>
    </w:p>
    <w:p>
      <w:pPr>
        <w:spacing w:line="600" w:lineRule="exact"/>
        <w:ind w:firstLine="640"/>
        <w:outlineLvl w:val="1"/>
        <w:rPr>
          <w:rStyle w:val="21"/>
          <w:rFonts w:hint="eastAsia" w:ascii="黑体" w:hAnsi="黑体" w:eastAsia="黑体"/>
          <w:b w:val="0"/>
          <w:highlight w:val="none"/>
          <w:lang w:val="en-US" w:eastAsia="zh-CN"/>
        </w:rPr>
      </w:pPr>
      <w:r>
        <w:rPr>
          <w:rStyle w:val="21"/>
          <w:rFonts w:hint="eastAsia" w:ascii="黑体" w:hAnsi="黑体" w:eastAsia="黑体"/>
          <w:b w:val="0"/>
          <w:highlight w:val="none"/>
          <w:lang w:val="en-US" w:eastAsia="zh-CN"/>
        </w:rPr>
        <w:t>六、一般公共预算财政拨款基本支出决算情况情况</w:t>
      </w:r>
    </w:p>
    <w:p>
      <w:p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2020年一般公共预算财政拨款基本支出1940.95万元，其中：</w:t>
      </w:r>
      <w:r>
        <w:rPr>
          <w:rFonts w:hint="eastAsia" w:ascii="仿宋_GB2312" w:hAnsi="仿宋" w:eastAsia="仿宋_GB2312"/>
          <w:sz w:val="32"/>
          <w:szCs w:val="32"/>
          <w:highlight w:val="none"/>
          <w:lang w:val="en-US" w:eastAsia="zh-CN"/>
        </w:rPr>
        <w:t>人员经费1677.69万元，主要包括：基本工资、津贴补贴、奖金、伙食补助费、绩效工资、机关事业单位基本养老保险缴</w:t>
      </w:r>
      <w:r>
        <w:rPr>
          <w:rFonts w:hint="eastAsia" w:ascii="仿宋_GB2312" w:hAnsi="仿宋" w:eastAsia="仿宋_GB2312"/>
          <w:sz w:val="32"/>
          <w:szCs w:val="32"/>
          <w:lang w:val="en-US" w:eastAsia="zh-CN"/>
        </w:rPr>
        <w:t>费、职业年金缴费、其他社会保障缴费、其他工资福利支出、离退休、退休费、抚恤金、生活补助、医疗费补助、奖励金、住房公积金、其他对个人和家庭的补助支出等。</w:t>
      </w:r>
    </w:p>
    <w:p>
      <w:pPr>
        <w:snapToGrid w:val="0"/>
        <w:spacing w:line="52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日常公用经费234.27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1"/>
          <w:rFonts w:ascii="黑体" w:hAnsi="黑体" w:eastAsia="黑体"/>
          <w:b w:val="0"/>
          <w:highlight w:val="none"/>
        </w:rPr>
      </w:pPr>
      <w:bookmarkStart w:id="15" w:name="_Toc15396609"/>
      <w:bookmarkStart w:id="16" w:name="_Toc15377215"/>
      <w:r>
        <w:rPr>
          <w:rFonts w:hint="eastAsia" w:ascii="黑体" w:eastAsia="黑体"/>
          <w:color w:val="000000"/>
          <w:sz w:val="32"/>
          <w:szCs w:val="32"/>
          <w:highlight w:val="none"/>
        </w:rPr>
        <w:t>七、</w:t>
      </w:r>
      <w:r>
        <w:rPr>
          <w:rStyle w:val="21"/>
          <w:rFonts w:hint="eastAsia" w:ascii="黑体" w:hAnsi="黑体" w:eastAsia="黑体"/>
          <w:highlight w:val="none"/>
        </w:rPr>
        <w:t>“</w:t>
      </w:r>
      <w:r>
        <w:rPr>
          <w:rStyle w:val="21"/>
          <w:rFonts w:hint="eastAsia" w:ascii="黑体" w:hAnsi="黑体" w:eastAsia="黑体"/>
          <w:b w:val="0"/>
          <w:highlight w:val="none"/>
        </w:rPr>
        <w:t>三公”经费财政拨款支出决算情况说明</w:t>
      </w:r>
      <w:bookmarkEnd w:id="15"/>
      <w:bookmarkEnd w:id="16"/>
    </w:p>
    <w:p>
      <w:pPr>
        <w:spacing w:line="600" w:lineRule="exact"/>
        <w:ind w:firstLine="640"/>
        <w:outlineLvl w:val="2"/>
        <w:rPr>
          <w:rFonts w:ascii="仿宋" w:hAnsi="仿宋" w:eastAsia="仿宋"/>
          <w:b/>
          <w:color w:val="000000"/>
          <w:sz w:val="32"/>
          <w:szCs w:val="32"/>
        </w:rPr>
      </w:pPr>
      <w:bookmarkStart w:id="17" w:name="_Toc15377216"/>
      <w:r>
        <w:rPr>
          <w:rFonts w:hint="eastAsia" w:ascii="仿宋" w:hAnsi="仿宋" w:eastAsia="仿宋"/>
          <w:b/>
          <w:color w:val="000000"/>
          <w:sz w:val="32"/>
          <w:szCs w:val="32"/>
        </w:rPr>
        <w:t>（一）“三公”经费财政拨款支出决算总体情况说明</w:t>
      </w:r>
      <w:bookmarkEnd w:id="1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12.79</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，主要原因是</w:t>
      </w:r>
      <w:r>
        <w:rPr>
          <w:rFonts w:hint="eastAsia" w:ascii="仿宋" w:hAnsi="仿宋" w:eastAsia="仿宋"/>
          <w:color w:val="000000"/>
          <w:sz w:val="32"/>
          <w:szCs w:val="32"/>
          <w:lang w:val="en-US" w:eastAsia="zh-CN"/>
        </w:rPr>
        <w:t>进一步加强了</w:t>
      </w:r>
      <w:r>
        <w:rPr>
          <w:rFonts w:hint="eastAsia" w:ascii="仿宋" w:hAnsi="仿宋" w:eastAsia="仿宋"/>
          <w:color w:val="000000"/>
          <w:sz w:val="32"/>
          <w:szCs w:val="32"/>
        </w:rPr>
        <w:t>“三公”经费</w:t>
      </w:r>
      <w:r>
        <w:rPr>
          <w:rFonts w:hint="eastAsia" w:ascii="仿宋" w:hAnsi="仿宋" w:eastAsia="仿宋"/>
          <w:color w:val="000000"/>
          <w:sz w:val="32"/>
          <w:szCs w:val="32"/>
          <w:lang w:val="en-US" w:eastAsia="zh-CN"/>
        </w:rPr>
        <w:t>管理</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18" w:name="_Toc15377217"/>
      <w:r>
        <w:rPr>
          <w:rFonts w:hint="eastAsia" w:ascii="仿宋" w:hAnsi="仿宋" w:eastAsia="仿宋"/>
          <w:b/>
          <w:color w:val="000000"/>
          <w:sz w:val="32"/>
          <w:szCs w:val="32"/>
        </w:rPr>
        <w:t>（二）“三公”经费财政拨款支出决算具体情况说明</w:t>
      </w:r>
      <w:bookmarkEnd w:id="18"/>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4.79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37.5</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62.5</w:t>
      </w:r>
      <w:r>
        <w:rPr>
          <w:rFonts w:ascii="仿宋" w:hAnsi="仿宋" w:eastAsia="仿宋"/>
          <w:color w:val="000000"/>
          <w:sz w:val="32"/>
          <w:szCs w:val="32"/>
        </w:rPr>
        <w:t>%</w:t>
      </w:r>
      <w:r>
        <w:rPr>
          <w:rFonts w:hint="eastAsia" w:ascii="仿宋" w:hAnsi="仿宋" w:eastAsia="仿宋"/>
          <w:color w:val="000000"/>
          <w:sz w:val="32"/>
          <w:szCs w:val="32"/>
        </w:rPr>
        <w:t>。具体情况如下：</w:t>
      </w:r>
    </w:p>
    <w:p>
      <w:pPr>
        <w:pStyle w:val="9"/>
        <w:jc w:val="center"/>
        <w:rPr>
          <w:rFonts w:hint="eastAsia" w:eastAsia="仿宋"/>
          <w:lang w:eastAsia="zh-CN"/>
        </w:rPr>
      </w:pPr>
      <w:r>
        <w:rPr>
          <w:rFonts w:hint="eastAsia" w:eastAsia="仿宋"/>
          <w:lang w:eastAsia="zh-CN"/>
        </w:rPr>
        <w:object>
          <v:shape id="_x0000_i1029" o:spt="75" type="#_x0000_t75" style="height:166.5pt;width:204pt;" o:ole="t" filled="f" o:preferrelative="t" stroked="f" coordsize="21600,21600">
            <v:path/>
            <v:fill on="f" focussize="0,0"/>
            <v:stroke on="f"/>
            <v:imagedata r:id="rId15" o:title=""/>
            <o:lock v:ext="edit" aspectratio="t"/>
            <w10:wrap type="none"/>
            <w10:anchorlock/>
          </v:shape>
          <o:OLEObject Type="Embed" ProgID="Excel.Chart.8" ShapeID="_x0000_i1029" DrawAspect="Content" ObjectID="_1468075729" r:id="rId14">
            <o:LockedField>false</o:LockedField>
          </o:OLEObject>
        </w:object>
      </w:r>
    </w:p>
    <w:p>
      <w:pPr>
        <w:spacing w:line="600" w:lineRule="exact"/>
        <w:ind w:firstLine="640"/>
        <w:rPr>
          <w:rFonts w:ascii="仿宋_GB2312" w:eastAsia="仿宋_GB2312"/>
          <w:b w:val="0"/>
          <w:bCs/>
          <w:color w:val="000000"/>
          <w:sz w:val="32"/>
          <w:szCs w:val="32"/>
        </w:rPr>
      </w:pPr>
      <w:r>
        <w:rPr>
          <w:rFonts w:ascii="仿宋_GB2312" w:eastAsia="仿宋_GB2312"/>
          <w:b w:val="0"/>
          <w:bCs/>
          <w:color w:val="000000"/>
          <w:sz w:val="32"/>
          <w:szCs w:val="32"/>
        </w:rPr>
        <w:t>1</w:t>
      </w:r>
      <w:r>
        <w:rPr>
          <w:rFonts w:hint="eastAsia" w:ascii="仿宋_GB2312" w:eastAsia="仿宋_GB2312"/>
          <w:b w:val="0"/>
          <w:bCs/>
          <w:color w:val="000000"/>
          <w:sz w:val="32"/>
          <w:szCs w:val="32"/>
          <w:lang w:eastAsia="zh-CN"/>
        </w:rPr>
        <w:t>、</w:t>
      </w:r>
      <w:r>
        <w:rPr>
          <w:rFonts w:hint="eastAsia" w:ascii="仿宋_GB2312" w:eastAsia="仿宋_GB2312"/>
          <w:b w:val="0"/>
          <w:bCs/>
          <w:color w:val="000000"/>
          <w:sz w:val="32"/>
          <w:szCs w:val="32"/>
        </w:rPr>
        <w:t>因公出国（境）经费支出</w:t>
      </w:r>
      <w:r>
        <w:rPr>
          <w:rFonts w:hint="eastAsia" w:ascii="仿宋_GB2312" w:eastAsia="仿宋_GB2312"/>
          <w:b w:val="0"/>
          <w:bCs/>
          <w:color w:val="000000"/>
          <w:sz w:val="32"/>
          <w:szCs w:val="32"/>
          <w:lang w:val="en-US" w:eastAsia="zh-CN"/>
        </w:rPr>
        <w:t>0</w:t>
      </w:r>
      <w:r>
        <w:rPr>
          <w:rFonts w:hint="eastAsia" w:ascii="仿宋_GB2312" w:eastAsia="仿宋_GB2312"/>
          <w:b w:val="0"/>
          <w:bCs/>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val="0"/>
          <w:bCs/>
          <w:color w:val="000000"/>
          <w:sz w:val="32"/>
          <w:szCs w:val="32"/>
        </w:rPr>
        <w:t>2</w:t>
      </w:r>
      <w:r>
        <w:rPr>
          <w:rFonts w:hint="eastAsia" w:ascii="仿宋_GB2312" w:eastAsia="仿宋_GB2312"/>
          <w:b w:val="0"/>
          <w:bCs/>
          <w:color w:val="000000"/>
          <w:sz w:val="32"/>
          <w:szCs w:val="32"/>
          <w:lang w:eastAsia="zh-CN"/>
        </w:rPr>
        <w:t>、</w:t>
      </w:r>
      <w:r>
        <w:rPr>
          <w:rFonts w:hint="eastAsia" w:ascii="仿宋_GB2312" w:eastAsia="仿宋_GB2312"/>
          <w:b w:val="0"/>
          <w:bCs/>
          <w:color w:val="000000"/>
          <w:sz w:val="32"/>
          <w:szCs w:val="32"/>
        </w:rPr>
        <w:t>公务用车购置及运行维护费支出</w:t>
      </w:r>
      <w:r>
        <w:rPr>
          <w:rFonts w:hint="eastAsia" w:ascii="仿宋_GB2312" w:eastAsia="仿宋_GB2312"/>
          <w:b w:val="0"/>
          <w:bCs/>
          <w:color w:val="000000"/>
          <w:sz w:val="32"/>
          <w:szCs w:val="32"/>
          <w:lang w:val="en-US" w:eastAsia="zh-CN"/>
        </w:rPr>
        <w:t>4.79</w:t>
      </w:r>
      <w:r>
        <w:rPr>
          <w:rFonts w:hint="eastAsia" w:ascii="仿宋_GB2312" w:eastAsia="仿宋_GB2312"/>
          <w:b w:val="0"/>
          <w:bCs/>
          <w:color w:val="000000"/>
          <w:sz w:val="32"/>
          <w:szCs w:val="32"/>
        </w:rPr>
        <w:t>万</w:t>
      </w:r>
      <w:r>
        <w:rPr>
          <w:rFonts w:hint="eastAsia" w:ascii="仿宋_GB2312" w:eastAsia="仿宋_GB2312"/>
          <w:color w:val="000000"/>
          <w:sz w:val="32"/>
          <w:szCs w:val="32"/>
        </w:rPr>
        <w:t>元</w:t>
      </w:r>
      <w:r>
        <w:rPr>
          <w:rFonts w:ascii="仿宋_GB2312" w:eastAsia="仿宋_GB2312"/>
          <w:color w:val="000000"/>
          <w:sz w:val="32"/>
          <w:szCs w:val="32"/>
        </w:rPr>
        <w:t>,</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0.15</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3.3</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机关管理制度进一步加强</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4.79</w:t>
      </w:r>
      <w:r>
        <w:rPr>
          <w:rFonts w:hint="eastAsia" w:ascii="仿宋_GB2312" w:eastAsia="仿宋_GB2312"/>
          <w:color w:val="000000"/>
          <w:sz w:val="32"/>
          <w:szCs w:val="32"/>
        </w:rPr>
        <w:t>万元。主要用于</w:t>
      </w:r>
      <w:r>
        <w:rPr>
          <w:rFonts w:hint="eastAsia" w:ascii="仿宋_GB2312" w:eastAsia="仿宋_GB2312"/>
          <w:color w:val="000000"/>
          <w:sz w:val="32"/>
          <w:szCs w:val="32"/>
          <w:lang w:val="en-US" w:eastAsia="zh-CN"/>
        </w:rPr>
        <w:t>农业技术指导推广</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 w:hAnsi="仿宋" w:eastAsia="仿宋"/>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lang w:eastAsia="zh-CN"/>
        </w:rPr>
        <w:t>、</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2019</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0.18</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2.2</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上级主管部门</w:t>
      </w:r>
      <w:r>
        <w:rPr>
          <w:rFonts w:hint="eastAsia" w:ascii="仿宋_GB2312" w:eastAsia="仿宋_GB2312"/>
          <w:color w:val="000000"/>
          <w:sz w:val="32"/>
          <w:szCs w:val="32"/>
        </w:rPr>
        <w:t>。</w:t>
      </w:r>
      <w:r>
        <w:rPr>
          <w:rFonts w:hint="eastAsia" w:ascii="仿宋" w:hAnsi="仿宋" w:eastAsia="仿宋"/>
          <w:color w:val="000000"/>
          <w:sz w:val="32"/>
          <w:szCs w:val="32"/>
        </w:rPr>
        <w:t>主要原因是</w:t>
      </w:r>
      <w:r>
        <w:rPr>
          <w:rFonts w:hint="eastAsia" w:ascii="仿宋" w:hAnsi="仿宋" w:eastAsia="仿宋"/>
          <w:color w:val="000000"/>
          <w:sz w:val="32"/>
          <w:szCs w:val="32"/>
          <w:lang w:val="en-US" w:eastAsia="zh-CN"/>
        </w:rPr>
        <w:t>进一步加强了</w:t>
      </w:r>
      <w:r>
        <w:rPr>
          <w:rFonts w:hint="eastAsia" w:ascii="仿宋" w:hAnsi="仿宋" w:eastAsia="仿宋"/>
          <w:color w:val="000000"/>
          <w:sz w:val="32"/>
          <w:szCs w:val="32"/>
        </w:rPr>
        <w:t>“三公”经费</w:t>
      </w:r>
      <w:r>
        <w:rPr>
          <w:rFonts w:hint="eastAsia" w:ascii="仿宋" w:hAnsi="仿宋" w:eastAsia="仿宋"/>
          <w:color w:val="000000"/>
          <w:sz w:val="32"/>
          <w:szCs w:val="32"/>
          <w:lang w:val="en-US" w:eastAsia="zh-CN"/>
        </w:rPr>
        <w:t>管理</w:t>
      </w:r>
      <w:r>
        <w:rPr>
          <w:rFonts w:hint="eastAsia" w:ascii="仿宋" w:hAnsi="仿宋" w:eastAsia="仿宋"/>
          <w:color w:val="000000"/>
          <w:sz w:val="32"/>
          <w:szCs w:val="32"/>
        </w:rPr>
        <w:t>。</w:t>
      </w:r>
    </w:p>
    <w:p>
      <w:pPr>
        <w:spacing w:line="600" w:lineRule="exact"/>
        <w:ind w:firstLine="640"/>
        <w:rPr>
          <w:rFonts w:hint="eastAsia" w:ascii="仿宋_GB2312" w:eastAsia="仿宋_GB2312"/>
          <w:color w:val="000000"/>
          <w:sz w:val="32"/>
          <w:szCs w:val="32"/>
          <w:highlight w:val="none"/>
          <w:lang w:eastAsia="zh-CN"/>
        </w:rPr>
      </w:pPr>
      <w:r>
        <w:rPr>
          <w:rFonts w:hint="eastAsia" w:ascii="仿宋" w:hAnsi="仿宋" w:eastAsia="仿宋"/>
          <w:b/>
          <w:color w:val="000000"/>
          <w:sz w:val="32"/>
          <w:szCs w:val="32"/>
          <w:highlight w:val="none"/>
        </w:rPr>
        <w:t>国内公务接待支出</w:t>
      </w:r>
      <w:r>
        <w:rPr>
          <w:rFonts w:hint="eastAsia" w:ascii="仿宋" w:hAnsi="仿宋" w:eastAsia="仿宋"/>
          <w:color w:val="000000"/>
          <w:sz w:val="32"/>
          <w:szCs w:val="32"/>
          <w:highlight w:val="none"/>
          <w:lang w:val="en-US" w:eastAsia="zh-CN"/>
        </w:rPr>
        <w:t>8</w:t>
      </w:r>
      <w:r>
        <w:rPr>
          <w:rFonts w:hint="eastAsia" w:ascii="仿宋_GB2312" w:eastAsia="仿宋_GB2312"/>
          <w:color w:val="000000"/>
          <w:sz w:val="32"/>
          <w:szCs w:val="32"/>
          <w:highlight w:val="none"/>
        </w:rPr>
        <w:t>万元，主要用于</w:t>
      </w:r>
      <w:r>
        <w:rPr>
          <w:rFonts w:hint="eastAsia" w:ascii="仿宋_GB2312" w:eastAsia="仿宋_GB2312"/>
          <w:color w:val="000000"/>
          <w:sz w:val="32"/>
          <w:szCs w:val="32"/>
          <w:highlight w:val="none"/>
          <w:lang w:val="en-US" w:eastAsia="zh-CN"/>
        </w:rPr>
        <w:t>农业农村工作</w:t>
      </w:r>
      <w:r>
        <w:rPr>
          <w:rFonts w:hint="eastAsia" w:ascii="仿宋_GB2312" w:eastAsia="仿宋_GB2312"/>
          <w:color w:val="000000"/>
          <w:sz w:val="32"/>
          <w:szCs w:val="32"/>
          <w:highlight w:val="none"/>
        </w:rPr>
        <w:t>开展业务活动开支的交通费、住宿费、用餐费等。国内公务接待</w:t>
      </w:r>
      <w:r>
        <w:rPr>
          <w:rFonts w:hint="eastAsia" w:ascii="仿宋_GB2312" w:eastAsia="仿宋_GB2312"/>
          <w:color w:val="000000"/>
          <w:sz w:val="32"/>
          <w:szCs w:val="32"/>
          <w:highlight w:val="none"/>
          <w:lang w:val="en-US" w:eastAsia="zh-CN"/>
        </w:rPr>
        <w:t>100</w:t>
      </w:r>
      <w:r>
        <w:rPr>
          <w:rFonts w:hint="eastAsia" w:ascii="仿宋_GB2312" w:eastAsia="仿宋_GB2312"/>
          <w:color w:val="000000"/>
          <w:sz w:val="32"/>
          <w:szCs w:val="32"/>
          <w:highlight w:val="none"/>
        </w:rPr>
        <w:t>批次，</w:t>
      </w:r>
      <w:r>
        <w:rPr>
          <w:rFonts w:hint="eastAsia" w:ascii="仿宋_GB2312" w:eastAsia="仿宋_GB2312"/>
          <w:color w:val="000000"/>
          <w:sz w:val="32"/>
          <w:szCs w:val="32"/>
          <w:highlight w:val="none"/>
          <w:lang w:val="en-US" w:eastAsia="zh-CN"/>
        </w:rPr>
        <w:t>950</w:t>
      </w:r>
      <w:r>
        <w:rPr>
          <w:rFonts w:hint="eastAsia" w:ascii="仿宋_GB2312" w:eastAsia="仿宋_GB2312"/>
          <w:color w:val="000000"/>
          <w:sz w:val="32"/>
          <w:szCs w:val="32"/>
          <w:highlight w:val="none"/>
        </w:rPr>
        <w:t>人次（不包括陪同人员），共计支出</w:t>
      </w:r>
      <w:r>
        <w:rPr>
          <w:rFonts w:hint="eastAsia" w:ascii="仿宋_GB2312" w:eastAsia="仿宋_GB2312"/>
          <w:color w:val="000000"/>
          <w:sz w:val="32"/>
          <w:szCs w:val="32"/>
          <w:highlight w:val="none"/>
          <w:lang w:val="en-US" w:eastAsia="zh-CN"/>
        </w:rPr>
        <w:t>8</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val="en-US" w:eastAsia="zh-CN"/>
        </w:rPr>
        <w:t>.</w:t>
      </w:r>
    </w:p>
    <w:p>
      <w:pPr>
        <w:spacing w:line="600" w:lineRule="exact"/>
        <w:ind w:firstLine="643" w:firstLineChars="200"/>
        <w:rPr>
          <w:rFonts w:ascii="黑体" w:eastAsia="黑体"/>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万元，外事接待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w:t>
      </w:r>
      <w:r>
        <w:rPr>
          <w:rFonts w:hint="eastAsia" w:ascii="仿宋_GB2312" w:eastAsia="仿宋_GB2312"/>
          <w:color w:val="000000"/>
          <w:sz w:val="32"/>
          <w:szCs w:val="32"/>
          <w:lang w:eastAsia="zh-CN"/>
        </w:rPr>
        <w:t>。</w:t>
      </w:r>
      <w:bookmarkStart w:id="19" w:name="_Toc15377218"/>
      <w:bookmarkStart w:id="20" w:name="_Toc15396610"/>
    </w:p>
    <w:p>
      <w:pPr>
        <w:spacing w:line="600" w:lineRule="exact"/>
        <w:ind w:firstLine="640"/>
        <w:outlineLvl w:val="1"/>
        <w:rPr>
          <w:rStyle w:val="21"/>
          <w:rFonts w:ascii="黑体" w:hAnsi="黑体" w:eastAsia="黑体"/>
        </w:rPr>
      </w:pPr>
      <w:r>
        <w:rPr>
          <w:rFonts w:hint="eastAsia" w:ascii="黑体" w:eastAsia="黑体"/>
          <w:color w:val="000000"/>
          <w:sz w:val="32"/>
          <w:szCs w:val="32"/>
        </w:rPr>
        <w:t>八、</w:t>
      </w:r>
      <w:r>
        <w:rPr>
          <w:rStyle w:val="21"/>
          <w:rFonts w:hint="eastAsia" w:ascii="黑体" w:hAnsi="黑体" w:eastAsia="黑体"/>
          <w:b w:val="0"/>
        </w:rPr>
        <w:t>政府性基金预算支出决算情况说明</w:t>
      </w:r>
      <w:bookmarkEnd w:id="19"/>
      <w:bookmarkEnd w:id="20"/>
    </w:p>
    <w:p>
      <w:pPr>
        <w:spacing w:beforeLines="0" w:afterLines="0" w:line="560" w:lineRule="exact"/>
        <w:ind w:firstLine="570"/>
        <w:rPr>
          <w:rFonts w:hint="eastAsia" w:ascii="仿宋_GB2312" w:hAnsi="仿宋_GB2312" w:eastAsia="仿宋_GB2312"/>
          <w:sz w:val="32"/>
          <w:szCs w:val="24"/>
        </w:rPr>
      </w:pPr>
      <w:bookmarkStart w:id="21" w:name="_Toc15396611"/>
      <w:bookmarkStart w:id="22" w:name="_Toc15377219"/>
      <w:r>
        <w:rPr>
          <w:rFonts w:hint="eastAsia" w:ascii="仿宋_GB2312" w:hAnsi="仿宋_GB2312" w:eastAsia="仿宋_GB2312"/>
          <w:sz w:val="32"/>
          <w:szCs w:val="24"/>
        </w:rPr>
        <w:t>2020年度政府性基金预算财政拨款年初结转和结余0万元，本年收入12040万元，本年支出6763.5万元，年末结转和结余5276.5万元。</w:t>
      </w:r>
    </w:p>
    <w:p>
      <w:pPr>
        <w:numPr>
          <w:ilvl w:val="0"/>
          <w:numId w:val="1"/>
        </w:numPr>
        <w:spacing w:line="600" w:lineRule="exact"/>
        <w:ind w:firstLine="640"/>
        <w:outlineLvl w:val="1"/>
        <w:rPr>
          <w:rStyle w:val="21"/>
          <w:rFonts w:ascii="黑体" w:hAnsi="黑体" w:eastAsia="黑体"/>
          <w:b w:val="0"/>
        </w:rPr>
      </w:pPr>
      <w:r>
        <w:rPr>
          <w:rStyle w:val="21"/>
          <w:rFonts w:hint="eastAsia" w:ascii="黑体" w:hAnsi="黑体" w:eastAsia="黑体"/>
          <w:b w:val="0"/>
        </w:rPr>
        <w:t>国有资本经营预算支出决算情况说明</w:t>
      </w:r>
      <w:bookmarkEnd w:id="21"/>
      <w:bookmarkEnd w:id="22"/>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2020</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1"/>
          <w:rFonts w:ascii="黑体" w:hAnsi="黑体" w:eastAsia="黑体"/>
        </w:rPr>
      </w:pPr>
      <w:bookmarkStart w:id="23" w:name="_Toc15396612"/>
      <w:bookmarkStart w:id="24" w:name="_Toc15377221"/>
      <w:r>
        <w:rPr>
          <w:rFonts w:hint="eastAsia" w:ascii="黑体" w:hAnsi="黑体" w:eastAsia="黑体"/>
          <w:color w:val="000000"/>
          <w:sz w:val="32"/>
          <w:szCs w:val="32"/>
        </w:rPr>
        <w:t>十</w:t>
      </w:r>
      <w:r>
        <w:rPr>
          <w:rStyle w:val="21"/>
          <w:rFonts w:hint="eastAsia" w:ascii="黑体" w:hAnsi="黑体" w:eastAsia="黑体"/>
        </w:rPr>
        <w:t>、</w:t>
      </w:r>
      <w:r>
        <w:rPr>
          <w:rStyle w:val="21"/>
          <w:rFonts w:hint="eastAsia" w:ascii="黑体" w:hAnsi="黑体" w:eastAsia="黑体"/>
          <w:b w:val="0"/>
        </w:rPr>
        <w:t>其他重要事项的情况说明</w:t>
      </w:r>
      <w:bookmarkEnd w:id="23"/>
      <w:bookmarkEnd w:id="24"/>
    </w:p>
    <w:p>
      <w:pPr>
        <w:spacing w:line="600" w:lineRule="exact"/>
        <w:ind w:firstLine="643" w:firstLineChars="200"/>
        <w:outlineLvl w:val="2"/>
        <w:rPr>
          <w:rFonts w:hint="default" w:ascii="仿宋" w:hAnsi="仿宋" w:eastAsia="仿宋"/>
          <w:color w:val="000000"/>
          <w:sz w:val="32"/>
          <w:szCs w:val="32"/>
          <w:lang w:val="en-US" w:eastAsia="zh-CN"/>
        </w:rPr>
      </w:pPr>
      <w:bookmarkStart w:id="25" w:name="_Toc15377222"/>
      <w:r>
        <w:rPr>
          <w:rFonts w:hint="eastAsia" w:ascii="仿宋" w:hAnsi="仿宋" w:eastAsia="仿宋"/>
          <w:b/>
          <w:color w:val="000000"/>
          <w:sz w:val="32"/>
          <w:szCs w:val="32"/>
        </w:rPr>
        <w:t>（一）机关运行经费支出情况</w:t>
      </w:r>
      <w:bookmarkEnd w:id="25"/>
    </w:p>
    <w:p>
      <w:pPr>
        <w:spacing w:line="600" w:lineRule="exact"/>
        <w:ind w:firstLine="640" w:firstLineChars="200"/>
        <w:rPr>
          <w:rFonts w:hint="eastAsia" w:ascii="仿宋_GB2312" w:eastAsia="仿宋_GB2312"/>
          <w:color w:val="000000"/>
          <w:sz w:val="32"/>
          <w:szCs w:val="32"/>
          <w:highlight w:val="none"/>
          <w:lang w:val="en-US" w:eastAsia="zh-CN"/>
        </w:rPr>
      </w:pPr>
      <w:r>
        <w:rPr>
          <w:rFonts w:ascii="仿宋_GB2312" w:eastAsia="仿宋_GB2312"/>
          <w:color w:val="000000"/>
          <w:sz w:val="32"/>
          <w:szCs w:val="32"/>
          <w:highlight w:val="none"/>
        </w:rPr>
        <w:t>2020</w:t>
      </w:r>
      <w:r>
        <w:rPr>
          <w:rFonts w:hint="eastAsia" w:ascii="仿宋_GB2312" w:eastAsia="仿宋_GB2312"/>
          <w:color w:val="000000"/>
          <w:sz w:val="32"/>
          <w:szCs w:val="32"/>
          <w:highlight w:val="none"/>
        </w:rPr>
        <w:t>年，机关运行经费支出</w:t>
      </w:r>
      <w:r>
        <w:rPr>
          <w:rFonts w:hint="eastAsia" w:ascii="仿宋_GB2312" w:eastAsia="仿宋_GB2312"/>
          <w:color w:val="000000"/>
          <w:sz w:val="32"/>
          <w:szCs w:val="32"/>
          <w:highlight w:val="none"/>
          <w:lang w:val="en-US" w:eastAsia="zh-CN"/>
        </w:rPr>
        <w:t>234.27</w:t>
      </w:r>
      <w:r>
        <w:rPr>
          <w:rFonts w:hint="eastAsia" w:ascii="仿宋_GB2312" w:eastAsia="仿宋_GB2312"/>
          <w:color w:val="000000"/>
          <w:sz w:val="32"/>
          <w:szCs w:val="32"/>
          <w:highlight w:val="none"/>
        </w:rPr>
        <w:t>万元，比</w:t>
      </w:r>
      <w:r>
        <w:rPr>
          <w:rFonts w:ascii="仿宋_GB2312" w:eastAsia="仿宋_GB2312"/>
          <w:color w:val="000000"/>
          <w:sz w:val="32"/>
          <w:szCs w:val="32"/>
          <w:highlight w:val="none"/>
        </w:rPr>
        <w:t>2019</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val="en-US" w:eastAsia="zh-CN"/>
        </w:rPr>
        <w:t>增加23.07</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val="en-US" w:eastAsia="zh-CN"/>
        </w:rPr>
        <w:t>增加了10.9</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。主要原因是</w:t>
      </w:r>
      <w:r>
        <w:rPr>
          <w:rFonts w:hint="eastAsia" w:ascii="仿宋_GB2312" w:eastAsia="仿宋_GB2312"/>
          <w:color w:val="000000"/>
          <w:sz w:val="32"/>
          <w:szCs w:val="32"/>
          <w:highlight w:val="none"/>
          <w:lang w:val="en-US" w:eastAsia="zh-CN"/>
        </w:rPr>
        <w:t>其他交通费用纳入</w:t>
      </w:r>
      <w:r>
        <w:rPr>
          <w:rFonts w:hint="eastAsia" w:ascii="仿宋_GB2312" w:eastAsia="仿宋_GB2312"/>
          <w:color w:val="000000"/>
          <w:sz w:val="32"/>
          <w:szCs w:val="32"/>
          <w:highlight w:val="none"/>
        </w:rPr>
        <w:t>机关运行经费支出</w:t>
      </w:r>
      <w:r>
        <w:rPr>
          <w:rFonts w:hint="eastAsia" w:ascii="仿宋_GB2312" w:eastAsia="仿宋_GB2312"/>
          <w:color w:val="000000"/>
          <w:sz w:val="32"/>
          <w:szCs w:val="32"/>
          <w:highlight w:val="none"/>
          <w:lang w:val="en-US" w:eastAsia="zh-CN"/>
        </w:rPr>
        <w:t>核算。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highlight w:val="none"/>
        </w:rPr>
      </w:pPr>
      <w:bookmarkStart w:id="26" w:name="_Toc15377223"/>
      <w:r>
        <w:rPr>
          <w:rFonts w:hint="eastAsia" w:ascii="仿宋" w:hAnsi="仿宋" w:eastAsia="仿宋"/>
          <w:b/>
          <w:color w:val="000000"/>
          <w:sz w:val="32"/>
          <w:szCs w:val="32"/>
          <w:highlight w:val="none"/>
        </w:rPr>
        <w:t>（二）政府采购支出情况</w:t>
      </w:r>
      <w:bookmarkEnd w:id="26"/>
    </w:p>
    <w:p>
      <w:pPr>
        <w:spacing w:line="60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2020</w:t>
      </w:r>
      <w:r>
        <w:rPr>
          <w:rFonts w:hint="eastAsia" w:ascii="仿宋_GB2312" w:eastAsia="仿宋_GB2312"/>
          <w:color w:val="000000"/>
          <w:sz w:val="32"/>
          <w:szCs w:val="32"/>
          <w:highlight w:val="none"/>
        </w:rPr>
        <w:t>年，政府采购支出总额</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highlight w:val="none"/>
        </w:rPr>
      </w:pPr>
      <w:bookmarkStart w:id="27" w:name="_Toc15377224"/>
      <w:r>
        <w:rPr>
          <w:rFonts w:hint="eastAsia" w:ascii="仿宋" w:hAnsi="仿宋" w:eastAsia="仿宋"/>
          <w:b/>
          <w:color w:val="000000"/>
          <w:sz w:val="32"/>
          <w:szCs w:val="32"/>
          <w:highlight w:val="none"/>
        </w:rPr>
        <w:t>（三）国有资产占有使用情况</w:t>
      </w:r>
      <w:bookmarkEnd w:id="27"/>
    </w:p>
    <w:p>
      <w:pPr>
        <w:autoSpaceDE w:val="0"/>
        <w:autoSpaceDN w:val="0"/>
        <w:adjustRightInd w:val="0"/>
        <w:spacing w:line="600" w:lineRule="exact"/>
        <w:ind w:firstLine="640" w:firstLineChars="200"/>
        <w:jc w:val="left"/>
        <w:rPr>
          <w:rFonts w:hint="eastAsia" w:ascii="仿宋" w:hAnsi="仿宋" w:eastAsia="仿宋_GB2312"/>
          <w:b/>
          <w:color w:val="FF0000"/>
          <w:sz w:val="32"/>
          <w:szCs w:val="32"/>
          <w:highlight w:val="none"/>
          <w:lang w:eastAsia="zh-CN"/>
        </w:rPr>
      </w:pPr>
      <w:r>
        <w:rPr>
          <w:rFonts w:hint="eastAsia" w:ascii="仿宋_GB2312" w:eastAsia="仿宋_GB2312"/>
          <w:color w:val="000000"/>
          <w:sz w:val="32"/>
          <w:szCs w:val="32"/>
          <w:highlight w:val="none"/>
        </w:rPr>
        <w:t>截至</w:t>
      </w:r>
      <w:r>
        <w:rPr>
          <w:rFonts w:ascii="仿宋_GB2312" w:eastAsia="仿宋_GB2312"/>
          <w:color w:val="000000"/>
          <w:sz w:val="32"/>
          <w:szCs w:val="32"/>
          <w:highlight w:val="none"/>
        </w:rPr>
        <w:t>2020</w:t>
      </w:r>
      <w:r>
        <w:rPr>
          <w:rFonts w:hint="eastAsia" w:ascii="仿宋_GB2312" w:eastAsia="仿宋_GB2312"/>
          <w:color w:val="000000"/>
          <w:sz w:val="32"/>
          <w:szCs w:val="32"/>
          <w:highlight w:val="none"/>
        </w:rPr>
        <w:t>年</w:t>
      </w:r>
      <w:r>
        <w:rPr>
          <w:rFonts w:ascii="仿宋_GB2312" w:eastAsia="仿宋_GB2312"/>
          <w:color w:val="000000"/>
          <w:sz w:val="32"/>
          <w:szCs w:val="32"/>
          <w:highlight w:val="none"/>
        </w:rPr>
        <w:t>12</w:t>
      </w:r>
      <w:r>
        <w:rPr>
          <w:rFonts w:hint="eastAsia" w:ascii="仿宋_GB2312" w:eastAsia="仿宋_GB2312"/>
          <w:color w:val="000000"/>
          <w:sz w:val="32"/>
          <w:szCs w:val="32"/>
          <w:highlight w:val="none"/>
        </w:rPr>
        <w:t>月</w:t>
      </w:r>
      <w:r>
        <w:rPr>
          <w:rFonts w:ascii="仿宋_GB2312" w:eastAsia="仿宋_GB2312"/>
          <w:color w:val="000000"/>
          <w:sz w:val="32"/>
          <w:szCs w:val="32"/>
          <w:highlight w:val="none"/>
        </w:rPr>
        <w:t>31</w:t>
      </w:r>
      <w:r>
        <w:rPr>
          <w:rFonts w:hint="eastAsia" w:ascii="仿宋_GB2312" w:eastAsia="仿宋_GB2312"/>
          <w:color w:val="000000"/>
          <w:sz w:val="32"/>
          <w:szCs w:val="32"/>
          <w:highlight w:val="none"/>
        </w:rPr>
        <w:t>日，共有车辆</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辆，其中：</w:t>
      </w:r>
      <w:r>
        <w:rPr>
          <w:rFonts w:hint="eastAsia" w:ascii="仿宋_GB2312" w:eastAsia="仿宋_GB2312"/>
          <w:color w:val="000000"/>
          <w:sz w:val="32"/>
          <w:szCs w:val="32"/>
          <w:highlight w:val="none"/>
          <w:lang w:val="en-US" w:eastAsia="zh-CN"/>
        </w:rPr>
        <w:t>执勤执法用车1</w:t>
      </w:r>
      <w:r>
        <w:rPr>
          <w:rFonts w:hint="eastAsia" w:ascii="仿宋_GB2312" w:eastAsia="仿宋_GB2312"/>
          <w:color w:val="000000"/>
          <w:sz w:val="32"/>
          <w:szCs w:val="32"/>
          <w:highlight w:val="none"/>
        </w:rPr>
        <w:t>辆</w:t>
      </w:r>
      <w:r>
        <w:rPr>
          <w:rFonts w:hint="eastAsia" w:ascii="仿宋_GB2312" w:eastAsia="仿宋_GB2312"/>
          <w:color w:val="000000"/>
          <w:sz w:val="32"/>
          <w:szCs w:val="32"/>
          <w:highlight w:val="none"/>
          <w:lang w:val="en-US" w:eastAsia="zh-CN"/>
        </w:rPr>
        <w:t>；办公房5837.57平方米、农林牧渔业务用房430平方米、业务用房95平方米、仓储用房200平方米</w:t>
      </w:r>
      <w:r>
        <w:rPr>
          <w:rFonts w:hint="eastAsia" w:ascii="仿宋_GB2312" w:eastAsia="仿宋_GB2312"/>
          <w:color w:val="000000"/>
          <w:sz w:val="32"/>
          <w:szCs w:val="32"/>
          <w:highlight w:val="none"/>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hint="eastAsia" w:ascii="仿宋_GB2312" w:hAnsi="仿宋_GB2312" w:eastAsia="仿宋_GB2312" w:cs="仿宋_GB2312"/>
          <w:sz w:val="32"/>
          <w:szCs w:val="32"/>
          <w:lang w:val="en-US" w:eastAsia="zh-CN"/>
        </w:rPr>
        <w:t>灰鸡保种、动物疫苗补助、非洲猪瘟防控、动物防疫、等项目</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年部门整体支出开展绩效自评，从评价情况来看</w:t>
      </w:r>
      <w:r>
        <w:rPr>
          <w:rFonts w:hint="eastAsia" w:ascii="仿宋_GB2312" w:hAnsi="仿宋_GB2312" w:eastAsia="仿宋_GB2312" w:cs="仿宋_GB2312"/>
          <w:sz w:val="32"/>
          <w:szCs w:val="32"/>
          <w:lang w:val="en-US" w:eastAsia="zh-CN"/>
        </w:rPr>
        <w:t>资金调拨及时，</w:t>
      </w:r>
      <w:r>
        <w:rPr>
          <w:rFonts w:hint="eastAsia" w:ascii="仿宋_GB2312" w:hAnsi="仿宋_GB2312" w:eastAsia="仿宋_GB2312" w:cs="仿宋_GB2312"/>
          <w:sz w:val="32"/>
          <w:szCs w:val="32"/>
        </w:rPr>
        <w:t>整体支出</w:t>
      </w:r>
      <w:r>
        <w:rPr>
          <w:rFonts w:hint="eastAsia" w:ascii="仿宋_GB2312" w:hAnsi="仿宋_GB2312" w:eastAsia="仿宋_GB2312" w:cs="仿宋_GB2312"/>
          <w:sz w:val="32"/>
          <w:szCs w:val="32"/>
          <w:lang w:val="en-US" w:eastAsia="zh-CN"/>
        </w:rPr>
        <w:t>情况较好，农业项目有序实施，能按时、安质、按量阶段性完成上级行业主管部门及区委区政府安排的各项目标任务。</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项目绩效目标完成情况</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灰鸡保种</w:t>
      </w:r>
      <w:r>
        <w:rPr>
          <w:rFonts w:hint="eastAsia" w:ascii="仿宋_GB2312" w:hAnsi="仿宋_GB2312" w:eastAsia="仿宋_GB2312" w:cs="仿宋_GB2312"/>
          <w:sz w:val="32"/>
          <w:szCs w:val="32"/>
        </w:rPr>
        <w:t>项目绩效目标完成情况。项目全年预算数</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仿宋" w:eastAsia="仿宋_GB2312"/>
          <w:sz w:val="32"/>
          <w:szCs w:val="32"/>
          <w:lang w:eastAsia="zh-CN"/>
        </w:rPr>
        <w:t>使广元灰鸡维持在一个较为稳定的群体规模，可以为将来的家禽育种提供多样性选择，促进畜禽养殖产业的可持续发展。对广元灰鸡保种工作省农业厅专家给予高度评价，满意度</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r>
        <w:rPr>
          <w:rFonts w:hint="eastAsia" w:ascii="仿宋_GB2312" w:hAnsi="仿宋_GB2312" w:eastAsia="仿宋_GB2312" w:cs="仿宋_GB2312"/>
          <w:sz w:val="32"/>
          <w:szCs w:val="32"/>
        </w:rPr>
        <w:t>发现的主要问题：</w:t>
      </w:r>
      <w:r>
        <w:rPr>
          <w:rFonts w:hint="eastAsia" w:ascii="仿宋_GB2312" w:hAnsi="仿宋" w:eastAsia="仿宋_GB2312" w:cs="Times New Roman"/>
          <w:sz w:val="32"/>
          <w:szCs w:val="32"/>
          <w:lang w:eastAsia="zh-CN"/>
        </w:rPr>
        <w:t>保种企业实力</w:t>
      </w:r>
      <w:r>
        <w:rPr>
          <w:rFonts w:hint="eastAsia" w:ascii="仿宋_GB2312" w:hAnsi="仿宋" w:eastAsia="仿宋_GB2312" w:cs="Times New Roman"/>
          <w:sz w:val="32"/>
          <w:szCs w:val="32"/>
          <w:lang w:val="en-US" w:eastAsia="zh-CN"/>
        </w:rPr>
        <w:t>较弱</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对</w:t>
      </w:r>
      <w:r>
        <w:rPr>
          <w:rFonts w:hint="eastAsia" w:ascii="仿宋_GB2312" w:hAnsi="仿宋" w:eastAsia="仿宋_GB2312" w:cs="Times New Roman"/>
          <w:sz w:val="32"/>
          <w:szCs w:val="32"/>
          <w:lang w:eastAsia="zh-CN"/>
        </w:rPr>
        <w:t>广元灰鸡选育与开发利用的能力不强，给保种的持续推进上有一定的影响。</w:t>
      </w:r>
      <w:r>
        <w:rPr>
          <w:rFonts w:hint="eastAsia" w:ascii="仿宋_GB2312" w:hAnsi="仿宋_GB2312" w:eastAsia="仿宋_GB2312" w:cs="仿宋_GB2312"/>
          <w:sz w:val="32"/>
          <w:szCs w:val="32"/>
        </w:rPr>
        <w:t>下一步改进措施：</w:t>
      </w:r>
      <w:r>
        <w:rPr>
          <w:rFonts w:hint="eastAsia" w:ascii="仿宋_GB2312" w:hAnsi="仿宋" w:eastAsia="仿宋_GB2312" w:cs="Times New Roman"/>
          <w:sz w:val="32"/>
          <w:szCs w:val="32"/>
          <w:lang w:val="en-US" w:eastAsia="zh-CN"/>
        </w:rPr>
        <w:t>加大对保种企业扶持力度，使企业自身做做大做强，通过保种选育促进广元灰鸡推广利用，带动全区土鸡产业发展。</w:t>
      </w:r>
    </w:p>
    <w:p>
      <w:pPr>
        <w:spacing w:line="560" w:lineRule="exact"/>
        <w:ind w:firstLine="645"/>
        <w:rPr>
          <w:rFonts w:hint="eastAsia" w:ascii="仿宋_GB2312" w:hAnsi="仿宋" w:eastAsia="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 w:eastAsia="仿宋_GB2312" w:cs="Times New Roman"/>
          <w:sz w:val="32"/>
          <w:szCs w:val="32"/>
          <w:lang w:val="en-US" w:eastAsia="zh-CN"/>
        </w:rPr>
        <w:t>动物</w:t>
      </w:r>
      <w:r>
        <w:rPr>
          <w:rFonts w:hint="eastAsia" w:ascii="仿宋_GB2312" w:hAnsi="仿宋" w:eastAsia="仿宋_GB2312" w:cs="Times New Roman"/>
          <w:sz w:val="32"/>
          <w:szCs w:val="32"/>
          <w:lang w:eastAsia="zh-CN"/>
        </w:rPr>
        <w:t>防疫工作经费项目绩效目标完成情况</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仿宋" w:eastAsia="仿宋_GB2312"/>
          <w:sz w:val="32"/>
          <w:szCs w:val="32"/>
          <w:lang w:eastAsia="zh-CN"/>
        </w:rPr>
        <w:t>为全区养殖动物重大动物疫病防控提供了基础保障，实现年度内无区域性重大疫病发生，重大动物疫病防控群众满意。确保了全区畜牧产业和经济的可持续发展。更好的保障了社会安全及人民群众生命和财产安全。</w:t>
      </w:r>
    </w:p>
    <w:p>
      <w:pPr>
        <w:spacing w:line="560" w:lineRule="exact"/>
        <w:ind w:firstLine="645"/>
        <w:rPr>
          <w:rFonts w:hint="eastAsia" w:ascii="仿宋_GB2312" w:hAnsi="仿宋" w:eastAsia="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 w:eastAsia="仿宋_GB2312" w:cs="Times New Roman"/>
          <w:sz w:val="32"/>
          <w:szCs w:val="32"/>
          <w:lang w:val="en-US" w:eastAsia="zh-CN"/>
        </w:rPr>
        <w:t>农博会工作经费</w:t>
      </w:r>
      <w:r>
        <w:rPr>
          <w:rFonts w:hint="eastAsia" w:ascii="仿宋_GB2312" w:hAnsi="仿宋" w:eastAsia="仿宋_GB2312" w:cs="Times New Roman"/>
          <w:sz w:val="32"/>
          <w:szCs w:val="32"/>
          <w:lang w:eastAsia="zh-CN"/>
        </w:rPr>
        <w:t>项目</w:t>
      </w:r>
      <w:r>
        <w:rPr>
          <w:rFonts w:hint="eastAsia" w:ascii="仿宋_GB2312" w:hAnsi="仿宋_GB2312" w:eastAsia="仿宋_GB2312" w:cs="仿宋_GB2312"/>
          <w:sz w:val="32"/>
          <w:szCs w:val="32"/>
        </w:rPr>
        <w:t>绩效目标完成情况。项目全年预算数</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仿宋" w:eastAsia="仿宋_GB2312"/>
          <w:sz w:val="32"/>
          <w:szCs w:val="32"/>
          <w:lang w:eastAsia="zh-CN"/>
        </w:rPr>
        <w:t>大力推广朝天造农产品，提高朝天农产品知晓度，提高群众农产品销售渠道。</w:t>
      </w:r>
    </w:p>
    <w:p>
      <w:pPr>
        <w:spacing w:line="580" w:lineRule="exact"/>
        <w:ind w:firstLine="640" w:firstLineChars="200"/>
        <w:rPr>
          <w:rFonts w:hint="eastAsia" w:ascii="仿宋_GB2312" w:hAnsi="仿宋" w:eastAsia="仿宋_GB2312"/>
          <w:sz w:val="32"/>
          <w:szCs w:val="32"/>
          <w:lang w:eastAsia="zh-CN"/>
        </w:rPr>
      </w:pPr>
      <w:r>
        <w:rPr>
          <w:rFonts w:hint="eastAsia" w:ascii="仿宋_GB2312" w:hAnsi="仿宋" w:eastAsia="仿宋_GB2312" w:cs="Times New Roman"/>
          <w:sz w:val="32"/>
          <w:szCs w:val="32"/>
          <w:lang w:val="en-US" w:eastAsia="zh-CN"/>
        </w:rPr>
        <w:t>（4）非洲猪瘟防控</w:t>
      </w:r>
      <w:r>
        <w:rPr>
          <w:rFonts w:hint="eastAsia" w:ascii="仿宋_GB2312" w:hAnsi="仿宋" w:eastAsia="仿宋_GB2312" w:cs="Times New Roman"/>
          <w:sz w:val="32"/>
          <w:szCs w:val="32"/>
          <w:lang w:eastAsia="zh-CN"/>
        </w:rPr>
        <w:t>项目绩效目标完成情</w:t>
      </w:r>
      <w:r>
        <w:rPr>
          <w:rFonts w:hint="eastAsia" w:ascii="仿宋_GB2312" w:hAnsi="仿宋_GB2312" w:eastAsia="仿宋_GB2312" w:cs="仿宋_GB2312"/>
          <w:sz w:val="32"/>
          <w:szCs w:val="32"/>
        </w:rPr>
        <w:t>况。项目全年预算数</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仿宋" w:eastAsia="仿宋_GB2312"/>
          <w:sz w:val="32"/>
          <w:szCs w:val="32"/>
          <w:lang w:eastAsia="zh-CN"/>
        </w:rPr>
        <w:t>确保畜牧业健康发展，维护社会稳定及公共安全，确保生猪稳产保供。</w:t>
      </w:r>
    </w:p>
    <w:p>
      <w:pPr>
        <w:pStyle w:val="12"/>
        <w:rPr>
          <w:rFonts w:hint="default"/>
          <w:lang w:val="en-US" w:eastAsia="zh-CN"/>
        </w:rPr>
      </w:pPr>
    </w:p>
    <w:p>
      <w:pPr>
        <w:snapToGrid w:val="0"/>
        <w:rPr>
          <w:rFonts w:ascii="仿宋_GB2312" w:hAnsi="仿宋" w:eastAsia="仿宋_GB2312"/>
          <w:sz w:val="32"/>
          <w:szCs w:val="32"/>
        </w:rPr>
      </w:pPr>
    </w:p>
    <w:p>
      <w:pPr>
        <w:snapToGrid w:val="0"/>
        <w:rPr>
          <w:rFonts w:ascii="仿宋_GB2312" w:hAnsi="仿宋" w:eastAsia="仿宋_GB2312"/>
          <w:sz w:val="32"/>
          <w:szCs w:val="32"/>
        </w:rPr>
      </w:pPr>
    </w:p>
    <w:p>
      <w:pPr>
        <w:snapToGrid w:val="0"/>
        <w:rPr>
          <w:rFonts w:ascii="仿宋_GB2312" w:hAnsi="仿宋" w:eastAsia="仿宋_GB2312"/>
          <w:sz w:val="32"/>
          <w:szCs w:val="32"/>
        </w:rPr>
      </w:pPr>
    </w:p>
    <w:p>
      <w:pPr>
        <w:snapToGrid w:val="0"/>
        <w:rPr>
          <w:rFonts w:ascii="仿宋_GB2312" w:hAnsi="仿宋" w:eastAsia="仿宋_GB2312"/>
          <w:sz w:val="32"/>
          <w:szCs w:val="32"/>
        </w:rPr>
      </w:pPr>
    </w:p>
    <w:p>
      <w:pPr>
        <w:snapToGrid w:val="0"/>
        <w:rPr>
          <w:rFonts w:ascii="仿宋_GB2312" w:hAnsi="仿宋" w:eastAsia="仿宋_GB2312"/>
          <w:sz w:val="32"/>
          <w:szCs w:val="32"/>
        </w:rPr>
      </w:pPr>
    </w:p>
    <w:p>
      <w:pPr>
        <w:snapToGrid w:val="0"/>
        <w:rPr>
          <w:rFonts w:ascii="仿宋_GB2312" w:hAnsi="仿宋" w:eastAsia="仿宋_GB2312"/>
          <w:sz w:val="32"/>
          <w:szCs w:val="32"/>
        </w:rPr>
      </w:pPr>
    </w:p>
    <w:p>
      <w:pPr>
        <w:snapToGrid w:val="0"/>
        <w:rPr>
          <w:rFonts w:ascii="仿宋_GB2312" w:hAnsi="仿宋" w:eastAsia="仿宋_GB2312"/>
          <w:sz w:val="32"/>
          <w:szCs w:val="32"/>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304155" cy="7979410"/>
            <wp:effectExtent l="0" t="0" r="10795" b="2540"/>
            <wp:docPr id="2"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56"/>
                    <pic:cNvPicPr>
                      <a:picLocks noChangeAspect="1"/>
                    </pic:cNvPicPr>
                  </pic:nvPicPr>
                  <pic:blipFill>
                    <a:blip r:embed="rId16"/>
                    <a:stretch>
                      <a:fillRect/>
                    </a:stretch>
                  </pic:blipFill>
                  <pic:spPr>
                    <a:xfrm>
                      <a:off x="0" y="0"/>
                      <a:ext cx="5304155" cy="7979410"/>
                    </a:xfrm>
                    <a:prstGeom prst="rect">
                      <a:avLst/>
                    </a:prstGeom>
                    <a:noFill/>
                    <a:ln>
                      <a:noFill/>
                    </a:ln>
                  </pic:spPr>
                </pic:pic>
              </a:graphicData>
            </a:graphic>
          </wp:inline>
        </w:drawing>
      </w:r>
    </w:p>
    <w:p>
      <w:pPr>
        <w:keepNext w:val="0"/>
        <w:keepLines w:val="0"/>
        <w:widowControl/>
        <w:suppressLineNumbers w:val="0"/>
        <w:jc w:val="left"/>
      </w:pPr>
    </w:p>
    <w:p>
      <w:pPr>
        <w:snapToGrid w:val="0"/>
        <w:rPr>
          <w:rFonts w:ascii="仿宋_GB2312" w:hAnsi="仿宋" w:eastAsia="仿宋_GB2312"/>
          <w:sz w:val="32"/>
          <w:szCs w:val="32"/>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350510" cy="8496935"/>
            <wp:effectExtent l="0" t="0" r="2540" b="18415"/>
            <wp:docPr id="3"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56"/>
                    <pic:cNvPicPr>
                      <a:picLocks noChangeAspect="1"/>
                    </pic:cNvPicPr>
                  </pic:nvPicPr>
                  <pic:blipFill>
                    <a:blip r:embed="rId17"/>
                    <a:stretch>
                      <a:fillRect/>
                    </a:stretch>
                  </pic:blipFill>
                  <pic:spPr>
                    <a:xfrm>
                      <a:off x="0" y="0"/>
                      <a:ext cx="5350510" cy="8496935"/>
                    </a:xfrm>
                    <a:prstGeom prst="rect">
                      <a:avLst/>
                    </a:prstGeom>
                    <a:noFill/>
                    <a:ln>
                      <a:noFill/>
                    </a:ln>
                  </pic:spPr>
                </pic:pic>
              </a:graphicData>
            </a:graphic>
          </wp:inline>
        </w:drawing>
      </w:r>
    </w:p>
    <w:p>
      <w:pPr>
        <w:snapToGrid w:val="0"/>
        <w:rPr>
          <w:rFonts w:ascii="仿宋_GB2312" w:hAnsi="仿宋" w:eastAsia="仿宋_GB2312"/>
          <w:sz w:val="32"/>
          <w:szCs w:val="32"/>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448300" cy="8387715"/>
            <wp:effectExtent l="0" t="0" r="0" b="13335"/>
            <wp:docPr id="4"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IMG_256"/>
                    <pic:cNvPicPr>
                      <a:picLocks noChangeAspect="1"/>
                    </pic:cNvPicPr>
                  </pic:nvPicPr>
                  <pic:blipFill>
                    <a:blip r:embed="rId18"/>
                    <a:stretch>
                      <a:fillRect/>
                    </a:stretch>
                  </pic:blipFill>
                  <pic:spPr>
                    <a:xfrm>
                      <a:off x="0" y="0"/>
                      <a:ext cx="5448300" cy="8387715"/>
                    </a:xfrm>
                    <a:prstGeom prst="rect">
                      <a:avLst/>
                    </a:prstGeom>
                    <a:noFill/>
                    <a:ln>
                      <a:noFill/>
                    </a:ln>
                  </pic:spPr>
                </pic:pic>
              </a:graphicData>
            </a:graphic>
          </wp:inline>
        </w:drawing>
      </w:r>
    </w:p>
    <w:p>
      <w:pPr>
        <w:keepNext w:val="0"/>
        <w:keepLines w:val="0"/>
        <w:widowControl/>
        <w:suppressLineNumbers w:val="0"/>
        <w:jc w:val="left"/>
      </w:pPr>
    </w:p>
    <w:p>
      <w:pPr>
        <w:snapToGrid w:val="0"/>
        <w:rPr>
          <w:rFonts w:ascii="仿宋_GB2312" w:hAnsi="仿宋" w:eastAsia="仿宋_GB2312"/>
          <w:sz w:val="32"/>
          <w:szCs w:val="32"/>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398770" cy="8047990"/>
            <wp:effectExtent l="0" t="0" r="11430" b="10160"/>
            <wp:docPr id="5"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IMG_256"/>
                    <pic:cNvPicPr>
                      <a:picLocks noChangeAspect="1"/>
                    </pic:cNvPicPr>
                  </pic:nvPicPr>
                  <pic:blipFill>
                    <a:blip r:embed="rId19"/>
                    <a:stretch>
                      <a:fillRect/>
                    </a:stretch>
                  </pic:blipFill>
                  <pic:spPr>
                    <a:xfrm>
                      <a:off x="0" y="0"/>
                      <a:ext cx="5398770" cy="8047990"/>
                    </a:xfrm>
                    <a:prstGeom prst="rect">
                      <a:avLst/>
                    </a:prstGeom>
                    <a:noFill/>
                    <a:ln>
                      <a:noFill/>
                    </a:ln>
                  </pic:spPr>
                </pic:pic>
              </a:graphicData>
            </a:graphic>
          </wp:inline>
        </w:drawing>
      </w:r>
    </w:p>
    <w:p>
      <w:pPr>
        <w:pStyle w:val="12"/>
        <w:rPr>
          <w:rFonts w:ascii="宋体" w:hAnsi="宋体" w:eastAsia="宋体" w:cs="宋体"/>
          <w:kern w:val="0"/>
          <w:sz w:val="24"/>
          <w:szCs w:val="24"/>
          <w:lang w:val="en-US" w:eastAsia="zh-CN" w:bidi="ar"/>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部门绩效评价结果</w:t>
      </w:r>
    </w:p>
    <w:p>
      <w:pPr>
        <w:adjustRightInd w:val="0"/>
        <w:snapToGrid w:val="0"/>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年部门整体支出绩效评价情况开展自评，《2020年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整体支出绩效评价的自评报告》</w:t>
      </w:r>
      <w:r>
        <w:rPr>
          <w:rFonts w:hint="eastAsia" w:ascii="仿宋_GB2312" w:hAnsi="仿宋_GB2312" w:eastAsia="仿宋_GB2312" w:cs="仿宋_GB2312"/>
          <w:sz w:val="32"/>
          <w:szCs w:val="32"/>
          <w:lang w:val="en-US" w:eastAsia="zh-CN"/>
        </w:rPr>
        <w:t>附后。</w:t>
      </w:r>
    </w:p>
    <w:p>
      <w:pPr>
        <w:pStyle w:val="12"/>
        <w:ind w:left="0" w:leftChars="0" w:firstLine="0" w:firstLineChars="0"/>
        <w:jc w:val="left"/>
        <w:rPr>
          <w:rFonts w:ascii="宋体" w:hAnsi="宋体" w:eastAsia="宋体" w:cs="宋体"/>
          <w:kern w:val="0"/>
          <w:sz w:val="24"/>
          <w:szCs w:val="24"/>
          <w:lang w:val="en-US" w:eastAsia="zh-CN" w:bidi="ar"/>
        </w:rPr>
      </w:pPr>
    </w:p>
    <w:p>
      <w:pPr>
        <w:pStyle w:val="12"/>
        <w:ind w:left="0" w:leftChars="0" w:firstLine="0" w:firstLineChars="0"/>
        <w:jc w:val="left"/>
        <w:rPr>
          <w:rFonts w:ascii="宋体" w:hAnsi="宋体" w:eastAsia="宋体" w:cs="宋体"/>
          <w:kern w:val="0"/>
          <w:sz w:val="24"/>
          <w:szCs w:val="24"/>
          <w:lang w:val="en-US" w:eastAsia="zh-CN" w:bidi="ar"/>
        </w:rPr>
      </w:pPr>
    </w:p>
    <w:p>
      <w:pPr>
        <w:pStyle w:val="12"/>
        <w:ind w:left="0" w:leftChars="0" w:firstLine="0" w:firstLineChars="0"/>
        <w:jc w:val="left"/>
        <w:rPr>
          <w:rFonts w:ascii="宋体" w:hAnsi="宋体" w:eastAsia="宋体" w:cs="宋体"/>
          <w:kern w:val="0"/>
          <w:sz w:val="24"/>
          <w:szCs w:val="24"/>
          <w:lang w:val="en-US" w:eastAsia="zh-CN" w:bidi="ar"/>
        </w:rPr>
      </w:pPr>
    </w:p>
    <w:p>
      <w:pPr>
        <w:pStyle w:val="12"/>
        <w:ind w:left="0" w:leftChars="0" w:firstLine="0" w:firstLineChars="0"/>
        <w:jc w:val="left"/>
        <w:rPr>
          <w:rFonts w:ascii="宋体" w:hAnsi="宋体" w:eastAsia="宋体" w:cs="宋体"/>
          <w:kern w:val="0"/>
          <w:sz w:val="24"/>
          <w:szCs w:val="24"/>
          <w:lang w:val="en-US" w:eastAsia="zh-CN" w:bidi="ar"/>
        </w:rPr>
      </w:pPr>
    </w:p>
    <w:p>
      <w:pPr>
        <w:pStyle w:val="12"/>
        <w:ind w:left="0" w:leftChars="0" w:firstLine="0" w:firstLineChars="0"/>
        <w:jc w:val="left"/>
        <w:rPr>
          <w:rFonts w:ascii="宋体" w:hAnsi="宋体" w:eastAsia="宋体" w:cs="宋体"/>
          <w:kern w:val="0"/>
          <w:sz w:val="24"/>
          <w:szCs w:val="24"/>
          <w:lang w:val="en-US" w:eastAsia="zh-CN" w:bidi="ar"/>
        </w:rPr>
      </w:pPr>
    </w:p>
    <w:p>
      <w:pPr>
        <w:pStyle w:val="12"/>
        <w:ind w:left="0" w:leftChars="0" w:firstLine="0" w:firstLineChars="0"/>
        <w:jc w:val="left"/>
        <w:rPr>
          <w:rFonts w:ascii="宋体" w:hAnsi="宋体" w:eastAsia="宋体" w:cs="宋体"/>
          <w:kern w:val="0"/>
          <w:sz w:val="24"/>
          <w:szCs w:val="24"/>
          <w:lang w:val="en-US" w:eastAsia="zh-CN" w:bidi="ar"/>
        </w:rPr>
      </w:pPr>
    </w:p>
    <w:p>
      <w:pPr>
        <w:pStyle w:val="12"/>
        <w:ind w:left="0" w:leftChars="0" w:firstLine="0" w:firstLineChars="0"/>
        <w:jc w:val="left"/>
        <w:rPr>
          <w:rFonts w:ascii="宋体" w:hAnsi="宋体" w:eastAsia="宋体" w:cs="宋体"/>
          <w:kern w:val="0"/>
          <w:sz w:val="24"/>
          <w:szCs w:val="24"/>
          <w:lang w:val="en-US" w:eastAsia="zh-CN" w:bidi="ar"/>
        </w:rPr>
      </w:pPr>
    </w:p>
    <w:p>
      <w:pPr>
        <w:pStyle w:val="12"/>
        <w:ind w:left="0" w:leftChars="0" w:firstLine="0" w:firstLineChars="0"/>
        <w:jc w:val="left"/>
        <w:rPr>
          <w:rFonts w:ascii="宋体" w:hAnsi="宋体" w:eastAsia="宋体" w:cs="宋体"/>
          <w:kern w:val="0"/>
          <w:sz w:val="24"/>
          <w:szCs w:val="24"/>
          <w:lang w:val="en-US" w:eastAsia="zh-CN" w:bidi="ar"/>
        </w:rPr>
      </w:pPr>
    </w:p>
    <w:p>
      <w:pPr>
        <w:pStyle w:val="12"/>
        <w:ind w:left="0" w:leftChars="0" w:firstLine="0" w:firstLineChars="0"/>
        <w:jc w:val="left"/>
        <w:rPr>
          <w:rFonts w:ascii="宋体" w:hAnsi="宋体" w:eastAsia="宋体" w:cs="宋体"/>
          <w:kern w:val="0"/>
          <w:sz w:val="24"/>
          <w:szCs w:val="24"/>
          <w:lang w:val="en-US" w:eastAsia="zh-CN" w:bidi="ar"/>
        </w:rPr>
      </w:pPr>
    </w:p>
    <w:p>
      <w:pPr>
        <w:pStyle w:val="12"/>
        <w:ind w:left="0" w:leftChars="0" w:firstLine="0" w:firstLineChars="0"/>
        <w:jc w:val="left"/>
        <w:rPr>
          <w:rFonts w:ascii="宋体" w:hAnsi="宋体" w:eastAsia="宋体" w:cs="宋体"/>
          <w:kern w:val="0"/>
          <w:sz w:val="24"/>
          <w:szCs w:val="24"/>
          <w:lang w:val="en-US" w:eastAsia="zh-CN" w:bidi="ar"/>
        </w:rPr>
      </w:pPr>
    </w:p>
    <w:p>
      <w:pPr>
        <w:pStyle w:val="12"/>
        <w:ind w:left="0" w:leftChars="0" w:firstLine="0" w:firstLineChars="0"/>
        <w:jc w:val="left"/>
        <w:rPr>
          <w:rFonts w:ascii="宋体" w:hAnsi="宋体" w:eastAsia="宋体" w:cs="宋体"/>
          <w:kern w:val="0"/>
          <w:sz w:val="24"/>
          <w:szCs w:val="24"/>
          <w:lang w:val="en-US" w:eastAsia="zh-CN" w:bidi="ar"/>
        </w:rPr>
      </w:pPr>
    </w:p>
    <w:p>
      <w:pPr>
        <w:pStyle w:val="12"/>
        <w:ind w:left="0" w:leftChars="0" w:firstLine="0" w:firstLineChars="0"/>
        <w:jc w:val="left"/>
        <w:rPr>
          <w:rFonts w:ascii="宋体" w:hAnsi="宋体" w:eastAsia="宋体" w:cs="宋体"/>
          <w:kern w:val="0"/>
          <w:sz w:val="24"/>
          <w:szCs w:val="24"/>
          <w:lang w:val="en-US" w:eastAsia="zh-CN" w:bidi="ar"/>
        </w:rPr>
      </w:pPr>
    </w:p>
    <w:p>
      <w:pPr>
        <w:pStyle w:val="12"/>
        <w:ind w:left="0" w:leftChars="0" w:firstLine="0" w:firstLineChars="0"/>
        <w:jc w:val="left"/>
        <w:rPr>
          <w:rFonts w:ascii="宋体" w:hAnsi="宋体" w:eastAsia="宋体" w:cs="宋体"/>
          <w:kern w:val="0"/>
          <w:sz w:val="24"/>
          <w:szCs w:val="24"/>
          <w:lang w:val="en-US" w:eastAsia="zh-CN" w:bidi="ar"/>
        </w:rPr>
      </w:pPr>
    </w:p>
    <w:p>
      <w:pPr>
        <w:pStyle w:val="12"/>
        <w:ind w:left="0" w:leftChars="0" w:firstLine="0" w:firstLineChars="0"/>
        <w:jc w:val="left"/>
        <w:rPr>
          <w:rFonts w:ascii="宋体" w:hAnsi="宋体" w:eastAsia="宋体" w:cs="宋体"/>
          <w:kern w:val="0"/>
          <w:sz w:val="24"/>
          <w:szCs w:val="24"/>
          <w:lang w:val="en-US" w:eastAsia="zh-CN" w:bidi="ar"/>
        </w:rPr>
      </w:pPr>
    </w:p>
    <w:p>
      <w:pPr>
        <w:pStyle w:val="12"/>
        <w:ind w:left="0" w:leftChars="0" w:firstLine="0" w:firstLineChars="0"/>
        <w:jc w:val="left"/>
        <w:rPr>
          <w:rFonts w:ascii="宋体" w:hAnsi="宋体" w:eastAsia="宋体" w:cs="宋体"/>
          <w:kern w:val="0"/>
          <w:sz w:val="24"/>
          <w:szCs w:val="24"/>
          <w:lang w:val="en-US" w:eastAsia="zh-CN" w:bidi="ar"/>
        </w:rPr>
      </w:pPr>
    </w:p>
    <w:p>
      <w:pPr>
        <w:pStyle w:val="12"/>
        <w:ind w:left="0" w:leftChars="0" w:firstLine="0" w:firstLineChars="0"/>
        <w:jc w:val="left"/>
        <w:rPr>
          <w:rFonts w:ascii="宋体" w:hAnsi="宋体" w:eastAsia="宋体" w:cs="宋体"/>
          <w:kern w:val="0"/>
          <w:sz w:val="24"/>
          <w:szCs w:val="24"/>
          <w:lang w:val="en-US" w:eastAsia="zh-CN" w:bidi="ar"/>
        </w:rPr>
      </w:pPr>
    </w:p>
    <w:p>
      <w:pPr>
        <w:pStyle w:val="12"/>
        <w:ind w:left="0" w:leftChars="0" w:firstLine="0" w:firstLineChars="0"/>
        <w:jc w:val="left"/>
        <w:rPr>
          <w:rFonts w:ascii="宋体" w:hAnsi="宋体" w:eastAsia="宋体" w:cs="宋体"/>
          <w:kern w:val="0"/>
          <w:sz w:val="24"/>
          <w:szCs w:val="24"/>
          <w:lang w:val="en-US" w:eastAsia="zh-CN" w:bidi="ar"/>
        </w:rPr>
      </w:pPr>
    </w:p>
    <w:p>
      <w:pPr>
        <w:pStyle w:val="12"/>
        <w:ind w:left="0" w:leftChars="0" w:firstLine="0" w:firstLineChars="0"/>
        <w:jc w:val="left"/>
        <w:rPr>
          <w:rFonts w:ascii="宋体" w:hAnsi="宋体" w:eastAsia="宋体" w:cs="宋体"/>
          <w:kern w:val="0"/>
          <w:sz w:val="24"/>
          <w:szCs w:val="24"/>
          <w:lang w:val="en-US" w:eastAsia="zh-CN" w:bidi="ar"/>
        </w:rPr>
      </w:pPr>
    </w:p>
    <w:p>
      <w:pPr>
        <w:pStyle w:val="12"/>
        <w:ind w:left="0" w:leftChars="0" w:firstLine="0" w:firstLineChars="0"/>
        <w:jc w:val="left"/>
        <w:rPr>
          <w:rFonts w:ascii="宋体" w:hAnsi="宋体" w:eastAsia="宋体" w:cs="宋体"/>
          <w:kern w:val="0"/>
          <w:sz w:val="24"/>
          <w:szCs w:val="24"/>
          <w:lang w:val="en-US" w:eastAsia="zh-CN" w:bidi="ar"/>
        </w:rPr>
      </w:pPr>
    </w:p>
    <w:p>
      <w:pPr>
        <w:pStyle w:val="12"/>
        <w:ind w:left="0" w:leftChars="0" w:firstLine="0" w:firstLineChars="0"/>
        <w:jc w:val="left"/>
        <w:rPr>
          <w:rFonts w:ascii="宋体" w:hAnsi="宋体" w:eastAsia="宋体" w:cs="宋体"/>
          <w:kern w:val="0"/>
          <w:sz w:val="24"/>
          <w:szCs w:val="24"/>
          <w:lang w:val="en-US" w:eastAsia="zh-CN" w:bidi="ar"/>
        </w:rPr>
      </w:pPr>
    </w:p>
    <w:p>
      <w:pPr>
        <w:numPr>
          <w:ilvl w:val="0"/>
          <w:numId w:val="2"/>
        </w:numPr>
        <w:spacing w:line="600" w:lineRule="exact"/>
        <w:ind w:firstLine="660" w:firstLineChars="150"/>
        <w:jc w:val="center"/>
        <w:outlineLvl w:val="0"/>
        <w:rPr>
          <w:rStyle w:val="23"/>
          <w:rFonts w:ascii="黑体" w:hAnsi="黑体" w:eastAsia="黑体"/>
          <w:b w:val="0"/>
        </w:rPr>
      </w:pPr>
      <w:r>
        <w:rPr>
          <w:rFonts w:hint="eastAsia" w:ascii="黑体" w:hAnsi="黑体" w:eastAsia="黑体"/>
          <w:color w:val="000000"/>
          <w:sz w:val="44"/>
          <w:szCs w:val="44"/>
        </w:rPr>
        <w:t>名</w:t>
      </w:r>
      <w:r>
        <w:rPr>
          <w:rStyle w:val="23"/>
          <w:rFonts w:hint="eastAsia" w:ascii="黑体" w:hAnsi="黑体" w:eastAsia="黑体"/>
          <w:b w:val="0"/>
        </w:rPr>
        <w:t>词解释</w:t>
      </w:r>
    </w:p>
    <w:p>
      <w:pPr>
        <w:pStyle w:val="24"/>
        <w:spacing w:line="560" w:lineRule="exact"/>
        <w:rPr>
          <w:rFonts w:ascii="仿宋_GB2312" w:eastAsia="仿宋_GB2312"/>
          <w:sz w:val="32"/>
          <w:szCs w:val="32"/>
        </w:rPr>
      </w:pPr>
    </w:p>
    <w:p>
      <w:pPr>
        <w:pStyle w:val="24"/>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4"/>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4"/>
        <w:spacing w:line="560" w:lineRule="exact"/>
        <w:ind w:firstLine="640" w:firstLineChars="20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、年末结转和结余：指单位按有关规定结转到下年或以后年度继续使用的资金。</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8.社会保障和就业支出（类）208（款） 05（项）05：指本单位对机关事业基本养老保险的支出。</w:t>
      </w:r>
    </w:p>
    <w:p>
      <w:pPr>
        <w:pStyle w:val="2"/>
        <w:ind w:left="0" w:leftChars="0" w:firstLine="640" w:firstLineChars="200"/>
        <w:rPr>
          <w:rFonts w:hint="eastAsia"/>
          <w:lang w:val="en-US" w:eastAsia="zh-CN"/>
        </w:rPr>
      </w:pPr>
      <w:r>
        <w:rPr>
          <w:rFonts w:hint="eastAsia" w:ascii="仿宋_GB2312" w:hAnsi="Calibri" w:eastAsia="仿宋_GB2312" w:cs="仿宋"/>
          <w:color w:val="000000"/>
          <w:kern w:val="0"/>
          <w:sz w:val="32"/>
          <w:szCs w:val="32"/>
          <w:lang w:val="en-US" w:eastAsia="zh-CN" w:bidi="ar-SA"/>
        </w:rPr>
        <w:t>9.社会保障和就业支出（类）208（款） 05（项）06：指本单位对机关事业职业年金的支出。</w:t>
      </w:r>
    </w:p>
    <w:p>
      <w:pPr>
        <w:numPr>
          <w:ilvl w:val="0"/>
          <w:numId w:val="3"/>
        </w:num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卫生健康支出（类）210（款）11（项）01：反映财政部门安排的行政单位基本医疗保险缴费。</w:t>
      </w:r>
    </w:p>
    <w:p>
      <w:pPr>
        <w:pStyle w:val="2"/>
        <w:numPr>
          <w:ilvl w:val="0"/>
          <w:numId w:val="0"/>
        </w:num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11.节能环保支出（类）211（款）04（项）02：反映农村环境保护项目支出。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12.农林水支出（类）213（款）01（项）01:反映行政单位的基本支出。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13.农林水支出（类）213（款）01（项）02：反映行政单位未单独设置项级科目的其他支出。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14.农林水支出（类）213（款）01（项）08：反映用于病虫鼠害及疫情监测、预报、预防、控制、检疫、防疫所需的仪器、设施、药物、疫苗、种苗，疫畜（禽、鱼、植物）防治、扑杀补偿及劳务补助、菌（毒）种保藏及动植物及其产品检疫、检测等方面的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15.农林水支出（类）213（款）01（项）22：反映用于耕地地力保护、适度规模经营、农机购置补贴、优势特色主导产业发展、畜牧水发发展、农村一二三产业融合等方面支出。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16.农林水支出（类）213（款）01（项）24：反映农村集体经济组织、农民合作经济组织、新型农业经营主体和农业社会化服务体系建设，以及土地承包管理、宅基地管理等方面的支出。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17.农林水支出（类）213（款）01（项）99：反映除上述项目以久其他用于农业农村方面的支出。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18.农林水支出（类）213（款）05（项）04：反映用于农村欠发达地区乡村道路、住房、基本农田、水利设施、人畜饮水、生态环境保护等生产生活条件改善方面的支出。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19.农林水支出（类）213（款）05（项）06：反映用于农村欠发达地区中小学教育、文化、广播、电视、卫生健康等方面的项目支出。</w:t>
      </w:r>
    </w:p>
    <w:p>
      <w:pPr>
        <w:ind w:firstLine="640" w:firstLineChars="200"/>
        <w:jc w:val="both"/>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20.农林水支出（类）213（款）05（项）99：反映用于其他扶贫支出 。</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21.农林水支出（类）213（款）08（项）03：反映对农民或农业生产经营组织投保农业保险给予的补贴。</w:t>
      </w:r>
    </w:p>
    <w:p>
      <w:pPr>
        <w:ind w:firstLine="640" w:firstLineChars="200"/>
        <w:rPr>
          <w:rFonts w:hint="default"/>
          <w:lang w:val="en-US" w:eastAsia="zh-CN"/>
        </w:rPr>
      </w:pPr>
      <w:r>
        <w:rPr>
          <w:rFonts w:hint="eastAsia" w:ascii="仿宋_GB2312" w:hAnsi="Calibri" w:eastAsia="仿宋_GB2312" w:cs="仿宋"/>
          <w:color w:val="000000"/>
          <w:kern w:val="0"/>
          <w:sz w:val="32"/>
          <w:szCs w:val="32"/>
          <w:lang w:val="en-US" w:eastAsia="zh-CN" w:bidi="ar-SA"/>
        </w:rPr>
        <w:t>22.农林水支出（类）213（款）09（项）99：反映除上述项目以外的其他农产品目标价格补贴支出。</w:t>
      </w:r>
    </w:p>
    <w:p>
      <w:pPr>
        <w:numPr>
          <w:ilvl w:val="0"/>
          <w:numId w:val="0"/>
        </w:numPr>
        <w:ind w:leftChars="0"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23.农林水支出（类）213（款）99（项）99：反映除化解债务支出以外其他用于农林水方面的支出。</w:t>
      </w:r>
    </w:p>
    <w:p>
      <w:pPr>
        <w:numPr>
          <w:ilvl w:val="0"/>
          <w:numId w:val="0"/>
        </w:numPr>
        <w:ind w:leftChars="0"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24.农林水支出（类）农业（款）其他目标价格补贴（项）：指稻谷种植补贴项目支出。</w:t>
      </w:r>
    </w:p>
    <w:p>
      <w:pPr>
        <w:numPr>
          <w:ilvl w:val="0"/>
          <w:numId w:val="0"/>
        </w:numPr>
        <w:ind w:leftChars="0"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25.住房保障支出（类）221（款）02（项）01：反映行政事业单位按人力资源和社会保障部、财政部规定的基本工资和津贴补贴以及规定比例为职工缴纳的住房公积金。</w:t>
      </w:r>
    </w:p>
    <w:p>
      <w:pPr>
        <w:numPr>
          <w:ilvl w:val="0"/>
          <w:numId w:val="0"/>
        </w:numPr>
        <w:ind w:leftChars="0"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26.基本支出：指为保障机构正常运转、完成日常工作任务而发生的人员支出和公用支出。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27.项目支出：指在基本支出之外为完成特定行政任务和事业发展目标所发生的支出。 </w:t>
      </w:r>
    </w:p>
    <w:p>
      <w:pPr>
        <w:pStyle w:val="24"/>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eastAsia="仿宋_GB2312" w:cs="仿宋"/>
          <w:color w:val="000000"/>
          <w:kern w:val="0"/>
          <w:sz w:val="32"/>
          <w:szCs w:val="32"/>
          <w:lang w:val="en-US" w:eastAsia="zh-CN" w:bidi="ar-SA"/>
        </w:rPr>
        <w:t>28</w:t>
      </w:r>
      <w:r>
        <w:rPr>
          <w:rFonts w:hint="eastAsia" w:ascii="仿宋_GB2312" w:hAnsi="Calibri" w:eastAsia="仿宋_GB2312" w:cs="仿宋"/>
          <w:color w:val="000000"/>
          <w:kern w:val="0"/>
          <w:sz w:val="32"/>
          <w:szCs w:val="32"/>
          <w:lang w:val="en-US" w:eastAsia="zh-CN" w:bidi="ar-SA"/>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eastAsia="仿宋_GB2312" w:cs="仿宋"/>
          <w:color w:val="000000"/>
          <w:kern w:val="0"/>
          <w:sz w:val="32"/>
          <w:szCs w:val="32"/>
          <w:lang w:val="en-US" w:eastAsia="zh-CN" w:bidi="ar-SA"/>
        </w:rPr>
        <w:t>29</w:t>
      </w:r>
      <w:bookmarkStart w:id="43" w:name="_GoBack"/>
      <w:bookmarkEnd w:id="43"/>
      <w:r>
        <w:rPr>
          <w:rFonts w:hint="eastAsia" w:ascii="仿宋_GB2312" w:hAnsi="Calibri" w:eastAsia="仿宋_GB2312" w:cs="仿宋"/>
          <w:color w:val="000000"/>
          <w:kern w:val="0"/>
          <w:sz w:val="32"/>
          <w:szCs w:val="32"/>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left"/>
        <w:rPr>
          <w:rFonts w:hint="eastAsia" w:ascii="仿宋_GB2312" w:hAnsi="Calibri" w:eastAsia="仿宋_GB2312" w:cs="仿宋"/>
          <w:color w:val="000000"/>
          <w:kern w:val="0"/>
          <w:sz w:val="32"/>
          <w:szCs w:val="32"/>
          <w:lang w:val="en-US" w:eastAsia="zh-CN" w:bidi="ar-SA"/>
        </w:rPr>
      </w:pPr>
    </w:p>
    <w:p>
      <w:pPr>
        <w:snapToGrid w:val="0"/>
        <w:rPr>
          <w:rFonts w:ascii="仿宋_GB2312" w:hAnsi="仿宋" w:eastAsia="仿宋_GB2312"/>
          <w:sz w:val="32"/>
          <w:szCs w:val="32"/>
        </w:rPr>
      </w:pPr>
    </w:p>
    <w:p>
      <w:pPr>
        <w:pStyle w:val="2"/>
        <w:rPr>
          <w:rFonts w:ascii="仿宋_GB2312" w:hAnsi="仿宋" w:eastAsia="仿宋_GB2312"/>
          <w:sz w:val="32"/>
          <w:szCs w:val="32"/>
        </w:rPr>
      </w:pPr>
    </w:p>
    <w:p>
      <w:pPr>
        <w:rPr>
          <w:rFonts w:ascii="仿宋_GB2312" w:hAnsi="仿宋" w:eastAsia="仿宋_GB2312"/>
          <w:sz w:val="32"/>
          <w:szCs w:val="32"/>
        </w:rPr>
      </w:pPr>
    </w:p>
    <w:p>
      <w:pPr>
        <w:pStyle w:val="2"/>
        <w:rPr>
          <w:rFonts w:ascii="仿宋_GB2312" w:hAnsi="仿宋" w:eastAsia="仿宋_GB2312"/>
          <w:sz w:val="32"/>
          <w:szCs w:val="32"/>
        </w:rPr>
      </w:pPr>
    </w:p>
    <w:p>
      <w:pPr>
        <w:rPr>
          <w:rFonts w:ascii="仿宋_GB2312" w:hAnsi="仿宋" w:eastAsia="仿宋_GB2312"/>
          <w:sz w:val="32"/>
          <w:szCs w:val="32"/>
        </w:rPr>
      </w:pPr>
    </w:p>
    <w:p>
      <w:pPr>
        <w:pStyle w:val="2"/>
        <w:rPr>
          <w:rFonts w:ascii="仿宋_GB2312" w:hAnsi="仿宋" w:eastAsia="仿宋_GB2312"/>
          <w:sz w:val="32"/>
          <w:szCs w:val="32"/>
        </w:rPr>
      </w:pPr>
    </w:p>
    <w:p>
      <w:pPr>
        <w:rPr>
          <w:rFonts w:ascii="仿宋_GB2312" w:hAnsi="仿宋" w:eastAsia="仿宋_GB2312"/>
          <w:sz w:val="32"/>
          <w:szCs w:val="32"/>
        </w:rPr>
      </w:pPr>
    </w:p>
    <w:p>
      <w:pPr>
        <w:pStyle w:val="2"/>
        <w:rPr>
          <w:rFonts w:ascii="仿宋_GB2312" w:hAnsi="仿宋" w:eastAsia="仿宋_GB2312"/>
          <w:sz w:val="32"/>
          <w:szCs w:val="32"/>
        </w:rPr>
      </w:pPr>
    </w:p>
    <w:p>
      <w:pPr>
        <w:rPr>
          <w:rFonts w:ascii="仿宋_GB2312" w:hAnsi="仿宋" w:eastAsia="仿宋_GB2312"/>
          <w:sz w:val="32"/>
          <w:szCs w:val="32"/>
        </w:rPr>
      </w:pPr>
    </w:p>
    <w:p>
      <w:pPr>
        <w:pStyle w:val="2"/>
        <w:rPr>
          <w:rFonts w:ascii="仿宋_GB2312" w:hAnsi="仿宋" w:eastAsia="仿宋_GB2312"/>
          <w:sz w:val="32"/>
          <w:szCs w:val="32"/>
        </w:rPr>
      </w:pPr>
    </w:p>
    <w:p/>
    <w:p>
      <w:pPr>
        <w:pStyle w:val="2"/>
      </w:pPr>
    </w:p>
    <w:p/>
    <w:p>
      <w:pPr>
        <w:snapToGrid w:val="0"/>
        <w:rPr>
          <w:rFonts w:ascii="仿宋_GB2312" w:hAnsi="仿宋" w:eastAsia="仿宋_GB2312"/>
          <w:sz w:val="32"/>
          <w:szCs w:val="32"/>
        </w:rPr>
      </w:pPr>
    </w:p>
    <w:p>
      <w:pPr>
        <w:spacing w:line="600" w:lineRule="exact"/>
        <w:jc w:val="center"/>
        <w:outlineLvl w:val="0"/>
        <w:rPr>
          <w:rFonts w:ascii="方正小标宋简体" w:hAnsi="方正小标宋简体" w:eastAsia="方正小标宋简体" w:cs="方正小标宋简体"/>
          <w:sz w:val="32"/>
          <w:szCs w:val="32"/>
        </w:rPr>
      </w:pPr>
      <w:bookmarkStart w:id="28" w:name="_Toc15396614"/>
      <w:r>
        <w:rPr>
          <w:rFonts w:hint="eastAsia" w:ascii="黑体" w:hAnsi="黑体" w:eastAsia="黑体"/>
          <w:color w:val="000000"/>
          <w:sz w:val="44"/>
          <w:szCs w:val="44"/>
        </w:rPr>
        <w:t>第</w:t>
      </w:r>
      <w:r>
        <w:rPr>
          <w:rStyle w:val="23"/>
          <w:rFonts w:hint="eastAsia" w:ascii="黑体" w:hAnsi="黑体" w:eastAsia="黑体"/>
          <w:b w:val="0"/>
        </w:rPr>
        <w:t>四部分</w:t>
      </w:r>
      <w:r>
        <w:rPr>
          <w:rStyle w:val="23"/>
          <w:rFonts w:ascii="黑体" w:hAnsi="黑体" w:eastAsia="黑体"/>
          <w:b w:val="0"/>
        </w:rPr>
        <w:t xml:space="preserve"> </w:t>
      </w:r>
      <w:r>
        <w:rPr>
          <w:rStyle w:val="23"/>
          <w:rFonts w:hint="eastAsia" w:ascii="黑体" w:hAnsi="黑体" w:eastAsia="黑体"/>
          <w:b w:val="0"/>
        </w:rPr>
        <w:t>附件</w:t>
      </w:r>
      <w:bookmarkEnd w:id="28"/>
    </w:p>
    <w:p>
      <w:pPr>
        <w:snapToGrid w:val="0"/>
        <w:rPr>
          <w:rFonts w:hint="eastAsia" w:ascii="宋体" w:hAnsi="宋体" w:eastAsia="宋体" w:cs="宋体"/>
          <w:sz w:val="44"/>
          <w:szCs w:val="44"/>
        </w:rPr>
      </w:pPr>
    </w:p>
    <w:p>
      <w:pPr>
        <w:adjustRightInd w:val="0"/>
        <w:snapToGrid w:val="0"/>
        <w:spacing w:line="560" w:lineRule="exact"/>
        <w:ind w:firstLine="455" w:firstLineChars="103"/>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广元市朝天区农业农村局</w:t>
      </w:r>
    </w:p>
    <w:p>
      <w:pPr>
        <w:adjustRightInd w:val="0"/>
        <w:snapToGrid w:val="0"/>
        <w:spacing w:line="560" w:lineRule="exact"/>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关于2020年</w:t>
      </w:r>
      <w:r>
        <w:rPr>
          <w:rFonts w:hint="eastAsia" w:ascii="宋体" w:hAnsi="宋体" w:eastAsia="宋体" w:cs="宋体"/>
          <w:b/>
          <w:sz w:val="44"/>
          <w:szCs w:val="44"/>
          <w:highlight w:val="none"/>
          <w:lang w:val="en-US" w:eastAsia="zh-CN"/>
        </w:rPr>
        <w:t>度</w:t>
      </w:r>
      <w:r>
        <w:rPr>
          <w:rFonts w:hint="eastAsia" w:ascii="宋体" w:hAnsi="宋体" w:eastAsia="宋体" w:cs="宋体"/>
          <w:b/>
          <w:sz w:val="44"/>
          <w:szCs w:val="44"/>
          <w:highlight w:val="none"/>
        </w:rPr>
        <w:t>整体支出绩效评价的自评</w:t>
      </w:r>
    </w:p>
    <w:p>
      <w:pPr>
        <w:adjustRightInd w:val="0"/>
        <w:snapToGrid w:val="0"/>
        <w:spacing w:line="560" w:lineRule="exact"/>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报</w:t>
      </w:r>
      <w:r>
        <w:rPr>
          <w:rFonts w:hint="eastAsia" w:ascii="宋体" w:hAnsi="宋体" w:cs="宋体"/>
          <w:b/>
          <w:sz w:val="44"/>
          <w:szCs w:val="44"/>
          <w:highlight w:val="none"/>
          <w:lang w:val="en-US" w:eastAsia="zh-CN"/>
        </w:rPr>
        <w:t xml:space="preserve">   </w:t>
      </w:r>
      <w:r>
        <w:rPr>
          <w:rFonts w:hint="eastAsia" w:ascii="宋体" w:hAnsi="宋体" w:eastAsia="宋体" w:cs="宋体"/>
          <w:b/>
          <w:sz w:val="44"/>
          <w:szCs w:val="44"/>
          <w:highlight w:val="none"/>
        </w:rPr>
        <w:t>告</w:t>
      </w:r>
    </w:p>
    <w:p>
      <w:pPr>
        <w:adjustRightInd w:val="0"/>
        <w:snapToGrid w:val="0"/>
        <w:spacing w:line="560" w:lineRule="exact"/>
        <w:ind w:firstLine="453" w:firstLineChars="103"/>
        <w:jc w:val="center"/>
        <w:rPr>
          <w:rFonts w:hint="eastAsia" w:ascii="华文中宋" w:hAnsi="华文中宋" w:eastAsia="华文中宋" w:cs="方正小标宋简体"/>
          <w:b/>
          <w:sz w:val="44"/>
          <w:szCs w:val="44"/>
          <w:highlight w:val="none"/>
        </w:rPr>
      </w:pP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根据区财政局《关于开展</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年度财政支出</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绩效自评工作的通知》（广朝财发〔202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号）要求，结合我局实际，对20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整体</w:t>
      </w:r>
      <w:r>
        <w:rPr>
          <w:rFonts w:hint="eastAsia" w:ascii="仿宋_GB2312" w:hAnsi="仿宋_GB2312" w:eastAsia="仿宋_GB2312" w:cs="仿宋_GB2312"/>
          <w:sz w:val="32"/>
          <w:szCs w:val="32"/>
        </w:rPr>
        <w:t>支出绩效进行了全面自评，现将自评情况报告如下：</w:t>
      </w:r>
    </w:p>
    <w:p>
      <w:pPr>
        <w:adjustRightInd w:val="0"/>
        <w:snapToGrid w:val="0"/>
        <w:spacing w:line="560" w:lineRule="exact"/>
        <w:ind w:firstLine="640" w:firstLineChars="200"/>
        <w:jc w:val="left"/>
        <w:rPr>
          <w:rFonts w:hint="eastAsia" w:ascii="黑体" w:hAnsi="黑体" w:eastAsia="黑体"/>
          <w:bCs/>
          <w:sz w:val="32"/>
          <w:szCs w:val="32"/>
          <w:highlight w:val="none"/>
        </w:rPr>
      </w:pPr>
      <w:r>
        <w:rPr>
          <w:rFonts w:hint="eastAsia" w:ascii="黑体" w:hAnsi="黑体" w:eastAsia="黑体"/>
          <w:bCs/>
          <w:sz w:val="32"/>
          <w:szCs w:val="32"/>
          <w:highlight w:val="none"/>
        </w:rPr>
        <w:t>一、部门概况</w:t>
      </w:r>
    </w:p>
    <w:p>
      <w:pPr>
        <w:snapToGrid w:val="0"/>
        <w:spacing w:line="560" w:lineRule="exact"/>
        <w:ind w:left="420" w:leftChars="200"/>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（一）基本情况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rPr>
        <w:t>区农业农村局共有编制数85名，</w:t>
      </w:r>
      <w:r>
        <w:rPr>
          <w:rFonts w:hint="eastAsia" w:ascii="仿宋_GB2312" w:hAnsi="仿宋_GB2312" w:eastAsia="仿宋_GB2312" w:cs="仿宋_GB2312"/>
          <w:sz w:val="32"/>
          <w:szCs w:val="32"/>
          <w:lang w:val="en-US" w:eastAsia="zh-CN"/>
        </w:rPr>
        <w:t>实</w:t>
      </w:r>
      <w:r>
        <w:rPr>
          <w:rFonts w:hint="eastAsia" w:ascii="仿宋_GB2312" w:hAnsi="仿宋_GB2312" w:eastAsia="仿宋_GB2312" w:cs="仿宋_GB2312"/>
          <w:sz w:val="32"/>
          <w:szCs w:val="32"/>
        </w:rPr>
        <w:t>有人员9</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w:t>
      </w:r>
      <w:r>
        <w:rPr>
          <w:rFonts w:hint="eastAsia" w:ascii="仿宋_GB2312" w:hAnsi="仿宋_GB2312" w:eastAsia="仿宋_GB2312" w:cs="仿宋_GB2312"/>
          <w:sz w:val="32"/>
          <w:szCs w:val="32"/>
          <w:lang w:val="en-US" w:eastAsia="zh-CN"/>
        </w:rPr>
        <w:t>人员31人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参照公务员法管理事业人员15人，非参公事业人员52人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color w:val="auto"/>
          <w:sz w:val="32"/>
          <w:szCs w:val="32"/>
          <w:highlight w:val="none"/>
          <w:lang w:val="en-US" w:eastAsia="zh-CN"/>
        </w:rPr>
        <w:t>单位内设：</w:t>
      </w:r>
      <w:r>
        <w:rPr>
          <w:rFonts w:hint="eastAsia" w:ascii="仿宋_GB2312" w:hAnsi="仿宋_GB2312" w:eastAsia="仿宋_GB2312" w:cs="仿宋_GB2312"/>
          <w:color w:val="auto"/>
          <w:sz w:val="32"/>
          <w:szCs w:val="32"/>
          <w:highlight w:val="none"/>
          <w:lang w:val="en-US" w:eastAsia="zh-CN"/>
        </w:rPr>
        <w:t>办公室、农村合作经济与改革指导股、特色产业发展与农业园区股、畜牧和水产管理股、宜居乡村与农田建设管理股、科技股、计划投资项目股。</w:t>
      </w:r>
    </w:p>
    <w:p>
      <w:pPr>
        <w:snapToGrid w:val="0"/>
        <w:spacing w:line="560" w:lineRule="exact"/>
        <w:ind w:left="420" w:leftChars="200"/>
        <w:rPr>
          <w:rFonts w:hint="default"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二</w:t>
      </w: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机构职能</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贯彻执行党和国家有关种植业、畜牧业、渔业、农业机械化、农垦等农业领域（以下简称农业）工作的法律、法规与方针、政策以及省委省政府、市委市政府、区委区政府关于农业方面的决策部署，拟订全区农业和农村经济发展战略、中长期发展规划、政策并组织实施，组织起草有关农业和农村经济的规范性文件，参与拟订涉农财税、价格、金融保险等政策，提出农业产业保护的政策建议，推进农业依法行政。</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承担完善农村经营管理体制的责任。提出深化农村经济体制改革和稳定完善农村基本经营制度的政策建议，指导农村土地承包、耕地使用权流转和承包纠纷仲裁管理；指导、监督减轻农民负担和村民筹资筹劳管理工作，指导农村集体资产和财务管理；拟订农业产业化经营的发展规划与政策并组织实施，指导、扶持农业社会化服务体系、农村合作经济组织、农民合作社和农产品行业协会的建设与发展。</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指导粮油、畜禽、水产等主要农产品生产工作，组织落实促进粮油、畜禽、水产等主要农产品生产发展的相关政策措施，引导农业产业结构调整和产品品质的改善；会同有关部门指导农业标准化、规模化生产；拟订农业开发规划并监督实施，负责提出农业固定资产投资规模和方向、有关财政性资金安排、财政政策和项目的建议意见并指导实施；配合区级财政部门组织实施农业综合开发有关项目。参与组织实施种粮农民补贴、畜牧水产良种补贴和政策性农业保险工作。</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指导农业产业化经营，促进农业产前、产中、产后一体化发展；组织拟订优势特色效益农业发展、现代农业产业基地建设等政策与规划并组织实施，提出促进大宗农产品流通政策和主要农产品进口建议，研究制订大宗农产品市场体系建设与发展规划，培育、保护和发展农产品品牌；负责指导全区休闲农业发展；负责生猪屠宰管理；组织协调“菜篮子”工程有关工作。</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承担提升农产品质量安全水平的责任；组织开展全区农产品质量安全的监督管理，组织拟订农产品质量地方标准并会同有关部门组织实施和监督管理，负责农产品质量安全监测，依法开展农产品质量安全风险评估和质量追溯，发布有关农产品质量安全状况信息，指导农业检验检测体系建设和机构考核，依法组织实施符合安全标准的农产品生产基地认定、产品认证、农产品地理标志登记保护和监督管理。</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组织、协调农业生产资料市场体系建设，依法实施农作物种子（种苗）、食用菌种、蚕种、草种、种畜禽、水产种苗、农药、肥料、兽药（渔药）、饲料、饲料添加剂等农业生产资料的许可及监督管理职责，监督管理兽医医疗器械、肥料；会同有关部门监督实施农业生产资料国家标准，拟订有关农业生产资料地方标准并会同有关部门监督实施，依法开展农资市场秩序的整顿、规范和农资打假工作；承担渔政、渔港、渔船、渔机、网具的监督管理职责。</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负责制定全区农业机械化发展规划并组织实施；组织开展农业机械化重大技术攻关和关键技术装备开发，引进、示范和推广农业机械新技术、新机具，指导全区农业机械化基础设施建设的规划、建设和技术工作，指导农村机电提灌、机耕道建设，承担农业机械化使用安全监管职责。</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指导农作物重大病虫害防治；会同有关部门制定动植物防疫检疫政策并指导实施；指导动植物防疫检疫体系建设，组织、监督对区内动植物的防疫检疫工作，上报疫情并组织扑灭；组织植物检疫性有害生物普查；承担区内从境外引进农作物种子（种苗）检疫工作，牵头管理外来农业物种；组织兽医医政和兽药药政药检工作。</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承担农业防灾减灾责任，监测、核查、发布农业灾情，组织种子、种苗、化肥、兽药（渔药）等农业生产救灾物资的储备和调拨，提出生产救灾资金安排建议，指导紧急救灾和灾后生产恢复。</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管理农业和农村经济信息，监测分析农业和农村经济运行，开展相关农业统计工作；发布农业和农村经济信息，负责农业信息体系建设，指导农业信息服务。</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制定全区农业科研、农技推广的规划、计划和有关政策并组织实施，会同有关部门组织区级农业科技创新体系、农业产业技术体系建设；组织农作物、畜禽、水产养殖等新品种育种攻关和农业先进技术引进、试验、示范，组织实施农业领域的高新技术和应用技术研究、科技成果转化和技术推广，负责农业科技成果管理，指导农技推广体系改革与建设；负责农业植物新品种保护和农业转基因生物的安全监督管理。</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负责农业资源区划和资源保护工作，指导农用地、渔业水域、宜农滩涂、宜农湿地以及农业生物物种资源的保护和管理，负责水生野生动植物保护工作；依法管理耕地质量，拟订耕地及基本农田质量保护与改良政策并指导实施；运用工程设施、农艺、农机、生物等措施发展资源节约型、环境友好型农业。</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负责农村能源建设和资源环境工作，制定并组织实施农业资源环境建设规划，指导农村可再生能源综合开发与利用，指导农业生物质产业发展和农业农村节能减排，承担指导农业面源污染防治工作；提出划定农产品禁止生产区域的政策建议，指导生态农业、循环农业等发展；会同有关部门保护渔业水域生态环境。</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负责水产渔政工作。拟订渔业发展和渔业资源保护利用规划；负责全区渔业生产，指导水产品加工、流通和市场建设；负责水产品质量安全管理和水生动物的防疫、检疫以及渔药、渔饲料使用环节的监督检查；负责水生生物和水产种质资源保护区管理；实施渔业环境监测；协调仲裁重大渔事纠纷，查处重大渔政案件，牵头查处渔业污染事故；负责全区渔业船舶登记检验和各类渔业项目审查；指导渔业安全生产。</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会同有关部门拟订全区农业农村人才队伍建设规划并组织实施，指导农业职业教育和农业职业技能开发工作，参与实施农村实用人才培训工程；承担农民教育培训工作，会同有关部门实施农业农村人才专业技术资格和从业资格管理有关工作。</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承办政府间农业涉外事务，参与拟订农业对外开放政策和外向型农业发展规划，指导外向型农业发展；组织实施农业“引进来”和“走出去”战略，促进农业贸易工作，协助开展农业领域国际经济、技术交流与合作，协助有关部门组织实施农业援外项目。</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承担区政府公布的有关行政审批事项。</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承办区政府交办的其他事项。</w:t>
      </w:r>
    </w:p>
    <w:p>
      <w:pPr>
        <w:adjustRightInd w:val="0"/>
        <w:snapToGrid w:val="0"/>
        <w:spacing w:line="560" w:lineRule="exact"/>
        <w:ind w:firstLine="640" w:firstLineChars="200"/>
        <w:jc w:val="left"/>
        <w:rPr>
          <w:rFonts w:hint="eastAsia" w:ascii="黑体" w:hAnsi="黑体" w:eastAsia="黑体" w:cs="Times New Roman"/>
          <w:bCs/>
          <w:sz w:val="32"/>
          <w:szCs w:val="32"/>
          <w:highlight w:val="none"/>
        </w:rPr>
      </w:pPr>
      <w:r>
        <w:rPr>
          <w:rFonts w:hint="eastAsia" w:ascii="黑体" w:hAnsi="黑体" w:eastAsia="黑体" w:cs="Times New Roman"/>
          <w:bCs/>
          <w:sz w:val="32"/>
          <w:szCs w:val="32"/>
          <w:highlight w:val="none"/>
        </w:rPr>
        <w:t>二、部门财政</w:t>
      </w:r>
      <w:r>
        <w:rPr>
          <w:rFonts w:hint="eastAsia" w:ascii="黑体" w:hAnsi="黑体" w:eastAsia="黑体" w:cs="Times New Roman"/>
          <w:bCs/>
          <w:sz w:val="32"/>
          <w:szCs w:val="32"/>
          <w:highlight w:val="none"/>
          <w:lang w:val="en-US" w:eastAsia="zh-CN"/>
        </w:rPr>
        <w:t>资金收支</w:t>
      </w:r>
      <w:r>
        <w:rPr>
          <w:rFonts w:hint="eastAsia" w:ascii="黑体" w:hAnsi="黑体" w:eastAsia="黑体" w:cs="Times New Roman"/>
          <w:bCs/>
          <w:sz w:val="32"/>
          <w:szCs w:val="32"/>
          <w:highlight w:val="none"/>
        </w:rPr>
        <w:t>情况</w:t>
      </w:r>
    </w:p>
    <w:p>
      <w:pPr>
        <w:snapToGrid w:val="0"/>
        <w:spacing w:line="560" w:lineRule="exact"/>
        <w:ind w:left="420" w:leftChars="20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rPr>
        <w:t>（一）</w:t>
      </w:r>
      <w:r>
        <w:rPr>
          <w:rFonts w:hint="eastAsia" w:ascii="楷体_GB2312" w:hAnsi="楷体_GB2312" w:eastAsia="楷体_GB2312" w:cs="楷体_GB2312"/>
          <w:b w:val="0"/>
          <w:bCs w:val="0"/>
          <w:sz w:val="32"/>
          <w:szCs w:val="32"/>
          <w:highlight w:val="none"/>
          <w:lang w:val="en-US" w:eastAsia="zh-CN"/>
        </w:rPr>
        <w:t>部门财政资金收入情况</w:t>
      </w:r>
    </w:p>
    <w:p>
      <w:pPr>
        <w:adjustRightInd w:val="0"/>
        <w:snapToGrid w:val="0"/>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本年收入合计35913.7万元，其中：一般公共预算财政拨款收入23873.7万元，占66.5%，政府性基金预算财政拨款收入12040万元，占33.5%。</w:t>
      </w:r>
    </w:p>
    <w:p>
      <w:pPr>
        <w:snapToGrid w:val="0"/>
        <w:spacing w:line="560" w:lineRule="exact"/>
        <w:ind w:left="420" w:leftChars="20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val="en-US" w:eastAsia="zh-CN"/>
        </w:rPr>
        <w:t>二</w:t>
      </w: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val="en-US" w:eastAsia="zh-CN"/>
        </w:rPr>
        <w:t>部门财政资金支出情况</w:t>
      </w:r>
    </w:p>
    <w:p>
      <w:pPr>
        <w:adjustRightInd w:val="0"/>
        <w:snapToGrid w:val="0"/>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本年支出合计24521.47万元，其中：社会保障和就业支出209.58万元，占0.85%；卫生健康支出108.81万元，占0.44%；节能环保支出171万元，占0.7%；农林水支出17118.06万元，占69.81%；住房保障支出150.52万元；占0.61%；其他支出5723.5万元，占23.34%；抗疫特别国债安排的支出1040万元，占4.24%。</w:t>
      </w:r>
    </w:p>
    <w:p>
      <w:pPr>
        <w:adjustRightInd w:val="0"/>
        <w:snapToGrid w:val="0"/>
        <w:spacing w:line="560" w:lineRule="exact"/>
        <w:ind w:firstLine="640" w:firstLineChars="200"/>
        <w:jc w:val="left"/>
        <w:rPr>
          <w:rFonts w:hint="eastAsia" w:ascii="黑体" w:hAnsi="黑体" w:eastAsia="黑体" w:cs="Times New Roman"/>
          <w:bCs/>
          <w:sz w:val="32"/>
          <w:szCs w:val="32"/>
          <w:highlight w:val="none"/>
          <w:lang w:val="en-US" w:eastAsia="zh-CN"/>
        </w:rPr>
      </w:pPr>
      <w:r>
        <w:rPr>
          <w:rFonts w:hint="eastAsia" w:ascii="黑体" w:hAnsi="黑体" w:eastAsia="黑体" w:cs="Times New Roman"/>
          <w:bCs/>
          <w:sz w:val="32"/>
          <w:szCs w:val="32"/>
          <w:highlight w:val="none"/>
          <w:lang w:val="en-US" w:eastAsia="zh-CN"/>
        </w:rPr>
        <w:t>三、部门整体预算绩效管理情况</w:t>
      </w:r>
    </w:p>
    <w:p>
      <w:pPr>
        <w:snapToGrid w:val="0"/>
        <w:spacing w:line="560" w:lineRule="exact"/>
        <w:ind w:left="420" w:leftChars="20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（一）部门预算管理</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1、编制质量</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我单位严格根据预算编制要求，认真编制了2020年预算，符合预算编制要求。</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2、预算配置</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 年初预算安排</w:t>
      </w:r>
      <w:r>
        <w:rPr>
          <w:rFonts w:hint="eastAsia" w:ascii="仿宋_GB2312" w:hAnsi="仿宋_GB2312" w:eastAsia="仿宋_GB2312" w:cs="仿宋_GB2312"/>
          <w:sz w:val="32"/>
          <w:szCs w:val="32"/>
          <w:lang w:val="en-US" w:eastAsia="zh-CN"/>
        </w:rPr>
        <w:t>19346.03</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24521.4</w:t>
      </w:r>
      <w:r>
        <w:rPr>
          <w:rFonts w:hint="eastAsia" w:ascii="仿宋_GB2312" w:hAnsi="仿宋_GB2312" w:eastAsia="仿宋_GB2312" w:cs="仿宋_GB2312"/>
          <w:sz w:val="32"/>
          <w:szCs w:val="32"/>
        </w:rPr>
        <w:t>万元，年度执行中调整为</w:t>
      </w:r>
      <w:r>
        <w:rPr>
          <w:rFonts w:hint="eastAsia" w:ascii="仿宋_GB2312" w:hAnsi="仿宋_GB2312" w:eastAsia="仿宋_GB2312" w:cs="仿宋_GB2312"/>
          <w:sz w:val="32"/>
          <w:szCs w:val="32"/>
          <w:lang w:val="en-US" w:eastAsia="zh-CN"/>
        </w:rPr>
        <w:t>37137.15</w:t>
      </w:r>
      <w:r>
        <w:rPr>
          <w:rFonts w:hint="eastAsia" w:ascii="仿宋_GB2312" w:hAnsi="仿宋_GB2312" w:eastAsia="仿宋_GB2312" w:cs="仿宋_GB2312"/>
          <w:sz w:val="32"/>
          <w:szCs w:val="32"/>
        </w:rPr>
        <w:t>万元，调整原因为向上争取项目资金增加。</w:t>
      </w:r>
    </w:p>
    <w:p>
      <w:pPr>
        <w:snapToGrid w:val="0"/>
        <w:spacing w:line="560" w:lineRule="exact"/>
        <w:ind w:left="420" w:leftChars="20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（二）结果应用情况</w:t>
      </w:r>
    </w:p>
    <w:p>
      <w:pPr>
        <w:adjustRightInd w:val="0"/>
        <w:snapToGrid w:val="0"/>
        <w:spacing w:line="560" w:lineRule="exact"/>
        <w:ind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通过绩效自评，进一步掌握了部门整体支出使用情况和取得的效果，总结了项目资金管理经验，发现了工作中存在的问题和不足，为下一步提高资金的使用效益、加强财政支出的规范化管理、健全和完善支出项目和资金使用管理办法、完善预算编制、加强绩效目标管理和绩效考核工作提供重要的参考依据。</w:t>
      </w:r>
    </w:p>
    <w:p>
      <w:pPr>
        <w:adjustRightInd w:val="0"/>
        <w:snapToGrid w:val="0"/>
        <w:spacing w:line="560" w:lineRule="exact"/>
        <w:ind w:firstLine="640" w:firstLineChars="200"/>
        <w:jc w:val="left"/>
        <w:rPr>
          <w:rFonts w:hint="eastAsia" w:ascii="黑体" w:hAnsi="黑体" w:eastAsia="黑体" w:cs="Times New Roman"/>
          <w:bCs/>
          <w:sz w:val="32"/>
          <w:szCs w:val="32"/>
          <w:highlight w:val="none"/>
          <w:lang w:val="en-US" w:eastAsia="zh-CN"/>
        </w:rPr>
      </w:pPr>
      <w:r>
        <w:rPr>
          <w:rFonts w:hint="eastAsia" w:ascii="黑体" w:hAnsi="黑体" w:eastAsia="黑体" w:cs="Times New Roman"/>
          <w:bCs/>
          <w:sz w:val="32"/>
          <w:szCs w:val="32"/>
          <w:highlight w:val="none"/>
          <w:lang w:val="en-US" w:eastAsia="zh-CN"/>
        </w:rPr>
        <w:t>四、评价结论及建议</w:t>
      </w:r>
    </w:p>
    <w:p>
      <w:pPr>
        <w:snapToGrid w:val="0"/>
        <w:spacing w:line="560" w:lineRule="exact"/>
        <w:ind w:left="420" w:leftChars="20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（一）评价结论</w:t>
      </w:r>
    </w:p>
    <w:p>
      <w:pPr>
        <w:adjustRightInd w:val="0"/>
        <w:snapToGrid w:val="0"/>
        <w:spacing w:line="560" w:lineRule="exact"/>
        <w:ind w:firstLine="643" w:firstLineChars="20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部门支出绩效评价自评</w:t>
      </w:r>
      <w:r>
        <w:rPr>
          <w:rFonts w:hint="eastAsia" w:ascii="仿宋_GB2312" w:hAnsi="仿宋_GB2312" w:eastAsia="仿宋_GB2312" w:cs="仿宋_GB2312"/>
          <w:b/>
          <w:bCs/>
          <w:sz w:val="32"/>
          <w:szCs w:val="32"/>
          <w:lang w:val="en-US" w:eastAsia="zh-CN"/>
        </w:rPr>
        <w:t>得分表</w:t>
      </w:r>
    </w:p>
    <w:tbl>
      <w:tblPr>
        <w:tblStyle w:val="13"/>
        <w:tblW w:w="8760" w:type="dxa"/>
        <w:tblInd w:w="0" w:type="dxa"/>
        <w:tblLayout w:type="autofit"/>
        <w:tblCellMar>
          <w:top w:w="0" w:type="dxa"/>
          <w:left w:w="0" w:type="dxa"/>
          <w:bottom w:w="0" w:type="dxa"/>
          <w:right w:w="0" w:type="dxa"/>
        </w:tblCellMar>
      </w:tblPr>
      <w:tblGrid>
        <w:gridCol w:w="975"/>
        <w:gridCol w:w="1245"/>
        <w:gridCol w:w="3510"/>
        <w:gridCol w:w="1515"/>
        <w:gridCol w:w="1515"/>
      </w:tblGrid>
      <w:tr>
        <w:tblPrEx>
          <w:tblCellMar>
            <w:top w:w="0" w:type="dxa"/>
            <w:left w:w="0" w:type="dxa"/>
            <w:bottom w:w="0" w:type="dxa"/>
            <w:right w:w="0" w:type="dxa"/>
          </w:tblCellMar>
        </w:tblPrEx>
        <w:trPr>
          <w:trHeight w:val="360" w:hRule="atLeast"/>
        </w:trPr>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宋体" w:hAnsi="宋体" w:eastAsia="宋体" w:cs="宋体"/>
                <w:sz w:val="18"/>
                <w:szCs w:val="18"/>
              </w:rPr>
            </w:pPr>
            <w:r>
              <w:rPr>
                <w:rFonts w:hint="eastAsia" w:ascii="宋体" w:hAnsi="宋体" w:eastAsia="宋体" w:cs="宋体"/>
                <w:sz w:val="18"/>
                <w:szCs w:val="18"/>
              </w:rPr>
              <w:t>二级指标</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三级指标</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分值</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评价得分</w:t>
            </w:r>
          </w:p>
        </w:tc>
      </w:tr>
      <w:tr>
        <w:tblPrEx>
          <w:tblCellMar>
            <w:top w:w="0" w:type="dxa"/>
            <w:left w:w="0" w:type="dxa"/>
            <w:bottom w:w="0" w:type="dxa"/>
            <w:right w:w="0" w:type="dxa"/>
          </w:tblCellMar>
        </w:tblPrEx>
        <w:trPr>
          <w:trHeight w:val="270" w:hRule="atLeast"/>
        </w:trPr>
        <w:tc>
          <w:tcPr>
            <w:tcW w:w="97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adjustRightInd w:val="0"/>
              <w:snapToGrid w:val="0"/>
              <w:spacing w:line="560" w:lineRule="exact"/>
              <w:jc w:val="both"/>
              <w:rPr>
                <w:rFonts w:hint="eastAsia" w:ascii="宋体" w:hAnsi="宋体" w:eastAsia="宋体" w:cs="宋体"/>
                <w:sz w:val="18"/>
                <w:szCs w:val="18"/>
              </w:rPr>
            </w:pPr>
            <w:r>
              <w:rPr>
                <w:rFonts w:hint="eastAsia" w:ascii="宋体" w:hAnsi="宋体" w:eastAsia="宋体" w:cs="宋体"/>
                <w:sz w:val="18"/>
                <w:szCs w:val="18"/>
              </w:rPr>
              <w:t>预算编制（15分）</w:t>
            </w:r>
          </w:p>
        </w:tc>
        <w:tc>
          <w:tcPr>
            <w:tcW w:w="12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宋体" w:hAnsi="宋体" w:eastAsia="宋体" w:cs="宋体"/>
                <w:sz w:val="18"/>
                <w:szCs w:val="18"/>
              </w:rPr>
            </w:pPr>
            <w:r>
              <w:rPr>
                <w:rFonts w:hint="eastAsia" w:ascii="宋体" w:hAnsi="宋体" w:eastAsia="宋体" w:cs="宋体"/>
                <w:sz w:val="18"/>
                <w:szCs w:val="18"/>
              </w:rPr>
              <w:t>编制质量</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测算依据</w:t>
            </w:r>
          </w:p>
        </w:tc>
        <w:tc>
          <w:tcPr>
            <w:tcW w:w="0" w:type="auto"/>
            <w:tcBorders>
              <w:top w:val="nil"/>
              <w:left w:val="nil"/>
              <w:bottom w:val="nil"/>
              <w:right w:val="nil"/>
            </w:tcBorders>
            <w:noWrap/>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3</w:t>
            </w:r>
          </w:p>
        </w:tc>
      </w:tr>
      <w:tr>
        <w:tblPrEx>
          <w:tblCellMar>
            <w:top w:w="0" w:type="dxa"/>
            <w:left w:w="0" w:type="dxa"/>
            <w:bottom w:w="0" w:type="dxa"/>
            <w:right w:w="0" w:type="dxa"/>
          </w:tblCellMar>
        </w:tblPrEx>
        <w:trPr>
          <w:trHeight w:val="450" w:hRule="atLeast"/>
        </w:trPr>
        <w:tc>
          <w:tcPr>
            <w:tcW w:w="97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both"/>
              <w:rPr>
                <w:rFonts w:hint="eastAsia" w:ascii="宋体" w:hAnsi="宋体" w:eastAsia="宋体" w:cs="宋体"/>
                <w:sz w:val="18"/>
                <w:szCs w:val="18"/>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整体绩效目标设定</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5</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5</w:t>
            </w:r>
          </w:p>
        </w:tc>
      </w:tr>
      <w:tr>
        <w:tblPrEx>
          <w:tblCellMar>
            <w:top w:w="0" w:type="dxa"/>
            <w:left w:w="0" w:type="dxa"/>
            <w:bottom w:w="0" w:type="dxa"/>
            <w:right w:w="0" w:type="dxa"/>
          </w:tblCellMar>
        </w:tblPrEx>
        <w:trPr>
          <w:trHeight w:val="450" w:hRule="atLeast"/>
        </w:trPr>
        <w:tc>
          <w:tcPr>
            <w:tcW w:w="97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both"/>
              <w:rPr>
                <w:rFonts w:hint="eastAsia" w:ascii="宋体" w:hAnsi="宋体" w:eastAsia="宋体" w:cs="宋体"/>
                <w:sz w:val="18"/>
                <w:szCs w:val="18"/>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项目绩效目标设定</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5</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5</w:t>
            </w:r>
          </w:p>
        </w:tc>
      </w:tr>
      <w:tr>
        <w:tblPrEx>
          <w:tblCellMar>
            <w:top w:w="0" w:type="dxa"/>
            <w:left w:w="0" w:type="dxa"/>
            <w:bottom w:w="0" w:type="dxa"/>
            <w:right w:w="0" w:type="dxa"/>
          </w:tblCellMar>
        </w:tblPrEx>
        <w:trPr>
          <w:trHeight w:val="450" w:hRule="atLeast"/>
        </w:trPr>
        <w:tc>
          <w:tcPr>
            <w:tcW w:w="97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both"/>
              <w:rPr>
                <w:rFonts w:hint="eastAsia" w:ascii="宋体" w:hAnsi="宋体" w:eastAsia="宋体" w:cs="宋体"/>
                <w:sz w:val="18"/>
                <w:szCs w:val="18"/>
              </w:rPr>
            </w:pPr>
          </w:p>
        </w:tc>
        <w:tc>
          <w:tcPr>
            <w:tcW w:w="1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宋体" w:hAnsi="宋体" w:eastAsia="宋体" w:cs="宋体"/>
                <w:sz w:val="18"/>
                <w:szCs w:val="18"/>
              </w:rPr>
            </w:pPr>
            <w:r>
              <w:rPr>
                <w:rFonts w:hint="eastAsia" w:ascii="宋体" w:hAnsi="宋体" w:eastAsia="宋体" w:cs="宋体"/>
                <w:sz w:val="18"/>
                <w:szCs w:val="18"/>
              </w:rPr>
              <w:t>预算配置</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在职人员控制率</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r>
      <w:tr>
        <w:tblPrEx>
          <w:tblCellMar>
            <w:top w:w="0" w:type="dxa"/>
            <w:left w:w="0" w:type="dxa"/>
            <w:bottom w:w="0" w:type="dxa"/>
            <w:right w:w="0" w:type="dxa"/>
          </w:tblCellMar>
        </w:tblPrEx>
        <w:trPr>
          <w:trHeight w:val="450" w:hRule="atLeast"/>
        </w:trPr>
        <w:tc>
          <w:tcPr>
            <w:tcW w:w="9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both"/>
              <w:rPr>
                <w:rFonts w:hint="eastAsia" w:ascii="宋体" w:hAnsi="宋体" w:eastAsia="宋体" w:cs="宋体"/>
                <w:sz w:val="18"/>
                <w:szCs w:val="18"/>
              </w:rPr>
            </w:pPr>
            <w:r>
              <w:rPr>
                <w:rFonts w:hint="eastAsia" w:ascii="宋体" w:hAnsi="宋体" w:eastAsia="宋体" w:cs="宋体"/>
                <w:sz w:val="18"/>
                <w:szCs w:val="18"/>
              </w:rPr>
              <w:t>预算执行（25分）</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宋体" w:hAnsi="宋体" w:eastAsia="宋体" w:cs="宋体"/>
                <w:sz w:val="18"/>
                <w:szCs w:val="18"/>
              </w:rPr>
            </w:pPr>
            <w:r>
              <w:rPr>
                <w:rFonts w:hint="eastAsia" w:ascii="宋体" w:hAnsi="宋体" w:eastAsia="宋体" w:cs="宋体"/>
                <w:sz w:val="18"/>
                <w:szCs w:val="18"/>
              </w:rPr>
              <w:t>执行进度</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项目预算执行率</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5</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5</w:t>
            </w:r>
          </w:p>
        </w:tc>
      </w:tr>
      <w:tr>
        <w:tblPrEx>
          <w:tblCellMar>
            <w:top w:w="0" w:type="dxa"/>
            <w:left w:w="0" w:type="dxa"/>
            <w:bottom w:w="0" w:type="dxa"/>
            <w:right w:w="0"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both"/>
              <w:rPr>
                <w:rFonts w:hint="eastAsia" w:ascii="宋体" w:hAnsi="宋体" w:eastAsia="宋体" w:cs="宋体"/>
                <w:sz w:val="18"/>
                <w:szCs w:val="18"/>
              </w:rPr>
            </w:pP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宋体" w:hAnsi="宋体" w:eastAsia="宋体" w:cs="宋体"/>
                <w:sz w:val="18"/>
                <w:szCs w:val="18"/>
              </w:rPr>
            </w:pPr>
            <w:r>
              <w:rPr>
                <w:rFonts w:hint="eastAsia" w:ascii="宋体" w:hAnsi="宋体" w:eastAsia="宋体" w:cs="宋体"/>
                <w:sz w:val="18"/>
                <w:szCs w:val="18"/>
              </w:rPr>
              <w:t>预算调整</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预算调整率</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5</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5</w:t>
            </w:r>
          </w:p>
        </w:tc>
      </w:tr>
      <w:tr>
        <w:tblPrEx>
          <w:tblCellMar>
            <w:top w:w="0" w:type="dxa"/>
            <w:left w:w="0" w:type="dxa"/>
            <w:bottom w:w="0" w:type="dxa"/>
            <w:right w:w="0" w:type="dxa"/>
          </w:tblCellMar>
        </w:tblPrEx>
        <w:trPr>
          <w:trHeight w:val="450"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both"/>
              <w:rPr>
                <w:rFonts w:hint="eastAsia" w:ascii="宋体" w:hAnsi="宋体" w:eastAsia="宋体" w:cs="宋体"/>
                <w:sz w:val="18"/>
                <w:szCs w:val="18"/>
              </w:rPr>
            </w:pP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宋体" w:hAnsi="宋体" w:eastAsia="宋体" w:cs="宋体"/>
                <w:sz w:val="18"/>
                <w:szCs w:val="18"/>
              </w:rPr>
            </w:pPr>
            <w:r>
              <w:rPr>
                <w:rFonts w:hint="eastAsia" w:ascii="宋体" w:hAnsi="宋体" w:eastAsia="宋体" w:cs="宋体"/>
                <w:sz w:val="18"/>
                <w:szCs w:val="18"/>
              </w:rPr>
              <w:t>经费控制</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公用经费控制率</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r>
      <w:tr>
        <w:tblPrEx>
          <w:tblCellMar>
            <w:top w:w="0" w:type="dxa"/>
            <w:left w:w="0" w:type="dxa"/>
            <w:bottom w:w="0" w:type="dxa"/>
            <w:right w:w="0" w:type="dxa"/>
          </w:tblCellMar>
        </w:tblPrEx>
        <w:trPr>
          <w:trHeight w:val="450"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both"/>
              <w:rPr>
                <w:rFonts w:hint="eastAsia" w:ascii="宋体" w:hAnsi="宋体" w:eastAsia="宋体" w:cs="宋体"/>
                <w:sz w:val="18"/>
                <w:szCs w:val="18"/>
              </w:rPr>
            </w:pPr>
          </w:p>
        </w:tc>
        <w:tc>
          <w:tcPr>
            <w:tcW w:w="12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宋体" w:hAnsi="宋体" w:eastAsia="宋体" w:cs="宋体"/>
                <w:sz w:val="18"/>
                <w:szCs w:val="18"/>
              </w:rPr>
            </w:pPr>
            <w:r>
              <w:rPr>
                <w:rFonts w:hint="eastAsia" w:ascii="宋体" w:hAnsi="宋体" w:eastAsia="宋体" w:cs="宋体"/>
                <w:sz w:val="18"/>
                <w:szCs w:val="18"/>
              </w:rPr>
              <w:t>政府采购</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政府采购计划编制</w:t>
            </w:r>
          </w:p>
        </w:tc>
        <w:tc>
          <w:tcPr>
            <w:tcW w:w="0" w:type="auto"/>
            <w:tcBorders>
              <w:top w:val="nil"/>
              <w:left w:val="nil"/>
              <w:bottom w:val="nil"/>
              <w:right w:val="nil"/>
            </w:tcBorders>
            <w:noWrap/>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c>
          <w:tcPr>
            <w:tcW w:w="151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p>
        </w:tc>
      </w:tr>
      <w:tr>
        <w:tblPrEx>
          <w:tblCellMar>
            <w:top w:w="0" w:type="dxa"/>
            <w:left w:w="0" w:type="dxa"/>
            <w:bottom w:w="0" w:type="dxa"/>
            <w:right w:w="0" w:type="dxa"/>
          </w:tblCellMar>
        </w:tblPrEx>
        <w:trPr>
          <w:trHeight w:val="450"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both"/>
              <w:rPr>
                <w:rFonts w:hint="eastAsia" w:ascii="宋体" w:hAnsi="宋体" w:eastAsia="宋体" w:cs="宋体"/>
                <w:sz w:val="18"/>
                <w:szCs w:val="18"/>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政府采购计划执行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c>
          <w:tcPr>
            <w:tcW w:w="151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p>
        </w:tc>
      </w:tr>
      <w:tr>
        <w:tblPrEx>
          <w:tblCellMar>
            <w:top w:w="0" w:type="dxa"/>
            <w:left w:w="0" w:type="dxa"/>
            <w:bottom w:w="0" w:type="dxa"/>
            <w:right w:w="0" w:type="dxa"/>
          </w:tblCellMar>
        </w:tblPrEx>
        <w:trPr>
          <w:trHeight w:val="450"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both"/>
              <w:rPr>
                <w:rFonts w:hint="eastAsia" w:ascii="宋体" w:hAnsi="宋体" w:eastAsia="宋体" w:cs="宋体"/>
                <w:sz w:val="18"/>
                <w:szCs w:val="18"/>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政府采购完成率</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r>
      <w:tr>
        <w:tblPrEx>
          <w:tblCellMar>
            <w:top w:w="0" w:type="dxa"/>
            <w:left w:w="0" w:type="dxa"/>
            <w:bottom w:w="0" w:type="dxa"/>
            <w:right w:w="0" w:type="dxa"/>
          </w:tblCellMar>
        </w:tblPrEx>
        <w:trPr>
          <w:trHeight w:val="450"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both"/>
              <w:rPr>
                <w:rFonts w:hint="eastAsia" w:ascii="宋体" w:hAnsi="宋体" w:eastAsia="宋体" w:cs="宋体"/>
                <w:sz w:val="18"/>
                <w:szCs w:val="18"/>
              </w:rPr>
            </w:pPr>
          </w:p>
        </w:tc>
        <w:tc>
          <w:tcPr>
            <w:tcW w:w="12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宋体" w:hAnsi="宋体" w:eastAsia="宋体" w:cs="宋体"/>
                <w:sz w:val="18"/>
                <w:szCs w:val="18"/>
              </w:rPr>
            </w:pPr>
            <w:r>
              <w:rPr>
                <w:rFonts w:hint="eastAsia" w:ascii="宋体" w:hAnsi="宋体" w:eastAsia="宋体" w:cs="宋体"/>
                <w:sz w:val="18"/>
                <w:szCs w:val="18"/>
              </w:rPr>
              <w:t>预算管理</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资金使用合规性</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c>
          <w:tcPr>
            <w:tcW w:w="151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r>
      <w:tr>
        <w:tblPrEx>
          <w:tblCellMar>
            <w:top w:w="0" w:type="dxa"/>
            <w:left w:w="0" w:type="dxa"/>
            <w:bottom w:w="0" w:type="dxa"/>
            <w:right w:w="0" w:type="dxa"/>
          </w:tblCellMar>
        </w:tblPrEx>
        <w:trPr>
          <w:trHeight w:val="450"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both"/>
              <w:rPr>
                <w:rFonts w:hint="eastAsia" w:ascii="宋体" w:hAnsi="宋体" w:eastAsia="宋体" w:cs="宋体"/>
                <w:sz w:val="18"/>
                <w:szCs w:val="18"/>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资金使用合理性</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r>
      <w:tr>
        <w:tblPrEx>
          <w:tblCellMar>
            <w:top w:w="0" w:type="dxa"/>
            <w:left w:w="0" w:type="dxa"/>
            <w:bottom w:w="0" w:type="dxa"/>
            <w:right w:w="0"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both"/>
              <w:rPr>
                <w:rFonts w:hint="eastAsia" w:ascii="宋体" w:hAnsi="宋体" w:eastAsia="宋体" w:cs="宋体"/>
                <w:sz w:val="18"/>
                <w:szCs w:val="18"/>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整改落实</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3</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3</w:t>
            </w:r>
          </w:p>
        </w:tc>
      </w:tr>
      <w:tr>
        <w:tblPrEx>
          <w:tblCellMar>
            <w:top w:w="0" w:type="dxa"/>
            <w:left w:w="0" w:type="dxa"/>
            <w:bottom w:w="0" w:type="dxa"/>
            <w:right w:w="0" w:type="dxa"/>
          </w:tblCellMar>
        </w:tblPrEx>
        <w:trPr>
          <w:trHeight w:val="450" w:hRule="atLeast"/>
        </w:trPr>
        <w:tc>
          <w:tcPr>
            <w:tcW w:w="9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both"/>
              <w:rPr>
                <w:rFonts w:hint="eastAsia" w:ascii="宋体" w:hAnsi="宋体" w:eastAsia="宋体" w:cs="宋体"/>
                <w:sz w:val="18"/>
                <w:szCs w:val="18"/>
              </w:rPr>
            </w:pPr>
            <w:r>
              <w:rPr>
                <w:rFonts w:hint="eastAsia" w:ascii="宋体" w:hAnsi="宋体" w:eastAsia="宋体" w:cs="宋体"/>
                <w:sz w:val="18"/>
                <w:szCs w:val="18"/>
              </w:rPr>
              <w:t>综合管理（25分）</w:t>
            </w:r>
          </w:p>
        </w:tc>
        <w:tc>
          <w:tcPr>
            <w:tcW w:w="12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宋体" w:hAnsi="宋体" w:eastAsia="宋体" w:cs="宋体"/>
                <w:sz w:val="18"/>
                <w:szCs w:val="18"/>
              </w:rPr>
            </w:pPr>
            <w:r>
              <w:rPr>
                <w:rFonts w:hint="eastAsia" w:ascii="宋体" w:hAnsi="宋体" w:eastAsia="宋体" w:cs="宋体"/>
                <w:sz w:val="18"/>
                <w:szCs w:val="18"/>
              </w:rPr>
              <w:t>资产管理</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资产管理制度健全性</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r>
      <w:tr>
        <w:tblPrEx>
          <w:tblCellMar>
            <w:top w:w="0" w:type="dxa"/>
            <w:left w:w="0" w:type="dxa"/>
            <w:bottom w:w="0" w:type="dxa"/>
            <w:right w:w="0" w:type="dxa"/>
          </w:tblCellMar>
        </w:tblPrEx>
        <w:trPr>
          <w:trHeight w:val="675"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both"/>
              <w:rPr>
                <w:rFonts w:hint="eastAsia" w:ascii="宋体" w:hAnsi="宋体" w:eastAsia="宋体" w:cs="宋体"/>
                <w:sz w:val="18"/>
                <w:szCs w:val="18"/>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资产管理信息系统建设情况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r>
      <w:tr>
        <w:tblPrEx>
          <w:tblCellMar>
            <w:top w:w="0" w:type="dxa"/>
            <w:left w:w="0" w:type="dxa"/>
            <w:bottom w:w="0" w:type="dxa"/>
            <w:right w:w="0" w:type="dxa"/>
          </w:tblCellMar>
        </w:tblPrEx>
        <w:trPr>
          <w:trHeight w:val="675"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both"/>
              <w:rPr>
                <w:rFonts w:hint="eastAsia" w:ascii="宋体" w:hAnsi="宋体" w:eastAsia="宋体" w:cs="宋体"/>
                <w:sz w:val="18"/>
                <w:szCs w:val="18"/>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行政事业单位资产清查开展情况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r>
      <w:tr>
        <w:tblPrEx>
          <w:tblCellMar>
            <w:top w:w="0" w:type="dxa"/>
            <w:left w:w="0" w:type="dxa"/>
            <w:bottom w:w="0" w:type="dxa"/>
            <w:right w:w="0" w:type="dxa"/>
          </w:tblCellMar>
        </w:tblPrEx>
        <w:trPr>
          <w:trHeight w:val="675"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both"/>
              <w:rPr>
                <w:rFonts w:hint="eastAsia" w:ascii="宋体" w:hAnsi="宋体" w:eastAsia="宋体" w:cs="宋体"/>
                <w:sz w:val="18"/>
                <w:szCs w:val="18"/>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行政事业单位资产报表上报情况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r>
      <w:tr>
        <w:tblPrEx>
          <w:tblCellMar>
            <w:top w:w="0" w:type="dxa"/>
            <w:left w:w="0" w:type="dxa"/>
            <w:bottom w:w="0" w:type="dxa"/>
            <w:right w:w="0" w:type="dxa"/>
          </w:tblCellMar>
        </w:tblPrEx>
        <w:trPr>
          <w:trHeight w:val="450"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both"/>
              <w:rPr>
                <w:rFonts w:hint="eastAsia" w:ascii="宋体" w:hAnsi="宋体" w:eastAsia="宋体" w:cs="宋体"/>
                <w:sz w:val="18"/>
                <w:szCs w:val="18"/>
              </w:rPr>
            </w:pP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宋体" w:hAnsi="宋体" w:eastAsia="宋体" w:cs="宋体"/>
                <w:sz w:val="18"/>
                <w:szCs w:val="18"/>
              </w:rPr>
            </w:pPr>
            <w:r>
              <w:rPr>
                <w:rFonts w:hint="eastAsia" w:ascii="宋体" w:hAnsi="宋体" w:eastAsia="宋体" w:cs="宋体"/>
                <w:sz w:val="18"/>
                <w:szCs w:val="18"/>
              </w:rPr>
              <w:t>内控制度管理</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内部控制度健全完整</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r>
      <w:tr>
        <w:tblPrEx>
          <w:tblCellMar>
            <w:top w:w="0" w:type="dxa"/>
            <w:left w:w="0" w:type="dxa"/>
            <w:bottom w:w="0" w:type="dxa"/>
            <w:right w:w="0"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both"/>
              <w:rPr>
                <w:rFonts w:hint="eastAsia" w:ascii="宋体" w:hAnsi="宋体" w:eastAsia="宋体" w:cs="宋体"/>
                <w:sz w:val="18"/>
                <w:szCs w:val="18"/>
              </w:rPr>
            </w:pPr>
          </w:p>
        </w:tc>
        <w:tc>
          <w:tcPr>
            <w:tcW w:w="12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宋体" w:hAnsi="宋体" w:eastAsia="宋体" w:cs="宋体"/>
                <w:sz w:val="18"/>
                <w:szCs w:val="18"/>
              </w:rPr>
            </w:pPr>
            <w:r>
              <w:rPr>
                <w:rFonts w:hint="eastAsia" w:ascii="宋体" w:hAnsi="宋体" w:eastAsia="宋体" w:cs="宋体"/>
                <w:sz w:val="18"/>
                <w:szCs w:val="18"/>
              </w:rPr>
              <w:t>信息公开</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预算公开</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r>
      <w:tr>
        <w:tblPrEx>
          <w:tblCellMar>
            <w:top w:w="0" w:type="dxa"/>
            <w:left w:w="0" w:type="dxa"/>
            <w:bottom w:w="0" w:type="dxa"/>
            <w:right w:w="0"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both"/>
              <w:rPr>
                <w:rFonts w:hint="eastAsia" w:ascii="宋体" w:hAnsi="宋体" w:eastAsia="宋体" w:cs="宋体"/>
                <w:sz w:val="18"/>
                <w:szCs w:val="18"/>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决算公开</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r>
      <w:tr>
        <w:tblPrEx>
          <w:tblCellMar>
            <w:top w:w="0" w:type="dxa"/>
            <w:left w:w="0" w:type="dxa"/>
            <w:bottom w:w="0" w:type="dxa"/>
            <w:right w:w="0" w:type="dxa"/>
          </w:tblCellMar>
        </w:tblPrEx>
        <w:trPr>
          <w:trHeight w:val="450"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both"/>
              <w:rPr>
                <w:rFonts w:hint="eastAsia" w:ascii="宋体" w:hAnsi="宋体" w:eastAsia="宋体" w:cs="宋体"/>
                <w:sz w:val="18"/>
                <w:szCs w:val="18"/>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绩效信息公开</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r>
      <w:tr>
        <w:tblPrEx>
          <w:tblCellMar>
            <w:top w:w="0" w:type="dxa"/>
            <w:left w:w="0" w:type="dxa"/>
            <w:bottom w:w="0" w:type="dxa"/>
            <w:right w:w="0" w:type="dxa"/>
          </w:tblCellMar>
        </w:tblPrEx>
        <w:trPr>
          <w:trHeight w:val="450"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both"/>
              <w:rPr>
                <w:rFonts w:hint="eastAsia" w:ascii="宋体" w:hAnsi="宋体" w:eastAsia="宋体" w:cs="宋体"/>
                <w:sz w:val="18"/>
                <w:szCs w:val="18"/>
              </w:rPr>
            </w:pPr>
          </w:p>
        </w:tc>
        <w:tc>
          <w:tcPr>
            <w:tcW w:w="12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宋体" w:hAnsi="宋体" w:eastAsia="宋体" w:cs="宋体"/>
                <w:sz w:val="18"/>
                <w:szCs w:val="18"/>
              </w:rPr>
            </w:pPr>
            <w:r>
              <w:rPr>
                <w:rFonts w:hint="eastAsia" w:ascii="宋体" w:hAnsi="宋体" w:eastAsia="宋体" w:cs="宋体"/>
                <w:sz w:val="18"/>
                <w:szCs w:val="18"/>
              </w:rPr>
              <w:t>绩效评价</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评价项目覆盖率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3</w:t>
            </w:r>
          </w:p>
        </w:tc>
      </w:tr>
      <w:tr>
        <w:tblPrEx>
          <w:tblCellMar>
            <w:top w:w="0" w:type="dxa"/>
            <w:left w:w="0" w:type="dxa"/>
            <w:bottom w:w="0" w:type="dxa"/>
            <w:right w:w="0"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both"/>
              <w:rPr>
                <w:rFonts w:hint="eastAsia" w:ascii="宋体" w:hAnsi="宋体" w:eastAsia="宋体" w:cs="宋体"/>
                <w:sz w:val="18"/>
                <w:szCs w:val="18"/>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评价层次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r>
      <w:tr>
        <w:tblPrEx>
          <w:tblCellMar>
            <w:top w:w="0" w:type="dxa"/>
            <w:left w:w="0" w:type="dxa"/>
            <w:bottom w:w="0" w:type="dxa"/>
            <w:right w:w="0" w:type="dxa"/>
          </w:tblCellMar>
        </w:tblPrEx>
        <w:trPr>
          <w:trHeight w:val="450"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both"/>
              <w:rPr>
                <w:rFonts w:hint="eastAsia" w:ascii="宋体" w:hAnsi="宋体" w:eastAsia="宋体" w:cs="宋体"/>
                <w:sz w:val="18"/>
                <w:szCs w:val="18"/>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评价结果报告</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r>
      <w:tr>
        <w:tblPrEx>
          <w:tblCellMar>
            <w:top w:w="0" w:type="dxa"/>
            <w:left w:w="0" w:type="dxa"/>
            <w:bottom w:w="0" w:type="dxa"/>
            <w:right w:w="0"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both"/>
              <w:rPr>
                <w:rFonts w:hint="eastAsia" w:ascii="宋体" w:hAnsi="宋体" w:eastAsia="宋体" w:cs="宋体"/>
                <w:sz w:val="18"/>
                <w:szCs w:val="18"/>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整改完成率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2</w:t>
            </w:r>
          </w:p>
        </w:tc>
      </w:tr>
      <w:tr>
        <w:tblPrEx>
          <w:tblCellMar>
            <w:top w:w="0" w:type="dxa"/>
            <w:left w:w="0" w:type="dxa"/>
            <w:bottom w:w="0" w:type="dxa"/>
            <w:right w:w="0" w:type="dxa"/>
          </w:tblCellMar>
        </w:tblPrEx>
        <w:trPr>
          <w:trHeight w:val="270" w:hRule="atLeast"/>
        </w:trPr>
        <w:tc>
          <w:tcPr>
            <w:tcW w:w="9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both"/>
              <w:rPr>
                <w:rFonts w:hint="eastAsia" w:ascii="宋体" w:hAnsi="宋体" w:eastAsia="宋体" w:cs="宋体"/>
                <w:sz w:val="18"/>
                <w:szCs w:val="18"/>
              </w:rPr>
            </w:pPr>
            <w:r>
              <w:rPr>
                <w:rFonts w:hint="eastAsia" w:ascii="宋体" w:hAnsi="宋体" w:eastAsia="宋体" w:cs="宋体"/>
                <w:sz w:val="18"/>
                <w:szCs w:val="18"/>
              </w:rPr>
              <w:t>履职成效（35分）</w:t>
            </w:r>
          </w:p>
        </w:tc>
        <w:tc>
          <w:tcPr>
            <w:tcW w:w="12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数量指标</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4</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4</w:t>
            </w:r>
          </w:p>
        </w:tc>
      </w:tr>
      <w:tr>
        <w:tblPrEx>
          <w:tblCellMar>
            <w:top w:w="0" w:type="dxa"/>
            <w:left w:w="0" w:type="dxa"/>
            <w:bottom w:w="0" w:type="dxa"/>
            <w:right w:w="0"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both"/>
              <w:rPr>
                <w:rFonts w:hint="eastAsia" w:ascii="宋体" w:hAnsi="宋体" w:eastAsia="宋体" w:cs="宋体"/>
                <w:sz w:val="18"/>
                <w:szCs w:val="18"/>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质量指标</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5</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5</w:t>
            </w:r>
          </w:p>
        </w:tc>
      </w:tr>
      <w:tr>
        <w:tblPrEx>
          <w:tblCellMar>
            <w:top w:w="0" w:type="dxa"/>
            <w:left w:w="0" w:type="dxa"/>
            <w:bottom w:w="0" w:type="dxa"/>
            <w:right w:w="0"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both"/>
              <w:rPr>
                <w:rFonts w:hint="eastAsia" w:ascii="宋体" w:hAnsi="宋体" w:eastAsia="宋体" w:cs="宋体"/>
                <w:sz w:val="18"/>
                <w:szCs w:val="18"/>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时效指标</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4</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4</w:t>
            </w:r>
          </w:p>
        </w:tc>
      </w:tr>
      <w:tr>
        <w:tblPrEx>
          <w:tblCellMar>
            <w:top w:w="0" w:type="dxa"/>
            <w:left w:w="0" w:type="dxa"/>
            <w:bottom w:w="0" w:type="dxa"/>
            <w:right w:w="0"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both"/>
              <w:rPr>
                <w:rFonts w:hint="eastAsia" w:ascii="宋体" w:hAnsi="宋体" w:eastAsia="宋体" w:cs="宋体"/>
                <w:sz w:val="18"/>
                <w:szCs w:val="18"/>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成本指标</w:t>
            </w:r>
          </w:p>
        </w:tc>
        <w:tc>
          <w:tcPr>
            <w:tcW w:w="151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5</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5</w:t>
            </w:r>
          </w:p>
        </w:tc>
      </w:tr>
      <w:tr>
        <w:tblPrEx>
          <w:tblCellMar>
            <w:top w:w="0" w:type="dxa"/>
            <w:left w:w="0" w:type="dxa"/>
            <w:bottom w:w="0" w:type="dxa"/>
            <w:right w:w="0"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both"/>
              <w:rPr>
                <w:rFonts w:hint="eastAsia" w:ascii="宋体" w:hAnsi="宋体" w:eastAsia="宋体" w:cs="宋体"/>
                <w:sz w:val="18"/>
                <w:szCs w:val="18"/>
              </w:rPr>
            </w:pPr>
          </w:p>
        </w:tc>
        <w:tc>
          <w:tcPr>
            <w:tcW w:w="12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经济效益</w:t>
            </w:r>
          </w:p>
        </w:tc>
        <w:tc>
          <w:tcPr>
            <w:tcW w:w="15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both"/>
              <w:rPr>
                <w:rFonts w:hint="eastAsia" w:ascii="宋体" w:hAnsi="宋体" w:eastAsia="宋体" w:cs="宋体"/>
                <w:sz w:val="18"/>
                <w:szCs w:val="18"/>
              </w:rPr>
            </w:pPr>
            <w:r>
              <w:rPr>
                <w:rFonts w:hint="eastAsia" w:ascii="宋体" w:hAnsi="宋体" w:eastAsia="宋体" w:cs="宋体"/>
                <w:sz w:val="18"/>
                <w:szCs w:val="18"/>
              </w:rPr>
              <w:t>12（根据需要增减指标并赋分值）</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p>
        </w:tc>
      </w:tr>
      <w:tr>
        <w:tblPrEx>
          <w:tblCellMar>
            <w:top w:w="0" w:type="dxa"/>
            <w:left w:w="0" w:type="dxa"/>
            <w:bottom w:w="0" w:type="dxa"/>
            <w:right w:w="0"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both"/>
              <w:rPr>
                <w:rFonts w:hint="eastAsia" w:ascii="宋体" w:hAnsi="宋体" w:eastAsia="宋体" w:cs="宋体"/>
                <w:sz w:val="18"/>
                <w:szCs w:val="18"/>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社会效益</w:t>
            </w: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p>
        </w:tc>
      </w:tr>
      <w:tr>
        <w:tblPrEx>
          <w:tblCellMar>
            <w:top w:w="0" w:type="dxa"/>
            <w:left w:w="0" w:type="dxa"/>
            <w:bottom w:w="0" w:type="dxa"/>
            <w:right w:w="0"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both"/>
              <w:rPr>
                <w:rFonts w:hint="eastAsia" w:ascii="宋体" w:hAnsi="宋体" w:eastAsia="宋体" w:cs="宋体"/>
                <w:sz w:val="18"/>
                <w:szCs w:val="18"/>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环境效益</w:t>
            </w: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3</w:t>
            </w:r>
          </w:p>
        </w:tc>
      </w:tr>
      <w:tr>
        <w:tblPrEx>
          <w:tblCellMar>
            <w:top w:w="0" w:type="dxa"/>
            <w:left w:w="0" w:type="dxa"/>
            <w:bottom w:w="0" w:type="dxa"/>
            <w:right w:w="0"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both"/>
              <w:rPr>
                <w:rFonts w:hint="eastAsia" w:ascii="宋体" w:hAnsi="宋体" w:eastAsia="宋体" w:cs="宋体"/>
                <w:sz w:val="18"/>
                <w:szCs w:val="18"/>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可持续性</w:t>
            </w: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3</w:t>
            </w:r>
          </w:p>
        </w:tc>
      </w:tr>
      <w:tr>
        <w:tblPrEx>
          <w:tblCellMar>
            <w:top w:w="0" w:type="dxa"/>
            <w:left w:w="0" w:type="dxa"/>
            <w:bottom w:w="0" w:type="dxa"/>
            <w:right w:w="0" w:type="dxa"/>
          </w:tblCellMar>
        </w:tblPrEx>
        <w:trPr>
          <w:trHeight w:val="675"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both"/>
              <w:rPr>
                <w:rFonts w:hint="eastAsia" w:ascii="宋体" w:hAnsi="宋体" w:eastAsia="宋体" w:cs="宋体"/>
                <w:sz w:val="18"/>
                <w:szCs w:val="18"/>
              </w:rPr>
            </w:pP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宋体" w:hAnsi="宋体" w:eastAsia="宋体" w:cs="宋体"/>
                <w:sz w:val="18"/>
                <w:szCs w:val="18"/>
              </w:rPr>
            </w:pPr>
            <w:r>
              <w:rPr>
                <w:rFonts w:hint="eastAsia" w:ascii="宋体" w:hAnsi="宋体" w:eastAsia="宋体" w:cs="宋体"/>
                <w:sz w:val="18"/>
                <w:szCs w:val="18"/>
              </w:rPr>
              <w:t>满意度-5</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社会公众与服务对象满意度</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5</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4.8</w:t>
            </w:r>
          </w:p>
        </w:tc>
      </w:tr>
      <w:tr>
        <w:tblPrEx>
          <w:tblCellMar>
            <w:top w:w="0" w:type="dxa"/>
            <w:left w:w="0" w:type="dxa"/>
            <w:bottom w:w="0" w:type="dxa"/>
            <w:right w:w="0" w:type="dxa"/>
          </w:tblCellMar>
        </w:tblPrEx>
        <w:trPr>
          <w:trHeight w:val="270" w:hRule="atLeast"/>
        </w:trPr>
        <w:tc>
          <w:tcPr>
            <w:tcW w:w="97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both"/>
              <w:rPr>
                <w:rFonts w:hint="eastAsia" w:ascii="宋体" w:hAnsi="宋体" w:eastAsia="宋体" w:cs="宋体"/>
                <w:sz w:val="18"/>
                <w:szCs w:val="18"/>
              </w:rPr>
            </w:pPr>
            <w:r>
              <w:rPr>
                <w:rFonts w:hint="eastAsia" w:ascii="宋体" w:hAnsi="宋体" w:eastAsia="宋体" w:cs="宋体"/>
                <w:sz w:val="18"/>
                <w:szCs w:val="18"/>
              </w:rPr>
              <w:t>合计</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100</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97.8</w:t>
            </w:r>
          </w:p>
        </w:tc>
      </w:tr>
    </w:tbl>
    <w:p>
      <w:pPr>
        <w:adjustRightInd w:val="0"/>
        <w:snapToGrid w:val="0"/>
        <w:spacing w:line="560" w:lineRule="exact"/>
        <w:ind w:firstLine="640" w:firstLineChars="200"/>
        <w:jc w:val="left"/>
        <w:rPr>
          <w:rFonts w:hint="default" w:ascii="仿宋_GB2312" w:hAnsi="仿宋_GB2312" w:eastAsia="仿宋_GB2312" w:cs="仿宋_GB2312"/>
          <w:sz w:val="32"/>
          <w:szCs w:val="32"/>
          <w:lang w:val="en-US" w:eastAsia="zh-CN"/>
        </w:rPr>
      </w:pPr>
    </w:p>
    <w:p>
      <w:pPr>
        <w:adjustRightInd w:val="0"/>
        <w:snapToGrid w:val="0"/>
        <w:spacing w:line="560" w:lineRule="exact"/>
        <w:ind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综合以上各项指标，财务管理健全规范，没有发生违法违规现象，20</w:t>
      </w:r>
      <w:r>
        <w:rPr>
          <w:rFonts w:hint="eastAsia"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lang w:val="en-US" w:eastAsia="zh-CN"/>
        </w:rPr>
        <w:t>年的部门整体支出绩效自我评价得到97</w:t>
      </w: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分。我们将在以后的工作中加强预算管理，严格控制各项经费的开支，提高经费的使用效率。</w:t>
      </w:r>
    </w:p>
    <w:p>
      <w:pPr>
        <w:snapToGrid w:val="0"/>
        <w:spacing w:line="560" w:lineRule="exact"/>
        <w:ind w:left="420" w:leftChars="200"/>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val="en-US" w:eastAsia="zh-CN"/>
        </w:rPr>
        <w:t>二</w:t>
      </w: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val="en-US" w:eastAsia="zh-CN"/>
        </w:rPr>
        <w:t>存在</w:t>
      </w:r>
      <w:r>
        <w:rPr>
          <w:rFonts w:hint="eastAsia" w:ascii="楷体_GB2312" w:hAnsi="楷体_GB2312" w:eastAsia="楷体_GB2312" w:cs="楷体_GB2312"/>
          <w:b w:val="0"/>
          <w:bCs w:val="0"/>
          <w:sz w:val="32"/>
          <w:szCs w:val="32"/>
          <w:highlight w:val="none"/>
        </w:rPr>
        <w:t>问题</w:t>
      </w:r>
    </w:p>
    <w:p>
      <w:pPr>
        <w:adjustRightInd w:val="0"/>
        <w:snapToGrid w:val="0"/>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1、年初预算金额只对经费进行预算，造成预算金额与决算数据调整增大。调整原因为向上争取项目资金增加及当年机构改革，原农工委合并。</w:t>
      </w:r>
    </w:p>
    <w:p>
      <w:pPr>
        <w:adjustRightInd w:val="0"/>
        <w:snapToGrid w:val="0"/>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现代农业发展水平较低。主要是机械化程度上不去，支持农业发展资金短缺，规模化、标准化水平不高，经营主体带动能力不强。农产品生产龙头企业带动少，商品化程度不高，农业产业链条短，农产品市场竞争能力不强，难以适应现代农业发展和农民持续增收。</w:t>
      </w:r>
    </w:p>
    <w:p>
      <w:pPr>
        <w:adjustRightInd w:val="0"/>
        <w:snapToGrid w:val="0"/>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3、产业发展保障乏力。主要是农业技术人才缺乏，区乡村整体联动不够，尤其是乡镇层面，重基础建设轻产业发展现象仍然存在。</w:t>
      </w:r>
    </w:p>
    <w:p>
      <w:pPr>
        <w:adjustRightInd w:val="0"/>
        <w:snapToGrid w:val="0"/>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4、财务管理及会计核算有待加强，工作人员业务水平有待进一步提高。</w:t>
      </w:r>
    </w:p>
    <w:p>
      <w:pPr>
        <w:snapToGrid w:val="0"/>
        <w:spacing w:line="560" w:lineRule="exact"/>
        <w:ind w:left="420" w:leftChars="20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val="en-US" w:eastAsia="zh-CN"/>
        </w:rPr>
        <w:t>三</w:t>
      </w:r>
      <w:r>
        <w:rPr>
          <w:rFonts w:hint="eastAsia" w:ascii="楷体_GB2312" w:hAnsi="楷体_GB2312" w:eastAsia="楷体_GB2312" w:cs="楷体_GB2312"/>
          <w:b w:val="0"/>
          <w:bCs w:val="0"/>
          <w:sz w:val="32"/>
          <w:szCs w:val="32"/>
          <w:highlight w:val="none"/>
        </w:rPr>
        <w:t>）改进</w:t>
      </w:r>
      <w:r>
        <w:rPr>
          <w:rFonts w:hint="eastAsia" w:ascii="楷体_GB2312" w:hAnsi="楷体_GB2312" w:eastAsia="楷体_GB2312" w:cs="楷体_GB2312"/>
          <w:b w:val="0"/>
          <w:bCs w:val="0"/>
          <w:sz w:val="32"/>
          <w:szCs w:val="32"/>
          <w:highlight w:val="none"/>
          <w:lang w:val="en-US" w:eastAsia="zh-CN"/>
        </w:rPr>
        <w:t>建议</w:t>
      </w:r>
    </w:p>
    <w:p>
      <w:pPr>
        <w:adjustRightInd w:val="0"/>
        <w:snapToGrid w:val="0"/>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1、加强绩效目标管理和审核，将绩效目标设置作为预算安排的前置条件，提高绩效目标编报质量，形成项目实施、监控、结果评价的依据。</w:t>
      </w:r>
    </w:p>
    <w:p>
      <w:pPr>
        <w:adjustRightInd w:val="0"/>
        <w:snapToGrid w:val="0"/>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2、加强预算编制学习，不断提高预算编制质量，严格执行政府采购。</w:t>
      </w:r>
    </w:p>
    <w:p>
      <w:pPr>
        <w:adjustRightInd w:val="0"/>
        <w:snapToGrid w:val="0"/>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3、强化资产管理，逐步完善资产管理各项细节。</w:t>
      </w:r>
    </w:p>
    <w:p>
      <w:pPr>
        <w:adjustRightInd w:val="0"/>
        <w:snapToGrid w:val="0"/>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4、加强思想道德教育，不断提高个人思想素质，树立全心全意为人民服务思想，强化业务知识学习，不断提高业务水平和工作能力。</w:t>
      </w:r>
    </w:p>
    <w:p>
      <w:pPr>
        <w:spacing w:line="600" w:lineRule="exact"/>
        <w:jc w:val="center"/>
        <w:outlineLvl w:val="0"/>
        <w:rPr>
          <w:rStyle w:val="22"/>
          <w:rFonts w:ascii="黑体" w:hAnsi="黑体" w:eastAsia="黑体"/>
          <w:b w:val="0"/>
        </w:rPr>
      </w:pPr>
      <w:r>
        <w:rPr>
          <w:rFonts w:ascii="仿宋_GB2312" w:hAnsi="仿宋" w:eastAsia="仿宋_GB2312"/>
          <w:sz w:val="32"/>
          <w:szCs w:val="32"/>
        </w:rPr>
        <w:br w:type="page"/>
      </w:r>
      <w:bookmarkStart w:id="29" w:name="_Toc15396618"/>
      <w:r>
        <w:rPr>
          <w:rFonts w:hint="eastAsia" w:ascii="黑体" w:hAnsi="黑体" w:eastAsia="黑体"/>
          <w:color w:val="000000"/>
          <w:sz w:val="44"/>
          <w:szCs w:val="44"/>
        </w:rPr>
        <w:t>第</w:t>
      </w:r>
      <w:r>
        <w:rPr>
          <w:rStyle w:val="22"/>
          <w:rFonts w:hint="eastAsia" w:ascii="黑体" w:hAnsi="黑体" w:eastAsia="黑体"/>
          <w:b w:val="0"/>
        </w:rPr>
        <w:t>五部分</w:t>
      </w:r>
      <w:r>
        <w:rPr>
          <w:rStyle w:val="22"/>
          <w:rFonts w:ascii="黑体" w:hAnsi="黑体" w:eastAsia="黑体"/>
          <w:b w:val="0"/>
        </w:rPr>
        <w:t xml:space="preserve"> </w:t>
      </w:r>
      <w:r>
        <w:rPr>
          <w:rStyle w:val="22"/>
          <w:rFonts w:hint="eastAsia" w:ascii="黑体" w:hAnsi="黑体" w:eastAsia="黑体"/>
          <w:b w:val="0"/>
        </w:rPr>
        <w:t>附表</w:t>
      </w:r>
      <w:bookmarkEnd w:id="29"/>
    </w:p>
    <w:p>
      <w:pPr>
        <w:pStyle w:val="4"/>
        <w:rPr>
          <w:rFonts w:ascii="仿宋" w:hAnsi="仿宋" w:eastAsia="仿宋"/>
          <w:color w:val="000000"/>
        </w:rPr>
      </w:pPr>
      <w:bookmarkStart w:id="30" w:name="_Toc15396619"/>
      <w:r>
        <w:rPr>
          <w:rFonts w:hint="eastAsia" w:ascii="仿宋" w:hAnsi="仿宋" w:eastAsia="仿宋"/>
          <w:b w:val="0"/>
          <w:color w:val="000000"/>
        </w:rPr>
        <w:t>一、收</w:t>
      </w:r>
      <w:r>
        <w:rPr>
          <w:rStyle w:val="21"/>
          <w:rFonts w:hint="eastAsia" w:ascii="仿宋" w:hAnsi="仿宋" w:eastAsia="仿宋"/>
          <w:b w:val="0"/>
          <w:bCs w:val="0"/>
        </w:rPr>
        <w:t>入支出决算总表</w:t>
      </w:r>
      <w:bookmarkEnd w:id="30"/>
    </w:p>
    <w:p>
      <w:pPr>
        <w:pStyle w:val="4"/>
        <w:rPr>
          <w:rFonts w:ascii="仿宋" w:hAnsi="仿宋" w:eastAsia="仿宋"/>
          <w:color w:val="000000"/>
        </w:rPr>
      </w:pPr>
      <w:bookmarkStart w:id="31" w:name="_Toc15396620"/>
      <w:r>
        <w:rPr>
          <w:rFonts w:hint="eastAsia" w:ascii="仿宋" w:hAnsi="仿宋" w:eastAsia="仿宋"/>
          <w:b w:val="0"/>
          <w:color w:val="000000"/>
        </w:rPr>
        <w:t>二、收</w:t>
      </w:r>
      <w:r>
        <w:rPr>
          <w:rStyle w:val="21"/>
          <w:rFonts w:hint="eastAsia" w:ascii="仿宋" w:hAnsi="仿宋" w:eastAsia="仿宋"/>
          <w:b w:val="0"/>
          <w:bCs w:val="0"/>
        </w:rPr>
        <w:t>入决算表</w:t>
      </w:r>
      <w:bookmarkEnd w:id="31"/>
    </w:p>
    <w:p>
      <w:pPr>
        <w:pStyle w:val="4"/>
        <w:rPr>
          <w:rFonts w:ascii="仿宋" w:hAnsi="仿宋" w:eastAsia="仿宋"/>
          <w:color w:val="000000"/>
        </w:rPr>
      </w:pPr>
      <w:bookmarkStart w:id="32" w:name="_Toc15396621"/>
      <w:r>
        <w:rPr>
          <w:rStyle w:val="21"/>
          <w:rFonts w:hint="eastAsia" w:ascii="仿宋" w:hAnsi="仿宋" w:eastAsia="仿宋"/>
          <w:b w:val="0"/>
          <w:bCs w:val="0"/>
        </w:rPr>
        <w:t>三、</w:t>
      </w:r>
      <w:r>
        <w:rPr>
          <w:rFonts w:hint="eastAsia" w:ascii="仿宋" w:hAnsi="仿宋" w:eastAsia="仿宋"/>
          <w:b w:val="0"/>
          <w:color w:val="000000"/>
        </w:rPr>
        <w:t>支</w:t>
      </w:r>
      <w:r>
        <w:rPr>
          <w:rStyle w:val="21"/>
          <w:rFonts w:hint="eastAsia" w:ascii="仿宋" w:hAnsi="仿宋" w:eastAsia="仿宋"/>
          <w:b w:val="0"/>
          <w:bCs w:val="0"/>
        </w:rPr>
        <w:t>出决算表</w:t>
      </w:r>
      <w:bookmarkEnd w:id="32"/>
    </w:p>
    <w:p>
      <w:pPr>
        <w:pStyle w:val="4"/>
        <w:rPr>
          <w:rFonts w:ascii="仿宋" w:hAnsi="仿宋" w:eastAsia="仿宋"/>
          <w:b w:val="0"/>
          <w:color w:val="000000"/>
        </w:rPr>
      </w:pPr>
      <w:bookmarkStart w:id="33" w:name="_Toc15396622"/>
      <w:r>
        <w:rPr>
          <w:rStyle w:val="21"/>
          <w:rFonts w:hint="eastAsia" w:ascii="仿宋" w:hAnsi="仿宋" w:eastAsia="仿宋"/>
          <w:b w:val="0"/>
          <w:bCs w:val="0"/>
        </w:rPr>
        <w:t>四、</w:t>
      </w:r>
      <w:r>
        <w:rPr>
          <w:rFonts w:hint="eastAsia" w:ascii="仿宋" w:hAnsi="仿宋" w:eastAsia="仿宋"/>
          <w:b w:val="0"/>
          <w:color w:val="000000"/>
        </w:rPr>
        <w:t>财</w:t>
      </w:r>
      <w:r>
        <w:rPr>
          <w:rStyle w:val="21"/>
          <w:rFonts w:hint="eastAsia" w:ascii="仿宋" w:hAnsi="仿宋" w:eastAsia="仿宋"/>
          <w:b w:val="0"/>
          <w:bCs w:val="0"/>
        </w:rPr>
        <w:t>政拨款收入支出决算总表</w:t>
      </w:r>
      <w:bookmarkEnd w:id="33"/>
    </w:p>
    <w:p>
      <w:pPr>
        <w:pStyle w:val="4"/>
        <w:rPr>
          <w:rStyle w:val="21"/>
          <w:rFonts w:ascii="仿宋" w:hAnsi="仿宋" w:eastAsia="仿宋"/>
          <w:b w:val="0"/>
          <w:bCs w:val="0"/>
        </w:rPr>
      </w:pPr>
      <w:bookmarkStart w:id="34" w:name="_Toc15396623"/>
      <w:r>
        <w:rPr>
          <w:rStyle w:val="21"/>
          <w:rFonts w:hint="eastAsia" w:ascii="仿宋" w:hAnsi="仿宋" w:eastAsia="仿宋"/>
          <w:b w:val="0"/>
          <w:bCs w:val="0"/>
        </w:rPr>
        <w:t>五、</w:t>
      </w:r>
      <w:r>
        <w:rPr>
          <w:rFonts w:hint="eastAsia" w:ascii="仿宋" w:hAnsi="仿宋" w:eastAsia="仿宋"/>
          <w:b w:val="0"/>
          <w:color w:val="000000"/>
        </w:rPr>
        <w:t>财</w:t>
      </w:r>
      <w:r>
        <w:rPr>
          <w:rStyle w:val="21"/>
          <w:rFonts w:hint="eastAsia" w:ascii="仿宋" w:hAnsi="仿宋" w:eastAsia="仿宋"/>
          <w:b w:val="0"/>
          <w:bCs w:val="0"/>
        </w:rPr>
        <w:t>政拨款支出决算明细表</w:t>
      </w:r>
      <w:bookmarkEnd w:id="34"/>
      <w:bookmarkStart w:id="35" w:name="_Toc15396624"/>
    </w:p>
    <w:p>
      <w:pPr>
        <w:pStyle w:val="4"/>
        <w:rPr>
          <w:rFonts w:ascii="仿宋" w:hAnsi="仿宋" w:eastAsia="仿宋"/>
          <w:color w:val="000000"/>
        </w:rPr>
      </w:pPr>
      <w:r>
        <w:rPr>
          <w:rStyle w:val="21"/>
          <w:rFonts w:hint="eastAsia" w:ascii="仿宋" w:hAnsi="仿宋" w:eastAsia="仿宋"/>
          <w:b w:val="0"/>
          <w:bCs w:val="0"/>
        </w:rPr>
        <w:t>六、</w:t>
      </w:r>
      <w:r>
        <w:rPr>
          <w:rFonts w:hint="eastAsia" w:ascii="仿宋" w:hAnsi="仿宋" w:eastAsia="仿宋"/>
          <w:b w:val="0"/>
          <w:color w:val="000000"/>
        </w:rPr>
        <w:t>一</w:t>
      </w:r>
      <w:r>
        <w:rPr>
          <w:rStyle w:val="21"/>
          <w:rFonts w:hint="eastAsia" w:ascii="仿宋" w:hAnsi="仿宋" w:eastAsia="仿宋"/>
          <w:b w:val="0"/>
          <w:bCs w:val="0"/>
        </w:rPr>
        <w:t>般公共预算财政拨款支出决算表</w:t>
      </w:r>
      <w:bookmarkEnd w:id="35"/>
    </w:p>
    <w:p>
      <w:pPr>
        <w:pStyle w:val="4"/>
        <w:rPr>
          <w:rFonts w:ascii="仿宋" w:hAnsi="仿宋" w:eastAsia="仿宋"/>
          <w:color w:val="000000"/>
        </w:rPr>
      </w:pPr>
      <w:bookmarkStart w:id="36" w:name="_Toc15396625"/>
      <w:r>
        <w:rPr>
          <w:rStyle w:val="21"/>
          <w:rFonts w:hint="eastAsia" w:ascii="仿宋" w:hAnsi="仿宋" w:eastAsia="仿宋"/>
          <w:b w:val="0"/>
          <w:bCs w:val="0"/>
        </w:rPr>
        <w:t>七、</w:t>
      </w:r>
      <w:r>
        <w:rPr>
          <w:rFonts w:hint="eastAsia" w:ascii="仿宋" w:hAnsi="仿宋" w:eastAsia="仿宋"/>
          <w:b w:val="0"/>
          <w:color w:val="000000"/>
        </w:rPr>
        <w:t>一</w:t>
      </w:r>
      <w:r>
        <w:rPr>
          <w:rStyle w:val="21"/>
          <w:rFonts w:hint="eastAsia" w:ascii="仿宋" w:hAnsi="仿宋" w:eastAsia="仿宋"/>
          <w:b w:val="0"/>
          <w:bCs w:val="0"/>
        </w:rPr>
        <w:t>般公共预算财政拨款支出决算明细表</w:t>
      </w:r>
      <w:bookmarkEnd w:id="36"/>
    </w:p>
    <w:p>
      <w:pPr>
        <w:pStyle w:val="4"/>
        <w:rPr>
          <w:rFonts w:ascii="仿宋" w:hAnsi="仿宋" w:eastAsia="仿宋"/>
          <w:color w:val="000000"/>
        </w:rPr>
      </w:pPr>
      <w:bookmarkStart w:id="37" w:name="_Toc15396626"/>
      <w:r>
        <w:rPr>
          <w:rStyle w:val="21"/>
          <w:rFonts w:hint="eastAsia" w:ascii="仿宋" w:hAnsi="仿宋" w:eastAsia="仿宋"/>
          <w:b w:val="0"/>
          <w:bCs w:val="0"/>
        </w:rPr>
        <w:t>八、</w:t>
      </w:r>
      <w:r>
        <w:rPr>
          <w:rFonts w:hint="eastAsia" w:ascii="仿宋" w:hAnsi="仿宋" w:eastAsia="仿宋"/>
          <w:b w:val="0"/>
          <w:color w:val="000000"/>
        </w:rPr>
        <w:t>一</w:t>
      </w:r>
      <w:r>
        <w:rPr>
          <w:rStyle w:val="21"/>
          <w:rFonts w:hint="eastAsia" w:ascii="仿宋" w:hAnsi="仿宋" w:eastAsia="仿宋"/>
          <w:b w:val="0"/>
          <w:bCs w:val="0"/>
        </w:rPr>
        <w:t>般公共预算财政拨款基本支出决算表</w:t>
      </w:r>
      <w:bookmarkEnd w:id="37"/>
    </w:p>
    <w:p>
      <w:pPr>
        <w:pStyle w:val="4"/>
        <w:rPr>
          <w:rFonts w:ascii="仿宋" w:hAnsi="仿宋" w:eastAsia="仿宋"/>
          <w:color w:val="000000"/>
        </w:rPr>
      </w:pPr>
      <w:bookmarkStart w:id="38" w:name="_Toc15396627"/>
      <w:r>
        <w:rPr>
          <w:rStyle w:val="21"/>
          <w:rFonts w:hint="eastAsia" w:ascii="仿宋" w:hAnsi="仿宋" w:eastAsia="仿宋"/>
          <w:b w:val="0"/>
          <w:bCs w:val="0"/>
        </w:rPr>
        <w:t>九、</w:t>
      </w:r>
      <w:r>
        <w:rPr>
          <w:rFonts w:hint="eastAsia" w:ascii="仿宋" w:hAnsi="仿宋" w:eastAsia="仿宋"/>
          <w:b w:val="0"/>
          <w:color w:val="000000"/>
        </w:rPr>
        <w:t>一</w:t>
      </w:r>
      <w:r>
        <w:rPr>
          <w:rStyle w:val="21"/>
          <w:rFonts w:hint="eastAsia" w:ascii="仿宋" w:hAnsi="仿宋" w:eastAsia="仿宋"/>
          <w:b w:val="0"/>
          <w:bCs w:val="0"/>
        </w:rPr>
        <w:t>般公共预算财政拨款项目支出决算表</w:t>
      </w:r>
      <w:bookmarkEnd w:id="38"/>
    </w:p>
    <w:p>
      <w:pPr>
        <w:pStyle w:val="4"/>
        <w:rPr>
          <w:rFonts w:ascii="仿宋" w:hAnsi="仿宋" w:eastAsia="仿宋"/>
          <w:color w:val="000000"/>
        </w:rPr>
      </w:pPr>
      <w:bookmarkStart w:id="39" w:name="_Toc15396628"/>
      <w:r>
        <w:rPr>
          <w:rStyle w:val="21"/>
          <w:rFonts w:hint="eastAsia" w:ascii="仿宋" w:hAnsi="仿宋" w:eastAsia="仿宋"/>
          <w:b w:val="0"/>
          <w:bCs w:val="0"/>
        </w:rPr>
        <w:t>十、</w:t>
      </w:r>
      <w:r>
        <w:rPr>
          <w:rFonts w:hint="eastAsia" w:ascii="仿宋" w:hAnsi="仿宋" w:eastAsia="仿宋"/>
          <w:b w:val="0"/>
          <w:color w:val="000000"/>
        </w:rPr>
        <w:t>一</w:t>
      </w:r>
      <w:r>
        <w:rPr>
          <w:rStyle w:val="21"/>
          <w:rFonts w:hint="eastAsia" w:ascii="仿宋" w:hAnsi="仿宋" w:eastAsia="仿宋"/>
          <w:b w:val="0"/>
          <w:bCs w:val="0"/>
        </w:rPr>
        <w:t>般公共预算财政拨款“三公”经费支出决算表</w:t>
      </w:r>
      <w:bookmarkEnd w:id="39"/>
    </w:p>
    <w:p>
      <w:pPr>
        <w:pStyle w:val="4"/>
        <w:rPr>
          <w:rFonts w:ascii="仿宋" w:hAnsi="仿宋" w:eastAsia="仿宋"/>
          <w:color w:val="000000"/>
        </w:rPr>
      </w:pPr>
      <w:bookmarkStart w:id="40" w:name="_Toc15396629"/>
      <w:r>
        <w:rPr>
          <w:rStyle w:val="21"/>
          <w:rFonts w:hint="eastAsia" w:ascii="仿宋" w:hAnsi="仿宋" w:eastAsia="仿宋"/>
          <w:b w:val="0"/>
          <w:bCs w:val="0"/>
        </w:rPr>
        <w:t>十一、</w:t>
      </w:r>
      <w:r>
        <w:rPr>
          <w:rFonts w:hint="eastAsia" w:ascii="仿宋" w:hAnsi="仿宋" w:eastAsia="仿宋"/>
          <w:b w:val="0"/>
          <w:color w:val="000000"/>
        </w:rPr>
        <w:t>政</w:t>
      </w:r>
      <w:r>
        <w:rPr>
          <w:rStyle w:val="21"/>
          <w:rFonts w:hint="eastAsia" w:ascii="仿宋" w:hAnsi="仿宋" w:eastAsia="仿宋"/>
          <w:b w:val="0"/>
          <w:bCs w:val="0"/>
        </w:rPr>
        <w:t>府性基金预算财政拨款收入支出决算表</w:t>
      </w:r>
      <w:bookmarkEnd w:id="40"/>
    </w:p>
    <w:p>
      <w:pPr>
        <w:pStyle w:val="4"/>
        <w:rPr>
          <w:rFonts w:ascii="仿宋" w:hAnsi="仿宋" w:eastAsia="仿宋"/>
          <w:color w:val="000000"/>
        </w:rPr>
      </w:pPr>
      <w:bookmarkStart w:id="41" w:name="_Toc15396630"/>
      <w:r>
        <w:rPr>
          <w:rStyle w:val="21"/>
          <w:rFonts w:hint="eastAsia" w:ascii="仿宋" w:hAnsi="仿宋" w:eastAsia="仿宋"/>
          <w:b w:val="0"/>
          <w:bCs w:val="0"/>
        </w:rPr>
        <w:t>十二、</w:t>
      </w:r>
      <w:r>
        <w:rPr>
          <w:rFonts w:hint="eastAsia" w:ascii="仿宋" w:hAnsi="仿宋" w:eastAsia="仿宋"/>
          <w:b w:val="0"/>
          <w:color w:val="000000"/>
        </w:rPr>
        <w:t>政</w:t>
      </w:r>
      <w:r>
        <w:rPr>
          <w:rStyle w:val="21"/>
          <w:rFonts w:hint="eastAsia" w:ascii="仿宋" w:hAnsi="仿宋" w:eastAsia="仿宋"/>
          <w:b w:val="0"/>
          <w:bCs w:val="0"/>
        </w:rPr>
        <w:t>府性基金预算财政拨款“三公”经费支出决算表</w:t>
      </w:r>
      <w:bookmarkEnd w:id="41"/>
    </w:p>
    <w:p>
      <w:pPr>
        <w:pStyle w:val="4"/>
        <w:rPr>
          <w:rFonts w:hint="eastAsia"/>
        </w:rPr>
      </w:pPr>
      <w:bookmarkStart w:id="42" w:name="_Toc15396631"/>
      <w:r>
        <w:rPr>
          <w:rStyle w:val="21"/>
          <w:rFonts w:hint="eastAsia" w:ascii="仿宋" w:hAnsi="仿宋" w:eastAsia="仿宋"/>
          <w:b w:val="0"/>
          <w:bCs w:val="0"/>
        </w:rPr>
        <w:t>十三、</w:t>
      </w:r>
      <w:r>
        <w:rPr>
          <w:rFonts w:hint="eastAsia" w:ascii="仿宋" w:hAnsi="仿宋" w:eastAsia="仿宋"/>
          <w:b w:val="0"/>
          <w:color w:val="000000"/>
        </w:rPr>
        <w:t>国</w:t>
      </w:r>
      <w:r>
        <w:rPr>
          <w:rStyle w:val="21"/>
          <w:rFonts w:hint="eastAsia" w:ascii="仿宋" w:hAnsi="仿宋" w:eastAsia="仿宋"/>
          <w:b w:val="0"/>
          <w:bCs w:val="0"/>
        </w:rPr>
        <w:t>有资本经营预算财政拨款</w:t>
      </w:r>
      <w:r>
        <w:rPr>
          <w:rStyle w:val="21"/>
          <w:rFonts w:hint="eastAsia" w:ascii="仿宋" w:hAnsi="仿宋" w:eastAsia="仿宋"/>
          <w:b w:val="0"/>
          <w:bCs w:val="0"/>
          <w:lang w:eastAsia="zh-CN"/>
        </w:rPr>
        <w:t>收入</w:t>
      </w:r>
      <w:r>
        <w:rPr>
          <w:rStyle w:val="21"/>
          <w:rFonts w:hint="eastAsia" w:ascii="仿宋" w:hAnsi="仿宋" w:eastAsia="仿宋"/>
          <w:b w:val="0"/>
          <w:bCs w:val="0"/>
        </w:rPr>
        <w:t>支出决算表</w:t>
      </w:r>
      <w:bookmarkEnd w:id="42"/>
    </w:p>
    <w:p>
      <w:pPr>
        <w:pStyle w:val="4"/>
        <w:rPr>
          <w:rStyle w:val="21"/>
          <w:rFonts w:hint="eastAsia" w:ascii="仿宋" w:hAnsi="仿宋" w:eastAsia="仿宋"/>
          <w:b w:val="0"/>
          <w:bCs w:val="0"/>
        </w:rPr>
      </w:pPr>
      <w:r>
        <w:rPr>
          <w:rStyle w:val="21"/>
          <w:rFonts w:hint="eastAsia" w:ascii="仿宋" w:hAnsi="仿宋" w:eastAsia="仿宋"/>
          <w:b w:val="0"/>
          <w:bCs w:val="0"/>
        </w:rPr>
        <w:t>十</w:t>
      </w:r>
      <w:r>
        <w:rPr>
          <w:rStyle w:val="21"/>
          <w:rFonts w:hint="eastAsia" w:ascii="仿宋" w:hAnsi="仿宋" w:eastAsia="仿宋"/>
          <w:b w:val="0"/>
          <w:bCs w:val="0"/>
          <w:lang w:eastAsia="zh-CN"/>
        </w:rPr>
        <w:t>四</w:t>
      </w:r>
      <w:r>
        <w:rPr>
          <w:rStyle w:val="21"/>
          <w:rFonts w:hint="eastAsia" w:ascii="仿宋" w:hAnsi="仿宋" w:eastAsia="仿宋"/>
          <w:b w:val="0"/>
          <w:bCs w:val="0"/>
        </w:rPr>
        <w:t>、</w:t>
      </w:r>
      <w:r>
        <w:rPr>
          <w:rFonts w:hint="eastAsia" w:ascii="仿宋" w:hAnsi="仿宋" w:eastAsia="仿宋"/>
          <w:b w:val="0"/>
          <w:color w:val="000000"/>
        </w:rPr>
        <w:t>国</w:t>
      </w:r>
      <w:r>
        <w:rPr>
          <w:rStyle w:val="21"/>
          <w:rFonts w:hint="eastAsia" w:ascii="仿宋" w:hAnsi="仿宋" w:eastAsia="仿宋"/>
          <w:b w:val="0"/>
          <w:bCs w:val="0"/>
        </w:rPr>
        <w:t>有资本经营预算财政拨款支出决算表</w:t>
      </w:r>
    </w:p>
    <w:p>
      <w:pPr>
        <w:widowControl/>
        <w:ind w:firstLine="420" w:firstLineChars="200"/>
        <w:textAlignment w:val="cente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7"/>
      </w:rPr>
    </w:pPr>
    <w:r>
      <w:rPr>
        <w:rStyle w:val="17"/>
      </w:rPr>
      <w:fldChar w:fldCharType="begin"/>
    </w:r>
    <w:r>
      <w:rPr>
        <w:rStyle w:val="17"/>
      </w:rPr>
      <w:instrText xml:space="preserve">PAGE  </w:instrText>
    </w:r>
    <w:r>
      <w:rPr>
        <w:rStyle w:val="17"/>
      </w:rPr>
      <w:fldChar w:fldCharType="separate"/>
    </w:r>
    <w:r>
      <w:rPr>
        <w:rStyle w:val="17"/>
      </w:rPr>
      <w:t>32</w:t>
    </w:r>
    <w:r>
      <w:rPr>
        <w:rStyle w:val="17"/>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266C4"/>
    <w:multiLevelType w:val="singleLevel"/>
    <w:tmpl w:val="9D8266C4"/>
    <w:lvl w:ilvl="0" w:tentative="0">
      <w:start w:val="10"/>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NjRjMmRjMTgxM2VmNjg2MjFmZWE5NDQ4ODNiNTEifQ=="/>
  </w:docVars>
  <w:rsids>
    <w:rsidRoot w:val="00C17DAD"/>
    <w:rsid w:val="00002C60"/>
    <w:rsid w:val="00014625"/>
    <w:rsid w:val="000F0692"/>
    <w:rsid w:val="001540DC"/>
    <w:rsid w:val="001762DA"/>
    <w:rsid w:val="001968CE"/>
    <w:rsid w:val="001D0E66"/>
    <w:rsid w:val="001F604D"/>
    <w:rsid w:val="00246409"/>
    <w:rsid w:val="00266B28"/>
    <w:rsid w:val="002B4B14"/>
    <w:rsid w:val="002F2322"/>
    <w:rsid w:val="003009DA"/>
    <w:rsid w:val="00310A27"/>
    <w:rsid w:val="00332BA2"/>
    <w:rsid w:val="00345691"/>
    <w:rsid w:val="003B2F6D"/>
    <w:rsid w:val="003B666C"/>
    <w:rsid w:val="003C5FA4"/>
    <w:rsid w:val="003E2E83"/>
    <w:rsid w:val="00401CB9"/>
    <w:rsid w:val="004077AF"/>
    <w:rsid w:val="00453EB9"/>
    <w:rsid w:val="00456783"/>
    <w:rsid w:val="004E5DBC"/>
    <w:rsid w:val="004F3155"/>
    <w:rsid w:val="004F4DE6"/>
    <w:rsid w:val="005400A6"/>
    <w:rsid w:val="00551D8D"/>
    <w:rsid w:val="00562E77"/>
    <w:rsid w:val="00570506"/>
    <w:rsid w:val="005A0F47"/>
    <w:rsid w:val="005D6142"/>
    <w:rsid w:val="00656249"/>
    <w:rsid w:val="00660C90"/>
    <w:rsid w:val="00662EF3"/>
    <w:rsid w:val="006668EF"/>
    <w:rsid w:val="00782ED9"/>
    <w:rsid w:val="00790919"/>
    <w:rsid w:val="00793A3D"/>
    <w:rsid w:val="00794351"/>
    <w:rsid w:val="007D54C1"/>
    <w:rsid w:val="007D72D5"/>
    <w:rsid w:val="007E0DC6"/>
    <w:rsid w:val="008116F6"/>
    <w:rsid w:val="00811E2C"/>
    <w:rsid w:val="008302BF"/>
    <w:rsid w:val="008405E2"/>
    <w:rsid w:val="00853EDB"/>
    <w:rsid w:val="008713E7"/>
    <w:rsid w:val="008D064C"/>
    <w:rsid w:val="00923468"/>
    <w:rsid w:val="00947758"/>
    <w:rsid w:val="00980F1E"/>
    <w:rsid w:val="0098654F"/>
    <w:rsid w:val="009A3B68"/>
    <w:rsid w:val="009E1C4E"/>
    <w:rsid w:val="00A211B7"/>
    <w:rsid w:val="00A47EBB"/>
    <w:rsid w:val="00A674E9"/>
    <w:rsid w:val="00A933EC"/>
    <w:rsid w:val="00AD3CD4"/>
    <w:rsid w:val="00AE254F"/>
    <w:rsid w:val="00B207F5"/>
    <w:rsid w:val="00B40642"/>
    <w:rsid w:val="00B421BB"/>
    <w:rsid w:val="00BA1A16"/>
    <w:rsid w:val="00BF65E3"/>
    <w:rsid w:val="00C014F2"/>
    <w:rsid w:val="00C17DAD"/>
    <w:rsid w:val="00C25C2B"/>
    <w:rsid w:val="00CB3C8A"/>
    <w:rsid w:val="00CD26BF"/>
    <w:rsid w:val="00D11A46"/>
    <w:rsid w:val="00D37506"/>
    <w:rsid w:val="00D44752"/>
    <w:rsid w:val="00D81E1E"/>
    <w:rsid w:val="00D83792"/>
    <w:rsid w:val="00E503E0"/>
    <w:rsid w:val="00E52270"/>
    <w:rsid w:val="00E66799"/>
    <w:rsid w:val="00E71FAC"/>
    <w:rsid w:val="00E92F6B"/>
    <w:rsid w:val="00EA0AF7"/>
    <w:rsid w:val="00EB1C3E"/>
    <w:rsid w:val="00EB20EA"/>
    <w:rsid w:val="00EB2242"/>
    <w:rsid w:val="00ED4C27"/>
    <w:rsid w:val="00ED70A4"/>
    <w:rsid w:val="00EE744A"/>
    <w:rsid w:val="00F03781"/>
    <w:rsid w:val="00F11ECB"/>
    <w:rsid w:val="00F34A5A"/>
    <w:rsid w:val="00F371B8"/>
    <w:rsid w:val="00F46F37"/>
    <w:rsid w:val="00F53F2E"/>
    <w:rsid w:val="00F902CE"/>
    <w:rsid w:val="00F91C27"/>
    <w:rsid w:val="00FB5755"/>
    <w:rsid w:val="00FE2DA1"/>
    <w:rsid w:val="011F44E1"/>
    <w:rsid w:val="01220A63"/>
    <w:rsid w:val="01264861"/>
    <w:rsid w:val="01326363"/>
    <w:rsid w:val="016E2E90"/>
    <w:rsid w:val="021830CF"/>
    <w:rsid w:val="024B6B25"/>
    <w:rsid w:val="02650A3D"/>
    <w:rsid w:val="0271208E"/>
    <w:rsid w:val="02BC344A"/>
    <w:rsid w:val="033D3EF8"/>
    <w:rsid w:val="035040F1"/>
    <w:rsid w:val="03660448"/>
    <w:rsid w:val="03B67B67"/>
    <w:rsid w:val="03C51A74"/>
    <w:rsid w:val="03E404C7"/>
    <w:rsid w:val="03F73B6A"/>
    <w:rsid w:val="04043FFA"/>
    <w:rsid w:val="04052A2F"/>
    <w:rsid w:val="042772D5"/>
    <w:rsid w:val="04456F4F"/>
    <w:rsid w:val="044972CA"/>
    <w:rsid w:val="04716823"/>
    <w:rsid w:val="04C23A95"/>
    <w:rsid w:val="04C623D7"/>
    <w:rsid w:val="04EA5D7E"/>
    <w:rsid w:val="053C14F1"/>
    <w:rsid w:val="05481567"/>
    <w:rsid w:val="0553206D"/>
    <w:rsid w:val="057112FE"/>
    <w:rsid w:val="060E4530"/>
    <w:rsid w:val="06106C83"/>
    <w:rsid w:val="064E07F0"/>
    <w:rsid w:val="06D94F62"/>
    <w:rsid w:val="06DC1B24"/>
    <w:rsid w:val="06E90F98"/>
    <w:rsid w:val="07271ADD"/>
    <w:rsid w:val="07311F41"/>
    <w:rsid w:val="07320872"/>
    <w:rsid w:val="073A3FED"/>
    <w:rsid w:val="0741469E"/>
    <w:rsid w:val="07687DC9"/>
    <w:rsid w:val="07982074"/>
    <w:rsid w:val="07BE72E6"/>
    <w:rsid w:val="07C6337B"/>
    <w:rsid w:val="07DC1EA3"/>
    <w:rsid w:val="07ED2447"/>
    <w:rsid w:val="07F469E1"/>
    <w:rsid w:val="080329A9"/>
    <w:rsid w:val="080C5BCE"/>
    <w:rsid w:val="08A05AA3"/>
    <w:rsid w:val="08E04E4C"/>
    <w:rsid w:val="08FE725F"/>
    <w:rsid w:val="095A63C5"/>
    <w:rsid w:val="095C3D69"/>
    <w:rsid w:val="09B60B93"/>
    <w:rsid w:val="09D85B71"/>
    <w:rsid w:val="09DA42C3"/>
    <w:rsid w:val="09E67B99"/>
    <w:rsid w:val="0A1A6AE5"/>
    <w:rsid w:val="0A2439EB"/>
    <w:rsid w:val="0A482121"/>
    <w:rsid w:val="0A4C27A3"/>
    <w:rsid w:val="0A95614D"/>
    <w:rsid w:val="0AAE2D2F"/>
    <w:rsid w:val="0AD0491F"/>
    <w:rsid w:val="0B3C1BA6"/>
    <w:rsid w:val="0B744C36"/>
    <w:rsid w:val="0B813F7B"/>
    <w:rsid w:val="0BA56FE2"/>
    <w:rsid w:val="0BC751D0"/>
    <w:rsid w:val="0C284C32"/>
    <w:rsid w:val="0C6240D6"/>
    <w:rsid w:val="0CC13604"/>
    <w:rsid w:val="0CFA2D42"/>
    <w:rsid w:val="0CFD17A1"/>
    <w:rsid w:val="0D0B631C"/>
    <w:rsid w:val="0D1D3811"/>
    <w:rsid w:val="0D310E5B"/>
    <w:rsid w:val="0D473818"/>
    <w:rsid w:val="0D4D328C"/>
    <w:rsid w:val="0D5831B1"/>
    <w:rsid w:val="0D67404A"/>
    <w:rsid w:val="0D943867"/>
    <w:rsid w:val="0DE46E03"/>
    <w:rsid w:val="0E105FB8"/>
    <w:rsid w:val="0E1A00F6"/>
    <w:rsid w:val="0E1B5DDE"/>
    <w:rsid w:val="0E1C6D1E"/>
    <w:rsid w:val="0E4319AD"/>
    <w:rsid w:val="0E43564F"/>
    <w:rsid w:val="0E5D2ECF"/>
    <w:rsid w:val="0ECA482E"/>
    <w:rsid w:val="0ECD6A0E"/>
    <w:rsid w:val="0ECF4525"/>
    <w:rsid w:val="0EDA78D3"/>
    <w:rsid w:val="0F0B612E"/>
    <w:rsid w:val="0F226BF5"/>
    <w:rsid w:val="0F3E7B29"/>
    <w:rsid w:val="0F463486"/>
    <w:rsid w:val="0FA470B2"/>
    <w:rsid w:val="0FAB642B"/>
    <w:rsid w:val="0FBC748D"/>
    <w:rsid w:val="0FC814F3"/>
    <w:rsid w:val="0FD44ED8"/>
    <w:rsid w:val="100D5904"/>
    <w:rsid w:val="102D23A5"/>
    <w:rsid w:val="10325AB4"/>
    <w:rsid w:val="10465EF0"/>
    <w:rsid w:val="10563B4C"/>
    <w:rsid w:val="10565CB3"/>
    <w:rsid w:val="10590B01"/>
    <w:rsid w:val="105E54B6"/>
    <w:rsid w:val="10752DB2"/>
    <w:rsid w:val="108834CC"/>
    <w:rsid w:val="109A0543"/>
    <w:rsid w:val="109A6C4B"/>
    <w:rsid w:val="10B90CFE"/>
    <w:rsid w:val="10E0236D"/>
    <w:rsid w:val="111F7999"/>
    <w:rsid w:val="11203F55"/>
    <w:rsid w:val="112B364F"/>
    <w:rsid w:val="113B6DDD"/>
    <w:rsid w:val="11400EFD"/>
    <w:rsid w:val="117B19ED"/>
    <w:rsid w:val="11D84D11"/>
    <w:rsid w:val="11F04EA8"/>
    <w:rsid w:val="12CE04B2"/>
    <w:rsid w:val="12FD7EB9"/>
    <w:rsid w:val="12FE596F"/>
    <w:rsid w:val="13054935"/>
    <w:rsid w:val="13BE3913"/>
    <w:rsid w:val="13CB2E2E"/>
    <w:rsid w:val="14014290"/>
    <w:rsid w:val="14062E18"/>
    <w:rsid w:val="142858AA"/>
    <w:rsid w:val="142D601C"/>
    <w:rsid w:val="146C5E3D"/>
    <w:rsid w:val="147F267E"/>
    <w:rsid w:val="15072B5A"/>
    <w:rsid w:val="154A2618"/>
    <w:rsid w:val="156F7F57"/>
    <w:rsid w:val="1589387B"/>
    <w:rsid w:val="15F02557"/>
    <w:rsid w:val="163E08FC"/>
    <w:rsid w:val="1649189D"/>
    <w:rsid w:val="17235695"/>
    <w:rsid w:val="173A3D2D"/>
    <w:rsid w:val="173B1E56"/>
    <w:rsid w:val="17715F91"/>
    <w:rsid w:val="17741F10"/>
    <w:rsid w:val="178C6DA0"/>
    <w:rsid w:val="17E25358"/>
    <w:rsid w:val="17E66108"/>
    <w:rsid w:val="18246C15"/>
    <w:rsid w:val="18493B86"/>
    <w:rsid w:val="189A3567"/>
    <w:rsid w:val="189B54EF"/>
    <w:rsid w:val="18C86D57"/>
    <w:rsid w:val="18F53837"/>
    <w:rsid w:val="19056AD0"/>
    <w:rsid w:val="192D0B11"/>
    <w:rsid w:val="19475D66"/>
    <w:rsid w:val="19551580"/>
    <w:rsid w:val="19635C2D"/>
    <w:rsid w:val="19694979"/>
    <w:rsid w:val="19FA7AD8"/>
    <w:rsid w:val="1A51186B"/>
    <w:rsid w:val="1A604C65"/>
    <w:rsid w:val="1ADE7324"/>
    <w:rsid w:val="1AFB139B"/>
    <w:rsid w:val="1B0C0464"/>
    <w:rsid w:val="1B3C388D"/>
    <w:rsid w:val="1B455F9C"/>
    <w:rsid w:val="1B7B616B"/>
    <w:rsid w:val="1B834857"/>
    <w:rsid w:val="1B957F8D"/>
    <w:rsid w:val="1BBC448B"/>
    <w:rsid w:val="1BD13C64"/>
    <w:rsid w:val="1BFC57EA"/>
    <w:rsid w:val="1C123EF5"/>
    <w:rsid w:val="1C16350E"/>
    <w:rsid w:val="1C167638"/>
    <w:rsid w:val="1C355D15"/>
    <w:rsid w:val="1C521A57"/>
    <w:rsid w:val="1C5D56A1"/>
    <w:rsid w:val="1C7A657D"/>
    <w:rsid w:val="1C834508"/>
    <w:rsid w:val="1CB61F15"/>
    <w:rsid w:val="1CD84E95"/>
    <w:rsid w:val="1CED48D2"/>
    <w:rsid w:val="1CF37521"/>
    <w:rsid w:val="1D4525D8"/>
    <w:rsid w:val="1D480B2C"/>
    <w:rsid w:val="1D6440A9"/>
    <w:rsid w:val="1DA35DA3"/>
    <w:rsid w:val="1DAA58DE"/>
    <w:rsid w:val="1DAA7049"/>
    <w:rsid w:val="1DD53CC4"/>
    <w:rsid w:val="1DDB1F4C"/>
    <w:rsid w:val="1DE14A4C"/>
    <w:rsid w:val="1DF01C82"/>
    <w:rsid w:val="1DF2724D"/>
    <w:rsid w:val="1E075116"/>
    <w:rsid w:val="1E194D59"/>
    <w:rsid w:val="1E614A3D"/>
    <w:rsid w:val="1EBE5769"/>
    <w:rsid w:val="1EF42CE8"/>
    <w:rsid w:val="1F5D64F0"/>
    <w:rsid w:val="1F6068B6"/>
    <w:rsid w:val="1F7E5E1C"/>
    <w:rsid w:val="1FB3211B"/>
    <w:rsid w:val="1FB55B13"/>
    <w:rsid w:val="1FC8574D"/>
    <w:rsid w:val="20576F63"/>
    <w:rsid w:val="205A14BB"/>
    <w:rsid w:val="206F0897"/>
    <w:rsid w:val="207007F1"/>
    <w:rsid w:val="20765BA1"/>
    <w:rsid w:val="20FA562D"/>
    <w:rsid w:val="212507D2"/>
    <w:rsid w:val="21260582"/>
    <w:rsid w:val="213A4716"/>
    <w:rsid w:val="215B771C"/>
    <w:rsid w:val="21A0750D"/>
    <w:rsid w:val="21A23870"/>
    <w:rsid w:val="21A277CC"/>
    <w:rsid w:val="21FC257C"/>
    <w:rsid w:val="222815EF"/>
    <w:rsid w:val="223804E0"/>
    <w:rsid w:val="227E5710"/>
    <w:rsid w:val="22C97811"/>
    <w:rsid w:val="22D81CDA"/>
    <w:rsid w:val="22EA5693"/>
    <w:rsid w:val="23060EE5"/>
    <w:rsid w:val="231574B2"/>
    <w:rsid w:val="2324674F"/>
    <w:rsid w:val="23382CBE"/>
    <w:rsid w:val="233E15A8"/>
    <w:rsid w:val="234939F3"/>
    <w:rsid w:val="23707A70"/>
    <w:rsid w:val="23965431"/>
    <w:rsid w:val="23C80C72"/>
    <w:rsid w:val="23EB4FF5"/>
    <w:rsid w:val="241B094C"/>
    <w:rsid w:val="241C08B6"/>
    <w:rsid w:val="24473B32"/>
    <w:rsid w:val="245A2D23"/>
    <w:rsid w:val="247677F3"/>
    <w:rsid w:val="24C03E37"/>
    <w:rsid w:val="24C14B05"/>
    <w:rsid w:val="24C4240D"/>
    <w:rsid w:val="24E11F8F"/>
    <w:rsid w:val="24EF16E9"/>
    <w:rsid w:val="24F84831"/>
    <w:rsid w:val="25046D52"/>
    <w:rsid w:val="251105BD"/>
    <w:rsid w:val="25421EC6"/>
    <w:rsid w:val="25704077"/>
    <w:rsid w:val="25763047"/>
    <w:rsid w:val="25996D03"/>
    <w:rsid w:val="259E343D"/>
    <w:rsid w:val="25A725C0"/>
    <w:rsid w:val="25BB3E51"/>
    <w:rsid w:val="25C87FB0"/>
    <w:rsid w:val="25CC5422"/>
    <w:rsid w:val="26385E93"/>
    <w:rsid w:val="26C7788A"/>
    <w:rsid w:val="271D6919"/>
    <w:rsid w:val="27297D1C"/>
    <w:rsid w:val="27425302"/>
    <w:rsid w:val="274331DC"/>
    <w:rsid w:val="275C6A46"/>
    <w:rsid w:val="277D5282"/>
    <w:rsid w:val="279C01A0"/>
    <w:rsid w:val="27A15213"/>
    <w:rsid w:val="27C42554"/>
    <w:rsid w:val="27FF4596"/>
    <w:rsid w:val="28067108"/>
    <w:rsid w:val="281D663C"/>
    <w:rsid w:val="28827F43"/>
    <w:rsid w:val="28D433F2"/>
    <w:rsid w:val="28FA2156"/>
    <w:rsid w:val="290B0093"/>
    <w:rsid w:val="290E50E6"/>
    <w:rsid w:val="29124638"/>
    <w:rsid w:val="298A2DDE"/>
    <w:rsid w:val="29C04FAA"/>
    <w:rsid w:val="2A2D4339"/>
    <w:rsid w:val="2A6F3649"/>
    <w:rsid w:val="2A810EC5"/>
    <w:rsid w:val="2AA97480"/>
    <w:rsid w:val="2AB64711"/>
    <w:rsid w:val="2ADE2A5A"/>
    <w:rsid w:val="2B553537"/>
    <w:rsid w:val="2BAF48E5"/>
    <w:rsid w:val="2BB16811"/>
    <w:rsid w:val="2BBF044A"/>
    <w:rsid w:val="2C5A4E02"/>
    <w:rsid w:val="2C624351"/>
    <w:rsid w:val="2C7B1794"/>
    <w:rsid w:val="2C8C1F24"/>
    <w:rsid w:val="2C8D5E66"/>
    <w:rsid w:val="2CB95131"/>
    <w:rsid w:val="2CD84107"/>
    <w:rsid w:val="2CF9685A"/>
    <w:rsid w:val="2D252C32"/>
    <w:rsid w:val="2D343AFC"/>
    <w:rsid w:val="2D4232CF"/>
    <w:rsid w:val="2DA4399E"/>
    <w:rsid w:val="2DB63519"/>
    <w:rsid w:val="2DBF4BCA"/>
    <w:rsid w:val="2DC251B5"/>
    <w:rsid w:val="2DFB2497"/>
    <w:rsid w:val="2E103ACD"/>
    <w:rsid w:val="2E402F7C"/>
    <w:rsid w:val="2F107D71"/>
    <w:rsid w:val="2F151B7A"/>
    <w:rsid w:val="2F19669A"/>
    <w:rsid w:val="2F3D7199"/>
    <w:rsid w:val="2F4918E5"/>
    <w:rsid w:val="2F5363B5"/>
    <w:rsid w:val="2F771052"/>
    <w:rsid w:val="2F8162D8"/>
    <w:rsid w:val="2F896D6B"/>
    <w:rsid w:val="2FA01F7C"/>
    <w:rsid w:val="2FC21B60"/>
    <w:rsid w:val="3016389C"/>
    <w:rsid w:val="302D6725"/>
    <w:rsid w:val="30496527"/>
    <w:rsid w:val="30671FF9"/>
    <w:rsid w:val="30754B58"/>
    <w:rsid w:val="3097606E"/>
    <w:rsid w:val="30A55435"/>
    <w:rsid w:val="30A64B67"/>
    <w:rsid w:val="30B344FA"/>
    <w:rsid w:val="30CF1D5C"/>
    <w:rsid w:val="312E112C"/>
    <w:rsid w:val="31420937"/>
    <w:rsid w:val="31476256"/>
    <w:rsid w:val="314D2216"/>
    <w:rsid w:val="317D4E7C"/>
    <w:rsid w:val="31B47CEF"/>
    <w:rsid w:val="31BF60D2"/>
    <w:rsid w:val="3292112D"/>
    <w:rsid w:val="32CD5586"/>
    <w:rsid w:val="32FD0D82"/>
    <w:rsid w:val="33012798"/>
    <w:rsid w:val="33360D9C"/>
    <w:rsid w:val="334C00D2"/>
    <w:rsid w:val="336170BA"/>
    <w:rsid w:val="338455C1"/>
    <w:rsid w:val="33D6414E"/>
    <w:rsid w:val="33DB2C58"/>
    <w:rsid w:val="3402540C"/>
    <w:rsid w:val="341C4C2C"/>
    <w:rsid w:val="344379B8"/>
    <w:rsid w:val="349F219D"/>
    <w:rsid w:val="34C0609E"/>
    <w:rsid w:val="353C06F0"/>
    <w:rsid w:val="35411FA3"/>
    <w:rsid w:val="357824E0"/>
    <w:rsid w:val="357A6D50"/>
    <w:rsid w:val="357D4048"/>
    <w:rsid w:val="35813980"/>
    <w:rsid w:val="358E26C0"/>
    <w:rsid w:val="359946EE"/>
    <w:rsid w:val="359F462A"/>
    <w:rsid w:val="35CB5C49"/>
    <w:rsid w:val="36086479"/>
    <w:rsid w:val="3615100D"/>
    <w:rsid w:val="362B13C6"/>
    <w:rsid w:val="36471602"/>
    <w:rsid w:val="364D7C92"/>
    <w:rsid w:val="36BF0245"/>
    <w:rsid w:val="36D61EA1"/>
    <w:rsid w:val="36F3054A"/>
    <w:rsid w:val="36F86846"/>
    <w:rsid w:val="370245F8"/>
    <w:rsid w:val="371C6D64"/>
    <w:rsid w:val="37382D1C"/>
    <w:rsid w:val="373F3423"/>
    <w:rsid w:val="37463AEC"/>
    <w:rsid w:val="379F6B58"/>
    <w:rsid w:val="37DE5A4F"/>
    <w:rsid w:val="3860739A"/>
    <w:rsid w:val="389429F3"/>
    <w:rsid w:val="38AD5F3C"/>
    <w:rsid w:val="38B06252"/>
    <w:rsid w:val="38F15ACF"/>
    <w:rsid w:val="394B1506"/>
    <w:rsid w:val="398E1693"/>
    <w:rsid w:val="39BA0334"/>
    <w:rsid w:val="39C13BCF"/>
    <w:rsid w:val="39CB7D8C"/>
    <w:rsid w:val="39CD7ADA"/>
    <w:rsid w:val="39EE3C49"/>
    <w:rsid w:val="3A074D46"/>
    <w:rsid w:val="3A4E1ACC"/>
    <w:rsid w:val="3A910B30"/>
    <w:rsid w:val="3AAD2F6C"/>
    <w:rsid w:val="3AAF1DD9"/>
    <w:rsid w:val="3B5E4F35"/>
    <w:rsid w:val="3B9B2E16"/>
    <w:rsid w:val="3C1D431E"/>
    <w:rsid w:val="3C2C56FE"/>
    <w:rsid w:val="3C394275"/>
    <w:rsid w:val="3C9E61DF"/>
    <w:rsid w:val="3CCA5E79"/>
    <w:rsid w:val="3CD61CC6"/>
    <w:rsid w:val="3CD93671"/>
    <w:rsid w:val="3CE01B02"/>
    <w:rsid w:val="3D005E94"/>
    <w:rsid w:val="3D1F21F5"/>
    <w:rsid w:val="3D4823D9"/>
    <w:rsid w:val="3D5F514D"/>
    <w:rsid w:val="3D737A10"/>
    <w:rsid w:val="3DB57CBE"/>
    <w:rsid w:val="3DC52095"/>
    <w:rsid w:val="3DC91FBD"/>
    <w:rsid w:val="3DD71AA3"/>
    <w:rsid w:val="3DF4258E"/>
    <w:rsid w:val="3E0B1105"/>
    <w:rsid w:val="3E0D447E"/>
    <w:rsid w:val="3E19329A"/>
    <w:rsid w:val="3E195987"/>
    <w:rsid w:val="3E881BD0"/>
    <w:rsid w:val="3ED02755"/>
    <w:rsid w:val="3ED37737"/>
    <w:rsid w:val="3F2B14A9"/>
    <w:rsid w:val="3F4741FB"/>
    <w:rsid w:val="3F66219E"/>
    <w:rsid w:val="3F6A035C"/>
    <w:rsid w:val="3F727582"/>
    <w:rsid w:val="3F944F69"/>
    <w:rsid w:val="3FCF43E9"/>
    <w:rsid w:val="404954E3"/>
    <w:rsid w:val="404F67FA"/>
    <w:rsid w:val="408E4F2E"/>
    <w:rsid w:val="40D70EE4"/>
    <w:rsid w:val="40E90AAC"/>
    <w:rsid w:val="410E2037"/>
    <w:rsid w:val="41255D06"/>
    <w:rsid w:val="412E0190"/>
    <w:rsid w:val="41624A46"/>
    <w:rsid w:val="41780619"/>
    <w:rsid w:val="41AA10A4"/>
    <w:rsid w:val="41CC4169"/>
    <w:rsid w:val="41E06B82"/>
    <w:rsid w:val="41E474B0"/>
    <w:rsid w:val="41EB3C48"/>
    <w:rsid w:val="41EC1182"/>
    <w:rsid w:val="421E65A4"/>
    <w:rsid w:val="422E6684"/>
    <w:rsid w:val="425B4DE0"/>
    <w:rsid w:val="42A3437C"/>
    <w:rsid w:val="42B938DD"/>
    <w:rsid w:val="42CB3A8F"/>
    <w:rsid w:val="42F92AAC"/>
    <w:rsid w:val="432B1CED"/>
    <w:rsid w:val="4335631C"/>
    <w:rsid w:val="434765DF"/>
    <w:rsid w:val="43FD11CB"/>
    <w:rsid w:val="4431025D"/>
    <w:rsid w:val="448F1A3A"/>
    <w:rsid w:val="4490713E"/>
    <w:rsid w:val="452672A3"/>
    <w:rsid w:val="454F2F30"/>
    <w:rsid w:val="456F798C"/>
    <w:rsid w:val="45C833BB"/>
    <w:rsid w:val="45EE2C35"/>
    <w:rsid w:val="462023AF"/>
    <w:rsid w:val="466D1FAD"/>
    <w:rsid w:val="467A3A07"/>
    <w:rsid w:val="46E65C10"/>
    <w:rsid w:val="46FB3190"/>
    <w:rsid w:val="476C338D"/>
    <w:rsid w:val="47AF7E83"/>
    <w:rsid w:val="47B479D1"/>
    <w:rsid w:val="47C67342"/>
    <w:rsid w:val="4823582C"/>
    <w:rsid w:val="4866660A"/>
    <w:rsid w:val="48820C67"/>
    <w:rsid w:val="489C17EB"/>
    <w:rsid w:val="48D1768A"/>
    <w:rsid w:val="48DB0C30"/>
    <w:rsid w:val="48DD5B8F"/>
    <w:rsid w:val="48EF0F8D"/>
    <w:rsid w:val="49730AB7"/>
    <w:rsid w:val="497B7C13"/>
    <w:rsid w:val="498C055A"/>
    <w:rsid w:val="49910914"/>
    <w:rsid w:val="4A0476AA"/>
    <w:rsid w:val="4A4E06E8"/>
    <w:rsid w:val="4A514829"/>
    <w:rsid w:val="4AA73C32"/>
    <w:rsid w:val="4B333119"/>
    <w:rsid w:val="4B367682"/>
    <w:rsid w:val="4B4F11F5"/>
    <w:rsid w:val="4B6B46A7"/>
    <w:rsid w:val="4B7543F5"/>
    <w:rsid w:val="4B780688"/>
    <w:rsid w:val="4B830AF6"/>
    <w:rsid w:val="4BA374F6"/>
    <w:rsid w:val="4BDA1FC9"/>
    <w:rsid w:val="4BE83D52"/>
    <w:rsid w:val="4BEE38D8"/>
    <w:rsid w:val="4C3A0232"/>
    <w:rsid w:val="4C5B5B60"/>
    <w:rsid w:val="4C6F3777"/>
    <w:rsid w:val="4C8D7CDF"/>
    <w:rsid w:val="4C931F66"/>
    <w:rsid w:val="4CC7328C"/>
    <w:rsid w:val="4CDD7D95"/>
    <w:rsid w:val="4CEB1E8C"/>
    <w:rsid w:val="4D2A6676"/>
    <w:rsid w:val="4DD104E1"/>
    <w:rsid w:val="4DD64B60"/>
    <w:rsid w:val="4E943E8F"/>
    <w:rsid w:val="4EAA7263"/>
    <w:rsid w:val="4EAC2AC8"/>
    <w:rsid w:val="4EB47C2A"/>
    <w:rsid w:val="4F022972"/>
    <w:rsid w:val="4F0725D4"/>
    <w:rsid w:val="4F210A96"/>
    <w:rsid w:val="4F441916"/>
    <w:rsid w:val="4F4B7607"/>
    <w:rsid w:val="4F577E84"/>
    <w:rsid w:val="4F5F5DC3"/>
    <w:rsid w:val="4F602AA8"/>
    <w:rsid w:val="4F9C10A1"/>
    <w:rsid w:val="50031E5A"/>
    <w:rsid w:val="50100E54"/>
    <w:rsid w:val="501C4F84"/>
    <w:rsid w:val="507C780A"/>
    <w:rsid w:val="50825975"/>
    <w:rsid w:val="508B3062"/>
    <w:rsid w:val="50C26459"/>
    <w:rsid w:val="50F940CB"/>
    <w:rsid w:val="51174366"/>
    <w:rsid w:val="5119115F"/>
    <w:rsid w:val="51211380"/>
    <w:rsid w:val="51263091"/>
    <w:rsid w:val="5131057C"/>
    <w:rsid w:val="51C3068F"/>
    <w:rsid w:val="51CD5B46"/>
    <w:rsid w:val="522A3958"/>
    <w:rsid w:val="5236305B"/>
    <w:rsid w:val="528F7FF2"/>
    <w:rsid w:val="5296492B"/>
    <w:rsid w:val="52AC0C9B"/>
    <w:rsid w:val="52C40423"/>
    <w:rsid w:val="52F06D7B"/>
    <w:rsid w:val="52F84CE4"/>
    <w:rsid w:val="5330615E"/>
    <w:rsid w:val="53690F61"/>
    <w:rsid w:val="53DE52EC"/>
    <w:rsid w:val="53E13C77"/>
    <w:rsid w:val="53EC6596"/>
    <w:rsid w:val="54080A67"/>
    <w:rsid w:val="540C6710"/>
    <w:rsid w:val="541E55F0"/>
    <w:rsid w:val="546C28A9"/>
    <w:rsid w:val="549365AF"/>
    <w:rsid w:val="54A91FAE"/>
    <w:rsid w:val="54D61766"/>
    <w:rsid w:val="54E00CB5"/>
    <w:rsid w:val="55013211"/>
    <w:rsid w:val="55944CBE"/>
    <w:rsid w:val="55C25FF1"/>
    <w:rsid w:val="55EB0401"/>
    <w:rsid w:val="561112F0"/>
    <w:rsid w:val="56CC3B6B"/>
    <w:rsid w:val="576120C9"/>
    <w:rsid w:val="57764DF6"/>
    <w:rsid w:val="57F827C1"/>
    <w:rsid w:val="58B13F45"/>
    <w:rsid w:val="595C0E9B"/>
    <w:rsid w:val="596562D3"/>
    <w:rsid w:val="598D00B1"/>
    <w:rsid w:val="59AD1873"/>
    <w:rsid w:val="59BD2E9C"/>
    <w:rsid w:val="59C25FD1"/>
    <w:rsid w:val="59F5790B"/>
    <w:rsid w:val="59FA329E"/>
    <w:rsid w:val="5A0B75A2"/>
    <w:rsid w:val="5A102D56"/>
    <w:rsid w:val="5A1477D7"/>
    <w:rsid w:val="5A5F1A43"/>
    <w:rsid w:val="5AA0571A"/>
    <w:rsid w:val="5AF1255C"/>
    <w:rsid w:val="5B0545EA"/>
    <w:rsid w:val="5BC842EF"/>
    <w:rsid w:val="5C3455D1"/>
    <w:rsid w:val="5C5A6C35"/>
    <w:rsid w:val="5C6B6D4E"/>
    <w:rsid w:val="5C7C05A9"/>
    <w:rsid w:val="5CCC75A5"/>
    <w:rsid w:val="5D004FFB"/>
    <w:rsid w:val="5D030A25"/>
    <w:rsid w:val="5D340C16"/>
    <w:rsid w:val="5D3D64DC"/>
    <w:rsid w:val="5D4331A8"/>
    <w:rsid w:val="5D546155"/>
    <w:rsid w:val="5D5B6516"/>
    <w:rsid w:val="5D8A49BD"/>
    <w:rsid w:val="5D962B71"/>
    <w:rsid w:val="5DC9752B"/>
    <w:rsid w:val="5DD526D1"/>
    <w:rsid w:val="5E2B6405"/>
    <w:rsid w:val="5E2D05AC"/>
    <w:rsid w:val="5E320714"/>
    <w:rsid w:val="5E3E3290"/>
    <w:rsid w:val="5E90771E"/>
    <w:rsid w:val="5E95744A"/>
    <w:rsid w:val="5E9C741B"/>
    <w:rsid w:val="5EA17EAE"/>
    <w:rsid w:val="5EAB31C1"/>
    <w:rsid w:val="5EBF46F2"/>
    <w:rsid w:val="5EE76877"/>
    <w:rsid w:val="5F0E7032"/>
    <w:rsid w:val="5F1B6C44"/>
    <w:rsid w:val="5F1B73BE"/>
    <w:rsid w:val="5F716036"/>
    <w:rsid w:val="5F7779B5"/>
    <w:rsid w:val="5FFD4446"/>
    <w:rsid w:val="601B19D7"/>
    <w:rsid w:val="60AD285A"/>
    <w:rsid w:val="60C710BC"/>
    <w:rsid w:val="60D170F0"/>
    <w:rsid w:val="60DE636B"/>
    <w:rsid w:val="61025162"/>
    <w:rsid w:val="6103730B"/>
    <w:rsid w:val="612A3739"/>
    <w:rsid w:val="613A0E56"/>
    <w:rsid w:val="614553BA"/>
    <w:rsid w:val="61506F7C"/>
    <w:rsid w:val="6164679E"/>
    <w:rsid w:val="61A00926"/>
    <w:rsid w:val="61EB4560"/>
    <w:rsid w:val="61FA7100"/>
    <w:rsid w:val="620E5AAB"/>
    <w:rsid w:val="624B505D"/>
    <w:rsid w:val="62747A34"/>
    <w:rsid w:val="62DF72CC"/>
    <w:rsid w:val="6330332F"/>
    <w:rsid w:val="634347BE"/>
    <w:rsid w:val="63585307"/>
    <w:rsid w:val="63614DED"/>
    <w:rsid w:val="636B06AA"/>
    <w:rsid w:val="63C2264C"/>
    <w:rsid w:val="63CA5F38"/>
    <w:rsid w:val="64072750"/>
    <w:rsid w:val="64881C6D"/>
    <w:rsid w:val="64996C6C"/>
    <w:rsid w:val="649C1C46"/>
    <w:rsid w:val="64D41820"/>
    <w:rsid w:val="65224C70"/>
    <w:rsid w:val="653D6590"/>
    <w:rsid w:val="65491FC3"/>
    <w:rsid w:val="65510DB6"/>
    <w:rsid w:val="65560012"/>
    <w:rsid w:val="655F63CB"/>
    <w:rsid w:val="65963272"/>
    <w:rsid w:val="65D53602"/>
    <w:rsid w:val="66053078"/>
    <w:rsid w:val="662A028E"/>
    <w:rsid w:val="6664075D"/>
    <w:rsid w:val="67026E64"/>
    <w:rsid w:val="67150C6C"/>
    <w:rsid w:val="67904017"/>
    <w:rsid w:val="679E382A"/>
    <w:rsid w:val="67A86150"/>
    <w:rsid w:val="67A931A9"/>
    <w:rsid w:val="67C54475"/>
    <w:rsid w:val="67D87779"/>
    <w:rsid w:val="68A56402"/>
    <w:rsid w:val="68DC7055"/>
    <w:rsid w:val="68FC4B0A"/>
    <w:rsid w:val="69565D28"/>
    <w:rsid w:val="6987531E"/>
    <w:rsid w:val="698E4976"/>
    <w:rsid w:val="69C938C6"/>
    <w:rsid w:val="69DD1C7A"/>
    <w:rsid w:val="6A49471F"/>
    <w:rsid w:val="6AA21076"/>
    <w:rsid w:val="6AC04302"/>
    <w:rsid w:val="6AC44448"/>
    <w:rsid w:val="6AEF6EEA"/>
    <w:rsid w:val="6B535989"/>
    <w:rsid w:val="6BE20E6A"/>
    <w:rsid w:val="6C220951"/>
    <w:rsid w:val="6C3D307B"/>
    <w:rsid w:val="6C4D5A74"/>
    <w:rsid w:val="6C98415D"/>
    <w:rsid w:val="6C9F2BE1"/>
    <w:rsid w:val="6CCA1E44"/>
    <w:rsid w:val="6D0834B7"/>
    <w:rsid w:val="6D1C24F7"/>
    <w:rsid w:val="6D223724"/>
    <w:rsid w:val="6D2E5501"/>
    <w:rsid w:val="6D58646A"/>
    <w:rsid w:val="6D6A7312"/>
    <w:rsid w:val="6DBC368D"/>
    <w:rsid w:val="6DBE1B9C"/>
    <w:rsid w:val="6DC87D3B"/>
    <w:rsid w:val="6DCD09F8"/>
    <w:rsid w:val="6E021698"/>
    <w:rsid w:val="6E0F65DE"/>
    <w:rsid w:val="6E507F88"/>
    <w:rsid w:val="6E71781C"/>
    <w:rsid w:val="6E7D57A6"/>
    <w:rsid w:val="6E980D18"/>
    <w:rsid w:val="6EA80D0B"/>
    <w:rsid w:val="6F060B15"/>
    <w:rsid w:val="6F1D432E"/>
    <w:rsid w:val="6F217EBA"/>
    <w:rsid w:val="6F2441E7"/>
    <w:rsid w:val="6F2B62A2"/>
    <w:rsid w:val="6F35208B"/>
    <w:rsid w:val="6F457067"/>
    <w:rsid w:val="6F483D43"/>
    <w:rsid w:val="6F7D3CBA"/>
    <w:rsid w:val="6F7E2F9C"/>
    <w:rsid w:val="6F837BB1"/>
    <w:rsid w:val="6F956E16"/>
    <w:rsid w:val="6FE80238"/>
    <w:rsid w:val="700D3B2A"/>
    <w:rsid w:val="70780384"/>
    <w:rsid w:val="70F85E1E"/>
    <w:rsid w:val="7104520B"/>
    <w:rsid w:val="71096188"/>
    <w:rsid w:val="711E1020"/>
    <w:rsid w:val="71205FBF"/>
    <w:rsid w:val="7164729F"/>
    <w:rsid w:val="7175658E"/>
    <w:rsid w:val="717F4C6D"/>
    <w:rsid w:val="71A34193"/>
    <w:rsid w:val="72351702"/>
    <w:rsid w:val="72423FC0"/>
    <w:rsid w:val="72AB19C2"/>
    <w:rsid w:val="72DF7F5C"/>
    <w:rsid w:val="73646A16"/>
    <w:rsid w:val="743B1D00"/>
    <w:rsid w:val="74402821"/>
    <w:rsid w:val="74556C05"/>
    <w:rsid w:val="74791B48"/>
    <w:rsid w:val="74A80F55"/>
    <w:rsid w:val="74E86680"/>
    <w:rsid w:val="75176C88"/>
    <w:rsid w:val="75460792"/>
    <w:rsid w:val="75556DC3"/>
    <w:rsid w:val="755B1956"/>
    <w:rsid w:val="75602C73"/>
    <w:rsid w:val="7561256D"/>
    <w:rsid w:val="75785B6D"/>
    <w:rsid w:val="75D479FF"/>
    <w:rsid w:val="766263C2"/>
    <w:rsid w:val="76961BE0"/>
    <w:rsid w:val="76C27EDD"/>
    <w:rsid w:val="76D914F3"/>
    <w:rsid w:val="772D0CA3"/>
    <w:rsid w:val="779E4D14"/>
    <w:rsid w:val="77A459E7"/>
    <w:rsid w:val="77B414AC"/>
    <w:rsid w:val="77C57873"/>
    <w:rsid w:val="77ED1666"/>
    <w:rsid w:val="780637AF"/>
    <w:rsid w:val="78731022"/>
    <w:rsid w:val="78AF1A1A"/>
    <w:rsid w:val="78C070F8"/>
    <w:rsid w:val="78EF2084"/>
    <w:rsid w:val="78F23C99"/>
    <w:rsid w:val="79107DA0"/>
    <w:rsid w:val="794F45B5"/>
    <w:rsid w:val="79665A55"/>
    <w:rsid w:val="798326C4"/>
    <w:rsid w:val="79B334E2"/>
    <w:rsid w:val="79CF3EE3"/>
    <w:rsid w:val="79E21085"/>
    <w:rsid w:val="79FA7783"/>
    <w:rsid w:val="7A102AC8"/>
    <w:rsid w:val="7A167748"/>
    <w:rsid w:val="7A2D0B51"/>
    <w:rsid w:val="7AA321D8"/>
    <w:rsid w:val="7AA45103"/>
    <w:rsid w:val="7AAE6E9C"/>
    <w:rsid w:val="7AB55F14"/>
    <w:rsid w:val="7AB62123"/>
    <w:rsid w:val="7ABC7750"/>
    <w:rsid w:val="7B1B215F"/>
    <w:rsid w:val="7B255D1F"/>
    <w:rsid w:val="7B2F161B"/>
    <w:rsid w:val="7B367B1F"/>
    <w:rsid w:val="7B443203"/>
    <w:rsid w:val="7B5A3955"/>
    <w:rsid w:val="7BB124E4"/>
    <w:rsid w:val="7BB26C61"/>
    <w:rsid w:val="7BC67AFF"/>
    <w:rsid w:val="7BE270EB"/>
    <w:rsid w:val="7BEA0B56"/>
    <w:rsid w:val="7C4150ED"/>
    <w:rsid w:val="7C746F2E"/>
    <w:rsid w:val="7C7F1A3A"/>
    <w:rsid w:val="7CF7353A"/>
    <w:rsid w:val="7D0B7AA1"/>
    <w:rsid w:val="7D1046B2"/>
    <w:rsid w:val="7D553602"/>
    <w:rsid w:val="7D6D7D23"/>
    <w:rsid w:val="7D9373DE"/>
    <w:rsid w:val="7DA96B88"/>
    <w:rsid w:val="7DAD20A8"/>
    <w:rsid w:val="7E05440F"/>
    <w:rsid w:val="7E0F5C27"/>
    <w:rsid w:val="7E3B21E0"/>
    <w:rsid w:val="7E5E4853"/>
    <w:rsid w:val="7E6358A6"/>
    <w:rsid w:val="7E7079CC"/>
    <w:rsid w:val="7E7B6D7D"/>
    <w:rsid w:val="7E7D4A09"/>
    <w:rsid w:val="7E8D5F3B"/>
    <w:rsid w:val="7EBE54FC"/>
    <w:rsid w:val="7EE8452B"/>
    <w:rsid w:val="7EFD2AE8"/>
    <w:rsid w:val="7F330C53"/>
    <w:rsid w:val="7F5D55F1"/>
    <w:rsid w:val="7F6020A5"/>
    <w:rsid w:val="7F7B04DB"/>
    <w:rsid w:val="7F996065"/>
    <w:rsid w:val="7FF7269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link w:val="21"/>
    <w:unhideWhenUsed/>
    <w:qFormat/>
    <w:locked/>
    <w:uiPriority w:val="9"/>
    <w:pPr>
      <w:keepNext/>
      <w:keepLines/>
      <w:spacing w:before="260" w:after="260" w:line="416" w:lineRule="auto"/>
      <w:outlineLvl w:val="1"/>
    </w:pPr>
    <w:rPr>
      <w:rFonts w:ascii="Cambria" w:hAnsi="Cambria"/>
      <w:b/>
      <w:bCs/>
      <w:sz w:val="32"/>
      <w:szCs w:val="32"/>
    </w:rPr>
  </w:style>
  <w:style w:type="character" w:default="1" w:styleId="15">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5">
    <w:name w:val="Body Text Indent"/>
    <w:basedOn w:val="1"/>
    <w:qFormat/>
    <w:uiPriority w:val="99"/>
    <w:pPr>
      <w:spacing w:after="120"/>
      <w:ind w:left="420" w:leftChars="200"/>
    </w:p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locked/>
    <w:uiPriority w:val="39"/>
    <w:pPr>
      <w:tabs>
        <w:tab w:val="right" w:leader="dot" w:pos="8296"/>
      </w:tabs>
      <w:spacing w:before="93"/>
      <w:jc w:val="center"/>
    </w:pPr>
    <w:rPr>
      <w:rFonts w:ascii="仿宋" w:hAnsi="仿宋" w:eastAsia="仿宋"/>
      <w:sz w:val="28"/>
      <w:szCs w:val="28"/>
    </w:rPr>
  </w:style>
  <w:style w:type="paragraph" w:styleId="9">
    <w:name w:val="table of figures"/>
    <w:basedOn w:val="1"/>
    <w:next w:val="1"/>
    <w:qFormat/>
    <w:uiPriority w:val="0"/>
    <w:pPr>
      <w:ind w:left="200" w:leftChars="200" w:hanging="200" w:hangingChars="200"/>
    </w:pPr>
  </w:style>
  <w:style w:type="paragraph" w:styleId="10">
    <w:name w:val="toc 2"/>
    <w:basedOn w:val="1"/>
    <w:next w:val="1"/>
    <w:unhideWhenUsed/>
    <w:qFormat/>
    <w:locked/>
    <w:uiPriority w:val="39"/>
    <w:pPr>
      <w:tabs>
        <w:tab w:val="right" w:leader="dot" w:pos="8296"/>
      </w:tabs>
      <w:ind w:left="420" w:leftChars="200"/>
    </w:pPr>
  </w:style>
  <w:style w:type="paragraph" w:styleId="11">
    <w:name w:val="Normal (Web)"/>
    <w:basedOn w:val="1"/>
    <w:qFormat/>
    <w:uiPriority w:val="99"/>
    <w:pPr>
      <w:widowControl/>
      <w:jc w:val="left"/>
    </w:pPr>
    <w:rPr>
      <w:rFonts w:ascii="宋体" w:hAnsi="宋体" w:eastAsia="仿宋_GB2312" w:cs="宋体"/>
      <w:color w:val="000000"/>
      <w:kern w:val="0"/>
      <w:sz w:val="24"/>
      <w:szCs w:val="32"/>
    </w:rPr>
  </w:style>
  <w:style w:type="paragraph" w:styleId="12">
    <w:name w:val="Body Text First Indent 2"/>
    <w:basedOn w:val="5"/>
    <w:qFormat/>
    <w:uiPriority w:val="99"/>
    <w:pPr>
      <w:spacing w:before="100" w:beforeAutospacing="1" w:after="100" w:afterAutospacing="1"/>
      <w:ind w:left="0" w:firstLine="420" w:firstLineChars="200"/>
    </w:pPr>
  </w:style>
  <w:style w:type="table" w:styleId="14">
    <w:name w:val="Table Grid"/>
    <w:basedOn w:val="13"/>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locked/>
    <w:uiPriority w:val="99"/>
    <w:rPr>
      <w:rFonts w:cs="Times New Roman"/>
      <w:b/>
    </w:rPr>
  </w:style>
  <w:style w:type="character" w:styleId="17">
    <w:name w:val="page number"/>
    <w:basedOn w:val="15"/>
    <w:qFormat/>
    <w:uiPriority w:val="99"/>
    <w:rPr>
      <w:rFonts w:cs="Times New Roman"/>
    </w:rPr>
  </w:style>
  <w:style w:type="character" w:styleId="18">
    <w:name w:val="Hyperlink"/>
    <w:basedOn w:val="15"/>
    <w:unhideWhenUsed/>
    <w:qFormat/>
    <w:uiPriority w:val="99"/>
    <w:rPr>
      <w:rFonts w:cs="Times New Roman"/>
      <w:color w:val="0000FF"/>
      <w:u w:val="single"/>
    </w:rPr>
  </w:style>
  <w:style w:type="character" w:customStyle="1" w:styleId="19">
    <w:name w:val="Header Char"/>
    <w:basedOn w:val="15"/>
    <w:link w:val="7"/>
    <w:qFormat/>
    <w:locked/>
    <w:uiPriority w:val="99"/>
    <w:rPr>
      <w:rFonts w:cs="Times New Roman"/>
      <w:kern w:val="2"/>
      <w:sz w:val="18"/>
      <w:szCs w:val="18"/>
    </w:rPr>
  </w:style>
  <w:style w:type="character" w:customStyle="1" w:styleId="20">
    <w:name w:val="Footer Char"/>
    <w:basedOn w:val="15"/>
    <w:link w:val="6"/>
    <w:qFormat/>
    <w:locked/>
    <w:uiPriority w:val="99"/>
    <w:rPr>
      <w:rFonts w:cs="Times New Roman"/>
      <w:kern w:val="2"/>
      <w:sz w:val="18"/>
      <w:szCs w:val="18"/>
    </w:rPr>
  </w:style>
  <w:style w:type="character" w:customStyle="1" w:styleId="21">
    <w:name w:val=" Char Char5"/>
    <w:basedOn w:val="15"/>
    <w:link w:val="4"/>
    <w:qFormat/>
    <w:locked/>
    <w:uiPriority w:val="9"/>
    <w:rPr>
      <w:rFonts w:ascii="Cambria" w:hAnsi="Cambria"/>
      <w:b/>
      <w:bCs/>
      <w:sz w:val="32"/>
      <w:szCs w:val="32"/>
    </w:rPr>
  </w:style>
  <w:style w:type="character" w:customStyle="1" w:styleId="22">
    <w:name w:val=" Char Char6"/>
    <w:basedOn w:val="15"/>
    <w:link w:val="3"/>
    <w:qFormat/>
    <w:locked/>
    <w:uiPriority w:val="9"/>
    <w:rPr>
      <w:b/>
      <w:bCs/>
      <w:kern w:val="44"/>
      <w:sz w:val="44"/>
      <w:szCs w:val="44"/>
    </w:rPr>
  </w:style>
  <w:style w:type="character" w:customStyle="1" w:styleId="23">
    <w:name w:val="标题 1 Char"/>
    <w:basedOn w:val="15"/>
    <w:link w:val="3"/>
    <w:qFormat/>
    <w:locked/>
    <w:uiPriority w:val="9"/>
    <w:rPr>
      <w:rFonts w:ascii="Times New Roman" w:hAnsi="Times New Roman" w:cs="Times New Roman"/>
      <w:b/>
      <w:bCs/>
      <w:kern w:val="44"/>
      <w:sz w:val="44"/>
      <w:szCs w:val="4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48</Pages>
  <Words>19086</Words>
  <Characters>20933</Characters>
  <Lines>0</Lines>
  <Paragraphs>0</Paragraphs>
  <TotalTime>197</TotalTime>
  <ScaleCrop>false</ScaleCrop>
  <LinksUpToDate>false</LinksUpToDate>
  <CharactersWithSpaces>20994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2019-09-04T14:45:00Z</dcterms:created>
  <dc:creator>admin</dc:creator>
  <cp:lastModifiedBy>杨洁</cp:lastModifiedBy>
  <cp:lastPrinted>2021-09-28T02:37:00Z</cp:lastPrinted>
  <dcterms:modified xsi:type="dcterms:W3CDTF">2022-07-11T06:57:16Z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F29135DD64F84514BAB2A2DB9031E9A2</vt:lpwstr>
  </property>
</Properties>
</file>