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150"/>
        <w:jc w:val="center"/>
      </w:pPr>
      <w:r>
        <w:rPr>
          <w:rFonts w:ascii="黑体" w:hAnsi="宋体" w:eastAsia="黑体" w:cs="黑体"/>
          <w:b/>
          <w:bCs/>
          <w:color w:val="222222"/>
          <w:sz w:val="28"/>
          <w:szCs w:val="28"/>
        </w:rPr>
        <w:t>四川省水利工程建设项目合同主要内容公告表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450"/>
        <w:gridCol w:w="1250"/>
        <w:gridCol w:w="1200"/>
        <w:gridCol w:w="810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t>四川省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  <w:lang w:eastAsia="zh-CN"/>
              </w:rPr>
              <w:t>广元市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t>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  <w:lang w:eastAsia="zh-CN"/>
              </w:rPr>
              <w:t>潜溪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t>河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  <w:lang w:eastAsia="zh-CN"/>
              </w:rPr>
              <w:t>中子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t>段防洪治理工程施工标段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0839-8624942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 至202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履约担保必须符合招标文件投标人须知前附表7.7.1相关要求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履约保证金按签约合同价的7%，在本工程项目完工，且验收合格后28天内无息退还。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FF0000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四川省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广元市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朝天区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潜溪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河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中子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段防洪治理工程施工标段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河南盛世永昌建设集团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有限公司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222222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15544843.00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个月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关卫卫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贝春梅</w:t>
            </w:r>
          </w:p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施工范围：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本项目工程量清单及图纸范围内的全部施工内容。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建设规模：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综合治理河道长度7.6km，其中新建堤防7段共5.35km。</w:t>
            </w:r>
          </w:p>
          <w:p>
            <w:pPr>
              <w:pStyle w:val="12"/>
              <w:adjustRightInd w:val="0"/>
              <w:snapToGrid w:val="0"/>
              <w:spacing w:line="5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主要技术指标：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工程的施工质量必须达到合格及以上，并严格执行《水利水电工程施工质量检验与评定规程》（SL176－2007）、《水利水电建设工程验收规程》（SL223－2008）、《水利水电工程单元工程施工质量验收评定标准》等现行规范、规程、标准和强制性条文等。</w:t>
            </w:r>
          </w:p>
          <w:p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2MzJmNmY0ODM2NzA1MGM3M2IwZWZlMWY0NTFhYWEifQ=="/>
  </w:docVars>
  <w:rsids>
    <w:rsidRoot w:val="775A376C"/>
    <w:rsid w:val="00027A0F"/>
    <w:rsid w:val="002956EF"/>
    <w:rsid w:val="003A6BEE"/>
    <w:rsid w:val="003B7E22"/>
    <w:rsid w:val="003C7061"/>
    <w:rsid w:val="0055428D"/>
    <w:rsid w:val="006A416A"/>
    <w:rsid w:val="00751825"/>
    <w:rsid w:val="00787F22"/>
    <w:rsid w:val="007A4912"/>
    <w:rsid w:val="00AE4294"/>
    <w:rsid w:val="00ED7702"/>
    <w:rsid w:val="00F41887"/>
    <w:rsid w:val="00FB79BE"/>
    <w:rsid w:val="11BF71DE"/>
    <w:rsid w:val="1A427A6B"/>
    <w:rsid w:val="21AD55F5"/>
    <w:rsid w:val="403F098B"/>
    <w:rsid w:val="4D2D68E8"/>
    <w:rsid w:val="65665319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qFormat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kern w:val="0"/>
      <w:sz w:val="24"/>
      <w:lang w:val="en-US" w:eastAsia="zh-CN" w:bidi="ar-SA"/>
    </w:rPr>
  </w:style>
  <w:style w:type="character" w:customStyle="1" w:styleId="13">
    <w:name w:val="样式4 Char2"/>
    <w:link w:val="12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677</Characters>
  <Lines>5</Lines>
  <Paragraphs>1</Paragraphs>
  <TotalTime>160</TotalTime>
  <ScaleCrop>false</ScaleCrop>
  <LinksUpToDate>false</LinksUpToDate>
  <CharactersWithSpaces>678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狂野男孩1381991421</cp:lastModifiedBy>
  <cp:lastPrinted>2022-07-28T09:29:00Z</cp:lastPrinted>
  <dcterms:modified xsi:type="dcterms:W3CDTF">2022-07-28T09:33:13Z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6FB7487229F34A15A5BA2D509C899806</vt:lpwstr>
  </property>
</Properties>
</file>