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78441"/>
      <w:bookmarkStart w:id="1" w:name="_Toc15377425"/>
      <w:bookmarkStart w:id="2" w:name="_Toc15396597"/>
      <w:bookmarkStart w:id="3" w:name="_Toc15377193"/>
      <w:bookmarkStart w:id="4" w:name="_Toc15396475"/>
      <w:bookmarkStart w:id="5"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21</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p>
    <w:bookmarkEnd w:id="5"/>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5377194"/>
      <w:bookmarkStart w:id="7" w:name="_Toc15377426"/>
      <w:bookmarkStart w:id="8" w:name="_Toc15378442"/>
      <w:bookmarkStart w:id="9" w:name="_Toc15306268"/>
      <w:bookmarkStart w:id="10" w:name="_Toc15396598"/>
      <w:bookmarkStart w:id="11" w:name="_Toc15396476"/>
      <w:r>
        <w:rPr>
          <w:rFonts w:hint="eastAsia" w:ascii="方正小标宋简体" w:hAnsi="方正小标宋简体" w:eastAsia="方正小标宋简体" w:cs="方正小标宋简体"/>
          <w:color w:val="auto"/>
          <w:sz w:val="72"/>
          <w:szCs w:val="72"/>
          <w:highlight w:val="none"/>
          <w:lang w:eastAsia="zh-CN"/>
        </w:rPr>
        <w:t>广元市朝天区农业农村局部</w:t>
      </w:r>
      <w:r>
        <w:rPr>
          <w:rFonts w:hint="eastAsia" w:ascii="方正小标宋简体" w:hAnsi="方正小标宋简体" w:eastAsia="方正小标宋简体" w:cs="方正小标宋简体"/>
          <w:color w:val="auto"/>
          <w:sz w:val="72"/>
          <w:szCs w:val="72"/>
          <w:highlight w:val="none"/>
          <w:lang w:val="en-US" w:eastAsia="zh-CN"/>
        </w:rPr>
        <w:t xml:space="preserve"> </w:t>
      </w:r>
      <w:r>
        <w:rPr>
          <w:rFonts w:hint="eastAsia" w:ascii="方正小标宋简体" w:hAnsi="方正小标宋简体" w:eastAsia="方正小标宋简体" w:cs="方正小标宋简体"/>
          <w:color w:val="auto"/>
          <w:sz w:val="72"/>
          <w:szCs w:val="72"/>
          <w:highlight w:val="none"/>
          <w:lang w:eastAsia="zh-CN"/>
        </w:rPr>
        <w:t>门</w:t>
      </w:r>
      <w:r>
        <w:rPr>
          <w:rFonts w:hint="eastAsia" w:ascii="方正小标宋简体" w:hAnsi="方正小标宋简体" w:eastAsia="方正小标宋简体" w:cs="方正小标宋简体"/>
          <w:color w:val="auto"/>
          <w:sz w:val="72"/>
          <w:szCs w:val="72"/>
          <w:highlight w:val="none"/>
          <w:lang w:val="en-US" w:eastAsia="zh-CN"/>
        </w:rPr>
        <w:t xml:space="preserve"> </w:t>
      </w:r>
      <w:r>
        <w:rPr>
          <w:rFonts w:hint="eastAsia" w:ascii="方正小标宋简体" w:hAnsi="方正小标宋简体" w:eastAsia="方正小标宋简体" w:cs="方正小标宋简体"/>
          <w:color w:val="auto"/>
          <w:sz w:val="72"/>
          <w:szCs w:val="72"/>
          <w:highlight w:val="none"/>
        </w:rPr>
        <w:t>决</w:t>
      </w:r>
      <w:r>
        <w:rPr>
          <w:rFonts w:hint="eastAsia" w:ascii="方正小标宋简体" w:hAnsi="方正小标宋简体" w:eastAsia="方正小标宋简体" w:cs="方正小标宋简体"/>
          <w:color w:val="auto"/>
          <w:sz w:val="72"/>
          <w:szCs w:val="72"/>
          <w:highlight w:val="none"/>
          <w:lang w:val="en-US" w:eastAsia="zh-CN"/>
        </w:rPr>
        <w:t xml:space="preserve"> </w:t>
      </w:r>
      <w:r>
        <w:rPr>
          <w:rFonts w:hint="eastAsia" w:ascii="方正小标宋简体" w:hAnsi="方正小标宋简体" w:eastAsia="方正小标宋简体" w:cs="方正小标宋简体"/>
          <w:color w:val="auto"/>
          <w:sz w:val="72"/>
          <w:szCs w:val="72"/>
          <w:highlight w:val="none"/>
        </w:rPr>
        <w:t>算</w:t>
      </w:r>
      <w:bookmarkEnd w:id="6"/>
      <w:bookmarkEnd w:id="7"/>
      <w:bookmarkEnd w:id="8"/>
      <w:bookmarkEnd w:id="9"/>
      <w:bookmarkEnd w:id="10"/>
      <w:bookmarkEnd w:id="11"/>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3"/>
        <w:rPr>
          <w:color w:val="auto"/>
          <w:highlight w:val="none"/>
        </w:rPr>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27</w:t>
      </w:r>
      <w:r>
        <w:rPr>
          <w:rFonts w:hint="eastAsia"/>
          <w:color w:val="auto"/>
          <w:highlight w:val="none"/>
        </w:rPr>
        <w:t>日</w:t>
      </w:r>
    </w:p>
    <w:p>
      <w:pPr>
        <w:rPr>
          <w:color w:val="auto"/>
          <w:highlight w:val="none"/>
        </w:rPr>
      </w:pPr>
    </w:p>
    <w:p>
      <w:pPr>
        <w:pStyle w:val="13"/>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rPr>
        <w:t>部门概况</w:t>
      </w:r>
    </w:p>
    <w:p>
      <w:pPr>
        <w:pStyle w:val="15"/>
        <w:adjustRightInd w:val="0"/>
        <w:snapToGrid w:val="0"/>
        <w:spacing w:line="440" w:lineRule="exact"/>
        <w:jc w:val="left"/>
        <w:rPr>
          <w:rFonts w:hint="default" w:ascii="仿宋" w:hAnsi="仿宋" w:eastAsia="宋体"/>
          <w:color w:val="auto"/>
          <w:sz w:val="24"/>
          <w:highlight w:val="none"/>
          <w:lang w:val="en-US" w:eastAsia="zh-CN"/>
        </w:rPr>
      </w:pPr>
      <w:r>
        <w:rPr>
          <w:rFonts w:hint="eastAsia"/>
          <w:color w:val="auto"/>
          <w:sz w:val="24"/>
          <w:highlight w:val="none"/>
        </w:rPr>
        <w:t>一、基本职能及主要工作</w:t>
      </w:r>
      <w:r>
        <w:rPr>
          <w:rFonts w:hint="eastAsia"/>
          <w:color w:val="auto"/>
          <w:sz w:val="24"/>
          <w:highlight w:val="none"/>
          <w:lang w:val="en-US" w:eastAsia="zh-CN"/>
        </w:rPr>
        <w:t>.........................................................P4---P20</w:t>
      </w:r>
    </w:p>
    <w:p>
      <w:pPr>
        <w:pStyle w:val="15"/>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二、机构设置</w:t>
      </w:r>
      <w:r>
        <w:rPr>
          <w:rFonts w:hint="eastAsia"/>
          <w:color w:val="auto"/>
          <w:sz w:val="24"/>
          <w:highlight w:val="none"/>
          <w:lang w:val="en-US" w:eastAsia="zh-CN"/>
        </w:rPr>
        <w:t>..............................................................................P20</w:t>
      </w:r>
    </w:p>
    <w:p>
      <w:pPr>
        <w:pStyle w:val="13"/>
        <w:adjustRightInd w:val="0"/>
        <w:snapToGrid w:val="0"/>
        <w:spacing w:before="0" w:line="440" w:lineRule="exact"/>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2021年度</w:t>
      </w:r>
      <w:r>
        <w:rPr>
          <w:rFonts w:hint="eastAsia"/>
          <w:color w:val="auto"/>
          <w:sz w:val="24"/>
          <w:highlight w:val="none"/>
        </w:rPr>
        <w:t>部门决算情况说明</w:t>
      </w:r>
    </w:p>
    <w:p>
      <w:pPr>
        <w:pStyle w:val="15"/>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一、收入支出决算总体情况说明</w:t>
      </w:r>
      <w:r>
        <w:rPr>
          <w:rFonts w:hint="eastAsia"/>
          <w:color w:val="auto"/>
          <w:sz w:val="24"/>
          <w:highlight w:val="none"/>
          <w:lang w:val="en-US" w:eastAsia="zh-CN"/>
        </w:rPr>
        <w:t>...............................................P21</w:t>
      </w:r>
    </w:p>
    <w:p>
      <w:pPr>
        <w:pStyle w:val="15"/>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二、收入决算情况说明</w:t>
      </w:r>
      <w:r>
        <w:rPr>
          <w:rFonts w:hint="eastAsia"/>
          <w:color w:val="auto"/>
          <w:sz w:val="24"/>
          <w:highlight w:val="none"/>
          <w:lang w:val="en-US" w:eastAsia="zh-CN"/>
        </w:rPr>
        <w:t>...............................................................P21</w:t>
      </w:r>
    </w:p>
    <w:p>
      <w:pPr>
        <w:pStyle w:val="15"/>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三、支出决算情况说明</w:t>
      </w:r>
      <w:r>
        <w:rPr>
          <w:rFonts w:hint="eastAsia"/>
          <w:color w:val="auto"/>
          <w:sz w:val="24"/>
          <w:highlight w:val="none"/>
          <w:lang w:val="en-US" w:eastAsia="zh-CN"/>
        </w:rPr>
        <w:t>...............................................................P22</w:t>
      </w:r>
    </w:p>
    <w:p>
      <w:pPr>
        <w:pStyle w:val="15"/>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四、财政拨款收入支出决算总体情况说明</w:t>
      </w:r>
      <w:r>
        <w:rPr>
          <w:rFonts w:hint="eastAsia"/>
          <w:color w:val="auto"/>
          <w:sz w:val="24"/>
          <w:highlight w:val="none"/>
          <w:lang w:val="en-US" w:eastAsia="zh-CN"/>
        </w:rPr>
        <w:t>...............................P22</w:t>
      </w:r>
    </w:p>
    <w:p>
      <w:pPr>
        <w:pStyle w:val="15"/>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五、一般公共预算财政拨款支出决算情况说明</w:t>
      </w:r>
      <w:r>
        <w:rPr>
          <w:rFonts w:hint="eastAsia"/>
          <w:color w:val="auto"/>
          <w:sz w:val="24"/>
          <w:highlight w:val="none"/>
          <w:lang w:val="en-US" w:eastAsia="zh-CN"/>
        </w:rPr>
        <w:t>.......................P23--P25</w:t>
      </w:r>
    </w:p>
    <w:p>
      <w:pPr>
        <w:pStyle w:val="15"/>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六、一般公共预算财政拨款基本支出决算情况说明</w:t>
      </w:r>
      <w:r>
        <w:rPr>
          <w:rFonts w:hint="eastAsia"/>
          <w:color w:val="auto"/>
          <w:sz w:val="24"/>
          <w:highlight w:val="none"/>
          <w:lang w:val="en-US" w:eastAsia="zh-CN"/>
        </w:rPr>
        <w:t>...............P25--P26</w:t>
      </w:r>
    </w:p>
    <w:p>
      <w:pPr>
        <w:pStyle w:val="15"/>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七、</w:t>
      </w:r>
      <w:r>
        <w:rPr>
          <w:rFonts w:hint="eastAsia"/>
          <w:color w:val="auto"/>
          <w:sz w:val="24"/>
          <w:highlight w:val="none"/>
          <w:lang w:eastAsia="zh-CN"/>
        </w:rPr>
        <w:t>“</w:t>
      </w:r>
      <w:r>
        <w:rPr>
          <w:rFonts w:hint="eastAsia"/>
          <w:color w:val="auto"/>
          <w:sz w:val="24"/>
          <w:highlight w:val="none"/>
        </w:rPr>
        <w:t>三公”经费财政拨款支出决算情况说明</w:t>
      </w:r>
      <w:r>
        <w:rPr>
          <w:rFonts w:hint="eastAsia"/>
          <w:color w:val="auto"/>
          <w:sz w:val="24"/>
          <w:highlight w:val="none"/>
          <w:lang w:val="en-US" w:eastAsia="zh-CN"/>
        </w:rPr>
        <w:t>.......................p26--P27</w:t>
      </w:r>
    </w:p>
    <w:p>
      <w:pPr>
        <w:pStyle w:val="15"/>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八、政府性基金预算支出决算情况说明</w:t>
      </w:r>
      <w:r>
        <w:rPr>
          <w:rFonts w:hint="eastAsia"/>
          <w:color w:val="auto"/>
          <w:sz w:val="24"/>
          <w:highlight w:val="none"/>
          <w:lang w:val="en-US" w:eastAsia="zh-CN"/>
        </w:rPr>
        <w:t>...................................P27</w:t>
      </w:r>
    </w:p>
    <w:p>
      <w:pPr>
        <w:pStyle w:val="15"/>
        <w:adjustRightInd w:val="0"/>
        <w:snapToGrid w:val="0"/>
        <w:spacing w:line="440" w:lineRule="exact"/>
        <w:ind w:leftChars="0"/>
        <w:jc w:val="left"/>
        <w:rPr>
          <w:rFonts w:hint="default"/>
          <w:color w:val="auto"/>
          <w:sz w:val="24"/>
          <w:highlight w:val="none"/>
          <w:lang w:val="en-US" w:eastAsia="zh-CN"/>
        </w:rPr>
      </w:pPr>
      <w:r>
        <w:rPr>
          <w:rFonts w:hint="eastAsia" w:asciiTheme="minorEastAsia" w:hAnsiTheme="minorEastAsia" w:eastAsiaTheme="minorEastAsia" w:cstheme="minorEastAsia"/>
          <w:color w:val="auto"/>
          <w:sz w:val="24"/>
          <w:highlight w:val="none"/>
        </w:rPr>
        <w:t>九、</w:t>
      </w:r>
      <w:r>
        <w:rPr>
          <w:rFonts w:hint="eastAsia" w:asciiTheme="minorEastAsia" w:hAnsiTheme="minorEastAsia" w:eastAsiaTheme="minorEastAsia" w:cstheme="minorEastAsia"/>
          <w:color w:val="auto"/>
          <w:sz w:val="24"/>
          <w:highlight w:val="none"/>
          <w:lang w:eastAsia="zh-CN"/>
        </w:rPr>
        <w:t>国</w:t>
      </w:r>
      <w:r>
        <w:rPr>
          <w:rFonts w:hint="eastAsia" w:asciiTheme="minorEastAsia" w:hAnsiTheme="minorEastAsia" w:eastAsiaTheme="minorEastAsia" w:cstheme="minorEastAsia"/>
          <w:color w:val="auto"/>
          <w:sz w:val="24"/>
          <w:highlight w:val="none"/>
        </w:rPr>
        <w:t>有资本经营预算支出决算情况说明</w:t>
      </w:r>
      <w:r>
        <w:rPr>
          <w:rFonts w:hint="eastAsia"/>
          <w:color w:val="auto"/>
          <w:sz w:val="24"/>
          <w:highlight w:val="none"/>
          <w:lang w:val="en-US" w:eastAsia="zh-CN"/>
        </w:rPr>
        <w:t>...............................P27</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jc w:val="left"/>
        <w:textAlignment w:val="auto"/>
        <w:rPr>
          <w:rFonts w:hint="default" w:asciiTheme="minorEastAsia" w:hAnsiTheme="minorEastAsia" w:eastAsiaTheme="minorEastAsia" w:cstheme="minorEastAsia"/>
          <w:color w:val="auto"/>
          <w:sz w:val="24"/>
          <w:highlight w:val="none"/>
          <w:lang w:val="en-US"/>
        </w:rPr>
      </w:pPr>
      <w:r>
        <w:rPr>
          <w:rStyle w:val="19"/>
          <w:rFonts w:hint="eastAsia" w:asciiTheme="minorEastAsia" w:hAnsiTheme="minorEastAsia" w:eastAsiaTheme="minorEastAsia" w:cstheme="minorEastAsia"/>
          <w:color w:val="auto"/>
          <w:sz w:val="24"/>
          <w:highlight w:val="none"/>
          <w:u w:val="none"/>
          <w:lang w:eastAsia="zh-CN"/>
        </w:rPr>
        <w:t>十</w:t>
      </w:r>
      <w:r>
        <w:rPr>
          <w:rStyle w:val="19"/>
          <w:rFonts w:hint="eastAsia" w:asciiTheme="minorEastAsia" w:hAnsiTheme="minorEastAsia" w:eastAsiaTheme="minorEastAsia" w:cstheme="minorEastAsia"/>
          <w:color w:val="auto"/>
          <w:sz w:val="24"/>
          <w:highlight w:val="none"/>
          <w:u w:val="none"/>
        </w:rPr>
        <w:t>、</w:t>
      </w:r>
      <w:r>
        <w:rPr>
          <w:rFonts w:hint="eastAsia" w:asciiTheme="minorEastAsia" w:hAnsiTheme="minorEastAsia" w:eastAsiaTheme="minorEastAsia" w:cstheme="minorEastAsia"/>
          <w:color w:val="auto"/>
          <w:sz w:val="24"/>
          <w:highlight w:val="none"/>
          <w:lang w:val="en-US" w:eastAsia="zh-CN"/>
        </w:rPr>
        <w:t>预算绩效管理情况</w:t>
      </w:r>
      <w:r>
        <w:rPr>
          <w:rFonts w:hint="eastAsia" w:cs="Times New Roman"/>
          <w:color w:val="auto"/>
          <w:kern w:val="2"/>
          <w:sz w:val="24"/>
          <w:szCs w:val="24"/>
          <w:highlight w:val="none"/>
          <w:lang w:val="en-US" w:eastAsia="zh-CN" w:bidi="ar-SA"/>
        </w:rPr>
        <w:t>...............................................................P28</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jc w:val="left"/>
        <w:textAlignment w:val="auto"/>
        <w:rPr>
          <w:rFonts w:hint="default" w:cs="Times New Roman"/>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lang w:val="en-US" w:eastAsia="zh-CN"/>
        </w:rPr>
        <w:t>十一、</w:t>
      </w:r>
      <w:r>
        <w:rPr>
          <w:rFonts w:hint="eastAsia" w:asciiTheme="minorEastAsia" w:hAnsiTheme="minorEastAsia" w:eastAsiaTheme="minorEastAsia" w:cstheme="minorEastAsia"/>
          <w:color w:val="auto"/>
          <w:sz w:val="24"/>
          <w:highlight w:val="none"/>
        </w:rPr>
        <w:t>其他重要事项的情况说明</w:t>
      </w:r>
      <w:r>
        <w:rPr>
          <w:rFonts w:hint="eastAsia" w:cs="Times New Roman"/>
          <w:color w:val="auto"/>
          <w:kern w:val="2"/>
          <w:sz w:val="24"/>
          <w:szCs w:val="24"/>
          <w:highlight w:val="none"/>
          <w:lang w:val="en-US" w:eastAsia="zh-CN" w:bidi="ar-SA"/>
        </w:rPr>
        <w:t>...............................................P68</w:t>
      </w:r>
    </w:p>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eastAsia="宋体" w:cstheme="minorBidi"/>
          <w:color w:val="auto"/>
          <w:sz w:val="24"/>
          <w:szCs w:val="24"/>
          <w:highlight w:val="none"/>
          <w:lang w:val="en-US" w:eastAsia="zh-CN"/>
        </w:rPr>
      </w:pPr>
      <w:r>
        <w:rPr>
          <w:rFonts w:hint="eastAsia" w:ascii="仿宋" w:hAnsi="仿宋" w:eastAsia="仿宋" w:cs="Times New Roman"/>
          <w:color w:val="auto"/>
          <w:kern w:val="2"/>
          <w:sz w:val="24"/>
          <w:szCs w:val="28"/>
          <w:highlight w:val="none"/>
          <w:lang w:val="en-US" w:eastAsia="zh-CN" w:bidi="ar-SA"/>
        </w:rPr>
        <w:t>第三部分 名词解释</w:t>
      </w:r>
      <w:r>
        <w:rPr>
          <w:rFonts w:hint="eastAsia"/>
          <w:color w:val="auto"/>
          <w:sz w:val="24"/>
          <w:highlight w:val="none"/>
          <w:lang w:val="en-US" w:eastAsia="zh-CN"/>
        </w:rPr>
        <w:t>............................................................................P29--P33</w:t>
      </w:r>
    </w:p>
    <w:p>
      <w:pPr>
        <w:pStyle w:val="13"/>
        <w:adjustRightInd w:val="0"/>
        <w:snapToGrid w:val="0"/>
        <w:spacing w:before="0" w:line="440" w:lineRule="exact"/>
        <w:jc w:val="left"/>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hint="eastAsia" w:ascii="Times New Roman" w:hAnsi="Times New Roman" w:eastAsia="宋体" w:cs="Times New Roman"/>
          <w:color w:val="auto"/>
          <w:kern w:val="2"/>
          <w:sz w:val="24"/>
          <w:szCs w:val="24"/>
          <w:highlight w:val="none"/>
          <w:lang w:val="en-US" w:eastAsia="zh-CN" w:bidi="ar-SA"/>
        </w:rPr>
        <w:t>....................................................................................P34--P68</w:t>
      </w:r>
    </w:p>
    <w:p>
      <w:pPr>
        <w:pStyle w:val="13"/>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hint="eastAsia" w:ascii="Times New Roman" w:hAnsi="Times New Roman" w:eastAsia="宋体" w:cs="Times New Roman"/>
          <w:color w:val="auto"/>
          <w:kern w:val="2"/>
          <w:sz w:val="24"/>
          <w:szCs w:val="24"/>
          <w:highlight w:val="none"/>
          <w:lang w:val="en-US" w:eastAsia="zh-CN" w:bidi="ar-SA"/>
        </w:rPr>
        <w:t>.....................................................................................P69</w:t>
      </w:r>
    </w:p>
    <w:p>
      <w:pPr>
        <w:pStyle w:val="15"/>
        <w:adjustRightInd w:val="0"/>
        <w:snapToGrid w:val="0"/>
        <w:spacing w:line="440" w:lineRule="exact"/>
        <w:jc w:val="left"/>
        <w:rPr>
          <w:rFonts w:ascii="仿宋" w:hAnsi="仿宋" w:eastAsia="仿宋" w:cstheme="minorBidi"/>
          <w:color w:val="auto"/>
          <w:sz w:val="24"/>
          <w:highlight w:val="none"/>
        </w:rPr>
      </w:pPr>
      <w:r>
        <w:rPr>
          <w:rFonts w:hint="eastAsia" w:ascii="仿宋" w:hAnsi="仿宋" w:eastAsia="仿宋"/>
          <w:color w:val="auto"/>
          <w:sz w:val="24"/>
          <w:highlight w:val="none"/>
        </w:rPr>
        <w:t>一、</w:t>
      </w:r>
      <w:r>
        <w:rPr>
          <w:rFonts w:hint="eastAsia"/>
          <w:color w:val="auto"/>
          <w:sz w:val="24"/>
          <w:highlight w:val="none"/>
        </w:rPr>
        <w:t>收入支出决算总表</w:t>
      </w:r>
    </w:p>
    <w:p>
      <w:pPr>
        <w:pStyle w:val="15"/>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二、收入决算表</w:t>
      </w:r>
    </w:p>
    <w:p>
      <w:pPr>
        <w:pStyle w:val="15"/>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三、支出决算表</w:t>
      </w:r>
    </w:p>
    <w:p>
      <w:pPr>
        <w:pStyle w:val="15"/>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四、财政拨款收入支出决算总表</w:t>
      </w:r>
    </w:p>
    <w:p>
      <w:pPr>
        <w:pStyle w:val="15"/>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五、财政拨款支出决算明细表</w:t>
      </w:r>
    </w:p>
    <w:p>
      <w:pPr>
        <w:pStyle w:val="15"/>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六、一般公共预算财政拨款支出决算表</w:t>
      </w:r>
    </w:p>
    <w:p>
      <w:pPr>
        <w:pStyle w:val="15"/>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七、一般公共预算财政拨款支出决算明细表</w:t>
      </w:r>
    </w:p>
    <w:p>
      <w:pPr>
        <w:pStyle w:val="15"/>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八、一般公共预算财政拨款基本支出决算表</w:t>
      </w:r>
    </w:p>
    <w:p>
      <w:pPr>
        <w:pStyle w:val="15"/>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九、一般公共预算财政拨款项目支出决算表</w:t>
      </w:r>
    </w:p>
    <w:p>
      <w:pPr>
        <w:pStyle w:val="15"/>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十、一般公共预算财政拨款“三公”经费支出决算表</w:t>
      </w:r>
    </w:p>
    <w:p>
      <w:pPr>
        <w:pStyle w:val="15"/>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十一、政府性基金预算财政拨款收入支出决算表</w:t>
      </w:r>
    </w:p>
    <w:p>
      <w:pPr>
        <w:pStyle w:val="15"/>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十二、政府性基金预算财政拨款“三公”经费支出决算表</w:t>
      </w:r>
    </w:p>
    <w:p>
      <w:pPr>
        <w:pStyle w:val="15"/>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十三、国有资本经营预算</w:t>
      </w:r>
      <w:r>
        <w:rPr>
          <w:rFonts w:hint="eastAsia" w:asciiTheme="minorEastAsia" w:hAnsiTheme="minorEastAsia" w:eastAsiaTheme="minorEastAsia" w:cstheme="minorEastAsia"/>
          <w:color w:val="auto"/>
          <w:sz w:val="24"/>
          <w:highlight w:val="none"/>
          <w:lang w:eastAsia="zh-CN"/>
        </w:rPr>
        <w:t>财政拨款收入</w:t>
      </w:r>
      <w:r>
        <w:rPr>
          <w:rFonts w:hint="eastAsia" w:asciiTheme="minorEastAsia" w:hAnsiTheme="minorEastAsia" w:eastAsiaTheme="minorEastAsia" w:cstheme="minorEastAsia"/>
          <w:color w:val="auto"/>
          <w:sz w:val="24"/>
          <w:highlight w:val="none"/>
        </w:rPr>
        <w:t>支出决算表</w:t>
      </w:r>
    </w:p>
    <w:p>
      <w:pPr>
        <w:pStyle w:val="15"/>
        <w:adjustRightInd w:val="0"/>
        <w:snapToGrid w:val="0"/>
        <w:spacing w:line="440" w:lineRule="exact"/>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十四、国有资本经营预算财政拨款支出决算表</w:t>
      </w:r>
    </w:p>
    <w:p>
      <w:pPr>
        <w:widowControl/>
        <w:adjustRightInd w:val="0"/>
        <w:snapToGrid w:val="0"/>
        <w:spacing w:line="440" w:lineRule="exact"/>
        <w:ind w:firstLine="1320" w:firstLineChars="550"/>
        <w:jc w:val="left"/>
        <w:rPr>
          <w:rFonts w:ascii="仿宋" w:hAnsi="仿宋" w:eastAsia="仿宋"/>
          <w:color w:val="auto"/>
          <w:sz w:val="24"/>
          <w:highlight w:val="none"/>
        </w:rPr>
      </w:pPr>
      <w:r>
        <w:rPr>
          <w:rFonts w:ascii="仿宋" w:hAnsi="仿宋" w:eastAsia="仿宋"/>
          <w:color w:val="auto"/>
          <w:sz w:val="24"/>
          <w:highlight w:val="none"/>
        </w:rPr>
        <w:t>(注：</w:t>
      </w:r>
      <w:r>
        <w:rPr>
          <w:rFonts w:hint="eastAsia" w:ascii="仿宋" w:hAnsi="仿宋" w:eastAsia="仿宋"/>
          <w:color w:val="auto"/>
          <w:sz w:val="24"/>
          <w:highlight w:val="none"/>
        </w:rPr>
        <w:t>请部门根据实际注明页码</w:t>
      </w:r>
      <w:r>
        <w:rPr>
          <w:rFonts w:ascii="仿宋" w:hAnsi="仿宋" w:eastAsia="仿宋"/>
          <w:color w:val="auto"/>
          <w:sz w:val="24"/>
          <w:highlight w:val="none"/>
        </w:rPr>
        <w:t>)</w:t>
      </w:r>
    </w:p>
    <w:p>
      <w:pPr>
        <w:widowControl/>
        <w:spacing w:line="440" w:lineRule="exact"/>
        <w:jc w:val="left"/>
        <w:rPr>
          <w:rFonts w:ascii="仿宋" w:hAnsi="仿宋" w:eastAsia="仿宋"/>
          <w:bCs/>
          <w:color w:val="auto"/>
          <w:kern w:val="44"/>
          <w:sz w:val="24"/>
          <w:highlight w:val="none"/>
        </w:rPr>
      </w:pPr>
      <w:bookmarkStart w:id="12" w:name="_Toc15396599"/>
      <w:bookmarkStart w:id="13" w:name="_Toc15377196"/>
      <w:r>
        <w:rPr>
          <w:rFonts w:ascii="仿宋" w:hAnsi="仿宋" w:eastAsia="仿宋"/>
          <w:b/>
          <w:color w:val="auto"/>
          <w:sz w:val="24"/>
          <w:highlight w:val="none"/>
        </w:rPr>
        <w:br w:type="page"/>
      </w:r>
    </w:p>
    <w:p>
      <w:pPr>
        <w:pStyle w:val="3"/>
        <w:jc w:val="center"/>
        <w:rPr>
          <w:rStyle w:val="28"/>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Style w:val="28"/>
          <w:rFonts w:hint="eastAsia" w:ascii="黑体" w:hAnsi="黑体" w:eastAsia="黑体"/>
          <w:b w:val="0"/>
          <w:bCs w:val="0"/>
          <w:color w:val="auto"/>
          <w:highlight w:val="none"/>
        </w:rPr>
        <w:t>部门概况</w:t>
      </w:r>
      <w:bookmarkEnd w:id="12"/>
      <w:bookmarkEnd w:id="13"/>
    </w:p>
    <w:p>
      <w:pPr>
        <w:widowControl/>
        <w:jc w:val="left"/>
        <w:rPr>
          <w:rFonts w:ascii="黑体" w:eastAsia="黑体"/>
          <w:color w:val="auto"/>
          <w:sz w:val="32"/>
          <w:szCs w:val="32"/>
          <w:highlight w:val="none"/>
        </w:rPr>
      </w:pPr>
    </w:p>
    <w:p>
      <w:pPr>
        <w:pStyle w:val="4"/>
        <w:numPr>
          <w:ilvl w:val="0"/>
          <w:numId w:val="0"/>
        </w:numPr>
        <w:ind w:firstLine="640" w:firstLineChars="200"/>
        <w:rPr>
          <w:rStyle w:val="29"/>
          <w:rFonts w:hint="eastAsia" w:ascii="黑体" w:hAnsi="黑体" w:eastAsia="黑体"/>
          <w:b w:val="0"/>
          <w:bCs w:val="0"/>
          <w:color w:val="auto"/>
          <w:highlight w:val="none"/>
        </w:rPr>
      </w:pPr>
      <w:bookmarkStart w:id="14" w:name="_Toc15377197"/>
      <w:bookmarkStart w:id="15" w:name="_Toc15396600"/>
      <w:r>
        <w:rPr>
          <w:rFonts w:hint="eastAsia" w:ascii="黑体" w:hAnsi="黑体" w:eastAsia="黑体"/>
          <w:b w:val="0"/>
          <w:color w:val="auto"/>
          <w:highlight w:val="none"/>
          <w:lang w:val="en-US" w:eastAsia="zh-CN"/>
        </w:rPr>
        <w:t>一、</w:t>
      </w:r>
      <w:r>
        <w:rPr>
          <w:rFonts w:hint="eastAsia" w:ascii="黑体" w:hAnsi="黑体" w:eastAsia="黑体"/>
          <w:b w:val="0"/>
          <w:color w:val="auto"/>
          <w:highlight w:val="none"/>
        </w:rPr>
        <w:t>基</w:t>
      </w:r>
      <w:r>
        <w:rPr>
          <w:rStyle w:val="29"/>
          <w:rFonts w:hint="eastAsia" w:ascii="黑体" w:hAnsi="黑体" w:eastAsia="黑体"/>
          <w:b w:val="0"/>
          <w:bCs w:val="0"/>
          <w:color w:val="auto"/>
          <w:highlight w:val="none"/>
        </w:rPr>
        <w:t>本职能及主要工作</w:t>
      </w:r>
      <w:bookmarkEnd w:id="14"/>
      <w:bookmarkEnd w:id="15"/>
      <w:bookmarkStart w:id="16" w:name="_Toc15378445"/>
      <w:bookmarkStart w:id="17" w:name="_Toc15377198"/>
    </w:p>
    <w:p>
      <w:pPr>
        <w:pStyle w:val="6"/>
        <w:adjustRightInd w:val="0"/>
        <w:snapToGrid w:val="0"/>
        <w:spacing w:before="93" w:line="600" w:lineRule="exact"/>
        <w:ind w:firstLine="674" w:firstLineChars="210"/>
        <w:outlineLvl w:val="2"/>
        <w:rPr>
          <w:rFonts w:hint="eastAsia" w:ascii="仿宋" w:hAnsi="仿宋" w:eastAsia="仿宋"/>
          <w:b/>
          <w:bCs w:val="0"/>
          <w:color w:val="auto"/>
          <w:sz w:val="32"/>
          <w:szCs w:val="32"/>
          <w:highlight w:val="none"/>
        </w:rPr>
      </w:pPr>
      <w:r>
        <w:rPr>
          <w:rFonts w:hint="eastAsia" w:ascii="仿宋" w:hAnsi="仿宋" w:eastAsia="仿宋"/>
          <w:b/>
          <w:bCs w:val="0"/>
          <w:color w:val="auto"/>
          <w:sz w:val="32"/>
          <w:szCs w:val="32"/>
          <w:highlight w:val="none"/>
        </w:rPr>
        <w:t>（一）主要职能。（职能参照省政府批准的三定方案）</w:t>
      </w:r>
      <w:bookmarkEnd w:id="16"/>
      <w:bookmarkEnd w:id="17"/>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1）贯彻执行党和国家有关种植业、畜牧业、渔业、农业机械化、农垦等农业领域（以下简称农业）工作的法律、法规与方针、政策以及省委省政府、市委市政府、区委区政府关于农业方面的决策部署，拟订全区农业和农村经济发展战略、中长期发展规划、政策并组织实施，组织起草有关农业和农村经济的规范性文件，参与拟订涉农财税、价格、金融保险等政策，提出农业产业保护的政策建议，推进农业依法行政。</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承担完善农村经营管理体制的责任。提出深化农村经济体制改革和稳定完善农村基本经营制度的政策建议，指导农村土地承包、耕地使用权流转和承包纠纷仲裁管理；指导、监督减轻农民负担和村民筹资筹劳管理工作，指导农村集体资产和财务管理；拟订农业产业化经营的发展规划与政策并组织实施，指导、扶持农业社会化服务体系、农村合作经济组织、农民合作社和农产品行业协会的建设与发展。</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指导粮油、畜禽、水产等主要农产品生产工作，组织落实促进粮油、畜禽、水产等主要农产品生产发展的相关政策措施，引导农业产业结构调整和产品品质的改善；会同有关部门指导农业标准化、规模化生产；拟订农业开发规划并监督实施，负责提出农业固定资产投资规模和方向、有关财政性资金安排、财政政策和项目的建议意见并指导实施；配合区级财政部门组织实施农业综合开发有关项目。参与组织实施种粮农民补贴、畜牧水产良种补贴和政策性农业保险工作。</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指导农业产业化经营，促进农业产前、产中、产后一体化发展；组织拟订优势特色效益农业发展、现代农业产业基地建设等政策与规划并组织实施，提出促进大宗农产品流通政策和主要农产品进口建议，研究制订大宗农产品市场体系建设与发展规划，培育、保护和发展农产品品牌；负责指导全区休闲农业发展；负责生猪屠宰管理；组织协调“菜篮子”工程有关工作。</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w:t>
      </w:r>
      <w:r>
        <w:rPr>
          <w:rFonts w:hint="eastAsia" w:ascii="仿宋" w:hAnsi="仿宋" w:eastAsia="仿宋"/>
          <w:sz w:val="32"/>
          <w:szCs w:val="32"/>
        </w:rPr>
        <w:t>）承担提升农产品质量安全水平的责任；组织开展全区农产品质量安全的监督管理，组织拟订农产品质量地方标准并会同有关部门组织实施和监督管理，负责农产品质量安全监测，依法开展农产品质量安全风险评估和质量追溯，发布有关农产品质量安全状况信息，指导农业检验检测体系建设和机构考核，依法组织实施符合安全标准的农产品生产基地认定、产品认证、农产品地理标志登记保护和监督管理。</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w:t>
      </w:r>
      <w:r>
        <w:rPr>
          <w:rFonts w:hint="eastAsia" w:ascii="仿宋" w:hAnsi="仿宋" w:eastAsia="仿宋"/>
          <w:sz w:val="32"/>
          <w:szCs w:val="32"/>
        </w:rPr>
        <w:t>）组织、协调农业生产资料市场体系建设，依法实施农作物种子（种苗）、食用菌种、蚕种、草种、种畜禽、水产种苗、农药、肥料、兽药（渔药）、饲料、饲料添加剂等农业生产资料的许可及监督管理职责，监督管理兽医医疗器械、肥料；会同有关部门监督实施农业生产资料国家标准，拟订有关农业生产资料地方标准并会同有关部门监督实施，依法开展农资市场秩序的整顿、规范和农资打假工作；承担渔政、渔港、渔船、渔机、网具的监督管理职责。</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7</w:t>
      </w:r>
      <w:r>
        <w:rPr>
          <w:rFonts w:hint="eastAsia" w:ascii="仿宋" w:hAnsi="仿宋" w:eastAsia="仿宋"/>
          <w:sz w:val="32"/>
          <w:szCs w:val="32"/>
        </w:rPr>
        <w:t>）负责制定全区农业机械化发展规划并组织实施；组织开展农业机械化重大技术攻关和关键技术装备开发，引进、示范和推广农业机械新技术、新机具，指导全区农业机械化基础设施建设的规划、建设和技术工作，指导农村机电提灌、机耕道建设，承担农业机械化使用安全监管职责。</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8</w:t>
      </w:r>
      <w:r>
        <w:rPr>
          <w:rFonts w:hint="eastAsia" w:ascii="仿宋" w:hAnsi="仿宋" w:eastAsia="仿宋"/>
          <w:sz w:val="32"/>
          <w:szCs w:val="32"/>
        </w:rPr>
        <w:t>）指导农作物重大病虫害防治；会同有关部门制定动植物防疫检疫政策并指导实施；指导动植物防疫检疫体系建设，组织、监督对区内动植物的防疫检疫工作，上报疫情并组织扑灭；组织植物检疫性有害生物普查；承担区内从境外引进农作物种子（种苗）检疫工作，牵头管理外来农业物种；组织兽医医政和兽药药政药检工作。</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w:t>
      </w:r>
      <w:r>
        <w:rPr>
          <w:rFonts w:hint="eastAsia" w:ascii="仿宋" w:hAnsi="仿宋" w:eastAsia="仿宋"/>
          <w:sz w:val="32"/>
          <w:szCs w:val="32"/>
        </w:rPr>
        <w:t>）承担农业防灾减灾责任，监测、核查、发布农业灾情，组织种子、种苗、化肥、兽药（渔药）等农业生产救灾物资的储备和调拨，提出生产救灾资金安排建议，指导紧急救灾和灾后生产恢复。</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10</w:t>
      </w:r>
      <w:r>
        <w:rPr>
          <w:rFonts w:hint="eastAsia" w:ascii="仿宋" w:hAnsi="仿宋" w:eastAsia="仿宋"/>
          <w:sz w:val="32"/>
          <w:szCs w:val="32"/>
        </w:rPr>
        <w:t>）管理农业和农村经济信息，监测分析农业和农村经济运行，开展相关农业统计工作；发布农业和农村经济信息，负责农业信息体系建设，指导农业信息服务。</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11</w:t>
      </w:r>
      <w:r>
        <w:rPr>
          <w:rFonts w:hint="eastAsia" w:ascii="仿宋" w:hAnsi="仿宋" w:eastAsia="仿宋"/>
          <w:sz w:val="32"/>
          <w:szCs w:val="32"/>
        </w:rPr>
        <w:t>）制定全区农业科研、农技推广的规划、计划和有关政策并组织实施，会同有关部门组织区级农业科技创新体系、农业产业技术体系建设；组织农作物、畜禽、水产养殖等新品种育种攻关和农业先进技术引进、试验、示范，组织实施农业领域的高新技术和应用技术研究、科技成果转化和技术推广，负责农业科技成果管理，指导农技推广体系改革与建设；负责农业植物新品种保护和农业转基因生物的安全监督管理。</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12</w:t>
      </w:r>
      <w:r>
        <w:rPr>
          <w:rFonts w:hint="eastAsia" w:ascii="仿宋" w:hAnsi="仿宋" w:eastAsia="仿宋"/>
          <w:sz w:val="32"/>
          <w:szCs w:val="32"/>
        </w:rPr>
        <w:t>）负责农业资源区划和资源保护工作，指导农用地、渔业水域、宜农滩涂、宜农湿地以及农业生物物种资源的保护和管理，负责水生野生动植物保护工作；依法管理耕地质量，拟订耕地及基本农田质量保护与改良政策并指导实施；运用工程设施、农艺、农机、生物等措施发展资源节约型、环境友好型农业。</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13</w:t>
      </w:r>
      <w:r>
        <w:rPr>
          <w:rFonts w:hint="eastAsia" w:ascii="仿宋" w:hAnsi="仿宋" w:eastAsia="仿宋"/>
          <w:sz w:val="32"/>
          <w:szCs w:val="32"/>
        </w:rPr>
        <w:t>）负责农村能源建设和资源环境工作，制定并组织实施农业资源环境建设规划，指导农村可再生能源综合开发与利用，指导农业生物质产业发展和农业农村节能减排，承担指导农业面源污染防治工作；提出划定农产品禁止生产区域的政策建议，指导生态农业、循环农业等发展；会同有关部门保护渔业水域生态环境。</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14</w:t>
      </w:r>
      <w:r>
        <w:rPr>
          <w:rFonts w:hint="eastAsia" w:ascii="仿宋" w:hAnsi="仿宋" w:eastAsia="仿宋"/>
          <w:sz w:val="32"/>
          <w:szCs w:val="32"/>
        </w:rPr>
        <w:t>）负责水产渔政工作。拟订渔业发展和渔业资源保护利用规划；负责全区渔业生产，指导水产品加工、流通和市场建设；负责水产品质量安全管理和水生动物的防疫、检疫以及渔药、渔饲料使用环节的监督检查；负责水生生物和水产种质资源保护区管理；实施渔业环境监测；协调仲裁重大渔事纠纷，查处重大渔政案件，牵头查处渔业污染事故；负责全区渔业船舶登记检验和各类渔业项目审查；指导渔业安全生产。</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15</w:t>
      </w:r>
      <w:r>
        <w:rPr>
          <w:rFonts w:hint="eastAsia" w:ascii="仿宋" w:hAnsi="仿宋" w:eastAsia="仿宋"/>
          <w:sz w:val="32"/>
          <w:szCs w:val="32"/>
        </w:rPr>
        <w:t>）会同有关部门拟订全区农业农村人才队伍建设规划并组织实施，指导农业职业教育和农业职业技能开发工作，参与实施农村实用人才培训工程；承担农民教育培训工作，会同有关部门实施农业农村人才专业技术资格和从业资格管理有关工作。</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16</w:t>
      </w:r>
      <w:r>
        <w:rPr>
          <w:rFonts w:hint="eastAsia" w:ascii="仿宋" w:hAnsi="仿宋" w:eastAsia="仿宋"/>
          <w:sz w:val="32"/>
          <w:szCs w:val="32"/>
        </w:rPr>
        <w:t>）承办政府间农业涉外事务，参与拟订农业对外开放政策和外向型农业发展规划，指导外向型农业发展；组织实施农业“引进来”和“走出去”战略，促进农业贸易工作，协助开展农业领域国际经济、技术交流与合作，协助有关部门组织实施农业援外项目。</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17</w:t>
      </w:r>
      <w:r>
        <w:rPr>
          <w:rFonts w:hint="eastAsia" w:ascii="仿宋" w:hAnsi="仿宋" w:eastAsia="仿宋"/>
          <w:sz w:val="32"/>
          <w:szCs w:val="32"/>
        </w:rPr>
        <w:t>）承担区政府公布的有关行政审批事项。</w:t>
      </w:r>
    </w:p>
    <w:p>
      <w:pPr>
        <w:snapToGrid w:val="0"/>
        <w:spacing w:line="520" w:lineRule="exact"/>
        <w:ind w:firstLine="640" w:firstLineChars="200"/>
        <w:rPr>
          <w:rFonts w:hint="eastAsia" w:ascii="仿宋" w:hAnsi="仿宋" w:eastAsia="仿宋"/>
          <w:bCs/>
          <w:color w:val="auto"/>
          <w:sz w:val="32"/>
          <w:szCs w:val="32"/>
          <w:highlight w:val="none"/>
        </w:rPr>
      </w:pPr>
      <w:r>
        <w:rPr>
          <w:rFonts w:hint="eastAsia" w:ascii="仿宋" w:hAnsi="仿宋" w:eastAsia="仿宋"/>
          <w:sz w:val="32"/>
          <w:szCs w:val="32"/>
        </w:rPr>
        <w:t>（</w:t>
      </w:r>
      <w:r>
        <w:rPr>
          <w:rFonts w:ascii="仿宋" w:hAnsi="仿宋" w:eastAsia="仿宋"/>
          <w:sz w:val="32"/>
          <w:szCs w:val="32"/>
        </w:rPr>
        <w:t>18</w:t>
      </w:r>
      <w:r>
        <w:rPr>
          <w:rFonts w:hint="eastAsia" w:ascii="仿宋" w:hAnsi="仿宋" w:eastAsia="仿宋"/>
          <w:sz w:val="32"/>
          <w:szCs w:val="32"/>
        </w:rPr>
        <w:t>）承办区政府交办的其他事项。</w:t>
      </w:r>
    </w:p>
    <w:p>
      <w:pPr>
        <w:pStyle w:val="6"/>
        <w:adjustRightInd w:val="0"/>
        <w:snapToGrid w:val="0"/>
        <w:spacing w:before="93" w:line="600" w:lineRule="exact"/>
        <w:ind w:firstLine="674" w:firstLineChars="210"/>
        <w:outlineLvl w:val="2"/>
        <w:rPr>
          <w:rFonts w:hint="eastAsia" w:ascii="仿宋" w:hAnsi="仿宋" w:eastAsia="仿宋"/>
          <w:b/>
          <w:bCs w:val="0"/>
          <w:color w:val="auto"/>
          <w:sz w:val="32"/>
          <w:szCs w:val="32"/>
          <w:highlight w:val="none"/>
        </w:rPr>
      </w:pPr>
      <w:bookmarkStart w:id="18" w:name="_Toc15377199"/>
      <w:bookmarkStart w:id="19" w:name="_Toc15378446"/>
      <w:r>
        <w:rPr>
          <w:rFonts w:hint="eastAsia" w:ascii="仿宋" w:hAnsi="仿宋" w:eastAsia="仿宋"/>
          <w:b/>
          <w:bCs w:val="0"/>
          <w:color w:val="auto"/>
          <w:sz w:val="32"/>
          <w:szCs w:val="32"/>
          <w:highlight w:val="none"/>
        </w:rPr>
        <w:t>（二）</w:t>
      </w:r>
      <w:r>
        <w:rPr>
          <w:rFonts w:ascii="仿宋" w:hAnsi="仿宋" w:eastAsia="仿宋"/>
          <w:b/>
          <w:bCs w:val="0"/>
          <w:color w:val="auto"/>
          <w:sz w:val="32"/>
          <w:szCs w:val="32"/>
          <w:highlight w:val="none"/>
        </w:rPr>
        <w:t>20</w:t>
      </w:r>
      <w:r>
        <w:rPr>
          <w:rFonts w:hint="eastAsia" w:ascii="仿宋" w:hAnsi="仿宋" w:eastAsia="仿宋"/>
          <w:b/>
          <w:bCs w:val="0"/>
          <w:color w:val="auto"/>
          <w:sz w:val="32"/>
          <w:szCs w:val="32"/>
          <w:highlight w:val="none"/>
          <w:lang w:val="en-US" w:eastAsia="zh-CN"/>
        </w:rPr>
        <w:t>21</w:t>
      </w:r>
      <w:r>
        <w:rPr>
          <w:rFonts w:hint="eastAsia" w:ascii="仿宋" w:hAnsi="仿宋" w:eastAsia="仿宋"/>
          <w:b/>
          <w:bCs w:val="0"/>
          <w:color w:val="auto"/>
          <w:sz w:val="32"/>
          <w:szCs w:val="32"/>
          <w:highlight w:val="none"/>
        </w:rPr>
        <w:t>年重点工作完成情况。</w:t>
      </w:r>
      <w:bookmarkEnd w:id="18"/>
      <w:bookmarkEnd w:id="19"/>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2021年我局</w:t>
      </w:r>
      <w:r>
        <w:rPr>
          <w:rFonts w:hint="eastAsia" w:ascii="仿宋_GB2312" w:hAnsi="仿宋_GB2312" w:eastAsia="仿宋_GB2312" w:cs="仿宋_GB2312"/>
          <w:color w:val="auto"/>
          <w:spacing w:val="0"/>
          <w:sz w:val="32"/>
          <w:szCs w:val="32"/>
        </w:rPr>
        <w:t>坚持以习近平新时代中国特色社会主义思想为指导，</w:t>
      </w:r>
      <w:r>
        <w:rPr>
          <w:rFonts w:hint="eastAsia" w:ascii="仿宋_GB2312" w:hAnsi="仿宋_GB2312" w:eastAsia="仿宋_GB2312" w:cs="仿宋_GB2312"/>
          <w:color w:val="auto"/>
          <w:spacing w:val="0"/>
          <w:sz w:val="32"/>
          <w:szCs w:val="32"/>
          <w:lang w:val="en-US" w:eastAsia="zh-CN"/>
        </w:rPr>
        <w:t>按照中央、省委“一号文件”和市委“六号文件”精神，认真落实中央、省、市、区委各项决策部署，</w:t>
      </w:r>
      <w:r>
        <w:rPr>
          <w:rFonts w:hint="eastAsia" w:ascii="仿宋_GB2312" w:hAnsi="仿宋_GB2312" w:eastAsia="仿宋_GB2312" w:cs="仿宋_GB2312"/>
          <w:color w:val="auto"/>
          <w:spacing w:val="0"/>
          <w:sz w:val="32"/>
          <w:szCs w:val="32"/>
        </w:rPr>
        <w:t>坚定不移贯彻新发展理念，坚持“稳中求进”工作总基调，坚持农业农村优先发展，聚焦高质量发展主题，以园区建设为抓手、乡村建设为重点、深化改革为动能，</w:t>
      </w:r>
      <w:r>
        <w:rPr>
          <w:rFonts w:hint="eastAsia" w:ascii="仿宋_GB2312" w:hAnsi="仿宋_GB2312" w:eastAsia="仿宋_GB2312" w:cs="仿宋_GB2312"/>
          <w:color w:val="auto"/>
          <w:spacing w:val="0"/>
          <w:sz w:val="32"/>
          <w:szCs w:val="32"/>
          <w:lang w:eastAsia="zh-CN"/>
        </w:rPr>
        <w:t>大力</w:t>
      </w:r>
      <w:r>
        <w:rPr>
          <w:rFonts w:hint="eastAsia" w:ascii="仿宋_GB2312" w:hAnsi="仿宋_GB2312" w:eastAsia="仿宋_GB2312" w:cs="仿宋_GB2312"/>
          <w:color w:val="auto"/>
          <w:spacing w:val="0"/>
          <w:sz w:val="32"/>
          <w:szCs w:val="32"/>
        </w:rPr>
        <w:t>推动脱贫攻坚成果巩固、乡村全面振兴和农业农村现代化，促进农业高质高效、乡村宜居宜业、农民富裕富足。</w:t>
      </w:r>
    </w:p>
    <w:p>
      <w:pPr>
        <w:keepNext w:val="0"/>
        <w:keepLines w:val="0"/>
        <w:pageBreakBefore w:val="0"/>
        <w:widowControl w:val="0"/>
        <w:kinsoku/>
        <w:wordWrap/>
        <w:overflowPunct/>
        <w:topLinePunct w:val="0"/>
        <w:bidi w:val="0"/>
        <w:spacing w:line="576" w:lineRule="exact"/>
        <w:ind w:firstLine="642"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粮油生产稳中有升。</w:t>
      </w:r>
      <w:r>
        <w:rPr>
          <w:rFonts w:hint="eastAsia" w:ascii="仿宋_GB2312" w:hAnsi="仿宋_GB2312" w:eastAsia="仿宋_GB2312" w:cs="仿宋_GB2312"/>
          <w:strike w:val="0"/>
          <w:color w:val="auto"/>
          <w:sz w:val="32"/>
          <w:szCs w:val="32"/>
          <w:highlight w:val="none"/>
        </w:rPr>
        <w:t>2021年现粮食产量12.2万吨，完成市下目标任务（12.01万吨）的101.6 %，同比增长1.9%；油料产量1.1万吨，完成市下目标任务（1万吨）的110%，同比增长12%。全面推进撂荒地复耕复产、应种尽种。撂荒地复耕复种2038.7亩，复耕率95.4%。市下目标粮油加工中心1个、绿色高质高效粮油生产示范面积2万亩、粮油生产服务中心6个、技术站点15个均已完成。</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sz w:val="32"/>
          <w:szCs w:val="32"/>
          <w:lang w:val="en-US" w:eastAsia="zh-CN"/>
        </w:rPr>
        <w:t>2.乡村振兴接续推进。</w:t>
      </w:r>
      <w:r>
        <w:rPr>
          <w:rFonts w:hint="eastAsia" w:ascii="仿宋_GB2312" w:hAnsi="仿宋_GB2312" w:eastAsia="仿宋_GB2312" w:cs="仿宋_GB2312"/>
          <w:strike w:val="0"/>
          <w:color w:val="auto"/>
          <w:sz w:val="32"/>
          <w:szCs w:val="32"/>
          <w:highlight w:val="none"/>
        </w:rPr>
        <w:t>高标准、高质量的完成了大滩镇、水磨沟镇2个镇3803户新村建设，全区全域新村圆满收官。接续推进农村人居环境整治五年提升行动，全年目标任务全面完成，累计实现100％的行政村生活垃圾得到有效处理，75％的行政村（社区）生活污水得到有效治理，农村卫生厕所累计普及率达95.1％，畜禽粪污资源化利用率达91.2%。创建省级乡村振兴示范村5个、省级乡村治理示范村3个、省级乡村振兴重点帮扶优秀村2个。</w:t>
      </w:r>
    </w:p>
    <w:p>
      <w:pPr>
        <w:keepNext w:val="0"/>
        <w:keepLines w:val="0"/>
        <w:pageBreakBefore w:val="0"/>
        <w:widowControl w:val="0"/>
        <w:kinsoku/>
        <w:wordWrap/>
        <w:overflowPunct/>
        <w:topLinePunct w:val="0"/>
        <w:bidi w:val="0"/>
        <w:spacing w:line="576" w:lineRule="exact"/>
        <w:ind w:firstLine="642" w:firstLineChars="200"/>
        <w:textAlignment w:val="auto"/>
        <w:rPr>
          <w:rFonts w:hint="eastAsia" w:ascii="仿宋_GB2312" w:hAnsi="仿宋_GB2312" w:eastAsia="仿宋_GB2312" w:cs="仿宋_GB2312"/>
          <w:strike w:val="0"/>
          <w:color w:val="auto"/>
          <w:sz w:val="32"/>
          <w:szCs w:val="32"/>
          <w:highlight w:val="none"/>
          <w:lang w:eastAsia="zh-CN"/>
        </w:rPr>
      </w:pPr>
      <w:r>
        <w:rPr>
          <w:rFonts w:hint="eastAsia" w:ascii="仿宋_GB2312" w:hAnsi="仿宋_GB2312" w:eastAsia="仿宋_GB2312" w:cs="仿宋_GB2312"/>
          <w:b/>
          <w:bCs/>
          <w:sz w:val="32"/>
          <w:szCs w:val="32"/>
          <w:lang w:val="en-US" w:eastAsia="zh-CN"/>
        </w:rPr>
        <w:t>3.园区建设有序推进。</w:t>
      </w:r>
      <w:r>
        <w:rPr>
          <w:rFonts w:hint="eastAsia" w:ascii="仿宋_GB2312" w:hAnsi="仿宋_GB2312" w:eastAsia="仿宋_GB2312" w:cs="仿宋_GB2312"/>
          <w:strike w:val="0"/>
          <w:color w:val="auto"/>
          <w:sz w:val="32"/>
          <w:szCs w:val="32"/>
          <w:highlight w:val="none"/>
        </w:rPr>
        <w:t>一是</w:t>
      </w:r>
      <w:r>
        <w:rPr>
          <w:rFonts w:hint="eastAsia" w:ascii="仿宋_GB2312" w:hAnsi="仿宋_GB2312" w:eastAsia="仿宋_GB2312" w:cs="仿宋_GB2312"/>
          <w:strike w:val="0"/>
          <w:color w:val="auto"/>
          <w:sz w:val="32"/>
          <w:szCs w:val="32"/>
          <w:highlight w:val="none"/>
          <w:lang w:eastAsia="zh-CN"/>
        </w:rPr>
        <w:t>大力</w:t>
      </w:r>
      <w:r>
        <w:rPr>
          <w:rFonts w:hint="eastAsia" w:ascii="仿宋_GB2312" w:hAnsi="仿宋_GB2312" w:eastAsia="仿宋_GB2312" w:cs="仿宋_GB2312"/>
          <w:strike w:val="0"/>
          <w:color w:val="auto"/>
          <w:sz w:val="32"/>
          <w:szCs w:val="32"/>
          <w:highlight w:val="none"/>
        </w:rPr>
        <w:t>提升</w:t>
      </w:r>
      <w:r>
        <w:rPr>
          <w:rFonts w:hint="eastAsia" w:ascii="仿宋_GB2312" w:hAnsi="仿宋_GB2312" w:eastAsia="仿宋_GB2312" w:cs="仿宋_GB2312"/>
          <w:strike w:val="0"/>
          <w:color w:val="auto"/>
          <w:sz w:val="32"/>
          <w:szCs w:val="32"/>
          <w:highlight w:val="none"/>
          <w:lang w:eastAsia="zh-CN"/>
        </w:rPr>
        <w:t>蔬菜省级</w:t>
      </w:r>
      <w:r>
        <w:rPr>
          <w:rFonts w:hint="eastAsia" w:ascii="仿宋_GB2312" w:hAnsi="仿宋_GB2312" w:eastAsia="仿宋_GB2312" w:cs="仿宋_GB2312"/>
          <w:strike w:val="0"/>
          <w:color w:val="auto"/>
          <w:sz w:val="32"/>
          <w:szCs w:val="32"/>
          <w:highlight w:val="none"/>
        </w:rPr>
        <w:t>现代农业园区。</w:t>
      </w:r>
      <w:r>
        <w:rPr>
          <w:rFonts w:hint="eastAsia" w:ascii="仿宋_GB2312" w:hAnsi="仿宋_GB2312" w:eastAsia="仿宋_GB2312" w:cs="仿宋_GB2312"/>
          <w:strike w:val="0"/>
          <w:color w:val="auto"/>
          <w:sz w:val="32"/>
          <w:szCs w:val="32"/>
          <w:highlight w:val="none"/>
          <w:lang w:val="en-US" w:eastAsia="zh-CN"/>
        </w:rPr>
        <w:t>蔬菜省四星级园区得到巩固提升，成功创建省五星级园区。</w:t>
      </w:r>
      <w:r>
        <w:rPr>
          <w:rFonts w:hint="eastAsia" w:ascii="仿宋_GB2312" w:hAnsi="仿宋_GB2312" w:eastAsia="仿宋_GB2312" w:cs="仿宋_GB2312"/>
          <w:strike w:val="0"/>
          <w:color w:val="auto"/>
          <w:sz w:val="32"/>
          <w:szCs w:val="32"/>
          <w:highlight w:val="none"/>
        </w:rPr>
        <w:t>二是加快建设羊木坝食用菌现代农业园区。</w:t>
      </w:r>
      <w:r>
        <w:rPr>
          <w:rFonts w:hint="eastAsia" w:ascii="仿宋_GB2312" w:hAnsi="仿宋_GB2312" w:eastAsia="仿宋_GB2312" w:cs="仿宋_GB2312"/>
          <w:strike w:val="0"/>
          <w:color w:val="auto"/>
          <w:sz w:val="32"/>
          <w:szCs w:val="32"/>
          <w:highlight w:val="none"/>
          <w:lang w:eastAsia="zh-CN"/>
        </w:rPr>
        <w:t>食用菌种植规模进一步扩大，</w:t>
      </w:r>
      <w:r>
        <w:rPr>
          <w:rFonts w:hint="eastAsia" w:ascii="仿宋_GB2312" w:hAnsi="仿宋_GB2312" w:eastAsia="仿宋_GB2312" w:cs="仿宋_GB2312"/>
          <w:strike w:val="0"/>
          <w:color w:val="auto"/>
          <w:sz w:val="32"/>
          <w:szCs w:val="32"/>
          <w:highlight w:val="none"/>
        </w:rPr>
        <w:t>新引进业主5个，通过整合实施东西部协作、灾毁农田修复等项目，新建</w:t>
      </w:r>
      <w:r>
        <w:rPr>
          <w:rFonts w:hint="eastAsia" w:ascii="仿宋_GB2312" w:hAnsi="仿宋_GB2312" w:eastAsia="仿宋_GB2312" w:cs="仿宋_GB2312"/>
          <w:strike w:val="0"/>
          <w:color w:val="auto"/>
          <w:sz w:val="32"/>
          <w:szCs w:val="32"/>
          <w:highlight w:val="none"/>
          <w:lang w:eastAsia="zh-CN"/>
        </w:rPr>
        <w:t>高标准自动外遮阳连栋温室食用菌大棚</w:t>
      </w:r>
      <w:r>
        <w:rPr>
          <w:rFonts w:hint="eastAsia" w:ascii="仿宋_GB2312" w:hAnsi="仿宋_GB2312" w:eastAsia="仿宋_GB2312" w:cs="仿宋_GB2312"/>
          <w:strike w:val="0"/>
          <w:color w:val="auto"/>
          <w:sz w:val="32"/>
          <w:szCs w:val="32"/>
          <w:highlight w:val="none"/>
        </w:rPr>
        <w:t>26500平方米，</w:t>
      </w:r>
      <w:r>
        <w:rPr>
          <w:rFonts w:hint="eastAsia" w:ascii="仿宋_GB2312" w:hAnsi="仿宋_GB2312" w:eastAsia="仿宋_GB2312" w:cs="仿宋_GB2312"/>
          <w:strike w:val="0"/>
          <w:color w:val="auto"/>
          <w:sz w:val="32"/>
          <w:szCs w:val="32"/>
          <w:highlight w:val="none"/>
          <w:lang w:eastAsia="zh-CN"/>
        </w:rPr>
        <w:t>塔建简易</w:t>
      </w:r>
      <w:r>
        <w:rPr>
          <w:rFonts w:hint="eastAsia" w:ascii="仿宋_GB2312" w:hAnsi="仿宋_GB2312" w:eastAsia="仿宋_GB2312" w:cs="仿宋_GB2312"/>
          <w:strike w:val="0"/>
          <w:color w:val="auto"/>
          <w:sz w:val="32"/>
          <w:szCs w:val="32"/>
          <w:highlight w:val="none"/>
        </w:rPr>
        <w:t>大棚</w:t>
      </w:r>
      <w:r>
        <w:rPr>
          <w:rFonts w:hint="eastAsia" w:ascii="仿宋_GB2312" w:hAnsi="仿宋_GB2312" w:eastAsia="仿宋_GB2312" w:cs="仿宋_GB2312"/>
          <w:strike w:val="0"/>
          <w:color w:val="auto"/>
          <w:sz w:val="32"/>
          <w:szCs w:val="32"/>
          <w:highlight w:val="none"/>
          <w:lang w:val="en-US" w:eastAsia="zh-CN"/>
        </w:rPr>
        <w:t>600</w:t>
      </w:r>
      <w:r>
        <w:rPr>
          <w:rFonts w:hint="eastAsia" w:ascii="仿宋_GB2312" w:hAnsi="仿宋_GB2312" w:eastAsia="仿宋_GB2312" w:cs="仿宋_GB2312"/>
          <w:strike w:val="0"/>
          <w:color w:val="auto"/>
          <w:sz w:val="32"/>
          <w:szCs w:val="32"/>
          <w:highlight w:val="none"/>
        </w:rPr>
        <w:t>亩，新增羊肚菌种植面积600亩，食用菌种植面积达3700亩。</w:t>
      </w:r>
      <w:r>
        <w:rPr>
          <w:rFonts w:hint="eastAsia" w:ascii="仿宋_GB2312" w:hAnsi="仿宋_GB2312" w:eastAsia="仿宋_GB2312" w:cs="仿宋_GB2312"/>
          <w:strike w:val="0"/>
          <w:color w:val="auto"/>
          <w:sz w:val="32"/>
          <w:szCs w:val="32"/>
          <w:highlight w:val="none"/>
          <w:lang w:eastAsia="zh-CN"/>
        </w:rPr>
        <w:t>新建粮菌（菜菌）轮作基地</w:t>
      </w:r>
      <w:r>
        <w:rPr>
          <w:rFonts w:hint="eastAsia" w:ascii="仿宋_GB2312" w:hAnsi="仿宋_GB2312" w:eastAsia="仿宋_GB2312" w:cs="仿宋_GB2312"/>
          <w:strike w:val="0"/>
          <w:color w:val="auto"/>
          <w:sz w:val="32"/>
          <w:szCs w:val="32"/>
          <w:highlight w:val="none"/>
          <w:lang w:val="en-US" w:eastAsia="zh-CN"/>
        </w:rPr>
        <w:t>1个，</w:t>
      </w:r>
      <w:r>
        <w:rPr>
          <w:rFonts w:hint="eastAsia" w:ascii="仿宋_GB2312" w:hAnsi="仿宋_GB2312" w:eastAsia="仿宋_GB2312" w:cs="仿宋_GB2312"/>
          <w:strike w:val="0"/>
          <w:color w:val="auto"/>
          <w:sz w:val="32"/>
          <w:szCs w:val="32"/>
          <w:highlight w:val="none"/>
        </w:rPr>
        <w:t>推行玉米与羊肚菌、蔬菜与羊肚菌轮作，粮菌、菜菌轮作种植面积920亩，其中，大春季节种植玉米610亩、产量300吨，豇豆</w:t>
      </w:r>
      <w:r>
        <w:rPr>
          <w:rFonts w:hint="eastAsia" w:ascii="仿宋_GB2312" w:hAnsi="仿宋_GB2312" w:eastAsia="仿宋_GB2312" w:cs="仿宋_GB2312"/>
          <w:strike w:val="0"/>
          <w:color w:val="auto"/>
          <w:sz w:val="32"/>
          <w:szCs w:val="32"/>
          <w:highlight w:val="none"/>
          <w:lang w:eastAsia="zh-CN"/>
        </w:rPr>
        <w:t>、甘蓝、黄瓜等蔬菜</w:t>
      </w:r>
      <w:r>
        <w:rPr>
          <w:rFonts w:hint="eastAsia" w:ascii="仿宋_GB2312" w:hAnsi="仿宋_GB2312" w:eastAsia="仿宋_GB2312" w:cs="仿宋_GB2312"/>
          <w:strike w:val="0"/>
          <w:color w:val="auto"/>
          <w:sz w:val="32"/>
          <w:szCs w:val="32"/>
          <w:highlight w:val="none"/>
          <w:lang w:val="en-US" w:eastAsia="zh-CN"/>
        </w:rPr>
        <w:t>310亩、产量120吨；小春季节种植羊肚菌610亩，产值3050万元</w:t>
      </w:r>
      <w:r>
        <w:rPr>
          <w:rFonts w:hint="eastAsia" w:ascii="仿宋_GB2312" w:hAnsi="仿宋_GB2312" w:eastAsia="仿宋_GB2312" w:cs="仿宋_GB2312"/>
          <w:strike w:val="0"/>
          <w:color w:val="auto"/>
          <w:sz w:val="32"/>
          <w:szCs w:val="32"/>
          <w:highlight w:val="none"/>
          <w:lang w:eastAsia="zh-CN"/>
        </w:rPr>
        <w:t>。建成朝天区食用菌科技文化中心和朝天区食用菌综合展示馆。全面启动了</w:t>
      </w:r>
      <w:r>
        <w:rPr>
          <w:rFonts w:hint="eastAsia" w:ascii="仿宋_GB2312" w:hAnsi="仿宋_GB2312" w:eastAsia="仿宋_GB2312" w:cs="仿宋_GB2312"/>
          <w:strike w:val="0"/>
          <w:color w:val="auto"/>
          <w:sz w:val="32"/>
          <w:szCs w:val="32"/>
          <w:highlight w:val="none"/>
          <w:lang w:val="en-US" w:eastAsia="zh-CN"/>
        </w:rPr>
        <w:t>与中国农科院的合作，引进高价值食用菌新品种黑皮鸡枞等，</w:t>
      </w:r>
      <w:r>
        <w:rPr>
          <w:rFonts w:hint="eastAsia" w:ascii="仿宋_GB2312" w:hAnsi="仿宋_GB2312" w:eastAsia="仿宋_GB2312" w:cs="仿宋_GB2312"/>
          <w:strike w:val="0"/>
          <w:color w:val="auto"/>
          <w:sz w:val="32"/>
          <w:szCs w:val="32"/>
          <w:highlight w:val="none"/>
          <w:lang w:eastAsia="zh-CN"/>
        </w:rPr>
        <w:t>在园区内成功承办了</w:t>
      </w:r>
      <w:r>
        <w:rPr>
          <w:rFonts w:hint="eastAsia" w:ascii="仿宋_GB2312" w:hAnsi="仿宋_GB2312" w:eastAsia="仿宋_GB2312" w:cs="仿宋_GB2312"/>
          <w:strike w:val="0"/>
          <w:color w:val="auto"/>
          <w:sz w:val="32"/>
          <w:szCs w:val="32"/>
          <w:highlight w:val="none"/>
          <w:lang w:val="en-US" w:eastAsia="zh-CN"/>
        </w:rPr>
        <w:t>2021年中国·朝天食用菌产业创新发展大会，我区被评为“秦巴山区食用菌高质量发展重点县”。</w:t>
      </w:r>
      <w:r>
        <w:rPr>
          <w:rFonts w:hint="eastAsia" w:ascii="仿宋_GB2312" w:hAnsi="仿宋_GB2312" w:eastAsia="仿宋_GB2312" w:cs="仿宋_GB2312"/>
          <w:strike w:val="0"/>
          <w:color w:val="auto"/>
          <w:sz w:val="32"/>
          <w:szCs w:val="32"/>
          <w:highlight w:val="none"/>
        </w:rPr>
        <w:t>三是全面推进老旧园区改造提升。两河口蔬菜、李家蔬菜、金三核桃、文安蚕桑等4个老旧园区已经完成提质增效工作，并命名为</w:t>
      </w:r>
      <w:r>
        <w:rPr>
          <w:rFonts w:hint="eastAsia" w:ascii="仿宋_GB2312" w:hAnsi="仿宋_GB2312" w:eastAsia="仿宋_GB2312" w:cs="仿宋_GB2312"/>
          <w:strike w:val="0"/>
          <w:color w:val="auto"/>
          <w:sz w:val="32"/>
          <w:szCs w:val="32"/>
          <w:highlight w:val="none"/>
          <w:lang w:eastAsia="zh-CN"/>
        </w:rPr>
        <w:t>区</w:t>
      </w:r>
      <w:r>
        <w:rPr>
          <w:rFonts w:hint="eastAsia" w:ascii="仿宋_GB2312" w:hAnsi="仿宋_GB2312" w:eastAsia="仿宋_GB2312" w:cs="仿宋_GB2312"/>
          <w:strike w:val="0"/>
          <w:color w:val="auto"/>
          <w:sz w:val="32"/>
          <w:szCs w:val="32"/>
          <w:highlight w:val="none"/>
        </w:rPr>
        <w:t>级现代农业园区</w:t>
      </w:r>
      <w:r>
        <w:rPr>
          <w:rFonts w:hint="eastAsia" w:ascii="仿宋_GB2312" w:hAnsi="仿宋_GB2312" w:eastAsia="仿宋_GB2312" w:cs="仿宋_GB2312"/>
          <w:strike w:val="0"/>
          <w:color w:val="auto"/>
          <w:sz w:val="32"/>
          <w:szCs w:val="32"/>
          <w:highlight w:val="none"/>
          <w:lang w:eastAsia="zh-CN"/>
        </w:rPr>
        <w:t>，其中两河口蔬菜现代农业园区创建为市级现代农业园区。</w:t>
      </w:r>
    </w:p>
    <w:p>
      <w:pPr>
        <w:keepNext w:val="0"/>
        <w:keepLines w:val="0"/>
        <w:pageBreakBefore w:val="0"/>
        <w:widowControl w:val="0"/>
        <w:kinsoku/>
        <w:wordWrap/>
        <w:overflowPunct/>
        <w:topLinePunct w:val="0"/>
        <w:bidi w:val="0"/>
        <w:spacing w:line="576" w:lineRule="exact"/>
        <w:ind w:firstLine="642" w:firstLineChars="200"/>
        <w:textAlignment w:val="auto"/>
        <w:rPr>
          <w:rFonts w:hint="eastAsia" w:ascii="仿宋_GB2312" w:hAnsi="仿宋_GB2312" w:eastAsia="仿宋_GB2312" w:cs="仿宋_GB2312"/>
          <w:strike w:val="0"/>
          <w:color w:val="auto"/>
          <w:sz w:val="32"/>
          <w:szCs w:val="32"/>
          <w:highlight w:val="none"/>
          <w:lang w:eastAsia="zh-CN"/>
        </w:rPr>
      </w:pPr>
      <w:r>
        <w:rPr>
          <w:rFonts w:hint="eastAsia" w:ascii="仿宋_GB2312" w:hAnsi="仿宋_GB2312" w:eastAsia="仿宋_GB2312" w:cs="仿宋_GB2312"/>
          <w:b/>
          <w:bCs/>
          <w:sz w:val="32"/>
          <w:szCs w:val="32"/>
          <w:lang w:val="en-US" w:eastAsia="zh-CN"/>
        </w:rPr>
        <w:t>4.特色农业高质高效。</w:t>
      </w:r>
      <w:r>
        <w:rPr>
          <w:rFonts w:hint="eastAsia" w:ascii="仿宋_GB2312" w:hAnsi="仿宋_GB2312" w:eastAsia="仿宋_GB2312" w:cs="仿宋_GB2312"/>
          <w:strike w:val="0"/>
          <w:color w:val="auto"/>
          <w:sz w:val="32"/>
          <w:szCs w:val="32"/>
          <w:highlight w:val="none"/>
          <w:lang w:eastAsia="zh-CN"/>
        </w:rPr>
        <w:t>一是蔬菜（食用菌）产业转型升级。抓好曾家山片区高山蔬菜产业融合发展示范片建设，调整优化品种结构，建设试验示范点12个。全区蔬菜种植面积达40万亩，产量</w:t>
      </w:r>
      <w:r>
        <w:rPr>
          <w:rFonts w:hint="eastAsia" w:ascii="仿宋_GB2312" w:hAnsi="仿宋_GB2312" w:eastAsia="仿宋_GB2312" w:cs="仿宋_GB2312"/>
          <w:strike w:val="0"/>
          <w:color w:val="auto"/>
          <w:sz w:val="32"/>
          <w:szCs w:val="32"/>
          <w:highlight w:val="none"/>
          <w:lang w:val="en-US" w:eastAsia="zh-CN"/>
        </w:rPr>
        <w:t>100万吨，</w:t>
      </w:r>
      <w:r>
        <w:rPr>
          <w:rFonts w:hint="eastAsia" w:ascii="仿宋_GB2312" w:hAnsi="仿宋_GB2312" w:eastAsia="仿宋_GB2312" w:cs="仿宋_GB2312"/>
          <w:strike w:val="0"/>
          <w:color w:val="auto"/>
          <w:sz w:val="32"/>
          <w:szCs w:val="32"/>
          <w:highlight w:val="none"/>
          <w:lang w:eastAsia="zh-CN"/>
        </w:rPr>
        <w:t>栽培食用菌1万亩，产量</w:t>
      </w:r>
      <w:r>
        <w:rPr>
          <w:rFonts w:hint="eastAsia" w:ascii="仿宋_GB2312" w:hAnsi="仿宋_GB2312" w:eastAsia="仿宋_GB2312" w:cs="仿宋_GB2312"/>
          <w:strike w:val="0"/>
          <w:color w:val="auto"/>
          <w:sz w:val="32"/>
          <w:szCs w:val="32"/>
          <w:highlight w:val="none"/>
          <w:lang w:val="en-US" w:eastAsia="zh-CN"/>
        </w:rPr>
        <w:t>10万吨（鲜品）</w:t>
      </w:r>
      <w:r>
        <w:rPr>
          <w:rFonts w:hint="eastAsia" w:ascii="仿宋_GB2312" w:hAnsi="仿宋_GB2312" w:eastAsia="仿宋_GB2312" w:cs="仿宋_GB2312"/>
          <w:strike w:val="0"/>
          <w:color w:val="auto"/>
          <w:sz w:val="32"/>
          <w:szCs w:val="32"/>
          <w:highlight w:val="none"/>
          <w:lang w:eastAsia="zh-CN"/>
        </w:rPr>
        <w:t>。制定了《曾家山高山露地绿色蔬菜生产规程》，培育山地蔬菜（山珍）经营主体150余家。</w:t>
      </w:r>
      <w:r>
        <w:rPr>
          <w:rFonts w:hint="eastAsia" w:ascii="仿宋_GB2312" w:hAnsi="仿宋_GB2312" w:eastAsia="仿宋_GB2312" w:cs="仿宋_GB2312"/>
          <w:strike w:val="0"/>
          <w:color w:val="auto"/>
          <w:sz w:val="32"/>
          <w:szCs w:val="32"/>
          <w:highlight w:val="none"/>
          <w:lang w:val="zh-CN" w:eastAsia="zh-CN"/>
        </w:rPr>
        <w:t>新建山地蔬菜（山珍）产地冷库3座，改造1座，累计达到25座，引进30余个蔬菜新品种和黑皮鸡纵菌等高端食用菌品种，新增蔬菜有机转换产品认证25个，新认证面积2200亩，累计认证面积达到1.66万亩。建设高山蔬菜产业基地1000余亩，为全国高山蔬菜技术研讨会在我区召开做好了各项准备。投入资金120万元，支持两河口镇吉庆社区和两河村面积2000余亩蔬菜基地建设，辐射带动周边村社蔬菜种植面积1.8万余亩。</w:t>
      </w:r>
      <w:r>
        <w:rPr>
          <w:rFonts w:hint="eastAsia" w:ascii="仿宋_GB2312" w:hAnsi="仿宋_GB2312" w:eastAsia="仿宋_GB2312" w:cs="仿宋_GB2312"/>
          <w:strike w:val="0"/>
          <w:color w:val="auto"/>
          <w:sz w:val="32"/>
          <w:szCs w:val="32"/>
          <w:highlight w:val="none"/>
          <w:lang w:eastAsia="zh-CN"/>
        </w:rPr>
        <w:t>二是生猪产业巩固提升。生猪存栏12.585万头，出栏17.54万头，生猪存栏完成任务10.7万头的117%，出栏完成任务17万头的103.2%</w:t>
      </w:r>
      <w:r>
        <w:rPr>
          <w:rFonts w:hint="eastAsia" w:ascii="仿宋_GB2312" w:hAnsi="仿宋_GB2312" w:eastAsia="仿宋_GB2312" w:cs="仿宋_GB2312"/>
          <w:strike w:val="0"/>
          <w:color w:val="auto"/>
          <w:sz w:val="32"/>
          <w:szCs w:val="32"/>
          <w:highlight w:val="none"/>
          <w:lang w:val="en-US" w:eastAsia="zh-CN"/>
        </w:rPr>
        <w:t>。三是</w:t>
      </w:r>
      <w:r>
        <w:rPr>
          <w:rFonts w:hint="eastAsia" w:ascii="仿宋_GB2312" w:hAnsi="仿宋_GB2312" w:eastAsia="仿宋_GB2312" w:cs="仿宋_GB2312"/>
          <w:strike w:val="0"/>
          <w:color w:val="auto"/>
          <w:sz w:val="32"/>
          <w:szCs w:val="32"/>
          <w:highlight w:val="none"/>
          <w:lang w:eastAsia="zh-CN"/>
        </w:rPr>
        <w:t>肉牛羊产业突破性发展。制定了《朝天区突破性发展肉牛羊产业五年行动方案》《朝天区突破性发展肉牛羊产业十条扶持措施》，明确了肉牛羊产业发展重点乡镇6个，重点村50个，在建肉牛规模养殖项目7家（其中招商引资4家）。在建肉羊规模养殖项目3家，拟招商引资肉牛养殖企业5家，</w:t>
      </w:r>
      <w:r>
        <w:rPr>
          <w:rFonts w:hint="eastAsia" w:ascii="仿宋_GB2312" w:hAnsi="仿宋_GB2312" w:eastAsia="仿宋_GB2312" w:cs="仿宋_GB2312"/>
          <w:strike w:val="0"/>
          <w:color w:val="auto"/>
          <w:sz w:val="32"/>
          <w:szCs w:val="32"/>
          <w:highlight w:val="none"/>
          <w:lang w:val="en-US" w:eastAsia="zh-CN"/>
        </w:rPr>
        <w:t>筹备了全市肉牛羊推介会，会上签约5家意向投资企业。</w:t>
      </w:r>
      <w:r>
        <w:rPr>
          <w:rFonts w:hint="eastAsia" w:ascii="仿宋_GB2312" w:hAnsi="仿宋_GB2312" w:eastAsia="仿宋_GB2312" w:cs="仿宋_GB2312"/>
          <w:strike w:val="0"/>
          <w:color w:val="auto"/>
          <w:sz w:val="32"/>
          <w:szCs w:val="32"/>
          <w:highlight w:val="none"/>
          <w:lang w:eastAsia="zh-CN"/>
        </w:rPr>
        <w:t>出栏肉牛0.9284万头、出栏肉羊8.2714万只。四是其他特色产业同步发展。实现水产品产量</w:t>
      </w:r>
      <w:r>
        <w:rPr>
          <w:rFonts w:hint="eastAsia" w:ascii="仿宋_GB2312" w:hAnsi="仿宋_GB2312" w:eastAsia="仿宋_GB2312" w:cs="仿宋_GB2312"/>
          <w:strike w:val="0"/>
          <w:color w:val="auto"/>
          <w:sz w:val="32"/>
          <w:szCs w:val="32"/>
          <w:highlight w:val="none"/>
          <w:lang w:val="en-US" w:eastAsia="zh-CN"/>
        </w:rPr>
        <w:t>220吨，鱼苗投放20万尾。五是示范试点持续打造。</w:t>
      </w:r>
      <w:r>
        <w:rPr>
          <w:rFonts w:hint="eastAsia" w:ascii="仿宋_GB2312" w:hAnsi="仿宋_GB2312" w:eastAsia="仿宋_GB2312" w:cs="仿宋_GB2312"/>
          <w:strike w:val="0"/>
          <w:color w:val="auto"/>
          <w:sz w:val="32"/>
          <w:szCs w:val="32"/>
          <w:highlight w:val="none"/>
          <w:lang w:eastAsia="zh-CN"/>
        </w:rPr>
        <w:t>全年新创建市级农业公园１个（大滩镇蚕宝园）、市级美丽休闲乡村１个（中子镇校场村）、市级休闲农庄4个（曾家镇寂静小院、曾家镇柳树垭、曾家镇青冈寨、沙河镇岭上云隐）。</w:t>
      </w:r>
    </w:p>
    <w:p>
      <w:pPr>
        <w:keepNext w:val="0"/>
        <w:keepLines w:val="0"/>
        <w:pageBreakBefore w:val="0"/>
        <w:widowControl w:val="0"/>
        <w:kinsoku/>
        <w:wordWrap/>
        <w:overflowPunct/>
        <w:topLinePunct w:val="0"/>
        <w:bidi w:val="0"/>
        <w:spacing w:line="576" w:lineRule="exact"/>
        <w:ind w:firstLine="642" w:firstLineChars="200"/>
        <w:textAlignment w:val="auto"/>
        <w:rPr>
          <w:rFonts w:hint="eastAsia" w:ascii="仿宋_GB2312" w:hAnsi="仿宋_GB2312" w:eastAsia="仿宋_GB2312" w:cs="仿宋_GB2312"/>
          <w:strike w:val="0"/>
          <w:color w:val="auto"/>
          <w:sz w:val="32"/>
          <w:szCs w:val="32"/>
          <w:highlight w:val="none"/>
          <w:lang w:eastAsia="zh-CN"/>
        </w:rPr>
      </w:pPr>
      <w:r>
        <w:rPr>
          <w:rFonts w:hint="eastAsia" w:ascii="仿宋_GB2312" w:hAnsi="仿宋_GB2312" w:eastAsia="仿宋_GB2312" w:cs="仿宋_GB2312"/>
          <w:b/>
          <w:bCs/>
          <w:strike w:val="0"/>
          <w:color w:val="auto"/>
          <w:sz w:val="32"/>
          <w:szCs w:val="32"/>
          <w:highlight w:val="none"/>
          <w:lang w:val="en-US" w:eastAsia="zh-CN"/>
        </w:rPr>
        <w:t>5.项目投资力度加大。</w:t>
      </w:r>
      <w:r>
        <w:rPr>
          <w:rFonts w:hint="eastAsia" w:ascii="仿宋_GB2312" w:hAnsi="仿宋_GB2312" w:eastAsia="仿宋_GB2312" w:cs="仿宋_GB2312"/>
          <w:strike w:val="0"/>
          <w:color w:val="auto"/>
          <w:sz w:val="32"/>
          <w:szCs w:val="32"/>
          <w:highlight w:val="none"/>
          <w:lang w:eastAsia="zh-CN"/>
        </w:rPr>
        <w:t>一是大力争取项目资金。固定资产投资上报1.42亿元，完成全年目标任务（3亿元）的47.29%；固定资产投资入库1.429亿元，完成全年目标任务（入库5亿元）的28.58％。招商引资签约资金3.15亿元，完成全年目标任务的126％。向上争取到位资金1.62亿元，完成全年目标任务（1.8亿元）的90％。实现非税收入59万元，完成全年目标任务（5万元）的1180%。二是</w:t>
      </w:r>
      <w:r>
        <w:rPr>
          <w:rFonts w:hint="eastAsia" w:ascii="仿宋_GB2312" w:hAnsi="仿宋_GB2312" w:eastAsia="仿宋_GB2312" w:cs="仿宋_GB2312"/>
          <w:strike w:val="0"/>
          <w:color w:val="auto"/>
          <w:sz w:val="32"/>
          <w:szCs w:val="32"/>
          <w:highlight w:val="none"/>
          <w:lang w:val="en-US" w:eastAsia="zh-CN"/>
        </w:rPr>
        <w:t>扎实推进高标准农田建设</w:t>
      </w:r>
      <w:r>
        <w:rPr>
          <w:rFonts w:hint="eastAsia" w:ascii="仿宋_GB2312" w:hAnsi="仿宋_GB2312" w:eastAsia="仿宋_GB2312" w:cs="仿宋_GB2312"/>
          <w:strike w:val="0"/>
          <w:color w:val="auto"/>
          <w:sz w:val="32"/>
          <w:szCs w:val="32"/>
          <w:highlight w:val="none"/>
          <w:lang w:eastAsia="zh-CN"/>
        </w:rPr>
        <w:t>。全面完成2020年高标准农田建设项目、灾毁农田修复项目建设任务；2021年的高标准农田建设项目已完成工程量的</w:t>
      </w:r>
      <w:r>
        <w:rPr>
          <w:rFonts w:hint="eastAsia" w:ascii="仿宋_GB2312" w:hAnsi="仿宋_GB2312" w:eastAsia="仿宋_GB2312" w:cs="仿宋_GB2312"/>
          <w:strike w:val="0"/>
          <w:color w:val="auto"/>
          <w:sz w:val="32"/>
          <w:szCs w:val="32"/>
          <w:highlight w:val="none"/>
          <w:lang w:val="en-US" w:eastAsia="zh-CN"/>
        </w:rPr>
        <w:t>64.7</w:t>
      </w:r>
      <w:r>
        <w:rPr>
          <w:rFonts w:hint="eastAsia" w:ascii="仿宋_GB2312" w:hAnsi="仿宋_GB2312" w:eastAsia="仿宋_GB2312" w:cs="仿宋_GB2312"/>
          <w:strike w:val="0"/>
          <w:color w:val="auto"/>
          <w:sz w:val="32"/>
          <w:szCs w:val="32"/>
          <w:highlight w:val="none"/>
          <w:lang w:eastAsia="zh-CN"/>
        </w:rPr>
        <w:t>％，耕地障碍性治理项目完成治理任务的70%，灾毁农田修复项目正在有力推进。三是</w:t>
      </w:r>
      <w:r>
        <w:rPr>
          <w:rFonts w:hint="eastAsia" w:ascii="仿宋_GB2312" w:hAnsi="仿宋_GB2312" w:eastAsia="仿宋_GB2312" w:cs="仿宋_GB2312"/>
          <w:strike w:val="0"/>
          <w:color w:val="auto"/>
          <w:sz w:val="32"/>
          <w:szCs w:val="32"/>
          <w:highlight w:val="none"/>
          <w:lang w:val="en-US" w:eastAsia="zh-CN"/>
        </w:rPr>
        <w:t>实施《朝天区秸秆综合利用试点项目》，争取项目资金300万元，推进秸秆燃料化、肥料化、饲料化利用，全区秸秆可收集量利用率达到92.5%。</w:t>
      </w:r>
    </w:p>
    <w:p>
      <w:pPr>
        <w:keepNext w:val="0"/>
        <w:keepLines w:val="0"/>
        <w:pageBreakBefore w:val="0"/>
        <w:widowControl w:val="0"/>
        <w:kinsoku/>
        <w:wordWrap/>
        <w:overflowPunct/>
        <w:topLinePunct w:val="0"/>
        <w:bidi w:val="0"/>
        <w:spacing w:line="576" w:lineRule="exact"/>
        <w:ind w:firstLine="642" w:firstLineChars="200"/>
        <w:textAlignment w:val="auto"/>
        <w:rPr>
          <w:rFonts w:hint="eastAsia" w:ascii="仿宋_GB2312" w:hAnsi="仿宋_GB2312" w:eastAsia="仿宋_GB2312" w:cs="仿宋_GB2312"/>
          <w:strike w:val="0"/>
          <w:color w:val="auto"/>
          <w:sz w:val="32"/>
          <w:szCs w:val="32"/>
          <w:highlight w:val="none"/>
          <w:lang w:eastAsia="zh-CN"/>
        </w:rPr>
      </w:pPr>
      <w:r>
        <w:rPr>
          <w:rFonts w:hint="eastAsia" w:ascii="仿宋_GB2312" w:hAnsi="仿宋_GB2312" w:eastAsia="仿宋_GB2312" w:cs="仿宋_GB2312"/>
          <w:b/>
          <w:bCs/>
          <w:strike w:val="0"/>
          <w:color w:val="auto"/>
          <w:sz w:val="32"/>
          <w:szCs w:val="32"/>
          <w:highlight w:val="none"/>
          <w:lang w:val="en-US" w:eastAsia="zh-CN"/>
        </w:rPr>
        <w:t>6.农村改革稳步推进。</w:t>
      </w:r>
      <w:r>
        <w:rPr>
          <w:rFonts w:hint="eastAsia" w:ascii="仿宋_GB2312" w:hAnsi="仿宋_GB2312" w:eastAsia="仿宋_GB2312" w:cs="仿宋_GB2312"/>
          <w:strike w:val="0"/>
          <w:color w:val="auto"/>
          <w:sz w:val="32"/>
          <w:szCs w:val="32"/>
          <w:highlight w:val="none"/>
          <w:lang w:val="en-US" w:eastAsia="zh-CN"/>
        </w:rPr>
        <w:t>按照“四个一批”处置方式盘活全区闲置村（居）委会房屋75处面积20990平方米</w:t>
      </w:r>
      <w:r>
        <w:rPr>
          <w:rFonts w:hint="eastAsia" w:ascii="仿宋_GB2312" w:hAnsi="仿宋_GB2312" w:eastAsia="仿宋_GB2312" w:cs="仿宋_GB2312"/>
          <w:strike w:val="0"/>
          <w:color w:val="auto"/>
          <w:sz w:val="32"/>
          <w:szCs w:val="32"/>
          <w:highlight w:val="none"/>
          <w:lang w:eastAsia="zh-CN"/>
        </w:rPr>
        <w:t>。完成房地一体和集体建设用地使用确权登记，46731户权籍调查和数据建库与省市完成数据交换。召开农房建设专班会议</w:t>
      </w:r>
      <w:r>
        <w:rPr>
          <w:rFonts w:hint="eastAsia" w:ascii="仿宋_GB2312" w:hAnsi="仿宋_GB2312" w:eastAsia="仿宋_GB2312" w:cs="仿宋_GB2312"/>
          <w:strike w:val="0"/>
          <w:color w:val="auto"/>
          <w:sz w:val="32"/>
          <w:szCs w:val="32"/>
          <w:highlight w:val="none"/>
          <w:lang w:val="en-US" w:eastAsia="zh-CN"/>
        </w:rPr>
        <w:t>10</w:t>
      </w:r>
      <w:r>
        <w:rPr>
          <w:rFonts w:hint="eastAsia" w:ascii="仿宋_GB2312" w:hAnsi="仿宋_GB2312" w:eastAsia="仿宋_GB2312" w:cs="仿宋_GB2312"/>
          <w:strike w:val="0"/>
          <w:color w:val="auto"/>
          <w:sz w:val="32"/>
          <w:szCs w:val="32"/>
          <w:highlight w:val="none"/>
          <w:lang w:eastAsia="zh-CN"/>
        </w:rPr>
        <w:t>次，累计审批1</w:t>
      </w:r>
      <w:r>
        <w:rPr>
          <w:rFonts w:hint="eastAsia" w:ascii="仿宋_GB2312" w:hAnsi="仿宋_GB2312" w:eastAsia="仿宋_GB2312" w:cs="仿宋_GB2312"/>
          <w:strike w:val="0"/>
          <w:color w:val="auto"/>
          <w:sz w:val="32"/>
          <w:szCs w:val="32"/>
          <w:highlight w:val="none"/>
          <w:lang w:val="en-US" w:eastAsia="zh-CN"/>
        </w:rPr>
        <w:t>2</w:t>
      </w:r>
      <w:r>
        <w:rPr>
          <w:rFonts w:hint="eastAsia" w:ascii="仿宋_GB2312" w:hAnsi="仿宋_GB2312" w:eastAsia="仿宋_GB2312" w:cs="仿宋_GB2312"/>
          <w:strike w:val="0"/>
          <w:color w:val="auto"/>
          <w:sz w:val="32"/>
          <w:szCs w:val="32"/>
          <w:highlight w:val="none"/>
          <w:lang w:eastAsia="zh-CN"/>
        </w:rPr>
        <w:t>个乡镇</w:t>
      </w:r>
      <w:r>
        <w:rPr>
          <w:rFonts w:hint="eastAsia" w:ascii="仿宋_GB2312" w:hAnsi="仿宋_GB2312" w:eastAsia="仿宋_GB2312" w:cs="仿宋_GB2312"/>
          <w:strike w:val="0"/>
          <w:color w:val="auto"/>
          <w:sz w:val="32"/>
          <w:szCs w:val="32"/>
          <w:highlight w:val="none"/>
          <w:lang w:val="en-US" w:eastAsia="zh-CN"/>
        </w:rPr>
        <w:t>261</w:t>
      </w:r>
      <w:r>
        <w:rPr>
          <w:rFonts w:hint="eastAsia" w:ascii="仿宋_GB2312" w:hAnsi="仿宋_GB2312" w:eastAsia="仿宋_GB2312" w:cs="仿宋_GB2312"/>
          <w:strike w:val="0"/>
          <w:color w:val="auto"/>
          <w:sz w:val="32"/>
          <w:szCs w:val="32"/>
          <w:highlight w:val="none"/>
          <w:lang w:eastAsia="zh-CN"/>
        </w:rPr>
        <w:t>户农户建房。完成沙河镇白虎村和罗圈岩村2个试点村村庄规划的编制，建成基层供销示范社8个，村级供销社5个。流转土地0.2万亩。</w:t>
      </w:r>
    </w:p>
    <w:p>
      <w:pPr>
        <w:keepNext w:val="0"/>
        <w:keepLines w:val="0"/>
        <w:pageBreakBefore w:val="0"/>
        <w:widowControl w:val="0"/>
        <w:kinsoku/>
        <w:wordWrap/>
        <w:overflowPunct/>
        <w:topLinePunct w:val="0"/>
        <w:bidi w:val="0"/>
        <w:spacing w:line="576" w:lineRule="exact"/>
        <w:ind w:firstLine="642" w:firstLineChars="200"/>
        <w:textAlignment w:val="auto"/>
        <w:rPr>
          <w:rFonts w:hint="eastAsia" w:ascii="仿宋_GB2312" w:hAnsi="仿宋_GB2312" w:eastAsia="仿宋_GB2312" w:cs="仿宋_GB2312"/>
          <w:strike w:val="0"/>
          <w:color w:val="auto"/>
          <w:sz w:val="32"/>
          <w:szCs w:val="32"/>
          <w:highlight w:val="none"/>
          <w:lang w:val="en-US" w:eastAsia="zh-CN"/>
        </w:rPr>
      </w:pPr>
      <w:r>
        <w:rPr>
          <w:rFonts w:hint="eastAsia" w:ascii="仿宋_GB2312" w:hAnsi="仿宋_GB2312" w:eastAsia="仿宋_GB2312" w:cs="仿宋_GB2312"/>
          <w:b/>
          <w:bCs/>
          <w:strike w:val="0"/>
          <w:color w:val="auto"/>
          <w:sz w:val="32"/>
          <w:szCs w:val="32"/>
          <w:highlight w:val="none"/>
          <w:lang w:val="en-US" w:eastAsia="zh-CN"/>
        </w:rPr>
        <w:t>7.集体经济持续发展。</w:t>
      </w:r>
      <w:r>
        <w:rPr>
          <w:rFonts w:hint="eastAsia" w:ascii="仿宋_GB2312" w:hAnsi="仿宋_GB2312" w:eastAsia="仿宋_GB2312" w:cs="仿宋_GB2312"/>
          <w:strike w:val="0"/>
          <w:color w:val="auto"/>
          <w:sz w:val="32"/>
          <w:szCs w:val="32"/>
          <w:highlight w:val="none"/>
          <w:lang w:val="en-US" w:eastAsia="zh-CN"/>
        </w:rPr>
        <w:t>全面推进“两改”后138个村（涉农社区）集体经济组织登记赋码。全区集体经济累计经营性总收入达1172万元，人均累计经营性收入达62元，今年新增集体经济收入212万元，新增人均收入11元；全区12个乡镇138个集体经济组织全部通过股权量化后再入股的方式对2021年集体经济收益进行了成员分红。扎实推进中省支持村集体经济发展项目7个均已完成。</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sz w:val="32"/>
          <w:szCs w:val="32"/>
          <w:lang w:val="en-US" w:eastAsia="zh-CN"/>
        </w:rPr>
        <w:t>8.经营体系逐步健全。</w:t>
      </w:r>
      <w:r>
        <w:rPr>
          <w:rFonts w:hint="eastAsia" w:ascii="仿宋_GB2312" w:hAnsi="仿宋_GB2312" w:eastAsia="仿宋_GB2312" w:cs="仿宋_GB2312"/>
          <w:color w:val="auto"/>
          <w:sz w:val="32"/>
          <w:szCs w:val="32"/>
        </w:rPr>
        <w:t>全年新注册合作社25家、家庭农场108家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累计发展合作社524家、家庭农场642家，流转土地2000亩。今年创建国家级</w:t>
      </w:r>
      <w:r>
        <w:rPr>
          <w:rFonts w:hint="eastAsia" w:ascii="仿宋_GB2312" w:hAnsi="仿宋_GB2312" w:eastAsia="仿宋_GB2312" w:cs="仿宋_GB2312"/>
          <w:color w:val="auto"/>
          <w:sz w:val="32"/>
          <w:szCs w:val="32"/>
          <w:lang w:eastAsia="zh-CN"/>
        </w:rPr>
        <w:t>合作社</w:t>
      </w:r>
      <w:r>
        <w:rPr>
          <w:rFonts w:hint="eastAsia" w:ascii="仿宋_GB2312" w:hAnsi="仿宋_GB2312" w:eastAsia="仿宋_GB2312" w:cs="仿宋_GB2312"/>
          <w:color w:val="auto"/>
          <w:sz w:val="32"/>
          <w:szCs w:val="32"/>
        </w:rPr>
        <w:t>示范社1家、省级示范社3家、市级示范社5家，创建省级</w:t>
      </w:r>
      <w:r>
        <w:rPr>
          <w:rFonts w:hint="eastAsia" w:ascii="仿宋_GB2312" w:hAnsi="仿宋_GB2312" w:eastAsia="仿宋_GB2312" w:cs="仿宋_GB2312"/>
          <w:color w:val="auto"/>
          <w:sz w:val="32"/>
          <w:szCs w:val="32"/>
          <w:lang w:eastAsia="zh-CN"/>
        </w:rPr>
        <w:t>家庭农场</w:t>
      </w:r>
      <w:r>
        <w:rPr>
          <w:rFonts w:hint="eastAsia" w:ascii="仿宋_GB2312" w:hAnsi="仿宋_GB2312" w:eastAsia="仿宋_GB2312" w:cs="仿宋_GB2312"/>
          <w:color w:val="auto"/>
          <w:sz w:val="32"/>
          <w:szCs w:val="32"/>
        </w:rPr>
        <w:t>示范场3家、市级示范场24家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创建国家级农业龙头企业１农、市级农业龙头企业１家。培训高素质农民1500余人。</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sz w:val="32"/>
          <w:szCs w:val="32"/>
          <w:lang w:val="en-US" w:eastAsia="zh-CN"/>
        </w:rPr>
        <w:t>9.农村防疫管控有效。</w:t>
      </w:r>
      <w:r>
        <w:rPr>
          <w:rFonts w:hint="eastAsia" w:ascii="仿宋_GB2312" w:hAnsi="仿宋_GB2312" w:eastAsia="仿宋_GB2312" w:cs="仿宋_GB2312"/>
          <w:color w:val="auto"/>
          <w:sz w:val="32"/>
          <w:szCs w:val="40"/>
          <w:lang w:eastAsia="zh-CN"/>
        </w:rPr>
        <w:t>充分发挥“双网格+大数据”作用，坚持四级包干制度，强化村(社区)网格化管理，从未发生失管、脱管、漏管等情况。</w:t>
      </w:r>
      <w:r>
        <w:rPr>
          <w:rFonts w:hint="eastAsia" w:ascii="仿宋_GB2312" w:hAnsi="仿宋_GB2312" w:eastAsia="仿宋_GB2312" w:cs="仿宋_GB2312"/>
          <w:b w:val="0"/>
          <w:bCs w:val="0"/>
          <w:color w:val="auto"/>
          <w:spacing w:val="0"/>
          <w:sz w:val="32"/>
          <w:szCs w:val="32"/>
          <w:highlight w:val="none"/>
          <w:lang w:val="en-US" w:eastAsia="zh-CN"/>
        </w:rPr>
        <w:t>我区“三级专班”总人数达2125人，其中区级26人、乡镇338人、村社1761人。“三支队伍”人数4864人，其中网格员队伍2969人、五包一队伍843人、志愿者队伍1052人</w:t>
      </w:r>
      <w:r>
        <w:rPr>
          <w:rFonts w:hint="eastAsia" w:ascii="仿宋_GB2312" w:hAnsi="仿宋_GB2312" w:eastAsia="仿宋_GB2312" w:cs="仿宋_GB2312"/>
          <w:color w:val="auto"/>
          <w:sz w:val="32"/>
          <w:szCs w:val="40"/>
          <w:lang w:val="en-US" w:eastAsia="zh-CN"/>
        </w:rPr>
        <w:t>。</w:t>
      </w:r>
      <w:r>
        <w:rPr>
          <w:rFonts w:hint="eastAsia" w:ascii="仿宋_GB2312" w:hAnsi="仿宋_GB2312" w:eastAsia="仿宋_GB2312" w:cs="仿宋_GB2312"/>
          <w:sz w:val="32"/>
          <w:szCs w:val="32"/>
          <w:lang w:eastAsia="zh-CN"/>
        </w:rPr>
        <w:t>开展农村地区疫情防控培训，召开区级培训会议</w:t>
      </w:r>
      <w:r>
        <w:rPr>
          <w:rFonts w:hint="eastAsia" w:ascii="仿宋_GB2312" w:hAnsi="仿宋_GB2312" w:eastAsia="仿宋_GB2312" w:cs="仿宋_GB2312"/>
          <w:sz w:val="32"/>
          <w:szCs w:val="32"/>
          <w:lang w:val="en-US" w:eastAsia="zh-CN"/>
        </w:rPr>
        <w:t>4期，累计培训500余人。</w:t>
      </w:r>
      <w:r>
        <w:rPr>
          <w:rFonts w:hint="eastAsia" w:ascii="仿宋_GB2312" w:hAnsi="仿宋_GB2312" w:eastAsia="仿宋_GB2312" w:cs="仿宋_GB2312"/>
          <w:sz w:val="32"/>
          <w:szCs w:val="32"/>
          <w:lang w:eastAsia="zh-CN"/>
        </w:rPr>
        <w:t>做好农村地区疫情防控督导工作，</w:t>
      </w:r>
      <w:r>
        <w:rPr>
          <w:rFonts w:hint="eastAsia" w:ascii="仿宋_GB2312" w:hAnsi="仿宋_GB2312" w:eastAsia="仿宋_GB2312" w:cs="仿宋_GB2312"/>
          <w:color w:val="auto"/>
          <w:sz w:val="32"/>
          <w:szCs w:val="40"/>
          <w:lang w:val="en-US" w:eastAsia="zh-CN"/>
        </w:rPr>
        <w:t>严格落实重点聚集防控措施，累计劝停坝坝宴9场次、涉及1200余人。强化宣传引导，严格把关</w:t>
      </w:r>
      <w:r>
        <w:rPr>
          <w:rFonts w:hint="eastAsia" w:ascii="仿宋_GB2312" w:hAnsi="仿宋_GB2312" w:eastAsia="仿宋_GB2312" w:cs="仿宋_GB2312"/>
          <w:color w:val="auto"/>
          <w:sz w:val="32"/>
          <w:szCs w:val="32"/>
          <w:lang w:val="en-US" w:eastAsia="zh-CN"/>
        </w:rPr>
        <w:t>前沿哨口，加大农村地区人员排查力度，坚决守住疫情防控四川“北大门”。</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sz w:val="32"/>
          <w:szCs w:val="32"/>
          <w:lang w:val="en-US" w:eastAsia="zh-CN"/>
        </w:rPr>
        <w:t>10.农业执法持续加强。</w:t>
      </w:r>
      <w:r>
        <w:rPr>
          <w:rFonts w:hint="eastAsia" w:ascii="仿宋_GB2312" w:hAnsi="仿宋_GB2312" w:eastAsia="仿宋_GB2312" w:cs="仿宋_GB2312"/>
          <w:b w:val="0"/>
          <w:bCs/>
          <w:sz w:val="32"/>
          <w:szCs w:val="32"/>
        </w:rPr>
        <w:t>一是扎实开展打假专项治理行动。共出动执法人员269人次，巡查检查118次，检查门店276个，抽检农资产品53个；查处经营假劣农药、标签不符合规定农药、经营超过保质期饲料各1起，处罚款10800元；查处农产品违法案件6件，处罚款5200元。二是扎实开展非洲猪瘟等重大动物疫病防控“百日阻击战”专项执法行动。规范生猪调运，强化落地监管，严厉查处违法调运行为。共检查入川车辆25630车次，检查生猪16.52万头、禽类185.86万只（羽）、其它动物2.271万头（只）、动物产品43.88万吨；查处经营、运输依法应当检疫而未经检疫动物案件10件，处罚款56.1万元，无害化处理动物产品240公斤。三是扎实开展四川省“中国渔政亮剑2021”系列专项执法。加强禁渔期、禁渔区巡护，严厉打击非法垂钓行为，共出动执法人员210人次，收缴违法垂钓渔具43副，立案查处2件，处罚款400元，保护长江支流生态资源。四是切实开展变型拖拉机专项整治工作。联合交警开展道路联合执法14次，出动执法人员61人次，累计扣留违法车辆9台，报废车辆9台，依法查处操作报废拖拉机案1起，处罚款200元。五是强化病死畜禽无害化处理监管。严格按照相关规定开展病死畜禽无害化处理工作，养殖环节无害化处理生猪163头、禽2078只、羊3只，处理流通环节生猪196头。六是规范建设乡镇检疫申报点8个，</w:t>
      </w:r>
      <w:r>
        <w:rPr>
          <w:rFonts w:hint="eastAsia" w:ascii="仿宋_GB2312" w:hAnsi="仿宋_GB2312" w:eastAsia="仿宋_GB2312" w:cs="仿宋_GB2312"/>
          <w:b w:val="0"/>
          <w:bCs/>
          <w:spacing w:val="8"/>
          <w:sz w:val="32"/>
          <w:szCs w:val="32"/>
          <w:shd w:val="clear" w:color="auto" w:fill="FFFFFF"/>
        </w:rPr>
        <w:t>开展畜禽运输车辆备案54车次。</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2"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sz w:val="32"/>
          <w:szCs w:val="32"/>
          <w:lang w:val="en-US" w:eastAsia="zh-CN"/>
        </w:rPr>
        <w:t>11.农业安全形势稳定。</w:t>
      </w:r>
      <w:r>
        <w:rPr>
          <w:rFonts w:hint="eastAsia" w:ascii="仿宋_GB2312" w:hAnsi="仿宋_GB2312" w:eastAsia="仿宋_GB2312" w:cs="仿宋_GB2312"/>
          <w:b w:val="0"/>
          <w:bCs/>
          <w:sz w:val="32"/>
          <w:szCs w:val="32"/>
        </w:rPr>
        <w:t>一是加强农产品质量安全监管。国家农产品质量安全县资格复审顺利通过省级核查，曾家镇、中子镇、羊木镇市级农产品质量安全乡镇通过市级资格复审。新认证“三品一标”农产品32个，建成有机蔬菜推广示范基地2个2.68万亩。二是</w:t>
      </w:r>
      <w:r>
        <w:rPr>
          <w:rFonts w:hint="eastAsia" w:ascii="仿宋_GB2312" w:hAnsi="仿宋_GB2312" w:eastAsia="仿宋_GB2312" w:cs="仿宋_GB2312"/>
          <w:b w:val="0"/>
          <w:bCs/>
          <w:sz w:val="32"/>
          <w:szCs w:val="32"/>
          <w:lang w:eastAsia="zh-CN"/>
        </w:rPr>
        <w:t>加</w:t>
      </w:r>
      <w:r>
        <w:rPr>
          <w:rFonts w:hint="eastAsia" w:ascii="仿宋_GB2312" w:hAnsi="仿宋_GB2312" w:eastAsia="仿宋_GB2312" w:cs="仿宋_GB2312"/>
          <w:b w:val="0"/>
          <w:bCs/>
          <w:sz w:val="32"/>
          <w:szCs w:val="32"/>
        </w:rPr>
        <w:t>强动植物疫病防控。为确保全区农业生产的安全，防治重大病虫害防治的发生，我们在全区安排了监测人员20人，布设监测点98个、草地贪夜蛾高空测报点一个，及时发布防治信息，目前全区玉米草地贪夜蛾防治处置率达100%，防治效果达95%，实现玉米不成灾不减产。同时，对水稻稻水象甲防控坚持层层落实防控责任，落实资金5.1万元，采购防治药物850公斤，在中子镇开展防治面积达1700亩次，有效控制了农作物重大病虫害发生，保障了全区农业生产安全，促进了农民增收。</w:t>
      </w:r>
      <w:r>
        <w:rPr>
          <w:rFonts w:hint="eastAsia" w:ascii="仿宋_GB2312" w:hAnsi="仿宋_GB2312" w:eastAsia="仿宋_GB2312" w:cs="仿宋_GB2312"/>
          <w:b w:val="0"/>
          <w:bCs/>
          <w:sz w:val="32"/>
          <w:szCs w:val="32"/>
          <w:lang w:eastAsia="zh-CN"/>
        </w:rPr>
        <w:t>严格落实省、重大疫病四季免疫要求</w:t>
      </w:r>
      <w:r>
        <w:rPr>
          <w:rFonts w:hint="eastAsia" w:ascii="仿宋_GB2312" w:hAnsi="仿宋_GB2312" w:eastAsia="仿宋_GB2312" w:cs="仿宋_GB2312"/>
          <w:b w:val="0"/>
          <w:bCs/>
          <w:sz w:val="32"/>
          <w:szCs w:val="32"/>
          <w:lang w:val="en-US" w:eastAsia="zh-CN"/>
        </w:rPr>
        <w:t>。全年免疫国家强制免疫病种6个，实现应免尽免，免疫抗体合格率均达90%以上，建立了有效的免疫保护屏障。设立非洲猪瘟防控点8个，全天候满负荷运行。集中开展“大消毒”7次，养殖环境消毒面达100%，确保养殖、运输、屠宰各环节生物安全。实现年度区域性重大动物疫情“零”发生。三是</w:t>
      </w:r>
      <w:r>
        <w:rPr>
          <w:rFonts w:hint="eastAsia" w:ascii="仿宋_GB2312" w:hAnsi="仿宋_GB2312" w:eastAsia="仿宋_GB2312" w:cs="仿宋_GB2312"/>
          <w:b w:val="0"/>
          <w:bCs/>
          <w:sz w:val="32"/>
          <w:szCs w:val="32"/>
        </w:rPr>
        <w:t>环保</w:t>
      </w:r>
      <w:r>
        <w:rPr>
          <w:rFonts w:hint="eastAsia" w:ascii="仿宋_GB2312" w:hAnsi="仿宋_GB2312" w:eastAsia="仿宋_GB2312" w:cs="仿宋_GB2312"/>
          <w:b w:val="0"/>
          <w:bCs/>
          <w:sz w:val="32"/>
          <w:szCs w:val="32"/>
          <w:lang w:eastAsia="zh-CN"/>
        </w:rPr>
        <w:t>整改落地落实</w:t>
      </w:r>
      <w:r>
        <w:rPr>
          <w:rFonts w:hint="eastAsia" w:ascii="仿宋_GB2312" w:hAnsi="仿宋_GB2312" w:eastAsia="仿宋_GB2312" w:cs="仿宋_GB2312"/>
          <w:b w:val="0"/>
          <w:bCs/>
          <w:sz w:val="32"/>
          <w:szCs w:val="32"/>
        </w:rPr>
        <w:t>。中央环保督察期间，我局涉及的11个方面的督察内容没有举报投诉案件发生。</w:t>
      </w:r>
      <w:r>
        <w:rPr>
          <w:rFonts w:hint="eastAsia" w:ascii="仿宋_GB2312" w:hAnsi="仿宋_GB2312" w:eastAsia="仿宋_GB2312" w:cs="仿宋_GB2312"/>
          <w:b w:val="0"/>
          <w:bCs/>
          <w:sz w:val="32"/>
          <w:szCs w:val="32"/>
          <w:lang w:eastAsia="zh-CN"/>
        </w:rPr>
        <w:t>四是</w:t>
      </w:r>
      <w:r>
        <w:rPr>
          <w:rFonts w:hint="eastAsia" w:ascii="仿宋_GB2312" w:hAnsi="仿宋_GB2312" w:eastAsia="仿宋_GB2312" w:cs="仿宋_GB2312"/>
          <w:b w:val="0"/>
          <w:bCs/>
          <w:sz w:val="32"/>
          <w:szCs w:val="32"/>
          <w:lang w:val="en-US" w:eastAsia="zh-CN"/>
        </w:rPr>
        <w:t>农村（沼气）能源安全。</w:t>
      </w:r>
      <w:r>
        <w:rPr>
          <w:rFonts w:hint="eastAsia" w:ascii="仿宋_GB2312" w:hAnsi="仿宋_GB2312" w:eastAsia="仿宋_GB2312" w:cs="仿宋_GB2312"/>
          <w:b w:val="0"/>
          <w:bCs/>
          <w:sz w:val="32"/>
          <w:szCs w:val="32"/>
        </w:rPr>
        <w:t>全面推行沼气工程清单制管理</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制定了《</w:t>
      </w:r>
      <w:r>
        <w:rPr>
          <w:rFonts w:hint="eastAsia" w:ascii="仿宋_GB2312" w:hAnsi="仿宋_GB2312" w:eastAsia="仿宋_GB2312" w:cs="仿宋_GB2312"/>
          <w:b w:val="0"/>
          <w:bCs/>
          <w:sz w:val="32"/>
          <w:szCs w:val="32"/>
        </w:rPr>
        <w:t>沼气工程企业安全生产管理责任清单</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抽查</w:t>
      </w:r>
      <w:r>
        <w:rPr>
          <w:rFonts w:hint="eastAsia" w:ascii="仿宋_GB2312" w:hAnsi="仿宋_GB2312" w:eastAsia="仿宋_GB2312" w:cs="仿宋_GB2312"/>
          <w:b w:val="0"/>
          <w:bCs/>
          <w:sz w:val="32"/>
          <w:szCs w:val="32"/>
        </w:rPr>
        <w:t>户用沼气池</w:t>
      </w:r>
      <w:r>
        <w:rPr>
          <w:rFonts w:hint="eastAsia" w:ascii="仿宋_GB2312" w:hAnsi="仿宋_GB2312" w:eastAsia="仿宋_GB2312" w:cs="仿宋_GB2312"/>
          <w:b w:val="0"/>
          <w:bCs/>
          <w:sz w:val="32"/>
          <w:szCs w:val="32"/>
          <w:lang w:val="en-US" w:eastAsia="zh-CN"/>
        </w:rPr>
        <w:t>800口，排除不同程度</w:t>
      </w:r>
      <w:r>
        <w:rPr>
          <w:rFonts w:hint="eastAsia" w:ascii="仿宋_GB2312" w:hAnsi="仿宋_GB2312" w:eastAsia="仿宋_GB2312" w:cs="仿宋_GB2312"/>
          <w:b w:val="0"/>
          <w:bCs/>
          <w:sz w:val="32"/>
          <w:szCs w:val="32"/>
          <w:lang w:eastAsia="zh-CN"/>
        </w:rPr>
        <w:t>安全隐患</w:t>
      </w:r>
      <w:r>
        <w:rPr>
          <w:rFonts w:hint="eastAsia" w:ascii="仿宋_GB2312" w:hAnsi="仿宋_GB2312" w:eastAsia="仿宋_GB2312" w:cs="仿宋_GB2312"/>
          <w:b w:val="0"/>
          <w:bCs/>
          <w:sz w:val="32"/>
          <w:szCs w:val="32"/>
          <w:lang w:val="en-US" w:eastAsia="zh-CN"/>
        </w:rPr>
        <w:t>180余口，已</w:t>
      </w:r>
      <w:r>
        <w:rPr>
          <w:rFonts w:hint="eastAsia" w:ascii="仿宋_GB2312" w:hAnsi="仿宋_GB2312" w:eastAsia="仿宋_GB2312" w:cs="仿宋_GB2312"/>
          <w:b w:val="0"/>
          <w:bCs/>
          <w:sz w:val="32"/>
          <w:szCs w:val="32"/>
        </w:rPr>
        <w:t>维修病险</w:t>
      </w:r>
      <w:r>
        <w:rPr>
          <w:rFonts w:hint="eastAsia" w:ascii="仿宋_GB2312" w:hAnsi="仿宋_GB2312" w:eastAsia="仿宋_GB2312" w:cs="仿宋_GB2312"/>
          <w:b w:val="0"/>
          <w:bCs/>
          <w:sz w:val="32"/>
          <w:szCs w:val="32"/>
          <w:lang w:val="en-US" w:eastAsia="zh-CN"/>
        </w:rPr>
        <w:t>70口，杜绝了安全事故发生，</w:t>
      </w:r>
      <w:r>
        <w:rPr>
          <w:rFonts w:hint="eastAsia" w:ascii="仿宋_GB2312" w:hAnsi="仿宋_GB2312" w:eastAsia="仿宋_GB2312" w:cs="仿宋_GB2312"/>
          <w:b w:val="0"/>
          <w:bCs/>
          <w:sz w:val="32"/>
          <w:szCs w:val="32"/>
          <w:lang w:eastAsia="zh-CN"/>
        </w:rPr>
        <w:t>开展农村能源</w:t>
      </w:r>
      <w:r>
        <w:rPr>
          <w:rFonts w:hint="eastAsia" w:ascii="仿宋_GB2312" w:hAnsi="仿宋_GB2312" w:eastAsia="仿宋_GB2312" w:cs="仿宋_GB2312"/>
          <w:b w:val="0"/>
          <w:bCs/>
          <w:sz w:val="32"/>
          <w:szCs w:val="32"/>
        </w:rPr>
        <w:t>法规</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政策咨询服务</w:t>
      </w:r>
      <w:r>
        <w:rPr>
          <w:rFonts w:hint="eastAsia" w:ascii="仿宋_GB2312" w:hAnsi="仿宋_GB2312" w:eastAsia="仿宋_GB2312" w:cs="仿宋_GB2312"/>
          <w:b w:val="0"/>
          <w:bCs/>
          <w:sz w:val="32"/>
          <w:szCs w:val="32"/>
          <w:lang w:val="en-US" w:eastAsia="zh-CN"/>
        </w:rPr>
        <w:t>82人次</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发放《农村沼气综合实用技术》</w:t>
      </w:r>
      <w:r>
        <w:rPr>
          <w:rFonts w:hint="eastAsia" w:ascii="仿宋_GB2312" w:hAnsi="仿宋_GB2312" w:eastAsia="仿宋_GB2312" w:cs="仿宋_GB2312"/>
          <w:b w:val="0"/>
          <w:bCs/>
          <w:sz w:val="32"/>
          <w:szCs w:val="32"/>
          <w:lang w:val="en-US" w:eastAsia="zh-CN"/>
        </w:rPr>
        <w:t>350</w:t>
      </w:r>
      <w:r>
        <w:rPr>
          <w:rFonts w:hint="eastAsia" w:ascii="仿宋_GB2312" w:hAnsi="仿宋_GB2312" w:eastAsia="仿宋_GB2312" w:cs="仿宋_GB2312"/>
          <w:b w:val="0"/>
          <w:bCs/>
          <w:sz w:val="32"/>
          <w:szCs w:val="32"/>
        </w:rPr>
        <w:t>本</w:t>
      </w:r>
      <w:r>
        <w:rPr>
          <w:rFonts w:hint="eastAsia" w:ascii="仿宋_GB2312" w:hAnsi="仿宋_GB2312" w:eastAsia="仿宋_GB2312" w:cs="仿宋_GB2312"/>
          <w:b w:val="0"/>
          <w:bCs/>
          <w:sz w:val="32"/>
          <w:szCs w:val="32"/>
          <w:lang w:eastAsia="zh-CN"/>
        </w:rPr>
        <w:t>、沼气</w:t>
      </w:r>
      <w:r>
        <w:rPr>
          <w:rFonts w:hint="eastAsia" w:ascii="仿宋_GB2312" w:hAnsi="仿宋_GB2312" w:eastAsia="仿宋_GB2312" w:cs="仿宋_GB2312"/>
          <w:b w:val="0"/>
          <w:bCs/>
          <w:sz w:val="32"/>
          <w:szCs w:val="32"/>
        </w:rPr>
        <w:t>安全</w:t>
      </w:r>
      <w:r>
        <w:rPr>
          <w:rFonts w:hint="eastAsia" w:ascii="仿宋_GB2312" w:hAnsi="仿宋_GB2312" w:eastAsia="仿宋_GB2312" w:cs="仿宋_GB2312"/>
          <w:b w:val="0"/>
          <w:bCs/>
          <w:sz w:val="32"/>
          <w:szCs w:val="32"/>
          <w:lang w:eastAsia="zh-CN"/>
        </w:rPr>
        <w:t>宣传单</w:t>
      </w:r>
      <w:r>
        <w:rPr>
          <w:rFonts w:hint="eastAsia" w:ascii="仿宋_GB2312" w:hAnsi="仿宋_GB2312" w:eastAsia="仿宋_GB2312" w:cs="仿宋_GB2312"/>
          <w:b w:val="0"/>
          <w:bCs/>
          <w:sz w:val="32"/>
          <w:szCs w:val="32"/>
          <w:lang w:val="en-US" w:eastAsia="zh-CN"/>
        </w:rPr>
        <w:t>782份</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《关于进一步加强全</w:t>
      </w:r>
      <w:r>
        <w:rPr>
          <w:rFonts w:hint="eastAsia" w:ascii="仿宋_GB2312" w:hAnsi="仿宋_GB2312" w:eastAsia="仿宋_GB2312" w:cs="仿宋_GB2312"/>
          <w:b w:val="0"/>
          <w:bCs/>
          <w:sz w:val="32"/>
          <w:szCs w:val="32"/>
          <w:lang w:eastAsia="zh-CN"/>
        </w:rPr>
        <w:t>区</w:t>
      </w:r>
      <w:r>
        <w:rPr>
          <w:rFonts w:hint="eastAsia" w:ascii="仿宋_GB2312" w:hAnsi="仿宋_GB2312" w:eastAsia="仿宋_GB2312" w:cs="仿宋_GB2312"/>
          <w:b w:val="0"/>
          <w:bCs/>
          <w:sz w:val="32"/>
          <w:szCs w:val="32"/>
        </w:rPr>
        <w:t>农村能源安全生产管理工作的通知》张帖</w:t>
      </w:r>
      <w:r>
        <w:rPr>
          <w:rFonts w:hint="eastAsia" w:ascii="仿宋_GB2312" w:hAnsi="仿宋_GB2312" w:eastAsia="仿宋_GB2312" w:cs="仿宋_GB2312"/>
          <w:b w:val="0"/>
          <w:bCs/>
          <w:sz w:val="32"/>
          <w:szCs w:val="32"/>
          <w:lang w:eastAsia="zh-CN"/>
        </w:rPr>
        <w:t>单</w:t>
      </w:r>
      <w:r>
        <w:rPr>
          <w:rFonts w:hint="eastAsia" w:ascii="仿宋_GB2312" w:hAnsi="仿宋_GB2312" w:eastAsia="仿宋_GB2312" w:cs="仿宋_GB2312"/>
          <w:b w:val="0"/>
          <w:bCs/>
          <w:sz w:val="32"/>
          <w:szCs w:val="32"/>
          <w:lang w:val="en-US" w:eastAsia="zh-CN"/>
        </w:rPr>
        <w:t>521</w:t>
      </w:r>
      <w:r>
        <w:rPr>
          <w:rFonts w:hint="eastAsia" w:ascii="仿宋_GB2312" w:hAnsi="仿宋_GB2312" w:eastAsia="仿宋_GB2312" w:cs="仿宋_GB2312"/>
          <w:b w:val="0"/>
          <w:bCs/>
          <w:sz w:val="32"/>
          <w:szCs w:val="32"/>
        </w:rPr>
        <w:t>张</w:t>
      </w:r>
      <w:r>
        <w:rPr>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bidi w:val="0"/>
        <w:spacing w:line="576" w:lineRule="exact"/>
        <w:ind w:firstLine="64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sz w:val="32"/>
          <w:szCs w:val="32"/>
          <w:lang w:val="en-US" w:eastAsia="zh-CN"/>
        </w:rPr>
        <w:t>12.农机监管不断提升。</w:t>
      </w:r>
      <w:r>
        <w:rPr>
          <w:rFonts w:hint="eastAsia" w:ascii="仿宋_GB2312" w:hAnsi="仿宋_GB2312" w:eastAsia="仿宋_GB2312" w:cs="仿宋_GB2312"/>
          <w:b w:val="0"/>
          <w:bCs w:val="0"/>
          <w:color w:val="auto"/>
          <w:sz w:val="32"/>
          <w:szCs w:val="32"/>
          <w:lang w:eastAsia="zh-CN"/>
        </w:rPr>
        <w:t>一是</w:t>
      </w:r>
      <w:r>
        <w:rPr>
          <w:rFonts w:hint="eastAsia" w:ascii="仿宋_GB2312" w:hAnsi="仿宋_GB2312" w:eastAsia="仿宋_GB2312" w:cs="仿宋_GB2312"/>
          <w:b w:val="0"/>
          <w:bCs w:val="0"/>
          <w:color w:val="auto"/>
          <w:sz w:val="32"/>
          <w:szCs w:val="32"/>
        </w:rPr>
        <w:t>严格落实国家农机购置补贴政策。全年累计落实购机补贴资金14万元，145户，147台完成了临溪乡望坪村太阳能提灌站建设，成功申报“五良”融合宜机化改造项目。</w:t>
      </w:r>
      <w:r>
        <w:rPr>
          <w:rFonts w:hint="eastAsia" w:ascii="仿宋_GB2312" w:hAnsi="仿宋_GB2312" w:eastAsia="仿宋_GB2312" w:cs="仿宋_GB2312"/>
          <w:b w:val="0"/>
          <w:bCs w:val="0"/>
          <w:color w:val="auto"/>
          <w:sz w:val="32"/>
          <w:szCs w:val="32"/>
          <w:lang w:eastAsia="zh-CN"/>
        </w:rPr>
        <w:t>二是</w:t>
      </w:r>
      <w:r>
        <w:rPr>
          <w:rFonts w:hint="eastAsia" w:ascii="仿宋_GB2312" w:hAnsi="仿宋_GB2312" w:eastAsia="仿宋_GB2312" w:cs="仿宋_GB2312"/>
          <w:b w:val="0"/>
          <w:bCs w:val="0"/>
          <w:color w:val="auto"/>
          <w:sz w:val="32"/>
          <w:szCs w:val="32"/>
        </w:rPr>
        <w:t>落实国机集团帮扶计划。完成了国机集团2021年定点帮扶朝天区农业产业机械化建设项目实施方案，建设两河口园区山地轨道运输线10条5千米，配置了英明农机专业合作社（曾家山综合农事服务中心）农业机械。</w:t>
      </w:r>
      <w:r>
        <w:rPr>
          <w:rFonts w:hint="eastAsia" w:ascii="仿宋_GB2312" w:hAnsi="仿宋_GB2312" w:eastAsia="仿宋_GB2312" w:cs="仿宋_GB2312"/>
          <w:b w:val="0"/>
          <w:bCs w:val="0"/>
          <w:color w:val="auto"/>
          <w:sz w:val="32"/>
          <w:szCs w:val="32"/>
          <w:lang w:eastAsia="zh-CN"/>
        </w:rPr>
        <w:t>三是抓实农机安全源头管理。</w:t>
      </w:r>
      <w:r>
        <w:rPr>
          <w:rFonts w:hint="eastAsia" w:ascii="仿宋_GB2312" w:hAnsi="仿宋_GB2312" w:eastAsia="仿宋_GB2312" w:cs="仿宋_GB2312"/>
          <w:b w:val="0"/>
          <w:bCs w:val="0"/>
          <w:color w:val="auto"/>
          <w:sz w:val="32"/>
          <w:szCs w:val="32"/>
        </w:rPr>
        <w:t>注销44台连续3年未年检（自行解体、报废）拖拉机，全区存量运行拖拉机检验率达72.2%，同时严把农用机械注册登记和驾驶证的考核发证关。</w:t>
      </w:r>
      <w:r>
        <w:rPr>
          <w:rFonts w:hint="eastAsia" w:ascii="仿宋_GB2312" w:hAnsi="仿宋_GB2312" w:eastAsia="仿宋_GB2312" w:cs="仿宋_GB2312"/>
          <w:b w:val="0"/>
          <w:bCs w:val="0"/>
          <w:color w:val="auto"/>
          <w:sz w:val="32"/>
          <w:szCs w:val="32"/>
          <w:lang w:eastAsia="zh-CN"/>
        </w:rPr>
        <w:t>四是深入开展变型拖拉机等农业机械专项整治。</w:t>
      </w:r>
      <w:r>
        <w:rPr>
          <w:rFonts w:hint="eastAsia" w:ascii="仿宋_GB2312" w:hAnsi="仿宋_GB2312" w:eastAsia="仿宋_GB2312" w:cs="仿宋_GB2312"/>
          <w:b w:val="0"/>
          <w:bCs w:val="0"/>
          <w:color w:val="auto"/>
          <w:sz w:val="32"/>
          <w:szCs w:val="32"/>
        </w:rPr>
        <w:t>结合重要农时季节，开展道路外农业机械安全监督联合检查和隐患排查20次，出动检查人员96人次，检查标准拖拉机200台（次）、变形拖拉机67台（次），纠正违章11台（次），查处农机安全隐患4起，目前已全部整改到位。</w:t>
      </w:r>
    </w:p>
    <w:p>
      <w:pPr>
        <w:pStyle w:val="14"/>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2"/>
          <w:sz w:val="32"/>
          <w:szCs w:val="32"/>
          <w:lang w:val="en-US" w:eastAsia="zh-CN" w:bidi="ar-SA"/>
        </w:rPr>
        <w:t>13.农技推广力度加大。</w:t>
      </w:r>
      <w:r>
        <w:rPr>
          <w:rFonts w:hint="eastAsia" w:ascii="仿宋_GB2312" w:hAnsi="仿宋_GB2312" w:eastAsia="仿宋_GB2312" w:cs="仿宋_GB2312"/>
          <w:sz w:val="32"/>
          <w:szCs w:val="32"/>
        </w:rPr>
        <w:t>完成2021年基层农技推广体系建设和朝天区高素质农民培育工作实施方案的制定，并严格按照实施方案实施。到目前共完成高素质农民培训379名，其中，省市调训30名，本级培训347名。完成科技示范基地建设2个，新品种、新技术推广率达98%以上。根据朝天区食用菌产业发展需要，特聘农技员1名，主要负责全区食用菌产业技术指导。完成基层农技人员知识更新培训70名。</w:t>
      </w:r>
      <w:r>
        <w:rPr>
          <w:rFonts w:hint="eastAsia" w:ascii="仿宋_GB2312" w:hAnsi="仿宋_GB2312" w:eastAsia="仿宋_GB2312" w:cs="仿宋_GB2312"/>
          <w:b w:val="0"/>
          <w:bCs w:val="0"/>
          <w:color w:val="000000"/>
          <w:kern w:val="2"/>
          <w:sz w:val="32"/>
          <w:szCs w:val="32"/>
          <w:lang w:val="en-US" w:eastAsia="zh-CN" w:bidi="ar-SA"/>
        </w:rPr>
        <w:t>推荐2名在贫困村驻村工作中表现优秀农技员受到省委省政府表彰。成立农业专家团服务团队三个，即畜牧团队、食用菌团队、蔬菜团队，</w:t>
      </w:r>
      <w:r>
        <w:rPr>
          <w:rFonts w:hint="eastAsia" w:ascii="仿宋_GB2312" w:hAnsi="仿宋_GB2312" w:eastAsia="仿宋_GB2312" w:cs="仿宋_GB2312"/>
          <w:sz w:val="32"/>
          <w:szCs w:val="32"/>
        </w:rPr>
        <w:t>技术服务400余次，解决技术难题200余个。</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14.“大棚房”问题专项清理整治扎实开展。</w:t>
      </w:r>
      <w:r>
        <w:rPr>
          <w:rFonts w:hint="eastAsia" w:ascii="仿宋_GB2312" w:hAnsi="仿宋_GB2312" w:eastAsia="仿宋_GB2312" w:cs="仿宋_GB2312"/>
          <w:sz w:val="32"/>
          <w:szCs w:val="32"/>
          <w:lang w:val="en-US" w:eastAsia="zh-CN"/>
        </w:rPr>
        <w:t>按照国家、省、市“大棚房”问题专项清理整治行动“回头看”电视电话会议精神，今年5月开始，在区人民政府的领导部署下，我区全面开展了“大棚房”问题专项清理整治行动。</w:t>
      </w:r>
      <w:r>
        <w:rPr>
          <w:rFonts w:hint="eastAsia" w:ascii="仿宋_GB2312" w:hAnsi="仿宋_GB2312" w:eastAsia="仿宋_GB2312" w:cs="仿宋_GB2312"/>
          <w:b w:val="0"/>
          <w:bCs w:val="0"/>
          <w:color w:val="auto"/>
          <w:kern w:val="2"/>
          <w:sz w:val="32"/>
          <w:szCs w:val="32"/>
          <w:lang w:val="en-US" w:eastAsia="zh-CN" w:bidi="ar-SA"/>
        </w:rPr>
        <w:t>编制印发了《朝天区“大棚房”问题专项清理整治行动“回头看”方案》，</w:t>
      </w:r>
      <w:r>
        <w:rPr>
          <w:rFonts w:hint="eastAsia" w:ascii="仿宋_GB2312" w:hAnsi="仿宋_GB2312" w:eastAsia="仿宋_GB2312" w:cs="仿宋_GB2312"/>
          <w:color w:val="000000"/>
          <w:kern w:val="0"/>
          <w:sz w:val="32"/>
          <w:szCs w:val="32"/>
          <w:lang w:val="en-US" w:eastAsia="zh-CN" w:bidi="ar"/>
        </w:rPr>
        <w:t>经排查，全区共有设施农业大棚1126个，占用耕地面积2176.97亩，其中：塑料大棚822个，面积1353.76亩；日光温室1个，面积0.45亩；连栋温室2个，面积13亩；其他大棚301个，面积809.76亩。共排查出存在问题的“大棚房”0个。</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firstLine="642"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sz w:val="32"/>
          <w:szCs w:val="32"/>
          <w:lang w:val="en-US" w:eastAsia="zh-CN"/>
        </w:rPr>
        <w:t>15.党的建设全面加强。</w:t>
      </w:r>
      <w:r>
        <w:rPr>
          <w:rFonts w:hint="eastAsia" w:ascii="仿宋_GB2312" w:hAnsi="仿宋_GB2312" w:eastAsia="仿宋_GB2312" w:cs="仿宋_GB2312"/>
          <w:b w:val="0"/>
          <w:bCs w:val="0"/>
          <w:color w:val="auto"/>
          <w:sz w:val="32"/>
          <w:szCs w:val="32"/>
          <w:lang w:val="en-US" w:eastAsia="zh-CN"/>
        </w:rPr>
        <w:t>一是</w:t>
      </w:r>
      <w:r>
        <w:rPr>
          <w:rFonts w:hint="eastAsia" w:ascii="仿宋_GB2312" w:hAnsi="仿宋_GB2312" w:eastAsia="仿宋_GB2312" w:cs="仿宋_GB2312"/>
          <w:b w:val="0"/>
          <w:bCs w:val="0"/>
          <w:kern w:val="2"/>
          <w:sz w:val="32"/>
          <w:szCs w:val="32"/>
          <w:lang w:val="en-US" w:eastAsia="zh-CN" w:bidi="ar-SA"/>
        </w:rPr>
        <w:t>加强党史学习教育，强化思想政治根基。</w:t>
      </w:r>
      <w:r>
        <w:rPr>
          <w:rFonts w:hint="eastAsia" w:ascii="仿宋_GB2312" w:hAnsi="仿宋_GB2312" w:eastAsia="仿宋_GB2312" w:cs="仿宋_GB2312"/>
          <w:b w:val="0"/>
          <w:bCs w:val="0"/>
          <w:sz w:val="32"/>
          <w:szCs w:val="32"/>
          <w:lang w:val="en-US" w:eastAsia="zh-CN"/>
        </w:rPr>
        <w:t>局机关党委制定《党史学习教育</w:t>
      </w:r>
      <w:bookmarkStart w:id="73" w:name="_GoBack"/>
      <w:bookmarkEnd w:id="73"/>
      <w:r>
        <w:rPr>
          <w:rFonts w:hint="eastAsia" w:ascii="仿宋_GB2312" w:hAnsi="仿宋_GB2312" w:eastAsia="仿宋_GB2312" w:cs="仿宋_GB2312"/>
          <w:b w:val="0"/>
          <w:bCs w:val="0"/>
          <w:sz w:val="32"/>
          <w:szCs w:val="32"/>
          <w:lang w:val="en-US" w:eastAsia="zh-CN"/>
        </w:rPr>
        <w:t>实施方案》，对学习内容、时间安排、学习方式进行明确要求，坚持以学党史为手段，以悟思想为根本，以办事实为重点，结合实际学，把学习教育的重点放在感悟思想伟力、把握规律大势、强化宗旨意识、总结历史经验、弘扬革命精神、增进党内团结等方面。</w:t>
      </w:r>
      <w:r>
        <w:rPr>
          <w:rFonts w:hint="eastAsia" w:ascii="仿宋_GB2312" w:hAnsi="仿宋_GB2312" w:eastAsia="仿宋_GB2312" w:cs="仿宋_GB2312"/>
          <w:b w:val="0"/>
          <w:bCs w:val="0"/>
          <w:color w:val="auto"/>
          <w:kern w:val="2"/>
          <w:sz w:val="32"/>
          <w:szCs w:val="32"/>
          <w:lang w:val="en-US" w:eastAsia="zh-CN" w:bidi="ar-SA"/>
        </w:rPr>
        <w:t>二是强化纪律意识，提升工作成效。</w:t>
      </w:r>
      <w:r>
        <w:rPr>
          <w:rFonts w:hint="eastAsia" w:ascii="仿宋_GB2312" w:hAnsi="仿宋_GB2312" w:eastAsia="仿宋_GB2312" w:cs="仿宋_GB2312"/>
          <w:b w:val="0"/>
          <w:bCs w:val="0"/>
          <w:kern w:val="2"/>
          <w:sz w:val="32"/>
          <w:szCs w:val="32"/>
          <w:lang w:val="en-US" w:eastAsia="zh-CN" w:bidi="ar-SA"/>
        </w:rPr>
        <w:t>结合本局工作实际，从整顿纪律作风入手，及时制定《朝天区农业农村局干部纪律作风整顿实施方案》，建立《朝天区农业农村局干部纪律作风整顿问题自查清单》和《朝天区农业农村局干部纪律作风整顿问题整改台账》。成立以局党组书记、局长任组长的干部纪律作风整顿工作领导小组，明确职责和分工，确保任务分解到人，责任明确到人，全程跟踪指导检查整治活动。</w:t>
      </w:r>
      <w:r>
        <w:rPr>
          <w:rFonts w:hint="eastAsia" w:ascii="仿宋_GB2312" w:hAnsi="仿宋_GB2312" w:eastAsia="仿宋_GB2312" w:cs="仿宋_GB2312"/>
          <w:b w:val="0"/>
          <w:bCs w:val="0"/>
          <w:color w:val="auto"/>
          <w:kern w:val="2"/>
          <w:sz w:val="32"/>
          <w:szCs w:val="32"/>
          <w:lang w:val="en-US" w:eastAsia="zh-CN" w:bidi="ar-SA"/>
        </w:rPr>
        <w:t>三是党风廉政建设有效推进。</w:t>
      </w:r>
      <w:r>
        <w:rPr>
          <w:rFonts w:hint="eastAsia" w:ascii="仿宋_GB2312" w:hAnsi="仿宋_GB2312" w:eastAsia="仿宋_GB2312" w:cs="仿宋_GB2312"/>
          <w:b w:val="0"/>
          <w:bCs w:val="0"/>
          <w:kern w:val="2"/>
          <w:sz w:val="32"/>
          <w:szCs w:val="32"/>
          <w:lang w:val="en-US" w:eastAsia="zh-CN" w:bidi="ar-SA"/>
        </w:rPr>
        <w:t>把党风廉政建设放在重中之重，积极开展警示教育，组织全体党员干部收看警示教育片，开展交流讨论，签订承诺书。及时向各党小组传达了违纪违法案例。在春节、元旦、国庆、五一等关键时间节点开展廉政提醒，通过发放廉洁短信、节前廉政谈话等方式，防止“四风”反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color w:val="auto"/>
          <w:sz w:val="32"/>
          <w:szCs w:val="40"/>
        </w:rPr>
      </w:pPr>
      <w:r>
        <w:rPr>
          <w:rFonts w:hint="eastAsia" w:ascii="黑体" w:hAnsi="黑体" w:eastAsia="黑体" w:cs="黑体"/>
          <w:b w:val="0"/>
          <w:bCs w:val="0"/>
          <w:color w:val="auto"/>
          <w:sz w:val="32"/>
          <w:szCs w:val="40"/>
          <w:lang w:eastAsia="zh-CN"/>
        </w:rPr>
        <w:t>（</w:t>
      </w:r>
      <w:r>
        <w:rPr>
          <w:rFonts w:hint="eastAsia" w:ascii="黑体" w:hAnsi="黑体" w:eastAsia="黑体" w:cs="黑体"/>
          <w:b w:val="0"/>
          <w:bCs w:val="0"/>
          <w:color w:val="auto"/>
          <w:sz w:val="32"/>
          <w:szCs w:val="40"/>
          <w:lang w:val="en-US" w:eastAsia="zh-CN"/>
        </w:rPr>
        <w:t>二</w:t>
      </w:r>
      <w:r>
        <w:rPr>
          <w:rFonts w:hint="eastAsia" w:ascii="黑体" w:hAnsi="黑体" w:eastAsia="黑体" w:cs="黑体"/>
          <w:b w:val="0"/>
          <w:bCs w:val="0"/>
          <w:color w:val="auto"/>
          <w:sz w:val="32"/>
          <w:szCs w:val="40"/>
          <w:lang w:eastAsia="zh-CN"/>
        </w:rPr>
        <w:t>）</w:t>
      </w:r>
      <w:r>
        <w:rPr>
          <w:rFonts w:hint="eastAsia" w:ascii="黑体" w:hAnsi="黑体" w:eastAsia="黑体" w:cs="黑体"/>
          <w:b w:val="0"/>
          <w:bCs w:val="0"/>
          <w:color w:val="auto"/>
          <w:sz w:val="32"/>
          <w:szCs w:val="40"/>
        </w:rPr>
        <w:t>特色亮点工作</w:t>
      </w:r>
    </w:p>
    <w:p>
      <w:pPr>
        <w:pStyle w:val="14"/>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auto"/>
          <w:sz w:val="32"/>
          <w:szCs w:val="40"/>
          <w:lang w:val="en-US" w:eastAsia="zh-CN"/>
        </w:rPr>
      </w:pPr>
      <w:r>
        <w:rPr>
          <w:rFonts w:hint="eastAsia" w:ascii="楷体_GB2312" w:hAnsi="楷体_GB2312" w:eastAsia="楷体_GB2312" w:cs="楷体_GB2312"/>
          <w:b w:val="0"/>
          <w:bCs w:val="0"/>
          <w:color w:val="auto"/>
          <w:kern w:val="2"/>
          <w:sz w:val="32"/>
          <w:szCs w:val="40"/>
          <w:lang w:val="en-US" w:eastAsia="zh-CN" w:bidi="ar-SA"/>
        </w:rPr>
        <w:t>1、农业金字招牌持续擦亮。</w:t>
      </w:r>
      <w:r>
        <w:rPr>
          <w:rFonts w:hint="eastAsia" w:ascii="仿宋_GB2312" w:hAnsi="仿宋_GB2312" w:eastAsia="仿宋_GB2312" w:cs="仿宋_GB2312"/>
          <w:b w:val="0"/>
          <w:bCs w:val="0"/>
          <w:color w:val="auto"/>
          <w:sz w:val="32"/>
          <w:szCs w:val="40"/>
          <w:lang w:val="en-US" w:eastAsia="zh-CN"/>
        </w:rPr>
        <w:t>朝天区蔬菜现代农业园区成功创建为省五星园区，农村居民人均可支配收入增速连续9年全市第一位，我区国家农产品质量安全县资格复审顺利通过省级核查。首次荣获“2021年度四川省农村改革工作先进区”。成功承办2021年中国·朝天食用菌产业创新发展大会，我区被评为“秦巴山区食用菌高质量发展重点县”。创建国家级合作社示范社1家，国家级农业龙头企业１家。中子镇校场村、沙河镇罗圈岩村、李家镇易兴村被评为四川省第二批乡村治理示范村。曾家镇、中子镇、羊木镇市级农产品质量安全乡镇通过市级资格复审。新认证“三品一标”农产品32个，建成有机蔬菜推广示范基地2个2.68万亩。两河山地蔬菜现代农业园区创建成市级园区，临溪乡被省农业农村厅评为“五良”融合马铃薯蔬菜全程机械化示范区，沙河镇罗圈岩村被评为2021年四川十大改革创新名村。朝天区“三村联盟”典型经验作为全省农业农村改革十大优秀案例。</w:t>
      </w:r>
    </w:p>
    <w:p>
      <w:pPr>
        <w:pStyle w:val="14"/>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auto"/>
          <w:sz w:val="32"/>
          <w:szCs w:val="40"/>
          <w:lang w:val="en-US" w:eastAsia="zh-CN"/>
        </w:rPr>
      </w:pPr>
      <w:r>
        <w:rPr>
          <w:rFonts w:hint="eastAsia" w:ascii="楷体_GB2312" w:hAnsi="楷体_GB2312" w:eastAsia="楷体_GB2312" w:cs="楷体_GB2312"/>
          <w:b w:val="0"/>
          <w:bCs w:val="0"/>
          <w:color w:val="auto"/>
          <w:kern w:val="2"/>
          <w:sz w:val="32"/>
          <w:szCs w:val="40"/>
          <w:lang w:val="en-US" w:eastAsia="zh-CN" w:bidi="ar-SA"/>
        </w:rPr>
        <w:t>2、样板示范点高标打造。</w:t>
      </w:r>
      <w:r>
        <w:rPr>
          <w:rFonts w:hint="eastAsia" w:ascii="仿宋_GB2312" w:hAnsi="仿宋_GB2312" w:eastAsia="仿宋_GB2312" w:cs="仿宋_GB2312"/>
          <w:b w:val="0"/>
          <w:bCs w:val="0"/>
          <w:color w:val="auto"/>
          <w:sz w:val="32"/>
          <w:szCs w:val="40"/>
          <w:lang w:val="en-US" w:eastAsia="zh-CN"/>
        </w:rPr>
        <w:t>在羊木坝食用菌现代农业园区内建成朝天区食用菌科技文化中心和朝天区食用菌综合展示馆，高标准筹备了全国高山高原蔬菜产业发展研讨交流会（因疫情原因延期），将七盘关公路动物防疫监督检查站打造成为广元市全国法治政府建设示范市特色亮点示范点。在两河山地蔬菜现代农业园区建成山地轨道运输线12条7000米。</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kern w:val="2"/>
          <w:sz w:val="32"/>
          <w:szCs w:val="40"/>
          <w:lang w:val="en-US" w:eastAsia="zh-CN" w:bidi="ar-SA"/>
        </w:rPr>
        <w:t>3、工作经验广泛交流。</w:t>
      </w:r>
      <w:r>
        <w:rPr>
          <w:rFonts w:hint="eastAsia" w:ascii="仿宋_GB2312" w:hAnsi="仿宋_GB2312" w:eastAsia="仿宋_GB2312" w:cs="仿宋_GB2312"/>
          <w:b w:val="0"/>
          <w:bCs w:val="0"/>
          <w:color w:val="auto"/>
          <w:sz w:val="32"/>
          <w:szCs w:val="32"/>
        </w:rPr>
        <w:t>英明农机专业合作社《服务高山农业</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打造现代品牌》案例被农业农村部推介为全国“全程机械化+综合农事”服务中心典型</w:t>
      </w:r>
      <w:r>
        <w:rPr>
          <w:rFonts w:hint="eastAsia" w:ascii="仿宋_GB2312" w:hAnsi="仿宋_GB2312" w:eastAsia="仿宋_GB2312" w:cs="仿宋_GB2312"/>
          <w:b w:val="0"/>
          <w:bCs w:val="0"/>
          <w:color w:val="auto"/>
          <w:sz w:val="32"/>
          <w:szCs w:val="32"/>
          <w:lang w:eastAsia="zh-CN"/>
        </w:rPr>
        <w:t>案例。</w:t>
      </w:r>
      <w:r>
        <w:rPr>
          <w:rFonts w:hint="eastAsia" w:ascii="仿宋_GB2312" w:hAnsi="仿宋_GB2312" w:eastAsia="仿宋_GB2312" w:cs="仿宋_GB2312"/>
          <w:b w:val="0"/>
          <w:bCs w:val="0"/>
          <w:color w:val="auto"/>
          <w:sz w:val="32"/>
          <w:szCs w:val="32"/>
        </w:rPr>
        <w:t>《三村联盟活资源 协同发展享红利》被省农业农村厅评为四川农业农村改革十大优秀案例。在国家层面举办的节会上交流发言</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次，在市级层面举办的会议上交流发言</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次。</w:t>
      </w:r>
      <w:r>
        <w:rPr>
          <w:rFonts w:hint="eastAsia" w:ascii="仿宋_GB2312" w:hAnsi="仿宋_GB2312" w:eastAsia="仿宋_GB2312" w:cs="仿宋_GB2312"/>
          <w:b w:val="0"/>
          <w:bCs w:val="0"/>
          <w:color w:val="auto"/>
          <w:sz w:val="32"/>
          <w:szCs w:val="32"/>
          <w:lang w:eastAsia="zh-CN"/>
        </w:rPr>
        <w:t>羊木镇金台社区集体经济组织理事长</w:t>
      </w:r>
      <w:r>
        <w:rPr>
          <w:rFonts w:hint="eastAsia" w:ascii="仿宋_GB2312" w:hAnsi="仿宋_GB2312" w:eastAsia="仿宋_GB2312" w:cs="仿宋_GB2312"/>
          <w:b w:val="0"/>
          <w:bCs w:val="0"/>
          <w:color w:val="auto"/>
          <w:sz w:val="32"/>
          <w:szCs w:val="32"/>
        </w:rPr>
        <w:t>孙学方</w:t>
      </w:r>
      <w:r>
        <w:rPr>
          <w:rFonts w:hint="eastAsia" w:ascii="仿宋_GB2312" w:hAnsi="仿宋_GB2312" w:eastAsia="仿宋_GB2312" w:cs="仿宋_GB2312"/>
          <w:b w:val="0"/>
          <w:bCs w:val="0"/>
          <w:color w:val="auto"/>
          <w:sz w:val="32"/>
          <w:szCs w:val="32"/>
          <w:lang w:eastAsia="zh-CN"/>
        </w:rPr>
        <w:t>作为广元市唯一代表参加全省优秀代表外出考察学习。区</w:t>
      </w:r>
      <w:r>
        <w:rPr>
          <w:rFonts w:hint="eastAsia" w:ascii="仿宋_GB2312" w:hAnsi="仿宋_GB2312" w:eastAsia="仿宋_GB2312" w:cs="仿宋_GB2312"/>
          <w:b w:val="0"/>
          <w:bCs w:val="0"/>
          <w:color w:val="auto"/>
          <w:sz w:val="32"/>
          <w:szCs w:val="32"/>
        </w:rPr>
        <w:t>农业农村</w:t>
      </w:r>
      <w:r>
        <w:rPr>
          <w:rFonts w:hint="eastAsia" w:ascii="仿宋_GB2312" w:hAnsi="仿宋_GB2312" w:eastAsia="仿宋_GB2312" w:cs="仿宋_GB2312"/>
          <w:b w:val="0"/>
          <w:bCs w:val="0"/>
          <w:color w:val="auto"/>
          <w:sz w:val="32"/>
          <w:szCs w:val="32"/>
          <w:lang w:eastAsia="zh-CN"/>
        </w:rPr>
        <w:t>局新闻信息稿件在</w:t>
      </w:r>
      <w:r>
        <w:rPr>
          <w:rFonts w:hint="eastAsia" w:ascii="仿宋_GB2312" w:hAnsi="仿宋_GB2312" w:eastAsia="仿宋_GB2312" w:cs="仿宋_GB2312"/>
          <w:b w:val="0"/>
          <w:bCs w:val="0"/>
          <w:color w:val="auto"/>
          <w:sz w:val="32"/>
          <w:szCs w:val="32"/>
        </w:rPr>
        <w:t>市级以上新闻媒体</w:t>
      </w:r>
      <w:r>
        <w:rPr>
          <w:rFonts w:hint="eastAsia" w:ascii="仿宋_GB2312" w:hAnsi="仿宋_GB2312" w:eastAsia="仿宋_GB2312" w:cs="仿宋_GB2312"/>
          <w:b w:val="0"/>
          <w:bCs w:val="0"/>
          <w:color w:val="auto"/>
          <w:sz w:val="32"/>
          <w:szCs w:val="32"/>
          <w:lang w:eastAsia="zh-CN"/>
        </w:rPr>
        <w:t>采用</w:t>
      </w:r>
      <w:r>
        <w:rPr>
          <w:rFonts w:hint="eastAsia" w:ascii="仿宋_GB2312" w:hAnsi="仿宋_GB2312" w:eastAsia="仿宋_GB2312" w:cs="仿宋_GB2312"/>
          <w:b w:val="0"/>
          <w:bCs w:val="0"/>
          <w:color w:val="auto"/>
          <w:sz w:val="32"/>
          <w:szCs w:val="32"/>
          <w:lang w:val="en-US" w:eastAsia="zh-CN"/>
        </w:rPr>
        <w:t>100余</w:t>
      </w:r>
      <w:r>
        <w:rPr>
          <w:rFonts w:hint="eastAsia" w:ascii="仿宋_GB2312" w:hAnsi="仿宋_GB2312" w:eastAsia="仿宋_GB2312" w:cs="仿宋_GB2312"/>
          <w:b w:val="0"/>
          <w:bCs w:val="0"/>
          <w:color w:val="auto"/>
          <w:sz w:val="32"/>
          <w:szCs w:val="32"/>
          <w:lang w:eastAsia="zh-CN"/>
        </w:rPr>
        <w:t>条</w:t>
      </w:r>
      <w:r>
        <w:rPr>
          <w:rFonts w:hint="eastAsia" w:ascii="仿宋_GB2312" w:hAnsi="仿宋_GB2312" w:eastAsia="仿宋_GB2312" w:cs="仿宋_GB2312"/>
          <w:b w:val="0"/>
          <w:bCs w:val="0"/>
          <w:color w:val="auto"/>
          <w:sz w:val="32"/>
          <w:szCs w:val="32"/>
        </w:rPr>
        <w:t>，其中被央视《新闻联播</w:t>
      </w:r>
      <w:r>
        <w:rPr>
          <w:rFonts w:hint="eastAsia" w:ascii="仿宋_GB2312" w:hAnsi="仿宋_GB2312" w:eastAsia="仿宋_GB2312" w:cs="仿宋_GB2312"/>
          <w:b w:val="0"/>
          <w:bCs w:val="0"/>
          <w:color w:val="auto"/>
          <w:sz w:val="32"/>
          <w:szCs w:val="32"/>
          <w:lang w:eastAsia="zh-CN"/>
        </w:rPr>
        <w:t>》播报</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lang w:eastAsia="zh-CN"/>
        </w:rPr>
        <w:t>条。</w:t>
      </w:r>
    </w:p>
    <w:p>
      <w:pPr>
        <w:pStyle w:val="6"/>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left"/>
        <w:textAlignment w:val="auto"/>
        <w:rPr>
          <w:rFonts w:hint="eastAsia" w:ascii="仿宋_GB2312" w:hAnsi="仿宋_GB2312" w:eastAsia="仿宋_GB2312" w:cs="仿宋_GB2312"/>
          <w:b w:val="0"/>
          <w:bCs/>
          <w:color w:val="000000"/>
          <w:sz w:val="32"/>
          <w:szCs w:val="32"/>
        </w:rPr>
      </w:pPr>
      <w:r>
        <w:rPr>
          <w:rFonts w:hint="eastAsia" w:ascii="楷体_GB2312" w:hAnsi="楷体_GB2312" w:eastAsia="楷体_GB2312" w:cs="楷体_GB2312"/>
          <w:b w:val="0"/>
          <w:bCs w:val="0"/>
          <w:color w:val="auto"/>
          <w:kern w:val="2"/>
          <w:sz w:val="32"/>
          <w:szCs w:val="40"/>
          <w:lang w:val="en-US" w:eastAsia="zh-CN" w:bidi="ar-SA"/>
        </w:rPr>
        <w:t>4、新村建设全域覆盖。</w:t>
      </w:r>
      <w:r>
        <w:rPr>
          <w:rFonts w:hint="eastAsia" w:ascii="仿宋_GB2312" w:hAnsi="仿宋_GB2312" w:eastAsia="仿宋_GB2312" w:cs="仿宋_GB2312"/>
          <w:b w:val="0"/>
          <w:bCs/>
          <w:color w:val="000000"/>
          <w:sz w:val="32"/>
          <w:szCs w:val="32"/>
        </w:rPr>
        <w:t>始终坚持全域规划、全域产业、全域安居、全域配套、全域治理，每年启动一片、建成一片、提升一片、连片成带，持续纵深推进全域新村建设。今年新启动并完成了覆盖大滩镇、水磨沟镇2个镇16个村的全域新村建设查漏补缺。截止目前，全区新村建设累计覆盖100%的行政村、100%的农户，全域新村建设完美收官，促进了巩固拓展脱贫成果同乡村振兴有效衔接。</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bCs/>
          <w:color w:val="000000"/>
          <w:sz w:val="32"/>
          <w:szCs w:val="32"/>
          <w:lang w:eastAsia="zh-CN"/>
        </w:rPr>
      </w:pPr>
      <w:r>
        <w:rPr>
          <w:rFonts w:hint="eastAsia" w:ascii="楷体_GB2312" w:hAnsi="楷体_GB2312" w:eastAsia="楷体_GB2312" w:cs="楷体_GB2312"/>
          <w:b w:val="0"/>
          <w:bCs w:val="0"/>
          <w:color w:val="auto"/>
          <w:kern w:val="2"/>
          <w:sz w:val="32"/>
          <w:szCs w:val="40"/>
          <w:lang w:val="en-US" w:eastAsia="zh-CN" w:bidi="ar-SA"/>
        </w:rPr>
        <w:t>5、农村人居环境整治屡获好评。</w:t>
      </w:r>
      <w:r>
        <w:rPr>
          <w:rFonts w:hint="eastAsia" w:ascii="仿宋_GB2312" w:hAnsi="仿宋_GB2312" w:eastAsia="仿宋_GB2312" w:cs="仿宋_GB2312"/>
          <w:bCs/>
          <w:color w:val="000000"/>
          <w:sz w:val="32"/>
          <w:szCs w:val="32"/>
        </w:rPr>
        <w:t>一是厕污共治模式受好评。坚持因地制宜，因村施策，积极探索形成了“三格化粪池、集中处理、联户建设、闲置沼气池利用”</w:t>
      </w:r>
      <w:r>
        <w:rPr>
          <w:rFonts w:hint="eastAsia" w:ascii="仿宋_GB2312" w:hAnsi="仿宋_GB2312" w:eastAsia="仿宋_GB2312" w:cs="仿宋_GB2312"/>
          <w:bCs/>
          <w:color w:val="000000"/>
          <w:sz w:val="32"/>
          <w:szCs w:val="32"/>
          <w:shd w:val="clear" w:color="auto" w:fill="FFFFFF"/>
        </w:rPr>
        <w:t>四种厕污共治模式，有效地改善了农村厕所，处理了厕所粪污，提升了村容村貌</w:t>
      </w:r>
      <w:r>
        <w:rPr>
          <w:rFonts w:hint="eastAsia" w:ascii="仿宋_GB2312" w:hAnsi="仿宋_GB2312" w:eastAsia="仿宋_GB2312" w:cs="仿宋_GB2312"/>
          <w:bCs/>
          <w:color w:val="000000"/>
          <w:sz w:val="32"/>
          <w:szCs w:val="32"/>
        </w:rPr>
        <w:t>进了农民群众增收致富。二是垃圾分类、垃圾收运经验获推广。荣获全国农村生活垃圾分类和资源化利用示范县称号，建成了“全域统筹规划、城乡统一打包、投建运营一体、收集处理一体、政府购买服务”的朝天特色，形成了分类投放、分类收集、分类运输和分类处理的全过程处理体系，得到了各级领导同志们的一致好评，在全市推广</w:t>
      </w:r>
      <w:r>
        <w:rPr>
          <w:rFonts w:hint="eastAsia" w:ascii="仿宋_GB2312" w:hAnsi="仿宋_GB2312" w:eastAsia="仿宋_GB2312" w:cs="仿宋_GB2312"/>
          <w:bCs/>
          <w:color w:val="000000"/>
          <w:sz w:val="32"/>
          <w:szCs w:val="32"/>
          <w:shd w:val="clear" w:color="auto" w:fill="FFFFFF"/>
        </w:rPr>
        <w:t>，</w:t>
      </w:r>
      <w:r>
        <w:rPr>
          <w:rFonts w:hint="eastAsia" w:ascii="仿宋_GB2312" w:hAnsi="仿宋_GB2312" w:eastAsia="仿宋_GB2312" w:cs="仿宋_GB2312"/>
          <w:bCs/>
          <w:color w:val="000000"/>
          <w:sz w:val="32"/>
          <w:szCs w:val="32"/>
        </w:rPr>
        <w:t>有力地</w:t>
      </w:r>
      <w:r>
        <w:rPr>
          <w:rFonts w:hint="eastAsia" w:ascii="仿宋_GB2312" w:hAnsi="仿宋_GB2312" w:eastAsia="仿宋_GB2312" w:cs="仿宋_GB2312"/>
          <w:bCs/>
          <w:color w:val="000000"/>
          <w:sz w:val="32"/>
          <w:szCs w:val="32"/>
          <w:shd w:val="clear" w:color="auto" w:fill="FFFFFF"/>
        </w:rPr>
        <w:t>助推了乡村产业蓬勃发展</w:t>
      </w:r>
      <w:r>
        <w:rPr>
          <w:rFonts w:hint="eastAsia" w:ascii="仿宋_GB2312" w:hAnsi="仿宋_GB2312" w:eastAsia="仿宋_GB2312" w:cs="仿宋_GB2312"/>
          <w:bCs/>
          <w:color w:val="00000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楷体_GB2312" w:hAnsi="楷体_GB2312" w:eastAsia="楷体_GB2312" w:cs="楷体_GB2312"/>
          <w:b w:val="0"/>
          <w:bCs w:val="0"/>
          <w:color w:val="auto"/>
          <w:kern w:val="2"/>
          <w:sz w:val="32"/>
          <w:szCs w:val="40"/>
          <w:lang w:val="en-US" w:eastAsia="zh-CN" w:bidi="ar-SA"/>
        </w:rPr>
        <w:t>6、闲置资产有效盘活。</w:t>
      </w:r>
      <w:r>
        <w:rPr>
          <w:rFonts w:hint="eastAsia" w:ascii="仿宋_GB2312" w:hAnsi="仿宋_GB2312" w:eastAsia="仿宋_GB2312" w:cs="仿宋_GB2312"/>
          <w:b w:val="0"/>
          <w:bCs w:val="0"/>
          <w:kern w:val="2"/>
          <w:sz w:val="32"/>
          <w:szCs w:val="32"/>
          <w:lang w:val="en-US" w:eastAsia="zh-CN" w:bidi="ar-SA"/>
        </w:rPr>
        <w:t>一是</w:t>
      </w:r>
      <w:r>
        <w:rPr>
          <w:rFonts w:hint="eastAsia" w:ascii="仿宋_GB2312" w:hAnsi="仿宋_GB2312" w:eastAsia="仿宋_GB2312" w:cs="仿宋_GB2312"/>
          <w:sz w:val="32"/>
          <w:szCs w:val="32"/>
          <w:lang w:eastAsia="zh-CN"/>
        </w:rPr>
        <w:t>沙河镇罗圈岩村盘活村级闲置资产，</w:t>
      </w:r>
      <w:r>
        <w:rPr>
          <w:rFonts w:hint="eastAsia" w:ascii="仿宋_GB2312" w:hAnsi="仿宋_GB2312" w:eastAsia="仿宋_GB2312" w:cs="仿宋_GB2312"/>
          <w:sz w:val="32"/>
          <w:szCs w:val="32"/>
        </w:rPr>
        <w:t>大力发展集体经济，将民宿和游客中心等</w:t>
      </w:r>
      <w:r>
        <w:rPr>
          <w:rFonts w:hint="eastAsia" w:ascii="仿宋_GB2312" w:hAnsi="仿宋_GB2312" w:eastAsia="仿宋_GB2312" w:cs="仿宋_GB2312"/>
          <w:sz w:val="32"/>
          <w:szCs w:val="32"/>
          <w:lang w:eastAsia="zh-CN"/>
        </w:rPr>
        <w:t>闲置</w:t>
      </w:r>
      <w:r>
        <w:rPr>
          <w:rFonts w:hint="eastAsia" w:ascii="仿宋_GB2312" w:hAnsi="仿宋_GB2312" w:eastAsia="仿宋_GB2312" w:cs="仿宋_GB2312"/>
          <w:sz w:val="32"/>
          <w:szCs w:val="32"/>
        </w:rPr>
        <w:t>集体资产以租赁方式交由企业经营，将群众分红收入作为股本量化后留在企业再入股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lang w:val="en-US" w:eastAsia="zh-CN" w:bidi="ar-SA"/>
        </w:rPr>
        <w:t>罗圈岩村集体经济累计收入达33.4万元。</w:t>
      </w:r>
      <w:r>
        <w:rPr>
          <w:rFonts w:hint="eastAsia" w:ascii="仿宋_GB2312" w:hAnsi="仿宋_GB2312" w:eastAsia="仿宋_GB2312" w:cs="仿宋_GB2312"/>
          <w:b w:val="0"/>
          <w:bCs w:val="0"/>
          <w:kern w:val="0"/>
          <w:sz w:val="32"/>
          <w:szCs w:val="32"/>
          <w:lang w:val="en-US" w:eastAsia="zh-CN"/>
        </w:rPr>
        <w:t>二是</w:t>
      </w:r>
      <w:r>
        <w:rPr>
          <w:rFonts w:hint="eastAsia" w:ascii="仿宋_GB2312" w:hAnsi="仿宋_GB2312" w:eastAsia="仿宋_GB2312" w:cs="仿宋_GB2312"/>
          <w:kern w:val="0"/>
          <w:sz w:val="32"/>
          <w:szCs w:val="32"/>
          <w:lang w:val="en-US" w:eastAsia="zh-CN"/>
        </w:rPr>
        <w:t>羊木镇金台社区根据自己独特的地理优势，整合合并村资源要素，在集体经济组织下成立服务型公司开展社会化服务。主要承接羊木镇范围内的环卫、物流等服务。目前已实现集体经济收入13万元。</w:t>
      </w:r>
      <w:r>
        <w:rPr>
          <w:rFonts w:hint="eastAsia" w:ascii="仿宋_GB2312" w:hAnsi="仿宋_GB2312" w:eastAsia="仿宋_GB2312" w:cs="仿宋_GB2312"/>
          <w:b w:val="0"/>
          <w:bCs w:val="0"/>
          <w:kern w:val="0"/>
          <w:sz w:val="32"/>
          <w:szCs w:val="32"/>
          <w:lang w:val="en-US" w:eastAsia="zh-CN"/>
        </w:rPr>
        <w:t>三是李家镇青</w:t>
      </w:r>
      <w:r>
        <w:rPr>
          <w:rFonts w:hint="eastAsia" w:ascii="仿宋_GB2312" w:hAnsi="仿宋_GB2312" w:eastAsia="仿宋_GB2312" w:cs="仿宋_GB2312"/>
          <w:kern w:val="0"/>
          <w:sz w:val="32"/>
          <w:szCs w:val="32"/>
          <w:lang w:val="en-US" w:eastAsia="zh-CN"/>
        </w:rPr>
        <w:t>林村通过招引资本将闲置村小打造避暑民俗畔云简舍，通过发展乡村旅游产业壮大集体经济发展，并且起到了很好的示范效应，周边群众自发改建修缮居住环境，为往来游客创造良好的环境。如今的青林村已成为拥有30多家农家乐和民俗酒店的旅游热土，今年青林村仅夏季吸引游客到访达2000人次以上，为当地群众带来了经济纯收入50余万元。</w:t>
      </w:r>
      <w:bookmarkStart w:id="20" w:name="_Toc15377200"/>
      <w:bookmarkStart w:id="21" w:name="_Toc15396601"/>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Style w:val="29"/>
          <w:rFonts w:hint="eastAsia" w:ascii="黑体" w:hAnsi="黑体" w:eastAsia="黑体"/>
          <w:b w:val="0"/>
          <w:bCs w:val="0"/>
          <w:color w:val="auto"/>
          <w:highlight w:val="none"/>
        </w:rPr>
      </w:pPr>
      <w:r>
        <w:rPr>
          <w:rStyle w:val="29"/>
          <w:rFonts w:hint="eastAsia" w:ascii="黑体" w:hAnsi="黑体" w:eastAsia="黑体"/>
          <w:b w:val="0"/>
          <w:bCs w:val="0"/>
          <w:color w:val="auto"/>
          <w:highlight w:val="none"/>
        </w:rPr>
        <w:t>二、机构设置</w:t>
      </w:r>
      <w:bookmarkEnd w:id="20"/>
      <w:bookmarkEnd w:id="21"/>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广元市朝天区农业农村局属财政一级预算单位，下属二级预算单位0个，其中参照公务员法管理的事业单位2个，（其他事业单位7个）。 </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黑体" w:hAnsi="黑体" w:eastAsia="黑体"/>
          <w:b w:val="0"/>
          <w:bCs/>
          <w:color w:val="auto"/>
          <w:highlight w:val="none"/>
        </w:rPr>
      </w:pPr>
      <w:r>
        <w:rPr>
          <w:rFonts w:hint="eastAsia" w:ascii="仿宋_GB2312" w:hAnsi="仿宋_GB2312" w:eastAsia="仿宋_GB2312" w:cs="仿宋_GB2312"/>
          <w:kern w:val="0"/>
          <w:sz w:val="32"/>
          <w:szCs w:val="32"/>
          <w:lang w:val="en-US" w:eastAsia="zh-CN"/>
        </w:rPr>
        <w:t>区农业农村局总编制87名，其中行政编制14 名，行政执法编制22名，事业编制49名，工勤编制2人，自收自支编制0名。在职人员总数89人，其中行政人员27人，行政执法编制人员13人，事业人员42人，工勤人员7人。退休人员73人。</w:t>
      </w:r>
      <w:bookmarkStart w:id="22" w:name="_Toc15396602"/>
      <w:bookmarkStart w:id="23" w:name="_Toc15377204"/>
      <w:r>
        <w:rPr>
          <w:rFonts w:hint="eastAsia" w:ascii="仿宋_GB2312" w:hAnsi="仿宋_GB2312" w:eastAsia="仿宋_GB2312" w:cs="仿宋_GB2312"/>
          <w:kern w:val="0"/>
          <w:sz w:val="32"/>
          <w:szCs w:val="32"/>
          <w:lang w:val="en-US" w:eastAsia="zh-CN"/>
        </w:rPr>
        <w:t>固定资产总额2406.23万元。</w:t>
      </w:r>
    </w:p>
    <w:p>
      <w:pPr>
        <w:pStyle w:val="3"/>
        <w:ind w:right="440"/>
        <w:jc w:val="center"/>
        <w:rPr>
          <w:rFonts w:hint="eastAsia" w:ascii="黑体" w:hAnsi="黑体" w:eastAsia="黑体"/>
          <w:b w:val="0"/>
          <w:bCs/>
          <w:color w:val="auto"/>
          <w:highlight w:val="none"/>
        </w:rPr>
      </w:pPr>
    </w:p>
    <w:p>
      <w:pPr>
        <w:pStyle w:val="3"/>
        <w:ind w:right="440"/>
        <w:jc w:val="center"/>
        <w:rPr>
          <w:rFonts w:hint="eastAsia" w:ascii="黑体" w:hAnsi="黑体" w:eastAsia="黑体"/>
          <w:b w:val="0"/>
          <w:bCs/>
          <w:color w:val="auto"/>
          <w:highlight w:val="none"/>
        </w:rPr>
      </w:pPr>
    </w:p>
    <w:p>
      <w:pPr>
        <w:pStyle w:val="3"/>
        <w:ind w:right="440"/>
        <w:jc w:val="both"/>
        <w:rPr>
          <w:rFonts w:hint="eastAsia" w:ascii="黑体" w:hAnsi="黑体" w:eastAsia="黑体"/>
          <w:b w:val="0"/>
          <w:bCs/>
          <w:color w:val="auto"/>
          <w:highlight w:val="none"/>
        </w:rPr>
      </w:pPr>
    </w:p>
    <w:p>
      <w:pPr>
        <w:rPr>
          <w:rFonts w:hint="eastAsia" w:ascii="黑体" w:hAnsi="黑体" w:eastAsia="黑体"/>
          <w:b w:val="0"/>
          <w:bCs/>
          <w:color w:val="auto"/>
          <w:highlight w:val="none"/>
        </w:rPr>
      </w:pPr>
    </w:p>
    <w:p>
      <w:pPr>
        <w:pStyle w:val="14"/>
        <w:ind w:left="0" w:leftChars="0" w:firstLine="0" w:firstLineChars="0"/>
        <w:rPr>
          <w:rFonts w:hint="eastAsia"/>
        </w:rPr>
      </w:pPr>
    </w:p>
    <w:p>
      <w:pPr>
        <w:rPr>
          <w:rFonts w:hint="eastAsia"/>
        </w:rPr>
      </w:pPr>
    </w:p>
    <w:p>
      <w:pPr>
        <w:rPr>
          <w:rFonts w:hint="eastAsia"/>
        </w:rPr>
      </w:pPr>
    </w:p>
    <w:p>
      <w:pPr>
        <w:pStyle w:val="3"/>
        <w:ind w:right="440"/>
        <w:jc w:val="center"/>
        <w:rPr>
          <w:rStyle w:val="28"/>
          <w:rFonts w:ascii="黑体" w:hAnsi="黑体" w:eastAsia="黑体"/>
          <w:b w:val="0"/>
          <w:bCs/>
          <w:color w:val="auto"/>
          <w:highlight w:val="none"/>
        </w:rPr>
      </w:pPr>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2021年度</w:t>
      </w:r>
      <w:r>
        <w:rPr>
          <w:rStyle w:val="28"/>
          <w:rFonts w:hint="eastAsia" w:ascii="黑体" w:hAnsi="黑体" w:eastAsia="黑体"/>
          <w:b w:val="0"/>
          <w:bCs/>
          <w:color w:val="auto"/>
          <w:highlight w:val="none"/>
        </w:rPr>
        <w:t>部门决算情况说明</w:t>
      </w:r>
      <w:bookmarkEnd w:id="22"/>
      <w:bookmarkEnd w:id="23"/>
    </w:p>
    <w:p>
      <w:pPr>
        <w:rPr>
          <w:color w:val="auto"/>
          <w:highlight w:val="none"/>
        </w:rPr>
      </w:pPr>
    </w:p>
    <w:p>
      <w:pPr>
        <w:pStyle w:val="27"/>
        <w:numPr>
          <w:ilvl w:val="0"/>
          <w:numId w:val="1"/>
        </w:numPr>
        <w:spacing w:line="600" w:lineRule="exact"/>
        <w:ind w:firstLineChars="0"/>
        <w:outlineLvl w:val="1"/>
        <w:rPr>
          <w:rStyle w:val="29"/>
          <w:rFonts w:ascii="黑体" w:hAnsi="黑体" w:eastAsia="黑体"/>
          <w:b w:val="0"/>
          <w:color w:val="auto"/>
          <w:highlight w:val="none"/>
        </w:rPr>
      </w:pPr>
      <w:bookmarkStart w:id="24" w:name="_Toc15377205"/>
      <w:bookmarkStart w:id="25" w:name="_Toc15396603"/>
      <w:r>
        <w:rPr>
          <w:rFonts w:hint="eastAsia" w:ascii="黑体" w:hAnsi="黑体" w:eastAsia="黑体"/>
          <w:color w:val="auto"/>
          <w:sz w:val="32"/>
          <w:szCs w:val="32"/>
          <w:highlight w:val="none"/>
        </w:rPr>
        <w:t>收</w:t>
      </w:r>
      <w:r>
        <w:rPr>
          <w:rStyle w:val="29"/>
          <w:rFonts w:hint="eastAsia" w:ascii="黑体" w:hAnsi="黑体" w:eastAsia="黑体"/>
          <w:b w:val="0"/>
          <w:color w:val="auto"/>
          <w:highlight w:val="none"/>
        </w:rPr>
        <w:t>入支出决算总体情况说明</w:t>
      </w:r>
      <w:bookmarkEnd w:id="24"/>
      <w:bookmarkEnd w:id="25"/>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64137.29</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年相比，收、支总计各增加</w:t>
      </w:r>
      <w:r>
        <w:rPr>
          <w:rFonts w:hint="eastAsia" w:ascii="仿宋" w:hAnsi="仿宋" w:eastAsia="仿宋"/>
          <w:color w:val="auto"/>
          <w:sz w:val="32"/>
          <w:szCs w:val="32"/>
          <w:highlight w:val="none"/>
          <w:lang w:val="en-US" w:eastAsia="zh-CN"/>
        </w:rPr>
        <w:t>27000.14</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72.7</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向上争取项目资金增加。</w:t>
      </w:r>
    </w:p>
    <w:p>
      <w:pPr>
        <w:jc w:val="center"/>
        <w:rPr>
          <w:rFonts w:hint="eastAsia"/>
          <w:lang w:eastAsia="zh-CN"/>
        </w:rPr>
      </w:pPr>
      <w:r>
        <w:drawing>
          <wp:inline distT="0" distB="0" distL="114300" distR="114300">
            <wp:extent cx="3611245" cy="1915160"/>
            <wp:effectExtent l="0" t="0" r="8255" b="889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7"/>
        <w:numPr>
          <w:ilvl w:val="0"/>
          <w:numId w:val="1"/>
        </w:numPr>
        <w:spacing w:line="600" w:lineRule="exact"/>
        <w:ind w:firstLineChars="0"/>
        <w:outlineLvl w:val="1"/>
        <w:rPr>
          <w:rStyle w:val="29"/>
          <w:rFonts w:ascii="黑体" w:hAnsi="黑体" w:eastAsia="黑体"/>
          <w:b w:val="0"/>
          <w:color w:val="auto"/>
          <w:highlight w:val="none"/>
        </w:rPr>
      </w:pPr>
      <w:bookmarkStart w:id="26" w:name="_Toc15396604"/>
      <w:bookmarkStart w:id="27" w:name="_Toc15377206"/>
      <w:r>
        <w:rPr>
          <w:rFonts w:hint="eastAsia" w:ascii="黑体" w:hAnsi="黑体" w:eastAsia="黑体"/>
          <w:color w:val="auto"/>
          <w:sz w:val="32"/>
          <w:szCs w:val="32"/>
          <w:highlight w:val="none"/>
        </w:rPr>
        <w:t>收</w:t>
      </w:r>
      <w:r>
        <w:rPr>
          <w:rStyle w:val="29"/>
          <w:rFonts w:hint="eastAsia" w:ascii="黑体" w:hAnsi="黑体" w:eastAsia="黑体"/>
          <w:b w:val="0"/>
          <w:color w:val="auto"/>
          <w:highlight w:val="none"/>
        </w:rPr>
        <w:t>入决算情况说明</w:t>
      </w:r>
      <w:bookmarkEnd w:id="26"/>
      <w:bookmarkEnd w:id="27"/>
    </w:p>
    <w:p>
      <w:pPr>
        <w:spacing w:line="600" w:lineRule="exact"/>
        <w:ind w:firstLine="640" w:firstLineChars="200"/>
        <w:outlineLvl w:val="1"/>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51598.61</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19969.35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38.7</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31600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61.24</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29.25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2"/>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drawing>
          <wp:inline distT="0" distB="0" distL="114300" distR="114300">
            <wp:extent cx="2921000" cy="2350770"/>
            <wp:effectExtent l="0" t="0" r="12700" b="1143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7"/>
        <w:numPr>
          <w:ilvl w:val="0"/>
          <w:numId w:val="1"/>
        </w:numPr>
        <w:spacing w:line="600" w:lineRule="exact"/>
        <w:ind w:firstLineChars="0"/>
        <w:outlineLvl w:val="1"/>
        <w:rPr>
          <w:rStyle w:val="29"/>
          <w:rFonts w:ascii="黑体" w:hAnsi="黑体" w:eastAsia="黑体"/>
          <w:b w:val="0"/>
          <w:color w:val="auto"/>
          <w:highlight w:val="none"/>
        </w:rPr>
      </w:pPr>
      <w:bookmarkStart w:id="28" w:name="_Toc15377207"/>
      <w:bookmarkStart w:id="29" w:name="_Toc15396605"/>
      <w:r>
        <w:rPr>
          <w:rFonts w:hint="eastAsia" w:ascii="黑体" w:hAnsi="黑体" w:eastAsia="黑体"/>
          <w:color w:val="auto"/>
          <w:sz w:val="32"/>
          <w:szCs w:val="32"/>
          <w:highlight w:val="none"/>
        </w:rPr>
        <w:t>支</w:t>
      </w:r>
      <w:r>
        <w:rPr>
          <w:rStyle w:val="29"/>
          <w:rFonts w:hint="eastAsia" w:ascii="黑体" w:hAnsi="黑体" w:eastAsia="黑体"/>
          <w:b w:val="0"/>
          <w:color w:val="auto"/>
          <w:highlight w:val="none"/>
        </w:rPr>
        <w:t>出决算情况说明</w:t>
      </w:r>
      <w:bookmarkEnd w:id="28"/>
      <w:bookmarkEnd w:id="29"/>
    </w:p>
    <w:p>
      <w:pPr>
        <w:spacing w:line="600" w:lineRule="exact"/>
        <w:ind w:firstLine="640" w:firstLineChars="200"/>
        <w:outlineLvl w:val="1"/>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54228.86</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1716.57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52512.29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仿宋_GB2312" w:eastAsia="仿宋_GB2312"/>
          <w:color w:val="auto"/>
          <w:sz w:val="32"/>
          <w:szCs w:val="32"/>
          <w:highlight w:val="none"/>
        </w:rPr>
      </w:pPr>
      <w:r>
        <w:drawing>
          <wp:inline distT="0" distB="0" distL="114300" distR="114300">
            <wp:extent cx="3800475" cy="2800350"/>
            <wp:effectExtent l="0" t="0" r="9525" b="0"/>
            <wp:docPr id="102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29"/>
          <w:rFonts w:ascii="黑体" w:hAnsi="黑体" w:eastAsia="黑体"/>
          <w:b w:val="0"/>
          <w:color w:val="auto"/>
          <w:highlight w:val="none"/>
        </w:rPr>
      </w:pPr>
      <w:bookmarkStart w:id="30" w:name="_Toc15377208"/>
      <w:bookmarkStart w:id="31" w:name="_Toc15396606"/>
      <w:r>
        <w:rPr>
          <w:rFonts w:hint="eastAsia" w:ascii="黑体" w:hAnsi="黑体" w:eastAsia="黑体"/>
          <w:color w:val="auto"/>
          <w:sz w:val="32"/>
          <w:szCs w:val="32"/>
          <w:highlight w:val="none"/>
        </w:rPr>
        <w:t>四、财</w:t>
      </w:r>
      <w:r>
        <w:rPr>
          <w:rStyle w:val="29"/>
          <w:rFonts w:hint="eastAsia" w:ascii="黑体" w:hAnsi="黑体" w:eastAsia="黑体"/>
          <w:b w:val="0"/>
          <w:color w:val="auto"/>
          <w:highlight w:val="none"/>
        </w:rPr>
        <w:t>政拨款收入支出决算总体情况说明</w:t>
      </w:r>
      <w:bookmarkEnd w:id="30"/>
      <w:bookmarkEnd w:id="31"/>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64137.29</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年相比，收、支总计各增加</w:t>
      </w:r>
      <w:r>
        <w:rPr>
          <w:rFonts w:hint="eastAsia" w:ascii="仿宋" w:hAnsi="仿宋" w:eastAsia="仿宋"/>
          <w:color w:val="auto"/>
          <w:sz w:val="32"/>
          <w:szCs w:val="32"/>
          <w:highlight w:val="none"/>
          <w:lang w:val="en-US" w:eastAsia="zh-CN"/>
        </w:rPr>
        <w:t>27000.14</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72.7</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向上争取项目资金增加。</w:t>
      </w:r>
    </w:p>
    <w:p>
      <w:pPr>
        <w:pStyle w:val="2"/>
      </w:pPr>
    </w:p>
    <w:p>
      <w:pPr>
        <w:pStyle w:val="2"/>
        <w:jc w:val="center"/>
        <w:rPr>
          <w:rFonts w:ascii="仿宋" w:hAnsi="仿宋" w:eastAsia="仿宋"/>
          <w:b/>
          <w:color w:val="auto"/>
          <w:sz w:val="32"/>
          <w:szCs w:val="32"/>
          <w:highlight w:val="none"/>
        </w:rPr>
      </w:pPr>
      <w:r>
        <w:rPr>
          <w:rFonts w:hint="eastAsia" w:eastAsia="仿宋"/>
          <w:lang w:eastAsia="zh-CN"/>
        </w:rPr>
        <w:drawing>
          <wp:inline distT="0" distB="0" distL="114300" distR="114300">
            <wp:extent cx="3689350" cy="2458720"/>
            <wp:effectExtent l="0" t="0" r="6350" b="1778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outlineLvl w:val="1"/>
        <w:rPr>
          <w:rStyle w:val="29"/>
          <w:rFonts w:ascii="黑体" w:hAnsi="黑体" w:eastAsia="黑体"/>
          <w:b w:val="0"/>
          <w:color w:val="auto"/>
          <w:highlight w:val="none"/>
        </w:rPr>
      </w:pPr>
      <w:bookmarkStart w:id="32" w:name="_Toc15377209"/>
      <w:bookmarkStart w:id="33"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9"/>
          <w:rFonts w:hint="eastAsia" w:ascii="黑体" w:hAnsi="黑体" w:eastAsia="黑体"/>
          <w:b w:val="0"/>
          <w:color w:val="auto"/>
          <w:highlight w:val="none"/>
        </w:rPr>
        <w:t>般公共预算财政拨款支出决算情况说明</w:t>
      </w:r>
      <w:bookmarkEnd w:id="32"/>
      <w:bookmarkEnd w:id="33"/>
    </w:p>
    <w:p>
      <w:pPr>
        <w:spacing w:line="600" w:lineRule="exact"/>
        <w:ind w:firstLine="642" w:firstLineChars="200"/>
        <w:outlineLvl w:val="2"/>
        <w:rPr>
          <w:rFonts w:ascii="仿宋" w:hAnsi="仿宋" w:eastAsia="仿宋"/>
          <w:b/>
          <w:color w:val="auto"/>
          <w:sz w:val="32"/>
          <w:szCs w:val="32"/>
          <w:highlight w:val="none"/>
        </w:rPr>
      </w:pPr>
      <w:bookmarkStart w:id="34" w:name="_Toc15377210"/>
      <w:r>
        <w:rPr>
          <w:rFonts w:hint="eastAsia" w:ascii="仿宋" w:hAnsi="仿宋" w:eastAsia="仿宋"/>
          <w:b/>
          <w:color w:val="auto"/>
          <w:sz w:val="32"/>
          <w:szCs w:val="32"/>
          <w:highlight w:val="none"/>
        </w:rPr>
        <w:t>（一）一般公共预算财政拨款支出决算总体情况</w:t>
      </w:r>
      <w:bookmarkEnd w:id="34"/>
    </w:p>
    <w:p>
      <w:pPr>
        <w:spacing w:line="600" w:lineRule="exact"/>
        <w:ind w:firstLine="640" w:firstLineChars="20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17323.11</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32</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减少</w:t>
      </w:r>
      <w:r>
        <w:rPr>
          <w:rFonts w:hint="eastAsia" w:ascii="仿宋" w:hAnsi="仿宋" w:eastAsia="仿宋"/>
          <w:color w:val="auto"/>
          <w:sz w:val="32"/>
          <w:szCs w:val="32"/>
          <w:highlight w:val="none"/>
          <w:lang w:val="en-US" w:eastAsia="zh-CN"/>
        </w:rPr>
        <w:t>434.86</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2</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年度财政预算项目减少。</w:t>
      </w:r>
    </w:p>
    <w:p>
      <w:pPr>
        <w:pStyle w:val="2"/>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3920490" cy="2798445"/>
            <wp:effectExtent l="0" t="0" r="3810" b="19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2"/>
      </w:pPr>
    </w:p>
    <w:p>
      <w:pPr>
        <w:spacing w:line="600" w:lineRule="exact"/>
        <w:ind w:firstLine="642" w:firstLineChars="200"/>
        <w:outlineLvl w:val="2"/>
        <w:rPr>
          <w:rFonts w:ascii="仿宋" w:hAnsi="仿宋" w:eastAsia="仿宋"/>
          <w:b/>
          <w:color w:val="auto"/>
          <w:sz w:val="32"/>
          <w:szCs w:val="32"/>
          <w:highlight w:val="none"/>
        </w:rPr>
      </w:pPr>
      <w:bookmarkStart w:id="35" w:name="_Toc15377211"/>
      <w:r>
        <w:rPr>
          <w:rFonts w:hint="eastAsia" w:ascii="仿宋" w:hAnsi="仿宋" w:eastAsia="仿宋"/>
          <w:b/>
          <w:color w:val="auto"/>
          <w:sz w:val="32"/>
          <w:szCs w:val="32"/>
          <w:highlight w:val="none"/>
        </w:rPr>
        <w:t>（二）一般公共预算财政拨款支出决算结构情况</w:t>
      </w:r>
      <w:bookmarkEnd w:id="35"/>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17323.11</w:t>
      </w:r>
      <w:r>
        <w:rPr>
          <w:rFonts w:hint="eastAsia" w:ascii="仿宋" w:hAnsi="仿宋" w:eastAsia="仿宋"/>
          <w:color w:val="auto"/>
          <w:sz w:val="32"/>
          <w:szCs w:val="32"/>
          <w:highlight w:val="none"/>
        </w:rPr>
        <w:t>万元，主要用于以下方面:社会保障和就业支出</w:t>
      </w:r>
      <w:r>
        <w:rPr>
          <w:rFonts w:hint="eastAsia" w:ascii="仿宋" w:hAnsi="仿宋" w:eastAsia="仿宋"/>
          <w:color w:val="auto"/>
          <w:sz w:val="32"/>
          <w:szCs w:val="32"/>
          <w:highlight w:val="none"/>
          <w:lang w:val="en-US" w:eastAsia="zh-CN"/>
        </w:rPr>
        <w:t>152.07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0.9</w:t>
      </w:r>
      <w:r>
        <w:rPr>
          <w:rFonts w:hint="eastAsia" w:ascii="仿宋" w:hAnsi="仿宋" w:eastAsia="仿宋"/>
          <w:color w:val="auto"/>
          <w:sz w:val="32"/>
          <w:szCs w:val="32"/>
          <w:highlight w:val="none"/>
        </w:rPr>
        <w:t>%；卫生健康支出</w:t>
      </w:r>
      <w:r>
        <w:rPr>
          <w:rFonts w:hint="eastAsia" w:ascii="仿宋" w:hAnsi="仿宋" w:eastAsia="仿宋"/>
          <w:color w:val="auto"/>
          <w:sz w:val="32"/>
          <w:szCs w:val="32"/>
          <w:highlight w:val="none"/>
          <w:lang w:val="en-US" w:eastAsia="zh-CN"/>
        </w:rPr>
        <w:t>70.88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0.4</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节能环保支出</w:t>
      </w:r>
      <w:r>
        <w:rPr>
          <w:rFonts w:hint="eastAsia" w:ascii="仿宋" w:hAnsi="仿宋" w:eastAsia="仿宋"/>
          <w:color w:val="auto"/>
          <w:sz w:val="32"/>
          <w:szCs w:val="32"/>
          <w:highlight w:val="none"/>
          <w:lang w:val="en-US" w:eastAsia="zh-CN"/>
        </w:rPr>
        <w:t>530万元，</w:t>
      </w:r>
      <w:r>
        <w:rPr>
          <w:rFonts w:hint="eastAsia" w:ascii="仿宋" w:hAnsi="仿宋" w:eastAsia="仿宋"/>
          <w:color w:val="auto"/>
          <w:sz w:val="32"/>
          <w:szCs w:val="32"/>
          <w:highlight w:val="none"/>
        </w:rPr>
        <w:t>占</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；农林水支出16455.8万元，</w:t>
      </w:r>
      <w:r>
        <w:rPr>
          <w:rFonts w:hint="eastAsia" w:ascii="仿宋" w:hAnsi="仿宋" w:eastAsia="仿宋"/>
          <w:color w:val="auto"/>
          <w:sz w:val="32"/>
          <w:szCs w:val="32"/>
          <w:highlight w:val="none"/>
        </w:rPr>
        <w:t>占</w:t>
      </w:r>
      <w:r>
        <w:rPr>
          <w:rFonts w:hint="eastAsia" w:ascii="仿宋" w:hAnsi="仿宋" w:eastAsia="仿宋"/>
          <w:color w:val="auto"/>
          <w:sz w:val="32"/>
          <w:szCs w:val="32"/>
          <w:highlight w:val="none"/>
          <w:lang w:val="en-US" w:eastAsia="zh-CN"/>
        </w:rPr>
        <w:t>95</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住房保障支出</w:t>
      </w:r>
      <w:r>
        <w:rPr>
          <w:rFonts w:hint="eastAsia" w:ascii="仿宋" w:hAnsi="仿宋" w:eastAsia="仿宋"/>
          <w:color w:val="auto"/>
          <w:sz w:val="32"/>
          <w:szCs w:val="32"/>
          <w:highlight w:val="none"/>
          <w:lang w:val="en-US" w:eastAsia="zh-CN"/>
        </w:rPr>
        <w:t>84.37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0.5</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粮油物资储备支出</w:t>
      </w:r>
      <w:r>
        <w:rPr>
          <w:rFonts w:hint="eastAsia" w:ascii="仿宋" w:hAnsi="仿宋" w:eastAsia="仿宋"/>
          <w:color w:val="auto"/>
          <w:sz w:val="32"/>
          <w:szCs w:val="32"/>
          <w:highlight w:val="none"/>
          <w:lang w:val="en-US" w:eastAsia="zh-CN"/>
        </w:rPr>
        <w:t>30万元，占0.2 %</w:t>
      </w:r>
      <w:r>
        <w:rPr>
          <w:rFonts w:hint="eastAsia" w:ascii="仿宋" w:hAnsi="仿宋" w:eastAsia="仿宋"/>
          <w:color w:val="auto"/>
          <w:sz w:val="32"/>
          <w:szCs w:val="32"/>
          <w:highlight w:val="none"/>
        </w:rPr>
        <w:t>。</w:t>
      </w:r>
    </w:p>
    <w:p>
      <w:pPr>
        <w:spacing w:line="600" w:lineRule="exact"/>
        <w:ind w:firstLine="640"/>
        <w:rPr>
          <w:rFonts w:ascii="仿宋" w:hAnsi="仿宋" w:eastAsia="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3985895" cy="2620010"/>
            <wp:effectExtent l="0" t="0" r="14605" b="889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2" w:firstLineChars="200"/>
        <w:outlineLvl w:val="2"/>
        <w:rPr>
          <w:rFonts w:ascii="仿宋" w:hAnsi="仿宋" w:eastAsia="仿宋"/>
          <w:b/>
          <w:color w:val="auto"/>
          <w:sz w:val="32"/>
          <w:szCs w:val="32"/>
          <w:highlight w:val="none"/>
        </w:rPr>
      </w:pPr>
      <w:bookmarkStart w:id="36" w:name="_Toc15377212"/>
      <w:r>
        <w:rPr>
          <w:rFonts w:hint="eastAsia" w:ascii="仿宋" w:hAnsi="仿宋" w:eastAsia="仿宋"/>
          <w:b/>
          <w:color w:val="auto"/>
          <w:sz w:val="32"/>
          <w:szCs w:val="32"/>
          <w:highlight w:val="none"/>
        </w:rPr>
        <w:t>（三）一般公共预算财政拨款支出决算具体情况</w:t>
      </w:r>
      <w:bookmarkEnd w:id="36"/>
    </w:p>
    <w:p>
      <w:pPr>
        <w:spacing w:line="600" w:lineRule="exact"/>
        <w:ind w:firstLine="640" w:firstLineChars="200"/>
        <w:outlineLvl w:val="2"/>
        <w:rPr>
          <w:rStyle w:val="18"/>
          <w:rFonts w:hint="eastAsia" w:ascii="仿宋" w:hAnsi="仿宋" w:eastAsia="仿宋"/>
          <w:bCs/>
          <w:color w:val="auto"/>
          <w:sz w:val="32"/>
          <w:szCs w:val="32"/>
          <w:highlight w:val="none"/>
        </w:rPr>
      </w:pPr>
      <w:bookmarkStart w:id="37" w:name="_Toc15378460"/>
      <w:bookmarkStart w:id="38" w:name="_Toc15377444"/>
      <w:bookmarkStart w:id="39" w:name="_Toc15377213"/>
      <w:r>
        <w:rPr>
          <w:rFonts w:hint="eastAsia" w:ascii="仿宋" w:hAnsi="仿宋" w:eastAsia="仿宋"/>
          <w:b w:val="0"/>
          <w:bCs/>
          <w:color w:val="auto"/>
          <w:sz w:val="32"/>
          <w:szCs w:val="32"/>
          <w:highlight w:val="none"/>
        </w:rPr>
        <w:t>20</w:t>
      </w:r>
      <w:r>
        <w:rPr>
          <w:rFonts w:hint="eastAsia" w:ascii="仿宋" w:hAnsi="仿宋" w:eastAsia="仿宋"/>
          <w:b w:val="0"/>
          <w:bCs/>
          <w:color w:val="auto"/>
          <w:sz w:val="32"/>
          <w:szCs w:val="32"/>
          <w:highlight w:val="none"/>
          <w:lang w:val="en-US" w:eastAsia="zh-CN"/>
        </w:rPr>
        <w:t>21</w:t>
      </w:r>
      <w:r>
        <w:rPr>
          <w:rFonts w:hint="eastAsia" w:ascii="仿宋" w:hAnsi="仿宋" w:eastAsia="仿宋"/>
          <w:b w:val="0"/>
          <w:bCs/>
          <w:color w:val="auto"/>
          <w:sz w:val="32"/>
          <w:szCs w:val="32"/>
          <w:highlight w:val="none"/>
        </w:rPr>
        <w:t>年</w:t>
      </w:r>
      <w:r>
        <w:rPr>
          <w:rFonts w:hint="eastAsia" w:ascii="仿宋" w:hAnsi="仿宋" w:eastAsia="仿宋"/>
          <w:b w:val="0"/>
          <w:bCs/>
          <w:color w:val="auto"/>
          <w:sz w:val="32"/>
          <w:szCs w:val="32"/>
          <w:highlight w:val="none"/>
          <w:lang w:eastAsia="zh-CN"/>
        </w:rPr>
        <w:t>一</w:t>
      </w:r>
      <w:r>
        <w:rPr>
          <w:rFonts w:hint="eastAsia" w:ascii="仿宋" w:hAnsi="仿宋" w:eastAsia="仿宋"/>
          <w:b w:val="0"/>
          <w:bCs/>
          <w:color w:val="auto"/>
          <w:sz w:val="32"/>
          <w:szCs w:val="32"/>
          <w:highlight w:val="none"/>
        </w:rPr>
        <w:t>般公共预算支出决算数为</w:t>
      </w:r>
      <w:r>
        <w:rPr>
          <w:rFonts w:hint="eastAsia" w:ascii="仿宋" w:hAnsi="仿宋" w:eastAsia="仿宋"/>
          <w:b w:val="0"/>
          <w:bCs/>
          <w:color w:val="auto"/>
          <w:sz w:val="32"/>
          <w:szCs w:val="32"/>
          <w:highlight w:val="none"/>
          <w:lang w:val="en-US" w:eastAsia="zh-CN"/>
        </w:rPr>
        <w:t>17323.11万元</w:t>
      </w:r>
      <w:r>
        <w:rPr>
          <w:rFonts w:hint="eastAsia"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。其中</w:t>
      </w:r>
      <w:r>
        <w:rPr>
          <w:rStyle w:val="18"/>
          <w:rFonts w:hint="eastAsia" w:ascii="仿宋" w:hAnsi="仿宋" w:eastAsia="仿宋"/>
          <w:bCs/>
          <w:color w:val="auto"/>
          <w:sz w:val="32"/>
          <w:szCs w:val="32"/>
          <w:highlight w:val="none"/>
        </w:rPr>
        <w:t>：</w:t>
      </w:r>
      <w:bookmarkEnd w:id="37"/>
      <w:bookmarkEnd w:id="38"/>
      <w:bookmarkEnd w:id="39"/>
      <w:r>
        <w:rPr>
          <w:rFonts w:hint="eastAsia" w:ascii="仿宋" w:hAnsi="仿宋" w:eastAsia="仿宋"/>
          <w:color w:val="auto"/>
          <w:sz w:val="32"/>
          <w:szCs w:val="32"/>
          <w:highlight w:val="none"/>
        </w:rPr>
        <w:t>社会保障和就业支出</w:t>
      </w:r>
      <w:r>
        <w:rPr>
          <w:rFonts w:hint="eastAsia" w:ascii="仿宋" w:hAnsi="仿宋" w:eastAsia="仿宋"/>
          <w:color w:val="auto"/>
          <w:sz w:val="32"/>
          <w:szCs w:val="32"/>
          <w:highlight w:val="none"/>
          <w:lang w:val="en-US" w:eastAsia="zh-CN"/>
        </w:rPr>
        <w:t>152.07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0.9</w:t>
      </w:r>
      <w:r>
        <w:rPr>
          <w:rFonts w:hint="eastAsia" w:ascii="仿宋" w:hAnsi="仿宋" w:eastAsia="仿宋"/>
          <w:color w:val="auto"/>
          <w:sz w:val="32"/>
          <w:szCs w:val="32"/>
          <w:highlight w:val="none"/>
        </w:rPr>
        <w:t>%；卫生健康支出</w:t>
      </w:r>
      <w:r>
        <w:rPr>
          <w:rFonts w:hint="eastAsia" w:ascii="仿宋" w:hAnsi="仿宋" w:eastAsia="仿宋"/>
          <w:color w:val="auto"/>
          <w:sz w:val="32"/>
          <w:szCs w:val="32"/>
          <w:highlight w:val="none"/>
          <w:lang w:val="en-US" w:eastAsia="zh-CN"/>
        </w:rPr>
        <w:t>70.88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0.4</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节能环保支出</w:t>
      </w:r>
      <w:r>
        <w:rPr>
          <w:rFonts w:hint="eastAsia" w:ascii="仿宋" w:hAnsi="仿宋" w:eastAsia="仿宋"/>
          <w:color w:val="auto"/>
          <w:sz w:val="32"/>
          <w:szCs w:val="32"/>
          <w:highlight w:val="none"/>
          <w:lang w:val="en-US" w:eastAsia="zh-CN"/>
        </w:rPr>
        <w:t>530万元，</w:t>
      </w:r>
      <w:r>
        <w:rPr>
          <w:rFonts w:hint="eastAsia" w:ascii="仿宋" w:hAnsi="仿宋" w:eastAsia="仿宋"/>
          <w:color w:val="auto"/>
          <w:sz w:val="32"/>
          <w:szCs w:val="32"/>
          <w:highlight w:val="none"/>
        </w:rPr>
        <w:t>占</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；农林水支出16455.8万元，</w:t>
      </w:r>
      <w:r>
        <w:rPr>
          <w:rFonts w:hint="eastAsia" w:ascii="仿宋" w:hAnsi="仿宋" w:eastAsia="仿宋"/>
          <w:color w:val="auto"/>
          <w:sz w:val="32"/>
          <w:szCs w:val="32"/>
          <w:highlight w:val="none"/>
        </w:rPr>
        <w:t>占</w:t>
      </w:r>
      <w:r>
        <w:rPr>
          <w:rFonts w:hint="eastAsia" w:ascii="仿宋" w:hAnsi="仿宋" w:eastAsia="仿宋"/>
          <w:color w:val="auto"/>
          <w:sz w:val="32"/>
          <w:szCs w:val="32"/>
          <w:highlight w:val="none"/>
          <w:lang w:val="en-US" w:eastAsia="zh-CN"/>
        </w:rPr>
        <w:t>95</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住房保障支出</w:t>
      </w:r>
      <w:r>
        <w:rPr>
          <w:rFonts w:hint="eastAsia" w:ascii="仿宋" w:hAnsi="仿宋" w:eastAsia="仿宋"/>
          <w:color w:val="auto"/>
          <w:sz w:val="32"/>
          <w:szCs w:val="32"/>
          <w:highlight w:val="none"/>
          <w:lang w:val="en-US" w:eastAsia="zh-CN"/>
        </w:rPr>
        <w:t>84.37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0.5</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粮油物资储备支出</w:t>
      </w:r>
      <w:r>
        <w:rPr>
          <w:rFonts w:hint="eastAsia" w:ascii="仿宋" w:hAnsi="仿宋" w:eastAsia="仿宋"/>
          <w:color w:val="auto"/>
          <w:sz w:val="32"/>
          <w:szCs w:val="32"/>
          <w:highlight w:val="none"/>
          <w:lang w:val="en-US" w:eastAsia="zh-CN"/>
        </w:rPr>
        <w:t>30万元，占0.2 %</w:t>
      </w:r>
      <w:r>
        <w:rPr>
          <w:rFonts w:hint="eastAsia" w:ascii="仿宋" w:hAnsi="仿宋" w:eastAsia="仿宋"/>
          <w:color w:val="auto"/>
          <w:sz w:val="32"/>
          <w:szCs w:val="32"/>
          <w:highlight w:val="none"/>
        </w:rPr>
        <w:t>。</w:t>
      </w:r>
    </w:p>
    <w:tbl>
      <w:tblPr>
        <w:tblStyle w:val="16"/>
        <w:tblW w:w="7941" w:type="dxa"/>
        <w:tblInd w:w="0" w:type="dxa"/>
        <w:shd w:val="clear" w:color="auto" w:fill="auto"/>
        <w:tblLayout w:type="fixed"/>
        <w:tblCellMar>
          <w:top w:w="0" w:type="dxa"/>
          <w:left w:w="0" w:type="dxa"/>
          <w:bottom w:w="0" w:type="dxa"/>
          <w:right w:w="0" w:type="dxa"/>
        </w:tblCellMar>
      </w:tblPr>
      <w:tblGrid>
        <w:gridCol w:w="361"/>
        <w:gridCol w:w="334"/>
        <w:gridCol w:w="781"/>
        <w:gridCol w:w="3210"/>
        <w:gridCol w:w="1125"/>
        <w:gridCol w:w="1020"/>
        <w:gridCol w:w="1110"/>
      </w:tblGrid>
      <w:tr>
        <w:tblPrEx>
          <w:shd w:val="clear" w:color="auto" w:fill="auto"/>
          <w:tblCellMar>
            <w:top w:w="0" w:type="dxa"/>
            <w:left w:w="0" w:type="dxa"/>
            <w:bottom w:w="0" w:type="dxa"/>
            <w:right w:w="0" w:type="dxa"/>
          </w:tblCellMar>
        </w:tblPrEx>
        <w:trPr>
          <w:trHeight w:val="354" w:hRule="atLeast"/>
        </w:trPr>
        <w:tc>
          <w:tcPr>
            <w:tcW w:w="7941" w:type="dxa"/>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2"/>
                <w:szCs w:val="32"/>
                <w:u w:val="none"/>
              </w:rPr>
            </w:pPr>
            <w:r>
              <w:rPr>
                <w:rFonts w:hint="eastAsia" w:ascii="宋体" w:hAnsi="宋体" w:eastAsia="宋体" w:cs="宋体"/>
                <w:b/>
                <w:bCs/>
                <w:i w:val="0"/>
                <w:color w:val="000000"/>
                <w:kern w:val="0"/>
                <w:sz w:val="24"/>
                <w:szCs w:val="24"/>
                <w:u w:val="none"/>
                <w:lang w:val="en-US" w:eastAsia="zh-CN" w:bidi="ar"/>
              </w:rPr>
              <w:t>一般公共预算财政拨款支出决算表</w:t>
            </w:r>
          </w:p>
        </w:tc>
      </w:tr>
      <w:tr>
        <w:tblPrEx>
          <w:shd w:val="clear" w:color="auto" w:fill="auto"/>
          <w:tblCellMar>
            <w:top w:w="0" w:type="dxa"/>
            <w:left w:w="0" w:type="dxa"/>
            <w:bottom w:w="0" w:type="dxa"/>
            <w:right w:w="0" w:type="dxa"/>
          </w:tblCellMar>
        </w:tblPrEx>
        <w:trPr>
          <w:trHeight w:val="343" w:hRule="atLeast"/>
        </w:trPr>
        <w:tc>
          <w:tcPr>
            <w:tcW w:w="1476"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支出功能分类</w:t>
            </w:r>
          </w:p>
        </w:tc>
        <w:tc>
          <w:tcPr>
            <w:tcW w:w="321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112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102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111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r>
      <w:tr>
        <w:tblPrEx>
          <w:shd w:val="clear" w:color="auto" w:fill="auto"/>
          <w:tblCellMar>
            <w:top w:w="0" w:type="dxa"/>
            <w:left w:w="0" w:type="dxa"/>
            <w:bottom w:w="0" w:type="dxa"/>
            <w:right w:w="0" w:type="dxa"/>
          </w:tblCellMar>
        </w:tblPrEx>
        <w:trPr>
          <w:trHeight w:val="312" w:hRule="atLeast"/>
        </w:trPr>
        <w:tc>
          <w:tcPr>
            <w:tcW w:w="1476"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1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2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2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1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12" w:hRule="atLeast"/>
        </w:trPr>
        <w:tc>
          <w:tcPr>
            <w:tcW w:w="36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类</w:t>
            </w:r>
          </w:p>
        </w:tc>
        <w:tc>
          <w:tcPr>
            <w:tcW w:w="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款</w:t>
            </w:r>
          </w:p>
        </w:tc>
        <w:tc>
          <w:tcPr>
            <w:tcW w:w="78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321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2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2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1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87" w:hRule="atLeast"/>
        </w:trPr>
        <w:tc>
          <w:tcPr>
            <w:tcW w:w="36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1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r>
              <w:rPr>
                <w:rFonts w:hint="eastAsia" w:ascii="宋体" w:hAnsi="宋体" w:cs="宋体"/>
                <w:i w:val="0"/>
                <w:color w:val="000000"/>
                <w:kern w:val="0"/>
                <w:sz w:val="18"/>
                <w:szCs w:val="18"/>
                <w:u w:val="none"/>
                <w:lang w:val="en-US" w:eastAsia="zh-CN" w:bidi="ar"/>
              </w:rPr>
              <w:t>323</w:t>
            </w:r>
            <w:r>
              <w:rPr>
                <w:rFonts w:hint="eastAsia" w:ascii="宋体" w:hAnsi="宋体" w:eastAsia="宋体" w:cs="宋体"/>
                <w:i w:val="0"/>
                <w:color w:val="000000"/>
                <w:kern w:val="0"/>
                <w:sz w:val="18"/>
                <w:szCs w:val="18"/>
                <w:u w:val="none"/>
                <w:lang w:val="en-US" w:eastAsia="zh-CN" w:bidi="ar"/>
              </w:rPr>
              <w:t>.11</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w:t>
            </w:r>
            <w:r>
              <w:rPr>
                <w:rFonts w:hint="eastAsia" w:ascii="宋体" w:hAnsi="宋体" w:cs="宋体"/>
                <w:i w:val="0"/>
                <w:color w:val="000000"/>
                <w:kern w:val="0"/>
                <w:sz w:val="18"/>
                <w:szCs w:val="18"/>
                <w:u w:val="none"/>
                <w:lang w:val="en-US" w:eastAsia="zh-CN" w:bidi="ar"/>
              </w:rPr>
              <w:t>7.3</w:t>
            </w:r>
            <w:r>
              <w:rPr>
                <w:rFonts w:hint="eastAsia" w:ascii="宋体" w:hAnsi="宋体" w:eastAsia="宋体" w:cs="宋体"/>
                <w:i w:val="0"/>
                <w:color w:val="000000"/>
                <w:kern w:val="0"/>
                <w:sz w:val="18"/>
                <w:szCs w:val="18"/>
                <w:u w:val="none"/>
                <w:lang w:val="en-US" w:eastAsia="zh-CN" w:bidi="ar"/>
              </w:rPr>
              <w:t>2</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r>
              <w:rPr>
                <w:rFonts w:hint="eastAsia" w:ascii="宋体" w:hAnsi="宋体" w:cs="宋体"/>
                <w:i w:val="0"/>
                <w:color w:val="000000"/>
                <w:kern w:val="0"/>
                <w:sz w:val="18"/>
                <w:szCs w:val="18"/>
                <w:u w:val="none"/>
                <w:lang w:val="en-US" w:eastAsia="zh-CN" w:bidi="ar"/>
              </w:rPr>
              <w:t>635</w:t>
            </w: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7</w:t>
            </w:r>
            <w:r>
              <w:rPr>
                <w:rFonts w:hint="eastAsia" w:ascii="宋体" w:hAnsi="宋体" w:eastAsia="宋体" w:cs="宋体"/>
                <w:i w:val="0"/>
                <w:color w:val="000000"/>
                <w:kern w:val="0"/>
                <w:sz w:val="18"/>
                <w:szCs w:val="18"/>
                <w:u w:val="none"/>
                <w:lang w:val="en-US" w:eastAsia="zh-CN" w:bidi="ar"/>
              </w:rPr>
              <w:t>9</w:t>
            </w:r>
          </w:p>
        </w:tc>
      </w:tr>
      <w:tr>
        <w:tblPrEx>
          <w:shd w:val="clear" w:color="auto" w:fill="auto"/>
          <w:tblCellMar>
            <w:top w:w="0" w:type="dxa"/>
            <w:left w:w="0" w:type="dxa"/>
            <w:bottom w:w="0" w:type="dxa"/>
            <w:right w:w="0" w:type="dxa"/>
          </w:tblCellMar>
        </w:tblPrEx>
        <w:trPr>
          <w:trHeight w:val="347" w:hRule="atLeast"/>
        </w:trPr>
        <w:tc>
          <w:tcPr>
            <w:tcW w:w="147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社会保障和就业支出</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152.07</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152.07</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0.00</w:t>
            </w:r>
          </w:p>
        </w:tc>
      </w:tr>
      <w:tr>
        <w:tblPrEx>
          <w:shd w:val="clear" w:color="auto" w:fill="auto"/>
          <w:tblCellMar>
            <w:top w:w="0" w:type="dxa"/>
            <w:left w:w="0" w:type="dxa"/>
            <w:bottom w:w="0" w:type="dxa"/>
            <w:right w:w="0" w:type="dxa"/>
          </w:tblCellMar>
        </w:tblPrEx>
        <w:trPr>
          <w:trHeight w:val="347" w:hRule="atLeast"/>
        </w:trPr>
        <w:tc>
          <w:tcPr>
            <w:tcW w:w="147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w:t>
            </w: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行政事业单位养老支出</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152.07</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152.07</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0.00</w:t>
            </w:r>
          </w:p>
        </w:tc>
      </w:tr>
      <w:tr>
        <w:tblPrEx>
          <w:shd w:val="clear" w:color="auto" w:fill="auto"/>
          <w:tblCellMar>
            <w:top w:w="0" w:type="dxa"/>
            <w:left w:w="0" w:type="dxa"/>
            <w:bottom w:w="0" w:type="dxa"/>
            <w:right w:w="0" w:type="dxa"/>
          </w:tblCellMar>
        </w:tblPrEx>
        <w:trPr>
          <w:trHeight w:val="252" w:hRule="atLeast"/>
        </w:trPr>
        <w:tc>
          <w:tcPr>
            <w:tcW w:w="147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135.88</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135.88</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0.00</w:t>
            </w:r>
          </w:p>
        </w:tc>
      </w:tr>
      <w:tr>
        <w:tblPrEx>
          <w:shd w:val="clear" w:color="auto" w:fill="auto"/>
          <w:tblCellMar>
            <w:top w:w="0" w:type="dxa"/>
            <w:left w:w="0" w:type="dxa"/>
            <w:bottom w:w="0" w:type="dxa"/>
            <w:right w:w="0" w:type="dxa"/>
          </w:tblCellMar>
        </w:tblPrEx>
        <w:trPr>
          <w:trHeight w:val="364" w:hRule="atLeast"/>
        </w:trPr>
        <w:tc>
          <w:tcPr>
            <w:tcW w:w="147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机关事业单位职业年金缴费支出</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16.19</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16.19</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0.00</w:t>
            </w:r>
          </w:p>
        </w:tc>
      </w:tr>
      <w:tr>
        <w:tblPrEx>
          <w:shd w:val="clear" w:color="auto" w:fill="auto"/>
          <w:tblCellMar>
            <w:top w:w="0" w:type="dxa"/>
            <w:left w:w="0" w:type="dxa"/>
            <w:bottom w:w="0" w:type="dxa"/>
            <w:right w:w="0" w:type="dxa"/>
          </w:tblCellMar>
        </w:tblPrEx>
        <w:trPr>
          <w:trHeight w:val="347" w:hRule="atLeast"/>
        </w:trPr>
        <w:tc>
          <w:tcPr>
            <w:tcW w:w="147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卫生健康支出</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70.88</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70.88</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0.00</w:t>
            </w:r>
          </w:p>
        </w:tc>
      </w:tr>
      <w:tr>
        <w:tblPrEx>
          <w:shd w:val="clear" w:color="auto" w:fill="auto"/>
          <w:tblCellMar>
            <w:top w:w="0" w:type="dxa"/>
            <w:left w:w="0" w:type="dxa"/>
            <w:bottom w:w="0" w:type="dxa"/>
            <w:right w:w="0" w:type="dxa"/>
          </w:tblCellMar>
        </w:tblPrEx>
        <w:trPr>
          <w:trHeight w:val="347" w:hRule="atLeast"/>
        </w:trPr>
        <w:tc>
          <w:tcPr>
            <w:tcW w:w="147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w:t>
            </w: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行政事业单位医疗</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70.88</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70.88</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0.00</w:t>
            </w:r>
          </w:p>
        </w:tc>
      </w:tr>
      <w:tr>
        <w:tblPrEx>
          <w:shd w:val="clear" w:color="auto" w:fill="auto"/>
          <w:tblCellMar>
            <w:top w:w="0" w:type="dxa"/>
            <w:left w:w="0" w:type="dxa"/>
            <w:bottom w:w="0" w:type="dxa"/>
            <w:right w:w="0" w:type="dxa"/>
          </w:tblCellMar>
        </w:tblPrEx>
        <w:trPr>
          <w:trHeight w:val="347" w:hRule="atLeast"/>
        </w:trPr>
        <w:tc>
          <w:tcPr>
            <w:tcW w:w="147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行政单位医疗</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70.88</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70.88</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0.00</w:t>
            </w:r>
          </w:p>
        </w:tc>
      </w:tr>
      <w:tr>
        <w:tblPrEx>
          <w:shd w:val="clear" w:color="auto" w:fill="auto"/>
          <w:tblCellMar>
            <w:top w:w="0" w:type="dxa"/>
            <w:left w:w="0" w:type="dxa"/>
            <w:bottom w:w="0" w:type="dxa"/>
            <w:right w:w="0" w:type="dxa"/>
          </w:tblCellMar>
        </w:tblPrEx>
        <w:trPr>
          <w:trHeight w:val="347" w:hRule="atLeast"/>
        </w:trPr>
        <w:tc>
          <w:tcPr>
            <w:tcW w:w="147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w:t>
            </w: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节能环保支出</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530.00</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0.00</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530.00</w:t>
            </w:r>
          </w:p>
        </w:tc>
      </w:tr>
      <w:tr>
        <w:tblPrEx>
          <w:shd w:val="clear" w:color="auto" w:fill="auto"/>
          <w:tblCellMar>
            <w:top w:w="0" w:type="dxa"/>
            <w:left w:w="0" w:type="dxa"/>
            <w:bottom w:w="0" w:type="dxa"/>
            <w:right w:w="0" w:type="dxa"/>
          </w:tblCellMar>
        </w:tblPrEx>
        <w:trPr>
          <w:trHeight w:val="347" w:hRule="atLeast"/>
        </w:trPr>
        <w:tc>
          <w:tcPr>
            <w:tcW w:w="147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21104</w:t>
            </w: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自然生态保护</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150.00</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0.00</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150.00</w:t>
            </w:r>
          </w:p>
        </w:tc>
      </w:tr>
      <w:tr>
        <w:tblPrEx>
          <w:shd w:val="clear" w:color="auto" w:fill="auto"/>
          <w:tblCellMar>
            <w:top w:w="0" w:type="dxa"/>
            <w:left w:w="0" w:type="dxa"/>
            <w:bottom w:w="0" w:type="dxa"/>
            <w:right w:w="0" w:type="dxa"/>
          </w:tblCellMar>
        </w:tblPrEx>
        <w:trPr>
          <w:trHeight w:val="347" w:hRule="atLeast"/>
        </w:trPr>
        <w:tc>
          <w:tcPr>
            <w:tcW w:w="147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2110402</w:t>
            </w: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农村环境保护</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150.00</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0.00</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150.00</w:t>
            </w:r>
          </w:p>
        </w:tc>
      </w:tr>
      <w:tr>
        <w:tblPrEx>
          <w:shd w:val="clear" w:color="auto" w:fill="auto"/>
          <w:tblCellMar>
            <w:top w:w="0" w:type="dxa"/>
            <w:left w:w="0" w:type="dxa"/>
            <w:bottom w:w="0" w:type="dxa"/>
            <w:right w:w="0" w:type="dxa"/>
          </w:tblCellMar>
        </w:tblPrEx>
        <w:trPr>
          <w:trHeight w:val="347" w:hRule="atLeast"/>
        </w:trPr>
        <w:tc>
          <w:tcPr>
            <w:tcW w:w="147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21199</w:t>
            </w: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其他节能环保支出</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380.00</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0.00</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380.00</w:t>
            </w:r>
          </w:p>
        </w:tc>
      </w:tr>
      <w:tr>
        <w:tblPrEx>
          <w:shd w:val="clear" w:color="auto" w:fill="auto"/>
          <w:tblCellMar>
            <w:top w:w="0" w:type="dxa"/>
            <w:left w:w="0" w:type="dxa"/>
            <w:bottom w:w="0" w:type="dxa"/>
            <w:right w:w="0" w:type="dxa"/>
          </w:tblCellMar>
        </w:tblPrEx>
        <w:trPr>
          <w:trHeight w:val="347" w:hRule="atLeast"/>
        </w:trPr>
        <w:tc>
          <w:tcPr>
            <w:tcW w:w="147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2119999</w:t>
            </w: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其他节能环保支出</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380.00</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0.00</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380.00</w:t>
            </w:r>
          </w:p>
        </w:tc>
      </w:tr>
      <w:tr>
        <w:tblPrEx>
          <w:shd w:val="clear" w:color="auto" w:fill="auto"/>
          <w:tblCellMar>
            <w:top w:w="0" w:type="dxa"/>
            <w:left w:w="0" w:type="dxa"/>
            <w:bottom w:w="0" w:type="dxa"/>
            <w:right w:w="0" w:type="dxa"/>
          </w:tblCellMar>
        </w:tblPrEx>
        <w:trPr>
          <w:trHeight w:val="347" w:hRule="atLeast"/>
        </w:trPr>
        <w:tc>
          <w:tcPr>
            <w:tcW w:w="147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w:t>
            </w: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农林水支出</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r>
              <w:rPr>
                <w:rFonts w:hint="eastAsia" w:ascii="宋体" w:hAnsi="宋体" w:cs="宋体"/>
                <w:i w:val="0"/>
                <w:color w:val="000000"/>
                <w:kern w:val="0"/>
                <w:sz w:val="18"/>
                <w:szCs w:val="18"/>
                <w:u w:val="none"/>
                <w:lang w:val="en-US" w:eastAsia="zh-CN" w:bidi="ar"/>
              </w:rPr>
              <w:t>455</w:t>
            </w:r>
            <w:r>
              <w:rPr>
                <w:rFonts w:hint="eastAsia" w:ascii="宋体" w:hAnsi="宋体" w:eastAsia="宋体" w:cs="宋体"/>
                <w:i w:val="0"/>
                <w:color w:val="000000"/>
                <w:kern w:val="0"/>
                <w:sz w:val="18"/>
                <w:szCs w:val="18"/>
                <w:u w:val="none"/>
                <w:lang w:val="en-US" w:eastAsia="zh-CN" w:bidi="ar"/>
              </w:rPr>
              <w:t>.79</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1,380.</w:t>
            </w:r>
            <w:r>
              <w:rPr>
                <w:rFonts w:hint="eastAsia" w:ascii="宋体" w:hAnsi="宋体" w:cs="宋体"/>
                <w:i w:val="0"/>
                <w:color w:val="000000"/>
                <w:kern w:val="0"/>
                <w:sz w:val="18"/>
                <w:szCs w:val="18"/>
                <w:u w:val="none"/>
                <w:lang w:val="en-US" w:eastAsia="zh-CN" w:bidi="ar"/>
              </w:rPr>
              <w:t>0</w:t>
            </w:r>
            <w:r>
              <w:rPr>
                <w:rFonts w:hint="eastAsia" w:ascii="宋体" w:hAnsi="宋体" w:eastAsia="宋体" w:cs="宋体"/>
                <w:i w:val="0"/>
                <w:color w:val="000000"/>
                <w:kern w:val="0"/>
                <w:sz w:val="18"/>
                <w:szCs w:val="18"/>
                <w:u w:val="none"/>
                <w:lang w:val="en-US" w:eastAsia="zh-CN" w:bidi="ar"/>
              </w:rPr>
              <w:t>1</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15,</w:t>
            </w:r>
            <w:r>
              <w:rPr>
                <w:rFonts w:hint="eastAsia" w:ascii="宋体" w:hAnsi="宋体" w:cs="宋体"/>
                <w:i w:val="0"/>
                <w:color w:val="000000"/>
                <w:kern w:val="0"/>
                <w:sz w:val="18"/>
                <w:szCs w:val="18"/>
                <w:u w:val="none"/>
                <w:lang w:val="en-US" w:eastAsia="zh-CN" w:bidi="ar"/>
              </w:rPr>
              <w:t>075</w:t>
            </w: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79</w:t>
            </w:r>
          </w:p>
        </w:tc>
      </w:tr>
      <w:tr>
        <w:tblPrEx>
          <w:shd w:val="clear" w:color="auto" w:fill="auto"/>
          <w:tblCellMar>
            <w:top w:w="0" w:type="dxa"/>
            <w:left w:w="0" w:type="dxa"/>
            <w:bottom w:w="0" w:type="dxa"/>
            <w:right w:w="0" w:type="dxa"/>
          </w:tblCellMar>
        </w:tblPrEx>
        <w:trPr>
          <w:trHeight w:val="347" w:hRule="atLeast"/>
        </w:trPr>
        <w:tc>
          <w:tcPr>
            <w:tcW w:w="147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21301</w:t>
            </w: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农业农村</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5</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361.49</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1,380.</w:t>
            </w:r>
            <w:r>
              <w:rPr>
                <w:rFonts w:hint="eastAsia" w:ascii="宋体" w:hAnsi="宋体" w:cs="宋体"/>
                <w:i w:val="0"/>
                <w:color w:val="000000"/>
                <w:kern w:val="0"/>
                <w:sz w:val="18"/>
                <w:szCs w:val="18"/>
                <w:u w:val="none"/>
                <w:lang w:val="en-US" w:eastAsia="zh-CN" w:bidi="ar"/>
              </w:rPr>
              <w:t>0</w:t>
            </w:r>
            <w:r>
              <w:rPr>
                <w:rFonts w:hint="eastAsia" w:ascii="宋体" w:hAnsi="宋体" w:eastAsia="宋体" w:cs="宋体"/>
                <w:i w:val="0"/>
                <w:color w:val="000000"/>
                <w:kern w:val="0"/>
                <w:sz w:val="18"/>
                <w:szCs w:val="18"/>
                <w:u w:val="none"/>
                <w:lang w:val="en-US" w:eastAsia="zh-CN" w:bidi="ar"/>
              </w:rPr>
              <w:t>1</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3,981.48</w:t>
            </w:r>
          </w:p>
        </w:tc>
      </w:tr>
      <w:tr>
        <w:tblPrEx>
          <w:shd w:val="clear" w:color="auto" w:fill="auto"/>
          <w:tblCellMar>
            <w:top w:w="0" w:type="dxa"/>
            <w:left w:w="0" w:type="dxa"/>
            <w:bottom w:w="0" w:type="dxa"/>
            <w:right w:w="0" w:type="dxa"/>
          </w:tblCellMar>
        </w:tblPrEx>
        <w:trPr>
          <w:trHeight w:val="347" w:hRule="atLeast"/>
        </w:trPr>
        <w:tc>
          <w:tcPr>
            <w:tcW w:w="147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2130101</w:t>
            </w: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行政运行</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w:t>
            </w:r>
            <w:r>
              <w:rPr>
                <w:rFonts w:hint="eastAsia" w:ascii="宋体" w:hAnsi="宋体" w:cs="宋体"/>
                <w:i w:val="0"/>
                <w:color w:val="000000"/>
                <w:kern w:val="0"/>
                <w:sz w:val="18"/>
                <w:szCs w:val="18"/>
                <w:u w:val="none"/>
                <w:lang w:val="en-US" w:eastAsia="zh-CN" w:bidi="ar"/>
              </w:rPr>
              <w:t>2.8</w:t>
            </w:r>
            <w:r>
              <w:rPr>
                <w:rFonts w:hint="eastAsia" w:ascii="宋体" w:hAnsi="宋体" w:eastAsia="宋体" w:cs="宋体"/>
                <w:i w:val="0"/>
                <w:color w:val="000000"/>
                <w:kern w:val="0"/>
                <w:sz w:val="18"/>
                <w:szCs w:val="18"/>
                <w:u w:val="none"/>
                <w:lang w:val="en-US" w:eastAsia="zh-CN" w:bidi="ar"/>
              </w:rPr>
              <w:t>7</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w:t>
            </w:r>
            <w:r>
              <w:rPr>
                <w:rFonts w:hint="eastAsia" w:ascii="宋体" w:hAnsi="宋体" w:cs="宋体"/>
                <w:i w:val="0"/>
                <w:color w:val="000000"/>
                <w:kern w:val="0"/>
                <w:sz w:val="18"/>
                <w:szCs w:val="18"/>
                <w:u w:val="none"/>
                <w:lang w:val="en-US" w:eastAsia="zh-CN" w:bidi="ar"/>
              </w:rPr>
              <w:t>2.8</w:t>
            </w:r>
            <w:r>
              <w:rPr>
                <w:rFonts w:hint="eastAsia" w:ascii="宋体" w:hAnsi="宋体" w:eastAsia="宋体" w:cs="宋体"/>
                <w:i w:val="0"/>
                <w:color w:val="000000"/>
                <w:kern w:val="0"/>
                <w:sz w:val="18"/>
                <w:szCs w:val="18"/>
                <w:u w:val="none"/>
                <w:lang w:val="en-US" w:eastAsia="zh-CN" w:bidi="ar"/>
              </w:rPr>
              <w:t>7</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0.00</w:t>
            </w:r>
          </w:p>
        </w:tc>
      </w:tr>
      <w:tr>
        <w:tblPrEx>
          <w:shd w:val="clear" w:color="auto" w:fill="auto"/>
          <w:tblCellMar>
            <w:top w:w="0" w:type="dxa"/>
            <w:left w:w="0" w:type="dxa"/>
            <w:bottom w:w="0" w:type="dxa"/>
            <w:right w:w="0" w:type="dxa"/>
          </w:tblCellMar>
        </w:tblPrEx>
        <w:trPr>
          <w:trHeight w:val="347" w:hRule="atLeast"/>
        </w:trPr>
        <w:tc>
          <w:tcPr>
            <w:tcW w:w="147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2130102</w:t>
            </w: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一般行政管理事务</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r>
              <w:rPr>
                <w:rFonts w:hint="eastAsia" w:ascii="宋体" w:hAnsi="宋体" w:cs="宋体"/>
                <w:i w:val="0"/>
                <w:color w:val="000000"/>
                <w:kern w:val="0"/>
                <w:sz w:val="18"/>
                <w:szCs w:val="18"/>
                <w:u w:val="none"/>
                <w:lang w:val="en-US" w:eastAsia="zh-CN" w:bidi="ar"/>
              </w:rPr>
              <w:t>8.4</w:t>
            </w:r>
            <w:r>
              <w:rPr>
                <w:rFonts w:hint="eastAsia" w:ascii="宋体" w:hAnsi="宋体" w:eastAsia="宋体" w:cs="宋体"/>
                <w:i w:val="0"/>
                <w:color w:val="000000"/>
                <w:kern w:val="0"/>
                <w:sz w:val="18"/>
                <w:szCs w:val="18"/>
                <w:u w:val="none"/>
                <w:lang w:val="en-US" w:eastAsia="zh-CN" w:bidi="ar"/>
              </w:rPr>
              <w:t>0</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0.00</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r>
              <w:rPr>
                <w:rFonts w:hint="eastAsia" w:ascii="宋体" w:hAnsi="宋体" w:cs="宋体"/>
                <w:i w:val="0"/>
                <w:color w:val="000000"/>
                <w:kern w:val="0"/>
                <w:sz w:val="18"/>
                <w:szCs w:val="18"/>
                <w:u w:val="none"/>
                <w:lang w:val="en-US" w:eastAsia="zh-CN" w:bidi="ar"/>
              </w:rPr>
              <w:t>8.4</w:t>
            </w:r>
            <w:r>
              <w:rPr>
                <w:rFonts w:hint="eastAsia" w:ascii="宋体" w:hAnsi="宋体" w:eastAsia="宋体" w:cs="宋体"/>
                <w:i w:val="0"/>
                <w:color w:val="000000"/>
                <w:kern w:val="0"/>
                <w:sz w:val="18"/>
                <w:szCs w:val="18"/>
                <w:u w:val="none"/>
                <w:lang w:val="en-US" w:eastAsia="zh-CN" w:bidi="ar"/>
              </w:rPr>
              <w:t>0</w:t>
            </w:r>
          </w:p>
        </w:tc>
      </w:tr>
      <w:tr>
        <w:tblPrEx>
          <w:shd w:val="clear" w:color="auto" w:fill="auto"/>
          <w:tblCellMar>
            <w:top w:w="0" w:type="dxa"/>
            <w:left w:w="0" w:type="dxa"/>
            <w:bottom w:w="0" w:type="dxa"/>
            <w:right w:w="0" w:type="dxa"/>
          </w:tblCellMar>
        </w:tblPrEx>
        <w:trPr>
          <w:trHeight w:val="347" w:hRule="atLeast"/>
        </w:trPr>
        <w:tc>
          <w:tcPr>
            <w:tcW w:w="147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2130104</w:t>
            </w: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事业运行</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617.</w:t>
            </w:r>
            <w:r>
              <w:rPr>
                <w:rFonts w:hint="eastAsia" w:ascii="宋体" w:hAnsi="宋体" w:cs="宋体"/>
                <w:i w:val="0"/>
                <w:color w:val="000000"/>
                <w:kern w:val="0"/>
                <w:sz w:val="18"/>
                <w:szCs w:val="18"/>
                <w:u w:val="none"/>
                <w:lang w:val="en-US" w:eastAsia="zh-CN" w:bidi="ar"/>
              </w:rPr>
              <w:t>1</w:t>
            </w:r>
            <w:r>
              <w:rPr>
                <w:rFonts w:hint="eastAsia" w:ascii="宋体" w:hAnsi="宋体" w:eastAsia="宋体" w:cs="宋体"/>
                <w:i w:val="0"/>
                <w:color w:val="000000"/>
                <w:kern w:val="0"/>
                <w:sz w:val="18"/>
                <w:szCs w:val="18"/>
                <w:u w:val="none"/>
                <w:lang w:val="en-US" w:eastAsia="zh-CN" w:bidi="ar"/>
              </w:rPr>
              <w:t>4</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617</w:t>
            </w:r>
            <w:r>
              <w:rPr>
                <w:rFonts w:hint="eastAsia" w:ascii="宋体" w:hAnsi="宋体" w:cs="宋体"/>
                <w:i w:val="0"/>
                <w:color w:val="000000"/>
                <w:kern w:val="0"/>
                <w:sz w:val="18"/>
                <w:szCs w:val="18"/>
                <w:u w:val="none"/>
                <w:lang w:val="en-US" w:eastAsia="zh-CN" w:bidi="ar"/>
              </w:rPr>
              <w:t>.1</w:t>
            </w:r>
            <w:r>
              <w:rPr>
                <w:rFonts w:hint="eastAsia" w:ascii="宋体" w:hAnsi="宋体" w:eastAsia="宋体" w:cs="宋体"/>
                <w:i w:val="0"/>
                <w:color w:val="000000"/>
                <w:kern w:val="0"/>
                <w:sz w:val="18"/>
                <w:szCs w:val="18"/>
                <w:u w:val="none"/>
                <w:lang w:val="en-US" w:eastAsia="zh-CN" w:bidi="ar"/>
              </w:rPr>
              <w:t>4</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0.00</w:t>
            </w:r>
          </w:p>
        </w:tc>
      </w:tr>
      <w:tr>
        <w:tblPrEx>
          <w:shd w:val="clear" w:color="auto" w:fill="auto"/>
          <w:tblCellMar>
            <w:top w:w="0" w:type="dxa"/>
            <w:left w:w="0" w:type="dxa"/>
            <w:bottom w:w="0" w:type="dxa"/>
            <w:right w:w="0" w:type="dxa"/>
          </w:tblCellMar>
        </w:tblPrEx>
        <w:trPr>
          <w:trHeight w:val="347" w:hRule="atLeast"/>
        </w:trPr>
        <w:tc>
          <w:tcPr>
            <w:tcW w:w="147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2130108</w:t>
            </w: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病虫害控制</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103.43</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0.00</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103.43</w:t>
            </w:r>
          </w:p>
        </w:tc>
      </w:tr>
      <w:tr>
        <w:tblPrEx>
          <w:shd w:val="clear" w:color="auto" w:fill="auto"/>
          <w:tblCellMar>
            <w:top w:w="0" w:type="dxa"/>
            <w:left w:w="0" w:type="dxa"/>
            <w:bottom w:w="0" w:type="dxa"/>
            <w:right w:w="0" w:type="dxa"/>
          </w:tblCellMar>
        </w:tblPrEx>
        <w:trPr>
          <w:trHeight w:val="347" w:hRule="atLeast"/>
        </w:trPr>
        <w:tc>
          <w:tcPr>
            <w:tcW w:w="147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2130109</w:t>
            </w: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农产品质量安全</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10.50</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0.00</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10.50</w:t>
            </w:r>
          </w:p>
        </w:tc>
      </w:tr>
      <w:tr>
        <w:tblPrEx>
          <w:shd w:val="clear" w:color="auto" w:fill="auto"/>
          <w:tblCellMar>
            <w:top w:w="0" w:type="dxa"/>
            <w:left w:w="0" w:type="dxa"/>
            <w:bottom w:w="0" w:type="dxa"/>
            <w:right w:w="0" w:type="dxa"/>
          </w:tblCellMar>
        </w:tblPrEx>
        <w:trPr>
          <w:trHeight w:val="347" w:hRule="atLeast"/>
        </w:trPr>
        <w:tc>
          <w:tcPr>
            <w:tcW w:w="147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2130112</w:t>
            </w: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行业业务管理</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0.00</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r>
      <w:tr>
        <w:tblPrEx>
          <w:shd w:val="clear" w:color="auto" w:fill="auto"/>
          <w:tblCellMar>
            <w:top w:w="0" w:type="dxa"/>
            <w:left w:w="0" w:type="dxa"/>
            <w:bottom w:w="0" w:type="dxa"/>
            <w:right w:w="0" w:type="dxa"/>
          </w:tblCellMar>
        </w:tblPrEx>
        <w:trPr>
          <w:trHeight w:val="249" w:hRule="atLeast"/>
        </w:trPr>
        <w:tc>
          <w:tcPr>
            <w:tcW w:w="147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2130119</w:t>
            </w: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ind w:firstLine="180"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防灾救灾</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0.00</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r>
      <w:tr>
        <w:tblPrEx>
          <w:shd w:val="clear" w:color="auto" w:fill="auto"/>
          <w:tblCellMar>
            <w:top w:w="0" w:type="dxa"/>
            <w:left w:w="0" w:type="dxa"/>
            <w:bottom w:w="0" w:type="dxa"/>
            <w:right w:w="0" w:type="dxa"/>
          </w:tblCellMar>
        </w:tblPrEx>
        <w:trPr>
          <w:trHeight w:val="347" w:hRule="atLeast"/>
        </w:trPr>
        <w:tc>
          <w:tcPr>
            <w:tcW w:w="147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2130121</w:t>
            </w: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农业结构调整补贴</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162.31</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0.00</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162.31</w:t>
            </w:r>
          </w:p>
        </w:tc>
      </w:tr>
      <w:tr>
        <w:tblPrEx>
          <w:shd w:val="clear" w:color="auto" w:fill="auto"/>
          <w:tblCellMar>
            <w:top w:w="0" w:type="dxa"/>
            <w:left w:w="0" w:type="dxa"/>
            <w:bottom w:w="0" w:type="dxa"/>
            <w:right w:w="0" w:type="dxa"/>
          </w:tblCellMar>
        </w:tblPrEx>
        <w:trPr>
          <w:trHeight w:val="347" w:hRule="atLeast"/>
        </w:trPr>
        <w:tc>
          <w:tcPr>
            <w:tcW w:w="147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2130122</w:t>
            </w: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农业生产发展</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Fonts w:hint="eastAsia" w:ascii="宋体" w:hAnsi="宋体" w:cs="宋体"/>
                <w:i w:val="0"/>
                <w:color w:val="000000"/>
                <w:kern w:val="0"/>
                <w:sz w:val="18"/>
                <w:szCs w:val="18"/>
                <w:u w:val="none"/>
                <w:lang w:val="en-US" w:eastAsia="zh-CN" w:bidi="ar"/>
              </w:rPr>
              <w:t>391</w:t>
            </w:r>
            <w:r>
              <w:rPr>
                <w:rFonts w:hint="eastAsia" w:ascii="宋体" w:hAnsi="宋体" w:eastAsia="宋体" w:cs="宋体"/>
                <w:i w:val="0"/>
                <w:color w:val="000000"/>
                <w:kern w:val="0"/>
                <w:sz w:val="18"/>
                <w:szCs w:val="18"/>
                <w:u w:val="none"/>
                <w:lang w:val="en-US" w:eastAsia="zh-CN" w:bidi="ar"/>
              </w:rPr>
              <w:t>.84</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0.00</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Fonts w:hint="eastAsia" w:ascii="宋体" w:hAnsi="宋体" w:cs="宋体"/>
                <w:i w:val="0"/>
                <w:color w:val="000000"/>
                <w:kern w:val="0"/>
                <w:sz w:val="18"/>
                <w:szCs w:val="18"/>
                <w:u w:val="none"/>
                <w:lang w:val="en-US" w:eastAsia="zh-CN" w:bidi="ar"/>
              </w:rPr>
              <w:t>391</w:t>
            </w:r>
            <w:r>
              <w:rPr>
                <w:rFonts w:hint="eastAsia" w:ascii="宋体" w:hAnsi="宋体" w:eastAsia="宋体" w:cs="宋体"/>
                <w:i w:val="0"/>
                <w:color w:val="000000"/>
                <w:kern w:val="0"/>
                <w:sz w:val="18"/>
                <w:szCs w:val="18"/>
                <w:u w:val="none"/>
                <w:lang w:val="en-US" w:eastAsia="zh-CN" w:bidi="ar"/>
              </w:rPr>
              <w:t>.84</w:t>
            </w:r>
          </w:p>
        </w:tc>
      </w:tr>
      <w:tr>
        <w:tblPrEx>
          <w:shd w:val="clear" w:color="auto" w:fill="auto"/>
          <w:tblCellMar>
            <w:top w:w="0" w:type="dxa"/>
            <w:left w:w="0" w:type="dxa"/>
            <w:bottom w:w="0" w:type="dxa"/>
            <w:right w:w="0" w:type="dxa"/>
          </w:tblCellMar>
        </w:tblPrEx>
        <w:trPr>
          <w:trHeight w:val="347" w:hRule="atLeast"/>
        </w:trPr>
        <w:tc>
          <w:tcPr>
            <w:tcW w:w="147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2130126</w:t>
            </w: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农村社会事业</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150.00</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0.00</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150.00</w:t>
            </w:r>
          </w:p>
        </w:tc>
      </w:tr>
      <w:tr>
        <w:tblPrEx>
          <w:shd w:val="clear" w:color="auto" w:fill="auto"/>
          <w:tblCellMar>
            <w:top w:w="0" w:type="dxa"/>
            <w:left w:w="0" w:type="dxa"/>
            <w:bottom w:w="0" w:type="dxa"/>
            <w:right w:w="0" w:type="dxa"/>
          </w:tblCellMar>
        </w:tblPrEx>
        <w:trPr>
          <w:trHeight w:val="347" w:hRule="atLeast"/>
        </w:trPr>
        <w:tc>
          <w:tcPr>
            <w:tcW w:w="147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21305</w:t>
            </w: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2,654.54</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0.00</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2,654.54</w:t>
            </w:r>
          </w:p>
        </w:tc>
      </w:tr>
      <w:tr>
        <w:tblPrEx>
          <w:shd w:val="clear" w:color="auto" w:fill="auto"/>
          <w:tblCellMar>
            <w:top w:w="0" w:type="dxa"/>
            <w:left w:w="0" w:type="dxa"/>
            <w:bottom w:w="0" w:type="dxa"/>
            <w:right w:w="0" w:type="dxa"/>
          </w:tblCellMar>
        </w:tblPrEx>
        <w:trPr>
          <w:trHeight w:val="347" w:hRule="atLeast"/>
        </w:trPr>
        <w:tc>
          <w:tcPr>
            <w:tcW w:w="147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2130504</w:t>
            </w: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农村基础设施建设</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1,193.00</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0.00</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1,193.00</w:t>
            </w:r>
          </w:p>
        </w:tc>
      </w:tr>
      <w:tr>
        <w:tblPrEx>
          <w:shd w:val="clear" w:color="auto" w:fill="auto"/>
          <w:tblCellMar>
            <w:top w:w="0" w:type="dxa"/>
            <w:left w:w="0" w:type="dxa"/>
            <w:bottom w:w="0" w:type="dxa"/>
            <w:right w:w="0" w:type="dxa"/>
          </w:tblCellMar>
        </w:tblPrEx>
        <w:trPr>
          <w:trHeight w:val="347" w:hRule="atLeast"/>
        </w:trPr>
        <w:tc>
          <w:tcPr>
            <w:tcW w:w="147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2130505</w:t>
            </w: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生产发展</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405.00</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0.00</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405.00</w:t>
            </w:r>
          </w:p>
        </w:tc>
      </w:tr>
      <w:tr>
        <w:tblPrEx>
          <w:shd w:val="clear" w:color="auto" w:fill="auto"/>
          <w:tblCellMar>
            <w:top w:w="0" w:type="dxa"/>
            <w:left w:w="0" w:type="dxa"/>
            <w:bottom w:w="0" w:type="dxa"/>
            <w:right w:w="0" w:type="dxa"/>
          </w:tblCellMar>
        </w:tblPrEx>
        <w:trPr>
          <w:trHeight w:val="347" w:hRule="atLeast"/>
        </w:trPr>
        <w:tc>
          <w:tcPr>
            <w:tcW w:w="147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2130506</w:t>
            </w: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社会发展</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0.00</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w:t>
            </w:r>
          </w:p>
        </w:tc>
      </w:tr>
      <w:tr>
        <w:tblPrEx>
          <w:shd w:val="clear" w:color="auto" w:fill="auto"/>
          <w:tblCellMar>
            <w:top w:w="0" w:type="dxa"/>
            <w:left w:w="0" w:type="dxa"/>
            <w:bottom w:w="0" w:type="dxa"/>
            <w:right w:w="0" w:type="dxa"/>
          </w:tblCellMar>
        </w:tblPrEx>
        <w:trPr>
          <w:trHeight w:val="347" w:hRule="atLeast"/>
        </w:trPr>
        <w:tc>
          <w:tcPr>
            <w:tcW w:w="147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2130507</w:t>
            </w: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扶贫贷款奖补和贴息</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0.00</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w:t>
            </w:r>
          </w:p>
        </w:tc>
      </w:tr>
      <w:tr>
        <w:tblPrEx>
          <w:shd w:val="clear" w:color="auto" w:fill="auto"/>
          <w:tblCellMar>
            <w:top w:w="0" w:type="dxa"/>
            <w:left w:w="0" w:type="dxa"/>
            <w:bottom w:w="0" w:type="dxa"/>
            <w:right w:w="0" w:type="dxa"/>
          </w:tblCellMar>
        </w:tblPrEx>
        <w:trPr>
          <w:trHeight w:val="347" w:hRule="atLeast"/>
        </w:trPr>
        <w:tc>
          <w:tcPr>
            <w:tcW w:w="147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2130599</w:t>
            </w: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其他扶贫支出</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56.54</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0.00</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56.54</w:t>
            </w:r>
          </w:p>
        </w:tc>
      </w:tr>
      <w:tr>
        <w:tblPrEx>
          <w:shd w:val="clear" w:color="auto" w:fill="auto"/>
          <w:tblCellMar>
            <w:top w:w="0" w:type="dxa"/>
            <w:left w:w="0" w:type="dxa"/>
            <w:bottom w:w="0" w:type="dxa"/>
            <w:right w:w="0" w:type="dxa"/>
          </w:tblCellMar>
        </w:tblPrEx>
        <w:trPr>
          <w:trHeight w:val="347" w:hRule="atLeast"/>
        </w:trPr>
        <w:tc>
          <w:tcPr>
            <w:tcW w:w="147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21308</w:t>
            </w: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普惠金融发展支出</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1,537.05</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0.00</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1,537.05</w:t>
            </w:r>
          </w:p>
        </w:tc>
      </w:tr>
      <w:tr>
        <w:tblPrEx>
          <w:shd w:val="clear" w:color="auto" w:fill="auto"/>
          <w:tblCellMar>
            <w:top w:w="0" w:type="dxa"/>
            <w:left w:w="0" w:type="dxa"/>
            <w:bottom w:w="0" w:type="dxa"/>
            <w:right w:w="0" w:type="dxa"/>
          </w:tblCellMar>
        </w:tblPrEx>
        <w:trPr>
          <w:trHeight w:val="347" w:hRule="atLeast"/>
        </w:trPr>
        <w:tc>
          <w:tcPr>
            <w:tcW w:w="147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2130803</w:t>
            </w: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农业保险保费补贴</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1,537.05</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0.00</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1,537.05</w:t>
            </w:r>
          </w:p>
        </w:tc>
      </w:tr>
      <w:tr>
        <w:tblPrEx>
          <w:shd w:val="clear" w:color="auto" w:fill="auto"/>
          <w:tblCellMar>
            <w:top w:w="0" w:type="dxa"/>
            <w:left w:w="0" w:type="dxa"/>
            <w:bottom w:w="0" w:type="dxa"/>
            <w:right w:w="0" w:type="dxa"/>
          </w:tblCellMar>
        </w:tblPrEx>
        <w:trPr>
          <w:trHeight w:val="347" w:hRule="atLeast"/>
        </w:trPr>
        <w:tc>
          <w:tcPr>
            <w:tcW w:w="147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21399</w:t>
            </w: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其他农林水支出</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6,902.72</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0.00</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6,902.72</w:t>
            </w:r>
          </w:p>
        </w:tc>
      </w:tr>
      <w:tr>
        <w:tblPrEx>
          <w:shd w:val="clear" w:color="auto" w:fill="auto"/>
          <w:tblCellMar>
            <w:top w:w="0" w:type="dxa"/>
            <w:left w:w="0" w:type="dxa"/>
            <w:bottom w:w="0" w:type="dxa"/>
            <w:right w:w="0" w:type="dxa"/>
          </w:tblCellMar>
        </w:tblPrEx>
        <w:trPr>
          <w:trHeight w:val="347" w:hRule="atLeast"/>
        </w:trPr>
        <w:tc>
          <w:tcPr>
            <w:tcW w:w="147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2139999</w:t>
            </w: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其他农林水支出</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6,902.72</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0.00</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6,902.72</w:t>
            </w:r>
          </w:p>
        </w:tc>
      </w:tr>
      <w:tr>
        <w:tblPrEx>
          <w:shd w:val="clear" w:color="auto" w:fill="auto"/>
          <w:tblCellMar>
            <w:top w:w="0" w:type="dxa"/>
            <w:left w:w="0" w:type="dxa"/>
            <w:bottom w:w="0" w:type="dxa"/>
            <w:right w:w="0" w:type="dxa"/>
          </w:tblCellMar>
        </w:tblPrEx>
        <w:trPr>
          <w:trHeight w:val="347" w:hRule="atLeast"/>
        </w:trPr>
        <w:tc>
          <w:tcPr>
            <w:tcW w:w="147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住房保障支出</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84.37</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84.37</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0.00</w:t>
            </w:r>
          </w:p>
        </w:tc>
      </w:tr>
      <w:tr>
        <w:tblPrEx>
          <w:shd w:val="clear" w:color="auto" w:fill="auto"/>
          <w:tblCellMar>
            <w:top w:w="0" w:type="dxa"/>
            <w:left w:w="0" w:type="dxa"/>
            <w:bottom w:w="0" w:type="dxa"/>
            <w:right w:w="0" w:type="dxa"/>
          </w:tblCellMar>
        </w:tblPrEx>
        <w:trPr>
          <w:trHeight w:val="347" w:hRule="atLeast"/>
        </w:trPr>
        <w:tc>
          <w:tcPr>
            <w:tcW w:w="147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w:t>
            </w: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住房改革支出</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84.37</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84.37</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0.00</w:t>
            </w:r>
          </w:p>
        </w:tc>
      </w:tr>
      <w:tr>
        <w:tblPrEx>
          <w:shd w:val="clear" w:color="auto" w:fill="auto"/>
          <w:tblCellMar>
            <w:top w:w="0" w:type="dxa"/>
            <w:left w:w="0" w:type="dxa"/>
            <w:bottom w:w="0" w:type="dxa"/>
            <w:right w:w="0" w:type="dxa"/>
          </w:tblCellMar>
        </w:tblPrEx>
        <w:trPr>
          <w:trHeight w:val="347" w:hRule="atLeast"/>
        </w:trPr>
        <w:tc>
          <w:tcPr>
            <w:tcW w:w="147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84.37</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84.37</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0.00</w:t>
            </w:r>
          </w:p>
        </w:tc>
      </w:tr>
      <w:tr>
        <w:tblPrEx>
          <w:shd w:val="clear" w:color="auto" w:fill="auto"/>
          <w:tblCellMar>
            <w:top w:w="0" w:type="dxa"/>
            <w:left w:w="0" w:type="dxa"/>
            <w:bottom w:w="0" w:type="dxa"/>
            <w:right w:w="0" w:type="dxa"/>
          </w:tblCellMar>
        </w:tblPrEx>
        <w:trPr>
          <w:trHeight w:val="347" w:hRule="atLeast"/>
        </w:trPr>
        <w:tc>
          <w:tcPr>
            <w:tcW w:w="147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222</w:t>
            </w: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粮油物资储备支出</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0.00</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w:t>
            </w:r>
          </w:p>
        </w:tc>
      </w:tr>
      <w:tr>
        <w:tblPrEx>
          <w:shd w:val="clear" w:color="auto" w:fill="auto"/>
          <w:tblCellMar>
            <w:top w:w="0" w:type="dxa"/>
            <w:left w:w="0" w:type="dxa"/>
            <w:bottom w:w="0" w:type="dxa"/>
            <w:right w:w="0" w:type="dxa"/>
          </w:tblCellMar>
        </w:tblPrEx>
        <w:trPr>
          <w:trHeight w:val="347" w:hRule="atLeast"/>
        </w:trPr>
        <w:tc>
          <w:tcPr>
            <w:tcW w:w="147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22201</w:t>
            </w:r>
            <w:r>
              <w:rPr>
                <w:rFonts w:hint="eastAsia" w:ascii="宋体" w:hAnsi="宋体" w:cs="宋体"/>
                <w:i w:val="0"/>
                <w:color w:val="000000"/>
                <w:kern w:val="0"/>
                <w:sz w:val="18"/>
                <w:szCs w:val="18"/>
                <w:u w:val="none"/>
                <w:lang w:val="en-US" w:eastAsia="zh-CN" w:bidi="ar"/>
              </w:rPr>
              <w:t>99</w:t>
            </w: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ind w:firstLine="180" w:firstLineChars="100"/>
              <w:jc w:val="left"/>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其他粮油物资事务支出</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0.00</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w:t>
            </w:r>
          </w:p>
        </w:tc>
      </w:tr>
    </w:tbl>
    <w:p>
      <w:pPr>
        <w:pStyle w:val="2"/>
      </w:pPr>
    </w:p>
    <w:p>
      <w:pPr>
        <w:tabs>
          <w:tab w:val="right" w:pos="8306"/>
        </w:tabs>
        <w:spacing w:line="600" w:lineRule="exact"/>
        <w:ind w:firstLine="640"/>
        <w:outlineLvl w:val="1"/>
        <w:rPr>
          <w:rStyle w:val="29"/>
          <w:color w:val="auto"/>
          <w:highlight w:val="none"/>
        </w:rPr>
      </w:pPr>
      <w:bookmarkStart w:id="40" w:name="_Toc15377214"/>
      <w:bookmarkStart w:id="41"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9"/>
          <w:rFonts w:hint="eastAsia" w:ascii="黑体" w:hAnsi="黑体" w:eastAsia="黑体"/>
          <w:b w:val="0"/>
          <w:color w:val="auto"/>
          <w:highlight w:val="none"/>
        </w:rPr>
        <w:t>般公共预算财政拨款基本支出决算情况说明</w:t>
      </w:r>
      <w:bookmarkEnd w:id="40"/>
      <w:bookmarkEnd w:id="41"/>
      <w:r>
        <w:rPr>
          <w:rStyle w:val="29"/>
          <w:rFonts w:ascii="黑体" w:hAnsi="黑体" w:eastAsia="黑体"/>
          <w:b w:val="0"/>
          <w:color w:val="auto"/>
          <w:highlight w:val="none"/>
        </w:rPr>
        <w:tab/>
      </w:r>
    </w:p>
    <w:p>
      <w:pPr>
        <w:keepNext w:val="0"/>
        <w:keepLines w:val="0"/>
        <w:pageBreakBefore w:val="0"/>
        <w:widowControl w:val="0"/>
        <w:kinsoku/>
        <w:wordWrap/>
        <w:overflowPunct/>
        <w:topLinePunct w:val="0"/>
        <w:autoSpaceDE/>
        <w:autoSpaceDN/>
        <w:bidi w:val="0"/>
        <w:adjustRightInd/>
        <w:snapToGrid/>
        <w:spacing w:line="240" w:lineRule="auto"/>
        <w:ind w:firstLine="646"/>
        <w:textAlignment w:val="auto"/>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1687.32</w:t>
      </w:r>
      <w:r>
        <w:rPr>
          <w:rFonts w:hint="eastAsia" w:ascii="仿宋" w:hAnsi="仿宋" w:eastAsia="仿宋"/>
          <w:color w:val="auto"/>
          <w:sz w:val="32"/>
          <w:szCs w:val="32"/>
          <w:highlight w:val="none"/>
        </w:rPr>
        <w:t>万元，其中：</w:t>
      </w:r>
    </w:p>
    <w:p>
      <w:pPr>
        <w:keepNext w:val="0"/>
        <w:keepLines w:val="0"/>
        <w:pageBreakBefore w:val="0"/>
        <w:widowControl w:val="0"/>
        <w:kinsoku/>
        <w:wordWrap/>
        <w:overflowPunct/>
        <w:topLinePunct w:val="0"/>
        <w:autoSpaceDE/>
        <w:autoSpaceDN/>
        <w:bidi w:val="0"/>
        <w:adjustRightInd/>
        <w:snapToGrid/>
        <w:spacing w:line="240" w:lineRule="auto"/>
        <w:ind w:firstLine="646"/>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1466.52</w:t>
      </w:r>
      <w:r>
        <w:rPr>
          <w:rFonts w:hint="eastAsia" w:ascii="仿宋" w:hAnsi="仿宋" w:eastAsia="仿宋"/>
          <w:color w:val="auto"/>
          <w:sz w:val="32"/>
          <w:szCs w:val="32"/>
          <w:highlight w:val="none"/>
        </w:rPr>
        <w:t>万元，主要包括：基本工资、津贴补贴、奖金、绩效工资、机关事业单位基本养老保险缴费、职业年金缴费、其他工资福利支出、生活补助、医疗费补助、奖励金、住房公积金等。</w:t>
      </w:r>
    </w:p>
    <w:p>
      <w:pPr>
        <w:keepNext w:val="0"/>
        <w:keepLines w:val="0"/>
        <w:pageBreakBefore w:val="0"/>
        <w:widowControl w:val="0"/>
        <w:kinsoku/>
        <w:wordWrap/>
        <w:overflowPunct/>
        <w:topLinePunct w:val="0"/>
        <w:autoSpaceDE/>
        <w:autoSpaceDN/>
        <w:bidi w:val="0"/>
        <w:adjustRightInd/>
        <w:snapToGrid/>
        <w:spacing w:line="240" w:lineRule="auto"/>
        <w:ind w:firstLine="646"/>
        <w:textAlignment w:val="auto"/>
        <w:rPr>
          <w:rFonts w:ascii="仿宋" w:hAnsi="仿宋" w:eastAsia="仿宋"/>
          <w:b/>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220.8</w:t>
      </w:r>
      <w:r>
        <w:rPr>
          <w:rFonts w:hint="eastAsia" w:ascii="仿宋" w:hAnsi="仿宋" w:eastAsia="仿宋"/>
          <w:color w:val="auto"/>
          <w:sz w:val="32"/>
          <w:szCs w:val="32"/>
          <w:highlight w:val="none"/>
        </w:rPr>
        <w:t>万元，主要包括：办公费、印刷费、水费、电费、邮电费、物业管理费、差旅费、维修（护）费、会议费、培训费、公务接待费、劳务费、委托业务费、福利费、公务用车运行维护费、其他交通费。</w:t>
      </w:r>
    </w:p>
    <w:p>
      <w:pPr>
        <w:spacing w:line="600" w:lineRule="exact"/>
        <w:ind w:firstLine="640"/>
        <w:outlineLvl w:val="1"/>
        <w:rPr>
          <w:rStyle w:val="29"/>
          <w:rFonts w:ascii="黑体" w:hAnsi="黑体" w:eastAsia="黑体"/>
          <w:b w:val="0"/>
          <w:color w:val="auto"/>
          <w:highlight w:val="none"/>
        </w:rPr>
      </w:pPr>
      <w:bookmarkStart w:id="42" w:name="_Toc15377215"/>
      <w:bookmarkStart w:id="43" w:name="_Toc15396609"/>
      <w:r>
        <w:rPr>
          <w:rFonts w:hint="eastAsia" w:ascii="黑体" w:eastAsia="黑体"/>
          <w:color w:val="auto"/>
          <w:sz w:val="32"/>
          <w:szCs w:val="32"/>
          <w:highlight w:val="none"/>
        </w:rPr>
        <w:t>七、</w:t>
      </w:r>
      <w:r>
        <w:rPr>
          <w:rStyle w:val="29"/>
          <w:rFonts w:hint="eastAsia" w:ascii="黑体" w:hAnsi="黑体" w:eastAsia="黑体"/>
          <w:color w:val="auto"/>
          <w:highlight w:val="none"/>
        </w:rPr>
        <w:t>“</w:t>
      </w:r>
      <w:r>
        <w:rPr>
          <w:rStyle w:val="29"/>
          <w:rFonts w:hint="eastAsia" w:ascii="黑体" w:hAnsi="黑体" w:eastAsia="黑体"/>
          <w:b w:val="0"/>
          <w:color w:val="auto"/>
          <w:highlight w:val="none"/>
        </w:rPr>
        <w:t>三公”经费财政拨款支出决算情况说明</w:t>
      </w:r>
      <w:bookmarkEnd w:id="42"/>
      <w:bookmarkEnd w:id="43"/>
    </w:p>
    <w:p>
      <w:pPr>
        <w:spacing w:line="600" w:lineRule="exact"/>
        <w:ind w:firstLine="640"/>
        <w:outlineLvl w:val="2"/>
        <w:rPr>
          <w:rFonts w:ascii="仿宋" w:hAnsi="仿宋" w:eastAsia="仿宋"/>
          <w:b/>
          <w:color w:val="auto"/>
          <w:sz w:val="32"/>
          <w:szCs w:val="32"/>
          <w:highlight w:val="none"/>
        </w:rPr>
      </w:pPr>
      <w:bookmarkStart w:id="44" w:name="_Toc15377216"/>
      <w:r>
        <w:rPr>
          <w:rFonts w:hint="eastAsia" w:ascii="仿宋" w:hAnsi="仿宋" w:eastAsia="仿宋"/>
          <w:b/>
          <w:color w:val="auto"/>
          <w:sz w:val="32"/>
          <w:szCs w:val="32"/>
          <w:highlight w:val="none"/>
        </w:rPr>
        <w:t>（一）“三公”经费财政拨款支出决算总体情况说明</w:t>
      </w:r>
      <w:bookmarkEnd w:id="44"/>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11.77</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82</w:t>
      </w:r>
      <w:r>
        <w:rPr>
          <w:rFonts w:ascii="仿宋" w:hAnsi="仿宋" w:eastAsia="仿宋"/>
          <w:color w:val="auto"/>
          <w:sz w:val="32"/>
          <w:szCs w:val="32"/>
          <w:highlight w:val="none"/>
        </w:rPr>
        <w:t>%</w:t>
      </w:r>
      <w:r>
        <w:rPr>
          <w:rFonts w:hint="eastAsia" w:ascii="仿宋" w:hAnsi="仿宋" w:eastAsia="仿宋"/>
          <w:color w:val="auto"/>
          <w:sz w:val="32"/>
          <w:szCs w:val="32"/>
          <w:highlight w:val="none"/>
        </w:rPr>
        <w:t>，决算数小于预算数的主要原因是</w:t>
      </w:r>
      <w:r>
        <w:rPr>
          <w:rFonts w:hint="eastAsia" w:ascii="仿宋" w:hAnsi="仿宋" w:eastAsia="仿宋"/>
          <w:color w:val="auto"/>
          <w:sz w:val="32"/>
          <w:szCs w:val="32"/>
          <w:highlight w:val="none"/>
          <w:lang w:eastAsia="zh-CN"/>
        </w:rPr>
        <w:t>严格执行“三公</w:t>
      </w:r>
      <w:r>
        <w:rPr>
          <w:rFonts w:hint="default" w:ascii="仿宋" w:hAnsi="仿宋" w:eastAsia="仿宋"/>
          <w:color w:val="auto"/>
          <w:sz w:val="32"/>
          <w:szCs w:val="32"/>
          <w:highlight w:val="none"/>
          <w:lang w:val="en-US" w:eastAsia="zh-CN"/>
        </w:rPr>
        <w:t>”</w:t>
      </w:r>
      <w:r>
        <w:rPr>
          <w:rFonts w:hint="eastAsia" w:ascii="仿宋" w:hAnsi="仿宋" w:eastAsia="仿宋"/>
          <w:color w:val="auto"/>
          <w:sz w:val="32"/>
          <w:szCs w:val="32"/>
          <w:highlight w:val="none"/>
          <w:lang w:val="en-US" w:eastAsia="zh-CN"/>
        </w:rPr>
        <w:t>经费支出</w:t>
      </w:r>
      <w:r>
        <w:rPr>
          <w:rFonts w:hint="eastAsia" w:ascii="仿宋" w:hAnsi="仿宋" w:eastAsia="仿宋"/>
          <w:color w:val="auto"/>
          <w:sz w:val="32"/>
          <w:szCs w:val="32"/>
          <w:highlight w:val="none"/>
        </w:rPr>
        <w:t>。</w:t>
      </w:r>
    </w:p>
    <w:p>
      <w:pPr>
        <w:spacing w:line="600" w:lineRule="exact"/>
        <w:ind w:firstLine="640"/>
        <w:outlineLvl w:val="2"/>
        <w:rPr>
          <w:rFonts w:ascii="仿宋" w:hAnsi="仿宋" w:eastAsia="仿宋"/>
          <w:b/>
          <w:color w:val="auto"/>
          <w:sz w:val="32"/>
          <w:szCs w:val="32"/>
          <w:highlight w:val="none"/>
        </w:rPr>
      </w:pPr>
      <w:bookmarkStart w:id="45" w:name="_Toc15377217"/>
      <w:r>
        <w:rPr>
          <w:rFonts w:hint="eastAsia" w:ascii="仿宋" w:hAnsi="仿宋" w:eastAsia="仿宋"/>
          <w:b/>
          <w:color w:val="auto"/>
          <w:sz w:val="32"/>
          <w:szCs w:val="32"/>
          <w:highlight w:val="none"/>
        </w:rPr>
        <w:t>（二）“三公”经费财政拨款支出决算具体情况说明</w:t>
      </w:r>
      <w:bookmarkEnd w:id="45"/>
    </w:p>
    <w:p>
      <w:pPr>
        <w:spacing w:line="600" w:lineRule="exact"/>
        <w:ind w:firstLine="640"/>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年初未安排预算</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4.65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39.5</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7.12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60.5</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keepNext w:val="0"/>
        <w:keepLines w:val="0"/>
        <w:pageBreakBefore w:val="0"/>
        <w:widowControl w:val="0"/>
        <w:kinsoku/>
        <w:wordWrap/>
        <w:overflowPunct/>
        <w:topLinePunct w:val="0"/>
        <w:autoSpaceDE/>
        <w:autoSpaceDN/>
        <w:bidi w:val="0"/>
        <w:adjustRightInd/>
        <w:snapToGrid/>
        <w:spacing w:line="240" w:lineRule="auto"/>
        <w:ind w:firstLine="641"/>
        <w:jc w:val="center"/>
        <w:textAlignment w:val="auto"/>
        <w:rPr>
          <w:rFonts w:hint="eastAsia" w:ascii="仿宋_GB2312" w:eastAsia="仿宋_GB2312"/>
          <w:b/>
          <w:color w:val="auto"/>
          <w:sz w:val="32"/>
          <w:szCs w:val="32"/>
          <w:highlight w:val="none"/>
          <w:lang w:eastAsia="zh-CN"/>
        </w:rPr>
      </w:pPr>
      <w:r>
        <w:rPr>
          <w:rFonts w:hint="eastAsia" w:ascii="仿宋_GB2312" w:eastAsia="仿宋_GB2312"/>
          <w:b/>
          <w:color w:val="auto"/>
          <w:sz w:val="32"/>
          <w:szCs w:val="32"/>
          <w:highlight w:val="none"/>
          <w:lang w:eastAsia="zh-CN"/>
        </w:rPr>
        <w:drawing>
          <wp:inline distT="0" distB="0" distL="114300" distR="114300">
            <wp:extent cx="3375660" cy="2372360"/>
            <wp:effectExtent l="0" t="0" r="15240" b="889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rPr>
          <w:rFonts w:hint="eastAsia" w:ascii="仿宋_GB2312" w:eastAsia="仿宋_GB2312"/>
          <w:b/>
          <w:color w:val="auto"/>
          <w:sz w:val="32"/>
          <w:szCs w:val="32"/>
          <w:highlight w:val="none"/>
          <w:lang w:eastAsia="zh-CN"/>
        </w:rPr>
      </w:pPr>
      <w:r>
        <w:rPr>
          <w:rStyle w:val="18"/>
          <w:rFonts w:hint="eastAsia" w:ascii="仿宋" w:hAnsi="仿宋" w:eastAsia="仿宋"/>
          <w:b w:val="0"/>
          <w:bCs/>
          <w:color w:val="auto"/>
          <w:sz w:val="32"/>
          <w:szCs w:val="32"/>
          <w:highlight w:val="none"/>
          <w:lang w:eastAsia="zh-CN"/>
        </w:rPr>
        <w:t>1.因公出国（境）经费支出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8"/>
          <w:rFonts w:hint="eastAsia" w:ascii="仿宋" w:hAnsi="仿宋" w:eastAsia="仿宋"/>
          <w:b w:val="0"/>
          <w:bCs/>
          <w:color w:val="auto"/>
          <w:sz w:val="32"/>
          <w:szCs w:val="32"/>
          <w:highlight w:val="none"/>
          <w:lang w:eastAsia="zh-CN"/>
        </w:rPr>
        <w:t>年初未安排预算</w:t>
      </w:r>
      <w:r>
        <w:rPr>
          <w:rStyle w:val="18"/>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支出决算</w:t>
      </w:r>
      <w:r>
        <w:rPr>
          <w:rFonts w:hint="eastAsia" w:ascii="仿宋_GB2312" w:eastAsia="仿宋_GB2312"/>
          <w:color w:val="auto"/>
          <w:sz w:val="32"/>
          <w:szCs w:val="32"/>
          <w:highlight w:val="none"/>
          <w:lang w:eastAsia="zh-CN"/>
        </w:rPr>
        <w:t>较</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无变化。</w:t>
      </w:r>
    </w:p>
    <w:p>
      <w:pPr>
        <w:spacing w:line="600" w:lineRule="exact"/>
        <w:ind w:firstLine="640"/>
        <w:rPr>
          <w:rFonts w:ascii="仿宋_GB2312" w:eastAsia="仿宋_GB2312"/>
          <w:b/>
          <w:color w:val="auto"/>
          <w:sz w:val="32"/>
          <w:szCs w:val="32"/>
          <w:highlight w:val="none"/>
        </w:rPr>
      </w:pPr>
      <w:r>
        <w:rPr>
          <w:rFonts w:hint="eastAsia" w:ascii="仿宋_GB2312" w:eastAsia="仿宋_GB2312"/>
          <w:color w:val="auto"/>
          <w:sz w:val="32"/>
          <w:szCs w:val="32"/>
          <w:highlight w:val="none"/>
        </w:rPr>
        <w:t>2.公务用车购置及运行维护费支出</w:t>
      </w:r>
      <w:r>
        <w:rPr>
          <w:rFonts w:hint="eastAsia" w:ascii="仿宋_GB2312" w:eastAsia="仿宋_GB2312"/>
          <w:color w:val="auto"/>
          <w:sz w:val="32"/>
          <w:szCs w:val="32"/>
          <w:highlight w:val="none"/>
          <w:lang w:val="en-US" w:eastAsia="zh-CN"/>
        </w:rPr>
        <w:t>4.65</w:t>
      </w:r>
      <w:r>
        <w:rPr>
          <w:rFonts w:hint="eastAsia" w:ascii="仿宋_GB2312" w:eastAsia="仿宋_GB2312"/>
          <w:color w:val="auto"/>
          <w:sz w:val="32"/>
          <w:szCs w:val="32"/>
          <w:highlight w:val="none"/>
        </w:rPr>
        <w:t>万元,</w:t>
      </w:r>
      <w:r>
        <w:rPr>
          <w:rStyle w:val="18"/>
          <w:rFonts w:hint="eastAsia" w:ascii="仿宋" w:hAnsi="仿宋" w:eastAsia="仿宋"/>
          <w:b w:val="0"/>
          <w:bCs/>
          <w:color w:val="auto"/>
          <w:sz w:val="32"/>
          <w:szCs w:val="32"/>
          <w:highlight w:val="none"/>
        </w:rPr>
        <w:t>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0.14</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2.9</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机关管理制度进一步加强</w:t>
      </w:r>
      <w:r>
        <w:rPr>
          <w:rFonts w:hint="eastAsia" w:ascii="仿宋_GB2312" w:eastAsia="仿宋_GB2312"/>
          <w:color w:val="auto"/>
          <w:sz w:val="32"/>
          <w:szCs w:val="32"/>
          <w:highlight w:val="none"/>
        </w:rPr>
        <w:t>。</w:t>
      </w:r>
    </w:p>
    <w:p>
      <w:pPr>
        <w:spacing w:line="600" w:lineRule="exact"/>
        <w:ind w:firstLine="640"/>
        <w:rPr>
          <w:rFonts w:hint="eastAsia" w:ascii="仿宋_GB2312" w:eastAsia="仿宋_GB2312"/>
          <w:b w:val="0"/>
          <w:bCs/>
          <w:color w:val="auto"/>
          <w:sz w:val="32"/>
          <w:szCs w:val="32"/>
          <w:highlight w:val="none"/>
        </w:rPr>
      </w:pPr>
      <w:r>
        <w:rPr>
          <w:rFonts w:hint="eastAsia" w:ascii="仿宋_GB2312" w:eastAsia="仿宋_GB2312"/>
          <w:b w:val="0"/>
          <w:bCs/>
          <w:color w:val="auto"/>
          <w:sz w:val="32"/>
          <w:szCs w:val="32"/>
          <w:highlight w:val="none"/>
        </w:rPr>
        <w:t>公务用车运行维护费支出</w:t>
      </w:r>
      <w:r>
        <w:rPr>
          <w:rFonts w:hint="eastAsia" w:ascii="仿宋_GB2312" w:eastAsia="仿宋_GB2312"/>
          <w:b w:val="0"/>
          <w:bCs/>
          <w:color w:val="auto"/>
          <w:sz w:val="32"/>
          <w:szCs w:val="32"/>
          <w:highlight w:val="none"/>
          <w:lang w:val="en-US" w:eastAsia="zh-CN"/>
        </w:rPr>
        <w:t>4.65</w:t>
      </w:r>
      <w:r>
        <w:rPr>
          <w:rFonts w:hint="eastAsia" w:ascii="仿宋_GB2312" w:eastAsia="仿宋_GB2312"/>
          <w:b w:val="0"/>
          <w:bCs/>
          <w:color w:val="auto"/>
          <w:sz w:val="32"/>
          <w:szCs w:val="32"/>
          <w:highlight w:val="none"/>
        </w:rPr>
        <w:t>万元。主要用于</w:t>
      </w:r>
      <w:r>
        <w:rPr>
          <w:rFonts w:hint="eastAsia" w:ascii="仿宋_GB2312" w:eastAsia="仿宋_GB2312"/>
          <w:b w:val="0"/>
          <w:bCs/>
          <w:color w:val="auto"/>
          <w:sz w:val="32"/>
          <w:szCs w:val="32"/>
          <w:highlight w:val="none"/>
          <w:lang w:eastAsia="zh-CN"/>
        </w:rPr>
        <w:t>农业技术指导推广</w:t>
      </w:r>
      <w:r>
        <w:rPr>
          <w:rFonts w:hint="eastAsia" w:ascii="仿宋_GB2312" w:eastAsia="仿宋_GB2312"/>
          <w:b w:val="0"/>
          <w:bCs/>
          <w:color w:val="auto"/>
          <w:sz w:val="32"/>
          <w:szCs w:val="32"/>
          <w:highlight w:val="none"/>
        </w:rPr>
        <w:t>等所需的公务用车燃料费、维修费、过路过桥费、保险费等支出。</w:t>
      </w:r>
    </w:p>
    <w:p>
      <w:pPr>
        <w:spacing w:line="600" w:lineRule="exact"/>
        <w:ind w:firstLine="640"/>
        <w:rPr>
          <w:rFonts w:ascii="仿宋_GB2312" w:eastAsia="仿宋_GB2312"/>
          <w:b w:val="0"/>
          <w:bCs/>
          <w:color w:val="auto"/>
          <w:sz w:val="32"/>
          <w:szCs w:val="32"/>
          <w:highlight w:val="none"/>
        </w:rPr>
      </w:pPr>
      <w:r>
        <w:rPr>
          <w:rFonts w:ascii="仿宋_GB2312" w:eastAsia="仿宋_GB2312"/>
          <w:b w:val="0"/>
          <w:bCs/>
          <w:color w:val="auto"/>
          <w:sz w:val="32"/>
          <w:szCs w:val="32"/>
          <w:highlight w:val="none"/>
        </w:rPr>
        <w:t>3.</w:t>
      </w:r>
      <w:r>
        <w:rPr>
          <w:rFonts w:hint="eastAsia" w:ascii="仿宋_GB2312" w:eastAsia="仿宋_GB2312"/>
          <w:b w:val="0"/>
          <w:bCs/>
          <w:color w:val="auto"/>
          <w:sz w:val="32"/>
          <w:szCs w:val="32"/>
          <w:highlight w:val="none"/>
        </w:rPr>
        <w:t>公务接待费支出</w:t>
      </w:r>
      <w:r>
        <w:rPr>
          <w:rFonts w:hint="eastAsia" w:ascii="仿宋_GB2312" w:eastAsia="仿宋_GB2312"/>
          <w:b w:val="0"/>
          <w:bCs/>
          <w:color w:val="auto"/>
          <w:sz w:val="32"/>
          <w:szCs w:val="32"/>
          <w:highlight w:val="none"/>
          <w:lang w:val="en-US" w:eastAsia="zh-CN"/>
        </w:rPr>
        <w:t>7.12</w:t>
      </w:r>
      <w:r>
        <w:rPr>
          <w:rFonts w:hint="eastAsia" w:ascii="仿宋_GB2312" w:eastAsia="仿宋_GB2312"/>
          <w:b w:val="0"/>
          <w:bCs/>
          <w:color w:val="auto"/>
          <w:sz w:val="32"/>
          <w:szCs w:val="32"/>
          <w:highlight w:val="none"/>
        </w:rPr>
        <w:t>万元，</w:t>
      </w:r>
      <w:r>
        <w:rPr>
          <w:rStyle w:val="18"/>
          <w:rFonts w:hint="eastAsia" w:ascii="仿宋" w:hAnsi="仿宋" w:eastAsia="仿宋"/>
          <w:b w:val="0"/>
          <w:bCs/>
          <w:color w:val="auto"/>
          <w:sz w:val="32"/>
          <w:szCs w:val="32"/>
          <w:highlight w:val="none"/>
        </w:rPr>
        <w:t>完成预算</w:t>
      </w:r>
      <w:r>
        <w:rPr>
          <w:rStyle w:val="18"/>
          <w:rFonts w:hint="eastAsia" w:ascii="仿宋" w:hAnsi="仿宋" w:eastAsia="仿宋"/>
          <w:b w:val="0"/>
          <w:bCs/>
          <w:color w:val="auto"/>
          <w:sz w:val="32"/>
          <w:szCs w:val="32"/>
          <w:highlight w:val="none"/>
          <w:lang w:val="en-US" w:eastAsia="zh-CN"/>
        </w:rPr>
        <w:t>73</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r>
        <w:rPr>
          <w:rFonts w:hint="eastAsia" w:ascii="仿宋_GB2312" w:eastAsia="仿宋_GB2312"/>
          <w:b w:val="0"/>
          <w:bCs/>
          <w:color w:val="auto"/>
          <w:sz w:val="32"/>
          <w:szCs w:val="32"/>
          <w:highlight w:val="none"/>
        </w:rPr>
        <w:t>公务接待费支出决算比</w:t>
      </w:r>
      <w:r>
        <w:rPr>
          <w:rFonts w:ascii="仿宋_GB2312" w:eastAsia="仿宋_GB2312"/>
          <w:b w:val="0"/>
          <w:bCs/>
          <w:color w:val="auto"/>
          <w:sz w:val="32"/>
          <w:szCs w:val="32"/>
          <w:highlight w:val="none"/>
        </w:rPr>
        <w:t>20</w:t>
      </w:r>
      <w:r>
        <w:rPr>
          <w:rFonts w:hint="eastAsia" w:ascii="仿宋_GB2312" w:eastAsia="仿宋_GB2312"/>
          <w:b w:val="0"/>
          <w:bCs/>
          <w:color w:val="auto"/>
          <w:sz w:val="32"/>
          <w:szCs w:val="32"/>
          <w:highlight w:val="none"/>
          <w:lang w:val="en-US" w:eastAsia="zh-CN"/>
        </w:rPr>
        <w:t>20</w:t>
      </w:r>
      <w:r>
        <w:rPr>
          <w:rFonts w:hint="eastAsia" w:ascii="仿宋_GB2312" w:eastAsia="仿宋_GB2312"/>
          <w:b w:val="0"/>
          <w:bCs/>
          <w:color w:val="auto"/>
          <w:sz w:val="32"/>
          <w:szCs w:val="32"/>
          <w:highlight w:val="none"/>
        </w:rPr>
        <w:t>年减少</w:t>
      </w:r>
      <w:r>
        <w:rPr>
          <w:rFonts w:hint="eastAsia" w:ascii="仿宋_GB2312" w:eastAsia="仿宋_GB2312"/>
          <w:b w:val="0"/>
          <w:bCs/>
          <w:color w:val="auto"/>
          <w:sz w:val="32"/>
          <w:szCs w:val="32"/>
          <w:highlight w:val="none"/>
          <w:lang w:val="en-US" w:eastAsia="zh-CN"/>
        </w:rPr>
        <w:t>0.88</w:t>
      </w:r>
      <w:r>
        <w:rPr>
          <w:rFonts w:hint="eastAsia" w:ascii="仿宋_GB2312" w:eastAsia="仿宋_GB2312"/>
          <w:b w:val="0"/>
          <w:bCs/>
          <w:color w:val="auto"/>
          <w:sz w:val="32"/>
          <w:szCs w:val="32"/>
          <w:highlight w:val="none"/>
        </w:rPr>
        <w:t>万元，下降</w:t>
      </w:r>
      <w:r>
        <w:rPr>
          <w:rFonts w:hint="eastAsia" w:ascii="仿宋_GB2312" w:eastAsia="仿宋_GB2312"/>
          <w:b w:val="0"/>
          <w:bCs/>
          <w:color w:val="auto"/>
          <w:sz w:val="32"/>
          <w:szCs w:val="32"/>
          <w:highlight w:val="none"/>
          <w:lang w:val="en-US" w:eastAsia="zh-CN"/>
        </w:rPr>
        <w:t>11</w:t>
      </w:r>
      <w:r>
        <w:rPr>
          <w:rFonts w:ascii="仿宋_GB2312" w:eastAsia="仿宋_GB2312"/>
          <w:b w:val="0"/>
          <w:bCs/>
          <w:color w:val="auto"/>
          <w:sz w:val="32"/>
          <w:szCs w:val="32"/>
          <w:highlight w:val="none"/>
        </w:rPr>
        <w:t>%</w:t>
      </w:r>
      <w:r>
        <w:rPr>
          <w:rFonts w:hint="eastAsia" w:ascii="仿宋_GB2312" w:eastAsia="仿宋_GB2312"/>
          <w:b w:val="0"/>
          <w:bCs/>
          <w:color w:val="auto"/>
          <w:sz w:val="32"/>
          <w:szCs w:val="32"/>
          <w:highlight w:val="none"/>
        </w:rPr>
        <w:t>。主要原因是</w:t>
      </w:r>
      <w:r>
        <w:rPr>
          <w:rFonts w:hint="eastAsia" w:ascii="仿宋" w:hAnsi="仿宋" w:eastAsia="仿宋"/>
          <w:b w:val="0"/>
          <w:bCs/>
          <w:color w:val="auto"/>
          <w:sz w:val="32"/>
          <w:szCs w:val="32"/>
          <w:highlight w:val="none"/>
          <w:lang w:eastAsia="zh-CN"/>
        </w:rPr>
        <w:t>严格执行“三公</w:t>
      </w:r>
      <w:r>
        <w:rPr>
          <w:rFonts w:hint="default" w:ascii="仿宋" w:hAnsi="仿宋" w:eastAsia="仿宋"/>
          <w:b w:val="0"/>
          <w:bCs/>
          <w:color w:val="auto"/>
          <w:sz w:val="32"/>
          <w:szCs w:val="32"/>
          <w:highlight w:val="none"/>
          <w:lang w:val="en-US" w:eastAsia="zh-CN"/>
        </w:rPr>
        <w:t>”</w:t>
      </w:r>
      <w:r>
        <w:rPr>
          <w:rFonts w:hint="eastAsia" w:ascii="仿宋" w:hAnsi="仿宋" w:eastAsia="仿宋"/>
          <w:b w:val="0"/>
          <w:bCs/>
          <w:color w:val="auto"/>
          <w:sz w:val="32"/>
          <w:szCs w:val="32"/>
          <w:highlight w:val="none"/>
          <w:lang w:val="en-US" w:eastAsia="zh-CN"/>
        </w:rPr>
        <w:t>经费支出</w:t>
      </w:r>
      <w:r>
        <w:rPr>
          <w:rFonts w:hint="eastAsia" w:ascii="仿宋" w:hAnsi="仿宋" w:eastAsia="仿宋"/>
          <w:b w:val="0"/>
          <w:bCs/>
          <w:color w:val="auto"/>
          <w:sz w:val="32"/>
          <w:szCs w:val="32"/>
          <w:highlight w:val="none"/>
        </w:rPr>
        <w:t>。</w:t>
      </w:r>
      <w:r>
        <w:rPr>
          <w:rFonts w:hint="eastAsia" w:ascii="仿宋_GB2312" w:eastAsia="仿宋_GB2312"/>
          <w:b w:val="0"/>
          <w:bCs/>
          <w:color w:val="auto"/>
          <w:sz w:val="32"/>
          <w:szCs w:val="32"/>
          <w:highlight w:val="none"/>
        </w:rPr>
        <w:t>其中：</w:t>
      </w:r>
    </w:p>
    <w:p>
      <w:pPr>
        <w:spacing w:line="600" w:lineRule="exact"/>
        <w:ind w:firstLine="640"/>
        <w:rPr>
          <w:rFonts w:ascii="仿宋_GB2312" w:eastAsia="仿宋_GB2312"/>
          <w:color w:val="auto"/>
          <w:sz w:val="32"/>
          <w:szCs w:val="32"/>
          <w:highlight w:val="none"/>
        </w:rPr>
      </w:pPr>
      <w:r>
        <w:rPr>
          <w:rFonts w:hint="eastAsia" w:ascii="仿宋" w:hAnsi="仿宋" w:eastAsia="仿宋"/>
          <w:b w:val="0"/>
          <w:bCs/>
          <w:color w:val="auto"/>
          <w:sz w:val="32"/>
          <w:szCs w:val="32"/>
          <w:highlight w:val="none"/>
        </w:rPr>
        <w:t>国内公务接待支出</w:t>
      </w:r>
      <w:r>
        <w:rPr>
          <w:rFonts w:hint="eastAsia" w:ascii="仿宋" w:hAnsi="仿宋" w:eastAsia="仿宋"/>
          <w:b w:val="0"/>
          <w:bCs/>
          <w:color w:val="auto"/>
          <w:sz w:val="32"/>
          <w:szCs w:val="32"/>
          <w:highlight w:val="none"/>
          <w:lang w:val="en-US" w:eastAsia="zh-CN"/>
        </w:rPr>
        <w:t>7.12</w:t>
      </w:r>
      <w:r>
        <w:rPr>
          <w:rFonts w:hint="eastAsia" w:ascii="仿宋_GB2312" w:eastAsia="仿宋_GB2312"/>
          <w:b w:val="0"/>
          <w:bCs/>
          <w:color w:val="auto"/>
          <w:sz w:val="32"/>
          <w:szCs w:val="32"/>
          <w:highlight w:val="none"/>
        </w:rPr>
        <w:t>万元</w:t>
      </w:r>
      <w:r>
        <w:rPr>
          <w:rFonts w:hint="eastAsia" w:ascii="仿宋_GB2312" w:eastAsia="仿宋_GB2312"/>
          <w:color w:val="auto"/>
          <w:sz w:val="32"/>
          <w:szCs w:val="32"/>
          <w:highlight w:val="none"/>
        </w:rPr>
        <w:t>，主要用于</w:t>
      </w:r>
      <w:r>
        <w:rPr>
          <w:rFonts w:hint="eastAsia" w:ascii="仿宋_GB2312" w:eastAsia="仿宋_GB2312"/>
          <w:color w:val="auto"/>
          <w:sz w:val="32"/>
          <w:szCs w:val="32"/>
          <w:highlight w:val="none"/>
          <w:lang w:eastAsia="zh-CN"/>
        </w:rPr>
        <w:t>农业农村工作开展业务活动开支</w:t>
      </w:r>
      <w:r>
        <w:rPr>
          <w:rFonts w:hint="eastAsia" w:ascii="仿宋_GB2312" w:eastAsia="仿宋_GB2312"/>
          <w:color w:val="auto"/>
          <w:sz w:val="32"/>
          <w:szCs w:val="32"/>
          <w:highlight w:val="none"/>
        </w:rPr>
        <w:t>的交通费、住宿费、用餐费等。国内公务接待</w:t>
      </w:r>
      <w:r>
        <w:rPr>
          <w:rFonts w:hint="eastAsia" w:ascii="仿宋_GB2312" w:eastAsia="仿宋_GB2312"/>
          <w:color w:val="auto"/>
          <w:sz w:val="32"/>
          <w:szCs w:val="32"/>
          <w:highlight w:val="none"/>
          <w:lang w:val="en-US" w:eastAsia="zh-CN"/>
        </w:rPr>
        <w:t>132</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660</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7.12</w:t>
      </w:r>
      <w:r>
        <w:rPr>
          <w:rFonts w:hint="eastAsia" w:ascii="仿宋_GB2312" w:eastAsia="仿宋_GB2312"/>
          <w:color w:val="auto"/>
          <w:sz w:val="32"/>
          <w:szCs w:val="32"/>
          <w:highlight w:val="none"/>
        </w:rPr>
        <w:t>万元。</w:t>
      </w:r>
    </w:p>
    <w:p>
      <w:pPr>
        <w:spacing w:line="600" w:lineRule="exact"/>
        <w:ind w:firstLine="640" w:firstLineChars="200"/>
        <w:rPr>
          <w:rFonts w:hint="eastAsia" w:ascii="仿宋_GB2312" w:eastAsia="仿宋_GB2312"/>
          <w:color w:val="auto"/>
          <w:sz w:val="32"/>
          <w:szCs w:val="32"/>
          <w:highlight w:val="none"/>
          <w:lang w:eastAsia="zh-CN"/>
        </w:rPr>
      </w:pPr>
      <w:r>
        <w:rPr>
          <w:rFonts w:hint="eastAsia" w:ascii="仿宋" w:hAnsi="仿宋" w:eastAsia="仿宋"/>
          <w:b w:val="0"/>
          <w:bCs/>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w:t>
      </w:r>
    </w:p>
    <w:p>
      <w:pPr>
        <w:spacing w:line="600" w:lineRule="exact"/>
        <w:ind w:firstLine="640"/>
        <w:outlineLvl w:val="1"/>
        <w:rPr>
          <w:rStyle w:val="29"/>
          <w:rFonts w:ascii="黑体" w:hAnsi="黑体" w:eastAsia="黑体"/>
          <w:color w:val="auto"/>
          <w:highlight w:val="none"/>
        </w:rPr>
      </w:pPr>
      <w:bookmarkStart w:id="46" w:name="_Toc15377218"/>
      <w:bookmarkStart w:id="47" w:name="_Toc15396610"/>
      <w:r>
        <w:rPr>
          <w:rFonts w:hint="eastAsia" w:ascii="黑体" w:eastAsia="黑体"/>
          <w:color w:val="auto"/>
          <w:sz w:val="32"/>
          <w:szCs w:val="32"/>
          <w:highlight w:val="none"/>
        </w:rPr>
        <w:t>八、</w:t>
      </w:r>
      <w:r>
        <w:rPr>
          <w:rStyle w:val="29"/>
          <w:rFonts w:hint="eastAsia" w:ascii="黑体" w:hAnsi="黑体" w:eastAsia="黑体"/>
          <w:b w:val="0"/>
          <w:color w:val="auto"/>
          <w:highlight w:val="none"/>
        </w:rPr>
        <w:t>政府性基金预算支出决算情况说明</w:t>
      </w:r>
      <w:bookmarkEnd w:id="46"/>
      <w:bookmarkEnd w:id="47"/>
    </w:p>
    <w:p>
      <w:pPr>
        <w:spacing w:line="600" w:lineRule="exact"/>
        <w:ind w:firstLine="640"/>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w:t>
      </w:r>
      <w:r>
        <w:rPr>
          <w:rFonts w:hint="eastAsia" w:ascii="仿宋_GB2312" w:eastAsia="仿宋_GB2312"/>
          <w:color w:val="auto"/>
          <w:sz w:val="32"/>
          <w:szCs w:val="32"/>
          <w:highlight w:val="none"/>
          <w:lang w:eastAsia="zh-CN"/>
        </w:rPr>
        <w:t>年初结转和结余</w:t>
      </w:r>
      <w:r>
        <w:rPr>
          <w:rFonts w:hint="eastAsia" w:ascii="仿宋_GB2312" w:eastAsia="仿宋_GB2312"/>
          <w:color w:val="auto"/>
          <w:sz w:val="32"/>
          <w:szCs w:val="32"/>
          <w:highlight w:val="none"/>
          <w:lang w:val="en-US" w:eastAsia="zh-CN"/>
        </w:rPr>
        <w:t>5276.5</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，本年收入</w:t>
      </w:r>
      <w:r>
        <w:rPr>
          <w:rFonts w:hint="eastAsia" w:ascii="仿宋_GB2312" w:eastAsia="仿宋_GB2312"/>
          <w:color w:val="auto"/>
          <w:sz w:val="32"/>
          <w:szCs w:val="32"/>
          <w:highlight w:val="none"/>
          <w:lang w:val="en-US" w:eastAsia="zh-CN"/>
        </w:rPr>
        <w:t>31600万元，本年支出36876.5万元，年未无结转结余</w:t>
      </w:r>
      <w:r>
        <w:rPr>
          <w:rFonts w:hint="eastAsia" w:ascii="仿宋_GB2312" w:eastAsia="仿宋_GB2312"/>
          <w:color w:val="auto"/>
          <w:sz w:val="32"/>
          <w:szCs w:val="32"/>
          <w:highlight w:val="none"/>
        </w:rPr>
        <w:t>。</w:t>
      </w:r>
    </w:p>
    <w:p>
      <w:pPr>
        <w:numPr>
          <w:ilvl w:val="0"/>
          <w:numId w:val="0"/>
        </w:numPr>
        <w:spacing w:line="600" w:lineRule="exact"/>
        <w:ind w:firstLine="640" w:firstLineChars="200"/>
        <w:outlineLvl w:val="1"/>
        <w:rPr>
          <w:rStyle w:val="29"/>
          <w:rFonts w:ascii="黑体" w:hAnsi="黑体" w:eastAsia="黑体"/>
          <w:b w:val="0"/>
          <w:color w:val="auto"/>
          <w:highlight w:val="none"/>
        </w:rPr>
      </w:pPr>
      <w:bookmarkStart w:id="48" w:name="_Toc15396611"/>
      <w:bookmarkStart w:id="49" w:name="_Toc15377219"/>
      <w:r>
        <w:rPr>
          <w:rStyle w:val="29"/>
          <w:rFonts w:hint="eastAsia" w:ascii="黑体" w:hAnsi="黑体" w:eastAsia="黑体"/>
          <w:b w:val="0"/>
          <w:color w:val="auto"/>
          <w:highlight w:val="none"/>
          <w:lang w:val="en-US" w:eastAsia="zh-CN"/>
        </w:rPr>
        <w:t>九、</w:t>
      </w:r>
      <w:r>
        <w:rPr>
          <w:rStyle w:val="29"/>
          <w:rFonts w:hint="eastAsia" w:ascii="黑体" w:hAnsi="黑体" w:eastAsia="黑体"/>
          <w:b w:val="0"/>
          <w:color w:val="auto"/>
          <w:highlight w:val="none"/>
        </w:rPr>
        <w:t>国有资本经营预算支出决算情况说明</w:t>
      </w:r>
      <w:bookmarkEnd w:id="48"/>
      <w:bookmarkEnd w:id="49"/>
    </w:p>
    <w:p>
      <w:pPr>
        <w:spacing w:line="600" w:lineRule="exact"/>
        <w:ind w:firstLine="640"/>
        <w:rPr>
          <w:rFonts w:hint="eastAsia"/>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bookmarkStart w:id="50" w:name="_Toc15396612"/>
      <w:bookmarkStart w:id="51" w:name="_Toc15377221"/>
    </w:p>
    <w:p>
      <w:pPr>
        <w:numPr>
          <w:ilvl w:val="0"/>
          <w:numId w:val="0"/>
        </w:numPr>
        <w:spacing w:line="600" w:lineRule="exact"/>
        <w:ind w:firstLine="640" w:firstLineChars="200"/>
        <w:outlineLvl w:val="1"/>
        <w:rPr>
          <w:rStyle w:val="29"/>
          <w:rFonts w:hint="eastAsia" w:ascii="黑体" w:hAnsi="黑体" w:eastAsia="黑体"/>
          <w:b w:val="0"/>
          <w:color w:val="auto"/>
          <w:highlight w:val="none"/>
        </w:rPr>
      </w:pPr>
      <w:r>
        <w:rPr>
          <w:rStyle w:val="29"/>
          <w:rFonts w:hint="eastAsia" w:ascii="黑体" w:hAnsi="黑体" w:eastAsia="黑体"/>
          <w:b w:val="0"/>
          <w:color w:val="auto"/>
          <w:highlight w:val="none"/>
          <w:lang w:val="en-US" w:eastAsia="zh-CN"/>
        </w:rPr>
        <w:t>十、预算绩效管理情况</w:t>
      </w:r>
    </w:p>
    <w:p>
      <w:pPr>
        <w:numPr>
          <w:ilvl w:val="0"/>
          <w:numId w:val="0"/>
        </w:numPr>
        <w:spacing w:line="600" w:lineRule="exact"/>
        <w:ind w:firstLine="640" w:firstLineChars="200"/>
        <w:outlineLvl w:val="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根据预算绩效管理要求，本部门在</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预算编制阶段，组织对</w:t>
      </w:r>
      <w:r>
        <w:rPr>
          <w:rFonts w:hint="eastAsia" w:ascii="仿宋_GB2312" w:hAnsi="仿宋_GB2312" w:eastAsia="仿宋_GB2312" w:cs="仿宋_GB2312"/>
          <w:color w:val="auto"/>
          <w:sz w:val="32"/>
          <w:szCs w:val="32"/>
          <w:highlight w:val="none"/>
          <w:lang w:eastAsia="zh-CN"/>
        </w:rPr>
        <w:t>十年长江禁捕、广元灰鸡保种、广元灰鸡性能测定、</w:t>
      </w:r>
      <w:r>
        <w:rPr>
          <w:rFonts w:hint="eastAsia" w:ascii="仿宋_GB2312" w:hAnsi="仿宋_GB2312" w:eastAsia="仿宋_GB2312" w:cs="仿宋_GB2312"/>
          <w:color w:val="auto"/>
          <w:sz w:val="32"/>
          <w:szCs w:val="32"/>
          <w:highlight w:val="none"/>
          <w:lang w:val="en-US" w:eastAsia="zh-CN"/>
        </w:rPr>
        <w:t>农业公共安全与生态资源保护利用、农作物品种展示评价及安全性监测</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lang w:val="en-US" w:eastAsia="zh-CN"/>
        </w:rPr>
        <w:t>5个项目</w:t>
      </w:r>
      <w:r>
        <w:rPr>
          <w:rFonts w:hint="eastAsia" w:ascii="仿宋_GB2312" w:hAnsi="仿宋_GB2312" w:eastAsia="仿宋_GB2312" w:cs="仿宋_GB2312"/>
          <w:color w:val="auto"/>
          <w:sz w:val="32"/>
          <w:szCs w:val="32"/>
          <w:highlight w:val="none"/>
        </w:rPr>
        <w:t>开展了预算事前绩效评估，对</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个项目开展绩效监控，年终执行完毕后，对</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个项目开展了绩效自评</w:t>
      </w:r>
      <w:r>
        <w:rPr>
          <w:rFonts w:hint="eastAsia" w:ascii="仿宋_GB2312" w:hAnsi="仿宋_GB2312" w:eastAsia="仿宋_GB2312" w:cs="仿宋_GB2312"/>
          <w:color w:val="auto"/>
          <w:sz w:val="32"/>
          <w:szCs w:val="32"/>
          <w:highlight w:val="none"/>
          <w:lang w:eastAsia="zh-CN"/>
        </w:rPr>
        <w:t>。同时，</w:t>
      </w:r>
      <w:r>
        <w:rPr>
          <w:rFonts w:hint="eastAsia" w:ascii="仿宋_GB2312" w:hAnsi="仿宋_GB2312" w:eastAsia="仿宋_GB2312" w:cs="仿宋_GB2312"/>
          <w:color w:val="auto"/>
          <w:sz w:val="32"/>
          <w:szCs w:val="32"/>
          <w:highlight w:val="none"/>
        </w:rPr>
        <w:t>本部门对20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年部门整体开展绩效自评，《202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农业农村局</w:t>
      </w:r>
      <w:r>
        <w:rPr>
          <w:rFonts w:hint="eastAsia" w:ascii="仿宋_GB2312" w:hAnsi="仿宋_GB2312" w:eastAsia="仿宋_GB2312" w:cs="仿宋_GB2312"/>
          <w:color w:val="auto"/>
          <w:sz w:val="32"/>
          <w:szCs w:val="32"/>
          <w:highlight w:val="none"/>
        </w:rPr>
        <w:t>整体</w:t>
      </w:r>
      <w:r>
        <w:rPr>
          <w:rFonts w:hint="eastAsia" w:ascii="仿宋_GB2312" w:hAnsi="仿宋_GB2312" w:eastAsia="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rPr>
        <w:t>绩效评价报告》见附件（</w:t>
      </w:r>
      <w:r>
        <w:rPr>
          <w:rFonts w:hint="eastAsia" w:ascii="仿宋_GB2312" w:hAnsi="仿宋_GB2312" w:eastAsia="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val="0"/>
        <w:autoSpaceDN/>
        <w:bidi w:val="0"/>
        <w:adjustRightInd/>
        <w:snapToGrid/>
        <w:spacing w:line="560" w:lineRule="exact"/>
        <w:jc w:val="both"/>
        <w:textAlignment w:val="auto"/>
        <w:rPr>
          <w:rFonts w:hint="eastAsia" w:ascii="宋体" w:hAnsi="宋体" w:eastAsia="宋体" w:cs="宋体"/>
          <w:b/>
          <w:bCs w:val="0"/>
          <w:spacing w:val="-6"/>
          <w:sz w:val="44"/>
          <w:szCs w:val="44"/>
          <w:lang w:eastAsia="zh-CN"/>
        </w:rPr>
      </w:pPr>
    </w:p>
    <w:p>
      <w:pPr>
        <w:pStyle w:val="2"/>
        <w:rPr>
          <w:rFonts w:hint="eastAsia" w:ascii="宋体" w:hAnsi="宋体" w:eastAsia="宋体" w:cs="宋体"/>
          <w:b/>
          <w:bCs w:val="0"/>
          <w:spacing w:val="-6"/>
          <w:sz w:val="44"/>
          <w:szCs w:val="44"/>
          <w:lang w:eastAsia="zh-CN"/>
        </w:rPr>
      </w:pPr>
    </w:p>
    <w:p>
      <w:pPr>
        <w:rPr>
          <w:rFonts w:hint="eastAsia" w:ascii="宋体" w:hAnsi="宋体" w:eastAsia="宋体" w:cs="宋体"/>
          <w:b/>
          <w:bCs w:val="0"/>
          <w:spacing w:val="-6"/>
          <w:sz w:val="44"/>
          <w:szCs w:val="44"/>
          <w:lang w:eastAsia="zh-CN"/>
        </w:rPr>
      </w:pPr>
    </w:p>
    <w:p>
      <w:pPr>
        <w:pStyle w:val="2"/>
        <w:rPr>
          <w:rFonts w:hint="eastAsia" w:ascii="宋体" w:hAnsi="宋体" w:eastAsia="宋体" w:cs="宋体"/>
          <w:b/>
          <w:bCs w:val="0"/>
          <w:spacing w:val="-6"/>
          <w:sz w:val="44"/>
          <w:szCs w:val="44"/>
          <w:lang w:eastAsia="zh-CN"/>
        </w:rPr>
      </w:pPr>
    </w:p>
    <w:p>
      <w:pPr>
        <w:rPr>
          <w:rFonts w:hint="eastAsia" w:ascii="宋体" w:hAnsi="宋体" w:eastAsia="宋体" w:cs="宋体"/>
          <w:b/>
          <w:bCs w:val="0"/>
          <w:spacing w:val="-6"/>
          <w:sz w:val="44"/>
          <w:szCs w:val="44"/>
          <w:lang w:eastAsia="zh-CN"/>
        </w:rPr>
      </w:pPr>
    </w:p>
    <w:p>
      <w:pPr>
        <w:pStyle w:val="2"/>
        <w:ind w:left="0" w:leftChars="0" w:firstLine="0" w:firstLineChars="0"/>
        <w:rPr>
          <w:rFonts w:hint="eastAsia" w:ascii="宋体" w:hAnsi="宋体" w:eastAsia="宋体" w:cs="宋体"/>
          <w:b/>
          <w:bCs w:val="0"/>
          <w:spacing w:val="-6"/>
          <w:sz w:val="44"/>
          <w:szCs w:val="44"/>
          <w:lang w:eastAsia="zh-CN"/>
        </w:rPr>
      </w:pPr>
    </w:p>
    <w:p>
      <w:pPr>
        <w:rPr>
          <w:rFonts w:hint="eastAsia"/>
          <w:lang w:eastAsia="zh-CN"/>
        </w:rPr>
      </w:pPr>
    </w:p>
    <w:p>
      <w:pPr>
        <w:pStyle w:val="2"/>
        <w:rPr>
          <w:rFonts w:hint="eastAsia" w:ascii="宋体" w:hAnsi="宋体" w:eastAsia="宋体" w:cs="宋体"/>
          <w:b/>
          <w:bCs w:val="0"/>
          <w:spacing w:val="-6"/>
          <w:sz w:val="44"/>
          <w:szCs w:val="44"/>
          <w:lang w:eastAsia="zh-CN"/>
        </w:rPr>
      </w:pPr>
    </w:p>
    <w:p>
      <w:pPr>
        <w:rPr>
          <w:rFonts w:hint="eastAsia" w:ascii="宋体" w:hAnsi="宋体" w:eastAsia="宋体" w:cs="宋体"/>
          <w:b/>
          <w:bCs w:val="0"/>
          <w:spacing w:val="-6"/>
          <w:sz w:val="44"/>
          <w:szCs w:val="44"/>
          <w:lang w:eastAsia="zh-CN"/>
        </w:rPr>
      </w:pPr>
    </w:p>
    <w:p>
      <w:pPr>
        <w:pStyle w:val="2"/>
        <w:rPr>
          <w:rFonts w:hint="eastAsia" w:ascii="宋体" w:hAnsi="宋体" w:eastAsia="宋体" w:cs="宋体"/>
          <w:b/>
          <w:bCs w:val="0"/>
          <w:spacing w:val="-6"/>
          <w:sz w:val="44"/>
          <w:szCs w:val="44"/>
          <w:lang w:eastAsia="zh-CN"/>
        </w:rPr>
      </w:pPr>
    </w:p>
    <w:p>
      <w:pPr>
        <w:rPr>
          <w:rFonts w:hint="eastAsia" w:ascii="宋体" w:hAnsi="宋体" w:eastAsia="宋体" w:cs="宋体"/>
          <w:b/>
          <w:bCs w:val="0"/>
          <w:spacing w:val="-6"/>
          <w:sz w:val="44"/>
          <w:szCs w:val="44"/>
          <w:lang w:eastAsia="zh-CN"/>
        </w:rPr>
      </w:pPr>
    </w:p>
    <w:p>
      <w:pPr>
        <w:pStyle w:val="2"/>
        <w:rPr>
          <w:rFonts w:hint="eastAsia"/>
          <w:lang w:eastAsia="zh-CN"/>
        </w:rPr>
      </w:pPr>
    </w:p>
    <w:p>
      <w:pPr>
        <w:pStyle w:val="2"/>
        <w:rPr>
          <w:rFonts w:hint="eastAsia" w:ascii="宋体" w:hAnsi="宋体" w:eastAsia="宋体" w:cs="宋体"/>
          <w:b/>
          <w:bCs w:val="0"/>
          <w:spacing w:val="-6"/>
          <w:sz w:val="44"/>
          <w:szCs w:val="44"/>
          <w:lang w:eastAsia="zh-CN"/>
        </w:rPr>
      </w:pPr>
    </w:p>
    <w:p>
      <w:pPr>
        <w:rPr>
          <w:rFonts w:hint="eastAsia"/>
          <w:lang w:eastAsia="zh-CN"/>
        </w:rPr>
      </w:pPr>
    </w:p>
    <w:bookmarkEnd w:id="50"/>
    <w:bookmarkEnd w:id="51"/>
    <w:p>
      <w:pPr>
        <w:numPr>
          <w:ilvl w:val="0"/>
          <w:numId w:val="2"/>
        </w:numPr>
        <w:spacing w:line="600" w:lineRule="exact"/>
        <w:ind w:firstLine="660" w:firstLineChars="150"/>
        <w:jc w:val="center"/>
        <w:outlineLvl w:val="0"/>
        <w:rPr>
          <w:rStyle w:val="28"/>
          <w:rFonts w:ascii="黑体" w:hAnsi="黑体" w:eastAsia="黑体"/>
          <w:b w:val="0"/>
          <w:color w:val="auto"/>
          <w:highlight w:val="none"/>
        </w:rPr>
      </w:pPr>
      <w:bookmarkStart w:id="52" w:name="_Toc15377225"/>
      <w:bookmarkStart w:id="53" w:name="_Toc15396613"/>
      <w:r>
        <w:rPr>
          <w:rFonts w:hint="eastAsia" w:ascii="黑体" w:hAnsi="黑体" w:eastAsia="黑体"/>
          <w:color w:val="auto"/>
          <w:sz w:val="44"/>
          <w:szCs w:val="44"/>
          <w:highlight w:val="none"/>
        </w:rPr>
        <w:t>名</w:t>
      </w:r>
      <w:r>
        <w:rPr>
          <w:rStyle w:val="28"/>
          <w:rFonts w:hint="eastAsia" w:ascii="黑体" w:hAnsi="黑体" w:eastAsia="黑体"/>
          <w:b w:val="0"/>
          <w:color w:val="auto"/>
          <w:highlight w:val="none"/>
        </w:rPr>
        <w:t>词解释</w:t>
      </w:r>
      <w:bookmarkEnd w:id="52"/>
      <w:bookmarkEnd w:id="53"/>
    </w:p>
    <w:p>
      <w:pPr>
        <w:pStyle w:val="26"/>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6"/>
        <w:spacing w:line="560" w:lineRule="exact"/>
        <w:ind w:firstLine="640" w:firstLineChars="200"/>
        <w:rPr>
          <w:rFonts w:hint="eastAsia"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6"/>
        <w:spacing w:line="560" w:lineRule="exact"/>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6"/>
        <w:spacing w:line="560" w:lineRule="exact"/>
        <w:ind w:firstLine="640" w:firstLineChars="200"/>
        <w:rPr>
          <w:rFonts w:hint="eastAsia"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6</w:t>
      </w:r>
      <w:r>
        <w:rPr>
          <w:rFonts w:ascii="仿宋_GB2312" w:eastAsia="仿宋_GB2312"/>
          <w:sz w:val="32"/>
          <w:szCs w:val="32"/>
        </w:rPr>
        <w:t>.</w:t>
      </w:r>
      <w:r>
        <w:rPr>
          <w:rFonts w:hint="eastAsia" w:ascii="仿宋_GB2312" w:eastAsia="仿宋_GB2312"/>
          <w:sz w:val="32"/>
          <w:szCs w:val="32"/>
        </w:rPr>
        <w:t>结余分配：指事业单位按照事业单位会计制度的规定从非财政补助结余中分配的事业基金和职工福利基金等。</w:t>
      </w:r>
    </w:p>
    <w:p>
      <w:pPr>
        <w:pStyle w:val="26"/>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、年末结转和结余：指单位按有关规定结转到下年或以后年度继续使用的资金。</w:t>
      </w:r>
    </w:p>
    <w:p>
      <w:p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8.社会保障和就业支出（类）208（款） 05（项）05：指本单位对机关事业基本养老保险的支出。</w:t>
      </w:r>
    </w:p>
    <w:p>
      <w:pPr>
        <w:pStyle w:val="2"/>
        <w:ind w:left="0" w:leftChars="0" w:firstLine="640" w:firstLineChars="200"/>
        <w:rPr>
          <w:rFonts w:hint="eastAsia"/>
          <w:lang w:val="en-US" w:eastAsia="zh-CN"/>
        </w:rPr>
      </w:pPr>
      <w:r>
        <w:rPr>
          <w:rFonts w:hint="eastAsia" w:ascii="仿宋_GB2312" w:hAnsi="Calibri" w:eastAsia="仿宋_GB2312" w:cs="仿宋"/>
          <w:color w:val="000000"/>
          <w:kern w:val="0"/>
          <w:sz w:val="32"/>
          <w:szCs w:val="32"/>
          <w:lang w:val="en-US" w:eastAsia="zh-CN" w:bidi="ar-SA"/>
        </w:rPr>
        <w:t>9.社会保障和就业支出（类）208（款） 05（项）06：指本单位对机关事业职业年金的支出。</w:t>
      </w:r>
    </w:p>
    <w:p>
      <w:pPr>
        <w:numPr>
          <w:ilvl w:val="0"/>
          <w:numId w:val="3"/>
        </w:numPr>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卫生健康支出（类）210（款）11（项）01：反映财政部门安排的行政单位基本医疗保险缴费。</w:t>
      </w:r>
    </w:p>
    <w:p>
      <w:pPr>
        <w:pStyle w:val="2"/>
        <w:numPr>
          <w:ilvl w:val="0"/>
          <w:numId w:val="0"/>
        </w:numPr>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11.节能环保支出（类）211（款）04（项）02：反映农村环境保护项目支出。</w:t>
      </w:r>
    </w:p>
    <w:p>
      <w:p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12.节能环保支出（类）211（款）99（项）99：反映其他用于节能环保方面的支出。</w:t>
      </w:r>
    </w:p>
    <w:p>
      <w:p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13.农林水支出（类）213（款）01（项）01:反映行政单位的基本支出。</w:t>
      </w:r>
    </w:p>
    <w:p>
      <w:pPr>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14.农林水支出（类）213（款）01（项）02：反映行政单位未单独设置项级科目的其他支出。</w:t>
      </w:r>
    </w:p>
    <w:p>
      <w:pPr>
        <w:pStyle w:val="2"/>
        <w:ind w:left="0" w:leftChars="0" w:firstLine="640" w:firstLineChars="200"/>
        <w:rPr>
          <w:rFonts w:hint="default"/>
          <w:b/>
          <w:bCs/>
          <w:lang w:val="en-US" w:eastAsia="zh-CN"/>
        </w:rPr>
      </w:pPr>
      <w:r>
        <w:rPr>
          <w:rFonts w:hint="eastAsia" w:ascii="仿宋_GB2312" w:hAnsi="Calibri" w:eastAsia="仿宋_GB2312" w:cs="仿宋"/>
          <w:color w:val="000000"/>
          <w:kern w:val="0"/>
          <w:sz w:val="32"/>
          <w:szCs w:val="32"/>
          <w:lang w:val="en-US" w:eastAsia="zh-CN" w:bidi="ar-SA"/>
        </w:rPr>
        <w:t>15.农林水支出（类）213（款）01（项）04：反映用于农业事业单位基本支出，事业单位设施、系统运行与资产维护等方面的支出。</w:t>
      </w:r>
    </w:p>
    <w:p>
      <w:pPr>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16.农林水支出（类）213（款）01（项）08：反映用于病虫鼠害及疫情监测、预报、预防、控制、检疫、防疫所需的仪器、设施、药物、疫苗、种苗，疫畜（禽、鱼、植物）防治、扑杀补偿及劳务补助、菌（毒）种保藏及动植物及其产品检疫、检测等方面的支出。</w:t>
      </w:r>
    </w:p>
    <w:p>
      <w:pPr>
        <w:pStyle w:val="2"/>
        <w:ind w:left="0" w:leftChars="0" w:firstLine="640" w:firstLineChars="200"/>
        <w:rPr>
          <w:rFonts w:hint="default"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17.农林水支出（类）213（款）01（项）09：反映用于农产品及其投入品的质量安全评估、监测、抽查、认证、应急处置，相关标准的制定、修订、实施、监管等方面的支出。</w:t>
      </w:r>
    </w:p>
    <w:p>
      <w:pPr>
        <w:pStyle w:val="2"/>
        <w:ind w:left="0" w:leftChars="0"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18.农林水支出（类）213（款）01（项）12：反映用于农业农村政策研究、规划编制、评审评估、绩效评价、监督检查等基本业务管理工作的支出。</w:t>
      </w:r>
    </w:p>
    <w:p>
      <w:pPr>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0000FF"/>
          <w:kern w:val="0"/>
          <w:sz w:val="32"/>
          <w:szCs w:val="32"/>
          <w:lang w:val="en-US" w:eastAsia="zh-CN" w:bidi="ar-SA"/>
        </w:rPr>
        <w:t xml:space="preserve">   </w:t>
      </w:r>
      <w:r>
        <w:rPr>
          <w:rFonts w:hint="eastAsia" w:ascii="仿宋_GB2312" w:hAnsi="Calibri" w:eastAsia="仿宋_GB2312" w:cs="仿宋"/>
          <w:color w:val="auto"/>
          <w:kern w:val="0"/>
          <w:sz w:val="32"/>
          <w:szCs w:val="32"/>
          <w:lang w:val="en-US" w:eastAsia="zh-CN" w:bidi="ar-SA"/>
        </w:rPr>
        <w:t xml:space="preserve"> 19.农林水支出（类）213（款）01（项）19：反映对农业生产因遭受自然、生物灾害损失给予的补助，促进农业防灾增产措施补助，海难救助补助，因其他灾害导致农牧渔业生产者损失给予的补助。</w:t>
      </w:r>
    </w:p>
    <w:p>
      <w:pPr>
        <w:ind w:firstLine="640" w:firstLineChars="200"/>
        <w:rPr>
          <w:rFonts w:hint="eastAsia"/>
          <w:color w:val="auto"/>
          <w:lang w:val="en-US" w:eastAsia="zh-CN"/>
        </w:rPr>
      </w:pPr>
      <w:r>
        <w:rPr>
          <w:rFonts w:hint="eastAsia" w:ascii="仿宋_GB2312" w:hAnsi="Calibri" w:eastAsia="仿宋_GB2312" w:cs="仿宋"/>
          <w:color w:val="auto"/>
          <w:kern w:val="0"/>
          <w:sz w:val="32"/>
          <w:szCs w:val="32"/>
          <w:lang w:val="en-US" w:eastAsia="zh-CN" w:bidi="ar-SA"/>
        </w:rPr>
        <w:t>20.农林水支出（类）213（款）01（项）21：反映政府对农业结构调整给予的补贴。</w:t>
      </w:r>
    </w:p>
    <w:p>
      <w:pPr>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21.农林水支出（类）213（款）01（项）22：反映用于耕地地力保护、适度规模经营、农机购置补贴、优势特色主导产业发展、畜牧水发发展、农村一二三产业融合等方面支出。</w:t>
      </w:r>
    </w:p>
    <w:p>
      <w:pPr>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22.农林水支出（类）213（款）01（项）24：反映农村集体经济组织、农民合作经济组织、新型农业经营主体和农业社会化服务体系建设，以及土地承包管理、宅基地管理等方面的支出。</w:t>
      </w:r>
    </w:p>
    <w:p>
      <w:pPr>
        <w:pStyle w:val="2"/>
        <w:ind w:left="0" w:leftChars="0" w:firstLine="640" w:firstLineChars="200"/>
        <w:rPr>
          <w:rFonts w:hint="default"/>
          <w:color w:val="auto"/>
          <w:lang w:val="en-US" w:eastAsia="zh-CN"/>
        </w:rPr>
      </w:pPr>
      <w:r>
        <w:rPr>
          <w:rFonts w:hint="eastAsia" w:ascii="仿宋_GB2312" w:hAnsi="Calibri" w:eastAsia="仿宋_GB2312" w:cs="仿宋"/>
          <w:color w:val="auto"/>
          <w:kern w:val="0"/>
          <w:sz w:val="32"/>
          <w:szCs w:val="32"/>
          <w:lang w:val="en-US" w:eastAsia="zh-CN" w:bidi="ar-SA"/>
        </w:rPr>
        <w:t>23.农林水支出（类）213（款）01（项）26：反映于于农村社会事业发展的支出。</w:t>
      </w:r>
    </w:p>
    <w:p>
      <w:pPr>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24..农林水支出（类）213（款）01（项）99：反映除上述项目以久其他用于农业农村方面的支出。</w:t>
      </w:r>
    </w:p>
    <w:p>
      <w:pPr>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25.农林水支出（类）213（款）05（项）04：反映用于农村欠发达地区乡村道路、住房、基本农田、水利设施、人畜饮水、生态环境保护等生产生活条件改善方面的支出。</w:t>
      </w:r>
    </w:p>
    <w:p>
      <w:pPr>
        <w:pStyle w:val="2"/>
        <w:rPr>
          <w:rFonts w:hint="eastAsia"/>
          <w:lang w:val="en-US" w:eastAsia="zh-CN"/>
        </w:rPr>
      </w:pPr>
      <w:r>
        <w:rPr>
          <w:rFonts w:hint="eastAsia" w:ascii="仿宋_GB2312" w:hAnsi="Calibri" w:eastAsia="仿宋_GB2312" w:cs="仿宋"/>
          <w:color w:val="000000"/>
          <w:kern w:val="0"/>
          <w:sz w:val="32"/>
          <w:szCs w:val="32"/>
          <w:lang w:val="en-US" w:eastAsia="zh-CN" w:bidi="ar-SA"/>
        </w:rPr>
        <w:t>26.农林水支出（类）213（款）05（项）05：</w:t>
      </w:r>
    </w:p>
    <w:p>
      <w:pPr>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27.农林水支出（类）213（款）05（项）06：反映用于农村欠发达地区中小学教育、文化、广播、电视、卫生健康等方面的项目支出。</w:t>
      </w:r>
    </w:p>
    <w:p>
      <w:pPr>
        <w:pStyle w:val="2"/>
        <w:rPr>
          <w:rFonts w:hint="default"/>
          <w:lang w:val="en-US" w:eastAsia="zh-CN"/>
        </w:rPr>
      </w:pPr>
      <w:r>
        <w:rPr>
          <w:rFonts w:hint="eastAsia" w:ascii="仿宋_GB2312" w:hAnsi="Calibri" w:eastAsia="仿宋_GB2312" w:cs="仿宋"/>
          <w:color w:val="000000"/>
          <w:kern w:val="0"/>
          <w:sz w:val="32"/>
          <w:szCs w:val="32"/>
          <w:lang w:val="en-US" w:eastAsia="zh-CN" w:bidi="ar-SA"/>
        </w:rPr>
        <w:t>28.农林水支出（类）213（款）05（项）07：</w:t>
      </w:r>
    </w:p>
    <w:p>
      <w:pPr>
        <w:ind w:firstLine="640" w:firstLineChars="200"/>
        <w:jc w:val="both"/>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29.农林水支出（类）213（款）05（项）99：反映用于其他扶贫支出 。</w:t>
      </w:r>
    </w:p>
    <w:p>
      <w:pPr>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30.农林水支出（类）213（款）08（项）03：反映对农民或农业生产经营组织投保农业保险给予的补贴。</w:t>
      </w:r>
    </w:p>
    <w:p>
      <w:pPr>
        <w:numPr>
          <w:ilvl w:val="0"/>
          <w:numId w:val="0"/>
        </w:numPr>
        <w:ind w:leftChars="0"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31.农林水支出（类）213（款）99（项）99：反映除化解债务支出以外其他用于农林水方面的支出。</w:t>
      </w:r>
    </w:p>
    <w:p>
      <w:pPr>
        <w:numPr>
          <w:ilvl w:val="0"/>
          <w:numId w:val="0"/>
        </w:numPr>
        <w:ind w:leftChars="0"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32.住房保障支出（类）221（款）02（项）01：反映行政事业单位按人力资源和社会保障部、财政部规定的基本工资和津贴补贴以及规定比例为职工缴纳的住房公积金。</w:t>
      </w:r>
    </w:p>
    <w:p>
      <w:pPr>
        <w:pStyle w:val="2"/>
        <w:ind w:left="0" w:leftChars="0"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33.粮油物资储备支出（类）222（款）01（项）99：反映基他重要商品储备支出。</w:t>
      </w:r>
    </w:p>
    <w:p>
      <w:pPr>
        <w:pStyle w:val="2"/>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34.基本支出：指为保障机构正常运转、完成日常工作任务而发生的人员支出和公用支出。</w:t>
      </w:r>
    </w:p>
    <w:p>
      <w:pPr>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 xml:space="preserve">35.项目支出：指在基本支出之外为完成特定行政任务和事业发展目标所发生的支出。 </w:t>
      </w:r>
    </w:p>
    <w:p>
      <w:pPr>
        <w:pStyle w:val="26"/>
        <w:spacing w:line="56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eastAsia="仿宋_GB2312" w:cs="仿宋"/>
          <w:color w:val="000000"/>
          <w:kern w:val="0"/>
          <w:sz w:val="32"/>
          <w:szCs w:val="32"/>
          <w:lang w:val="en-US" w:eastAsia="zh-CN" w:bidi="ar-SA"/>
        </w:rPr>
        <w:t>36</w:t>
      </w:r>
      <w:r>
        <w:rPr>
          <w:rFonts w:hint="eastAsia" w:ascii="仿宋_GB2312" w:hAnsi="Calibri" w:eastAsia="仿宋_GB2312" w:cs="仿宋"/>
          <w:color w:val="000000"/>
          <w:kern w:val="0"/>
          <w:sz w:val="32"/>
          <w:szCs w:val="32"/>
          <w:lang w:val="en-US" w:eastAsia="zh-CN" w:bidi="ar-SA"/>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eastAsia="仿宋_GB2312" w:cs="仿宋"/>
          <w:color w:val="000000"/>
          <w:kern w:val="0"/>
          <w:sz w:val="32"/>
          <w:szCs w:val="32"/>
          <w:lang w:val="en-US" w:eastAsia="zh-CN" w:bidi="ar-SA"/>
        </w:rPr>
        <w:t>37</w:t>
      </w:r>
      <w:r>
        <w:rPr>
          <w:rFonts w:hint="eastAsia" w:ascii="仿宋_GB2312" w:hAnsi="Calibri" w:eastAsia="仿宋_GB2312" w:cs="仿宋"/>
          <w:color w:val="000000"/>
          <w:kern w:val="0"/>
          <w:sz w:val="32"/>
          <w:szCs w:val="32"/>
          <w:lang w:val="en-US" w:eastAsia="zh-CN" w:bidi="ar-SA"/>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4"/>
      </w:pPr>
    </w:p>
    <w:p>
      <w:pPr>
        <w:pStyle w:val="26"/>
        <w:spacing w:line="560" w:lineRule="exact"/>
        <w:ind w:firstLine="640" w:firstLineChars="200"/>
        <w:rPr>
          <w:rFonts w:ascii="仿宋_GB2312" w:eastAsia="仿宋_GB2312" w:cs="黑体"/>
          <w:color w:val="auto"/>
          <w:sz w:val="32"/>
          <w:szCs w:val="32"/>
          <w:highlight w:val="none"/>
        </w:rPr>
      </w:pPr>
    </w:p>
    <w:p>
      <w:pPr>
        <w:spacing w:line="600" w:lineRule="exact"/>
        <w:jc w:val="center"/>
        <w:outlineLvl w:val="0"/>
        <w:rPr>
          <w:rFonts w:hint="eastAsia" w:ascii="黑体" w:hAnsi="黑体" w:eastAsia="黑体"/>
          <w:color w:val="auto"/>
          <w:sz w:val="44"/>
          <w:szCs w:val="44"/>
          <w:highlight w:val="none"/>
        </w:rPr>
      </w:pPr>
      <w:bookmarkStart w:id="54" w:name="_Toc15396614"/>
      <w:bookmarkStart w:id="55" w:name="_Toc15377226"/>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2"/>
        <w:rPr>
          <w:rFonts w:hint="eastAsia"/>
        </w:rPr>
      </w:pPr>
    </w:p>
    <w:p>
      <w:pPr>
        <w:numPr>
          <w:ilvl w:val="0"/>
          <w:numId w:val="2"/>
        </w:numPr>
        <w:spacing w:line="600" w:lineRule="exact"/>
        <w:ind w:left="0" w:leftChars="0" w:firstLine="660" w:firstLineChars="150"/>
        <w:jc w:val="center"/>
        <w:outlineLvl w:val="0"/>
        <w:rPr>
          <w:rStyle w:val="28"/>
          <w:rFonts w:hint="eastAsia" w:ascii="黑体" w:hAnsi="黑体" w:eastAsia="黑体"/>
          <w:b w:val="0"/>
          <w:color w:val="auto"/>
          <w:highlight w:val="none"/>
        </w:rPr>
      </w:pPr>
      <w:r>
        <w:rPr>
          <w:rStyle w:val="28"/>
          <w:rFonts w:hint="eastAsia" w:ascii="黑体" w:hAnsi="黑体" w:eastAsia="黑体"/>
          <w:b w:val="0"/>
          <w:color w:val="auto"/>
          <w:highlight w:val="none"/>
        </w:rPr>
        <w:t>附件</w:t>
      </w:r>
      <w:bookmarkEnd w:id="54"/>
    </w:p>
    <w:p>
      <w:pPr>
        <w:pStyle w:val="8"/>
        <w:numPr>
          <w:ilvl w:val="0"/>
          <w:numId w:val="0"/>
        </w:numPr>
        <w:rPr>
          <w:rFonts w:hint="eastAsia"/>
          <w:lang w:eastAsia="zh-CN"/>
        </w:rPr>
      </w:pPr>
    </w:p>
    <w:p>
      <w:pPr>
        <w:keepNext w:val="0"/>
        <w:keepLines w:val="0"/>
        <w:pageBreakBefore w:val="0"/>
        <w:kinsoku/>
        <w:wordWrap/>
        <w:overflowPunct/>
        <w:topLinePunct w:val="0"/>
        <w:autoSpaceDN/>
        <w:bidi w:val="0"/>
        <w:adjustRightInd w:val="0"/>
        <w:snapToGrid w:val="0"/>
        <w:spacing w:line="560" w:lineRule="exact"/>
        <w:jc w:val="center"/>
        <w:textAlignment w:val="auto"/>
        <w:rPr>
          <w:rFonts w:hint="eastAsia" w:ascii="华文中宋" w:hAnsi="华文中宋" w:eastAsia="华文中宋" w:cs="方正小标宋简体"/>
          <w:b/>
          <w:sz w:val="44"/>
          <w:szCs w:val="44"/>
          <w:highlight w:val="none"/>
          <w:lang w:eastAsia="zh-CN"/>
        </w:rPr>
      </w:pPr>
      <w:r>
        <w:rPr>
          <w:rFonts w:hint="eastAsia" w:ascii="华文中宋" w:hAnsi="华文中宋" w:eastAsia="华文中宋" w:cs="方正小标宋简体"/>
          <w:b/>
          <w:sz w:val="44"/>
          <w:szCs w:val="44"/>
          <w:highlight w:val="none"/>
        </w:rPr>
        <w:t>202</w:t>
      </w:r>
      <w:r>
        <w:rPr>
          <w:rFonts w:hint="eastAsia" w:ascii="华文中宋" w:hAnsi="华文中宋" w:eastAsia="华文中宋" w:cs="方正小标宋简体"/>
          <w:b/>
          <w:sz w:val="44"/>
          <w:szCs w:val="44"/>
          <w:highlight w:val="none"/>
          <w:lang w:val="en-US" w:eastAsia="zh-CN"/>
        </w:rPr>
        <w:t>1</w:t>
      </w:r>
      <w:r>
        <w:rPr>
          <w:rFonts w:hint="eastAsia" w:ascii="华文中宋" w:hAnsi="华文中宋" w:eastAsia="华文中宋" w:cs="方正小标宋简体"/>
          <w:b/>
          <w:sz w:val="44"/>
          <w:szCs w:val="44"/>
          <w:highlight w:val="none"/>
        </w:rPr>
        <w:t>年</w:t>
      </w:r>
      <w:r>
        <w:rPr>
          <w:rFonts w:hint="eastAsia" w:ascii="华文中宋" w:hAnsi="华文中宋" w:eastAsia="华文中宋" w:cs="方正小标宋简体"/>
          <w:b/>
          <w:sz w:val="44"/>
          <w:szCs w:val="44"/>
          <w:highlight w:val="none"/>
          <w:lang w:val="en-US" w:eastAsia="zh-CN"/>
        </w:rPr>
        <w:t>度农业农村局</w:t>
      </w:r>
      <w:r>
        <w:rPr>
          <w:rFonts w:hint="eastAsia" w:ascii="华文中宋" w:hAnsi="华文中宋" w:eastAsia="华文中宋" w:cs="方正小标宋简体"/>
          <w:b/>
          <w:sz w:val="44"/>
          <w:szCs w:val="44"/>
          <w:highlight w:val="none"/>
        </w:rPr>
        <w:t>整体支出绩效</w:t>
      </w:r>
      <w:r>
        <w:rPr>
          <w:rFonts w:hint="eastAsia" w:ascii="华文中宋" w:hAnsi="华文中宋" w:eastAsia="华文中宋" w:cs="方正小标宋简体"/>
          <w:b/>
          <w:sz w:val="44"/>
          <w:szCs w:val="44"/>
          <w:highlight w:val="none"/>
          <w:lang w:eastAsia="zh-CN"/>
        </w:rPr>
        <w:t>评价</w:t>
      </w:r>
    </w:p>
    <w:p>
      <w:pPr>
        <w:keepNext w:val="0"/>
        <w:keepLines w:val="0"/>
        <w:pageBreakBefore w:val="0"/>
        <w:kinsoku/>
        <w:wordWrap/>
        <w:overflowPunct/>
        <w:topLinePunct w:val="0"/>
        <w:autoSpaceDN/>
        <w:bidi w:val="0"/>
        <w:adjustRightInd w:val="0"/>
        <w:snapToGrid w:val="0"/>
        <w:spacing w:line="560" w:lineRule="exact"/>
        <w:jc w:val="center"/>
        <w:textAlignment w:val="auto"/>
        <w:rPr>
          <w:rFonts w:hint="eastAsia" w:ascii="华文中宋" w:hAnsi="华文中宋" w:eastAsia="华文中宋" w:cs="方正小标宋简体"/>
          <w:b/>
          <w:sz w:val="44"/>
          <w:szCs w:val="44"/>
          <w:highlight w:val="none"/>
        </w:rPr>
      </w:pPr>
      <w:r>
        <w:rPr>
          <w:rFonts w:hint="eastAsia" w:ascii="华文中宋" w:hAnsi="华文中宋" w:eastAsia="华文中宋" w:cs="方正小标宋简体"/>
          <w:b/>
          <w:sz w:val="44"/>
          <w:szCs w:val="44"/>
          <w:highlight w:val="none"/>
        </w:rPr>
        <w:t>报</w:t>
      </w:r>
      <w:r>
        <w:rPr>
          <w:rFonts w:hint="eastAsia" w:ascii="华文中宋" w:hAnsi="华文中宋" w:eastAsia="华文中宋" w:cs="方正小标宋简体"/>
          <w:b/>
          <w:sz w:val="44"/>
          <w:szCs w:val="44"/>
          <w:highlight w:val="none"/>
          <w:lang w:val="en-US" w:eastAsia="zh-CN"/>
        </w:rPr>
        <w:t xml:space="preserve"> </w:t>
      </w:r>
      <w:r>
        <w:rPr>
          <w:rFonts w:hint="eastAsia" w:ascii="华文中宋" w:hAnsi="华文中宋" w:eastAsia="华文中宋" w:cs="方正小标宋简体"/>
          <w:b/>
          <w:sz w:val="44"/>
          <w:szCs w:val="44"/>
          <w:highlight w:val="none"/>
        </w:rPr>
        <w:t>告</w:t>
      </w:r>
    </w:p>
    <w:p>
      <w:pPr>
        <w:keepNext w:val="0"/>
        <w:keepLines w:val="0"/>
        <w:pageBreakBefore w:val="0"/>
        <w:kinsoku/>
        <w:wordWrap/>
        <w:overflowPunct/>
        <w:topLinePunct w:val="0"/>
        <w:autoSpaceDN/>
        <w:bidi w:val="0"/>
        <w:adjustRightInd w:val="0"/>
        <w:snapToGrid w:val="0"/>
        <w:spacing w:line="560" w:lineRule="exact"/>
        <w:ind w:firstLine="453" w:firstLineChars="103"/>
        <w:jc w:val="center"/>
        <w:textAlignment w:val="auto"/>
        <w:rPr>
          <w:rFonts w:hint="eastAsia" w:ascii="华文中宋" w:hAnsi="华文中宋" w:eastAsia="华文中宋" w:cs="方正小标宋简体"/>
          <w:b/>
          <w:sz w:val="44"/>
          <w:szCs w:val="44"/>
          <w:highlight w:val="none"/>
        </w:rPr>
      </w:pP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contextualSpacing/>
        <w:jc w:val="left"/>
        <w:textAlignment w:val="auto"/>
        <w:rPr>
          <w:rFonts w:hint="eastAsia" w:ascii="黑体" w:hAnsi="黑体" w:eastAsia="黑体" w:cs="Times New Roman"/>
          <w:color w:val="000000"/>
          <w:kern w:val="0"/>
          <w:sz w:val="32"/>
          <w:szCs w:val="32"/>
          <w:shd w:val="clear" w:color="auto" w:fill="FFFFFF"/>
        </w:rPr>
      </w:pPr>
      <w:r>
        <w:rPr>
          <w:rFonts w:hint="eastAsia" w:ascii="黑体" w:hAnsi="黑体" w:eastAsia="黑体" w:cs="Times New Roman"/>
          <w:color w:val="000000"/>
          <w:kern w:val="0"/>
          <w:sz w:val="32"/>
          <w:szCs w:val="32"/>
          <w:shd w:val="clear" w:color="auto" w:fill="FFFFFF"/>
        </w:rPr>
        <w:t>一、部门（单位）概况</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contextualSpacing/>
        <w:jc w:val="left"/>
        <w:textAlignment w:val="auto"/>
        <w:rPr>
          <w:rFonts w:hint="eastAsia" w:ascii="楷体_GB2312" w:hAnsi="Times New Roman" w:eastAsia="楷体_GB2312"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rPr>
        <w:t>（一）机构组成</w:t>
      </w:r>
    </w:p>
    <w:p>
      <w:pPr>
        <w:keepNext w:val="0"/>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区农业农村局属财政一级预算单位，下属二级预算单位0个，其中参照公务员法管理的事业单位2个，其他事业单位7个。</w:t>
      </w:r>
    </w:p>
    <w:p>
      <w:pPr>
        <w:keepNext w:val="0"/>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楷体_GB2312" w:hAnsi="Times New Roman" w:eastAsia="楷体_GB2312" w:cs="Times New Roman"/>
          <w:color w:val="000000"/>
          <w:kern w:val="0"/>
          <w:sz w:val="32"/>
          <w:szCs w:val="32"/>
          <w:shd w:val="clear" w:color="auto" w:fill="FFFFFF"/>
          <w:lang w:eastAsia="zh-CN"/>
        </w:rPr>
        <w:t>（</w:t>
      </w:r>
      <w:r>
        <w:rPr>
          <w:rFonts w:hint="eastAsia" w:ascii="楷体_GB2312" w:hAnsi="Times New Roman" w:eastAsia="楷体_GB2312" w:cs="Times New Roman"/>
          <w:color w:val="000000"/>
          <w:kern w:val="0"/>
          <w:sz w:val="32"/>
          <w:szCs w:val="32"/>
          <w:shd w:val="clear" w:color="auto" w:fill="FFFFFF"/>
          <w:lang w:val="en-US" w:eastAsia="zh-CN"/>
        </w:rPr>
        <w:t>二</w:t>
      </w:r>
      <w:r>
        <w:rPr>
          <w:rFonts w:hint="eastAsia" w:ascii="楷体_GB2312" w:hAnsi="Times New Roman" w:eastAsia="楷体_GB2312" w:cs="Times New Roman"/>
          <w:color w:val="000000"/>
          <w:kern w:val="0"/>
          <w:sz w:val="32"/>
          <w:szCs w:val="32"/>
          <w:shd w:val="clear" w:color="auto" w:fill="FFFFFF"/>
          <w:lang w:eastAsia="zh-CN"/>
        </w:rPr>
        <w:t>）</w:t>
      </w:r>
      <w:r>
        <w:rPr>
          <w:rFonts w:hint="eastAsia" w:ascii="楷体_GB2312" w:hAnsi="Times New Roman" w:eastAsia="楷体_GB2312" w:cs="Times New Roman"/>
          <w:color w:val="000000"/>
          <w:kern w:val="0"/>
          <w:sz w:val="32"/>
          <w:szCs w:val="32"/>
          <w:shd w:val="clear" w:color="auto" w:fill="FFFFFF"/>
        </w:rPr>
        <w:t>机构职能</w:t>
      </w:r>
    </w:p>
    <w:p>
      <w:pPr>
        <w:keepNext w:val="0"/>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贯彻执行党和国家有关种植业、畜牧业、渔业、农业机械化、农垦等农业领域（以下简称农业）工作的法律、法规与方针、政策以及省委省政府、市委市政府、区委区政府关于农业方面的决策部署，拟订全区农业和农村经济发展战略、中长期发展规划、政策并组织实施，组织起草有关农业和农村经济的规范性文件，参与拟订涉农财税、价格、金融保险等政策，提出农业产业保护的政策建议，推进农业依法行政。</w:t>
      </w:r>
    </w:p>
    <w:p>
      <w:pPr>
        <w:keepNext w:val="0"/>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承担完善农村经营管理体制的责任。提出深化农村经济体制改革和稳定完善农村基本经营制度的政策建议，指导农村土地承包、耕地使用权流转和承包纠纷仲裁管理；指导、监督减轻农民负担和村民筹资筹劳管理工作，指导农村集体资产和财务管理；拟订农业产业化经营的发展规划与政策并组织实施，指导、扶持农业社会化服务体系、农村合作经济组织、农民合作社和农产品行业协会的建设与发展。</w:t>
      </w:r>
    </w:p>
    <w:p>
      <w:pPr>
        <w:keepNext w:val="0"/>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指导粮油、畜禽、水产等主要农产品生产工作，组织落实促进粮油、畜禽、水产等主要农产品生产发展的相关政策措施，引导农业产业结构调整和产品品质的改善；会同有关部门指导农业标准化、规模化生产；拟订农业开发规划并监督实施，负责提出农业固定资产投资规模和方向、有关财政性资金安排、财政政策和项目的建议意见并指导实施；配合区级财政部门组织实施农业综合开发有关项目。参与组织实施种粮农民补贴、畜牧水产良种补贴和政策性农业保险工作。</w:t>
      </w:r>
    </w:p>
    <w:p>
      <w:pPr>
        <w:keepNext w:val="0"/>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指导农业产业化经营，促进农业产前、产中、产后一体化发展；组织拟订优势特色效益农业发展、现代农业产业基地建设等政策与规划并组织实施，提出促进大宗农产品流通政策和主要农产品进口建议，研究制订大宗农产品市场体系建设与发展规划，培育、保护和发展农产品品牌；负责指导全区休闲农业发展；负责生猪屠宰管理；组织协调“菜篮子”工程有关工作。</w:t>
      </w:r>
    </w:p>
    <w:p>
      <w:pPr>
        <w:keepNext w:val="0"/>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承担提升农产品质量安全水平的责任；组织开展全区农产品质量安全的监督管理，组织拟订农产品质量地方标准并会同有关部门组织实施和监督管理，负责农产品质量安全监测，依法开展农产品质量安全风险评估和质量追溯，发布有关农产品质量安全状况信息，指导农业检验检测体系建设和机构考核，依法组织实施符合安全标准的农产品生产基地认定、产品认证、农产品地理标志登记保护和监督管理。</w:t>
      </w:r>
    </w:p>
    <w:p>
      <w:pPr>
        <w:keepNext w:val="0"/>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组织、协调农业生产资料市场体系建设，依法实施农作物种子（种苗）、食用菌种、蚕种、草种、种畜禽、水产种苗、农药、肥料、兽药（渔药）、饲料、饲料添加剂等农业生产资料的许可及监督管理职责，监督管理兽医医疗器械、肥料；会同有关部门监督实施农业生产资料国家标准，拟订有关农业生产资料地方标准并会同有关部门监督实施，依法开展农资市场秩序的整顿、规范和农资打假工作；承担渔政、渔港、渔船、渔机、网具的监督管理职责。</w:t>
      </w:r>
    </w:p>
    <w:p>
      <w:pPr>
        <w:keepNext w:val="0"/>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负责制定全区农业机械化发展规划并组织实施；组织开展农业机械化重大技术攻关和关键技术装备开发，引进、示范和推广农业机械新技术、新机具，指导全区农业机械化基础设施建设的规划、建设和技术工作，指导农村机电提灌、机耕道建设，承担农业机械化使用安全监管职责。</w:t>
      </w:r>
    </w:p>
    <w:p>
      <w:pPr>
        <w:keepNext w:val="0"/>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指导农作物重大病虫害防治；会同有关部门制定动植物防疫检疫政策并指导实施；指导动植物防疫检疫体系建设，组织、监督对区内动植物的防疫检疫工作，上报疫情并组织扑灭；组织植物检疫性有害生物普查；承担区内从境外引进农作物种子（种苗）检疫工作，牵头管理外来农业物种；组织兽医医政和兽药药政药检工作。</w:t>
      </w:r>
    </w:p>
    <w:p>
      <w:pPr>
        <w:keepNext w:val="0"/>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承担农业防灾减灾责任，监测、核查、发布农业灾情，组织种子、种苗、化肥、兽药（渔药）等农业生产救灾物资的储备和调拨，提出生产救灾资金安排建议，指导紧急救灾和灾后生产恢复。</w:t>
      </w:r>
    </w:p>
    <w:p>
      <w:pPr>
        <w:keepNext w:val="0"/>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管理农业和农村经济信息，监测分析农业和农村经济运行，开展相关农业统计工作；发布农业和农村经济信息，负责农业信息体系建设，指导农业信息服务。</w:t>
      </w:r>
    </w:p>
    <w:p>
      <w:pPr>
        <w:keepNext w:val="0"/>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制定全区农业科研、农技推广的规划、计划和有关政策并组织实施，会同有关部门组织区级农业科技创新体系、农业产业技术体系建设；组织农作物、畜禽、水产养殖等新品种育种攻关和农业先进技术引进、试验、示范，组织实施农业领域的高新技术和应用技术研究、科技成果转化和技术推广，负责农业科技成果管理，指导农技推广体系改革与建设；负责农业植物新品种保护和农业转基因生物的安全监督管理。</w:t>
      </w:r>
    </w:p>
    <w:p>
      <w:pPr>
        <w:keepNext w:val="0"/>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负责农业资源区划和资源保护工作，指导农用地、渔业水域、宜农滩涂、宜农湿地以及农业生物物种资源的保护和管理，负责水生野生动植物保护工作；依法管理耕地质量，拟订耕地及基本农田质量保护与改良政策并指导实施；运用工程设施、农艺、农机、生物等措施发展资源节约型、环境友好型农业。</w:t>
      </w:r>
    </w:p>
    <w:p>
      <w:pPr>
        <w:keepNext w:val="0"/>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13、</w:t>
      </w:r>
      <w:r>
        <w:rPr>
          <w:rFonts w:hint="eastAsia" w:ascii="仿宋_GB2312" w:hAnsi="仿宋_GB2312" w:eastAsia="仿宋_GB2312" w:cs="仿宋_GB2312"/>
          <w:sz w:val="32"/>
          <w:szCs w:val="32"/>
          <w:highlight w:val="none"/>
        </w:rPr>
        <w:t>负责农村能源建设和资源环境工作，制定并组织实施农业资源环境建设规划，指导农村可再生能源综合开发与利用，指导农业生物质产业发展和农业农村节能减排，承担指导农业面源污染防治工作；提出划定农产品禁止生产区域的政策建议，指导生态农业、循环农业等发展；会同有关部门保护渔业水域生态环境。</w:t>
      </w:r>
    </w:p>
    <w:p>
      <w:pPr>
        <w:keepNext w:val="0"/>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14、</w:t>
      </w:r>
      <w:r>
        <w:rPr>
          <w:rFonts w:hint="eastAsia" w:ascii="仿宋_GB2312" w:hAnsi="仿宋_GB2312" w:eastAsia="仿宋_GB2312" w:cs="仿宋_GB2312"/>
          <w:sz w:val="32"/>
          <w:szCs w:val="32"/>
          <w:highlight w:val="none"/>
        </w:rPr>
        <w:t>负责水产渔政工作。拟订渔业发展和渔业资源保护利用规划；负责全区渔业生产，指导水产品加工、流通和市场建设；负责水产品质量安全管理和水生动物的防疫、检疫以及渔药、渔饲料使用环节的监督检查；负责水生生物和水产种质资源保护区管理；实施渔业环境监测；协调仲裁重大渔事纠纷，查处重大渔政案件，牵头查处渔业污染事故；负责全区渔业船舶登记检验和各类渔业项目审查；指导渔业安全生产。</w:t>
      </w:r>
    </w:p>
    <w:p>
      <w:pPr>
        <w:keepNext w:val="0"/>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15、</w:t>
      </w:r>
      <w:r>
        <w:rPr>
          <w:rFonts w:hint="eastAsia" w:ascii="仿宋_GB2312" w:hAnsi="仿宋_GB2312" w:eastAsia="仿宋_GB2312" w:cs="仿宋_GB2312"/>
          <w:sz w:val="32"/>
          <w:szCs w:val="32"/>
          <w:highlight w:val="none"/>
        </w:rPr>
        <w:t>会同有关部门拟订全区农业农村人才队伍建设规划并组织实施，指导农业职业教育和农业职业技能开发工作，参与实施农村实用人才培训工程；承担农民教育培训工作，会同有关部门实施农业农村人才专业技术资格和从业资格管理有关工作。</w:t>
      </w:r>
    </w:p>
    <w:p>
      <w:pPr>
        <w:keepNext w:val="0"/>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16、</w:t>
      </w:r>
      <w:r>
        <w:rPr>
          <w:rFonts w:hint="eastAsia" w:ascii="仿宋_GB2312" w:hAnsi="仿宋_GB2312" w:eastAsia="仿宋_GB2312" w:cs="仿宋_GB2312"/>
          <w:sz w:val="32"/>
          <w:szCs w:val="32"/>
          <w:highlight w:val="none"/>
        </w:rPr>
        <w:t>承办政府间农业涉外事务，参与拟订农业对外开放政策和外向型农业发展规划，指导外向型农业发展；组织实施农业“引进来”和“走出去”战略，促进农业贸易工作，协助开展农业领域国际经济、技术交流与合作，协助有关部门组织实施农业援外项目。</w:t>
      </w:r>
    </w:p>
    <w:p>
      <w:pPr>
        <w:keepNext w:val="0"/>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17、</w:t>
      </w:r>
      <w:r>
        <w:rPr>
          <w:rFonts w:hint="eastAsia" w:ascii="仿宋_GB2312" w:hAnsi="仿宋_GB2312" w:eastAsia="仿宋_GB2312" w:cs="仿宋_GB2312"/>
          <w:sz w:val="32"/>
          <w:szCs w:val="32"/>
          <w:highlight w:val="none"/>
        </w:rPr>
        <w:t>承担区政府公布的有关行政审批事项。</w:t>
      </w:r>
    </w:p>
    <w:p>
      <w:pPr>
        <w:keepNext w:val="0"/>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18、</w:t>
      </w:r>
      <w:r>
        <w:rPr>
          <w:rFonts w:hint="eastAsia" w:ascii="仿宋_GB2312" w:hAnsi="仿宋_GB2312" w:eastAsia="仿宋_GB2312" w:cs="仿宋_GB2312"/>
          <w:sz w:val="32"/>
          <w:szCs w:val="32"/>
          <w:highlight w:val="none"/>
        </w:rPr>
        <w:t>承办区政府交办的其他事项。</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contextualSpacing/>
        <w:jc w:val="left"/>
        <w:textAlignment w:val="auto"/>
        <w:rPr>
          <w:rFonts w:hint="eastAsia" w:ascii="楷体_GB2312" w:hAnsi="Times New Roman" w:eastAsia="楷体_GB2312"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rPr>
        <w:t>（三）人员概况</w:t>
      </w:r>
    </w:p>
    <w:p>
      <w:pPr>
        <w:keepNext w:val="0"/>
        <w:keepLines w:val="0"/>
        <w:pageBreakBefore w:val="0"/>
        <w:kinsoku/>
        <w:wordWrap/>
        <w:overflowPunct/>
        <w:topLinePunct w:val="0"/>
        <w:autoSpaceDN/>
        <w:bidi w:val="0"/>
        <w:spacing w:line="560" w:lineRule="exact"/>
        <w:ind w:firstLine="640" w:firstLineChars="200"/>
        <w:textAlignment w:val="auto"/>
      </w:pP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rPr>
        <w:t>农业农村局总编制87名，其中行政编制14 名，行政执法编制22名，事业编制49名，工勤编制2人，自收自支编制0名。在职人员总数89人，其中行政人员27人，行政执法编制人员13人，事业人员42人，工勤人员7人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退休人员73人。</w:t>
      </w:r>
      <w:r>
        <w:rPr>
          <w:rFonts w:hint="eastAsia" w:ascii="仿宋" w:hAnsi="仿宋" w:eastAsia="仿宋"/>
          <w:sz w:val="32"/>
          <w:szCs w:val="32"/>
        </w:rPr>
        <w:t xml:space="preserve"> </w:t>
      </w:r>
    </w:p>
    <w:p>
      <w:pPr>
        <w:pStyle w:val="14"/>
        <w:rPr>
          <w:rFonts w:hint="eastAsia"/>
        </w:rPr>
      </w:pP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contextualSpacing/>
        <w:jc w:val="left"/>
        <w:textAlignment w:val="auto"/>
        <w:rPr>
          <w:rFonts w:hint="eastAsia" w:ascii="黑体" w:hAnsi="黑体" w:eastAsia="黑体" w:cs="Times New Roman"/>
          <w:color w:val="000000"/>
          <w:kern w:val="0"/>
          <w:sz w:val="32"/>
          <w:szCs w:val="32"/>
          <w:shd w:val="clear" w:color="auto" w:fill="FFFFFF"/>
        </w:rPr>
      </w:pPr>
      <w:r>
        <w:rPr>
          <w:rFonts w:hint="eastAsia" w:ascii="黑体" w:hAnsi="黑体" w:eastAsia="黑体" w:cs="Times New Roman"/>
          <w:color w:val="000000"/>
          <w:kern w:val="0"/>
          <w:sz w:val="32"/>
          <w:szCs w:val="32"/>
          <w:shd w:val="clear" w:color="auto" w:fill="FFFFFF"/>
        </w:rPr>
        <w:t>二、部门财政资金收支情况</w:t>
      </w:r>
    </w:p>
    <w:p>
      <w:pPr>
        <w:keepNext w:val="0"/>
        <w:keepLines w:val="0"/>
        <w:pageBreakBefore w:val="0"/>
        <w:kinsoku/>
        <w:wordWrap/>
        <w:overflowPunct/>
        <w:topLinePunct w:val="0"/>
        <w:autoSpaceDN/>
        <w:bidi w:val="0"/>
        <w:spacing w:line="560" w:lineRule="exact"/>
        <w:ind w:firstLine="640" w:firstLineChars="200"/>
        <w:textAlignment w:val="auto"/>
        <w:rPr>
          <w:rFonts w:hint="eastAsia" w:ascii="楷体_GB2312" w:hAnsi="Times New Roman" w:eastAsia="楷体_GB2312" w:cs="Times New Roman"/>
          <w:color w:val="000000"/>
          <w:kern w:val="0"/>
          <w:sz w:val="32"/>
          <w:szCs w:val="32"/>
          <w:highlight w:val="none"/>
          <w:shd w:val="clear" w:color="auto" w:fill="FFFFFF"/>
        </w:rPr>
      </w:pPr>
      <w:r>
        <w:rPr>
          <w:rFonts w:hint="eastAsia" w:ascii="楷体_GB2312" w:hAnsi="Times New Roman" w:eastAsia="楷体_GB2312" w:cs="Times New Roman"/>
          <w:color w:val="000000"/>
          <w:kern w:val="0"/>
          <w:sz w:val="32"/>
          <w:szCs w:val="32"/>
          <w:highlight w:val="none"/>
          <w:shd w:val="clear" w:color="auto" w:fill="FFFFFF"/>
        </w:rPr>
        <w:t>（一）部门财政资金收入情况</w:t>
      </w:r>
    </w:p>
    <w:p>
      <w:pPr>
        <w:spacing w:line="600" w:lineRule="exact"/>
        <w:ind w:firstLine="640" w:firstLineChars="200"/>
        <w:outlineLvl w:val="1"/>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51598.61</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19969.35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38.7</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31600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61.24</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29.25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contextualSpacing/>
        <w:jc w:val="left"/>
        <w:textAlignment w:val="auto"/>
        <w:rPr>
          <w:rFonts w:hint="eastAsia" w:ascii="楷体_GB2312" w:hAnsi="Times New Roman" w:eastAsia="楷体_GB2312"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lang w:eastAsia="zh-CN"/>
        </w:rPr>
        <w:t>（二）</w:t>
      </w:r>
      <w:r>
        <w:rPr>
          <w:rFonts w:hint="eastAsia" w:ascii="楷体_GB2312" w:hAnsi="Times New Roman" w:eastAsia="楷体_GB2312" w:cs="Times New Roman"/>
          <w:color w:val="000000"/>
          <w:kern w:val="0"/>
          <w:sz w:val="32"/>
          <w:szCs w:val="32"/>
          <w:shd w:val="clear" w:color="auto" w:fill="FFFFFF"/>
        </w:rPr>
        <w:t>部门财政资金支出情况</w:t>
      </w:r>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w:t>
      </w:r>
      <w:r>
        <w:rPr>
          <w:rFonts w:hint="eastAsia" w:ascii="仿宋_GB2312" w:hAnsi="仿宋_GB2312" w:eastAsia="仿宋_GB2312" w:cs="仿宋_GB2312"/>
          <w:sz w:val="32"/>
          <w:szCs w:val="32"/>
          <w:lang w:val="en-US" w:eastAsia="zh-CN"/>
        </w:rPr>
        <w:t>本年支出合计</w:t>
      </w:r>
      <w:r>
        <w:rPr>
          <w:rFonts w:hint="eastAsia" w:ascii="仿宋" w:hAnsi="仿宋" w:eastAsia="仿宋"/>
          <w:color w:val="auto"/>
          <w:sz w:val="32"/>
          <w:szCs w:val="32"/>
          <w:highlight w:val="none"/>
          <w:lang w:val="en-US" w:eastAsia="zh-CN"/>
        </w:rPr>
        <w:t>54228.86</w:t>
      </w:r>
      <w:r>
        <w:rPr>
          <w:rFonts w:hint="eastAsia" w:ascii="仿宋_GB2312" w:hAnsi="仿宋_GB2312" w:eastAsia="仿宋_GB2312" w:cs="仿宋_GB2312"/>
          <w:sz w:val="32"/>
          <w:szCs w:val="32"/>
          <w:lang w:val="en-US" w:eastAsia="zh-CN"/>
        </w:rPr>
        <w:t>万元，</w:t>
      </w:r>
      <w:r>
        <w:rPr>
          <w:rFonts w:hint="eastAsia" w:ascii="仿宋" w:hAnsi="仿宋" w:eastAsia="仿宋"/>
          <w:color w:val="auto"/>
          <w:sz w:val="32"/>
          <w:szCs w:val="32"/>
          <w:highlight w:val="none"/>
        </w:rPr>
        <w:t>主要用于以下方面:社会保障和就业支出</w:t>
      </w:r>
      <w:r>
        <w:rPr>
          <w:rFonts w:hint="eastAsia" w:ascii="仿宋" w:hAnsi="仿宋" w:eastAsia="仿宋"/>
          <w:color w:val="auto"/>
          <w:sz w:val="32"/>
          <w:szCs w:val="32"/>
          <w:highlight w:val="none"/>
          <w:lang w:val="en-US" w:eastAsia="zh-CN"/>
        </w:rPr>
        <w:t>152.07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0.2</w:t>
      </w:r>
      <w:r>
        <w:rPr>
          <w:rFonts w:hint="eastAsia" w:ascii="仿宋" w:hAnsi="仿宋" w:eastAsia="仿宋"/>
          <w:color w:val="auto"/>
          <w:sz w:val="32"/>
          <w:szCs w:val="32"/>
          <w:highlight w:val="none"/>
        </w:rPr>
        <w:t>%；卫生健康支出</w:t>
      </w:r>
      <w:r>
        <w:rPr>
          <w:rFonts w:hint="eastAsia" w:ascii="仿宋" w:hAnsi="仿宋" w:eastAsia="仿宋"/>
          <w:color w:val="auto"/>
          <w:sz w:val="32"/>
          <w:szCs w:val="32"/>
          <w:highlight w:val="none"/>
          <w:lang w:val="en-US" w:eastAsia="zh-CN"/>
        </w:rPr>
        <w:t>70.88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0.1</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节能环保支出</w:t>
      </w:r>
      <w:r>
        <w:rPr>
          <w:rFonts w:hint="eastAsia" w:ascii="仿宋" w:hAnsi="仿宋" w:eastAsia="仿宋"/>
          <w:color w:val="auto"/>
          <w:sz w:val="32"/>
          <w:szCs w:val="32"/>
          <w:highlight w:val="none"/>
          <w:lang w:val="en-US" w:eastAsia="zh-CN"/>
        </w:rPr>
        <w:t>530万元，</w:t>
      </w:r>
      <w:r>
        <w:rPr>
          <w:rFonts w:hint="eastAsia" w:ascii="仿宋" w:hAnsi="仿宋" w:eastAsia="仿宋"/>
          <w:color w:val="auto"/>
          <w:sz w:val="32"/>
          <w:szCs w:val="32"/>
          <w:highlight w:val="none"/>
        </w:rPr>
        <w:t>占</w:t>
      </w: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；农林水支出16485.05万元，</w:t>
      </w:r>
      <w:r>
        <w:rPr>
          <w:rFonts w:hint="eastAsia" w:ascii="仿宋" w:hAnsi="仿宋" w:eastAsia="仿宋"/>
          <w:color w:val="auto"/>
          <w:sz w:val="32"/>
          <w:szCs w:val="32"/>
          <w:highlight w:val="none"/>
        </w:rPr>
        <w:t>占</w:t>
      </w:r>
      <w:r>
        <w:rPr>
          <w:rFonts w:hint="eastAsia" w:ascii="仿宋" w:hAnsi="仿宋" w:eastAsia="仿宋"/>
          <w:color w:val="auto"/>
          <w:sz w:val="32"/>
          <w:szCs w:val="32"/>
          <w:highlight w:val="none"/>
          <w:lang w:val="en-US" w:eastAsia="zh-CN"/>
        </w:rPr>
        <w:t>30.4</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住房保障支出</w:t>
      </w:r>
      <w:r>
        <w:rPr>
          <w:rFonts w:hint="eastAsia" w:ascii="仿宋" w:hAnsi="仿宋" w:eastAsia="仿宋"/>
          <w:color w:val="auto"/>
          <w:sz w:val="32"/>
          <w:szCs w:val="32"/>
          <w:highlight w:val="none"/>
          <w:lang w:val="en-US" w:eastAsia="zh-CN"/>
        </w:rPr>
        <w:t>84.37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0.2</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粮油物资储备支出</w:t>
      </w:r>
      <w:r>
        <w:rPr>
          <w:rFonts w:hint="eastAsia" w:ascii="仿宋" w:hAnsi="仿宋" w:eastAsia="仿宋"/>
          <w:color w:val="auto"/>
          <w:sz w:val="32"/>
          <w:szCs w:val="32"/>
          <w:highlight w:val="none"/>
          <w:lang w:val="en-US" w:eastAsia="zh-CN"/>
        </w:rPr>
        <w:t>30万元，占0.1 %；其他支出36876.5万元，占68%</w:t>
      </w:r>
      <w:r>
        <w:rPr>
          <w:rFonts w:hint="eastAsia" w:ascii="仿宋" w:hAnsi="仿宋" w:eastAsia="仿宋"/>
          <w:color w:val="auto"/>
          <w:sz w:val="32"/>
          <w:szCs w:val="32"/>
          <w:highlight w:val="none"/>
        </w:rPr>
        <w:t>。</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contextualSpacing/>
        <w:jc w:val="left"/>
        <w:textAlignment w:val="auto"/>
        <w:rPr>
          <w:rFonts w:hint="eastAsia" w:ascii="仿宋_GB2312" w:hAnsi="Times New Roman" w:eastAsia="黑体" w:cs="Times New Roman"/>
          <w:color w:val="000000"/>
          <w:kern w:val="0"/>
          <w:sz w:val="28"/>
          <w:szCs w:val="28"/>
          <w:shd w:val="clear" w:color="auto" w:fill="FFFFFF"/>
          <w:lang w:val="en-US" w:eastAsia="zh-CN"/>
        </w:rPr>
      </w:pPr>
      <w:r>
        <w:rPr>
          <w:rFonts w:hint="eastAsia" w:ascii="黑体" w:hAnsi="黑体" w:eastAsia="黑体" w:cs="Times New Roman"/>
          <w:color w:val="000000"/>
          <w:kern w:val="0"/>
          <w:sz w:val="32"/>
          <w:szCs w:val="32"/>
          <w:shd w:val="clear" w:color="auto" w:fill="FFFFFF"/>
        </w:rPr>
        <w:t>三、部门整体预算绩效管理情况</w:t>
      </w:r>
      <w:r>
        <w:rPr>
          <w:rFonts w:hint="eastAsia" w:ascii="黑体" w:hAnsi="黑体" w:eastAsia="黑体" w:cs="Times New Roman"/>
          <w:color w:val="000000"/>
          <w:kern w:val="0"/>
          <w:sz w:val="32"/>
          <w:szCs w:val="32"/>
          <w:shd w:val="clear" w:color="auto" w:fill="FFFFFF"/>
          <w:lang w:val="en-US" w:eastAsia="zh-CN"/>
        </w:rPr>
        <w:t xml:space="preserve"> </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contextualSpacing/>
        <w:jc w:val="left"/>
        <w:textAlignment w:val="auto"/>
        <w:rPr>
          <w:rFonts w:hint="eastAsia" w:ascii="楷体_GB2312" w:hAnsi="Times New Roman" w:eastAsia="楷体_GB2312"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rPr>
        <w:t>（一）部门预算项目绩效管理</w:t>
      </w:r>
    </w:p>
    <w:p>
      <w:pPr>
        <w:spacing w:line="600" w:lineRule="exact"/>
        <w:ind w:firstLine="64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rPr>
        <w:t>经济指标完成情况</w:t>
      </w:r>
    </w:p>
    <w:p>
      <w:pPr>
        <w:spacing w:line="600" w:lineRule="exact"/>
        <w:ind w:firstLine="64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lang w:eastAsia="zh-CN"/>
        </w:rPr>
        <w:t>）我区</w:t>
      </w:r>
      <w:r>
        <w:rPr>
          <w:rFonts w:hint="eastAsia" w:ascii="仿宋" w:hAnsi="仿宋" w:eastAsia="仿宋"/>
          <w:color w:val="auto"/>
          <w:sz w:val="32"/>
          <w:szCs w:val="32"/>
          <w:highlight w:val="none"/>
        </w:rPr>
        <w:t>第一产业增加值实现15.3342亿元，增长7.5%，增速居全市第二</w:t>
      </w:r>
      <w:r>
        <w:rPr>
          <w:rFonts w:hint="eastAsia" w:ascii="仿宋" w:hAnsi="仿宋" w:eastAsia="仿宋"/>
          <w:color w:val="auto"/>
          <w:sz w:val="32"/>
          <w:szCs w:val="32"/>
          <w:highlight w:val="none"/>
          <w:lang w:eastAsia="zh-CN"/>
        </w:rPr>
        <w:t>。</w:t>
      </w:r>
    </w:p>
    <w:p>
      <w:pPr>
        <w:spacing w:line="600" w:lineRule="exact"/>
        <w:ind w:firstLine="64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lang w:eastAsia="zh-CN"/>
        </w:rPr>
        <w:t>我区</w:t>
      </w:r>
      <w:r>
        <w:rPr>
          <w:rFonts w:hint="eastAsia" w:ascii="仿宋" w:hAnsi="仿宋" w:eastAsia="仿宋"/>
          <w:color w:val="auto"/>
          <w:sz w:val="32"/>
          <w:szCs w:val="32"/>
          <w:highlight w:val="none"/>
        </w:rPr>
        <w:t>农村居民人均可支配收入实现15730元，增长11.4%，增速居全市第一</w:t>
      </w:r>
      <w:r>
        <w:rPr>
          <w:rFonts w:hint="eastAsia" w:ascii="仿宋" w:hAnsi="仿宋" w:eastAsia="仿宋"/>
          <w:color w:val="auto"/>
          <w:sz w:val="32"/>
          <w:szCs w:val="32"/>
          <w:highlight w:val="none"/>
          <w:lang w:eastAsia="zh-CN"/>
        </w:rPr>
        <w:t>。</w:t>
      </w:r>
    </w:p>
    <w:p>
      <w:pPr>
        <w:spacing w:line="600" w:lineRule="exact"/>
        <w:ind w:firstLine="64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2、主要工作完成情况</w:t>
      </w:r>
    </w:p>
    <w:p>
      <w:pPr>
        <w:keepNext w:val="0"/>
        <w:keepLines w:val="0"/>
        <w:pageBreakBefore w:val="0"/>
        <w:widowControl w:val="0"/>
        <w:kinsoku/>
        <w:wordWrap/>
        <w:overflowPunct/>
        <w:topLinePunct w:val="0"/>
        <w:autoSpaceDN/>
        <w:bidi w:val="0"/>
        <w:spacing w:line="560" w:lineRule="exact"/>
        <w:ind w:firstLine="642" w:firstLineChars="200"/>
        <w:textAlignment w:val="auto"/>
        <w:rPr>
          <w:rFonts w:hint="eastAsia" w:ascii="仿宋" w:hAnsi="仿宋" w:eastAsia="仿宋"/>
          <w:color w:val="auto"/>
          <w:sz w:val="32"/>
          <w:szCs w:val="32"/>
          <w:highlight w:val="none"/>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粮油生产稳中有升。</w:t>
      </w:r>
      <w:r>
        <w:rPr>
          <w:rFonts w:hint="eastAsia" w:ascii="仿宋" w:hAnsi="仿宋" w:eastAsia="仿宋"/>
          <w:color w:val="auto"/>
          <w:sz w:val="32"/>
          <w:szCs w:val="32"/>
          <w:highlight w:val="none"/>
          <w:lang w:val="en-US" w:eastAsia="zh-CN"/>
        </w:rPr>
        <w:t>2021年现粮食产量12.2万吨，完成市下目标任务（12.01万吨）的101.6 %，同比增长1.9%；油料产量1.1万吨，完成市下目标任务（1万吨）的110%，同比增长12%。撂荒地复耕复种2038.7亩，复耕率95.4%。市下目标粮油加工中心1个、绿色高质高效粮油生产示范面积2万亩、粮油生产服务中心6个、技术站点15个均已完成。</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olor w:val="auto"/>
          <w:sz w:val="32"/>
          <w:szCs w:val="32"/>
          <w:highlight w:val="none"/>
          <w:lang w:val="en-US" w:eastAsia="zh-CN"/>
        </w:rPr>
      </w:pPr>
      <w:r>
        <w:rPr>
          <w:rFonts w:hint="eastAsia" w:ascii="仿宋_GB2312" w:hAnsi="仿宋_GB2312" w:eastAsia="仿宋_GB2312" w:cs="仿宋_GB2312"/>
          <w:b/>
          <w:bCs/>
          <w:sz w:val="32"/>
          <w:szCs w:val="32"/>
          <w:lang w:val="en-US" w:eastAsia="zh-CN"/>
        </w:rPr>
        <w:t>（2）乡村振兴接续推进。</w:t>
      </w:r>
      <w:r>
        <w:rPr>
          <w:rFonts w:hint="eastAsia" w:ascii="仿宋" w:hAnsi="仿宋" w:eastAsia="仿宋"/>
          <w:color w:val="auto"/>
          <w:sz w:val="32"/>
          <w:szCs w:val="32"/>
          <w:highlight w:val="none"/>
          <w:lang w:val="en-US" w:eastAsia="zh-CN"/>
        </w:rPr>
        <w:t>高标准、高质量的完成了大滩镇、水磨沟镇2个镇3803户新村建设，全区全域新村圆满收官。接续推进农村人居环境整治五年提升行动，全年目标任务全面完成，累计实现100％的行政村生活垃圾得到有效处理，75％的行政村（社区）生活污水得到有效治理，农村卫生厕所累计普及率达95.1％，畜禽粪污资源化利用率达91.2%。创建省级乡村振兴示范村5个、省级乡村治理示范村3个。</w:t>
      </w:r>
    </w:p>
    <w:p>
      <w:pPr>
        <w:keepNext w:val="0"/>
        <w:keepLines w:val="0"/>
        <w:pageBreakBefore w:val="0"/>
        <w:widowControl w:val="0"/>
        <w:kinsoku/>
        <w:wordWrap/>
        <w:overflowPunct/>
        <w:topLinePunct w:val="0"/>
        <w:autoSpaceDN/>
        <w:bidi w:val="0"/>
        <w:spacing w:line="560" w:lineRule="exact"/>
        <w:ind w:firstLine="642" w:firstLineChars="200"/>
        <w:textAlignment w:val="auto"/>
        <w:rPr>
          <w:rFonts w:hint="eastAsia" w:ascii="仿宋" w:hAnsi="仿宋" w:eastAsia="仿宋"/>
          <w:color w:val="auto"/>
          <w:sz w:val="32"/>
          <w:szCs w:val="32"/>
          <w:highlight w:val="none"/>
          <w:lang w:val="en-US" w:eastAsia="zh-CN"/>
        </w:rPr>
      </w:pPr>
      <w:r>
        <w:rPr>
          <w:rFonts w:hint="eastAsia" w:ascii="仿宋_GB2312" w:hAnsi="仿宋_GB2312" w:eastAsia="仿宋_GB2312" w:cs="仿宋_GB2312"/>
          <w:b/>
          <w:bCs/>
          <w:sz w:val="32"/>
          <w:szCs w:val="32"/>
          <w:lang w:val="en-US" w:eastAsia="zh-CN"/>
        </w:rPr>
        <w:t>（3）园区建设有序推进。</w:t>
      </w:r>
      <w:r>
        <w:rPr>
          <w:rFonts w:hint="eastAsia" w:ascii="仿宋" w:hAnsi="仿宋" w:eastAsia="仿宋"/>
          <w:color w:val="auto"/>
          <w:sz w:val="32"/>
          <w:szCs w:val="32"/>
          <w:highlight w:val="none"/>
          <w:lang w:val="en-US" w:eastAsia="zh-CN"/>
        </w:rPr>
        <w:t>一是大力提升蔬菜省级现代农业园区。蔬菜省四星级园区得到巩固提升，成功创建省五星级园区。二是加快建设羊木坝食用菌现代农业园区。食用菌种植规模进一步扩大，新引进业主5个，新建高标准自动外遮阳连栋温室食用菌大棚26500平方米，塔建简易大棚600亩，新增羊肚菌种植面积600亩，食用菌种植面积达3700亩，推行玉米与羊肚菌粮菌、菜菌轮作种植面积920亩。建成朝天区食用菌科技文化中心和朝天区食用菌综合展示馆，全面启动了与中国农科院的合作，引进高价值食用菌新品种黑皮鸡枞等，在园区内成功承办了2021年中国·朝天食用菌产业创新发展大会，我区被评为“秦巴山区食用菌高质量发展重点县”。三是全面推进老旧园区改造提升。两河口蔬菜、李家蔬菜等2个老旧园区已经完成提质增效工作，并命名为区级现代农业园区，其中两河口蔬菜现代农业园区创建为市级现代农业园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lang w:val="en-US" w:eastAsia="zh-CN"/>
        </w:rPr>
        <w:t>（4）特色农业高质高效。</w:t>
      </w:r>
      <w:r>
        <w:rPr>
          <w:rFonts w:hint="eastAsia" w:ascii="仿宋" w:hAnsi="仿宋" w:eastAsia="仿宋"/>
          <w:color w:val="auto"/>
          <w:sz w:val="32"/>
          <w:szCs w:val="32"/>
          <w:highlight w:val="none"/>
          <w:lang w:val="en-US" w:eastAsia="zh-CN"/>
        </w:rPr>
        <w:t>一是蔬菜（食用菌）产业转型升级。抓好曾家山片区高山蔬菜产业融合发展示范片建设，调整优化品种结构，建设试验示范点12个。全区蔬菜种植面积达40万亩，产量100万吨，栽培食用菌1万亩，产量10万吨（鲜品）。</w:t>
      </w:r>
      <w:r>
        <w:rPr>
          <w:rFonts w:hint="eastAsia" w:ascii="仿宋" w:hAnsi="仿宋" w:eastAsia="仿宋"/>
          <w:color w:val="auto"/>
          <w:sz w:val="32"/>
          <w:szCs w:val="32"/>
          <w:highlight w:val="none"/>
          <w:lang w:val="zh-CN" w:eastAsia="zh-CN"/>
        </w:rPr>
        <w:t>新建山地蔬菜（山珍）产地冷库3座，改造1座，引进30余个蔬菜新品种和黑皮鸡纵菌等高端食用菌品种，新增蔬菜有机转换产品认证25个，新认证面积2200亩，累计认证面积达到1.66万亩。建设高山蔬菜产业基地1000余亩，为全国高山蔬菜技术研讨会在我区召开做好了各项准备。投入资金120万元，支持两河口镇吉庆社区和两河村面积2000余亩蔬菜基地建设，辐射带动周边村社蔬菜种植面积1.8万余亩。</w:t>
      </w:r>
      <w:r>
        <w:rPr>
          <w:rFonts w:hint="eastAsia" w:ascii="仿宋" w:hAnsi="仿宋" w:eastAsia="仿宋"/>
          <w:color w:val="auto"/>
          <w:sz w:val="32"/>
          <w:szCs w:val="32"/>
          <w:highlight w:val="none"/>
          <w:lang w:val="en-US" w:eastAsia="zh-CN"/>
        </w:rPr>
        <w:t>二是生猪产业巩固提升。生猪存栏12.585万头，出栏17.54万头，生猪存栏完成任务10.7万头的117%，出栏完成任务17万头的103.2%。三是肉牛羊产业突破性发展。制定了《朝天区突破性发展肉牛羊产业五年行动方案》《朝天区突破性发展肉牛羊产业十条扶持措施》，明确了肉牛羊产业发展重点乡镇6个、重点村50个，在建肉牛规模养殖项目7家（其中招商引资4家），在建肉羊规模养殖项目3家，拟招商引资肉牛养殖企业5家，签约5家意向投资企业。出栏肉牛0.9284万头、出栏肉羊8.2714万只。四是其他特色产业同步发展。实现水产品产量220吨，鱼苗投放20万尾。五是示范试点持续打造。全年新创建市级农业公园１个（大滩镇蚕宝园）、市级美丽休闲乡村１个（中子镇校场村）、市级休闲农庄4个（曾家镇寂静小院、曾家镇柳树垭、曾家镇青冈寨、沙河镇岭上云隐）。</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olor w:val="auto"/>
          <w:sz w:val="32"/>
          <w:szCs w:val="32"/>
          <w:highlight w:val="none"/>
          <w:lang w:val="en-US" w:eastAsia="zh-CN"/>
        </w:rPr>
      </w:pPr>
      <w:r>
        <w:rPr>
          <w:rFonts w:hint="eastAsia" w:ascii="仿宋_GB2312" w:hAnsi="仿宋_GB2312" w:eastAsia="仿宋_GB2312" w:cs="仿宋_GB2312"/>
          <w:b/>
          <w:bCs/>
          <w:sz w:val="32"/>
          <w:szCs w:val="32"/>
          <w:lang w:val="en-US" w:eastAsia="zh-CN"/>
        </w:rPr>
        <w:t>（5）农村改革稳步推进。</w:t>
      </w:r>
      <w:r>
        <w:rPr>
          <w:rFonts w:hint="eastAsia" w:ascii="仿宋" w:hAnsi="仿宋" w:eastAsia="仿宋"/>
          <w:color w:val="auto"/>
          <w:sz w:val="32"/>
          <w:szCs w:val="32"/>
          <w:highlight w:val="none"/>
          <w:lang w:val="en-US" w:eastAsia="zh-CN"/>
        </w:rPr>
        <w:t>按照“四个一批”处置方式盘活全区闲置村（居）委会房屋75处面积20990平方米。完成房地一体和集体建设用地使用确权登记，46731户权籍调查和数据建库与省市完成数据交换。召开农房建设专班会议10次，累计审批12个乡镇261户农户建房。完成沙河镇白虎村和罗圈岩村2个试点村村庄规划的编制，建成基层供销示范社8个，村级供销社5个。流转土地0.2万亩。</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olor w:val="auto"/>
          <w:sz w:val="32"/>
          <w:szCs w:val="32"/>
          <w:highlight w:val="none"/>
          <w:lang w:val="en-US" w:eastAsia="zh-CN"/>
        </w:rPr>
      </w:pPr>
      <w:r>
        <w:rPr>
          <w:rFonts w:hint="eastAsia" w:ascii="仿宋_GB2312" w:hAnsi="仿宋_GB2312" w:eastAsia="仿宋_GB2312" w:cs="仿宋_GB2312"/>
          <w:b/>
          <w:bCs/>
          <w:sz w:val="32"/>
          <w:szCs w:val="32"/>
          <w:lang w:val="en-US" w:eastAsia="zh-CN"/>
        </w:rPr>
        <w:t>（6）集体经济持续发展。</w:t>
      </w:r>
      <w:r>
        <w:rPr>
          <w:rFonts w:hint="eastAsia" w:ascii="仿宋" w:hAnsi="仿宋" w:eastAsia="仿宋"/>
          <w:color w:val="auto"/>
          <w:sz w:val="32"/>
          <w:szCs w:val="32"/>
          <w:highlight w:val="none"/>
          <w:lang w:val="en-US" w:eastAsia="zh-CN"/>
        </w:rPr>
        <w:t>全面推进“两改”后138个村（涉农社区）集体经济组织登记赋码。全区集体经济累计经营性总收入达1172万元，人均累计经营性收入达62元，今年新增集体经济收入212万元，新增人均收入11元；全区12个乡镇138个集体经济组织全部通过股权量化后再入股的方式对2021年集体经济收益进行了成员分红。扎实推进中省支持村集体经济发展项目7个均已完成。</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lang w:val="en-US" w:eastAsia="zh-CN"/>
        </w:rPr>
        <w:t>（7）经营体系逐步健全。</w:t>
      </w:r>
      <w:r>
        <w:rPr>
          <w:rFonts w:hint="eastAsia" w:ascii="仿宋" w:hAnsi="仿宋" w:eastAsia="仿宋"/>
          <w:color w:val="auto"/>
          <w:sz w:val="32"/>
          <w:szCs w:val="32"/>
          <w:highlight w:val="none"/>
          <w:lang w:val="en-US" w:eastAsia="zh-CN"/>
        </w:rPr>
        <w:t>全年新注册合作社25家、家庭农场108家，累计发展合作社524家、家庭农场642家，流转土地2000亩。今年创建国家级合作社示范社1家、省级示范社3家、市级示范社5家，创建省级家庭农场示范场3家、市级示范场24家，创建国家级农业龙头企业１农、市级农业龙头企业１家。培训高素质农民1500余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olor w:val="auto"/>
          <w:sz w:val="32"/>
          <w:szCs w:val="32"/>
          <w:highlight w:val="none"/>
          <w:lang w:val="en-US" w:eastAsia="zh-CN"/>
        </w:rPr>
      </w:pPr>
      <w:r>
        <w:rPr>
          <w:rFonts w:hint="eastAsia" w:ascii="仿宋_GB2312" w:hAnsi="仿宋_GB2312" w:eastAsia="仿宋_GB2312" w:cs="仿宋_GB2312"/>
          <w:b/>
          <w:bCs/>
          <w:sz w:val="32"/>
          <w:szCs w:val="32"/>
          <w:lang w:val="en-US" w:eastAsia="zh-CN"/>
        </w:rPr>
        <w:t>（8）农村防疫管控有效。</w:t>
      </w:r>
      <w:r>
        <w:rPr>
          <w:rFonts w:hint="eastAsia" w:ascii="仿宋" w:hAnsi="仿宋" w:eastAsia="仿宋"/>
          <w:color w:val="auto"/>
          <w:sz w:val="32"/>
          <w:szCs w:val="32"/>
          <w:highlight w:val="none"/>
          <w:lang w:val="en-US" w:eastAsia="zh-CN"/>
        </w:rPr>
        <w:t>充分发挥“双网格+大数据”作用，坚持四级包干制度，强化村(社区)网格化管理，未发生失管、脱管、漏管等情况。我区“三级专班”总人数达2125人，其中区级26人、乡镇338人、村社1761人。“三支队伍”人数4864人，其中网格员队伍2969人、五包一队伍843人、志愿者队伍1052人。开展农村地区疫情防控培训，召开区级培训会议4期，累计培训500余人。做好农村地区疫情防控督导工作，严格落实重点聚集防控措施。强化宣传引导，严格把关前沿哨口，加大农村地区人员排查力度，坚决守住疫情防控四川“北大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olor w:val="auto"/>
          <w:sz w:val="32"/>
          <w:szCs w:val="32"/>
          <w:highlight w:val="none"/>
          <w:lang w:val="en-US" w:eastAsia="zh-CN"/>
        </w:rPr>
      </w:pPr>
      <w:r>
        <w:rPr>
          <w:rFonts w:hint="eastAsia" w:ascii="仿宋_GB2312" w:hAnsi="仿宋_GB2312" w:eastAsia="仿宋_GB2312" w:cs="仿宋_GB2312"/>
          <w:b/>
          <w:bCs/>
          <w:sz w:val="32"/>
          <w:szCs w:val="32"/>
          <w:lang w:val="en-US" w:eastAsia="zh-CN"/>
        </w:rPr>
        <w:t>（9）农业执法持续加强。</w:t>
      </w:r>
      <w:r>
        <w:rPr>
          <w:rFonts w:hint="eastAsia" w:ascii="仿宋" w:hAnsi="仿宋" w:eastAsia="仿宋"/>
          <w:color w:val="auto"/>
          <w:sz w:val="32"/>
          <w:szCs w:val="32"/>
          <w:highlight w:val="none"/>
          <w:lang w:val="en-US" w:eastAsia="zh-CN"/>
        </w:rPr>
        <w:t>一是扎实开展打假专项治理行动。共出动执法人员269人次，巡查检查118次，检查门店276个，抽检农资产品53个；查处经营假劣农药、标签不符合规定农药、经营超过保质期饲料各1起，处罚款10800元；查处农产品违法案件6件，处罚款5200元。二是扎实开展非洲猪瘟等重大动物疫病防控“百日阻击战”专项执法行动。规范生猪调运，强化落地监管，严厉查处违法调运行为。共检查入川车辆25630车次，检查生猪16.52万头、禽类185.86万只（羽）、其它动物2.271万头（只）、动物产品43.88万吨；查处经营、运输依法应当检疫而未经检疫动物案件10件，处罚款56.1万元，无害化处理动物产品240公斤。三是扎实开展四川省“中国渔政亮剑2021”系列专项执法。加强禁渔期、禁渔区巡护，严厉打击非法垂钓行为，共出动执法人员210人次，收缴违法垂钓渔具43副，立案查处2件，处罚款400元，保护长江支流生态资源。四是切实开展变型拖拉机专项整治工作。联合交警开展道路联合执法14次，出动执法人员61人次，累计扣留违法车辆9台，报废车辆9台，依法查处操作报废拖拉机案1起，处罚款200元。五是强化病死畜禽无害化处理监管。严格按照相关规定开展病死畜禽无害化处理工作，养殖环节无害化处理生猪163头、禽2078只、羊3只，处理流通环节生猪196头。六是规范建设乡镇检疫申报点8个，开展畜禽运输车辆备案54车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textAlignment w:val="auto"/>
        <w:rPr>
          <w:rFonts w:hint="eastAsia" w:ascii="仿宋" w:hAnsi="仿宋" w:eastAsia="仿宋"/>
          <w:color w:val="auto"/>
          <w:sz w:val="32"/>
          <w:szCs w:val="32"/>
          <w:highlight w:val="none"/>
          <w:lang w:val="en-US" w:eastAsia="zh-CN"/>
        </w:rPr>
      </w:pPr>
      <w:r>
        <w:rPr>
          <w:rFonts w:hint="eastAsia" w:ascii="仿宋_GB2312" w:hAnsi="仿宋_GB2312" w:eastAsia="仿宋_GB2312" w:cs="仿宋_GB2312"/>
          <w:b/>
          <w:bCs/>
          <w:sz w:val="32"/>
          <w:szCs w:val="32"/>
          <w:lang w:val="en-US" w:eastAsia="zh-CN"/>
        </w:rPr>
        <w:t>（10）农业安全形势稳定。</w:t>
      </w:r>
      <w:r>
        <w:rPr>
          <w:rFonts w:hint="eastAsia" w:ascii="仿宋" w:hAnsi="仿宋" w:eastAsia="仿宋"/>
          <w:color w:val="auto"/>
          <w:sz w:val="32"/>
          <w:szCs w:val="32"/>
          <w:highlight w:val="none"/>
          <w:lang w:val="en-US" w:eastAsia="zh-CN"/>
        </w:rPr>
        <w:t>一是加强农产品质量安全监管。国家农产品质量安全县资格复审顺利通过省级核查，曾家镇、中子镇、羊木镇市级农产品质量安全乡镇通过市级资格复审。新认证“三品一标”农产品32个，建成有机蔬菜推广示范基地2个2.68万亩。二是加强动植物疫病防控。在全区安排了监测人员20人，布设监测点98个、草地贪夜蛾高空测报点1个，及时发布防治信息，目前全区玉米草地贪夜蛾防治处置率达100%，防治效果达95%，实现玉米不成灾不减产。同时，对水稻稻水象甲防控坚持层层落实防控责任，落实资金5.1万元，采购防治药物850公斤，在中子镇开展防治面积达1700亩次，有效控制了农作物重大病虫害发生。严格落实省、重大疫病四季免疫要求。全年国家强制免疫的6个病种实现应免尽免，免疫抗体合格率均达90%以上，建立了有效的免疫保护屏障。设立非洲猪瘟防控点8个，全天候满负荷运行。集中开展“大消毒”7次，养殖环境消毒面达100%。实现年度区域性重大动物疫情“零”发生。三是环保整改落地落实。中央环保督察期间，我局涉及的11个方面的督察内容没有举报投诉案件发生。四是农村（沼气）能源安全。全面推行沼气工程清单制管理，制定了《沼气工程企业安全生产管理责任清单》，抽查户用沼气池800口，排除不同程度安全隐患180余口，已维修病险70口，杜绝了安全事故发生，开展农村能源法规、政策咨询服务82人次；发放《农村沼气综合实用技术》350本、沼气安全宣传单782份，张帖《关于进一步加强全区农村能源安全生产管理工作的通知》521份。</w:t>
      </w:r>
    </w:p>
    <w:p>
      <w:pPr>
        <w:keepNext w:val="0"/>
        <w:keepLines w:val="0"/>
        <w:pageBreakBefore w:val="0"/>
        <w:widowControl w:val="0"/>
        <w:kinsoku/>
        <w:wordWrap/>
        <w:overflowPunct/>
        <w:topLinePunct w:val="0"/>
        <w:autoSpaceDN/>
        <w:bidi w:val="0"/>
        <w:spacing w:line="560" w:lineRule="exact"/>
        <w:ind w:firstLine="642" w:firstLineChars="200"/>
        <w:textAlignment w:val="auto"/>
        <w:rPr>
          <w:rFonts w:hint="eastAsia" w:ascii="仿宋" w:hAnsi="仿宋" w:eastAsia="仿宋"/>
          <w:color w:val="auto"/>
          <w:sz w:val="32"/>
          <w:szCs w:val="32"/>
          <w:highlight w:val="none"/>
          <w:lang w:val="en-US" w:eastAsia="zh-CN"/>
        </w:rPr>
      </w:pPr>
      <w:r>
        <w:rPr>
          <w:rFonts w:hint="eastAsia" w:ascii="仿宋_GB2312" w:hAnsi="仿宋_GB2312" w:eastAsia="仿宋_GB2312" w:cs="仿宋_GB2312"/>
          <w:b/>
          <w:bCs/>
          <w:sz w:val="32"/>
          <w:szCs w:val="32"/>
          <w:lang w:val="en-US" w:eastAsia="zh-CN"/>
        </w:rPr>
        <w:t>（11）农机监管不断提升。</w:t>
      </w:r>
      <w:r>
        <w:rPr>
          <w:rFonts w:hint="eastAsia" w:ascii="仿宋" w:hAnsi="仿宋" w:eastAsia="仿宋"/>
          <w:color w:val="auto"/>
          <w:sz w:val="32"/>
          <w:szCs w:val="32"/>
          <w:highlight w:val="none"/>
          <w:lang w:val="en-US" w:eastAsia="zh-CN"/>
        </w:rPr>
        <w:t>一是严格落实国家农机购置补贴政策。全年累计落实购机补贴资金14万元145户，147台完成了临溪乡望坪村太阳能提灌站建设。二是落实国机集团帮扶计划。完成了国机集团2021年定点帮扶朝天区农业产业机械化建设项目，在两河口园区建设山地轨道运输线10条5千米，为英明农机专业合作社（曾家山综合农事服务中心）配置了农业机械。三是抓实农机安全源头管理。注销44台连续3年未年检（自行解体、报废）拖拉机，全区存量运行拖拉机检验率达72.2%，同时严把农用机械注册登记和驾驶证的考核发证关。四是深入开展变型拖拉机等农业机械专项整治。开展道路外农业机械安全监督联合检查和隐患排查20次，出动检查人员96人次，检查标准拖拉机200台（次）、变形拖拉机67台（次），纠正违章11台（次），查处农机安全隐患4起，目前已全部整改到位。</w:t>
      </w:r>
    </w:p>
    <w:p>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2" w:firstLineChars="200"/>
        <w:textAlignment w:val="auto"/>
        <w:rPr>
          <w:rFonts w:hint="eastAsia" w:ascii="仿宋" w:hAnsi="仿宋" w:eastAsia="仿宋" w:cs="Times New Roman"/>
          <w:color w:val="auto"/>
          <w:kern w:val="2"/>
          <w:sz w:val="32"/>
          <w:szCs w:val="32"/>
          <w:highlight w:val="none"/>
          <w:lang w:val="en-US" w:eastAsia="zh-CN" w:bidi="ar-SA"/>
        </w:rPr>
      </w:pPr>
      <w:r>
        <w:rPr>
          <w:rFonts w:hint="eastAsia" w:ascii="仿宋_GB2312" w:hAnsi="仿宋_GB2312" w:eastAsia="仿宋_GB2312" w:cs="仿宋_GB2312"/>
          <w:b/>
          <w:bCs/>
          <w:kern w:val="2"/>
          <w:sz w:val="32"/>
          <w:szCs w:val="32"/>
          <w:lang w:val="en-US" w:eastAsia="zh-CN" w:bidi="ar-SA"/>
        </w:rPr>
        <w:t>（12）农技推广力度加大。</w:t>
      </w:r>
      <w:r>
        <w:rPr>
          <w:rFonts w:hint="eastAsia" w:ascii="仿宋" w:hAnsi="仿宋" w:eastAsia="仿宋" w:cs="Times New Roman"/>
          <w:color w:val="auto"/>
          <w:kern w:val="2"/>
          <w:sz w:val="32"/>
          <w:szCs w:val="32"/>
          <w:highlight w:val="none"/>
          <w:lang w:val="en-US" w:eastAsia="zh-CN" w:bidi="ar-SA"/>
        </w:rPr>
        <w:t>完成2021年基层农技推广体系建设和朝天区高素质农民培育工作，共完成高素质农民培训379名，其中省市调训30名、本级培训347名。完成科技示范基地建设2个，新品种、新技术推广率达98%以上。根据我区食用菌产业发展需要，特聘农技员1名，负责全区食用菌产业技术指导。完成基层农技人员知识更新培训70名。2名贫困村驻村农技员受到省委省政府表彰。成立农业专家团服务团队3个（即畜牧团队、食用菌团队、蔬菜团队），技术服务400余次，解决技术难题200余个。</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 w:hAnsi="仿宋" w:eastAsia="仿宋" w:cs="Times New Roman"/>
          <w:color w:val="auto"/>
          <w:kern w:val="2"/>
          <w:sz w:val="32"/>
          <w:szCs w:val="32"/>
          <w:highlight w:val="none"/>
          <w:lang w:val="en-US" w:eastAsia="zh-CN" w:bidi="ar-SA"/>
        </w:rPr>
      </w:pPr>
      <w:r>
        <w:rPr>
          <w:rFonts w:hint="eastAsia" w:ascii="仿宋_GB2312" w:hAnsi="仿宋_GB2312" w:eastAsia="仿宋_GB2312" w:cs="仿宋_GB2312"/>
          <w:b/>
          <w:bCs/>
          <w:sz w:val="32"/>
          <w:szCs w:val="32"/>
          <w:lang w:val="en-US" w:eastAsia="zh-CN"/>
        </w:rPr>
        <w:t>（13）“大棚房”问题专项清理整治扎实开展。</w:t>
      </w:r>
      <w:r>
        <w:rPr>
          <w:rFonts w:hint="eastAsia" w:ascii="仿宋" w:hAnsi="仿宋" w:eastAsia="仿宋" w:cs="Times New Roman"/>
          <w:color w:val="auto"/>
          <w:kern w:val="2"/>
          <w:sz w:val="32"/>
          <w:szCs w:val="32"/>
          <w:highlight w:val="none"/>
          <w:lang w:val="en-US" w:eastAsia="zh-CN" w:bidi="ar-SA"/>
        </w:rPr>
        <w:t>按照国家、省、市“大棚房”问题专项清理整治行动“回头看”电视电话会议精神，去年5月开始，牵头开展了“大棚房”问题专项清理整治行动。编制印发了《朝天区“大棚房”问题专项清理整治行动“回头看”方案》，经排查，全区共有设施农业大棚1126个，占用耕地面积2176.97亩，其中：塑料大棚822个，面积1353.76亩；日光温室1个，面积0.45亩；连栋温室2个，面积13亩；其他大棚301个，面积809.76亩。不存在问题“大棚房”。</w:t>
      </w:r>
    </w:p>
    <w:p>
      <w:pPr>
        <w:keepNext w:val="0"/>
        <w:keepLines w:val="0"/>
        <w:pageBreakBefore w:val="0"/>
        <w:widowControl/>
        <w:numPr>
          <w:ilvl w:val="0"/>
          <w:numId w:val="0"/>
        </w:numPr>
        <w:kinsoku/>
        <w:wordWrap/>
        <w:overflowPunct/>
        <w:topLinePunct w:val="0"/>
        <w:autoSpaceDE w:val="0"/>
        <w:autoSpaceDN/>
        <w:bidi w:val="0"/>
        <w:adjustRightInd w:val="0"/>
        <w:snapToGrid w:val="0"/>
        <w:spacing w:line="560" w:lineRule="exact"/>
        <w:ind w:leftChars="200"/>
        <w:contextualSpacing/>
        <w:jc w:val="left"/>
        <w:textAlignment w:val="auto"/>
        <w:rPr>
          <w:rFonts w:hint="eastAsia" w:ascii="楷体_GB2312" w:hAnsi="Times New Roman" w:eastAsia="楷体_GB2312"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rPr>
        <w:t>（二）自评质量</w:t>
      </w:r>
    </w:p>
    <w:p>
      <w:pPr>
        <w:pStyle w:val="14"/>
        <w:keepNext w:val="0"/>
        <w:keepLines w:val="0"/>
        <w:pageBreakBefore w:val="0"/>
        <w:kinsoku/>
        <w:wordWrap/>
        <w:overflowPunct/>
        <w:topLinePunct w:val="0"/>
        <w:autoSpaceDN/>
        <w:bidi w:val="0"/>
        <w:spacing w:line="560" w:lineRule="exact"/>
        <w:textAlignment w:val="auto"/>
        <w:rPr>
          <w:rFonts w:hint="eastAsia"/>
          <w:lang w:val="en-US" w:eastAsia="zh-CN"/>
        </w:rPr>
      </w:pPr>
      <w:r>
        <w:rPr>
          <w:rFonts w:hint="eastAsia" w:ascii="仿宋" w:hAnsi="仿宋" w:eastAsia="仿宋" w:cs="Times New Roman"/>
          <w:color w:val="auto"/>
          <w:kern w:val="2"/>
          <w:sz w:val="32"/>
          <w:szCs w:val="32"/>
          <w:highlight w:val="none"/>
          <w:lang w:val="en-US" w:eastAsia="zh-CN" w:bidi="ar-SA"/>
        </w:rPr>
        <w:t>2021年我局整体支出绩效评价自评为优。</w:t>
      </w:r>
    </w:p>
    <w:p>
      <w:pPr>
        <w:keepNext w:val="0"/>
        <w:keepLines w:val="0"/>
        <w:pageBreakBefore w:val="0"/>
        <w:widowControl/>
        <w:numPr>
          <w:ilvl w:val="0"/>
          <w:numId w:val="0"/>
        </w:numPr>
        <w:kinsoku/>
        <w:wordWrap/>
        <w:overflowPunct/>
        <w:topLinePunct w:val="0"/>
        <w:autoSpaceDE w:val="0"/>
        <w:autoSpaceDN/>
        <w:bidi w:val="0"/>
        <w:adjustRightInd w:val="0"/>
        <w:snapToGrid w:val="0"/>
        <w:spacing w:line="560" w:lineRule="exact"/>
        <w:ind w:left="640" w:leftChars="0"/>
        <w:contextualSpacing/>
        <w:jc w:val="left"/>
        <w:textAlignment w:val="auto"/>
        <w:rPr>
          <w:rFonts w:hint="eastAsia"/>
        </w:rPr>
      </w:pPr>
      <w:r>
        <w:rPr>
          <w:rFonts w:hint="eastAsia" w:ascii="黑体" w:hAnsi="黑体" w:eastAsia="黑体" w:cs="Times New Roman"/>
          <w:color w:val="000000"/>
          <w:kern w:val="0"/>
          <w:sz w:val="32"/>
          <w:szCs w:val="32"/>
          <w:shd w:val="clear" w:color="auto" w:fill="FFFFFF"/>
          <w:lang w:eastAsia="zh-CN"/>
        </w:rPr>
        <w:t>四、</w:t>
      </w:r>
      <w:r>
        <w:rPr>
          <w:rFonts w:hint="eastAsia" w:ascii="黑体" w:hAnsi="黑体" w:eastAsia="黑体" w:cs="Times New Roman"/>
          <w:color w:val="000000"/>
          <w:kern w:val="0"/>
          <w:sz w:val="32"/>
          <w:szCs w:val="32"/>
          <w:shd w:val="clear" w:color="auto" w:fill="FFFFFF"/>
        </w:rPr>
        <w:t>自评结论及建议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2021年我局整体支出绩效评价得分为93分。其中：目标管理（15分），动态调整（6分），完成效率（12分），专项预算项目绩效管理（40分），绩效结果应用（10分），自评质量（10分）。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highlight w:val="none"/>
        </w:rPr>
      </w:pPr>
      <w:r>
        <w:rPr>
          <w:rFonts w:hint="default" w:ascii="仿宋_GB2312" w:hAnsi="仿宋_GB2312" w:eastAsia="仿宋_GB2312" w:cs="仿宋_GB2312"/>
          <w:sz w:val="32"/>
          <w:szCs w:val="32"/>
          <w:lang w:val="en-US" w:eastAsia="zh-CN"/>
        </w:rPr>
        <w:t>综合以上各项指标，财务管理健全规范，没有发生违法违规现象，我们将在以后的工作中加强预算管理，严格控制各项经费的开支，提高经费的使用效率。</w:t>
      </w:r>
    </w:p>
    <w:p>
      <w:pPr>
        <w:keepNext w:val="0"/>
        <w:keepLines w:val="0"/>
        <w:pageBreakBefore w:val="0"/>
        <w:widowControl/>
        <w:numPr>
          <w:ilvl w:val="0"/>
          <w:numId w:val="0"/>
        </w:numPr>
        <w:kinsoku/>
        <w:wordWrap/>
        <w:overflowPunct/>
        <w:topLinePunct w:val="0"/>
        <w:autoSpaceDE w:val="0"/>
        <w:autoSpaceDN/>
        <w:bidi w:val="0"/>
        <w:adjustRightInd w:val="0"/>
        <w:snapToGrid w:val="0"/>
        <w:spacing w:line="560" w:lineRule="exact"/>
        <w:ind w:firstLine="640" w:firstLineChars="200"/>
        <w:contextualSpacing/>
        <w:jc w:val="left"/>
        <w:textAlignment w:val="auto"/>
        <w:rPr>
          <w:rFonts w:hint="eastAsia" w:ascii="楷体_GB2312" w:hAnsi="Times New Roman" w:eastAsia="楷体_GB2312"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lang w:eastAsia="zh-CN"/>
        </w:rPr>
        <w:t>（</w:t>
      </w:r>
      <w:r>
        <w:rPr>
          <w:rFonts w:hint="eastAsia" w:ascii="楷体_GB2312" w:hAnsi="Times New Roman" w:eastAsia="楷体_GB2312" w:cs="Times New Roman"/>
          <w:color w:val="000000"/>
          <w:kern w:val="0"/>
          <w:sz w:val="32"/>
          <w:szCs w:val="32"/>
          <w:shd w:val="clear" w:color="auto" w:fill="FFFFFF"/>
          <w:lang w:val="en-US" w:eastAsia="zh-CN"/>
        </w:rPr>
        <w:t>二</w:t>
      </w:r>
      <w:r>
        <w:rPr>
          <w:rFonts w:hint="eastAsia" w:ascii="楷体_GB2312" w:hAnsi="Times New Roman" w:eastAsia="楷体_GB2312" w:cs="Times New Roman"/>
          <w:color w:val="000000"/>
          <w:kern w:val="0"/>
          <w:sz w:val="32"/>
          <w:szCs w:val="32"/>
          <w:shd w:val="clear" w:color="auto" w:fill="FFFFFF"/>
          <w:lang w:eastAsia="zh-CN"/>
        </w:rPr>
        <w:t>）</w:t>
      </w:r>
      <w:r>
        <w:rPr>
          <w:rFonts w:hint="eastAsia" w:ascii="楷体_GB2312" w:hAnsi="Times New Roman" w:eastAsia="楷体_GB2312" w:cs="Times New Roman"/>
          <w:color w:val="000000"/>
          <w:kern w:val="0"/>
          <w:sz w:val="32"/>
          <w:szCs w:val="32"/>
          <w:shd w:val="clear" w:color="auto" w:fill="FFFFFF"/>
        </w:rPr>
        <w:t>存在问题</w:t>
      </w:r>
    </w:p>
    <w:p>
      <w:pPr>
        <w:keepNext w:val="0"/>
        <w:keepLines w:val="0"/>
        <w:pageBreakBefore w:val="0"/>
        <w:kinsoku/>
        <w:wordWrap/>
        <w:overflowPunct/>
        <w:topLinePunct w:val="0"/>
        <w:autoSpaceDN/>
        <w:bidi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1、年初预算金额仅为经费预算，造成预算金额与决算数据调整增大。</w:t>
      </w:r>
    </w:p>
    <w:p>
      <w:pPr>
        <w:keepNext w:val="0"/>
        <w:keepLines w:val="0"/>
        <w:pageBreakBefore w:val="0"/>
        <w:kinsoku/>
        <w:wordWrap/>
        <w:overflowPunct/>
        <w:topLinePunct w:val="0"/>
        <w:autoSpaceDN/>
        <w:bidi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2、现代农业发展水平较低。主要是机械化程度不高，支持农业发展资金短缺，规模化、标准化水平不高，经营主体带动能力不强，农业产业链条短，农产品市场竞争能力不强。</w:t>
      </w:r>
    </w:p>
    <w:p>
      <w:pPr>
        <w:keepNext w:val="0"/>
        <w:keepLines w:val="0"/>
        <w:pageBreakBefore w:val="0"/>
        <w:kinsoku/>
        <w:wordWrap/>
        <w:overflowPunct/>
        <w:topLinePunct w:val="0"/>
        <w:autoSpaceDN/>
        <w:bidi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3、产业发展保障乏力。主要是农业技术人才缺乏，区乡村整体联动不够，尤其是乡镇层面，重基础建设轻产业发展现象仍然存在。</w:t>
      </w:r>
    </w:p>
    <w:p>
      <w:pPr>
        <w:pStyle w:val="14"/>
        <w:keepNext w:val="0"/>
        <w:keepLines w:val="0"/>
        <w:pageBreakBefore w:val="0"/>
        <w:kinsoku/>
        <w:wordWrap/>
        <w:overflowPunct/>
        <w:topLinePunct w:val="0"/>
        <w:autoSpaceDN/>
        <w:bidi w:val="0"/>
        <w:spacing w:line="560" w:lineRule="exact"/>
        <w:ind w:left="0" w:leftChars="0" w:firstLine="640" w:firstLineChars="200"/>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4、财务管理及会计核算有待加强，工作人员业务水平有待进一步提高。</w:t>
      </w:r>
    </w:p>
    <w:p>
      <w:pPr>
        <w:keepNext w:val="0"/>
        <w:keepLines w:val="0"/>
        <w:pageBreakBefore w:val="0"/>
        <w:widowControl/>
        <w:numPr>
          <w:ilvl w:val="0"/>
          <w:numId w:val="0"/>
        </w:numPr>
        <w:kinsoku/>
        <w:wordWrap/>
        <w:overflowPunct/>
        <w:topLinePunct w:val="0"/>
        <w:autoSpaceDE w:val="0"/>
        <w:autoSpaceDN/>
        <w:bidi w:val="0"/>
        <w:adjustRightInd w:val="0"/>
        <w:snapToGrid w:val="0"/>
        <w:spacing w:line="560" w:lineRule="exact"/>
        <w:ind w:firstLine="640" w:firstLineChars="200"/>
        <w:contextualSpacing/>
        <w:jc w:val="left"/>
        <w:textAlignment w:val="auto"/>
        <w:rPr>
          <w:rFonts w:hint="eastAsia" w:ascii="楷体_GB2312" w:hAnsi="Times New Roman" w:eastAsia="楷体_GB2312"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rPr>
        <w:t>（二）改进建议</w:t>
      </w:r>
    </w:p>
    <w:p>
      <w:pPr>
        <w:keepNext w:val="0"/>
        <w:keepLines w:val="0"/>
        <w:pageBreakBefore w:val="0"/>
        <w:kinsoku/>
        <w:wordWrap/>
        <w:overflowPunct/>
        <w:topLinePunct w:val="0"/>
        <w:autoSpaceDN/>
        <w:bidi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1、加强绩效目标管理和审核，将绩效目标设置作为预算安排的前置条件，提高绩效目标编报质量，形成项目实施、监控、结果评价的依据。</w:t>
      </w:r>
    </w:p>
    <w:p>
      <w:pPr>
        <w:keepNext w:val="0"/>
        <w:keepLines w:val="0"/>
        <w:pageBreakBefore w:val="0"/>
        <w:kinsoku/>
        <w:wordWrap/>
        <w:overflowPunct/>
        <w:topLinePunct w:val="0"/>
        <w:autoSpaceDN/>
        <w:bidi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2、加强预算编制学习，不断提高预算编制质量，严格执行政府采购。</w:t>
      </w:r>
    </w:p>
    <w:p>
      <w:pPr>
        <w:keepNext w:val="0"/>
        <w:keepLines w:val="0"/>
        <w:pageBreakBefore w:val="0"/>
        <w:kinsoku/>
        <w:wordWrap/>
        <w:overflowPunct/>
        <w:topLinePunct w:val="0"/>
        <w:autoSpaceDN/>
        <w:bidi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3、强化资产管理，逐步完善资产管理各项细节。</w:t>
      </w:r>
    </w:p>
    <w:p>
      <w:pPr>
        <w:keepNext w:val="0"/>
        <w:keepLines w:val="0"/>
        <w:pageBreakBefore w:val="0"/>
        <w:kinsoku/>
        <w:wordWrap/>
        <w:overflowPunct/>
        <w:topLinePunct w:val="0"/>
        <w:autoSpaceDN/>
        <w:bidi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4、加强思想道德教育，不断提高个人思想素质，树立全心全意为人民服务思想，强化业务知识学习，不断提高业务水平和工作能力。</w:t>
      </w:r>
    </w:p>
    <w:p>
      <w:pPr>
        <w:keepNext w:val="0"/>
        <w:keepLines w:val="0"/>
        <w:pageBreakBefore w:val="0"/>
        <w:widowControl/>
        <w:kinsoku/>
        <w:wordWrap/>
        <w:overflowPunct/>
        <w:topLinePunct w:val="0"/>
        <w:autoSpaceDE/>
        <w:autoSpaceDN/>
        <w:bidi w:val="0"/>
        <w:adjustRightInd w:val="0"/>
        <w:snapToGrid w:val="0"/>
        <w:spacing w:line="572" w:lineRule="exact"/>
        <w:ind w:firstLine="480" w:firstLineChars="200"/>
        <w:contextualSpacing/>
        <w:jc w:val="left"/>
        <w:textAlignment w:val="auto"/>
        <w:rPr>
          <w:rFonts w:ascii="黑体" w:hAnsi="宋体" w:eastAsia="黑体" w:cs="宋体"/>
          <w:color w:val="auto"/>
          <w:kern w:val="0"/>
          <w:sz w:val="24"/>
          <w:szCs w:val="32"/>
          <w:highlight w:val="none"/>
          <w:shd w:val="clear" w:color="auto" w:fill="FFFFFF"/>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eastAsia" w:ascii="宋体" w:hAnsi="宋体" w:eastAsia="宋体" w:cs="宋体"/>
          <w:b/>
          <w:bCs w:val="0"/>
          <w:color w:val="000000"/>
          <w:spacing w:val="-6"/>
          <w:kern w:val="0"/>
          <w:sz w:val="44"/>
          <w:szCs w:val="44"/>
        </w:rPr>
      </w:pPr>
      <w:r>
        <w:rPr>
          <w:rFonts w:hint="eastAsia" w:ascii="宋体" w:hAnsi="宋体" w:eastAsia="宋体" w:cs="宋体"/>
          <w:b/>
          <w:bCs w:val="0"/>
          <w:spacing w:val="-6"/>
          <w:sz w:val="44"/>
          <w:szCs w:val="44"/>
          <w:lang w:eastAsia="zh-CN"/>
        </w:rPr>
        <w:t>十年长江禁捕</w:t>
      </w:r>
      <w:r>
        <w:rPr>
          <w:rFonts w:hint="eastAsia" w:ascii="宋体" w:hAnsi="宋体" w:eastAsia="宋体" w:cs="宋体"/>
          <w:b/>
          <w:bCs w:val="0"/>
          <w:spacing w:val="-6"/>
          <w:sz w:val="44"/>
          <w:szCs w:val="44"/>
        </w:rPr>
        <w:t>项目</w:t>
      </w:r>
      <w:r>
        <w:rPr>
          <w:rFonts w:hint="eastAsia" w:ascii="宋体" w:hAnsi="宋体" w:eastAsia="宋体" w:cs="宋体"/>
          <w:b/>
          <w:bCs w:val="0"/>
          <w:color w:val="000000"/>
          <w:spacing w:val="-6"/>
          <w:kern w:val="0"/>
          <w:sz w:val="44"/>
          <w:szCs w:val="44"/>
        </w:rPr>
        <w:t>支出绩效自评报告</w:t>
      </w: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eastAsia" w:ascii="方正大标宋简体" w:hAnsi="??" w:eastAsia="方正大标宋简体" w:cs="Times New Roman"/>
          <w:b/>
          <w:color w:val="000000"/>
          <w:spacing w:val="-6"/>
          <w:kern w:val="0"/>
          <w:sz w:val="44"/>
          <w:szCs w:val="44"/>
        </w:rPr>
      </w:pPr>
    </w:p>
    <w:p>
      <w:pPr>
        <w:keepNext w:val="0"/>
        <w:keepLines w:val="0"/>
        <w:pageBreakBefore w:val="0"/>
        <w:numPr>
          <w:ilvl w:val="0"/>
          <w:numId w:val="0"/>
        </w:numPr>
        <w:kinsoku/>
        <w:wordWrap/>
        <w:overflowPunct/>
        <w:topLinePunct w:val="0"/>
        <w:autoSpaceDE w:val="0"/>
        <w:autoSpaceDN/>
        <w:bidi w:val="0"/>
        <w:adjustRightInd/>
        <w:snapToGrid/>
        <w:spacing w:line="560" w:lineRule="exact"/>
        <w:ind w:firstLine="616" w:firstLineChars="200"/>
        <w:textAlignment w:val="auto"/>
        <w:rPr>
          <w:rFonts w:hint="eastAsia"/>
        </w:rPr>
      </w:pPr>
      <w:r>
        <w:rPr>
          <w:rFonts w:hint="eastAsia" w:ascii="黑体" w:hAnsi="黑体" w:eastAsia="黑体" w:cs="Times New Roman"/>
          <w:spacing w:val="-6"/>
          <w:sz w:val="32"/>
          <w:szCs w:val="32"/>
          <w:lang w:val="en-US" w:eastAsia="zh-CN"/>
        </w:rPr>
        <w:t>一、</w:t>
      </w:r>
      <w:r>
        <w:rPr>
          <w:rFonts w:hint="eastAsia" w:ascii="黑体" w:hAnsi="黑体" w:eastAsia="黑体" w:cs="Times New Roman"/>
          <w:spacing w:val="-6"/>
          <w:sz w:val="32"/>
          <w:szCs w:val="32"/>
        </w:rPr>
        <w:t>项目概况</w:t>
      </w:r>
      <w:r>
        <w:rPr>
          <w:rFonts w:hint="eastAsia" w:ascii="黑体" w:hAnsi="黑体" w:eastAsia="黑体" w:cs="Times New Roman"/>
          <w:spacing w:val="-6"/>
          <w:sz w:val="32"/>
          <w:szCs w:val="32"/>
          <w:lang w:val="en-US" w:eastAsia="zh-CN"/>
        </w:rPr>
        <w:t xml:space="preserve">      </w:t>
      </w:r>
    </w:p>
    <w:p>
      <w:pPr>
        <w:keepNext w:val="0"/>
        <w:keepLines w:val="0"/>
        <w:pageBreakBefore w:val="0"/>
        <w:kinsoku/>
        <w:wordWrap/>
        <w:overflowPunct/>
        <w:topLinePunct w:val="0"/>
        <w:autoSpaceDE w:val="0"/>
        <w:autoSpaceDN/>
        <w:bidi w:val="0"/>
        <w:adjustRightInd/>
        <w:snapToGrid/>
        <w:spacing w:line="560"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（一）项目资金申报及批复情况</w:t>
      </w:r>
    </w:p>
    <w:p>
      <w:pPr>
        <w:keepNext w:val="0"/>
        <w:keepLines w:val="0"/>
        <w:pageBreakBefore w:val="0"/>
        <w:kinsoku/>
        <w:wordWrap/>
        <w:overflowPunct/>
        <w:topLinePunct w:val="0"/>
        <w:autoSpaceDE w:val="0"/>
        <w:autoSpaceDN/>
        <w:bidi w:val="0"/>
        <w:adjustRightInd/>
        <w:snapToGrid/>
        <w:spacing w:line="560" w:lineRule="exact"/>
        <w:ind w:firstLine="616" w:firstLineChars="200"/>
        <w:textAlignment w:val="auto"/>
        <w:rPr>
          <w:rFonts w:hint="eastAsia" w:ascii="仿宋_GB2312" w:hAnsi="仿宋_GB2312" w:eastAsia="仿宋_GB2312" w:cs="仿宋_GB2312"/>
          <w:b w:val="0"/>
          <w:bCs/>
          <w:spacing w:val="-6"/>
          <w:sz w:val="32"/>
          <w:szCs w:val="32"/>
        </w:rPr>
      </w:pPr>
      <w:r>
        <w:rPr>
          <w:rFonts w:hint="eastAsia" w:ascii="仿宋_GB2312" w:hAnsi="仿宋_GB2312" w:eastAsia="仿宋_GB2312" w:cs="仿宋_GB2312"/>
          <w:b w:val="0"/>
          <w:bCs/>
          <w:spacing w:val="-6"/>
          <w:sz w:val="32"/>
          <w:szCs w:val="32"/>
          <w:lang w:eastAsia="zh-CN"/>
        </w:rPr>
        <w:t>根据区</w:t>
      </w:r>
      <w:r>
        <w:rPr>
          <w:rFonts w:hint="eastAsia" w:ascii="仿宋_GB2312" w:hAnsi="仿宋_GB2312" w:eastAsia="仿宋_GB2312" w:cs="仿宋_GB2312"/>
          <w:b w:val="0"/>
          <w:bCs/>
          <w:spacing w:val="-6"/>
          <w:sz w:val="32"/>
          <w:szCs w:val="32"/>
          <w:lang w:val="en-US" w:eastAsia="zh-CN"/>
        </w:rPr>
        <w:t>财政局</w:t>
      </w:r>
      <w:r>
        <w:rPr>
          <w:rFonts w:hint="eastAsia" w:ascii="仿宋_GB2312" w:hAnsi="仿宋_GB2312" w:eastAsia="仿宋_GB2312" w:cs="仿宋_GB2312"/>
          <w:b w:val="0"/>
          <w:bCs/>
          <w:spacing w:val="-6"/>
          <w:sz w:val="32"/>
          <w:szCs w:val="32"/>
          <w:lang w:eastAsia="zh-CN"/>
        </w:rPr>
        <w:t>《关于</w:t>
      </w:r>
      <w:r>
        <w:rPr>
          <w:rFonts w:hint="eastAsia" w:ascii="仿宋_GB2312" w:hAnsi="仿宋_GB2312" w:eastAsia="仿宋_GB2312" w:cs="仿宋_GB2312"/>
          <w:b w:val="0"/>
          <w:bCs/>
          <w:spacing w:val="-6"/>
          <w:sz w:val="32"/>
          <w:szCs w:val="32"/>
          <w:lang w:val="en-US" w:eastAsia="zh-CN"/>
        </w:rPr>
        <w:t>批复2021年部门综合预算及绩效目标的通知</w:t>
      </w:r>
      <w:r>
        <w:rPr>
          <w:rFonts w:hint="eastAsia" w:ascii="仿宋_GB2312" w:hAnsi="仿宋_GB2312" w:eastAsia="仿宋_GB2312" w:cs="仿宋_GB2312"/>
          <w:b w:val="0"/>
          <w:bCs/>
          <w:spacing w:val="-6"/>
          <w:sz w:val="32"/>
          <w:szCs w:val="32"/>
          <w:lang w:eastAsia="zh-CN"/>
        </w:rPr>
        <w:t>》（广朝</w:t>
      </w:r>
      <w:r>
        <w:rPr>
          <w:rFonts w:hint="eastAsia" w:ascii="仿宋_GB2312" w:hAnsi="仿宋_GB2312" w:eastAsia="仿宋_GB2312" w:cs="仿宋_GB2312"/>
          <w:b w:val="0"/>
          <w:bCs/>
          <w:spacing w:val="-6"/>
          <w:sz w:val="32"/>
          <w:szCs w:val="32"/>
          <w:lang w:val="en-US" w:eastAsia="zh-CN"/>
        </w:rPr>
        <w:t>财发</w:t>
      </w:r>
      <w:r>
        <w:rPr>
          <w:rFonts w:hint="eastAsia" w:ascii="仿宋_GB2312" w:hAnsi="仿宋_GB2312" w:eastAsia="仿宋_GB2312" w:cs="仿宋_GB2312"/>
          <w:b w:val="0"/>
          <w:bCs/>
          <w:spacing w:val="-6"/>
          <w:sz w:val="32"/>
          <w:szCs w:val="32"/>
          <w:lang w:eastAsia="zh-CN"/>
        </w:rPr>
        <w:t>〔</w:t>
      </w:r>
      <w:r>
        <w:rPr>
          <w:rFonts w:hint="eastAsia" w:ascii="仿宋_GB2312" w:hAnsi="仿宋_GB2312" w:eastAsia="仿宋_GB2312" w:cs="仿宋_GB2312"/>
          <w:b w:val="0"/>
          <w:bCs/>
          <w:spacing w:val="-6"/>
          <w:sz w:val="32"/>
          <w:szCs w:val="32"/>
          <w:lang w:val="en-US" w:eastAsia="zh-CN"/>
        </w:rPr>
        <w:t>2021</w:t>
      </w:r>
      <w:r>
        <w:rPr>
          <w:rFonts w:hint="eastAsia" w:ascii="仿宋_GB2312" w:hAnsi="仿宋_GB2312" w:eastAsia="仿宋_GB2312" w:cs="仿宋_GB2312"/>
          <w:b w:val="0"/>
          <w:bCs/>
          <w:spacing w:val="-6"/>
          <w:sz w:val="32"/>
          <w:szCs w:val="32"/>
          <w:lang w:eastAsia="zh-CN"/>
        </w:rPr>
        <w:t>〕</w:t>
      </w:r>
      <w:r>
        <w:rPr>
          <w:rFonts w:hint="eastAsia" w:ascii="仿宋_GB2312" w:hAnsi="仿宋_GB2312" w:eastAsia="仿宋_GB2312" w:cs="仿宋_GB2312"/>
          <w:b w:val="0"/>
          <w:bCs/>
          <w:spacing w:val="-6"/>
          <w:sz w:val="32"/>
          <w:szCs w:val="32"/>
          <w:lang w:val="en-US" w:eastAsia="zh-CN"/>
        </w:rPr>
        <w:t>15号</w:t>
      </w:r>
      <w:r>
        <w:rPr>
          <w:rFonts w:hint="eastAsia" w:ascii="仿宋_GB2312" w:hAnsi="仿宋_GB2312" w:eastAsia="仿宋_GB2312" w:cs="仿宋_GB2312"/>
          <w:b w:val="0"/>
          <w:bCs/>
          <w:spacing w:val="-6"/>
          <w:sz w:val="32"/>
          <w:szCs w:val="32"/>
          <w:lang w:eastAsia="zh-CN"/>
        </w:rPr>
        <w:t>）</w:t>
      </w:r>
      <w:r>
        <w:rPr>
          <w:rFonts w:hint="eastAsia" w:ascii="仿宋_GB2312" w:hAnsi="仿宋_GB2312" w:eastAsia="仿宋_GB2312" w:cs="仿宋_GB2312"/>
          <w:b w:val="0"/>
          <w:bCs/>
          <w:spacing w:val="-6"/>
          <w:sz w:val="32"/>
          <w:szCs w:val="32"/>
          <w:lang w:val="en-US" w:eastAsia="zh-CN"/>
        </w:rPr>
        <w:t>要求，下达我局</w:t>
      </w:r>
      <w:r>
        <w:rPr>
          <w:rFonts w:hint="eastAsia" w:ascii="仿宋_GB2312" w:hAnsi="仿宋_GB2312" w:eastAsia="仿宋_GB2312" w:cs="仿宋_GB2312"/>
          <w:b w:val="0"/>
          <w:bCs/>
          <w:color w:val="000000"/>
          <w:spacing w:val="-6"/>
          <w:kern w:val="0"/>
          <w:sz w:val="32"/>
          <w:szCs w:val="32"/>
        </w:rPr>
        <w:t>202</w:t>
      </w:r>
      <w:r>
        <w:rPr>
          <w:rFonts w:hint="eastAsia" w:ascii="仿宋_GB2312" w:hAnsi="仿宋_GB2312" w:eastAsia="仿宋_GB2312" w:cs="仿宋_GB2312"/>
          <w:b w:val="0"/>
          <w:bCs/>
          <w:color w:val="000000"/>
          <w:spacing w:val="-6"/>
          <w:kern w:val="0"/>
          <w:sz w:val="32"/>
          <w:szCs w:val="32"/>
          <w:lang w:val="en-US" w:eastAsia="zh-CN"/>
        </w:rPr>
        <w:t>1</w:t>
      </w:r>
      <w:r>
        <w:rPr>
          <w:rFonts w:hint="eastAsia" w:ascii="仿宋_GB2312" w:hAnsi="仿宋_GB2312" w:eastAsia="仿宋_GB2312" w:cs="仿宋_GB2312"/>
          <w:b w:val="0"/>
          <w:bCs/>
          <w:color w:val="000000"/>
          <w:spacing w:val="-6"/>
          <w:kern w:val="0"/>
          <w:sz w:val="32"/>
          <w:szCs w:val="32"/>
        </w:rPr>
        <w:t>年</w:t>
      </w:r>
      <w:r>
        <w:rPr>
          <w:rFonts w:hint="eastAsia" w:ascii="仿宋_GB2312" w:hAnsi="仿宋_GB2312" w:eastAsia="仿宋_GB2312" w:cs="仿宋_GB2312"/>
          <w:b w:val="0"/>
          <w:bCs/>
          <w:spacing w:val="-6"/>
          <w:sz w:val="32"/>
          <w:szCs w:val="32"/>
          <w:lang w:eastAsia="zh-CN"/>
        </w:rPr>
        <w:t>十年长江禁捕</w:t>
      </w:r>
      <w:r>
        <w:rPr>
          <w:rFonts w:hint="eastAsia" w:ascii="仿宋_GB2312" w:hAnsi="仿宋_GB2312" w:eastAsia="仿宋_GB2312" w:cs="仿宋_GB2312"/>
          <w:b w:val="0"/>
          <w:bCs/>
          <w:spacing w:val="-6"/>
          <w:sz w:val="32"/>
          <w:szCs w:val="32"/>
          <w:lang w:val="en-US" w:eastAsia="zh-CN"/>
        </w:rPr>
        <w:t>资金10万元</w:t>
      </w:r>
      <w:r>
        <w:rPr>
          <w:rFonts w:hint="eastAsia" w:ascii="仿宋_GB2312" w:hAnsi="仿宋_GB2312" w:eastAsia="仿宋_GB2312" w:cs="仿宋_GB2312"/>
          <w:b w:val="0"/>
          <w:bCs/>
          <w:spacing w:val="-6"/>
          <w:sz w:val="32"/>
          <w:szCs w:val="32"/>
        </w:rPr>
        <w:t>。</w:t>
      </w:r>
    </w:p>
    <w:p>
      <w:pPr>
        <w:keepNext w:val="0"/>
        <w:keepLines w:val="0"/>
        <w:pageBreakBefore w:val="0"/>
        <w:numPr>
          <w:ilvl w:val="0"/>
          <w:numId w:val="4"/>
        </w:numPr>
        <w:kinsoku/>
        <w:wordWrap/>
        <w:overflowPunct/>
        <w:topLinePunct w:val="0"/>
        <w:autoSpaceDE w:val="0"/>
        <w:autoSpaceDN/>
        <w:bidi w:val="0"/>
        <w:adjustRightInd/>
        <w:snapToGrid/>
        <w:spacing w:line="560" w:lineRule="exact"/>
        <w:ind w:left="14" w:leftChars="0" w:firstLine="616" w:firstLineChars="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项目绩效目标</w:t>
      </w:r>
    </w:p>
    <w:p>
      <w:pPr>
        <w:keepNext w:val="0"/>
        <w:keepLines w:val="0"/>
        <w:pageBreakBefore w:val="0"/>
        <w:numPr>
          <w:ilvl w:val="0"/>
          <w:numId w:val="0"/>
        </w:numPr>
        <w:kinsoku/>
        <w:wordWrap/>
        <w:overflowPunct/>
        <w:topLinePunct w:val="0"/>
        <w:autoSpaceDE w:val="0"/>
        <w:autoSpaceDN/>
        <w:bidi w:val="0"/>
        <w:adjustRightInd/>
        <w:snapToGrid/>
        <w:spacing w:line="560" w:lineRule="exact"/>
        <w:ind w:firstLine="616" w:firstLineChars="200"/>
        <w:textAlignment w:val="auto"/>
        <w:rPr>
          <w:rFonts w:hint="eastAsia" w:ascii="仿宋_GB2312" w:hAnsi="仿宋_GB2312" w:eastAsia="仿宋_GB2312" w:cs="仿宋_GB2312"/>
          <w:bCs/>
          <w:spacing w:val="-6"/>
          <w:sz w:val="32"/>
          <w:szCs w:val="32"/>
          <w:lang w:eastAsia="zh-CN"/>
        </w:rPr>
      </w:pPr>
      <w:r>
        <w:rPr>
          <w:rFonts w:hint="eastAsia" w:ascii="仿宋_GB2312" w:hAnsi="仿宋_GB2312" w:eastAsia="仿宋_GB2312" w:cs="仿宋_GB2312"/>
          <w:bCs/>
          <w:spacing w:val="-6"/>
          <w:sz w:val="32"/>
          <w:szCs w:val="32"/>
          <w:lang w:eastAsia="zh-CN"/>
        </w:rPr>
        <w:t>主要购买渔政执法装备，提高渔政执法能力，</w:t>
      </w:r>
      <w:r>
        <w:rPr>
          <w:rFonts w:hint="eastAsia" w:ascii="仿宋_GB2312" w:hAnsi="仿宋_GB2312" w:eastAsia="仿宋_GB2312" w:cs="仿宋_GB2312"/>
          <w:bCs/>
          <w:spacing w:val="-6"/>
          <w:sz w:val="32"/>
          <w:szCs w:val="32"/>
          <w:lang w:val="en-US" w:eastAsia="zh-CN"/>
        </w:rPr>
        <w:t>对全区一江十一河所有天然水域实施长江禁捕制度，开展日常禁捕巡护</w:t>
      </w:r>
      <w:r>
        <w:rPr>
          <w:rFonts w:hint="eastAsia" w:ascii="仿宋_GB2312" w:hAnsi="仿宋_GB2312" w:eastAsia="仿宋_GB2312" w:cs="仿宋_GB2312"/>
          <w:bCs/>
          <w:spacing w:val="-6"/>
          <w:sz w:val="32"/>
          <w:szCs w:val="32"/>
          <w:lang w:eastAsia="zh-CN"/>
        </w:rPr>
        <w:t>。</w:t>
      </w:r>
    </w:p>
    <w:p>
      <w:pPr>
        <w:keepNext w:val="0"/>
        <w:keepLines w:val="0"/>
        <w:pageBreakBefore w:val="0"/>
        <w:numPr>
          <w:ilvl w:val="0"/>
          <w:numId w:val="4"/>
        </w:numPr>
        <w:kinsoku/>
        <w:wordWrap/>
        <w:overflowPunct/>
        <w:topLinePunct w:val="0"/>
        <w:autoSpaceDE w:val="0"/>
        <w:autoSpaceDN/>
        <w:bidi w:val="0"/>
        <w:adjustRightInd/>
        <w:snapToGrid/>
        <w:spacing w:line="560" w:lineRule="exact"/>
        <w:ind w:left="14" w:leftChars="0" w:firstLine="616" w:firstLineChars="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项目资金申报相符性</w:t>
      </w:r>
    </w:p>
    <w:p>
      <w:pPr>
        <w:keepNext w:val="0"/>
        <w:keepLines w:val="0"/>
        <w:pageBreakBefore w:val="0"/>
        <w:numPr>
          <w:ilvl w:val="0"/>
          <w:numId w:val="0"/>
        </w:numPr>
        <w:kinsoku/>
        <w:wordWrap/>
        <w:overflowPunct/>
        <w:topLinePunct w:val="0"/>
        <w:autoSpaceDE w:val="0"/>
        <w:autoSpaceDN/>
        <w:bidi w:val="0"/>
        <w:adjustRightInd/>
        <w:snapToGrid/>
        <w:spacing w:line="560" w:lineRule="exact"/>
        <w:ind w:firstLine="616" w:firstLineChars="200"/>
        <w:textAlignment w:val="auto"/>
        <w:rPr>
          <w:rFonts w:hint="default" w:ascii="仿宋_GB2312" w:hAnsi="仿宋_GB2312" w:eastAsia="仿宋_GB2312" w:cs="仿宋_GB2312"/>
          <w:bCs/>
          <w:spacing w:val="-6"/>
          <w:sz w:val="32"/>
          <w:szCs w:val="32"/>
          <w:lang w:val="en-US" w:eastAsia="zh-CN"/>
        </w:rPr>
      </w:pPr>
      <w:r>
        <w:rPr>
          <w:rFonts w:hint="eastAsia" w:ascii="仿宋_GB2312" w:hAnsi="仿宋_GB2312" w:eastAsia="仿宋_GB2312" w:cs="仿宋_GB2312"/>
          <w:bCs/>
          <w:spacing w:val="-6"/>
          <w:sz w:val="32"/>
          <w:szCs w:val="32"/>
          <w:lang w:val="en-US" w:eastAsia="zh-CN"/>
        </w:rPr>
        <w:t>全区</w:t>
      </w:r>
      <w:r>
        <w:rPr>
          <w:rFonts w:hint="eastAsia" w:ascii="仿宋_GB2312" w:hAnsi="仿宋_GB2312" w:eastAsia="仿宋_GB2312" w:cs="仿宋_GB2312"/>
          <w:bCs/>
          <w:spacing w:val="-6"/>
          <w:sz w:val="32"/>
          <w:szCs w:val="32"/>
          <w:lang w:eastAsia="zh-CN"/>
        </w:rPr>
        <w:t>以“保护优先，恢复生物资源”、“以人为本和“统一部署，实施全面禁捕”为基本原则，统筹推进禁捕工作。</w:t>
      </w:r>
      <w:r>
        <w:rPr>
          <w:rFonts w:hint="eastAsia" w:ascii="仿宋_GB2312" w:hAnsi="仿宋_GB2312" w:eastAsia="仿宋_GB2312" w:cs="仿宋_GB2312"/>
          <w:bCs/>
          <w:spacing w:val="-6"/>
          <w:sz w:val="32"/>
          <w:szCs w:val="32"/>
          <w:lang w:val="en-US" w:eastAsia="zh-CN"/>
        </w:rPr>
        <w:t>该项目申报符合国家决策要求。</w:t>
      </w:r>
    </w:p>
    <w:p>
      <w:pPr>
        <w:keepNext w:val="0"/>
        <w:keepLines w:val="0"/>
        <w:pageBreakBefore w:val="0"/>
        <w:kinsoku/>
        <w:wordWrap/>
        <w:overflowPunct/>
        <w:topLinePunct w:val="0"/>
        <w:autoSpaceDE w:val="0"/>
        <w:autoSpaceDN/>
        <w:bidi w:val="0"/>
        <w:adjustRightInd/>
        <w:snapToGrid/>
        <w:spacing w:line="560" w:lineRule="exact"/>
        <w:ind w:firstLine="616" w:firstLineChars="200"/>
        <w:textAlignment w:val="auto"/>
        <w:rPr>
          <w:rFonts w:hint="eastAsia" w:ascii="黑体" w:hAnsi="黑体" w:eastAsia="黑体" w:cs="Times New Roman"/>
          <w:spacing w:val="-6"/>
          <w:sz w:val="32"/>
          <w:szCs w:val="32"/>
        </w:rPr>
      </w:pPr>
      <w:r>
        <w:rPr>
          <w:rFonts w:hint="eastAsia" w:ascii="黑体" w:hAnsi="黑体" w:eastAsia="黑体" w:cs="Times New Roman"/>
          <w:spacing w:val="-6"/>
          <w:sz w:val="32"/>
          <w:szCs w:val="32"/>
        </w:rPr>
        <w:t>二、项目实施及管理情况</w:t>
      </w:r>
    </w:p>
    <w:p>
      <w:pPr>
        <w:keepNext w:val="0"/>
        <w:keepLines w:val="0"/>
        <w:pageBreakBefore w:val="0"/>
        <w:kinsoku/>
        <w:wordWrap/>
        <w:overflowPunct/>
        <w:topLinePunct w:val="0"/>
        <w:autoSpaceDE w:val="0"/>
        <w:autoSpaceDN/>
        <w:bidi w:val="0"/>
        <w:adjustRightInd/>
        <w:snapToGrid/>
        <w:spacing w:line="560"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（一）资金计划、到位及使用情况</w:t>
      </w:r>
    </w:p>
    <w:p>
      <w:pPr>
        <w:keepNext w:val="0"/>
        <w:keepLines w:val="0"/>
        <w:pageBreakBefore w:val="0"/>
        <w:kinsoku/>
        <w:wordWrap/>
        <w:overflowPunct/>
        <w:topLinePunct w:val="0"/>
        <w:autoSpaceDE w:val="0"/>
        <w:autoSpaceDN/>
        <w:bidi w:val="0"/>
        <w:adjustRightInd/>
        <w:snapToGrid/>
        <w:spacing w:line="560" w:lineRule="exact"/>
        <w:ind w:firstLine="616" w:firstLineChars="200"/>
        <w:textAlignment w:val="auto"/>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rPr>
        <w:t>1</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rPr>
        <w:t>资金计划及到位。</w:t>
      </w:r>
      <w:r>
        <w:rPr>
          <w:rFonts w:hint="eastAsia" w:ascii="仿宋_GB2312" w:hAnsi="仿宋_GB2312" w:eastAsia="仿宋_GB2312" w:cs="仿宋_GB2312"/>
          <w:b w:val="0"/>
          <w:bCs/>
          <w:spacing w:val="-6"/>
          <w:sz w:val="32"/>
          <w:szCs w:val="32"/>
          <w:lang w:eastAsia="zh-CN"/>
        </w:rPr>
        <w:t>根据区</w:t>
      </w:r>
      <w:r>
        <w:rPr>
          <w:rFonts w:hint="eastAsia" w:ascii="仿宋_GB2312" w:hAnsi="仿宋_GB2312" w:eastAsia="仿宋_GB2312" w:cs="仿宋_GB2312"/>
          <w:b w:val="0"/>
          <w:bCs/>
          <w:spacing w:val="-6"/>
          <w:sz w:val="32"/>
          <w:szCs w:val="32"/>
          <w:lang w:val="en-US" w:eastAsia="zh-CN"/>
        </w:rPr>
        <w:t>财政局</w:t>
      </w:r>
      <w:r>
        <w:rPr>
          <w:rFonts w:hint="eastAsia" w:ascii="仿宋_GB2312" w:hAnsi="仿宋_GB2312" w:eastAsia="仿宋_GB2312" w:cs="仿宋_GB2312"/>
          <w:b w:val="0"/>
          <w:bCs/>
          <w:spacing w:val="-6"/>
          <w:sz w:val="32"/>
          <w:szCs w:val="32"/>
          <w:lang w:eastAsia="zh-CN"/>
        </w:rPr>
        <w:t>《关于</w:t>
      </w:r>
      <w:r>
        <w:rPr>
          <w:rFonts w:hint="eastAsia" w:ascii="仿宋_GB2312" w:hAnsi="仿宋_GB2312" w:eastAsia="仿宋_GB2312" w:cs="仿宋_GB2312"/>
          <w:b w:val="0"/>
          <w:bCs/>
          <w:spacing w:val="-6"/>
          <w:sz w:val="32"/>
          <w:szCs w:val="32"/>
          <w:lang w:val="en-US" w:eastAsia="zh-CN"/>
        </w:rPr>
        <w:t>批复2021年部门综合预算及绩效目标的通知</w:t>
      </w:r>
      <w:r>
        <w:rPr>
          <w:rFonts w:hint="eastAsia" w:ascii="仿宋_GB2312" w:hAnsi="仿宋_GB2312" w:eastAsia="仿宋_GB2312" w:cs="仿宋_GB2312"/>
          <w:b w:val="0"/>
          <w:bCs/>
          <w:spacing w:val="-6"/>
          <w:sz w:val="32"/>
          <w:szCs w:val="32"/>
          <w:lang w:eastAsia="zh-CN"/>
        </w:rPr>
        <w:t>》（广朝</w:t>
      </w:r>
      <w:r>
        <w:rPr>
          <w:rFonts w:hint="eastAsia" w:ascii="仿宋_GB2312" w:hAnsi="仿宋_GB2312" w:eastAsia="仿宋_GB2312" w:cs="仿宋_GB2312"/>
          <w:b w:val="0"/>
          <w:bCs/>
          <w:spacing w:val="-6"/>
          <w:sz w:val="32"/>
          <w:szCs w:val="32"/>
          <w:lang w:val="en-US" w:eastAsia="zh-CN"/>
        </w:rPr>
        <w:t>财发</w:t>
      </w:r>
      <w:r>
        <w:rPr>
          <w:rFonts w:hint="eastAsia" w:ascii="仿宋_GB2312" w:hAnsi="仿宋_GB2312" w:eastAsia="仿宋_GB2312" w:cs="仿宋_GB2312"/>
          <w:b w:val="0"/>
          <w:bCs/>
          <w:spacing w:val="-6"/>
          <w:sz w:val="32"/>
          <w:szCs w:val="32"/>
          <w:lang w:eastAsia="zh-CN"/>
        </w:rPr>
        <w:t>〔</w:t>
      </w:r>
      <w:r>
        <w:rPr>
          <w:rFonts w:hint="eastAsia" w:ascii="仿宋_GB2312" w:hAnsi="仿宋_GB2312" w:eastAsia="仿宋_GB2312" w:cs="仿宋_GB2312"/>
          <w:b w:val="0"/>
          <w:bCs/>
          <w:spacing w:val="-6"/>
          <w:sz w:val="32"/>
          <w:szCs w:val="32"/>
          <w:lang w:val="en-US" w:eastAsia="zh-CN"/>
        </w:rPr>
        <w:t>2021</w:t>
      </w:r>
      <w:r>
        <w:rPr>
          <w:rFonts w:hint="eastAsia" w:ascii="仿宋_GB2312" w:hAnsi="仿宋_GB2312" w:eastAsia="仿宋_GB2312" w:cs="仿宋_GB2312"/>
          <w:b w:val="0"/>
          <w:bCs/>
          <w:spacing w:val="-6"/>
          <w:sz w:val="32"/>
          <w:szCs w:val="32"/>
          <w:lang w:eastAsia="zh-CN"/>
        </w:rPr>
        <w:t>〕</w:t>
      </w:r>
      <w:r>
        <w:rPr>
          <w:rFonts w:hint="eastAsia" w:ascii="仿宋_GB2312" w:hAnsi="仿宋_GB2312" w:eastAsia="仿宋_GB2312" w:cs="仿宋_GB2312"/>
          <w:b w:val="0"/>
          <w:bCs/>
          <w:spacing w:val="-6"/>
          <w:sz w:val="32"/>
          <w:szCs w:val="32"/>
          <w:lang w:val="en-US" w:eastAsia="zh-CN"/>
        </w:rPr>
        <w:t>15号</w:t>
      </w:r>
      <w:r>
        <w:rPr>
          <w:rFonts w:hint="eastAsia" w:ascii="仿宋_GB2312" w:hAnsi="仿宋_GB2312" w:eastAsia="仿宋_GB2312" w:cs="仿宋_GB2312"/>
          <w:b w:val="0"/>
          <w:bCs/>
          <w:spacing w:val="-6"/>
          <w:sz w:val="32"/>
          <w:szCs w:val="32"/>
          <w:lang w:eastAsia="zh-CN"/>
        </w:rPr>
        <w:t>）</w:t>
      </w:r>
      <w:r>
        <w:rPr>
          <w:rFonts w:hint="eastAsia" w:ascii="仿宋_GB2312" w:hAnsi="仿宋_GB2312" w:eastAsia="仿宋_GB2312" w:cs="仿宋_GB2312"/>
          <w:b w:val="0"/>
          <w:bCs/>
          <w:spacing w:val="-6"/>
          <w:sz w:val="32"/>
          <w:szCs w:val="32"/>
          <w:lang w:val="en-US" w:eastAsia="zh-CN"/>
        </w:rPr>
        <w:t>要求，下达我局</w:t>
      </w:r>
      <w:r>
        <w:rPr>
          <w:rFonts w:hint="eastAsia" w:ascii="仿宋_GB2312" w:hAnsi="仿宋_GB2312" w:eastAsia="仿宋_GB2312" w:cs="仿宋_GB2312"/>
          <w:b w:val="0"/>
          <w:bCs/>
          <w:color w:val="000000"/>
          <w:spacing w:val="-6"/>
          <w:kern w:val="0"/>
          <w:sz w:val="32"/>
          <w:szCs w:val="32"/>
        </w:rPr>
        <w:t>202</w:t>
      </w:r>
      <w:r>
        <w:rPr>
          <w:rFonts w:hint="eastAsia" w:ascii="仿宋_GB2312" w:hAnsi="仿宋_GB2312" w:eastAsia="仿宋_GB2312" w:cs="仿宋_GB2312"/>
          <w:b w:val="0"/>
          <w:bCs/>
          <w:color w:val="000000"/>
          <w:spacing w:val="-6"/>
          <w:kern w:val="0"/>
          <w:sz w:val="32"/>
          <w:szCs w:val="32"/>
          <w:lang w:val="en-US" w:eastAsia="zh-CN"/>
        </w:rPr>
        <w:t>1</w:t>
      </w:r>
      <w:r>
        <w:rPr>
          <w:rFonts w:hint="eastAsia" w:ascii="仿宋_GB2312" w:hAnsi="仿宋_GB2312" w:eastAsia="仿宋_GB2312" w:cs="仿宋_GB2312"/>
          <w:b w:val="0"/>
          <w:bCs/>
          <w:color w:val="000000"/>
          <w:spacing w:val="-6"/>
          <w:kern w:val="0"/>
          <w:sz w:val="32"/>
          <w:szCs w:val="32"/>
        </w:rPr>
        <w:t>年</w:t>
      </w:r>
      <w:r>
        <w:rPr>
          <w:rFonts w:hint="eastAsia" w:ascii="仿宋_GB2312" w:hAnsi="仿宋_GB2312" w:eastAsia="仿宋_GB2312" w:cs="仿宋_GB2312"/>
          <w:b w:val="0"/>
          <w:bCs/>
          <w:spacing w:val="-6"/>
          <w:sz w:val="32"/>
          <w:szCs w:val="32"/>
          <w:lang w:eastAsia="zh-CN"/>
        </w:rPr>
        <w:t>十年长江禁捕</w:t>
      </w:r>
      <w:r>
        <w:rPr>
          <w:rFonts w:hint="eastAsia" w:ascii="仿宋_GB2312" w:hAnsi="仿宋_GB2312" w:eastAsia="仿宋_GB2312" w:cs="仿宋_GB2312"/>
          <w:b w:val="0"/>
          <w:bCs/>
          <w:spacing w:val="-6"/>
          <w:sz w:val="32"/>
          <w:szCs w:val="32"/>
          <w:lang w:val="en-US" w:eastAsia="zh-CN"/>
        </w:rPr>
        <w:t>资金10万元。</w:t>
      </w:r>
    </w:p>
    <w:p>
      <w:pPr>
        <w:keepNext w:val="0"/>
        <w:keepLines w:val="0"/>
        <w:pageBreakBefore w:val="0"/>
        <w:kinsoku/>
        <w:wordWrap/>
        <w:overflowPunct/>
        <w:topLinePunct w:val="0"/>
        <w:autoSpaceDE w:val="0"/>
        <w:autoSpaceDN/>
        <w:bidi w:val="0"/>
        <w:adjustRightInd/>
        <w:snapToGrid/>
        <w:spacing w:line="560" w:lineRule="exact"/>
        <w:ind w:firstLine="616" w:firstLineChars="200"/>
        <w:textAlignment w:val="auto"/>
        <w:rPr>
          <w:rFonts w:hint="default"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rPr>
        <w:t>2</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rPr>
        <w:t>资金使用。</w:t>
      </w:r>
      <w:r>
        <w:rPr>
          <w:rFonts w:hint="eastAsia" w:ascii="仿宋_GB2312" w:hAnsi="Times New Roman" w:eastAsia="仿宋_GB2312" w:cs="Times New Roman"/>
          <w:spacing w:val="-6"/>
          <w:sz w:val="32"/>
          <w:szCs w:val="32"/>
          <w:lang w:val="en-US" w:eastAsia="zh-CN"/>
        </w:rPr>
        <w:t>该项目用于购置</w:t>
      </w:r>
      <w:r>
        <w:rPr>
          <w:rFonts w:hint="eastAsia" w:ascii="仿宋_GB2312" w:hAnsi="仿宋_GB2312" w:eastAsia="仿宋_GB2312" w:cs="仿宋_GB2312"/>
          <w:bCs/>
          <w:spacing w:val="-6"/>
          <w:sz w:val="32"/>
          <w:szCs w:val="32"/>
          <w:lang w:eastAsia="zh-CN"/>
        </w:rPr>
        <w:t>渔政执法装备</w:t>
      </w:r>
      <w:r>
        <w:rPr>
          <w:rFonts w:hint="eastAsia" w:ascii="仿宋_GB2312" w:hAnsi="仿宋_GB2312" w:eastAsia="仿宋_GB2312" w:cs="仿宋_GB2312"/>
          <w:bCs/>
          <w:spacing w:val="-6"/>
          <w:sz w:val="32"/>
          <w:szCs w:val="32"/>
          <w:lang w:val="en-US" w:eastAsia="zh-CN"/>
        </w:rPr>
        <w:t>和开展日常禁捕巡护，</w:t>
      </w:r>
      <w:r>
        <w:rPr>
          <w:rFonts w:hint="eastAsia" w:ascii="仿宋_GB2312" w:hAnsi="Times New Roman" w:eastAsia="仿宋_GB2312" w:cs="Times New Roman"/>
          <w:spacing w:val="-6"/>
          <w:sz w:val="32"/>
          <w:szCs w:val="32"/>
          <w:lang w:val="en-US" w:eastAsia="zh-CN"/>
        </w:rPr>
        <w:t>现已支付资金10万元。</w:t>
      </w:r>
    </w:p>
    <w:p>
      <w:pPr>
        <w:keepNext w:val="0"/>
        <w:keepLines w:val="0"/>
        <w:pageBreakBefore w:val="0"/>
        <w:kinsoku/>
        <w:wordWrap/>
        <w:overflowPunct/>
        <w:topLinePunct w:val="0"/>
        <w:autoSpaceDE w:val="0"/>
        <w:autoSpaceDN/>
        <w:bidi w:val="0"/>
        <w:adjustRightInd/>
        <w:snapToGrid/>
        <w:spacing w:line="560"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（二）项目财务管理情况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sz w:val="32"/>
          <w:szCs w:val="32"/>
        </w:rPr>
      </w:pPr>
      <w:r>
        <w:rPr>
          <w:rFonts w:hint="default" w:ascii="仿宋_GB2312" w:hAnsi="仿宋_GB2312" w:eastAsia="仿宋_GB2312" w:cs="仿宋_GB2312"/>
          <w:color w:val="000000"/>
          <w:spacing w:val="0"/>
          <w:w w:val="100"/>
          <w:kern w:val="2"/>
          <w:position w:val="0"/>
          <w:sz w:val="32"/>
          <w:szCs w:val="32"/>
          <w:u w:val="none"/>
          <w:shd w:val="clear" w:color="auto" w:fill="auto"/>
          <w:lang w:val="en-US" w:eastAsia="zh-CN" w:bidi="ar-SA"/>
        </w:rPr>
        <w:t>遵循“专款专用、注重实效，上下联动、形成合力，积极稳妥、风险</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ar-SA"/>
        </w:rPr>
        <w:t>防控</w:t>
      </w:r>
      <w:r>
        <w:rPr>
          <w:rFonts w:hint="default" w:ascii="仿宋_GB2312" w:hAnsi="仿宋_GB2312" w:eastAsia="仿宋_GB2312" w:cs="仿宋_GB2312"/>
          <w:color w:val="000000"/>
          <w:spacing w:val="0"/>
          <w:w w:val="100"/>
          <w:kern w:val="2"/>
          <w:position w:val="0"/>
          <w:sz w:val="32"/>
          <w:szCs w:val="32"/>
          <w:u w:val="none"/>
          <w:shd w:val="clear" w:color="auto" w:fill="auto"/>
          <w:lang w:val="en-US" w:eastAsia="zh-CN" w:bidi="ar-SA"/>
        </w:rPr>
        <w:t>”的原则。加强资金使用管理，</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ar-SA"/>
        </w:rPr>
        <w:t>对项目</w:t>
      </w:r>
      <w:r>
        <w:rPr>
          <w:rFonts w:hint="default" w:ascii="仿宋_GB2312" w:hAnsi="仿宋_GB2312" w:eastAsia="仿宋_GB2312" w:cs="仿宋_GB2312"/>
          <w:color w:val="000000"/>
          <w:spacing w:val="0"/>
          <w:w w:val="100"/>
          <w:kern w:val="2"/>
          <w:position w:val="0"/>
          <w:sz w:val="32"/>
          <w:szCs w:val="32"/>
          <w:u w:val="none"/>
          <w:shd w:val="clear" w:color="auto" w:fill="auto"/>
          <w:lang w:val="en-US" w:eastAsia="zh-CN" w:bidi="ar-SA"/>
        </w:rPr>
        <w:t>资金安排、使用等情况进行公告公示，接受</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ar-SA"/>
        </w:rPr>
        <w:t>社会</w:t>
      </w:r>
      <w:r>
        <w:rPr>
          <w:rFonts w:hint="default" w:ascii="仿宋_GB2312" w:hAnsi="仿宋_GB2312" w:eastAsia="仿宋_GB2312" w:cs="仿宋_GB2312"/>
          <w:color w:val="000000"/>
          <w:spacing w:val="0"/>
          <w:w w:val="100"/>
          <w:kern w:val="2"/>
          <w:position w:val="0"/>
          <w:sz w:val="32"/>
          <w:szCs w:val="32"/>
          <w:u w:val="none"/>
          <w:shd w:val="clear" w:color="auto" w:fill="auto"/>
          <w:lang w:val="en-US" w:eastAsia="zh-CN" w:bidi="ar-SA"/>
        </w:rPr>
        <w:t>监督。严格做到专款专用、专帐核算，不得截留、挪用。</w:t>
      </w:r>
    </w:p>
    <w:p>
      <w:pPr>
        <w:keepNext w:val="0"/>
        <w:keepLines w:val="0"/>
        <w:pageBreakBefore w:val="0"/>
        <w:kinsoku/>
        <w:wordWrap/>
        <w:overflowPunct/>
        <w:topLinePunct w:val="0"/>
        <w:autoSpaceDE w:val="0"/>
        <w:autoSpaceDN/>
        <w:bidi w:val="0"/>
        <w:adjustRightInd/>
        <w:snapToGrid/>
        <w:spacing w:line="560"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（三）项目组织实施情况</w:t>
      </w:r>
    </w:p>
    <w:p>
      <w:pPr>
        <w:keepNext w:val="0"/>
        <w:keepLines w:val="0"/>
        <w:pageBreakBefore w:val="0"/>
        <w:kinsoku/>
        <w:wordWrap/>
        <w:overflowPunct/>
        <w:topLinePunct w:val="0"/>
        <w:autoSpaceDE w:val="0"/>
        <w:autoSpaceDN/>
        <w:bidi w:val="0"/>
        <w:adjustRightInd/>
        <w:snapToGrid/>
        <w:spacing w:line="560" w:lineRule="exact"/>
        <w:ind w:firstLine="616" w:firstLineChars="200"/>
        <w:textAlignment w:val="auto"/>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lang w:eastAsia="zh-CN"/>
        </w:rPr>
        <w:t>该项目通过政府采购的方式组织实施。</w:t>
      </w:r>
    </w:p>
    <w:p>
      <w:pPr>
        <w:keepNext w:val="0"/>
        <w:keepLines w:val="0"/>
        <w:pageBreakBefore w:val="0"/>
        <w:kinsoku/>
        <w:wordWrap/>
        <w:overflowPunct/>
        <w:topLinePunct w:val="0"/>
        <w:autoSpaceDE w:val="0"/>
        <w:autoSpaceDN/>
        <w:bidi w:val="0"/>
        <w:adjustRightInd/>
        <w:snapToGrid/>
        <w:spacing w:line="560" w:lineRule="exact"/>
        <w:ind w:firstLine="616" w:firstLineChars="200"/>
        <w:textAlignment w:val="auto"/>
        <w:rPr>
          <w:rFonts w:hint="eastAsia" w:ascii="黑体" w:hAnsi="黑体" w:eastAsia="黑体" w:cs="Times New Roman"/>
          <w:spacing w:val="-6"/>
          <w:sz w:val="32"/>
          <w:szCs w:val="32"/>
        </w:rPr>
      </w:pPr>
      <w:r>
        <w:rPr>
          <w:rFonts w:hint="eastAsia" w:ascii="黑体" w:hAnsi="黑体" w:eastAsia="黑体" w:cs="Times New Roman"/>
          <w:spacing w:val="-6"/>
          <w:sz w:val="32"/>
          <w:szCs w:val="32"/>
        </w:rPr>
        <w:t>三、项目绩效情况</w:t>
      </w:r>
      <w:r>
        <w:rPr>
          <w:rFonts w:hint="eastAsia" w:ascii="黑体" w:hAnsi="黑体" w:eastAsia="黑体" w:cs="Times New Roman"/>
          <w:spacing w:val="-6"/>
          <w:sz w:val="32"/>
          <w:szCs w:val="32"/>
        </w:rPr>
        <w:tab/>
      </w:r>
    </w:p>
    <w:p>
      <w:pPr>
        <w:keepNext w:val="0"/>
        <w:keepLines w:val="0"/>
        <w:pageBreakBefore w:val="0"/>
        <w:kinsoku/>
        <w:wordWrap/>
        <w:overflowPunct/>
        <w:topLinePunct w:val="0"/>
        <w:autoSpaceDE w:val="0"/>
        <w:autoSpaceDN/>
        <w:bidi w:val="0"/>
        <w:adjustRightInd/>
        <w:snapToGrid/>
        <w:spacing w:line="560"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（一）项目完成情况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000000"/>
          <w:spacing w:val="0"/>
          <w:w w:val="100"/>
          <w:kern w:val="2"/>
          <w:position w:val="0"/>
          <w:sz w:val="32"/>
          <w:szCs w:val="32"/>
          <w:u w:val="none"/>
          <w:shd w:val="clear" w:color="auto" w:fill="auto"/>
          <w:lang w:val="en-US" w:eastAsia="zh-CN" w:bidi="ar-SA"/>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ar-SA"/>
        </w:rPr>
        <w:t>采购电脑3台，办公桌2张，复印机1台、照相机1台，热成像仪1台，摄像机1台，储存器4个，执法记录仪1个，文件柜4套，办公椅2把，执法终端5台，扩音器2个，车载冷藏箱1个，巡护员反光背心29套，无人机1台。</w:t>
      </w:r>
    </w:p>
    <w:p>
      <w:pPr>
        <w:keepNext w:val="0"/>
        <w:keepLines w:val="0"/>
        <w:pageBreakBefore w:val="0"/>
        <w:numPr>
          <w:ilvl w:val="0"/>
          <w:numId w:val="5"/>
        </w:numPr>
        <w:kinsoku/>
        <w:wordWrap/>
        <w:overflowPunct/>
        <w:topLinePunct w:val="0"/>
        <w:autoSpaceDE w:val="0"/>
        <w:autoSpaceDN/>
        <w:bidi w:val="0"/>
        <w:adjustRightInd/>
        <w:snapToGrid/>
        <w:spacing w:line="560"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项目效益情况</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ar-SA"/>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ar-SA"/>
        </w:rPr>
        <w:t>1、社会效益。利用各种平台及手段，开展“水上不捕、市场不卖、餐馆不做、群众不吃”的十年禁渔理念。落实29名禁捕巡护员在全区一江十一河所有天然水域开展巡护，悬挂各横幅200余幅，引导广大市民自觉遵守相关法律法规规定，提高社会知晓率和参与度，社会公众对禁捕政策知晓率较高。</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000000"/>
          <w:spacing w:val="0"/>
          <w:w w:val="100"/>
          <w:kern w:val="2"/>
          <w:position w:val="0"/>
          <w:sz w:val="32"/>
          <w:szCs w:val="32"/>
          <w:u w:val="none"/>
          <w:shd w:val="clear" w:color="auto" w:fill="auto"/>
          <w:lang w:val="en-US" w:eastAsia="zh-CN" w:bidi="ar-SA"/>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ar-SA"/>
        </w:rPr>
        <w:t>2、生态效益。通过十年长江禁捕项目的实施，全区对所有天然水域加强了管控力度，强化垃圾源头控制，加大垃圾资源化利用、无害化处理力度，确保城市生活垃圾资源化利用率、城乡生活垃圾收运率、农村垃圾无害化处理率全面达标。严厉打击非法捕捞，持续加强生物多样性保护，确保禁捕取得扎实成效。</w:t>
      </w:r>
    </w:p>
    <w:p>
      <w:pPr>
        <w:keepNext w:val="0"/>
        <w:keepLines w:val="0"/>
        <w:pageBreakBefore w:val="0"/>
        <w:kinsoku/>
        <w:wordWrap/>
        <w:overflowPunct/>
        <w:topLinePunct w:val="0"/>
        <w:autoSpaceDE w:val="0"/>
        <w:autoSpaceDN/>
        <w:bidi w:val="0"/>
        <w:adjustRightInd/>
        <w:snapToGrid/>
        <w:spacing w:line="560" w:lineRule="exact"/>
        <w:ind w:firstLine="616" w:firstLineChars="200"/>
        <w:textAlignment w:val="auto"/>
        <w:rPr>
          <w:rFonts w:hint="eastAsia" w:ascii="黑体" w:hAnsi="黑体" w:eastAsia="黑体" w:cs="Times New Roman"/>
          <w:spacing w:val="-6"/>
          <w:sz w:val="32"/>
          <w:szCs w:val="32"/>
        </w:rPr>
      </w:pPr>
      <w:r>
        <w:rPr>
          <w:rFonts w:hint="eastAsia" w:ascii="黑体" w:hAnsi="黑体" w:eastAsia="黑体" w:cs="Times New Roman"/>
          <w:spacing w:val="-6"/>
          <w:sz w:val="32"/>
          <w:szCs w:val="32"/>
        </w:rPr>
        <w:t>四、问题及建议</w:t>
      </w:r>
    </w:p>
    <w:p>
      <w:pPr>
        <w:keepNext w:val="0"/>
        <w:keepLines w:val="0"/>
        <w:pageBreakBefore w:val="0"/>
        <w:kinsoku/>
        <w:wordWrap/>
        <w:overflowPunct/>
        <w:topLinePunct w:val="0"/>
        <w:autoSpaceDE w:val="0"/>
        <w:autoSpaceDN/>
        <w:bidi w:val="0"/>
        <w:adjustRightInd/>
        <w:snapToGrid/>
        <w:spacing w:line="560" w:lineRule="exact"/>
        <w:ind w:firstLine="616" w:firstLineChars="200"/>
        <w:textAlignment w:val="auto"/>
        <w:rPr>
          <w:rFonts w:hint="eastAsia" w:ascii="楷体_GB2312" w:hAnsi="Times New Roman" w:eastAsia="楷体_GB2312" w:cs="Times New Roman"/>
          <w:bCs/>
          <w:spacing w:val="-6"/>
          <w:sz w:val="32"/>
          <w:szCs w:val="32"/>
          <w:lang w:eastAsia="zh-CN"/>
        </w:rPr>
      </w:pPr>
      <w:r>
        <w:rPr>
          <w:rFonts w:hint="eastAsia" w:ascii="楷体_GB2312" w:hAnsi="Times New Roman" w:eastAsia="楷体_GB2312" w:cs="Times New Roman"/>
          <w:bCs/>
          <w:spacing w:val="-6"/>
          <w:sz w:val="32"/>
          <w:szCs w:val="32"/>
        </w:rPr>
        <w:t>（一）存在的问题</w:t>
      </w:r>
      <w:r>
        <w:rPr>
          <w:rFonts w:hint="eastAsia" w:ascii="楷体_GB2312" w:hAnsi="Times New Roman" w:eastAsia="楷体_GB2312" w:cs="Times New Roman"/>
          <w:bCs/>
          <w:spacing w:val="-6"/>
          <w:sz w:val="32"/>
          <w:szCs w:val="32"/>
          <w:lang w:eastAsia="zh-CN"/>
        </w:rPr>
        <w:t>：无</w:t>
      </w:r>
    </w:p>
    <w:p>
      <w:pPr>
        <w:keepNext w:val="0"/>
        <w:keepLines w:val="0"/>
        <w:pageBreakBefore w:val="0"/>
        <w:kinsoku/>
        <w:wordWrap/>
        <w:overflowPunct/>
        <w:topLinePunct w:val="0"/>
        <w:autoSpaceDE w:val="0"/>
        <w:autoSpaceDN/>
        <w:bidi w:val="0"/>
        <w:adjustRightInd/>
        <w:snapToGrid/>
        <w:spacing w:line="560" w:lineRule="exact"/>
        <w:ind w:firstLine="616" w:firstLineChars="200"/>
        <w:textAlignment w:val="auto"/>
      </w:pPr>
      <w:r>
        <w:rPr>
          <w:rFonts w:hint="eastAsia" w:ascii="楷体_GB2312" w:hAnsi="Times New Roman" w:eastAsia="楷体_GB2312" w:cs="Times New Roman"/>
          <w:bCs/>
          <w:spacing w:val="-6"/>
          <w:sz w:val="32"/>
          <w:szCs w:val="32"/>
        </w:rPr>
        <w:t>（二）相关建议。</w:t>
      </w:r>
      <w:r>
        <w:rPr>
          <w:rFonts w:hint="eastAsia" w:ascii="仿宋_GB2312" w:hAnsi="Times New Roman" w:eastAsia="仿宋_GB2312" w:cs="Times New Roman"/>
          <w:spacing w:val="-6"/>
          <w:sz w:val="32"/>
          <w:szCs w:val="32"/>
          <w:lang w:eastAsia="zh-CN"/>
        </w:rPr>
        <w:t>无</w:t>
      </w:r>
    </w:p>
    <w:tbl>
      <w:tblPr>
        <w:tblStyle w:val="16"/>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635"/>
        <w:gridCol w:w="1189"/>
        <w:gridCol w:w="1224"/>
        <w:gridCol w:w="2410"/>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b/>
                <w:i w:val="0"/>
                <w:color w:val="auto"/>
                <w:sz w:val="32"/>
                <w:szCs w:val="32"/>
                <w:highlight w:val="none"/>
                <w:u w:val="none"/>
                <w:lang w:val="en-US" w:eastAsia="zh-CN"/>
              </w:rPr>
              <w:t>2021年部门预算项目绩效目标自评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rPr>
              <w:t>广元市朝天区农业农村局</w:t>
            </w:r>
            <w:r>
              <w:rPr>
                <w:rFonts w:hint="eastAsia" w:ascii="宋体" w:hAnsi="宋体" w:eastAsia="宋体" w:cs="宋体"/>
                <w:i w:val="0"/>
                <w:color w:val="auto"/>
                <w:sz w:val="21"/>
                <w:szCs w:val="21"/>
                <w:highlight w:val="none"/>
                <w:u w:val="none"/>
                <w:lang w:val="en-US" w:eastAsia="zh-CN"/>
              </w:rPr>
              <w:t xml:space="preserve"> 602601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十年长江禁捕资金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项目预算</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执行情况</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10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10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1330"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购买渔政执法装备设施，制作永久性宣传标语、宣传单，通过宣传让群众对长江流域禁捕的知晓率达到100%。</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购买渔政执法装备设施，制作永久性宣传标语、宣传单，通过宣传让群众对长江流域禁捕的知晓率达到100%。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购买渔政执法装备设施</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58</w:t>
            </w:r>
            <w:r>
              <w:rPr>
                <w:rFonts w:hint="eastAsia" w:ascii="宋体" w:hAnsi="宋体" w:eastAsia="宋体" w:cs="宋体"/>
                <w:i w:val="0"/>
                <w:color w:val="auto"/>
                <w:sz w:val="21"/>
                <w:szCs w:val="21"/>
                <w:highlight w:val="none"/>
                <w:u w:val="none"/>
                <w:lang w:val="en-US" w:eastAsia="zh-CN"/>
              </w:rPr>
              <w:t>台套</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cs="宋体"/>
                <w:i w:val="0"/>
                <w:color w:val="auto"/>
                <w:sz w:val="21"/>
                <w:szCs w:val="21"/>
                <w:highlight w:val="none"/>
                <w:u w:val="none"/>
                <w:lang w:val="en-US" w:eastAsia="zh-CN"/>
              </w:rPr>
              <w:t>58</w:t>
            </w:r>
            <w:r>
              <w:rPr>
                <w:rFonts w:hint="eastAsia" w:ascii="宋体" w:hAnsi="宋体" w:eastAsia="宋体" w:cs="宋体"/>
                <w:i w:val="0"/>
                <w:color w:val="auto"/>
                <w:sz w:val="21"/>
                <w:szCs w:val="21"/>
                <w:highlight w:val="none"/>
                <w:u w:val="none"/>
                <w:lang w:val="en-US" w:eastAsia="zh-CN"/>
              </w:rPr>
              <w:t>台套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验收合格率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100%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建设时限</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lang w:val="en-US" w:eastAsia="zh-CN"/>
              </w:rPr>
              <w:t>2021年3月-2021年12月</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lang w:val="en-US" w:eastAsia="zh-CN"/>
              </w:rPr>
              <w:t>2021年3月-2021年12月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成本投入</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rPr>
              <w:t>≤</w:t>
            </w:r>
            <w:r>
              <w:rPr>
                <w:rFonts w:hint="eastAsia" w:ascii="宋体" w:hAnsi="宋体" w:eastAsia="宋体" w:cs="宋体"/>
                <w:i w:val="0"/>
                <w:color w:val="auto"/>
                <w:sz w:val="21"/>
                <w:szCs w:val="21"/>
                <w:highlight w:val="none"/>
                <w:u w:val="none"/>
                <w:lang w:val="en-US" w:eastAsia="zh-CN"/>
              </w:rPr>
              <w:t>10万元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lang w:val="en-US" w:eastAsia="zh-CN"/>
              </w:rPr>
              <w:t>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效益</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经济效益指标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健全长效管理机制</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明显提升</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明显提升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393" w:leftChars="87" w:hanging="210" w:hangingChars="100"/>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维护生态环境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明显改善</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lang w:val="en-US" w:eastAsia="zh-CN"/>
              </w:rPr>
              <w:t>明显改善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可持续影响指标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影响时限</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rPr>
              <w:t>≥</w:t>
            </w:r>
            <w:r>
              <w:rPr>
                <w:rFonts w:hint="eastAsia" w:ascii="宋体" w:hAnsi="宋体" w:eastAsia="宋体" w:cs="宋体"/>
                <w:i w:val="0"/>
                <w:color w:val="auto"/>
                <w:sz w:val="21"/>
                <w:szCs w:val="21"/>
                <w:highlight w:val="none"/>
                <w:u w:val="none"/>
                <w:lang w:val="en-US" w:eastAsia="zh-CN"/>
              </w:rPr>
              <w:t>10年</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lang w:val="en-US" w:eastAsia="zh-CN"/>
              </w:rPr>
              <w:t>10年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满意</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群众满意度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rPr>
              <w:t>≥</w:t>
            </w:r>
            <w:r>
              <w:rPr>
                <w:rFonts w:hint="eastAsia" w:ascii="宋体" w:hAnsi="宋体" w:cs="宋体"/>
                <w:i w:val="0"/>
                <w:color w:val="auto"/>
                <w:sz w:val="21"/>
                <w:szCs w:val="21"/>
                <w:highlight w:val="none"/>
                <w:u w:val="none"/>
                <w:lang w:val="en-US" w:eastAsia="zh-CN"/>
              </w:rPr>
              <w:t>95%</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宋体" w:hAnsi="宋体" w:eastAsia="宋体" w:cs="宋体"/>
                <w:i w:val="0"/>
                <w:color w:val="auto"/>
                <w:sz w:val="21"/>
                <w:szCs w:val="21"/>
                <w:highlight w:val="none"/>
                <w:u w:val="none"/>
                <w:lang w:val="en-US"/>
              </w:rPr>
            </w:pPr>
            <w:r>
              <w:rPr>
                <w:rFonts w:hint="eastAsia" w:ascii="宋体" w:hAnsi="宋体" w:cs="宋体"/>
                <w:i w:val="0"/>
                <w:color w:val="auto"/>
                <w:sz w:val="21"/>
                <w:szCs w:val="21"/>
                <w:highlight w:val="none"/>
                <w:u w:val="none"/>
                <w:lang w:val="en-US" w:eastAsia="zh-CN"/>
              </w:rPr>
              <w:t>95%</w:t>
            </w:r>
          </w:p>
        </w:tc>
      </w:tr>
    </w:tbl>
    <w:p>
      <w:pPr>
        <w:jc w:val="both"/>
        <w:rPr>
          <w:rFonts w:hint="eastAsia" w:eastAsia="仿宋"/>
          <w:color w:val="auto"/>
          <w:sz w:val="24"/>
          <w:szCs w:val="24"/>
          <w:highlight w:val="none"/>
          <w:lang w:eastAsia="zh-CN"/>
        </w:rPr>
      </w:pPr>
    </w:p>
    <w:p>
      <w:pPr>
        <w:pStyle w:val="14"/>
        <w:ind w:left="0" w:leftChars="0" w:firstLine="0" w:firstLineChars="0"/>
        <w:rPr>
          <w:rFonts w:hint="eastAsia"/>
          <w:lang w:val="en-US" w:eastAsia="zh-CN"/>
        </w:rPr>
      </w:pPr>
    </w:p>
    <w:p>
      <w:pPr>
        <w:keepNext w:val="0"/>
        <w:keepLines w:val="0"/>
        <w:pageBreakBefore w:val="0"/>
        <w:widowControl w:val="0"/>
        <w:kinsoku/>
        <w:wordWrap/>
        <w:overflowPunct/>
        <w:topLinePunct w:val="0"/>
        <w:autoSpaceDE w:val="0"/>
        <w:autoSpaceDN/>
        <w:bidi w:val="0"/>
        <w:adjustRightInd/>
        <w:snapToGrid/>
        <w:spacing w:line="540" w:lineRule="exact"/>
        <w:ind w:firstLine="1289" w:firstLineChars="300"/>
        <w:jc w:val="both"/>
        <w:textAlignment w:val="auto"/>
        <w:rPr>
          <w:rFonts w:hint="eastAsia" w:ascii="方正大标宋简体" w:hAnsi="??" w:eastAsia="方正大标宋简体" w:cs="Times New Roman"/>
          <w:b/>
          <w:color w:val="000000"/>
          <w:spacing w:val="-6"/>
          <w:kern w:val="0"/>
          <w:sz w:val="44"/>
          <w:szCs w:val="44"/>
          <w:lang w:eastAsia="zh-CN"/>
        </w:rPr>
      </w:pPr>
    </w:p>
    <w:p>
      <w:pPr>
        <w:keepNext w:val="0"/>
        <w:keepLines w:val="0"/>
        <w:pageBreakBefore w:val="0"/>
        <w:widowControl w:val="0"/>
        <w:kinsoku/>
        <w:wordWrap/>
        <w:overflowPunct/>
        <w:topLinePunct w:val="0"/>
        <w:autoSpaceDE w:val="0"/>
        <w:autoSpaceDN/>
        <w:bidi w:val="0"/>
        <w:adjustRightInd/>
        <w:snapToGrid/>
        <w:spacing w:line="540" w:lineRule="exact"/>
        <w:ind w:firstLine="1289" w:firstLineChars="300"/>
        <w:jc w:val="both"/>
        <w:textAlignment w:val="auto"/>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lang w:eastAsia="zh-CN"/>
        </w:rPr>
        <w:t>广元灰鸡保种</w:t>
      </w:r>
      <w:r>
        <w:rPr>
          <w:rFonts w:hint="eastAsia" w:ascii="方正大标宋简体" w:hAnsi="??" w:eastAsia="方正大标宋简体" w:cs="Times New Roman"/>
          <w:b/>
          <w:color w:val="000000"/>
          <w:spacing w:val="-6"/>
          <w:kern w:val="0"/>
          <w:sz w:val="44"/>
          <w:szCs w:val="44"/>
        </w:rPr>
        <w:t>项目支出绩效自评报告</w:t>
      </w:r>
    </w:p>
    <w:p>
      <w:pPr>
        <w:keepNext w:val="0"/>
        <w:keepLines w:val="0"/>
        <w:pageBreakBefore w:val="0"/>
        <w:widowControl w:val="0"/>
        <w:kinsoku/>
        <w:wordWrap/>
        <w:overflowPunct/>
        <w:topLinePunct w:val="0"/>
        <w:autoSpaceDE w:val="0"/>
        <w:autoSpaceDN/>
        <w:bidi w:val="0"/>
        <w:adjustRightInd/>
        <w:snapToGrid/>
        <w:spacing w:line="540" w:lineRule="exact"/>
        <w:ind w:firstLine="616" w:firstLineChars="200"/>
        <w:textAlignment w:val="auto"/>
        <w:rPr>
          <w:rFonts w:hint="eastAsia" w:ascii="黑体" w:hAnsi="黑体" w:eastAsia="黑体" w:cs="Times New Roman"/>
          <w:spacing w:val="-6"/>
          <w:sz w:val="32"/>
          <w:szCs w:val="32"/>
        </w:rPr>
      </w:pPr>
    </w:p>
    <w:p>
      <w:pPr>
        <w:keepNext w:val="0"/>
        <w:keepLines w:val="0"/>
        <w:pageBreakBefore w:val="0"/>
        <w:widowControl w:val="0"/>
        <w:kinsoku/>
        <w:wordWrap/>
        <w:overflowPunct/>
        <w:topLinePunct w:val="0"/>
        <w:autoSpaceDE w:val="0"/>
        <w:autoSpaceDN/>
        <w:bidi w:val="0"/>
        <w:adjustRightInd/>
        <w:snapToGrid/>
        <w:spacing w:line="540" w:lineRule="exact"/>
        <w:ind w:firstLine="616" w:firstLineChars="200"/>
        <w:textAlignment w:val="auto"/>
        <w:rPr>
          <w:rFonts w:hint="eastAsia" w:ascii="仿宋_GB2312" w:hAnsi="Times New Roman" w:eastAsia="仿宋_GB2312" w:cs="Times New Roman"/>
          <w:spacing w:val="-6"/>
          <w:sz w:val="32"/>
          <w:szCs w:val="32"/>
        </w:rPr>
      </w:pPr>
      <w:r>
        <w:rPr>
          <w:rFonts w:hint="eastAsia" w:ascii="黑体" w:hAnsi="黑体" w:eastAsia="黑体" w:cs="Times New Roman"/>
          <w:spacing w:val="-6"/>
          <w:sz w:val="32"/>
          <w:szCs w:val="32"/>
        </w:rPr>
        <w:t>一、项目概况</w:t>
      </w:r>
    </w:p>
    <w:p>
      <w:pPr>
        <w:keepNext w:val="0"/>
        <w:keepLines w:val="0"/>
        <w:pageBreakBefore w:val="0"/>
        <w:widowControl w:val="0"/>
        <w:kinsoku/>
        <w:wordWrap/>
        <w:overflowPunct/>
        <w:topLinePunct w:val="0"/>
        <w:autoSpaceDE w:val="0"/>
        <w:autoSpaceDN/>
        <w:bidi w:val="0"/>
        <w:adjustRightInd/>
        <w:snapToGrid/>
        <w:spacing w:line="540" w:lineRule="exact"/>
        <w:ind w:firstLine="616" w:firstLineChars="200"/>
        <w:textAlignment w:val="auto"/>
        <w:rPr>
          <w:rFonts w:hint="default" w:ascii="仿宋_GB2312" w:hAnsi="Times New Roman" w:eastAsia="仿宋_GB2312" w:cs="Times New Roman"/>
          <w:spacing w:val="-6"/>
          <w:sz w:val="32"/>
          <w:szCs w:val="32"/>
          <w:lang w:val="en-US" w:eastAsia="zh-CN"/>
        </w:rPr>
      </w:pPr>
      <w:r>
        <w:rPr>
          <w:rFonts w:hint="eastAsia" w:ascii="楷体_GB2312" w:hAnsi="Times New Roman" w:eastAsia="楷体_GB2312" w:cs="Times New Roman"/>
          <w:bCs/>
          <w:spacing w:val="-6"/>
          <w:sz w:val="32"/>
          <w:szCs w:val="32"/>
        </w:rPr>
        <w:t>（一）项目资金申报及批复情况。</w:t>
      </w:r>
      <w:r>
        <w:rPr>
          <w:rFonts w:hint="eastAsia" w:ascii="仿宋_GB2312" w:hAnsi="Times New Roman" w:eastAsia="仿宋_GB2312" w:cs="Times New Roman"/>
          <w:spacing w:val="-6"/>
          <w:sz w:val="32"/>
          <w:szCs w:val="32"/>
          <w:lang w:val="en-US" w:eastAsia="zh-CN"/>
        </w:rPr>
        <w:t>2016年8月23日，广元灰鸡通过国家畜禽遗传资源审定委员会的审定，正式进入国家畜禽遗传资源名录</w:t>
      </w:r>
      <w:r>
        <w:rPr>
          <w:rFonts w:hint="eastAsia" w:ascii="仿宋_GB2312" w:hAnsi="Times New Roman" w:eastAsia="仿宋_GB2312" w:cs="Times New Roman"/>
          <w:spacing w:val="-6"/>
          <w:sz w:val="32"/>
          <w:szCs w:val="32"/>
        </w:rPr>
        <w:t>。</w:t>
      </w:r>
      <w:r>
        <w:rPr>
          <w:rFonts w:hint="eastAsia" w:ascii="仿宋_GB2312" w:hAnsi="Times New Roman" w:eastAsia="仿宋_GB2312" w:cs="Times New Roman"/>
          <w:spacing w:val="-6"/>
          <w:sz w:val="32"/>
          <w:szCs w:val="32"/>
          <w:lang w:eastAsia="zh-CN"/>
        </w:rPr>
        <w:t>按照《畜牧法》第九章第九条的规定：“各级人民政府应当采取措施，加强畜禽遗传资源保护，畜禽遗传资源保护经费列入财政预算”。</w:t>
      </w:r>
      <w:r>
        <w:rPr>
          <w:rFonts w:hint="eastAsia" w:ascii="仿宋_GB2312" w:hAnsi="Times New Roman" w:eastAsia="仿宋_GB2312" w:cs="Times New Roman"/>
          <w:spacing w:val="-6"/>
          <w:sz w:val="32"/>
          <w:szCs w:val="32"/>
          <w:lang w:val="en-US" w:eastAsia="zh-CN"/>
        </w:rPr>
        <w:t>2021年区财政局下达我局2021年</w:t>
      </w:r>
      <w:r>
        <w:rPr>
          <w:rFonts w:hint="eastAsia" w:ascii="仿宋_GB2312" w:hAnsi="Times New Roman" w:eastAsia="仿宋_GB2312" w:cs="Times New Roman"/>
          <w:spacing w:val="-6"/>
          <w:sz w:val="32"/>
          <w:szCs w:val="32"/>
          <w:lang w:eastAsia="zh-CN"/>
        </w:rPr>
        <w:t>广元灰鸡保种项目</w:t>
      </w:r>
      <w:r>
        <w:rPr>
          <w:rFonts w:hint="eastAsia" w:ascii="仿宋_GB2312" w:hAnsi="Times New Roman" w:eastAsia="仿宋_GB2312" w:cs="Times New Roman"/>
          <w:spacing w:val="-6"/>
          <w:sz w:val="32"/>
          <w:szCs w:val="32"/>
          <w:lang w:val="en-US" w:eastAsia="zh-CN"/>
        </w:rPr>
        <w:t>资金20万元。</w:t>
      </w:r>
    </w:p>
    <w:p>
      <w:pPr>
        <w:keepNext w:val="0"/>
        <w:keepLines w:val="0"/>
        <w:pageBreakBefore w:val="0"/>
        <w:widowControl w:val="0"/>
        <w:kinsoku/>
        <w:wordWrap/>
        <w:overflowPunct/>
        <w:topLinePunct w:val="0"/>
        <w:autoSpaceDE w:val="0"/>
        <w:autoSpaceDN/>
        <w:bidi w:val="0"/>
        <w:adjustRightInd/>
        <w:snapToGrid/>
        <w:spacing w:line="540" w:lineRule="exact"/>
        <w:ind w:firstLine="616" w:firstLineChars="200"/>
        <w:textAlignment w:val="auto"/>
        <w:rPr>
          <w:rFonts w:hint="eastAsia" w:ascii="仿宋_GB2312" w:hAnsi="Times New Roman" w:eastAsia="仿宋_GB2312" w:cs="Times New Roman"/>
          <w:spacing w:val="-6"/>
          <w:sz w:val="32"/>
          <w:szCs w:val="32"/>
        </w:rPr>
      </w:pPr>
      <w:r>
        <w:rPr>
          <w:rFonts w:hint="eastAsia" w:ascii="楷体_GB2312" w:hAnsi="Times New Roman" w:eastAsia="楷体_GB2312" w:cs="Times New Roman"/>
          <w:bCs/>
          <w:spacing w:val="-6"/>
          <w:sz w:val="32"/>
          <w:szCs w:val="32"/>
        </w:rPr>
        <w:t>（二）项目绩效目标。</w:t>
      </w:r>
      <w:r>
        <w:rPr>
          <w:rFonts w:hint="eastAsia" w:ascii="仿宋_GB2312" w:hAnsi="Times New Roman" w:eastAsia="仿宋_GB2312" w:cs="Times New Roman"/>
          <w:spacing w:val="-6"/>
          <w:sz w:val="32"/>
          <w:szCs w:val="32"/>
          <w:lang w:eastAsia="zh-CN"/>
        </w:rPr>
        <w:t>确保广元灰鸡资源不丢失，保种场每年广元灰鸡群体规模保持在</w:t>
      </w:r>
      <w:r>
        <w:rPr>
          <w:rFonts w:hint="eastAsia" w:ascii="仿宋_GB2312" w:hAnsi="Times New Roman" w:eastAsia="仿宋_GB2312" w:cs="Times New Roman"/>
          <w:spacing w:val="-6"/>
          <w:sz w:val="32"/>
          <w:szCs w:val="32"/>
          <w:lang w:val="en-US" w:eastAsia="zh-CN"/>
        </w:rPr>
        <w:t>3400只</w:t>
      </w:r>
      <w:r>
        <w:rPr>
          <w:rFonts w:hint="eastAsia" w:ascii="仿宋_GB2312" w:hAnsi="Times New Roman" w:eastAsia="仿宋_GB2312" w:cs="Times New Roman"/>
          <w:spacing w:val="-6"/>
          <w:sz w:val="32"/>
          <w:szCs w:val="32"/>
        </w:rPr>
        <w:t>。</w:t>
      </w:r>
    </w:p>
    <w:p>
      <w:pPr>
        <w:keepNext w:val="0"/>
        <w:keepLines w:val="0"/>
        <w:pageBreakBefore w:val="0"/>
        <w:widowControl w:val="0"/>
        <w:kinsoku/>
        <w:wordWrap/>
        <w:overflowPunct/>
        <w:topLinePunct w:val="0"/>
        <w:autoSpaceDE w:val="0"/>
        <w:autoSpaceDN/>
        <w:bidi w:val="0"/>
        <w:adjustRightInd/>
        <w:snapToGrid/>
        <w:spacing w:line="540" w:lineRule="exact"/>
        <w:ind w:firstLine="616" w:firstLineChars="200"/>
        <w:textAlignment w:val="auto"/>
        <w:rPr>
          <w:rFonts w:hint="eastAsia" w:ascii="仿宋_GB2312" w:hAnsi="Times New Roman" w:eastAsia="仿宋_GB2312" w:cs="Times New Roman"/>
          <w:spacing w:val="-6"/>
          <w:sz w:val="32"/>
          <w:szCs w:val="32"/>
        </w:rPr>
      </w:pPr>
      <w:r>
        <w:rPr>
          <w:rFonts w:hint="eastAsia" w:ascii="楷体_GB2312" w:hAnsi="Times New Roman" w:eastAsia="楷体_GB2312" w:cs="Times New Roman"/>
          <w:bCs/>
          <w:spacing w:val="-6"/>
          <w:sz w:val="32"/>
          <w:szCs w:val="32"/>
        </w:rPr>
        <w:t>（三）项目资金申报相符性。</w:t>
      </w:r>
      <w:r>
        <w:rPr>
          <w:rFonts w:hint="eastAsia" w:ascii="仿宋_GB2312" w:hAnsi="Times New Roman" w:eastAsia="仿宋_GB2312" w:cs="Times New Roman"/>
          <w:spacing w:val="-6"/>
          <w:sz w:val="32"/>
          <w:szCs w:val="32"/>
          <w:lang w:eastAsia="zh-CN"/>
        </w:rPr>
        <w:t>广元灰鸡保种</w:t>
      </w:r>
      <w:r>
        <w:rPr>
          <w:rFonts w:hint="eastAsia" w:ascii="仿宋_GB2312" w:hAnsi="Times New Roman" w:eastAsia="仿宋_GB2312" w:cs="Times New Roman"/>
          <w:spacing w:val="-6"/>
          <w:sz w:val="32"/>
          <w:szCs w:val="32"/>
        </w:rPr>
        <w:t>项目申报内容与具体实施内容相符、申报目标合理可行。</w:t>
      </w:r>
    </w:p>
    <w:p>
      <w:pPr>
        <w:keepNext w:val="0"/>
        <w:keepLines w:val="0"/>
        <w:pageBreakBefore w:val="0"/>
        <w:widowControl w:val="0"/>
        <w:kinsoku/>
        <w:wordWrap/>
        <w:overflowPunct/>
        <w:topLinePunct w:val="0"/>
        <w:autoSpaceDE w:val="0"/>
        <w:autoSpaceDN/>
        <w:bidi w:val="0"/>
        <w:adjustRightInd/>
        <w:snapToGrid/>
        <w:spacing w:line="540" w:lineRule="exact"/>
        <w:ind w:firstLine="616" w:firstLineChars="200"/>
        <w:textAlignment w:val="auto"/>
        <w:rPr>
          <w:rFonts w:hint="eastAsia" w:ascii="黑体" w:hAnsi="黑体" w:eastAsia="黑体" w:cs="Times New Roman"/>
          <w:spacing w:val="-6"/>
          <w:sz w:val="32"/>
          <w:szCs w:val="32"/>
        </w:rPr>
      </w:pPr>
      <w:r>
        <w:rPr>
          <w:rFonts w:hint="eastAsia" w:ascii="黑体" w:hAnsi="黑体" w:eastAsia="黑体" w:cs="Times New Roman"/>
          <w:spacing w:val="-6"/>
          <w:sz w:val="32"/>
          <w:szCs w:val="32"/>
        </w:rPr>
        <w:t>二、项目实施及管理情况</w:t>
      </w:r>
    </w:p>
    <w:p>
      <w:pPr>
        <w:keepNext w:val="0"/>
        <w:keepLines w:val="0"/>
        <w:pageBreakBefore w:val="0"/>
        <w:widowControl w:val="0"/>
        <w:kinsoku/>
        <w:wordWrap/>
        <w:overflowPunct/>
        <w:topLinePunct w:val="0"/>
        <w:autoSpaceDE w:val="0"/>
        <w:autoSpaceDN/>
        <w:bidi w:val="0"/>
        <w:adjustRightInd/>
        <w:snapToGrid/>
        <w:spacing w:line="540"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（一）资金计划、到位及使用情况</w:t>
      </w:r>
    </w:p>
    <w:p>
      <w:pPr>
        <w:keepNext w:val="0"/>
        <w:keepLines w:val="0"/>
        <w:pageBreakBefore w:val="0"/>
        <w:widowControl w:val="0"/>
        <w:kinsoku/>
        <w:wordWrap/>
        <w:overflowPunct/>
        <w:topLinePunct w:val="0"/>
        <w:autoSpaceDE w:val="0"/>
        <w:autoSpaceDN/>
        <w:bidi w:val="0"/>
        <w:adjustRightInd/>
        <w:snapToGrid/>
        <w:spacing w:line="540" w:lineRule="exact"/>
        <w:ind w:firstLine="616" w:firstLineChars="200"/>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1</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rPr>
        <w:t>资金计划及到位。</w:t>
      </w:r>
      <w:r>
        <w:rPr>
          <w:rFonts w:hint="eastAsia" w:ascii="仿宋_GB2312" w:hAnsi="Times New Roman" w:eastAsia="仿宋_GB2312" w:cs="Times New Roman"/>
          <w:spacing w:val="-6"/>
          <w:sz w:val="32"/>
          <w:szCs w:val="32"/>
          <w:lang w:eastAsia="zh-CN"/>
        </w:rPr>
        <w:t>广元灰鸡保种资金及时到位，用于广元灰鸡资源保护</w:t>
      </w:r>
      <w:r>
        <w:rPr>
          <w:rFonts w:hint="eastAsia" w:ascii="仿宋_GB2312" w:hAnsi="Times New Roman" w:eastAsia="仿宋_GB2312" w:cs="Times New Roman"/>
          <w:spacing w:val="-6"/>
          <w:sz w:val="32"/>
          <w:szCs w:val="32"/>
        </w:rPr>
        <w:t>。</w:t>
      </w:r>
    </w:p>
    <w:p>
      <w:pPr>
        <w:keepNext w:val="0"/>
        <w:keepLines w:val="0"/>
        <w:pageBreakBefore w:val="0"/>
        <w:widowControl w:val="0"/>
        <w:kinsoku/>
        <w:wordWrap/>
        <w:overflowPunct/>
        <w:topLinePunct w:val="0"/>
        <w:autoSpaceDE w:val="0"/>
        <w:autoSpaceDN/>
        <w:bidi w:val="0"/>
        <w:adjustRightInd/>
        <w:snapToGrid/>
        <w:spacing w:line="540" w:lineRule="exact"/>
        <w:ind w:firstLine="616" w:firstLineChars="200"/>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2.资金使用。</w:t>
      </w:r>
      <w:r>
        <w:rPr>
          <w:rFonts w:hint="eastAsia" w:ascii="仿宋_GB2312" w:hAnsi="Times New Roman" w:eastAsia="仿宋_GB2312" w:cs="Times New Roman"/>
          <w:spacing w:val="-6"/>
          <w:sz w:val="32"/>
          <w:szCs w:val="32"/>
          <w:lang w:eastAsia="zh-CN"/>
        </w:rPr>
        <w:t>广元灰鸡保种采用的是活体保种的方式，保种资金主要用于购买饲料</w:t>
      </w:r>
      <w:r>
        <w:rPr>
          <w:rFonts w:hint="eastAsia" w:ascii="仿宋_GB2312" w:hAnsi="Times New Roman" w:eastAsia="仿宋_GB2312" w:cs="Times New Roman"/>
          <w:spacing w:val="-6"/>
          <w:sz w:val="32"/>
          <w:szCs w:val="32"/>
        </w:rPr>
        <w:t>，</w:t>
      </w:r>
      <w:r>
        <w:rPr>
          <w:rFonts w:hint="eastAsia" w:ascii="仿宋_GB2312" w:hAnsi="Times New Roman" w:eastAsia="仿宋_GB2312" w:cs="Times New Roman"/>
          <w:spacing w:val="-6"/>
          <w:sz w:val="32"/>
          <w:szCs w:val="32"/>
          <w:lang w:val="en-US" w:eastAsia="zh-CN"/>
        </w:rPr>
        <w:t>支付资金20万元，</w:t>
      </w:r>
      <w:r>
        <w:rPr>
          <w:rFonts w:hint="eastAsia" w:ascii="仿宋_GB2312" w:hAnsi="Times New Roman" w:eastAsia="仿宋_GB2312" w:cs="Times New Roman"/>
          <w:spacing w:val="-6"/>
          <w:sz w:val="32"/>
          <w:szCs w:val="32"/>
        </w:rPr>
        <w:t>资金支付与预算相符。</w:t>
      </w:r>
    </w:p>
    <w:p>
      <w:pPr>
        <w:keepNext w:val="0"/>
        <w:keepLines w:val="0"/>
        <w:pageBreakBefore w:val="0"/>
        <w:widowControl w:val="0"/>
        <w:kinsoku/>
        <w:wordWrap/>
        <w:overflowPunct/>
        <w:topLinePunct w:val="0"/>
        <w:autoSpaceDE w:val="0"/>
        <w:autoSpaceDN/>
        <w:bidi w:val="0"/>
        <w:adjustRightInd/>
        <w:snapToGrid/>
        <w:spacing w:line="540"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（二）项目财务管理情况</w:t>
      </w:r>
    </w:p>
    <w:p>
      <w:pPr>
        <w:keepNext w:val="0"/>
        <w:keepLines w:val="0"/>
        <w:pageBreakBefore w:val="0"/>
        <w:widowControl w:val="0"/>
        <w:kinsoku/>
        <w:wordWrap/>
        <w:overflowPunct/>
        <w:topLinePunct w:val="0"/>
        <w:autoSpaceDE w:val="0"/>
        <w:autoSpaceDN/>
        <w:bidi w:val="0"/>
        <w:adjustRightInd/>
        <w:snapToGrid/>
        <w:spacing w:line="540" w:lineRule="exact"/>
        <w:ind w:firstLine="616" w:firstLineChars="200"/>
        <w:textAlignment w:val="auto"/>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lang w:eastAsia="zh-CN"/>
        </w:rPr>
        <w:t>广元灰鸡保种属于区政府委托企业开展保种</w:t>
      </w:r>
      <w:r>
        <w:rPr>
          <w:rFonts w:hint="eastAsia" w:ascii="仿宋_GB2312" w:hAnsi="Times New Roman" w:eastAsia="仿宋_GB2312" w:cs="Times New Roman"/>
          <w:spacing w:val="-6"/>
          <w:sz w:val="32"/>
          <w:szCs w:val="32"/>
        </w:rPr>
        <w:t>。</w:t>
      </w:r>
      <w:r>
        <w:rPr>
          <w:rFonts w:hint="eastAsia" w:ascii="仿宋_GB2312" w:hAnsi="Times New Roman" w:eastAsia="仿宋_GB2312" w:cs="Times New Roman"/>
          <w:spacing w:val="-6"/>
          <w:sz w:val="32"/>
          <w:szCs w:val="32"/>
          <w:lang w:eastAsia="zh-CN"/>
        </w:rPr>
        <w:t>政府给予企业一定的保种补助。补助资金用于企业保种支出。</w:t>
      </w:r>
    </w:p>
    <w:p>
      <w:pPr>
        <w:keepNext w:val="0"/>
        <w:keepLines w:val="0"/>
        <w:pageBreakBefore w:val="0"/>
        <w:widowControl w:val="0"/>
        <w:kinsoku/>
        <w:wordWrap/>
        <w:overflowPunct/>
        <w:topLinePunct w:val="0"/>
        <w:autoSpaceDE w:val="0"/>
        <w:autoSpaceDN/>
        <w:bidi w:val="0"/>
        <w:adjustRightInd/>
        <w:snapToGrid/>
        <w:spacing w:line="540"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（三）项目组织实施情况</w:t>
      </w:r>
    </w:p>
    <w:p>
      <w:pPr>
        <w:keepNext w:val="0"/>
        <w:keepLines w:val="0"/>
        <w:pageBreakBefore w:val="0"/>
        <w:widowControl w:val="0"/>
        <w:kinsoku/>
        <w:wordWrap/>
        <w:overflowPunct/>
        <w:topLinePunct w:val="0"/>
        <w:autoSpaceDE w:val="0"/>
        <w:autoSpaceDN/>
        <w:bidi w:val="0"/>
        <w:adjustRightInd/>
        <w:snapToGrid/>
        <w:spacing w:line="540" w:lineRule="exact"/>
        <w:ind w:firstLine="616" w:firstLineChars="200"/>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lang w:eastAsia="zh-CN"/>
        </w:rPr>
        <w:t>广元灰鸡的保种按照家禽保种的相关要求，在四川农业大学、市种业管理站与区农业农村局的指导下开展广元灰鸡保种</w:t>
      </w:r>
      <w:r>
        <w:rPr>
          <w:rFonts w:hint="eastAsia" w:ascii="仿宋_GB2312" w:hAnsi="Times New Roman" w:eastAsia="仿宋_GB2312" w:cs="Times New Roman"/>
          <w:spacing w:val="-6"/>
          <w:sz w:val="32"/>
          <w:szCs w:val="32"/>
          <w:lang w:val="en-US" w:eastAsia="zh-CN"/>
        </w:rPr>
        <w:t>工作</w:t>
      </w:r>
      <w:r>
        <w:rPr>
          <w:rFonts w:hint="eastAsia" w:ascii="仿宋_GB2312" w:hAnsi="Times New Roman" w:eastAsia="仿宋_GB2312" w:cs="Times New Roman"/>
          <w:spacing w:val="-6"/>
          <w:sz w:val="32"/>
          <w:szCs w:val="32"/>
          <w:lang w:eastAsia="zh-CN"/>
        </w:rPr>
        <w:t>，确保广元灰鸡资源群体健康稳定</w:t>
      </w:r>
      <w:r>
        <w:rPr>
          <w:rFonts w:hint="eastAsia" w:ascii="仿宋_GB2312" w:hAnsi="Times New Roman" w:eastAsia="仿宋_GB2312" w:cs="Times New Roman"/>
          <w:spacing w:val="-6"/>
          <w:sz w:val="32"/>
          <w:szCs w:val="32"/>
        </w:rPr>
        <w:t>。</w:t>
      </w:r>
    </w:p>
    <w:p>
      <w:pPr>
        <w:keepNext w:val="0"/>
        <w:keepLines w:val="0"/>
        <w:pageBreakBefore w:val="0"/>
        <w:widowControl w:val="0"/>
        <w:kinsoku/>
        <w:wordWrap/>
        <w:overflowPunct/>
        <w:topLinePunct w:val="0"/>
        <w:autoSpaceDE w:val="0"/>
        <w:autoSpaceDN/>
        <w:bidi w:val="0"/>
        <w:adjustRightInd/>
        <w:snapToGrid/>
        <w:spacing w:line="540" w:lineRule="exact"/>
        <w:ind w:firstLine="616" w:firstLineChars="200"/>
        <w:textAlignment w:val="auto"/>
        <w:rPr>
          <w:rFonts w:hint="eastAsia" w:ascii="黑体" w:hAnsi="黑体" w:eastAsia="黑体" w:cs="Times New Roman"/>
          <w:spacing w:val="-6"/>
          <w:sz w:val="32"/>
          <w:szCs w:val="32"/>
        </w:rPr>
      </w:pPr>
      <w:r>
        <w:rPr>
          <w:rFonts w:hint="eastAsia" w:ascii="黑体" w:hAnsi="黑体" w:eastAsia="黑体" w:cs="Times New Roman"/>
          <w:spacing w:val="-6"/>
          <w:sz w:val="32"/>
          <w:szCs w:val="32"/>
        </w:rPr>
        <w:t>三、项目绩效情况</w:t>
      </w:r>
      <w:r>
        <w:rPr>
          <w:rFonts w:hint="eastAsia" w:ascii="黑体" w:hAnsi="黑体" w:eastAsia="黑体" w:cs="Times New Roman"/>
          <w:spacing w:val="-6"/>
          <w:sz w:val="32"/>
          <w:szCs w:val="32"/>
        </w:rPr>
        <w:tab/>
      </w:r>
    </w:p>
    <w:p>
      <w:pPr>
        <w:keepNext w:val="0"/>
        <w:keepLines w:val="0"/>
        <w:pageBreakBefore w:val="0"/>
        <w:widowControl w:val="0"/>
        <w:kinsoku/>
        <w:wordWrap/>
        <w:overflowPunct/>
        <w:topLinePunct w:val="0"/>
        <w:autoSpaceDE w:val="0"/>
        <w:autoSpaceDN/>
        <w:bidi w:val="0"/>
        <w:adjustRightInd/>
        <w:snapToGrid/>
        <w:spacing w:line="540"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（一）项目完成情况</w:t>
      </w:r>
    </w:p>
    <w:p>
      <w:pPr>
        <w:keepNext w:val="0"/>
        <w:keepLines w:val="0"/>
        <w:pageBreakBefore w:val="0"/>
        <w:widowControl w:val="0"/>
        <w:kinsoku/>
        <w:wordWrap/>
        <w:overflowPunct/>
        <w:topLinePunct w:val="0"/>
        <w:autoSpaceDE w:val="0"/>
        <w:autoSpaceDN/>
        <w:bidi w:val="0"/>
        <w:adjustRightInd/>
        <w:snapToGrid/>
        <w:spacing w:line="540" w:lineRule="exact"/>
        <w:ind w:firstLine="616" w:firstLineChars="200"/>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lang w:val="en-US" w:eastAsia="zh-CN"/>
        </w:rPr>
        <w:t>2021年底，</w:t>
      </w:r>
      <w:r>
        <w:rPr>
          <w:rFonts w:hint="eastAsia" w:ascii="仿宋_GB2312" w:hAnsi="Times New Roman" w:eastAsia="仿宋_GB2312" w:cs="Times New Roman"/>
          <w:spacing w:val="-6"/>
          <w:sz w:val="32"/>
          <w:szCs w:val="32"/>
          <w:lang w:eastAsia="zh-CN"/>
        </w:rPr>
        <w:t>广元灰鸡保种群体年存栏</w:t>
      </w:r>
      <w:r>
        <w:rPr>
          <w:rFonts w:hint="eastAsia" w:ascii="仿宋_GB2312" w:hAnsi="Times New Roman" w:eastAsia="仿宋_GB2312" w:cs="Times New Roman"/>
          <w:spacing w:val="-6"/>
          <w:sz w:val="32"/>
          <w:szCs w:val="32"/>
          <w:lang w:val="en-US" w:eastAsia="zh-CN"/>
        </w:rPr>
        <w:t>4855只</w:t>
      </w:r>
      <w:r>
        <w:rPr>
          <w:rFonts w:hint="eastAsia" w:ascii="仿宋_GB2312" w:hAnsi="Times New Roman" w:eastAsia="仿宋_GB2312" w:cs="Times New Roman"/>
          <w:spacing w:val="-6"/>
          <w:sz w:val="32"/>
          <w:szCs w:val="32"/>
        </w:rPr>
        <w:t>，</w:t>
      </w:r>
      <w:r>
        <w:rPr>
          <w:rFonts w:hint="eastAsia" w:ascii="仿宋_GB2312" w:hAnsi="Times New Roman" w:eastAsia="仿宋_GB2312" w:cs="Times New Roman"/>
          <w:spacing w:val="-6"/>
          <w:sz w:val="32"/>
          <w:szCs w:val="32"/>
          <w:lang w:eastAsia="zh-CN"/>
        </w:rPr>
        <w:t>保种群体规模超过</w:t>
      </w:r>
      <w:r>
        <w:rPr>
          <w:rFonts w:hint="eastAsia" w:ascii="仿宋_GB2312" w:hAnsi="Times New Roman" w:eastAsia="仿宋_GB2312" w:cs="Times New Roman"/>
          <w:spacing w:val="-6"/>
          <w:sz w:val="32"/>
          <w:szCs w:val="32"/>
          <w:lang w:val="en-US" w:eastAsia="zh-CN"/>
        </w:rPr>
        <w:t>目标任务</w:t>
      </w:r>
      <w:r>
        <w:rPr>
          <w:rFonts w:hint="eastAsia" w:ascii="仿宋_GB2312" w:hAnsi="Times New Roman" w:eastAsia="仿宋_GB2312" w:cs="Times New Roman"/>
          <w:spacing w:val="-6"/>
          <w:sz w:val="32"/>
          <w:szCs w:val="32"/>
          <w:lang w:eastAsia="zh-CN"/>
        </w:rPr>
        <w:t>，且群体健康稳定，符合保种相关要求。</w:t>
      </w:r>
    </w:p>
    <w:p>
      <w:pPr>
        <w:keepNext w:val="0"/>
        <w:keepLines w:val="0"/>
        <w:pageBreakBefore w:val="0"/>
        <w:widowControl w:val="0"/>
        <w:kinsoku/>
        <w:wordWrap/>
        <w:overflowPunct/>
        <w:topLinePunct w:val="0"/>
        <w:autoSpaceDE w:val="0"/>
        <w:autoSpaceDN/>
        <w:bidi w:val="0"/>
        <w:adjustRightInd/>
        <w:snapToGrid/>
        <w:spacing w:line="540"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（二）项目效益情况</w:t>
      </w:r>
    </w:p>
    <w:p>
      <w:pPr>
        <w:keepNext w:val="0"/>
        <w:keepLines w:val="0"/>
        <w:pageBreakBefore w:val="0"/>
        <w:widowControl w:val="0"/>
        <w:kinsoku/>
        <w:wordWrap/>
        <w:overflowPunct/>
        <w:topLinePunct w:val="0"/>
        <w:autoSpaceDE w:val="0"/>
        <w:autoSpaceDN/>
        <w:bidi w:val="0"/>
        <w:adjustRightInd/>
        <w:snapToGrid/>
        <w:spacing w:line="540" w:lineRule="exact"/>
        <w:ind w:firstLine="616" w:firstLineChars="200"/>
        <w:textAlignment w:val="auto"/>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lang w:val="en-US" w:eastAsia="zh-CN"/>
        </w:rPr>
        <w:t>1、</w:t>
      </w:r>
      <w:r>
        <w:rPr>
          <w:rFonts w:hint="eastAsia" w:ascii="仿宋_GB2312" w:hAnsi="Times New Roman" w:eastAsia="仿宋_GB2312" w:cs="Times New Roman"/>
          <w:spacing w:val="-6"/>
          <w:sz w:val="32"/>
          <w:szCs w:val="32"/>
        </w:rPr>
        <w:t>项目经济效益</w:t>
      </w:r>
      <w:r>
        <w:rPr>
          <w:rFonts w:hint="eastAsia" w:ascii="仿宋_GB2312" w:hAnsi="Times New Roman" w:eastAsia="仿宋_GB2312" w:cs="Times New Roman"/>
          <w:spacing w:val="-6"/>
          <w:sz w:val="32"/>
          <w:szCs w:val="32"/>
          <w:lang w:eastAsia="zh-CN"/>
        </w:rPr>
        <w:t>。按照法律规定，广元灰鸡保种属于政府的职责，政府委托企业保种，并给予保种企业一定补助。</w:t>
      </w:r>
    </w:p>
    <w:p>
      <w:pPr>
        <w:keepNext w:val="0"/>
        <w:keepLines w:val="0"/>
        <w:pageBreakBefore w:val="0"/>
        <w:widowControl w:val="0"/>
        <w:kinsoku/>
        <w:wordWrap/>
        <w:overflowPunct/>
        <w:topLinePunct w:val="0"/>
        <w:autoSpaceDE w:val="0"/>
        <w:autoSpaceDN/>
        <w:bidi w:val="0"/>
        <w:adjustRightInd/>
        <w:snapToGrid/>
        <w:spacing w:line="540" w:lineRule="exact"/>
        <w:ind w:firstLine="616" w:firstLineChars="200"/>
        <w:textAlignment w:val="auto"/>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lang w:val="en-US" w:eastAsia="zh-CN"/>
        </w:rPr>
        <w:t>2、</w:t>
      </w:r>
      <w:r>
        <w:rPr>
          <w:rFonts w:hint="eastAsia" w:ascii="仿宋_GB2312" w:hAnsi="Times New Roman" w:eastAsia="仿宋_GB2312" w:cs="Times New Roman"/>
          <w:spacing w:val="-6"/>
          <w:sz w:val="32"/>
          <w:szCs w:val="32"/>
        </w:rPr>
        <w:t>社会效益</w:t>
      </w:r>
      <w:r>
        <w:rPr>
          <w:rFonts w:hint="eastAsia" w:ascii="仿宋_GB2312" w:hAnsi="Times New Roman" w:eastAsia="仿宋_GB2312" w:cs="Times New Roman"/>
          <w:spacing w:val="-6"/>
          <w:sz w:val="32"/>
          <w:szCs w:val="32"/>
          <w:lang w:eastAsia="zh-CN"/>
        </w:rPr>
        <w:t>。开展广元灰鸡遗传资源的保护，确保了资源不丢失。</w:t>
      </w:r>
    </w:p>
    <w:p>
      <w:pPr>
        <w:keepNext w:val="0"/>
        <w:keepLines w:val="0"/>
        <w:pageBreakBefore w:val="0"/>
        <w:widowControl w:val="0"/>
        <w:kinsoku/>
        <w:wordWrap/>
        <w:overflowPunct/>
        <w:topLinePunct w:val="0"/>
        <w:autoSpaceDE w:val="0"/>
        <w:autoSpaceDN/>
        <w:bidi w:val="0"/>
        <w:adjustRightInd/>
        <w:snapToGrid/>
        <w:spacing w:line="540" w:lineRule="exact"/>
        <w:ind w:firstLine="616" w:firstLineChars="200"/>
        <w:textAlignment w:val="auto"/>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lang w:val="en-US" w:eastAsia="zh-CN"/>
        </w:rPr>
        <w:t>3、</w:t>
      </w:r>
      <w:r>
        <w:rPr>
          <w:rFonts w:hint="eastAsia" w:ascii="仿宋_GB2312" w:hAnsi="Times New Roman" w:eastAsia="仿宋_GB2312" w:cs="Times New Roman"/>
          <w:spacing w:val="-6"/>
          <w:sz w:val="32"/>
          <w:szCs w:val="32"/>
        </w:rPr>
        <w:t>生态效益</w:t>
      </w:r>
      <w:r>
        <w:rPr>
          <w:rFonts w:hint="eastAsia" w:ascii="仿宋_GB2312" w:hAnsi="Times New Roman" w:eastAsia="仿宋_GB2312" w:cs="Times New Roman"/>
          <w:spacing w:val="-6"/>
          <w:sz w:val="32"/>
          <w:szCs w:val="32"/>
          <w:lang w:eastAsia="zh-CN"/>
        </w:rPr>
        <w:t>。开展广元灰鸡遗传资源的保护，可以维持生物的多样性。</w:t>
      </w:r>
    </w:p>
    <w:p>
      <w:pPr>
        <w:keepNext w:val="0"/>
        <w:keepLines w:val="0"/>
        <w:pageBreakBefore w:val="0"/>
        <w:widowControl w:val="0"/>
        <w:kinsoku/>
        <w:wordWrap/>
        <w:overflowPunct/>
        <w:topLinePunct w:val="0"/>
        <w:autoSpaceDE w:val="0"/>
        <w:autoSpaceDN/>
        <w:bidi w:val="0"/>
        <w:adjustRightInd/>
        <w:snapToGrid/>
        <w:spacing w:line="540" w:lineRule="exact"/>
        <w:ind w:firstLine="616" w:firstLineChars="200"/>
        <w:textAlignment w:val="auto"/>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lang w:val="en-US" w:eastAsia="zh-CN"/>
        </w:rPr>
        <w:t>4、</w:t>
      </w:r>
      <w:r>
        <w:rPr>
          <w:rFonts w:hint="eastAsia" w:ascii="仿宋_GB2312" w:hAnsi="Times New Roman" w:eastAsia="仿宋_GB2312" w:cs="Times New Roman"/>
          <w:spacing w:val="-6"/>
          <w:sz w:val="32"/>
          <w:szCs w:val="32"/>
        </w:rPr>
        <w:t>可持续效益</w:t>
      </w:r>
      <w:r>
        <w:rPr>
          <w:rFonts w:hint="eastAsia" w:ascii="仿宋_GB2312" w:hAnsi="Times New Roman" w:eastAsia="仿宋_GB2312" w:cs="Times New Roman"/>
          <w:spacing w:val="-6"/>
          <w:sz w:val="32"/>
          <w:szCs w:val="32"/>
          <w:lang w:eastAsia="zh-CN"/>
        </w:rPr>
        <w:t>。开展广元灰鸡遗传资源保护，为家禽育种提供素材，造福子孙后代。</w:t>
      </w:r>
    </w:p>
    <w:p>
      <w:pPr>
        <w:keepNext w:val="0"/>
        <w:keepLines w:val="0"/>
        <w:pageBreakBefore w:val="0"/>
        <w:widowControl w:val="0"/>
        <w:kinsoku/>
        <w:wordWrap/>
        <w:overflowPunct/>
        <w:topLinePunct w:val="0"/>
        <w:autoSpaceDE w:val="0"/>
        <w:autoSpaceDN/>
        <w:bidi w:val="0"/>
        <w:adjustRightInd/>
        <w:snapToGrid/>
        <w:spacing w:line="540" w:lineRule="exact"/>
        <w:ind w:firstLine="616" w:firstLineChars="200"/>
        <w:textAlignment w:val="auto"/>
        <w:rPr>
          <w:rFonts w:hint="default"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val="en-US" w:eastAsia="zh-CN"/>
        </w:rPr>
        <w:t>5、服务对象满意度。满意度100%。</w:t>
      </w:r>
    </w:p>
    <w:p>
      <w:pPr>
        <w:keepNext w:val="0"/>
        <w:keepLines w:val="0"/>
        <w:pageBreakBefore w:val="0"/>
        <w:widowControl w:val="0"/>
        <w:kinsoku/>
        <w:wordWrap/>
        <w:overflowPunct/>
        <w:topLinePunct w:val="0"/>
        <w:autoSpaceDE w:val="0"/>
        <w:autoSpaceDN/>
        <w:bidi w:val="0"/>
        <w:adjustRightInd/>
        <w:snapToGrid/>
        <w:spacing w:line="540" w:lineRule="exact"/>
        <w:ind w:firstLine="616" w:firstLineChars="200"/>
        <w:textAlignment w:val="auto"/>
        <w:rPr>
          <w:rFonts w:hint="eastAsia" w:ascii="黑体" w:hAnsi="黑体" w:eastAsia="黑体" w:cs="Times New Roman"/>
          <w:spacing w:val="-6"/>
          <w:sz w:val="32"/>
          <w:szCs w:val="32"/>
        </w:rPr>
      </w:pPr>
      <w:r>
        <w:rPr>
          <w:rFonts w:hint="eastAsia" w:ascii="黑体" w:hAnsi="黑体" w:eastAsia="黑体" w:cs="Times New Roman"/>
          <w:spacing w:val="-6"/>
          <w:sz w:val="32"/>
          <w:szCs w:val="32"/>
        </w:rPr>
        <w:t>四、问题及建议</w:t>
      </w:r>
    </w:p>
    <w:p>
      <w:pPr>
        <w:keepNext w:val="0"/>
        <w:keepLines w:val="0"/>
        <w:pageBreakBefore w:val="0"/>
        <w:widowControl w:val="0"/>
        <w:kinsoku/>
        <w:wordWrap/>
        <w:overflowPunct/>
        <w:topLinePunct w:val="0"/>
        <w:autoSpaceDE w:val="0"/>
        <w:autoSpaceDN/>
        <w:bidi w:val="0"/>
        <w:adjustRightInd/>
        <w:snapToGrid/>
        <w:spacing w:line="540"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（一）存在的问题</w:t>
      </w:r>
    </w:p>
    <w:p>
      <w:pPr>
        <w:keepNext w:val="0"/>
        <w:keepLines w:val="0"/>
        <w:pageBreakBefore w:val="0"/>
        <w:widowControl w:val="0"/>
        <w:kinsoku/>
        <w:wordWrap/>
        <w:overflowPunct/>
        <w:topLinePunct w:val="0"/>
        <w:autoSpaceDE w:val="0"/>
        <w:autoSpaceDN/>
        <w:bidi w:val="0"/>
        <w:adjustRightInd/>
        <w:snapToGrid/>
        <w:spacing w:line="540" w:lineRule="exact"/>
        <w:ind w:firstLine="616" w:firstLineChars="200"/>
        <w:textAlignment w:val="auto"/>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lang w:eastAsia="zh-CN"/>
        </w:rPr>
        <w:t>广元灰鸡保种缺乏备份场，存在突发因素造成广元灰鸡资源受损或丢失的可能。</w:t>
      </w:r>
    </w:p>
    <w:p>
      <w:pPr>
        <w:keepNext w:val="0"/>
        <w:keepLines w:val="0"/>
        <w:pageBreakBefore w:val="0"/>
        <w:widowControl w:val="0"/>
        <w:numPr>
          <w:ilvl w:val="0"/>
          <w:numId w:val="6"/>
        </w:numPr>
        <w:kinsoku/>
        <w:wordWrap/>
        <w:overflowPunct/>
        <w:topLinePunct w:val="0"/>
        <w:autoSpaceDE w:val="0"/>
        <w:autoSpaceDN/>
        <w:bidi w:val="0"/>
        <w:adjustRightInd/>
        <w:snapToGrid/>
        <w:spacing w:line="540"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相关建议</w:t>
      </w:r>
    </w:p>
    <w:p>
      <w:pPr>
        <w:keepNext w:val="0"/>
        <w:keepLines w:val="0"/>
        <w:pageBreakBefore w:val="0"/>
        <w:widowControl w:val="0"/>
        <w:numPr>
          <w:ilvl w:val="0"/>
          <w:numId w:val="0"/>
        </w:numPr>
        <w:kinsoku/>
        <w:wordWrap/>
        <w:overflowPunct/>
        <w:topLinePunct w:val="0"/>
        <w:autoSpaceDE w:val="0"/>
        <w:autoSpaceDN/>
        <w:bidi w:val="0"/>
        <w:adjustRightInd/>
        <w:snapToGrid/>
        <w:spacing w:line="540" w:lineRule="exact"/>
        <w:ind w:firstLine="616" w:firstLineChars="200"/>
        <w:textAlignment w:val="auto"/>
        <w:rPr>
          <w:rFonts w:hint="eastAsia"/>
        </w:rPr>
      </w:pPr>
      <w:r>
        <w:rPr>
          <w:rFonts w:hint="eastAsia" w:ascii="仿宋_GB2312" w:hAnsi="Times New Roman" w:eastAsia="仿宋_GB2312" w:cs="Times New Roman"/>
          <w:spacing w:val="-6"/>
          <w:sz w:val="32"/>
          <w:szCs w:val="32"/>
          <w:lang w:eastAsia="zh-CN"/>
        </w:rPr>
        <w:t>新建广元灰鸡保种备份场，同时每年发放部分广元灰鸡鸡苗开展农户保种；确保广元灰鸡资源安全稳定。</w:t>
      </w:r>
    </w:p>
    <w:p>
      <w:pPr>
        <w:rPr>
          <w:rFonts w:hint="eastAsia" w:ascii="仿宋_GB2312" w:hAnsi="宋体" w:eastAsia="仿宋_GB2312" w:cs="Times New Roman"/>
          <w:color w:val="000000"/>
          <w:spacing w:val="-6"/>
          <w:kern w:val="0"/>
          <w:sz w:val="32"/>
          <w:szCs w:val="32"/>
        </w:rPr>
      </w:pPr>
    </w:p>
    <w:p>
      <w:pPr>
        <w:pStyle w:val="14"/>
        <w:rPr>
          <w:rFonts w:hint="eastAsia"/>
          <w:lang w:val="en-US" w:eastAsia="zh-CN"/>
        </w:rPr>
      </w:pPr>
    </w:p>
    <w:tbl>
      <w:tblPr>
        <w:tblStyle w:val="16"/>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635"/>
        <w:gridCol w:w="1189"/>
        <w:gridCol w:w="1224"/>
        <w:gridCol w:w="2410"/>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ind w:firstLine="1606" w:firstLineChars="500"/>
              <w:jc w:val="both"/>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b/>
                <w:i w:val="0"/>
                <w:color w:val="auto"/>
                <w:sz w:val="32"/>
                <w:szCs w:val="32"/>
                <w:highlight w:val="none"/>
                <w:u w:val="none"/>
                <w:lang w:val="en-US" w:eastAsia="zh-CN"/>
              </w:rPr>
              <w:t>2021年部门预算项目绩效目标自评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rPr>
              <w:t>广元市朝天区农业农村局</w:t>
            </w:r>
            <w:r>
              <w:rPr>
                <w:rFonts w:hint="eastAsia" w:ascii="宋体" w:hAnsi="宋体" w:eastAsia="宋体" w:cs="宋体"/>
                <w:i w:val="0"/>
                <w:color w:val="auto"/>
                <w:sz w:val="21"/>
                <w:szCs w:val="21"/>
                <w:highlight w:val="none"/>
                <w:u w:val="none"/>
                <w:lang w:val="en-US" w:eastAsia="zh-CN"/>
              </w:rPr>
              <w:t xml:space="preserve"> 602601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广元灰鸡保种项目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项目预算</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执行情况</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20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20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1330"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广元灰鸡保种群体规模3400只。</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1"/>
                <w:szCs w:val="21"/>
                <w:highlight w:val="none"/>
                <w:u w:val="none"/>
                <w:lang w:eastAsia="zh-CN"/>
              </w:rPr>
            </w:pPr>
            <w:r>
              <w:rPr>
                <w:rFonts w:hint="eastAsia" w:ascii="宋体" w:hAnsi="宋体" w:eastAsia="宋体" w:cs="宋体"/>
                <w:i w:val="0"/>
                <w:color w:val="auto"/>
                <w:sz w:val="21"/>
                <w:szCs w:val="21"/>
                <w:highlight w:val="none"/>
                <w:u w:val="none"/>
              </w:rPr>
              <w:t>广元灰鸡保种群体规模4855只</w:t>
            </w:r>
            <w:r>
              <w:rPr>
                <w:rFonts w:hint="eastAsia" w:ascii="宋体" w:hAnsi="宋体" w:cs="宋体"/>
                <w:i w:val="0"/>
                <w:color w:val="auto"/>
                <w:sz w:val="21"/>
                <w:szCs w:val="21"/>
                <w:highlight w:val="none"/>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群体规模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3400只</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4855只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群体健康稳定</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100%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完成时限</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2021年1月-2021年12月</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2021年1月-2021年12月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成本投入</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rPr>
              <w:t>≤</w:t>
            </w:r>
            <w:r>
              <w:rPr>
                <w:rFonts w:hint="eastAsia" w:ascii="宋体" w:hAnsi="宋体" w:cs="宋体"/>
                <w:i w:val="0"/>
                <w:color w:val="auto"/>
                <w:sz w:val="21"/>
                <w:szCs w:val="21"/>
                <w:highlight w:val="none"/>
                <w:u w:val="none"/>
                <w:lang w:val="en-US" w:eastAsia="zh-CN"/>
              </w:rPr>
              <w:t>20</w:t>
            </w:r>
            <w:r>
              <w:rPr>
                <w:rFonts w:hint="eastAsia" w:ascii="宋体" w:hAnsi="宋体" w:eastAsia="宋体" w:cs="宋体"/>
                <w:i w:val="0"/>
                <w:color w:val="auto"/>
                <w:sz w:val="21"/>
                <w:szCs w:val="21"/>
                <w:highlight w:val="none"/>
                <w:u w:val="none"/>
                <w:lang w:val="en-US" w:eastAsia="zh-CN"/>
              </w:rPr>
              <w:t>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cs="宋体"/>
                <w:i w:val="0"/>
                <w:color w:val="auto"/>
                <w:sz w:val="21"/>
                <w:szCs w:val="21"/>
                <w:highlight w:val="none"/>
                <w:u w:val="none"/>
                <w:lang w:val="en-US" w:eastAsia="zh-CN"/>
              </w:rPr>
              <w:t>20</w:t>
            </w:r>
            <w:r>
              <w:rPr>
                <w:rFonts w:hint="eastAsia" w:ascii="宋体" w:hAnsi="宋体" w:eastAsia="宋体" w:cs="宋体"/>
                <w:i w:val="0"/>
                <w:color w:val="auto"/>
                <w:sz w:val="21"/>
                <w:szCs w:val="21"/>
                <w:highlight w:val="none"/>
                <w:u w:val="none"/>
                <w:lang w:val="en-US" w:eastAsia="zh-CN"/>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效益</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经济效益指标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保种企业受益</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rPr>
            </w:pPr>
            <w:r>
              <w:rPr>
                <w:rFonts w:hint="eastAsia" w:ascii="宋体" w:hAnsi="宋体" w:eastAsia="宋体" w:cs="宋体"/>
                <w:i w:val="0"/>
                <w:iCs w:val="0"/>
                <w:color w:val="000000"/>
                <w:kern w:val="0"/>
                <w:sz w:val="18"/>
                <w:szCs w:val="18"/>
                <w:u w:val="none"/>
                <w:lang w:val="en-US" w:eastAsia="zh-CN" w:bidi="ar"/>
              </w:rPr>
              <w:t>20</w:t>
            </w:r>
            <w:r>
              <w:rPr>
                <w:rFonts w:hint="eastAsia" w:ascii="宋体" w:hAnsi="宋体" w:cs="宋体"/>
                <w:i w:val="0"/>
                <w:iCs w:val="0"/>
                <w:color w:val="000000"/>
                <w:kern w:val="0"/>
                <w:sz w:val="18"/>
                <w:szCs w:val="18"/>
                <w:u w:val="none"/>
                <w:lang w:val="en-US" w:eastAsia="zh-CN" w:bidi="ar"/>
              </w:rPr>
              <w:t>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rPr>
            </w:pPr>
            <w:r>
              <w:rPr>
                <w:rFonts w:hint="eastAsia" w:ascii="宋体" w:hAnsi="宋体" w:eastAsia="宋体" w:cs="宋体"/>
                <w:i w:val="0"/>
                <w:iCs w:val="0"/>
                <w:color w:val="000000"/>
                <w:kern w:val="0"/>
                <w:sz w:val="18"/>
                <w:szCs w:val="18"/>
                <w:u w:val="none"/>
                <w:lang w:val="en-US" w:eastAsia="zh-CN" w:bidi="ar"/>
              </w:rPr>
              <w:t>20</w:t>
            </w:r>
            <w:r>
              <w:rPr>
                <w:rFonts w:hint="eastAsia" w:ascii="宋体" w:hAnsi="宋体" w:cs="宋体"/>
                <w:i w:val="0"/>
                <w:iCs w:val="0"/>
                <w:color w:val="000000"/>
                <w:kern w:val="0"/>
                <w:sz w:val="18"/>
                <w:szCs w:val="18"/>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资源有效保护</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达到预期目标</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达到预期目标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393" w:leftChars="87" w:hanging="210" w:hangingChars="100"/>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维护生物的多样性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达到预期目标</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达到预期目标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可持续影响指标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影响时限</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rPr>
              <w:t>≥</w:t>
            </w:r>
            <w:r>
              <w:rPr>
                <w:rFonts w:hint="eastAsia" w:ascii="宋体" w:hAnsi="宋体" w:cs="宋体"/>
                <w:i w:val="0"/>
                <w:color w:val="auto"/>
                <w:sz w:val="21"/>
                <w:szCs w:val="21"/>
                <w:highlight w:val="none"/>
                <w:u w:val="none"/>
                <w:lang w:val="en-US" w:eastAsia="zh-CN"/>
              </w:rPr>
              <w:t>1</w:t>
            </w:r>
            <w:r>
              <w:rPr>
                <w:rFonts w:hint="eastAsia" w:ascii="宋体" w:hAnsi="宋体" w:eastAsia="宋体" w:cs="宋体"/>
                <w:i w:val="0"/>
                <w:color w:val="auto"/>
                <w:sz w:val="21"/>
                <w:szCs w:val="21"/>
                <w:highlight w:val="none"/>
                <w:u w:val="none"/>
                <w:lang w:val="en-US" w:eastAsia="zh-CN"/>
              </w:rPr>
              <w:t>年</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cs="宋体"/>
                <w:i w:val="0"/>
                <w:color w:val="auto"/>
                <w:sz w:val="21"/>
                <w:szCs w:val="21"/>
                <w:highlight w:val="none"/>
                <w:u w:val="none"/>
                <w:lang w:val="en-US" w:eastAsia="zh-CN"/>
              </w:rPr>
              <w:t>1</w:t>
            </w:r>
            <w:r>
              <w:rPr>
                <w:rFonts w:hint="eastAsia" w:ascii="宋体" w:hAnsi="宋体" w:eastAsia="宋体" w:cs="宋体"/>
                <w:i w:val="0"/>
                <w:color w:val="auto"/>
                <w:sz w:val="21"/>
                <w:szCs w:val="21"/>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满意</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rPr>
              <w:t>保种企业满意度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100%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宋体" w:hAnsi="宋体" w:eastAsia="宋体" w:cs="宋体"/>
                <w:i w:val="0"/>
                <w:color w:val="auto"/>
                <w:sz w:val="21"/>
                <w:szCs w:val="21"/>
                <w:highlight w:val="none"/>
                <w:u w:val="none"/>
                <w:lang w:val="en-US"/>
              </w:rPr>
            </w:pPr>
            <w:r>
              <w:rPr>
                <w:rFonts w:hint="eastAsia" w:ascii="宋体" w:hAnsi="宋体" w:cs="宋体"/>
                <w:i w:val="0"/>
                <w:color w:val="auto"/>
                <w:sz w:val="21"/>
                <w:szCs w:val="21"/>
                <w:highlight w:val="none"/>
                <w:u w:val="none"/>
                <w:lang w:val="en-US" w:eastAsia="zh-CN"/>
              </w:rPr>
              <w:t>100%</w:t>
            </w:r>
          </w:p>
        </w:tc>
      </w:tr>
    </w:tbl>
    <w:p>
      <w:pPr>
        <w:rPr>
          <w:rFonts w:hint="eastAsia" w:eastAsia="仿宋"/>
          <w:color w:val="auto"/>
          <w:sz w:val="24"/>
          <w:szCs w:val="24"/>
          <w:highlight w:val="none"/>
          <w:lang w:eastAsia="zh-CN"/>
        </w:rPr>
      </w:pPr>
    </w:p>
    <w:p>
      <w:pPr>
        <w:pStyle w:val="14"/>
        <w:rPr>
          <w:rFonts w:hint="eastAsia"/>
          <w:lang w:eastAsia="zh-CN"/>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keepNext w:val="0"/>
        <w:keepLines w:val="0"/>
        <w:pageBreakBefore w:val="0"/>
        <w:widowControl w:val="0"/>
        <w:kinsoku/>
        <w:wordWrap/>
        <w:overflowPunct/>
        <w:topLinePunct w:val="0"/>
        <w:autoSpaceDE w:val="0"/>
        <w:autoSpaceDN/>
        <w:bidi w:val="0"/>
        <w:spacing w:line="560" w:lineRule="exact"/>
        <w:jc w:val="center"/>
        <w:textAlignment w:val="auto"/>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lang w:eastAsia="zh-CN"/>
        </w:rPr>
        <w:t>广元灰鸡性能测定</w:t>
      </w:r>
      <w:r>
        <w:rPr>
          <w:rFonts w:hint="eastAsia" w:ascii="方正小标宋简体" w:hAnsi="方正小标宋简体" w:eastAsia="方正小标宋简体" w:cs="方正小标宋简体"/>
          <w:b w:val="0"/>
          <w:bCs w:val="0"/>
          <w:color w:val="000000"/>
          <w:kern w:val="0"/>
          <w:sz w:val="44"/>
          <w:szCs w:val="44"/>
        </w:rPr>
        <w:t>项目支出绩效自评报告</w:t>
      </w:r>
    </w:p>
    <w:p>
      <w:pPr>
        <w:keepNext w:val="0"/>
        <w:keepLines w:val="0"/>
        <w:pageBreakBefore w:val="0"/>
        <w:widowControl w:val="0"/>
        <w:kinsoku/>
        <w:wordWrap/>
        <w:overflowPunct/>
        <w:topLinePunct w:val="0"/>
        <w:autoSpaceDE w:val="0"/>
        <w:autoSpaceDN/>
        <w:bidi w:val="0"/>
        <w:spacing w:line="560" w:lineRule="exact"/>
        <w:jc w:val="center"/>
        <w:textAlignment w:val="auto"/>
        <w:rPr>
          <w:rFonts w:hint="eastAsia" w:ascii="方正小标宋简体" w:hAnsi="方正小标宋简体" w:eastAsia="方正小标宋简体" w:cs="方正小标宋简体"/>
          <w:b w:val="0"/>
          <w:bCs w:val="0"/>
          <w:color w:val="000000"/>
          <w:kern w:val="0"/>
          <w:sz w:val="44"/>
          <w:szCs w:val="44"/>
        </w:rPr>
      </w:pP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（一）项目基本情况</w:t>
      </w:r>
    </w:p>
    <w:p>
      <w:pPr>
        <w:keepNext w:val="0"/>
        <w:keepLines w:val="0"/>
        <w:pageBreakBefore w:val="0"/>
        <w:widowControl w:val="0"/>
        <w:numPr>
          <w:ilvl w:val="0"/>
          <w:numId w:val="0"/>
        </w:numPr>
        <w:kinsoku/>
        <w:wordWrap/>
        <w:overflowPunct/>
        <w:topLinePunct w:val="0"/>
        <w:autoSpaceDN/>
        <w:bidi w:val="0"/>
        <w:spacing w:line="560" w:lineRule="exact"/>
        <w:ind w:firstLine="632" w:firstLineChars="20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根据</w:t>
      </w:r>
      <w:r>
        <w:rPr>
          <w:rFonts w:hint="eastAsia" w:ascii="仿宋_GB2312" w:hAnsi="宋体" w:eastAsia="仿宋_GB2312" w:cs="Times New Roman"/>
          <w:w w:val="99"/>
          <w:sz w:val="32"/>
          <w:szCs w:val="32"/>
          <w:lang w:val="en-US" w:eastAsia="zh-CN"/>
        </w:rPr>
        <w:t>省农业农村厅</w:t>
      </w:r>
      <w:r>
        <w:rPr>
          <w:rFonts w:hint="eastAsia" w:ascii="仿宋_GB2312" w:hAnsi="宋体" w:eastAsia="仿宋_GB2312" w:cs="Times New Roman"/>
          <w:w w:val="99"/>
          <w:sz w:val="32"/>
          <w:szCs w:val="32"/>
        </w:rPr>
        <w:t>《关于做好</w:t>
      </w:r>
      <w:r>
        <w:rPr>
          <w:rFonts w:hint="eastAsia" w:ascii="仿宋_GB2312" w:hAnsi="宋体" w:eastAsia="仿宋_GB2312" w:cs="Times New Roman"/>
          <w:w w:val="99"/>
          <w:sz w:val="32"/>
          <w:szCs w:val="32"/>
          <w:lang w:val="en-US" w:eastAsia="zh-CN"/>
        </w:rPr>
        <w:t>2021</w:t>
      </w:r>
      <w:r>
        <w:rPr>
          <w:rFonts w:hint="eastAsia" w:ascii="仿宋_GB2312" w:hAnsi="宋体" w:eastAsia="仿宋_GB2312" w:cs="Times New Roman"/>
          <w:w w:val="99"/>
          <w:sz w:val="32"/>
          <w:szCs w:val="32"/>
        </w:rPr>
        <w:t>年省级财政现代农业发展工程</w:t>
      </w:r>
      <w:r>
        <w:rPr>
          <w:rFonts w:hint="eastAsia" w:ascii="仿宋_GB2312" w:hAnsi="宋体" w:eastAsia="仿宋_GB2312" w:cs="Times New Roman"/>
          <w:w w:val="99"/>
          <w:sz w:val="32"/>
          <w:szCs w:val="32"/>
          <w:lang w:eastAsia="zh-CN"/>
        </w:rPr>
        <w:t>三大先导性支撑产业现代种业发展工作</w:t>
      </w:r>
      <w:r>
        <w:rPr>
          <w:rFonts w:hint="eastAsia" w:ascii="仿宋_GB2312" w:hAnsi="宋体" w:eastAsia="仿宋_GB2312" w:cs="Times New Roman"/>
          <w:w w:val="99"/>
          <w:sz w:val="32"/>
          <w:szCs w:val="32"/>
        </w:rPr>
        <w:t>的通知》</w:t>
      </w:r>
      <w:r>
        <w:rPr>
          <w:rFonts w:hint="eastAsia" w:ascii="仿宋_GB2312" w:hAnsi="宋体" w:eastAsia="仿宋_GB2312" w:cs="Times New Roman"/>
          <w:w w:val="99"/>
          <w:sz w:val="32"/>
          <w:szCs w:val="32"/>
          <w:lang w:eastAsia="zh-CN"/>
        </w:rPr>
        <w:t>（川农函</w:t>
      </w:r>
      <w:r>
        <w:rPr>
          <w:rFonts w:hint="eastAsia" w:ascii="仿宋_GB2312" w:hAnsi="宋体" w:eastAsia="仿宋_GB2312" w:cs="Times New Roman"/>
          <w:w w:val="99"/>
          <w:sz w:val="32"/>
          <w:szCs w:val="32"/>
        </w:rPr>
        <w:t>〔20</w:t>
      </w:r>
      <w:r>
        <w:rPr>
          <w:rFonts w:hint="eastAsia" w:ascii="仿宋_GB2312" w:hAnsi="宋体" w:eastAsia="仿宋_GB2312" w:cs="Times New Roman"/>
          <w:w w:val="99"/>
          <w:sz w:val="32"/>
          <w:szCs w:val="32"/>
          <w:lang w:val="en-US" w:eastAsia="zh-CN"/>
        </w:rPr>
        <w:t>21</w:t>
      </w:r>
      <w:r>
        <w:rPr>
          <w:rFonts w:hint="eastAsia" w:ascii="仿宋_GB2312" w:hAnsi="宋体" w:eastAsia="仿宋_GB2312" w:cs="Times New Roman"/>
          <w:w w:val="99"/>
          <w:sz w:val="32"/>
          <w:szCs w:val="32"/>
        </w:rPr>
        <w:t>〕</w:t>
      </w:r>
      <w:r>
        <w:rPr>
          <w:rFonts w:hint="eastAsia" w:ascii="仿宋_GB2312" w:hAnsi="宋体" w:eastAsia="仿宋_GB2312" w:cs="Times New Roman"/>
          <w:w w:val="99"/>
          <w:sz w:val="32"/>
          <w:szCs w:val="32"/>
          <w:lang w:val="en-US" w:eastAsia="zh-CN"/>
        </w:rPr>
        <w:t>274</w:t>
      </w:r>
      <w:r>
        <w:rPr>
          <w:rFonts w:hint="eastAsia" w:ascii="仿宋_GB2312" w:hAnsi="宋体" w:eastAsia="仿宋_GB2312" w:cs="Times New Roman"/>
          <w:w w:val="99"/>
          <w:sz w:val="32"/>
          <w:szCs w:val="32"/>
        </w:rPr>
        <w:t>号</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要求，结合我区实际</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制定</w:t>
      </w:r>
      <w:r>
        <w:rPr>
          <w:rFonts w:hint="eastAsia" w:ascii="仿宋_GB2312" w:hAnsi="宋体" w:eastAsia="仿宋_GB2312" w:cs="Times New Roman"/>
          <w:w w:val="99"/>
          <w:sz w:val="32"/>
          <w:szCs w:val="32"/>
          <w:lang w:eastAsia="zh-CN"/>
        </w:rPr>
        <w:t>了《广元灰鸡性能测定</w:t>
      </w:r>
      <w:r>
        <w:rPr>
          <w:rFonts w:hint="eastAsia" w:ascii="仿宋_GB2312" w:hAnsi="宋体" w:eastAsia="仿宋_GB2312" w:cs="Times New Roman"/>
          <w:w w:val="99"/>
          <w:sz w:val="32"/>
          <w:szCs w:val="32"/>
        </w:rPr>
        <w:t>实施方案</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w:t>
      </w:r>
      <w:r>
        <w:rPr>
          <w:rFonts w:hint="eastAsia" w:ascii="仿宋_GB2312" w:hAnsi="宋体" w:eastAsia="仿宋_GB2312" w:cs="Times New Roman"/>
          <w:w w:val="99"/>
          <w:sz w:val="32"/>
          <w:szCs w:val="32"/>
          <w:lang w:val="en-US" w:eastAsia="zh-CN"/>
        </w:rPr>
        <w:t>主要开展饲料购置，发放人员工资等。</w:t>
      </w:r>
    </w:p>
    <w:p>
      <w:pPr>
        <w:keepNext w:val="0"/>
        <w:keepLines w:val="0"/>
        <w:pageBreakBefore w:val="0"/>
        <w:widowControl w:val="0"/>
        <w:numPr>
          <w:ilvl w:val="0"/>
          <w:numId w:val="7"/>
        </w:numPr>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lang w:val="en-US" w:eastAsia="zh-CN"/>
        </w:rPr>
      </w:pPr>
      <w:r>
        <w:rPr>
          <w:rFonts w:hint="eastAsia" w:ascii="楷体_GB2312" w:hAnsi="宋体" w:eastAsia="楷体_GB2312" w:cs="Times New Roman"/>
          <w:b/>
          <w:w w:val="99"/>
          <w:sz w:val="32"/>
          <w:szCs w:val="32"/>
        </w:rPr>
        <w:t>项目绩效目标</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1</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项目主要内容。检测广元灰鸡</w:t>
      </w:r>
      <w:r>
        <w:rPr>
          <w:rFonts w:hint="eastAsia" w:ascii="仿宋_GB2312" w:hAnsi="宋体" w:eastAsia="仿宋_GB2312" w:cs="Times New Roman"/>
          <w:w w:val="99"/>
          <w:sz w:val="32"/>
          <w:szCs w:val="32"/>
          <w:lang w:val="en-US" w:eastAsia="zh-CN"/>
        </w:rPr>
        <w:t>2400</w:t>
      </w:r>
      <w:r>
        <w:rPr>
          <w:rFonts w:hint="eastAsia" w:ascii="仿宋_GB2312" w:hAnsi="宋体" w:eastAsia="仿宋_GB2312" w:cs="Times New Roman"/>
          <w:w w:val="99"/>
          <w:sz w:val="32"/>
          <w:szCs w:val="32"/>
        </w:rPr>
        <w:t>只</w:t>
      </w:r>
      <w:r>
        <w:rPr>
          <w:rFonts w:hint="eastAsia" w:ascii="仿宋_GB2312" w:hAnsi="宋体" w:eastAsia="仿宋_GB2312" w:cs="Times New Roman"/>
          <w:w w:val="99"/>
          <w:sz w:val="32"/>
          <w:szCs w:val="32"/>
          <w:lang w:eastAsia="zh-CN"/>
        </w:rPr>
        <w:t>。主要开展</w:t>
      </w:r>
      <w:r>
        <w:rPr>
          <w:rFonts w:hint="eastAsia" w:ascii="仿宋_GB2312" w:hAnsi="宋体" w:eastAsia="仿宋_GB2312" w:cs="Times New Roman"/>
          <w:w w:val="99"/>
          <w:sz w:val="32"/>
          <w:szCs w:val="32"/>
        </w:rPr>
        <w:t>出壳重、66周龄入舍鸡及饲养日产蛋数，０－</w:t>
      </w:r>
      <w:r>
        <w:rPr>
          <w:rFonts w:hint="eastAsia" w:ascii="仿宋_GB2312" w:hAnsi="宋体" w:eastAsia="仿宋_GB2312" w:cs="Times New Roman"/>
          <w:w w:val="99"/>
          <w:sz w:val="32"/>
          <w:szCs w:val="32"/>
          <w:lang w:val="en-US" w:eastAsia="zh-CN"/>
        </w:rPr>
        <w:t>24</w:t>
      </w:r>
      <w:r>
        <w:rPr>
          <w:rFonts w:hint="eastAsia" w:ascii="仿宋_GB2312" w:hAnsi="宋体" w:eastAsia="仿宋_GB2312" w:cs="Times New Roman"/>
          <w:w w:val="99"/>
          <w:sz w:val="32"/>
          <w:szCs w:val="32"/>
        </w:rPr>
        <w:t>周龄成活率、受精率、孵化率，商品代上市日龄和体重、成活率、饲料转化率、屠宰率、腹脂率、胸腿肉率。并将</w:t>
      </w:r>
      <w:r>
        <w:rPr>
          <w:rFonts w:hint="eastAsia" w:ascii="仿宋_GB2312" w:hAnsi="宋体" w:eastAsia="仿宋_GB2312" w:cs="Times New Roman"/>
          <w:w w:val="99"/>
          <w:sz w:val="32"/>
          <w:szCs w:val="32"/>
          <w:lang w:eastAsia="zh-CN"/>
        </w:rPr>
        <w:t>相关</w:t>
      </w:r>
      <w:r>
        <w:rPr>
          <w:rFonts w:hint="eastAsia" w:ascii="仿宋_GB2312" w:hAnsi="宋体" w:eastAsia="仿宋_GB2312" w:cs="Times New Roman"/>
          <w:w w:val="99"/>
          <w:sz w:val="32"/>
          <w:szCs w:val="32"/>
        </w:rPr>
        <w:t>数据及时准确录入数据信息库，同时保存</w:t>
      </w:r>
      <w:r>
        <w:rPr>
          <w:rFonts w:hint="eastAsia" w:ascii="仿宋_GB2312" w:hAnsi="宋体" w:eastAsia="仿宋_GB2312" w:cs="Times New Roman"/>
          <w:w w:val="99"/>
          <w:sz w:val="32"/>
          <w:szCs w:val="32"/>
          <w:lang w:eastAsia="zh-CN"/>
        </w:rPr>
        <w:t>好</w:t>
      </w:r>
      <w:r>
        <w:rPr>
          <w:rFonts w:hint="eastAsia" w:ascii="仿宋_GB2312" w:hAnsi="宋体" w:eastAsia="仿宋_GB2312" w:cs="Times New Roman"/>
          <w:w w:val="99"/>
          <w:sz w:val="32"/>
          <w:szCs w:val="32"/>
        </w:rPr>
        <w:t>原始记录</w:t>
      </w:r>
      <w:r>
        <w:rPr>
          <w:rFonts w:hint="eastAsia" w:ascii="仿宋_GB2312" w:hAnsi="宋体" w:eastAsia="仿宋_GB2312" w:cs="Times New Roman"/>
          <w:w w:val="99"/>
          <w:sz w:val="32"/>
          <w:szCs w:val="32"/>
          <w:lang w:eastAsia="zh-CN"/>
        </w:rPr>
        <w:t>档案</w:t>
      </w:r>
      <w:r>
        <w:rPr>
          <w:rFonts w:hint="eastAsia" w:ascii="仿宋_GB2312" w:hAnsi="宋体" w:eastAsia="仿宋_GB2312" w:cs="Times New Roman"/>
          <w:w w:val="99"/>
          <w:sz w:val="32"/>
          <w:szCs w:val="32"/>
        </w:rPr>
        <w:t>。</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lang w:eastAsia="zh-CN"/>
        </w:rPr>
        <w:t>广元灰鸡性能测定工作在四川农业大学、市农业农村局种业管理站与我区的指导下开展测定工作</w:t>
      </w:r>
      <w:r>
        <w:rPr>
          <w:rFonts w:hint="eastAsia" w:ascii="仿宋_GB2312" w:hAnsi="宋体" w:eastAsia="仿宋_GB2312" w:cs="Times New Roman"/>
          <w:w w:val="99"/>
          <w:sz w:val="32"/>
          <w:szCs w:val="32"/>
        </w:rPr>
        <w:t>。</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（一）项目资金申报及批复情况</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根据区财政局《关于下达2021年省级财政现代农业发展工程共同财政事权转移支付资金的通知》（广朝财农</w:t>
      </w:r>
      <w:r>
        <w:rPr>
          <w:rFonts w:hint="eastAsia" w:ascii="仿宋_GB2312" w:hAnsi="宋体" w:eastAsia="仿宋_GB2312" w:cs="Times New Roman"/>
          <w:w w:val="99"/>
          <w:sz w:val="32"/>
          <w:szCs w:val="32"/>
        </w:rPr>
        <w:t>〔20</w:t>
      </w:r>
      <w:r>
        <w:rPr>
          <w:rFonts w:hint="eastAsia" w:ascii="仿宋_GB2312" w:hAnsi="宋体" w:eastAsia="仿宋_GB2312" w:cs="Times New Roman"/>
          <w:w w:val="99"/>
          <w:sz w:val="32"/>
          <w:szCs w:val="32"/>
          <w:lang w:val="en-US" w:eastAsia="zh-CN"/>
        </w:rPr>
        <w:t>21</w:t>
      </w:r>
      <w:r>
        <w:rPr>
          <w:rFonts w:hint="eastAsia" w:ascii="仿宋_GB2312" w:hAnsi="宋体" w:eastAsia="仿宋_GB2312" w:cs="Times New Roman"/>
          <w:w w:val="99"/>
          <w:sz w:val="32"/>
          <w:szCs w:val="32"/>
        </w:rPr>
        <w:t>〕</w:t>
      </w:r>
      <w:r>
        <w:rPr>
          <w:rFonts w:hint="eastAsia" w:ascii="仿宋_GB2312" w:hAnsi="宋体" w:eastAsia="仿宋_GB2312" w:cs="Times New Roman"/>
          <w:w w:val="99"/>
          <w:sz w:val="32"/>
          <w:szCs w:val="32"/>
          <w:lang w:val="en-US" w:eastAsia="zh-CN"/>
        </w:rPr>
        <w:t>24</w:t>
      </w:r>
      <w:r>
        <w:rPr>
          <w:rFonts w:hint="eastAsia" w:ascii="仿宋_GB2312" w:hAnsi="宋体" w:eastAsia="仿宋_GB2312" w:cs="Times New Roman"/>
          <w:w w:val="99"/>
          <w:sz w:val="32"/>
          <w:szCs w:val="32"/>
        </w:rPr>
        <w:t>号</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要求</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lang w:val="en-US" w:eastAsia="zh-CN"/>
        </w:rPr>
        <w:t>区财政下达我区项目资金15万元。</w:t>
      </w:r>
    </w:p>
    <w:p>
      <w:pPr>
        <w:keepNext w:val="0"/>
        <w:keepLines w:val="0"/>
        <w:pageBreakBefore w:val="0"/>
        <w:widowControl w:val="0"/>
        <w:numPr>
          <w:ilvl w:val="0"/>
          <w:numId w:val="7"/>
        </w:numPr>
        <w:kinsoku/>
        <w:wordWrap/>
        <w:overflowPunct/>
        <w:topLinePunct w:val="0"/>
        <w:autoSpaceDE w:val="0"/>
        <w:autoSpaceDN/>
        <w:bidi w:val="0"/>
        <w:adjustRightInd w:val="0"/>
        <w:snapToGrid w:val="0"/>
        <w:spacing w:line="560" w:lineRule="exact"/>
        <w:ind w:left="0" w:leftChars="0" w:firstLine="720" w:firstLineChars="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资金计划、到位及使用情况</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仿宋_GB2312" w:hAnsi="宋体" w:eastAsia="仿宋_GB2312" w:cs="Times New Roman"/>
          <w:w w:val="99"/>
          <w:sz w:val="32"/>
          <w:szCs w:val="32"/>
          <w:lang w:val="en-US" w:eastAsia="zh-CN"/>
        </w:rPr>
        <w:t>根据区财政局《关于下达2021年省级财政现代农业发展工程共同财政事权转移支付资金的通知》（广朝财农</w:t>
      </w:r>
      <w:r>
        <w:rPr>
          <w:rFonts w:hint="eastAsia" w:ascii="仿宋_GB2312" w:hAnsi="宋体" w:eastAsia="仿宋_GB2312" w:cs="Times New Roman"/>
          <w:w w:val="99"/>
          <w:sz w:val="32"/>
          <w:szCs w:val="32"/>
        </w:rPr>
        <w:t>〔20</w:t>
      </w:r>
      <w:r>
        <w:rPr>
          <w:rFonts w:hint="eastAsia" w:ascii="仿宋_GB2312" w:hAnsi="宋体" w:eastAsia="仿宋_GB2312" w:cs="Times New Roman"/>
          <w:w w:val="99"/>
          <w:sz w:val="32"/>
          <w:szCs w:val="32"/>
          <w:lang w:val="en-US" w:eastAsia="zh-CN"/>
        </w:rPr>
        <w:t>21</w:t>
      </w:r>
      <w:r>
        <w:rPr>
          <w:rFonts w:hint="eastAsia" w:ascii="仿宋_GB2312" w:hAnsi="宋体" w:eastAsia="仿宋_GB2312" w:cs="Times New Roman"/>
          <w:w w:val="99"/>
          <w:sz w:val="32"/>
          <w:szCs w:val="32"/>
        </w:rPr>
        <w:t>〕</w:t>
      </w:r>
      <w:r>
        <w:rPr>
          <w:rFonts w:hint="eastAsia" w:ascii="仿宋_GB2312" w:hAnsi="宋体" w:eastAsia="仿宋_GB2312" w:cs="Times New Roman"/>
          <w:w w:val="99"/>
          <w:sz w:val="32"/>
          <w:szCs w:val="32"/>
          <w:lang w:val="en-US" w:eastAsia="zh-CN"/>
        </w:rPr>
        <w:t>24</w:t>
      </w:r>
      <w:r>
        <w:rPr>
          <w:rFonts w:hint="eastAsia" w:ascii="仿宋_GB2312" w:hAnsi="宋体" w:eastAsia="仿宋_GB2312" w:cs="Times New Roman"/>
          <w:w w:val="99"/>
          <w:sz w:val="32"/>
          <w:szCs w:val="32"/>
        </w:rPr>
        <w:t>号</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rPr>
        <w:t>要求</w:t>
      </w:r>
      <w:r>
        <w:rPr>
          <w:rFonts w:hint="eastAsia" w:ascii="仿宋_GB2312" w:hAnsi="宋体" w:eastAsia="仿宋_GB2312" w:cs="Times New Roman"/>
          <w:w w:val="99"/>
          <w:sz w:val="32"/>
          <w:szCs w:val="32"/>
          <w:lang w:eastAsia="zh-CN"/>
        </w:rPr>
        <w:t>，</w:t>
      </w:r>
      <w:r>
        <w:rPr>
          <w:rFonts w:hint="eastAsia" w:ascii="仿宋_GB2312" w:hAnsi="宋体" w:eastAsia="仿宋_GB2312" w:cs="Times New Roman"/>
          <w:w w:val="99"/>
          <w:sz w:val="32"/>
          <w:szCs w:val="32"/>
          <w:lang w:val="en-US" w:eastAsia="zh-CN"/>
        </w:rPr>
        <w:t>区财政下达我区项目资金15万元，截止目前，已支付资金15万元。</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（三）项目财务管理情况</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lang w:eastAsia="zh-CN"/>
        </w:rPr>
        <w:t>我局</w:t>
      </w:r>
      <w:r>
        <w:rPr>
          <w:rFonts w:hint="eastAsia" w:ascii="仿宋_GB2312" w:hAnsi="宋体" w:eastAsia="仿宋_GB2312" w:cs="Times New Roman"/>
          <w:w w:val="99"/>
          <w:sz w:val="32"/>
          <w:szCs w:val="32"/>
        </w:rPr>
        <w:t>财务管理制度健全，</w:t>
      </w:r>
      <w:r>
        <w:rPr>
          <w:rFonts w:hint="eastAsia" w:ascii="仿宋_GB2312" w:hAnsi="宋体" w:eastAsia="仿宋_GB2312" w:cs="Times New Roman"/>
          <w:w w:val="99"/>
          <w:sz w:val="32"/>
          <w:szCs w:val="32"/>
          <w:lang w:eastAsia="zh-CN"/>
        </w:rPr>
        <w:t>并</w:t>
      </w:r>
      <w:r>
        <w:rPr>
          <w:rFonts w:hint="eastAsia" w:ascii="仿宋_GB2312" w:hAnsi="宋体" w:eastAsia="仿宋_GB2312" w:cs="Times New Roman"/>
          <w:w w:val="99"/>
          <w:sz w:val="32"/>
          <w:szCs w:val="32"/>
        </w:rPr>
        <w:t>严格执行财务管理制度，账务处理及时，会计核算规范。</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rPr>
        <w:t>三、项目实施及管理情况</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（一）项目组织架构及实施流程。</w:t>
      </w:r>
      <w:r>
        <w:rPr>
          <w:rFonts w:hint="eastAsia" w:ascii="仿宋_GB2312" w:hAnsi="宋体" w:eastAsia="仿宋_GB2312" w:cs="Times New Roman"/>
          <w:w w:val="99"/>
          <w:sz w:val="32"/>
          <w:szCs w:val="32"/>
          <w:lang w:eastAsia="zh-CN"/>
        </w:rPr>
        <w:t>广元灰鸡性能测定工作在四川农业大学、市农业农村局种业管理站与我区的指导下开展测定工作</w:t>
      </w:r>
      <w:r>
        <w:rPr>
          <w:rFonts w:hint="eastAsia" w:ascii="仿宋_GB2312" w:hAnsi="宋体" w:eastAsia="仿宋_GB2312" w:cs="Times New Roman"/>
          <w:w w:val="99"/>
          <w:sz w:val="32"/>
          <w:szCs w:val="32"/>
        </w:rPr>
        <w:t>。</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（二）项目管理情况。</w:t>
      </w:r>
      <w:r>
        <w:rPr>
          <w:rFonts w:hint="eastAsia" w:ascii="仿宋_GB2312" w:hAnsi="宋体" w:eastAsia="仿宋_GB2312" w:cs="Times New Roman"/>
          <w:w w:val="99"/>
          <w:sz w:val="32"/>
          <w:szCs w:val="32"/>
          <w:lang w:eastAsia="zh-CN"/>
        </w:rPr>
        <w:t>该项目为省农业农村厅直接下达到省级肉鸡核心育种场，资金的性质为补助资金</w:t>
      </w:r>
      <w:r>
        <w:rPr>
          <w:rFonts w:hint="eastAsia" w:ascii="仿宋_GB2312" w:hAnsi="宋体" w:eastAsia="仿宋_GB2312" w:cs="Times New Roman"/>
          <w:w w:val="99"/>
          <w:sz w:val="32"/>
          <w:szCs w:val="32"/>
        </w:rPr>
        <w:t>。</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（三）项目监管情况。</w:t>
      </w:r>
      <w:r>
        <w:rPr>
          <w:rFonts w:hint="eastAsia" w:ascii="仿宋_GB2312" w:hAnsi="宋体" w:eastAsia="仿宋_GB2312" w:cs="Times New Roman"/>
          <w:w w:val="99"/>
          <w:sz w:val="32"/>
          <w:szCs w:val="32"/>
          <w:lang w:eastAsia="zh-CN"/>
        </w:rPr>
        <w:t>市农业农村局与我局指派有专职人员负责督促指导性能测定的开展</w:t>
      </w:r>
      <w:r>
        <w:rPr>
          <w:rFonts w:hint="eastAsia" w:ascii="仿宋_GB2312" w:hAnsi="宋体" w:eastAsia="仿宋_GB2312" w:cs="Times New Roman"/>
          <w:w w:val="99"/>
          <w:sz w:val="32"/>
          <w:szCs w:val="32"/>
        </w:rPr>
        <w:t>。</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rPr>
        <w:t>四、项目绩效情况</w:t>
      </w:r>
      <w:r>
        <w:rPr>
          <w:rFonts w:hint="eastAsia" w:ascii="仿宋_GB2312" w:hAnsi="宋体" w:eastAsia="仿宋_GB2312" w:cs="Times New Roman"/>
          <w:w w:val="99"/>
          <w:sz w:val="32"/>
          <w:szCs w:val="32"/>
        </w:rPr>
        <w:tab/>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（一）项目完成情况</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仿宋_GB2312" w:hAnsi="宋体" w:eastAsia="仿宋_GB2312" w:cs="Times New Roman"/>
          <w:w w:val="99"/>
          <w:sz w:val="32"/>
          <w:szCs w:val="32"/>
          <w:lang w:val="en-US" w:eastAsia="zh-CN"/>
        </w:rPr>
        <w:t>完成测定广元灰鸡3576只，并形成专题报告上报市农业农村局与省农业农村厅畜牧总站</w:t>
      </w:r>
      <w:r>
        <w:rPr>
          <w:rFonts w:hint="eastAsia" w:ascii="仿宋_GB2312" w:hAnsi="宋体" w:eastAsia="仿宋_GB2312" w:cs="Times New Roman"/>
          <w:w w:val="99"/>
          <w:sz w:val="32"/>
          <w:szCs w:val="32"/>
        </w:rPr>
        <w:t>。</w:t>
      </w:r>
    </w:p>
    <w:p>
      <w:pPr>
        <w:keepNext w:val="0"/>
        <w:keepLines w:val="0"/>
        <w:pageBreakBefore w:val="0"/>
        <w:widowControl w:val="0"/>
        <w:numPr>
          <w:ilvl w:val="0"/>
          <w:numId w:val="8"/>
        </w:numPr>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项目效益情况</w:t>
      </w:r>
    </w:p>
    <w:p>
      <w:pPr>
        <w:keepNext w:val="0"/>
        <w:keepLines w:val="0"/>
        <w:pageBreakBefore w:val="0"/>
        <w:widowControl w:val="0"/>
        <w:numPr>
          <w:ilvl w:val="0"/>
          <w:numId w:val="9"/>
        </w:numPr>
        <w:kinsoku/>
        <w:wordWrap/>
        <w:overflowPunct/>
        <w:topLinePunct w:val="0"/>
        <w:autoSpaceDE w:val="0"/>
        <w:autoSpaceDN/>
        <w:bidi w:val="0"/>
        <w:adjustRightInd w:val="0"/>
        <w:snapToGrid w:val="0"/>
        <w:spacing w:line="560" w:lineRule="exact"/>
        <w:ind w:firstLine="948" w:firstLineChars="30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社会效益</w:t>
      </w:r>
      <w:r>
        <w:rPr>
          <w:rFonts w:hint="eastAsia" w:ascii="仿宋_GB2312" w:hAnsi="宋体" w:eastAsia="仿宋_GB2312" w:cs="Times New Roman"/>
          <w:w w:val="99"/>
          <w:sz w:val="32"/>
          <w:szCs w:val="32"/>
          <w:lang w:eastAsia="zh-CN"/>
        </w:rPr>
        <w:t>。通过测定可以提高生产性能，提高品种的影响力。</w:t>
      </w:r>
    </w:p>
    <w:p>
      <w:pPr>
        <w:keepNext w:val="0"/>
        <w:keepLines w:val="0"/>
        <w:pageBreakBefore w:val="0"/>
        <w:widowControl w:val="0"/>
        <w:numPr>
          <w:ilvl w:val="0"/>
          <w:numId w:val="9"/>
        </w:numPr>
        <w:kinsoku/>
        <w:wordWrap/>
        <w:overflowPunct/>
        <w:topLinePunct w:val="0"/>
        <w:autoSpaceDE w:val="0"/>
        <w:autoSpaceDN/>
        <w:bidi w:val="0"/>
        <w:adjustRightInd w:val="0"/>
        <w:snapToGrid w:val="0"/>
        <w:spacing w:line="560" w:lineRule="exact"/>
        <w:ind w:firstLine="948" w:firstLineChars="30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生态效益</w:t>
      </w:r>
      <w:r>
        <w:rPr>
          <w:rFonts w:hint="eastAsia" w:ascii="仿宋_GB2312" w:hAnsi="宋体" w:eastAsia="仿宋_GB2312" w:cs="Times New Roman"/>
          <w:w w:val="99"/>
          <w:sz w:val="32"/>
          <w:szCs w:val="32"/>
          <w:lang w:eastAsia="zh-CN"/>
        </w:rPr>
        <w:t>。生产性能提升，减少饲料消耗。</w:t>
      </w:r>
    </w:p>
    <w:p>
      <w:pPr>
        <w:keepNext w:val="0"/>
        <w:keepLines w:val="0"/>
        <w:pageBreakBefore w:val="0"/>
        <w:widowControl w:val="0"/>
        <w:numPr>
          <w:ilvl w:val="0"/>
          <w:numId w:val="9"/>
        </w:numPr>
        <w:kinsoku/>
        <w:wordWrap/>
        <w:overflowPunct/>
        <w:topLinePunct w:val="0"/>
        <w:autoSpaceDE w:val="0"/>
        <w:autoSpaceDN/>
        <w:bidi w:val="0"/>
        <w:adjustRightInd w:val="0"/>
        <w:snapToGrid w:val="0"/>
        <w:spacing w:line="560" w:lineRule="exact"/>
        <w:ind w:firstLine="948" w:firstLineChars="30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可持续效益</w:t>
      </w:r>
      <w:r>
        <w:rPr>
          <w:rFonts w:hint="eastAsia" w:ascii="仿宋_GB2312" w:hAnsi="宋体" w:eastAsia="仿宋_GB2312" w:cs="Times New Roman"/>
          <w:w w:val="99"/>
          <w:sz w:val="32"/>
          <w:szCs w:val="32"/>
          <w:lang w:val="en-US" w:eastAsia="zh-CN"/>
        </w:rPr>
        <w:t>。通过测定可以加快广元灰鸡选育进度，提高养殖效益，促进剑门关土鸡产业的发展。</w:t>
      </w:r>
    </w:p>
    <w:p>
      <w:pPr>
        <w:keepNext w:val="0"/>
        <w:keepLines w:val="0"/>
        <w:pageBreakBefore w:val="0"/>
        <w:widowControl w:val="0"/>
        <w:numPr>
          <w:ilvl w:val="0"/>
          <w:numId w:val="9"/>
        </w:numPr>
        <w:kinsoku/>
        <w:wordWrap/>
        <w:overflowPunct/>
        <w:topLinePunct w:val="0"/>
        <w:autoSpaceDE w:val="0"/>
        <w:autoSpaceDN/>
        <w:bidi w:val="0"/>
        <w:adjustRightInd w:val="0"/>
        <w:snapToGrid w:val="0"/>
        <w:spacing w:line="560" w:lineRule="exact"/>
        <w:ind w:firstLine="948" w:firstLineChars="30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服务对象满意度</w:t>
      </w:r>
      <w:r>
        <w:rPr>
          <w:rFonts w:hint="eastAsia" w:ascii="仿宋_GB2312" w:hAnsi="宋体" w:eastAsia="仿宋_GB2312" w:cs="Times New Roman"/>
          <w:w w:val="99"/>
          <w:sz w:val="32"/>
          <w:szCs w:val="32"/>
          <w:lang w:val="en-US" w:eastAsia="zh-CN"/>
        </w:rPr>
        <w:t>:满意度100%。</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五、评价结论及建议</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（一）评价结论。</w:t>
      </w:r>
      <w:r>
        <w:rPr>
          <w:rFonts w:hint="eastAsia" w:ascii="仿宋_GB2312" w:hAnsi="宋体" w:eastAsia="仿宋_GB2312" w:cs="Times New Roman"/>
          <w:w w:val="99"/>
          <w:sz w:val="32"/>
          <w:szCs w:val="32"/>
          <w:lang w:eastAsia="zh-CN"/>
        </w:rPr>
        <w:t>通过性能测定项目实施，为广元灰鸡配套系选育提供有效支撑，提升了选育效率</w:t>
      </w:r>
      <w:r>
        <w:rPr>
          <w:rFonts w:hint="eastAsia" w:ascii="仿宋_GB2312" w:hAnsi="宋体" w:eastAsia="仿宋_GB2312" w:cs="Times New Roman"/>
          <w:w w:val="99"/>
          <w:sz w:val="32"/>
          <w:szCs w:val="32"/>
        </w:rPr>
        <w:t>。</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（二）存在的问题。</w:t>
      </w:r>
      <w:r>
        <w:rPr>
          <w:rFonts w:hint="eastAsia" w:ascii="仿宋_GB2312" w:hAnsi="宋体" w:eastAsia="仿宋_GB2312" w:cs="Times New Roman"/>
          <w:w w:val="99"/>
          <w:sz w:val="32"/>
          <w:szCs w:val="32"/>
          <w:lang w:val="en-US" w:eastAsia="zh-CN"/>
        </w:rPr>
        <w:t>无</w:t>
      </w:r>
      <w:r>
        <w:rPr>
          <w:rFonts w:hint="eastAsia" w:ascii="仿宋_GB2312" w:hAnsi="宋体" w:eastAsia="仿宋_GB2312" w:cs="Times New Roman"/>
          <w:w w:val="99"/>
          <w:sz w:val="32"/>
          <w:szCs w:val="32"/>
        </w:rPr>
        <w:t>。</w:t>
      </w:r>
      <w:r>
        <w:rPr>
          <w:rFonts w:hint="eastAsia" w:ascii="仿宋_GB2312" w:hAnsi="宋体" w:eastAsia="仿宋_GB2312" w:cs="Times New Roman"/>
          <w:w w:val="99"/>
          <w:sz w:val="32"/>
          <w:szCs w:val="32"/>
        </w:rPr>
        <w:tab/>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rPr>
      </w:pPr>
      <w:r>
        <w:rPr>
          <w:rFonts w:hint="eastAsia" w:ascii="楷体_GB2312" w:hAnsi="宋体" w:eastAsia="楷体_GB2312" w:cs="Times New Roman"/>
          <w:b/>
          <w:w w:val="99"/>
          <w:sz w:val="32"/>
          <w:szCs w:val="32"/>
        </w:rPr>
        <w:t>（三）相关建议。</w:t>
      </w:r>
      <w:r>
        <w:rPr>
          <w:rFonts w:hint="eastAsia" w:ascii="仿宋_GB2312" w:hAnsi="宋体" w:eastAsia="仿宋_GB2312" w:cs="Times New Roman"/>
          <w:w w:val="99"/>
          <w:sz w:val="32"/>
          <w:szCs w:val="32"/>
          <w:lang w:eastAsia="zh-CN"/>
        </w:rPr>
        <w:t>继续加强对广元灰鸡性能测定工作支持</w:t>
      </w:r>
      <w:r>
        <w:rPr>
          <w:rFonts w:hint="eastAsia" w:ascii="仿宋_GB2312" w:hAnsi="宋体" w:eastAsia="仿宋_GB2312" w:cs="Times New Roman"/>
          <w:w w:val="99"/>
          <w:sz w:val="32"/>
          <w:szCs w:val="32"/>
        </w:rPr>
        <w:t>。</w:t>
      </w:r>
    </w:p>
    <w:tbl>
      <w:tblPr>
        <w:tblStyle w:val="16"/>
        <w:tblpPr w:leftFromText="180" w:rightFromText="180" w:vertAnchor="text" w:horzAnchor="page" w:tblpX="1281" w:tblpY="660"/>
        <w:tblOverlap w:val="never"/>
        <w:tblW w:w="97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49"/>
        <w:gridCol w:w="1255"/>
        <w:gridCol w:w="1549"/>
        <w:gridCol w:w="1647"/>
        <w:gridCol w:w="1458"/>
        <w:gridCol w:w="24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700"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b/>
                <w:i w:val="0"/>
                <w:color w:val="auto"/>
                <w:sz w:val="32"/>
                <w:szCs w:val="32"/>
                <w:highlight w:val="none"/>
                <w:u w:val="none"/>
                <w:lang w:val="en-US" w:eastAsia="zh-CN"/>
              </w:rPr>
              <w:t>2021年部门预算项目绩效目标自评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2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主管部门及代码</w:t>
            </w:r>
          </w:p>
        </w:tc>
        <w:tc>
          <w:tcPr>
            <w:tcW w:w="3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rPr>
              <w:t>广元市朝天区农业农村局</w:t>
            </w:r>
            <w:r>
              <w:rPr>
                <w:rFonts w:hint="eastAsia" w:ascii="宋体" w:hAnsi="宋体" w:eastAsia="宋体" w:cs="宋体"/>
                <w:i w:val="0"/>
                <w:color w:val="auto"/>
                <w:sz w:val="21"/>
                <w:szCs w:val="21"/>
                <w:highlight w:val="none"/>
                <w:u w:val="none"/>
                <w:lang w:val="en-US" w:eastAsia="zh-CN"/>
              </w:rPr>
              <w:t xml:space="preserve"> 602601</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实施单位</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广元灰鸡性能测定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项目预算</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执行情况</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（万元）</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预算数：</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15</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执行数：</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26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财政拨款</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15</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财政拨款</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其他资金</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其他资金</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完成情况</w:t>
            </w:r>
          </w:p>
        </w:tc>
        <w:tc>
          <w:tcPr>
            <w:tcW w:w="44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预期目标</w:t>
            </w:r>
          </w:p>
        </w:tc>
        <w:tc>
          <w:tcPr>
            <w:tcW w:w="3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44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1"/>
                <w:szCs w:val="21"/>
                <w:highlight w:val="none"/>
                <w:u w:val="none"/>
                <w:lang w:eastAsia="zh-CN"/>
              </w:rPr>
            </w:pPr>
            <w:r>
              <w:rPr>
                <w:rFonts w:hint="eastAsia" w:ascii="宋体" w:hAnsi="宋体" w:eastAsia="宋体" w:cs="宋体"/>
                <w:i w:val="0"/>
                <w:color w:val="auto"/>
                <w:sz w:val="21"/>
                <w:szCs w:val="21"/>
                <w:highlight w:val="none"/>
                <w:u w:val="none"/>
              </w:rPr>
              <w:t>检测广元灰鸡群体数量2400只</w:t>
            </w:r>
            <w:r>
              <w:rPr>
                <w:rFonts w:hint="eastAsia" w:ascii="宋体" w:hAnsi="宋体" w:cs="宋体"/>
                <w:i w:val="0"/>
                <w:color w:val="auto"/>
                <w:sz w:val="21"/>
                <w:szCs w:val="21"/>
                <w:highlight w:val="none"/>
                <w:u w:val="none"/>
                <w:lang w:eastAsia="zh-CN"/>
              </w:rPr>
              <w:t>。</w:t>
            </w:r>
          </w:p>
        </w:tc>
        <w:tc>
          <w:tcPr>
            <w:tcW w:w="3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1"/>
                <w:szCs w:val="21"/>
                <w:highlight w:val="none"/>
                <w:u w:val="none"/>
                <w:lang w:eastAsia="zh-CN"/>
              </w:rPr>
            </w:pPr>
            <w:r>
              <w:rPr>
                <w:rFonts w:hint="eastAsia" w:ascii="宋体" w:hAnsi="宋体" w:eastAsia="宋体" w:cs="宋体"/>
                <w:i w:val="0"/>
                <w:color w:val="auto"/>
                <w:sz w:val="21"/>
                <w:szCs w:val="21"/>
                <w:highlight w:val="none"/>
                <w:u w:val="none"/>
              </w:rPr>
              <w:t xml:space="preserve">完成广元灰鸡群体数量3576只 </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34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年度绩效指标完成情况</w:t>
            </w:r>
          </w:p>
        </w:tc>
        <w:tc>
          <w:tcPr>
            <w:tcW w:w="12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指标</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指标</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指标</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预期指标值</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34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指标</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数量指标</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群体规模</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3400只</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4855只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134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质量指标</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cs="宋体"/>
                <w:i w:val="0"/>
                <w:iCs w:val="0"/>
                <w:color w:val="000000"/>
                <w:kern w:val="0"/>
                <w:sz w:val="18"/>
                <w:szCs w:val="18"/>
                <w:u w:val="none"/>
                <w:lang w:val="en-US" w:eastAsia="zh-CN" w:bidi="ar"/>
              </w:rPr>
              <w:t>项目验收合格率</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100%</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134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时效指标</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完成时限</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2021年1月-2021年12月</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2021年1月-2021年12月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34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成本指标</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成本投入</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rPr>
              <w:t>≤</w:t>
            </w:r>
            <w:r>
              <w:rPr>
                <w:rFonts w:hint="eastAsia" w:ascii="宋体" w:hAnsi="宋体" w:cs="宋体"/>
                <w:i w:val="0"/>
                <w:color w:val="auto"/>
                <w:sz w:val="21"/>
                <w:szCs w:val="21"/>
                <w:highlight w:val="none"/>
                <w:u w:val="none"/>
                <w:lang w:val="en-US" w:eastAsia="zh-CN"/>
              </w:rPr>
              <w:t>15</w:t>
            </w:r>
            <w:r>
              <w:rPr>
                <w:rFonts w:hint="eastAsia" w:ascii="宋体" w:hAnsi="宋体" w:eastAsia="宋体" w:cs="宋体"/>
                <w:i w:val="0"/>
                <w:color w:val="auto"/>
                <w:sz w:val="21"/>
                <w:szCs w:val="21"/>
                <w:highlight w:val="none"/>
                <w:u w:val="none"/>
                <w:lang w:val="en-US" w:eastAsia="zh-CN"/>
              </w:rPr>
              <w:t>万元</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cs="宋体"/>
                <w:i w:val="0"/>
                <w:color w:val="auto"/>
                <w:sz w:val="21"/>
                <w:szCs w:val="21"/>
                <w:highlight w:val="none"/>
                <w:u w:val="none"/>
                <w:lang w:val="en-US" w:eastAsia="zh-CN"/>
              </w:rPr>
              <w:t>15</w:t>
            </w:r>
            <w:r>
              <w:rPr>
                <w:rFonts w:hint="eastAsia" w:ascii="宋体" w:hAnsi="宋体" w:eastAsia="宋体" w:cs="宋体"/>
                <w:i w:val="0"/>
                <w:color w:val="auto"/>
                <w:sz w:val="21"/>
                <w:szCs w:val="21"/>
                <w:highlight w:val="none"/>
                <w:u w:val="none"/>
                <w:lang w:val="en-US" w:eastAsia="zh-CN"/>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34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效益</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指标</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经济效益指标</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iCs w:val="0"/>
                <w:color w:val="000000"/>
                <w:kern w:val="0"/>
                <w:sz w:val="18"/>
                <w:szCs w:val="18"/>
                <w:u w:val="none"/>
                <w:lang w:val="en-US" w:eastAsia="zh-CN" w:bidi="ar"/>
              </w:rPr>
              <w:t>测定</w:t>
            </w:r>
            <w:r>
              <w:rPr>
                <w:rFonts w:hint="eastAsia" w:ascii="宋体" w:hAnsi="宋体" w:eastAsia="宋体" w:cs="宋体"/>
                <w:i w:val="0"/>
                <w:iCs w:val="0"/>
                <w:color w:val="000000"/>
                <w:kern w:val="0"/>
                <w:sz w:val="18"/>
                <w:szCs w:val="18"/>
                <w:u w:val="none"/>
                <w:lang w:val="en-US" w:eastAsia="zh-CN" w:bidi="ar"/>
              </w:rPr>
              <w:t>企业受益</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rPr>
            </w:pPr>
            <w:r>
              <w:rPr>
                <w:rFonts w:hint="eastAsia" w:ascii="宋体" w:hAnsi="宋体" w:cs="宋体"/>
                <w:i w:val="0"/>
                <w:iCs w:val="0"/>
                <w:color w:val="000000"/>
                <w:kern w:val="0"/>
                <w:sz w:val="18"/>
                <w:szCs w:val="18"/>
                <w:u w:val="none"/>
                <w:lang w:val="en-US" w:eastAsia="zh-CN" w:bidi="ar"/>
              </w:rPr>
              <w:t>15万元</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rPr>
            </w:pPr>
            <w:r>
              <w:rPr>
                <w:rFonts w:hint="eastAsia" w:ascii="宋体" w:hAnsi="宋体" w:cs="宋体"/>
                <w:i w:val="0"/>
                <w:iCs w:val="0"/>
                <w:color w:val="000000"/>
                <w:kern w:val="0"/>
                <w:sz w:val="18"/>
                <w:szCs w:val="18"/>
                <w:u w:val="none"/>
                <w:lang w:val="en-US" w:eastAsia="zh-CN" w:bidi="ar"/>
              </w:rPr>
              <w:t>15万元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134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社会效益指标</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品种影响力提升</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逐步提升</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逐步提升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34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生态效益指标</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生产性能提升</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逐步提升</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逐步提升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134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18"/>
                <w:szCs w:val="18"/>
                <w:highlight w:val="none"/>
                <w:u w:val="none"/>
                <w:lang w:val="en-US" w:eastAsia="zh-CN" w:bidi="ar"/>
              </w:rPr>
              <w:t>可持续影响指</w:t>
            </w:r>
            <w:r>
              <w:rPr>
                <w:rFonts w:hint="eastAsia" w:ascii="宋体" w:hAnsi="宋体" w:eastAsia="宋体" w:cs="宋体"/>
                <w:i w:val="0"/>
                <w:color w:val="auto"/>
                <w:kern w:val="0"/>
                <w:sz w:val="21"/>
                <w:szCs w:val="21"/>
                <w:highlight w:val="none"/>
                <w:u w:val="none"/>
                <w:lang w:val="en-US" w:eastAsia="zh-CN" w:bidi="ar"/>
              </w:rPr>
              <w:t>标</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影响时限</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rPr>
              <w:t>≥</w:t>
            </w:r>
            <w:r>
              <w:rPr>
                <w:rFonts w:hint="eastAsia" w:ascii="宋体" w:hAnsi="宋体" w:cs="宋体"/>
                <w:i w:val="0"/>
                <w:color w:val="auto"/>
                <w:sz w:val="21"/>
                <w:szCs w:val="21"/>
                <w:highlight w:val="none"/>
                <w:u w:val="none"/>
                <w:lang w:val="en-US" w:eastAsia="zh-CN"/>
              </w:rPr>
              <w:t>1</w:t>
            </w:r>
            <w:r>
              <w:rPr>
                <w:rFonts w:hint="eastAsia" w:ascii="宋体" w:hAnsi="宋体" w:eastAsia="宋体" w:cs="宋体"/>
                <w:i w:val="0"/>
                <w:color w:val="auto"/>
                <w:sz w:val="21"/>
                <w:szCs w:val="21"/>
                <w:highlight w:val="none"/>
                <w:u w:val="none"/>
                <w:lang w:val="en-US" w:eastAsia="zh-CN"/>
              </w:rPr>
              <w:t>年</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cs="宋体"/>
                <w:i w:val="0"/>
                <w:color w:val="auto"/>
                <w:sz w:val="21"/>
                <w:szCs w:val="21"/>
                <w:highlight w:val="none"/>
                <w:u w:val="none"/>
                <w:lang w:val="en-US" w:eastAsia="zh-CN"/>
              </w:rPr>
              <w:t>1</w:t>
            </w:r>
            <w:r>
              <w:rPr>
                <w:rFonts w:hint="eastAsia" w:ascii="宋体" w:hAnsi="宋体" w:eastAsia="宋体" w:cs="宋体"/>
                <w:i w:val="0"/>
                <w:color w:val="auto"/>
                <w:sz w:val="21"/>
                <w:szCs w:val="21"/>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34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满意</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度指标</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指标</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rPr>
              <w:t>保种企业满意度</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100%</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宋体" w:hAnsi="宋体" w:eastAsia="宋体" w:cs="宋体"/>
                <w:i w:val="0"/>
                <w:color w:val="auto"/>
                <w:sz w:val="21"/>
                <w:szCs w:val="21"/>
                <w:highlight w:val="none"/>
                <w:u w:val="none"/>
                <w:lang w:val="en-US"/>
              </w:rPr>
            </w:pPr>
            <w:r>
              <w:rPr>
                <w:rFonts w:hint="eastAsia" w:ascii="宋体" w:hAnsi="宋体" w:cs="宋体"/>
                <w:i w:val="0"/>
                <w:color w:val="auto"/>
                <w:sz w:val="21"/>
                <w:szCs w:val="21"/>
                <w:highlight w:val="none"/>
                <w:u w:val="none"/>
                <w:lang w:val="en-US" w:eastAsia="zh-CN"/>
              </w:rPr>
              <w:t>100%</w:t>
            </w:r>
          </w:p>
        </w:tc>
      </w:tr>
    </w:tbl>
    <w:p>
      <w:pPr>
        <w:pStyle w:val="6"/>
        <w:rPr>
          <w:rFonts w:hint="eastAsia"/>
          <w:lang w:val="en-US" w:eastAsia="zh-CN"/>
        </w:rPr>
      </w:pPr>
    </w:p>
    <w:p>
      <w:pPr>
        <w:keepNext w:val="0"/>
        <w:keepLines w:val="0"/>
        <w:pageBreakBefore w:val="0"/>
        <w:widowControl w:val="0"/>
        <w:kinsoku/>
        <w:wordWrap/>
        <w:overflowPunct/>
        <w:topLinePunct w:val="0"/>
        <w:autoSpaceDE w:val="0"/>
        <w:autoSpaceDN/>
        <w:bidi w:val="0"/>
        <w:spacing w:line="560" w:lineRule="exact"/>
        <w:jc w:val="center"/>
        <w:textAlignment w:val="auto"/>
        <w:rPr>
          <w:rFonts w:ascii="方正小标宋简体" w:hAnsi="宋体" w:eastAsia="宋体" w:cs="Times New Roman"/>
          <w:color w:val="000000"/>
          <w:kern w:val="0"/>
          <w:sz w:val="44"/>
          <w:szCs w:val="44"/>
        </w:rPr>
      </w:pPr>
      <w:r>
        <w:rPr>
          <w:rFonts w:hint="eastAsia" w:ascii="方正小标宋简体" w:hAnsi="方正小标宋简体" w:eastAsia="方正小标宋简体" w:cs="方正小标宋简体"/>
          <w:color w:val="000000"/>
          <w:kern w:val="0"/>
          <w:sz w:val="44"/>
          <w:szCs w:val="44"/>
          <w:lang w:val="en-US" w:eastAsia="zh-CN"/>
        </w:rPr>
        <w:t>2</w:t>
      </w:r>
      <w:r>
        <w:rPr>
          <w:rFonts w:hint="eastAsia" w:ascii="方正小标宋简体" w:hAnsi="方正小标宋简体" w:eastAsia="方正小标宋简体" w:cs="方正小标宋简体"/>
          <w:color w:val="000000"/>
          <w:kern w:val="0"/>
          <w:sz w:val="44"/>
          <w:szCs w:val="44"/>
        </w:rPr>
        <w:t>02</w:t>
      </w:r>
      <w:r>
        <w:rPr>
          <w:rFonts w:hint="eastAsia" w:ascii="方正小标宋简体" w:hAnsi="方正小标宋简体" w:eastAsia="方正小标宋简体" w:cs="方正小标宋简体"/>
          <w:color w:val="000000"/>
          <w:kern w:val="0"/>
          <w:sz w:val="44"/>
          <w:szCs w:val="44"/>
          <w:lang w:val="en-US" w:eastAsia="zh-CN"/>
        </w:rPr>
        <w:t>1</w:t>
      </w:r>
      <w:r>
        <w:rPr>
          <w:rFonts w:hint="eastAsia" w:ascii="方正小标宋简体" w:hAnsi="方正小标宋简体" w:eastAsia="方正小标宋简体" w:cs="方正小标宋简体"/>
          <w:color w:val="000000"/>
          <w:kern w:val="0"/>
          <w:sz w:val="44"/>
          <w:szCs w:val="44"/>
        </w:rPr>
        <w:t>年</w:t>
      </w:r>
      <w:r>
        <w:rPr>
          <w:rFonts w:hint="eastAsia" w:ascii="方正小标宋简体" w:hAnsi="方正小标宋简体" w:eastAsia="方正小标宋简体" w:cs="方正小标宋简体"/>
          <w:sz w:val="44"/>
          <w:szCs w:val="44"/>
          <w:lang w:val="en-US" w:eastAsia="zh-CN"/>
        </w:rPr>
        <w:t>省级财政农业公共安全与生态资源保护利用工程</w:t>
      </w:r>
      <w:r>
        <w:rPr>
          <w:rFonts w:hint="eastAsia" w:ascii="方正小标宋简体" w:hAnsi="方正小标宋简体" w:eastAsia="方正小标宋简体" w:cs="方正小标宋简体"/>
          <w:color w:val="000000"/>
          <w:kern w:val="0"/>
          <w:sz w:val="44"/>
          <w:szCs w:val="44"/>
        </w:rPr>
        <w:t>项目支出绩效自评报告</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黑体" w:hAnsi="黑体" w:eastAsia="黑体"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黑体" w:hAnsi="黑体" w:eastAsia="黑体" w:cs="Times New Roman"/>
          <w:w w:val="99"/>
          <w:sz w:val="32"/>
          <w:szCs w:val="32"/>
        </w:rPr>
        <w:t>一、项目概况</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default" w:ascii="仿宋" w:hAnsi="仿宋" w:eastAsia="仿宋" w:cs="仿宋_GB2312"/>
          <w:kern w:val="0"/>
          <w:sz w:val="32"/>
          <w:szCs w:val="32"/>
          <w:lang w:val="en-US"/>
        </w:rPr>
      </w:pPr>
      <w:r>
        <w:rPr>
          <w:rFonts w:hint="eastAsia" w:ascii="楷体_GB2312" w:hAnsi="宋体" w:eastAsia="楷体_GB2312" w:cs="Times New Roman"/>
          <w:b w:val="0"/>
          <w:bCs/>
          <w:w w:val="99"/>
          <w:sz w:val="32"/>
          <w:szCs w:val="32"/>
        </w:rPr>
        <w:t>（一）项目基本情况。</w:t>
      </w:r>
      <w:r>
        <w:rPr>
          <w:rFonts w:hint="eastAsia" w:ascii="仿宋" w:hAnsi="仿宋" w:eastAsia="仿宋"/>
          <w:sz w:val="32"/>
          <w:szCs w:val="32"/>
        </w:rPr>
        <w:t>根据《四川省农业农村厅关于开展县级农产品质量安全风险监测工作的通知》（川农发〔2021〕77号）和《关于下达2021年省级财政农业公共安全与生态资源保护利用工程共同财政事权转移支付资金的通知》（川财农〔2021〕17号）要求</w:t>
      </w:r>
      <w:r>
        <w:rPr>
          <w:rFonts w:hint="eastAsia" w:ascii="仿宋" w:hAnsi="仿宋" w:eastAsia="仿宋"/>
          <w:sz w:val="32"/>
          <w:szCs w:val="32"/>
          <w:lang w:eastAsia="zh-CN"/>
        </w:rPr>
        <w:t>，</w:t>
      </w:r>
      <w:r>
        <w:rPr>
          <w:rFonts w:hint="eastAsia" w:ascii="仿宋" w:hAnsi="仿宋" w:eastAsia="仿宋"/>
          <w:sz w:val="32"/>
          <w:szCs w:val="32"/>
          <w:lang w:val="en-US" w:eastAsia="zh-CN"/>
        </w:rPr>
        <w:t>经研究，决定在我区实施2021年省级财政农业公共安全与生态资源保护利用工程。</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宋体" w:eastAsia="楷体_GB2312" w:cs="Times New Roman"/>
          <w:b w:val="0"/>
          <w:bCs/>
          <w:w w:val="99"/>
          <w:sz w:val="32"/>
          <w:szCs w:val="32"/>
        </w:rPr>
        <w:t>（二）项目绩效目标。</w:t>
      </w:r>
      <w:r>
        <w:rPr>
          <w:rFonts w:hint="eastAsia" w:ascii="仿宋" w:hAnsi="仿宋" w:eastAsia="仿宋"/>
          <w:sz w:val="32"/>
          <w:szCs w:val="32"/>
          <w:lang w:val="en-US" w:eastAsia="zh-CN"/>
        </w:rPr>
        <w:t>2021年省级财政农业公共安全与生态资源保护利用工程项目</w:t>
      </w:r>
      <w:r>
        <w:rPr>
          <w:rFonts w:hint="eastAsia" w:ascii="仿宋" w:hAnsi="仿宋" w:eastAsia="仿宋" w:cs="仿宋_GB2312"/>
          <w:kern w:val="0"/>
          <w:sz w:val="32"/>
          <w:szCs w:val="32"/>
          <w:lang w:val="en-US" w:eastAsia="zh-CN"/>
        </w:rPr>
        <w:t>包括抽检农产品</w:t>
      </w:r>
      <w:r>
        <w:rPr>
          <w:rFonts w:hint="eastAsia" w:ascii="仿宋" w:hAnsi="仿宋" w:eastAsia="仿宋" w:cs="仿宋_GB2312"/>
          <w:kern w:val="0"/>
          <w:sz w:val="32"/>
          <w:szCs w:val="32"/>
        </w:rPr>
        <w:t>75个</w:t>
      </w:r>
      <w:r>
        <w:rPr>
          <w:rFonts w:hint="eastAsia" w:ascii="仿宋" w:hAnsi="仿宋" w:eastAsia="仿宋" w:cs="仿宋_GB2312"/>
          <w:kern w:val="0"/>
          <w:sz w:val="32"/>
          <w:szCs w:val="32"/>
          <w:lang w:eastAsia="zh-CN"/>
        </w:rPr>
        <w:t>、</w:t>
      </w:r>
      <w:r>
        <w:rPr>
          <w:rFonts w:hint="eastAsia" w:ascii="仿宋" w:hAnsi="仿宋" w:eastAsia="仿宋" w:cs="仿宋_GB2312"/>
          <w:kern w:val="0"/>
          <w:sz w:val="32"/>
          <w:szCs w:val="32"/>
          <w:lang w:val="en-US" w:eastAsia="zh-CN"/>
        </w:rPr>
        <w:t>完成3个组农作物新品种实验</w:t>
      </w:r>
      <w:r>
        <w:rPr>
          <w:rFonts w:hint="eastAsia" w:ascii="仿宋" w:hAnsi="仿宋" w:eastAsia="仿宋" w:cs="仿宋_GB2312"/>
          <w:kern w:val="0"/>
          <w:sz w:val="32"/>
          <w:szCs w:val="32"/>
        </w:rPr>
        <w:t>。</w:t>
      </w:r>
      <w:r>
        <w:rPr>
          <w:rFonts w:hint="eastAsia" w:ascii="仿宋" w:hAnsi="仿宋" w:eastAsia="仿宋" w:cs="仿宋_GB2312"/>
          <w:kern w:val="0"/>
          <w:sz w:val="32"/>
          <w:szCs w:val="32"/>
          <w:lang w:val="en-US" w:eastAsia="zh-CN"/>
        </w:rPr>
        <w:t>此次项目</w:t>
      </w:r>
      <w:r>
        <w:rPr>
          <w:rFonts w:hint="eastAsia" w:ascii="仿宋" w:hAnsi="仿宋" w:eastAsia="仿宋" w:cs="仿宋_GB2312"/>
          <w:kern w:val="0"/>
          <w:sz w:val="32"/>
          <w:szCs w:val="32"/>
        </w:rPr>
        <w:t>采取交叉抽检形式，其中我局承担青川县粮食作物、蔬菜、水果以及食用菌四类共60个质量安全风险监测任务，剩余数量15个由我区自行安排本辖区进行抽检。</w:t>
      </w:r>
      <w:r>
        <w:rPr>
          <w:rFonts w:hint="eastAsia" w:ascii="仿宋_GB2312" w:hAnsi="仿宋_GB2312" w:eastAsia="仿宋_GB2312" w:cs="仿宋_GB2312"/>
          <w:kern w:val="2"/>
          <w:sz w:val="32"/>
          <w:szCs w:val="32"/>
          <w:lang w:val="en-US" w:eastAsia="zh-CN" w:bidi="ar-SA"/>
        </w:rPr>
        <w:t>通过该项目的实施，不断强化农产品质量安全监测，大幅度提高农产品的合格率和优等品率，增强我区农产品在国内外市场的竞争力。</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2" w:firstLineChars="200"/>
        <w:textAlignment w:val="auto"/>
        <w:rPr>
          <w:rFonts w:hint="eastAsia" w:ascii="黑体" w:hAnsi="黑体" w:eastAsia="黑体" w:cs="Times New Roman"/>
          <w:w w:val="99"/>
          <w:sz w:val="32"/>
          <w:szCs w:val="32"/>
        </w:rPr>
      </w:pPr>
      <w:r>
        <w:rPr>
          <w:rFonts w:hint="eastAsia" w:ascii="黑体" w:hAnsi="黑体" w:eastAsia="黑体" w:cs="Times New Roman"/>
          <w:w w:val="99"/>
          <w:sz w:val="32"/>
          <w:szCs w:val="32"/>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2" w:firstLineChars="200"/>
        <w:textAlignment w:val="auto"/>
        <w:rPr>
          <w:rFonts w:hint="eastAsia" w:ascii="仿宋_GB2312" w:hAnsi="Times New Roman" w:eastAsia="仿宋_GB2312" w:cs="Times New Roman"/>
          <w:spacing w:val="-6"/>
          <w:sz w:val="32"/>
          <w:szCs w:val="32"/>
          <w:lang w:eastAsia="zh-CN"/>
        </w:rPr>
      </w:pPr>
      <w:r>
        <w:rPr>
          <w:rFonts w:hint="eastAsia" w:ascii="楷体_GB2312" w:hAnsi="宋体" w:eastAsia="楷体_GB2312" w:cs="Times New Roman"/>
          <w:b w:val="0"/>
          <w:bCs/>
          <w:w w:val="99"/>
          <w:sz w:val="32"/>
          <w:szCs w:val="32"/>
        </w:rPr>
        <w:t>（一）项目资金申报及批复情况</w:t>
      </w:r>
      <w:r>
        <w:rPr>
          <w:rFonts w:hint="eastAsia" w:ascii="楷体_GB2312" w:hAnsi="宋体" w:eastAsia="楷体_GB2312" w:cs="Times New Roman"/>
          <w:b w:val="0"/>
          <w:bCs/>
          <w:w w:val="99"/>
          <w:sz w:val="32"/>
          <w:szCs w:val="32"/>
          <w:lang w:eastAsia="zh-CN"/>
        </w:rPr>
        <w:t>。</w:t>
      </w:r>
      <w:r>
        <w:rPr>
          <w:rFonts w:hint="eastAsia" w:ascii="仿宋_GB2312" w:hAnsi="Times New Roman" w:eastAsia="仿宋_GB2312" w:cs="Times New Roman"/>
          <w:spacing w:val="-6"/>
          <w:sz w:val="32"/>
          <w:szCs w:val="32"/>
          <w:lang w:eastAsia="zh-CN"/>
        </w:rPr>
        <w:t>按照国家和省、市要求对</w:t>
      </w:r>
      <w:r>
        <w:rPr>
          <w:rFonts w:hint="eastAsia" w:ascii="仿宋_GB2312" w:hAnsi="Times New Roman" w:eastAsia="仿宋_GB2312" w:cs="Times New Roman"/>
          <w:spacing w:val="-6"/>
          <w:sz w:val="32"/>
          <w:szCs w:val="32"/>
        </w:rPr>
        <w:t>项目资金</w:t>
      </w:r>
      <w:r>
        <w:rPr>
          <w:rFonts w:hint="eastAsia" w:ascii="仿宋_GB2312" w:hAnsi="Times New Roman" w:eastAsia="仿宋_GB2312" w:cs="Times New Roman"/>
          <w:spacing w:val="-6"/>
          <w:sz w:val="32"/>
          <w:szCs w:val="32"/>
          <w:lang w:val="en-US" w:eastAsia="zh-CN"/>
        </w:rPr>
        <w:t>进行</w:t>
      </w:r>
      <w:r>
        <w:rPr>
          <w:rFonts w:hint="eastAsia" w:ascii="仿宋_GB2312" w:hAnsi="Times New Roman" w:eastAsia="仿宋_GB2312" w:cs="Times New Roman"/>
          <w:spacing w:val="-6"/>
          <w:sz w:val="32"/>
          <w:szCs w:val="32"/>
        </w:rPr>
        <w:t>申报</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lang w:val="en-US" w:eastAsia="zh-CN"/>
        </w:rPr>
        <w:t>符合</w:t>
      </w:r>
      <w:r>
        <w:rPr>
          <w:rFonts w:hint="eastAsia" w:ascii="仿宋_GB2312" w:hAnsi="Times New Roman" w:eastAsia="仿宋_GB2312" w:cs="Times New Roman"/>
          <w:spacing w:val="-6"/>
          <w:sz w:val="32"/>
          <w:szCs w:val="32"/>
        </w:rPr>
        <w:t>资金管理办法等相关规定</w:t>
      </w:r>
      <w:r>
        <w:rPr>
          <w:rFonts w:hint="eastAsia" w:ascii="仿宋_GB2312" w:hAnsi="Times New Roman" w:eastAsia="仿宋_GB2312" w:cs="Times New Roman"/>
          <w:spacing w:val="-6"/>
          <w:sz w:val="32"/>
          <w:szCs w:val="32"/>
          <w:lang w:eastAsia="zh-CN"/>
        </w:rPr>
        <w:t>。</w:t>
      </w:r>
      <w:r>
        <w:rPr>
          <w:rFonts w:hint="eastAsia" w:ascii="仿宋" w:hAnsi="仿宋" w:eastAsia="仿宋"/>
          <w:sz w:val="32"/>
          <w:szCs w:val="32"/>
          <w:lang w:val="en-US" w:eastAsia="zh-CN"/>
        </w:rPr>
        <w:t>省级财政专项预算10.5万元。</w:t>
      </w:r>
      <w:r>
        <w:rPr>
          <w:rFonts w:hint="eastAsia" w:ascii="仿宋_GB2312" w:hAnsi="仿宋_GB2312" w:eastAsia="仿宋_GB2312" w:cs="仿宋_GB2312"/>
          <w:spacing w:val="-6"/>
          <w:sz w:val="32"/>
          <w:szCs w:val="32"/>
          <w:lang w:val="en-US" w:eastAsia="zh-CN"/>
        </w:rPr>
        <w:t>主要用于：一是</w:t>
      </w:r>
      <w:r>
        <w:rPr>
          <w:rFonts w:hint="eastAsia" w:ascii="仿宋_GB2312" w:hAnsi="仿宋_GB2312" w:eastAsia="仿宋_GB2312" w:cs="仿宋_GB2312"/>
          <w:sz w:val="32"/>
          <w:szCs w:val="32"/>
        </w:rPr>
        <w:t>专用耗材费（包括试剂、药品等）</w:t>
      </w:r>
      <w:r>
        <w:rPr>
          <w:rFonts w:hint="eastAsia" w:ascii="仿宋_GB2312" w:hAnsi="仿宋_GB2312" w:eastAsia="仿宋_GB2312" w:cs="仿宋_GB2312"/>
          <w:sz w:val="32"/>
          <w:szCs w:val="32"/>
          <w:lang w:val="en-US" w:eastAsia="zh-CN"/>
        </w:rPr>
        <w:t>7.6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rPr>
        <w:t>维修（护）费（含检定校准费）</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三是</w:t>
      </w:r>
      <w:r>
        <w:rPr>
          <w:rFonts w:hint="eastAsia" w:ascii="仿宋_GB2312" w:hAnsi="仿宋_GB2312" w:eastAsia="仿宋_GB2312" w:cs="仿宋_GB2312"/>
          <w:sz w:val="32"/>
          <w:szCs w:val="32"/>
        </w:rPr>
        <w:t>劳务费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含</w:t>
      </w:r>
      <w:r>
        <w:rPr>
          <w:rFonts w:hint="eastAsia" w:ascii="仿宋_GB2312" w:hAnsi="仿宋_GB2312" w:eastAsia="仿宋_GB2312" w:cs="仿宋_GB2312"/>
          <w:sz w:val="32"/>
          <w:szCs w:val="32"/>
        </w:rPr>
        <w:t>采样费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清冼器皿人工补助</w:t>
      </w:r>
      <w:r>
        <w:rPr>
          <w:rFonts w:hint="eastAsia" w:ascii="仿宋_GB2312" w:hAnsi="仿宋_GB2312" w:eastAsia="仿宋_GB2312" w:cs="仿宋_GB2312"/>
          <w:sz w:val="32"/>
          <w:szCs w:val="32"/>
          <w:lang w:eastAsia="zh-CN"/>
        </w:rPr>
        <w:t>、</w:t>
      </w:r>
      <w:r>
        <w:rPr>
          <w:rFonts w:hint="eastAsia" w:ascii="仿宋" w:hAnsi="仿宋" w:eastAsia="仿宋" w:cs="仿宋_GB2312"/>
          <w:kern w:val="0"/>
          <w:sz w:val="32"/>
          <w:szCs w:val="32"/>
          <w:lang w:val="en-US" w:eastAsia="zh-CN"/>
        </w:rPr>
        <w:t>农作物新品种实验人工费</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四是</w:t>
      </w:r>
      <w:r>
        <w:rPr>
          <w:rFonts w:hint="eastAsia" w:ascii="仿宋_GB2312" w:hAnsi="仿宋_GB2312" w:eastAsia="仿宋_GB2312" w:cs="仿宋_GB2312"/>
          <w:sz w:val="32"/>
          <w:szCs w:val="32"/>
        </w:rPr>
        <w:t>培训</w:t>
      </w:r>
      <w:r>
        <w:rPr>
          <w:rFonts w:hint="eastAsia" w:ascii="仿宋_GB2312" w:hAnsi="仿宋_GB2312" w:eastAsia="仿宋_GB2312" w:cs="仿宋_GB2312"/>
          <w:sz w:val="32"/>
          <w:szCs w:val="32"/>
          <w:lang w:eastAsia="zh-CN"/>
        </w:rPr>
        <w:t>费（</w:t>
      </w:r>
      <w:r>
        <w:rPr>
          <w:rFonts w:hint="eastAsia" w:ascii="仿宋_GB2312" w:hAnsi="仿宋_GB2312" w:eastAsia="仿宋_GB2312" w:cs="仿宋_GB2312"/>
          <w:sz w:val="32"/>
          <w:szCs w:val="32"/>
          <w:lang w:val="en-US" w:eastAsia="zh-CN"/>
        </w:rPr>
        <w:t>含</w:t>
      </w:r>
      <w:r>
        <w:rPr>
          <w:rFonts w:hint="eastAsia" w:ascii="仿宋_GB2312" w:hAnsi="仿宋_GB2312" w:eastAsia="仿宋_GB2312" w:cs="仿宋_GB2312"/>
          <w:sz w:val="32"/>
          <w:szCs w:val="32"/>
          <w:lang w:eastAsia="zh-CN"/>
        </w:rPr>
        <w:t>检验人员培训费、学习交流费用</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lang w:eastAsia="zh-CN"/>
        </w:rPr>
        <w:t>万元。</w:t>
      </w:r>
    </w:p>
    <w:p>
      <w:pPr>
        <w:pStyle w:val="14"/>
        <w:keepNext w:val="0"/>
        <w:keepLines w:val="0"/>
        <w:pageBreakBefore w:val="0"/>
        <w:widowControl w:val="0"/>
        <w:numPr>
          <w:ilvl w:val="0"/>
          <w:numId w:val="0"/>
        </w:numPr>
        <w:kinsoku/>
        <w:wordWrap/>
        <w:overflowPunct/>
        <w:topLinePunct w:val="0"/>
        <w:autoSpaceDN/>
        <w:bidi w:val="0"/>
        <w:spacing w:line="560" w:lineRule="exact"/>
        <w:ind w:firstLine="632" w:firstLineChars="200"/>
        <w:textAlignment w:val="auto"/>
        <w:rPr>
          <w:rFonts w:hint="eastAsia" w:ascii="楷体_GB2312" w:hAnsi="宋体" w:eastAsia="楷体_GB2312" w:cs="Times New Roman"/>
          <w:b w:val="0"/>
          <w:bCs/>
          <w:w w:val="99"/>
          <w:sz w:val="32"/>
          <w:szCs w:val="32"/>
          <w:lang w:eastAsia="zh-CN"/>
        </w:rPr>
      </w:pPr>
      <w:r>
        <w:rPr>
          <w:rFonts w:hint="eastAsia" w:ascii="楷体_GB2312" w:hAnsi="宋体" w:eastAsia="楷体_GB2312" w:cs="Times New Roman"/>
          <w:b w:val="0"/>
          <w:bCs/>
          <w:w w:val="99"/>
          <w:sz w:val="32"/>
          <w:szCs w:val="32"/>
          <w:lang w:eastAsia="zh-CN"/>
        </w:rPr>
        <w:t>（</w:t>
      </w:r>
      <w:r>
        <w:rPr>
          <w:rFonts w:hint="eastAsia" w:ascii="楷体_GB2312" w:hAnsi="宋体" w:eastAsia="楷体_GB2312" w:cs="Times New Roman"/>
          <w:b w:val="0"/>
          <w:bCs/>
          <w:w w:val="99"/>
          <w:sz w:val="32"/>
          <w:szCs w:val="32"/>
          <w:lang w:val="en-US" w:eastAsia="zh-CN"/>
        </w:rPr>
        <w:t>二</w:t>
      </w:r>
      <w:r>
        <w:rPr>
          <w:rFonts w:hint="eastAsia" w:ascii="楷体_GB2312" w:hAnsi="宋体" w:eastAsia="楷体_GB2312" w:cs="Times New Roman"/>
          <w:b w:val="0"/>
          <w:bCs/>
          <w:w w:val="99"/>
          <w:sz w:val="32"/>
          <w:szCs w:val="32"/>
          <w:lang w:eastAsia="zh-CN"/>
        </w:rPr>
        <w:t>）</w:t>
      </w:r>
      <w:r>
        <w:rPr>
          <w:rFonts w:hint="eastAsia" w:ascii="楷体_GB2312" w:hAnsi="宋体" w:eastAsia="楷体_GB2312" w:cs="Times New Roman"/>
          <w:b w:val="0"/>
          <w:bCs/>
          <w:w w:val="99"/>
          <w:sz w:val="32"/>
          <w:szCs w:val="32"/>
        </w:rPr>
        <w:t>资金计划、到位及使用情况</w:t>
      </w:r>
      <w:r>
        <w:rPr>
          <w:rFonts w:hint="eastAsia" w:ascii="楷体_GB2312" w:hAnsi="宋体" w:eastAsia="楷体_GB2312" w:cs="Times New Roman"/>
          <w:b w:val="0"/>
          <w:bCs/>
          <w:w w:val="99"/>
          <w:sz w:val="32"/>
          <w:szCs w:val="32"/>
          <w:lang w:eastAsia="zh-CN"/>
        </w:rPr>
        <w:t>。</w:t>
      </w:r>
    </w:p>
    <w:p>
      <w:pPr>
        <w:pStyle w:val="14"/>
        <w:keepNext w:val="0"/>
        <w:keepLines w:val="0"/>
        <w:pageBreakBefore w:val="0"/>
        <w:widowControl w:val="0"/>
        <w:numPr>
          <w:ilvl w:val="0"/>
          <w:numId w:val="0"/>
        </w:numPr>
        <w:kinsoku/>
        <w:wordWrap/>
        <w:overflowPunct/>
        <w:topLinePunct w:val="0"/>
        <w:autoSpaceDN/>
        <w:bidi w:val="0"/>
        <w:spacing w:line="560" w:lineRule="exact"/>
        <w:ind w:firstLine="616" w:firstLineChars="200"/>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lang w:val="en-US" w:eastAsia="zh-CN"/>
        </w:rPr>
        <w:t>1、</w:t>
      </w:r>
      <w:r>
        <w:rPr>
          <w:rFonts w:hint="eastAsia" w:ascii="仿宋_GB2312" w:hAnsi="Times New Roman" w:eastAsia="仿宋_GB2312" w:cs="Times New Roman"/>
          <w:spacing w:val="-6"/>
          <w:sz w:val="32"/>
          <w:szCs w:val="32"/>
        </w:rPr>
        <w:t>资金计划及到位。</w:t>
      </w:r>
      <w:r>
        <w:rPr>
          <w:rFonts w:hint="eastAsia" w:ascii="仿宋_GB2312" w:hAnsi="Times New Roman" w:eastAsia="仿宋_GB2312" w:cs="Times New Roman"/>
          <w:spacing w:val="-6"/>
          <w:sz w:val="32"/>
          <w:szCs w:val="32"/>
          <w:lang w:val="en-US" w:eastAsia="zh-CN"/>
        </w:rPr>
        <w:t>该资金</w:t>
      </w:r>
      <w:r>
        <w:rPr>
          <w:rFonts w:hint="eastAsia" w:ascii="仿宋_GB2312" w:hAnsi="Times New Roman" w:eastAsia="仿宋_GB2312" w:cs="Times New Roman"/>
          <w:spacing w:val="-6"/>
          <w:sz w:val="32"/>
          <w:szCs w:val="32"/>
        </w:rPr>
        <w:t>截止</w:t>
      </w:r>
      <w:r>
        <w:rPr>
          <w:rFonts w:hint="eastAsia" w:ascii="仿宋_GB2312" w:hAnsi="Times New Roman" w:eastAsia="仿宋_GB2312" w:cs="Times New Roman"/>
          <w:spacing w:val="-6"/>
          <w:sz w:val="32"/>
          <w:szCs w:val="32"/>
          <w:lang w:val="en-US" w:eastAsia="zh-CN"/>
        </w:rPr>
        <w:t>2021年12月底已</w:t>
      </w:r>
      <w:r>
        <w:rPr>
          <w:rFonts w:hint="eastAsia" w:ascii="仿宋_GB2312" w:hAnsi="Times New Roman" w:eastAsia="仿宋_GB2312" w:cs="Times New Roman"/>
          <w:spacing w:val="-6"/>
          <w:sz w:val="32"/>
          <w:szCs w:val="32"/>
          <w:lang w:eastAsia="zh-CN"/>
        </w:rPr>
        <w:t>全部到位，共计</w:t>
      </w:r>
      <w:r>
        <w:rPr>
          <w:rFonts w:hint="eastAsia" w:ascii="仿宋_GB2312" w:hAnsi="Times New Roman" w:eastAsia="仿宋_GB2312" w:cs="Times New Roman"/>
          <w:spacing w:val="-6"/>
          <w:sz w:val="32"/>
          <w:szCs w:val="32"/>
          <w:lang w:val="en-US" w:eastAsia="zh-CN"/>
        </w:rPr>
        <w:t>10.5万元</w:t>
      </w:r>
      <w:r>
        <w:rPr>
          <w:rFonts w:hint="eastAsia" w:ascii="仿宋_GB2312" w:hAnsi="Times New Roman" w:eastAsia="仿宋_GB2312" w:cs="Times New Roman"/>
          <w:spacing w:val="-6"/>
          <w:sz w:val="32"/>
          <w:szCs w:val="32"/>
        </w:rPr>
        <w:t>。资金到位率</w:t>
      </w:r>
      <w:r>
        <w:rPr>
          <w:rFonts w:hint="eastAsia" w:ascii="仿宋_GB2312" w:hAnsi="Times New Roman" w:eastAsia="仿宋_GB2312" w:cs="Times New Roman"/>
          <w:spacing w:val="-6"/>
          <w:sz w:val="32"/>
          <w:szCs w:val="32"/>
          <w:lang w:val="en-US" w:eastAsia="zh-CN"/>
        </w:rPr>
        <w:t>100%</w:t>
      </w:r>
      <w:r>
        <w:rPr>
          <w:rFonts w:hint="eastAsia" w:ascii="仿宋_GB2312" w:hAnsi="Times New Roman" w:eastAsia="仿宋_GB2312" w:cs="Times New Roman"/>
          <w:spacing w:val="-6"/>
          <w:sz w:val="32"/>
          <w:szCs w:val="32"/>
        </w:rPr>
        <w:t>、到位及时性</w:t>
      </w:r>
      <w:r>
        <w:rPr>
          <w:rFonts w:hint="eastAsia" w:ascii="仿宋_GB2312" w:hAnsi="Times New Roman" w:eastAsia="仿宋_GB2312" w:cs="Times New Roman"/>
          <w:spacing w:val="-6"/>
          <w:sz w:val="32"/>
          <w:szCs w:val="32"/>
          <w:lang w:val="en-US" w:eastAsia="zh-CN"/>
        </w:rPr>
        <w:t>100%</w:t>
      </w:r>
      <w:r>
        <w:rPr>
          <w:rFonts w:hint="eastAsia" w:ascii="仿宋_GB2312" w:hAnsi="Times New Roman" w:eastAsia="仿宋_GB2312" w:cs="Times New Roman"/>
          <w:spacing w:val="-6"/>
          <w:sz w:val="32"/>
          <w:szCs w:val="32"/>
        </w:rPr>
        <w:t>。</w:t>
      </w:r>
    </w:p>
    <w:p>
      <w:pPr>
        <w:pStyle w:val="14"/>
        <w:keepNext w:val="0"/>
        <w:keepLines w:val="0"/>
        <w:pageBreakBefore w:val="0"/>
        <w:widowControl w:val="0"/>
        <w:numPr>
          <w:ilvl w:val="0"/>
          <w:numId w:val="0"/>
        </w:numPr>
        <w:kinsoku/>
        <w:wordWrap/>
        <w:overflowPunct/>
        <w:topLinePunct w:val="0"/>
        <w:autoSpaceDN/>
        <w:bidi w:val="0"/>
        <w:spacing w:line="560" w:lineRule="exact"/>
        <w:ind w:firstLine="616"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Times New Roman" w:eastAsia="仿宋_GB2312" w:cs="Times New Roman"/>
          <w:spacing w:val="-6"/>
          <w:sz w:val="32"/>
          <w:szCs w:val="32"/>
          <w:lang w:val="en-US" w:eastAsia="zh-CN"/>
        </w:rPr>
        <w:t>2、资金使用。该</w:t>
      </w:r>
      <w:r>
        <w:rPr>
          <w:rFonts w:hint="eastAsia" w:ascii="仿宋_GB2312" w:hAnsi="Times New Roman" w:eastAsia="仿宋_GB2312" w:cs="Times New Roman"/>
          <w:spacing w:val="-6"/>
          <w:sz w:val="32"/>
          <w:szCs w:val="32"/>
        </w:rPr>
        <w:t>项目资金实际支出</w:t>
      </w:r>
      <w:r>
        <w:rPr>
          <w:rFonts w:hint="eastAsia" w:ascii="仿宋_GB2312" w:hAnsi="Times New Roman" w:eastAsia="仿宋_GB2312" w:cs="Times New Roman"/>
          <w:spacing w:val="-6"/>
          <w:sz w:val="32"/>
          <w:szCs w:val="32"/>
          <w:lang w:val="en-US" w:eastAsia="zh-CN"/>
        </w:rPr>
        <w:t>10.5万元</w:t>
      </w:r>
      <w:r>
        <w:rPr>
          <w:rFonts w:hint="eastAsia" w:ascii="仿宋_GB2312" w:hAnsi="Times New Roman" w:eastAsia="仿宋_GB2312" w:cs="Times New Roman"/>
          <w:spacing w:val="-6"/>
          <w:sz w:val="32"/>
          <w:szCs w:val="32"/>
        </w:rPr>
        <w:t>，资金开支范围、标准及支付进度</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rPr>
        <w:t>支付依据合规合法，资金支付与预算相符</w:t>
      </w:r>
      <w:r>
        <w:rPr>
          <w:rFonts w:hint="eastAsia" w:ascii="仿宋_GB2312" w:hAnsi="Times New Roman" w:eastAsia="仿宋_GB2312" w:cs="Times New Roman"/>
          <w:spacing w:val="-6"/>
          <w:sz w:val="32"/>
          <w:szCs w:val="32"/>
          <w:lang w:eastAsia="zh-CN"/>
        </w:rPr>
        <w:t>，</w:t>
      </w:r>
      <w:r>
        <w:rPr>
          <w:rFonts w:hint="eastAsia" w:ascii="仿宋_GB2312" w:hAnsi="仿宋_GB2312" w:eastAsia="仿宋_GB2312" w:cs="仿宋_GB2312"/>
          <w:kern w:val="0"/>
          <w:sz w:val="32"/>
          <w:szCs w:val="32"/>
          <w:lang w:val="en-US" w:eastAsia="zh-CN"/>
        </w:rPr>
        <w:t>专款专用，全部执行到位。</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rPr>
      </w:pPr>
      <w:r>
        <w:rPr>
          <w:rFonts w:hint="eastAsia" w:ascii="楷体_GB2312" w:hAnsi="宋体" w:eastAsia="楷体_GB2312" w:cs="Times New Roman"/>
          <w:b w:val="0"/>
          <w:bCs/>
          <w:w w:val="99"/>
          <w:sz w:val="32"/>
          <w:szCs w:val="32"/>
        </w:rPr>
        <w:t>（三）项目财务管理情况。</w:t>
      </w:r>
      <w:r>
        <w:rPr>
          <w:rFonts w:hint="eastAsia" w:ascii="仿宋_GB2312" w:hAnsi="仿宋_GB2312" w:eastAsia="仿宋_GB2312" w:cs="仿宋_GB2312"/>
          <w:sz w:val="32"/>
          <w:szCs w:val="32"/>
          <w:highlight w:val="none"/>
          <w:lang w:val="en-US" w:eastAsia="zh-CN"/>
        </w:rPr>
        <w:t>我局</w:t>
      </w:r>
      <w:r>
        <w:rPr>
          <w:rFonts w:hint="eastAsia" w:ascii="仿宋_GB2312" w:hAnsi="仿宋_GB2312" w:eastAsia="仿宋_GB2312" w:cs="仿宋_GB2312"/>
          <w:sz w:val="32"/>
          <w:szCs w:val="32"/>
          <w:highlight w:val="none"/>
          <w:lang w:val="zh-CN"/>
        </w:rPr>
        <w:t>财务管理制度健全，</w:t>
      </w:r>
      <w:r>
        <w:rPr>
          <w:rFonts w:hint="eastAsia" w:ascii="仿宋_GB2312" w:hAnsi="仿宋_GB2312" w:eastAsia="仿宋_GB2312" w:cs="仿宋_GB2312"/>
          <w:sz w:val="32"/>
          <w:szCs w:val="32"/>
          <w:highlight w:val="none"/>
          <w:lang w:val="en-US" w:eastAsia="zh-CN"/>
        </w:rPr>
        <w:t>有严格的</w:t>
      </w:r>
      <w:r>
        <w:rPr>
          <w:rFonts w:hint="eastAsia" w:ascii="仿宋_GB2312" w:hAnsi="仿宋_GB2312" w:eastAsia="仿宋_GB2312" w:cs="仿宋_GB2312"/>
          <w:sz w:val="32"/>
          <w:szCs w:val="32"/>
          <w:highlight w:val="none"/>
          <w:lang w:val="zh-CN"/>
        </w:rPr>
        <w:t xml:space="preserve">财务管理制度，账务处理及时，会计核算规范。  </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2" w:firstLineChars="200"/>
        <w:textAlignment w:val="auto"/>
        <w:rPr>
          <w:rFonts w:ascii="黑体" w:hAnsi="宋体" w:eastAsia="黑体" w:cs="Times New Roman"/>
          <w:w w:val="99"/>
          <w:sz w:val="32"/>
          <w:szCs w:val="32"/>
        </w:rPr>
      </w:pPr>
      <w:r>
        <w:rPr>
          <w:rFonts w:hint="eastAsia" w:ascii="黑体" w:hAnsi="黑体" w:eastAsia="黑体" w:cs="Times New Roman"/>
          <w:w w:val="99"/>
          <w:sz w:val="32"/>
          <w:szCs w:val="32"/>
        </w:rPr>
        <w:t>三、项目实施及管理情况</w:t>
      </w:r>
    </w:p>
    <w:p>
      <w:pPr>
        <w:keepNext w:val="0"/>
        <w:keepLines w:val="0"/>
        <w:pageBreakBefore w:val="0"/>
        <w:widowControl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（一）强化组织领导。</w:t>
      </w:r>
      <w:r>
        <w:rPr>
          <w:rFonts w:hint="eastAsia" w:ascii="仿宋_GB2312" w:hAnsi="仿宋_GB2312" w:eastAsia="仿宋_GB2312" w:cs="仿宋_GB2312"/>
          <w:sz w:val="32"/>
          <w:szCs w:val="32"/>
        </w:rPr>
        <w:t>成立由区农业农村局局长任组长，分管负责同志任副组长，局农产品质量安全与品牌培育股、计划投资项目股和区农产品质量安全检验检测中心负责人为成员的领导小组，领导小组办公室设在区农产品质量安全检验检测中心，由中心负责人兼任办公室主任，并落实专人负责日常工作。</w:t>
      </w:r>
    </w:p>
    <w:p>
      <w:pPr>
        <w:keepNext w:val="0"/>
        <w:keepLines w:val="0"/>
        <w:pageBreakBefore w:val="0"/>
        <w:widowControl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（二）稳定专业队伍。</w:t>
      </w:r>
      <w:r>
        <w:rPr>
          <w:rFonts w:hint="eastAsia" w:ascii="仿宋_GB2312" w:hAnsi="仿宋_GB2312" w:eastAsia="仿宋_GB2312" w:cs="仿宋_GB2312"/>
          <w:sz w:val="32"/>
          <w:szCs w:val="32"/>
        </w:rPr>
        <w:t>领导小组办公室下设4个工作组：一是外业组，主要负责样品采集；二是化验组，主要负责承担制样与样品的检验分析；三是资料组，主要负责各种资料和数据的收集、整理、完善及上报；四是督导组，主要负责督促检查项目建设进度和完成质量。</w:t>
      </w:r>
    </w:p>
    <w:p>
      <w:pPr>
        <w:keepNext w:val="0"/>
        <w:keepLines w:val="0"/>
        <w:pageBreakBefore w:val="0"/>
        <w:widowControl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（三）严格资金管理。</w:t>
      </w:r>
      <w:r>
        <w:rPr>
          <w:rFonts w:hint="eastAsia" w:ascii="仿宋_GB2312" w:hAnsi="仿宋_GB2312" w:eastAsia="仿宋_GB2312" w:cs="仿宋_GB2312"/>
          <w:sz w:val="32"/>
          <w:szCs w:val="32"/>
        </w:rPr>
        <w:t>加强资金管理，不随意变更资金用途，确保资金及时到位、专款专用，高质高效完成任务，任何单位和个人不得套取、挤占、挪用项目资金。</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rPr>
        <w:t>四、项目绩效情况</w:t>
      </w:r>
      <w:r>
        <w:rPr>
          <w:rFonts w:hint="eastAsia" w:ascii="仿宋_GB2312" w:hAnsi="宋体" w:eastAsia="仿宋_GB2312" w:cs="Times New Roman"/>
          <w:w w:val="99"/>
          <w:sz w:val="32"/>
          <w:szCs w:val="32"/>
        </w:rPr>
        <w:tab/>
      </w:r>
    </w:p>
    <w:p>
      <w:pPr>
        <w:pStyle w:val="14"/>
        <w:keepNext w:val="0"/>
        <w:keepLines w:val="0"/>
        <w:pageBreakBefore w:val="0"/>
        <w:widowControl w:val="0"/>
        <w:kinsoku/>
        <w:wordWrap/>
        <w:overflowPunct/>
        <w:topLinePunct w:val="0"/>
        <w:autoSpaceDN/>
        <w:bidi w:val="0"/>
        <w:spacing w:line="560" w:lineRule="exact"/>
        <w:ind w:left="0" w:leftChars="0" w:firstLine="632" w:firstLineChars="200"/>
        <w:textAlignment w:val="auto"/>
        <w:rPr>
          <w:rFonts w:hint="eastAsia" w:ascii="楷体_GB2312" w:hAnsi="宋体" w:eastAsia="楷体_GB2312" w:cs="Times New Roman"/>
          <w:b w:val="0"/>
          <w:bCs/>
          <w:color w:val="auto"/>
          <w:w w:val="99"/>
          <w:sz w:val="32"/>
          <w:szCs w:val="32"/>
        </w:rPr>
      </w:pPr>
      <w:r>
        <w:rPr>
          <w:rFonts w:hint="eastAsia" w:ascii="楷体_GB2312" w:hAnsi="宋体" w:eastAsia="楷体_GB2312" w:cs="Times New Roman"/>
          <w:b w:val="0"/>
          <w:bCs/>
          <w:color w:val="auto"/>
          <w:w w:val="99"/>
          <w:sz w:val="32"/>
          <w:szCs w:val="32"/>
        </w:rPr>
        <w:t>（一）项目完成情况</w:t>
      </w:r>
    </w:p>
    <w:p>
      <w:pPr>
        <w:pStyle w:val="14"/>
        <w:keepNext w:val="0"/>
        <w:keepLines w:val="0"/>
        <w:pageBreakBefore w:val="0"/>
        <w:widowControl w:val="0"/>
        <w:kinsoku/>
        <w:wordWrap/>
        <w:overflowPunct/>
        <w:topLinePunct w:val="0"/>
        <w:autoSpaceDN/>
        <w:bidi w:val="0"/>
        <w:spacing w:line="560" w:lineRule="exact"/>
        <w:ind w:left="0" w:leftChars="0"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lang w:eastAsia="zh-CN"/>
        </w:rPr>
        <w:t>截止</w:t>
      </w:r>
      <w:r>
        <w:rPr>
          <w:rFonts w:hint="eastAsia" w:ascii="仿宋_GB2312" w:hAnsi="仿宋_GB2312" w:eastAsia="仿宋_GB2312" w:cs="仿宋_GB2312"/>
          <w:sz w:val="32"/>
          <w:szCs w:val="32"/>
          <w:lang w:val="en-US" w:eastAsia="zh-CN"/>
        </w:rPr>
        <w:t>2021年11月，</w:t>
      </w:r>
      <w:r>
        <w:rPr>
          <w:rFonts w:hint="eastAsia" w:ascii="仿宋_GB2312" w:hAnsi="仿宋_GB2312" w:eastAsia="仿宋_GB2312" w:cs="仿宋_GB2312"/>
          <w:sz w:val="32"/>
          <w:szCs w:val="32"/>
        </w:rPr>
        <w:t>完成监测任务</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个，其中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蔬菜</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个、食用菌1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个、水果</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个、粮食作物</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个、畜禽产品</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截止</w:t>
      </w:r>
      <w:r>
        <w:rPr>
          <w:rFonts w:hint="eastAsia" w:ascii="仿宋_GB2312" w:hAnsi="仿宋_GB2312" w:eastAsia="仿宋_GB2312" w:cs="仿宋_GB2312"/>
          <w:sz w:val="32"/>
          <w:szCs w:val="32"/>
          <w:lang w:val="en-US" w:eastAsia="zh-CN"/>
        </w:rPr>
        <w:t>2021年12月，</w:t>
      </w:r>
      <w:r>
        <w:rPr>
          <w:rFonts w:hint="eastAsia" w:ascii="仿宋" w:hAnsi="仿宋" w:eastAsia="仿宋" w:cs="仿宋_GB2312"/>
          <w:kern w:val="0"/>
          <w:sz w:val="32"/>
          <w:szCs w:val="32"/>
          <w:lang w:val="en-US" w:eastAsia="zh-CN"/>
        </w:rPr>
        <w:t>完成3个组农作物新品种实验</w:t>
      </w:r>
      <w:r>
        <w:rPr>
          <w:rFonts w:hint="eastAsia" w:ascii="仿宋" w:hAnsi="仿宋" w:eastAsia="仿宋" w:cs="仿宋_GB2312"/>
          <w:kern w:val="0"/>
          <w:sz w:val="32"/>
          <w:szCs w:val="32"/>
        </w:rPr>
        <w:t>。</w:t>
      </w:r>
      <w:r>
        <w:rPr>
          <w:rFonts w:hint="eastAsia" w:ascii="仿宋_GB2312" w:hAnsi="仿宋_GB2312" w:eastAsia="仿宋_GB2312" w:cs="仿宋_GB2312"/>
          <w:sz w:val="32"/>
          <w:szCs w:val="32"/>
          <w:lang w:eastAsia="zh-CN"/>
        </w:rPr>
        <w:t>经过检测，我区抽检合格率≥90%，</w:t>
      </w:r>
      <w:r>
        <w:rPr>
          <w:rFonts w:hint="eastAsia" w:ascii="仿宋_GB2312" w:eastAsia="仿宋_GB2312"/>
          <w:sz w:val="32"/>
          <w:szCs w:val="32"/>
          <w:lang w:eastAsia="zh-CN"/>
        </w:rPr>
        <w:t>进一步加强了</w:t>
      </w:r>
      <w:r>
        <w:rPr>
          <w:rFonts w:hint="eastAsia" w:ascii="仿宋_GB2312" w:eastAsia="仿宋_GB2312"/>
          <w:sz w:val="32"/>
          <w:szCs w:val="32"/>
        </w:rPr>
        <w:t>农产品质量安全管理，健全农产品质量安全例行监测制度，</w:t>
      </w:r>
      <w:r>
        <w:rPr>
          <w:rFonts w:hint="eastAsia" w:ascii="仿宋_GB2312" w:eastAsia="仿宋_GB2312"/>
          <w:sz w:val="32"/>
          <w:szCs w:val="32"/>
          <w:lang w:eastAsia="zh-CN"/>
        </w:rPr>
        <w:t>使得</w:t>
      </w:r>
      <w:r>
        <w:rPr>
          <w:rFonts w:hint="eastAsia" w:ascii="仿宋_GB2312" w:eastAsia="仿宋_GB2312"/>
          <w:sz w:val="32"/>
          <w:szCs w:val="32"/>
        </w:rPr>
        <w:t>农产品安全水平</w:t>
      </w:r>
      <w:r>
        <w:rPr>
          <w:rFonts w:hint="eastAsia" w:ascii="仿宋_GB2312" w:eastAsia="仿宋_GB2312"/>
          <w:sz w:val="32"/>
          <w:szCs w:val="32"/>
          <w:lang w:eastAsia="zh-CN"/>
        </w:rPr>
        <w:t>得到</w:t>
      </w:r>
      <w:r>
        <w:rPr>
          <w:rFonts w:hint="eastAsia" w:ascii="仿宋_GB2312" w:eastAsia="仿宋_GB2312"/>
          <w:sz w:val="32"/>
          <w:szCs w:val="32"/>
        </w:rPr>
        <w:t>提高，保障</w:t>
      </w:r>
      <w:r>
        <w:rPr>
          <w:rFonts w:hint="eastAsia" w:ascii="仿宋_GB2312" w:eastAsia="仿宋_GB2312"/>
          <w:sz w:val="32"/>
          <w:szCs w:val="32"/>
          <w:lang w:eastAsia="zh-CN"/>
        </w:rPr>
        <w:t>了</w:t>
      </w:r>
      <w:r>
        <w:rPr>
          <w:rFonts w:hint="eastAsia" w:ascii="仿宋_GB2312" w:eastAsia="仿宋_GB2312"/>
          <w:sz w:val="32"/>
          <w:szCs w:val="32"/>
        </w:rPr>
        <w:t>人民群众的身心健康，增强</w:t>
      </w:r>
      <w:r>
        <w:rPr>
          <w:rFonts w:hint="eastAsia" w:ascii="仿宋_GB2312" w:eastAsia="仿宋_GB2312"/>
          <w:sz w:val="32"/>
          <w:szCs w:val="32"/>
          <w:lang w:eastAsia="zh-CN"/>
        </w:rPr>
        <w:t>了</w:t>
      </w:r>
      <w:r>
        <w:rPr>
          <w:rFonts w:hint="eastAsia" w:ascii="仿宋_GB2312" w:eastAsia="仿宋_GB2312"/>
          <w:sz w:val="32"/>
          <w:szCs w:val="32"/>
        </w:rPr>
        <w:t>农产品的市场竞争力。</w:t>
      </w:r>
    </w:p>
    <w:p>
      <w:pPr>
        <w:keepNext w:val="0"/>
        <w:keepLines w:val="0"/>
        <w:pageBreakBefore w:val="0"/>
        <w:widowControl w:val="0"/>
        <w:numPr>
          <w:ilvl w:val="0"/>
          <w:numId w:val="10"/>
        </w:numPr>
        <w:kinsoku/>
        <w:wordWrap/>
        <w:overflowPunct/>
        <w:topLinePunct w:val="0"/>
        <w:autoSpaceDN/>
        <w:bidi w:val="0"/>
        <w:spacing w:line="560" w:lineRule="exact"/>
        <w:ind w:firstLine="632" w:firstLineChars="200"/>
        <w:textAlignment w:val="auto"/>
        <w:rPr>
          <w:rFonts w:hint="eastAsia" w:ascii="楷体_GB2312" w:hAnsi="宋体" w:eastAsia="楷体_GB2312" w:cs="Times New Roman"/>
          <w:b w:val="0"/>
          <w:bCs/>
          <w:w w:val="99"/>
          <w:sz w:val="32"/>
          <w:szCs w:val="32"/>
        </w:rPr>
      </w:pPr>
      <w:r>
        <w:rPr>
          <w:rFonts w:hint="eastAsia" w:ascii="楷体_GB2312" w:hAnsi="宋体" w:eastAsia="楷体_GB2312" w:cs="Times New Roman"/>
          <w:b w:val="0"/>
          <w:bCs/>
          <w:w w:val="99"/>
          <w:sz w:val="32"/>
          <w:szCs w:val="32"/>
        </w:rPr>
        <w:t>项目效益情况</w:t>
      </w:r>
    </w:p>
    <w:p>
      <w:pPr>
        <w:keepNext w:val="0"/>
        <w:keepLines w:val="0"/>
        <w:pageBreakBefore w:val="0"/>
        <w:widowControl w:val="0"/>
        <w:numPr>
          <w:ilvl w:val="0"/>
          <w:numId w:val="0"/>
        </w:numPr>
        <w:kinsoku/>
        <w:wordWrap/>
        <w:overflowPunct/>
        <w:topLinePunct w:val="0"/>
        <w:autoSpaceDN/>
        <w:bidi w:val="0"/>
        <w:spacing w:line="560" w:lineRule="exact"/>
        <w:ind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通过该项目的实施，加强对农业生产环境以及生产过程的全面监控，可以促进在农产品生产过程中安全合理的使用农药、兽药等农用化学物质，降低使用次数和数量，提高使用效能和安全性，减少农药、兽药等有毒有害物质的残留和对农业生态环境的污染</w:t>
      </w:r>
      <w:r>
        <w:rPr>
          <w:rFonts w:hint="eastAsia" w:ascii="仿宋_GB2312" w:eastAsia="仿宋_GB2312" w:cstheme="minorBidi"/>
          <w:kern w:val="2"/>
          <w:sz w:val="32"/>
          <w:szCs w:val="32"/>
          <w:lang w:val="en-US" w:eastAsia="zh-CN" w:bidi="ar-SA"/>
        </w:rPr>
        <w:t>，</w:t>
      </w:r>
      <w:r>
        <w:rPr>
          <w:rFonts w:hint="eastAsia" w:ascii="仿宋_GB2312" w:eastAsia="仿宋_GB2312" w:hAnsiTheme="minorHAnsi" w:cstheme="minorBidi"/>
          <w:kern w:val="2"/>
          <w:sz w:val="32"/>
          <w:szCs w:val="32"/>
          <w:lang w:val="en-US" w:eastAsia="zh-CN" w:bidi="ar-SA"/>
        </w:rPr>
        <w:t>确保农产品生产的水体、耕地条件符合农产品安全生产的需要</w:t>
      </w:r>
      <w:r>
        <w:rPr>
          <w:rFonts w:hint="eastAsia" w:ascii="仿宋_GB2312" w:eastAsia="仿宋_GB2312" w:cstheme="minorBidi"/>
          <w:kern w:val="2"/>
          <w:sz w:val="32"/>
          <w:szCs w:val="32"/>
          <w:lang w:val="en-US" w:eastAsia="zh-CN" w:bidi="ar-SA"/>
        </w:rPr>
        <w:t>，</w:t>
      </w:r>
      <w:r>
        <w:rPr>
          <w:rFonts w:hint="eastAsia" w:ascii="仿宋_GB2312" w:eastAsia="仿宋_GB2312" w:hAnsiTheme="minorHAnsi" w:cstheme="minorBidi"/>
          <w:kern w:val="2"/>
          <w:sz w:val="32"/>
          <w:szCs w:val="32"/>
          <w:lang w:val="en-US" w:eastAsia="zh-CN" w:bidi="ar-SA"/>
        </w:rPr>
        <w:t>做到资源的开发利用与生态环境保护并重，使我</w:t>
      </w:r>
      <w:r>
        <w:rPr>
          <w:rFonts w:hint="eastAsia" w:ascii="仿宋_GB2312" w:eastAsia="仿宋_GB2312" w:cstheme="minorBidi"/>
          <w:kern w:val="2"/>
          <w:sz w:val="32"/>
          <w:szCs w:val="32"/>
          <w:lang w:val="en-US" w:eastAsia="zh-CN" w:bidi="ar-SA"/>
        </w:rPr>
        <w:t>区</w:t>
      </w:r>
      <w:r>
        <w:rPr>
          <w:rFonts w:hint="eastAsia" w:ascii="仿宋_GB2312" w:eastAsia="仿宋_GB2312" w:hAnsiTheme="minorHAnsi" w:cstheme="minorBidi"/>
          <w:kern w:val="2"/>
          <w:sz w:val="32"/>
          <w:szCs w:val="32"/>
          <w:lang w:val="en-US" w:eastAsia="zh-CN" w:bidi="ar-SA"/>
        </w:rPr>
        <w:t>社会经济健康、稳定、和谐发展。</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ascii="黑体" w:hAnsi="宋体" w:eastAsia="黑体" w:cs="Times New Roman"/>
          <w:w w:val="99"/>
          <w:sz w:val="32"/>
          <w:szCs w:val="32"/>
        </w:rPr>
      </w:pPr>
      <w:r>
        <w:rPr>
          <w:rFonts w:hint="eastAsia" w:ascii="黑体" w:hAnsi="黑体" w:eastAsia="黑体" w:cs="Times New Roman"/>
          <w:w w:val="99"/>
          <w:sz w:val="32"/>
          <w:szCs w:val="32"/>
        </w:rPr>
        <w:t>五、评价结论及建议</w:t>
      </w:r>
    </w:p>
    <w:p>
      <w:pPr>
        <w:keepNext w:val="0"/>
        <w:keepLines w:val="0"/>
        <w:pageBreakBefore w:val="0"/>
        <w:widowControl w:val="0"/>
        <w:kinsoku/>
        <w:wordWrap/>
        <w:overflowPunct/>
        <w:topLinePunct w:val="0"/>
        <w:autoSpaceDN/>
        <w:bidi w:val="0"/>
        <w:spacing w:line="560" w:lineRule="exact"/>
        <w:ind w:firstLine="632" w:firstLineChars="200"/>
        <w:textAlignment w:val="auto"/>
        <w:rPr>
          <w:rFonts w:hint="eastAsia" w:ascii="楷体_GB2312" w:hAnsi="宋体" w:eastAsia="楷体_GB2312" w:cs="Times New Roman"/>
          <w:b w:val="0"/>
          <w:bCs/>
          <w:w w:val="99"/>
          <w:sz w:val="32"/>
          <w:szCs w:val="32"/>
        </w:rPr>
      </w:pPr>
      <w:r>
        <w:rPr>
          <w:rFonts w:hint="eastAsia" w:ascii="楷体_GB2312" w:hAnsi="宋体" w:eastAsia="楷体_GB2312" w:cs="Times New Roman"/>
          <w:b w:val="0"/>
          <w:bCs/>
          <w:w w:val="99"/>
          <w:sz w:val="32"/>
          <w:szCs w:val="32"/>
        </w:rPr>
        <w:t>（一）评价结论</w:t>
      </w:r>
    </w:p>
    <w:p>
      <w:pPr>
        <w:keepNext w:val="0"/>
        <w:keepLines w:val="0"/>
        <w:pageBreakBefore w:val="0"/>
        <w:widowControl w:val="0"/>
        <w:kinsoku/>
        <w:wordWrap/>
        <w:overflowPunct/>
        <w:topLinePunct w:val="0"/>
        <w:autoSpaceDN/>
        <w:bidi w:val="0"/>
        <w:spacing w:line="560" w:lineRule="exact"/>
        <w:ind w:firstLine="640" w:firstLineChars="200"/>
        <w:textAlignment w:val="auto"/>
        <w:rPr>
          <w:rFonts w:hint="eastAsia" w:ascii="仿宋_GB2312" w:hAnsi="仿宋" w:eastAsia="仿宋_GB2312"/>
          <w:bCs/>
          <w:color w:val="000000"/>
          <w:sz w:val="32"/>
          <w:szCs w:val="32"/>
          <w:lang w:val="en-US" w:eastAsia="zh-CN"/>
        </w:rPr>
      </w:pPr>
      <w:r>
        <w:rPr>
          <w:rFonts w:hint="eastAsia" w:ascii="仿宋_GB2312" w:eastAsia="仿宋_GB2312"/>
          <w:b w:val="0"/>
          <w:bCs/>
          <w:color w:val="000000"/>
          <w:sz w:val="32"/>
          <w:szCs w:val="32"/>
        </w:rPr>
        <w:t>本</w:t>
      </w:r>
      <w:r>
        <w:rPr>
          <w:rFonts w:hint="eastAsia" w:ascii="仿宋_GB2312" w:eastAsia="仿宋_GB2312"/>
          <w:color w:val="000000"/>
          <w:sz w:val="32"/>
          <w:szCs w:val="32"/>
        </w:rPr>
        <w:t>次监测，一是结合省市农业农村局安排部署，</w:t>
      </w:r>
      <w:r>
        <w:rPr>
          <w:rFonts w:hint="eastAsia" w:ascii="仿宋_GB2312" w:hAnsi="仿宋" w:eastAsia="仿宋_GB2312"/>
          <w:bCs/>
          <w:color w:val="000000"/>
          <w:sz w:val="32"/>
          <w:szCs w:val="32"/>
        </w:rPr>
        <w:t>同时根据</w:t>
      </w:r>
      <w:r>
        <w:rPr>
          <w:rFonts w:hint="eastAsia" w:ascii="仿宋_GB2312" w:eastAsia="仿宋_GB2312"/>
          <w:sz w:val="32"/>
          <w:szCs w:val="32"/>
          <w:lang w:eastAsia="zh-CN"/>
        </w:rPr>
        <w:t>青川</w:t>
      </w:r>
      <w:r>
        <w:rPr>
          <w:rFonts w:hint="eastAsia" w:ascii="仿宋_GB2312" w:hAnsi="仿宋" w:eastAsia="仿宋_GB2312"/>
          <w:bCs/>
          <w:color w:val="000000"/>
          <w:sz w:val="32"/>
          <w:szCs w:val="32"/>
        </w:rPr>
        <w:t>县</w:t>
      </w:r>
      <w:r>
        <w:rPr>
          <w:rFonts w:hint="eastAsia" w:ascii="仿宋_GB2312" w:eastAsia="仿宋_GB2312"/>
          <w:color w:val="000000"/>
          <w:sz w:val="32"/>
          <w:szCs w:val="32"/>
        </w:rPr>
        <w:t>蔬菜实际生产和销售情况</w:t>
      </w:r>
      <w:r>
        <w:rPr>
          <w:rFonts w:hint="eastAsia" w:ascii="仿宋_GB2312" w:hAnsi="仿宋" w:eastAsia="仿宋_GB2312"/>
          <w:bCs/>
          <w:color w:val="000000"/>
          <w:sz w:val="32"/>
          <w:szCs w:val="32"/>
        </w:rPr>
        <w:t>，将本次质量安全监测工作抽样地点选在</w:t>
      </w:r>
      <w:r>
        <w:rPr>
          <w:rFonts w:hint="eastAsia" w:ascii="仿宋_GB2312" w:eastAsia="仿宋_GB2312"/>
          <w:sz w:val="32"/>
          <w:szCs w:val="32"/>
          <w:lang w:eastAsia="zh-CN"/>
        </w:rPr>
        <w:t>青川</w:t>
      </w:r>
      <w:r>
        <w:rPr>
          <w:rFonts w:hint="eastAsia" w:ascii="仿宋_GB2312" w:hAnsi="仿宋" w:eastAsia="仿宋_GB2312"/>
          <w:bCs/>
          <w:color w:val="000000"/>
          <w:sz w:val="32"/>
          <w:szCs w:val="32"/>
        </w:rPr>
        <w:t>县</w:t>
      </w:r>
      <w:r>
        <w:rPr>
          <w:rFonts w:hint="eastAsia" w:ascii="仿宋_GB2312" w:hAnsi="仿宋" w:eastAsia="仿宋_GB2312"/>
          <w:bCs/>
          <w:color w:val="000000"/>
          <w:sz w:val="32"/>
          <w:szCs w:val="32"/>
          <w:lang w:eastAsia="zh-CN"/>
        </w:rPr>
        <w:t>沙洲</w:t>
      </w:r>
      <w:r>
        <w:rPr>
          <w:rFonts w:hint="eastAsia" w:ascii="仿宋_GB2312" w:hAnsi="仿宋" w:eastAsia="仿宋_GB2312"/>
          <w:bCs/>
          <w:color w:val="000000"/>
          <w:sz w:val="32"/>
          <w:szCs w:val="32"/>
        </w:rPr>
        <w:t>镇、</w:t>
      </w:r>
      <w:r>
        <w:rPr>
          <w:rFonts w:hint="eastAsia" w:ascii="仿宋_GB2312" w:hAnsi="仿宋" w:eastAsia="仿宋_GB2312"/>
          <w:bCs/>
          <w:color w:val="000000"/>
          <w:sz w:val="32"/>
          <w:szCs w:val="32"/>
          <w:lang w:eastAsia="zh-CN"/>
        </w:rPr>
        <w:t>乔庄</w:t>
      </w:r>
      <w:r>
        <w:rPr>
          <w:rFonts w:hint="eastAsia" w:ascii="仿宋_GB2312" w:hAnsi="仿宋" w:eastAsia="仿宋_GB2312"/>
          <w:bCs/>
          <w:color w:val="000000"/>
          <w:sz w:val="32"/>
          <w:szCs w:val="32"/>
        </w:rPr>
        <w:t>镇</w:t>
      </w:r>
      <w:r>
        <w:rPr>
          <w:rFonts w:hint="eastAsia" w:ascii="仿宋_GB2312" w:hAnsi="仿宋" w:eastAsia="仿宋_GB2312"/>
          <w:bCs/>
          <w:color w:val="000000"/>
          <w:sz w:val="32"/>
          <w:szCs w:val="32"/>
          <w:lang w:eastAsia="zh-CN"/>
        </w:rPr>
        <w:t>、木鱼镇、三锅镇</w:t>
      </w:r>
      <w:r>
        <w:rPr>
          <w:rFonts w:hint="eastAsia" w:ascii="仿宋_GB2312" w:hAnsi="仿宋" w:eastAsia="仿宋_GB2312"/>
          <w:bCs/>
          <w:color w:val="000000"/>
          <w:sz w:val="32"/>
          <w:szCs w:val="32"/>
        </w:rPr>
        <w:t>和朝天区</w:t>
      </w:r>
      <w:r>
        <w:rPr>
          <w:rFonts w:hint="eastAsia" w:ascii="仿宋_GB2312" w:hAnsi="仿宋" w:eastAsia="仿宋_GB2312"/>
          <w:bCs/>
          <w:color w:val="000000"/>
          <w:sz w:val="32"/>
          <w:szCs w:val="32"/>
          <w:lang w:eastAsia="zh-CN"/>
        </w:rPr>
        <w:t>曾家镇、朝天</w:t>
      </w:r>
      <w:r>
        <w:rPr>
          <w:rFonts w:hint="eastAsia" w:ascii="仿宋_GB2312" w:hAnsi="仿宋" w:eastAsia="仿宋_GB2312"/>
          <w:bCs/>
          <w:color w:val="000000"/>
          <w:sz w:val="32"/>
          <w:szCs w:val="32"/>
        </w:rPr>
        <w:t>镇</w:t>
      </w:r>
      <w:r>
        <w:rPr>
          <w:rFonts w:hint="eastAsia" w:ascii="仿宋_GB2312" w:hAnsi="仿宋" w:eastAsia="仿宋_GB2312"/>
          <w:bCs/>
          <w:color w:val="000000"/>
          <w:sz w:val="32"/>
          <w:szCs w:val="32"/>
          <w:lang w:eastAsia="zh-CN"/>
        </w:rPr>
        <w:t>、沙河镇</w:t>
      </w:r>
      <w:r>
        <w:rPr>
          <w:rFonts w:hint="eastAsia" w:ascii="仿宋_GB2312" w:hAnsi="仿宋" w:eastAsia="仿宋_GB2312"/>
          <w:bCs/>
          <w:color w:val="000000"/>
          <w:sz w:val="32"/>
          <w:szCs w:val="32"/>
        </w:rPr>
        <w:t>等地的生产基地和种</w:t>
      </w:r>
      <w:r>
        <w:rPr>
          <w:rFonts w:hint="eastAsia" w:ascii="仿宋_GB2312" w:hAnsi="仿宋" w:eastAsia="仿宋_GB2312"/>
          <w:bCs/>
          <w:color w:val="000000"/>
          <w:sz w:val="32"/>
          <w:szCs w:val="32"/>
          <w:lang w:eastAsia="zh-CN"/>
        </w:rPr>
        <w:t>养殖</w:t>
      </w:r>
      <w:r>
        <w:rPr>
          <w:rFonts w:hint="eastAsia" w:ascii="仿宋_GB2312" w:hAnsi="仿宋" w:eastAsia="仿宋_GB2312"/>
          <w:bCs/>
          <w:color w:val="000000"/>
          <w:sz w:val="32"/>
          <w:szCs w:val="32"/>
        </w:rPr>
        <w:t>大户。从监测结果来看，</w:t>
      </w:r>
      <w:r>
        <w:rPr>
          <w:rFonts w:hint="eastAsia" w:ascii="仿宋_GB2312" w:eastAsia="仿宋_GB2312"/>
          <w:sz w:val="32"/>
          <w:szCs w:val="32"/>
          <w:lang w:eastAsia="zh-CN"/>
        </w:rPr>
        <w:t>青川</w:t>
      </w:r>
      <w:r>
        <w:rPr>
          <w:rFonts w:hint="eastAsia" w:ascii="仿宋_GB2312" w:hAnsi="仿宋" w:eastAsia="仿宋_GB2312"/>
          <w:bCs/>
          <w:color w:val="000000"/>
          <w:sz w:val="32"/>
          <w:szCs w:val="32"/>
        </w:rPr>
        <w:t>县</w:t>
      </w:r>
      <w:r>
        <w:rPr>
          <w:rFonts w:hint="eastAsia" w:ascii="仿宋_GB2312" w:hAnsi="仿宋" w:eastAsia="仿宋_GB2312"/>
          <w:bCs/>
          <w:color w:val="000000"/>
          <w:sz w:val="32"/>
          <w:szCs w:val="32"/>
          <w:lang w:eastAsia="zh-CN"/>
        </w:rPr>
        <w:t>、朝天区</w:t>
      </w:r>
      <w:r>
        <w:rPr>
          <w:rFonts w:hint="eastAsia" w:ascii="仿宋_GB2312" w:hAnsi="仿宋" w:eastAsia="仿宋_GB2312"/>
          <w:bCs/>
          <w:color w:val="000000"/>
          <w:sz w:val="32"/>
          <w:szCs w:val="32"/>
        </w:rPr>
        <w:t>农产品质量安全监测情况良好</w:t>
      </w:r>
      <w:r>
        <w:rPr>
          <w:rFonts w:hint="eastAsia" w:ascii="仿宋_GB2312" w:hAnsi="仿宋" w:eastAsia="仿宋_GB2312"/>
          <w:bCs/>
          <w:color w:val="000000"/>
          <w:sz w:val="32"/>
          <w:szCs w:val="32"/>
          <w:lang w:eastAsia="zh-CN"/>
        </w:rPr>
        <w:t>，</w:t>
      </w:r>
      <w:r>
        <w:rPr>
          <w:rFonts w:hint="eastAsia" w:ascii="仿宋_GB2312" w:hAnsi="仿宋" w:eastAsia="仿宋_GB2312"/>
          <w:bCs/>
          <w:color w:val="000000"/>
          <w:sz w:val="32"/>
          <w:szCs w:val="32"/>
          <w:lang w:val="en-US" w:eastAsia="zh-CN"/>
        </w:rPr>
        <w:t>项目效益得到较好的发展。</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leftChars="200" w:firstLine="316" w:firstLineChars="100"/>
        <w:textAlignment w:val="auto"/>
        <w:rPr>
          <w:rFonts w:hint="eastAsia" w:ascii="仿宋_GB2312" w:hAnsi="仿宋_GB2312" w:eastAsia="仿宋_GB2312" w:cs="仿宋_GB2312"/>
          <w:sz w:val="32"/>
          <w:szCs w:val="32"/>
          <w:lang w:eastAsia="zh-CN"/>
        </w:rPr>
      </w:pPr>
      <w:r>
        <w:rPr>
          <w:rFonts w:hint="eastAsia" w:ascii="楷体_GB2312" w:hAnsi="宋体" w:eastAsia="楷体_GB2312" w:cs="Times New Roman"/>
          <w:b w:val="0"/>
          <w:bCs/>
          <w:w w:val="99"/>
          <w:sz w:val="32"/>
          <w:szCs w:val="32"/>
          <w:lang w:eastAsia="zh-CN"/>
        </w:rPr>
        <w:t>（</w:t>
      </w:r>
      <w:r>
        <w:rPr>
          <w:rFonts w:hint="eastAsia" w:ascii="楷体_GB2312" w:hAnsi="宋体" w:eastAsia="楷体_GB2312" w:cs="Times New Roman"/>
          <w:b w:val="0"/>
          <w:bCs/>
          <w:w w:val="99"/>
          <w:sz w:val="32"/>
          <w:szCs w:val="32"/>
          <w:lang w:val="en-US" w:eastAsia="zh-CN"/>
        </w:rPr>
        <w:t>二</w:t>
      </w:r>
      <w:r>
        <w:rPr>
          <w:rFonts w:hint="eastAsia" w:ascii="楷体_GB2312" w:hAnsi="宋体" w:eastAsia="楷体_GB2312" w:cs="Times New Roman"/>
          <w:b w:val="0"/>
          <w:bCs/>
          <w:w w:val="99"/>
          <w:sz w:val="32"/>
          <w:szCs w:val="32"/>
          <w:lang w:eastAsia="zh-CN"/>
        </w:rPr>
        <w:t>）</w:t>
      </w:r>
      <w:r>
        <w:rPr>
          <w:rFonts w:hint="eastAsia" w:ascii="楷体_GB2312" w:hAnsi="宋体" w:eastAsia="楷体_GB2312" w:cs="Times New Roman"/>
          <w:b w:val="0"/>
          <w:bCs/>
          <w:w w:val="99"/>
          <w:sz w:val="32"/>
          <w:szCs w:val="32"/>
        </w:rPr>
        <w:t>存在的问题</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由于项目检测数量较多，从事检测技术人员不足，导致项目推进缓慢。</w:t>
      </w:r>
    </w:p>
    <w:p>
      <w:pPr>
        <w:keepNext w:val="0"/>
        <w:keepLines w:val="0"/>
        <w:pageBreakBefore w:val="0"/>
        <w:widowControl w:val="0"/>
        <w:numPr>
          <w:ilvl w:val="0"/>
          <w:numId w:val="10"/>
        </w:numPr>
        <w:kinsoku/>
        <w:wordWrap/>
        <w:overflowPunct/>
        <w:topLinePunct w:val="0"/>
        <w:autoSpaceDE w:val="0"/>
        <w:autoSpaceDN/>
        <w:bidi w:val="0"/>
        <w:adjustRightInd/>
        <w:snapToGrid/>
        <w:spacing w:line="560" w:lineRule="exact"/>
        <w:ind w:left="0" w:leftChars="0" w:firstLine="616" w:firstLineChars="200"/>
        <w:textAlignment w:val="auto"/>
        <w:rPr>
          <w:rFonts w:hint="eastAsia" w:ascii="楷体_GB2312" w:hAnsi="Times New Roman" w:eastAsia="楷体_GB2312" w:cs="Times New Roman"/>
          <w:b w:val="0"/>
          <w:bCs/>
          <w:spacing w:val="-6"/>
          <w:sz w:val="32"/>
          <w:szCs w:val="32"/>
        </w:rPr>
      </w:pPr>
      <w:r>
        <w:rPr>
          <w:rFonts w:hint="eastAsia" w:ascii="楷体_GB2312" w:hAnsi="Times New Roman" w:eastAsia="楷体_GB2312" w:cs="Times New Roman"/>
          <w:b w:val="0"/>
          <w:bCs/>
          <w:spacing w:val="-6"/>
          <w:sz w:val="32"/>
          <w:szCs w:val="32"/>
        </w:rPr>
        <w:t>相关建议。</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建议增派力量，从局内调整专业人员到检测中心从事检测工作。</w:t>
      </w:r>
    </w:p>
    <w:p>
      <w:pPr>
        <w:ind w:firstLine="616" w:firstLineChars="200"/>
        <w:rPr>
          <w:rFonts w:hint="eastAsia"/>
          <w:lang w:val="en-US" w:eastAsia="zh-CN"/>
        </w:rPr>
      </w:pPr>
      <w:r>
        <w:rPr>
          <w:rFonts w:hint="eastAsia" w:ascii="仿宋_GB2312" w:hAnsi="宋体" w:eastAsia="仿宋_GB2312" w:cs="Times New Roman"/>
          <w:color w:val="000000"/>
          <w:spacing w:val="-6"/>
          <w:kern w:val="0"/>
          <w:sz w:val="32"/>
          <w:szCs w:val="32"/>
        </w:rPr>
        <w:t>附表：</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ar-SA"/>
        </w:rPr>
        <w:t>2021年部门预算项目绩效目标自评</w:t>
      </w: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pPr>
    </w:p>
    <w:tbl>
      <w:tblPr>
        <w:tblStyle w:val="16"/>
        <w:tblpPr w:leftFromText="180" w:rightFromText="180" w:vertAnchor="text" w:horzAnchor="page" w:tblpX="1281" w:tblpY="660"/>
        <w:tblOverlap w:val="never"/>
        <w:tblW w:w="95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635"/>
        <w:gridCol w:w="1189"/>
        <w:gridCol w:w="1224"/>
        <w:gridCol w:w="2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b/>
                <w:i w:val="0"/>
                <w:color w:val="auto"/>
                <w:sz w:val="32"/>
                <w:szCs w:val="32"/>
                <w:highlight w:val="none"/>
                <w:u w:val="none"/>
                <w:lang w:val="en-US" w:eastAsia="zh-CN"/>
              </w:rPr>
              <w:t>2021年部门预算项目绩效目标自评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rPr>
              <w:t>广元市朝天区农业农村局</w:t>
            </w:r>
            <w:r>
              <w:rPr>
                <w:rFonts w:hint="eastAsia" w:ascii="宋体" w:hAnsi="宋体" w:eastAsia="宋体" w:cs="宋体"/>
                <w:i w:val="0"/>
                <w:color w:val="auto"/>
                <w:sz w:val="21"/>
                <w:szCs w:val="21"/>
                <w:highlight w:val="none"/>
                <w:u w:val="none"/>
                <w:lang w:val="en-US" w:eastAsia="zh-CN"/>
              </w:rPr>
              <w:t xml:space="preserve"> 602601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2021年省级财政农业公共安全与生态资源保护利用工程项目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项目预算</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执行情况</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10.5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10.5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0"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1"/>
                <w:szCs w:val="21"/>
                <w:highlight w:val="none"/>
                <w:u w:val="none"/>
                <w:lang w:eastAsia="zh-CN"/>
              </w:rPr>
            </w:pPr>
            <w:r>
              <w:rPr>
                <w:rFonts w:hint="eastAsia" w:ascii="宋体" w:hAnsi="宋体" w:eastAsia="宋体" w:cs="宋体"/>
                <w:i w:val="0"/>
                <w:color w:val="auto"/>
                <w:sz w:val="21"/>
                <w:szCs w:val="21"/>
                <w:highlight w:val="none"/>
                <w:u w:val="none"/>
              </w:rPr>
              <w:t>抽检农产品75个；完成3个组农作物新品种实验。</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1"/>
                <w:szCs w:val="21"/>
                <w:highlight w:val="none"/>
                <w:u w:val="none"/>
                <w:lang w:eastAsia="zh-CN"/>
              </w:rPr>
            </w:pPr>
            <w:r>
              <w:rPr>
                <w:rFonts w:hint="eastAsia" w:ascii="宋体" w:hAnsi="宋体" w:eastAsia="宋体" w:cs="宋体"/>
                <w:i w:val="0"/>
                <w:color w:val="auto"/>
                <w:sz w:val="21"/>
                <w:szCs w:val="21"/>
                <w:highlight w:val="none"/>
                <w:u w:val="none"/>
              </w:rPr>
              <w:t xml:space="preserve">抽检农产品75个，采取交叉抽检形式，抽检青川县样品60个，抽检朝天区样品15个；同时完成3个组农作物新品种实验。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14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指标</w:t>
            </w:r>
          </w:p>
        </w:tc>
        <w:tc>
          <w:tcPr>
            <w:tcW w:w="16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sz w:val="21"/>
                <w:szCs w:val="21"/>
                <w:highlight w:val="none"/>
                <w:u w:val="none"/>
              </w:rPr>
              <w:t>抽检农产品</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cs="宋体"/>
                <w:i w:val="0"/>
                <w:iCs w:val="0"/>
                <w:color w:val="000000"/>
                <w:kern w:val="0"/>
                <w:sz w:val="18"/>
                <w:szCs w:val="18"/>
                <w:u w:val="none"/>
                <w:lang w:val="en-US" w:eastAsia="zh-CN" w:bidi="ar"/>
              </w:rPr>
              <w:t>75个</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cs="宋体"/>
                <w:i w:val="0"/>
                <w:iCs w:val="0"/>
                <w:color w:val="000000"/>
                <w:kern w:val="0"/>
                <w:sz w:val="18"/>
                <w:szCs w:val="18"/>
                <w:u w:val="none"/>
                <w:lang w:val="en-US" w:eastAsia="zh-CN" w:bidi="ar"/>
              </w:rPr>
              <w:t>75个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14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p>
        </w:tc>
        <w:tc>
          <w:tcPr>
            <w:tcW w:w="163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rPr>
              <w:t>农作物新品种实验</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3个</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cs="宋体"/>
                <w:i w:val="0"/>
                <w:color w:val="auto"/>
                <w:sz w:val="21"/>
                <w:szCs w:val="21"/>
                <w:highlight w:val="none"/>
                <w:u w:val="none"/>
                <w:lang w:val="en-US" w:eastAsia="zh-CN"/>
              </w:rPr>
              <w:t>3个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142"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抽检合格率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≥90%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142"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完成时限</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2021年1月-2021年12月</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2021年1月-2021年12月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14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成本投入</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rPr>
              <w:t>≤</w:t>
            </w:r>
            <w:r>
              <w:rPr>
                <w:rFonts w:hint="eastAsia" w:ascii="宋体" w:hAnsi="宋体" w:cs="宋体"/>
                <w:i w:val="0"/>
                <w:color w:val="auto"/>
                <w:sz w:val="21"/>
                <w:szCs w:val="21"/>
                <w:highlight w:val="none"/>
                <w:u w:val="none"/>
                <w:lang w:val="en-US" w:eastAsia="zh-CN"/>
              </w:rPr>
              <w:t>10.5</w:t>
            </w:r>
            <w:r>
              <w:rPr>
                <w:rFonts w:hint="eastAsia" w:ascii="宋体" w:hAnsi="宋体" w:eastAsia="宋体" w:cs="宋体"/>
                <w:i w:val="0"/>
                <w:color w:val="auto"/>
                <w:sz w:val="21"/>
                <w:szCs w:val="21"/>
                <w:highlight w:val="none"/>
                <w:u w:val="none"/>
                <w:lang w:val="en-US" w:eastAsia="zh-CN"/>
              </w:rPr>
              <w:t>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cs="宋体"/>
                <w:i w:val="0"/>
                <w:color w:val="auto"/>
                <w:sz w:val="21"/>
                <w:szCs w:val="21"/>
                <w:highlight w:val="none"/>
                <w:u w:val="none"/>
                <w:lang w:val="en-US" w:eastAsia="zh-CN"/>
              </w:rPr>
              <w:t>10.5</w:t>
            </w:r>
            <w:r>
              <w:rPr>
                <w:rFonts w:hint="eastAsia" w:ascii="宋体" w:hAnsi="宋体" w:eastAsia="宋体" w:cs="宋体"/>
                <w:i w:val="0"/>
                <w:color w:val="auto"/>
                <w:sz w:val="21"/>
                <w:szCs w:val="21"/>
                <w:highlight w:val="none"/>
                <w:u w:val="none"/>
                <w:lang w:val="en-US" w:eastAsia="zh-CN"/>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效益</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经济效益指标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农民收入</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rPr>
            </w:pPr>
            <w:r>
              <w:rPr>
                <w:rFonts w:hint="eastAsia" w:ascii="宋体" w:hAnsi="宋体" w:eastAsia="宋体" w:cs="宋体"/>
                <w:i w:val="0"/>
                <w:iCs w:val="0"/>
                <w:color w:val="000000"/>
                <w:kern w:val="0"/>
                <w:sz w:val="18"/>
                <w:szCs w:val="18"/>
                <w:u w:val="none"/>
                <w:lang w:val="en-US" w:eastAsia="zh-CN" w:bidi="ar"/>
              </w:rPr>
              <w:t>逐步增加</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rPr>
            </w:pPr>
            <w:r>
              <w:rPr>
                <w:rFonts w:hint="eastAsia" w:ascii="宋体" w:hAnsi="宋体" w:eastAsia="宋体" w:cs="宋体"/>
                <w:i w:val="0"/>
                <w:iCs w:val="0"/>
                <w:color w:val="000000"/>
                <w:kern w:val="0"/>
                <w:sz w:val="18"/>
                <w:szCs w:val="18"/>
                <w:u w:val="none"/>
                <w:lang w:val="en-US" w:eastAsia="zh-CN" w:bidi="ar"/>
              </w:rPr>
              <w:t>逐步增加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农产品质量安全水平</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逐步改善</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逐步改善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393" w:leftChars="87" w:hanging="210" w:hangingChars="100"/>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农产品生产环境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持续提升</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持续提升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可持续影响指标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影响时限</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rPr>
              <w:t>≥</w:t>
            </w:r>
            <w:r>
              <w:rPr>
                <w:rFonts w:hint="eastAsia" w:ascii="宋体" w:hAnsi="宋体" w:cs="宋体"/>
                <w:i w:val="0"/>
                <w:color w:val="auto"/>
                <w:sz w:val="21"/>
                <w:szCs w:val="21"/>
                <w:highlight w:val="none"/>
                <w:u w:val="none"/>
                <w:lang w:val="en-US" w:eastAsia="zh-CN"/>
              </w:rPr>
              <w:t>1</w:t>
            </w:r>
            <w:r>
              <w:rPr>
                <w:rFonts w:hint="eastAsia" w:ascii="宋体" w:hAnsi="宋体" w:eastAsia="宋体" w:cs="宋体"/>
                <w:i w:val="0"/>
                <w:color w:val="auto"/>
                <w:sz w:val="21"/>
                <w:szCs w:val="21"/>
                <w:highlight w:val="none"/>
                <w:u w:val="none"/>
                <w:lang w:val="en-US" w:eastAsia="zh-CN"/>
              </w:rPr>
              <w:t>年</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cs="宋体"/>
                <w:i w:val="0"/>
                <w:color w:val="auto"/>
                <w:sz w:val="21"/>
                <w:szCs w:val="21"/>
                <w:highlight w:val="none"/>
                <w:u w:val="none"/>
                <w:lang w:val="en-US" w:eastAsia="zh-CN"/>
              </w:rPr>
              <w:t>1</w:t>
            </w:r>
            <w:r>
              <w:rPr>
                <w:rFonts w:hint="eastAsia" w:ascii="宋体" w:hAnsi="宋体" w:eastAsia="宋体" w:cs="宋体"/>
                <w:i w:val="0"/>
                <w:color w:val="auto"/>
                <w:sz w:val="21"/>
                <w:szCs w:val="21"/>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满意</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受益群众满意度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100%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rPr>
            </w:pPr>
            <w:r>
              <w:rPr>
                <w:rFonts w:hint="eastAsia" w:ascii="宋体" w:hAnsi="宋体" w:eastAsia="宋体" w:cs="宋体"/>
                <w:i w:val="0"/>
                <w:iCs w:val="0"/>
                <w:color w:val="000000"/>
                <w:kern w:val="0"/>
                <w:sz w:val="18"/>
                <w:szCs w:val="18"/>
                <w:u w:val="none"/>
                <w:lang w:val="en-US" w:eastAsia="zh-CN" w:bidi="ar"/>
              </w:rPr>
              <w:t>100%</w:t>
            </w:r>
          </w:p>
        </w:tc>
      </w:tr>
    </w:tbl>
    <w:p>
      <w:pPr>
        <w:bidi w:val="0"/>
        <w:rPr>
          <w:rFonts w:hint="eastAsia"/>
          <w:lang w:val="en-US" w:eastAsia="zh-CN"/>
        </w:rPr>
      </w:pPr>
    </w:p>
    <w:p>
      <w:pPr>
        <w:tabs>
          <w:tab w:val="left" w:pos="3141"/>
        </w:tabs>
        <w:bidi w:val="0"/>
        <w:jc w:val="left"/>
        <w:rPr>
          <w:rFonts w:hint="eastAsia"/>
          <w:lang w:val="en-US" w:eastAsia="zh-CN"/>
        </w:rPr>
      </w:pPr>
      <w:r>
        <w:rPr>
          <w:rFonts w:hint="eastAsia"/>
          <w:lang w:val="en-US" w:eastAsia="zh-CN"/>
        </w:rPr>
        <w:tab/>
      </w:r>
    </w:p>
    <w:p>
      <w:pPr>
        <w:pStyle w:val="14"/>
        <w:rPr>
          <w:rFonts w:hint="eastAsia"/>
          <w:lang w:val="en-US" w:eastAsia="zh-CN"/>
        </w:rPr>
      </w:pPr>
    </w:p>
    <w:p>
      <w:pPr>
        <w:keepNext w:val="0"/>
        <w:keepLines w:val="0"/>
        <w:pageBreakBefore w:val="0"/>
        <w:widowControl w:val="0"/>
        <w:kinsoku/>
        <w:wordWrap/>
        <w:overflowPunct/>
        <w:topLinePunct w:val="0"/>
        <w:autoSpaceDE w:val="0"/>
        <w:autoSpaceDN/>
        <w:bidi w:val="0"/>
        <w:spacing w:line="576" w:lineRule="exact"/>
        <w:ind w:left="0" w:left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p>
    <w:p>
      <w:pPr>
        <w:keepNext w:val="0"/>
        <w:keepLines w:val="0"/>
        <w:pageBreakBefore w:val="0"/>
        <w:widowControl w:val="0"/>
        <w:kinsoku/>
        <w:wordWrap/>
        <w:overflowPunct/>
        <w:topLinePunct w:val="0"/>
        <w:autoSpaceDE w:val="0"/>
        <w:autoSpaceDN/>
        <w:bidi w:val="0"/>
        <w:spacing w:line="576" w:lineRule="exact"/>
        <w:ind w:left="0" w:left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p>
    <w:p>
      <w:pPr>
        <w:keepNext w:val="0"/>
        <w:keepLines w:val="0"/>
        <w:pageBreakBefore w:val="0"/>
        <w:widowControl w:val="0"/>
        <w:kinsoku/>
        <w:wordWrap/>
        <w:overflowPunct/>
        <w:topLinePunct w:val="0"/>
        <w:autoSpaceDE w:val="0"/>
        <w:autoSpaceDN/>
        <w:bidi w:val="0"/>
        <w:spacing w:line="576" w:lineRule="exact"/>
        <w:ind w:left="0" w:leftChars="0"/>
        <w:jc w:val="center"/>
        <w:textAlignment w:val="auto"/>
        <w:rPr>
          <w:rFonts w:hint="eastAsia" w:ascii="方正小标宋简体" w:hAnsi="方正小标宋简体" w:eastAsia="方正小标宋简体" w:cs="方正小标宋简体"/>
          <w:b w:val="0"/>
          <w:bCs w:val="0"/>
          <w:color w:val="auto"/>
          <w:kern w:val="0"/>
          <w:sz w:val="44"/>
          <w:szCs w:val="44"/>
        </w:rPr>
      </w:pPr>
      <w:r>
        <w:rPr>
          <w:rFonts w:hint="eastAsia" w:ascii="方正小标宋简体" w:hAnsi="方正小标宋简体" w:eastAsia="方正小标宋简体" w:cs="方正小标宋简体"/>
          <w:b w:val="0"/>
          <w:bCs w:val="0"/>
          <w:color w:val="auto"/>
          <w:sz w:val="44"/>
          <w:szCs w:val="44"/>
          <w:lang w:val="en-US" w:eastAsia="zh-CN"/>
        </w:rPr>
        <w:t>2021年农作物品种展示评价及安全性监测</w:t>
      </w:r>
      <w:r>
        <w:rPr>
          <w:rFonts w:hint="eastAsia" w:ascii="方正小标宋简体" w:hAnsi="方正小标宋简体" w:eastAsia="方正小标宋简体" w:cs="方正小标宋简体"/>
          <w:b w:val="0"/>
          <w:bCs w:val="0"/>
          <w:color w:val="auto"/>
          <w:sz w:val="44"/>
          <w:szCs w:val="44"/>
          <w:lang w:val="zh-CN" w:eastAsia="zh-CN"/>
        </w:rPr>
        <w:t>项目</w:t>
      </w:r>
      <w:r>
        <w:rPr>
          <w:rFonts w:hint="eastAsia" w:ascii="方正小标宋简体" w:hAnsi="方正小标宋简体" w:eastAsia="方正小标宋简体" w:cs="方正小标宋简体"/>
          <w:b w:val="0"/>
          <w:bCs w:val="0"/>
          <w:color w:val="auto"/>
          <w:kern w:val="0"/>
          <w:sz w:val="44"/>
          <w:szCs w:val="44"/>
        </w:rPr>
        <w:t>支出绩效自评报告</w:t>
      </w:r>
    </w:p>
    <w:p>
      <w:pPr>
        <w:pStyle w:val="8"/>
        <w:keepNext w:val="0"/>
        <w:keepLines w:val="0"/>
        <w:pageBreakBefore w:val="0"/>
        <w:widowControl w:val="0"/>
        <w:kinsoku/>
        <w:wordWrap/>
        <w:overflowPunct/>
        <w:topLinePunct w:val="0"/>
        <w:autoSpaceDN/>
        <w:bidi w:val="0"/>
        <w:spacing w:line="576" w:lineRule="exact"/>
        <w:ind w:left="0" w:leftChars="0"/>
        <w:textAlignment w:val="auto"/>
        <w:rPr>
          <w:rFonts w:hint="eastAsia"/>
          <w:color w:val="auto"/>
        </w:rPr>
      </w:pPr>
    </w:p>
    <w:p>
      <w:pPr>
        <w:keepNext w:val="0"/>
        <w:keepLines w:val="0"/>
        <w:pageBreakBefore w:val="0"/>
        <w:kinsoku/>
        <w:wordWrap/>
        <w:overflowPunct/>
        <w:topLinePunct w:val="0"/>
        <w:bidi w:val="0"/>
        <w:adjustRightInd/>
        <w:snapToGrid/>
        <w:spacing w:line="576" w:lineRule="exact"/>
        <w:ind w:firstLine="645"/>
        <w:jc w:val="lef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项目概况</w:t>
      </w:r>
    </w:p>
    <w:p>
      <w:pPr>
        <w:keepNext w:val="0"/>
        <w:keepLines w:val="0"/>
        <w:pageBreakBefore w:val="0"/>
        <w:kinsoku/>
        <w:wordWrap/>
        <w:overflowPunct/>
        <w:topLinePunct w:val="0"/>
        <w:bidi w:val="0"/>
        <w:adjustRightInd/>
        <w:snapToGrid/>
        <w:spacing w:line="576" w:lineRule="exact"/>
        <w:ind w:firstLine="645"/>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项目基本情况</w:t>
      </w:r>
    </w:p>
    <w:p>
      <w:pPr>
        <w:keepNext w:val="0"/>
        <w:keepLines w:val="0"/>
        <w:pageBreakBefore w:val="0"/>
        <w:kinsoku/>
        <w:wordWrap/>
        <w:overflowPunct/>
        <w:topLinePunct w:val="0"/>
        <w:bidi w:val="0"/>
        <w:adjustRightInd/>
        <w:snapToGrid/>
        <w:spacing w:line="576" w:lineRule="exact"/>
        <w:ind w:firstLine="645"/>
        <w:jc w:val="left"/>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根据</w:t>
      </w:r>
      <w:r>
        <w:rPr>
          <w:rFonts w:hint="eastAsia" w:ascii="仿宋_GB2312" w:eastAsia="仿宋_GB2312"/>
          <w:sz w:val="32"/>
          <w:szCs w:val="32"/>
        </w:rPr>
        <w:t>《四川省农业农村厅关于做好</w:t>
      </w:r>
      <w:r>
        <w:rPr>
          <w:rFonts w:hint="eastAsia" w:ascii="仿宋_GB2312" w:eastAsia="仿宋_GB2312"/>
          <w:sz w:val="32"/>
          <w:szCs w:val="32"/>
          <w:lang w:val="en-US" w:eastAsia="zh-CN"/>
        </w:rPr>
        <w:t>2021</w:t>
      </w:r>
      <w:r>
        <w:rPr>
          <w:rFonts w:hint="eastAsia" w:ascii="仿宋_GB2312" w:eastAsia="仿宋_GB2312"/>
          <w:sz w:val="32"/>
          <w:szCs w:val="32"/>
        </w:rPr>
        <w:t>年省级财政现代农业发展工程</w:t>
      </w:r>
      <w:r>
        <w:rPr>
          <w:rFonts w:hint="eastAsia" w:ascii="仿宋_GB2312" w:eastAsia="仿宋_GB2312"/>
          <w:sz w:val="32"/>
          <w:szCs w:val="32"/>
          <w:lang w:eastAsia="zh-CN"/>
        </w:rPr>
        <w:t>三大先导性支撑产业现代种业发展工作的</w:t>
      </w:r>
      <w:r>
        <w:rPr>
          <w:rFonts w:hint="eastAsia" w:ascii="仿宋_GB2312" w:eastAsia="仿宋_GB2312"/>
          <w:sz w:val="32"/>
          <w:szCs w:val="32"/>
        </w:rPr>
        <w:t>通知》（川农函〔</w:t>
      </w:r>
      <w:r>
        <w:rPr>
          <w:rFonts w:hint="eastAsia" w:ascii="仿宋_GB2312" w:eastAsia="仿宋_GB2312"/>
          <w:sz w:val="32"/>
          <w:szCs w:val="32"/>
          <w:lang w:val="en-US" w:eastAsia="zh-CN"/>
        </w:rPr>
        <w:t>2021</w:t>
      </w:r>
      <w:r>
        <w:rPr>
          <w:rFonts w:hint="eastAsia" w:ascii="仿宋_GB2312" w:eastAsia="仿宋_GB2312"/>
          <w:sz w:val="32"/>
          <w:szCs w:val="32"/>
        </w:rPr>
        <w:t>〕</w:t>
      </w:r>
      <w:r>
        <w:rPr>
          <w:rFonts w:hint="eastAsia" w:ascii="仿宋_GB2312" w:eastAsia="仿宋_GB2312"/>
          <w:sz w:val="32"/>
          <w:szCs w:val="32"/>
          <w:lang w:val="en-US" w:eastAsia="zh-CN"/>
        </w:rPr>
        <w:t>274</w:t>
      </w:r>
      <w:r>
        <w:rPr>
          <w:rFonts w:hint="eastAsia" w:ascii="仿宋_GB2312" w:eastAsia="仿宋_GB2312"/>
          <w:sz w:val="32"/>
          <w:szCs w:val="32"/>
        </w:rPr>
        <w:t>号）和《</w:t>
      </w:r>
      <w:r>
        <w:rPr>
          <w:rFonts w:hint="eastAsia" w:ascii="仿宋_GB2312" w:eastAsia="仿宋_GB2312"/>
          <w:sz w:val="32"/>
          <w:szCs w:val="32"/>
          <w:lang w:eastAsia="zh-CN"/>
        </w:rPr>
        <w:t>四川</w:t>
      </w:r>
      <w:r>
        <w:rPr>
          <w:rFonts w:hint="eastAsia" w:ascii="仿宋_GB2312" w:eastAsia="仿宋_GB2312"/>
          <w:sz w:val="32"/>
          <w:szCs w:val="32"/>
        </w:rPr>
        <w:t>省农业农村厅</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四川</w:t>
      </w:r>
      <w:r>
        <w:rPr>
          <w:rFonts w:hint="eastAsia" w:ascii="仿宋_GB2312" w:eastAsia="仿宋_GB2312"/>
          <w:sz w:val="32"/>
          <w:szCs w:val="32"/>
        </w:rPr>
        <w:t>省财政厅关于下达</w:t>
      </w:r>
      <w:r>
        <w:rPr>
          <w:rFonts w:hint="eastAsia" w:ascii="仿宋_GB2312" w:eastAsia="仿宋_GB2312"/>
          <w:sz w:val="32"/>
          <w:szCs w:val="32"/>
          <w:lang w:val="en-US" w:eastAsia="zh-CN"/>
        </w:rPr>
        <w:t>2021</w:t>
      </w:r>
      <w:r>
        <w:rPr>
          <w:rFonts w:hint="eastAsia" w:ascii="仿宋_GB2312" w:eastAsia="仿宋_GB2312"/>
          <w:sz w:val="32"/>
          <w:szCs w:val="32"/>
        </w:rPr>
        <w:t>年省级财政现代农业发展工程共同财政事权转移支付资金的通知》（川财农〔</w:t>
      </w:r>
      <w:r>
        <w:rPr>
          <w:rFonts w:hint="eastAsia" w:ascii="仿宋_GB2312" w:eastAsia="仿宋_GB2312"/>
          <w:sz w:val="32"/>
          <w:szCs w:val="32"/>
          <w:lang w:val="en-US" w:eastAsia="zh-CN"/>
        </w:rPr>
        <w:t>2021</w:t>
      </w:r>
      <w:r>
        <w:rPr>
          <w:rFonts w:hint="eastAsia" w:ascii="仿宋_GB2312" w:eastAsia="仿宋_GB2312"/>
          <w:sz w:val="32"/>
          <w:szCs w:val="32"/>
        </w:rPr>
        <w:t>〕</w:t>
      </w:r>
      <w:r>
        <w:rPr>
          <w:rFonts w:hint="eastAsia" w:ascii="仿宋_GB2312" w:eastAsia="仿宋_GB2312"/>
          <w:sz w:val="32"/>
          <w:szCs w:val="32"/>
          <w:lang w:val="en-US" w:eastAsia="zh-CN"/>
        </w:rPr>
        <w:t>18</w:t>
      </w:r>
      <w:r>
        <w:rPr>
          <w:rFonts w:hint="eastAsia" w:ascii="仿宋_GB2312" w:eastAsia="仿宋_GB2312"/>
          <w:sz w:val="32"/>
          <w:szCs w:val="32"/>
        </w:rPr>
        <w:t>号）</w:t>
      </w:r>
      <w:r>
        <w:rPr>
          <w:rFonts w:hint="eastAsia" w:ascii="仿宋_GB2312" w:eastAsia="仿宋_GB2312"/>
          <w:sz w:val="32"/>
          <w:szCs w:val="32"/>
          <w:lang w:val="en-US" w:eastAsia="zh-CN"/>
        </w:rPr>
        <w:t>要求</w:t>
      </w:r>
      <w:r>
        <w:rPr>
          <w:rFonts w:hint="eastAsia" w:ascii="仿宋_GB2312" w:eastAsia="仿宋_GB2312"/>
          <w:sz w:val="32"/>
          <w:szCs w:val="32"/>
        </w:rPr>
        <w:t>，</w:t>
      </w:r>
      <w:r>
        <w:rPr>
          <w:rFonts w:hint="eastAsia" w:ascii="仿宋_GB2312" w:eastAsia="仿宋_GB2312"/>
          <w:sz w:val="32"/>
          <w:szCs w:val="32"/>
          <w:lang w:val="en-US" w:eastAsia="zh-CN"/>
        </w:rPr>
        <w:t>我区编制了《</w:t>
      </w:r>
      <w:r>
        <w:rPr>
          <w:rFonts w:hint="eastAsia" w:ascii="仿宋_GB2312" w:eastAsia="仿宋_GB2312"/>
          <w:sz w:val="32"/>
          <w:szCs w:val="32"/>
        </w:rPr>
        <w:t>朝天区</w:t>
      </w:r>
      <w:r>
        <w:rPr>
          <w:rFonts w:hint="eastAsia" w:ascii="仿宋_GB2312" w:eastAsia="仿宋_GB2312"/>
          <w:sz w:val="32"/>
          <w:szCs w:val="32"/>
          <w:lang w:val="en-US" w:eastAsia="zh-CN"/>
        </w:rPr>
        <w:t>2021</w:t>
      </w:r>
      <w:r>
        <w:rPr>
          <w:rFonts w:hint="eastAsia" w:ascii="仿宋_GB2312" w:eastAsia="仿宋_GB2312"/>
          <w:sz w:val="32"/>
          <w:szCs w:val="32"/>
        </w:rPr>
        <w:t>年省级财政现代农业发展工程农作物品种展示评价及安全性监测项目</w:t>
      </w:r>
      <w:r>
        <w:rPr>
          <w:rFonts w:hint="eastAsia" w:ascii="仿宋_GB2312" w:eastAsia="仿宋_GB2312"/>
          <w:sz w:val="32"/>
          <w:szCs w:val="32"/>
          <w:lang w:val="en-US" w:eastAsia="zh-CN"/>
        </w:rPr>
        <w:t>实施方案》，并报区人民政府批复。由</w:t>
      </w:r>
      <w:r>
        <w:rPr>
          <w:rFonts w:hint="eastAsia" w:ascii="仿宋_GB2312" w:eastAsia="仿宋_GB2312"/>
          <w:sz w:val="32"/>
          <w:szCs w:val="32"/>
        </w:rPr>
        <w:t>广元市朝天农业开发有限责任公司</w:t>
      </w:r>
      <w:r>
        <w:rPr>
          <w:rFonts w:hint="eastAsia" w:ascii="仿宋_GB2312" w:eastAsia="仿宋_GB2312"/>
          <w:sz w:val="32"/>
          <w:szCs w:val="32"/>
          <w:lang w:val="en-US" w:eastAsia="zh-CN"/>
        </w:rPr>
        <w:t>具体实施。</w:t>
      </w:r>
    </w:p>
    <w:p>
      <w:pPr>
        <w:keepNext w:val="0"/>
        <w:keepLines w:val="0"/>
        <w:pageBreakBefore w:val="0"/>
        <w:kinsoku/>
        <w:wordWrap/>
        <w:overflowPunct/>
        <w:topLinePunct w:val="0"/>
        <w:bidi w:val="0"/>
        <w:adjustRightInd/>
        <w:snapToGrid/>
        <w:spacing w:line="576" w:lineRule="exact"/>
        <w:ind w:firstLine="645"/>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二、项目绩效目标 </w:t>
      </w:r>
    </w:p>
    <w:p>
      <w:pPr>
        <w:keepNext w:val="0"/>
        <w:keepLines w:val="0"/>
        <w:pageBreakBefore w:val="0"/>
        <w:kinsoku/>
        <w:wordWrap/>
        <w:overflowPunct/>
        <w:topLinePunct w:val="0"/>
        <w:bidi w:val="0"/>
        <w:adjustRightInd/>
        <w:snapToGrid/>
        <w:spacing w:line="576" w:lineRule="exact"/>
        <w:ind w:firstLine="645"/>
        <w:jc w:val="lef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1、项目主要内容。该项目在曾家镇李家村实施玉米品种展示评价52个，在羊木镇新山村实施油菜展示评价79个，小麦展示评价31个，共计展示评价农作物品种162个次；分别在</w:t>
      </w:r>
      <w:r>
        <w:rPr>
          <w:rFonts w:hint="eastAsia" w:ascii="仿宋_GB2312" w:eastAsia="仿宋_GB2312"/>
          <w:sz w:val="32"/>
          <w:szCs w:val="32"/>
          <w:lang w:eastAsia="zh-CN"/>
        </w:rPr>
        <w:t>朝天镇双河村、</w:t>
      </w:r>
      <w:r>
        <w:rPr>
          <w:rFonts w:hint="eastAsia" w:ascii="仿宋_GB2312" w:eastAsia="仿宋_GB2312"/>
          <w:sz w:val="32"/>
          <w:szCs w:val="32"/>
        </w:rPr>
        <w:t>临溪乡</w:t>
      </w:r>
      <w:r>
        <w:rPr>
          <w:rFonts w:hint="eastAsia" w:ascii="仿宋_GB2312" w:eastAsia="仿宋_GB2312"/>
          <w:sz w:val="32"/>
          <w:szCs w:val="32"/>
          <w:lang w:eastAsia="zh-CN"/>
        </w:rPr>
        <w:t>望坪村</w:t>
      </w:r>
      <w:r>
        <w:rPr>
          <w:rFonts w:hint="eastAsia" w:ascii="仿宋_GB2312" w:eastAsia="仿宋_GB2312"/>
          <w:sz w:val="32"/>
          <w:szCs w:val="32"/>
        </w:rPr>
        <w:t>、</w:t>
      </w:r>
      <w:r>
        <w:rPr>
          <w:rFonts w:hint="eastAsia" w:ascii="仿宋_GB2312" w:eastAsia="仿宋_GB2312"/>
          <w:sz w:val="32"/>
          <w:szCs w:val="32"/>
          <w:lang w:eastAsia="zh-CN"/>
        </w:rPr>
        <w:t>羊木镇东山村</w:t>
      </w:r>
      <w:r>
        <w:rPr>
          <w:rFonts w:hint="eastAsia" w:ascii="仿宋_GB2312" w:eastAsia="仿宋_GB2312"/>
          <w:sz w:val="32"/>
          <w:szCs w:val="32"/>
        </w:rPr>
        <w:t>、两河口镇</w:t>
      </w:r>
      <w:r>
        <w:rPr>
          <w:rFonts w:hint="eastAsia" w:ascii="仿宋_GB2312" w:eastAsia="仿宋_GB2312"/>
          <w:sz w:val="32"/>
          <w:szCs w:val="32"/>
          <w:lang w:eastAsia="zh-CN"/>
        </w:rPr>
        <w:t>吉庆村，</w:t>
      </w:r>
      <w:r>
        <w:rPr>
          <w:rFonts w:hint="eastAsia" w:ascii="仿宋_GB2312" w:eastAsia="仿宋_GB2312"/>
          <w:sz w:val="32"/>
          <w:szCs w:val="32"/>
          <w:lang w:val="en-US" w:eastAsia="zh-CN"/>
        </w:rPr>
        <w:t>建设农作物品种安全性监测点5个。</w:t>
      </w:r>
    </w:p>
    <w:p>
      <w:pPr>
        <w:keepNext w:val="0"/>
        <w:keepLines w:val="0"/>
        <w:pageBreakBefore w:val="0"/>
        <w:kinsoku/>
        <w:wordWrap/>
        <w:overflowPunct/>
        <w:topLinePunct w:val="0"/>
        <w:bidi w:val="0"/>
        <w:adjustRightInd/>
        <w:snapToGrid/>
        <w:spacing w:line="576" w:lineRule="exact"/>
        <w:ind w:firstLine="645"/>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根据《</w:t>
      </w:r>
      <w:r>
        <w:rPr>
          <w:rFonts w:hint="eastAsia" w:ascii="仿宋_GB2312" w:eastAsia="仿宋_GB2312"/>
          <w:sz w:val="32"/>
          <w:szCs w:val="32"/>
          <w:lang w:eastAsia="zh-CN"/>
        </w:rPr>
        <w:t>四川</w:t>
      </w:r>
      <w:r>
        <w:rPr>
          <w:rFonts w:hint="eastAsia" w:ascii="仿宋_GB2312" w:eastAsia="仿宋_GB2312"/>
          <w:sz w:val="32"/>
          <w:szCs w:val="32"/>
        </w:rPr>
        <w:t>省农业农村厅</w:t>
      </w:r>
      <w:r>
        <w:rPr>
          <w:rFonts w:hint="eastAsia" w:ascii="仿宋_GB2312" w:eastAsia="仿宋_GB2312"/>
          <w:sz w:val="32"/>
          <w:szCs w:val="32"/>
          <w:lang w:val="en-US" w:eastAsia="zh-CN"/>
        </w:rPr>
        <w:t xml:space="preserve"> 四川</w:t>
      </w:r>
      <w:r>
        <w:rPr>
          <w:rFonts w:hint="eastAsia" w:ascii="仿宋_GB2312" w:eastAsia="仿宋_GB2312"/>
          <w:sz w:val="32"/>
          <w:szCs w:val="32"/>
        </w:rPr>
        <w:t>省财政厅关于下达202</w:t>
      </w:r>
      <w:r>
        <w:rPr>
          <w:rFonts w:hint="eastAsia" w:ascii="仿宋_GB2312" w:eastAsia="仿宋_GB2312"/>
          <w:sz w:val="32"/>
          <w:szCs w:val="32"/>
          <w:lang w:val="en-US" w:eastAsia="zh-CN"/>
        </w:rPr>
        <w:t>1</w:t>
      </w:r>
      <w:r>
        <w:rPr>
          <w:rFonts w:hint="eastAsia" w:ascii="仿宋_GB2312" w:eastAsia="仿宋_GB2312"/>
          <w:sz w:val="32"/>
          <w:szCs w:val="32"/>
        </w:rPr>
        <w:t>年省级财政现代农业发展工程共同财政事权转移支付资金的通知》（川财农〔202</w:t>
      </w:r>
      <w:r>
        <w:rPr>
          <w:rFonts w:hint="eastAsia" w:ascii="仿宋_GB2312" w:eastAsia="仿宋_GB2312"/>
          <w:sz w:val="32"/>
          <w:szCs w:val="32"/>
          <w:lang w:val="en-US" w:eastAsia="zh-CN"/>
        </w:rPr>
        <w:t>1</w:t>
      </w:r>
      <w:r>
        <w:rPr>
          <w:rFonts w:hint="eastAsia" w:ascii="仿宋_GB2312" w:eastAsia="仿宋_GB2312"/>
          <w:sz w:val="32"/>
          <w:szCs w:val="32"/>
        </w:rPr>
        <w:t>〕</w:t>
      </w:r>
      <w:r>
        <w:rPr>
          <w:rFonts w:hint="eastAsia" w:ascii="仿宋_GB2312" w:eastAsia="仿宋_GB2312"/>
          <w:sz w:val="32"/>
          <w:szCs w:val="32"/>
          <w:lang w:val="en-US" w:eastAsia="zh-CN"/>
        </w:rPr>
        <w:t>18</w:t>
      </w:r>
      <w:r>
        <w:rPr>
          <w:rFonts w:hint="eastAsia" w:ascii="仿宋_GB2312" w:eastAsia="仿宋_GB2312"/>
          <w:sz w:val="32"/>
          <w:szCs w:val="32"/>
        </w:rPr>
        <w:t>号）</w:t>
      </w:r>
      <w:r>
        <w:rPr>
          <w:rFonts w:hint="eastAsia" w:ascii="仿宋_GB2312" w:eastAsia="仿宋_GB2312"/>
          <w:sz w:val="32"/>
          <w:szCs w:val="32"/>
          <w:lang w:val="en-US" w:eastAsia="zh-CN"/>
        </w:rPr>
        <w:t>要求</w:t>
      </w:r>
      <w:r>
        <w:rPr>
          <w:rFonts w:hint="eastAsia" w:ascii="仿宋_GB2312" w:eastAsia="仿宋_GB2312"/>
          <w:sz w:val="32"/>
          <w:szCs w:val="32"/>
          <w:lang w:eastAsia="zh-CN"/>
        </w:rPr>
        <w:t>，</w:t>
      </w:r>
      <w:r>
        <w:rPr>
          <w:rFonts w:hint="eastAsia" w:ascii="仿宋_GB2312" w:eastAsia="仿宋_GB2312"/>
          <w:sz w:val="32"/>
          <w:szCs w:val="32"/>
          <w:lang w:val="en-US" w:eastAsia="zh-CN"/>
        </w:rPr>
        <w:t>下达我区该项目资金20万元。</w:t>
      </w:r>
    </w:p>
    <w:p>
      <w:pPr>
        <w:keepNext w:val="0"/>
        <w:keepLines w:val="0"/>
        <w:pageBreakBefore w:val="0"/>
        <w:kinsoku/>
        <w:wordWrap/>
        <w:overflowPunct/>
        <w:topLinePunct w:val="0"/>
        <w:bidi w:val="0"/>
        <w:adjustRightInd/>
        <w:snapToGrid/>
        <w:spacing w:line="576" w:lineRule="exact"/>
        <w:ind w:firstLine="645"/>
        <w:jc w:val="left"/>
        <w:textAlignment w:val="auto"/>
        <w:rPr>
          <w:rFonts w:hint="eastAsia" w:ascii="仿宋_GB2312" w:eastAsia="仿宋_GB2312"/>
          <w:sz w:val="32"/>
          <w:szCs w:val="32"/>
          <w:lang w:val="zh-CN" w:eastAsia="zh-CN"/>
        </w:rPr>
      </w:pPr>
      <w:r>
        <w:rPr>
          <w:rFonts w:hint="eastAsia" w:ascii="楷体_GB2312" w:hAnsi="楷体_GB2312" w:eastAsia="楷体_GB2312" w:cs="楷体_GB2312"/>
          <w:sz w:val="32"/>
          <w:szCs w:val="32"/>
          <w:lang w:val="en-US" w:eastAsia="zh-CN"/>
        </w:rPr>
        <w:t>3、项目资金申报相符性。</w:t>
      </w:r>
      <w:r>
        <w:rPr>
          <w:rFonts w:hint="eastAsia" w:ascii="仿宋_GB2312" w:eastAsia="仿宋_GB2312"/>
          <w:sz w:val="32"/>
          <w:szCs w:val="32"/>
          <w:lang w:val="zh-CN" w:eastAsia="zh-CN"/>
        </w:rPr>
        <w:t>该项目申报内容与具体实内容相符、申报目标合理可行。</w:t>
      </w:r>
    </w:p>
    <w:p>
      <w:pPr>
        <w:keepNext w:val="0"/>
        <w:keepLines w:val="0"/>
        <w:pageBreakBefore w:val="0"/>
        <w:kinsoku/>
        <w:wordWrap/>
        <w:overflowPunct/>
        <w:topLinePunct w:val="0"/>
        <w:bidi w:val="0"/>
        <w:adjustRightInd/>
        <w:snapToGrid/>
        <w:spacing w:line="576" w:lineRule="exact"/>
        <w:ind w:firstLine="645"/>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（三）项目自评步骤及方法</w:t>
      </w:r>
    </w:p>
    <w:p>
      <w:pPr>
        <w:keepNext w:val="0"/>
        <w:keepLines w:val="0"/>
        <w:pageBreakBefore w:val="0"/>
        <w:widowControl w:val="0"/>
        <w:kinsoku/>
        <w:wordWrap/>
        <w:overflowPunct/>
        <w:topLinePunct w:val="0"/>
        <w:autoSpaceDE w:val="0"/>
        <w:autoSpaceDN/>
        <w:bidi w:val="0"/>
        <w:adjustRightInd/>
        <w:snapToGrid/>
        <w:spacing w:line="560" w:lineRule="exact"/>
        <w:ind w:left="0" w:leftChars="0" w:firstLine="632" w:firstLineChars="200"/>
        <w:jc w:val="both"/>
        <w:textAlignment w:val="auto"/>
        <w:rPr>
          <w:rFonts w:hint="default" w:ascii="仿宋_GB2312" w:hAnsi="宋体" w:eastAsia="仿宋_GB2312" w:cs="Times New Roman"/>
          <w:w w:val="99"/>
          <w:sz w:val="32"/>
          <w:szCs w:val="32"/>
          <w:highlight w:val="none"/>
          <w:lang w:val="en-US" w:eastAsia="zh-CN"/>
        </w:rPr>
      </w:pPr>
      <w:r>
        <w:rPr>
          <w:rFonts w:hint="eastAsia" w:ascii="仿宋_GB2312" w:hAnsi="宋体" w:eastAsia="仿宋_GB2312" w:cs="Times New Roman"/>
          <w:w w:val="99"/>
          <w:sz w:val="32"/>
          <w:szCs w:val="32"/>
          <w:highlight w:val="none"/>
          <w:lang w:val="en-US" w:eastAsia="zh-CN"/>
        </w:rPr>
        <w:t>根据区财政局《关于开展2022年部门、政策和项目支出绩效自评工作的通知》（广朝财发〔2022〕28号）要求，对照</w:t>
      </w:r>
      <w:r>
        <w:rPr>
          <w:rFonts w:hint="eastAsia" w:ascii="仿宋_GB2312" w:hAnsi="仿宋_GB2312" w:eastAsia="仿宋_GB2312" w:cs="仿宋_GB2312"/>
          <w:color w:val="auto"/>
          <w:kern w:val="0"/>
          <w:sz w:val="32"/>
          <w:szCs w:val="32"/>
          <w:lang w:val="en-US" w:eastAsia="zh-CN"/>
        </w:rPr>
        <w:t>项目案资料收集是否规范齐全，程序是否合理，进行全面</w:t>
      </w:r>
      <w:r>
        <w:rPr>
          <w:rFonts w:hint="eastAsia" w:ascii="仿宋_GB2312" w:hAnsi="宋体" w:eastAsia="仿宋_GB2312" w:cs="Times New Roman"/>
          <w:w w:val="99"/>
          <w:sz w:val="32"/>
          <w:szCs w:val="32"/>
          <w:lang w:val="en-US" w:eastAsia="zh-CN"/>
        </w:rPr>
        <w:t>开展专项预算项目支出绩效目标自评。</w:t>
      </w:r>
    </w:p>
    <w:p>
      <w:pPr>
        <w:keepNext w:val="0"/>
        <w:keepLines w:val="0"/>
        <w:pageBreakBefore w:val="0"/>
        <w:kinsoku/>
        <w:wordWrap/>
        <w:overflowPunct/>
        <w:topLinePunct w:val="0"/>
        <w:bidi w:val="0"/>
        <w:adjustRightInd/>
        <w:snapToGrid/>
        <w:spacing w:line="576" w:lineRule="exact"/>
        <w:ind w:firstLine="645"/>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二、项目资金申报及使用情况</w:t>
      </w:r>
    </w:p>
    <w:p>
      <w:pPr>
        <w:keepNext w:val="0"/>
        <w:keepLines w:val="0"/>
        <w:pageBreakBefore w:val="0"/>
        <w:kinsoku/>
        <w:wordWrap/>
        <w:overflowPunct/>
        <w:topLinePunct w:val="0"/>
        <w:bidi w:val="0"/>
        <w:adjustRightInd/>
        <w:snapToGrid/>
        <w:spacing w:line="576" w:lineRule="exact"/>
        <w:ind w:firstLine="645"/>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（一）项目资金申报及批复情况</w:t>
      </w:r>
    </w:p>
    <w:p>
      <w:pPr>
        <w:keepNext w:val="0"/>
        <w:keepLines w:val="0"/>
        <w:pageBreakBefore w:val="0"/>
        <w:kinsoku/>
        <w:wordWrap/>
        <w:overflowPunct/>
        <w:topLinePunct w:val="0"/>
        <w:bidi w:val="0"/>
        <w:adjustRightInd/>
        <w:snapToGrid/>
        <w:spacing w:line="576" w:lineRule="exact"/>
        <w:ind w:firstLine="645"/>
        <w:jc w:val="left"/>
        <w:textAlignment w:val="auto"/>
        <w:rPr>
          <w:rFonts w:hint="eastAsia" w:ascii="仿宋_GB2312" w:eastAsia="仿宋_GB2312"/>
          <w:sz w:val="32"/>
          <w:szCs w:val="32"/>
          <w:lang w:val="zh-CN" w:eastAsia="zh-CN"/>
        </w:rPr>
      </w:pPr>
      <w:r>
        <w:rPr>
          <w:rFonts w:hint="eastAsia" w:ascii="仿宋_GB2312" w:eastAsia="仿宋_GB2312"/>
          <w:sz w:val="32"/>
          <w:szCs w:val="32"/>
          <w:lang w:val="en-US" w:eastAsia="zh-CN"/>
        </w:rPr>
        <w:t>2021年6月23日，我局编制了《</w:t>
      </w:r>
      <w:r>
        <w:rPr>
          <w:rFonts w:hint="eastAsia" w:ascii="仿宋_GB2312" w:eastAsia="仿宋_GB2312"/>
          <w:sz w:val="32"/>
          <w:szCs w:val="32"/>
        </w:rPr>
        <w:t>朝天区</w:t>
      </w:r>
      <w:r>
        <w:rPr>
          <w:rFonts w:hint="eastAsia" w:ascii="仿宋_GB2312" w:eastAsia="仿宋_GB2312"/>
          <w:sz w:val="32"/>
          <w:szCs w:val="32"/>
          <w:lang w:val="en-US" w:eastAsia="zh-CN"/>
        </w:rPr>
        <w:t>2021</w:t>
      </w:r>
      <w:r>
        <w:rPr>
          <w:rFonts w:hint="eastAsia" w:ascii="仿宋_GB2312" w:eastAsia="仿宋_GB2312"/>
          <w:sz w:val="32"/>
          <w:szCs w:val="32"/>
        </w:rPr>
        <w:t>年省级财政现代农业发展工程农作物品种展示评价及安全性监测项目实施方案</w:t>
      </w:r>
      <w:r>
        <w:rPr>
          <w:rFonts w:hint="eastAsia" w:ascii="仿宋_GB2312" w:eastAsia="仿宋_GB2312"/>
          <w:sz w:val="32"/>
          <w:szCs w:val="32"/>
          <w:lang w:val="en-US" w:eastAsia="zh-CN"/>
        </w:rPr>
        <w:t>》，并报区人民政府批复，区人民政府于2021年6月29日进行批复。</w:t>
      </w:r>
    </w:p>
    <w:p>
      <w:pPr>
        <w:keepNext w:val="0"/>
        <w:keepLines w:val="0"/>
        <w:pageBreakBefore w:val="0"/>
        <w:kinsoku/>
        <w:wordWrap/>
        <w:overflowPunct/>
        <w:topLinePunct w:val="0"/>
        <w:bidi w:val="0"/>
        <w:adjustRightInd/>
        <w:snapToGrid/>
        <w:spacing w:line="576" w:lineRule="exact"/>
        <w:ind w:firstLine="645"/>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（二）资金计划、到位及使用情况</w:t>
      </w:r>
    </w:p>
    <w:p>
      <w:pPr>
        <w:keepNext w:val="0"/>
        <w:keepLines w:val="0"/>
        <w:pageBreakBefore w:val="0"/>
        <w:kinsoku/>
        <w:wordWrap/>
        <w:overflowPunct/>
        <w:topLinePunct w:val="0"/>
        <w:bidi w:val="0"/>
        <w:adjustRightInd/>
        <w:snapToGrid/>
        <w:spacing w:line="576" w:lineRule="exact"/>
        <w:ind w:firstLine="645"/>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1、资金计划。</w:t>
      </w:r>
      <w:r>
        <w:rPr>
          <w:rFonts w:hint="eastAsia" w:ascii="仿宋_GB2312" w:eastAsia="仿宋_GB2312"/>
          <w:sz w:val="32"/>
          <w:szCs w:val="32"/>
          <w:lang w:val="zh-CN" w:eastAsia="zh-CN"/>
        </w:rPr>
        <w:t>该项目下达</w:t>
      </w:r>
      <w:r>
        <w:rPr>
          <w:rFonts w:hint="eastAsia" w:ascii="仿宋_GB2312" w:eastAsia="仿宋_GB2312"/>
          <w:sz w:val="32"/>
          <w:szCs w:val="32"/>
          <w:lang w:val="en-US" w:eastAsia="zh-CN"/>
        </w:rPr>
        <w:t>专项</w:t>
      </w:r>
      <w:r>
        <w:rPr>
          <w:rFonts w:hint="eastAsia" w:ascii="仿宋_GB2312" w:eastAsia="仿宋_GB2312"/>
          <w:sz w:val="32"/>
          <w:szCs w:val="32"/>
          <w:lang w:val="zh-CN" w:eastAsia="zh-CN"/>
        </w:rPr>
        <w:t>资金</w:t>
      </w:r>
      <w:r>
        <w:rPr>
          <w:rFonts w:hint="eastAsia" w:ascii="仿宋_GB2312" w:eastAsia="仿宋_GB2312"/>
          <w:sz w:val="32"/>
          <w:szCs w:val="32"/>
          <w:lang w:val="en-US" w:eastAsia="zh-CN"/>
        </w:rPr>
        <w:t>20万元。</w:t>
      </w:r>
    </w:p>
    <w:p>
      <w:pPr>
        <w:keepNext w:val="0"/>
        <w:keepLines w:val="0"/>
        <w:pageBreakBefore w:val="0"/>
        <w:kinsoku/>
        <w:wordWrap/>
        <w:overflowPunct/>
        <w:topLinePunct w:val="0"/>
        <w:bidi w:val="0"/>
        <w:adjustRightInd/>
        <w:snapToGrid/>
        <w:spacing w:line="576" w:lineRule="exact"/>
        <w:ind w:firstLine="645"/>
        <w:jc w:val="lef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2、资金到位。截止目前，资金到位20万元，资金到位率100%。项目资金到位及时。</w:t>
      </w:r>
    </w:p>
    <w:p>
      <w:pPr>
        <w:keepNext w:val="0"/>
        <w:keepLines w:val="0"/>
        <w:pageBreakBefore w:val="0"/>
        <w:kinsoku/>
        <w:wordWrap/>
        <w:overflowPunct/>
        <w:topLinePunct w:val="0"/>
        <w:bidi w:val="0"/>
        <w:adjustRightInd/>
        <w:snapToGrid/>
        <w:spacing w:line="576" w:lineRule="exact"/>
        <w:ind w:firstLine="645"/>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3、资金使用。该项目资金</w:t>
      </w:r>
      <w:r>
        <w:rPr>
          <w:rFonts w:hint="eastAsia" w:ascii="仿宋_GB2312" w:eastAsia="仿宋_GB2312"/>
          <w:sz w:val="32"/>
          <w:szCs w:val="32"/>
          <w:lang w:val="zh-CN" w:eastAsia="zh-CN"/>
        </w:rPr>
        <w:t>支</w:t>
      </w:r>
      <w:r>
        <w:rPr>
          <w:rFonts w:hint="eastAsia" w:ascii="仿宋_GB2312" w:eastAsia="仿宋_GB2312"/>
          <w:sz w:val="32"/>
          <w:szCs w:val="32"/>
          <w:lang w:val="en-US" w:eastAsia="zh-CN"/>
        </w:rPr>
        <w:t>付20万元，项目资金拨付比例达100%。项目资金支出有规范的表册资料，无挤占截留挪用专项资金现象。</w:t>
      </w:r>
    </w:p>
    <w:p>
      <w:pPr>
        <w:keepNext w:val="0"/>
        <w:keepLines w:val="0"/>
        <w:pageBreakBefore w:val="0"/>
        <w:kinsoku/>
        <w:wordWrap/>
        <w:overflowPunct/>
        <w:topLinePunct w:val="0"/>
        <w:bidi w:val="0"/>
        <w:adjustRightInd/>
        <w:snapToGrid/>
        <w:spacing w:line="576" w:lineRule="exact"/>
        <w:ind w:firstLine="645"/>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（三）项目财务管理情况</w:t>
      </w:r>
    </w:p>
    <w:p>
      <w:pPr>
        <w:keepNext w:val="0"/>
        <w:keepLines w:val="0"/>
        <w:pageBreakBefore w:val="0"/>
        <w:kinsoku/>
        <w:wordWrap/>
        <w:overflowPunct/>
        <w:topLinePunct w:val="0"/>
        <w:bidi w:val="0"/>
        <w:adjustRightInd/>
        <w:snapToGrid/>
        <w:spacing w:line="576" w:lineRule="exact"/>
        <w:ind w:firstLine="645"/>
        <w:jc w:val="left"/>
        <w:textAlignment w:val="auto"/>
        <w:rPr>
          <w:rFonts w:hint="eastAsia" w:ascii="仿宋_GB2312" w:eastAsia="仿宋_GB2312"/>
          <w:sz w:val="32"/>
          <w:szCs w:val="32"/>
          <w:lang w:val="zh-CN" w:eastAsia="zh-CN"/>
        </w:rPr>
      </w:pPr>
      <w:r>
        <w:rPr>
          <w:rFonts w:hint="eastAsia" w:ascii="仿宋_GB2312" w:eastAsia="仿宋_GB2312"/>
          <w:sz w:val="32"/>
          <w:szCs w:val="32"/>
          <w:lang w:val="zh-CN" w:eastAsia="zh-CN"/>
        </w:rPr>
        <w:t>该项目严格按照中央、省有关文件规定，严格执行资金专款专用，确保资金使用合理、财务账目清晰、管理规范。</w:t>
      </w:r>
    </w:p>
    <w:p>
      <w:pPr>
        <w:keepNext w:val="0"/>
        <w:keepLines w:val="0"/>
        <w:pageBreakBefore w:val="0"/>
        <w:kinsoku/>
        <w:wordWrap/>
        <w:overflowPunct/>
        <w:topLinePunct w:val="0"/>
        <w:bidi w:val="0"/>
        <w:adjustRightInd/>
        <w:snapToGrid/>
        <w:spacing w:line="576" w:lineRule="exact"/>
        <w:ind w:firstLine="645"/>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三、项目实施及管理情况</w:t>
      </w:r>
    </w:p>
    <w:p>
      <w:pPr>
        <w:keepNext w:val="0"/>
        <w:keepLines w:val="0"/>
        <w:pageBreakBefore w:val="0"/>
        <w:kinsoku/>
        <w:wordWrap/>
        <w:overflowPunct/>
        <w:topLinePunct w:val="0"/>
        <w:bidi w:val="0"/>
        <w:adjustRightInd/>
        <w:snapToGrid/>
        <w:spacing w:line="576" w:lineRule="exact"/>
        <w:ind w:firstLine="645"/>
        <w:jc w:val="left"/>
        <w:textAlignment w:val="auto"/>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（一）项目组织架构及实施流程。</w:t>
      </w:r>
      <w:r>
        <w:rPr>
          <w:rFonts w:hint="eastAsia" w:ascii="仿宋_GB2312" w:eastAsia="仿宋_GB2312"/>
          <w:sz w:val="32"/>
          <w:szCs w:val="32"/>
          <w:lang w:val="en-US" w:eastAsia="zh-CN"/>
        </w:rPr>
        <w:t>区农业农村局、区财政局等区级相关部门健全工作体系，细化落实责任，加强业务技术指导，逗硬督导推进。实施单位细化工作措施，确保项目有力有序推进。</w:t>
      </w:r>
      <w:r>
        <w:rPr>
          <w:rFonts w:hint="eastAsia" w:ascii="仿宋_GB2312" w:eastAsia="仿宋_GB2312"/>
          <w:sz w:val="32"/>
          <w:szCs w:val="32"/>
        </w:rPr>
        <w:t>在关键农时季节，组织技术人员、种粮大户和农民群众到品种展示区学习观摩，</w:t>
      </w:r>
      <w:r>
        <w:rPr>
          <w:rFonts w:hint="eastAsia" w:ascii="仿宋_GB2312" w:eastAsia="仿宋_GB2312"/>
          <w:sz w:val="32"/>
          <w:szCs w:val="32"/>
          <w:lang w:val="en-US" w:eastAsia="zh-CN"/>
        </w:rPr>
        <w:t>设立</w:t>
      </w:r>
      <w:r>
        <w:rPr>
          <w:rFonts w:hint="eastAsia" w:ascii="仿宋_GB2312" w:eastAsia="仿宋_GB2312"/>
          <w:sz w:val="32"/>
          <w:szCs w:val="32"/>
        </w:rPr>
        <w:t>标识标牌标语，大力宣传推广适宜当地的新品种和配套技术</w:t>
      </w:r>
      <w:r>
        <w:rPr>
          <w:rFonts w:hint="eastAsia" w:ascii="仿宋_GB2312" w:eastAsia="仿宋_GB2312"/>
          <w:sz w:val="32"/>
          <w:szCs w:val="32"/>
          <w:lang w:eastAsia="zh-CN"/>
        </w:rPr>
        <w:t>。</w:t>
      </w:r>
    </w:p>
    <w:p>
      <w:pPr>
        <w:keepNext w:val="0"/>
        <w:keepLines w:val="0"/>
        <w:pageBreakBefore w:val="0"/>
        <w:kinsoku/>
        <w:wordWrap/>
        <w:overflowPunct/>
        <w:topLinePunct w:val="0"/>
        <w:bidi w:val="0"/>
        <w:adjustRightInd/>
        <w:snapToGrid/>
        <w:spacing w:line="576" w:lineRule="exact"/>
        <w:ind w:firstLine="645"/>
        <w:jc w:val="left"/>
        <w:textAlignment w:val="auto"/>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（二）项目管理情况。</w:t>
      </w:r>
      <w:r>
        <w:rPr>
          <w:rFonts w:hint="eastAsia" w:ascii="仿宋_GB2312" w:eastAsia="仿宋_GB2312"/>
          <w:sz w:val="32"/>
          <w:szCs w:val="32"/>
          <w:lang w:val="en-US" w:eastAsia="zh-CN"/>
        </w:rPr>
        <w:t>区农业农村局严格执行相关法律法规及项目管理制度，提高资金使用的透明度。</w:t>
      </w:r>
    </w:p>
    <w:p>
      <w:pPr>
        <w:keepNext w:val="0"/>
        <w:keepLines w:val="0"/>
        <w:pageBreakBefore w:val="0"/>
        <w:kinsoku/>
        <w:wordWrap/>
        <w:overflowPunct/>
        <w:topLinePunct w:val="0"/>
        <w:bidi w:val="0"/>
        <w:adjustRightInd/>
        <w:snapToGrid/>
        <w:spacing w:line="576" w:lineRule="exact"/>
        <w:ind w:firstLine="645"/>
        <w:jc w:val="left"/>
        <w:textAlignment w:val="auto"/>
        <w:rPr>
          <w:rFonts w:hint="eastAsia" w:ascii="仿宋_GB2312" w:eastAsia="仿宋_GB2312"/>
          <w:sz w:val="32"/>
          <w:szCs w:val="32"/>
          <w:lang w:val="zh-CN" w:eastAsia="zh-CN"/>
        </w:rPr>
      </w:pPr>
      <w:r>
        <w:rPr>
          <w:rFonts w:hint="eastAsia" w:ascii="楷体_GB2312" w:hAnsi="楷体_GB2312" w:eastAsia="楷体_GB2312" w:cs="楷体_GB2312"/>
          <w:sz w:val="32"/>
          <w:szCs w:val="32"/>
          <w:lang w:val="en-US" w:eastAsia="zh-CN"/>
        </w:rPr>
        <w:t>（三）项目监管情况。</w:t>
      </w:r>
      <w:r>
        <w:rPr>
          <w:rFonts w:hint="eastAsia" w:ascii="仿宋_GB2312" w:eastAsia="仿宋_GB2312"/>
          <w:sz w:val="32"/>
          <w:szCs w:val="32"/>
          <w:lang w:val="en-US" w:eastAsia="zh-CN"/>
        </w:rPr>
        <w:t>切实加强组织领导，健全工作推进体系，细化落实工作责任，强力推进项目实施。指导项目实施单位技术管理，督促做好档案资料管理，确保档案资料能够完整反映项目实施全过程。采取定时不定时地深入实地开展查看督促，确保项目有力有序有效推进。</w:t>
      </w:r>
    </w:p>
    <w:p>
      <w:pPr>
        <w:keepNext w:val="0"/>
        <w:keepLines w:val="0"/>
        <w:pageBreakBefore w:val="0"/>
        <w:kinsoku/>
        <w:wordWrap/>
        <w:overflowPunct/>
        <w:topLinePunct w:val="0"/>
        <w:bidi w:val="0"/>
        <w:adjustRightInd/>
        <w:snapToGrid/>
        <w:spacing w:line="576" w:lineRule="exact"/>
        <w:ind w:firstLine="645"/>
        <w:jc w:val="left"/>
        <w:textAlignment w:val="auto"/>
        <w:rPr>
          <w:rFonts w:hint="default" w:ascii="仿宋_GB2312" w:eastAsia="仿宋_GB2312"/>
          <w:sz w:val="32"/>
          <w:szCs w:val="32"/>
          <w:lang w:val="en-US" w:eastAsia="zh-CN"/>
        </w:rPr>
      </w:pPr>
      <w:r>
        <w:rPr>
          <w:rFonts w:hint="eastAsia" w:ascii="楷体_GB2312" w:hAnsi="楷体_GB2312" w:eastAsia="楷体_GB2312" w:cs="楷体_GB2312"/>
          <w:sz w:val="32"/>
          <w:szCs w:val="32"/>
          <w:lang w:val="en-US" w:eastAsia="zh-CN"/>
        </w:rPr>
        <w:t>（四）项目组织实施情况。</w:t>
      </w:r>
      <w:r>
        <w:rPr>
          <w:rFonts w:hint="eastAsia" w:ascii="仿宋_GB2312" w:eastAsia="仿宋_GB2312"/>
          <w:sz w:val="32"/>
          <w:szCs w:val="32"/>
          <w:lang w:val="en-US" w:eastAsia="zh-CN"/>
        </w:rPr>
        <w:t>实施单位按照方案要求和农作物种植季节开展了农作物品种展示评价162个次，农作物品种安全性监测5个次。该项目严格执行合同制，验收制度，无项目调整。</w:t>
      </w:r>
    </w:p>
    <w:p>
      <w:pPr>
        <w:keepNext w:val="0"/>
        <w:keepLines w:val="0"/>
        <w:pageBreakBefore w:val="0"/>
        <w:kinsoku/>
        <w:wordWrap/>
        <w:overflowPunct/>
        <w:topLinePunct w:val="0"/>
        <w:bidi w:val="0"/>
        <w:adjustRightInd/>
        <w:snapToGrid/>
        <w:spacing w:line="576" w:lineRule="exact"/>
        <w:ind w:firstLine="645"/>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四、项目绩效情况</w:t>
      </w:r>
      <w:r>
        <w:rPr>
          <w:rFonts w:hint="eastAsia" w:ascii="黑体" w:hAnsi="黑体" w:eastAsia="黑体" w:cs="黑体"/>
          <w:sz w:val="32"/>
          <w:szCs w:val="32"/>
          <w:lang w:val="en-US" w:eastAsia="zh-CN"/>
        </w:rPr>
        <w:tab/>
      </w:r>
    </w:p>
    <w:p>
      <w:pPr>
        <w:keepNext w:val="0"/>
        <w:keepLines w:val="0"/>
        <w:pageBreakBefore w:val="0"/>
        <w:kinsoku/>
        <w:wordWrap/>
        <w:overflowPunct/>
        <w:topLinePunct w:val="0"/>
        <w:bidi w:val="0"/>
        <w:adjustRightInd/>
        <w:snapToGrid/>
        <w:spacing w:line="576" w:lineRule="exact"/>
        <w:ind w:firstLine="645"/>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（一）项目完成情况</w:t>
      </w:r>
    </w:p>
    <w:p>
      <w:pPr>
        <w:keepNext w:val="0"/>
        <w:keepLines w:val="0"/>
        <w:pageBreakBefore w:val="0"/>
        <w:kinsoku/>
        <w:wordWrap/>
        <w:overflowPunct/>
        <w:topLinePunct w:val="0"/>
        <w:bidi w:val="0"/>
        <w:adjustRightInd/>
        <w:snapToGrid/>
        <w:spacing w:line="576" w:lineRule="exact"/>
        <w:ind w:firstLine="645"/>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该项目完成农作物品种展示评价162个次，农作物品种安全性监测点5个次。项目如期高质量完成。</w:t>
      </w:r>
    </w:p>
    <w:p>
      <w:pPr>
        <w:keepNext w:val="0"/>
        <w:keepLines w:val="0"/>
        <w:pageBreakBefore w:val="0"/>
        <w:kinsoku/>
        <w:wordWrap/>
        <w:overflowPunct/>
        <w:topLinePunct w:val="0"/>
        <w:bidi w:val="0"/>
        <w:adjustRightInd/>
        <w:snapToGrid/>
        <w:spacing w:line="576" w:lineRule="exact"/>
        <w:ind w:firstLine="645"/>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（二）项目效益情况</w:t>
      </w:r>
    </w:p>
    <w:p>
      <w:pPr>
        <w:keepNext w:val="0"/>
        <w:keepLines w:val="0"/>
        <w:pageBreakBefore w:val="0"/>
        <w:kinsoku/>
        <w:wordWrap/>
        <w:overflowPunct/>
        <w:topLinePunct w:val="0"/>
        <w:bidi w:val="0"/>
        <w:adjustRightInd/>
        <w:snapToGrid/>
        <w:spacing w:line="576" w:lineRule="exact"/>
        <w:ind w:firstLine="645"/>
        <w:jc w:val="left"/>
        <w:textAlignment w:val="auto"/>
        <w:rPr>
          <w:rFonts w:hint="eastAsia" w:ascii="仿宋_GB2312" w:eastAsia="仿宋_GB2312"/>
          <w:sz w:val="32"/>
          <w:szCs w:val="32"/>
        </w:rPr>
      </w:pPr>
      <w:r>
        <w:rPr>
          <w:rFonts w:hint="eastAsia" w:ascii="仿宋_GB2312" w:eastAsia="仿宋_GB2312"/>
          <w:sz w:val="32"/>
          <w:szCs w:val="32"/>
        </w:rPr>
        <w:t>通过开展农作物品种展示评价及品种安全性监测，促进新优品种推广，确保用种安全，使区域内新型经营主体和农民的满意度达到</w:t>
      </w:r>
      <w:r>
        <w:rPr>
          <w:rFonts w:hint="eastAsia" w:ascii="仿宋_GB2312" w:eastAsia="仿宋_GB2312"/>
          <w:sz w:val="32"/>
          <w:szCs w:val="32"/>
          <w:lang w:val="en-US" w:eastAsia="zh-CN"/>
        </w:rPr>
        <w:t>100</w:t>
      </w:r>
      <w:r>
        <w:rPr>
          <w:rFonts w:hint="eastAsia" w:ascii="仿宋_GB2312" w:eastAsia="仿宋_GB2312"/>
          <w:sz w:val="32"/>
          <w:szCs w:val="32"/>
        </w:rPr>
        <w:t>%以上。</w:t>
      </w:r>
    </w:p>
    <w:p>
      <w:pPr>
        <w:keepNext w:val="0"/>
        <w:keepLines w:val="0"/>
        <w:pageBreakBefore w:val="0"/>
        <w:kinsoku/>
        <w:wordWrap/>
        <w:overflowPunct/>
        <w:topLinePunct w:val="0"/>
        <w:bidi w:val="0"/>
        <w:adjustRightInd/>
        <w:snapToGrid/>
        <w:spacing w:line="576" w:lineRule="exact"/>
        <w:ind w:firstLine="645"/>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五、问题及建议</w:t>
      </w:r>
    </w:p>
    <w:p>
      <w:pPr>
        <w:keepNext w:val="0"/>
        <w:keepLines w:val="0"/>
        <w:pageBreakBefore w:val="0"/>
        <w:kinsoku/>
        <w:wordWrap/>
        <w:overflowPunct/>
        <w:topLinePunct w:val="0"/>
        <w:bidi w:val="0"/>
        <w:adjustRightInd/>
        <w:snapToGrid/>
        <w:spacing w:line="576" w:lineRule="exact"/>
        <w:ind w:firstLine="645"/>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（一）存在的问题</w:t>
      </w:r>
    </w:p>
    <w:p>
      <w:pPr>
        <w:keepNext w:val="0"/>
        <w:keepLines w:val="0"/>
        <w:pageBreakBefore w:val="0"/>
        <w:kinsoku/>
        <w:wordWrap/>
        <w:overflowPunct/>
        <w:topLinePunct w:val="0"/>
        <w:bidi w:val="0"/>
        <w:adjustRightInd/>
        <w:snapToGrid/>
        <w:spacing w:line="576" w:lineRule="exact"/>
        <w:ind w:firstLine="645"/>
        <w:jc w:val="left"/>
        <w:textAlignment w:val="auto"/>
        <w:rPr>
          <w:rFonts w:hint="eastAsia" w:ascii="仿宋_GB2312" w:eastAsia="仿宋_GB2312"/>
          <w:sz w:val="32"/>
          <w:szCs w:val="32"/>
          <w:lang w:val="zh-CN"/>
        </w:rPr>
      </w:pPr>
      <w:r>
        <w:rPr>
          <w:rFonts w:hint="eastAsia" w:ascii="仿宋_GB2312" w:eastAsia="仿宋_GB2312"/>
          <w:sz w:val="32"/>
          <w:szCs w:val="32"/>
          <w:lang w:val="zh-CN"/>
        </w:rPr>
        <w:t>朝天区属于山区地带，在玉米品种展示成熟期间，野猪出没较多，玉米看护成本增加。</w:t>
      </w:r>
    </w:p>
    <w:p>
      <w:pPr>
        <w:keepNext w:val="0"/>
        <w:keepLines w:val="0"/>
        <w:pageBreakBefore w:val="0"/>
        <w:numPr>
          <w:ilvl w:val="0"/>
          <w:numId w:val="11"/>
        </w:numPr>
        <w:kinsoku/>
        <w:wordWrap/>
        <w:overflowPunct/>
        <w:topLinePunct w:val="0"/>
        <w:bidi w:val="0"/>
        <w:adjustRightInd/>
        <w:snapToGrid/>
        <w:spacing w:line="576" w:lineRule="exact"/>
        <w:ind w:firstLine="645"/>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相关建议。</w:t>
      </w:r>
    </w:p>
    <w:p>
      <w:pPr>
        <w:keepNext w:val="0"/>
        <w:keepLines w:val="0"/>
        <w:pageBreakBefore w:val="0"/>
        <w:numPr>
          <w:ilvl w:val="0"/>
          <w:numId w:val="0"/>
        </w:numPr>
        <w:kinsoku/>
        <w:wordWrap/>
        <w:overflowPunct/>
        <w:topLinePunct w:val="0"/>
        <w:bidi w:val="0"/>
        <w:adjustRightInd/>
        <w:snapToGrid/>
        <w:spacing w:line="576" w:lineRule="exact"/>
        <w:ind w:firstLine="640" w:firstLineChars="200"/>
        <w:jc w:val="left"/>
        <w:textAlignment w:val="auto"/>
        <w:rPr>
          <w:rFonts w:hint="eastAsia" w:ascii="仿宋_GB2312" w:eastAsia="仿宋_GB2312"/>
          <w:sz w:val="32"/>
          <w:szCs w:val="32"/>
          <w:lang w:val="zh-CN"/>
        </w:rPr>
      </w:pPr>
      <w:r>
        <w:rPr>
          <w:rFonts w:hint="eastAsia" w:ascii="仿宋_GB2312" w:eastAsia="仿宋_GB2312"/>
          <w:sz w:val="32"/>
          <w:szCs w:val="32"/>
          <w:lang w:val="en-US" w:eastAsia="zh-CN"/>
        </w:rPr>
        <w:t>进一步加强项目资金投入力度，改善基础设施</w:t>
      </w:r>
      <w:r>
        <w:rPr>
          <w:rFonts w:hint="eastAsia" w:ascii="仿宋_GB2312" w:eastAsia="仿宋_GB2312"/>
          <w:sz w:val="32"/>
          <w:szCs w:val="32"/>
          <w:lang w:val="zh-CN"/>
        </w:rPr>
        <w:t>。</w:t>
      </w:r>
    </w:p>
    <w:p>
      <w:pPr>
        <w:pStyle w:val="8"/>
        <w:rPr>
          <w:rFonts w:hint="eastAsia"/>
          <w:lang w:val="zh-CN"/>
        </w:rPr>
      </w:pPr>
    </w:p>
    <w:p>
      <w:pPr>
        <w:ind w:firstLine="616" w:firstLineChars="200"/>
        <w:rPr>
          <w:rFonts w:hint="eastAsia"/>
          <w:lang w:val="en-US" w:eastAsia="zh-CN"/>
        </w:rPr>
      </w:pPr>
      <w:r>
        <w:rPr>
          <w:rFonts w:hint="eastAsia" w:ascii="仿宋_GB2312" w:hAnsi="宋体" w:eastAsia="仿宋_GB2312" w:cs="Times New Roman"/>
          <w:color w:val="000000"/>
          <w:spacing w:val="-6"/>
          <w:kern w:val="0"/>
          <w:sz w:val="32"/>
          <w:szCs w:val="32"/>
        </w:rPr>
        <w:t>附表：</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ar-SA"/>
        </w:rPr>
        <w:t>2021年部门预算项目绩效目标自评</w:t>
      </w:r>
    </w:p>
    <w:p>
      <w:pPr>
        <w:keepNext w:val="0"/>
        <w:keepLines w:val="0"/>
        <w:pageBreakBefore w:val="0"/>
        <w:kinsoku/>
        <w:wordWrap/>
        <w:overflowPunct/>
        <w:topLinePunct w:val="0"/>
        <w:bidi w:val="0"/>
        <w:adjustRightInd/>
        <w:snapToGrid/>
        <w:spacing w:line="576" w:lineRule="exact"/>
        <w:ind w:firstLine="645"/>
        <w:jc w:val="left"/>
        <w:textAlignment w:val="auto"/>
        <w:rPr>
          <w:rFonts w:hint="eastAsia" w:ascii="仿宋_GB2312" w:eastAsia="仿宋_GB2312"/>
          <w:sz w:val="32"/>
          <w:szCs w:val="32"/>
          <w:lang w:val="zh-CN" w:eastAsia="zh-CN"/>
        </w:rPr>
      </w:pPr>
    </w:p>
    <w:p>
      <w:pPr>
        <w:rPr>
          <w:rFonts w:hint="eastAsia"/>
          <w:lang w:val="en-US" w:eastAsia="zh-CN"/>
        </w:rPr>
      </w:pPr>
    </w:p>
    <w:p>
      <w:pPr>
        <w:pStyle w:val="14"/>
        <w:rPr>
          <w:rFonts w:hint="eastAsia"/>
          <w:lang w:val="en-US" w:eastAsia="zh-CN"/>
        </w:rPr>
      </w:pPr>
    </w:p>
    <w:p>
      <w:pPr>
        <w:rPr>
          <w:rFonts w:hint="eastAsia"/>
          <w:lang w:val="en-US" w:eastAsia="zh-CN"/>
        </w:rPr>
      </w:pPr>
    </w:p>
    <w:p>
      <w:pPr>
        <w:rPr>
          <w:rFonts w:hint="eastAsia"/>
          <w:lang w:val="en-US" w:eastAsia="zh-CN"/>
        </w:rPr>
      </w:pPr>
    </w:p>
    <w:p>
      <w:pPr>
        <w:pStyle w:val="14"/>
        <w:rPr>
          <w:rFonts w:hint="eastAsia"/>
          <w:lang w:val="en-US" w:eastAsia="zh-CN"/>
        </w:rPr>
      </w:pPr>
    </w:p>
    <w:p>
      <w:pPr>
        <w:rPr>
          <w:rFonts w:hint="eastAsia"/>
          <w:lang w:val="en-US" w:eastAsia="zh-CN"/>
        </w:rPr>
      </w:pPr>
    </w:p>
    <w:p>
      <w:pPr>
        <w:pStyle w:val="14"/>
        <w:rPr>
          <w:rFonts w:hint="eastAsia"/>
          <w:lang w:val="en-US" w:eastAsia="zh-CN"/>
        </w:rPr>
      </w:pPr>
    </w:p>
    <w:p>
      <w:pPr>
        <w:rPr>
          <w:rFonts w:hint="eastAsia"/>
          <w:lang w:val="en-US" w:eastAsia="zh-CN"/>
        </w:rPr>
      </w:pPr>
    </w:p>
    <w:p>
      <w:pPr>
        <w:pStyle w:val="14"/>
        <w:rPr>
          <w:rFonts w:hint="eastAsia"/>
          <w:lang w:val="en-US" w:eastAsia="zh-CN"/>
        </w:rPr>
      </w:pPr>
    </w:p>
    <w:p>
      <w:pPr>
        <w:rPr>
          <w:rFonts w:hint="eastAsia"/>
          <w:lang w:val="en-US" w:eastAsia="zh-CN"/>
        </w:rPr>
      </w:pPr>
    </w:p>
    <w:p>
      <w:pPr>
        <w:pStyle w:val="14"/>
        <w:rPr>
          <w:rFonts w:hint="eastAsia"/>
          <w:lang w:val="en-US" w:eastAsia="zh-CN"/>
        </w:rPr>
      </w:pPr>
    </w:p>
    <w:p>
      <w:pPr>
        <w:rPr>
          <w:rFonts w:hint="eastAsia"/>
          <w:lang w:val="en-US" w:eastAsia="zh-CN"/>
        </w:rPr>
      </w:pPr>
    </w:p>
    <w:p>
      <w:pPr>
        <w:pStyle w:val="14"/>
        <w:rPr>
          <w:rFonts w:hint="eastAsia"/>
          <w:lang w:val="en-US" w:eastAsia="zh-CN"/>
        </w:rPr>
      </w:pPr>
    </w:p>
    <w:p>
      <w:pPr>
        <w:rPr>
          <w:rFonts w:hint="eastAsia"/>
          <w:lang w:val="en-US" w:eastAsia="zh-CN"/>
        </w:rPr>
      </w:pPr>
    </w:p>
    <w:p>
      <w:pPr>
        <w:pStyle w:val="14"/>
        <w:rPr>
          <w:rFonts w:hint="eastAsia"/>
          <w:lang w:val="en-US" w:eastAsia="zh-CN"/>
        </w:rPr>
      </w:pPr>
    </w:p>
    <w:p>
      <w:pPr>
        <w:rPr>
          <w:rFonts w:hint="eastAsia"/>
          <w:lang w:val="en-US" w:eastAsia="zh-CN"/>
        </w:rPr>
      </w:pPr>
    </w:p>
    <w:p>
      <w:pPr>
        <w:pStyle w:val="14"/>
        <w:rPr>
          <w:rFonts w:hint="eastAsia"/>
          <w:lang w:val="en-US" w:eastAsia="zh-CN"/>
        </w:rPr>
      </w:pPr>
    </w:p>
    <w:p>
      <w:pPr>
        <w:rPr>
          <w:rFonts w:hint="eastAsia"/>
          <w:lang w:val="en-US" w:eastAsia="zh-CN"/>
        </w:rPr>
      </w:pPr>
    </w:p>
    <w:p>
      <w:pPr>
        <w:pStyle w:val="14"/>
        <w:rPr>
          <w:rFonts w:hint="eastAsia"/>
          <w:lang w:val="en-US" w:eastAsia="zh-CN"/>
        </w:rPr>
      </w:pPr>
    </w:p>
    <w:p>
      <w:pPr>
        <w:rPr>
          <w:rFonts w:hint="eastAsia"/>
          <w:lang w:val="en-US" w:eastAsia="zh-CN"/>
        </w:rPr>
      </w:pPr>
    </w:p>
    <w:p>
      <w:pPr>
        <w:rPr>
          <w:rFonts w:hint="eastAsia"/>
          <w:lang w:val="en-US" w:eastAsia="zh-CN"/>
        </w:rPr>
      </w:pPr>
    </w:p>
    <w:tbl>
      <w:tblPr>
        <w:tblStyle w:val="16"/>
        <w:tblpPr w:leftFromText="180" w:rightFromText="180" w:vertAnchor="text" w:horzAnchor="page" w:tblpX="1281" w:tblpY="660"/>
        <w:tblOverlap w:val="never"/>
        <w:tblW w:w="95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635"/>
        <w:gridCol w:w="1189"/>
        <w:gridCol w:w="1224"/>
        <w:gridCol w:w="2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both"/>
              <w:textAlignment w:val="center"/>
              <w:rPr>
                <w:rFonts w:hint="eastAsia" w:ascii="宋体" w:hAnsi="宋体" w:eastAsia="宋体" w:cs="宋体"/>
                <w:b/>
                <w:i w:val="0"/>
                <w:color w:val="auto"/>
                <w:sz w:val="32"/>
                <w:szCs w:val="32"/>
                <w:highlight w:val="none"/>
                <w:u w:val="none"/>
                <w:lang w:val="en-US" w:eastAsia="zh-CN"/>
              </w:rPr>
            </w:pPr>
          </w:p>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b/>
                <w:i w:val="0"/>
                <w:color w:val="auto"/>
                <w:sz w:val="32"/>
                <w:szCs w:val="32"/>
                <w:highlight w:val="none"/>
                <w:u w:val="none"/>
                <w:lang w:val="en-US" w:eastAsia="zh-CN"/>
              </w:rPr>
              <w:t>2021年部门预算项目绩效目标自评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rPr>
              <w:t>广元市朝天区农业农村局</w:t>
            </w:r>
            <w:r>
              <w:rPr>
                <w:rFonts w:hint="eastAsia" w:ascii="宋体" w:hAnsi="宋体" w:eastAsia="宋体" w:cs="宋体"/>
                <w:i w:val="0"/>
                <w:color w:val="auto"/>
                <w:sz w:val="21"/>
                <w:szCs w:val="21"/>
                <w:highlight w:val="none"/>
                <w:u w:val="none"/>
                <w:lang w:val="en-US" w:eastAsia="zh-CN"/>
              </w:rPr>
              <w:t xml:space="preserve"> 602601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2021年农作物品种展示评价及安全性监测项目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项目预算</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执行情况</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20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20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0"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1"/>
                <w:szCs w:val="21"/>
                <w:highlight w:val="none"/>
                <w:u w:val="none"/>
                <w:lang w:eastAsia="zh-CN"/>
              </w:rPr>
            </w:pPr>
            <w:r>
              <w:rPr>
                <w:rFonts w:hint="eastAsia" w:ascii="宋体" w:hAnsi="宋体" w:eastAsia="宋体" w:cs="宋体"/>
                <w:i w:val="0"/>
                <w:color w:val="auto"/>
                <w:sz w:val="21"/>
                <w:szCs w:val="21"/>
                <w:highlight w:val="none"/>
                <w:u w:val="none"/>
              </w:rPr>
              <w:t>农作物品种展示160个次，安全性监测点5个次</w:t>
            </w:r>
            <w:r>
              <w:rPr>
                <w:rFonts w:hint="eastAsia" w:ascii="宋体" w:hAnsi="宋体" w:cs="宋体"/>
                <w:i w:val="0"/>
                <w:color w:val="auto"/>
                <w:sz w:val="21"/>
                <w:szCs w:val="21"/>
                <w:highlight w:val="none"/>
                <w:u w:val="none"/>
                <w:lang w:eastAsia="zh-CN"/>
              </w:rPr>
              <w:t>。</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1"/>
                <w:szCs w:val="21"/>
                <w:highlight w:val="none"/>
                <w:u w:val="none"/>
                <w:lang w:eastAsia="zh-CN"/>
              </w:rPr>
            </w:pPr>
            <w:r>
              <w:rPr>
                <w:rFonts w:hint="eastAsia" w:ascii="宋体" w:hAnsi="宋体" w:eastAsia="宋体" w:cs="宋体"/>
                <w:i w:val="0"/>
                <w:color w:val="auto"/>
                <w:sz w:val="21"/>
                <w:szCs w:val="21"/>
                <w:highlight w:val="none"/>
                <w:u w:val="none"/>
              </w:rPr>
              <w:t>已实施农作物品种展示162个次，农作物品种安全性监测点5个</w:t>
            </w:r>
            <w:r>
              <w:rPr>
                <w:rFonts w:hint="eastAsia" w:ascii="宋体" w:hAnsi="宋体" w:cs="宋体"/>
                <w:i w:val="0"/>
                <w:color w:val="auto"/>
                <w:sz w:val="21"/>
                <w:szCs w:val="21"/>
                <w:highlight w:val="none"/>
                <w:u w:val="none"/>
                <w:lang w:val="en-US" w:eastAsia="zh-CN"/>
              </w:rPr>
              <w:t>次</w:t>
            </w:r>
            <w:r>
              <w:rPr>
                <w:rFonts w:hint="eastAsia" w:ascii="宋体" w:hAnsi="宋体" w:eastAsia="宋体" w:cs="宋体"/>
                <w:i w:val="0"/>
                <w:color w:val="auto"/>
                <w:sz w:val="21"/>
                <w:szCs w:val="21"/>
                <w:highlight w:val="none"/>
                <w:u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14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指标</w:t>
            </w:r>
          </w:p>
        </w:tc>
        <w:tc>
          <w:tcPr>
            <w:tcW w:w="16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sz w:val="21"/>
                <w:szCs w:val="21"/>
                <w:highlight w:val="none"/>
                <w:u w:val="none"/>
              </w:rPr>
              <w:t>农作物品种展示</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2"/>
                <w:sz w:val="21"/>
                <w:szCs w:val="21"/>
                <w:highlight w:val="none"/>
                <w:u w:val="none"/>
                <w:lang w:val="en-US" w:eastAsia="zh-CN" w:bidi="ar-SA"/>
              </w:rPr>
            </w:pPr>
            <w:r>
              <w:rPr>
                <w:rFonts w:hint="eastAsia" w:ascii="宋体" w:hAnsi="宋体" w:cs="宋体"/>
                <w:i w:val="0"/>
                <w:iCs w:val="0"/>
                <w:color w:val="000000"/>
                <w:kern w:val="0"/>
                <w:sz w:val="18"/>
                <w:szCs w:val="18"/>
                <w:u w:val="none"/>
                <w:lang w:val="en-US" w:eastAsia="zh-CN" w:bidi="ar"/>
              </w:rPr>
              <w:t>160个次</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cs="宋体"/>
                <w:i w:val="0"/>
                <w:iCs w:val="0"/>
                <w:color w:val="000000"/>
                <w:kern w:val="0"/>
                <w:sz w:val="18"/>
                <w:szCs w:val="18"/>
                <w:u w:val="none"/>
                <w:lang w:val="en-US" w:eastAsia="zh-CN" w:bidi="ar"/>
              </w:rPr>
              <w:t>160个次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14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p>
        </w:tc>
        <w:tc>
          <w:tcPr>
            <w:tcW w:w="163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rPr>
              <w:t>农作物品种安全性监测点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rPr>
              <w:t>5个</w:t>
            </w:r>
            <w:r>
              <w:rPr>
                <w:rFonts w:hint="eastAsia" w:ascii="宋体" w:hAnsi="宋体" w:cs="宋体"/>
                <w:i w:val="0"/>
                <w:color w:val="auto"/>
                <w:sz w:val="21"/>
                <w:szCs w:val="21"/>
                <w:highlight w:val="none"/>
                <w:u w:val="none"/>
                <w:lang w:val="en-US" w:eastAsia="zh-CN"/>
              </w:rPr>
              <w:t>次</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sz w:val="21"/>
                <w:szCs w:val="21"/>
                <w:highlight w:val="none"/>
                <w:u w:val="none"/>
              </w:rPr>
              <w:t>5个</w:t>
            </w:r>
            <w:r>
              <w:rPr>
                <w:rFonts w:hint="eastAsia" w:ascii="宋体" w:hAnsi="宋体" w:cs="宋体"/>
                <w:i w:val="0"/>
                <w:color w:val="auto"/>
                <w:sz w:val="21"/>
                <w:szCs w:val="21"/>
                <w:highlight w:val="none"/>
                <w:u w:val="none"/>
                <w:lang w:val="en-US" w:eastAsia="zh-CN"/>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142"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验收合格率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100%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142"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完成时限</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2021年1月-2021年12月</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2021年1月-2021年12月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14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成本投入</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rPr>
              <w:t>≤</w:t>
            </w:r>
            <w:r>
              <w:rPr>
                <w:rFonts w:hint="eastAsia" w:ascii="宋体" w:hAnsi="宋体" w:cs="宋体"/>
                <w:i w:val="0"/>
                <w:color w:val="auto"/>
                <w:sz w:val="21"/>
                <w:szCs w:val="21"/>
                <w:highlight w:val="none"/>
                <w:u w:val="none"/>
                <w:lang w:val="en-US" w:eastAsia="zh-CN"/>
              </w:rPr>
              <w:t>20</w:t>
            </w:r>
            <w:r>
              <w:rPr>
                <w:rFonts w:hint="eastAsia" w:ascii="宋体" w:hAnsi="宋体" w:eastAsia="宋体" w:cs="宋体"/>
                <w:i w:val="0"/>
                <w:color w:val="auto"/>
                <w:sz w:val="21"/>
                <w:szCs w:val="21"/>
                <w:highlight w:val="none"/>
                <w:u w:val="none"/>
                <w:lang w:val="en-US" w:eastAsia="zh-CN"/>
              </w:rPr>
              <w:t>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cs="宋体"/>
                <w:i w:val="0"/>
                <w:color w:val="auto"/>
                <w:sz w:val="21"/>
                <w:szCs w:val="21"/>
                <w:highlight w:val="none"/>
                <w:u w:val="none"/>
                <w:lang w:val="en-US" w:eastAsia="zh-CN"/>
              </w:rPr>
              <w:t>20</w:t>
            </w:r>
            <w:r>
              <w:rPr>
                <w:rFonts w:hint="eastAsia" w:ascii="宋体" w:hAnsi="宋体" w:eastAsia="宋体" w:cs="宋体"/>
                <w:i w:val="0"/>
                <w:color w:val="auto"/>
                <w:sz w:val="21"/>
                <w:szCs w:val="21"/>
                <w:highlight w:val="none"/>
                <w:u w:val="none"/>
                <w:lang w:val="en-US" w:eastAsia="zh-CN"/>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效益</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经济效益指标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展示农户增收</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rPr>
            </w:pPr>
            <w:r>
              <w:rPr>
                <w:rFonts w:hint="eastAsia" w:ascii="宋体" w:hAnsi="宋体" w:eastAsia="宋体" w:cs="宋体"/>
                <w:i w:val="0"/>
                <w:iCs w:val="0"/>
                <w:color w:val="000000"/>
                <w:kern w:val="0"/>
                <w:sz w:val="18"/>
                <w:szCs w:val="18"/>
                <w:u w:val="none"/>
                <w:lang w:val="en-US" w:eastAsia="zh-CN" w:bidi="ar"/>
              </w:rPr>
              <w:t>≥200元以上</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rPr>
            </w:pPr>
            <w:r>
              <w:rPr>
                <w:rFonts w:hint="eastAsia" w:ascii="宋体" w:hAnsi="宋体" w:eastAsia="宋体" w:cs="宋体"/>
                <w:i w:val="0"/>
                <w:iCs w:val="0"/>
                <w:color w:val="000000"/>
                <w:kern w:val="0"/>
                <w:sz w:val="18"/>
                <w:szCs w:val="18"/>
                <w:u w:val="none"/>
                <w:lang w:val="en-US" w:eastAsia="zh-CN" w:bidi="ar"/>
              </w:rPr>
              <w:t>260元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种业安全使用</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大幅提升</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大幅提升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393" w:leftChars="87" w:hanging="210" w:hangingChars="100"/>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化肥投入</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下降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下降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可持续影响指标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影响时限</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rPr>
              <w:t>≥</w:t>
            </w:r>
            <w:r>
              <w:rPr>
                <w:rFonts w:hint="eastAsia" w:ascii="宋体" w:hAnsi="宋体" w:cs="宋体"/>
                <w:i w:val="0"/>
                <w:color w:val="auto"/>
                <w:sz w:val="21"/>
                <w:szCs w:val="21"/>
                <w:highlight w:val="none"/>
                <w:u w:val="none"/>
                <w:lang w:val="en-US" w:eastAsia="zh-CN"/>
              </w:rPr>
              <w:t>1</w:t>
            </w:r>
            <w:r>
              <w:rPr>
                <w:rFonts w:hint="eastAsia" w:ascii="宋体" w:hAnsi="宋体" w:eastAsia="宋体" w:cs="宋体"/>
                <w:i w:val="0"/>
                <w:color w:val="auto"/>
                <w:sz w:val="21"/>
                <w:szCs w:val="21"/>
                <w:highlight w:val="none"/>
                <w:u w:val="none"/>
                <w:lang w:val="en-US" w:eastAsia="zh-CN"/>
              </w:rPr>
              <w:t>年</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cs="宋体"/>
                <w:i w:val="0"/>
                <w:color w:val="auto"/>
                <w:sz w:val="21"/>
                <w:szCs w:val="21"/>
                <w:highlight w:val="none"/>
                <w:u w:val="none"/>
                <w:lang w:val="en-US" w:eastAsia="zh-CN"/>
              </w:rPr>
              <w:t>1</w:t>
            </w:r>
            <w:r>
              <w:rPr>
                <w:rFonts w:hint="eastAsia" w:ascii="宋体" w:hAnsi="宋体" w:eastAsia="宋体" w:cs="宋体"/>
                <w:i w:val="0"/>
                <w:color w:val="auto"/>
                <w:sz w:val="21"/>
                <w:szCs w:val="21"/>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1"/>
                <w:szCs w:val="21"/>
                <w:highlight w:val="none"/>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满意</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受益群众满意度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100%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rPr>
            </w:pPr>
            <w:r>
              <w:rPr>
                <w:rFonts w:hint="eastAsia" w:ascii="宋体" w:hAnsi="宋体" w:eastAsia="宋体" w:cs="宋体"/>
                <w:i w:val="0"/>
                <w:iCs w:val="0"/>
                <w:color w:val="000000"/>
                <w:kern w:val="0"/>
                <w:sz w:val="18"/>
                <w:szCs w:val="18"/>
                <w:u w:val="none"/>
                <w:lang w:val="en-US" w:eastAsia="zh-CN" w:bidi="ar"/>
              </w:rPr>
              <w:t>100%</w:t>
            </w:r>
          </w:p>
        </w:tc>
      </w:tr>
    </w:tbl>
    <w:p>
      <w:pPr>
        <w:numPr>
          <w:ilvl w:val="0"/>
          <w:numId w:val="0"/>
        </w:numPr>
        <w:rPr>
          <w:rFonts w:hint="eastAsia"/>
          <w:lang w:val="en-US" w:eastAsia="zh-CN"/>
        </w:rPr>
      </w:pPr>
    </w:p>
    <w:p>
      <w:pPr>
        <w:numPr>
          <w:ilvl w:val="0"/>
          <w:numId w:val="0"/>
        </w:numPr>
        <w:spacing w:line="600" w:lineRule="exact"/>
        <w:ind w:left="840" w:leftChars="0"/>
        <w:outlineLvl w:val="1"/>
        <w:rPr>
          <w:rStyle w:val="29"/>
          <w:rFonts w:hint="eastAsia" w:ascii="黑体" w:hAnsi="黑体" w:eastAsia="黑体"/>
          <w:b w:val="0"/>
          <w:color w:val="auto"/>
          <w:highlight w:val="none"/>
        </w:rPr>
      </w:pPr>
      <w:r>
        <w:rPr>
          <w:rStyle w:val="29"/>
          <w:rFonts w:hint="eastAsia" w:ascii="黑体" w:hAnsi="黑体" w:eastAsia="黑体"/>
          <w:b w:val="0"/>
          <w:color w:val="auto"/>
          <w:highlight w:val="none"/>
          <w:lang w:eastAsia="zh-CN"/>
        </w:rPr>
        <w:t>十一、</w:t>
      </w:r>
      <w:r>
        <w:rPr>
          <w:rStyle w:val="29"/>
          <w:rFonts w:hint="eastAsia" w:ascii="黑体" w:hAnsi="黑体" w:eastAsia="黑体"/>
          <w:b w:val="0"/>
          <w:color w:val="auto"/>
          <w:highlight w:val="none"/>
        </w:rPr>
        <w:t>其他重要事项的情况说明</w:t>
      </w:r>
    </w:p>
    <w:p>
      <w:pPr>
        <w:spacing w:line="600" w:lineRule="exact"/>
        <w:ind w:firstLine="642" w:firstLineChars="200"/>
        <w:outlineLvl w:val="2"/>
        <w:rPr>
          <w:rFonts w:ascii="仿宋" w:hAnsi="仿宋" w:eastAsia="仿宋"/>
          <w:color w:val="auto"/>
          <w:sz w:val="32"/>
          <w:szCs w:val="32"/>
          <w:highlight w:val="none"/>
        </w:rPr>
      </w:pPr>
      <w:bookmarkStart w:id="56" w:name="_Toc15377222"/>
      <w:r>
        <w:rPr>
          <w:rFonts w:hint="eastAsia" w:ascii="仿宋" w:hAnsi="仿宋" w:eastAsia="仿宋"/>
          <w:b/>
          <w:color w:val="auto"/>
          <w:sz w:val="32"/>
          <w:szCs w:val="32"/>
          <w:highlight w:val="none"/>
        </w:rPr>
        <w:t>（一）机关运行经费支出情况</w:t>
      </w:r>
      <w:bookmarkEnd w:id="56"/>
    </w:p>
    <w:p>
      <w:pPr>
        <w:spacing w:line="600" w:lineRule="exact"/>
        <w:ind w:firstLine="640" w:firstLineChars="200"/>
        <w:rPr>
          <w:rFonts w:hint="eastAsia" w:ascii="仿宋" w:hAnsi="仿宋" w:eastAsia="仿宋_GB2312" w:cs="仿宋"/>
          <w:b/>
          <w:bCs w:val="0"/>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年，机关运行经费支出</w:t>
      </w:r>
      <w:r>
        <w:rPr>
          <w:rFonts w:hint="eastAsia" w:ascii="仿宋_GB2312" w:eastAsia="仿宋_GB2312"/>
          <w:color w:val="auto"/>
          <w:sz w:val="32"/>
          <w:szCs w:val="32"/>
          <w:highlight w:val="none"/>
          <w:lang w:val="en-US" w:eastAsia="zh-CN"/>
        </w:rPr>
        <w:t>220.8</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13.47</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5.7</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进一步加强机关运行管理制度。</w:t>
      </w:r>
    </w:p>
    <w:p>
      <w:pPr>
        <w:autoSpaceDE w:val="0"/>
        <w:autoSpaceDN w:val="0"/>
        <w:adjustRightInd w:val="0"/>
        <w:spacing w:line="600" w:lineRule="exact"/>
        <w:ind w:firstLine="642" w:firstLineChars="200"/>
        <w:jc w:val="left"/>
        <w:outlineLvl w:val="2"/>
        <w:rPr>
          <w:rFonts w:ascii="仿宋" w:hAnsi="仿宋" w:eastAsia="仿宋"/>
          <w:b/>
          <w:color w:val="auto"/>
          <w:sz w:val="32"/>
          <w:szCs w:val="32"/>
          <w:highlight w:val="none"/>
        </w:rPr>
      </w:pPr>
      <w:bookmarkStart w:id="57" w:name="_Toc15377223"/>
      <w:r>
        <w:rPr>
          <w:rFonts w:hint="eastAsia" w:ascii="仿宋" w:hAnsi="仿宋" w:eastAsia="仿宋"/>
          <w:b/>
          <w:color w:val="auto"/>
          <w:sz w:val="32"/>
          <w:szCs w:val="32"/>
          <w:highlight w:val="none"/>
        </w:rPr>
        <w:t>（二）政府采购支出情况</w:t>
      </w:r>
      <w:bookmarkEnd w:id="57"/>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autoSpaceDE w:val="0"/>
        <w:autoSpaceDN w:val="0"/>
        <w:adjustRightInd w:val="0"/>
        <w:spacing w:line="600" w:lineRule="exact"/>
        <w:ind w:firstLine="642" w:firstLineChars="200"/>
        <w:jc w:val="left"/>
        <w:outlineLvl w:val="2"/>
        <w:rPr>
          <w:rFonts w:ascii="仿宋" w:hAnsi="仿宋" w:eastAsia="仿宋"/>
          <w:b/>
          <w:color w:val="auto"/>
          <w:sz w:val="32"/>
          <w:szCs w:val="32"/>
          <w:highlight w:val="none"/>
        </w:rPr>
      </w:pPr>
      <w:bookmarkStart w:id="58" w:name="_Toc15377224"/>
      <w:r>
        <w:rPr>
          <w:rFonts w:hint="eastAsia" w:ascii="仿宋" w:hAnsi="仿宋" w:eastAsia="仿宋"/>
          <w:b/>
          <w:color w:val="auto"/>
          <w:sz w:val="32"/>
          <w:szCs w:val="32"/>
          <w:highlight w:val="none"/>
        </w:rPr>
        <w:t>（三）国有资产占有使用情况</w:t>
      </w:r>
      <w:bookmarkEnd w:id="58"/>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本单位</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辆，其中：</w:t>
      </w:r>
      <w:r>
        <w:rPr>
          <w:rFonts w:hint="eastAsia" w:ascii="仿宋_GB2312" w:eastAsia="仿宋_GB2312"/>
          <w:color w:val="auto"/>
          <w:sz w:val="32"/>
          <w:szCs w:val="32"/>
          <w:highlight w:val="none"/>
          <w:lang w:eastAsia="zh-CN"/>
        </w:rPr>
        <w:t>执勤执法用车</w:t>
      </w:r>
      <w:r>
        <w:rPr>
          <w:rFonts w:hint="eastAsia" w:ascii="仿宋_GB2312" w:eastAsia="仿宋_GB2312"/>
          <w:color w:val="auto"/>
          <w:sz w:val="32"/>
          <w:szCs w:val="32"/>
          <w:highlight w:val="none"/>
          <w:lang w:val="en-US" w:eastAsia="zh-CN"/>
        </w:rPr>
        <w:t>1辆；</w:t>
      </w:r>
      <w:r>
        <w:rPr>
          <w:rFonts w:hint="eastAsia" w:ascii="仿宋_GB2312" w:eastAsia="仿宋_GB2312"/>
          <w:color w:val="auto"/>
          <w:sz w:val="32"/>
          <w:szCs w:val="32"/>
          <w:highlight w:val="none"/>
          <w:lang w:eastAsia="zh-CN"/>
        </w:rPr>
        <w:t>办公房</w:t>
      </w:r>
      <w:r>
        <w:rPr>
          <w:rFonts w:hint="eastAsia" w:ascii="仿宋_GB2312" w:eastAsia="仿宋_GB2312"/>
          <w:color w:val="auto"/>
          <w:sz w:val="32"/>
          <w:szCs w:val="32"/>
          <w:highlight w:val="none"/>
          <w:lang w:val="en-US" w:eastAsia="zh-CN"/>
        </w:rPr>
        <w:t>5837.57平方米、农林牧渔业务用房430平方米、业务用房95平方米、仓储用房200平方米</w:t>
      </w:r>
      <w:r>
        <w:rPr>
          <w:rFonts w:hint="eastAsia" w:ascii="仿宋_GB2312" w:eastAsia="仿宋_GB2312"/>
          <w:color w:val="auto"/>
          <w:sz w:val="32"/>
          <w:szCs w:val="32"/>
          <w:highlight w:val="none"/>
        </w:rPr>
        <w:t>。</w:t>
      </w: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spacing w:line="600" w:lineRule="exact"/>
        <w:jc w:val="both"/>
        <w:outlineLvl w:val="0"/>
        <w:rPr>
          <w:rFonts w:hint="eastAsia" w:ascii="黑体" w:hAnsi="黑体" w:eastAsia="黑体"/>
          <w:color w:val="auto"/>
          <w:sz w:val="44"/>
          <w:szCs w:val="44"/>
          <w:highlight w:val="none"/>
        </w:rPr>
      </w:pPr>
      <w:bookmarkStart w:id="59" w:name="_Toc15396618"/>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8"/>
          <w:rFonts w:hint="eastAsia" w:ascii="黑体" w:hAnsi="黑体" w:eastAsia="黑体"/>
          <w:b w:val="0"/>
          <w:color w:val="auto"/>
          <w:highlight w:val="none"/>
        </w:rPr>
        <w:t>五部分 附表</w:t>
      </w:r>
      <w:bookmarkEnd w:id="55"/>
      <w:bookmarkEnd w:id="59"/>
      <w:bookmarkStart w:id="60"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9"/>
          <w:rFonts w:hint="eastAsia" w:ascii="仿宋" w:hAnsi="仿宋" w:eastAsia="仿宋"/>
          <w:b w:val="0"/>
          <w:bCs w:val="0"/>
          <w:color w:val="auto"/>
          <w:highlight w:val="none"/>
        </w:rPr>
        <w:t>入支出决算总表</w:t>
      </w:r>
      <w:bookmarkEnd w:id="60"/>
    </w:p>
    <w:p>
      <w:pPr>
        <w:pStyle w:val="4"/>
        <w:rPr>
          <w:rFonts w:ascii="仿宋" w:hAnsi="仿宋" w:eastAsia="仿宋"/>
          <w:color w:val="auto"/>
          <w:highlight w:val="none"/>
        </w:rPr>
      </w:pPr>
      <w:bookmarkStart w:id="61" w:name="_Toc15396620"/>
      <w:r>
        <w:rPr>
          <w:rFonts w:hint="eastAsia" w:ascii="仿宋" w:hAnsi="仿宋" w:eastAsia="仿宋"/>
          <w:b w:val="0"/>
          <w:color w:val="auto"/>
          <w:highlight w:val="none"/>
        </w:rPr>
        <w:t>二、收</w:t>
      </w:r>
      <w:r>
        <w:rPr>
          <w:rStyle w:val="29"/>
          <w:rFonts w:hint="eastAsia" w:ascii="仿宋" w:hAnsi="仿宋" w:eastAsia="仿宋"/>
          <w:b w:val="0"/>
          <w:bCs w:val="0"/>
          <w:color w:val="auto"/>
          <w:highlight w:val="none"/>
        </w:rPr>
        <w:t>入决算表</w:t>
      </w:r>
      <w:bookmarkEnd w:id="61"/>
    </w:p>
    <w:p>
      <w:pPr>
        <w:pStyle w:val="4"/>
        <w:rPr>
          <w:rFonts w:ascii="仿宋" w:hAnsi="仿宋" w:eastAsia="仿宋"/>
          <w:color w:val="auto"/>
          <w:highlight w:val="none"/>
        </w:rPr>
      </w:pPr>
      <w:bookmarkStart w:id="62" w:name="_Toc15396621"/>
      <w:r>
        <w:rPr>
          <w:rStyle w:val="29"/>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9"/>
          <w:rFonts w:hint="eastAsia" w:ascii="仿宋" w:hAnsi="仿宋" w:eastAsia="仿宋"/>
          <w:b w:val="0"/>
          <w:bCs w:val="0"/>
          <w:color w:val="auto"/>
          <w:highlight w:val="none"/>
        </w:rPr>
        <w:t>出决算表</w:t>
      </w:r>
      <w:bookmarkEnd w:id="62"/>
    </w:p>
    <w:p>
      <w:pPr>
        <w:pStyle w:val="4"/>
        <w:rPr>
          <w:rFonts w:ascii="仿宋" w:hAnsi="仿宋" w:eastAsia="仿宋"/>
          <w:b w:val="0"/>
          <w:color w:val="auto"/>
          <w:highlight w:val="none"/>
        </w:rPr>
      </w:pPr>
      <w:bookmarkStart w:id="63" w:name="_Toc15396622"/>
      <w:r>
        <w:rPr>
          <w:rStyle w:val="29"/>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9"/>
          <w:rFonts w:hint="eastAsia" w:ascii="仿宋" w:hAnsi="仿宋" w:eastAsia="仿宋"/>
          <w:b w:val="0"/>
          <w:bCs w:val="0"/>
          <w:color w:val="auto"/>
          <w:highlight w:val="none"/>
        </w:rPr>
        <w:t>政拨款收入支出决算总表</w:t>
      </w:r>
      <w:bookmarkEnd w:id="63"/>
    </w:p>
    <w:p>
      <w:pPr>
        <w:pStyle w:val="4"/>
        <w:rPr>
          <w:rStyle w:val="29"/>
          <w:rFonts w:ascii="仿宋" w:hAnsi="仿宋" w:eastAsia="仿宋"/>
          <w:b w:val="0"/>
          <w:bCs w:val="0"/>
          <w:color w:val="auto"/>
          <w:highlight w:val="none"/>
        </w:rPr>
      </w:pPr>
      <w:bookmarkStart w:id="64" w:name="_Toc15396623"/>
      <w:r>
        <w:rPr>
          <w:rStyle w:val="29"/>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9"/>
          <w:rFonts w:hint="eastAsia" w:ascii="仿宋" w:hAnsi="仿宋" w:eastAsia="仿宋"/>
          <w:b w:val="0"/>
          <w:bCs w:val="0"/>
          <w:color w:val="auto"/>
          <w:highlight w:val="none"/>
        </w:rPr>
        <w:t>政拨款支出决算明细表</w:t>
      </w:r>
      <w:bookmarkEnd w:id="64"/>
      <w:bookmarkStart w:id="65" w:name="_Toc15396624"/>
    </w:p>
    <w:p>
      <w:pPr>
        <w:pStyle w:val="4"/>
        <w:rPr>
          <w:rFonts w:ascii="仿宋" w:hAnsi="仿宋" w:eastAsia="仿宋"/>
          <w:color w:val="auto"/>
          <w:highlight w:val="none"/>
        </w:rPr>
      </w:pPr>
      <w:r>
        <w:rPr>
          <w:rStyle w:val="29"/>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般公共预算财政拨款支出决算表</w:t>
      </w:r>
      <w:bookmarkEnd w:id="65"/>
    </w:p>
    <w:p>
      <w:pPr>
        <w:pStyle w:val="4"/>
        <w:rPr>
          <w:rFonts w:ascii="仿宋" w:hAnsi="仿宋" w:eastAsia="仿宋"/>
          <w:color w:val="auto"/>
          <w:highlight w:val="none"/>
        </w:rPr>
      </w:pPr>
      <w:bookmarkStart w:id="66" w:name="_Toc15396625"/>
      <w:r>
        <w:rPr>
          <w:rStyle w:val="29"/>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般公共预算财政拨款支出决算明细表</w:t>
      </w:r>
      <w:bookmarkEnd w:id="66"/>
    </w:p>
    <w:p>
      <w:pPr>
        <w:pStyle w:val="4"/>
        <w:rPr>
          <w:rFonts w:ascii="仿宋" w:hAnsi="仿宋" w:eastAsia="仿宋"/>
          <w:color w:val="auto"/>
          <w:highlight w:val="none"/>
        </w:rPr>
      </w:pPr>
      <w:bookmarkStart w:id="67" w:name="_Toc15396626"/>
      <w:r>
        <w:rPr>
          <w:rStyle w:val="29"/>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般公共预算财政拨款基本支出决算表</w:t>
      </w:r>
      <w:bookmarkEnd w:id="67"/>
    </w:p>
    <w:p>
      <w:pPr>
        <w:pStyle w:val="4"/>
        <w:rPr>
          <w:rFonts w:ascii="仿宋" w:hAnsi="仿宋" w:eastAsia="仿宋"/>
          <w:color w:val="auto"/>
          <w:highlight w:val="none"/>
        </w:rPr>
      </w:pPr>
      <w:bookmarkStart w:id="68" w:name="_Toc15396627"/>
      <w:r>
        <w:rPr>
          <w:rStyle w:val="29"/>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般公共预算财政拨款项目支出决算表</w:t>
      </w:r>
      <w:bookmarkEnd w:id="68"/>
    </w:p>
    <w:p>
      <w:pPr>
        <w:pStyle w:val="4"/>
        <w:rPr>
          <w:rFonts w:ascii="仿宋" w:hAnsi="仿宋" w:eastAsia="仿宋"/>
          <w:color w:val="auto"/>
          <w:highlight w:val="none"/>
        </w:rPr>
      </w:pPr>
      <w:bookmarkStart w:id="69" w:name="_Toc15396628"/>
      <w:r>
        <w:rPr>
          <w:rStyle w:val="29"/>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般公共预算财政拨款“三公”经费支出决算表</w:t>
      </w:r>
      <w:bookmarkEnd w:id="69"/>
    </w:p>
    <w:p>
      <w:pPr>
        <w:pStyle w:val="4"/>
        <w:rPr>
          <w:rFonts w:ascii="仿宋" w:hAnsi="仿宋" w:eastAsia="仿宋"/>
          <w:color w:val="auto"/>
          <w:highlight w:val="none"/>
        </w:rPr>
      </w:pPr>
      <w:bookmarkStart w:id="70" w:name="_Toc15396629"/>
      <w:r>
        <w:rPr>
          <w:rStyle w:val="29"/>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9"/>
          <w:rFonts w:hint="eastAsia" w:ascii="仿宋" w:hAnsi="仿宋" w:eastAsia="仿宋"/>
          <w:b w:val="0"/>
          <w:bCs w:val="0"/>
          <w:color w:val="auto"/>
          <w:highlight w:val="none"/>
        </w:rPr>
        <w:t>府性基金预算财政拨款收入支出决算表</w:t>
      </w:r>
      <w:bookmarkEnd w:id="70"/>
    </w:p>
    <w:p>
      <w:pPr>
        <w:pStyle w:val="4"/>
        <w:rPr>
          <w:rFonts w:ascii="仿宋" w:hAnsi="仿宋" w:eastAsia="仿宋"/>
          <w:color w:val="auto"/>
          <w:highlight w:val="none"/>
        </w:rPr>
      </w:pPr>
      <w:bookmarkStart w:id="71" w:name="_Toc15396630"/>
      <w:r>
        <w:rPr>
          <w:rStyle w:val="29"/>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9"/>
          <w:rFonts w:hint="eastAsia" w:ascii="仿宋" w:hAnsi="仿宋" w:eastAsia="仿宋"/>
          <w:b w:val="0"/>
          <w:bCs w:val="0"/>
          <w:color w:val="auto"/>
          <w:highlight w:val="none"/>
        </w:rPr>
        <w:t>府性基金预算财政拨款“三公”经费支出决算表</w:t>
      </w:r>
      <w:bookmarkEnd w:id="71"/>
    </w:p>
    <w:p>
      <w:pPr>
        <w:pStyle w:val="4"/>
        <w:rPr>
          <w:rStyle w:val="29"/>
          <w:rFonts w:hint="eastAsia" w:ascii="仿宋" w:hAnsi="仿宋" w:eastAsia="仿宋"/>
          <w:b w:val="0"/>
          <w:bCs w:val="0"/>
          <w:color w:val="auto"/>
          <w:highlight w:val="none"/>
        </w:rPr>
      </w:pPr>
      <w:bookmarkStart w:id="72" w:name="_Toc15396631"/>
      <w:r>
        <w:rPr>
          <w:rStyle w:val="29"/>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9"/>
          <w:rFonts w:hint="eastAsia" w:ascii="仿宋" w:hAnsi="仿宋" w:eastAsia="仿宋"/>
          <w:b w:val="0"/>
          <w:bCs w:val="0"/>
          <w:color w:val="auto"/>
          <w:highlight w:val="none"/>
        </w:rPr>
        <w:t>有资本经营预算</w:t>
      </w:r>
      <w:r>
        <w:rPr>
          <w:rStyle w:val="29"/>
          <w:rFonts w:hint="eastAsia" w:ascii="仿宋" w:hAnsi="仿宋" w:eastAsia="仿宋"/>
          <w:b w:val="0"/>
          <w:bCs w:val="0"/>
          <w:color w:val="auto"/>
          <w:highlight w:val="none"/>
          <w:lang w:eastAsia="zh-CN"/>
        </w:rPr>
        <w:t>财政拨款收入</w:t>
      </w:r>
      <w:r>
        <w:rPr>
          <w:rStyle w:val="29"/>
          <w:rFonts w:hint="eastAsia" w:ascii="仿宋" w:hAnsi="仿宋" w:eastAsia="仿宋"/>
          <w:b w:val="0"/>
          <w:bCs w:val="0"/>
          <w:color w:val="auto"/>
          <w:highlight w:val="none"/>
        </w:rPr>
        <w:t>支出决算表</w:t>
      </w:r>
      <w:bookmarkEnd w:id="72"/>
    </w:p>
    <w:p>
      <w:pPr>
        <w:rPr>
          <w:rFonts w:hint="eastAsia" w:eastAsia="仿宋"/>
          <w:color w:val="auto"/>
          <w:highlight w:val="none"/>
          <w:lang w:eastAsia="zh-CN"/>
        </w:rPr>
      </w:pPr>
      <w:r>
        <w:rPr>
          <w:rStyle w:val="29"/>
          <w:rFonts w:hint="eastAsia" w:ascii="仿宋" w:hAnsi="仿宋" w:eastAsia="仿宋"/>
          <w:b w:val="0"/>
          <w:bCs w:val="0"/>
          <w:color w:val="auto"/>
          <w:highlight w:val="none"/>
          <w:lang w:eastAsia="zh-CN"/>
        </w:rPr>
        <w:t>十四、国有资本经营预算财政拨款支出决算表</w:t>
      </w:r>
    </w:p>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A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大标宋简体">
    <w:altName w:val="宋体"/>
    <w:panose1 w:val="02010601030101010101"/>
    <w:charset w:val="86"/>
    <w:family w:val="script"/>
    <w:pitch w:val="default"/>
    <w:sig w:usb0="00000000" w:usb1="00000000" w:usb2="00000000" w:usb3="00000000" w:csb0="00040000" w:csb1="00000000"/>
  </w:font>
  <w:font w:name="??">
    <w:altName w:val="Mangal"/>
    <w:panose1 w:val="00000000000000000000"/>
    <w:charset w:val="00"/>
    <w:family w:val="auto"/>
    <w:pitch w:val="default"/>
    <w:sig w:usb0="0000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96F23"/>
    <w:multiLevelType w:val="singleLevel"/>
    <w:tmpl w:val="81896F23"/>
    <w:lvl w:ilvl="0" w:tentative="0">
      <w:start w:val="2"/>
      <w:numFmt w:val="chineseCounting"/>
      <w:suff w:val="nothing"/>
      <w:lvlText w:val="（%1）"/>
      <w:lvlJc w:val="left"/>
      <w:rPr>
        <w:rFonts w:hint="eastAsia"/>
      </w:rPr>
    </w:lvl>
  </w:abstractNum>
  <w:abstractNum w:abstractNumId="1">
    <w:nsid w:val="84B39D96"/>
    <w:multiLevelType w:val="singleLevel"/>
    <w:tmpl w:val="84B39D96"/>
    <w:lvl w:ilvl="0" w:tentative="0">
      <w:start w:val="1"/>
      <w:numFmt w:val="decimal"/>
      <w:suff w:val="nothing"/>
      <w:lvlText w:val="%1、"/>
      <w:lvlJc w:val="left"/>
    </w:lvl>
  </w:abstractNum>
  <w:abstractNum w:abstractNumId="2">
    <w:nsid w:val="8EE0EB4F"/>
    <w:multiLevelType w:val="singleLevel"/>
    <w:tmpl w:val="8EE0EB4F"/>
    <w:lvl w:ilvl="0" w:tentative="0">
      <w:start w:val="2"/>
      <w:numFmt w:val="chineseCounting"/>
      <w:suff w:val="nothing"/>
      <w:lvlText w:val="（%1）"/>
      <w:lvlJc w:val="left"/>
      <w:rPr>
        <w:rFonts w:hint="eastAsia"/>
      </w:rPr>
    </w:lvl>
  </w:abstractNum>
  <w:abstractNum w:abstractNumId="3">
    <w:nsid w:val="9D8266C4"/>
    <w:multiLevelType w:val="singleLevel"/>
    <w:tmpl w:val="9D8266C4"/>
    <w:lvl w:ilvl="0" w:tentative="0">
      <w:start w:val="10"/>
      <w:numFmt w:val="decimal"/>
      <w:lvlText w:val="%1."/>
      <w:lvlJc w:val="left"/>
      <w:pPr>
        <w:tabs>
          <w:tab w:val="left" w:pos="312"/>
        </w:tabs>
      </w:pPr>
    </w:lvl>
  </w:abstractNum>
  <w:abstractNum w:abstractNumId="4">
    <w:nsid w:val="E2FA047D"/>
    <w:multiLevelType w:val="singleLevel"/>
    <w:tmpl w:val="E2FA047D"/>
    <w:lvl w:ilvl="0" w:tentative="0">
      <w:start w:val="3"/>
      <w:numFmt w:val="chineseCounting"/>
      <w:suff w:val="space"/>
      <w:lvlText w:val="第%1部分"/>
      <w:lvlJc w:val="left"/>
      <w:rPr>
        <w:rFonts w:hint="eastAsia"/>
      </w:rPr>
    </w:lvl>
  </w:abstractNum>
  <w:abstractNum w:abstractNumId="5">
    <w:nsid w:val="E8E71472"/>
    <w:multiLevelType w:val="singleLevel"/>
    <w:tmpl w:val="E8E71472"/>
    <w:lvl w:ilvl="0" w:tentative="0">
      <w:start w:val="2"/>
      <w:numFmt w:val="chineseCounting"/>
      <w:suff w:val="nothing"/>
      <w:lvlText w:val="（%1）"/>
      <w:lvlJc w:val="left"/>
      <w:rPr>
        <w:rFonts w:hint="eastAsia"/>
      </w:rPr>
    </w:lvl>
  </w:abstractNum>
  <w:abstractNum w:abstractNumId="6">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260A9DE8"/>
    <w:multiLevelType w:val="singleLevel"/>
    <w:tmpl w:val="260A9DE8"/>
    <w:lvl w:ilvl="0" w:tentative="0">
      <w:start w:val="2"/>
      <w:numFmt w:val="chineseCounting"/>
      <w:suff w:val="nothing"/>
      <w:lvlText w:val="（%1）"/>
      <w:lvlJc w:val="left"/>
      <w:rPr>
        <w:rFonts w:hint="eastAsia"/>
      </w:rPr>
    </w:lvl>
  </w:abstractNum>
  <w:abstractNum w:abstractNumId="8">
    <w:nsid w:val="2FDE4B81"/>
    <w:multiLevelType w:val="singleLevel"/>
    <w:tmpl w:val="2FDE4B81"/>
    <w:lvl w:ilvl="0" w:tentative="0">
      <w:start w:val="2"/>
      <w:numFmt w:val="chineseCounting"/>
      <w:suff w:val="nothing"/>
      <w:lvlText w:val="（%1）"/>
      <w:lvlJc w:val="left"/>
      <w:rPr>
        <w:rFonts w:hint="eastAsia"/>
      </w:rPr>
    </w:lvl>
  </w:abstractNum>
  <w:abstractNum w:abstractNumId="9">
    <w:nsid w:val="4E9DD759"/>
    <w:multiLevelType w:val="singleLevel"/>
    <w:tmpl w:val="4E9DD759"/>
    <w:lvl w:ilvl="0" w:tentative="0">
      <w:start w:val="2"/>
      <w:numFmt w:val="chineseCounting"/>
      <w:suff w:val="nothing"/>
      <w:lvlText w:val="（%1）"/>
      <w:lvlJc w:val="left"/>
      <w:pPr>
        <w:ind w:left="14"/>
      </w:pPr>
      <w:rPr>
        <w:rFonts w:hint="eastAsia"/>
      </w:rPr>
    </w:lvl>
  </w:abstractNum>
  <w:abstractNum w:abstractNumId="10">
    <w:nsid w:val="7E053995"/>
    <w:multiLevelType w:val="singleLevel"/>
    <w:tmpl w:val="7E053995"/>
    <w:lvl w:ilvl="0" w:tentative="0">
      <w:start w:val="2"/>
      <w:numFmt w:val="chineseCounting"/>
      <w:suff w:val="nothing"/>
      <w:lvlText w:val="（%1）"/>
      <w:lvlJc w:val="left"/>
      <w:rPr>
        <w:rFonts w:hint="eastAsia"/>
      </w:rPr>
    </w:lvl>
  </w:abstractNum>
  <w:num w:numId="1">
    <w:abstractNumId w:val="6"/>
  </w:num>
  <w:num w:numId="2">
    <w:abstractNumId w:val="4"/>
  </w:num>
  <w:num w:numId="3">
    <w:abstractNumId w:val="3"/>
  </w:num>
  <w:num w:numId="4">
    <w:abstractNumId w:val="9"/>
  </w:num>
  <w:num w:numId="5">
    <w:abstractNumId w:val="2"/>
  </w:num>
  <w:num w:numId="6">
    <w:abstractNumId w:val="10"/>
  </w:num>
  <w:num w:numId="7">
    <w:abstractNumId w:val="7"/>
  </w:num>
  <w:num w:numId="8">
    <w:abstractNumId w:val="5"/>
  </w:num>
  <w:num w:numId="9">
    <w:abstractNumId w:val="1"/>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19"/>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4NjRjMmRjMTgxM2VmNjg2MjFmZWE5NDQ4ODNiNT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933CA1"/>
    <w:rsid w:val="01F121D8"/>
    <w:rsid w:val="04660B73"/>
    <w:rsid w:val="066E0107"/>
    <w:rsid w:val="07996F6E"/>
    <w:rsid w:val="0A2032A3"/>
    <w:rsid w:val="0CEB7449"/>
    <w:rsid w:val="0E0012AE"/>
    <w:rsid w:val="101860EC"/>
    <w:rsid w:val="10C055FF"/>
    <w:rsid w:val="118107EC"/>
    <w:rsid w:val="12557610"/>
    <w:rsid w:val="13AC7651"/>
    <w:rsid w:val="13D50BC4"/>
    <w:rsid w:val="14A01C0E"/>
    <w:rsid w:val="151F39F9"/>
    <w:rsid w:val="16BB723D"/>
    <w:rsid w:val="1B617245"/>
    <w:rsid w:val="1BE8440E"/>
    <w:rsid w:val="1CFD5D3E"/>
    <w:rsid w:val="1D155CEE"/>
    <w:rsid w:val="1EA336D1"/>
    <w:rsid w:val="21A06EBB"/>
    <w:rsid w:val="23860B96"/>
    <w:rsid w:val="240371BF"/>
    <w:rsid w:val="28A40E10"/>
    <w:rsid w:val="29FD04D3"/>
    <w:rsid w:val="2B5C0F49"/>
    <w:rsid w:val="2C175D66"/>
    <w:rsid w:val="2C8A61B5"/>
    <w:rsid w:val="2CB0069A"/>
    <w:rsid w:val="2DF04E50"/>
    <w:rsid w:val="3140197F"/>
    <w:rsid w:val="319F7F4E"/>
    <w:rsid w:val="32395726"/>
    <w:rsid w:val="346F37BB"/>
    <w:rsid w:val="359F7AA1"/>
    <w:rsid w:val="36AA5135"/>
    <w:rsid w:val="37CD1A92"/>
    <w:rsid w:val="37E16F03"/>
    <w:rsid w:val="38601642"/>
    <w:rsid w:val="39D71502"/>
    <w:rsid w:val="3D98207C"/>
    <w:rsid w:val="44E268DA"/>
    <w:rsid w:val="48C43A71"/>
    <w:rsid w:val="4A627F82"/>
    <w:rsid w:val="4B4F25DA"/>
    <w:rsid w:val="4BB355BB"/>
    <w:rsid w:val="4BE068DB"/>
    <w:rsid w:val="4D577224"/>
    <w:rsid w:val="4EAB630A"/>
    <w:rsid w:val="4ECE2238"/>
    <w:rsid w:val="50054340"/>
    <w:rsid w:val="51EF24A3"/>
    <w:rsid w:val="51F51DC3"/>
    <w:rsid w:val="520E2829"/>
    <w:rsid w:val="524146A7"/>
    <w:rsid w:val="52A70444"/>
    <w:rsid w:val="54D41D15"/>
    <w:rsid w:val="54FC530D"/>
    <w:rsid w:val="58F95775"/>
    <w:rsid w:val="59973856"/>
    <w:rsid w:val="5AF92295"/>
    <w:rsid w:val="5CD71FC4"/>
    <w:rsid w:val="5D855550"/>
    <w:rsid w:val="5E2844B9"/>
    <w:rsid w:val="62B80AC5"/>
    <w:rsid w:val="66376316"/>
    <w:rsid w:val="69E26330"/>
    <w:rsid w:val="6C4A05C8"/>
    <w:rsid w:val="6E7E3605"/>
    <w:rsid w:val="6FED6CE3"/>
    <w:rsid w:val="6FF5CC65"/>
    <w:rsid w:val="715C0E4B"/>
    <w:rsid w:val="72734D90"/>
    <w:rsid w:val="73AD73D5"/>
    <w:rsid w:val="73B6EB34"/>
    <w:rsid w:val="744F5002"/>
    <w:rsid w:val="7588101C"/>
    <w:rsid w:val="7723563A"/>
    <w:rsid w:val="79EE5BA4"/>
    <w:rsid w:val="7A894339"/>
    <w:rsid w:val="7B187D10"/>
    <w:rsid w:val="7DB45B96"/>
    <w:rsid w:val="7EEF11D3"/>
    <w:rsid w:val="7FA30C79"/>
    <w:rsid w:val="7FC96657"/>
    <w:rsid w:val="D8D6DB89"/>
    <w:rsid w:val="DB6F4CAB"/>
    <w:rsid w:val="DF6F9789"/>
    <w:rsid w:val="EB2DB26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Body Text Indent"/>
    <w:basedOn w:val="1"/>
    <w:next w:val="8"/>
    <w:qFormat/>
    <w:uiPriority w:val="0"/>
    <w:pPr>
      <w:spacing w:after="120"/>
      <w:ind w:left="420" w:leftChars="200"/>
    </w:pPr>
    <w:rPr>
      <w:szCs w:val="24"/>
    </w:rPr>
  </w:style>
  <w:style w:type="paragraph" w:styleId="8">
    <w:name w:val="Body Text First Indent 2"/>
    <w:basedOn w:val="7"/>
    <w:next w:val="1"/>
    <w:qFormat/>
    <w:uiPriority w:val="0"/>
    <w:pPr>
      <w:spacing w:after="120"/>
      <w:ind w:firstLine="420" w:firstLineChars="200"/>
    </w:p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1"/>
    <w:semiHidden/>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able of figures"/>
    <w:basedOn w:val="1"/>
    <w:next w:val="1"/>
    <w:qFormat/>
    <w:uiPriority w:val="0"/>
    <w:pPr>
      <w:ind w:left="200" w:leftChars="200" w:hanging="200" w:hangingChars="200"/>
    </w:pPr>
  </w:style>
  <w:style w:type="paragraph" w:styleId="15">
    <w:name w:val="toc 2"/>
    <w:basedOn w:val="1"/>
    <w:next w:val="1"/>
    <w:unhideWhenUsed/>
    <w:qFormat/>
    <w:uiPriority w:val="39"/>
    <w:pPr>
      <w:tabs>
        <w:tab w:val="right" w:leader="dot" w:pos="8296"/>
      </w:tabs>
      <w:ind w:left="420" w:left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Header Char"/>
    <w:basedOn w:val="17"/>
    <w:semiHidden/>
    <w:qFormat/>
    <w:uiPriority w:val="99"/>
    <w:rPr>
      <w:rFonts w:ascii="Times New Roman" w:hAnsi="Times New Roman"/>
      <w:sz w:val="18"/>
      <w:szCs w:val="18"/>
    </w:rPr>
  </w:style>
  <w:style w:type="character" w:customStyle="1" w:styleId="21">
    <w:name w:val="页眉 Char"/>
    <w:link w:val="12"/>
    <w:semiHidden/>
    <w:qFormat/>
    <w:locked/>
    <w:uiPriority w:val="99"/>
    <w:rPr>
      <w:sz w:val="18"/>
    </w:rPr>
  </w:style>
  <w:style w:type="character" w:customStyle="1" w:styleId="22">
    <w:name w:val="Footer Char"/>
    <w:basedOn w:val="17"/>
    <w:semiHidden/>
    <w:qFormat/>
    <w:uiPriority w:val="99"/>
    <w:rPr>
      <w:rFonts w:ascii="Times New Roman" w:hAnsi="Times New Roman"/>
      <w:sz w:val="18"/>
      <w:szCs w:val="18"/>
    </w:rPr>
  </w:style>
  <w:style w:type="character" w:customStyle="1" w:styleId="23">
    <w:name w:val="页脚 Char"/>
    <w:link w:val="11"/>
    <w:qFormat/>
    <w:locked/>
    <w:uiPriority w:val="99"/>
    <w:rPr>
      <w:sz w:val="18"/>
    </w:rPr>
  </w:style>
  <w:style w:type="character" w:customStyle="1" w:styleId="24">
    <w:name w:val="Body Text Char"/>
    <w:basedOn w:val="17"/>
    <w:semiHidden/>
    <w:qFormat/>
    <w:uiPriority w:val="99"/>
    <w:rPr>
      <w:rFonts w:ascii="Times New Roman" w:hAnsi="Times New Roman"/>
      <w:szCs w:val="24"/>
    </w:rPr>
  </w:style>
  <w:style w:type="character" w:customStyle="1" w:styleId="25">
    <w:name w:val="正文文本 Char"/>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7"/>
    <w:link w:val="3"/>
    <w:qFormat/>
    <w:uiPriority w:val="9"/>
    <w:rPr>
      <w:rFonts w:ascii="Times New Roman" w:hAnsi="Times New Roman"/>
      <w:b/>
      <w:bCs/>
      <w:kern w:val="44"/>
      <w:sz w:val="44"/>
      <w:szCs w:val="44"/>
    </w:rPr>
  </w:style>
  <w:style w:type="character" w:customStyle="1" w:styleId="29">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7"/>
    <w:link w:val="10"/>
    <w:semiHidden/>
    <w:qFormat/>
    <w:uiPriority w:val="99"/>
    <w:rPr>
      <w:rFonts w:ascii="Times New Roman" w:hAnsi="Times New Roman"/>
      <w:kern w:val="2"/>
      <w:sz w:val="18"/>
      <w:szCs w:val="18"/>
    </w:rPr>
  </w:style>
  <w:style w:type="character" w:customStyle="1" w:styleId="32">
    <w:name w:val="标题 3 Char"/>
    <w:basedOn w:val="17"/>
    <w:link w:val="5"/>
    <w:qFormat/>
    <w:uiPriority w:val="9"/>
    <w:rPr>
      <w:rFonts w:ascii="Times New Roman" w:hAnsi="Times New Roman"/>
      <w:b/>
      <w:bCs/>
      <w:kern w:val="2"/>
      <w:sz w:val="32"/>
      <w:szCs w:val="32"/>
    </w:rPr>
  </w:style>
  <w:style w:type="paragraph" w:customStyle="1" w:styleId="33">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font11"/>
    <w:basedOn w:val="17"/>
    <w:qFormat/>
    <w:uiPriority w:val="0"/>
    <w:rPr>
      <w:rFonts w:hint="eastAsia" w:ascii="宋体" w:hAnsi="宋体" w:eastAsia="宋体" w:cs="宋体"/>
      <w:color w:val="000000"/>
      <w:sz w:val="20"/>
      <w:szCs w:val="20"/>
      <w:u w:val="none"/>
    </w:rPr>
  </w:style>
  <w:style w:type="character" w:customStyle="1" w:styleId="35">
    <w:name w:val="font71"/>
    <w:basedOn w:val="1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2270;.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2270;.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收、支决算变动情况图</a:t>
            </a:r>
          </a:p>
        </c:rich>
      </c:tx>
      <c:layout/>
      <c:overlay val="false"/>
      <c:spPr>
        <a:noFill/>
        <a:ln>
          <a:noFill/>
        </a:ln>
        <a:effectLst/>
      </c:spPr>
    </c:title>
    <c:autoTitleDeleted val="false"/>
    <c:plotArea>
      <c:layout>
        <c:manualLayout>
          <c:layoutTarget val="inner"/>
          <c:xMode val="edge"/>
          <c:yMode val="edge"/>
          <c:x val="0.098"/>
          <c:y val="0.172916666666667"/>
          <c:w val="0.869361111111111"/>
          <c:h val="0.711666666666667"/>
        </c:manualLayout>
      </c:layout>
      <c:barChart>
        <c:barDir val="col"/>
        <c:grouping val="clustered"/>
        <c:varyColors val="false"/>
        <c:ser>
          <c:idx val="0"/>
          <c:order val="0"/>
          <c:spPr>
            <a:solidFill>
              <a:schemeClr val="accent1"/>
            </a:solidFill>
            <a:ln>
              <a:noFill/>
            </a:ln>
            <a:effectLst/>
          </c:spPr>
          <c:invertIfNegative val="false"/>
          <c:dLbls>
            <c:delete val="true"/>
          </c:dLbls>
          <c:cat>
            <c:strRef>
              <c:f>[图.xls]Sheet1!$A$1:$A$2</c:f>
              <c:strCache>
                <c:ptCount val="2"/>
                <c:pt idx="0">
                  <c:v>2020年</c:v>
                </c:pt>
                <c:pt idx="1">
                  <c:v>2021年</c:v>
                </c:pt>
              </c:strCache>
            </c:strRef>
          </c:cat>
          <c:val>
            <c:numRef>
              <c:f>[图.xls]Sheet1!$B$1:$B$2</c:f>
              <c:numCache>
                <c:formatCode>General</c:formatCode>
                <c:ptCount val="2"/>
                <c:pt idx="0">
                  <c:v>37137.15</c:v>
                </c:pt>
                <c:pt idx="1">
                  <c:v>64214.29</c:v>
                </c:pt>
              </c:numCache>
            </c:numRef>
          </c:val>
        </c:ser>
        <c:dLbls>
          <c:showLegendKey val="false"/>
          <c:showVal val="false"/>
          <c:showCatName val="false"/>
          <c:showSerName val="false"/>
          <c:showPercent val="false"/>
          <c:showBubbleSize val="false"/>
        </c:dLbls>
        <c:gapWidth val="219"/>
        <c:overlap val="-27"/>
        <c:axId val="517144898"/>
        <c:axId val="696164065"/>
      </c:barChart>
      <c:catAx>
        <c:axId val="517144898"/>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96164065"/>
        <c:crosses val="autoZero"/>
        <c:auto val="true"/>
        <c:lblAlgn val="ctr"/>
        <c:lblOffset val="100"/>
        <c:noMultiLvlLbl val="false"/>
      </c:catAx>
      <c:valAx>
        <c:axId val="696164065"/>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17144898"/>
        <c:crosses val="autoZero"/>
        <c:crossBetween val="between"/>
      </c:valAx>
      <c:spPr>
        <a:noFill/>
        <a:ln>
          <a:noFill/>
        </a:ln>
        <a:effectLst/>
      </c:spPr>
    </c:plotArea>
    <c:plotVisOnly val="true"/>
    <c:dispBlanksAs val="gap"/>
    <c:showDLblsOverMax val="false"/>
  </c:chart>
  <c:spPr>
    <a:solidFill>
      <a:schemeClr val="bg1"/>
    </a:solidFill>
    <a:ln w="9525" cap="flat" cmpd="sng" algn="ctr">
      <a:no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6"/>
              </a:solidFill>
              <a:ln w="19050">
                <a:solidFill>
                  <a:schemeClr val="lt1"/>
                </a:solidFill>
              </a:ln>
              <a:effectLst/>
            </c:spPr>
          </c:dPt>
          <c:dPt>
            <c:idx val="1"/>
            <c:bubble3D val="false"/>
            <c:spPr>
              <a:solidFill>
                <a:schemeClr val="accent5"/>
              </a:solidFill>
              <a:ln w="19050">
                <a:solidFill>
                  <a:schemeClr val="lt1"/>
                </a:solidFill>
              </a:ln>
              <a:effectLst/>
            </c:spPr>
          </c:dPt>
          <c:dPt>
            <c:idx val="2"/>
            <c:bubble3D val="false"/>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Sheet1!$A$2:$A$4</c:f>
              <c:strCache>
                <c:ptCount val="3"/>
                <c:pt idx="0">
                  <c:v>一般公共预算收入</c:v>
                </c:pt>
                <c:pt idx="1">
                  <c:v>政府性基金收入</c:v>
                </c:pt>
                <c:pt idx="2">
                  <c:v>其他收入</c:v>
                </c:pt>
              </c:strCache>
            </c:strRef>
          </c:cat>
          <c:val>
            <c:numRef>
              <c:f>Sheet1!$B$2:$B$4</c:f>
              <c:numCache>
                <c:formatCode>General</c:formatCode>
                <c:ptCount val="3"/>
                <c:pt idx="0">
                  <c:v>19969.35</c:v>
                </c:pt>
                <c:pt idx="1">
                  <c:v>31600</c:v>
                </c:pt>
                <c:pt idx="2">
                  <c:v>29.25</c:v>
                </c:pt>
              </c:numCache>
            </c:numRef>
          </c:val>
        </c:ser>
        <c:dLbls>
          <c:showLegendKey val="false"/>
          <c:showVal val="false"/>
          <c:showCatName val="true"/>
          <c:showSerName val="false"/>
          <c:showPercent val="true"/>
          <c:showBubbleSize val="false"/>
          <c:showLeaderLines val="true"/>
        </c:dLbls>
        <c:firstSliceAng val="0"/>
      </c:pieChart>
      <c:spPr>
        <a:noFill/>
        <a:ln>
          <a:noFill/>
        </a:ln>
        <a:effectLst/>
      </c:spPr>
    </c:plotArea>
    <c:plotVisOnly val="true"/>
    <c:dispBlanksAs val="gap"/>
    <c:showDLblsOverMax val="false"/>
  </c:chart>
  <c:spPr>
    <a:solidFill>
      <a:schemeClr val="bg1"/>
    </a:solidFill>
    <a:ln w="9525" cap="flat" cmpd="sng" algn="ctr">
      <a:no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overlay val="false"/>
      <c:spPr>
        <a:noFill/>
        <a:ln>
          <a:noFill/>
        </a:ln>
        <a:effectLst/>
      </c:spPr>
    </c:title>
    <c:autoTitleDeleted val="false"/>
    <c:plotArea>
      <c:layout>
        <c:manualLayout>
          <c:layoutTarget val="inner"/>
          <c:xMode val="edge"/>
          <c:yMode val="edge"/>
          <c:x val="0.336727823598721"/>
          <c:y val="0.12237037037037"/>
          <c:w val="0.358525500757448"/>
          <c:h val="0.631111111111111"/>
        </c:manualLayout>
      </c:layout>
      <c:pieChart>
        <c:varyColors val="true"/>
        <c:ser>
          <c:idx val="0"/>
          <c:order val="0"/>
          <c:spPr/>
          <c:explosion val="0"/>
          <c:dPt>
            <c:idx val="0"/>
            <c:bubble3D val="false"/>
            <c:explosion val="0"/>
            <c:spPr>
              <a:solidFill>
                <a:schemeClr val="accent6"/>
              </a:solidFill>
              <a:ln w="19050">
                <a:solidFill>
                  <a:schemeClr val="lt1"/>
                </a:solidFill>
              </a:ln>
              <a:effectLst/>
            </c:spPr>
          </c:dPt>
          <c:dPt>
            <c:idx val="1"/>
            <c:bubble3D val="false"/>
            <c:explosion val="0"/>
            <c:spPr>
              <a:solidFill>
                <a:schemeClr val="accent5"/>
              </a:solidFill>
              <a:ln w="19050">
                <a:solidFill>
                  <a:schemeClr val="lt1"/>
                </a:solidFill>
              </a:ln>
              <a:effectLst/>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true"/>
            <c:showSerName val="false"/>
            <c:showPercent val="true"/>
            <c:showBubbleSize val="false"/>
            <c:separator>
</c:separator>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[图.xls]Sheet1!$A$1:$A$2</c:f>
              <c:strCache>
                <c:ptCount val="2"/>
                <c:pt idx="0">
                  <c:v>基本支出</c:v>
                </c:pt>
                <c:pt idx="1">
                  <c:v>项目支出</c:v>
                </c:pt>
              </c:strCache>
            </c:strRef>
          </c:cat>
          <c:val>
            <c:numRef>
              <c:f>[图.xls]Sheet1!$B$1:$B$2</c:f>
              <c:numCache>
                <c:formatCode>General</c:formatCode>
                <c:ptCount val="2"/>
                <c:pt idx="0">
                  <c:v>1717.37</c:v>
                </c:pt>
                <c:pt idx="1">
                  <c:v>52588.49</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noFill/>
      <a:round/>
    </a:ln>
    <a:effectLst/>
  </c:spPr>
  <c:txPr>
    <a:bodyPr wrap="square"/>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财政拨款收、支决算总体情况</a:t>
            </a:r>
          </a:p>
        </c:rich>
      </c:tx>
      <c:layout/>
      <c:overlay val="false"/>
      <c:spPr>
        <a:noFill/>
        <a:ln>
          <a:noFill/>
        </a:ln>
        <a:effectLst/>
      </c:spPr>
    </c:title>
    <c:autoTitleDeleted val="false"/>
    <c:plotArea>
      <c:layout>
        <c:manualLayout>
          <c:layoutTarget val="inner"/>
          <c:xMode val="edge"/>
          <c:yMode val="edge"/>
          <c:x val="0.123053278688525"/>
          <c:y val="0.303169872663235"/>
          <c:w val="0.673394808743169"/>
          <c:h val="0.561744784611216"/>
        </c:manualLayout>
      </c:layout>
      <c:barChart>
        <c:barDir val="col"/>
        <c:grouping val="clustered"/>
        <c:varyColors val="false"/>
        <c:ser>
          <c:idx val="0"/>
          <c:order val="0"/>
          <c:spPr>
            <a:solidFill>
              <a:schemeClr val="accent1"/>
            </a:solidFill>
            <a:ln>
              <a:noFill/>
            </a:ln>
            <a:effectLst/>
          </c:spPr>
          <c:invertIfNegative val="false"/>
          <c:dLbls>
            <c:delete val="true"/>
          </c:dLbls>
          <c:cat>
            <c:strRef>
              <c:f>Sheet1!$A$1:$B$1</c:f>
              <c:strCache>
                <c:ptCount val="2"/>
                <c:pt idx="0">
                  <c:v>2020年</c:v>
                </c:pt>
                <c:pt idx="1">
                  <c:v>2021年</c:v>
                </c:pt>
              </c:strCache>
            </c:strRef>
          </c:cat>
          <c:val>
            <c:numRef>
              <c:f>Sheet1!$A$2:$B$2</c:f>
              <c:numCache>
                <c:formatCode>General</c:formatCode>
                <c:ptCount val="2"/>
                <c:pt idx="0">
                  <c:v>37137.15</c:v>
                </c:pt>
                <c:pt idx="1">
                  <c:v>64214.29</c:v>
                </c:pt>
              </c:numCache>
            </c:numRef>
          </c:val>
        </c:ser>
        <c:dLbls>
          <c:showLegendKey val="false"/>
          <c:showVal val="false"/>
          <c:showCatName val="false"/>
          <c:showSerName val="false"/>
          <c:showPercent val="false"/>
          <c:showBubbleSize val="false"/>
        </c:dLbls>
        <c:gapWidth val="219"/>
        <c:overlap val="-27"/>
        <c:axId val="28331905"/>
        <c:axId val="919073351"/>
      </c:barChart>
      <c:catAx>
        <c:axId val="28331905"/>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19073351"/>
        <c:crosses val="autoZero"/>
        <c:auto val="true"/>
        <c:lblAlgn val="ctr"/>
        <c:lblOffset val="100"/>
        <c:noMultiLvlLbl val="false"/>
      </c:catAx>
      <c:valAx>
        <c:axId val="919073351"/>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8331905"/>
        <c:crosses val="autoZero"/>
        <c:crossBetween val="between"/>
      </c:valAx>
      <c:spPr>
        <a:noFill/>
        <a:ln>
          <a:noFill/>
        </a:ln>
        <a:effectLst/>
      </c:spPr>
    </c:plotArea>
    <c:plotVisOnly val="true"/>
    <c:dispBlanksAs val="gap"/>
    <c:showDLblsOverMax val="false"/>
  </c:chart>
  <c:spPr>
    <a:solidFill>
      <a:schemeClr val="bg1"/>
    </a:solidFill>
    <a:ln w="9525" cap="flat" cmpd="sng" algn="ctr">
      <a:no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一般公共预算财政拨款支出总体情况</a:t>
            </a:r>
          </a:p>
          <a:p>
            <a:pPr defTabSz="914400">
              <a:defRPr lang="zh-CN" sz="1400" b="0" i="0" u="none" strike="noStrike" kern="1200" spc="0" baseline="0">
                <a:solidFill>
                  <a:schemeClr val="tx1">
                    <a:lumMod val="65000"/>
                    <a:lumOff val="35000"/>
                  </a:schemeClr>
                </a:solidFill>
                <a:latin typeface="+mn-lt"/>
                <a:ea typeface="+mn-ea"/>
                <a:cs typeface="+mn-cs"/>
              </a:defRPr>
            </a:pPr>
          </a:p>
        </c:rich>
      </c:tx>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Lbls>
            <c:delete val="true"/>
          </c:dLbls>
          <c:cat>
            <c:strRef>
              <c:f>Sheet1!$A$1:$A$2</c:f>
              <c:strCache>
                <c:ptCount val="2"/>
                <c:pt idx="0">
                  <c:v>2020年</c:v>
                </c:pt>
                <c:pt idx="1">
                  <c:v>2021年</c:v>
                </c:pt>
              </c:strCache>
            </c:strRef>
          </c:cat>
          <c:val>
            <c:numRef>
              <c:f>Sheet1!$B$1:$B$2</c:f>
              <c:numCache>
                <c:formatCode>General</c:formatCode>
                <c:ptCount val="2"/>
                <c:pt idx="0">
                  <c:v>17757.97</c:v>
                </c:pt>
                <c:pt idx="1">
                  <c:v>17323.11</c:v>
                </c:pt>
              </c:numCache>
            </c:numRef>
          </c:val>
        </c:ser>
        <c:dLbls>
          <c:showLegendKey val="false"/>
          <c:showVal val="false"/>
          <c:showCatName val="false"/>
          <c:showSerName val="false"/>
          <c:showPercent val="false"/>
          <c:showBubbleSize val="false"/>
        </c:dLbls>
        <c:gapWidth val="214"/>
        <c:overlap val="-31"/>
        <c:axId val="93807843"/>
        <c:axId val="148108249"/>
      </c:barChart>
      <c:catAx>
        <c:axId val="93807843"/>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48108249"/>
        <c:crosses val="autoZero"/>
        <c:auto val="true"/>
        <c:lblAlgn val="ctr"/>
        <c:lblOffset val="100"/>
        <c:noMultiLvlLbl val="false"/>
      </c:catAx>
      <c:valAx>
        <c:axId val="148108249"/>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3807843"/>
        <c:crosses val="autoZero"/>
        <c:crossBetween val="between"/>
      </c:valAx>
      <c:spPr>
        <a:noFill/>
        <a:ln>
          <a:noFill/>
        </a:ln>
        <a:effectLst/>
      </c:spPr>
    </c:plotArea>
    <c:plotVisOnly val="true"/>
    <c:dispBlanksAs val="gap"/>
    <c:showDLblsOverMax val="false"/>
  </c:chart>
  <c:spPr>
    <a:solidFill>
      <a:schemeClr val="bg1"/>
    </a:solidFill>
    <a:ln w="9525" cap="flat" cmpd="sng" algn="ctr">
      <a:no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一般公共预算财政拨款支出结构图</a:t>
            </a:r>
          </a:p>
          <a:p>
            <a:pPr defTabSz="914400">
              <a:defRPr lang="zh-CN" sz="1400" b="0" i="0" u="none" strike="noStrike" kern="1200" spc="0" baseline="0">
                <a:solidFill>
                  <a:schemeClr val="tx1">
                    <a:lumMod val="65000"/>
                    <a:lumOff val="35000"/>
                  </a:schemeClr>
                </a:solidFill>
                <a:latin typeface="+mn-lt"/>
                <a:ea typeface="+mn-ea"/>
                <a:cs typeface="+mn-cs"/>
              </a:defRPr>
            </a:pPr>
          </a:p>
          <a:p>
            <a:pPr defTabSz="914400">
              <a:defRPr lang="zh-CN" sz="1400" b="0" i="0" u="none" strike="noStrike" kern="1200" spc="0" baseline="0">
                <a:solidFill>
                  <a:schemeClr val="tx1">
                    <a:lumMod val="65000"/>
                    <a:lumOff val="35000"/>
                  </a:schemeClr>
                </a:solidFill>
                <a:latin typeface="+mn-lt"/>
                <a:ea typeface="+mn-ea"/>
                <a:cs typeface="+mn-cs"/>
              </a:defRPr>
            </a:pPr>
          </a:p>
        </c:rich>
      </c:tx>
      <c:layout>
        <c:manualLayout>
          <c:xMode val="edge"/>
          <c:yMode val="edge"/>
          <c:x val="0.201131113589294"/>
          <c:y val="0.0472612699951527"/>
        </c:manualLayout>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Pt>
            <c:idx val="5"/>
            <c:bubble3D val="false"/>
            <c:spPr>
              <a:solidFill>
                <a:schemeClr val="accent6"/>
              </a:solidFill>
              <a:ln w="19050">
                <a:solidFill>
                  <a:schemeClr val="lt1"/>
                </a:solidFill>
              </a:ln>
              <a:effectLst/>
            </c:spPr>
          </c:dPt>
          <c:dLbls>
            <c:dLbl>
              <c:idx val="0"/>
              <c:layout>
                <c:manualLayout>
                  <c:x val="0.0873313954269545"/>
                  <c:y val="0.239123741491017"/>
                </c:manualLayout>
              </c:layout>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dLbl>
              <c:idx val="1"/>
              <c:layout>
                <c:manualLayout>
                  <c:x val="-0.102874929018903"/>
                  <c:y val="0.192469589135394"/>
                </c:manualLayout>
              </c:layout>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dLbl>
              <c:idx val="2"/>
              <c:layout>
                <c:manualLayout>
                  <c:x val="-0.0350651924526583"/>
                  <c:y val="-0.034898293552604"/>
                </c:manualLayout>
              </c:layout>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dLbl>
              <c:idx val="4"/>
              <c:layout>
                <c:manualLayout>
                  <c:x val="-0.173531207760525"/>
                  <c:y val="0.0619390774113175"/>
                </c:manualLayout>
              </c:layout>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dLbl>
              <c:idx val="5"/>
              <c:layout>
                <c:manualLayout>
                  <c:x val="0.17324011428582"/>
                  <c:y val="0.0829295396245233"/>
                </c:manualLayout>
              </c:layout>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Sheet1!$A$2:$A$7</c:f>
              <c:strCache>
                <c:ptCount val="6"/>
                <c:pt idx="0">
                  <c:v>社会保障和就业支出</c:v>
                </c:pt>
                <c:pt idx="1">
                  <c:v>卫生健康支出</c:v>
                </c:pt>
                <c:pt idx="2">
                  <c:v>节能环保支出</c:v>
                </c:pt>
                <c:pt idx="3">
                  <c:v>农林水支出</c:v>
                </c:pt>
                <c:pt idx="4">
                  <c:v>住房保障支出</c:v>
                </c:pt>
                <c:pt idx="5">
                  <c:v>粮油物资储备支出</c:v>
                </c:pt>
              </c:strCache>
            </c:strRef>
          </c:cat>
          <c:val>
            <c:numRef>
              <c:f>Sheet1!$B$2:$B$7</c:f>
              <c:numCache>
                <c:formatCode>General</c:formatCode>
                <c:ptCount val="6"/>
                <c:pt idx="0">
                  <c:v>152.07</c:v>
                </c:pt>
                <c:pt idx="1">
                  <c:v>70.88</c:v>
                </c:pt>
                <c:pt idx="2">
                  <c:v>530</c:v>
                </c:pt>
                <c:pt idx="3">
                  <c:v>16455.8</c:v>
                </c:pt>
                <c:pt idx="4">
                  <c:v>84.37</c:v>
                </c:pt>
                <c:pt idx="5">
                  <c:v>30</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plotVisOnly val="true"/>
    <c:dispBlanksAs val="gap"/>
    <c:showDLblsOverMax val="false"/>
  </c:chart>
  <c:spPr>
    <a:solidFill>
      <a:schemeClr val="bg1"/>
    </a:solidFill>
    <a:ln w="9525" cap="flat" cmpd="sng" algn="ctr">
      <a:no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a:t>
            </a:r>
            <a:r>
              <a:rPr altLang="en-US"/>
              <a:t>三公</a:t>
            </a:r>
            <a:r>
              <a:rPr lang="en-US" altLang="zh-CN"/>
              <a:t>”</a:t>
            </a:r>
            <a:r>
              <a:rPr altLang="en-US"/>
              <a:t>经费财政拨款支出结构图</a:t>
            </a:r>
            <a:endParaRPr altLang="en-US"/>
          </a:p>
        </c:rich>
      </c:tx>
      <c:layout/>
      <c:overlay val="false"/>
      <c:spPr>
        <a:noFill/>
        <a:ln>
          <a:noFill/>
        </a:ln>
        <a:effectLst/>
      </c:spPr>
    </c:title>
    <c:autoTitleDeleted val="false"/>
    <c:plotArea>
      <c:layout/>
      <c:pieChart>
        <c:varyColors val="true"/>
        <c:ser>
          <c:idx val="0"/>
          <c:order val="0"/>
          <c:tx>
            <c:strRef>
              <c:f>Sheet1!$B$1</c:f>
              <c:strCache>
                <c:ptCount val="1"/>
                <c:pt idx="0">
                  <c:v>列1</c:v>
                </c:pt>
              </c:strCache>
            </c:strRef>
          </c:tx>
          <c:spPr/>
          <c:explosion val="0"/>
          <c:dPt>
            <c:idx val="0"/>
            <c:bubble3D val="false"/>
            <c:spPr>
              <a:solidFill>
                <a:schemeClr val="accent6"/>
              </a:solidFill>
              <a:ln w="19050">
                <a:solidFill>
                  <a:schemeClr val="lt1"/>
                </a:solidFill>
              </a:ln>
              <a:effectLst/>
            </c:spPr>
          </c:dPt>
          <c:dPt>
            <c:idx val="1"/>
            <c:bubble3D val="false"/>
            <c:spPr>
              <a:solidFill>
                <a:schemeClr val="accent5"/>
              </a:solidFill>
              <a:ln w="19050">
                <a:solidFill>
                  <a:schemeClr val="lt1"/>
                </a:solidFill>
              </a:ln>
              <a:effectLst/>
            </c:spPr>
          </c:dPt>
          <c:dLbls>
            <c:dLbl>
              <c:idx val="0"/>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公务接待60</a:t>
                    </a:r>
                    <a:r>
                      <a:rPr lang="en-US" altLang="zh-CN"/>
                      <a:t>.5</a:t>
                    </a:r>
                    <a:r>
                      <a:t>%</a:t>
                    </a:r>
                  </a:p>
                </c:rich>
              </c:tx>
              <c:dLblPos val="inEnd"/>
              <c:showLegendKey val="false"/>
              <c:showVal val="false"/>
              <c:showCatName val="true"/>
              <c:showSerName val="false"/>
              <c:showPercent val="true"/>
              <c:showBubbleSize val="false"/>
              <c:separator>
</c:separator>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公车运行维护费</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a:t>39.5</a:t>
                    </a:r>
                    <a:r>
                      <a:t>%</a:t>
                    </a:r>
                  </a:p>
                </c:rich>
              </c:tx>
              <c:dLblPos val="inEnd"/>
              <c:showLegendKey val="false"/>
              <c:showVal val="false"/>
              <c:showCatName val="true"/>
              <c:showSerName val="false"/>
              <c:showPercent val="true"/>
              <c:showBubbleSize val="false"/>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公务接待</c:v>
                </c:pt>
                <c:pt idx="1">
                  <c:v>公车运行维护费</c:v>
                </c:pt>
              </c:strCache>
            </c:strRef>
          </c:cat>
          <c:val>
            <c:numRef>
              <c:f>Sheet1!$B$2:$B$3</c:f>
              <c:numCache>
                <c:formatCode>General</c:formatCode>
                <c:ptCount val="2"/>
                <c:pt idx="0">
                  <c:v>7.12</c:v>
                </c:pt>
                <c:pt idx="1">
                  <c:v>4.65</c:v>
                </c:pt>
              </c:numCache>
            </c:numRef>
          </c:val>
        </c:ser>
        <c:dLbls>
          <c:showLegendKey val="false"/>
          <c:showVal val="false"/>
          <c:showCatName val="true"/>
          <c:showSerName val="false"/>
          <c:showPercent val="true"/>
          <c:showBubbleSize val="false"/>
          <c:showLeaderLines val="true"/>
        </c:dLbls>
        <c:firstSliceAng val="0"/>
      </c:pieChart>
      <c:spPr>
        <a:noFill/>
        <a:ln>
          <a:noFill/>
        </a:ln>
        <a:effectLst/>
      </c:spPr>
    </c:plotArea>
    <c:plotVisOnly val="true"/>
    <c:dispBlanksAs val="gap"/>
    <c:showDLblsOverMax val="false"/>
  </c:chart>
  <c:spPr>
    <a:solidFill>
      <a:schemeClr val="bg1"/>
    </a:solidFill>
    <a:ln w="9525" cap="flat" cmpd="sng" algn="ctr">
      <a:no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69</Pages>
  <Words>30016</Words>
  <Characters>33623</Characters>
  <Lines>61</Lines>
  <Paragraphs>17</Paragraphs>
  <TotalTime>33</TotalTime>
  <ScaleCrop>false</ScaleCrop>
  <LinksUpToDate>false</LinksUpToDate>
  <CharactersWithSpaces>33768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user</cp:lastModifiedBy>
  <cp:lastPrinted>2022-09-28T09:15:00Z</cp:lastPrinted>
  <dcterms:modified xsi:type="dcterms:W3CDTF">2022-11-30T11:50:59Z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71EE4C5B63CC42F888BCD11980679D2B</vt:lpwstr>
  </property>
</Properties>
</file>