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96597"/>
      <w:bookmarkStart w:id="3" w:name="_Toc15377193"/>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2021年度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48"/>
          <w:szCs w:val="48"/>
        </w:rPr>
      </w:pPr>
      <w:bookmarkStart w:id="6" w:name="_Toc15377426"/>
      <w:bookmarkStart w:id="7" w:name="_Toc15396476"/>
      <w:bookmarkStart w:id="8" w:name="_Toc15396598"/>
      <w:bookmarkStart w:id="9" w:name="_Toc15378442"/>
      <w:bookmarkStart w:id="10" w:name="_Toc15377194"/>
      <w:r>
        <w:rPr>
          <w:rFonts w:hint="eastAsia" w:ascii="方正小标宋简体" w:hAnsi="方正小标宋简体" w:eastAsia="方正小标宋简体" w:cs="方正小标宋简体"/>
          <w:sz w:val="48"/>
          <w:szCs w:val="48"/>
        </w:rPr>
        <w:t>四川省</w:t>
      </w:r>
      <w:bookmarkEnd w:id="5"/>
      <w:bookmarkStart w:id="11" w:name="_Toc15306268"/>
      <w:r>
        <w:rPr>
          <w:rFonts w:hint="eastAsia" w:ascii="方正小标宋简体" w:hAnsi="方正小标宋简体" w:eastAsia="方正小标宋简体" w:cs="方正小标宋简体"/>
          <w:sz w:val="48"/>
          <w:szCs w:val="48"/>
        </w:rPr>
        <w:t>广元市朝天区老干部事务中心</w:t>
      </w:r>
    </w:p>
    <w:p>
      <w:pPr>
        <w:adjustRightInd w:val="0"/>
        <w:snapToGrid w:val="0"/>
        <w:spacing w:line="360" w:lineRule="auto"/>
        <w:jc w:val="center"/>
        <w:outlineLvl w:val="0"/>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spacing w:before="0"/>
      </w:pPr>
      <w:r>
        <w:rPr>
          <w:rFonts w:hint="eastAsia"/>
        </w:rPr>
        <w:t>公开时间：2022年9月27日</w:t>
      </w:r>
    </w:p>
    <w:p/>
    <w:p>
      <w:pPr>
        <w:pStyle w:val="10"/>
        <w:adjustRightInd w:val="0"/>
        <w:snapToGrid w:val="0"/>
        <w:spacing w:before="0" w:line="440" w:lineRule="exact"/>
        <w:jc w:val="left"/>
        <w:rPr>
          <w:rFonts w:cstheme="minorBidi"/>
          <w:sz w:val="24"/>
          <w:szCs w:val="24"/>
        </w:rPr>
      </w:pPr>
      <w:r>
        <w:rPr>
          <w:rFonts w:hint="eastAsia"/>
          <w:sz w:val="24"/>
        </w:rPr>
        <w:t>第一部分部门概况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2021年度部门决算情况说明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预算绩效管理情况</w:t>
      </w:r>
      <w:r>
        <w:rPr>
          <w:rFonts w:hint="eastAsia" w:asciiTheme="minorEastAsia" w:hAnsiTheme="minorEastAsia" w:eastAsiaTheme="minorEastAsia" w:cstheme="minorEastAsia"/>
          <w:sz w:val="24"/>
        </w:rPr>
        <w:tab/>
      </w:r>
    </w:p>
    <w:p>
      <w:pPr>
        <w:adjustRightInd w:val="0"/>
        <w:snapToGrid w:val="0"/>
        <w:spacing w:line="440" w:lineRule="exact"/>
        <w:ind w:firstLine="420" w:firstLineChars="175"/>
        <w:jc w:val="left"/>
        <w:rPr>
          <w:rFonts w:eastAsiaTheme="minorEastAsia"/>
        </w:rPr>
      </w:pPr>
      <w:r>
        <w:rPr>
          <w:rFonts w:hint="eastAsia" w:asciiTheme="minorEastAsia" w:hAnsiTheme="minorEastAsia" w:eastAsiaTheme="minorEastAsia" w:cstheme="minorEastAsia"/>
          <w:sz w:val="24"/>
        </w:rPr>
        <w:t>十一、其他重要事项的情况说明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cstheme="minorBidi"/>
          <w:sz w:val="24"/>
          <w:szCs w:val="24"/>
        </w:rPr>
      </w:pPr>
      <w:r>
        <w:rPr>
          <w:rFonts w:hint="eastAsia"/>
          <w:sz w:val="24"/>
        </w:rPr>
        <w:t>第四部分附件</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spacing w:before="0" w:after="0"/>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spacing w:before="0" w:after="0"/>
        <w:ind w:firstLine="640" w:firstLineChars="200"/>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Lines="0" w:line="600" w:lineRule="exact"/>
        <w:ind w:firstLine="672" w:firstLineChars="210"/>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p>
    <w:p>
      <w:pPr>
        <w:spacing w:line="576" w:lineRule="exact"/>
        <w:ind w:firstLine="640" w:firstLineChars="200"/>
        <w:rPr>
          <w:rFonts w:ascii="仿宋" w:hAnsi="仿宋" w:eastAsia="仿宋"/>
          <w:bCs/>
          <w:sz w:val="32"/>
          <w:szCs w:val="32"/>
        </w:rPr>
      </w:pPr>
      <w:r>
        <w:rPr>
          <w:rFonts w:hint="eastAsia" w:ascii="仿宋_GB2312" w:hAnsi="仿宋_GB2312" w:eastAsia="仿宋_GB2312" w:cs="仿宋_GB2312"/>
          <w:sz w:val="32"/>
          <w:szCs w:val="32"/>
        </w:rPr>
        <w:t>负责宣传贯彻执行有关离退休干部工作的方针政策、法律法规；负责全区离退休干部工作的综合指导和协调工作；负责拟订全区离退休干部工作有关规范性文件；负责中心支部党建工作和离退休干部党建工作，抓好离退休干部政治建设、组织建设和思想建设；负责收集整理离退休干部提出的各种意见建议；负责组织离退休干部开展正能量活动；负责离退休干部（含老红军遗属、离休干部无工作遗属、易地安置离休干部）服务工作，落实离退休干部政治、生活待遇；负责离退休干部活动学习阵地建设；负责离退休干部工作信息化建设；负责离退休干部来信来访及突出问题呈报与调查处理工作；负责外地离退休干部和离退休干部工作部门来朝天学习、参观的协调接洽工作；完成其他有关事项。</w:t>
      </w:r>
    </w:p>
    <w:p>
      <w:pPr>
        <w:pStyle w:val="2"/>
        <w:adjustRightInd w:val="0"/>
        <w:snapToGrid w:val="0"/>
        <w:spacing w:beforeLines="0" w:line="600" w:lineRule="exact"/>
        <w:ind w:firstLine="672" w:firstLineChars="210"/>
        <w:outlineLvl w:val="2"/>
        <w:rPr>
          <w:rFonts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pStyle w:val="12"/>
        <w:widowControl/>
        <w:spacing w:before="0" w:beforeAutospacing="0" w:after="0" w:afterAutospacing="0"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1.鲜明政治导向，持续加强“三项建设”</w:t>
      </w:r>
    </w:p>
    <w:p>
      <w:pPr>
        <w:pStyle w:val="12"/>
        <w:widowControl/>
        <w:spacing w:before="0" w:beforeAutospacing="0" w:after="0" w:afterAutospacing="0" w:line="576" w:lineRule="exact"/>
        <w:ind w:firstLine="630"/>
        <w:rPr>
          <w:rFonts w:ascii="仿宋_GB2312" w:eastAsia="仿宋_GB2312"/>
          <w:bCs/>
          <w:sz w:val="32"/>
          <w:szCs w:val="32"/>
        </w:rPr>
      </w:pPr>
      <w:r>
        <w:rPr>
          <w:rFonts w:hint="eastAsia" w:ascii="仿宋_GB2312" w:hAnsi="仿宋_GB2312" w:eastAsia="仿宋_GB2312" w:cs="仿宋_GB2312"/>
          <w:sz w:val="32"/>
          <w:szCs w:val="32"/>
        </w:rPr>
        <w:t>突出政治建设，确保离职不变色。</w:t>
      </w:r>
      <w:r>
        <w:rPr>
          <w:rFonts w:hint="eastAsia" w:ascii="仿宋_GB2312" w:hAnsi="仿宋_GB2312" w:eastAsia="仿宋_GB2312" w:cs="仿宋_GB2312"/>
          <w:bCs/>
          <w:sz w:val="32"/>
          <w:szCs w:val="32"/>
        </w:rPr>
        <w:t>一是深入</w:t>
      </w:r>
      <w:r>
        <w:rPr>
          <w:rFonts w:hint="eastAsia" w:ascii="仿宋_GB2312" w:eastAsia="仿宋_GB2312"/>
          <w:bCs/>
          <w:sz w:val="32"/>
          <w:szCs w:val="32"/>
        </w:rPr>
        <w:t>开展党史学习教育。</w:t>
      </w:r>
      <w:r>
        <w:rPr>
          <w:rFonts w:hint="eastAsia" w:ascii="仿宋_GB2312" w:eastAsia="仿宋_GB2312"/>
          <w:sz w:val="32"/>
          <w:szCs w:val="32"/>
        </w:rPr>
        <w:t>制定了《全区老党员老干部党史学习教育方案》，采取专题辅导、座谈交流、送学上门等方式，发放党史学习资料400余份，开展集中学习4次。组织老同志观看红色经典电影3场次。开展“我为群众办实事”系列活动，组建区委党史学习教育宣讲团老干部宣讲分团，深入基层宣讲。组织老同志到革命圣地延安开展“寻根固元”学习考察活动，撰写学习心得体会30余篇。</w:t>
      </w:r>
      <w:r>
        <w:rPr>
          <w:rFonts w:hint="eastAsia" w:ascii="仿宋_GB2312" w:eastAsia="仿宋_GB2312"/>
          <w:bCs/>
          <w:sz w:val="32"/>
          <w:szCs w:val="32"/>
        </w:rPr>
        <w:t>二是</w:t>
      </w:r>
      <w:r>
        <w:rPr>
          <w:rFonts w:hint="eastAsia" w:ascii="仿宋_GB2312" w:hAnsi="仿宋_GB2312" w:eastAsia="仿宋_GB2312" w:cs="仿宋_GB2312"/>
          <w:sz w:val="32"/>
          <w:szCs w:val="32"/>
        </w:rPr>
        <w:t>抓牢中央和省市区重要精神学习贯彻。组织集中学习并发放了编印的专门学习资料，广泛深入地征求和听取了老同志们意见建议。</w:t>
      </w:r>
      <w:r>
        <w:rPr>
          <w:rFonts w:hint="eastAsia" w:ascii="仿宋_GB2312" w:eastAsia="仿宋_GB2312"/>
          <w:sz w:val="32"/>
          <w:szCs w:val="32"/>
        </w:rPr>
        <w:t>举办形势通报会和</w:t>
      </w:r>
      <w:r>
        <w:rPr>
          <w:rFonts w:hint="eastAsia" w:ascii="仿宋_GB2312" w:eastAsia="仿宋_GB2312"/>
          <w:bCs/>
          <w:sz w:val="32"/>
          <w:szCs w:val="32"/>
        </w:rPr>
        <w:t>专题学习会、</w:t>
      </w:r>
      <w:r>
        <w:rPr>
          <w:rFonts w:hint="eastAsia" w:ascii="仿宋_GB2312" w:eastAsia="仿宋_GB2312"/>
          <w:sz w:val="32"/>
          <w:szCs w:val="32"/>
        </w:rPr>
        <w:t>讲座6次，</w:t>
      </w:r>
      <w:r>
        <w:rPr>
          <w:rFonts w:hint="eastAsia" w:ascii="仿宋_GB2312" w:hAnsi="仿宋_GB2312" w:eastAsia="仿宋_GB2312" w:cs="仿宋_GB2312"/>
          <w:sz w:val="32"/>
          <w:szCs w:val="32"/>
        </w:rPr>
        <w:t>印发宣传资料300余份</w:t>
      </w:r>
      <w:r>
        <w:rPr>
          <w:rFonts w:hint="eastAsia" w:ascii="仿宋_GB2312" w:eastAsia="仿宋_GB2312" w:cs="仿宋_GB2312"/>
          <w:sz w:val="32"/>
          <w:szCs w:val="32"/>
        </w:rPr>
        <w:t>。</w:t>
      </w:r>
      <w:r>
        <w:rPr>
          <w:rFonts w:hint="eastAsia" w:ascii="仿宋_GB2312" w:hAnsi="仿宋_GB2312" w:eastAsia="仿宋_GB2312" w:cs="仿宋_GB2312"/>
          <w:sz w:val="32"/>
          <w:szCs w:val="32"/>
        </w:rPr>
        <w:t>三是积极参与建党100周年庆祝活动。李明显同志在全省“学党史、颂党恩、听党话、跟党走”庆祝建党100周年活动中《一座造福村民的大桥》荣获一等奖。30余幅老干部书画作品入选全区建党100周年书画展。各乡镇各部门召开庆祝建党100周年活动暨“光荣在党50年”纪念章颁发仪式。</w:t>
      </w:r>
    </w:p>
    <w:p>
      <w:pPr>
        <w:pStyle w:val="12"/>
        <w:widowControl/>
        <w:spacing w:before="0" w:beforeAutospacing="0" w:after="0" w:afterAutospacing="0" w:line="576"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突出思想建设，坚定理想信念。一是组织集中收听收看中央重大会议。集中组织离退休干部收看中央建党百年庆祝大会聆听习</w:t>
      </w:r>
      <w:r>
        <w:rPr>
          <w:rFonts w:hint="eastAsia" w:ascii="仿宋_GB2312" w:hAnsi="仿宋_GB2312" w:eastAsia="仿宋_GB2312" w:cs="仿宋_GB2312"/>
          <w:sz w:val="32"/>
          <w:szCs w:val="32"/>
          <w:lang w:eastAsia="zh-CN"/>
        </w:rPr>
        <w:t>近平</w:t>
      </w:r>
      <w:bookmarkStart w:id="73" w:name="_GoBack"/>
      <w:bookmarkEnd w:id="73"/>
      <w:r>
        <w:rPr>
          <w:rFonts w:hint="eastAsia" w:ascii="仿宋_GB2312" w:hAnsi="仿宋_GB2312" w:eastAsia="仿宋_GB2312" w:cs="仿宋_GB2312"/>
          <w:sz w:val="32"/>
          <w:szCs w:val="32"/>
        </w:rPr>
        <w:t>总书记七一重要讲话，并向离退休干部和离退休支部发放了《中共中央关于党的百年奋斗重大成就和历史经验的决议》。二是全覆盖征订报刊杂志。为离退休干部订阅《晚霞》、《离退休干部党支部学习参考》等报刊杂志。三是广泛利用新媒体。通过微信群、微信公众号等推送各类学习资料100余条。</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kern w:val="0"/>
          <w:sz w:val="32"/>
          <w:szCs w:val="32"/>
        </w:rPr>
        <w:t>突出党组织建设，夯实基层基础。一是加快离退休干部党支部建设。全覆盖对全区撤乡并镇后的12个乡镇重新组建了离退休干部党支部，全区离退休干部党支部数较去年增加50%。二是积极推进离退休干部党支部标准化建设。把退休干部党支部书记纳入全区基层党建业务培训班统筹培训，提升离退休干部党支部党建工作水平。三是引导离退休党支部因地制宜抓好党内组织生活。结合党史学习教育和建党100周年，全区各离退休干部党支部创新活动方式，把志愿服务、宣讲与组织生活有机结合，大大提高了组织生活的参与面和老干部热情。四是主动作为抓好保障。区乡两级及时调整充实老干部工作领导小组，将离退休干部工作纳入乡镇和部门年度目标绩效考核内容，同时把离退休干部党组织建设纳入党组织书记抓党建工作述职评议的重要内容。</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2.坚持聚智聚力，持续发挥老干部正能量</w:t>
      </w:r>
    </w:p>
    <w:p>
      <w:pPr>
        <w:spacing w:line="57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新搭建作用发挥平台。一是建立乡贤会。2020年底，根据本人自愿原则，300余名朝天籍科级及以上离退休干部参加乡贤会，担任乡贤会会长及理事，成为乡贤会中骨干力量，推动乡贤会切实发挥价值引领、道德教化、文化传承、乡村治理、促进发展等作用。二是建立公益社会组织。有400余名离退休干部加入老年体育、文艺、知客协会等社会组织15个，组建13支志愿服务队。三是借力借智涉老组织。充分加强涉老组织的沟通联系，整合区老科协、老体协、关工委、老促会老干部资源，既解决了老干部事务中心人手不足的问题，又扩大了老干部工作的声势。</w:t>
      </w:r>
    </w:p>
    <w:p>
      <w:pPr>
        <w:spacing w:line="576" w:lineRule="exact"/>
        <w:ind w:firstLine="640" w:firstLineChars="200"/>
        <w:rPr>
          <w:rFonts w:ascii="仿宋_GB2312" w:eastAsia="仿宋_GB2312" w:cs="仿宋_GB2312"/>
          <w:sz w:val="32"/>
          <w:szCs w:val="32"/>
        </w:rPr>
      </w:pPr>
      <w:r>
        <w:rPr>
          <w:rFonts w:hint="eastAsia" w:ascii="仿宋_GB2312" w:hAnsi="仿宋_GB2312" w:eastAsia="仿宋_GB2312" w:cs="仿宋_GB2312"/>
          <w:kern w:val="0"/>
          <w:sz w:val="32"/>
          <w:szCs w:val="32"/>
        </w:rPr>
        <w:t>创新作用发挥机制。一是推动老干部党建融入基层党建大局。通过整合资源或单独建设等方式，建立党支部活动阵地14个。优化整合党建资源建立日间照料中心、老干部大讲堂、调解工作室。探索建立“村两委+老干部”的村级治理模式，实行“一村一组”的网格化管理模式，建立老干部调解队124支，调解农村纠纷200余起。二是建立“三进三讲”活动机制。围绕区委中心工作，帮助化解区划调整、防疫工作中的矛盾纠纷7起，宣讲乡村振兴、党史学习教育等内容60多场次，参与防疫、旅游和产业发展等技术培训110人次。三是探索“五老”参与关心一下代工作的常态化机制。开展“开学第一课”和“学党史、传家风、育新人”等主题教育活动，深入全区村（社）和中小学开展主题宣讲20余场次，受教育村民和师生1.2余万人，苏荣满老同志暑期在两河口镇老林村家风家训馆进行的宣讲，被“学习强国”及相关媒体报道。广泛开展“老少牵手，温暖童心”暖冬行动和留守儿童关爱行动，帮扶困难学生56人，资助资金5万余元。四是积极开展志愿服务。组织老干部积极参与区书协等单位在新春开展送春联下乡6场次，书写春联和福字2000余幅，60余名老干部参与文明创建劝导服务。</w:t>
      </w:r>
    </w:p>
    <w:p>
      <w:pPr>
        <w:pStyle w:val="12"/>
        <w:widowControl/>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宣传提升影响力。积极推进信息化建设，在全区乡镇部门中大力推广关注三个微信公众号，“离退休干部工作”“天府晚霞”“广元老干部”已成为老干部平时自学的主要学习平台。积极上报信息，全年在广元老干部公众号推送信息37条，天府晚霞推送信息3条。</w:t>
      </w:r>
    </w:p>
    <w:p>
      <w:pPr>
        <w:pStyle w:val="12"/>
        <w:widowControl/>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3.精准化推进服务保障，离退休干部满意度大幅提升</w:t>
      </w:r>
    </w:p>
    <w:p>
      <w:pPr>
        <w:pStyle w:val="12"/>
        <w:widowControl/>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认真落实政治待遇。一是工作通报常抓不懈。坚持区上季度通报制，乡镇部门年度通报制，组织老干部代表</w:t>
      </w:r>
      <w:r>
        <w:rPr>
          <w:rFonts w:hint="eastAsia" w:ascii="仿宋_GB2312" w:eastAsia="仿宋_GB2312" w:cs="仿宋_GB2312"/>
          <w:sz w:val="32"/>
          <w:szCs w:val="32"/>
        </w:rPr>
        <w:t>参加区委全委会及两会、重大政治理论宣讲，连续三年举行区四大班子主要领导参加的离退休干部春节座谈会。二是落实重大决策意见征求制度。近年来，老干部在脱贫攻坚、产业发展、城市建设、乡村旅游、基层治理等方面提出意见建议60余条被区委政府或相关部门采纳。三是推广完善“荣退”制度。</w:t>
      </w:r>
      <w:r>
        <w:rPr>
          <w:rFonts w:hint="eastAsia" w:ascii="仿宋_GB2312" w:hAnsi="仿宋_GB2312" w:eastAsia="仿宋_GB2312" w:cs="仿宋_GB2312"/>
          <w:sz w:val="32"/>
          <w:szCs w:val="32"/>
        </w:rPr>
        <w:t>在总结去年工作经验的基础上充实完善了《朝天区机关事业单位干部职工荣誉退休八条措施》并全面推广到村社区。创新荣退仪式的举办形式，除区上统一举办外，乡镇和单位结合实际情况，以灵活多样的方式为退休干部职工举办荣退仪式16场次，112名退休干部职工与年轻干部结成了“师徒”，在基层换届后的平稳过渡中发挥了重要的作用。</w:t>
      </w:r>
    </w:p>
    <w:p>
      <w:pPr>
        <w:pStyle w:val="12"/>
        <w:widowControl/>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经济待遇。一是主动协调保障退休金支付。今年由于全省人社系统软件更新，导致我区提前退休享受待遇的数十名老干部工龄工资没有核算进退休金，中心及时联系人社部门，经多次沟通最终解决到位。二是困难救助及时到位。全年发放特困救助金8.6万元。</w:t>
      </w:r>
    </w:p>
    <w:p>
      <w:pPr>
        <w:pStyle w:val="12"/>
        <w:widowControl/>
        <w:spacing w:before="0" w:beforeAutospacing="0" w:after="0" w:afterAutospacing="0" w:line="576" w:lineRule="exact"/>
        <w:ind w:firstLine="640" w:firstLineChars="200"/>
        <w:jc w:val="both"/>
        <w:rPr>
          <w:rFonts w:ascii="仿宋_GB2312" w:eastAsia="仿宋_GB2312" w:cs="仿宋_GB2312"/>
          <w:sz w:val="32"/>
          <w:szCs w:val="32"/>
        </w:rPr>
      </w:pPr>
      <w:r>
        <w:rPr>
          <w:rFonts w:hint="eastAsia" w:ascii="仿宋_GB2312" w:hAnsi="仿宋_GB2312" w:eastAsia="仿宋_GB2312" w:cs="仿宋_GB2312"/>
          <w:sz w:val="32"/>
          <w:szCs w:val="32"/>
        </w:rPr>
        <w:t>主动落实关心关爱。一是走访慰问常态化。由区委、区政府领导带队，对县级离退休干部走访慰问全覆盖，共计发放慰问金6万元。各级党组织书记带头入户走访慰问500</w:t>
      </w:r>
      <w:r>
        <w:rPr>
          <w:rFonts w:hint="eastAsia" w:ascii="仿宋_GB2312" w:eastAsia="仿宋_GB2312" w:cs="仿宋_GB2312"/>
          <w:sz w:val="32"/>
          <w:szCs w:val="32"/>
        </w:rPr>
        <w:t>余人次。二是健康服务签约制。实行家庭医师签约制度，区委老干部局与区人民医院签订了离退休干部健康服务合作协议，由医院组建专家服务团，根据老同志身体状况实行一对一跟踪服务。三是健康体检全覆盖。依托乡镇卫生院，实行全覆盖老干部体检，对“三高”老干部老党员实施健康台账监测，上门义诊3000余人次，对肢残老干部老党员送药上门2500余次。积极主动协调老干部新冠疫苗接种工作。</w:t>
      </w:r>
    </w:p>
    <w:p>
      <w:pPr>
        <w:pStyle w:val="12"/>
        <w:widowControl/>
        <w:spacing w:before="0" w:beforeAutospacing="0" w:after="0" w:afterAutospacing="0" w:line="576"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4.推动老干部局自身建设，转变老干部工作的作风</w:t>
      </w:r>
    </w:p>
    <w:p>
      <w:pPr>
        <w:pStyle w:val="12"/>
        <w:widowControl/>
        <w:spacing w:before="0" w:beforeAutospacing="0" w:after="0" w:afterAutospacing="0" w:line="576"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注重思想政治学习，强化理论武装。每周定期组织干部集中学习。扎实开展党史学习教育专题组织生活会。</w:t>
      </w:r>
    </w:p>
    <w:p>
      <w:pPr>
        <w:pStyle w:val="12"/>
        <w:widowControl/>
        <w:spacing w:before="0" w:beforeAutospacing="0" w:after="0" w:afterAutospacing="0" w:line="576"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注重专业化知识学习，提升业务水平。把老干部政策、书画等知识的学习作为干部年度考核内容之一。</w:t>
      </w:r>
    </w:p>
    <w:p>
      <w:pPr>
        <w:pStyle w:val="12"/>
        <w:widowControl/>
        <w:spacing w:before="0" w:beforeAutospacing="0" w:after="0" w:afterAutospacing="0" w:line="576" w:lineRule="exact"/>
        <w:ind w:firstLine="640" w:firstLineChars="200"/>
        <w:jc w:val="both"/>
        <w:rPr>
          <w:rFonts w:ascii="仿宋" w:hAnsi="仿宋" w:eastAsia="仿宋"/>
          <w:bCs/>
          <w:sz w:val="32"/>
          <w:szCs w:val="32"/>
        </w:rPr>
      </w:pPr>
      <w:r>
        <w:rPr>
          <w:rFonts w:hint="eastAsia" w:ascii="仿宋_GB2312" w:eastAsia="仿宋_GB2312" w:cs="仿宋_GB2312"/>
          <w:sz w:val="32"/>
          <w:szCs w:val="32"/>
        </w:rPr>
        <w:t>注重严肃工作纪律，塑造良好形象。 进一步完善《区委老干部事务中心工作规则》，完善了各项规章制度，严格按制度管人管事，一年来，无违法乱纪情况发生。</w:t>
      </w:r>
    </w:p>
    <w:p>
      <w:pPr>
        <w:pStyle w:val="4"/>
        <w:spacing w:before="0" w:after="0"/>
        <w:ind w:firstLine="640" w:firstLineChars="200"/>
        <w:rPr>
          <w:rStyle w:val="26"/>
          <w:b w:val="0"/>
          <w:bCs w:val="0"/>
        </w:rPr>
      </w:pPr>
      <w:bookmarkStart w:id="20" w:name="_Toc15396601"/>
      <w:bookmarkStart w:id="21"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广元市朝天区老干部事务中心下属二级单位0个，其中行政单位0个，参照公务员法管理的事业单位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widowControl/>
        <w:jc w:val="left"/>
        <w:rPr>
          <w:rFonts w:ascii="仿宋" w:hAnsi="仿宋" w:eastAsia="仿宋"/>
          <w:kern w:val="0"/>
          <w:sz w:val="32"/>
          <w:szCs w:val="32"/>
        </w:rPr>
      </w:pPr>
      <w:r>
        <w:rPr>
          <w:rFonts w:ascii="仿宋" w:hAnsi="仿宋" w:eastAsia="仿宋"/>
          <w:sz w:val="32"/>
          <w:szCs w:val="32"/>
        </w:rPr>
        <w:br w:type="page"/>
      </w:r>
    </w:p>
    <w:p>
      <w:pPr>
        <w:pStyle w:val="3"/>
        <w:spacing w:before="0" w:after="0"/>
        <w:ind w:right="440"/>
        <w:jc w:val="center"/>
        <w:rPr>
          <w:rStyle w:val="25"/>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p>
      <w:pPr>
        <w:pStyle w:val="24"/>
        <w:numPr>
          <w:ilvl w:val="0"/>
          <w:numId w:val="1"/>
        </w:numPr>
        <w:spacing w:line="600" w:lineRule="exact"/>
        <w:ind w:firstLineChars="0"/>
        <w:outlineLvl w:val="1"/>
        <w:rPr>
          <w:rFonts w:ascii="仿宋" w:hAnsi="仿宋" w:eastAsia="仿宋"/>
          <w:sz w:val="32"/>
          <w:szCs w:val="32"/>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pStyle w:val="24"/>
        <w:spacing w:line="600" w:lineRule="exact"/>
        <w:ind w:firstLine="640"/>
        <w:jc w:val="left"/>
        <w:outlineLvl w:val="1"/>
        <w:rPr>
          <w:rFonts w:ascii="仿宋" w:hAnsi="仿宋" w:eastAsia="仿宋"/>
          <w:sz w:val="32"/>
          <w:szCs w:val="32"/>
        </w:rPr>
      </w:pPr>
      <w:r>
        <w:rPr>
          <w:rFonts w:hint="eastAsia" w:ascii="仿宋" w:hAnsi="仿宋" w:eastAsia="仿宋"/>
          <w:sz w:val="32"/>
          <w:szCs w:val="32"/>
        </w:rPr>
        <w:t>2021年度收、支总计62.87万元。与2020年相比，收、支总计各增加62.87万元，增长100%。</w:t>
      </w:r>
      <w:r>
        <w:rPr>
          <w:rFonts w:hint="eastAsia" w:ascii="仿宋" w:hAnsi="仿宋" w:eastAsia="仿宋"/>
          <w:sz w:val="32"/>
          <w:szCs w:val="32"/>
          <w:lang w:eastAsia="zh-CN"/>
        </w:rPr>
        <w:t>属</w:t>
      </w:r>
      <w:r>
        <w:rPr>
          <w:rFonts w:hint="eastAsia" w:ascii="仿宋" w:hAnsi="仿宋" w:eastAsia="仿宋"/>
          <w:sz w:val="32"/>
          <w:szCs w:val="32"/>
        </w:rPr>
        <w:t>新成立单位。</w:t>
      </w:r>
    </w:p>
    <w:p>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3971925" cy="2183765"/>
            <wp:effectExtent l="4445" t="4445" r="5080" b="215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21年本年收入合计62.87万元，其中：一般公共预算财政拨款收入62.87万元，占100</w:t>
      </w:r>
      <w:r>
        <w:rPr>
          <w:rFonts w:ascii="仿宋" w:hAnsi="仿宋" w:eastAsia="仿宋"/>
          <w:sz w:val="32"/>
          <w:szCs w:val="32"/>
        </w:rPr>
        <w:t>%</w:t>
      </w:r>
      <w:r>
        <w:rPr>
          <w:rFonts w:hint="eastAsia" w:ascii="仿宋" w:hAnsi="仿宋" w:eastAsia="仿宋"/>
          <w:sz w:val="32"/>
          <w:szCs w:val="32"/>
        </w:rPr>
        <w:t>。</w:t>
      </w:r>
    </w:p>
    <w:p>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4198620" cy="2073275"/>
            <wp:effectExtent l="5080" t="4445" r="6350"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21年本年支出合计62.87万元，其中：基本支出48.47万元，占77.1</w:t>
      </w:r>
      <w:r>
        <w:rPr>
          <w:rFonts w:ascii="仿宋" w:hAnsi="仿宋" w:eastAsia="仿宋"/>
          <w:sz w:val="32"/>
          <w:szCs w:val="32"/>
        </w:rPr>
        <w:t>%</w:t>
      </w:r>
      <w:r>
        <w:rPr>
          <w:rFonts w:hint="eastAsia" w:ascii="仿宋" w:hAnsi="仿宋" w:eastAsia="仿宋"/>
          <w:sz w:val="32"/>
          <w:szCs w:val="32"/>
        </w:rPr>
        <w:t>；项目支出14.4万元，占22.9</w:t>
      </w:r>
      <w:r>
        <w:rPr>
          <w:rFonts w:ascii="仿宋" w:hAnsi="仿宋" w:eastAsia="仿宋"/>
          <w:sz w:val="32"/>
          <w:szCs w:val="32"/>
        </w:rPr>
        <w:t>%</w:t>
      </w:r>
      <w:r>
        <w:rPr>
          <w:rFonts w:hint="eastAsia" w:ascii="仿宋" w:hAnsi="仿宋" w:eastAsia="仿宋"/>
          <w:sz w:val="32"/>
          <w:szCs w:val="32"/>
        </w:rPr>
        <w:t>。</w:t>
      </w:r>
    </w:p>
    <w:p>
      <w:pPr>
        <w:pStyle w:val="2"/>
        <w:spacing w:before="93"/>
        <w:jc w:val="center"/>
        <w:rPr>
          <w:rFonts w:ascii="仿宋" w:hAnsi="仿宋" w:eastAsia="仿宋"/>
          <w:sz w:val="32"/>
          <w:szCs w:val="32"/>
        </w:rPr>
      </w:pPr>
      <w:r>
        <w:rPr>
          <w:rFonts w:ascii="仿宋" w:hAnsi="仿宋" w:eastAsia="仿宋"/>
          <w:sz w:val="32"/>
          <w:szCs w:val="32"/>
        </w:rPr>
        <w:drawing>
          <wp:inline distT="0" distB="0" distL="114300" distR="114300">
            <wp:extent cx="4344670" cy="2761615"/>
            <wp:effectExtent l="4445" t="5080" r="1333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21年财政拨款收、支总计62.87万元。与</w:t>
      </w:r>
      <w:r>
        <w:rPr>
          <w:rFonts w:ascii="仿宋" w:hAnsi="仿宋" w:eastAsia="仿宋"/>
          <w:sz w:val="32"/>
          <w:szCs w:val="32"/>
        </w:rPr>
        <w:t>20</w:t>
      </w:r>
      <w:r>
        <w:rPr>
          <w:rFonts w:hint="eastAsia" w:ascii="仿宋" w:hAnsi="仿宋" w:eastAsia="仿宋"/>
          <w:sz w:val="32"/>
          <w:szCs w:val="32"/>
        </w:rPr>
        <w:t>20年相比，财政拨款收、支总计各增加62.87万元，增长100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属</w:t>
      </w:r>
      <w:r>
        <w:rPr>
          <w:rFonts w:hint="eastAsia" w:ascii="仿宋" w:hAnsi="仿宋" w:eastAsia="仿宋"/>
          <w:sz w:val="32"/>
          <w:szCs w:val="32"/>
        </w:rPr>
        <w:t>新成立单位。</w:t>
      </w:r>
    </w:p>
    <w:p>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4370070" cy="2038985"/>
            <wp:effectExtent l="4445" t="4445" r="698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21年一般公共预算财政拨款支出62.87万元，占本年支出合计的100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属</w:t>
      </w:r>
      <w:r>
        <w:rPr>
          <w:rFonts w:hint="eastAsia" w:ascii="仿宋" w:hAnsi="仿宋" w:eastAsia="仿宋"/>
          <w:sz w:val="32"/>
          <w:szCs w:val="32"/>
        </w:rPr>
        <w:t>新成立单位。</w:t>
      </w:r>
    </w:p>
    <w:p>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3971925" cy="2183765"/>
            <wp:effectExtent l="19050" t="0" r="9525" b="698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21年一般公共预算财政拨款支出62.87万元，主要用于以下方面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支出50.35万元，占80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支出7.67万元，占12.2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1.88万元，占3</w:t>
      </w:r>
      <w:r>
        <w:rPr>
          <w:rFonts w:ascii="仿宋" w:hAnsi="仿宋" w:eastAsia="仿宋"/>
          <w:sz w:val="32"/>
          <w:szCs w:val="32"/>
        </w:rPr>
        <w:t>%</w:t>
      </w:r>
      <w:r>
        <w:rPr>
          <w:rFonts w:hint="eastAsia" w:ascii="仿宋" w:hAnsi="仿宋" w:eastAsia="仿宋"/>
          <w:sz w:val="32"/>
          <w:szCs w:val="32"/>
        </w:rPr>
        <w:t>；住房保障支出2.96万元，占4.8</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jc w:val="center"/>
        <w:rPr>
          <w:rFonts w:ascii="仿宋" w:hAnsi="仿宋" w:eastAsia="仿宋"/>
          <w:sz w:val="32"/>
          <w:szCs w:val="32"/>
        </w:rPr>
      </w:pPr>
      <w:r>
        <w:rPr>
          <w:rFonts w:hint="eastAsia" w:ascii="仿宋" w:hAnsi="仿宋" w:eastAsia="仿宋"/>
          <w:sz w:val="32"/>
          <w:szCs w:val="32"/>
        </w:rPr>
        <w:drawing>
          <wp:inline distT="0" distB="0" distL="114300" distR="114300">
            <wp:extent cx="3767455" cy="2862580"/>
            <wp:effectExtent l="19050" t="0" r="23495"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2021年一般公共预算支出决算数为62.87万元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一般公共服务201（类）32（款）01（项）</w:t>
      </w:r>
      <w:r>
        <w:rPr>
          <w:rStyle w:val="15"/>
          <w:rFonts w:ascii="仿宋" w:hAnsi="仿宋" w:eastAsia="仿宋"/>
          <w:bCs/>
          <w:sz w:val="32"/>
          <w:szCs w:val="32"/>
        </w:rPr>
        <w:t>:</w:t>
      </w:r>
      <w:r>
        <w:rPr>
          <w:rStyle w:val="15"/>
          <w:rFonts w:hint="eastAsia" w:ascii="仿宋" w:hAnsi="仿宋" w:eastAsia="仿宋"/>
          <w:b w:val="0"/>
          <w:bCs/>
          <w:sz w:val="32"/>
          <w:szCs w:val="32"/>
        </w:rPr>
        <w:t>支出决算为35.95万元，完成预算100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Style w:val="15"/>
          <w:rFonts w:hint="eastAsia" w:ascii="仿宋" w:hAnsi="仿宋" w:eastAsia="仿宋"/>
          <w:bCs/>
          <w:sz w:val="32"/>
          <w:szCs w:val="32"/>
        </w:rPr>
      </w:pPr>
      <w:r>
        <w:rPr>
          <w:rStyle w:val="15"/>
          <w:rFonts w:ascii="仿宋" w:hAnsi="仿宋" w:eastAsia="仿宋"/>
          <w:bCs/>
          <w:sz w:val="32"/>
          <w:szCs w:val="32"/>
        </w:rPr>
        <w:t>2.</w:t>
      </w:r>
      <w:r>
        <w:rPr>
          <w:rStyle w:val="15"/>
          <w:rFonts w:hint="eastAsia" w:ascii="仿宋" w:hAnsi="仿宋" w:eastAsia="仿宋"/>
          <w:bCs/>
          <w:sz w:val="32"/>
          <w:szCs w:val="32"/>
        </w:rPr>
        <w:t xml:space="preserve"> 一般公共服务201（类）32（款）02（项）</w:t>
      </w:r>
      <w:r>
        <w:rPr>
          <w:rStyle w:val="15"/>
          <w:rFonts w:ascii="仿宋" w:hAnsi="仿宋" w:eastAsia="仿宋"/>
          <w:bCs/>
          <w:sz w:val="32"/>
          <w:szCs w:val="32"/>
        </w:rPr>
        <w:t>:</w:t>
      </w:r>
      <w:r>
        <w:rPr>
          <w:rStyle w:val="15"/>
          <w:rFonts w:hint="eastAsia" w:ascii="仿宋" w:hAnsi="仿宋" w:eastAsia="仿宋"/>
          <w:b w:val="0"/>
          <w:bCs/>
          <w:sz w:val="32"/>
          <w:szCs w:val="32"/>
        </w:rPr>
        <w:t>支出决算为14.4万元，完成预算100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Style w:val="15"/>
          <w:rFonts w:hint="eastAsia" w:ascii="仿宋" w:hAnsi="仿宋" w:eastAsia="仿宋"/>
          <w:bCs/>
          <w:sz w:val="32"/>
          <w:szCs w:val="32"/>
        </w:rPr>
      </w:pPr>
      <w:r>
        <w:rPr>
          <w:rStyle w:val="15"/>
          <w:rFonts w:ascii="仿宋" w:hAnsi="仿宋" w:eastAsia="仿宋"/>
          <w:bCs/>
          <w:sz w:val="32"/>
          <w:szCs w:val="32"/>
        </w:rPr>
        <w:t>3.</w:t>
      </w:r>
      <w:r>
        <w:rPr>
          <w:rStyle w:val="15"/>
          <w:rFonts w:hint="eastAsia" w:ascii="仿宋" w:hAnsi="仿宋" w:eastAsia="仿宋"/>
          <w:bCs/>
          <w:sz w:val="32"/>
          <w:szCs w:val="32"/>
        </w:rPr>
        <w:t xml:space="preserve"> 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支出决算为3.9万元，完成预算100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bCs/>
          <w:sz w:val="32"/>
          <w:szCs w:val="32"/>
        </w:rPr>
      </w:pPr>
      <w:r>
        <w:rPr>
          <w:rStyle w:val="15"/>
          <w:rFonts w:ascii="仿宋" w:hAnsi="仿宋" w:eastAsia="仿宋"/>
          <w:bCs/>
          <w:sz w:val="32"/>
          <w:szCs w:val="32"/>
        </w:rPr>
        <w:t>4.</w:t>
      </w:r>
      <w:r>
        <w:rPr>
          <w:rFonts w:ascii="仿宋" w:hAnsi="仿宋" w:eastAsia="仿宋"/>
          <w:b/>
          <w:sz w:val="32"/>
          <w:szCs w:val="32"/>
        </w:rPr>
        <w:t xml:space="preserve"> </w:t>
      </w:r>
      <w:r>
        <w:rPr>
          <w:rStyle w:val="15"/>
          <w:rFonts w:hint="eastAsia" w:ascii="仿宋" w:hAnsi="仿宋" w:eastAsia="仿宋"/>
          <w:bCs/>
          <w:sz w:val="32"/>
          <w:szCs w:val="32"/>
        </w:rPr>
        <w:t>社会保障和就业208（类）05（款）06（项）</w:t>
      </w:r>
      <w:r>
        <w:rPr>
          <w:rStyle w:val="15"/>
          <w:rFonts w:ascii="仿宋" w:hAnsi="仿宋" w:eastAsia="仿宋"/>
          <w:bCs/>
          <w:sz w:val="32"/>
          <w:szCs w:val="32"/>
        </w:rPr>
        <w:t>:</w:t>
      </w:r>
      <w:r>
        <w:rPr>
          <w:rStyle w:val="15"/>
          <w:rFonts w:hint="eastAsia" w:ascii="仿宋" w:hAnsi="仿宋" w:eastAsia="仿宋"/>
          <w:b w:val="0"/>
          <w:bCs/>
          <w:sz w:val="32"/>
          <w:szCs w:val="32"/>
        </w:rPr>
        <w:t>支出决算为3.77万元，完成预算100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5.</w:t>
      </w:r>
      <w:r>
        <w:rPr>
          <w:rFonts w:ascii="仿宋" w:hAnsi="仿宋" w:eastAsia="仿宋"/>
          <w:b/>
          <w:sz w:val="32"/>
          <w:szCs w:val="32"/>
        </w:rPr>
        <w:t xml:space="preserve"> </w:t>
      </w:r>
      <w:r>
        <w:rPr>
          <w:rFonts w:hint="eastAsia" w:ascii="仿宋" w:hAnsi="仿宋" w:eastAsia="仿宋"/>
          <w:b/>
          <w:bCs/>
          <w:sz w:val="32"/>
          <w:szCs w:val="32"/>
        </w:rPr>
        <w:t>卫生健康210</w:t>
      </w:r>
      <w:r>
        <w:rPr>
          <w:rStyle w:val="15"/>
          <w:rFonts w:hint="eastAsia" w:ascii="仿宋" w:hAnsi="仿宋" w:eastAsia="仿宋"/>
          <w:bCs/>
          <w:sz w:val="32"/>
          <w:szCs w:val="32"/>
        </w:rPr>
        <w:t>（类）11（款）01（项）</w:t>
      </w:r>
      <w:r>
        <w:rPr>
          <w:rStyle w:val="15"/>
          <w:rFonts w:ascii="仿宋" w:hAnsi="仿宋" w:eastAsia="仿宋"/>
          <w:bCs/>
          <w:sz w:val="32"/>
          <w:szCs w:val="32"/>
        </w:rPr>
        <w:t>:</w:t>
      </w:r>
      <w:r>
        <w:rPr>
          <w:rStyle w:val="15"/>
          <w:rFonts w:hint="eastAsia" w:ascii="仿宋" w:hAnsi="仿宋" w:eastAsia="仿宋"/>
          <w:b w:val="0"/>
          <w:bCs/>
          <w:sz w:val="32"/>
          <w:szCs w:val="32"/>
        </w:rPr>
        <w:t>支出决算为1.88万元，完成预算100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spacing w:line="600" w:lineRule="exact"/>
        <w:ind w:firstLine="642" w:firstLineChars="200"/>
        <w:rPr>
          <w:rFonts w:ascii="仿宋" w:hAnsi="仿宋" w:eastAsia="仿宋"/>
          <w:b/>
          <w:sz w:val="32"/>
          <w:szCs w:val="32"/>
        </w:rPr>
      </w:pPr>
      <w:r>
        <w:rPr>
          <w:rStyle w:val="15"/>
          <w:rFonts w:ascii="仿宋" w:hAnsi="仿宋" w:eastAsia="仿宋"/>
          <w:bCs/>
          <w:sz w:val="32"/>
          <w:szCs w:val="32"/>
        </w:rPr>
        <w:t>6.</w:t>
      </w:r>
      <w:r>
        <w:rPr>
          <w:rFonts w:hint="eastAsia" w:ascii="仿宋" w:hAnsi="仿宋" w:eastAsia="仿宋"/>
          <w:b/>
          <w:sz w:val="32"/>
          <w:szCs w:val="32"/>
        </w:rPr>
        <w:t>住房保障</w:t>
      </w:r>
      <w:r>
        <w:rPr>
          <w:rFonts w:hint="eastAsia" w:ascii="仿宋" w:hAnsi="仿宋" w:eastAsia="仿宋"/>
          <w:b/>
          <w:bCs/>
          <w:sz w:val="32"/>
          <w:szCs w:val="32"/>
        </w:rPr>
        <w:t>221</w:t>
      </w:r>
      <w:r>
        <w:rPr>
          <w:rStyle w:val="15"/>
          <w:rFonts w:hint="eastAsia" w:ascii="仿宋" w:hAnsi="仿宋" w:eastAsia="仿宋"/>
          <w:bCs/>
          <w:sz w:val="32"/>
          <w:szCs w:val="32"/>
        </w:rPr>
        <w:t>（类）02（款）01（项）</w:t>
      </w:r>
      <w:r>
        <w:rPr>
          <w:rStyle w:val="15"/>
          <w:rFonts w:ascii="仿宋" w:hAnsi="仿宋" w:eastAsia="仿宋"/>
          <w:bCs/>
          <w:sz w:val="32"/>
          <w:szCs w:val="32"/>
        </w:rPr>
        <w:t>:</w:t>
      </w:r>
      <w:r>
        <w:rPr>
          <w:rStyle w:val="15"/>
          <w:rFonts w:hint="eastAsia" w:ascii="仿宋" w:hAnsi="仿宋" w:eastAsia="仿宋"/>
          <w:b w:val="0"/>
          <w:bCs/>
          <w:sz w:val="32"/>
          <w:szCs w:val="32"/>
        </w:rPr>
        <w:t>支出决算为2.96万元，完成预算100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21年一般公共预算财政拨款基本支出48.47万元，其中：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45.67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2.8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96609"/>
      <w:bookmarkStart w:id="43"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21年“三公”经费财政拨款支出决算为0.5万元，完成预算100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；公务接待费支出决算0.5万元，占100</w:t>
      </w:r>
      <w:r>
        <w:rPr>
          <w:rFonts w:ascii="仿宋" w:hAnsi="仿宋" w:eastAsia="仿宋"/>
          <w:sz w:val="32"/>
          <w:szCs w:val="32"/>
        </w:rPr>
        <w:t>%</w:t>
      </w:r>
      <w:r>
        <w:rPr>
          <w:rFonts w:hint="eastAsia" w:ascii="仿宋" w:hAnsi="仿宋" w:eastAsia="仿宋"/>
          <w:sz w:val="32"/>
          <w:szCs w:val="32"/>
        </w:rPr>
        <w:t>。具体情况如下：</w:t>
      </w:r>
    </w:p>
    <w:p>
      <w:pPr>
        <w:pStyle w:val="2"/>
        <w:spacing w:before="93"/>
        <w:jc w:val="center"/>
      </w:pPr>
      <w:r>
        <w:rPr>
          <w:rFonts w:hint="eastAsia"/>
        </w:rPr>
        <w:drawing>
          <wp:inline distT="0" distB="0" distL="114300" distR="114300">
            <wp:extent cx="4198620" cy="2073275"/>
            <wp:effectExtent l="19050" t="0" r="11430" b="3175"/>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全年安排因公出国（境）团组0次，出国（境）0人。因公出国（境）支出决算较</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公务用车购置及运行维护费支出决算较</w:t>
      </w:r>
      <w:r>
        <w:rPr>
          <w:rFonts w:ascii="仿宋_GB2312" w:eastAsia="仿宋_GB2312"/>
          <w:sz w:val="32"/>
          <w:szCs w:val="32"/>
        </w:rPr>
        <w:t>20</w:t>
      </w:r>
      <w:r>
        <w:rPr>
          <w:rFonts w:hint="eastAsia" w:ascii="仿宋_GB2312" w:eastAsia="仿宋_GB2312"/>
          <w:sz w:val="32"/>
          <w:szCs w:val="32"/>
        </w:rPr>
        <w:t>20年无变化。</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0.5万元，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20年增加0.5万元，增长100</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属</w:t>
      </w:r>
      <w:r>
        <w:rPr>
          <w:rFonts w:hint="eastAsia" w:ascii="仿宋_GB2312" w:eastAsia="仿宋_GB2312"/>
          <w:sz w:val="32"/>
          <w:szCs w:val="32"/>
        </w:rPr>
        <w:t>新成立单位。其中：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0.5</w:t>
      </w:r>
      <w:r>
        <w:rPr>
          <w:rFonts w:hint="eastAsia" w:ascii="仿宋_GB2312" w:eastAsia="仿宋_GB2312"/>
          <w:sz w:val="32"/>
          <w:szCs w:val="32"/>
        </w:rPr>
        <w:t>万元，主要用于执行公务、开展业务活动开支的交通费、住宿费、用餐费等。国内公务接待3批次，55人次（不包括陪同人员），共计支出0.5万元，具体内容包括：市委老干部局来检查、指导、调研、考察，重庆市南川区委老干部局来朝考察接待费用共0.5万元。</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bookmarkStart w:id="50" w:name="_Toc15377221"/>
      <w:bookmarkStart w:id="51" w:name="_Toc15396612"/>
    </w:p>
    <w:p>
      <w:pPr>
        <w:numPr>
          <w:ilvl w:val="0"/>
          <w:numId w:val="2"/>
        </w:numPr>
        <w:spacing w:line="600" w:lineRule="exact"/>
        <w:ind w:firstLine="640"/>
        <w:outlineLvl w:val="1"/>
        <w:rPr>
          <w:rStyle w:val="26"/>
          <w:rFonts w:ascii="黑体" w:hAnsi="黑体" w:eastAsia="黑体"/>
          <w:b w:val="0"/>
        </w:rPr>
      </w:pPr>
      <w:r>
        <w:rPr>
          <w:rStyle w:val="26"/>
          <w:rFonts w:hint="eastAsia" w:ascii="黑体" w:hAnsi="黑体" w:eastAsia="黑体"/>
          <w:b w:val="0"/>
        </w:rPr>
        <w:t>预算绩效管理情况</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区委区政府工作通报会项目、老干部特殊困难帮扶项目等2个项目开展了预算事前绩效评估，对2个项目编制了绩效目标，预算执行过程中，选取2个项目开展绩效监控，年终执行完毕后，对2个项目开展了绩效自评。同时，本部门对2021年部门整体开展绩效自评，《2021年广元市朝天区老干部事务中心部门整体绩效评价报告》见附件（第四部分）。</w:t>
      </w:r>
    </w:p>
    <w:p>
      <w:pPr>
        <w:numPr>
          <w:ilvl w:val="0"/>
          <w:numId w:val="2"/>
        </w:numPr>
        <w:spacing w:line="600" w:lineRule="exact"/>
        <w:ind w:firstLine="640"/>
        <w:outlineLvl w:val="1"/>
        <w:rPr>
          <w:rStyle w:val="26"/>
          <w:rFonts w:ascii="黑体" w:hAnsi="黑体" w:eastAsia="黑体"/>
          <w:b w:val="0"/>
        </w:rPr>
      </w:pP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21年，广元市朝天区老干部事务中心机关运行经费支出62.87万元，</w:t>
      </w:r>
      <w:r>
        <w:rPr>
          <w:rFonts w:hint="eastAsia" w:ascii="仿宋_GB2312" w:eastAsia="仿宋_GB2312"/>
          <w:sz w:val="32"/>
          <w:szCs w:val="32"/>
          <w:lang w:eastAsia="zh-CN"/>
        </w:rPr>
        <w:t>属</w:t>
      </w:r>
      <w:r>
        <w:rPr>
          <w:rFonts w:hint="eastAsia" w:ascii="仿宋_GB2312" w:eastAsia="仿宋_GB2312"/>
          <w:sz w:val="32"/>
          <w:szCs w:val="32"/>
        </w:rPr>
        <w:t>新成立单位。</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21年，广元市朝天区老干部事务中心政府采购支出总额0万元，其中：政府采购货物支出0万元、政府采购工程支出0万元、政府采购服务支出0万元。授予中小企业合同金额0万元，占政府采购支出总额的0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日，广元市朝天区老干部事务中心共有车辆0辆，其中：主要领导干部用车0辆、机要通信用车0辆、应急保障用车0辆、其他用车0辆，单价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sz w:val="32"/>
          <w:szCs w:val="32"/>
        </w:rPr>
        <w:t>一般公共服务201（类）32（款）01（项）：指行政运行。</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sz w:val="32"/>
          <w:szCs w:val="32"/>
        </w:rPr>
        <w:t>一般公共服务201（类）32（款）02（项）：指一般行政管理事务。</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sz w:val="32"/>
          <w:szCs w:val="32"/>
        </w:rPr>
        <w:t>社会保障和就业208（类）05（款）05（项）：指机关事业单位基本养老保险缴费支出。</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sz w:val="32"/>
          <w:szCs w:val="32"/>
        </w:rPr>
        <w:t>社会保障和就业208（类）05（款）06（项）：指机关事业单位职业年金缴费支出。</w:t>
      </w:r>
    </w:p>
    <w:p>
      <w:pPr>
        <w:pStyle w:val="23"/>
        <w:spacing w:line="560" w:lineRule="exact"/>
        <w:ind w:firstLine="480" w:firstLineChars="150"/>
        <w:rPr>
          <w:rFonts w:ascii="仿宋_GB2312" w:eastAsia="仿宋_GB2312"/>
          <w:color w:val="auto"/>
          <w:sz w:val="32"/>
          <w:szCs w:val="32"/>
        </w:rPr>
      </w:pPr>
      <w:r>
        <w:rPr>
          <w:rFonts w:ascii="仿宋_GB2312" w:eastAsia="仿宋_GB2312"/>
          <w:color w:val="auto"/>
          <w:sz w:val="32"/>
          <w:szCs w:val="32"/>
        </w:rPr>
        <w:t xml:space="preserve"> 8</w:t>
      </w:r>
      <w:r>
        <w:rPr>
          <w:rFonts w:hint="eastAsia" w:ascii="仿宋_GB2312" w:eastAsia="仿宋_GB2312"/>
          <w:color w:val="auto"/>
          <w:sz w:val="32"/>
          <w:szCs w:val="32"/>
        </w:rPr>
        <w:t>.</w:t>
      </w:r>
      <w:r>
        <w:rPr>
          <w:rFonts w:hint="eastAsia" w:ascii="仿宋_GB2312" w:eastAsia="仿宋_GB2312"/>
          <w:sz w:val="32"/>
          <w:szCs w:val="32"/>
        </w:rPr>
        <w:t>卫生健康210（类）11（款）01（项）：指行政单位医疗。</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住房保障221（类）02（款）01（项）：指住房公积金。</w:t>
      </w:r>
    </w:p>
    <w:p>
      <w:pPr>
        <w:ind w:firstLine="640" w:firstLineChars="200"/>
        <w:rPr>
          <w:rFonts w:hint="eastAsia"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项目支出：指在基本支出之外为完成特定行政任务和事业发展目标所发生的支出。</w:t>
      </w:r>
    </w:p>
    <w:p>
      <w:pPr>
        <w:ind w:firstLine="480" w:firstLineChars="150"/>
        <w:rPr>
          <w:rFonts w:ascii="仿宋_GB2312" w:eastAsia="仿宋_GB2312"/>
          <w:sz w:val="32"/>
          <w:szCs w:val="32"/>
        </w:rPr>
      </w:pPr>
      <w:r>
        <w:rPr>
          <w:rFonts w:ascii="仿宋_GB2312" w:eastAsia="仿宋_GB2312"/>
          <w:sz w:val="32"/>
          <w:szCs w:val="32"/>
        </w:rPr>
        <w:t xml:space="preserve"> 12.</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5"/>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2"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rPr>
        <w:t>2021年广元市朝天区老干部事务中心部门整体绩效评价报告</w:t>
      </w:r>
    </w:p>
    <w:p>
      <w:pPr>
        <w:widowControl/>
        <w:spacing w:line="572"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广元市朝天区老干部事务中心属财政一级预算单位，下属二级预算单位0个，其中参照公务员法管理的事业单位0个，（其他事业单位0个）。</w:t>
      </w:r>
      <w:r>
        <w:rPr>
          <w:rFonts w:hint="eastAsia" w:ascii="仿宋_GB2312" w:hAnsi="仿宋" w:eastAsia="仿宋_GB2312"/>
          <w:sz w:val="32"/>
          <w:szCs w:val="32"/>
        </w:rPr>
        <w:t>因中共广元市朝天区委老干部局机改，挂牌中共广元市朝天区委组织部，</w:t>
      </w:r>
      <w:r>
        <w:rPr>
          <w:rFonts w:hint="eastAsia" w:ascii="仿宋_GB2312" w:eastAsia="仿宋_GB2312"/>
          <w:color w:val="000000"/>
          <w:sz w:val="32"/>
          <w:szCs w:val="32"/>
        </w:rPr>
        <w:t>根据中共广元市委机构编制委员会办公室《关于成立广元市朝天区老干部事务中心的通知》（广编办发〔2020〕52号）相关精神，</w:t>
      </w:r>
      <w:r>
        <w:rPr>
          <w:rFonts w:hint="eastAsia" w:ascii="仿宋_GB2312" w:hAnsi="仿宋" w:eastAsia="仿宋_GB2312"/>
          <w:sz w:val="32"/>
          <w:szCs w:val="32"/>
        </w:rPr>
        <w:t>由区公路路政管理所更名为广元市朝天区老干部事务中心，为区委管理的公益一类事业单位</w:t>
      </w:r>
      <w:r>
        <w:rPr>
          <w:rFonts w:hint="eastAsia" w:ascii="仿宋_GB2312" w:eastAsia="仿宋_GB2312"/>
          <w:color w:val="000000"/>
          <w:sz w:val="32"/>
          <w:szCs w:val="32"/>
        </w:rPr>
        <w:t>，保持参公不变。核</w:t>
      </w:r>
      <w:r>
        <w:rPr>
          <w:rFonts w:hint="eastAsia" w:ascii="仿宋_GB2312" w:hAnsi="仿宋" w:eastAsia="仿宋_GB2312"/>
          <w:sz w:val="32"/>
          <w:szCs w:val="32"/>
        </w:rPr>
        <w:t>对事业（参公）编制3名，其中设主任1名（副科级），副主任1名（股级）。</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（二）机构职能。</w:t>
      </w:r>
    </w:p>
    <w:p>
      <w:pPr>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负责宣传贯彻执行有关离退休干部工作的方针政策、法律法规；负责全区离退休干部工作的综合指导和协调工作；负责拟订全区离退休干部工作有关规范性文件；负责中心支部党建工作和离退休干部党建工作，抓好离退休干部政治建设、组织建设和思想建设；负责收集整理离退休干部提出的各种意见建议；负责组织离退休干部开展正能量活动；负责离退休干部（含老红军遗属、离休干部无工作遗属、易地安置离休干部）服务工作，落实离退休干部政治、生活待遇；负责离退休干部活动学习阵地建设；负责离退休干部工作信息化建设；负责离退休干部来信来访及突出问题呈报与调查处理工作；负责外地离退休干部和离退休干部工作部门来朝天学习、参观的协调接洽工作；完成其他有关事项。</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（三）人员概况。</w:t>
      </w:r>
    </w:p>
    <w:p>
      <w:pPr>
        <w:snapToGrid w:val="0"/>
        <w:spacing w:line="52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广元市朝天区老干部事务中心属一级预算单位，2021年末实有</w:t>
      </w:r>
      <w:r>
        <w:rPr>
          <w:rFonts w:hint="eastAsia" w:ascii="仿宋_GB2312" w:hAnsi="宋体" w:eastAsia="仿宋_GB2312" w:cs="宋体"/>
          <w:color w:val="000000"/>
          <w:kern w:val="0"/>
          <w:sz w:val="32"/>
          <w:szCs w:val="32"/>
        </w:rPr>
        <w:t>在岗人员3人</w:t>
      </w:r>
      <w:r>
        <w:rPr>
          <w:rFonts w:hint="eastAsia" w:ascii="仿宋_GB2312" w:hAnsi="仿宋_GB2312" w:eastAsia="仿宋_GB2312" w:cs="仿宋_GB2312"/>
          <w:sz w:val="32"/>
          <w:szCs w:val="32"/>
        </w:rPr>
        <w:t>，行政编制为2人（其中：科级干部2人），事业干部1人</w:t>
      </w:r>
      <w:r>
        <w:rPr>
          <w:rFonts w:hint="eastAsia" w:ascii="仿宋_GB2312" w:hAnsi="宋体" w:eastAsia="仿宋_GB2312" w:cs="宋体"/>
          <w:color w:val="000000"/>
          <w:kern w:val="0"/>
          <w:sz w:val="32"/>
          <w:szCs w:val="32"/>
        </w:rPr>
        <w:t>（编制在区委组织部人才开发中心，根据区委常委会议精神，此编制挂区委组织部人才开发中心，人员由区老干部事务中心使用）</w:t>
      </w:r>
      <w:r>
        <w:rPr>
          <w:rFonts w:hint="eastAsia" w:ascii="仿宋_GB2312" w:hAnsi="仿宋_GB2312" w:eastAsia="仿宋_GB2312" w:cs="仿宋_GB2312"/>
          <w:sz w:val="32"/>
          <w:szCs w:val="32"/>
        </w:rPr>
        <w:t>。1人机关工勤人员于2021年3月退休。</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21年本年收入合计62.87万元，其中：一般公共预算财政拨款收入62.87万元，占100</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21年本年支出合计62.87万元，其中：基本支出48.47万元，占77.1</w:t>
      </w:r>
      <w:r>
        <w:rPr>
          <w:rFonts w:ascii="仿宋" w:hAnsi="仿宋" w:eastAsia="仿宋"/>
          <w:sz w:val="32"/>
          <w:szCs w:val="32"/>
        </w:rPr>
        <w:t>%</w:t>
      </w:r>
      <w:r>
        <w:rPr>
          <w:rFonts w:hint="eastAsia" w:ascii="仿宋" w:hAnsi="仿宋" w:eastAsia="仿宋"/>
          <w:sz w:val="32"/>
          <w:szCs w:val="32"/>
        </w:rPr>
        <w:t>；项目支出14.4万元，占22.9</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spacing w:line="580" w:lineRule="exact"/>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预算严格按照财政要求，本着单位实际，在规定的时间内完成了编制工作。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部门基本支出预算</w:t>
      </w:r>
      <w:r>
        <w:rPr>
          <w:rFonts w:hint="eastAsia" w:ascii="仿宋_GB2312" w:hAnsi="仿宋_GB2312" w:cs="仿宋_GB2312"/>
          <w:sz w:val="32"/>
          <w:szCs w:val="32"/>
          <w:lang w:val="en-US" w:eastAsia="zh-CN"/>
        </w:rPr>
        <w:t>48.47</w:t>
      </w:r>
      <w:r>
        <w:rPr>
          <w:rFonts w:hint="eastAsia" w:ascii="仿宋_GB2312" w:hAnsi="仿宋_GB2312" w:eastAsia="仿宋_GB2312" w:cs="仿宋_GB2312"/>
          <w:color w:val="auto"/>
          <w:sz w:val="32"/>
          <w:szCs w:val="32"/>
        </w:rPr>
        <w:t>万元。其中：人员</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45.67</w:t>
      </w:r>
      <w:r>
        <w:rPr>
          <w:rFonts w:hint="eastAsia" w:ascii="仿宋_GB2312" w:hAnsi="仿宋_GB2312" w:eastAsia="仿宋_GB2312" w:cs="仿宋_GB2312"/>
          <w:color w:val="auto"/>
          <w:sz w:val="32"/>
          <w:szCs w:val="32"/>
        </w:rPr>
        <w:t>万元，主要包括</w:t>
      </w:r>
      <w:r>
        <w:rPr>
          <w:rFonts w:hint="eastAsia" w:ascii="仿宋_GB2312" w:hAnsi="仿宋_GB2312" w:eastAsia="仿宋_GB2312" w:cs="仿宋_GB2312"/>
          <w:color w:val="auto"/>
          <w:sz w:val="32"/>
          <w:szCs w:val="32"/>
          <w:lang w:val="en-US" w:eastAsia="zh-CN"/>
        </w:rPr>
        <w:t>2名公务员及1名机关工勤</w:t>
      </w:r>
      <w:r>
        <w:rPr>
          <w:rFonts w:hint="eastAsia" w:ascii="仿宋_GB2312" w:hAnsi="仿宋_GB2312" w:eastAsia="仿宋_GB2312" w:cs="仿宋_GB2312"/>
          <w:color w:val="auto"/>
          <w:sz w:val="32"/>
          <w:szCs w:val="32"/>
        </w:rPr>
        <w:t>人员工资、津贴补贴、奖金、养老保险、医疗保险</w:t>
      </w:r>
      <w:r>
        <w:rPr>
          <w:rFonts w:hint="eastAsia" w:ascii="仿宋_GB2312" w:hAnsi="仿宋_GB2312" w:eastAsia="仿宋_GB2312" w:cs="仿宋_GB2312"/>
          <w:color w:val="auto"/>
          <w:sz w:val="32"/>
          <w:szCs w:val="32"/>
          <w:lang w:eastAsia="zh-CN"/>
        </w:rPr>
        <w:t>、工伤保险</w:t>
      </w:r>
      <w:r>
        <w:rPr>
          <w:rFonts w:hint="eastAsia" w:ascii="仿宋_GB2312" w:hAnsi="仿宋_GB2312" w:eastAsia="仿宋_GB2312" w:cs="仿宋_GB2312"/>
          <w:color w:val="auto"/>
          <w:sz w:val="32"/>
          <w:szCs w:val="32"/>
        </w:rPr>
        <w:t>等。公用</w:t>
      </w:r>
      <w:r>
        <w:rPr>
          <w:rFonts w:hint="eastAsia" w:ascii="仿宋_GB2312" w:hAnsi="仿宋_GB2312" w:eastAsia="仿宋_GB2312" w:cs="仿宋_GB2312"/>
          <w:color w:val="auto"/>
          <w:sz w:val="32"/>
          <w:szCs w:val="32"/>
          <w:lang w:eastAsia="zh-CN"/>
        </w:rPr>
        <w:t>经费</w:t>
      </w:r>
      <w:r>
        <w:rPr>
          <w:rFonts w:hint="eastAsia" w:ascii="仿宋_GB2312" w:hAnsi="仿宋_GB2312" w:eastAsia="仿宋_GB2312" w:cs="仿宋_GB2312"/>
          <w:color w:val="auto"/>
          <w:sz w:val="32"/>
          <w:szCs w:val="32"/>
        </w:rPr>
        <w:t>支出</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color w:val="auto"/>
          <w:sz w:val="32"/>
          <w:szCs w:val="32"/>
        </w:rPr>
        <w:t>万元，主要包括日常办公采购用品、水、电、气、差旅费、印刷、公务接待</w:t>
      </w:r>
      <w:r>
        <w:rPr>
          <w:rFonts w:hint="eastAsia" w:ascii="仿宋_GB2312" w:hAnsi="仿宋_GB2312" w:eastAsia="仿宋_GB2312" w:cs="仿宋_GB2312"/>
          <w:color w:val="auto"/>
          <w:sz w:val="32"/>
          <w:szCs w:val="32"/>
          <w:lang w:eastAsia="zh-CN"/>
        </w:rPr>
        <w:t>。</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部门项目</w:t>
      </w:r>
      <w:r>
        <w:rPr>
          <w:rFonts w:hint="eastAsia" w:ascii="仿宋_GB2312" w:hAnsi="仿宋_GB2312" w:eastAsia="仿宋_GB2312" w:cs="仿宋_GB2312"/>
          <w:color w:val="auto"/>
          <w:sz w:val="32"/>
          <w:szCs w:val="32"/>
          <w:lang w:eastAsia="zh-CN"/>
        </w:rPr>
        <w:t>支出预算</w:t>
      </w:r>
      <w:r>
        <w:rPr>
          <w:rFonts w:hint="eastAsia" w:ascii="仿宋_GB2312" w:hAnsi="仿宋_GB2312" w:eastAsia="仿宋_GB2312" w:cs="仿宋_GB2312"/>
          <w:color w:val="auto"/>
          <w:sz w:val="32"/>
          <w:szCs w:val="32"/>
          <w:lang w:val="en-US" w:eastAsia="zh-CN"/>
        </w:rPr>
        <w:t>14.4万元，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val="en-US" w:eastAsia="zh-CN"/>
        </w:rPr>
        <w:t>区委区政府工作通报会经费4万元，主要用于全年组织县级离退休干部开展4次通报会和参观2次。老干部特殊困难帮扶资金10万元，主要用于帮扶困难老干部。非贫困村第一书记工作经费0.4万元，主要用于第一书记工作经费。</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项目支出均按照有关规章制度和项目实施完成情况进行支付，我单位严格按照项目预算要求使用和划拨资金、</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eastAsia="zh-CN"/>
        </w:rPr>
        <w:t>经费管理，专项资金按照项目内容使用，做到专款专用，使用专项资金时，要通过财政专网统一支付，项目过程中全部按照</w:t>
      </w:r>
      <w:r>
        <w:rPr>
          <w:rFonts w:hint="eastAsia" w:ascii="仿宋_GB2312" w:hAnsi="仿宋_GB2312" w:eastAsia="仿宋_GB2312" w:cs="仿宋_GB2312"/>
          <w:color w:val="auto"/>
          <w:sz w:val="32"/>
          <w:szCs w:val="32"/>
          <w:lang w:val="en-US" w:eastAsia="zh-CN"/>
        </w:rPr>
        <w:t>管理办法执行，保障支出合法合规，做到了合法、有序。全年无违反规定的行为发生。</w:t>
      </w:r>
    </w:p>
    <w:p>
      <w:pPr>
        <w:keepNext w:val="0"/>
        <w:keepLines w:val="0"/>
        <w:pageBreakBefore w:val="0"/>
        <w:numPr>
          <w:ilvl w:val="0"/>
          <w:numId w:val="4"/>
        </w:numPr>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结果应用情况。</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朝天区老干部事</w:t>
      </w:r>
      <w:r>
        <w:rPr>
          <w:rFonts w:hint="eastAsia" w:ascii="仿宋_GB2312" w:hAnsi="仿宋_GB2312" w:eastAsia="仿宋_GB2312" w:cs="仿宋_GB2312"/>
          <w:sz w:val="32"/>
          <w:szCs w:val="32"/>
          <w:lang w:val="en-US" w:eastAsia="zh-CN"/>
        </w:rPr>
        <w:t>务中心</w:t>
      </w:r>
      <w:r>
        <w:rPr>
          <w:rFonts w:hint="eastAsia" w:ascii="仿宋_GB2312" w:hAnsi="仿宋_GB2312" w:eastAsia="仿宋_GB2312" w:cs="仿宋_GB2312"/>
          <w:b w:val="0"/>
          <w:bCs w:val="0"/>
          <w:kern w:val="2"/>
          <w:sz w:val="32"/>
          <w:szCs w:val="32"/>
          <w:highlight w:val="none"/>
          <w:lang w:val="en-US" w:eastAsia="zh-CN" w:bidi="ar-SA"/>
        </w:rPr>
        <w:t>2021年度整体支出严格执行国家有关法律、法规和财务规章制度的有关管理规定，健全完善本单位资金使用相关规定。合理编制单位预算，统筹安排，厉行节约，量入为出，保证重点，兼顾一般，注重资金使用效益，保障单位正常运转的资金需要。注重单位国有资产管理，定期或者不定期进行清查盘点，防止国有资产流失。年度末真实准确完整地编制单位本年度编制决算报表，认真进行决算分析，反映本期收入、支出及资产变动的情况，分析预算执行、支出结构、量化评价情况等，并按照规定报送区级财政</w:t>
      </w:r>
      <w:r>
        <w:rPr>
          <w:rFonts w:hint="eastAsia" w:ascii="仿宋_GB2312" w:hAnsi="仿宋_GB2312" w:eastAsia="仿宋_GB2312" w:cs="仿宋_GB2312"/>
          <w:color w:val="auto"/>
          <w:sz w:val="32"/>
          <w:szCs w:val="32"/>
          <w:lang w:val="en-US" w:eastAsia="zh-CN"/>
        </w:rPr>
        <w:t>部门。待财政部门批复部门决算后，及时在单位门户网站公开。</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（三）自评质量</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朝天区老干部事务中心在规定的时限内向财政局报送了部门整体支出绩效评价自评报告。自评报告内容完整，手续齐全，各项评</w:t>
      </w:r>
      <w:r>
        <w:rPr>
          <w:rFonts w:hint="eastAsia" w:ascii="仿宋_GB2312" w:hAnsi="仿宋_GB2312" w:eastAsia="仿宋_GB2312" w:cs="仿宋_GB2312"/>
          <w:sz w:val="32"/>
          <w:szCs w:val="32"/>
        </w:rPr>
        <w:t>价指标明确。评价结论合理有据、客观公正，如实地体现了单位取得绩效与存在的问题。</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sz w:val="32"/>
          <w:szCs w:val="32"/>
        </w:rPr>
        <w:t>积极</w:t>
      </w:r>
      <w:r>
        <w:rPr>
          <w:rFonts w:hint="eastAsia" w:ascii="仿宋_GB2312" w:hAnsi="仿宋_GB2312" w:eastAsia="仿宋_GB2312" w:cs="仿宋_GB2312"/>
          <w:color w:val="auto"/>
          <w:sz w:val="32"/>
          <w:szCs w:val="32"/>
          <w:lang w:val="zh-CN" w:eastAsia="zh-CN"/>
        </w:rPr>
        <w:t>配合财政部门开展的绩效评价工作。及时提供了准确、真实的相关资料。</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黑体" w:hAnsi="宋体" w:eastAsia="黑体" w:cs="宋体"/>
          <w:kern w:val="0"/>
          <w:sz w:val="32"/>
          <w:szCs w:val="32"/>
          <w:shd w:val="clear" w:color="auto" w:fill="FFFFFF"/>
          <w:lang w:val="zh-CN" w:eastAsia="zh-CN"/>
        </w:rPr>
      </w:pPr>
      <w:r>
        <w:rPr>
          <w:rFonts w:hint="eastAsia" w:ascii="黑体" w:hAnsi="宋体" w:eastAsia="黑体" w:cs="宋体"/>
          <w:kern w:val="0"/>
          <w:sz w:val="32"/>
          <w:szCs w:val="32"/>
          <w:shd w:val="clear" w:color="auto" w:fill="FFFFFF"/>
          <w:lang w:val="zh-CN" w:eastAsia="zh-CN"/>
        </w:rPr>
        <w:t>四、评价结论及建议</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（一）评价结论。</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lang w:val="zh-CN" w:eastAsia="zh-CN"/>
        </w:rPr>
      </w:pPr>
      <w:r>
        <w:rPr>
          <w:rFonts w:hint="eastAsia" w:ascii="仿宋_GB2312" w:hAnsi="仿宋_GB2312" w:eastAsia="仿宋_GB2312" w:cs="仿宋_GB2312"/>
          <w:sz w:val="32"/>
          <w:szCs w:val="32"/>
        </w:rPr>
        <w:t>根据预算绩效管理工作要求及安排，我单位对2021年</w:t>
      </w:r>
      <w:r>
        <w:rPr>
          <w:rFonts w:hint="eastAsia" w:ascii="仿宋_GB2312" w:hAnsi="仿宋_GB2312" w:eastAsia="仿宋_GB2312" w:cs="仿宋_GB2312"/>
          <w:sz w:val="32"/>
          <w:szCs w:val="32"/>
          <w:lang w:eastAsia="zh-CN"/>
        </w:rPr>
        <w:t>部门整体支出</w:t>
      </w:r>
      <w:r>
        <w:rPr>
          <w:rFonts w:hint="eastAsia" w:ascii="仿宋_GB2312" w:hAnsi="仿宋_GB2312" w:eastAsia="仿宋_GB2312" w:cs="仿宋_GB2312"/>
          <w:sz w:val="32"/>
          <w:szCs w:val="32"/>
        </w:rPr>
        <w:t>绩效管理工作进行了自评</w:t>
      </w:r>
      <w:r>
        <w:rPr>
          <w:rFonts w:hint="eastAsia" w:ascii="仿宋_GB2312" w:hAnsi="仿宋_GB2312" w:eastAsia="仿宋_GB2312" w:cs="仿宋_GB2312"/>
          <w:color w:val="auto"/>
          <w:sz w:val="32"/>
          <w:szCs w:val="32"/>
        </w:rPr>
        <w:t>考核，基础自评得分9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分，加分项得分0分，共计9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分。</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（二）存在问题及改进措施。</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预算执行，提高预算完成率。严格按项目和进度执行预算，合理安排资金支出，增强预算执行的规范性和严肃性；完善项目责任制，定期做好预算执行分析，及时了解预算执行差异，合理调整、纠正预算执行偏差，加快预算的执行进度，减少存量资金，切实提高预算完成率及资金使用效益。</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2.科学合理编制政府采购预算，强化政府采购预算执行，确保政府采购预算切合单位实际。</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3.根据年初的绩效考核指标及预算绩效目标，扎实推进相关工作，确保考核指标及预算绩效目标按时、优质完成。</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pacing w:line="576" w:lineRule="exact"/>
        <w:ind w:firstLine="640" w:firstLineChars="200"/>
        <w:contextualSpacing/>
        <w:textAlignment w:val="auto"/>
        <w:rPr>
          <w:rFonts w:hint="eastAsia" w:ascii="仿宋_GB2312" w:hAnsi="仿宋_GB2312" w:eastAsia="仿宋_GB2312" w:cs="仿宋_GB2312"/>
          <w:color w:val="auto"/>
          <w:sz w:val="32"/>
          <w:szCs w:val="32"/>
          <w:lang w:val="zh-CN" w:eastAsia="zh-CN"/>
        </w:rPr>
      </w:pPr>
    </w:p>
    <w:p>
      <w:pPr>
        <w:pStyle w:val="2"/>
        <w:spacing w:beforeLines="0"/>
        <w:rPr>
          <w:rFonts w:hint="eastAsia" w:hAnsi="宋体" w:cs="宋体"/>
          <w:sz w:val="32"/>
          <w:szCs w:val="32"/>
          <w:shd w:val="clear" w:color="auto" w:fill="FFFFFF"/>
          <w:lang w:val="zh-CN"/>
        </w:rPr>
      </w:pPr>
    </w:p>
    <w:p>
      <w:pPr>
        <w:pStyle w:val="2"/>
        <w:spacing w:beforeLines="0"/>
        <w:rPr>
          <w:rFonts w:hint="eastAsia" w:hAnsi="宋体" w:cs="宋体"/>
          <w:sz w:val="32"/>
          <w:szCs w:val="32"/>
          <w:shd w:val="clear" w:color="auto" w:fill="FFFFFF"/>
          <w:lang w:val="zh-CN"/>
        </w:rPr>
      </w:pPr>
    </w:p>
    <w:p>
      <w:pPr>
        <w:pStyle w:val="2"/>
        <w:spacing w:beforeLines="0"/>
        <w:rPr>
          <w:rFonts w:hint="eastAsia" w:hAnsi="宋体" w:cs="宋体"/>
          <w:sz w:val="32"/>
          <w:szCs w:val="32"/>
          <w:shd w:val="clear" w:color="auto" w:fill="FFFFFF"/>
          <w:lang w:val="zh-CN"/>
        </w:rPr>
      </w:pPr>
    </w:p>
    <w:p>
      <w:pPr>
        <w:pStyle w:val="2"/>
        <w:spacing w:beforeLines="0"/>
        <w:rPr>
          <w:rFonts w:hint="eastAsia" w:hAnsi="宋体" w:cs="宋体"/>
          <w:sz w:val="32"/>
          <w:szCs w:val="32"/>
          <w:shd w:val="clear" w:color="auto" w:fill="FFFFFF"/>
          <w:lang w:val="zh-CN"/>
        </w:rPr>
      </w:pPr>
    </w:p>
    <w:p>
      <w:pPr>
        <w:pStyle w:val="2"/>
        <w:spacing w:beforeLines="0"/>
        <w:rPr>
          <w:rFonts w:hAnsi="宋体" w:cs="宋体"/>
          <w:sz w:val="32"/>
          <w:szCs w:val="32"/>
          <w:shd w:val="clear" w:color="auto" w:fill="FFFFFF"/>
          <w:lang w:val="zh-CN"/>
        </w:rPr>
      </w:pPr>
    </w:p>
    <w:p>
      <w:pPr>
        <w:pStyle w:val="2"/>
        <w:spacing w:beforeLines="0"/>
        <w:rPr>
          <w:lang w:val="zh-CN"/>
        </w:rPr>
      </w:pPr>
    </w:p>
    <w:p>
      <w:pPr>
        <w:pStyle w:val="2"/>
        <w:spacing w:beforeLines="0"/>
        <w:rPr>
          <w:lang w:val="zh-CN"/>
        </w:rPr>
      </w:pPr>
    </w:p>
    <w:p>
      <w:pPr>
        <w:pStyle w:val="2"/>
        <w:spacing w:beforeLines="0"/>
        <w:rPr>
          <w:lang w:val="zh-CN"/>
        </w:rPr>
      </w:pPr>
    </w:p>
    <w:p>
      <w:pPr>
        <w:pStyle w:val="2"/>
        <w:spacing w:beforeLines="0"/>
        <w:rPr>
          <w:lang w:val="zh-CN"/>
        </w:rPr>
      </w:pPr>
    </w:p>
    <w:p>
      <w:pPr>
        <w:pStyle w:val="2"/>
        <w:spacing w:beforeLines="0"/>
        <w:rPr>
          <w:lang w:val="zh-CN"/>
        </w:rPr>
      </w:pPr>
    </w:p>
    <w:p>
      <w:pPr>
        <w:pStyle w:val="2"/>
        <w:spacing w:beforeLines="0"/>
        <w:rPr>
          <w:lang w:val="zh-CN"/>
        </w:rPr>
      </w:pPr>
    </w:p>
    <w:p>
      <w:pPr>
        <w:rPr>
          <w:lang w:val="zh-CN"/>
        </w:rPr>
      </w:pPr>
    </w:p>
    <w:p>
      <w:pPr>
        <w:pStyle w:val="2"/>
        <w:rPr>
          <w:lang w:val="zh-CN"/>
        </w:rPr>
      </w:pP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21"/>
        <w:gridCol w:w="1530"/>
        <w:gridCol w:w="1680"/>
        <w:gridCol w:w="1726"/>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r>
              <w:rPr>
                <w:rFonts w:hint="eastAsia" w:ascii="宋体" w:hAnsi="宋体" w:cs="宋体"/>
                <w:b/>
                <w:color w:val="auto"/>
                <w:sz w:val="32"/>
                <w:szCs w:val="32"/>
                <w:highlight w:val="none"/>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0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广元市朝天区老干部事务中心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10</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全面落实好离退休干部生活待遇，切实做好离退休干部生活特殊困难帮扶工作。对有特殊困难的离退休干部，优先提供帮扶和照顾（55人）。对家庭收入低、长期身患重病、家庭突遭变故的离退休干部，实施帮扶和照顾。</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rPr>
              <w:t>全面完成</w:t>
            </w:r>
            <w:r>
              <w:rPr>
                <w:rFonts w:hint="eastAsia" w:ascii="宋体" w:hAnsi="宋体" w:cs="宋体"/>
                <w:sz w:val="24"/>
                <w:lang w:eastAsia="zh-CN"/>
              </w:rPr>
              <w:t>。</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5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帮扶人数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≤55人</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55人</w:t>
            </w:r>
          </w:p>
        </w:tc>
      </w:tr>
      <w:tr>
        <w:tblPrEx>
          <w:tblCellMar>
            <w:top w:w="0" w:type="dxa"/>
            <w:left w:w="108" w:type="dxa"/>
            <w:bottom w:w="0" w:type="dxa"/>
            <w:right w:w="108" w:type="dxa"/>
          </w:tblCellMar>
        </w:tblPrEx>
        <w:trPr>
          <w:gridAfter w:val="1"/>
          <w:wAfter w:w="236" w:type="dxa"/>
          <w:trHeight w:val="8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县级干部覆盖率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b/>
                <w:bCs/>
                <w:sz w:val="28"/>
                <w:szCs w:val="28"/>
              </w:rPr>
            </w:pPr>
            <w:r>
              <w:rPr>
                <w:rFonts w:hint="eastAsia" w:ascii="仿宋_GB2312" w:hAnsi="仿宋_GB2312" w:eastAsia="仿宋_GB2312" w:cs="仿宋_GB2312"/>
                <w:sz w:val="28"/>
                <w:szCs w:val="28"/>
              </w:rPr>
              <w:t>100%</w:t>
            </w:r>
          </w:p>
        </w:tc>
      </w:tr>
      <w:tr>
        <w:tblPrEx>
          <w:tblCellMar>
            <w:top w:w="0" w:type="dxa"/>
            <w:left w:w="108" w:type="dxa"/>
            <w:bottom w:w="0" w:type="dxa"/>
            <w:right w:w="108" w:type="dxa"/>
          </w:tblCellMar>
        </w:tblPrEx>
        <w:trPr>
          <w:gridAfter w:val="1"/>
          <w:wAfter w:w="236" w:type="dxa"/>
          <w:trHeight w:val="9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2021年12月31日前</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2021年12月31日前</w:t>
            </w:r>
          </w:p>
        </w:tc>
      </w:tr>
      <w:tr>
        <w:tblPrEx>
          <w:tblCellMar>
            <w:top w:w="0" w:type="dxa"/>
            <w:left w:w="108" w:type="dxa"/>
            <w:bottom w:w="0" w:type="dxa"/>
            <w:right w:w="108" w:type="dxa"/>
          </w:tblCellMar>
        </w:tblPrEx>
        <w:trPr>
          <w:gridAfter w:val="1"/>
          <w:wAfter w:w="236" w:type="dxa"/>
          <w:trHeight w:val="84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帮扶成本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≤100000元</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100000元</w:t>
            </w:r>
          </w:p>
        </w:tc>
      </w:tr>
      <w:tr>
        <w:tblPrEx>
          <w:tblCellMar>
            <w:top w:w="0" w:type="dxa"/>
            <w:left w:w="108" w:type="dxa"/>
            <w:bottom w:w="0" w:type="dxa"/>
            <w:right w:w="108" w:type="dxa"/>
          </w:tblCellMar>
        </w:tblPrEx>
        <w:trPr>
          <w:gridAfter w:val="1"/>
          <w:wAfter w:w="236" w:type="dxa"/>
          <w:trHeight w:val="152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53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提高县级离退休干部生活水平</w:t>
            </w:r>
          </w:p>
        </w:tc>
        <w:tc>
          <w:tcPr>
            <w:tcW w:w="168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提高</w:t>
            </w:r>
          </w:p>
        </w:tc>
      </w:tr>
      <w:tr>
        <w:tblPrEx>
          <w:tblCellMar>
            <w:top w:w="0" w:type="dxa"/>
            <w:left w:w="108" w:type="dxa"/>
            <w:bottom w:w="0" w:type="dxa"/>
            <w:right w:w="108" w:type="dxa"/>
          </w:tblCellMar>
        </w:tblPrEx>
        <w:trPr>
          <w:gridAfter w:val="1"/>
          <w:wAfter w:w="236" w:type="dxa"/>
          <w:trHeight w:val="9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县级离退休干部满意率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附表：</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521"/>
        <w:gridCol w:w="1920"/>
        <w:gridCol w:w="1560"/>
        <w:gridCol w:w="1456"/>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hint="eastAsia" w:ascii="宋体" w:hAnsi="宋体" w:cs="宋体"/>
                <w:b/>
                <w:color w:val="auto"/>
                <w:sz w:val="32"/>
                <w:szCs w:val="32"/>
                <w:highlight w:val="none"/>
              </w:rPr>
            </w:pPr>
          </w:p>
          <w:p>
            <w:pPr>
              <w:pStyle w:val="2"/>
              <w:rPr>
                <w:rFonts w:hint="eastAsia"/>
              </w:rPr>
            </w:pPr>
          </w:p>
          <w:p>
            <w:pPr>
              <w:widowControl/>
              <w:jc w:val="center"/>
              <w:textAlignment w:val="center"/>
              <w:rPr>
                <w:rFonts w:ascii="宋体" w:hAnsi="宋体" w:cs="宋体"/>
                <w:b/>
                <w:sz w:val="32"/>
                <w:szCs w:val="32"/>
              </w:rPr>
            </w:pPr>
            <w:r>
              <w:rPr>
                <w:rFonts w:hint="eastAsia" w:ascii="宋体" w:hAnsi="宋体" w:cs="宋体"/>
                <w:b/>
                <w:color w:val="auto"/>
                <w:sz w:val="32"/>
                <w:szCs w:val="32"/>
                <w:highlight w:val="none"/>
              </w:rPr>
              <w:t>2021年部门预算项目绩效目标自评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eastAsia="zh-CN"/>
              </w:rPr>
            </w:pPr>
            <w:r>
              <w:rPr>
                <w:rFonts w:hint="eastAsia" w:ascii="宋体" w:hAnsi="宋体" w:cs="宋体"/>
                <w:sz w:val="24"/>
                <w:lang w:eastAsia="zh-CN"/>
              </w:rPr>
              <w:t>广元市朝天区老干部事务中心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sz w:val="24"/>
                <w:lang w:val="en-US" w:eastAsia="zh-CN"/>
              </w:rPr>
            </w:pPr>
            <w:r>
              <w:rPr>
                <w:rFonts w:hint="eastAsia" w:ascii="宋体" w:hAnsi="宋体" w:cs="宋体"/>
                <w:sz w:val="24"/>
                <w:lang w:val="en-US" w:eastAsia="zh-CN"/>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458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r>
              <w:rPr>
                <w:rFonts w:hint="eastAsia" w:ascii="宋体" w:hAnsi="宋体" w:cs="宋体"/>
                <w:sz w:val="24"/>
              </w:rPr>
              <w:t>组织县级离退休干部开展区委区政府工作通报会不少于4次，参观不少于2次，最大限度体现老干部的政治待遇和区委对老干部的重视与关心，为加快建设繁荣和谐美丽幸福现代化朝天作出新的更大贡献。</w:t>
            </w:r>
          </w:p>
        </w:tc>
        <w:tc>
          <w:tcPr>
            <w:tcW w:w="30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sz w:val="24"/>
                <w:lang w:eastAsia="zh-CN"/>
              </w:rPr>
            </w:pPr>
            <w:r>
              <w:rPr>
                <w:rFonts w:hint="eastAsia" w:ascii="宋体" w:hAnsi="宋体" w:cs="宋体"/>
                <w:sz w:val="24"/>
              </w:rPr>
              <w:t xml:space="preserve">组织县级离退休干部开展区委区政府工作通报会4次，参观2次，最大限度体现了老干部的政治待遇和区委对老干部的重视与关心，为加快建设繁荣和谐美丽幸福现代化朝天作出新的更大贡献。 </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全年通报会场次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不少于4次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kern w:val="0"/>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全年参观次数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不少于2次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2次</w:t>
            </w:r>
          </w:p>
        </w:tc>
      </w:tr>
      <w:tr>
        <w:tblPrEx>
          <w:tblCellMar>
            <w:top w:w="0" w:type="dxa"/>
            <w:left w:w="108" w:type="dxa"/>
            <w:bottom w:w="0" w:type="dxa"/>
            <w:right w:w="108" w:type="dxa"/>
          </w:tblCellMar>
        </w:tblPrEx>
        <w:trPr>
          <w:gridAfter w:val="1"/>
          <w:wAfter w:w="236" w:type="dxa"/>
          <w:trHeight w:val="84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资金使用合规率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val="en-US" w:eastAsia="zh-CN"/>
              </w:rPr>
              <w:t>100%</w:t>
            </w:r>
          </w:p>
        </w:tc>
      </w:tr>
      <w:tr>
        <w:tblPrEx>
          <w:tblCellMar>
            <w:top w:w="0" w:type="dxa"/>
            <w:left w:w="108" w:type="dxa"/>
            <w:bottom w:w="0" w:type="dxa"/>
            <w:right w:w="108" w:type="dxa"/>
          </w:tblCellMar>
        </w:tblPrEx>
        <w:trPr>
          <w:gridAfter w:val="1"/>
          <w:wAfter w:w="236" w:type="dxa"/>
          <w:trHeight w:val="84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完成时限</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2021年12月31日前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2021年12月31日前</w:t>
            </w:r>
          </w:p>
        </w:tc>
      </w:tr>
      <w:tr>
        <w:tblPrEx>
          <w:tblCellMar>
            <w:top w:w="0" w:type="dxa"/>
            <w:left w:w="108" w:type="dxa"/>
            <w:bottom w:w="0" w:type="dxa"/>
            <w:right w:w="108" w:type="dxa"/>
          </w:tblCellMar>
        </w:tblPrEx>
        <w:trPr>
          <w:gridAfter w:val="1"/>
          <w:wAfter w:w="236" w:type="dxa"/>
          <w:trHeight w:val="89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工作通报会成本</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0000元</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0000元</w:t>
            </w:r>
          </w:p>
        </w:tc>
      </w:tr>
      <w:tr>
        <w:tblPrEx>
          <w:tblCellMar>
            <w:top w:w="0" w:type="dxa"/>
            <w:left w:w="108" w:type="dxa"/>
            <w:bottom w:w="0" w:type="dxa"/>
            <w:right w:w="108" w:type="dxa"/>
          </w:tblCellMar>
        </w:tblPrEx>
        <w:trPr>
          <w:gridAfter w:val="1"/>
          <w:wAfter w:w="236" w:type="dxa"/>
          <w:trHeight w:val="161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521"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92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最大限度体现老干部的政治待遇和区委对老干部的重视与关心。</w:t>
            </w:r>
          </w:p>
        </w:tc>
        <w:tc>
          <w:tcPr>
            <w:tcW w:w="1560" w:type="dxa"/>
            <w:tcBorders>
              <w:top w:val="single" w:color="000000" w:sz="4" w:space="0"/>
              <w:left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体现</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体现</w:t>
            </w:r>
          </w:p>
        </w:tc>
      </w:tr>
      <w:tr>
        <w:tblPrEx>
          <w:tblCellMar>
            <w:top w:w="0" w:type="dxa"/>
            <w:left w:w="108" w:type="dxa"/>
            <w:bottom w:w="0" w:type="dxa"/>
            <w:right w:w="108" w:type="dxa"/>
          </w:tblCellMar>
        </w:tblPrEx>
        <w:trPr>
          <w:gridAfter w:val="1"/>
          <w:wAfter w:w="236" w:type="dxa"/>
          <w:trHeight w:val="1065"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县级离退休干部满意率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≥90%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widowControl/>
        <w:jc w:val="center"/>
        <w:rPr>
          <w:rFonts w:hint="eastAsia" w:ascii="黑体" w:hAnsi="黑体" w:eastAsia="黑体"/>
          <w:sz w:val="44"/>
          <w:szCs w:val="44"/>
        </w:rPr>
      </w:pPr>
      <w:bookmarkStart w:id="59" w:name="_Toc15396618"/>
    </w:p>
    <w:p>
      <w:pPr>
        <w:widowControl/>
        <w:jc w:val="center"/>
        <w:rPr>
          <w:rStyle w:val="25"/>
          <w:rFonts w:hint="eastAsia" w:ascii="黑体" w:hAnsi="黑体" w:eastAsia="黑体"/>
          <w:b w:val="0"/>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59"/>
      <w:bookmarkStart w:id="60" w:name="_Toc15396619"/>
    </w:p>
    <w:p>
      <w:pPr>
        <w:pStyle w:val="2"/>
      </w:pPr>
    </w:p>
    <w:p>
      <w:pPr>
        <w:pStyle w:val="4"/>
        <w:spacing w:before="0" w:after="0"/>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0"/>
    </w:p>
    <w:p>
      <w:pPr>
        <w:pStyle w:val="4"/>
        <w:spacing w:before="0" w:after="0"/>
        <w:rPr>
          <w:rFonts w:ascii="仿宋" w:hAnsi="仿宋" w:eastAsia="仿宋"/>
        </w:rPr>
      </w:pPr>
      <w:bookmarkStart w:id="61" w:name="_Toc15396620"/>
      <w:r>
        <w:rPr>
          <w:rFonts w:hint="eastAsia" w:ascii="仿宋" w:hAnsi="仿宋" w:eastAsia="仿宋"/>
          <w:b w:val="0"/>
        </w:rPr>
        <w:t>二、收</w:t>
      </w:r>
      <w:r>
        <w:rPr>
          <w:rStyle w:val="26"/>
          <w:rFonts w:hint="eastAsia" w:ascii="仿宋" w:hAnsi="仿宋" w:eastAsia="仿宋"/>
          <w:b w:val="0"/>
          <w:bCs w:val="0"/>
        </w:rPr>
        <w:t>入决算表</w:t>
      </w:r>
      <w:bookmarkEnd w:id="61"/>
    </w:p>
    <w:p>
      <w:pPr>
        <w:pStyle w:val="4"/>
        <w:spacing w:before="0" w:after="0"/>
        <w:rPr>
          <w:rFonts w:ascii="仿宋" w:hAnsi="仿宋" w:eastAsia="仿宋"/>
        </w:rPr>
      </w:pPr>
      <w:bookmarkStart w:id="62"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2"/>
    </w:p>
    <w:p>
      <w:pPr>
        <w:pStyle w:val="4"/>
        <w:spacing w:before="0" w:after="0"/>
        <w:rPr>
          <w:rFonts w:ascii="仿宋" w:hAnsi="仿宋" w:eastAsia="仿宋"/>
          <w:b w:val="0"/>
        </w:rPr>
      </w:pPr>
      <w:bookmarkStart w:id="6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3"/>
    </w:p>
    <w:p>
      <w:pPr>
        <w:pStyle w:val="4"/>
        <w:spacing w:before="0" w:after="0"/>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4"/>
      <w:bookmarkStart w:id="65" w:name="_Toc15396624"/>
    </w:p>
    <w:p>
      <w:pPr>
        <w:pStyle w:val="4"/>
        <w:spacing w:before="0" w:after="0"/>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5"/>
    </w:p>
    <w:p>
      <w:pPr>
        <w:pStyle w:val="4"/>
        <w:spacing w:before="0" w:after="0"/>
        <w:rPr>
          <w:rFonts w:ascii="仿宋" w:hAnsi="仿宋" w:eastAsia="仿宋"/>
        </w:rPr>
      </w:pPr>
      <w:bookmarkStart w:id="66"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6"/>
    </w:p>
    <w:p>
      <w:pPr>
        <w:pStyle w:val="4"/>
        <w:spacing w:before="0" w:after="0"/>
        <w:rPr>
          <w:rFonts w:ascii="仿宋" w:hAnsi="仿宋" w:eastAsia="仿宋"/>
        </w:rPr>
      </w:pPr>
      <w:bookmarkStart w:id="67"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7"/>
    </w:p>
    <w:p>
      <w:pPr>
        <w:pStyle w:val="4"/>
        <w:spacing w:before="0" w:after="0"/>
        <w:rPr>
          <w:rFonts w:ascii="仿宋" w:hAnsi="仿宋" w:eastAsia="仿宋"/>
        </w:rPr>
      </w:pPr>
      <w:bookmarkStart w:id="68"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8"/>
    </w:p>
    <w:p>
      <w:pPr>
        <w:pStyle w:val="4"/>
        <w:spacing w:before="0" w:after="0"/>
        <w:rPr>
          <w:rFonts w:ascii="仿宋" w:hAnsi="仿宋" w:eastAsia="仿宋"/>
        </w:rPr>
      </w:pPr>
      <w:bookmarkStart w:id="6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9"/>
    </w:p>
    <w:p>
      <w:pPr>
        <w:pStyle w:val="4"/>
        <w:spacing w:before="0" w:after="0"/>
        <w:rPr>
          <w:rFonts w:ascii="仿宋" w:hAnsi="仿宋" w:eastAsia="仿宋"/>
        </w:rPr>
      </w:pPr>
      <w:bookmarkStart w:id="70"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0"/>
    </w:p>
    <w:p>
      <w:pPr>
        <w:pStyle w:val="4"/>
        <w:spacing w:before="0" w:after="0"/>
        <w:rPr>
          <w:rFonts w:ascii="仿宋" w:hAnsi="仿宋" w:eastAsia="仿宋"/>
        </w:rPr>
      </w:pPr>
      <w:bookmarkStart w:id="7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1"/>
    </w:p>
    <w:p>
      <w:pPr>
        <w:pStyle w:val="4"/>
        <w:spacing w:before="0" w:after="0"/>
        <w:rPr>
          <w:rStyle w:val="26"/>
          <w:rFonts w:ascii="仿宋" w:hAnsi="仿宋" w:eastAsia="仿宋"/>
          <w:b w:val="0"/>
          <w:bCs w:val="0"/>
        </w:rPr>
      </w:pPr>
      <w:bookmarkStart w:id="72"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2"/>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D6DBE80"/>
    <w:multiLevelType w:val="singleLevel"/>
    <w:tmpl w:val="7D6DBE8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iY2M3NWRiNzYxMDE4YjBlOTlhYWE1MDY5ZjM2NTMifQ=="/>
  </w:docVars>
  <w:rsids>
    <w:rsidRoot w:val="00F1361C"/>
    <w:rsid w:val="000222C6"/>
    <w:rsid w:val="0002549F"/>
    <w:rsid w:val="000468DB"/>
    <w:rsid w:val="00052383"/>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15FF8"/>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3649A"/>
    <w:rsid w:val="00260C38"/>
    <w:rsid w:val="002616C0"/>
    <w:rsid w:val="00265372"/>
    <w:rsid w:val="002662AA"/>
    <w:rsid w:val="00280496"/>
    <w:rsid w:val="00294DC9"/>
    <w:rsid w:val="00295495"/>
    <w:rsid w:val="002A31DE"/>
    <w:rsid w:val="002B2613"/>
    <w:rsid w:val="002B5003"/>
    <w:rsid w:val="002D6D05"/>
    <w:rsid w:val="002F1818"/>
    <w:rsid w:val="002F567B"/>
    <w:rsid w:val="00305CDB"/>
    <w:rsid w:val="00312AAF"/>
    <w:rsid w:val="003216A9"/>
    <w:rsid w:val="00335A74"/>
    <w:rsid w:val="00365101"/>
    <w:rsid w:val="0036561B"/>
    <w:rsid w:val="0036639F"/>
    <w:rsid w:val="0037013F"/>
    <w:rsid w:val="00380C92"/>
    <w:rsid w:val="003A484F"/>
    <w:rsid w:val="003A4883"/>
    <w:rsid w:val="003B0BE0"/>
    <w:rsid w:val="003B0C1B"/>
    <w:rsid w:val="003B688C"/>
    <w:rsid w:val="003C0291"/>
    <w:rsid w:val="003C39AE"/>
    <w:rsid w:val="003C3AAE"/>
    <w:rsid w:val="003C7B60"/>
    <w:rsid w:val="003D0C0F"/>
    <w:rsid w:val="003D1FB2"/>
    <w:rsid w:val="003D66DA"/>
    <w:rsid w:val="003E1310"/>
    <w:rsid w:val="003E6F55"/>
    <w:rsid w:val="00406254"/>
    <w:rsid w:val="004223DE"/>
    <w:rsid w:val="00434489"/>
    <w:rsid w:val="00437085"/>
    <w:rsid w:val="00443880"/>
    <w:rsid w:val="004464F4"/>
    <w:rsid w:val="00453E15"/>
    <w:rsid w:val="00471401"/>
    <w:rsid w:val="00473F31"/>
    <w:rsid w:val="0048263A"/>
    <w:rsid w:val="00487E5D"/>
    <w:rsid w:val="004A1314"/>
    <w:rsid w:val="004A711F"/>
    <w:rsid w:val="004B199D"/>
    <w:rsid w:val="004B1B67"/>
    <w:rsid w:val="004B4690"/>
    <w:rsid w:val="004E0A2D"/>
    <w:rsid w:val="004E206B"/>
    <w:rsid w:val="004E6DF7"/>
    <w:rsid w:val="004F0FBD"/>
    <w:rsid w:val="00505A47"/>
    <w:rsid w:val="00512FDA"/>
    <w:rsid w:val="00520DA0"/>
    <w:rsid w:val="00541D6D"/>
    <w:rsid w:val="005664BB"/>
    <w:rsid w:val="00566FFA"/>
    <w:rsid w:val="005728FB"/>
    <w:rsid w:val="0057481D"/>
    <w:rsid w:val="0058486E"/>
    <w:rsid w:val="00585B33"/>
    <w:rsid w:val="0059014D"/>
    <w:rsid w:val="005B5C64"/>
    <w:rsid w:val="005C5337"/>
    <w:rsid w:val="005C6BD0"/>
    <w:rsid w:val="005D1C8B"/>
    <w:rsid w:val="005D468D"/>
    <w:rsid w:val="005D5123"/>
    <w:rsid w:val="005D5CED"/>
    <w:rsid w:val="005E4E7E"/>
    <w:rsid w:val="005F1A4C"/>
    <w:rsid w:val="00605688"/>
    <w:rsid w:val="006070AF"/>
    <w:rsid w:val="00607E6C"/>
    <w:rsid w:val="006101B1"/>
    <w:rsid w:val="00614E44"/>
    <w:rsid w:val="006225AD"/>
    <w:rsid w:val="0062270A"/>
    <w:rsid w:val="00622830"/>
    <w:rsid w:val="00623DA0"/>
    <w:rsid w:val="00630AEF"/>
    <w:rsid w:val="006325F8"/>
    <w:rsid w:val="00633463"/>
    <w:rsid w:val="00634C9A"/>
    <w:rsid w:val="006440E4"/>
    <w:rsid w:val="0066343B"/>
    <w:rsid w:val="00664777"/>
    <w:rsid w:val="006748A4"/>
    <w:rsid w:val="00681A31"/>
    <w:rsid w:val="00681CD1"/>
    <w:rsid w:val="00683E73"/>
    <w:rsid w:val="006944DB"/>
    <w:rsid w:val="006A3141"/>
    <w:rsid w:val="006A5E34"/>
    <w:rsid w:val="006B2422"/>
    <w:rsid w:val="006B2B9A"/>
    <w:rsid w:val="006C1937"/>
    <w:rsid w:val="006C1CC8"/>
    <w:rsid w:val="006F020C"/>
    <w:rsid w:val="007127B7"/>
    <w:rsid w:val="00712C00"/>
    <w:rsid w:val="0071798E"/>
    <w:rsid w:val="007247DA"/>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E316A"/>
    <w:rsid w:val="007F1991"/>
    <w:rsid w:val="007F2C2F"/>
    <w:rsid w:val="007F55FC"/>
    <w:rsid w:val="007F5665"/>
    <w:rsid w:val="00800112"/>
    <w:rsid w:val="00813348"/>
    <w:rsid w:val="008253BB"/>
    <w:rsid w:val="0083706E"/>
    <w:rsid w:val="008408F6"/>
    <w:rsid w:val="008423A5"/>
    <w:rsid w:val="00850625"/>
    <w:rsid w:val="00853718"/>
    <w:rsid w:val="00855221"/>
    <w:rsid w:val="00856DB0"/>
    <w:rsid w:val="00860645"/>
    <w:rsid w:val="00871F71"/>
    <w:rsid w:val="00872FD8"/>
    <w:rsid w:val="008745DC"/>
    <w:rsid w:val="00876E6C"/>
    <w:rsid w:val="00885AF4"/>
    <w:rsid w:val="008939CD"/>
    <w:rsid w:val="008B768C"/>
    <w:rsid w:val="008C4DB1"/>
    <w:rsid w:val="008C4EAF"/>
    <w:rsid w:val="008C5176"/>
    <w:rsid w:val="008C7FD0"/>
    <w:rsid w:val="008D1698"/>
    <w:rsid w:val="008E1DE7"/>
    <w:rsid w:val="008E2A0E"/>
    <w:rsid w:val="008E707C"/>
    <w:rsid w:val="00900B08"/>
    <w:rsid w:val="00902155"/>
    <w:rsid w:val="00902FA3"/>
    <w:rsid w:val="00923564"/>
    <w:rsid w:val="0092392E"/>
    <w:rsid w:val="009315F9"/>
    <w:rsid w:val="00933499"/>
    <w:rsid w:val="009354D0"/>
    <w:rsid w:val="00935C98"/>
    <w:rsid w:val="00937CAF"/>
    <w:rsid w:val="00946945"/>
    <w:rsid w:val="00951248"/>
    <w:rsid w:val="0095152F"/>
    <w:rsid w:val="00954C49"/>
    <w:rsid w:val="00955E37"/>
    <w:rsid w:val="0097099F"/>
    <w:rsid w:val="00971997"/>
    <w:rsid w:val="00971FFC"/>
    <w:rsid w:val="00984D03"/>
    <w:rsid w:val="0098660A"/>
    <w:rsid w:val="009931C3"/>
    <w:rsid w:val="00997A45"/>
    <w:rsid w:val="009B2C43"/>
    <w:rsid w:val="009B4EAE"/>
    <w:rsid w:val="009B7573"/>
    <w:rsid w:val="009C0462"/>
    <w:rsid w:val="009C22F4"/>
    <w:rsid w:val="009C2A4B"/>
    <w:rsid w:val="009C2E98"/>
    <w:rsid w:val="009D3447"/>
    <w:rsid w:val="009D4711"/>
    <w:rsid w:val="009F1185"/>
    <w:rsid w:val="009F18CD"/>
    <w:rsid w:val="009F2A13"/>
    <w:rsid w:val="009F7527"/>
    <w:rsid w:val="00A019D9"/>
    <w:rsid w:val="00A04EB0"/>
    <w:rsid w:val="00A116D7"/>
    <w:rsid w:val="00A13CC1"/>
    <w:rsid w:val="00A16847"/>
    <w:rsid w:val="00A237D8"/>
    <w:rsid w:val="00A268C4"/>
    <w:rsid w:val="00A301F3"/>
    <w:rsid w:val="00A307CD"/>
    <w:rsid w:val="00A331C8"/>
    <w:rsid w:val="00A40A00"/>
    <w:rsid w:val="00A4142F"/>
    <w:rsid w:val="00A422EB"/>
    <w:rsid w:val="00A45BB7"/>
    <w:rsid w:val="00A56DF2"/>
    <w:rsid w:val="00A56E6E"/>
    <w:rsid w:val="00A60E6B"/>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B5E71"/>
    <w:rsid w:val="00DC410D"/>
    <w:rsid w:val="00DC5A81"/>
    <w:rsid w:val="00DC68CA"/>
    <w:rsid w:val="00DC7CBA"/>
    <w:rsid w:val="00DD73B7"/>
    <w:rsid w:val="00DF28BC"/>
    <w:rsid w:val="00DF34B9"/>
    <w:rsid w:val="00E01053"/>
    <w:rsid w:val="00E07ACF"/>
    <w:rsid w:val="00E331A1"/>
    <w:rsid w:val="00E33202"/>
    <w:rsid w:val="00E336A9"/>
    <w:rsid w:val="00E45E2B"/>
    <w:rsid w:val="00E472B1"/>
    <w:rsid w:val="00E50624"/>
    <w:rsid w:val="00E568DF"/>
    <w:rsid w:val="00E64269"/>
    <w:rsid w:val="00E82267"/>
    <w:rsid w:val="00E853CE"/>
    <w:rsid w:val="00E867B6"/>
    <w:rsid w:val="00EA010F"/>
    <w:rsid w:val="00EA1FC7"/>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21A"/>
    <w:rsid w:val="00F526E1"/>
    <w:rsid w:val="00F602DF"/>
    <w:rsid w:val="00F754A1"/>
    <w:rsid w:val="00F81FD9"/>
    <w:rsid w:val="00F841AA"/>
    <w:rsid w:val="00F84A94"/>
    <w:rsid w:val="00F87E96"/>
    <w:rsid w:val="00FA23E8"/>
    <w:rsid w:val="00FD3CC1"/>
    <w:rsid w:val="00FF1E02"/>
    <w:rsid w:val="00FF30B4"/>
    <w:rsid w:val="02590C8E"/>
    <w:rsid w:val="02BF0BAC"/>
    <w:rsid w:val="02C1356F"/>
    <w:rsid w:val="02FE35E2"/>
    <w:rsid w:val="03590B77"/>
    <w:rsid w:val="04B844FD"/>
    <w:rsid w:val="055E1222"/>
    <w:rsid w:val="05B151A7"/>
    <w:rsid w:val="05EE45C3"/>
    <w:rsid w:val="066E0107"/>
    <w:rsid w:val="07996F6E"/>
    <w:rsid w:val="07D57174"/>
    <w:rsid w:val="08AF0E7E"/>
    <w:rsid w:val="0A2032A3"/>
    <w:rsid w:val="0A687B0B"/>
    <w:rsid w:val="0A911A78"/>
    <w:rsid w:val="0B81389B"/>
    <w:rsid w:val="0BA80E28"/>
    <w:rsid w:val="0CAA0BCF"/>
    <w:rsid w:val="0D643474"/>
    <w:rsid w:val="0E4F50CA"/>
    <w:rsid w:val="101860EC"/>
    <w:rsid w:val="1021694F"/>
    <w:rsid w:val="108C69C6"/>
    <w:rsid w:val="10C055FF"/>
    <w:rsid w:val="10C83D1A"/>
    <w:rsid w:val="11401FF8"/>
    <w:rsid w:val="115653AE"/>
    <w:rsid w:val="118107EC"/>
    <w:rsid w:val="11DD44F4"/>
    <w:rsid w:val="12557610"/>
    <w:rsid w:val="139A5CE1"/>
    <w:rsid w:val="13D50BC4"/>
    <w:rsid w:val="14076907"/>
    <w:rsid w:val="1594066F"/>
    <w:rsid w:val="160F7CF5"/>
    <w:rsid w:val="163B013D"/>
    <w:rsid w:val="166D15EC"/>
    <w:rsid w:val="16944659"/>
    <w:rsid w:val="16BB723D"/>
    <w:rsid w:val="1804087F"/>
    <w:rsid w:val="182E0907"/>
    <w:rsid w:val="188557B8"/>
    <w:rsid w:val="19404D95"/>
    <w:rsid w:val="1B1A33C4"/>
    <w:rsid w:val="1B8847D2"/>
    <w:rsid w:val="1BA63467"/>
    <w:rsid w:val="1BE0460E"/>
    <w:rsid w:val="1BE8440E"/>
    <w:rsid w:val="1CF540E9"/>
    <w:rsid w:val="1D155CEE"/>
    <w:rsid w:val="1D851910"/>
    <w:rsid w:val="1DD309C6"/>
    <w:rsid w:val="1F2667DB"/>
    <w:rsid w:val="20D364EF"/>
    <w:rsid w:val="20F14BC7"/>
    <w:rsid w:val="210C1A01"/>
    <w:rsid w:val="214C62A1"/>
    <w:rsid w:val="217D46AD"/>
    <w:rsid w:val="220628F4"/>
    <w:rsid w:val="23860B96"/>
    <w:rsid w:val="23A45F21"/>
    <w:rsid w:val="240371BF"/>
    <w:rsid w:val="2519649B"/>
    <w:rsid w:val="26B466EE"/>
    <w:rsid w:val="27644345"/>
    <w:rsid w:val="290556B4"/>
    <w:rsid w:val="295E3016"/>
    <w:rsid w:val="29FD04D3"/>
    <w:rsid w:val="2A7523C5"/>
    <w:rsid w:val="2A790107"/>
    <w:rsid w:val="2ABC4498"/>
    <w:rsid w:val="2AEB7976"/>
    <w:rsid w:val="2B0A6FB1"/>
    <w:rsid w:val="2BF13CCD"/>
    <w:rsid w:val="2BFD08C4"/>
    <w:rsid w:val="2C895BD5"/>
    <w:rsid w:val="2C8A61B5"/>
    <w:rsid w:val="2DF04E50"/>
    <w:rsid w:val="305B5866"/>
    <w:rsid w:val="30CE282F"/>
    <w:rsid w:val="319F7F4E"/>
    <w:rsid w:val="31F50616"/>
    <w:rsid w:val="32CF45F7"/>
    <w:rsid w:val="34826EB6"/>
    <w:rsid w:val="359F7AA1"/>
    <w:rsid w:val="35BE7316"/>
    <w:rsid w:val="35C81F43"/>
    <w:rsid w:val="3633238A"/>
    <w:rsid w:val="367061B7"/>
    <w:rsid w:val="36AA5135"/>
    <w:rsid w:val="37E16F03"/>
    <w:rsid w:val="382465F6"/>
    <w:rsid w:val="398C3287"/>
    <w:rsid w:val="3A5A4F64"/>
    <w:rsid w:val="3ADA04CE"/>
    <w:rsid w:val="3C011D0B"/>
    <w:rsid w:val="3C1C6FF4"/>
    <w:rsid w:val="3D98207C"/>
    <w:rsid w:val="3E261EFC"/>
    <w:rsid w:val="3F0D09C6"/>
    <w:rsid w:val="3FC45529"/>
    <w:rsid w:val="40C41559"/>
    <w:rsid w:val="410D2F00"/>
    <w:rsid w:val="416D399E"/>
    <w:rsid w:val="41F63994"/>
    <w:rsid w:val="42685C48"/>
    <w:rsid w:val="428042FE"/>
    <w:rsid w:val="42A31D6D"/>
    <w:rsid w:val="42AF5166"/>
    <w:rsid w:val="44C24001"/>
    <w:rsid w:val="44DF4BB3"/>
    <w:rsid w:val="44E268DA"/>
    <w:rsid w:val="45B778DE"/>
    <w:rsid w:val="47006F10"/>
    <w:rsid w:val="4729480B"/>
    <w:rsid w:val="493E459E"/>
    <w:rsid w:val="496D2FDB"/>
    <w:rsid w:val="49931006"/>
    <w:rsid w:val="49CA4084"/>
    <w:rsid w:val="4A627F82"/>
    <w:rsid w:val="4AAD305D"/>
    <w:rsid w:val="4AB03279"/>
    <w:rsid w:val="4B1C7626"/>
    <w:rsid w:val="4B4E4840"/>
    <w:rsid w:val="4B4F25DA"/>
    <w:rsid w:val="4BE068DB"/>
    <w:rsid w:val="4C56430C"/>
    <w:rsid w:val="4D577224"/>
    <w:rsid w:val="4E630603"/>
    <w:rsid w:val="4EAB630A"/>
    <w:rsid w:val="4ECE2238"/>
    <w:rsid w:val="504948A0"/>
    <w:rsid w:val="54680721"/>
    <w:rsid w:val="546940A2"/>
    <w:rsid w:val="5572737D"/>
    <w:rsid w:val="557914D3"/>
    <w:rsid w:val="55B05DB9"/>
    <w:rsid w:val="57CA16F3"/>
    <w:rsid w:val="582C5F09"/>
    <w:rsid w:val="58F72073"/>
    <w:rsid w:val="590D5D3B"/>
    <w:rsid w:val="59AF648D"/>
    <w:rsid w:val="5A39651F"/>
    <w:rsid w:val="5AF92295"/>
    <w:rsid w:val="5C480E38"/>
    <w:rsid w:val="5C657C3C"/>
    <w:rsid w:val="5CD71FC4"/>
    <w:rsid w:val="5D534554"/>
    <w:rsid w:val="5DC0337C"/>
    <w:rsid w:val="5E395A6C"/>
    <w:rsid w:val="5E40626B"/>
    <w:rsid w:val="5E653F23"/>
    <w:rsid w:val="5F873A80"/>
    <w:rsid w:val="61CF0031"/>
    <w:rsid w:val="623E51D3"/>
    <w:rsid w:val="636218DD"/>
    <w:rsid w:val="644608AA"/>
    <w:rsid w:val="64622CD8"/>
    <w:rsid w:val="66376316"/>
    <w:rsid w:val="67E6569B"/>
    <w:rsid w:val="68A613C0"/>
    <w:rsid w:val="697B65D3"/>
    <w:rsid w:val="698A43EF"/>
    <w:rsid w:val="69D72179"/>
    <w:rsid w:val="6C080000"/>
    <w:rsid w:val="6C4A05C8"/>
    <w:rsid w:val="6C9854C4"/>
    <w:rsid w:val="6CBF0CA2"/>
    <w:rsid w:val="6CC12C6C"/>
    <w:rsid w:val="6E0E59CE"/>
    <w:rsid w:val="6E7E3605"/>
    <w:rsid w:val="6F082DD5"/>
    <w:rsid w:val="6F53108F"/>
    <w:rsid w:val="6F8E1FBA"/>
    <w:rsid w:val="6FCF744E"/>
    <w:rsid w:val="6FF5CC65"/>
    <w:rsid w:val="70052E70"/>
    <w:rsid w:val="70A16E98"/>
    <w:rsid w:val="715C0E4B"/>
    <w:rsid w:val="71C20A11"/>
    <w:rsid w:val="71E03B95"/>
    <w:rsid w:val="72012407"/>
    <w:rsid w:val="72734D90"/>
    <w:rsid w:val="731C1A25"/>
    <w:rsid w:val="73AD73D5"/>
    <w:rsid w:val="73B6EB34"/>
    <w:rsid w:val="743702C2"/>
    <w:rsid w:val="76652A43"/>
    <w:rsid w:val="78CC0BF2"/>
    <w:rsid w:val="792B4075"/>
    <w:rsid w:val="79C7027F"/>
    <w:rsid w:val="79EE5BA4"/>
    <w:rsid w:val="7A894339"/>
    <w:rsid w:val="7AE6735B"/>
    <w:rsid w:val="7BCB31C0"/>
    <w:rsid w:val="7CA628D3"/>
    <w:rsid w:val="7D957AF3"/>
    <w:rsid w:val="7EA67F14"/>
    <w:rsid w:val="7EEF11D3"/>
    <w:rsid w:val="7F6026F4"/>
    <w:rsid w:val="7FA30C79"/>
    <w:rsid w:val="7FC96657"/>
    <w:rsid w:val="7FF60A27"/>
    <w:rsid w:val="D8D6DB89"/>
    <w:rsid w:val="DB6F4CAB"/>
    <w:rsid w:val="DF6F9789"/>
    <w:rsid w:val="F5FFBD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99"/>
    <w:pPr>
      <w:spacing w:before="100" w:beforeAutospacing="1" w:after="100" w:afterAutospacing="1"/>
      <w:jc w:val="left"/>
    </w:pPr>
    <w:rPr>
      <w:rFonts w:ascii="Calibri" w:hAnsi="Calibri"/>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（单位：万元）</a:t>
            </a:r>
            <a:endParaRPr altLang="zh-CN"/>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2021年收支62.87万元</c:v>
                </c:pt>
              </c:strCache>
            </c:strRef>
          </c:tx>
          <c:spPr>
            <a:solidFill>
              <a:schemeClr val="accent1"/>
            </a:solidFill>
            <a:ln>
              <a:noFill/>
            </a:ln>
            <a:effectLst/>
          </c:spPr>
          <c:invertIfNegative val="false"/>
          <c:dLbls>
            <c:delete val="true"/>
          </c:dLbls>
          <c:cat>
            <c:strRef>
              <c:f>Sheet1!$A$2:$A$5</c:f>
              <c:strCache>
                <c:ptCount val="4"/>
                <c:pt idx="0">
                  <c:v>2020年</c:v>
                </c:pt>
                <c:pt idx="1">
                  <c:v>2021年</c:v>
                </c:pt>
              </c:strCache>
            </c:strRef>
          </c:cat>
          <c:val>
            <c:numRef>
              <c:f>Sheet1!$B$2:$B$5</c:f>
              <c:numCache>
                <c:formatCode>General</c:formatCode>
                <c:ptCount val="4"/>
                <c:pt idx="0">
                  <c:v>0</c:v>
                </c:pt>
                <c:pt idx="1">
                  <c:v>62.87</c:v>
                </c:pt>
              </c:numCache>
            </c:numRef>
          </c:val>
        </c:ser>
        <c:dLbls>
          <c:showLegendKey val="false"/>
          <c:showVal val="false"/>
          <c:showCatName val="false"/>
          <c:showSerName val="false"/>
          <c:showPercent val="false"/>
          <c:showBubbleSize val="false"/>
        </c:dLbls>
        <c:gapWidth val="150"/>
        <c:overlap val="100"/>
        <c:axId val="139087232"/>
        <c:axId val="144620928"/>
      </c:barChart>
      <c:catAx>
        <c:axId val="13908723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4620928"/>
        <c:crosses val="autoZero"/>
        <c:auto val="true"/>
        <c:lblAlgn val="ctr"/>
        <c:lblOffset val="100"/>
        <c:noMultiLvlLbl val="false"/>
      </c:catAx>
      <c:valAx>
        <c:axId val="14462092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9087232"/>
        <c:crosses val="autoZero"/>
        <c:crossBetween val="between"/>
      </c:valAx>
      <c:spPr>
        <a:noFill/>
        <a:ln>
          <a:noFill/>
        </a:ln>
        <a:effectLst/>
      </c:spPr>
    </c:plotArea>
    <c:legend>
      <c:legendPos val="b"/>
      <c:layout>
        <c:manualLayout>
          <c:xMode val="edge"/>
          <c:yMode val="edge"/>
          <c:x val="0.348041566746603"/>
          <c:y val="0.873509741203838"/>
          <c:w val="0.42669864108713"/>
          <c:h val="0.08287292817679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年收入决算情况说明图</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一般公共预算财政拨款收入62.87万元，占100％</c:v>
                </c:pt>
              </c:strCache>
            </c:strRef>
          </c:cat>
          <c:val>
            <c:numRef>
              <c:f>Sheet1!$B$2:$B$5</c:f>
              <c:numCache>
                <c:formatCode>General</c:formatCode>
                <c:ptCount val="4"/>
                <c:pt idx="0">
                  <c:v>62.87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1"/>
        <c:delete val="true"/>
      </c:legendEntry>
      <c:legendEntry>
        <c:idx val="2"/>
        <c:delete val="true"/>
      </c:legendEntry>
      <c:legendEntry>
        <c:idx val="3"/>
        <c:delete val="true"/>
      </c:legendEntry>
      <c:layout>
        <c:manualLayout>
          <c:xMode val="edge"/>
          <c:yMode val="edge"/>
          <c:x val="0.250151240169389"/>
          <c:y val="0.85543644716692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2021年支出决算情况说明图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基本支出77.1％</c:v>
                </c:pt>
                <c:pt idx="1">
                  <c:v>项目支出22.9％</c:v>
                </c:pt>
              </c:strCache>
            </c:strRef>
          </c:cat>
          <c:val>
            <c:numRef>
              <c:f>Sheet1!$B$2:$B$5</c:f>
              <c:numCache>
                <c:formatCode>General</c:formatCode>
                <c:ptCount val="4"/>
                <c:pt idx="0">
                  <c:v>77.1</c:v>
                </c:pt>
                <c:pt idx="1">
                  <c:v>22.9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manualLayout>
          <c:xMode val="edge"/>
          <c:yMode val="edge"/>
          <c:x val="0.283396667641041"/>
          <c:y val="0.757185559898827"/>
          <c:w val="0.433352820812628"/>
          <c:h val="0.23591630259829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（单位：万元）</a:t>
            </a:r>
            <a:endParaRPr altLang="zh-CN"/>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2021年收支62.87万元</c:v>
                </c:pt>
              </c:strCache>
            </c:strRef>
          </c:tx>
          <c:spPr>
            <a:solidFill>
              <a:schemeClr val="accent1"/>
            </a:solidFill>
            <a:ln>
              <a:noFill/>
            </a:ln>
            <a:effectLst/>
          </c:spPr>
          <c:invertIfNegative val="false"/>
          <c:dLbls>
            <c:delete val="true"/>
          </c:dLbls>
          <c:cat>
            <c:strRef>
              <c:f>Sheet1!$A$2:$A$5</c:f>
              <c:strCache>
                <c:ptCount val="4"/>
                <c:pt idx="0">
                  <c:v>2020年</c:v>
                </c:pt>
                <c:pt idx="1">
                  <c:v>2021年</c:v>
                </c:pt>
              </c:strCache>
            </c:strRef>
          </c:cat>
          <c:val>
            <c:numRef>
              <c:f>Sheet1!$B$2:$B$5</c:f>
              <c:numCache>
                <c:formatCode>General</c:formatCode>
                <c:ptCount val="4"/>
                <c:pt idx="0">
                  <c:v>0</c:v>
                </c:pt>
                <c:pt idx="1">
                  <c:v>62.87</c:v>
                </c:pt>
              </c:numCache>
            </c:numRef>
          </c:val>
        </c:ser>
        <c:dLbls>
          <c:showLegendKey val="false"/>
          <c:showVal val="false"/>
          <c:showCatName val="false"/>
          <c:showSerName val="false"/>
          <c:showPercent val="false"/>
          <c:showBubbleSize val="false"/>
        </c:dLbls>
        <c:gapWidth val="150"/>
        <c:overlap val="100"/>
        <c:axId val="166254464"/>
        <c:axId val="166256000"/>
      </c:barChart>
      <c:catAx>
        <c:axId val="16625446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6256000"/>
        <c:crosses val="autoZero"/>
        <c:auto val="true"/>
        <c:lblAlgn val="ctr"/>
        <c:lblOffset val="100"/>
        <c:noMultiLvlLbl val="false"/>
      </c:catAx>
      <c:valAx>
        <c:axId val="16625600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6254464"/>
        <c:crosses val="autoZero"/>
        <c:crossBetween val="between"/>
      </c:valAx>
      <c:spPr>
        <a:noFill/>
        <a:ln>
          <a:noFill/>
        </a:ln>
        <a:effectLst/>
      </c:spPr>
    </c:plotArea>
    <c:legend>
      <c:legendPos val="b"/>
      <c:layout>
        <c:manualLayout>
          <c:xMode val="edge"/>
          <c:yMode val="edge"/>
          <c:x val="0.348041566746603"/>
          <c:y val="0.873509741203838"/>
          <c:w val="0.42669864108713"/>
          <c:h val="0.08287292817679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（单位：万元）</a:t>
            </a:r>
            <a:endParaRPr altLang="zh-CN"/>
          </a:p>
        </c:rich>
      </c:tx>
      <c:layout/>
      <c:overlay val="false"/>
      <c:spPr>
        <a:noFill/>
        <a:ln>
          <a:noFill/>
        </a:ln>
        <a:effectLst/>
      </c:spPr>
    </c:title>
    <c:autoTitleDeleted val="false"/>
    <c:plotArea>
      <c:layout/>
      <c:barChart>
        <c:barDir val="col"/>
        <c:grouping val="stacked"/>
        <c:varyColors val="false"/>
        <c:ser>
          <c:idx val="0"/>
          <c:order val="0"/>
          <c:tx>
            <c:strRef>
              <c:f>Sheet1!$B$1</c:f>
              <c:strCache>
                <c:ptCount val="1"/>
                <c:pt idx="0">
                  <c:v>2021年一般公共预算财政拨款支出62.87万元，占100％</c:v>
                </c:pt>
              </c:strCache>
            </c:strRef>
          </c:tx>
          <c:spPr>
            <a:solidFill>
              <a:schemeClr val="accent1"/>
            </a:solidFill>
            <a:ln>
              <a:noFill/>
            </a:ln>
            <a:effectLst/>
          </c:spPr>
          <c:invertIfNegative val="false"/>
          <c:dLbls>
            <c:delete val="true"/>
          </c:dLbls>
          <c:cat>
            <c:strRef>
              <c:f>Sheet1!$A$2:$A$5</c:f>
              <c:strCache>
                <c:ptCount val="2"/>
                <c:pt idx="0">
                  <c:v>2020年</c:v>
                </c:pt>
                <c:pt idx="1">
                  <c:v>2021年</c:v>
                </c:pt>
              </c:strCache>
            </c:strRef>
          </c:cat>
          <c:val>
            <c:numRef>
              <c:f>Sheet1!$B$2:$B$5</c:f>
              <c:numCache>
                <c:formatCode>General</c:formatCode>
                <c:ptCount val="4"/>
                <c:pt idx="0">
                  <c:v>0</c:v>
                </c:pt>
                <c:pt idx="1">
                  <c:v>62.87</c:v>
                </c:pt>
              </c:numCache>
            </c:numRef>
          </c:val>
        </c:ser>
        <c:dLbls>
          <c:showLegendKey val="false"/>
          <c:showVal val="false"/>
          <c:showCatName val="false"/>
          <c:showSerName val="false"/>
          <c:showPercent val="false"/>
          <c:showBubbleSize val="false"/>
        </c:dLbls>
        <c:gapWidth val="150"/>
        <c:overlap val="100"/>
        <c:axId val="175888256"/>
        <c:axId val="175890432"/>
      </c:barChart>
      <c:catAx>
        <c:axId val="17588825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5890432"/>
        <c:crosses val="autoZero"/>
        <c:auto val="true"/>
        <c:lblAlgn val="ctr"/>
        <c:lblOffset val="100"/>
        <c:noMultiLvlLbl val="false"/>
      </c:catAx>
      <c:valAx>
        <c:axId val="17589043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75888256"/>
        <c:crosses val="autoZero"/>
        <c:crossBetween val="between"/>
      </c:valAx>
      <c:spPr>
        <a:noFill/>
        <a:ln>
          <a:noFill/>
        </a:ln>
        <a:effectLst/>
      </c:spPr>
    </c:plotArea>
    <c:legend>
      <c:legendPos val="b"/>
      <c:layout>
        <c:manualLayout>
          <c:xMode val="edge"/>
          <c:yMode val="edge"/>
          <c:x val="0.13876898481215"/>
          <c:y val="0.868275661529515"/>
          <c:w val="0.78193445243805"/>
          <c:h val="0.088107007851119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一般公共服务支出80％</c:v>
                </c:pt>
                <c:pt idx="1">
                  <c:v>社会保障和就业支出12.2％</c:v>
                </c:pt>
                <c:pt idx="2">
                  <c:v>卫生健康支出3％</c:v>
                </c:pt>
                <c:pt idx="3">
                  <c:v>住房保障支出4.8％</c:v>
                </c:pt>
              </c:strCache>
            </c:strRef>
          </c:cat>
          <c:val>
            <c:numRef>
              <c:f>Sheet1!$B$2:$B$5</c:f>
              <c:numCache>
                <c:formatCode>General</c:formatCode>
                <c:ptCount val="4"/>
                <c:pt idx="0">
                  <c:v>80</c:v>
                </c:pt>
                <c:pt idx="1">
                  <c:v>12.2</c:v>
                </c:pt>
                <c:pt idx="2">
                  <c:v>3</c:v>
                </c:pt>
                <c:pt idx="3">
                  <c:v>4.8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lang="zh-CN" altLang="en-US"/>
              <a:t>年三公经费财政拨款支出结构说明图</a:t>
            </a:r>
            <a:endParaRPr altLang="en-US"/>
          </a:p>
        </c:rich>
      </c:tx>
      <c:layout/>
      <c:overlay val="false"/>
      <c:spPr>
        <a:noFill/>
        <a:ln>
          <a:noFill/>
        </a:ln>
        <a:effectLst/>
      </c:spPr>
    </c:title>
    <c:autoTitleDeleted val="false"/>
    <c:plotArea>
      <c:layout/>
      <c:pieChart>
        <c:varyColors val="true"/>
        <c:ser>
          <c:idx val="0"/>
          <c:order val="0"/>
          <c:tx>
            <c:strRef>
              <c:f>Sheet1!$B$1</c:f>
              <c:strCache>
                <c:ptCount val="1"/>
                <c:pt idx="0">
                  <c:v>2021年三公经费财政拨款支出结构说明图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1"/>
                <c:pt idx="0">
                  <c:v>2021年公务接待支出0.5万元占100％</c:v>
                </c:pt>
              </c:strCache>
            </c:strRef>
          </c:cat>
          <c:val>
            <c:numRef>
              <c:f>Sheet1!$B$2:$B$5</c:f>
              <c:numCache>
                <c:formatCode>General</c:formatCode>
                <c:ptCount val="4"/>
                <c:pt idx="0">
                  <c:v>0.5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1"/>
        <c:delete val="true"/>
      </c:legendEntry>
      <c:legendEntry>
        <c:idx val="2"/>
        <c:delete val="true"/>
      </c:legendEntry>
      <c:legendEntry>
        <c:idx val="3"/>
        <c:delete val="true"/>
      </c:legendEntry>
      <c:layout>
        <c:manualLayout>
          <c:xMode val="edge"/>
          <c:yMode val="edge"/>
          <c:x val="0.250151240169389"/>
          <c:y val="0.85543644716692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10000</Words>
  <Characters>10572</Characters>
  <Lines>65</Lines>
  <Paragraphs>18</Paragraphs>
  <TotalTime>8</TotalTime>
  <ScaleCrop>false</ScaleCrop>
  <LinksUpToDate>false</LinksUpToDate>
  <CharactersWithSpaces>10603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2022-08-08T17:11:00Z</cp:lastPrinted>
  <dcterms:modified xsi:type="dcterms:W3CDTF">2022-12-09T16:18:13Z</dcterms:modified>
  <dc:title>四川省***</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71EE4C5B63CC42F888BCD11980679D2B</vt:lpwstr>
  </property>
</Properties>
</file>