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32"/>
          <w:szCs w:val="32"/>
        </w:rPr>
      </w:pPr>
      <w:bookmarkStart w:id="0" w:name="_GoBack"/>
      <w:bookmarkEnd w:id="0"/>
      <w:r>
        <w:rPr>
          <w:rFonts w:hint="eastAsia" w:ascii="黑体" w:hAnsi="宋体" w:eastAsia="黑体" w:cs="黑体"/>
          <w:color w:val="000000"/>
          <w:sz w:val="32"/>
          <w:szCs w:val="32"/>
          <w:shd w:val="clear" w:fill="FFFFFF"/>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color w:val="000000"/>
          <w:sz w:val="44"/>
          <w:szCs w:val="44"/>
          <w:shd w:val="clear" w:fill="FFFFFF"/>
          <w:lang w:val="en-US" w:eastAsia="zh-CN"/>
        </w:rPr>
      </w:pPr>
      <w:r>
        <w:rPr>
          <w:rFonts w:hint="eastAsia" w:ascii="方正小标宋简体" w:hAnsi="方正小标宋简体" w:eastAsia="方正小标宋简体" w:cs="方正小标宋简体"/>
          <w:color w:val="000000"/>
          <w:sz w:val="44"/>
          <w:szCs w:val="44"/>
          <w:shd w:val="clear" w:fill="FFFFFF"/>
          <w:lang w:val="en-US" w:eastAsia="zh-CN"/>
        </w:rPr>
        <w:t>四川省定价目录（</w:t>
      </w:r>
      <w:r>
        <w:rPr>
          <w:rFonts w:hint="default" w:ascii="方正小标宋简体" w:hAnsi="方正小标宋简体" w:eastAsia="方正小标宋简体" w:cs="方正小标宋简体"/>
          <w:color w:val="000000"/>
          <w:sz w:val="44"/>
          <w:szCs w:val="44"/>
          <w:shd w:val="clear" w:fill="FFFFFF"/>
          <w:lang w:val="en-US" w:eastAsia="zh-CN"/>
        </w:rPr>
        <w:t>2021</w:t>
      </w:r>
      <w:r>
        <w:rPr>
          <w:rFonts w:hint="eastAsia" w:ascii="方正小标宋简体" w:hAnsi="方正小标宋简体" w:eastAsia="方正小标宋简体" w:cs="方正小标宋简体"/>
          <w:color w:val="000000"/>
          <w:sz w:val="44"/>
          <w:szCs w:val="44"/>
          <w:shd w:val="clear" w:fill="FFFFFF"/>
          <w:lang w:val="en-US" w:eastAsia="zh-CN"/>
        </w:rPr>
        <w:t>年版）</w:t>
      </w:r>
    </w:p>
    <w:tbl>
      <w:tblPr>
        <w:tblStyle w:val="5"/>
        <w:tblW w:w="496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6"/>
        <w:gridCol w:w="1165"/>
        <w:gridCol w:w="1655"/>
        <w:gridCol w:w="39"/>
        <w:gridCol w:w="4817"/>
        <w:gridCol w:w="2296"/>
        <w:gridCol w:w="32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blHeader/>
        </w:trPr>
        <w:tc>
          <w:tcPr>
            <w:tcW w:w="29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sz w:val="21"/>
                <w:szCs w:val="21"/>
              </w:rPr>
            </w:pPr>
            <w:r>
              <w:rPr>
                <w:rFonts w:hint="eastAsia" w:ascii="仿宋" w:hAnsi="仿宋" w:eastAsia="仿宋" w:cs="仿宋"/>
                <w:b/>
                <w:bCs/>
                <w:color w:val="333333"/>
                <w:sz w:val="21"/>
                <w:szCs w:val="21"/>
              </w:rPr>
              <w:t>序号</w:t>
            </w:r>
          </w:p>
        </w:tc>
        <w:tc>
          <w:tcPr>
            <w:tcW w:w="41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sz w:val="21"/>
                <w:szCs w:val="21"/>
              </w:rPr>
            </w:pPr>
            <w:r>
              <w:rPr>
                <w:rFonts w:hint="eastAsia" w:ascii="仿宋" w:hAnsi="仿宋" w:eastAsia="仿宋" w:cs="仿宋"/>
                <w:b/>
                <w:bCs/>
                <w:color w:val="333333"/>
                <w:sz w:val="21"/>
                <w:szCs w:val="21"/>
              </w:rPr>
              <w:t>项目</w:t>
            </w:r>
          </w:p>
        </w:tc>
        <w:tc>
          <w:tcPr>
            <w:tcW w:w="2314" w:type="pct"/>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sz w:val="21"/>
                <w:szCs w:val="21"/>
              </w:rPr>
            </w:pPr>
            <w:r>
              <w:rPr>
                <w:rFonts w:hint="eastAsia" w:ascii="仿宋" w:hAnsi="仿宋" w:eastAsia="仿宋" w:cs="仿宋"/>
                <w:b/>
                <w:bCs/>
                <w:color w:val="333333"/>
                <w:sz w:val="21"/>
                <w:szCs w:val="21"/>
              </w:rPr>
              <w:t>定价内容</w:t>
            </w:r>
          </w:p>
        </w:tc>
        <w:tc>
          <w:tcPr>
            <w:tcW w:w="81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sz w:val="21"/>
                <w:szCs w:val="21"/>
              </w:rPr>
            </w:pPr>
            <w:r>
              <w:rPr>
                <w:rFonts w:hint="eastAsia" w:ascii="仿宋" w:hAnsi="仿宋" w:eastAsia="仿宋" w:cs="仿宋"/>
                <w:b/>
                <w:bCs/>
                <w:color w:val="333333"/>
                <w:sz w:val="21"/>
                <w:szCs w:val="21"/>
              </w:rPr>
              <w:t>定价部门</w:t>
            </w:r>
          </w:p>
        </w:tc>
        <w:tc>
          <w:tcPr>
            <w:tcW w:w="116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bCs/>
                <w:sz w:val="21"/>
                <w:szCs w:val="21"/>
              </w:rPr>
            </w:pPr>
            <w:r>
              <w:rPr>
                <w:rFonts w:hint="eastAsia" w:ascii="仿宋" w:hAnsi="仿宋" w:eastAsia="仿宋" w:cs="仿宋"/>
                <w:b/>
                <w:bCs/>
                <w:color w:val="333333"/>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6" w:hRule="atLeast"/>
        </w:trPr>
        <w:tc>
          <w:tcPr>
            <w:tcW w:w="29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1</w:t>
            </w:r>
          </w:p>
        </w:tc>
        <w:tc>
          <w:tcPr>
            <w:tcW w:w="41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输配电</w:t>
            </w: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省级以下电网输配电价</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2</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油气管道运输和燃气</w:t>
            </w: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省内管道运输价格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企业内部自用管道除外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市政府所在地城市及辖区内跨县的管道燃气配气价格和居民用气销售价格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7"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辖区内管道燃气配气价格和居民用气销售价格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6"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3</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供水</w:t>
            </w:r>
          </w:p>
        </w:tc>
        <w:tc>
          <w:tcPr>
            <w:tcW w:w="588"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水利工程供水</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省内跨市和省属水利工程的供水价格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水利工程由用户自建自用的和通过协议明确由供需双方协商定价的部分除外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辖区内跨县和市属水利工程的供水价格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2"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县属水利工程的供水价格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自来水</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市政府所在地城市及辖区内跨县城乡公共管网供应的自来水价格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供方与终端用户通过协议明确由双方协商定价的部分,以及农村村民自建、自管的自来水价格除外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辖区内城乡公共管网供应的自来水价格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6"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4</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交通运输</w:t>
            </w:r>
          </w:p>
        </w:tc>
        <w:tc>
          <w:tcPr>
            <w:tcW w:w="588"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车辆通行</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省内政府还贷公路（含桥梁、隧道）车辆通行费标准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省交通运输主管部门会同省价格主管部门、省财政部门</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报省人民政府审查批准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省内经营性公路（含桥梁、隧道）车辆通行费标准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省交通运输主管部门会同省价格主管部门</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道路班车客运</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跨省、跨市、跨县（毗邻县行政区域间除外）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运营的道路班车客运票价</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包车客运价格、800公里以上班车客运价格、与高铁并线（起讫点均在高铁沿线）的班车客运价格和定制客运（含预约响应农村客运）价格除外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毗邻县行政区域间和县内运行的道路班车客运票价</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汽车客运站服务</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辖区内汽车客运站服务收费标准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省交通运输主管部门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班车客运经营者、旅客可自主选择的服务收费项目除外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城市公共交通（含地铁等轨道交通）</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市政府所在地城市及辖区内跨县营运的城市公共交通票价</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6"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辖区内城市公共交通票价</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城市客运出租汽车运价</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市政府所在地城市的客运出租汽车运价率、燃料附加费标准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网络预约出租车除外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辖区内营运的城市客运出租汽车运价率、燃料附加费标准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58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停车收费</w:t>
            </w:r>
          </w:p>
        </w:tc>
        <w:tc>
          <w:tcPr>
            <w:tcW w:w="1725"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具有自然垄断经营和公益性特征的机动车停放服务收费标准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授权市、县人民政府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住宅小区停车服务除外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5</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教育</w:t>
            </w: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公办高等教育收费标准（不含中外合作办学项目）</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省价格主管部门会同省财政部门、省教育主管部门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报省人民政府批准后执行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列入中小学用书目录的教科书和列入评议公告目录的教辅材料印张基准价及零售价格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省价格主管部门会同省委宣传部门、省教育主管部门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9"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公办普通高中、中职学校收费标准和非营利性民办普通高中、中职学校收费标准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8"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幼儿园、中小学收费标准</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市政府所在地城市的公办幼儿园、小学、初中收费标准，</w:t>
            </w:r>
            <w:r>
              <w:rPr>
                <w:rFonts w:hint="eastAsia" w:ascii="仿宋" w:hAnsi="仿宋" w:eastAsia="仿宋" w:cs="仿宋"/>
                <w:b w:val="0"/>
                <w:bCs w:val="0"/>
                <w:color w:val="333333"/>
                <w:sz w:val="21"/>
                <w:szCs w:val="21"/>
                <w:shd w:val="clear" w:fill="FFFFFF"/>
              </w:rPr>
              <w:t>非营利性民办</w:t>
            </w:r>
            <w:r>
              <w:rPr>
                <w:rFonts w:hint="eastAsia" w:ascii="仿宋" w:hAnsi="仿宋" w:eastAsia="仿宋" w:cs="仿宋"/>
                <w:b w:val="0"/>
                <w:bCs w:val="0"/>
                <w:color w:val="333333"/>
                <w:sz w:val="21"/>
                <w:szCs w:val="21"/>
              </w:rPr>
              <w:t>幼儿园（包括</w:t>
            </w:r>
            <w:r>
              <w:rPr>
                <w:rFonts w:hint="eastAsia" w:ascii="仿宋" w:hAnsi="仿宋" w:eastAsia="仿宋" w:cs="仿宋"/>
                <w:b w:val="0"/>
                <w:bCs w:val="0"/>
                <w:color w:val="333333"/>
                <w:sz w:val="21"/>
                <w:szCs w:val="21"/>
                <w:shd w:val="clear" w:fill="FFFFFF"/>
              </w:rPr>
              <w:t>普惠性民办园</w:t>
            </w:r>
            <w:r>
              <w:rPr>
                <w:rFonts w:hint="eastAsia" w:ascii="仿宋" w:hAnsi="仿宋" w:eastAsia="仿宋" w:cs="仿宋"/>
                <w:b w:val="0"/>
                <w:bCs w:val="0"/>
                <w:color w:val="333333"/>
                <w:sz w:val="21"/>
                <w:szCs w:val="21"/>
              </w:rPr>
              <w:t>）、小学、初中</w:t>
            </w:r>
            <w:r>
              <w:rPr>
                <w:rFonts w:hint="eastAsia" w:ascii="仿宋" w:hAnsi="仿宋" w:eastAsia="仿宋" w:cs="仿宋"/>
                <w:b w:val="0"/>
                <w:bCs w:val="0"/>
                <w:color w:val="333333"/>
                <w:sz w:val="21"/>
                <w:szCs w:val="21"/>
                <w:shd w:val="clear" w:fill="FFFFFF"/>
              </w:rPr>
              <w:t>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辖区内公办幼儿园、小学、初中收费标准，</w:t>
            </w:r>
            <w:r>
              <w:rPr>
                <w:rFonts w:hint="eastAsia" w:ascii="仿宋" w:hAnsi="仿宋" w:eastAsia="仿宋" w:cs="仿宋"/>
                <w:b w:val="0"/>
                <w:bCs w:val="0"/>
                <w:color w:val="333333"/>
                <w:sz w:val="21"/>
                <w:szCs w:val="21"/>
                <w:shd w:val="clear" w:fill="FFFFFF"/>
              </w:rPr>
              <w:t>非营利性民办</w:t>
            </w:r>
            <w:r>
              <w:rPr>
                <w:rFonts w:hint="eastAsia" w:ascii="仿宋" w:hAnsi="仿宋" w:eastAsia="仿宋" w:cs="仿宋"/>
                <w:b w:val="0"/>
                <w:bCs w:val="0"/>
                <w:color w:val="333333"/>
                <w:sz w:val="21"/>
                <w:szCs w:val="21"/>
              </w:rPr>
              <w:t>幼儿园（包括</w:t>
            </w:r>
            <w:r>
              <w:rPr>
                <w:rFonts w:hint="eastAsia" w:ascii="仿宋" w:hAnsi="仿宋" w:eastAsia="仿宋" w:cs="仿宋"/>
                <w:b w:val="0"/>
                <w:bCs w:val="0"/>
                <w:color w:val="333333"/>
                <w:sz w:val="21"/>
                <w:szCs w:val="21"/>
                <w:shd w:val="clear" w:fill="FFFFFF"/>
              </w:rPr>
              <w:t>普惠性民办园</w:t>
            </w:r>
            <w:r>
              <w:rPr>
                <w:rFonts w:hint="eastAsia" w:ascii="仿宋" w:hAnsi="仿宋" w:eastAsia="仿宋" w:cs="仿宋"/>
                <w:b w:val="0"/>
                <w:bCs w:val="0"/>
                <w:color w:val="333333"/>
                <w:sz w:val="21"/>
                <w:szCs w:val="21"/>
              </w:rPr>
              <w:t>）、小学、初中</w:t>
            </w:r>
            <w:r>
              <w:rPr>
                <w:rFonts w:hint="eastAsia" w:ascii="仿宋" w:hAnsi="仿宋" w:eastAsia="仿宋" w:cs="仿宋"/>
                <w:b w:val="0"/>
                <w:bCs w:val="0"/>
                <w:color w:val="333333"/>
                <w:sz w:val="21"/>
                <w:szCs w:val="21"/>
                <w:shd w:val="clear" w:fill="FFFFFF"/>
              </w:rPr>
              <w:t>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6</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养老服务</w:t>
            </w: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省级公办养老机构提供的基本服务收费标准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省价格主管部门会同省民政部门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市、县级公办养老机构提供的基本服务收费标准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授权市、县人民政府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9"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7</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殡葬服务</w:t>
            </w: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rPr>
              <w:t>市级及市政府所在地城市殡葬服务机构提供的殡葬服务、公益性公墓收费、公墓维护管理费收费标准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9"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rPr>
              <w:t>县级殡葬服务机构提供的殡葬服务、公益性公墓收费、公墓维护管理费收费标准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8</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医疗服务</w:t>
            </w:r>
          </w:p>
        </w:tc>
        <w:tc>
          <w:tcPr>
            <w:tcW w:w="2314"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rPr>
              <w:t>全省公立医疗机构医疗服务价格项目和省管公立医疗机构基本医疗服务收费标准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省医疗保障部门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rPr>
              <w:t>辖区内公立医疗机构基本医疗服务收费标准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4"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9</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环境保护</w:t>
            </w:r>
          </w:p>
        </w:tc>
        <w:tc>
          <w:tcPr>
            <w:tcW w:w="602"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污水处理</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市政府所在地城市污水处理收费标准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辖区内污水处理收费标准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2"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危险废物处置</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辖区内取得经营许可的单位对医疗废物和其他危险废物（工业危险废物和其他社会源危险废物）进行处置（不包括放射性废物）收费标准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3"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生活垃圾处理</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市政府所在地城市生活垃圾处理收费标准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建筑垃圾除外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辖区内生活垃圾处理收费标准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10</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文化旅游</w:t>
            </w:r>
          </w:p>
        </w:tc>
        <w:tc>
          <w:tcPr>
            <w:tcW w:w="602"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有线电视</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全省有线数字电视基本收视维护费收费标准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3"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旅游景区</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利用公共资源建设的重点景区门票以及景区内的交通运输服务价格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定价范围为九寨沟、黄龙、峨眉山、乐山大佛、都江堰-青城山景区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辖区内除省定重要旅游景区外，利用公共资源建设的景区门票以及景区内交通运输服务价格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授权市、县人民政府</w:t>
            </w:r>
          </w:p>
        </w:tc>
        <w:tc>
          <w:tcPr>
            <w:tcW w:w="11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其中4A级及4A级以上景区的门票以及景区交通运输服务价格授权市人民政府制定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3"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11</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保障性住房及物业服务</w:t>
            </w:r>
          </w:p>
        </w:tc>
        <w:tc>
          <w:tcPr>
            <w:tcW w:w="602"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保障性住房</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市政府所在地城市保障性住房等享受国家优惠政策的居民住宅销售价格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辖区内保障性住房等享受国家优惠政策的居民住宅销售价格</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公共租赁住房</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市政府所在地城市公共租赁住房租金标准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授权市人民政府</w:t>
            </w:r>
          </w:p>
        </w:tc>
        <w:tc>
          <w:tcPr>
            <w:tcW w:w="116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辖区内公共租赁住房租金标准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授权县人民政府</w:t>
            </w:r>
          </w:p>
        </w:tc>
        <w:tc>
          <w:tcPr>
            <w:tcW w:w="116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0"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602"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物业服务</w:t>
            </w:r>
          </w:p>
        </w:tc>
        <w:tc>
          <w:tcPr>
            <w:tcW w:w="171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辖区内保障性住房物业服务和住房前期物业服务收费标准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授权市、县人民政府</w:t>
            </w:r>
          </w:p>
        </w:tc>
        <w:tc>
          <w:tcPr>
            <w:tcW w:w="1164" w:type="pct"/>
            <w:tcBorders>
              <w:top w:val="nil"/>
              <w:left w:val="nil"/>
              <w:bottom w:val="single" w:color="auto" w:sz="8" w:space="0"/>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 w:hRule="atLeast"/>
        </w:trPr>
        <w:tc>
          <w:tcPr>
            <w:tcW w:w="290"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12</w:t>
            </w:r>
          </w:p>
        </w:tc>
        <w:tc>
          <w:tcPr>
            <w:tcW w:w="41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重要专业服务</w:t>
            </w: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垄断性交易平台服务收费标准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tcBorders>
              <w:top w:val="nil"/>
              <w:left w:val="nil"/>
              <w:bottom w:val="single" w:color="auto" w:sz="8" w:space="0"/>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定价范围为地（矿）产交易服务收费标准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04"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司法服务收费</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省价格主管部门会同省司法行政部门</w:t>
            </w:r>
          </w:p>
        </w:tc>
        <w:tc>
          <w:tcPr>
            <w:tcW w:w="1164" w:type="pct"/>
            <w:tcBorders>
              <w:top w:val="nil"/>
              <w:left w:val="nil"/>
              <w:bottom w:val="single" w:color="auto" w:sz="8" w:space="0"/>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定价范围为证明文件文书、证明法律事实2类公证服务收费，法医、物证、声像资料和环境损害4类司法鉴定服务收费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1"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高速公路清障救援服务收费</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省价格主管部门</w:t>
            </w:r>
          </w:p>
        </w:tc>
        <w:tc>
          <w:tcPr>
            <w:tcW w:w="1164" w:type="pct"/>
            <w:tcBorders>
              <w:top w:val="nil"/>
              <w:left w:val="nil"/>
              <w:bottom w:val="single" w:color="auto" w:sz="8" w:space="0"/>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定价范围为拖车费、吊车费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trPr>
        <w:tc>
          <w:tcPr>
            <w:tcW w:w="290"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41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val="0"/>
                <w:color w:val="333333"/>
                <w:sz w:val="21"/>
                <w:szCs w:val="21"/>
              </w:rPr>
            </w:pPr>
          </w:p>
        </w:tc>
        <w:tc>
          <w:tcPr>
            <w:tcW w:w="23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生猪定点屠宰服务费收费标准</w:t>
            </w:r>
          </w:p>
        </w:tc>
        <w:tc>
          <w:tcPr>
            <w:tcW w:w="8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授权市、县人民政府</w:t>
            </w:r>
          </w:p>
        </w:tc>
        <w:tc>
          <w:tcPr>
            <w:tcW w:w="1164" w:type="pct"/>
            <w:tcBorders>
              <w:top w:val="nil"/>
              <w:left w:val="nil"/>
              <w:bottom w:val="single" w:color="auto" w:sz="8" w:space="0"/>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b w:val="0"/>
                <w:bCs w:val="0"/>
                <w:sz w:val="21"/>
                <w:szCs w:val="21"/>
              </w:rPr>
            </w:pPr>
            <w:r>
              <w:rPr>
                <w:rFonts w:hint="eastAsia" w:ascii="仿宋" w:hAnsi="仿宋" w:eastAsia="仿宋" w:cs="仿宋"/>
                <w:b w:val="0"/>
                <w:bCs w:val="0"/>
                <w:color w:val="333333"/>
                <w:sz w:val="21"/>
                <w:szCs w:val="21"/>
              </w:rPr>
              <w:t>暂按现行价格政策执行，待《四川省生猪屠宰管理办法》（省政府令第244号）修订后，按新规定执行</w:t>
            </w:r>
          </w:p>
        </w:tc>
      </w:tr>
    </w:tbl>
    <w:p>
      <w:pPr>
        <w:pStyle w:val="4"/>
        <w:keepNext w:val="0"/>
        <w:keepLines w:val="0"/>
        <w:widowControl/>
        <w:suppressLineNumbers w:val="0"/>
        <w:spacing w:before="0" w:beforeAutospacing="0" w:after="0" w:afterAutospacing="0" w:line="360" w:lineRule="atLeast"/>
        <w:ind w:left="0" w:right="0" w:firstLine="480"/>
        <w:jc w:val="left"/>
        <w:textAlignment w:val="center"/>
        <w:rPr>
          <w:rFonts w:hint="eastAsia" w:ascii="黑体" w:hAnsi="黑体" w:eastAsia="黑体" w:cs="黑体"/>
          <w:sz w:val="32"/>
          <w:szCs w:val="32"/>
        </w:rPr>
      </w:pPr>
      <w:r>
        <w:rPr>
          <w:rFonts w:hint="eastAsia" w:ascii="黑体" w:hAnsi="黑体" w:eastAsia="黑体" w:cs="黑体"/>
          <w:b w:val="0"/>
          <w:bCs w:val="0"/>
          <w:i w:val="0"/>
          <w:iCs w:val="0"/>
          <w:color w:val="000000"/>
          <w:sz w:val="24"/>
          <w:szCs w:val="24"/>
          <w:shd w:val="clear" w:fill="FFFFFF"/>
        </w:rPr>
        <w:t>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2"/>
        <w:jc w:val="left"/>
        <w:textAlignment w:val="center"/>
        <w:rPr>
          <w:rFonts w:hint="default" w:ascii="Times New Roman" w:hAnsi="Times New Roman" w:cs="Times New Roman"/>
          <w:b w:val="0"/>
          <w:bCs w:val="0"/>
          <w:sz w:val="24"/>
          <w:szCs w:val="24"/>
        </w:rPr>
      </w:pPr>
      <w:r>
        <w:rPr>
          <w:rFonts w:hint="eastAsia" w:ascii="仿宋" w:hAnsi="仿宋" w:eastAsia="仿宋" w:cs="仿宋"/>
          <w:b w:val="0"/>
          <w:bCs w:val="0"/>
          <w:color w:val="000000"/>
          <w:sz w:val="21"/>
          <w:szCs w:val="21"/>
          <w:shd w:val="clear" w:fill="FFFFFF"/>
        </w:rPr>
        <w:t>一、本定价目录不包含中央定价项目内容，省内凡涉及中央定价（国家发展改革委和国务院有关部门）的定价项目、定价内容一律按中央定价目录执行。</w:t>
      </w:r>
      <w:r>
        <w:rPr>
          <w:rFonts w:hint="default" w:ascii="Times New Roman" w:hAnsi="Times New Roman" w:eastAsia="微软雅黑" w:cs="Times New Roman"/>
          <w:b w:val="0"/>
          <w:bCs w:val="0"/>
          <w:color w:val="000000"/>
          <w:sz w:val="21"/>
          <w:szCs w:val="21"/>
          <w:shd w:val="clear" w:fill="FFFFFF"/>
        </w:rPr>
        <w:br w:type="textWrapping"/>
      </w:r>
      <w:r>
        <w:rPr>
          <w:rFonts w:hint="default" w:ascii="Times New Roman" w:hAnsi="Times New Roman" w:eastAsia="微软雅黑" w:cs="Times New Roman"/>
          <w:b w:val="0"/>
          <w:bCs w:val="0"/>
          <w:color w:val="000000"/>
          <w:sz w:val="21"/>
          <w:szCs w:val="21"/>
          <w:shd w:val="clear" w:fill="FFFFFF"/>
        </w:rPr>
        <w:t>    </w:t>
      </w:r>
      <w:r>
        <w:rPr>
          <w:rFonts w:hint="eastAsia" w:ascii="仿宋" w:hAnsi="仿宋" w:eastAsia="仿宋" w:cs="仿宋"/>
          <w:b w:val="0"/>
          <w:bCs w:val="0"/>
          <w:color w:val="000000"/>
          <w:sz w:val="21"/>
          <w:szCs w:val="21"/>
          <w:shd w:val="clear" w:fill="FFFFFF"/>
        </w:rPr>
        <w:t>二、列入本目录的定价内容，包括定价项目的具体价格、收费标准、基准价及浮动幅度以及相关的定价机制、办法、规则等。对涉及民生的价格和收费，充分考虑社会承受能力，进行合理监管，保障困难群众生活。</w:t>
      </w:r>
      <w:r>
        <w:rPr>
          <w:rFonts w:hint="default" w:ascii="Times New Roman" w:hAnsi="Times New Roman" w:eastAsia="微软雅黑" w:cs="Times New Roman"/>
          <w:b w:val="0"/>
          <w:bCs w:val="0"/>
          <w:color w:val="000000"/>
          <w:sz w:val="21"/>
          <w:szCs w:val="21"/>
          <w:shd w:val="clear" w:fill="FFFFFF"/>
        </w:rPr>
        <w:br w:type="textWrapping"/>
      </w:r>
      <w:r>
        <w:rPr>
          <w:rFonts w:hint="default" w:ascii="Times New Roman" w:hAnsi="Times New Roman" w:eastAsia="微软雅黑" w:cs="Times New Roman"/>
          <w:b w:val="0"/>
          <w:bCs w:val="0"/>
          <w:color w:val="000000"/>
          <w:sz w:val="21"/>
          <w:szCs w:val="21"/>
          <w:shd w:val="clear" w:fill="FFFFFF"/>
        </w:rPr>
        <w:t>    </w:t>
      </w:r>
      <w:r>
        <w:rPr>
          <w:rFonts w:hint="eastAsia" w:ascii="仿宋" w:hAnsi="仿宋" w:eastAsia="仿宋" w:cs="仿宋"/>
          <w:b w:val="0"/>
          <w:bCs w:val="0"/>
          <w:color w:val="000000"/>
          <w:sz w:val="21"/>
          <w:szCs w:val="21"/>
          <w:shd w:val="clear" w:fill="FFFFFF"/>
        </w:rPr>
        <w:t>三、法律、行政法规明确规定实行政府定价、政府指导价的项目，自动进入本目录；法律、行政法规明确规定实行市场调节价的项目，自动退出本目录。根据价格领域简政放权、放管结合、优化服务等改革进展，定期修订本目录。</w:t>
      </w:r>
      <w:r>
        <w:rPr>
          <w:rFonts w:hint="default" w:ascii="Times New Roman" w:hAnsi="Times New Roman" w:eastAsia="微软雅黑" w:cs="Times New Roman"/>
          <w:b w:val="0"/>
          <w:bCs w:val="0"/>
          <w:color w:val="000000"/>
          <w:sz w:val="21"/>
          <w:szCs w:val="21"/>
          <w:shd w:val="clear" w:fill="FFFFFF"/>
        </w:rPr>
        <w:br w:type="textWrapping"/>
      </w:r>
      <w:r>
        <w:rPr>
          <w:rFonts w:hint="default" w:ascii="Times New Roman" w:hAnsi="Times New Roman" w:eastAsia="微软雅黑" w:cs="Times New Roman"/>
          <w:b w:val="0"/>
          <w:bCs w:val="0"/>
          <w:color w:val="000000"/>
          <w:sz w:val="21"/>
          <w:szCs w:val="21"/>
          <w:shd w:val="clear" w:fill="FFFFFF"/>
        </w:rPr>
        <w:t>    </w:t>
      </w:r>
      <w:r>
        <w:rPr>
          <w:rFonts w:hint="eastAsia" w:ascii="仿宋" w:hAnsi="仿宋" w:eastAsia="仿宋" w:cs="仿宋"/>
          <w:b w:val="0"/>
          <w:bCs w:val="0"/>
          <w:color w:val="000000"/>
          <w:sz w:val="21"/>
          <w:szCs w:val="21"/>
          <w:shd w:val="clear" w:fill="FFFFFF"/>
        </w:rPr>
        <w:t>四、本定价目录所称</w:t>
      </w:r>
      <w:r>
        <w:rPr>
          <w:rFonts w:hint="default" w:ascii="Times New Roman" w:hAnsi="Times New Roman" w:eastAsia="微软雅黑" w:cs="Times New Roman"/>
          <w:b w:val="0"/>
          <w:bCs w:val="0"/>
          <w:color w:val="000000"/>
          <w:sz w:val="21"/>
          <w:szCs w:val="21"/>
          <w:shd w:val="clear" w:fill="FFFFFF"/>
        </w:rPr>
        <w:t>“</w:t>
      </w:r>
      <w:r>
        <w:rPr>
          <w:rFonts w:hint="eastAsia" w:ascii="仿宋" w:hAnsi="仿宋" w:eastAsia="仿宋" w:cs="仿宋"/>
          <w:b w:val="0"/>
          <w:bCs w:val="0"/>
          <w:color w:val="000000"/>
          <w:sz w:val="21"/>
          <w:szCs w:val="21"/>
          <w:shd w:val="clear" w:fill="FFFFFF"/>
        </w:rPr>
        <w:t>市</w:t>
      </w:r>
      <w:r>
        <w:rPr>
          <w:rFonts w:hint="default" w:ascii="Times New Roman" w:hAnsi="Times New Roman" w:eastAsia="微软雅黑" w:cs="Times New Roman"/>
          <w:b w:val="0"/>
          <w:bCs w:val="0"/>
          <w:color w:val="000000"/>
          <w:sz w:val="21"/>
          <w:szCs w:val="21"/>
          <w:shd w:val="clear" w:fill="FFFFFF"/>
        </w:rPr>
        <w:t>”</w:t>
      </w:r>
      <w:r>
        <w:rPr>
          <w:rFonts w:hint="eastAsia" w:ascii="仿宋" w:hAnsi="仿宋" w:eastAsia="仿宋" w:cs="仿宋"/>
          <w:b w:val="0"/>
          <w:bCs w:val="0"/>
          <w:color w:val="000000"/>
          <w:sz w:val="21"/>
          <w:szCs w:val="21"/>
          <w:shd w:val="clear" w:fill="FFFFFF"/>
        </w:rPr>
        <w:t>指设区市、自治州，</w:t>
      </w:r>
      <w:r>
        <w:rPr>
          <w:rFonts w:hint="default" w:ascii="Times New Roman" w:hAnsi="Times New Roman" w:eastAsia="微软雅黑" w:cs="Times New Roman"/>
          <w:b w:val="0"/>
          <w:bCs w:val="0"/>
          <w:color w:val="000000"/>
          <w:sz w:val="21"/>
          <w:szCs w:val="21"/>
          <w:shd w:val="clear" w:fill="FFFFFF"/>
        </w:rPr>
        <w:t>“</w:t>
      </w:r>
      <w:r>
        <w:rPr>
          <w:rFonts w:hint="eastAsia" w:ascii="仿宋" w:hAnsi="仿宋" w:eastAsia="仿宋" w:cs="仿宋"/>
          <w:b w:val="0"/>
          <w:bCs w:val="0"/>
          <w:color w:val="000000"/>
          <w:sz w:val="21"/>
          <w:szCs w:val="21"/>
          <w:shd w:val="clear" w:fill="FFFFFF"/>
        </w:rPr>
        <w:t>县</w:t>
      </w:r>
      <w:r>
        <w:rPr>
          <w:rFonts w:hint="default" w:ascii="Times New Roman" w:hAnsi="Times New Roman" w:eastAsia="微软雅黑" w:cs="Times New Roman"/>
          <w:b w:val="0"/>
          <w:bCs w:val="0"/>
          <w:color w:val="000000"/>
          <w:sz w:val="21"/>
          <w:szCs w:val="21"/>
          <w:shd w:val="clear" w:fill="FFFFFF"/>
        </w:rPr>
        <w:t>”</w:t>
      </w:r>
      <w:r>
        <w:rPr>
          <w:rFonts w:hint="eastAsia" w:ascii="仿宋" w:hAnsi="仿宋" w:eastAsia="仿宋" w:cs="仿宋"/>
          <w:b w:val="0"/>
          <w:bCs w:val="0"/>
          <w:color w:val="000000"/>
          <w:sz w:val="21"/>
          <w:szCs w:val="21"/>
          <w:shd w:val="clear" w:fill="FFFFFF"/>
        </w:rPr>
        <w:t>指县及县级市。由县及县级市改革为区的，比照行使</w:t>
      </w:r>
      <w:r>
        <w:rPr>
          <w:rFonts w:hint="default" w:ascii="Times New Roman" w:hAnsi="Times New Roman" w:eastAsia="微软雅黑" w:cs="Times New Roman"/>
          <w:b w:val="0"/>
          <w:bCs w:val="0"/>
          <w:color w:val="000000"/>
          <w:sz w:val="21"/>
          <w:szCs w:val="21"/>
          <w:shd w:val="clear" w:fill="FFFFFF"/>
        </w:rPr>
        <w:t>“</w:t>
      </w:r>
      <w:r>
        <w:rPr>
          <w:rFonts w:hint="eastAsia" w:ascii="仿宋" w:hAnsi="仿宋" w:eastAsia="仿宋" w:cs="仿宋"/>
          <w:b w:val="0"/>
          <w:bCs w:val="0"/>
          <w:color w:val="000000"/>
          <w:sz w:val="21"/>
          <w:szCs w:val="21"/>
          <w:shd w:val="clear" w:fill="FFFFFF"/>
        </w:rPr>
        <w:t>县</w:t>
      </w:r>
      <w:r>
        <w:rPr>
          <w:rFonts w:hint="default" w:ascii="Times New Roman" w:hAnsi="Times New Roman" w:eastAsia="微软雅黑" w:cs="Times New Roman"/>
          <w:b w:val="0"/>
          <w:bCs w:val="0"/>
          <w:color w:val="000000"/>
          <w:sz w:val="21"/>
          <w:szCs w:val="21"/>
          <w:shd w:val="clear" w:fill="FFFFFF"/>
        </w:rPr>
        <w:t>”</w:t>
      </w:r>
      <w:r>
        <w:rPr>
          <w:rFonts w:hint="eastAsia" w:ascii="仿宋" w:hAnsi="仿宋" w:eastAsia="仿宋" w:cs="仿宋"/>
          <w:b w:val="0"/>
          <w:bCs w:val="0"/>
          <w:color w:val="000000"/>
          <w:sz w:val="21"/>
          <w:szCs w:val="21"/>
          <w:shd w:val="clear" w:fill="FFFFFF"/>
        </w:rPr>
        <w:t>的管理权限。授权部分市辖区人民政府实施本定价目录的部分定价权限，由省价格主管部门根据本定价目录另行确定。授权市、县、区人民政府制定在本地区执行的政府定价、政府指导价，由本级政府价格主管部门或明确的行业主管部门承担具体工作。</w:t>
      </w:r>
      <w:r>
        <w:rPr>
          <w:rFonts w:hint="default" w:ascii="Times New Roman" w:hAnsi="Times New Roman" w:eastAsia="微软雅黑" w:cs="Times New Roman"/>
          <w:b w:val="0"/>
          <w:bCs w:val="0"/>
          <w:color w:val="000000"/>
          <w:sz w:val="21"/>
          <w:szCs w:val="21"/>
          <w:shd w:val="clear" w:fill="FFFFFF"/>
        </w:rPr>
        <w:br w:type="textWrapping"/>
      </w:r>
      <w:r>
        <w:rPr>
          <w:rFonts w:hint="default" w:ascii="Times New Roman" w:hAnsi="Times New Roman" w:eastAsia="微软雅黑" w:cs="Times New Roman"/>
          <w:b w:val="0"/>
          <w:bCs w:val="0"/>
          <w:color w:val="000000"/>
          <w:sz w:val="21"/>
          <w:szCs w:val="21"/>
          <w:shd w:val="clear" w:fill="FFFFFF"/>
        </w:rPr>
        <w:t>    </w:t>
      </w:r>
      <w:r>
        <w:rPr>
          <w:rFonts w:hint="eastAsia" w:ascii="仿宋" w:hAnsi="仿宋" w:eastAsia="仿宋" w:cs="仿宋"/>
          <w:b w:val="0"/>
          <w:bCs w:val="0"/>
          <w:color w:val="000000"/>
          <w:sz w:val="21"/>
          <w:szCs w:val="21"/>
          <w:shd w:val="clear" w:fill="FFFFFF"/>
        </w:rPr>
        <w:t>五、尚未通过市场交易形成价格的在省内消纳的水电、气电等电量上网电价由省价格主管部门制定，中央另有规定的除外；尚未通过市场交易形成价格的销售电价暂按现行办法管理，视电力市场化改革进程适时放开由市场形成。居民、农业等优先购电电量的销售电价，由国务院价格主管部门制定定价原则和总体水平，省价格主管部门制定具体价格水平。高可靠性供电费、系统备用费、岸电服务费暂按现行办法管理，由省价格主管部门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2"/>
        <w:jc w:val="left"/>
        <w:textAlignment w:val="center"/>
        <w:rPr>
          <w:rFonts w:hint="default" w:ascii="Times New Roman" w:hAnsi="Times New Roman" w:cs="Times New Roman"/>
          <w:b w:val="0"/>
          <w:bCs w:val="0"/>
          <w:sz w:val="24"/>
          <w:szCs w:val="24"/>
        </w:rPr>
      </w:pPr>
      <w:r>
        <w:rPr>
          <w:rFonts w:hint="eastAsia" w:ascii="仿宋" w:hAnsi="仿宋" w:eastAsia="仿宋" w:cs="仿宋"/>
          <w:b w:val="0"/>
          <w:bCs w:val="0"/>
          <w:color w:val="000000"/>
          <w:sz w:val="21"/>
          <w:szCs w:val="21"/>
          <w:shd w:val="clear" w:fill="FFFFFF"/>
        </w:rPr>
        <w:t>六、车用压缩天然气（CNG）销售价格暂授权市人民政府管理，条件成熟后适时放开。城镇燃气企业供CNG加气站的配气价格授权市、县人民政府制定（由市、县价格主管部门负责具体工作）。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2"/>
        <w:jc w:val="left"/>
        <w:textAlignment w:val="center"/>
        <w:rPr>
          <w:rFonts w:hint="default" w:ascii="Times New Roman" w:hAnsi="Times New Roman" w:cs="Times New Roman"/>
          <w:b w:val="0"/>
          <w:bCs w:val="0"/>
          <w:sz w:val="24"/>
          <w:szCs w:val="24"/>
        </w:rPr>
      </w:pPr>
      <w:r>
        <w:rPr>
          <w:rFonts w:hint="eastAsia" w:ascii="仿宋" w:hAnsi="仿宋" w:eastAsia="仿宋" w:cs="仿宋"/>
          <w:b w:val="0"/>
          <w:bCs w:val="0"/>
          <w:color w:val="000000"/>
          <w:sz w:val="21"/>
          <w:szCs w:val="21"/>
          <w:shd w:val="clear" w:fill="FFFFFF"/>
        </w:rPr>
        <w:t>七、成品油价格暂按现行办法管理。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2"/>
        <w:jc w:val="left"/>
        <w:textAlignment w:val="center"/>
        <w:rPr>
          <w:b w:val="0"/>
          <w:bCs w:val="0"/>
        </w:rPr>
      </w:pPr>
      <w:r>
        <w:rPr>
          <w:rFonts w:hint="eastAsia" w:ascii="仿宋" w:hAnsi="仿宋" w:eastAsia="仿宋" w:cs="仿宋"/>
          <w:b w:val="0"/>
          <w:bCs w:val="0"/>
          <w:color w:val="000000"/>
          <w:sz w:val="21"/>
          <w:szCs w:val="21"/>
          <w:shd w:val="clear" w:fill="FFFFFF"/>
        </w:rPr>
        <w:t>八、行政事业性收费项目和标准的审批属于政府内部审批事项，继续按现行办法管理。</w:t>
      </w: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Consolas">
    <w:altName w:val="Lucida Console"/>
    <w:panose1 w:val="020B0609020204030204"/>
    <w:charset w:val="00"/>
    <w:family w:val="auto"/>
    <w:pitch w:val="default"/>
    <w:sig w:usb0="00000000" w:usb1="00000000" w:usb2="00000009" w:usb3="00000000" w:csb0="6000019F" w:csb1="DFD7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  \* MERGEFORMAT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  \* MERGEFORMAT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NjlhM2NkYzM4NDU0MDAxZGFmOWM3NTk4M2ZkZjAifQ=="/>
  </w:docVars>
  <w:rsids>
    <w:rsidRoot w:val="23DC1E0C"/>
    <w:rsid w:val="021C66EF"/>
    <w:rsid w:val="040F3E66"/>
    <w:rsid w:val="0B6A6C30"/>
    <w:rsid w:val="0C7E4E52"/>
    <w:rsid w:val="10FA5859"/>
    <w:rsid w:val="1C422BD3"/>
    <w:rsid w:val="23DC1E0C"/>
    <w:rsid w:val="266A0890"/>
    <w:rsid w:val="2C660DE9"/>
    <w:rsid w:val="337B0E24"/>
    <w:rsid w:val="39033871"/>
    <w:rsid w:val="3FFD7A88"/>
    <w:rsid w:val="45BC1CDC"/>
    <w:rsid w:val="47282841"/>
    <w:rsid w:val="4C9E7DEF"/>
    <w:rsid w:val="4CF51FF4"/>
    <w:rsid w:val="4CF805A8"/>
    <w:rsid w:val="50591CBD"/>
    <w:rsid w:val="52224331"/>
    <w:rsid w:val="52E32FE8"/>
    <w:rsid w:val="5DB332B9"/>
    <w:rsid w:val="5EE7291C"/>
    <w:rsid w:val="5F2D4A41"/>
    <w:rsid w:val="6426760F"/>
    <w:rsid w:val="649829A9"/>
    <w:rsid w:val="6B2643DC"/>
    <w:rsid w:val="71B23496"/>
    <w:rsid w:val="799D6525"/>
    <w:rsid w:val="FEB58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00"/>
      <w:u w:val="none"/>
    </w:rPr>
  </w:style>
  <w:style w:type="character" w:styleId="14">
    <w:name w:val="HTML Code"/>
    <w:basedOn w:val="6"/>
    <w:qFormat/>
    <w:uiPriority w:val="0"/>
    <w:rPr>
      <w:rFonts w:ascii="Consolas" w:hAnsi="Consolas" w:eastAsia="Consolas" w:cs="Consolas"/>
      <w:color w:val="C7254E"/>
      <w:sz w:val="21"/>
      <w:szCs w:val="21"/>
      <w:shd w:val="clear" w:fill="F9F2F4"/>
    </w:rPr>
  </w:style>
  <w:style w:type="character" w:styleId="15">
    <w:name w:val="HTML Cite"/>
    <w:basedOn w:val="6"/>
    <w:qFormat/>
    <w:uiPriority w:val="0"/>
  </w:style>
  <w:style w:type="character" w:styleId="16">
    <w:name w:val="HTML Keyboard"/>
    <w:basedOn w:val="6"/>
    <w:qFormat/>
    <w:uiPriority w:val="0"/>
    <w:rPr>
      <w:rFonts w:hint="default" w:ascii="Consolas" w:hAnsi="Consolas" w:eastAsia="Consolas" w:cs="Consolas"/>
      <w:color w:val="FFFFFF"/>
      <w:sz w:val="21"/>
      <w:szCs w:val="21"/>
      <w:shd w:val="clear" w:fill="333333"/>
    </w:rPr>
  </w:style>
  <w:style w:type="character" w:styleId="17">
    <w:name w:val="HTML Sample"/>
    <w:basedOn w:val="6"/>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3283</Words>
  <Characters>3338</Characters>
  <Lines>0</Lines>
  <Paragraphs>0</Paragraphs>
  <TotalTime>63</TotalTime>
  <ScaleCrop>false</ScaleCrop>
  <LinksUpToDate>false</LinksUpToDate>
  <CharactersWithSpaces>3338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2021-12-07T08:53:00Z</dcterms:created>
  <dc:creator>EASYCOMEEASY</dc:creator>
  <cp:lastModifiedBy>user</cp:lastModifiedBy>
  <dcterms:modified xsi:type="dcterms:W3CDTF">2023-03-15T16:16:59Z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A5FE351DCAB64B3EBD7434C48E43D320</vt:lpwstr>
  </property>
</Properties>
</file>