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pStyle w:val="2"/>
        <w:rPr>
          <w:rFonts w:ascii="方正小标宋简体" w:hAnsi="宋体" w:eastAsia="方正小标宋简体"/>
          <w:color w:val="000000"/>
          <w:sz w:val="72"/>
          <w:szCs w:val="72"/>
        </w:rPr>
      </w:pPr>
    </w:p>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黑体" w:hAnsi="黑体" w:eastAsia="黑体" w:cs="黑体"/>
          <w:color w:val="000000"/>
          <w:sz w:val="72"/>
          <w:szCs w:val="72"/>
        </w:rPr>
      </w:pPr>
      <w:bookmarkStart w:id="1" w:name="_Toc15377193"/>
      <w:bookmarkStart w:id="2" w:name="_Toc15396475"/>
      <w:bookmarkStart w:id="3" w:name="_Toc15377425"/>
      <w:bookmarkStart w:id="4" w:name="_Toc15396597"/>
      <w:bookmarkStart w:id="5" w:name="_Toc15378441"/>
      <w:r>
        <w:rPr>
          <w:rFonts w:hint="eastAsia" w:ascii="黑体" w:hAnsi="黑体" w:eastAsia="黑体" w:cs="黑体"/>
          <w:color w:val="000000"/>
          <w:sz w:val="72"/>
          <w:szCs w:val="72"/>
        </w:rPr>
        <w:t>2020年度</w:t>
      </w:r>
      <w:bookmarkEnd w:id="1"/>
      <w:bookmarkEnd w:id="2"/>
      <w:bookmarkEnd w:id="3"/>
      <w:bookmarkEnd w:id="4"/>
      <w:bookmarkEnd w:id="5"/>
    </w:p>
    <w:p>
      <w:pPr>
        <w:adjustRightInd w:val="0"/>
        <w:snapToGrid w:val="0"/>
        <w:spacing w:line="360" w:lineRule="auto"/>
        <w:jc w:val="center"/>
        <w:outlineLvl w:val="0"/>
        <w:rPr>
          <w:rFonts w:hint="eastAsia" w:ascii="黑体" w:hAnsi="黑体" w:eastAsia="黑体" w:cs="黑体"/>
          <w:b/>
          <w:bCs/>
          <w:color w:val="000000"/>
          <w:sz w:val="72"/>
          <w:szCs w:val="72"/>
        </w:rPr>
      </w:pPr>
      <w:bookmarkStart w:id="6" w:name="_Toc15377426"/>
      <w:bookmarkStart w:id="7" w:name="_Toc15396476"/>
      <w:bookmarkStart w:id="8" w:name="_Toc15377194"/>
      <w:bookmarkStart w:id="9" w:name="_Toc15378442"/>
      <w:bookmarkStart w:id="10" w:name="_Toc15396598"/>
      <w:r>
        <w:rPr>
          <w:rFonts w:hint="eastAsia" w:ascii="黑体" w:hAnsi="黑体" w:eastAsia="黑体" w:cs="黑体"/>
          <w:b/>
          <w:bCs/>
          <w:color w:val="000000"/>
          <w:sz w:val="72"/>
          <w:szCs w:val="72"/>
        </w:rPr>
        <w:t>四川省</w:t>
      </w:r>
      <w:bookmarkEnd w:id="0"/>
      <w:bookmarkStart w:id="11" w:name="_Toc15306268"/>
      <w:r>
        <w:rPr>
          <w:rFonts w:hint="eastAsia" w:ascii="黑体" w:hAnsi="黑体" w:eastAsia="黑体" w:cs="黑体"/>
          <w:b/>
          <w:bCs/>
          <w:color w:val="000000"/>
          <w:sz w:val="72"/>
          <w:szCs w:val="72"/>
        </w:rPr>
        <w:t>广元市朝天区</w:t>
      </w:r>
      <w:r>
        <w:rPr>
          <w:rFonts w:hint="eastAsia" w:ascii="黑体" w:hAnsi="黑体" w:eastAsia="黑体" w:cs="黑体"/>
          <w:b/>
          <w:bCs/>
          <w:color w:val="000000"/>
          <w:sz w:val="72"/>
          <w:szCs w:val="72"/>
          <w:lang w:eastAsia="zh-CN"/>
        </w:rPr>
        <w:t>中子</w:t>
      </w:r>
      <w:r>
        <w:rPr>
          <w:rFonts w:hint="eastAsia" w:ascii="黑体" w:hAnsi="黑体" w:eastAsia="黑体" w:cs="黑体"/>
          <w:b/>
          <w:bCs/>
          <w:color w:val="000000"/>
          <w:sz w:val="72"/>
          <w:szCs w:val="72"/>
        </w:rPr>
        <w:t>镇人民政府部门决算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Style w:val="12"/>
        <w:rPr>
          <w:rFonts w:hint="eastAsia"/>
        </w:rPr>
      </w:pPr>
    </w:p>
    <w:p>
      <w:pPr>
        <w:pStyle w:val="12"/>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30</w:t>
      </w:r>
      <w:r>
        <w:rPr>
          <w:rFonts w:hint="eastAsia"/>
        </w:rPr>
        <w:t>日</w:t>
      </w:r>
    </w:p>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第一部分 部门概况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一、基本职能及主要工作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第二部分</w:t>
      </w:r>
      <w:r>
        <w:rPr>
          <w:rFonts w:hint="eastAsia" w:ascii="仿宋_GB2312" w:hAnsi="仿宋_GB2312" w:eastAsia="仿宋_GB2312" w:cs="仿宋_GB2312"/>
          <w:sz w:val="28"/>
          <w:szCs w:val="28"/>
          <w:lang w:val="en-US" w:eastAsia="zh-CN"/>
        </w:rPr>
        <w:t>2019</w:t>
      </w:r>
      <w:r>
        <w:rPr>
          <w:rFonts w:hint="eastAsia" w:ascii="仿宋_GB2312" w:hAnsi="仿宋_GB2312" w:eastAsia="仿宋_GB2312" w:cs="仿宋_GB2312"/>
          <w:sz w:val="28"/>
          <w:szCs w:val="28"/>
        </w:rPr>
        <w:t>度部门决算情况说明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一、收入支出决算总体情况说明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二、收入决算情况说明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三、支出决算情况说明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四、财政拨款收入支出决算总体情况说明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五、一般公共预算财政拨款支出决算情况说明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六、一般公共预算财政拨款基本支出决算情况说明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七、“三公”经费财政拨款支出决算情况说明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14</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八、政府性基金预算支出决算情况说明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w:t>
      </w:r>
    </w:p>
    <w:p>
      <w:pPr>
        <w:pStyle w:val="13"/>
        <w:keepNext w:val="0"/>
        <w:keepLines w:val="0"/>
        <w:pageBreakBefore w:val="0"/>
        <w:widowControl w:val="0"/>
        <w:kinsoku/>
        <w:wordWrap/>
        <w:overflowPunct/>
        <w:topLinePunct w:val="0"/>
        <w:autoSpaceDE/>
        <w:autoSpaceDN/>
        <w:bidi w:val="0"/>
        <w:adjustRightInd w:val="0"/>
        <w:snapToGrid w:val="0"/>
        <w:spacing w:line="560" w:lineRule="exact"/>
        <w:ind w:left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 国有资本经营预算支出决算情况说明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w:t>
      </w:r>
    </w:p>
    <w:p>
      <w:pPr>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jc w:val="left"/>
        <w:textAlignment w:val="auto"/>
        <w:rPr>
          <w:rFonts w:hint="default" w:ascii="仿宋_GB2312" w:hAnsi="仿宋_GB2312" w:eastAsia="仿宋_GB2312" w:cs="仿宋_GB2312"/>
          <w:sz w:val="28"/>
          <w:szCs w:val="28"/>
          <w:lang w:val="en-US" w:eastAsia="zh-CN"/>
        </w:rPr>
      </w:pPr>
      <w:r>
        <w:rPr>
          <w:rStyle w:val="18"/>
          <w:rFonts w:hint="eastAsia" w:ascii="仿宋_GB2312" w:hAnsi="仿宋_GB2312" w:eastAsia="仿宋_GB2312" w:cs="仿宋_GB2312"/>
          <w:color w:val="000000" w:themeColor="text1"/>
          <w:sz w:val="28"/>
          <w:szCs w:val="28"/>
          <w:u w:val="none"/>
          <w14:textFill>
            <w14:solidFill>
              <w14:schemeClr w14:val="tx1"/>
            </w14:solidFill>
          </w14:textFill>
        </w:rPr>
        <w:t>十、</w:t>
      </w:r>
      <w:r>
        <w:rPr>
          <w:rFonts w:hint="eastAsia" w:ascii="仿宋_GB2312" w:hAnsi="仿宋_GB2312" w:eastAsia="仿宋_GB2312" w:cs="仿宋_GB2312"/>
          <w:sz w:val="28"/>
          <w:szCs w:val="28"/>
        </w:rPr>
        <w:t>其他重要事项的情况说明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16</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第三部分 名词解释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21</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第四部分 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25</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25</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32</w:t>
      </w:r>
    </w:p>
    <w:p>
      <w:pPr>
        <w:pStyle w:val="12"/>
        <w:keepNext w:val="0"/>
        <w:keepLines w:val="0"/>
        <w:pageBreakBefore w:val="0"/>
        <w:widowControl w:val="0"/>
        <w:kinsoku/>
        <w:wordWrap/>
        <w:overflowPunct/>
        <w:topLinePunct w:val="0"/>
        <w:autoSpaceDE/>
        <w:autoSpaceDN/>
        <w:bidi w:val="0"/>
        <w:adjustRightInd w:val="0"/>
        <w:snapToGrid w:val="0"/>
        <w:spacing w:before="0"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第五部分 附表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33</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一、收入支出决算总表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二、收入决算表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bookmarkStart w:id="12" w:name="_Toc15377196"/>
      <w:bookmarkStart w:id="13" w:name="_Toc15396599"/>
      <w:r>
        <w:rPr>
          <w:rFonts w:hint="eastAsia" w:ascii="仿宋_GB2312" w:hAnsi="仿宋_GB2312" w:eastAsia="仿宋_GB2312" w:cs="仿宋_GB2312"/>
          <w:sz w:val="28"/>
          <w:szCs w:val="28"/>
        </w:rPr>
        <w:t>三、支出决算表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四、财政拨款收入支出决算总表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五、财政拨款支出决算明细表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六、一般公共预算财政拨款支出决算表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rPr>
        <w:t>七、一般公共预算财政拨款支出决算明细表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八、一般公共预算财政拨款基本支出决算表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九、一般公共预算财政拨款项目支出决算表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十、一般公共预算财政拨款“三公”经费支出决算表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十一、政府性基金预算财政拨款收入支出决算表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十二、政府性基金预算财政拨款“三公”经费支出决算表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13"/>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十三、国有资本经营预算支出决算表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38</w:t>
      </w:r>
    </w:p>
    <w:p>
      <w:pPr>
        <w:pStyle w:val="4"/>
        <w:keepNext/>
        <w:keepLines/>
        <w:pageBreakBefore w:val="0"/>
        <w:widowControl w:val="0"/>
        <w:kinsoku/>
        <w:wordWrap/>
        <w:overflowPunct/>
        <w:topLinePunct w:val="0"/>
        <w:autoSpaceDE/>
        <w:autoSpaceDN/>
        <w:bidi w:val="0"/>
        <w:adjustRightInd/>
        <w:snapToGrid/>
        <w:spacing w:before="0" w:after="0" w:line="579" w:lineRule="auto"/>
        <w:ind w:left="0" w:leftChars="0" w:firstLine="420" w:firstLineChars="150"/>
        <w:jc w:val="both"/>
        <w:textAlignment w:val="auto"/>
        <w:rPr>
          <w:rFonts w:hint="default" w:ascii="仿宋_GB2312" w:hAnsi="仿宋_GB2312" w:eastAsia="仿宋_GB2312" w:cs="仿宋_GB2312"/>
          <w:b w:val="0"/>
          <w:bCs w:val="0"/>
          <w:kern w:val="2"/>
          <w:sz w:val="28"/>
          <w:szCs w:val="28"/>
          <w:lang w:val="en-US" w:eastAsia="zh-CN" w:bidi="ar-SA"/>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仿宋_GB2312" w:hAnsi="仿宋_GB2312" w:eastAsia="仿宋_GB2312" w:cs="仿宋_GB2312"/>
          <w:b w:val="0"/>
          <w:bCs w:val="0"/>
          <w:kern w:val="2"/>
          <w:sz w:val="28"/>
          <w:szCs w:val="28"/>
          <w:lang w:val="en-US" w:eastAsia="zh-CN" w:bidi="ar-SA"/>
        </w:rPr>
        <w:t>十四、国有资本经营预算财政拨款支出决算表…………………38</w:t>
      </w:r>
    </w:p>
    <w:p>
      <w:pPr>
        <w:pStyle w:val="4"/>
        <w:jc w:val="center"/>
        <w:rPr>
          <w:rStyle w:val="19"/>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5"/>
        <w:keepNext/>
        <w:keepLines/>
        <w:pageBreakBefore w:val="0"/>
        <w:widowControl w:val="0"/>
        <w:kinsoku/>
        <w:wordWrap/>
        <w:overflowPunct/>
        <w:topLinePunct w:val="0"/>
        <w:autoSpaceDE/>
        <w:autoSpaceDN/>
        <w:bidi w:val="0"/>
        <w:adjustRightInd/>
        <w:snapToGrid/>
        <w:spacing w:before="0" w:after="0" w:line="560" w:lineRule="exact"/>
        <w:textAlignment w:val="auto"/>
        <w:rPr>
          <w:rStyle w:val="20"/>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4"/>
      <w:bookmarkEnd w:id="15"/>
    </w:p>
    <w:p>
      <w:pPr>
        <w:pStyle w:val="7"/>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(6)加强镇级财政的监督和管理，按计划组织、管理镇财政收入和支出，执行国家有关财经纪律和政策，保证国家财政收入的完成;做好统计工作。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(7)指导、支持、帮助村(居)民委员会的组织制度建设和业务建设，促进村(居)民委员会民主自治。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(8)制定和组织实施镇村建设规划;加强公用、市政设施、水利建设和管理以及房屋土地管理和环境综合整治工作，保护和改善生活环境和生态环境。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(9)协助和支持设置在本行政区域内不隶属于镇的国家机关和企事业单位工作，监督其遵守和执行国家的法律、法规和政策。</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（10）承办区委、区政府及上级主管部门交办的其他事项。</w:t>
      </w:r>
    </w:p>
    <w:p>
      <w:pPr>
        <w:pStyle w:val="7"/>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18" w:name="_Toc15378446"/>
      <w:bookmarkStart w:id="19" w:name="_Toc15377199"/>
      <w:r>
        <w:rPr>
          <w:rFonts w:hint="eastAsia" w:ascii="仿宋" w:hAnsi="仿宋" w:eastAsia="仿宋" w:cs="仿宋"/>
          <w:bCs/>
          <w:color w:val="000000"/>
          <w:sz w:val="32"/>
          <w:szCs w:val="32"/>
        </w:rPr>
        <w:t>（二）2020年重点工作完成情况。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lang w:val="en-US" w:eastAsia="zh-CN"/>
        </w:rPr>
        <w:t>2020年以来，镇党委政府坚持</w:t>
      </w:r>
      <w:r>
        <w:rPr>
          <w:rFonts w:hint="eastAsia" w:ascii="仿宋" w:hAnsi="仿宋" w:eastAsia="仿宋" w:cs="仿宋"/>
          <w:bCs/>
          <w:color w:val="auto"/>
          <w:sz w:val="32"/>
          <w:szCs w:val="32"/>
          <w:lang w:val="en-US" w:eastAsia="zh-CN"/>
        </w:rPr>
        <w:t>以习近平新时代中国特色社会主义思想为指引，</w:t>
      </w:r>
      <w:r>
        <w:rPr>
          <w:rFonts w:hint="eastAsia" w:ascii="仿宋" w:hAnsi="仿宋" w:eastAsia="仿宋" w:cs="仿宋"/>
          <w:sz w:val="32"/>
          <w:szCs w:val="32"/>
          <w:lang w:eastAsia="zh-CN"/>
        </w:rPr>
        <w:t>全面</w:t>
      </w:r>
      <w:r>
        <w:rPr>
          <w:rFonts w:hint="eastAsia" w:ascii="仿宋" w:hAnsi="仿宋" w:eastAsia="仿宋" w:cs="仿宋"/>
          <w:sz w:val="32"/>
          <w:szCs w:val="32"/>
        </w:rPr>
        <w:t>贯彻落实中央、省、市、区各项决策部署，特别是区委七届十次、十一次全会和区“两会”精神，</w:t>
      </w:r>
      <w:r>
        <w:rPr>
          <w:rFonts w:hint="eastAsia" w:ascii="仿宋" w:hAnsi="仿宋" w:eastAsia="仿宋" w:cs="仿宋"/>
          <w:sz w:val="32"/>
          <w:szCs w:val="32"/>
          <w:lang w:eastAsia="zh-CN"/>
        </w:rPr>
        <w:t>围绕建成“朝天经济和城市副中心，对外开放桥头堡”目标定位，紧扣全镇“11333”工作思路，坚持“振兴乡村立镇、新型工业强镇、文商融合兴镇”，坚决打赢全面小康“三大攻坚战”，全力决胜经济建设“三大主战场”，持续深化“三大发展保障”，</w:t>
      </w:r>
      <w:r>
        <w:rPr>
          <w:rFonts w:hint="eastAsia" w:ascii="仿宋" w:hAnsi="仿宋" w:eastAsia="仿宋" w:cs="仿宋"/>
          <w:sz w:val="32"/>
          <w:szCs w:val="32"/>
        </w:rPr>
        <w:t>专注发展定力、保持</w:t>
      </w:r>
      <w:r>
        <w:rPr>
          <w:rFonts w:hint="eastAsia" w:ascii="仿宋" w:hAnsi="仿宋" w:eastAsia="仿宋" w:cs="仿宋"/>
          <w:sz w:val="32"/>
          <w:szCs w:val="32"/>
          <w:lang w:eastAsia="zh-CN"/>
        </w:rPr>
        <w:t>冲锋姿态</w:t>
      </w:r>
      <w:r>
        <w:rPr>
          <w:rFonts w:hint="eastAsia" w:ascii="仿宋" w:hAnsi="仿宋" w:eastAsia="仿宋" w:cs="仿宋"/>
          <w:sz w:val="32"/>
          <w:szCs w:val="32"/>
        </w:rPr>
        <w:t>，</w:t>
      </w:r>
      <w:r>
        <w:rPr>
          <w:rFonts w:hint="eastAsia" w:ascii="仿宋" w:hAnsi="仿宋" w:eastAsia="仿宋" w:cs="仿宋"/>
          <w:sz w:val="32"/>
          <w:szCs w:val="32"/>
          <w:lang w:eastAsia="zh-CN"/>
        </w:rPr>
        <w:t>高标准高质量完成各项目标任务，奋力夺取疫情防控和经济社会发展双胜利。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 w:hAnsi="仿宋" w:eastAsia="仿宋" w:cs="仿宋"/>
          <w:color w:val="00B0F0"/>
          <w:sz w:val="32"/>
          <w:szCs w:val="32"/>
          <w:lang w:val="en-US" w:eastAsia="zh-CN"/>
        </w:rPr>
      </w:pPr>
      <w:r>
        <w:rPr>
          <w:rFonts w:hint="eastAsia" w:ascii="仿宋" w:hAnsi="仿宋" w:eastAsia="仿宋" w:cs="仿宋"/>
          <w:color w:val="auto"/>
          <w:sz w:val="32"/>
          <w:szCs w:val="32"/>
          <w:lang w:eastAsia="zh-CN"/>
        </w:rPr>
        <w:t>（一）提高政治站位，切实凝聚思想共识。全年累计召开党委会议</w:t>
      </w:r>
      <w:r>
        <w:rPr>
          <w:rFonts w:hint="eastAsia" w:ascii="仿宋" w:hAnsi="仿宋" w:eastAsia="仿宋" w:cs="仿宋"/>
          <w:color w:val="auto"/>
          <w:sz w:val="32"/>
          <w:szCs w:val="32"/>
          <w:lang w:val="en-US" w:eastAsia="zh-CN"/>
        </w:rPr>
        <w:t>16次、中心组学习会议12次，专题研究意识形态工作5次，集中夜学18次，召开中子镇战区指挥部会议17次，传达学习党的十九大、习近平新时代中国特色社会主义思想和来川视察重要指示精神以及省委、市委、区委全会精神，特别是区委七届十次全会召开后，镇党委讨论确立了构建“一主两辅、一轴两环”发展新格局。区委七届十一次全会召开后，镇党委召开党委扩大会议，专题研究“主动融入成渝地区双城经济圈”中子思路和中子路径，充分体现了镇党委政府主动向党中央、省委、市委、区委看齐的政治自觉、思想自觉和行动自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强化工作举措，</w:t>
      </w:r>
      <w:r>
        <w:rPr>
          <w:rFonts w:hint="eastAsia" w:ascii="仿宋" w:hAnsi="仿宋" w:eastAsia="仿宋" w:cs="仿宋"/>
          <w:sz w:val="32"/>
          <w:szCs w:val="32"/>
        </w:rPr>
        <w:t>有效</w:t>
      </w:r>
      <w:r>
        <w:rPr>
          <w:rFonts w:hint="eastAsia" w:ascii="仿宋" w:hAnsi="仿宋" w:eastAsia="仿宋" w:cs="仿宋"/>
          <w:sz w:val="32"/>
          <w:szCs w:val="32"/>
          <w:lang w:eastAsia="zh-CN"/>
        </w:rPr>
        <w:t>开展</w:t>
      </w:r>
      <w:r>
        <w:rPr>
          <w:rFonts w:hint="eastAsia" w:ascii="仿宋" w:hAnsi="仿宋" w:eastAsia="仿宋" w:cs="仿宋"/>
          <w:sz w:val="32"/>
          <w:szCs w:val="32"/>
        </w:rPr>
        <w:t>疫情防控。自新冠肺炎疫情发生以来，</w:t>
      </w:r>
      <w:r>
        <w:rPr>
          <w:rFonts w:hint="eastAsia" w:ascii="仿宋" w:hAnsi="仿宋" w:eastAsia="仿宋" w:cs="仿宋"/>
          <w:sz w:val="32"/>
          <w:szCs w:val="32"/>
          <w:lang w:eastAsia="zh-CN"/>
        </w:rPr>
        <w:t>镇党委政府</w:t>
      </w:r>
      <w:r>
        <w:rPr>
          <w:rFonts w:hint="eastAsia" w:ascii="仿宋" w:hAnsi="仿宋" w:eastAsia="仿宋" w:cs="仿宋"/>
          <w:sz w:val="32"/>
          <w:szCs w:val="32"/>
        </w:rPr>
        <w:t>深入贯彻</w:t>
      </w:r>
      <w:r>
        <w:rPr>
          <w:rFonts w:hint="eastAsia" w:ascii="仿宋" w:hAnsi="仿宋" w:eastAsia="仿宋" w:cs="仿宋"/>
          <w:sz w:val="32"/>
          <w:szCs w:val="32"/>
          <w:lang w:eastAsia="zh-CN"/>
        </w:rPr>
        <w:t>上级</w:t>
      </w:r>
      <w:r>
        <w:rPr>
          <w:rFonts w:hint="eastAsia" w:ascii="仿宋" w:hAnsi="仿宋" w:eastAsia="仿宋" w:cs="仿宋"/>
          <w:sz w:val="32"/>
          <w:szCs w:val="32"/>
        </w:rPr>
        <w:t>决策部署，认真落实联防联控工作机制，层层压实防控工作责任，切实加强重点领域防控工作，精准施策，确保了“找得到”“管得住”“服务好”。在通村（社区）主干道设立临时卡点21个，排查过往车辆11000余次。镇村干部逐村逐户摸排走访2万余人次</w:t>
      </w:r>
      <w:r>
        <w:rPr>
          <w:rFonts w:hint="eastAsia" w:ascii="仿宋" w:hAnsi="仿宋" w:eastAsia="仿宋" w:cs="仿宋"/>
          <w:sz w:val="32"/>
          <w:szCs w:val="32"/>
          <w:lang w:eastAsia="zh-CN"/>
        </w:rPr>
        <w:t>。建立境外人员一对一管控台账，持续开展境外及国内中高风险地区返乡人员摸排登记工作，</w:t>
      </w:r>
      <w:r>
        <w:rPr>
          <w:rFonts w:hint="eastAsia" w:ascii="仿宋" w:hAnsi="仿宋" w:eastAsia="仿宋" w:cs="仿宋"/>
          <w:sz w:val="32"/>
          <w:szCs w:val="32"/>
          <w:lang w:val="en-US" w:eastAsia="zh-CN"/>
        </w:rPr>
        <w:t>900余名特殊地区返乡人员均按要求落实防疫举措并逐一解除管控，</w:t>
      </w:r>
      <w:r>
        <w:rPr>
          <w:rFonts w:hint="eastAsia" w:ascii="仿宋" w:hAnsi="仿宋" w:eastAsia="仿宋" w:cs="仿宋"/>
          <w:sz w:val="32"/>
          <w:szCs w:val="32"/>
        </w:rPr>
        <w:t>全镇未发现新冠肺炎疑似病例和确诊病例</w:t>
      </w:r>
      <w:r>
        <w:rPr>
          <w:rFonts w:hint="eastAsia" w:ascii="仿宋" w:hAnsi="仿宋" w:eastAsia="仿宋" w:cs="仿宋"/>
          <w:sz w:val="32"/>
          <w:szCs w:val="32"/>
          <w:lang w:eastAsia="zh-CN"/>
        </w:rPr>
        <w:t>。及时组织群众返岗复工，先后通过发布优质岗位信息、对接区级部门邀请企业到镇招聘、开展技能培训等有力举措，通过“春风送岗”行动，先后将</w:t>
      </w:r>
      <w:r>
        <w:rPr>
          <w:rFonts w:hint="eastAsia" w:ascii="仿宋" w:hAnsi="仿宋" w:eastAsia="仿宋" w:cs="仿宋"/>
          <w:sz w:val="32"/>
          <w:szCs w:val="32"/>
          <w:lang w:val="en-US" w:eastAsia="zh-CN"/>
        </w:rPr>
        <w:t>1100余民农民工送往浙江、成都等地务工</w:t>
      </w:r>
      <w:r>
        <w:rPr>
          <w:rFonts w:hint="eastAsia" w:ascii="仿宋" w:hAnsi="仿宋" w:eastAsia="仿宋" w:cs="仿宋"/>
          <w:sz w:val="32"/>
          <w:szCs w:val="32"/>
          <w:lang w:eastAsia="zh-CN"/>
        </w:rPr>
        <w:t>，全力推动“六稳”、“六保”工作落地落实。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 w:hAnsi="仿宋" w:eastAsia="仿宋" w:cs="仿宋"/>
          <w:lang w:eastAsia="zh-CN"/>
        </w:rPr>
      </w:pPr>
      <w:r>
        <w:rPr>
          <w:rFonts w:hint="eastAsia" w:ascii="仿宋" w:hAnsi="仿宋" w:eastAsia="仿宋" w:cs="仿宋"/>
          <w:color w:val="auto"/>
          <w:sz w:val="32"/>
          <w:szCs w:val="32"/>
          <w:lang w:eastAsia="zh-CN"/>
        </w:rPr>
        <w:t>（三）紧盯目标任务，脱贫摘帽决战决胜。</w:t>
      </w:r>
      <w:r>
        <w:rPr>
          <w:rFonts w:hint="eastAsia" w:ascii="仿宋" w:hAnsi="仿宋" w:eastAsia="仿宋" w:cs="仿宋"/>
          <w:sz w:val="32"/>
          <w:szCs w:val="32"/>
        </w:rPr>
        <w:t>全镇有贫困村</w:t>
      </w:r>
      <w:r>
        <w:rPr>
          <w:rFonts w:hint="eastAsia" w:ascii="仿宋" w:hAnsi="仿宋" w:eastAsia="仿宋" w:cs="仿宋"/>
          <w:sz w:val="32"/>
          <w:szCs w:val="32"/>
          <w:lang w:val="en-US" w:eastAsia="zh-CN"/>
        </w:rPr>
        <w:t>2</w:t>
      </w:r>
      <w:r>
        <w:rPr>
          <w:rFonts w:hint="eastAsia" w:ascii="仿宋" w:hAnsi="仿宋" w:eastAsia="仿宋" w:cs="仿宋"/>
          <w:sz w:val="32"/>
          <w:szCs w:val="32"/>
        </w:rPr>
        <w:t>个，贫困户697户2218人，</w:t>
      </w:r>
      <w:r>
        <w:rPr>
          <w:rFonts w:hint="eastAsia" w:ascii="仿宋" w:hAnsi="仿宋" w:eastAsia="仿宋" w:cs="仿宋"/>
          <w:sz w:val="32"/>
          <w:szCs w:val="32"/>
          <w:lang w:eastAsia="zh-CN"/>
        </w:rPr>
        <w:t>高质量完成村退出、户脱贫目标任务</w:t>
      </w:r>
      <w:r>
        <w:rPr>
          <w:rFonts w:hint="eastAsia" w:ascii="仿宋" w:hAnsi="仿宋" w:eastAsia="仿宋" w:cs="仿宋"/>
          <w:sz w:val="32"/>
          <w:szCs w:val="32"/>
        </w:rPr>
        <w:t>。年初，乡镇行政区划调整改革人员到位后，及时完善了战区和21个战场作战指挥体系，调整充实了帮扶责任人，确保村村有人帮，户户有人扶。制定完善了各村2020年产业发展规划、基础设施规划、集体经济规划等专项扶贫规划，完成贫困户2020年巩固提升规划</w:t>
      </w:r>
      <w:r>
        <w:rPr>
          <w:rFonts w:hint="eastAsia" w:ascii="仿宋" w:hAnsi="仿宋" w:eastAsia="仿宋" w:cs="仿宋"/>
          <w:sz w:val="32"/>
          <w:szCs w:val="32"/>
          <w:lang w:eastAsia="zh-CN"/>
        </w:rPr>
        <w:t>，</w:t>
      </w:r>
      <w:r>
        <w:rPr>
          <w:rFonts w:hint="eastAsia" w:ascii="仿宋" w:hAnsi="仿宋" w:eastAsia="仿宋" w:cs="仿宋"/>
          <w:sz w:val="32"/>
          <w:szCs w:val="32"/>
        </w:rPr>
        <w:t>建立了返贫致贫预警阻击台账。村组道路维修、安全人饮、东西部扶贫协作核桃园、草莓园等所有扶贫项目加快推进。</w:t>
      </w:r>
      <w:r>
        <w:rPr>
          <w:rFonts w:hint="eastAsia" w:ascii="仿宋" w:hAnsi="仿宋" w:eastAsia="仿宋" w:cs="仿宋"/>
          <w:sz w:val="32"/>
          <w:szCs w:val="32"/>
          <w:lang w:eastAsia="zh-CN"/>
        </w:rPr>
        <w:t>高质量完成脱贫攻坚普查和成效考核，反馈的</w:t>
      </w:r>
      <w:r>
        <w:rPr>
          <w:rFonts w:hint="eastAsia" w:ascii="仿宋" w:hAnsi="仿宋" w:eastAsia="仿宋" w:cs="仿宋"/>
          <w:sz w:val="32"/>
          <w:szCs w:val="32"/>
          <w:lang w:val="en-US" w:eastAsia="zh-CN"/>
        </w:rPr>
        <w:t>2个问题已全部整改到位</w:t>
      </w:r>
      <w:r>
        <w:rPr>
          <w:rFonts w:hint="eastAsia" w:ascii="仿宋" w:hAnsi="仿宋" w:eastAsia="仿宋" w:cs="仿宋"/>
          <w:sz w:val="32"/>
          <w:szCs w:val="32"/>
          <w:lang w:eastAsia="zh-CN"/>
        </w:rPr>
        <w:t>。全域新村加快实施，规划2377户，已完成建设任务，等待验收。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（四）抢抓发展机遇，项目投资再创新高。</w:t>
      </w:r>
      <w:r>
        <w:rPr>
          <w:rFonts w:hint="eastAsia" w:ascii="仿宋" w:hAnsi="仿宋" w:eastAsia="仿宋" w:cs="仿宋"/>
          <w:bCs/>
          <w:color w:val="auto"/>
          <w:sz w:val="32"/>
          <w:szCs w:val="32"/>
          <w:highlight w:val="none"/>
          <w:lang w:val="en-US" w:eastAsia="zh-CN"/>
        </w:rPr>
        <w:t>认真落实“五个一”项目推进机制，建立重点项目建设协调推进专班，压实工作责任，召开专题项目推进会18次。完成了省、市、区重点项目建设土地征用200余亩，房屋拆迁12户，企业2家。吴家坝安置点27户房屋主体建设已全部完工，附属配套设施项目建设全面启动。双峡湖水库完成移民初验，库区和场镇两座大桥全面竣工。校场村农旅文融合发展项目初步建成，示范效应凸显。七曾快速通道、朝天核桃现代林业示范区、半山经济带道路、物流园区、土地增减挂钩及其安置点、高标准农田等一大批重点项目加快推进。坚持以项目投资“大比武”为抓手，抢抓机遇、增添措施，在项目投资跳起摸高的目标任务中实现新突破。区下固定资产投资任务2亿元元，入库完成1.95亿元，完成比例位列全区乡镇排名第二位，储备项目3个，总投资约8300万元；区下招商引资任务1亿元，已引进项目4个，签约资金6.25亿元，到位资金2.21亿元，完成221%。有序开展第七次全国人口普查登记和比对复查工作，普查登记7733户25117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bCs/>
          <w:color w:val="auto"/>
          <w:sz w:val="32"/>
          <w:szCs w:val="32"/>
          <w:lang w:val="en-US" w:eastAsia="zh-CN"/>
        </w:rPr>
        <w:t>（五）优化产业结构，特色产业提质增效。</w:t>
      </w:r>
      <w:r>
        <w:rPr>
          <w:rFonts w:hint="eastAsia" w:ascii="仿宋" w:hAnsi="仿宋" w:eastAsia="仿宋" w:cs="仿宋"/>
          <w:sz w:val="32"/>
          <w:szCs w:val="32"/>
        </w:rPr>
        <w:t>依托朝天核桃现代林业示范区建设，建成校场、高车、中合、旭光等核桃标准化示范基地12个，共计2万余亩。建成集红皮小花生、食用菌、中药材、小水果等为主的特色农业产业化基地1万余亩，完成土地流转3000余亩，培育新型经营主体5家，直接带动和受益农户1600余户，全年农业产业人均增收2000元以上。充分依托“电子商务进农村”有利契机，以朝天区农村电商营运中心为引擎，带动发展农村电子商务网点5个。依托水磨沟AAAA级旅游景区及校场村草莓园观光采摘，发展农旅经济，游客络绎不绝，带动了全镇餐饮产业蓬勃发展，培育民宿、农家乐、特色餐饮店10多家，全年接待游客30余万人次，实现餐饮收入3000余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eastAsia="zh-CN"/>
        </w:rPr>
        <w:t>（六）完善基础设施，加快推进乡村振兴。围绕朝天区《实施乡村振兴战略总体规划（</w:t>
      </w:r>
      <w:r>
        <w:rPr>
          <w:rFonts w:hint="eastAsia" w:ascii="仿宋" w:hAnsi="仿宋" w:eastAsia="仿宋" w:cs="仿宋"/>
          <w:color w:val="auto"/>
          <w:sz w:val="32"/>
          <w:szCs w:val="32"/>
          <w:highlight w:val="none"/>
          <w:lang w:val="en-US" w:eastAsia="zh-CN"/>
        </w:rPr>
        <w:t>2018--2022年</w:t>
      </w:r>
      <w:r>
        <w:rPr>
          <w:rFonts w:hint="eastAsia" w:ascii="仿宋" w:hAnsi="仿宋" w:eastAsia="仿宋" w:cs="仿宋"/>
          <w:color w:val="auto"/>
          <w:sz w:val="32"/>
          <w:szCs w:val="32"/>
          <w:highlight w:val="none"/>
          <w:lang w:eastAsia="zh-CN"/>
        </w:rPr>
        <w:t>）》总体要求，大力开展“强村行动”、“四好村”创建、新村建设等工作。</w:t>
      </w:r>
      <w:r>
        <w:rPr>
          <w:rFonts w:hint="eastAsia" w:ascii="仿宋" w:hAnsi="仿宋" w:eastAsia="仿宋" w:cs="仿宋"/>
          <w:sz w:val="32"/>
          <w:szCs w:val="32"/>
          <w:lang w:val="en-US" w:eastAsia="zh-CN"/>
        </w:rPr>
        <w:t>强力推进半山经济带基础设施建设，完成校场村至高车村10余公里道路黑化、高车村至宣河村10余公里道路拓宽、老108线黎明至宣河段道路黑化、宣河场镇河堤建设等工作，维修、硬化村组道路24公里。实施安全人饮28处，铺设管道60000余米，安全饮水率达100%。新建、改建农村卫生厕所1630户，安装三格化粪池584个。实施完成二专线场镇入口美化提升、改造场镇入口街道等项目，电力、通讯、环卫等设施设备进一步完善，镇内人居环境及群众生产生活条件得到明显提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（七）持续改善民生，群众福祉不断增进。</w:t>
      </w:r>
      <w:r>
        <w:rPr>
          <w:rFonts w:hint="eastAsia" w:ascii="仿宋" w:hAnsi="仿宋" w:eastAsia="仿宋" w:cs="仿宋"/>
          <w:color w:val="auto"/>
          <w:sz w:val="32"/>
          <w:szCs w:val="32"/>
        </w:rPr>
        <w:t>全面完成城乡低保动态管理工作，共评定农村低保1025户2158人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城市低保102户122人</w:t>
      </w:r>
      <w:r>
        <w:rPr>
          <w:rFonts w:hint="eastAsia" w:ascii="仿宋" w:hAnsi="仿宋" w:eastAsia="仿宋" w:cs="仿宋"/>
          <w:color w:val="auto"/>
          <w:sz w:val="32"/>
          <w:szCs w:val="32"/>
          <w:lang w:eastAsia="zh-CN"/>
        </w:rPr>
        <w:t>，低保、五保实现应保尽保。医保征收任务</w:t>
      </w:r>
      <w:r>
        <w:rPr>
          <w:rFonts w:hint="eastAsia" w:ascii="仿宋" w:hAnsi="仿宋" w:eastAsia="仿宋" w:cs="仿宋"/>
          <w:color w:val="auto"/>
          <w:sz w:val="32"/>
          <w:szCs w:val="32"/>
          <w:lang w:val="en-US" w:eastAsia="zh-CN"/>
        </w:rPr>
        <w:t>21990人，完成22115人，完成比例100.6%，位列乡镇排名第一。</w:t>
      </w:r>
      <w:r>
        <w:rPr>
          <w:rFonts w:hint="eastAsia" w:ascii="仿宋" w:hAnsi="仿宋" w:eastAsia="仿宋" w:cs="仿宋"/>
          <w:color w:val="auto"/>
          <w:sz w:val="32"/>
          <w:szCs w:val="32"/>
          <w:lang w:eastAsia="zh-CN"/>
        </w:rPr>
        <w:t>实施教育扶贫救助，享受教育扶贫基金</w:t>
      </w:r>
      <w:r>
        <w:rPr>
          <w:rFonts w:hint="eastAsia" w:ascii="仿宋" w:hAnsi="仿宋" w:eastAsia="仿宋" w:cs="仿宋"/>
          <w:color w:val="auto"/>
          <w:sz w:val="32"/>
          <w:szCs w:val="32"/>
          <w:lang w:val="en-US" w:eastAsia="zh-CN"/>
        </w:rPr>
        <w:t>76户82</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lang w:val="en-US" w:eastAsia="zh-CN"/>
        </w:rPr>
        <w:t>8.51万元</w:t>
      </w:r>
      <w:r>
        <w:rPr>
          <w:rFonts w:hint="eastAsia" w:ascii="仿宋" w:hAnsi="仿宋" w:eastAsia="仿宋" w:cs="仿宋"/>
          <w:color w:val="auto"/>
          <w:sz w:val="32"/>
          <w:szCs w:val="32"/>
          <w:lang w:eastAsia="zh-CN"/>
        </w:rPr>
        <w:t>，“雨露计划”申报</w:t>
      </w:r>
      <w:r>
        <w:rPr>
          <w:rFonts w:hint="eastAsia" w:ascii="仿宋" w:hAnsi="仿宋" w:eastAsia="仿宋" w:cs="仿宋"/>
          <w:color w:val="auto"/>
          <w:sz w:val="32"/>
          <w:szCs w:val="32"/>
          <w:lang w:val="en-US" w:eastAsia="zh-CN"/>
        </w:rPr>
        <w:t>151人次22.65万元</w:t>
      </w:r>
      <w:r>
        <w:rPr>
          <w:rFonts w:hint="eastAsia" w:ascii="仿宋" w:hAnsi="仿宋" w:eastAsia="仿宋" w:cs="仿宋"/>
          <w:color w:val="auto"/>
          <w:sz w:val="32"/>
          <w:szCs w:val="32"/>
          <w:lang w:eastAsia="zh-CN"/>
        </w:rPr>
        <w:t>。开展各类就业技能培训</w:t>
      </w:r>
      <w:r>
        <w:rPr>
          <w:rFonts w:hint="eastAsia" w:ascii="仿宋" w:hAnsi="仿宋" w:eastAsia="仿宋" w:cs="仿宋"/>
          <w:color w:val="auto"/>
          <w:sz w:val="32"/>
          <w:szCs w:val="32"/>
          <w:lang w:val="en-US" w:eastAsia="zh-CN"/>
        </w:rPr>
        <w:t>900余</w:t>
      </w:r>
      <w:r>
        <w:rPr>
          <w:rFonts w:hint="eastAsia" w:ascii="仿宋" w:hAnsi="仿宋" w:eastAsia="仿宋" w:cs="仿宋"/>
          <w:color w:val="auto"/>
          <w:sz w:val="32"/>
          <w:szCs w:val="32"/>
          <w:lang w:eastAsia="zh-CN"/>
        </w:rPr>
        <w:t>人次，其中贫困劳动者117名，公益性岗位安置贫困劳动者135名。全年农村劳动力转移输出累计达8542人，实现劳务收入达17876万元，分别占全年目标任务的127.9%，129%。</w:t>
      </w:r>
      <w:r>
        <w:rPr>
          <w:rFonts w:hint="eastAsia" w:ascii="仿宋" w:hAnsi="仿宋" w:eastAsia="仿宋" w:cs="仿宋"/>
          <w:color w:val="auto"/>
          <w:sz w:val="32"/>
          <w:szCs w:val="32"/>
        </w:rPr>
        <w:t>全面实施病死畜禽无害化处理，</w:t>
      </w:r>
      <w:r>
        <w:rPr>
          <w:rFonts w:hint="eastAsia" w:ascii="仿宋" w:hAnsi="仿宋" w:eastAsia="仿宋" w:cs="仿宋"/>
          <w:color w:val="auto"/>
          <w:sz w:val="32"/>
          <w:szCs w:val="32"/>
          <w:lang w:eastAsia="zh-CN"/>
        </w:rPr>
        <w:t>扎实开展非洲猪瘟防控工作，生猪出栏</w:t>
      </w:r>
      <w:r>
        <w:rPr>
          <w:rFonts w:hint="eastAsia" w:ascii="仿宋" w:hAnsi="仿宋" w:eastAsia="仿宋" w:cs="仿宋"/>
          <w:color w:val="auto"/>
          <w:sz w:val="32"/>
          <w:szCs w:val="32"/>
          <w:lang w:val="en-US" w:eastAsia="zh-CN"/>
        </w:rPr>
        <w:t>28113头，存栏7465头，</w:t>
      </w:r>
      <w:r>
        <w:rPr>
          <w:rFonts w:hint="eastAsia" w:ascii="仿宋" w:hAnsi="仿宋" w:eastAsia="仿宋" w:cs="仿宋"/>
          <w:color w:val="auto"/>
          <w:sz w:val="32"/>
          <w:szCs w:val="32"/>
          <w:lang w:eastAsia="zh-CN"/>
        </w:rPr>
        <w:t>全面完成生猪稳产保供任务</w:t>
      </w:r>
      <w:r>
        <w:rPr>
          <w:rFonts w:hint="eastAsia" w:ascii="仿宋" w:hAnsi="仿宋" w:eastAsia="仿宋" w:cs="仿宋"/>
          <w:color w:val="auto"/>
          <w:sz w:val="32"/>
          <w:szCs w:val="32"/>
        </w:rPr>
        <w:t>。持续加强“五乱”治理，建成垃圾中转站3个，采购垃圾运输车3辆，聘请专业公司代管污水处理站，确保正常运营，排放达标</w:t>
      </w:r>
      <w:r>
        <w:rPr>
          <w:rFonts w:hint="eastAsia" w:ascii="仿宋" w:hAnsi="仿宋" w:eastAsia="仿宋" w:cs="仿宋"/>
          <w:color w:val="auto"/>
          <w:sz w:val="32"/>
          <w:szCs w:val="32"/>
          <w:lang w:eastAsia="zh-CN"/>
        </w:rPr>
        <w:t>。秸秆禁烧大力推进，“河湖长制”严格落实，河道“清四乱”工作成效显著，</w:t>
      </w:r>
      <w:r>
        <w:rPr>
          <w:rFonts w:hint="eastAsia" w:ascii="仿宋" w:hAnsi="仿宋" w:eastAsia="仿宋" w:cs="仿宋"/>
          <w:color w:val="auto"/>
          <w:sz w:val="32"/>
          <w:szCs w:val="32"/>
        </w:rPr>
        <w:t>确保</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潜溪河一河清水出中子</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（八）持续深化改革，发展活力充分显现。</w:t>
      </w:r>
      <w:r>
        <w:rPr>
          <w:rFonts w:hint="eastAsia" w:ascii="仿宋" w:hAnsi="仿宋" w:eastAsia="仿宋" w:cs="仿宋"/>
          <w:sz w:val="32"/>
          <w:szCs w:val="32"/>
        </w:rPr>
        <w:t>全力做好</w:t>
      </w:r>
      <w:r>
        <w:rPr>
          <w:rFonts w:hint="eastAsia" w:ascii="仿宋" w:hAnsi="仿宋" w:eastAsia="仿宋" w:cs="仿宋"/>
          <w:sz w:val="32"/>
          <w:szCs w:val="32"/>
          <w:lang w:eastAsia="zh-CN"/>
        </w:rPr>
        <w:t>“两项改革”</w:t>
      </w:r>
      <w:r>
        <w:rPr>
          <w:rFonts w:hint="eastAsia" w:ascii="仿宋" w:hAnsi="仿宋" w:eastAsia="仿宋" w:cs="仿宋"/>
          <w:sz w:val="32"/>
          <w:szCs w:val="32"/>
        </w:rPr>
        <w:t>“后半篇文章”。顺利完成了人大、政府班子选举工作，及时优化分工，团结协作，运行良好“九办五中心”人员配齐配强</w:t>
      </w:r>
      <w:r>
        <w:rPr>
          <w:rFonts w:hint="eastAsia" w:ascii="仿宋" w:hAnsi="仿宋" w:eastAsia="仿宋" w:cs="仿宋"/>
          <w:sz w:val="32"/>
          <w:szCs w:val="32"/>
          <w:lang w:eastAsia="zh-CN"/>
        </w:rPr>
        <w:t>。</w:t>
      </w:r>
      <w:r>
        <w:rPr>
          <w:rFonts w:hint="eastAsia" w:ascii="仿宋" w:hAnsi="仿宋" w:eastAsia="仿宋" w:cs="仿宋"/>
          <w:sz w:val="32"/>
          <w:szCs w:val="32"/>
        </w:rPr>
        <w:t>被撤并乡镇资产、财务移交完成。</w:t>
      </w:r>
      <w:r>
        <w:rPr>
          <w:rFonts w:hint="eastAsia" w:ascii="仿宋" w:hAnsi="仿宋" w:eastAsia="仿宋" w:cs="仿宋"/>
          <w:sz w:val="32"/>
          <w:szCs w:val="32"/>
          <w:lang w:eastAsia="zh-CN"/>
        </w:rPr>
        <w:t>在</w:t>
      </w:r>
      <w:r>
        <w:rPr>
          <w:rFonts w:hint="eastAsia" w:ascii="仿宋" w:hAnsi="仿宋" w:eastAsia="仿宋" w:cs="仿宋"/>
          <w:sz w:val="32"/>
          <w:szCs w:val="32"/>
        </w:rPr>
        <w:t>村级建制调整改革</w:t>
      </w:r>
      <w:r>
        <w:rPr>
          <w:rFonts w:hint="eastAsia" w:ascii="仿宋" w:hAnsi="仿宋" w:eastAsia="仿宋" w:cs="仿宋"/>
          <w:sz w:val="32"/>
          <w:szCs w:val="32"/>
          <w:lang w:eastAsia="zh-CN"/>
        </w:rPr>
        <w:t>中</w:t>
      </w:r>
      <w:r>
        <w:rPr>
          <w:rFonts w:hint="eastAsia" w:ascii="仿宋" w:hAnsi="仿宋" w:eastAsia="仿宋" w:cs="仿宋"/>
          <w:sz w:val="32"/>
          <w:szCs w:val="32"/>
        </w:rPr>
        <w:t>，共撤并村7个，占全镇村数量的33.3%，撤并后，全镇设村14个，社区2个，每村人口均在1000人以上。</w:t>
      </w:r>
      <w:r>
        <w:rPr>
          <w:rFonts w:hint="eastAsia" w:ascii="仿宋" w:hAnsi="仿宋" w:eastAsia="仿宋" w:cs="仿宋"/>
          <w:sz w:val="32"/>
          <w:szCs w:val="32"/>
          <w:lang w:eastAsia="zh-CN"/>
        </w:rPr>
        <w:t>合并村民小组</w:t>
      </w:r>
      <w:r>
        <w:rPr>
          <w:rFonts w:hint="eastAsia" w:ascii="仿宋" w:hAnsi="仿宋" w:eastAsia="仿宋" w:cs="仿宋"/>
          <w:sz w:val="32"/>
          <w:szCs w:val="32"/>
          <w:lang w:val="en-US" w:eastAsia="zh-CN"/>
        </w:rPr>
        <w:t>41个，合并后村（居）民小组99个，合并比例30.1%。按规定完成村级党组织书记、主任“一肩挑”，并依法依规开展村（社区）换届选举工作，目前，已选举产生新一届的村（社区）党组织书记16名，平均年龄由原来的49.5岁下降到47岁，高中及以上学历占比100%，村级党组织履职能力得到进一步加强。</w:t>
      </w:r>
      <w:r>
        <w:rPr>
          <w:rFonts w:hint="eastAsia" w:ascii="仿宋" w:hAnsi="仿宋" w:eastAsia="仿宋" w:cs="仿宋"/>
          <w:color w:val="auto"/>
          <w:sz w:val="32"/>
          <w:szCs w:val="32"/>
          <w:lang w:eastAsia="zh-CN"/>
        </w:rPr>
        <w:t>全面推行村民积分制管理，充分激发了群众内生动力。以“公司</w:t>
      </w:r>
      <w:r>
        <w:rPr>
          <w:rFonts w:hint="eastAsia" w:ascii="仿宋" w:hAnsi="仿宋" w:eastAsia="仿宋" w:cs="仿宋"/>
          <w:color w:val="auto"/>
          <w:sz w:val="32"/>
          <w:szCs w:val="32"/>
          <w:lang w:val="en-US" w:eastAsia="zh-CN"/>
        </w:rPr>
        <w:t>+村级集体经济组织+农户</w:t>
      </w:r>
      <w:r>
        <w:rPr>
          <w:rFonts w:hint="eastAsia" w:ascii="仿宋" w:hAnsi="仿宋" w:eastAsia="仿宋" w:cs="仿宋"/>
          <w:color w:val="auto"/>
          <w:sz w:val="32"/>
          <w:szCs w:val="32"/>
          <w:lang w:eastAsia="zh-CN"/>
        </w:rPr>
        <w:t>”的模式，</w:t>
      </w:r>
      <w:r>
        <w:rPr>
          <w:rFonts w:hint="eastAsia" w:ascii="仿宋" w:hAnsi="仿宋" w:eastAsia="仿宋" w:cs="仿宋"/>
          <w:color w:val="auto"/>
          <w:sz w:val="32"/>
          <w:szCs w:val="32"/>
          <w:lang w:val="en-US" w:eastAsia="zh-CN"/>
        </w:rPr>
        <w:t>6个村实现集体经济收入50万元以上。试点实施民生事项人大代表票决制工作，票决出的</w:t>
      </w:r>
      <w:r>
        <w:rPr>
          <w:rFonts w:hint="eastAsia" w:ascii="仿宋" w:hAnsi="仿宋" w:eastAsia="仿宋" w:cs="仿宋"/>
          <w:i w:val="0"/>
          <w:caps w:val="0"/>
          <w:color w:val="000000"/>
          <w:spacing w:val="0"/>
          <w:sz w:val="32"/>
          <w:szCs w:val="32"/>
          <w:lang w:eastAsia="zh-CN"/>
        </w:rPr>
        <w:t>旭光村核桃园区建设、黎明村安全人饮建设等</w:t>
      </w:r>
      <w:r>
        <w:rPr>
          <w:rFonts w:hint="eastAsia" w:ascii="仿宋" w:hAnsi="仿宋" w:eastAsia="仿宋" w:cs="仿宋"/>
          <w:color w:val="auto"/>
          <w:sz w:val="32"/>
          <w:szCs w:val="32"/>
          <w:lang w:val="en-US" w:eastAsia="zh-CN"/>
        </w:rPr>
        <w:t>7个民生项目顺利实施，实现了</w:t>
      </w:r>
      <w:r>
        <w:rPr>
          <w:rFonts w:hint="eastAsia" w:ascii="仿宋" w:hAnsi="仿宋" w:eastAsia="仿宋" w:cs="仿宋"/>
          <w:sz w:val="32"/>
          <w:szCs w:val="32"/>
        </w:rPr>
        <w:t>民生实事项目由“领导拍板”向“代表票决”、由“为民作主”向“由民作主”的转变</w:t>
      </w:r>
      <w:r>
        <w:rPr>
          <w:rFonts w:hint="eastAsia" w:ascii="仿宋" w:hAnsi="仿宋" w:eastAsia="仿宋" w:cs="仿宋"/>
          <w:sz w:val="32"/>
          <w:szCs w:val="32"/>
          <w:lang w:eastAsia="zh-CN"/>
        </w:rPr>
        <w:t>。深刻总结提炼浙江“最多跑一次”先进经验，开辟方便群众办事新途径。成立中子商会、中子镇乡贤会，为中子镇经济社会发展注入新活力。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九）坚持依法治理，社会大局和谐稳定。大力开展法治宣传活动。扎实开展“七五”普法、“七进”村社、“12.4”宪法日、各类法治宣传日、送法律下乡普法宣讲等工作，累计宣传15余次，发放宣传资料20000余份，接受群众咨询200人次。扫黑除恶工作深入开展。成立了中子镇扫黑除恶专项斗争领导小组，印发《中子镇扫黑除恶专项工作方案》，召开专题会议2次，开展涉黑涉恶涉乱线索排查12次，</w:t>
      </w:r>
      <w:r>
        <w:rPr>
          <w:rFonts w:hint="eastAsia" w:ascii="仿宋" w:hAnsi="仿宋" w:eastAsia="仿宋" w:cs="仿宋"/>
          <w:color w:val="auto"/>
          <w:sz w:val="32"/>
          <w:szCs w:val="32"/>
          <w:lang w:eastAsia="zh-CN"/>
        </w:rPr>
        <w:t>排查线索0条，开展扫黑除恶法治宣传3次，发放扫黑除恶宣</w:t>
      </w:r>
      <w:r>
        <w:rPr>
          <w:rFonts w:hint="eastAsia" w:ascii="仿宋" w:hAnsi="仿宋" w:eastAsia="仿宋" w:cs="仿宋"/>
          <w:color w:val="000000" w:themeColor="text1"/>
          <w:sz w:val="32"/>
          <w:szCs w:val="32"/>
          <w:lang w:eastAsia="zh-CN"/>
          <w14:textFill>
            <w14:solidFill>
              <w14:schemeClr w14:val="tx1"/>
            </w14:solidFill>
          </w14:textFill>
        </w:rPr>
        <w:t>传手册2000余本。综治维稳工作扎实开展。坚持每月开展矛盾纠纷隐患大排查，完善网格化服务系统，健全矛盾纠纷多元化解机制，成功调解各类利益纠纷事宜等240余件，未出现集体上访和到市到省进京上访事件，确保了全镇和谐稳定。安全生产工作全面推进。严格落实“党政同责，一岗双责”责任制，强化安全生产隐患排查和安全生产事故防范，</w:t>
      </w:r>
      <w:bookmarkStart w:id="74" w:name="_GoBack"/>
      <w:bookmarkEnd w:id="74"/>
      <w:r>
        <w:rPr>
          <w:rFonts w:hint="eastAsia" w:ascii="仿宋" w:hAnsi="仿宋" w:eastAsia="仿宋" w:cs="仿宋"/>
          <w:color w:val="000000" w:themeColor="text1"/>
          <w:sz w:val="32"/>
          <w:szCs w:val="32"/>
          <w:lang w:eastAsia="zh-CN"/>
          <w14:textFill>
            <w14:solidFill>
              <w14:schemeClr w14:val="tx1"/>
            </w14:solidFill>
          </w14:textFill>
        </w:rPr>
        <w:t>全年未发生安全生产事故和食品药品安全事故。“</w:t>
      </w:r>
      <w:r>
        <w:rPr>
          <w:rFonts w:hint="eastAsia" w:ascii="仿宋" w:hAnsi="仿宋" w:eastAsia="仿宋" w:cs="仿宋"/>
          <w:color w:val="000000" w:themeColor="text1"/>
          <w:sz w:val="32"/>
          <w:szCs w:val="32"/>
          <w:lang w:val="en-US" w:eastAsia="zh-CN"/>
          <w14:textFill>
            <w14:solidFill>
              <w14:schemeClr w14:val="tx1"/>
            </w14:solidFill>
          </w14:textFill>
        </w:rPr>
        <w:t>8.13</w:t>
      </w:r>
      <w:r>
        <w:rPr>
          <w:rFonts w:hint="eastAsia" w:ascii="仿宋" w:hAnsi="仿宋" w:eastAsia="仿宋" w:cs="仿宋"/>
          <w:color w:val="000000" w:themeColor="text1"/>
          <w:sz w:val="32"/>
          <w:szCs w:val="32"/>
          <w:lang w:eastAsia="zh-CN"/>
          <w14:textFill>
            <w14:solidFill>
              <w14:schemeClr w14:val="tx1"/>
            </w14:solidFill>
          </w14:textFill>
        </w:rPr>
        <w:t>”宁强油漆运输车侧翻、“</w:t>
      </w:r>
      <w:r>
        <w:rPr>
          <w:rFonts w:hint="eastAsia" w:ascii="仿宋" w:hAnsi="仿宋" w:eastAsia="仿宋" w:cs="仿宋"/>
          <w:color w:val="000000" w:themeColor="text1"/>
          <w:sz w:val="32"/>
          <w:szCs w:val="32"/>
          <w:lang w:val="en-US" w:eastAsia="zh-CN"/>
          <w14:textFill>
            <w14:solidFill>
              <w14:schemeClr w14:val="tx1"/>
            </w14:solidFill>
          </w14:textFill>
        </w:rPr>
        <w:t>9.28</w:t>
      </w:r>
      <w:r>
        <w:rPr>
          <w:rFonts w:hint="eastAsia" w:ascii="仿宋" w:hAnsi="仿宋" w:eastAsia="仿宋" w:cs="仿宋"/>
          <w:color w:val="000000" w:themeColor="text1"/>
          <w:sz w:val="32"/>
          <w:szCs w:val="32"/>
          <w:lang w:eastAsia="zh-CN"/>
          <w14:textFill>
            <w14:solidFill>
              <w14:schemeClr w14:val="tx1"/>
            </w14:solidFill>
          </w14:textFill>
        </w:rPr>
        <w:t>”京昆高速液化石油气泄露</w:t>
      </w:r>
      <w:r>
        <w:rPr>
          <w:rFonts w:hint="eastAsia" w:ascii="仿宋" w:hAnsi="仿宋" w:eastAsia="仿宋" w:cs="仿宋"/>
          <w:color w:val="000000" w:themeColor="text1"/>
          <w:sz w:val="32"/>
          <w:szCs w:val="32"/>
          <w:lang w:val="en-US" w:eastAsia="zh-CN"/>
          <w14:textFill>
            <w14:solidFill>
              <w14:schemeClr w14:val="tx1"/>
            </w14:solidFill>
          </w14:textFill>
        </w:rPr>
        <w:t>事件得到妥善应对，新冠肺炎疫情、非洲猪瘟疫情得到有效防控，应急管理明显加强。全镇人大、武装、群团等各项工作稳步推进，社会大局和谐稳定。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Cs/>
          <w:color w:val="000000"/>
          <w:sz w:val="32"/>
          <w:szCs w:val="32"/>
        </w:rPr>
      </w:pPr>
      <w:r>
        <w:rPr>
          <w:rFonts w:hint="eastAsia" w:ascii="仿宋" w:hAnsi="仿宋" w:eastAsia="仿宋" w:cs="仿宋"/>
          <w:color w:val="auto"/>
          <w:sz w:val="32"/>
          <w:szCs w:val="32"/>
          <w:lang w:eastAsia="zh-CN"/>
        </w:rPr>
        <w:t>（十）扛牢主责主业，深入全面从严治党。</w:t>
      </w:r>
      <w:r>
        <w:rPr>
          <w:rFonts w:hint="eastAsia" w:ascii="仿宋" w:hAnsi="仿宋" w:eastAsia="仿宋" w:cs="仿宋"/>
          <w:color w:val="auto"/>
          <w:sz w:val="32"/>
          <w:szCs w:val="32"/>
          <w:lang w:val="en-US" w:eastAsia="zh-CN"/>
        </w:rPr>
        <w:t>树牢“四个意识”，做到“两个坚决维护”，</w:t>
      </w:r>
      <w:r>
        <w:rPr>
          <w:rFonts w:hint="eastAsia" w:ascii="仿宋" w:hAnsi="仿宋" w:eastAsia="仿宋" w:cs="仿宋"/>
          <w:color w:val="auto"/>
          <w:sz w:val="32"/>
          <w:szCs w:val="32"/>
          <w:lang w:eastAsia="zh-CN"/>
        </w:rPr>
        <w:t>确保在政治上、思想上、行动上同党中央、省委、市委、区委保持高度一致。常态化开展“两学一做”学习教育，制定了《中子镇20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年党建工作要点》，全面夯实基层党组织体系建设，新发展党员</w:t>
      </w:r>
      <w:r>
        <w:rPr>
          <w:rFonts w:hint="eastAsia" w:ascii="仿宋" w:hAnsi="仿宋" w:eastAsia="仿宋" w:cs="仿宋"/>
          <w:color w:val="auto"/>
          <w:sz w:val="32"/>
          <w:szCs w:val="32"/>
          <w:lang w:val="en-US" w:eastAsia="zh-CN"/>
        </w:rPr>
        <w:t>12名，持续开展城乡党建结对共建和帮联结对认亲“六共”行动。</w:t>
      </w:r>
      <w:r>
        <w:rPr>
          <w:rFonts w:hint="eastAsia" w:ascii="仿宋" w:hAnsi="仿宋" w:eastAsia="仿宋" w:cs="仿宋"/>
          <w:color w:val="auto"/>
          <w:sz w:val="32"/>
          <w:szCs w:val="32"/>
          <w:lang w:eastAsia="zh-CN"/>
        </w:rPr>
        <w:t>深入开展“六大专项整治”，全年共召开党风廉政建设专题会议</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次，完善监督机构。</w:t>
      </w:r>
      <w:r>
        <w:rPr>
          <w:rFonts w:hint="eastAsia" w:ascii="仿宋" w:hAnsi="仿宋" w:eastAsia="仿宋" w:cs="仿宋"/>
          <w:color w:val="auto"/>
          <w:sz w:val="32"/>
          <w:szCs w:val="32"/>
          <w:lang w:val="en-US" w:eastAsia="zh-CN"/>
        </w:rPr>
        <w:t>在黎明等村试点村级监督管理“三单四廉”模式，</w:t>
      </w:r>
      <w:r>
        <w:rPr>
          <w:rFonts w:hint="eastAsia" w:ascii="仿宋" w:hAnsi="仿宋" w:eastAsia="仿宋" w:cs="仿宋"/>
          <w:color w:val="auto"/>
          <w:sz w:val="32"/>
          <w:szCs w:val="32"/>
          <w:lang w:eastAsia="zh-CN"/>
        </w:rPr>
        <w:t>切实强化执纪问责，全年共立案查处</w:t>
      </w:r>
      <w:r>
        <w:rPr>
          <w:rFonts w:hint="eastAsia" w:ascii="仿宋" w:hAnsi="仿宋" w:eastAsia="仿宋" w:cs="仿宋"/>
          <w:color w:val="auto"/>
          <w:sz w:val="32"/>
          <w:szCs w:val="32"/>
          <w:lang w:val="en-US" w:eastAsia="zh-CN"/>
        </w:rPr>
        <w:t>10人，诫勉谈话3人次，通报批评2人次</w:t>
      </w:r>
      <w:r>
        <w:rPr>
          <w:rFonts w:hint="eastAsia" w:ascii="仿宋" w:hAnsi="仿宋" w:eastAsia="仿宋" w:cs="仿宋"/>
          <w:color w:val="auto"/>
          <w:sz w:val="32"/>
          <w:szCs w:val="32"/>
          <w:lang w:eastAsia="zh-CN"/>
        </w:rPr>
        <w:t>，形成风清气正的良好氛围。</w:t>
      </w:r>
    </w:p>
    <w:p>
      <w:pPr>
        <w:pStyle w:val="5"/>
        <w:pageBreakBefore w:val="0"/>
        <w:widowControl w:val="0"/>
        <w:kinsoku/>
        <w:wordWrap/>
        <w:overflowPunct/>
        <w:topLinePunct w:val="0"/>
        <w:autoSpaceDE/>
        <w:autoSpaceDN/>
        <w:bidi w:val="0"/>
        <w:spacing w:before="0" w:after="0" w:line="560" w:lineRule="exact"/>
        <w:ind w:left="0" w:leftChars="0" w:firstLine="640" w:firstLineChars="200"/>
        <w:textAlignment w:val="auto"/>
        <w:rPr>
          <w:rStyle w:val="20"/>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20"/>
      <w:bookmarkEnd w:id="21"/>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本单位</w:t>
      </w:r>
      <w:r>
        <w:rPr>
          <w:rFonts w:hint="eastAsia" w:ascii="仿宋_GB2312" w:eastAsia="仿宋_GB2312"/>
          <w:color w:val="auto"/>
          <w:sz w:val="32"/>
          <w:szCs w:val="32"/>
          <w:highlight w:val="none"/>
          <w:lang w:eastAsia="zh-CN"/>
        </w:rPr>
        <w:t>性质为</w:t>
      </w:r>
      <w:r>
        <w:rPr>
          <w:rFonts w:hint="eastAsia" w:ascii="仿宋_GB2312" w:eastAsia="仿宋_GB2312"/>
          <w:color w:val="auto"/>
          <w:sz w:val="32"/>
          <w:szCs w:val="32"/>
          <w:highlight w:val="none"/>
        </w:rPr>
        <w:t>行政单位，执行</w:t>
      </w:r>
      <w:r>
        <w:rPr>
          <w:rFonts w:hint="eastAsia" w:ascii="仿宋_GB2312" w:eastAsia="仿宋_GB2312"/>
          <w:color w:val="auto"/>
          <w:sz w:val="32"/>
          <w:szCs w:val="32"/>
          <w:highlight w:val="none"/>
          <w:lang w:eastAsia="zh-CN"/>
        </w:rPr>
        <w:t>政府</w:t>
      </w:r>
      <w:r>
        <w:rPr>
          <w:rFonts w:hint="eastAsia" w:ascii="仿宋_GB2312" w:eastAsia="仿宋_GB2312"/>
          <w:color w:val="auto"/>
          <w:sz w:val="32"/>
          <w:szCs w:val="32"/>
          <w:highlight w:val="none"/>
        </w:rPr>
        <w:t>会计</w:t>
      </w:r>
      <w:r>
        <w:rPr>
          <w:rFonts w:hint="eastAsia" w:ascii="仿宋_GB2312" w:eastAsia="仿宋_GB2312"/>
          <w:color w:val="auto"/>
          <w:sz w:val="32"/>
          <w:szCs w:val="32"/>
          <w:highlight w:val="none"/>
          <w:lang w:eastAsia="zh-CN"/>
        </w:rPr>
        <w:t>准则</w:t>
      </w:r>
      <w:r>
        <w:rPr>
          <w:rFonts w:hint="eastAsia" w:ascii="仿宋_GB2312" w:eastAsia="仿宋_GB2312"/>
          <w:color w:val="auto"/>
          <w:sz w:val="32"/>
          <w:szCs w:val="32"/>
          <w:highlight w:val="none"/>
        </w:rPr>
        <w:t>制度，一级预算单位，决算汇编户数1个。</w:t>
      </w: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rPr>
          <w:rFonts w:hint="eastAsia"/>
        </w:rPr>
      </w:pPr>
    </w:p>
    <w:p>
      <w:pPr>
        <w:pStyle w:val="4"/>
        <w:ind w:right="440"/>
        <w:jc w:val="right"/>
        <w:rPr>
          <w:rFonts w:hint="eastAsia" w:ascii="黑体" w:hAnsi="黑体" w:eastAsia="黑体"/>
          <w:b w:val="0"/>
          <w:color w:val="000000"/>
        </w:rPr>
      </w:pPr>
      <w:bookmarkStart w:id="22" w:name="_Toc15377204"/>
      <w:bookmarkStart w:id="23" w:name="_Toc15396602"/>
    </w:p>
    <w:p>
      <w:pPr>
        <w:pStyle w:val="4"/>
        <w:ind w:right="440"/>
        <w:jc w:val="right"/>
        <w:rPr>
          <w:rStyle w:val="19"/>
          <w:rFonts w:ascii="黑体" w:hAnsi="黑体" w:eastAsia="黑体"/>
          <w:b w:val="0"/>
          <w:bCs w:val="0"/>
        </w:rPr>
      </w:pPr>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2020</w:t>
      </w:r>
      <w:r>
        <w:rPr>
          <w:rStyle w:val="19"/>
          <w:rFonts w:hint="eastAsia" w:ascii="黑体" w:hAnsi="黑体" w:eastAsia="黑体"/>
          <w:b w:val="0"/>
          <w:bCs w:val="0"/>
        </w:rPr>
        <w:t>年度部门决算情况说明</w:t>
      </w:r>
      <w:bookmarkEnd w:id="22"/>
      <w:bookmarkEnd w:id="23"/>
    </w:p>
    <w:p/>
    <w:p>
      <w:pPr>
        <w:pStyle w:val="29"/>
        <w:numPr>
          <w:ilvl w:val="0"/>
          <w:numId w:val="1"/>
        </w:numPr>
        <w:spacing w:line="600" w:lineRule="exact"/>
        <w:ind w:firstLineChars="0"/>
        <w:outlineLvl w:val="1"/>
        <w:rPr>
          <w:rStyle w:val="20"/>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73.89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行政区划调整</w:t>
      </w:r>
      <w:r>
        <w:rPr>
          <w:rFonts w:hint="eastAsia" w:ascii="仿宋_GB2312" w:hAnsi="仿宋" w:eastAsia="仿宋_GB2312"/>
          <w:sz w:val="32"/>
          <w:szCs w:val="32"/>
          <w:lang w:val="en-US" w:eastAsia="zh-CN"/>
        </w:rPr>
        <w:t>乡镇合并后</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人员增加，工作任务加重，行政运行成本增加，人员经费和日常公用经费开支增加，项目支出增加。</w:t>
      </w:r>
    </w:p>
    <w:p>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194810" cy="2667000"/>
            <wp:effectExtent l="0" t="0" r="152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9"/>
        <w:numPr>
          <w:ilvl w:val="0"/>
          <w:numId w:val="1"/>
        </w:numPr>
        <w:spacing w:line="600" w:lineRule="exact"/>
        <w:ind w:firstLineChars="0"/>
        <w:outlineLvl w:val="1"/>
        <w:rPr>
          <w:rStyle w:val="20"/>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915035</wp:posOffset>
            </wp:positionH>
            <wp:positionV relativeFrom="paragraph">
              <wp:posOffset>174625</wp:posOffset>
            </wp:positionV>
            <wp:extent cx="3197225" cy="2286000"/>
            <wp:effectExtent l="4445" t="4445" r="17780"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9"/>
        <w:numPr>
          <w:ilvl w:val="0"/>
          <w:numId w:val="1"/>
        </w:numPr>
        <w:spacing w:line="600" w:lineRule="exact"/>
        <w:ind w:firstLineChars="0"/>
        <w:outlineLvl w:val="1"/>
        <w:rPr>
          <w:rStyle w:val="20"/>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0"/>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1027.5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60.1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682.12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shd w:val="pct10" w:color="auto" w:fill="FFFFFF"/>
          <w:lang w:eastAsia="zh-CN"/>
        </w:rPr>
      </w:pPr>
      <w:r>
        <w:rPr>
          <w:rFonts w:hint="eastAsia" w:ascii="仿宋" w:hAnsi="仿宋" w:eastAsia="仿宋"/>
          <w:color w:val="000000"/>
          <w:sz w:val="32"/>
          <w:szCs w:val="32"/>
          <w:shd w:val="pct10" w:color="auto" w:fill="FFFFFF"/>
          <w:lang w:eastAsia="zh-CN"/>
        </w:rPr>
        <w:drawing>
          <wp:inline distT="0" distB="0" distL="114300" distR="114300">
            <wp:extent cx="3710305" cy="2192655"/>
            <wp:effectExtent l="0" t="0" r="4445" b="55245"/>
            <wp:docPr id="6" name="图表 6"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0"/>
          <w:rFonts w:ascii="黑体" w:hAnsi="黑体" w:eastAsia="黑体"/>
          <w:b w:val="0"/>
        </w:rPr>
      </w:pPr>
      <w:bookmarkStart w:id="30" w:name="_Toc15396606"/>
      <w:bookmarkStart w:id="31" w:name="_Toc15377208"/>
      <w:r>
        <w:rPr>
          <w:rFonts w:hint="eastAsia" w:ascii="黑体" w:hAnsi="黑体" w:eastAsia="黑体"/>
          <w:color w:val="000000"/>
          <w:sz w:val="32"/>
          <w:szCs w:val="32"/>
          <w:highlight w:val="none"/>
        </w:rPr>
        <w:t>四</w:t>
      </w:r>
      <w:r>
        <w:rPr>
          <w:rFonts w:hint="eastAsia" w:ascii="黑体" w:hAnsi="黑体" w:eastAsia="黑体"/>
          <w:color w:val="000000"/>
          <w:sz w:val="32"/>
          <w:szCs w:val="32"/>
        </w:rPr>
        <w:t>、财</w:t>
      </w:r>
      <w:r>
        <w:rPr>
          <w:rStyle w:val="20"/>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 w:eastAsia="仿宋_GB2312"/>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73.89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行政区划调整</w:t>
      </w:r>
      <w:r>
        <w:rPr>
          <w:rFonts w:hint="eastAsia" w:ascii="仿宋_GB2312" w:hAnsi="仿宋" w:eastAsia="仿宋_GB2312"/>
          <w:sz w:val="32"/>
          <w:szCs w:val="32"/>
          <w:lang w:val="en-US" w:eastAsia="zh-CN"/>
        </w:rPr>
        <w:t>乡镇合并后</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人员增加，工作任务加重，行政运行成本增加，人员经费和日常公用经费开支增加，项目支出增加。</w:t>
      </w:r>
    </w:p>
    <w:p>
      <w:pPr>
        <w:spacing w:line="600" w:lineRule="exact"/>
        <w:ind w:firstLine="420" w:firstLineChars="200"/>
        <w:rPr>
          <w:rFonts w:hint="eastAsia" w:ascii="仿宋_GB2312" w:hAnsi="仿宋" w:eastAsia="仿宋_GB2312"/>
          <w:sz w:val="32"/>
          <w:szCs w:val="32"/>
          <w:lang w:val="en-US"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876935</wp:posOffset>
            </wp:positionH>
            <wp:positionV relativeFrom="paragraph">
              <wp:posOffset>66675</wp:posOffset>
            </wp:positionV>
            <wp:extent cx="3669665" cy="2751455"/>
            <wp:effectExtent l="0" t="0" r="698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eastAsia" w:ascii="仿宋_GB2312" w:hAnsi="仿宋" w:eastAsia="仿宋_GB2312"/>
          <w:sz w:val="32"/>
          <w:szCs w:val="32"/>
          <w:lang w:val="en-US" w:eastAsia="zh-CN"/>
        </w:rPr>
      </w:pPr>
    </w:p>
    <w:p>
      <w:pPr>
        <w:pStyle w:val="2"/>
        <w:rPr>
          <w:rFonts w:hint="eastAsia"/>
          <w:lang w:val="en-US"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0"/>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万元，占本年支出合</w:t>
      </w:r>
      <w:r>
        <w:rPr>
          <w:rFonts w:hint="eastAsia" w:ascii="仿宋" w:hAnsi="仿宋" w:eastAsia="仿宋"/>
          <w:color w:val="000000"/>
          <w:sz w:val="32"/>
          <w:szCs w:val="32"/>
          <w:highlight w:val="none"/>
        </w:rPr>
        <w:t>计的</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73.89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人员增加，工作任务加重，行政运行成本增加，项目支出增加。</w:t>
      </w:r>
    </w:p>
    <w:p>
      <w:pPr>
        <w:pStyle w:val="2"/>
        <w:rPr>
          <w:rFonts w:ascii="仿宋" w:hAnsi="仿宋" w:eastAsia="仿宋"/>
          <w:color w:val="000000"/>
          <w:sz w:val="32"/>
          <w:szCs w:val="3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619125</wp:posOffset>
            </wp:positionH>
            <wp:positionV relativeFrom="paragraph">
              <wp:posOffset>123825</wp:posOffset>
            </wp:positionV>
            <wp:extent cx="3669665" cy="2751455"/>
            <wp:effectExtent l="0" t="0" r="698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1709.62</w:t>
      </w:r>
      <w:r>
        <w:rPr>
          <w:rFonts w:hint="eastAsia" w:ascii="仿宋" w:hAnsi="仿宋" w:eastAsia="仿宋"/>
          <w:color w:val="000000"/>
          <w:sz w:val="32"/>
          <w:szCs w:val="32"/>
        </w:rPr>
        <w:t>万元，主要用于以下方面</w:t>
      </w:r>
      <w:r>
        <w:rPr>
          <w:rFonts w:ascii="仿宋" w:hAnsi="仿宋" w:eastAsia="仿宋"/>
          <w:color w:val="000000"/>
          <w:sz w:val="32"/>
          <w:szCs w:val="32"/>
        </w:rPr>
        <w:t>:</w:t>
      </w:r>
      <w:bookmarkStart w:id="36" w:name="OLE_LINK2"/>
      <w:r>
        <w:rPr>
          <w:rFonts w:hint="eastAsia" w:ascii="仿宋" w:hAnsi="仿宋" w:eastAsia="仿宋"/>
          <w:b/>
          <w:color w:val="000000"/>
          <w:sz w:val="32"/>
          <w:szCs w:val="32"/>
        </w:rPr>
        <w:t>一般公共服务</w:t>
      </w:r>
      <w:bookmarkEnd w:id="36"/>
      <w:r>
        <w:rPr>
          <w:rFonts w:hint="eastAsia" w:ascii="仿宋" w:hAnsi="仿宋" w:eastAsia="仿宋"/>
          <w:b/>
          <w:color w:val="000000"/>
          <w:sz w:val="32"/>
          <w:szCs w:val="32"/>
        </w:rPr>
        <w:t>（类）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581.89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highlight w:val="none"/>
        </w:rPr>
        <w:t>教育支出（类）</w:t>
      </w:r>
      <w:r>
        <w:rPr>
          <w:rFonts w:hint="eastAsia" w:ascii="仿宋" w:hAnsi="仿宋" w:eastAsia="仿宋"/>
          <w:color w:val="000000"/>
          <w:sz w:val="32"/>
          <w:szCs w:val="32"/>
          <w:highlight w:val="none"/>
          <w:lang w:val="en-US" w:eastAsia="zh-CN"/>
        </w:rPr>
        <w:t>3.7</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0.2</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185.28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73.01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农林水支出</w:t>
      </w:r>
      <w:r>
        <w:rPr>
          <w:rFonts w:hint="eastAsia" w:ascii="仿宋" w:hAnsi="仿宋" w:eastAsia="仿宋"/>
          <w:b/>
          <w:bCs/>
          <w:color w:val="000000"/>
          <w:sz w:val="32"/>
          <w:szCs w:val="32"/>
          <w:lang w:eastAsia="zh-CN"/>
        </w:rPr>
        <w:t>（类）</w:t>
      </w:r>
      <w:r>
        <w:rPr>
          <w:rFonts w:hint="eastAsia" w:ascii="仿宋" w:hAnsi="仿宋" w:eastAsia="仿宋"/>
          <w:color w:val="000000"/>
          <w:sz w:val="32"/>
          <w:szCs w:val="32"/>
          <w:lang w:val="en-US" w:eastAsia="zh-CN"/>
        </w:rPr>
        <w:t>730.54</w:t>
      </w:r>
      <w:r>
        <w:rPr>
          <w:rFonts w:hint="eastAsia" w:ascii="仿宋" w:hAnsi="仿宋" w:eastAsia="仿宋"/>
          <w:color w:val="000000"/>
          <w:sz w:val="32"/>
          <w:szCs w:val="32"/>
          <w:lang w:eastAsia="zh-CN"/>
        </w:rPr>
        <w:t>万元，占</w:t>
      </w:r>
      <w:r>
        <w:rPr>
          <w:rFonts w:hint="eastAsia" w:ascii="仿宋" w:hAnsi="仿宋" w:eastAsia="仿宋"/>
          <w:color w:val="000000"/>
          <w:sz w:val="32"/>
          <w:szCs w:val="32"/>
          <w:lang w:val="en-US" w:eastAsia="zh-CN"/>
        </w:rPr>
        <w:t>42.73</w:t>
      </w:r>
      <w:r>
        <w:rPr>
          <w:rFonts w:hint="eastAsia" w:ascii="仿宋" w:hAnsi="仿宋" w:eastAsia="仿宋"/>
          <w:color w:val="000000"/>
          <w:sz w:val="32"/>
          <w:szCs w:val="32"/>
          <w:lang w:eastAsia="zh-CN"/>
        </w:rPr>
        <w:t>%；</w:t>
      </w:r>
      <w:r>
        <w:rPr>
          <w:rFonts w:hint="eastAsia" w:ascii="仿宋" w:hAnsi="仿宋" w:eastAsia="仿宋"/>
          <w:b/>
          <w:color w:val="000000"/>
          <w:sz w:val="32"/>
          <w:szCs w:val="32"/>
        </w:rPr>
        <w:t>住房保障支出（类）</w:t>
      </w:r>
      <w:r>
        <w:rPr>
          <w:rFonts w:hint="eastAsia" w:ascii="仿宋" w:hAnsi="仿宋" w:eastAsia="仿宋"/>
          <w:color w:val="000000"/>
          <w:sz w:val="32"/>
          <w:szCs w:val="32"/>
          <w:lang w:val="en-US" w:eastAsia="zh-CN"/>
        </w:rPr>
        <w:t>115.2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w:t>
      </w:r>
      <w:r>
        <w:rPr>
          <w:rFonts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b/>
          <w:color w:val="000000"/>
          <w:sz w:val="32"/>
          <w:szCs w:val="32"/>
        </w:rPr>
        <w:t>灾害防治及应急管理支出（类）</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w:t>
      </w:r>
      <w:r>
        <w:rPr>
          <w:rFonts w:ascii="仿宋" w:hAnsi="仿宋" w:eastAsia="仿宋"/>
          <w:color w:val="000000"/>
          <w:sz w:val="32"/>
          <w:szCs w:val="32"/>
        </w:rPr>
        <w:t>%</w:t>
      </w:r>
      <w:r>
        <w:rPr>
          <w:rFonts w:hint="eastAsia" w:ascii="仿宋_GB2312" w:hAnsi="仿宋" w:eastAsia="仿宋_GB2312"/>
          <w:sz w:val="32"/>
          <w:szCs w:val="32"/>
          <w:lang w:val="en-US" w:eastAsia="zh-CN"/>
        </w:rPr>
        <w:t>。</w:t>
      </w:r>
    </w:p>
    <w:p>
      <w:pPr>
        <w:spacing w:line="600" w:lineRule="exact"/>
        <w:ind w:firstLine="642" w:firstLineChars="200"/>
        <w:rPr>
          <w:rFonts w:hint="eastAsia" w:ascii="仿宋" w:hAnsi="仿宋" w:eastAsia="仿宋"/>
          <w:b/>
          <w:color w:val="000000"/>
          <w:sz w:val="32"/>
          <w:szCs w:val="32"/>
        </w:rPr>
      </w:pPr>
      <w:r>
        <w:rPr>
          <w:rFonts w:hint="eastAsia" w:ascii="仿宋" w:hAnsi="仿宋" w:eastAsia="仿宋"/>
          <w:b/>
          <w:color w:val="000000"/>
          <w:sz w:val="32"/>
          <w:szCs w:val="32"/>
        </w:rPr>
        <w:drawing>
          <wp:anchor distT="0" distB="0" distL="114300" distR="114300" simplePos="0" relativeHeight="251664384" behindDoc="0" locked="0" layoutInCell="1" allowOverlap="1">
            <wp:simplePos x="0" y="0"/>
            <wp:positionH relativeFrom="column">
              <wp:posOffset>528320</wp:posOffset>
            </wp:positionH>
            <wp:positionV relativeFrom="paragraph">
              <wp:posOffset>125730</wp:posOffset>
            </wp:positionV>
            <wp:extent cx="3804285" cy="2286000"/>
            <wp:effectExtent l="4445" t="5080" r="2032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37" w:name="_Toc15377212"/>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7"/>
    </w:p>
    <w:p>
      <w:pPr>
        <w:spacing w:line="600" w:lineRule="exact"/>
        <w:ind w:firstLine="642" w:firstLineChars="200"/>
        <w:outlineLvl w:val="2"/>
        <w:rPr>
          <w:rFonts w:ascii="仿宋" w:hAnsi="仿宋" w:eastAsia="仿宋"/>
          <w:color w:val="FF0000"/>
          <w:sz w:val="32"/>
          <w:szCs w:val="32"/>
        </w:rPr>
      </w:pPr>
      <w:bookmarkStart w:id="38" w:name="_Toc15377213"/>
      <w:bookmarkStart w:id="39" w:name="_Toc15377444"/>
      <w:bookmarkStart w:id="40" w:name="_Toc15378460"/>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1709.62万元</w:t>
      </w:r>
      <w:r>
        <w:rPr>
          <w:rFonts w:hint="eastAsia" w:ascii="仿宋" w:hAnsi="仿宋" w:eastAsia="仿宋"/>
          <w:color w:val="000000"/>
          <w:sz w:val="32"/>
          <w:szCs w:val="32"/>
        </w:rPr>
        <w:t>，</w:t>
      </w:r>
      <w:r>
        <w:rPr>
          <w:rStyle w:val="17"/>
          <w:rFonts w:hint="eastAsia" w:ascii="仿宋" w:hAnsi="仿宋" w:eastAsia="仿宋"/>
          <w:bCs/>
          <w:color w:val="000000"/>
          <w:sz w:val="32"/>
          <w:szCs w:val="32"/>
        </w:rPr>
        <w:t>完成预算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8"/>
      <w:bookmarkEnd w:id="39"/>
      <w:bookmarkEnd w:id="40"/>
    </w:p>
    <w:p>
      <w:pPr>
        <w:spacing w:line="600" w:lineRule="exact"/>
        <w:ind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kern w:val="2"/>
          <w:sz w:val="32"/>
          <w:szCs w:val="32"/>
          <w:highlight w:val="none"/>
          <w:lang w:val="en-US" w:eastAsia="zh-CN" w:bidi="ar-SA"/>
        </w:rPr>
        <w:t>1.</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人大事务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行政运行</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19</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kern w:val="2"/>
          <w:sz w:val="32"/>
          <w:szCs w:val="32"/>
          <w:highlight w:val="none"/>
          <w:lang w:val="en-US" w:eastAsia="zh-CN" w:bidi="ar-SA"/>
        </w:rPr>
        <w:t>2.</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政府办公厅（室）及相关机构事务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行政运行</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381.94</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rFonts w:hint="eastAsia"/>
        </w:rPr>
      </w:pPr>
      <w:r>
        <w:rPr>
          <w:rStyle w:val="17"/>
          <w:rFonts w:hint="eastAsia" w:ascii="仿宋" w:hAnsi="仿宋" w:eastAsia="仿宋"/>
          <w:bCs/>
          <w:color w:val="000000"/>
          <w:sz w:val="32"/>
          <w:szCs w:val="32"/>
          <w:highlight w:val="none"/>
          <w:lang w:val="en-US" w:eastAsia="zh-CN"/>
        </w:rPr>
        <w:t>3.</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政府办公厅（室）及相关机构事务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 xml:space="preserve">  一般行政管理事务</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42.8</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4.</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财政事务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行政运行</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36.08</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rFonts w:hint="default" w:eastAsia="仿宋"/>
          <w:lang w:val="en-US" w:eastAsia="zh-CN"/>
        </w:rPr>
      </w:pPr>
      <w:r>
        <w:rPr>
          <w:rStyle w:val="17"/>
          <w:rFonts w:hint="eastAsia" w:ascii="仿宋" w:hAnsi="仿宋" w:eastAsia="仿宋"/>
          <w:bCs/>
          <w:color w:val="000000"/>
          <w:sz w:val="32"/>
          <w:szCs w:val="32"/>
          <w:highlight w:val="none"/>
          <w:lang w:val="en-US" w:eastAsia="zh-CN"/>
        </w:rPr>
        <w:t>5.</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财政事务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信息化建设</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0.72</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0" w:firstLineChars="200"/>
        <w:rPr>
          <w:rStyle w:val="17"/>
          <w:rFonts w:hint="eastAsia" w:ascii="仿宋" w:hAnsi="仿宋" w:eastAsia="仿宋"/>
          <w:b w:val="0"/>
          <w:bCs/>
          <w:color w:val="000000"/>
          <w:sz w:val="32"/>
          <w:szCs w:val="32"/>
          <w:highlight w:val="none"/>
        </w:rPr>
      </w:pPr>
      <w:r>
        <w:rPr>
          <w:rFonts w:hint="eastAsia"/>
          <w:sz w:val="32"/>
          <w:szCs w:val="32"/>
          <w:highlight w:val="none"/>
          <w:lang w:val="en-US" w:eastAsia="zh-CN"/>
        </w:rPr>
        <w:t>6.</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党委办公厅（室）及相关机构事务</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行政运行</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26.35</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ind w:left="0" w:leftChars="0" w:firstLine="640" w:firstLineChars="200"/>
        <w:rPr>
          <w:highlight w:val="none"/>
        </w:rPr>
      </w:pPr>
      <w:r>
        <w:rPr>
          <w:rFonts w:hint="eastAsia"/>
          <w:sz w:val="32"/>
          <w:szCs w:val="32"/>
          <w:highlight w:val="none"/>
          <w:lang w:val="en-US" w:eastAsia="zh-CN"/>
        </w:rPr>
        <w:t>7.</w:t>
      </w:r>
      <w:r>
        <w:rPr>
          <w:rStyle w:val="17"/>
          <w:rFonts w:hint="eastAsia" w:ascii="仿宋" w:hAnsi="仿宋" w:eastAsia="仿宋"/>
          <w:bCs/>
          <w:color w:val="000000"/>
          <w:sz w:val="32"/>
          <w:szCs w:val="32"/>
          <w:highlight w:val="none"/>
        </w:rPr>
        <w:t>一般公共服务（类）</w:t>
      </w:r>
      <w:r>
        <w:rPr>
          <w:rStyle w:val="17"/>
          <w:rFonts w:hint="eastAsia" w:ascii="仿宋" w:hAnsi="仿宋" w:eastAsia="仿宋"/>
          <w:bCs/>
          <w:color w:val="000000"/>
          <w:sz w:val="32"/>
          <w:szCs w:val="32"/>
          <w:highlight w:val="none"/>
          <w:lang w:eastAsia="zh-CN"/>
        </w:rPr>
        <w:t>其他一般公共服务支出</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其他一般公共服务支出</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75</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8</w:t>
      </w:r>
      <w:r>
        <w:rPr>
          <w:rStyle w:val="17"/>
          <w:rFonts w:ascii="仿宋" w:hAnsi="仿宋" w:eastAsia="仿宋"/>
          <w:bCs/>
          <w:color w:val="000000"/>
          <w:sz w:val="32"/>
          <w:szCs w:val="32"/>
          <w:highlight w:val="none"/>
        </w:rPr>
        <w:t>.</w:t>
      </w:r>
      <w:r>
        <w:rPr>
          <w:rStyle w:val="17"/>
          <w:rFonts w:hint="eastAsia" w:ascii="仿宋" w:hAnsi="仿宋" w:eastAsia="仿宋"/>
          <w:bCs/>
          <w:color w:val="000000"/>
          <w:sz w:val="32"/>
          <w:szCs w:val="32"/>
          <w:highlight w:val="none"/>
        </w:rPr>
        <w:t>教育（类）进修及培训（款）</w:t>
      </w:r>
      <w:r>
        <w:rPr>
          <w:rStyle w:val="17"/>
          <w:rFonts w:hint="eastAsia" w:ascii="仿宋" w:hAnsi="仿宋" w:eastAsia="仿宋"/>
          <w:bCs/>
          <w:color w:val="000000"/>
          <w:sz w:val="32"/>
          <w:szCs w:val="32"/>
          <w:highlight w:val="none"/>
          <w:lang w:eastAsia="zh-CN"/>
        </w:rPr>
        <w:t>培训支出</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3.7</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9</w:t>
      </w:r>
      <w:r>
        <w:rPr>
          <w:rStyle w:val="17"/>
          <w:rFonts w:ascii="仿宋" w:hAnsi="仿宋" w:eastAsia="仿宋"/>
          <w:bCs/>
          <w:color w:val="000000"/>
          <w:sz w:val="32"/>
          <w:szCs w:val="32"/>
          <w:highlight w:val="none"/>
        </w:rPr>
        <w:t>.</w:t>
      </w:r>
      <w:r>
        <w:rPr>
          <w:rStyle w:val="17"/>
          <w:rFonts w:hint="eastAsia" w:ascii="仿宋" w:hAnsi="仿宋" w:eastAsia="仿宋"/>
          <w:bCs/>
          <w:color w:val="000000"/>
          <w:sz w:val="32"/>
          <w:szCs w:val="32"/>
          <w:highlight w:val="none"/>
        </w:rPr>
        <w:t>社会保障和就业（类）人力资源和社会保障管理事务（款</w:t>
      </w:r>
      <w:r>
        <w:rPr>
          <w:rStyle w:val="17"/>
          <w:rFonts w:hint="eastAsia" w:ascii="仿宋" w:hAnsi="仿宋" w:eastAsia="仿宋"/>
          <w:bCs/>
          <w:color w:val="000000"/>
          <w:sz w:val="32"/>
          <w:szCs w:val="32"/>
          <w:highlight w:val="none"/>
          <w:lang w:eastAsia="zh-CN"/>
        </w:rPr>
        <w:t>）</w:t>
      </w:r>
      <w:r>
        <w:rPr>
          <w:rStyle w:val="17"/>
          <w:rFonts w:hint="eastAsia" w:ascii="仿宋" w:hAnsi="仿宋" w:eastAsia="仿宋"/>
          <w:bCs/>
          <w:color w:val="000000"/>
          <w:sz w:val="32"/>
          <w:szCs w:val="32"/>
          <w:highlight w:val="none"/>
        </w:rPr>
        <w:t>行政运行（项）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46.51</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10</w:t>
      </w:r>
      <w:r>
        <w:rPr>
          <w:rStyle w:val="17"/>
          <w:rFonts w:ascii="仿宋" w:hAnsi="仿宋" w:eastAsia="仿宋"/>
          <w:bCs/>
          <w:color w:val="000000"/>
          <w:sz w:val="32"/>
          <w:szCs w:val="32"/>
          <w:highlight w:val="none"/>
        </w:rPr>
        <w:t>.</w:t>
      </w:r>
      <w:r>
        <w:rPr>
          <w:rStyle w:val="17"/>
          <w:rFonts w:hint="eastAsia" w:ascii="仿宋" w:hAnsi="仿宋" w:eastAsia="仿宋"/>
          <w:bCs/>
          <w:color w:val="000000"/>
          <w:sz w:val="32"/>
          <w:szCs w:val="32"/>
          <w:highlight w:val="none"/>
        </w:rPr>
        <w:t>社会保障和就业（类）行政事业单位养老支出（款</w:t>
      </w:r>
      <w:r>
        <w:rPr>
          <w:rStyle w:val="17"/>
          <w:rFonts w:hint="eastAsia" w:ascii="仿宋" w:hAnsi="仿宋" w:eastAsia="仿宋"/>
          <w:bCs/>
          <w:color w:val="000000"/>
          <w:sz w:val="32"/>
          <w:szCs w:val="32"/>
          <w:highlight w:val="none"/>
          <w:lang w:eastAsia="zh-CN"/>
        </w:rPr>
        <w:t>）</w:t>
      </w:r>
      <w:r>
        <w:rPr>
          <w:rStyle w:val="17"/>
          <w:rFonts w:hint="eastAsia" w:ascii="仿宋" w:hAnsi="仿宋" w:eastAsia="仿宋"/>
          <w:bCs/>
          <w:color w:val="000000"/>
          <w:sz w:val="32"/>
          <w:szCs w:val="32"/>
          <w:highlight w:val="none"/>
        </w:rPr>
        <w:t xml:space="preserve">  机关事业单位基本养老保险缴费支出（项）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73.92</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ind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11.</w:t>
      </w:r>
      <w:r>
        <w:rPr>
          <w:rStyle w:val="17"/>
          <w:rFonts w:hint="eastAsia" w:ascii="仿宋" w:hAnsi="仿宋" w:eastAsia="仿宋"/>
          <w:bCs/>
          <w:color w:val="000000"/>
          <w:sz w:val="32"/>
          <w:szCs w:val="32"/>
          <w:highlight w:val="none"/>
        </w:rPr>
        <w:t>社会保障和就业（类）行政事业单位养老支出（款</w:t>
      </w:r>
      <w:r>
        <w:rPr>
          <w:rStyle w:val="17"/>
          <w:rFonts w:hint="eastAsia" w:ascii="仿宋" w:hAnsi="仿宋" w:eastAsia="仿宋"/>
          <w:bCs/>
          <w:color w:val="000000"/>
          <w:sz w:val="32"/>
          <w:szCs w:val="32"/>
          <w:highlight w:val="none"/>
          <w:lang w:eastAsia="zh-CN"/>
        </w:rPr>
        <w:t>）</w:t>
      </w:r>
      <w:r>
        <w:rPr>
          <w:rStyle w:val="17"/>
          <w:rFonts w:hint="eastAsia" w:ascii="仿宋" w:hAnsi="仿宋" w:eastAsia="仿宋"/>
          <w:bCs/>
          <w:color w:val="000000"/>
          <w:sz w:val="32"/>
          <w:szCs w:val="32"/>
          <w:highlight w:val="none"/>
        </w:rPr>
        <w:t>机关事业单位职业年金缴费支出（项）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8.86</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ind w:firstLine="642" w:firstLineChars="200"/>
      </w:pPr>
      <w:r>
        <w:rPr>
          <w:rStyle w:val="17"/>
          <w:rFonts w:hint="eastAsia" w:ascii="仿宋" w:hAnsi="仿宋" w:eastAsia="仿宋"/>
          <w:bCs/>
          <w:color w:val="000000"/>
          <w:sz w:val="32"/>
          <w:szCs w:val="32"/>
          <w:highlight w:val="none"/>
          <w:lang w:val="en-US" w:eastAsia="zh-CN"/>
        </w:rPr>
        <w:t>12.</w:t>
      </w:r>
      <w:r>
        <w:rPr>
          <w:rStyle w:val="17"/>
          <w:rFonts w:hint="eastAsia" w:ascii="仿宋" w:hAnsi="仿宋" w:eastAsia="仿宋"/>
          <w:bCs/>
          <w:color w:val="000000"/>
          <w:sz w:val="32"/>
          <w:szCs w:val="32"/>
          <w:highlight w:val="none"/>
        </w:rPr>
        <w:t>社会保障和就业（类）抚恤（款</w:t>
      </w:r>
      <w:r>
        <w:rPr>
          <w:rStyle w:val="17"/>
          <w:rFonts w:hint="eastAsia" w:ascii="仿宋" w:hAnsi="仿宋" w:eastAsia="仿宋"/>
          <w:bCs/>
          <w:color w:val="000000"/>
          <w:sz w:val="32"/>
          <w:szCs w:val="32"/>
          <w:highlight w:val="none"/>
          <w:lang w:eastAsia="zh-CN"/>
        </w:rPr>
        <w:t>）</w:t>
      </w:r>
      <w:r>
        <w:rPr>
          <w:rStyle w:val="17"/>
          <w:rFonts w:hint="eastAsia" w:ascii="仿宋" w:hAnsi="仿宋" w:eastAsia="仿宋"/>
          <w:bCs/>
          <w:color w:val="000000"/>
          <w:sz w:val="32"/>
          <w:szCs w:val="32"/>
          <w:highlight w:val="none"/>
        </w:rPr>
        <w:t xml:space="preserve"> 死亡抚恤（项）</w:t>
      </w:r>
      <w:r>
        <w:rPr>
          <w:rStyle w:val="17"/>
          <w:rFonts w:ascii="仿宋" w:hAnsi="仿宋" w:eastAsia="仿宋"/>
          <w:bCs/>
          <w:color w:val="000000"/>
          <w:sz w:val="32"/>
          <w:szCs w:val="32"/>
          <w:highlight w:val="none"/>
        </w:rPr>
        <w:t>:</w:t>
      </w:r>
      <w:r>
        <w:rPr>
          <w:rStyle w:val="17"/>
          <w:rFonts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55.99</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7"/>
          <w:rFonts w:hint="eastAsia" w:ascii="仿宋" w:hAnsi="仿宋" w:eastAsia="仿宋"/>
          <w:bCs/>
          <w:color w:val="000000"/>
          <w:sz w:val="32"/>
          <w:szCs w:val="32"/>
          <w:highlight w:val="none"/>
          <w:lang w:val="en-US" w:eastAsia="zh-CN"/>
        </w:rPr>
        <w:t>13</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卫生健康</w:t>
      </w:r>
      <w:r>
        <w:rPr>
          <w:rStyle w:val="17"/>
          <w:rFonts w:hint="eastAsia" w:ascii="仿宋" w:hAnsi="仿宋" w:eastAsia="仿宋"/>
          <w:bCs/>
          <w:color w:val="000000"/>
          <w:sz w:val="32"/>
          <w:szCs w:val="32"/>
          <w:highlight w:val="none"/>
        </w:rPr>
        <w:t>（类）卫生健康管理事务（款）行政运行（项）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41.57</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7"/>
          <w:rFonts w:hint="eastAsia" w:ascii="仿宋" w:hAnsi="仿宋" w:eastAsia="仿宋"/>
          <w:bCs/>
          <w:color w:val="000000"/>
          <w:sz w:val="32"/>
          <w:szCs w:val="32"/>
          <w:highlight w:val="none"/>
          <w:lang w:val="en-US" w:eastAsia="zh-CN"/>
        </w:rPr>
        <w:t>14</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卫生健康</w:t>
      </w:r>
      <w:r>
        <w:rPr>
          <w:rStyle w:val="17"/>
          <w:rFonts w:hint="eastAsia" w:ascii="仿宋" w:hAnsi="仿宋" w:eastAsia="仿宋"/>
          <w:bCs/>
          <w:color w:val="000000"/>
          <w:sz w:val="32"/>
          <w:szCs w:val="32"/>
          <w:highlight w:val="none"/>
        </w:rPr>
        <w:t>（类）公共卫生（款）突发公共卫生事件应急处理（项）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12.08</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7"/>
          <w:rFonts w:hint="eastAsia" w:ascii="仿宋" w:hAnsi="仿宋" w:eastAsia="仿宋"/>
          <w:bCs/>
          <w:color w:val="000000"/>
          <w:sz w:val="32"/>
          <w:szCs w:val="32"/>
          <w:highlight w:val="none"/>
          <w:lang w:val="en-US" w:eastAsia="zh-CN"/>
        </w:rPr>
        <w:t>15</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卫生健康</w:t>
      </w:r>
      <w:r>
        <w:rPr>
          <w:rStyle w:val="17"/>
          <w:rFonts w:hint="eastAsia" w:ascii="仿宋" w:hAnsi="仿宋" w:eastAsia="仿宋"/>
          <w:bCs/>
          <w:color w:val="000000"/>
          <w:sz w:val="32"/>
          <w:szCs w:val="32"/>
          <w:highlight w:val="none"/>
        </w:rPr>
        <w:t>（类）行政事业单位医疗（款）行政单位医疗（项）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19.35</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Fonts w:hint="eastAsia" w:ascii="仿宋" w:hAnsi="仿宋" w:eastAsia="仿宋"/>
          <w:b/>
          <w:bCs/>
          <w:color w:val="000000"/>
          <w:sz w:val="32"/>
          <w:szCs w:val="32"/>
          <w:highlight w:val="none"/>
          <w:lang w:val="en-US" w:eastAsia="zh-CN"/>
        </w:rPr>
        <w:t>16.</w:t>
      </w:r>
      <w:r>
        <w:rPr>
          <w:rFonts w:hint="eastAsia" w:ascii="仿宋" w:hAnsi="仿宋" w:eastAsia="仿宋"/>
          <w:b/>
          <w:bCs/>
          <w:color w:val="000000"/>
          <w:sz w:val="32"/>
          <w:szCs w:val="32"/>
          <w:highlight w:val="none"/>
        </w:rPr>
        <w:t>农林水支出</w:t>
      </w:r>
      <w:r>
        <w:rPr>
          <w:rStyle w:val="17"/>
          <w:rFonts w:hint="eastAsia" w:ascii="仿宋" w:hAnsi="仿宋" w:eastAsia="仿宋"/>
          <w:bCs/>
          <w:color w:val="000000"/>
          <w:sz w:val="32"/>
          <w:szCs w:val="32"/>
          <w:highlight w:val="none"/>
        </w:rPr>
        <w:t>（类）农业农村（款）行政运行（项）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83.13</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7"/>
          <w:rFonts w:hint="eastAsia" w:ascii="仿宋" w:hAnsi="仿宋" w:eastAsia="仿宋"/>
          <w:bCs/>
          <w:color w:val="000000"/>
          <w:sz w:val="32"/>
          <w:szCs w:val="32"/>
          <w:highlight w:val="none"/>
          <w:lang w:val="en-US" w:eastAsia="zh-CN"/>
        </w:rPr>
        <w:t>17</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农林水支出</w:t>
      </w:r>
      <w:r>
        <w:rPr>
          <w:rStyle w:val="17"/>
          <w:rFonts w:hint="eastAsia" w:ascii="仿宋" w:hAnsi="仿宋" w:eastAsia="仿宋"/>
          <w:bCs/>
          <w:color w:val="000000"/>
          <w:sz w:val="32"/>
          <w:szCs w:val="32"/>
          <w:highlight w:val="none"/>
        </w:rPr>
        <w:t>（类）林业和草原（款）行政运行（项）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59.65</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2" w:firstLineChars="200"/>
        <w:rPr>
          <w:rFonts w:ascii="仿宋" w:hAnsi="仿宋" w:eastAsia="仿宋"/>
          <w:b/>
          <w:color w:val="000000"/>
          <w:sz w:val="32"/>
          <w:szCs w:val="32"/>
          <w:highlight w:val="none"/>
        </w:rPr>
      </w:pPr>
      <w:r>
        <w:rPr>
          <w:rStyle w:val="17"/>
          <w:rFonts w:hint="eastAsia" w:ascii="仿宋" w:hAnsi="仿宋" w:eastAsia="仿宋"/>
          <w:bCs/>
          <w:color w:val="000000"/>
          <w:sz w:val="32"/>
          <w:szCs w:val="32"/>
          <w:highlight w:val="none"/>
          <w:lang w:val="en-US" w:eastAsia="zh-CN"/>
        </w:rPr>
        <w:t>18</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农林水支出</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eastAsia="zh-CN"/>
        </w:rPr>
        <w:t>水利</w:t>
      </w:r>
      <w:r>
        <w:rPr>
          <w:rStyle w:val="17"/>
          <w:rFonts w:hint="eastAsia" w:ascii="仿宋" w:hAnsi="仿宋" w:eastAsia="仿宋"/>
          <w:bCs/>
          <w:color w:val="000000"/>
          <w:sz w:val="32"/>
          <w:szCs w:val="32"/>
          <w:highlight w:val="none"/>
        </w:rPr>
        <w:t>（款）行政运行（项）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59.92</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pStyle w:val="2"/>
        <w:ind w:left="0" w:leftChars="0" w:firstLine="642" w:firstLineChars="200"/>
        <w:rPr>
          <w:highlight w:val="none"/>
        </w:rPr>
      </w:pPr>
      <w:r>
        <w:rPr>
          <w:rStyle w:val="17"/>
          <w:rFonts w:hint="eastAsia" w:ascii="仿宋" w:hAnsi="仿宋" w:eastAsia="仿宋"/>
          <w:bCs/>
          <w:color w:val="000000"/>
          <w:sz w:val="32"/>
          <w:szCs w:val="32"/>
          <w:highlight w:val="none"/>
          <w:lang w:val="en-US" w:eastAsia="zh-CN"/>
        </w:rPr>
        <w:t>19</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农林水支出</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eastAsia="zh-CN"/>
        </w:rPr>
        <w:t>农村综合改革</w:t>
      </w:r>
      <w:r>
        <w:rPr>
          <w:rStyle w:val="17"/>
          <w:rFonts w:hint="eastAsia" w:ascii="仿宋" w:hAnsi="仿宋" w:eastAsia="仿宋"/>
          <w:bCs/>
          <w:color w:val="000000"/>
          <w:sz w:val="32"/>
          <w:szCs w:val="32"/>
          <w:highlight w:val="none"/>
        </w:rPr>
        <w:t>（款）对村民委员会和村党支部的补助（项）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527.82</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97.6</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lang w:eastAsia="zh-CN"/>
        </w:rPr>
        <w:t>，</w:t>
      </w:r>
      <w:r>
        <w:rPr>
          <w:rStyle w:val="17"/>
          <w:rFonts w:hint="eastAsia" w:ascii="仿宋" w:hAnsi="仿宋" w:eastAsia="仿宋"/>
          <w:b w:val="0"/>
          <w:bCs/>
          <w:color w:val="000000"/>
          <w:sz w:val="32"/>
          <w:szCs w:val="32"/>
          <w:highlight w:val="none"/>
        </w:rPr>
        <w:t>决算数小于预算数的主要原因是</w:t>
      </w:r>
      <w:r>
        <w:rPr>
          <w:rStyle w:val="17"/>
          <w:rFonts w:hint="eastAsia" w:ascii="仿宋" w:hAnsi="仿宋" w:eastAsia="仿宋"/>
          <w:b w:val="0"/>
          <w:bCs/>
          <w:color w:val="000000"/>
          <w:sz w:val="32"/>
          <w:szCs w:val="32"/>
          <w:highlight w:val="none"/>
          <w:lang w:eastAsia="zh-CN"/>
        </w:rPr>
        <w:t>因村建制调整改革，行政村合并后缩减了办公活动经费支出。</w:t>
      </w:r>
    </w:p>
    <w:p>
      <w:pPr>
        <w:spacing w:line="600" w:lineRule="exact"/>
        <w:ind w:firstLine="642" w:firstLineChars="200"/>
        <w:rPr>
          <w:rStyle w:val="17"/>
          <w:rFonts w:hint="eastAsia" w:ascii="仿宋" w:hAnsi="仿宋" w:eastAsia="仿宋"/>
          <w:b w:val="0"/>
          <w:bCs/>
          <w:color w:val="000000"/>
          <w:sz w:val="32"/>
          <w:szCs w:val="32"/>
          <w:highlight w:val="none"/>
        </w:rPr>
      </w:pPr>
      <w:r>
        <w:rPr>
          <w:rStyle w:val="17"/>
          <w:rFonts w:hint="eastAsia" w:ascii="仿宋" w:hAnsi="仿宋" w:eastAsia="仿宋"/>
          <w:bCs/>
          <w:color w:val="000000"/>
          <w:sz w:val="32"/>
          <w:szCs w:val="32"/>
          <w:highlight w:val="none"/>
          <w:lang w:val="en-US" w:eastAsia="zh-CN"/>
        </w:rPr>
        <w:t>20</w:t>
      </w:r>
      <w:r>
        <w:rPr>
          <w:rStyle w:val="17"/>
          <w:rFonts w:ascii="仿宋" w:hAnsi="仿宋" w:eastAsia="仿宋"/>
          <w:bCs/>
          <w:color w:val="000000"/>
          <w:sz w:val="32"/>
          <w:szCs w:val="32"/>
          <w:highlight w:val="none"/>
        </w:rPr>
        <w:t>.</w:t>
      </w:r>
      <w:r>
        <w:rPr>
          <w:rFonts w:hint="eastAsia" w:ascii="仿宋" w:hAnsi="仿宋" w:eastAsia="仿宋"/>
          <w:b/>
          <w:bCs/>
          <w:color w:val="000000"/>
          <w:sz w:val="32"/>
          <w:szCs w:val="32"/>
          <w:highlight w:val="none"/>
        </w:rPr>
        <w:t>住房保障支出</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eastAsia="zh-CN"/>
        </w:rPr>
        <w:t>住房改革支出</w:t>
      </w:r>
      <w:r>
        <w:rPr>
          <w:rStyle w:val="17"/>
          <w:rFonts w:hint="eastAsia" w:ascii="仿宋" w:hAnsi="仿宋" w:eastAsia="仿宋"/>
          <w:bCs/>
          <w:color w:val="000000"/>
          <w:sz w:val="32"/>
          <w:szCs w:val="32"/>
          <w:highlight w:val="none"/>
        </w:rPr>
        <w:t>（款）住房公积金（项）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115.2</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bookmarkStart w:id="41" w:name="_Toc15377214"/>
      <w:bookmarkStart w:id="42" w:name="_Toc15396608"/>
    </w:p>
    <w:p>
      <w:pPr>
        <w:spacing w:line="600" w:lineRule="exact"/>
        <w:ind w:firstLine="642" w:firstLineChars="200"/>
        <w:rPr>
          <w:rFonts w:hint="eastAsia" w:ascii="黑体" w:eastAsia="黑体"/>
          <w:color w:val="000000"/>
          <w:sz w:val="32"/>
          <w:szCs w:val="32"/>
          <w:highlight w:val="none"/>
        </w:rPr>
      </w:pPr>
      <w:r>
        <w:rPr>
          <w:rStyle w:val="17"/>
          <w:rFonts w:hint="eastAsia" w:ascii="仿宋" w:hAnsi="仿宋" w:eastAsia="仿宋"/>
          <w:bCs/>
          <w:color w:val="000000"/>
          <w:sz w:val="32"/>
          <w:szCs w:val="32"/>
          <w:highlight w:val="none"/>
          <w:lang w:val="en-US" w:eastAsia="zh-CN"/>
        </w:rPr>
        <w:t>21</w:t>
      </w:r>
      <w:r>
        <w:rPr>
          <w:rStyle w:val="17"/>
          <w:rFonts w:ascii="仿宋" w:hAnsi="仿宋" w:eastAsia="仿宋"/>
          <w:bCs/>
          <w:color w:val="000000"/>
          <w:sz w:val="32"/>
          <w:szCs w:val="32"/>
          <w:highlight w:val="none"/>
        </w:rPr>
        <w:t>.</w:t>
      </w:r>
      <w:r>
        <w:rPr>
          <w:rStyle w:val="17"/>
          <w:rFonts w:hint="eastAsia" w:ascii="仿宋" w:hAnsi="仿宋" w:eastAsia="仿宋"/>
          <w:bCs/>
          <w:color w:val="000000"/>
          <w:sz w:val="32"/>
          <w:szCs w:val="32"/>
          <w:highlight w:val="none"/>
          <w:lang w:eastAsia="zh-CN"/>
        </w:rPr>
        <w:t>灾害防治及应急管理支出</w:t>
      </w:r>
      <w:r>
        <w:rPr>
          <w:rStyle w:val="17"/>
          <w:rFonts w:hint="eastAsia" w:ascii="仿宋" w:hAnsi="仿宋" w:eastAsia="仿宋"/>
          <w:bCs/>
          <w:color w:val="000000"/>
          <w:sz w:val="32"/>
          <w:szCs w:val="32"/>
          <w:highlight w:val="none"/>
        </w:rPr>
        <w:t>（类）</w:t>
      </w:r>
      <w:r>
        <w:rPr>
          <w:rStyle w:val="17"/>
          <w:rFonts w:hint="eastAsia" w:ascii="仿宋" w:hAnsi="仿宋" w:eastAsia="仿宋"/>
          <w:bCs/>
          <w:color w:val="000000"/>
          <w:sz w:val="32"/>
          <w:szCs w:val="32"/>
          <w:highlight w:val="none"/>
          <w:lang w:eastAsia="zh-CN"/>
        </w:rPr>
        <w:t>自然灾害防治</w:t>
      </w:r>
      <w:r>
        <w:rPr>
          <w:rStyle w:val="17"/>
          <w:rFonts w:hint="eastAsia" w:ascii="仿宋" w:hAnsi="仿宋" w:eastAsia="仿宋"/>
          <w:bCs/>
          <w:color w:val="000000"/>
          <w:sz w:val="32"/>
          <w:szCs w:val="32"/>
          <w:highlight w:val="none"/>
        </w:rPr>
        <w:t>（款）</w:t>
      </w:r>
      <w:r>
        <w:rPr>
          <w:rStyle w:val="17"/>
          <w:rFonts w:hint="eastAsia" w:ascii="仿宋" w:hAnsi="仿宋" w:eastAsia="仿宋"/>
          <w:bCs/>
          <w:color w:val="000000"/>
          <w:sz w:val="32"/>
          <w:szCs w:val="32"/>
          <w:highlight w:val="none"/>
          <w:lang w:eastAsia="zh-CN"/>
        </w:rPr>
        <w:t>其他自然灾害防治支出</w:t>
      </w:r>
      <w:r>
        <w:rPr>
          <w:rStyle w:val="17"/>
          <w:rFonts w:hint="eastAsia" w:ascii="仿宋" w:hAnsi="仿宋" w:eastAsia="仿宋"/>
          <w:bCs/>
          <w:color w:val="000000"/>
          <w:sz w:val="32"/>
          <w:szCs w:val="32"/>
          <w:highlight w:val="none"/>
        </w:rPr>
        <w:t>（项）</w:t>
      </w:r>
      <w:r>
        <w:rPr>
          <w:rStyle w:val="17"/>
          <w:rFonts w:ascii="仿宋" w:hAnsi="仿宋" w:eastAsia="仿宋"/>
          <w:bCs/>
          <w:color w:val="000000"/>
          <w:sz w:val="32"/>
          <w:szCs w:val="32"/>
          <w:highlight w:val="none"/>
        </w:rPr>
        <w:t>:</w:t>
      </w:r>
      <w:r>
        <w:rPr>
          <w:rStyle w:val="17"/>
          <w:rFonts w:hint="eastAsia" w:ascii="仿宋" w:hAnsi="仿宋" w:eastAsia="仿宋"/>
          <w:b w:val="0"/>
          <w:bCs/>
          <w:color w:val="000000"/>
          <w:sz w:val="32"/>
          <w:szCs w:val="32"/>
          <w:highlight w:val="none"/>
        </w:rPr>
        <w:t>支出决算为</w:t>
      </w:r>
      <w:r>
        <w:rPr>
          <w:rStyle w:val="17"/>
          <w:rFonts w:hint="eastAsia" w:ascii="仿宋" w:hAnsi="仿宋" w:eastAsia="仿宋"/>
          <w:b w:val="0"/>
          <w:bCs/>
          <w:color w:val="000000"/>
          <w:sz w:val="32"/>
          <w:szCs w:val="32"/>
          <w:highlight w:val="none"/>
          <w:lang w:val="en-US" w:eastAsia="zh-CN"/>
        </w:rPr>
        <w:t>20</w:t>
      </w:r>
      <w:r>
        <w:rPr>
          <w:rStyle w:val="17"/>
          <w:rFonts w:hint="eastAsia" w:ascii="仿宋" w:hAnsi="仿宋" w:eastAsia="仿宋"/>
          <w:b w:val="0"/>
          <w:bCs/>
          <w:color w:val="000000"/>
          <w:sz w:val="32"/>
          <w:szCs w:val="32"/>
          <w:highlight w:val="none"/>
        </w:rPr>
        <w:t>万元，完成预算</w:t>
      </w:r>
      <w:r>
        <w:rPr>
          <w:rStyle w:val="17"/>
          <w:rFonts w:hint="eastAsia" w:ascii="仿宋" w:hAnsi="仿宋" w:eastAsia="仿宋"/>
          <w:b w:val="0"/>
          <w:bCs/>
          <w:color w:val="000000"/>
          <w:sz w:val="32"/>
          <w:szCs w:val="32"/>
          <w:highlight w:val="none"/>
          <w:lang w:val="en-US" w:eastAsia="zh-CN"/>
        </w:rPr>
        <w:t>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pPr>
        <w:spacing w:line="600" w:lineRule="exact"/>
        <w:ind w:firstLine="640" w:firstLineChars="200"/>
        <w:rPr>
          <w:rStyle w:val="20"/>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41"/>
      <w:bookmarkEnd w:id="42"/>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1027.5</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885.72</w:t>
      </w:r>
      <w:r>
        <w:rPr>
          <w:rFonts w:hint="eastAsia" w:ascii="仿宋" w:hAnsi="仿宋" w:eastAsia="仿宋"/>
          <w:color w:val="000000"/>
          <w:sz w:val="32"/>
          <w:szCs w:val="32"/>
        </w:rPr>
        <w:t>万元，主要包括：基本工资、津贴补贴、奖金、绩效工资、机关事业单位基本养老保险缴费、其他工资福利支出、生活补助、</w:t>
      </w:r>
      <w:r>
        <w:rPr>
          <w:rFonts w:hint="eastAsia" w:ascii="仿宋" w:hAnsi="仿宋" w:eastAsia="仿宋"/>
          <w:color w:val="000000"/>
          <w:sz w:val="32"/>
          <w:szCs w:val="32"/>
          <w:lang w:eastAsia="zh-CN"/>
        </w:rPr>
        <w:t>行政单位</w:t>
      </w:r>
      <w:r>
        <w:rPr>
          <w:rFonts w:hint="eastAsia" w:ascii="仿宋" w:hAnsi="仿宋" w:eastAsia="仿宋"/>
          <w:color w:val="000000"/>
          <w:sz w:val="32"/>
          <w:szCs w:val="32"/>
        </w:rPr>
        <w:t>医疗</w:t>
      </w:r>
      <w:r>
        <w:rPr>
          <w:rFonts w:hint="eastAsia" w:ascii="仿宋" w:hAnsi="仿宋" w:eastAsia="仿宋"/>
          <w:color w:val="000000"/>
          <w:sz w:val="32"/>
          <w:szCs w:val="32"/>
          <w:lang w:eastAsia="zh-CN"/>
        </w:rPr>
        <w:t>保险缴费</w:t>
      </w:r>
      <w:r>
        <w:rPr>
          <w:rFonts w:hint="eastAsia" w:ascii="仿宋" w:hAnsi="仿宋" w:eastAsia="仿宋"/>
          <w:color w:val="000000"/>
          <w:sz w:val="32"/>
          <w:szCs w:val="32"/>
        </w:rPr>
        <w:t>、奖励金、住房公积金等。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141.78</w:t>
      </w:r>
      <w:r>
        <w:rPr>
          <w:rFonts w:hint="eastAsia" w:ascii="仿宋" w:hAnsi="仿宋" w:eastAsia="仿宋"/>
          <w:color w:val="000000"/>
          <w:sz w:val="32"/>
          <w:szCs w:val="32"/>
        </w:rPr>
        <w:t>万元，主要包括：办公费、印刷费、水费、电费、邮电费、差旅费、维修（护）费、租赁费、会议费、公务接待费、劳务费、其他交通费。</w:t>
      </w:r>
    </w:p>
    <w:p>
      <w:pPr>
        <w:spacing w:line="600" w:lineRule="exact"/>
        <w:ind w:firstLine="640"/>
        <w:outlineLvl w:val="1"/>
        <w:rPr>
          <w:rStyle w:val="20"/>
          <w:rFonts w:ascii="黑体" w:hAnsi="黑体" w:eastAsia="黑体"/>
          <w:b w:val="0"/>
        </w:rPr>
      </w:pPr>
      <w:bookmarkStart w:id="43" w:name="_Toc15377215"/>
      <w:bookmarkStart w:id="44"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厉行节约，缩减公务接待支出，运行成本降低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rPr>
          <w:rFonts w:hint="eastAsia" w:eastAsia="仿宋"/>
          <w:lang w:eastAsia="zh-CN"/>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652145</wp:posOffset>
            </wp:positionH>
            <wp:positionV relativeFrom="paragraph">
              <wp:posOffset>71120</wp:posOffset>
            </wp:positionV>
            <wp:extent cx="3841750" cy="2438400"/>
            <wp:effectExtent l="0" t="0" r="63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全年无因公出国（境）事务</w:t>
      </w:r>
      <w:r>
        <w:rPr>
          <w:rStyle w:val="17"/>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color w:val="000000"/>
          <w:sz w:val="32"/>
          <w:szCs w:val="32"/>
          <w:lang w:eastAsia="zh-CN"/>
        </w:rPr>
        <w:t>本部门无公务用车</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。主要原因</w:t>
      </w:r>
      <w:r>
        <w:rPr>
          <w:rFonts w:hint="eastAsia" w:ascii="仿宋_GB2312" w:eastAsia="仿宋_GB2312"/>
          <w:color w:val="000000"/>
          <w:sz w:val="32"/>
          <w:szCs w:val="32"/>
          <w:lang w:eastAsia="zh-CN"/>
        </w:rPr>
        <w:t>合并后，</w:t>
      </w:r>
      <w:r>
        <w:rPr>
          <w:rFonts w:hint="eastAsia" w:ascii="仿宋" w:hAnsi="仿宋" w:eastAsia="仿宋"/>
          <w:color w:val="000000"/>
          <w:sz w:val="32"/>
          <w:szCs w:val="32"/>
          <w:lang w:eastAsia="zh-CN"/>
        </w:rPr>
        <w:t>成本增加</w:t>
      </w:r>
      <w:r>
        <w:rPr>
          <w:rFonts w:hint="eastAsia" w:ascii="仿宋" w:hAnsi="仿宋" w:eastAsia="仿宋"/>
          <w:color w:val="000000"/>
          <w:sz w:val="32"/>
          <w:szCs w:val="32"/>
        </w:rPr>
        <w:t>。</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4</w:t>
      </w:r>
      <w:r>
        <w:rPr>
          <w:rFonts w:hint="eastAsia" w:ascii="仿宋_GB2312" w:eastAsia="仿宋_GB2312"/>
          <w:color w:val="000000"/>
          <w:sz w:val="32"/>
          <w:szCs w:val="32"/>
        </w:rPr>
        <w:t>万元，主要用于</w:t>
      </w:r>
      <w:r>
        <w:rPr>
          <w:rFonts w:hint="eastAsia" w:ascii="仿宋_GB2312" w:eastAsia="仿宋_GB2312"/>
          <w:sz w:val="32"/>
          <w:szCs w:val="32"/>
        </w:rPr>
        <w:t>是上级单位工作督查、指导等活动</w:t>
      </w:r>
      <w:r>
        <w:rPr>
          <w:rFonts w:hint="eastAsia" w:ascii="仿宋_GB2312" w:eastAsia="仿宋_GB2312"/>
          <w:sz w:val="32"/>
          <w:szCs w:val="32"/>
          <w:lang w:eastAsia="zh-CN"/>
        </w:rPr>
        <w:t>接待</w:t>
      </w:r>
      <w:r>
        <w:rPr>
          <w:rFonts w:hint="eastAsia" w:ascii="仿宋_GB2312" w:eastAsia="仿宋_GB2312"/>
          <w:sz w:val="32"/>
          <w:szCs w:val="32"/>
        </w:rPr>
        <w:t>开支。</w:t>
      </w:r>
    </w:p>
    <w:p>
      <w:pPr>
        <w:spacing w:line="600" w:lineRule="exact"/>
        <w:ind w:firstLine="642"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0"/>
          <w:rFonts w:ascii="黑体" w:hAnsi="黑体" w:eastAsia="黑体"/>
        </w:rPr>
      </w:pPr>
      <w:bookmarkStart w:id="47" w:name="_Toc15396610"/>
      <w:bookmarkStart w:id="48" w:name="_Toc15377218"/>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0"/>
          <w:rFonts w:ascii="黑体" w:hAnsi="黑体" w:eastAsia="黑体"/>
          <w:b w:val="0"/>
        </w:rPr>
      </w:pPr>
      <w:bookmarkStart w:id="49" w:name="_Toc15396611"/>
      <w:bookmarkStart w:id="50" w:name="_Toc15377219"/>
      <w:r>
        <w:rPr>
          <w:rStyle w:val="20"/>
          <w:rFonts w:hint="eastAsia" w:ascii="黑体" w:hAnsi="黑体" w:eastAsia="黑体"/>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left="0" w:leftChars="0" w:firstLine="640" w:firstLineChars="200"/>
        <w:outlineLvl w:val="1"/>
        <w:rPr>
          <w:rStyle w:val="20"/>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51"/>
      <w:bookmarkEnd w:id="52"/>
    </w:p>
    <w:p>
      <w:pPr>
        <w:spacing w:line="600" w:lineRule="exact"/>
        <w:ind w:firstLine="642"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广元市朝天区中子镇人民政府</w:t>
      </w:r>
      <w:r>
        <w:rPr>
          <w:rFonts w:hint="eastAsia" w:ascii="仿宋_GB2312" w:eastAsia="仿宋_GB2312"/>
          <w:color w:val="000000"/>
          <w:sz w:val="32"/>
          <w:szCs w:val="32"/>
          <w:highlight w:val="none"/>
        </w:rPr>
        <w:t>机关运行经费支出</w:t>
      </w:r>
      <w:r>
        <w:rPr>
          <w:rFonts w:hint="eastAsia" w:ascii="仿宋_GB2312" w:eastAsia="仿宋_GB2312"/>
          <w:color w:val="000000"/>
          <w:sz w:val="32"/>
          <w:szCs w:val="32"/>
          <w:highlight w:val="none"/>
          <w:lang w:val="en-US" w:eastAsia="zh-CN"/>
        </w:rPr>
        <w:t>141.78</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2019</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22.51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下降</w:t>
      </w:r>
      <w:r>
        <w:rPr>
          <w:rFonts w:hint="eastAsia" w:ascii="仿宋_GB2312" w:eastAsia="仿宋_GB2312"/>
          <w:color w:val="000000"/>
          <w:sz w:val="32"/>
          <w:szCs w:val="32"/>
          <w:highlight w:val="none"/>
          <w:lang w:val="en-US" w:eastAsia="zh-CN"/>
        </w:rPr>
        <w:t>15.8</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行政区划调整，乡镇合并后</w:t>
      </w:r>
      <w:r>
        <w:rPr>
          <w:rFonts w:hint="eastAsia" w:ascii="仿宋" w:hAnsi="仿宋" w:eastAsia="仿宋"/>
          <w:color w:val="000000"/>
          <w:sz w:val="32"/>
          <w:szCs w:val="32"/>
          <w:lang w:eastAsia="zh-CN"/>
        </w:rPr>
        <w:t>厉行节约</w:t>
      </w:r>
      <w:r>
        <w:rPr>
          <w:rFonts w:hint="eastAsia" w:ascii="仿宋_GB2312" w:eastAsia="仿宋_GB2312"/>
          <w:color w:val="000000"/>
          <w:sz w:val="32"/>
          <w:szCs w:val="32"/>
          <w:highlight w:val="none"/>
          <w:lang w:eastAsia="zh-CN"/>
        </w:rPr>
        <w:t>，降低了行政运行成本。</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4" w:name="_Toc15377223"/>
      <w:r>
        <w:rPr>
          <w:rFonts w:hint="eastAsia" w:ascii="仿宋" w:hAnsi="仿宋" w:eastAsia="仿宋"/>
          <w:b/>
          <w:color w:val="000000"/>
          <w:sz w:val="32"/>
          <w:szCs w:val="32"/>
          <w:highlight w:val="none"/>
        </w:rPr>
        <w:t>（二）政府采购支出情况</w:t>
      </w:r>
      <w:bookmarkEnd w:id="54"/>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广元市朝天区中子镇人民</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682.12</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万元、政府采购工程支出</w:t>
      </w:r>
      <w:r>
        <w:rPr>
          <w:rFonts w:hint="eastAsia" w:ascii="仿宋_GB2312" w:eastAsia="仿宋_GB2312"/>
          <w:color w:val="000000"/>
          <w:sz w:val="32"/>
          <w:szCs w:val="32"/>
          <w:highlight w:val="none"/>
          <w:lang w:val="en-US" w:eastAsia="zh-CN"/>
        </w:rPr>
        <w:t>682.12</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农村道路便民桥项目建设</w:t>
      </w:r>
      <w:r>
        <w:rPr>
          <w:rFonts w:hint="eastAsia" w:ascii="仿宋_GB2312" w:eastAsia="仿宋_GB2312"/>
          <w:color w:val="000000"/>
          <w:sz w:val="32"/>
          <w:szCs w:val="32"/>
          <w:highlight w:val="none"/>
        </w:rPr>
        <w:t>。授予中小企业合同金额</w:t>
      </w:r>
      <w:r>
        <w:rPr>
          <w:rFonts w:hint="eastAsia" w:ascii="仿宋_GB2312" w:eastAsia="仿宋_GB2312"/>
          <w:color w:val="000000"/>
          <w:sz w:val="32"/>
          <w:szCs w:val="32"/>
          <w:highlight w:val="none"/>
          <w:lang w:val="en-US" w:eastAsia="zh-CN"/>
        </w:rPr>
        <w:t>682.12</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，其中：授予小微企业合同金额</w:t>
      </w:r>
      <w:r>
        <w:rPr>
          <w:rFonts w:hint="eastAsia" w:ascii="仿宋_GB2312" w:eastAsia="仿宋_GB2312"/>
          <w:color w:val="000000"/>
          <w:sz w:val="32"/>
          <w:szCs w:val="32"/>
          <w:highlight w:val="none"/>
          <w:lang w:val="en-US" w:eastAsia="zh-CN"/>
        </w:rPr>
        <w:t>682.12</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5" w:name="_Toc15377224"/>
      <w:r>
        <w:rPr>
          <w:rFonts w:hint="eastAsia" w:ascii="仿宋" w:hAnsi="仿宋" w:eastAsia="仿宋"/>
          <w:b/>
          <w:color w:val="000000"/>
          <w:sz w:val="32"/>
          <w:szCs w:val="32"/>
          <w:highlight w:val="none"/>
        </w:rPr>
        <w:t>（三）国有资产占有使用情况</w:t>
      </w:r>
      <w:bookmarkEnd w:id="55"/>
    </w:p>
    <w:p>
      <w:pPr>
        <w:autoSpaceDE w:val="0"/>
        <w:autoSpaceDN w:val="0"/>
        <w:adjustRightInd w:val="0"/>
        <w:spacing w:line="600" w:lineRule="exact"/>
        <w:ind w:firstLine="640" w:firstLineChars="200"/>
        <w:jc w:val="left"/>
        <w:rPr>
          <w:rFonts w:ascii="仿宋" w:hAnsi="仿宋" w:eastAsia="仿宋"/>
          <w:b/>
          <w:color w:val="FF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2020</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广元市朝天区中子镇人民政府</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（四）预算绩效管理情况。</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根据预算绩效管理要求，本部门（单位）在年初预算编制阶段，组织对2020年农村公共服务运行维护项目开展了预算事前绩效评估，对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个项目开展绩效监控，年终执行完毕后，对</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个项目开展了绩效目标完成情况自评。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年部门整体支出开展绩效自评，从评价情况来看：</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年我镇资金运行维护决策正确，资金管理规范，项目管理到位，政策执行有力，</w:t>
      </w:r>
      <w:r>
        <w:rPr>
          <w:rFonts w:hint="eastAsia" w:ascii="仿宋_GB2312" w:hAnsi="仿宋_GB2312" w:eastAsia="仿宋_GB2312" w:cs="仿宋_GB2312"/>
          <w:sz w:val="32"/>
          <w:szCs w:val="32"/>
          <w:highlight w:val="none"/>
          <w:lang w:eastAsia="zh-CN"/>
        </w:rPr>
        <w:t>圆满</w:t>
      </w:r>
      <w:r>
        <w:rPr>
          <w:rFonts w:hint="eastAsia" w:ascii="仿宋_GB2312" w:hAnsi="仿宋_GB2312" w:eastAsia="仿宋_GB2312" w:cs="仿宋_GB2312"/>
          <w:sz w:val="32"/>
          <w:szCs w:val="32"/>
          <w:highlight w:val="none"/>
        </w:rPr>
        <w:t>地完成了年度工作目标，通过加强预算收支管理，不断</w:t>
      </w:r>
      <w:r>
        <w:rPr>
          <w:rFonts w:hint="eastAsia" w:ascii="仿宋_GB2312" w:hAnsi="仿宋_GB2312" w:eastAsia="仿宋_GB2312" w:cs="仿宋_GB2312"/>
          <w:sz w:val="32"/>
          <w:szCs w:val="32"/>
          <w:highlight w:val="none"/>
          <w:lang w:eastAsia="zh-CN"/>
        </w:rPr>
        <w:t>健</w:t>
      </w:r>
      <w:r>
        <w:rPr>
          <w:rFonts w:hint="eastAsia" w:ascii="仿宋_GB2312" w:hAnsi="仿宋_GB2312" w:eastAsia="仿宋_GB2312" w:cs="仿宋_GB2312"/>
          <w:sz w:val="32"/>
          <w:szCs w:val="32"/>
          <w:highlight w:val="none"/>
        </w:rPr>
        <w:t>全内部管理制度，梳理内部管理流程，部门整体支出管理水平得到提升。根据部门整体支出绩效评价指标体系，从预算编制、预算执行、综合管理、整体效益等方面开展自评。本部门还自行组织了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个项目绩效评价，从评价情况来看，达到了预先绩效评估的要求。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highlight w:val="none"/>
        </w:rPr>
      </w:pPr>
      <w:r>
        <w:rPr>
          <w:rFonts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sz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年度部门决算中反映“2020年农村公共服务运行维护项目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个项目绩效目标实际完成情况。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_GB2312"/>
          <w:sz w:val="32"/>
          <w:szCs w:val="32"/>
          <w:highlight w:val="none"/>
        </w:rPr>
      </w:pPr>
      <w:r>
        <w:rPr>
          <w:rFonts w:hint="eastAsia" w:ascii="仿宋_GB2312" w:hAnsi="仿宋_GB2312" w:eastAsia="仿宋_GB2312" w:cs="仿宋_GB2312"/>
          <w:sz w:val="32"/>
          <w:szCs w:val="32"/>
          <w:highlight w:val="none"/>
        </w:rPr>
        <w:t>2020年农村公共服务运行维护项目</w:t>
      </w:r>
      <w:r>
        <w:rPr>
          <w:rFonts w:hint="eastAsia" w:ascii="仿宋_GB2312" w:hAnsi="仿宋_GB2312" w:eastAsia="仿宋_GB2312"/>
          <w:sz w:val="32"/>
          <w:highlight w:val="none"/>
        </w:rPr>
        <w:t>绩效目标完成情况综述。项目全年预算数</w:t>
      </w:r>
      <w:r>
        <w:rPr>
          <w:rFonts w:hint="eastAsia" w:ascii="仿宋_GB2312" w:hAnsi="仿宋_GB2312" w:eastAsia="仿宋_GB2312"/>
          <w:sz w:val="32"/>
          <w:highlight w:val="none"/>
          <w:lang w:val="en-US" w:eastAsia="zh-CN"/>
        </w:rPr>
        <w:t>105</w:t>
      </w:r>
      <w:r>
        <w:rPr>
          <w:rFonts w:hint="eastAsia" w:ascii="仿宋_GB2312" w:hAnsi="仿宋_GB2312" w:eastAsia="仿宋_GB2312"/>
          <w:sz w:val="32"/>
          <w:highlight w:val="none"/>
        </w:rPr>
        <w:t>万元，执行数为</w:t>
      </w:r>
      <w:r>
        <w:rPr>
          <w:rFonts w:hint="eastAsia" w:ascii="仿宋_GB2312" w:hAnsi="仿宋_GB2312" w:eastAsia="仿宋_GB2312"/>
          <w:sz w:val="32"/>
          <w:highlight w:val="none"/>
          <w:lang w:val="en-US" w:eastAsia="zh-CN"/>
        </w:rPr>
        <w:t>105</w:t>
      </w:r>
      <w:r>
        <w:rPr>
          <w:rFonts w:hint="eastAsia" w:ascii="仿宋_GB2312" w:hAnsi="仿宋_GB2312" w:eastAsia="仿宋_GB2312"/>
          <w:sz w:val="32"/>
          <w:highlight w:val="none"/>
        </w:rPr>
        <w:t>万元，完成预算的100%。通过项目实施，</w:t>
      </w:r>
      <w:r>
        <w:rPr>
          <w:rFonts w:hint="eastAsia" w:ascii="仿宋" w:hAnsi="仿宋" w:eastAsia="仿宋" w:cs="仿宋_GB2312"/>
          <w:sz w:val="32"/>
          <w:szCs w:val="32"/>
          <w:highlight w:val="none"/>
        </w:rPr>
        <w:t>惠民人数达到</w:t>
      </w:r>
      <w:r>
        <w:rPr>
          <w:rFonts w:hint="eastAsia" w:ascii="仿宋" w:hAnsi="仿宋" w:eastAsia="仿宋" w:cs="仿宋_GB2312"/>
          <w:sz w:val="32"/>
          <w:szCs w:val="32"/>
          <w:highlight w:val="none"/>
          <w:lang w:val="en-US" w:eastAsia="zh-CN"/>
        </w:rPr>
        <w:t>23500</w:t>
      </w:r>
      <w:r>
        <w:rPr>
          <w:rFonts w:hint="eastAsia" w:ascii="仿宋" w:hAnsi="仿宋" w:eastAsia="仿宋" w:cs="仿宋_GB2312"/>
          <w:sz w:val="32"/>
          <w:szCs w:val="32"/>
          <w:highlight w:val="none"/>
        </w:rPr>
        <w:t>人。</w:t>
      </w:r>
      <w:r>
        <w:rPr>
          <w:rFonts w:hint="eastAsia" w:ascii="仿宋_GB2312" w:hAnsi="仿宋_GB2312" w:eastAsia="仿宋_GB2312"/>
          <w:sz w:val="32"/>
          <w:highlight w:val="none"/>
        </w:rPr>
        <w:t>保障了全镇</w:t>
      </w:r>
      <w:r>
        <w:rPr>
          <w:rFonts w:hint="eastAsia" w:ascii="仿宋_GB2312" w:hAnsi="仿宋_GB2312" w:eastAsia="仿宋_GB2312"/>
          <w:sz w:val="32"/>
          <w:highlight w:val="none"/>
          <w:lang w:val="en-US" w:eastAsia="zh-CN"/>
        </w:rPr>
        <w:t>21</w:t>
      </w:r>
      <w:r>
        <w:rPr>
          <w:rFonts w:hint="eastAsia" w:ascii="仿宋_GB2312" w:hAnsi="仿宋_GB2312" w:eastAsia="仿宋_GB2312"/>
          <w:sz w:val="32"/>
          <w:highlight w:val="none"/>
        </w:rPr>
        <w:t>个行政村</w:t>
      </w:r>
      <w:r>
        <w:rPr>
          <w:rFonts w:hint="eastAsia" w:ascii="仿宋_GB2312" w:hAnsi="仿宋_GB2312" w:eastAsia="仿宋_GB2312"/>
          <w:sz w:val="32"/>
          <w:highlight w:val="none"/>
          <w:lang w:eastAsia="zh-CN"/>
        </w:rPr>
        <w:t>公共服务设施运行正常</w:t>
      </w:r>
      <w:r>
        <w:rPr>
          <w:rFonts w:hint="eastAsia" w:ascii="仿宋_GB2312" w:hAnsi="仿宋_GB2312" w:eastAsia="仿宋_GB2312"/>
          <w:sz w:val="32"/>
          <w:highlight w:val="none"/>
        </w:rPr>
        <w:t>，支持了农村基础设施建设，解决了村内最及需、群众最急盼、受益最直接的突出问题，促进农业生产、方便村民生活</w:t>
      </w:r>
      <w:r>
        <w:rPr>
          <w:rFonts w:hint="eastAsia" w:ascii="仿宋" w:hAnsi="仿宋" w:eastAsia="仿宋" w:cs="仿宋_GB2312"/>
          <w:sz w:val="32"/>
          <w:szCs w:val="32"/>
          <w:highlight w:val="none"/>
        </w:rPr>
        <w:t>，进一步改善农村基础设施条件。</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rPr>
        <w:t>发现的主要问题：</w:t>
      </w:r>
      <w:r>
        <w:rPr>
          <w:rFonts w:hint="eastAsia" w:ascii="仿宋" w:hAnsi="仿宋" w:eastAsia="仿宋"/>
          <w:sz w:val="32"/>
          <w:szCs w:val="32"/>
          <w:highlight w:val="none"/>
        </w:rPr>
        <w:t>一是项目实施单位，受其自身条件、村内条件无专业队伍施工等因素的制约，在保证质量的前提下，施工进度有待加快。二是重建设，轻管理，养护管理制度还待进一步完善。</w:t>
      </w:r>
      <w:r>
        <w:rPr>
          <w:rFonts w:hint="eastAsia" w:ascii="仿宋" w:hAnsi="仿宋" w:eastAsia="仿宋"/>
          <w:sz w:val="32"/>
          <w:szCs w:val="32"/>
          <w:highlight w:val="none"/>
          <w:lang w:eastAsia="zh-CN"/>
        </w:rPr>
        <w:t>三是</w:t>
      </w:r>
      <w:r>
        <w:rPr>
          <w:rFonts w:hint="eastAsia" w:ascii="仿宋_GB2312" w:hAnsi="??" w:eastAsia="仿宋_GB2312"/>
          <w:b w:val="0"/>
          <w:bCs w:val="0"/>
          <w:sz w:val="32"/>
          <w:szCs w:val="32"/>
          <w:highlight w:val="none"/>
        </w:rPr>
        <w:t>补助标准偏低，项目实施困难。</w:t>
      </w:r>
      <w:r>
        <w:rPr>
          <w:rFonts w:hint="eastAsia" w:ascii="仿宋" w:hAnsi="仿宋" w:eastAsia="仿宋"/>
          <w:b w:val="0"/>
          <w:bCs w:val="0"/>
          <w:sz w:val="32"/>
          <w:szCs w:val="32"/>
          <w:highlight w:val="none"/>
        </w:rPr>
        <w:t>鉴于农村外出务工人员多，在家劳动力少的实际情况，群众筹资酬劳相当困难，补标准</w:t>
      </w:r>
      <w:r>
        <w:rPr>
          <w:rFonts w:hint="eastAsia" w:ascii="仿宋" w:hAnsi="仿宋" w:eastAsia="仿宋"/>
          <w:sz w:val="32"/>
          <w:szCs w:val="32"/>
          <w:highlight w:val="none"/>
        </w:rPr>
        <w:t>偏低，项目实施难度</w:t>
      </w:r>
      <w:r>
        <w:rPr>
          <w:rFonts w:hint="eastAsia" w:ascii="仿宋" w:hAnsi="仿宋" w:eastAsia="仿宋"/>
          <w:sz w:val="32"/>
          <w:szCs w:val="32"/>
          <w:highlight w:val="none"/>
          <w:lang w:eastAsia="zh-CN"/>
        </w:rPr>
        <w:t>较</w:t>
      </w:r>
      <w:r>
        <w:rPr>
          <w:rFonts w:hint="eastAsia" w:ascii="仿宋" w:hAnsi="仿宋" w:eastAsia="仿宋"/>
          <w:sz w:val="32"/>
          <w:szCs w:val="32"/>
          <w:highlight w:val="none"/>
        </w:rPr>
        <w:t>大。</w:t>
      </w:r>
      <w:r>
        <w:rPr>
          <w:rFonts w:hint="eastAsia" w:ascii="仿宋_GB2312" w:hAnsi="仿宋_GB2312" w:eastAsia="仿宋_GB2312"/>
          <w:sz w:val="32"/>
          <w:highlight w:val="none"/>
        </w:rPr>
        <w:t>下一步改进措施：要通过发展壮大集体经济，创收节支解决资金不足的问题。</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0"/>
                <w:szCs w:val="30"/>
                <w:highlight w:val="none"/>
                <w:lang w:eastAsia="zh-CN" w:bidi="ar"/>
              </w:rPr>
            </w:pPr>
            <w:r>
              <w:rPr>
                <w:rFonts w:hint="eastAsia" w:ascii="宋体" w:hAnsi="宋体" w:cs="宋体"/>
                <w:b/>
                <w:bCs/>
                <w:color w:val="000000"/>
                <w:kern w:val="0"/>
                <w:sz w:val="30"/>
                <w:szCs w:val="30"/>
                <w:highlight w:val="none"/>
                <w:lang w:bidi="ar"/>
              </w:rPr>
              <w:t>项目绩效目标完成情况表</w:t>
            </w:r>
          </w:p>
          <w:p>
            <w:pPr>
              <w:widowControl/>
              <w:jc w:val="center"/>
              <w:textAlignment w:val="center"/>
              <w:rPr>
                <w:rFonts w:ascii="宋体" w:cs="宋体"/>
                <w:color w:val="000000"/>
                <w:sz w:val="36"/>
                <w:szCs w:val="36"/>
                <w:highlight w:val="none"/>
              </w:rPr>
            </w:pPr>
            <w:r>
              <w:rPr>
                <w:rFonts w:ascii="宋体" w:hAnsi="宋体" w:cs="宋体"/>
                <w:color w:val="000000"/>
                <w:kern w:val="0"/>
                <w:sz w:val="30"/>
                <w:szCs w:val="30"/>
                <w:highlight w:val="none"/>
                <w:lang w:bidi="ar"/>
              </w:rPr>
              <w:t>(2020</w:t>
            </w:r>
            <w:r>
              <w:rPr>
                <w:rFonts w:hint="eastAsia" w:ascii="宋体" w:hAnsi="宋体" w:cs="宋体"/>
                <w:color w:val="000000"/>
                <w:kern w:val="0"/>
                <w:sz w:val="30"/>
                <w:szCs w:val="30"/>
                <w:highlight w:val="none"/>
                <w:lang w:bidi="ar"/>
              </w:rPr>
              <w:t>年度</w:t>
            </w:r>
            <w:r>
              <w:rPr>
                <w:rFonts w:ascii="宋体" w:hAnsi="宋体" w:cs="宋体"/>
                <w:color w:val="000000"/>
                <w:kern w:val="0"/>
                <w:sz w:val="30"/>
                <w:szCs w:val="30"/>
                <w:highlight w:val="none"/>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rPr>
              <w:t>2020年农村公共服务运行维护项目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广元市朝天区中子镇人民政府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预算执行情况</w:t>
            </w:r>
            <w:r>
              <w:rPr>
                <w:rFonts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t>万元</w:t>
            </w:r>
            <w:r>
              <w:rPr>
                <w:rFonts w:ascii="宋体" w:hAnsi="宋体" w:cs="宋体"/>
                <w:color w:val="000000"/>
                <w:kern w:val="0"/>
                <w:sz w:val="18"/>
                <w:szCs w:val="18"/>
                <w:highlight w:val="none"/>
                <w:lang w:bidi="ar"/>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预算数</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1050000.00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执行数</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1050000.00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其中</w:t>
            </w:r>
            <w:r>
              <w:rPr>
                <w:rFonts w:ascii="宋体" w:cs="宋体"/>
                <w:color w:val="000000"/>
                <w:kern w:val="0"/>
                <w:sz w:val="18"/>
                <w:szCs w:val="18"/>
                <w:highlight w:val="none"/>
                <w:lang w:bidi="ar"/>
              </w:rPr>
              <w:t>-</w:t>
            </w:r>
            <w:r>
              <w:rPr>
                <w:rFonts w:hint="eastAsia" w:ascii="宋体" w:hAnsi="宋体" w:cs="宋体"/>
                <w:color w:val="000000"/>
                <w:kern w:val="0"/>
                <w:sz w:val="18"/>
                <w:szCs w:val="18"/>
                <w:highlight w:val="none"/>
                <w:lang w:bidi="ar"/>
              </w:rPr>
              <w:t>财政拨款</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1050000.00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其中</w:t>
            </w:r>
            <w:r>
              <w:rPr>
                <w:rFonts w:ascii="宋体" w:cs="宋体"/>
                <w:color w:val="000000"/>
                <w:kern w:val="0"/>
                <w:sz w:val="18"/>
                <w:szCs w:val="18"/>
                <w:highlight w:val="none"/>
                <w:lang w:bidi="ar"/>
              </w:rPr>
              <w:t>-</w:t>
            </w:r>
            <w:r>
              <w:rPr>
                <w:rFonts w:hint="eastAsia" w:ascii="宋体" w:hAnsi="宋体" w:cs="宋体"/>
                <w:color w:val="000000"/>
                <w:kern w:val="0"/>
                <w:sz w:val="18"/>
                <w:szCs w:val="18"/>
                <w:highlight w:val="none"/>
                <w:lang w:bidi="ar"/>
              </w:rPr>
              <w:t>财政拨款</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1050000.00</w:t>
            </w:r>
          </w:p>
        </w:tc>
      </w:tr>
      <w:tr>
        <w:tblPrEx>
          <w:tblCellMar>
            <w:top w:w="0" w:type="dxa"/>
            <w:left w:w="0" w:type="dxa"/>
            <w:bottom w:w="0" w:type="dxa"/>
            <w:right w:w="0" w:type="dxa"/>
          </w:tblCellMar>
        </w:tblPrEx>
        <w:trPr>
          <w:trHeight w:val="94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其它资金</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其它资金</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highlight w:val="none"/>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000000"/>
                <w:sz w:val="18"/>
                <w:szCs w:val="18"/>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360" w:firstLineChars="200"/>
              <w:jc w:val="left"/>
              <w:textAlignment w:val="center"/>
              <w:rPr>
                <w:rFonts w:ascii="宋体" w:cs="宋体"/>
                <w:color w:val="000000"/>
                <w:sz w:val="18"/>
                <w:szCs w:val="18"/>
                <w:highlight w:val="none"/>
              </w:rPr>
            </w:pPr>
            <w:r>
              <w:rPr>
                <w:rFonts w:hint="eastAsia" w:ascii="宋体" w:cs="宋体"/>
                <w:color w:val="000000"/>
                <w:sz w:val="18"/>
                <w:szCs w:val="18"/>
                <w:highlight w:val="none"/>
              </w:rPr>
              <w:t>改善群众的生产生活条件，提高群众生活质量，完善农村基础设施功能，为创新农村社会管理机制体制探索新路径，取得更好的社会效益。</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524"/>
              </w:tabs>
              <w:bidi w:val="0"/>
              <w:ind w:firstLine="360" w:firstLineChars="200"/>
              <w:jc w:val="left"/>
              <w:rPr>
                <w:rFonts w:ascii="Times New Roman" w:hAnsi="Times New Roman" w:eastAsia="宋体" w:cs="Times New Roman"/>
                <w:kern w:val="2"/>
                <w:sz w:val="18"/>
                <w:szCs w:val="18"/>
                <w:highlight w:val="none"/>
                <w:lang w:val="en-US" w:eastAsia="zh-CN" w:bidi="ar-SA"/>
              </w:rPr>
            </w:pPr>
            <w:r>
              <w:rPr>
                <w:rFonts w:hint="eastAsia" w:cs="Times New Roman"/>
                <w:kern w:val="2"/>
                <w:sz w:val="18"/>
                <w:szCs w:val="18"/>
                <w:highlight w:val="none"/>
                <w:lang w:val="en-US" w:eastAsia="zh-CN" w:bidi="ar-SA"/>
              </w:rPr>
              <w:t>通过项目的实施，确保了农村公共服务正常运行，有效推动了农村产业发展，促进农民收入大幅增加。通过道路维护，有效的解决了群众出行难的问题，提升了村民居住的舒适感、幸福感。</w:t>
            </w:r>
          </w:p>
        </w:tc>
      </w:tr>
      <w:tr>
        <w:tblPrEx>
          <w:tblCellMar>
            <w:top w:w="0" w:type="dxa"/>
            <w:left w:w="0" w:type="dxa"/>
            <w:bottom w:w="0" w:type="dxa"/>
            <w:right w:w="0" w:type="dxa"/>
          </w:tblCellMar>
        </w:tblPrEx>
        <w:trPr>
          <w:trHeight w:val="68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r>
              <w:rPr>
                <w:rFonts w:hint="eastAsia" w:ascii="宋体" w:hAnsi="宋体" w:cs="宋体"/>
                <w:color w:val="000000"/>
                <w:sz w:val="18"/>
                <w:szCs w:val="18"/>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预期指标值</w:t>
            </w:r>
            <w:r>
              <w:rPr>
                <w:rFonts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t>包含数字及文字描述</w:t>
            </w:r>
            <w:r>
              <w:rPr>
                <w:rFonts w:ascii="宋体" w:hAnsi="宋体" w:cs="宋体"/>
                <w:color w:val="000000"/>
                <w:kern w:val="0"/>
                <w:sz w:val="18"/>
                <w:szCs w:val="18"/>
                <w:highlight w:val="none"/>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实际完成指标值</w:t>
            </w:r>
            <w:r>
              <w:rPr>
                <w:rFonts w:ascii="宋体" w:hAnsi="宋体" w:cs="宋体"/>
                <w:color w:val="000000"/>
                <w:kern w:val="0"/>
                <w:sz w:val="18"/>
                <w:szCs w:val="18"/>
                <w:highlight w:val="none"/>
                <w:lang w:bidi="ar"/>
              </w:rPr>
              <w:t>(</w:t>
            </w:r>
            <w:r>
              <w:rPr>
                <w:rFonts w:hint="eastAsia" w:ascii="宋体" w:hAnsi="宋体" w:cs="宋体"/>
                <w:color w:val="000000"/>
                <w:kern w:val="0"/>
                <w:sz w:val="18"/>
                <w:szCs w:val="18"/>
                <w:highlight w:val="none"/>
                <w:lang w:bidi="ar"/>
              </w:rPr>
              <w:t>包含数字及文字描述</w:t>
            </w:r>
            <w:r>
              <w:rPr>
                <w:rFonts w:ascii="宋体" w:hAnsi="宋体" w:cs="宋体"/>
                <w:color w:val="000000"/>
                <w:kern w:val="0"/>
                <w:sz w:val="18"/>
                <w:szCs w:val="18"/>
                <w:highlight w:val="none"/>
                <w:lang w:bidi="ar"/>
              </w:rPr>
              <w:t>)</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保障行政村数量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21个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21个</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维修水泥路面混凝土数量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C25砼≥1600方</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C25砼1666.6方</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质量合格率，居民通行率。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100%</w:t>
            </w:r>
          </w:p>
        </w:tc>
      </w:tr>
      <w:tr>
        <w:tblPrEx>
          <w:tblCellMar>
            <w:top w:w="0" w:type="dxa"/>
            <w:left w:w="0" w:type="dxa"/>
            <w:bottom w:w="0" w:type="dxa"/>
            <w:right w:w="0" w:type="dxa"/>
          </w:tblCellMar>
        </w:tblPrEx>
        <w:trPr>
          <w:trHeight w:val="340"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18"/>
                <w:szCs w:val="18"/>
                <w:highlight w:val="none"/>
                <w:lang w:bidi="ar"/>
              </w:rPr>
            </w:pPr>
            <w:r>
              <w:rPr>
                <w:rFonts w:hint="eastAsia" w:ascii="宋体" w:hAnsi="宋体" w:cs="宋体"/>
                <w:color w:val="000000"/>
                <w:kern w:val="0"/>
                <w:sz w:val="18"/>
                <w:szCs w:val="18"/>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完成时效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2020年12月前</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eastAsia="宋体" w:cs="宋体"/>
                <w:color w:val="000000"/>
                <w:sz w:val="18"/>
                <w:szCs w:val="18"/>
                <w:highlight w:val="none"/>
                <w:lang w:val="en-US" w:eastAsia="zh-CN"/>
              </w:rPr>
            </w:pPr>
            <w:r>
              <w:rPr>
                <w:rFonts w:hint="eastAsia" w:ascii="宋体" w:cs="宋体"/>
                <w:color w:val="000000"/>
                <w:sz w:val="18"/>
                <w:szCs w:val="18"/>
                <w:highlight w:val="none"/>
                <w:lang w:val="en-US" w:eastAsia="zh-CN"/>
              </w:rPr>
              <w:t>2020年12月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混凝土单价</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rPr>
              <w:t>C25砼≤550元/立方米</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rPr>
              <w:t>C25砼=450元/立方米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18"/>
                <w:szCs w:val="18"/>
                <w:highlight w:val="none"/>
              </w:rPr>
            </w:pPr>
            <w:r>
              <w:rPr>
                <w:rFonts w:hint="eastAsia" w:ascii="宋体" w:cs="宋体"/>
                <w:color w:val="000000"/>
                <w:sz w:val="18"/>
                <w:szCs w:val="18"/>
                <w:highlight w:val="none"/>
              </w:rPr>
              <w:t>经济效益</w:t>
            </w:r>
          </w:p>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经济效益</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改善农村基础设施建设，带动村民生产积极性，促进农村经济的发展，增加农民收入，推动社会经济发展，运输成本降低10%以上。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有效治理村组道路病害，切实解决畅返不畅问题，运输成本降低10%。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olor w:val="000000"/>
                <w:sz w:val="18"/>
                <w:szCs w:val="18"/>
                <w:highlight w:val="none"/>
                <w:lang w:eastAsia="zh-CN"/>
              </w:rPr>
              <w:t>基层组织运转、为民服务</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改善了项目村的村容村貌，着力解决群众生产生活急需的问题，提高群众生活质量。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满足了各村在公共运行维护上的差异化需求，改善了项目村的村容村貌，解决了群众生产生活急需的问题，提高群众生活质量。</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kern w:val="0"/>
                <w:sz w:val="18"/>
                <w:szCs w:val="18"/>
                <w:highlight w:val="none"/>
                <w:lang w:bidi="ar"/>
              </w:rPr>
            </w:pPr>
            <w:r>
              <w:rPr>
                <w:rFonts w:hint="eastAsia" w:ascii="宋体" w:hAnsi="宋体" w:cs="宋体"/>
                <w:color w:val="000000"/>
                <w:kern w:val="0"/>
                <w:sz w:val="18"/>
                <w:szCs w:val="18"/>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可持续效益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olor w:val="000000"/>
                <w:sz w:val="18"/>
                <w:szCs w:val="18"/>
                <w:highlight w:val="none"/>
                <w:lang w:eastAsia="zh-CN"/>
              </w:rPr>
              <w:t>稳定发展，为乡村振兴持续发力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坚持长期促进社区和谐稳定发展，农村人居环境持续提升，增加农村公路使用年限3年以上。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cs="宋体"/>
                <w:color w:val="000000"/>
                <w:sz w:val="18"/>
                <w:szCs w:val="18"/>
                <w:highlight w:val="none"/>
              </w:rPr>
            </w:pPr>
            <w:r>
              <w:rPr>
                <w:rFonts w:hint="eastAsia" w:ascii="宋体" w:cs="宋体"/>
                <w:color w:val="000000"/>
                <w:sz w:val="18"/>
                <w:szCs w:val="18"/>
                <w:highlight w:val="none"/>
              </w:rPr>
              <w:t>解决出行难问题，增加农村公路使用年限等于3年。</w:t>
            </w:r>
          </w:p>
        </w:tc>
      </w:tr>
      <w:tr>
        <w:tblPrEx>
          <w:tblCellMar>
            <w:top w:w="0" w:type="dxa"/>
            <w:left w:w="0" w:type="dxa"/>
            <w:bottom w:w="0" w:type="dxa"/>
            <w:right w:w="0" w:type="dxa"/>
          </w:tblCellMar>
        </w:tblPrEx>
        <w:trPr>
          <w:trHeight w:val="54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24"/>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18"/>
                <w:szCs w:val="18"/>
                <w:highlight w:val="none"/>
                <w:lang w:eastAsia="zh-CN"/>
              </w:rPr>
            </w:pPr>
            <w:r>
              <w:rPr>
                <w:rFonts w:hint="eastAsia" w:ascii="宋体" w:cs="宋体"/>
                <w:color w:val="000000"/>
                <w:sz w:val="18"/>
                <w:szCs w:val="18"/>
                <w:highlight w:val="none"/>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lang w:eastAsia="zh-CN"/>
              </w:rPr>
              <w:t>≥</w:t>
            </w:r>
            <w:r>
              <w:rPr>
                <w:rFonts w:hint="eastAsia" w:ascii="宋体" w:cs="宋体"/>
                <w:color w:val="000000"/>
                <w:sz w:val="18"/>
                <w:szCs w:val="18"/>
                <w:highlight w:val="none"/>
              </w:rPr>
              <w:t>9</w:t>
            </w:r>
            <w:r>
              <w:rPr>
                <w:rFonts w:hint="eastAsia" w:ascii="宋体" w:cs="宋体"/>
                <w:color w:val="000000"/>
                <w:sz w:val="18"/>
                <w:szCs w:val="18"/>
                <w:highlight w:val="none"/>
                <w:lang w:val="en-US" w:eastAsia="zh-CN"/>
              </w:rPr>
              <w:t>5</w:t>
            </w:r>
            <w:r>
              <w:rPr>
                <w:rFonts w:hint="eastAsia" w:ascii="宋体" w:cs="宋体"/>
                <w:color w:val="000000"/>
                <w:sz w:val="18"/>
                <w:szCs w:val="18"/>
                <w:highlight w:val="none"/>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000000"/>
                <w:sz w:val="18"/>
                <w:szCs w:val="18"/>
                <w:highlight w:val="none"/>
              </w:rPr>
            </w:pPr>
            <w:r>
              <w:rPr>
                <w:rFonts w:hint="eastAsia" w:ascii="宋体" w:cs="宋体"/>
                <w:color w:val="000000"/>
                <w:sz w:val="18"/>
                <w:szCs w:val="18"/>
                <w:highlight w:val="none"/>
                <w:lang w:eastAsia="zh-CN"/>
              </w:rPr>
              <w:t>≥</w:t>
            </w:r>
            <w:r>
              <w:rPr>
                <w:rFonts w:hint="eastAsia" w:ascii="宋体" w:cs="宋体"/>
                <w:color w:val="000000"/>
                <w:sz w:val="18"/>
                <w:szCs w:val="18"/>
                <w:highlight w:val="none"/>
              </w:rPr>
              <w:t>9</w:t>
            </w:r>
            <w:r>
              <w:rPr>
                <w:rFonts w:hint="eastAsia" w:ascii="宋体" w:cs="宋体"/>
                <w:color w:val="000000"/>
                <w:sz w:val="18"/>
                <w:szCs w:val="18"/>
                <w:highlight w:val="none"/>
                <w:lang w:val="en-US" w:eastAsia="zh-CN"/>
              </w:rPr>
              <w:t>8</w:t>
            </w:r>
            <w:r>
              <w:rPr>
                <w:rFonts w:hint="eastAsia" w:ascii="宋体" w:cs="宋体"/>
                <w:color w:val="000000"/>
                <w:sz w:val="18"/>
                <w:szCs w:val="18"/>
                <w:highlight w:val="none"/>
              </w:rPr>
              <w:t>％。</w:t>
            </w:r>
          </w:p>
        </w:tc>
      </w:tr>
    </w:tbl>
    <w:p>
      <w:pPr>
        <w:spacing w:line="580" w:lineRule="exact"/>
        <w:ind w:left="630"/>
        <w:rPr>
          <w:rFonts w:ascii="仿宋_GB2312" w:hAnsi="仿宋_GB2312" w:eastAsia="仿宋_GB2312" w:cs="仿宋_GB2312"/>
          <w:sz w:val="32"/>
          <w:szCs w:val="32"/>
          <w:highlight w:val="none"/>
        </w:rPr>
      </w:pPr>
      <w:r>
        <w:rPr>
          <w:rFonts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rPr>
        <w:t>部门绩效评价结果。</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本部门按要求对</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年部门整体支出绩效评价情况开展自评，《广元市朝天区</w:t>
      </w:r>
      <w:r>
        <w:rPr>
          <w:rFonts w:hint="eastAsia" w:ascii="仿宋_GB2312" w:hAnsi="仿宋_GB2312" w:eastAsia="仿宋_GB2312" w:cs="仿宋_GB2312"/>
          <w:sz w:val="32"/>
          <w:szCs w:val="32"/>
          <w:highlight w:val="none"/>
          <w:lang w:eastAsia="zh-CN"/>
        </w:rPr>
        <w:t>中子镇</w:t>
      </w:r>
      <w:r>
        <w:rPr>
          <w:rFonts w:hint="eastAsia" w:ascii="仿宋_GB2312" w:hAnsi="仿宋_GB2312" w:eastAsia="仿宋_GB2312" w:cs="仿宋_GB2312"/>
          <w:sz w:val="32"/>
          <w:szCs w:val="32"/>
          <w:highlight w:val="none"/>
        </w:rPr>
        <w:t>人民政府部门</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年部门整体支出绩效评价报告》见附件（附件</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p>
    <w:p>
      <w:pPr>
        <w:spacing w:line="580" w:lineRule="exact"/>
        <w:ind w:firstLine="640" w:firstLineChars="200"/>
        <w:rPr>
          <w:rFonts w:ascii="仿宋_GB2312" w:eastAsia="仿宋_GB2312"/>
          <w:b/>
          <w:color w:val="000000"/>
          <w:sz w:val="32"/>
          <w:szCs w:val="32"/>
          <w:highlight w:val="yellow"/>
        </w:rPr>
      </w:pPr>
      <w:r>
        <w:rPr>
          <w:rFonts w:hint="eastAsia" w:ascii="仿宋_GB2312" w:hAnsi="仿宋_GB2312" w:eastAsia="仿宋_GB2312" w:cs="仿宋_GB2312"/>
          <w:sz w:val="32"/>
          <w:szCs w:val="32"/>
          <w:highlight w:val="none"/>
        </w:rPr>
        <w:t>本部门自行组织对2020年农村公共服务运行维护项目开展了绩效评价，《2020年农村公共服务运行维护项目</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年绩效评价报告》见附件（附件</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6" w:name="_Toc15396613"/>
      <w:bookmarkStart w:id="57" w:name="_Toc15377225"/>
      <w:r>
        <w:rPr>
          <w:rFonts w:hint="eastAsia" w:ascii="黑体" w:hAnsi="黑体" w:eastAsia="黑体"/>
          <w:color w:val="000000"/>
          <w:sz w:val="44"/>
          <w:szCs w:val="44"/>
        </w:rPr>
        <w:t>名</w:t>
      </w:r>
      <w:r>
        <w:rPr>
          <w:rStyle w:val="19"/>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3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Style w:val="17"/>
          <w:rFonts w:hint="eastAsia" w:ascii="仿宋" w:hAnsi="仿宋" w:eastAsia="仿宋"/>
          <w:b w:val="0"/>
          <w:bCs w:val="0"/>
          <w:color w:val="000000"/>
          <w:sz w:val="32"/>
          <w:szCs w:val="32"/>
          <w:lang w:eastAsia="zh-CN"/>
        </w:rPr>
      </w:pPr>
      <w:r>
        <w:rPr>
          <w:rFonts w:ascii="仿宋_GB2312" w:eastAsia="仿宋_GB2312"/>
          <w:b w:val="0"/>
          <w:bCs w:val="0"/>
          <w:color w:val="000000"/>
          <w:sz w:val="32"/>
          <w:szCs w:val="32"/>
        </w:rPr>
        <w:t>9.</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人大事务</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行政运行</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 xml:space="preserve">: </w:t>
      </w:r>
      <w:r>
        <w:rPr>
          <w:rStyle w:val="17"/>
          <w:rFonts w:hint="eastAsia" w:ascii="仿宋" w:hAnsi="仿宋" w:eastAsia="仿宋"/>
          <w:b w:val="0"/>
          <w:bCs w:val="0"/>
          <w:color w:val="000000"/>
          <w:sz w:val="32"/>
          <w:szCs w:val="32"/>
          <w:lang w:eastAsia="zh-CN"/>
        </w:rPr>
        <w:t>指人民代表大会的基本支出。</w:t>
      </w:r>
    </w:p>
    <w:p>
      <w:pPr>
        <w:spacing w:line="600" w:lineRule="exact"/>
        <w:ind w:firstLine="640" w:firstLineChars="200"/>
        <w:rPr>
          <w:rStyle w:val="17"/>
          <w:rFonts w:hint="eastAsia" w:ascii="仿宋" w:hAnsi="仿宋" w:eastAsia="仿宋"/>
          <w:b w:val="0"/>
          <w:bCs w:val="0"/>
          <w:color w:val="000000"/>
          <w:sz w:val="32"/>
          <w:szCs w:val="32"/>
        </w:rPr>
      </w:pPr>
      <w:r>
        <w:rPr>
          <w:rFonts w:hint="eastAsia"/>
          <w:b w:val="0"/>
          <w:bCs w:val="0"/>
          <w:sz w:val="32"/>
          <w:szCs w:val="32"/>
          <w:lang w:val="en-US" w:eastAsia="zh-CN"/>
        </w:rPr>
        <w:t>10.</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政府办公厅（室）及相关机构事务</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行政运行</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指政府办公厅（室）及相关机构的基本支出</w:t>
      </w:r>
      <w:r>
        <w:rPr>
          <w:rStyle w:val="17"/>
          <w:rFonts w:hint="eastAsia" w:ascii="仿宋" w:hAnsi="仿宋" w:eastAsia="仿宋"/>
          <w:b w:val="0"/>
          <w:bCs w:val="0"/>
          <w:color w:val="000000"/>
          <w:sz w:val="32"/>
          <w:szCs w:val="32"/>
        </w:rPr>
        <w:t>。</w:t>
      </w:r>
    </w:p>
    <w:p>
      <w:pPr>
        <w:spacing w:line="600" w:lineRule="exact"/>
        <w:ind w:firstLine="640" w:firstLineChars="200"/>
        <w:rPr>
          <w:rStyle w:val="17"/>
          <w:rFonts w:hint="eastAsia" w:ascii="仿宋" w:hAnsi="仿宋" w:eastAsia="仿宋"/>
          <w:b w:val="0"/>
          <w:bCs w:val="0"/>
          <w:color w:val="000000"/>
          <w:sz w:val="32"/>
          <w:szCs w:val="32"/>
        </w:rPr>
      </w:pPr>
      <w:r>
        <w:rPr>
          <w:rFonts w:hint="eastAsia"/>
          <w:b w:val="0"/>
          <w:bCs w:val="0"/>
          <w:sz w:val="32"/>
          <w:szCs w:val="32"/>
          <w:lang w:val="en-US" w:eastAsia="zh-CN"/>
        </w:rPr>
        <w:t>11.</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政府办公厅（室）及相关机构事务</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一般行政管理事务</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指政府办公厅（室）及相关机构未单独设置项级科目的其他项目支出。</w:t>
      </w:r>
    </w:p>
    <w:p>
      <w:pPr>
        <w:pStyle w:val="2"/>
        <w:ind w:left="0" w:leftChars="0" w:firstLine="640" w:firstLineChars="200"/>
        <w:rPr>
          <w:rStyle w:val="17"/>
          <w:rFonts w:hint="eastAsia" w:ascii="仿宋" w:hAnsi="仿宋" w:eastAsia="仿宋"/>
          <w:b w:val="0"/>
          <w:bCs w:val="0"/>
          <w:color w:val="000000"/>
          <w:sz w:val="32"/>
          <w:szCs w:val="32"/>
          <w:lang w:eastAsia="zh-CN"/>
        </w:rPr>
      </w:pPr>
      <w:r>
        <w:rPr>
          <w:rStyle w:val="17"/>
          <w:rFonts w:hint="eastAsia" w:ascii="仿宋" w:hAnsi="仿宋" w:eastAsia="仿宋"/>
          <w:b w:val="0"/>
          <w:bCs w:val="0"/>
          <w:color w:val="000000"/>
          <w:sz w:val="32"/>
          <w:szCs w:val="32"/>
          <w:lang w:val="en-US" w:eastAsia="zh-CN"/>
        </w:rPr>
        <w:t>12.</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财政事务</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行政运行</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指财政事务方面的基本支出。</w:t>
      </w:r>
    </w:p>
    <w:p>
      <w:pPr>
        <w:pStyle w:val="2"/>
        <w:ind w:left="0" w:leftChars="0" w:firstLine="640" w:firstLineChars="200"/>
        <w:rPr>
          <w:rStyle w:val="17"/>
          <w:rFonts w:hint="eastAsia" w:ascii="仿宋" w:hAnsi="仿宋" w:eastAsia="仿宋"/>
          <w:b w:val="0"/>
          <w:bCs w:val="0"/>
          <w:color w:val="000000"/>
          <w:sz w:val="32"/>
          <w:szCs w:val="32"/>
        </w:rPr>
      </w:pPr>
      <w:r>
        <w:rPr>
          <w:rFonts w:hint="eastAsia"/>
          <w:b w:val="0"/>
          <w:bCs w:val="0"/>
          <w:sz w:val="32"/>
          <w:szCs w:val="32"/>
          <w:lang w:val="en-US" w:eastAsia="zh-CN"/>
        </w:rPr>
        <w:t>13.</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党委办公厅（室）及相关机构事务</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行政运行</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指党委办公厅（室）及相关机构的基本支出</w:t>
      </w:r>
      <w:r>
        <w:rPr>
          <w:rStyle w:val="17"/>
          <w:rFonts w:hint="eastAsia" w:ascii="仿宋" w:hAnsi="仿宋" w:eastAsia="仿宋"/>
          <w:b w:val="0"/>
          <w:bCs w:val="0"/>
          <w:color w:val="000000"/>
          <w:sz w:val="32"/>
          <w:szCs w:val="32"/>
        </w:rPr>
        <w:t>。</w:t>
      </w:r>
    </w:p>
    <w:p>
      <w:pPr>
        <w:ind w:left="0" w:leftChars="0" w:firstLine="640" w:firstLineChars="200"/>
        <w:rPr>
          <w:b w:val="0"/>
          <w:bCs w:val="0"/>
        </w:rPr>
      </w:pPr>
      <w:r>
        <w:rPr>
          <w:rFonts w:hint="eastAsia"/>
          <w:b w:val="0"/>
          <w:bCs w:val="0"/>
          <w:sz w:val="32"/>
          <w:szCs w:val="32"/>
          <w:lang w:val="en-US" w:eastAsia="zh-CN"/>
        </w:rPr>
        <w:t>14.</w:t>
      </w:r>
      <w:r>
        <w:rPr>
          <w:rStyle w:val="17"/>
          <w:rFonts w:hint="eastAsia" w:ascii="仿宋" w:hAnsi="仿宋" w:eastAsia="仿宋"/>
          <w:b w:val="0"/>
          <w:bCs w:val="0"/>
          <w:color w:val="000000"/>
          <w:sz w:val="32"/>
          <w:szCs w:val="32"/>
        </w:rPr>
        <w:t>一般公共服务（类）</w:t>
      </w:r>
      <w:r>
        <w:rPr>
          <w:rStyle w:val="17"/>
          <w:rFonts w:hint="eastAsia" w:ascii="仿宋" w:hAnsi="仿宋" w:eastAsia="仿宋"/>
          <w:b w:val="0"/>
          <w:bCs w:val="0"/>
          <w:color w:val="000000"/>
          <w:sz w:val="32"/>
          <w:szCs w:val="32"/>
          <w:lang w:eastAsia="zh-CN"/>
        </w:rPr>
        <w:t>其他一般公共服务支出</w:t>
      </w:r>
      <w:r>
        <w:rPr>
          <w:rStyle w:val="17"/>
          <w:rFonts w:hint="eastAsia" w:ascii="仿宋" w:hAnsi="仿宋" w:eastAsia="仿宋"/>
          <w:b w:val="0"/>
          <w:bCs w:val="0"/>
          <w:color w:val="000000"/>
          <w:sz w:val="32"/>
          <w:szCs w:val="32"/>
        </w:rPr>
        <w:t>（款）</w:t>
      </w:r>
      <w:r>
        <w:rPr>
          <w:rStyle w:val="17"/>
          <w:rFonts w:hint="eastAsia" w:ascii="仿宋" w:hAnsi="仿宋" w:eastAsia="仿宋"/>
          <w:b w:val="0"/>
          <w:bCs w:val="0"/>
          <w:color w:val="000000"/>
          <w:sz w:val="32"/>
          <w:szCs w:val="32"/>
          <w:lang w:eastAsia="zh-CN"/>
        </w:rPr>
        <w:t>其他一般公共服务支出</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指其他一般公共服务支出。</w:t>
      </w:r>
    </w:p>
    <w:p>
      <w:pPr>
        <w:spacing w:line="600" w:lineRule="exact"/>
        <w:ind w:firstLine="640" w:firstLineChars="200"/>
        <w:rPr>
          <w:rStyle w:val="17"/>
          <w:rFonts w:hint="eastAsia"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15</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rPr>
        <w:t>教育（类）进修及培训（款）</w:t>
      </w:r>
      <w:r>
        <w:rPr>
          <w:rStyle w:val="17"/>
          <w:rFonts w:hint="eastAsia" w:ascii="仿宋" w:hAnsi="仿宋" w:eastAsia="仿宋"/>
          <w:b w:val="0"/>
          <w:bCs w:val="0"/>
          <w:color w:val="000000"/>
          <w:sz w:val="32"/>
          <w:szCs w:val="32"/>
          <w:lang w:eastAsia="zh-CN"/>
        </w:rPr>
        <w:t>培训支出</w:t>
      </w:r>
      <w:r>
        <w:rPr>
          <w:rStyle w:val="17"/>
          <w:rFonts w:hint="eastAsia" w:ascii="仿宋" w:hAnsi="仿宋" w:eastAsia="仿宋"/>
          <w:b w:val="0"/>
          <w:bCs w:val="0"/>
          <w:color w:val="000000"/>
          <w:sz w:val="32"/>
          <w:szCs w:val="32"/>
        </w:rPr>
        <w:t>（项）</w:t>
      </w:r>
      <w:r>
        <w:rPr>
          <w:rStyle w:val="17"/>
          <w:rFonts w:ascii="仿宋" w:hAnsi="仿宋" w:eastAsia="仿宋"/>
          <w:b w:val="0"/>
          <w:bCs w:val="0"/>
          <w:color w:val="000000"/>
          <w:sz w:val="32"/>
          <w:szCs w:val="32"/>
        </w:rPr>
        <w:t xml:space="preserve">: </w:t>
      </w:r>
      <w:r>
        <w:rPr>
          <w:rStyle w:val="17"/>
          <w:rFonts w:hint="eastAsia" w:ascii="仿宋" w:hAnsi="仿宋" w:eastAsia="仿宋"/>
          <w:b w:val="0"/>
          <w:bCs w:val="0"/>
          <w:color w:val="000000"/>
          <w:sz w:val="32"/>
          <w:szCs w:val="32"/>
          <w:lang w:eastAsia="zh-CN"/>
        </w:rPr>
        <w:t>指各部门用于干部培训等方面的支出</w:t>
      </w:r>
      <w:r>
        <w:rPr>
          <w:rStyle w:val="17"/>
          <w:rFonts w:hint="eastAsia" w:ascii="仿宋" w:hAnsi="仿宋" w:eastAsia="仿宋"/>
          <w:b w:val="0"/>
          <w:bCs w:val="0"/>
          <w:color w:val="000000"/>
          <w:sz w:val="32"/>
          <w:szCs w:val="32"/>
        </w:rPr>
        <w:t>。</w:t>
      </w:r>
    </w:p>
    <w:p>
      <w:pPr>
        <w:pStyle w:val="2"/>
        <w:ind w:left="0" w:leftChars="0" w:firstLine="640" w:firstLineChars="200"/>
        <w:rPr>
          <w:rStyle w:val="17"/>
          <w:rFonts w:hint="eastAsia" w:ascii="仿宋" w:hAnsi="仿宋" w:eastAsia="仿宋"/>
          <w:b w:val="0"/>
          <w:bCs w:val="0"/>
          <w:color w:val="000000"/>
          <w:sz w:val="32"/>
          <w:szCs w:val="32"/>
          <w:lang w:eastAsia="zh-CN"/>
        </w:rPr>
      </w:pPr>
      <w:r>
        <w:rPr>
          <w:rStyle w:val="17"/>
          <w:rFonts w:hint="eastAsia" w:ascii="仿宋" w:hAnsi="仿宋" w:eastAsia="仿宋"/>
          <w:b w:val="0"/>
          <w:bCs w:val="0"/>
          <w:color w:val="000000"/>
          <w:sz w:val="32"/>
          <w:szCs w:val="32"/>
          <w:lang w:val="en-US" w:eastAsia="zh-CN"/>
        </w:rPr>
        <w:t>16</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rPr>
        <w:t>社会保障和就业（类）人力资源和社会保障管理事务（款</w:t>
      </w:r>
      <w:r>
        <w:rPr>
          <w:rStyle w:val="17"/>
          <w:rFonts w:hint="eastAsia" w:ascii="仿宋" w:hAnsi="仿宋" w:eastAsia="仿宋"/>
          <w:b w:val="0"/>
          <w:bCs w:val="0"/>
          <w:color w:val="000000"/>
          <w:sz w:val="32"/>
          <w:szCs w:val="32"/>
          <w:lang w:eastAsia="zh-CN"/>
        </w:rPr>
        <w:t>）</w:t>
      </w:r>
      <w:r>
        <w:rPr>
          <w:rStyle w:val="17"/>
          <w:rFonts w:hint="eastAsia" w:ascii="仿宋" w:hAnsi="仿宋" w:eastAsia="仿宋"/>
          <w:b w:val="0"/>
          <w:bCs w:val="0"/>
          <w:color w:val="000000"/>
          <w:sz w:val="32"/>
          <w:szCs w:val="32"/>
        </w:rPr>
        <w:t>行政运行（项）</w:t>
      </w:r>
      <w:r>
        <w:rPr>
          <w:rStyle w:val="17"/>
          <w:rFonts w:ascii="仿宋" w:hAnsi="仿宋" w:eastAsia="仿宋"/>
          <w:b w:val="0"/>
          <w:bCs w:val="0"/>
          <w:color w:val="000000"/>
          <w:sz w:val="32"/>
          <w:szCs w:val="32"/>
        </w:rPr>
        <w:t xml:space="preserve">: </w:t>
      </w:r>
      <w:r>
        <w:rPr>
          <w:rStyle w:val="17"/>
          <w:rFonts w:hint="eastAsia" w:ascii="仿宋" w:hAnsi="仿宋" w:eastAsia="仿宋"/>
          <w:b w:val="0"/>
          <w:bCs w:val="0"/>
          <w:color w:val="000000"/>
          <w:sz w:val="32"/>
          <w:szCs w:val="32"/>
          <w:lang w:eastAsia="zh-CN"/>
        </w:rPr>
        <w:t>指</w:t>
      </w:r>
      <w:r>
        <w:rPr>
          <w:rStyle w:val="17"/>
          <w:rFonts w:hint="eastAsia" w:ascii="仿宋" w:hAnsi="仿宋" w:eastAsia="仿宋"/>
          <w:b w:val="0"/>
          <w:bCs w:val="0"/>
          <w:color w:val="000000"/>
          <w:sz w:val="32"/>
          <w:szCs w:val="32"/>
        </w:rPr>
        <w:t>人力资源和社会保障管理事务</w:t>
      </w:r>
      <w:r>
        <w:rPr>
          <w:rStyle w:val="17"/>
          <w:rFonts w:hint="eastAsia" w:ascii="仿宋" w:hAnsi="仿宋" w:eastAsia="仿宋"/>
          <w:b w:val="0"/>
          <w:bCs w:val="0"/>
          <w:color w:val="000000"/>
          <w:sz w:val="32"/>
          <w:szCs w:val="32"/>
          <w:lang w:eastAsia="zh-CN"/>
        </w:rPr>
        <w:t>的基本支出。</w:t>
      </w:r>
    </w:p>
    <w:p>
      <w:pPr>
        <w:pStyle w:val="2"/>
        <w:ind w:left="0" w:leftChars="0" w:firstLine="640" w:firstLineChars="200"/>
        <w:rPr>
          <w:b w:val="0"/>
          <w:bCs w:val="0"/>
        </w:rPr>
      </w:pPr>
      <w:r>
        <w:rPr>
          <w:rStyle w:val="17"/>
          <w:rFonts w:hint="eastAsia" w:ascii="仿宋" w:hAnsi="仿宋" w:eastAsia="仿宋"/>
          <w:b w:val="0"/>
          <w:bCs w:val="0"/>
          <w:color w:val="000000"/>
          <w:sz w:val="32"/>
          <w:szCs w:val="32"/>
          <w:lang w:val="en-US" w:eastAsia="zh-CN"/>
        </w:rPr>
        <w:t>17</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rPr>
        <w:t>社会保障和就业（类）行政事业单位养老支出（款</w:t>
      </w:r>
      <w:r>
        <w:rPr>
          <w:rStyle w:val="17"/>
          <w:rFonts w:hint="eastAsia" w:ascii="仿宋" w:hAnsi="仿宋" w:eastAsia="仿宋"/>
          <w:b w:val="0"/>
          <w:bCs w:val="0"/>
          <w:color w:val="000000"/>
          <w:sz w:val="32"/>
          <w:szCs w:val="32"/>
          <w:lang w:eastAsia="zh-CN"/>
        </w:rPr>
        <w:t>）</w:t>
      </w:r>
      <w:r>
        <w:rPr>
          <w:rStyle w:val="17"/>
          <w:rFonts w:hint="eastAsia" w:ascii="仿宋" w:hAnsi="仿宋" w:eastAsia="仿宋"/>
          <w:b w:val="0"/>
          <w:bCs w:val="0"/>
          <w:color w:val="000000"/>
          <w:sz w:val="32"/>
          <w:szCs w:val="32"/>
        </w:rPr>
        <w:t xml:space="preserve">  机关事业单位基本养老保险缴费支出（项）</w:t>
      </w:r>
      <w:r>
        <w:rPr>
          <w:rStyle w:val="17"/>
          <w:rFonts w:ascii="仿宋" w:hAnsi="仿宋" w:eastAsia="仿宋"/>
          <w:b w:val="0"/>
          <w:bCs w:val="0"/>
          <w:color w:val="000000"/>
          <w:sz w:val="32"/>
          <w:szCs w:val="32"/>
        </w:rPr>
        <w:t xml:space="preserve">: </w:t>
      </w:r>
      <w:r>
        <w:rPr>
          <w:rStyle w:val="17"/>
          <w:rFonts w:hint="eastAsia" w:ascii="仿宋" w:hAnsi="仿宋" w:eastAsia="仿宋"/>
          <w:b w:val="0"/>
          <w:bCs w:val="0"/>
          <w:color w:val="000000"/>
          <w:sz w:val="32"/>
          <w:szCs w:val="32"/>
          <w:lang w:eastAsia="zh-CN"/>
        </w:rPr>
        <w:t>指</w:t>
      </w:r>
      <w:r>
        <w:rPr>
          <w:rStyle w:val="17"/>
          <w:rFonts w:hint="eastAsia" w:ascii="仿宋" w:hAnsi="仿宋" w:eastAsia="仿宋"/>
          <w:b w:val="0"/>
          <w:bCs w:val="0"/>
          <w:color w:val="000000"/>
          <w:sz w:val="32"/>
          <w:szCs w:val="32"/>
        </w:rPr>
        <w:t>行政事业单位</w:t>
      </w:r>
      <w:r>
        <w:rPr>
          <w:rStyle w:val="17"/>
          <w:rFonts w:hint="eastAsia" w:ascii="仿宋" w:hAnsi="仿宋" w:eastAsia="仿宋"/>
          <w:b w:val="0"/>
          <w:bCs w:val="0"/>
          <w:color w:val="000000"/>
          <w:sz w:val="32"/>
          <w:szCs w:val="32"/>
          <w:lang w:eastAsia="zh-CN"/>
        </w:rPr>
        <w:t>实施养老保险制度由单位缴纳的基本养老保险费支出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10</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卫生健康</w:t>
      </w:r>
      <w:r>
        <w:rPr>
          <w:rStyle w:val="17"/>
          <w:rFonts w:hint="eastAsia" w:ascii="仿宋" w:hAnsi="仿宋" w:eastAsia="仿宋"/>
          <w:b w:val="0"/>
          <w:bCs w:val="0"/>
          <w:color w:val="000000"/>
          <w:sz w:val="32"/>
          <w:szCs w:val="32"/>
        </w:rPr>
        <w:t>（类）卫生健康管理事务（款）行政运行（项）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w:t>
      </w:r>
      <w:r>
        <w:rPr>
          <w:rStyle w:val="17"/>
          <w:rFonts w:hint="eastAsia" w:ascii="仿宋" w:hAnsi="仿宋" w:eastAsia="仿宋"/>
          <w:b w:val="0"/>
          <w:bCs w:val="0"/>
          <w:color w:val="000000"/>
          <w:sz w:val="32"/>
          <w:szCs w:val="32"/>
        </w:rPr>
        <w:t>卫生健康管理事务</w:t>
      </w:r>
      <w:r>
        <w:rPr>
          <w:rStyle w:val="17"/>
          <w:rFonts w:hint="eastAsia" w:ascii="仿宋" w:hAnsi="仿宋" w:eastAsia="仿宋"/>
          <w:b w:val="0"/>
          <w:bCs w:val="0"/>
          <w:color w:val="000000"/>
          <w:sz w:val="32"/>
          <w:szCs w:val="32"/>
          <w:lang w:eastAsia="zh-CN"/>
        </w:rPr>
        <w:t>的基本支出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11</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卫生健康</w:t>
      </w:r>
      <w:r>
        <w:rPr>
          <w:rStyle w:val="17"/>
          <w:rFonts w:hint="eastAsia" w:ascii="仿宋" w:hAnsi="仿宋" w:eastAsia="仿宋"/>
          <w:b w:val="0"/>
          <w:bCs w:val="0"/>
          <w:color w:val="000000"/>
          <w:sz w:val="32"/>
          <w:szCs w:val="32"/>
        </w:rPr>
        <w:t>（类）公共卫生（款）突发公共卫生事件应急处理（项）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指突发公共卫生事件应急处理的支出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12</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卫生健康</w:t>
      </w:r>
      <w:r>
        <w:rPr>
          <w:rStyle w:val="17"/>
          <w:rFonts w:hint="eastAsia" w:ascii="仿宋" w:hAnsi="仿宋" w:eastAsia="仿宋"/>
          <w:b w:val="0"/>
          <w:bCs w:val="0"/>
          <w:color w:val="000000"/>
          <w:sz w:val="32"/>
          <w:szCs w:val="32"/>
        </w:rPr>
        <w:t>（类）行政事业单位医疗（款）行政单位医疗（项）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指财政部门安排的行政单位基本医疗保险缴费经费，未参加医疗保险的行政单位的公费医疗经费，按国家规定享受离休人员、红军老战士待遇人员的医疗经费</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Fonts w:hint="eastAsia" w:ascii="仿宋" w:hAnsi="仿宋" w:eastAsia="仿宋"/>
          <w:b w:val="0"/>
          <w:bCs w:val="0"/>
          <w:color w:val="000000"/>
          <w:sz w:val="32"/>
          <w:szCs w:val="32"/>
          <w:lang w:val="en-US" w:eastAsia="zh-CN"/>
        </w:rPr>
        <w:t>13.</w:t>
      </w:r>
      <w:r>
        <w:rPr>
          <w:rFonts w:hint="eastAsia" w:ascii="仿宋" w:hAnsi="仿宋" w:eastAsia="仿宋"/>
          <w:b w:val="0"/>
          <w:bCs w:val="0"/>
          <w:color w:val="000000"/>
          <w:sz w:val="32"/>
          <w:szCs w:val="32"/>
        </w:rPr>
        <w:t>农林水支出</w:t>
      </w:r>
      <w:r>
        <w:rPr>
          <w:rStyle w:val="17"/>
          <w:rFonts w:hint="eastAsia" w:ascii="仿宋" w:hAnsi="仿宋" w:eastAsia="仿宋"/>
          <w:b w:val="0"/>
          <w:bCs w:val="0"/>
          <w:color w:val="000000"/>
          <w:sz w:val="32"/>
          <w:szCs w:val="32"/>
        </w:rPr>
        <w:t>（类）农业农村（款）行政运行（项）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指种植业、畜牧业、渔业、种业、兽医、农机、农垦、农场、农村产业、农村社会事业等方面的基本支出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14</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农林水支出</w:t>
      </w:r>
      <w:r>
        <w:rPr>
          <w:rStyle w:val="17"/>
          <w:rFonts w:hint="eastAsia" w:ascii="仿宋" w:hAnsi="仿宋" w:eastAsia="仿宋"/>
          <w:b w:val="0"/>
          <w:bCs w:val="0"/>
          <w:color w:val="000000"/>
          <w:sz w:val="32"/>
          <w:szCs w:val="32"/>
        </w:rPr>
        <w:t>（类）林业和草原（款）行政运行（项）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指林业和草原方面的基本支出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15</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农林水支出</w:t>
      </w:r>
      <w:r>
        <w:rPr>
          <w:rStyle w:val="17"/>
          <w:rFonts w:hint="eastAsia" w:ascii="仿宋" w:hAnsi="仿宋" w:eastAsia="仿宋"/>
          <w:b w:val="0"/>
          <w:bCs w:val="0"/>
          <w:color w:val="000000"/>
          <w:sz w:val="32"/>
          <w:szCs w:val="32"/>
        </w:rPr>
        <w:t>（类）水利（款）行政运行（项）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指水利方面的基本支出</w:t>
      </w:r>
      <w:r>
        <w:rPr>
          <w:rStyle w:val="17"/>
          <w:rFonts w:hint="eastAsia" w:ascii="仿宋" w:hAnsi="仿宋" w:eastAsia="仿宋"/>
          <w:b w:val="0"/>
          <w:bCs w:val="0"/>
          <w:color w:val="000000"/>
          <w:sz w:val="32"/>
          <w:szCs w:val="32"/>
        </w:rPr>
        <w:t>。</w:t>
      </w:r>
    </w:p>
    <w:p>
      <w:pPr>
        <w:spacing w:line="600" w:lineRule="exact"/>
        <w:ind w:firstLine="640" w:firstLineChars="200"/>
        <w:rPr>
          <w:rFonts w:ascii="仿宋" w:hAnsi="仿宋" w:eastAsia="仿宋"/>
          <w:b w:val="0"/>
          <w:bCs w:val="0"/>
          <w:color w:val="000000"/>
          <w:sz w:val="32"/>
          <w:szCs w:val="32"/>
        </w:rPr>
      </w:pPr>
      <w:r>
        <w:rPr>
          <w:rStyle w:val="17"/>
          <w:rFonts w:hint="eastAsia" w:ascii="仿宋" w:hAnsi="仿宋" w:eastAsia="仿宋"/>
          <w:b w:val="0"/>
          <w:bCs w:val="0"/>
          <w:color w:val="000000"/>
          <w:sz w:val="32"/>
          <w:szCs w:val="32"/>
          <w:lang w:val="en-US" w:eastAsia="zh-CN"/>
        </w:rPr>
        <w:t>16</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农林水支出</w:t>
      </w:r>
      <w:r>
        <w:rPr>
          <w:rStyle w:val="17"/>
          <w:rFonts w:hint="eastAsia" w:ascii="仿宋" w:hAnsi="仿宋" w:eastAsia="仿宋"/>
          <w:b w:val="0"/>
          <w:bCs w:val="0"/>
          <w:color w:val="000000"/>
          <w:sz w:val="32"/>
          <w:szCs w:val="32"/>
        </w:rPr>
        <w:t>（类）</w:t>
      </w:r>
      <w:r>
        <w:rPr>
          <w:rStyle w:val="17"/>
          <w:rFonts w:hint="eastAsia" w:ascii="仿宋" w:hAnsi="仿宋" w:eastAsia="仿宋"/>
          <w:b w:val="0"/>
          <w:bCs w:val="0"/>
          <w:color w:val="000000"/>
          <w:sz w:val="32"/>
          <w:szCs w:val="32"/>
          <w:lang w:eastAsia="zh-CN"/>
        </w:rPr>
        <w:t>水利</w:t>
      </w:r>
      <w:r>
        <w:rPr>
          <w:rStyle w:val="17"/>
          <w:rFonts w:hint="eastAsia" w:ascii="仿宋" w:hAnsi="仿宋" w:eastAsia="仿宋"/>
          <w:b w:val="0"/>
          <w:bCs w:val="0"/>
          <w:color w:val="000000"/>
          <w:sz w:val="32"/>
          <w:szCs w:val="32"/>
        </w:rPr>
        <w:t>（款）农村水利（项）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指国家对中型灌溉区节水配套改造、牧区水利建设、小型水源建设、农村河塘整治以及排灌站、小水电站补助等</w:t>
      </w:r>
      <w:r>
        <w:rPr>
          <w:rStyle w:val="17"/>
          <w:rFonts w:hint="eastAsia" w:ascii="仿宋" w:hAnsi="仿宋" w:eastAsia="仿宋"/>
          <w:b w:val="0"/>
          <w:bCs w:val="0"/>
          <w:color w:val="000000"/>
          <w:sz w:val="32"/>
          <w:szCs w:val="32"/>
        </w:rPr>
        <w:t>。</w:t>
      </w:r>
    </w:p>
    <w:p>
      <w:pPr>
        <w:pStyle w:val="2"/>
        <w:ind w:left="0" w:leftChars="0" w:firstLine="640" w:firstLineChars="200"/>
        <w:rPr>
          <w:b w:val="0"/>
          <w:bCs w:val="0"/>
        </w:rPr>
      </w:pPr>
      <w:r>
        <w:rPr>
          <w:rStyle w:val="17"/>
          <w:rFonts w:hint="eastAsia" w:ascii="仿宋" w:hAnsi="仿宋" w:eastAsia="仿宋"/>
          <w:b w:val="0"/>
          <w:bCs w:val="0"/>
          <w:color w:val="000000"/>
          <w:sz w:val="32"/>
          <w:szCs w:val="32"/>
          <w:lang w:val="en-US" w:eastAsia="zh-CN"/>
        </w:rPr>
        <w:t>17</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农林水支出</w:t>
      </w:r>
      <w:r>
        <w:rPr>
          <w:rStyle w:val="17"/>
          <w:rFonts w:hint="eastAsia" w:ascii="仿宋" w:hAnsi="仿宋" w:eastAsia="仿宋"/>
          <w:b w:val="0"/>
          <w:bCs w:val="0"/>
          <w:color w:val="000000"/>
          <w:sz w:val="32"/>
          <w:szCs w:val="32"/>
        </w:rPr>
        <w:t>（类）</w:t>
      </w:r>
      <w:r>
        <w:rPr>
          <w:rStyle w:val="17"/>
          <w:rFonts w:hint="eastAsia" w:ascii="仿宋" w:hAnsi="仿宋" w:eastAsia="仿宋"/>
          <w:b w:val="0"/>
          <w:bCs w:val="0"/>
          <w:color w:val="000000"/>
          <w:sz w:val="32"/>
          <w:szCs w:val="32"/>
          <w:lang w:eastAsia="zh-CN"/>
        </w:rPr>
        <w:t>农村综合改革</w:t>
      </w:r>
      <w:r>
        <w:rPr>
          <w:rStyle w:val="17"/>
          <w:rFonts w:hint="eastAsia" w:ascii="仿宋" w:hAnsi="仿宋" w:eastAsia="仿宋"/>
          <w:b w:val="0"/>
          <w:bCs w:val="0"/>
          <w:color w:val="000000"/>
          <w:sz w:val="32"/>
          <w:szCs w:val="32"/>
        </w:rPr>
        <w:t>（款）对村民委员会和村党支部的补助（项）</w:t>
      </w:r>
      <w:r>
        <w:rPr>
          <w:rStyle w:val="17"/>
          <w:rFonts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指财政对村民委员会和党支部的补助支出，以及支持建立县级基本财力保障机制安排的村级组织运转奖补资金。</w:t>
      </w:r>
    </w:p>
    <w:p>
      <w:pPr>
        <w:ind w:firstLine="640" w:firstLineChars="200"/>
        <w:rPr>
          <w:rFonts w:ascii="仿宋_GB2312" w:eastAsia="仿宋_GB2312"/>
          <w:b w:val="0"/>
          <w:bCs w:val="0"/>
          <w:color w:val="000000"/>
          <w:sz w:val="32"/>
          <w:szCs w:val="32"/>
        </w:rPr>
      </w:pPr>
      <w:r>
        <w:rPr>
          <w:rStyle w:val="17"/>
          <w:rFonts w:hint="eastAsia" w:ascii="仿宋" w:hAnsi="仿宋" w:eastAsia="仿宋"/>
          <w:b w:val="0"/>
          <w:bCs w:val="0"/>
          <w:color w:val="000000"/>
          <w:sz w:val="32"/>
          <w:szCs w:val="32"/>
          <w:lang w:val="en-US" w:eastAsia="zh-CN"/>
        </w:rPr>
        <w:t>18</w:t>
      </w:r>
      <w:r>
        <w:rPr>
          <w:rStyle w:val="17"/>
          <w:rFonts w:ascii="仿宋" w:hAnsi="仿宋" w:eastAsia="仿宋"/>
          <w:b w:val="0"/>
          <w:bCs w:val="0"/>
          <w:color w:val="000000"/>
          <w:sz w:val="32"/>
          <w:szCs w:val="32"/>
        </w:rPr>
        <w:t>.</w:t>
      </w:r>
      <w:r>
        <w:rPr>
          <w:rFonts w:hint="eastAsia" w:ascii="仿宋" w:hAnsi="仿宋" w:eastAsia="仿宋"/>
          <w:b w:val="0"/>
          <w:bCs w:val="0"/>
          <w:color w:val="000000"/>
          <w:sz w:val="32"/>
          <w:szCs w:val="32"/>
        </w:rPr>
        <w:t>住房保障支出</w:t>
      </w:r>
      <w:r>
        <w:rPr>
          <w:rStyle w:val="17"/>
          <w:rFonts w:hint="eastAsia" w:ascii="仿宋" w:hAnsi="仿宋" w:eastAsia="仿宋"/>
          <w:b w:val="0"/>
          <w:bCs w:val="0"/>
          <w:color w:val="000000"/>
          <w:sz w:val="32"/>
          <w:szCs w:val="32"/>
        </w:rPr>
        <w:t>（类）</w:t>
      </w:r>
      <w:r>
        <w:rPr>
          <w:rStyle w:val="17"/>
          <w:rFonts w:hint="eastAsia" w:ascii="仿宋" w:hAnsi="仿宋" w:eastAsia="仿宋"/>
          <w:b w:val="0"/>
          <w:bCs w:val="0"/>
          <w:color w:val="000000"/>
          <w:sz w:val="32"/>
          <w:szCs w:val="32"/>
          <w:lang w:eastAsia="zh-CN"/>
        </w:rPr>
        <w:t>住房改革支出</w:t>
      </w:r>
      <w:r>
        <w:rPr>
          <w:rStyle w:val="17"/>
          <w:rFonts w:hint="eastAsia" w:ascii="仿宋" w:hAnsi="仿宋" w:eastAsia="仿宋"/>
          <w:b w:val="0"/>
          <w:bCs w:val="0"/>
          <w:color w:val="000000"/>
          <w:sz w:val="32"/>
          <w:szCs w:val="32"/>
        </w:rPr>
        <w:t>（款）住房公积金（项）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行政事业单位按人力资源和社会保障部、财政部规定的基本工资和津贴补贴以及规定比例为职工缴纳的住房公积金</w:t>
      </w:r>
      <w:r>
        <w:rPr>
          <w:rFonts w:hint="eastAsia" w:ascii="仿宋_GB2312" w:eastAsia="仿宋_GB2312"/>
          <w:b w:val="0"/>
          <w:bCs w:val="0"/>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p>
    <w:p>
      <w:pPr>
        <w:spacing w:line="600" w:lineRule="exact"/>
        <w:jc w:val="center"/>
        <w:outlineLvl w:val="0"/>
        <w:rPr>
          <w:rStyle w:val="19"/>
          <w:rFonts w:ascii="黑体" w:hAnsi="黑体" w:eastAsia="黑体"/>
          <w:b w:val="0"/>
        </w:rPr>
      </w:pPr>
      <w:bookmarkStart w:id="58" w:name="_Toc15377226"/>
      <w:r>
        <w:rPr>
          <w:rFonts w:ascii="宋体"/>
          <w:b/>
          <w:color w:val="000000"/>
          <w:sz w:val="44"/>
          <w:szCs w:val="44"/>
        </w:rPr>
        <w:br w:type="page"/>
      </w:r>
      <w:bookmarkStart w:id="59" w:name="_Toc15396614"/>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广元市朝天区</w:t>
      </w:r>
      <w:r>
        <w:rPr>
          <w:rFonts w:hint="eastAsia" w:ascii="方正小标宋简体" w:hAnsi="方正小标宋简体" w:eastAsia="方正小标宋简体" w:cs="方正小标宋简体"/>
          <w:sz w:val="44"/>
          <w:szCs w:val="44"/>
          <w:lang w:eastAsia="zh-CN"/>
        </w:rPr>
        <w:t>中子镇</w:t>
      </w:r>
      <w:r>
        <w:rPr>
          <w:rFonts w:hint="eastAsia" w:ascii="方正小标宋简体" w:hAnsi="方正小标宋简体" w:eastAsia="方正小标宋简体" w:cs="方正小标宋简体"/>
          <w:sz w:val="44"/>
          <w:szCs w:val="44"/>
        </w:rPr>
        <w:t>人民政府</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2"/>
        <w:rPr>
          <w:rFonts w:hint="eastAsia" w:ascii="仿宋_GB2312" w:eastAsia="仿宋_GB2312"/>
          <w:kern w:val="2"/>
          <w:sz w:val="32"/>
          <w:lang w:val="en-US" w:eastAsia="zh-CN"/>
        </w:rPr>
      </w:pPr>
      <w:r>
        <w:rPr>
          <w:rFonts w:hint="eastAsia" w:ascii="仿宋_GB2312" w:eastAsia="仿宋_GB2312"/>
          <w:sz w:val="32"/>
          <w:szCs w:val="32"/>
          <w:lang w:val="en-US" w:eastAsia="zh-CN"/>
        </w:rPr>
        <w:t>中子镇位于四川省广元市</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"https://baike.so.com/doc/6020411-6233408.html"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朝天区</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西北部，南与</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"https://baike.so.com/doc/5773489-5986262.html"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羊木镇</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毗连，北与陕西省</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"https://baike.so.com/doc/6107626-6320739.html"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宁强县</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"https://baike.so.com/doc/286757-303611.html" \t "https://baike.so.com/doc/_blank" </w:instrText>
      </w:r>
      <w:r>
        <w:rPr>
          <w:rFonts w:hint="default" w:ascii="仿宋_GB2312" w:eastAsia="仿宋_GB2312"/>
          <w:sz w:val="32"/>
          <w:szCs w:val="32"/>
          <w:lang w:val="en-US" w:eastAsia="zh-CN"/>
        </w:rPr>
        <w:fldChar w:fldCharType="separate"/>
      </w:r>
      <w:r>
        <w:rPr>
          <w:rFonts w:hint="default" w:ascii="仿宋_GB2312" w:eastAsia="仿宋_GB2312"/>
          <w:sz w:val="32"/>
          <w:szCs w:val="32"/>
          <w:lang w:val="en-US" w:eastAsia="zh-CN"/>
        </w:rPr>
        <w:t>广坪镇</w:t>
      </w:r>
      <w:r>
        <w:rPr>
          <w:rFonts w:hint="default" w:ascii="仿宋_GB2312" w:eastAsia="仿宋_GB2312"/>
          <w:sz w:val="32"/>
          <w:szCs w:val="32"/>
          <w:lang w:val="en-US" w:eastAsia="zh-CN"/>
        </w:rPr>
        <w:fldChar w:fldCharType="end"/>
      </w:r>
      <w:r>
        <w:rPr>
          <w:rFonts w:hint="default" w:ascii="仿宋_GB2312" w:eastAsia="仿宋_GB2312"/>
          <w:sz w:val="32"/>
          <w:szCs w:val="32"/>
          <w:lang w:val="en-US" w:eastAsia="zh-CN"/>
        </w:rPr>
        <w:t>交界。</w:t>
      </w:r>
      <w:r>
        <w:rPr>
          <w:rFonts w:hint="eastAsia" w:ascii="仿宋_GB2312" w:eastAsia="仿宋_GB2312"/>
          <w:sz w:val="32"/>
          <w:szCs w:val="32"/>
          <w:lang w:val="en-US" w:eastAsia="zh-CN"/>
        </w:rPr>
        <w:t>镇</w:t>
      </w:r>
      <w:r>
        <w:rPr>
          <w:rFonts w:hint="default" w:ascii="仿宋_GB2312" w:eastAsia="仿宋_GB2312"/>
          <w:sz w:val="32"/>
          <w:szCs w:val="32"/>
          <w:lang w:val="en-US" w:eastAsia="zh-CN"/>
        </w:rPr>
        <w:t>政府驻地</w:t>
      </w:r>
      <w:r>
        <w:rPr>
          <w:rFonts w:hint="eastAsia" w:ascii="仿宋_GB2312" w:eastAsia="仿宋_GB2312"/>
          <w:sz w:val="32"/>
          <w:szCs w:val="32"/>
          <w:lang w:val="en-US" w:eastAsia="zh-CN"/>
        </w:rPr>
        <w:t>菜籽坝村</w:t>
      </w:r>
      <w:r>
        <w:rPr>
          <w:rFonts w:hint="default" w:ascii="仿宋_GB2312" w:eastAsia="仿宋_GB2312"/>
          <w:sz w:val="32"/>
          <w:szCs w:val="32"/>
          <w:lang w:val="en-US" w:eastAsia="zh-CN"/>
        </w:rPr>
        <w:t>，距朝天城区24公里</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eastAsia="zh-CN"/>
        </w:rPr>
        <w:t>幅员面积</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lang w:eastAsia="zh-CN"/>
        </w:rPr>
        <w:t>4平</w:t>
      </w:r>
      <w:r>
        <w:rPr>
          <w:rFonts w:hint="eastAsia" w:ascii="仿宋_GB2312" w:hAnsi="仿宋_GB2312" w:eastAsia="仿宋_GB2312" w:cs="仿宋_GB2312"/>
          <w:sz w:val="32"/>
          <w:szCs w:val="32"/>
        </w:rPr>
        <w:t>方公里</w:t>
      </w:r>
      <w:r>
        <w:rPr>
          <w:rFonts w:hint="eastAsia" w:ascii="仿宋_GB2312" w:eastAsia="仿宋_GB2312"/>
          <w:kern w:val="2"/>
          <w:sz w:val="32"/>
          <w:lang w:val="en-US" w:eastAsia="zh-CN"/>
        </w:rPr>
        <w:t>，</w:t>
      </w:r>
      <w:r>
        <w:rPr>
          <w:rFonts w:hint="eastAsia" w:ascii="仿宋_GB2312" w:eastAsia="仿宋_GB2312"/>
          <w:sz w:val="32"/>
          <w:szCs w:val="32"/>
          <w:lang w:val="en-US" w:eastAsia="zh-CN"/>
        </w:rPr>
        <w:t>全镇</w:t>
      </w:r>
      <w:r>
        <w:rPr>
          <w:rFonts w:hint="eastAsia" w:ascii="仿宋_GB2312" w:hAnsi="仿宋_GB2312" w:eastAsia="仿宋_GB2312" w:cs="仿宋_GB2312"/>
          <w:sz w:val="32"/>
          <w:szCs w:val="32"/>
        </w:rPr>
        <w:t>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村民小</w:t>
      </w:r>
      <w:r>
        <w:rPr>
          <w:rFonts w:hint="eastAsia" w:ascii="仿宋_GB2312" w:hAnsi="仿宋_GB2312" w:eastAsia="仿宋_GB2312" w:cs="仿宋_GB2312"/>
          <w:sz w:val="32"/>
          <w:szCs w:val="32"/>
          <w:lang w:val="en-US" w:eastAsia="zh-CN"/>
        </w:rPr>
        <w:t>组，</w:t>
      </w:r>
      <w:r>
        <w:rPr>
          <w:rFonts w:hint="eastAsia" w:ascii="仿宋_GB2312" w:eastAsia="仿宋_GB2312"/>
          <w:kern w:val="2"/>
          <w:sz w:val="32"/>
          <w:lang w:val="en-US" w:eastAsia="zh-CN"/>
        </w:rPr>
        <w:t>年末总人口</w:t>
      </w:r>
      <w:r>
        <w:rPr>
          <w:rFonts w:hint="eastAsia" w:ascii="仿宋_GB2312" w:hAnsi="仿宋_GB2312" w:eastAsia="仿宋_GB2312" w:cs="仿宋_GB2312"/>
          <w:sz w:val="32"/>
          <w:szCs w:val="32"/>
          <w:lang w:val="en-US" w:eastAsia="zh-CN"/>
        </w:rPr>
        <w:t>共3622户</w:t>
      </w:r>
      <w:r>
        <w:rPr>
          <w:rFonts w:hint="eastAsia" w:ascii="仿宋_GB2312" w:eastAsia="仿宋_GB2312"/>
          <w:kern w:val="2"/>
          <w:sz w:val="32"/>
          <w:lang w:val="en-US" w:eastAsia="zh-CN"/>
        </w:rPr>
        <w:t>12986人，其中农业人口数12717人，城镇人口269人。政府内设党委、人大等9个独立编制机构，设政府1个独立核算机构。</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(6)加强镇级财政的监督和管理，按计划组织、管理镇财政收入和支出，执行国家有关财经纪律和政策，保证国家财政收入的完成;做好统计工作。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(7)指导、支持、帮助村(居)民委员会的组织制度建设和业务建设，促进村(居)民委员会民主自治。</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(8)制定和组织实施镇村建设规划;加强公用、市政设施、水利建设和管理以及房屋土地管理和环境综合整治工作，保护和改善生活环境和生态环境。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(9)协助和支持设置在本行政区域内不隶属于镇的国家机关和企事业单位工作，监督其遵守和执行国家的法律、法规和政策。</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lang w:val="zh-CN"/>
        </w:rPr>
      </w:pPr>
      <w:r>
        <w:rPr>
          <w:rFonts w:hint="eastAsia" w:ascii="仿宋_GB2312" w:eastAsia="仿宋_GB2312"/>
          <w:color w:val="auto"/>
          <w:sz w:val="32"/>
          <w:szCs w:val="32"/>
          <w:highlight w:val="none"/>
        </w:rPr>
        <w:t>（10）承办区委、区政府及上级主管部门交办的其他事项。</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pStyle w:val="2"/>
        <w:rPr>
          <w:lang w:val="zh-CN"/>
        </w:rPr>
      </w:pPr>
      <w:r>
        <w:rPr>
          <w:rFonts w:hint="eastAsia" w:ascii="仿宋_GB2312" w:eastAsia="仿宋_GB2312"/>
          <w:kern w:val="2"/>
          <w:sz w:val="32"/>
          <w:lang w:val="en-US" w:eastAsia="zh-CN"/>
        </w:rPr>
        <w:t>年初乡镇财政供养人员35人，年末乡镇财政供养人员46人，其中财政所事业编制3人，全年调入人员16人，新进人员1人，调出6人，财政供养人员较上年末增加11人。共有财政定额补助人员2人，享受遗属补助人员7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pStyle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2020年一般公共预算财政拨款收入1076.17万元。一般公共预算支出1048.39万元，年末结转和结余27.78万元。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pStyle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2020年一般公共预算财政拨款支出</w:t>
      </w:r>
      <w:r>
        <w:rPr>
          <w:rFonts w:hint="eastAsia" w:ascii="仿宋_GB2312" w:hAnsi="宋体" w:eastAsia="仿宋_GB2312" w:cs="宋体"/>
          <w:color w:val="000000"/>
          <w:kern w:val="0"/>
          <w:sz w:val="32"/>
          <w:szCs w:val="32"/>
          <w:shd w:val="clear" w:color="auto" w:fill="FFFFFF"/>
          <w:lang w:val="en-US" w:eastAsia="zh-CN" w:bidi="ar-SA"/>
        </w:rPr>
        <w:t>1048.39</w:t>
      </w:r>
      <w:r>
        <w:rPr>
          <w:rFonts w:hint="eastAsia" w:ascii="仿宋_GB2312" w:hAnsi="宋体" w:eastAsia="仿宋_GB2312" w:cs="宋体"/>
          <w:color w:val="000000"/>
          <w:kern w:val="0"/>
          <w:sz w:val="32"/>
          <w:szCs w:val="32"/>
          <w:shd w:val="clear" w:color="auto" w:fill="FFFFFF"/>
          <w:lang w:val="zh-CN" w:eastAsia="zh-CN" w:bidi="ar-SA"/>
        </w:rPr>
        <w:t>万元，年末结转和结余27.78万元。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预算编制</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）编制质量。</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绩效目标：围绕加快振兴发展、建成全面小康、建设生态、和谐、美丽中子的总体目标，坚持稳中求进，提升综合经济实力，全面推动西部生态农业发展示范区发展。</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认真贯彻落实中央、省、市、区各项决策部署，严格贯彻执行《预算法》，紧紧围绕全面深化财税体制改革的总体部署，坚持依法行政、依法理财、统筹兼顾。切实加强和改进预算管理和控制，强化预算执行监督，推进预算绩效管理和结果应用评价。健全预算支出标准体系，进一步优化财政支出结构，从严控制“三公”经费等一般性支出，盘活用好财政存量资金。硬化预算约束，严肃财政纪律，有效防控财政和债务风险。推进预算信息公开，提高预算透明度，加快构建全面规范、公开透明的现代预算制度。</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 xml:space="preserve">）报送时效。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按照上级部门预算编制通知和有关要求，按时完成基础库、项目库报送工作。我镇认真执行财经纪律的有关规定，各项收入是完整列入部门预算，规范编制基本支出和项目支出，各类资金管理规范，在广元市朝天区中子镇第一届人民代表大会第二次会议审查通过了中子镇2019年财政预算执行情况和2020年财政预算，并于在朝天门户网公开部门预算及相关报表。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预算执行</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预算执行及调整。我镇认真执行财经纪律的有关规定，不存在超预算或者无预算安排支出，虚列支出、转嫁支出、转移或者套取预算资金，未超标准、超范围列支“三公”经费、会议费、培训费和差旅费，不存在滥发工资、奖金、补贴等问题；严格执行国库集中支付制度、公务活动消费公务卡结算；严格执行政府采购制度。 </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严格按照预算管理制度和财务会计制度编制决算，决算数据真实、准确、完整并及时上报，不存在决算报表数据与财务账不一致等问题，并按规定公开部门决算，不存在决算公开数与决算报表数或财务账不一致等问题。预算总体执行进度按预算资金下达时间执行，预算中期有变化的按照要求中期或年终一次性追加。“三公”经费严格按照预算标准执行，不存在超预算等行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综合管理情况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）根据区上对财务资金使用的相关要求，制定了中子镇财务管理制度、财政资金项目管理办法等相关制度，在资金使用过程中严格按照制度对财政资金进行使用，不存在截留、挤占、挪用等情况；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按照规定进行会计核算；</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）年初编制了政府采购预算表，年中对政府采购预算进行调整，并根据政府采购预算表实施政府采购，未擅自购买需政府采购的设备；</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）对我镇2020年底的所有资产进行了清查，将清查出来的资产按规定录入国有资产管理信息系统；</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rPr>
        <w:t>）成立了内部控制管理工作小组，制定了内部控制实施方案，建立健全了单位内部控制体系；</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）严格按照上级部门的要求，对单位的年初预算批复、年终决算、三公经费预决算在镇人代会后二十日内在朝天区人民政府网站上进行公示；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）积极地开展绩效评价工作，对部门专项资金在年初时填报了专项资金绩效评价表。。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2020年，我镇积极履职，强化管理，较好的完成了年度工作目标。通过加强预算收支管理，不断建立健全内部管理制度，梳理内部管理流程，整体支出管理水平得到提升。</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lang w:val="zh-CN"/>
        </w:rPr>
      </w:pPr>
      <w:r>
        <w:rPr>
          <w:rFonts w:hint="eastAsia" w:ascii="仿宋_GB2312" w:hAnsi="宋体" w:eastAsia="仿宋_GB2312" w:cs="宋体"/>
          <w:color w:val="000000"/>
          <w:kern w:val="0"/>
          <w:sz w:val="32"/>
          <w:szCs w:val="32"/>
          <w:shd w:val="clear" w:color="auto" w:fill="FFFFFF"/>
          <w:lang w:val="zh-CN"/>
        </w:rPr>
        <w:t>根据部门整体支出绩效评价指标体系，我镇2020年度部门整体支出绩效自评93分,绩效评价等级为“优秀”。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pStyle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1、预算编制工作有待细化。预算编制不够明确和细化，预算编制的合理性需要提高，预算执行力度还要进一步加强。</w:t>
      </w:r>
    </w:p>
    <w:p>
      <w:pPr>
        <w:pStyle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2、公用经费控制有一定难度，基本为刚性支出。</w:t>
      </w:r>
    </w:p>
    <w:p>
      <w:pPr>
        <w:pStyle w:val="2"/>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3、专项资金少，资金压力大。针对我镇农村经济基础薄弱、资金压力大的现状，重点产业项目尚需进一步的加强。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sectPr>
          <w:footerReference r:id="rId6" w:type="first"/>
          <w:footerReference r:id="rId5" w:type="default"/>
          <w:pgSz w:w="11906" w:h="16838"/>
          <w:pgMar w:top="1440" w:right="1800" w:bottom="1440" w:left="1800" w:header="851" w:footer="992" w:gutter="0"/>
          <w:pgNumType w:fmt="decimal" w:start="1"/>
          <w:cols w:space="720" w:num="1"/>
          <w:titlePg/>
          <w:docGrid w:type="lines" w:linePitch="312" w:charSpace="0"/>
        </w:sectPr>
      </w:pPr>
      <w:r>
        <w:rPr>
          <w:rFonts w:hint="eastAsia" w:ascii="仿宋_GB2312" w:hAnsi="仿宋_GB2312" w:eastAsia="仿宋_GB2312" w:cs="仿宋_GB2312"/>
          <w:sz w:val="32"/>
          <w:szCs w:val="32"/>
        </w:rPr>
        <w:t>1、细化预算编制工作，认真做好预算的编制。进一步加强单位内部机构预算管理意识，严格按照预算编制的相关制度和要求进行预算编制；全面编制预算项目，优先保障固定性的、相对刚性的费用支出项目，尽量压缩变动性的、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控制空间的费用项目，进一步提高预算编制的科学性、严谨性和可控性。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4、对相关人员加强培训，特别是针对《预算法》、《政府会计制度》等学习培训，规范部门预算收支核算，切实提高部门预算收支管理水平。</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rPr>
        <w:t>2020年农村公共服务运行维护</w:t>
      </w:r>
      <w:r>
        <w:rPr>
          <w:rFonts w:hint="eastAsia" w:ascii="方正小标宋简体" w:hAnsi="宋体" w:eastAsia="方正小标宋简体"/>
          <w:color w:val="000000"/>
          <w:kern w:val="0"/>
          <w:sz w:val="44"/>
          <w:szCs w:val="44"/>
          <w:lang w:eastAsia="zh-CN"/>
        </w:rPr>
        <w:t>项目建设</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570" w:lineRule="exact"/>
        <w:ind w:firstLine="640" w:firstLineChars="200"/>
        <w:rPr>
          <w:rFonts w:ascii="仿宋_GB2312" w:hAnsi="宋体" w:eastAsia="仿宋_GB2312"/>
          <w:sz w:val="32"/>
          <w:szCs w:val="32"/>
          <w:lang w:val="zh-CN"/>
        </w:rPr>
      </w:pPr>
      <w:r>
        <w:rPr>
          <w:rFonts w:hint="eastAsia" w:ascii="仿宋" w:hAnsi="仿宋" w:eastAsia="仿宋" w:cs="仿宋_GB2312"/>
          <w:sz w:val="32"/>
          <w:szCs w:val="32"/>
          <w:lang w:val="en-US" w:eastAsia="zh-CN"/>
        </w:rPr>
        <w:t>2020</w:t>
      </w:r>
      <w:r>
        <w:rPr>
          <w:rFonts w:hint="eastAsia" w:ascii="仿宋" w:hAnsi="仿宋" w:eastAsia="仿宋" w:cs="仿宋_GB2312"/>
          <w:sz w:val="32"/>
          <w:szCs w:val="32"/>
        </w:rPr>
        <w:t>年度，我镇共申报农村公共服务运行维护项目</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个，其中包括</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个村内道路维修项目。项目涉及我镇</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个行政村，惠民人数达到</w:t>
      </w:r>
      <w:r>
        <w:rPr>
          <w:rFonts w:hint="eastAsia" w:ascii="仿宋" w:hAnsi="仿宋" w:eastAsia="仿宋" w:cs="仿宋_GB2312"/>
          <w:sz w:val="32"/>
          <w:szCs w:val="32"/>
          <w:lang w:val="en-US" w:eastAsia="zh-CN"/>
        </w:rPr>
        <w:t>12717</w:t>
      </w:r>
      <w:r>
        <w:rPr>
          <w:rFonts w:hint="eastAsia" w:ascii="仿宋" w:hAnsi="仿宋" w:eastAsia="仿宋" w:cs="仿宋_GB2312"/>
          <w:sz w:val="32"/>
          <w:szCs w:val="32"/>
        </w:rPr>
        <w:t>人。农村公共服务运行维护机制建设是农村公益事业建设的重要内容，具体由项目村实施，镇政府主导监管的方式进行，同时充分调动村“两委”、农民群众和社会各界的积极性，共同推进农村公共服务运行维护机制建设，确保进一步改善农村基础设施条件。</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2020年农村公共服务运行维护项目资金，中子镇在2019年将各类具体实施维护内容所需资金按标准列入20</w:t>
      </w:r>
      <w:r>
        <w:rPr>
          <w:rFonts w:hint="eastAsia" w:ascii="仿宋_GB2312" w:hAnsi="宋体" w:eastAsia="仿宋_GB2312"/>
          <w:sz w:val="32"/>
          <w:szCs w:val="32"/>
          <w:lang w:val="en-US" w:eastAsia="zh-CN"/>
        </w:rPr>
        <w:t>20</w:t>
      </w:r>
      <w:r>
        <w:rPr>
          <w:rFonts w:hint="eastAsia" w:ascii="仿宋_GB2312" w:hAnsi="宋体" w:eastAsia="仿宋_GB2312"/>
          <w:sz w:val="32"/>
          <w:szCs w:val="32"/>
          <w:lang w:val="zh-CN"/>
        </w:rPr>
        <w:t>年初预算，待区政府批复后，方可组织实施。</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cs="Times New Roman"/>
          <w:sz w:val="32"/>
          <w:szCs w:val="32"/>
          <w:lang w:val="zh-CN"/>
        </w:rPr>
        <w:t>年初预算项目资金</w:t>
      </w:r>
      <w:r>
        <w:rPr>
          <w:rFonts w:hint="eastAsia" w:ascii="仿宋_GB2312" w:hAnsi="宋体" w:eastAsia="仿宋_GB2312" w:cs="Times New Roman"/>
          <w:sz w:val="32"/>
          <w:szCs w:val="32"/>
          <w:lang w:val="en-US" w:eastAsia="zh-CN"/>
        </w:rPr>
        <w:t>67.5万元，</w:t>
      </w:r>
      <w:r>
        <w:rPr>
          <w:rFonts w:hint="eastAsia" w:ascii="仿宋_GB2312" w:hAnsi="宋体" w:eastAsia="仿宋_GB2312" w:cs="Times New Roman"/>
          <w:sz w:val="32"/>
          <w:szCs w:val="32"/>
          <w:lang w:val="zh-CN"/>
        </w:rPr>
        <w:t>预算追加资金</w:t>
      </w:r>
      <w:r>
        <w:rPr>
          <w:rFonts w:hint="eastAsia" w:ascii="仿宋_GB2312" w:hAnsi="宋体" w:eastAsia="仿宋_GB2312" w:cs="Times New Roman"/>
          <w:sz w:val="32"/>
          <w:szCs w:val="32"/>
          <w:lang w:val="en-US" w:eastAsia="zh-CN"/>
        </w:rPr>
        <w:t>7.5万元，</w:t>
      </w:r>
      <w:r>
        <w:rPr>
          <w:rFonts w:hint="eastAsia" w:ascii="仿宋_GB2312" w:hAnsi="宋体" w:eastAsia="仿宋_GB2312" w:cs="Times New Roman"/>
          <w:sz w:val="32"/>
          <w:szCs w:val="32"/>
          <w:lang w:val="zh-CN"/>
        </w:rPr>
        <w:t>合计资金</w:t>
      </w:r>
      <w:r>
        <w:rPr>
          <w:rFonts w:hint="eastAsia" w:ascii="仿宋_GB2312" w:hAnsi="宋体" w:eastAsia="仿宋_GB2312" w:cs="Times New Roman"/>
          <w:sz w:val="32"/>
          <w:szCs w:val="32"/>
          <w:lang w:val="en-US" w:eastAsia="zh-CN"/>
        </w:rPr>
        <w:t>75</w:t>
      </w:r>
      <w:r>
        <w:rPr>
          <w:rFonts w:hint="eastAsia" w:ascii="仿宋_GB2312" w:hAnsi="宋体" w:eastAsia="仿宋_GB2312" w:cs="Times New Roman"/>
          <w:sz w:val="32"/>
          <w:szCs w:val="32"/>
          <w:lang w:val="zh-CN"/>
        </w:rPr>
        <w:t>万元</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zh-CN"/>
        </w:rPr>
        <w:t>全年实际下达资金计划</w:t>
      </w:r>
      <w:r>
        <w:rPr>
          <w:rFonts w:hint="eastAsia" w:ascii="仿宋_GB2312" w:hAnsi="宋体" w:eastAsia="仿宋_GB2312" w:cs="Times New Roman"/>
          <w:sz w:val="32"/>
          <w:szCs w:val="32"/>
          <w:lang w:val="en-US" w:eastAsia="zh-CN"/>
        </w:rPr>
        <w:t>75</w:t>
      </w:r>
      <w:r>
        <w:rPr>
          <w:rFonts w:hint="eastAsia" w:ascii="仿宋_GB2312" w:hAnsi="宋体" w:eastAsia="仿宋_GB2312" w:cs="Times New Roman"/>
          <w:sz w:val="32"/>
          <w:szCs w:val="32"/>
          <w:lang w:val="zh-CN"/>
        </w:rPr>
        <w:t>万元</w:t>
      </w:r>
      <w:r>
        <w:rPr>
          <w:rFonts w:hint="eastAsia" w:ascii="仿宋_GB2312" w:hAnsi="宋体" w:eastAsia="仿宋_GB2312"/>
          <w:sz w:val="32"/>
          <w:szCs w:val="32"/>
          <w:lang w:val="zh-CN"/>
        </w:rPr>
        <w:t>，包括市级配套资金</w:t>
      </w:r>
      <w:r>
        <w:rPr>
          <w:rFonts w:hint="eastAsia" w:ascii="仿宋_GB2312" w:hAnsi="宋体" w:eastAsia="仿宋_GB2312"/>
          <w:sz w:val="32"/>
          <w:szCs w:val="32"/>
          <w:lang w:val="en-US" w:eastAsia="zh-CN"/>
        </w:rPr>
        <w:t>7.5万元，</w:t>
      </w:r>
      <w:r>
        <w:rPr>
          <w:rFonts w:hint="eastAsia" w:ascii="仿宋_GB2312" w:hAnsi="宋体" w:eastAsia="仿宋_GB2312"/>
          <w:sz w:val="32"/>
          <w:szCs w:val="32"/>
          <w:lang w:val="zh-CN"/>
        </w:rPr>
        <w:t>区财政资金</w:t>
      </w:r>
      <w:r>
        <w:rPr>
          <w:rFonts w:hint="eastAsia" w:ascii="仿宋_GB2312" w:hAnsi="宋体" w:eastAsia="仿宋_GB2312"/>
          <w:sz w:val="32"/>
          <w:szCs w:val="32"/>
          <w:lang w:val="en-US" w:eastAsia="zh-CN"/>
        </w:rPr>
        <w:t>67.5万元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 w:hAnsi="仿宋" w:eastAsia="仿宋"/>
          <w:sz w:val="32"/>
          <w:szCs w:val="32"/>
          <w:lang w:eastAsia="zh-CN"/>
        </w:rPr>
        <w:t>2020</w:t>
      </w:r>
      <w:r>
        <w:rPr>
          <w:rFonts w:hint="eastAsia" w:ascii="仿宋" w:hAnsi="仿宋" w:eastAsia="仿宋"/>
          <w:sz w:val="32"/>
          <w:szCs w:val="32"/>
        </w:rPr>
        <w:t>年我</w:t>
      </w:r>
      <w:r>
        <w:rPr>
          <w:rFonts w:hint="eastAsia" w:ascii="仿宋" w:hAnsi="仿宋" w:eastAsia="仿宋"/>
          <w:sz w:val="32"/>
          <w:szCs w:val="32"/>
          <w:lang w:eastAsia="zh-CN"/>
        </w:rPr>
        <w:t>镇</w:t>
      </w:r>
      <w:r>
        <w:rPr>
          <w:rFonts w:hint="eastAsia" w:ascii="仿宋" w:hAnsi="仿宋" w:eastAsia="仿宋"/>
          <w:sz w:val="32"/>
          <w:szCs w:val="32"/>
        </w:rPr>
        <w:t>农村公共服务运行维护项目共补助资金</w:t>
      </w:r>
      <w:r>
        <w:rPr>
          <w:rFonts w:hint="eastAsia" w:ascii="仿宋" w:hAnsi="仿宋" w:eastAsia="仿宋"/>
          <w:sz w:val="32"/>
          <w:szCs w:val="32"/>
          <w:lang w:val="en-US" w:eastAsia="zh-CN"/>
        </w:rPr>
        <w:t>75</w:t>
      </w:r>
      <w:r>
        <w:rPr>
          <w:rFonts w:hint="eastAsia" w:ascii="仿宋" w:hAnsi="仿宋" w:eastAsia="仿宋"/>
          <w:sz w:val="32"/>
          <w:szCs w:val="32"/>
        </w:rPr>
        <w:t>万元，</w:t>
      </w:r>
      <w:r>
        <w:rPr>
          <w:rFonts w:hint="eastAsia" w:ascii="仿宋" w:hAnsi="仿宋" w:eastAsia="仿宋" w:cs="方正仿宋简体"/>
          <w:sz w:val="32"/>
          <w:szCs w:val="32"/>
        </w:rPr>
        <w:t>到位资金</w:t>
      </w:r>
      <w:r>
        <w:rPr>
          <w:rFonts w:hint="eastAsia" w:ascii="仿宋" w:hAnsi="仿宋" w:eastAsia="仿宋" w:cs="方正仿宋简体"/>
          <w:sz w:val="32"/>
          <w:szCs w:val="32"/>
          <w:lang w:val="en-US" w:eastAsia="zh-CN"/>
        </w:rPr>
        <w:t>75</w:t>
      </w:r>
      <w:r>
        <w:rPr>
          <w:rFonts w:hint="eastAsia" w:ascii="仿宋" w:hAnsi="仿宋" w:eastAsia="仿宋" w:cs="方正仿宋简体"/>
          <w:sz w:val="32"/>
          <w:szCs w:val="32"/>
        </w:rPr>
        <w:t>元</w:t>
      </w:r>
      <w:r>
        <w:rPr>
          <w:rFonts w:hint="eastAsia" w:ascii="仿宋" w:hAnsi="仿宋" w:eastAsia="仿宋" w:cs="方正仿宋简体"/>
          <w:sz w:val="32"/>
          <w:szCs w:val="32"/>
          <w:lang w:eastAsia="zh-CN"/>
        </w:rPr>
        <w:t>。</w:t>
      </w:r>
      <w:r>
        <w:rPr>
          <w:rFonts w:hint="eastAsia" w:ascii="仿宋" w:hAnsi="仿宋" w:eastAsia="仿宋" w:cs="方正仿宋简体"/>
          <w:sz w:val="32"/>
          <w:szCs w:val="32"/>
        </w:rPr>
        <w:t>已全部</w:t>
      </w:r>
      <w:r>
        <w:rPr>
          <w:rFonts w:hint="eastAsia" w:ascii="仿宋" w:hAnsi="仿宋" w:eastAsia="仿宋" w:cs="方正仿宋简体"/>
          <w:sz w:val="32"/>
          <w:szCs w:val="32"/>
          <w:lang w:eastAsia="zh-CN"/>
        </w:rPr>
        <w:t>划拨</w:t>
      </w:r>
      <w:r>
        <w:rPr>
          <w:rFonts w:hint="eastAsia" w:ascii="仿宋" w:hAnsi="仿宋" w:eastAsia="仿宋" w:cs="方正仿宋简体"/>
          <w:sz w:val="32"/>
          <w:szCs w:val="32"/>
        </w:rPr>
        <w:t>到各村农村运行维护项目专账核算。</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方正仿宋简体" w:eastAsia="仿宋_GB2312" w:cs="方正仿宋简体"/>
          <w:sz w:val="32"/>
          <w:szCs w:val="32"/>
        </w:rPr>
        <w:t>我</w:t>
      </w:r>
      <w:r>
        <w:rPr>
          <w:rFonts w:hint="eastAsia" w:ascii="仿宋_GB2312" w:hAnsi="方正仿宋简体" w:eastAsia="仿宋_GB2312" w:cs="方正仿宋简体"/>
          <w:sz w:val="32"/>
          <w:szCs w:val="32"/>
          <w:lang w:eastAsia="zh-CN"/>
        </w:rPr>
        <w:t>镇</w:t>
      </w:r>
      <w:r>
        <w:rPr>
          <w:rFonts w:hint="eastAsia" w:ascii="仿宋_GB2312" w:hAnsi="方正仿宋简体" w:eastAsia="仿宋_GB2312" w:cs="方正仿宋简体"/>
          <w:sz w:val="32"/>
          <w:szCs w:val="32"/>
        </w:rPr>
        <w:t>将区上统一拨付到</w:t>
      </w:r>
      <w:r>
        <w:rPr>
          <w:rFonts w:hint="eastAsia" w:ascii="仿宋_GB2312" w:hAnsi="方正仿宋简体" w:eastAsia="仿宋_GB2312" w:cs="方正仿宋简体"/>
          <w:sz w:val="32"/>
          <w:szCs w:val="32"/>
          <w:lang w:eastAsia="zh-CN"/>
        </w:rPr>
        <w:t>镇</w:t>
      </w:r>
      <w:r>
        <w:rPr>
          <w:rFonts w:hint="eastAsia" w:ascii="仿宋_GB2312" w:hAnsi="方正仿宋简体" w:eastAsia="仿宋_GB2312" w:cs="方正仿宋简体"/>
          <w:sz w:val="32"/>
          <w:szCs w:val="32"/>
        </w:rPr>
        <w:t>的</w:t>
      </w:r>
      <w:r>
        <w:rPr>
          <w:rFonts w:hint="eastAsia" w:ascii="仿宋_GB2312" w:hAnsi="方正仿宋简体" w:eastAsia="仿宋_GB2312" w:cs="方正仿宋简体"/>
          <w:sz w:val="32"/>
          <w:szCs w:val="32"/>
          <w:lang w:val="en-US" w:eastAsia="zh-CN"/>
        </w:rPr>
        <w:t>2020</w:t>
      </w:r>
      <w:r>
        <w:rPr>
          <w:rFonts w:hint="eastAsia" w:ascii="仿宋_GB2312" w:hAnsi="方正仿宋简体" w:eastAsia="仿宋_GB2312" w:cs="方正仿宋简体"/>
          <w:sz w:val="32"/>
          <w:szCs w:val="32"/>
        </w:rPr>
        <w:t>年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r>
        <w:rPr>
          <w:rFonts w:hint="eastAsia" w:ascii="仿宋_GB2312" w:hAnsi="方正仿宋简体" w:eastAsia="仿宋_GB2312" w:cs="方正仿宋简体"/>
          <w:sz w:val="32"/>
          <w:szCs w:val="32"/>
          <w:lang w:eastAsia="zh-CN"/>
        </w:rPr>
        <w:t>截止目前，</w:t>
      </w:r>
      <w:r>
        <w:rPr>
          <w:rFonts w:hint="eastAsia" w:ascii="仿宋_GB2312" w:hAnsi="方正仿宋简体" w:eastAsia="仿宋_GB2312" w:cs="方正仿宋简体"/>
          <w:sz w:val="32"/>
          <w:szCs w:val="32"/>
          <w:lang w:val="en-US" w:eastAsia="zh-CN"/>
        </w:rPr>
        <w:t>75万元</w:t>
      </w:r>
      <w:r>
        <w:rPr>
          <w:rFonts w:hint="eastAsia" w:ascii="仿宋_GB2312" w:hAnsi="方正仿宋简体" w:eastAsia="仿宋_GB2312" w:cs="方正仿宋简体"/>
          <w:sz w:val="32"/>
          <w:szCs w:val="32"/>
        </w:rPr>
        <w:t>公共服务运行维护</w:t>
      </w:r>
      <w:r>
        <w:rPr>
          <w:rFonts w:hint="eastAsia" w:ascii="仿宋_GB2312" w:hAnsi="方正仿宋简体" w:eastAsia="仿宋_GB2312" w:cs="方正仿宋简体"/>
          <w:sz w:val="32"/>
          <w:szCs w:val="32"/>
          <w:lang w:eastAsia="zh-CN"/>
        </w:rPr>
        <w:t>资金已全部支付给施工方。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2"/>
        <w:rPr>
          <w:rFonts w:hint="eastAsia" w:ascii="仿宋" w:hAnsi="仿宋" w:eastAsia="仿宋"/>
          <w:sz w:val="32"/>
          <w:szCs w:val="32"/>
          <w:lang w:eastAsia="zh-CN"/>
        </w:rPr>
        <w:sectPr>
          <w:pgSz w:w="11906" w:h="16838"/>
          <w:pgMar w:top="1440" w:right="1800" w:bottom="1440" w:left="1800" w:header="851" w:footer="992" w:gutter="0"/>
          <w:pgNumType w:fmt="decimal"/>
          <w:cols w:space="720" w:num="1"/>
          <w:titlePg/>
          <w:docGrid w:type="lines" w:linePitch="312" w:charSpace="0"/>
        </w:sectPr>
      </w:pPr>
      <w:r>
        <w:rPr>
          <w:rFonts w:hint="eastAsia" w:ascii="仿宋_GB2312" w:hAnsi="方正仿宋简体" w:eastAsia="仿宋_GB2312" w:cs="方正仿宋简体"/>
          <w:bCs/>
          <w:sz w:val="32"/>
          <w:szCs w:val="32"/>
        </w:rPr>
        <w:t>为确保该项工作有序开展，我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人民政府</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长</w:t>
      </w:r>
      <w:r>
        <w:rPr>
          <w:rFonts w:hint="eastAsia" w:ascii="仿宋_GB2312" w:hAnsi="方正仿宋简体" w:eastAsia="仿宋_GB2312" w:cs="方正仿宋简体"/>
          <w:bCs/>
          <w:sz w:val="32"/>
          <w:szCs w:val="32"/>
          <w:lang w:eastAsia="zh-CN"/>
        </w:rPr>
        <w:t>孙明胜</w:t>
      </w:r>
      <w:r>
        <w:rPr>
          <w:rFonts w:hint="eastAsia" w:ascii="仿宋_GB2312" w:hAnsi="方正仿宋简体" w:eastAsia="仿宋_GB2312" w:cs="方正仿宋简体"/>
          <w:bCs/>
          <w:sz w:val="32"/>
          <w:szCs w:val="32"/>
        </w:rPr>
        <w:t>为组长，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纪委书记</w:t>
      </w:r>
      <w:r>
        <w:rPr>
          <w:rFonts w:hint="eastAsia" w:ascii="仿宋_GB2312" w:hAnsi="方正仿宋简体" w:eastAsia="仿宋_GB2312" w:cs="方正仿宋简体"/>
          <w:bCs/>
          <w:sz w:val="32"/>
          <w:szCs w:val="32"/>
          <w:lang w:eastAsia="zh-CN"/>
        </w:rPr>
        <w:t>马坤</w:t>
      </w:r>
      <w:r>
        <w:rPr>
          <w:rFonts w:hint="eastAsia" w:ascii="仿宋_GB2312" w:hAnsi="方正仿宋简体" w:eastAsia="仿宋_GB2312" w:cs="方正仿宋简体"/>
          <w:bCs/>
          <w:sz w:val="32"/>
          <w:szCs w:val="32"/>
        </w:rPr>
        <w:t>为副组长，财政所、党政办、水务站、农业站、林业站、</w:t>
      </w:r>
      <w:r>
        <w:rPr>
          <w:rFonts w:hint="eastAsia" w:ascii="仿宋_GB2312" w:hAnsi="方正仿宋简体" w:eastAsia="仿宋_GB2312" w:cs="方正仿宋简体"/>
          <w:bCs/>
          <w:sz w:val="32"/>
          <w:szCs w:val="32"/>
          <w:lang w:eastAsia="zh-CN"/>
        </w:rPr>
        <w:t>应急办负责人</w:t>
      </w:r>
      <w:r>
        <w:rPr>
          <w:rFonts w:hint="eastAsia" w:ascii="仿宋_GB2312" w:hAnsi="方正仿宋简体" w:eastAsia="仿宋_GB2312" w:cs="方正仿宋简体"/>
          <w:bCs/>
          <w:sz w:val="32"/>
          <w:szCs w:val="32"/>
        </w:rPr>
        <w:t>为成员的农村公共运行维护工作领导小组</w:t>
      </w:r>
      <w:r>
        <w:rPr>
          <w:rFonts w:hint="eastAsia" w:ascii="仿宋_GB2312" w:hAnsi="方正仿宋简体" w:eastAsia="仿宋_GB2312" w:cs="方正仿宋简体"/>
          <w:bCs/>
          <w:sz w:val="32"/>
          <w:szCs w:val="32"/>
          <w:lang w:eastAsia="zh-CN"/>
        </w:rPr>
        <w:t>，</w:t>
      </w:r>
      <w:r>
        <w:rPr>
          <w:rFonts w:hint="eastAsia" w:ascii="仿宋" w:hAnsi="仿宋" w:eastAsia="仿宋"/>
          <w:sz w:val="32"/>
          <w:szCs w:val="32"/>
          <w:lang w:eastAsia="zh-CN"/>
        </w:rPr>
        <w:t>由政府主导，充分调</w:t>
      </w:r>
    </w:p>
    <w:p>
      <w:pPr>
        <w:pStyle w:val="2"/>
        <w:ind w:left="0" w:leftChars="0" w:firstLine="0" w:firstLineChars="0"/>
        <w:rPr>
          <w:rFonts w:hint="eastAsia" w:eastAsia="仿宋_GB2312"/>
          <w:lang w:val="zh-CN" w:eastAsia="zh-CN"/>
        </w:rPr>
      </w:pPr>
      <w:r>
        <w:rPr>
          <w:rFonts w:hint="eastAsia" w:ascii="仿宋" w:hAnsi="仿宋" w:eastAsia="仿宋"/>
          <w:sz w:val="32"/>
          <w:szCs w:val="32"/>
          <w:lang w:eastAsia="zh-CN"/>
        </w:rPr>
        <w:t>动村两委、农民群众和社会各界的积极性，共同推进项目实施。</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实施由各村组织实施、村民议定、乡镇审批报账。严格实行“三议五公开”村民初议、村两委审议、村民代表大会决议。要公开资金使用规模、公开村民建议意见、公开村民会议决议、公开项目完成情况和公开绩效评价结果。</w:t>
      </w:r>
    </w:p>
    <w:p>
      <w:pPr>
        <w:keepNext w:val="0"/>
        <w:keepLines w:val="0"/>
        <w:pageBreakBefore w:val="0"/>
        <w:kinsoku/>
        <w:wordWrap/>
        <w:overflowPunct/>
        <w:topLinePunct w:val="0"/>
        <w:autoSpaceDE/>
        <w:autoSpaceDN/>
        <w:bidi w:val="0"/>
        <w:adjustRightInd/>
        <w:snapToGrid/>
        <w:spacing w:line="600" w:lineRule="exact"/>
        <w:ind w:right="0" w:rightChars="0" w:firstLine="629" w:firstLineChars="196"/>
        <w:textAlignment w:val="auto"/>
        <w:rPr>
          <w:rFonts w:hint="eastAsia" w:ascii="仿宋_GB2312" w:hAnsi="方正仿宋简体" w:eastAsia="仿宋_GB2312" w:cs="方正仿宋简体"/>
          <w:bCs/>
          <w:sz w:val="32"/>
          <w:szCs w:val="32"/>
        </w:rPr>
      </w:pPr>
      <w:r>
        <w:rPr>
          <w:rFonts w:hint="eastAsia" w:ascii="楷体_GB2312" w:hAnsi="宋体" w:eastAsia="楷体_GB2312"/>
          <w:b/>
          <w:sz w:val="32"/>
          <w:szCs w:val="32"/>
          <w:lang w:val="zh-CN"/>
        </w:rPr>
        <w:t>（三）项目监管情况。</w:t>
      </w:r>
      <w:r>
        <w:rPr>
          <w:rFonts w:hint="eastAsia" w:ascii="仿宋_GB2312" w:hAnsi="方正仿宋简体" w:eastAsia="仿宋_GB2312" w:cs="方正仿宋简体"/>
          <w:bCs/>
          <w:sz w:val="32"/>
          <w:szCs w:val="32"/>
        </w:rPr>
        <w:t>成立了由</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党委书记</w:t>
      </w:r>
      <w:r>
        <w:rPr>
          <w:rFonts w:hint="eastAsia" w:ascii="仿宋_GB2312" w:hAnsi="方正仿宋简体" w:eastAsia="仿宋_GB2312" w:cs="方正仿宋简体"/>
          <w:bCs/>
          <w:sz w:val="32"/>
          <w:szCs w:val="32"/>
          <w:lang w:eastAsia="zh-CN"/>
        </w:rPr>
        <w:t>吴正昌</w:t>
      </w:r>
      <w:r>
        <w:rPr>
          <w:rFonts w:hint="eastAsia" w:ascii="仿宋_GB2312" w:hAnsi="方正仿宋简体" w:eastAsia="仿宋_GB2312" w:cs="方正仿宋简体"/>
          <w:bCs/>
          <w:sz w:val="32"/>
          <w:szCs w:val="32"/>
        </w:rPr>
        <w:t>为组长，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纪委书记</w:t>
      </w:r>
      <w:r>
        <w:rPr>
          <w:rFonts w:hint="eastAsia" w:ascii="仿宋_GB2312" w:hAnsi="方正仿宋简体" w:eastAsia="仿宋_GB2312" w:cs="方正仿宋简体"/>
          <w:bCs/>
          <w:sz w:val="32"/>
          <w:szCs w:val="32"/>
          <w:lang w:eastAsia="zh-CN"/>
        </w:rPr>
        <w:t>马坤</w:t>
      </w:r>
      <w:r>
        <w:rPr>
          <w:rFonts w:hint="eastAsia" w:ascii="仿宋_GB2312" w:hAnsi="方正仿宋简体" w:eastAsia="仿宋_GB2312" w:cs="方正仿宋简体"/>
          <w:bCs/>
          <w:sz w:val="32"/>
          <w:szCs w:val="32"/>
        </w:rPr>
        <w:t>为副组长，</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党政办两名干部以及各村书记为成员的监督小组；同时，</w:t>
      </w:r>
      <w:r>
        <w:rPr>
          <w:rFonts w:hint="eastAsia" w:ascii="仿宋_GB2312" w:hAnsi="方正仿宋简体" w:eastAsia="仿宋_GB2312" w:cs="方正仿宋简体"/>
          <w:bCs/>
          <w:sz w:val="32"/>
          <w:szCs w:val="32"/>
          <w:lang w:eastAsia="zh-CN"/>
        </w:rPr>
        <w:t>各村也分别成立了项目质量监督小组和理财小组。</w:t>
      </w:r>
      <w:r>
        <w:rPr>
          <w:rFonts w:hint="eastAsia" w:ascii="仿宋_GB2312" w:hAnsi="方正仿宋简体" w:eastAsia="仿宋_GB2312" w:cs="方正仿宋简体"/>
          <w:bCs/>
          <w:sz w:val="32"/>
          <w:szCs w:val="32"/>
        </w:rPr>
        <w:t>根据《广元市朝天区农村公共运行服务运行维护机制建设实施方案》，我</w:t>
      </w:r>
      <w:r>
        <w:rPr>
          <w:rFonts w:hint="eastAsia" w:ascii="仿宋_GB2312" w:hAnsi="方正仿宋简体" w:eastAsia="仿宋_GB2312" w:cs="方正仿宋简体"/>
          <w:bCs/>
          <w:sz w:val="32"/>
          <w:szCs w:val="32"/>
          <w:lang w:eastAsia="zh-CN"/>
        </w:rPr>
        <w:t>镇</w:t>
      </w:r>
      <w:r>
        <w:rPr>
          <w:rFonts w:hint="eastAsia" w:ascii="仿宋_GB2312" w:hAnsi="方正仿宋简体" w:eastAsia="仿宋_GB2312" w:cs="方正仿宋简体"/>
          <w:bCs/>
          <w:sz w:val="32"/>
          <w:szCs w:val="32"/>
        </w:rPr>
        <w:t>结合实际，制定了《</w:t>
      </w:r>
      <w:r>
        <w:rPr>
          <w:rFonts w:hint="eastAsia" w:ascii="仿宋_GB2312" w:hAnsi="方正仿宋简体" w:eastAsia="仿宋_GB2312" w:cs="方正仿宋简体"/>
          <w:bCs/>
          <w:sz w:val="32"/>
          <w:szCs w:val="32"/>
          <w:lang w:eastAsia="zh-CN"/>
        </w:rPr>
        <w:t>中子镇</w:t>
      </w:r>
      <w:r>
        <w:rPr>
          <w:rFonts w:hint="eastAsia" w:ascii="仿宋_GB2312" w:hAnsi="方正仿宋简体" w:eastAsia="仿宋_GB2312" w:cs="方正仿宋简体"/>
          <w:bCs/>
          <w:sz w:val="32"/>
          <w:szCs w:val="32"/>
        </w:rPr>
        <w:t>农村公共运行服务运行维护机制建设实施方案》，并相继出台了农村公共服务运行维护机制资金管理暂行办法等条例，规范资金使用管理。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方正仿宋简体" w:eastAsia="仿宋_GB2312" w:cs="方正仿宋简体"/>
          <w:sz w:val="32"/>
          <w:szCs w:val="32"/>
        </w:rPr>
      </w:pPr>
      <w:r>
        <w:rPr>
          <w:rFonts w:hint="eastAsia" w:ascii="仿宋" w:hAnsi="仿宋" w:eastAsia="仿宋"/>
          <w:sz w:val="32"/>
          <w:szCs w:val="32"/>
        </w:rPr>
        <w:t>通过现场评价，</w:t>
      </w:r>
      <w:r>
        <w:rPr>
          <w:rFonts w:hint="eastAsia" w:ascii="仿宋_GB2312" w:hAnsi="方正仿宋简体" w:eastAsia="仿宋_GB2312" w:cs="方正仿宋简体"/>
          <w:sz w:val="32"/>
          <w:szCs w:val="32"/>
          <w:lang w:val="en-US" w:eastAsia="zh-CN"/>
        </w:rPr>
        <w:t>8个行政村8</w:t>
      </w:r>
      <w:r>
        <w:rPr>
          <w:rFonts w:hint="eastAsia" w:ascii="仿宋_GB2312" w:hAnsi="方正仿宋简体" w:eastAsia="仿宋_GB2312" w:cs="方正仿宋简体"/>
          <w:sz w:val="32"/>
          <w:szCs w:val="32"/>
        </w:rPr>
        <w:t>个</w:t>
      </w:r>
      <w:r>
        <w:rPr>
          <w:rFonts w:hint="eastAsia" w:ascii="仿宋_GB2312" w:hAnsi="方正仿宋简体" w:eastAsia="仿宋_GB2312" w:cs="方正仿宋简体"/>
          <w:sz w:val="32"/>
          <w:szCs w:val="32"/>
          <w:lang w:eastAsia="zh-CN"/>
        </w:rPr>
        <w:t>公共服务运行</w:t>
      </w:r>
      <w:r>
        <w:rPr>
          <w:rFonts w:hint="eastAsia" w:ascii="仿宋_GB2312" w:hAnsi="方正仿宋简体" w:eastAsia="仿宋_GB2312" w:cs="方正仿宋简体"/>
          <w:sz w:val="32"/>
          <w:szCs w:val="32"/>
        </w:rPr>
        <w:t>项目建设均按照批准的《朝天区农村公共服务运行维护项目审批汇总表》确定的建设内容开展项目建设工作，目前</w:t>
      </w:r>
      <w:r>
        <w:rPr>
          <w:rFonts w:hint="eastAsia" w:ascii="仿宋_GB2312" w:hAnsi="方正仿宋简体" w:eastAsia="仿宋_GB2312" w:cs="方正仿宋简体"/>
          <w:sz w:val="32"/>
          <w:szCs w:val="32"/>
          <w:lang w:eastAsia="zh-CN"/>
        </w:rPr>
        <w:t>所有</w:t>
      </w:r>
      <w:r>
        <w:rPr>
          <w:rFonts w:hint="eastAsia" w:ascii="仿宋_GB2312" w:hAnsi="方正仿宋简体" w:eastAsia="仿宋_GB2312" w:cs="方正仿宋简体"/>
          <w:sz w:val="32"/>
          <w:szCs w:val="32"/>
        </w:rPr>
        <w:t>项目均已全面完工</w:t>
      </w:r>
      <w:r>
        <w:rPr>
          <w:rFonts w:hint="eastAsia" w:ascii="仿宋_GB2312" w:hAnsi="方正仿宋简体" w:eastAsia="仿宋_GB2312" w:cs="方正仿宋简体"/>
          <w:sz w:val="32"/>
          <w:szCs w:val="32"/>
          <w:lang w:eastAsia="zh-CN"/>
        </w:rPr>
        <w:t>，</w:t>
      </w:r>
      <w:r>
        <w:rPr>
          <w:rFonts w:hint="eastAsia" w:ascii="仿宋" w:hAnsi="仿宋" w:eastAsia="仿宋"/>
          <w:sz w:val="32"/>
          <w:szCs w:val="32"/>
        </w:rPr>
        <w:t>目标完成情况良好</w:t>
      </w:r>
      <w:r>
        <w:rPr>
          <w:rFonts w:hint="eastAsia" w:ascii="仿宋_GB2312" w:hAnsi="方正仿宋简体" w:eastAsia="仿宋_GB2312" w:cs="方正仿宋简体"/>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70" w:lineRule="exact"/>
        <w:ind w:firstLine="642" w:firstLineChars="200"/>
        <w:jc w:val="left"/>
        <w:rPr>
          <w:rFonts w:ascii="仿宋_GB2312" w:eastAsia="仿宋_GB2312"/>
          <w:color w:val="000000"/>
          <w:sz w:val="32"/>
          <w:szCs w:val="32"/>
        </w:rPr>
      </w:pPr>
      <w:r>
        <w:rPr>
          <w:rFonts w:hint="eastAsia" w:ascii="仿宋_GB2312" w:eastAsia="仿宋_GB2312"/>
          <w:b/>
          <w:color w:val="000000"/>
          <w:sz w:val="32"/>
          <w:szCs w:val="32"/>
        </w:rPr>
        <w:t>（一）经济效益</w:t>
      </w:r>
    </w:p>
    <w:p>
      <w:pPr>
        <w:adjustRightInd w:val="0"/>
        <w:snapToGrid w:val="0"/>
        <w:spacing w:line="57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通过农村公共服务运行维护项目的实施，解决了我</w:t>
      </w:r>
      <w:r>
        <w:rPr>
          <w:rFonts w:hint="eastAsia" w:ascii="仿宋" w:hAnsi="仿宋" w:eastAsia="仿宋"/>
          <w:color w:val="000000"/>
          <w:sz w:val="32"/>
          <w:szCs w:val="32"/>
          <w:lang w:val="en-US" w:eastAsia="zh-CN"/>
        </w:rPr>
        <w:t>镇</w:t>
      </w:r>
      <w:r>
        <w:rPr>
          <w:rFonts w:hint="eastAsia" w:ascii="仿宋" w:hAnsi="仿宋" w:eastAsia="仿宋"/>
          <w:color w:val="000000"/>
          <w:sz w:val="32"/>
          <w:szCs w:val="32"/>
        </w:rPr>
        <w:t>新建的基础设施运行管护资金投入问题，财政资金覆盖不完村级公共服务需求问题，杜绝了新增村级债务和加重农民负担的隐患，促进了农村经济发展，农业增效、农民增收。</w:t>
      </w:r>
    </w:p>
    <w:p>
      <w:pPr>
        <w:adjustRightInd w:val="0"/>
        <w:snapToGrid w:val="0"/>
        <w:spacing w:line="570" w:lineRule="exact"/>
        <w:ind w:firstLine="642" w:firstLineChars="200"/>
        <w:jc w:val="left"/>
        <w:rPr>
          <w:rFonts w:ascii="仿宋_GB2312" w:eastAsia="仿宋_GB2312"/>
          <w:color w:val="000000"/>
          <w:sz w:val="32"/>
          <w:szCs w:val="32"/>
        </w:rPr>
      </w:pPr>
      <w:r>
        <w:rPr>
          <w:rFonts w:hint="eastAsia" w:ascii="仿宋_GB2312" w:eastAsia="仿宋_GB2312"/>
          <w:b/>
          <w:color w:val="000000"/>
          <w:sz w:val="32"/>
          <w:szCs w:val="32"/>
        </w:rPr>
        <w:t>（二）社会效益</w:t>
      </w:r>
    </w:p>
    <w:p>
      <w:pPr>
        <w:adjustRightInd w:val="0"/>
        <w:snapToGrid w:val="0"/>
        <w:spacing w:line="57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通过农村公共服务运行维护项目的实施，一是让农民感受到了党和政府的关怀，切实得到了实惠。二是扩大了基层民主议事能力。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keepNext w:val="0"/>
        <w:keepLines w:val="0"/>
        <w:pageBreakBefore w:val="0"/>
        <w:kinsoku/>
        <w:wordWrap/>
        <w:overflowPunct/>
        <w:topLinePunct w:val="0"/>
        <w:autoSpaceDE/>
        <w:autoSpaceDN/>
        <w:bidi w:val="0"/>
        <w:adjustRightInd/>
        <w:snapToGrid/>
        <w:spacing w:line="600" w:lineRule="exact"/>
        <w:ind w:right="0" w:rightChars="0" w:firstLine="481" w:firstLineChars="150"/>
        <w:textAlignment w:val="auto"/>
        <w:rPr>
          <w:rFonts w:hint="eastAsia" w:ascii="仿宋_GB2312" w:hAnsi="方正楷体简体" w:eastAsia="仿宋_GB2312" w:cs="方正楷体简体"/>
          <w:b/>
          <w:bCs w:val="0"/>
          <w:color w:val="000000"/>
          <w:sz w:val="32"/>
          <w:szCs w:val="32"/>
          <w:lang w:eastAsia="zh-CN"/>
        </w:rPr>
      </w:pPr>
      <w:r>
        <w:rPr>
          <w:rFonts w:hint="eastAsia" w:ascii="仿宋_GB2312" w:hAnsi="方正楷体简体" w:eastAsia="仿宋_GB2312" w:cs="方正楷体简体"/>
          <w:b/>
          <w:bCs w:val="0"/>
          <w:color w:val="000000"/>
          <w:sz w:val="32"/>
          <w:szCs w:val="32"/>
          <w:lang w:val="en-US" w:eastAsia="zh-CN"/>
        </w:rPr>
        <w:t>（三）</w:t>
      </w:r>
      <w:r>
        <w:rPr>
          <w:rFonts w:hint="eastAsia" w:ascii="仿宋_GB2312" w:hAnsi="方正楷体简体" w:eastAsia="仿宋_GB2312" w:cs="方正楷体简体"/>
          <w:b/>
          <w:bCs w:val="0"/>
          <w:color w:val="000000"/>
          <w:sz w:val="32"/>
          <w:szCs w:val="32"/>
          <w:lang w:eastAsia="zh-CN"/>
        </w:rPr>
        <w:t>生态效益</w:t>
      </w:r>
    </w:p>
    <w:p>
      <w:pPr>
        <w:pStyle w:val="3"/>
        <w:spacing w:beforeLines="0" w:afterLines="0" w:line="640" w:lineRule="exact"/>
        <w:ind w:left="0" w:leftChars="0" w:firstLine="640" w:firstLineChars="200"/>
        <w:rPr>
          <w:rFonts w:hint="eastAsia" w:ascii="仿宋_GB2312" w:hAnsi="仿宋_GB2312" w:eastAsia="仿宋_GB2312" w:cs="仿宋_GB2312"/>
          <w:bCs/>
          <w:color w:val="000000"/>
          <w:kern w:val="2"/>
          <w:sz w:val="32"/>
          <w:szCs w:val="32"/>
          <w:lang w:val="en-US" w:eastAsia="zh-CN"/>
        </w:rPr>
      </w:pPr>
      <w:r>
        <w:rPr>
          <w:rFonts w:hint="eastAsia" w:ascii="仿宋_GB2312" w:hAnsi="仿宋_GB2312" w:eastAsia="仿宋_GB2312" w:cs="仿宋_GB2312"/>
          <w:bCs/>
          <w:color w:val="000000"/>
          <w:kern w:val="2"/>
          <w:sz w:val="32"/>
          <w:szCs w:val="32"/>
          <w:lang w:val="en-US" w:eastAsia="zh-CN"/>
        </w:rPr>
        <w:t>公共运行维护项目有利于项目区经济的发展和人民生命财产的安全，切实改善了受益区村容村貌，提升生态环境，建设美丽乡村。</w:t>
      </w:r>
    </w:p>
    <w:p>
      <w:pPr>
        <w:keepNext w:val="0"/>
        <w:keepLines w:val="0"/>
        <w:pageBreakBefore w:val="0"/>
        <w:kinsoku/>
        <w:wordWrap/>
        <w:overflowPunct/>
        <w:topLinePunct w:val="0"/>
        <w:autoSpaceDE/>
        <w:autoSpaceDN/>
        <w:bidi w:val="0"/>
        <w:adjustRightInd/>
        <w:snapToGrid/>
        <w:spacing w:line="600" w:lineRule="exact"/>
        <w:ind w:right="0" w:rightChars="0" w:firstLine="481" w:firstLineChars="15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（四）可持续效益</w:t>
      </w:r>
    </w:p>
    <w:p>
      <w:pPr>
        <w:pStyle w:val="3"/>
        <w:spacing w:beforeLines="0" w:afterLines="0" w:line="640" w:lineRule="exact"/>
        <w:ind w:left="0" w:leftChars="0" w:firstLine="640" w:firstLineChars="200"/>
        <w:jc w:val="left"/>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rPr>
        <w:t>项目建成后，可以进一步完善项目基础设施，解决</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行路难问题，坚持长期促进社区和谐稳定发展，农村人居环境持续提升，增加农村公路使用年限3年以上。为</w:t>
      </w:r>
      <w:r>
        <w:rPr>
          <w:rFonts w:hint="eastAsia" w:ascii="仿宋_GB2312" w:hAnsi="仿宋_GB2312" w:eastAsia="仿宋_GB2312" w:cs="仿宋_GB2312"/>
          <w:sz w:val="32"/>
          <w:szCs w:val="32"/>
          <w:lang w:eastAsia="zh-CN"/>
        </w:rPr>
        <w:t>中子镇</w:t>
      </w:r>
      <w:r>
        <w:rPr>
          <w:rFonts w:hint="eastAsia" w:ascii="仿宋_GB2312" w:hAnsi="仿宋_GB2312" w:eastAsia="仿宋_GB2312" w:cs="仿宋_GB2312"/>
          <w:sz w:val="32"/>
          <w:szCs w:val="32"/>
        </w:rPr>
        <w:t>的经济发展创造条件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提高农民生活质量</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2" w:firstLineChars="200"/>
        <w:textAlignment w:val="auto"/>
        <w:rPr>
          <w:rFonts w:hint="eastAsia" w:ascii="仿宋_GB2312" w:hAnsi="仿宋_GB2312" w:eastAsia="仿宋_GB2312" w:cs="仿宋_GB2312"/>
          <w:b/>
          <w:bCs w:val="0"/>
          <w:color w:val="000000"/>
          <w:sz w:val="32"/>
          <w:szCs w:val="32"/>
          <w:lang w:val="zh-CN" w:eastAsia="zh-CN"/>
        </w:rPr>
      </w:pPr>
      <w:r>
        <w:rPr>
          <w:rFonts w:hint="eastAsia" w:ascii="仿宋_GB2312" w:hAnsi="仿宋_GB2312" w:eastAsia="仿宋_GB2312" w:cs="仿宋_GB2312"/>
          <w:b/>
          <w:bCs w:val="0"/>
          <w:color w:val="000000"/>
          <w:sz w:val="32"/>
          <w:szCs w:val="32"/>
          <w:lang w:val="en-US" w:eastAsia="zh-CN"/>
        </w:rPr>
        <w:t>（五）</w:t>
      </w:r>
      <w:r>
        <w:rPr>
          <w:rFonts w:hint="eastAsia" w:ascii="仿宋_GB2312" w:hAnsi="仿宋_GB2312" w:eastAsia="仿宋_GB2312" w:cs="仿宋_GB2312"/>
          <w:b/>
          <w:bCs w:val="0"/>
          <w:color w:val="000000"/>
          <w:sz w:val="32"/>
          <w:szCs w:val="32"/>
          <w:lang w:val="zh-CN" w:eastAsia="zh-CN"/>
        </w:rPr>
        <w:t>服务对象满意度</w:t>
      </w:r>
    </w:p>
    <w:p>
      <w:pPr>
        <w:pStyle w:val="3"/>
        <w:spacing w:beforeLines="0" w:afterLines="0" w:line="64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项目建成后，改善群众生产生活条件，带动农村产业机构调整，达到农业增产、农民增收的目的，提高了农民生活质量，各村群众对于项目的建设非常满意。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结合《2020年度朝天区财政项目支出绩效评价指标体系》，2020年农村公共服务运行维护项目执行情况和绩效情况达到预期的目标，项目实施情况总体良好，公共服务运行良好，群众评价高，资金使用效益突出。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70" w:lineRule="exact"/>
        <w:ind w:left="0" w:leftChars="0" w:firstLine="640" w:firstLineChars="200"/>
        <w:rPr>
          <w:rFonts w:ascii="仿宋" w:hAnsi="仿宋" w:eastAsia="仿宋"/>
          <w:b w:val="0"/>
          <w:bCs w:val="0"/>
          <w:sz w:val="32"/>
          <w:szCs w:val="32"/>
        </w:rPr>
      </w:pPr>
      <w:r>
        <w:rPr>
          <w:rFonts w:ascii="仿宋_GB2312" w:hAnsi="??" w:eastAsia="仿宋_GB2312"/>
          <w:b w:val="0"/>
          <w:bCs w:val="0"/>
          <w:sz w:val="32"/>
          <w:szCs w:val="32"/>
        </w:rPr>
        <w:t>1</w:t>
      </w:r>
      <w:r>
        <w:rPr>
          <w:rFonts w:hint="eastAsia" w:ascii="仿宋_GB2312" w:hAnsi="??" w:eastAsia="仿宋_GB2312"/>
          <w:b w:val="0"/>
          <w:bCs w:val="0"/>
          <w:sz w:val="32"/>
          <w:szCs w:val="32"/>
        </w:rPr>
        <w:t>、项目实施过程中存在的具体问题。</w:t>
      </w:r>
      <w:r>
        <w:rPr>
          <w:rFonts w:hint="eastAsia" w:ascii="仿宋" w:hAnsi="仿宋" w:eastAsia="仿宋"/>
          <w:b w:val="0"/>
          <w:bCs w:val="0"/>
          <w:sz w:val="32"/>
          <w:szCs w:val="32"/>
        </w:rPr>
        <w:t>一是项目实施单位，受其自身条件、村内条件无专业队伍施工等因素的制约，在保证质量的前提下，施工进度有待加快。二是重建设，轻管理，养护管理制度还待进一步完善。</w:t>
      </w:r>
    </w:p>
    <w:p>
      <w:pPr>
        <w:adjustRightInd w:val="0"/>
        <w:snapToGrid w:val="0"/>
        <w:spacing w:line="600" w:lineRule="exact"/>
        <w:ind w:left="0" w:leftChars="0" w:firstLine="640" w:firstLineChars="200"/>
        <w:rPr>
          <w:rFonts w:hint="eastAsia" w:ascii="仿宋" w:hAnsi="仿宋" w:eastAsia="仿宋"/>
          <w:sz w:val="32"/>
          <w:szCs w:val="32"/>
        </w:rPr>
      </w:pPr>
      <w:r>
        <w:rPr>
          <w:rFonts w:ascii="仿宋_GB2312" w:hAnsi="??" w:eastAsia="仿宋_GB2312"/>
          <w:b w:val="0"/>
          <w:bCs w:val="0"/>
          <w:sz w:val="32"/>
          <w:szCs w:val="32"/>
        </w:rPr>
        <w:t>2</w:t>
      </w:r>
      <w:r>
        <w:rPr>
          <w:rFonts w:hint="eastAsia" w:ascii="仿宋_GB2312" w:hAnsi="??" w:eastAsia="仿宋_GB2312"/>
          <w:b w:val="0"/>
          <w:bCs w:val="0"/>
          <w:sz w:val="32"/>
          <w:szCs w:val="32"/>
        </w:rPr>
        <w:t>、补助标准偏低，项目实施困难。</w:t>
      </w:r>
      <w:r>
        <w:rPr>
          <w:rFonts w:hint="eastAsia" w:ascii="仿宋" w:hAnsi="仿宋" w:eastAsia="仿宋"/>
          <w:b w:val="0"/>
          <w:bCs w:val="0"/>
          <w:sz w:val="32"/>
          <w:szCs w:val="32"/>
        </w:rPr>
        <w:t>虽然我们按照“谁受益、谁分摊的”原则，严格执行国家对农民负担</w:t>
      </w:r>
      <w:r>
        <w:rPr>
          <w:rFonts w:hint="eastAsia" w:ascii="仿宋" w:hAnsi="仿宋" w:eastAsia="仿宋"/>
          <w:sz w:val="32"/>
          <w:szCs w:val="32"/>
        </w:rPr>
        <w:t>的政策要求，鉴于农村外出务工人员多，在家劳动力少的实际情况，群众筹资酬劳相当困难，补标准偏低，项目实施难度大。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7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、加大督促指导力度，完善农村公共服务运行维护项目程序，简化手续。</w:t>
      </w:r>
    </w:p>
    <w:p>
      <w:pPr>
        <w:spacing w:line="57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w:t>
      </w:r>
      <w:r>
        <w:rPr>
          <w:rFonts w:hint="eastAsia" w:ascii="仿宋" w:hAnsi="仿宋" w:eastAsia="仿宋"/>
          <w:sz w:val="32"/>
          <w:szCs w:val="32"/>
          <w:lang w:eastAsia="zh-CN"/>
        </w:rPr>
        <w:t>，</w:t>
      </w:r>
      <w:r>
        <w:rPr>
          <w:rFonts w:hint="eastAsia" w:ascii="仿宋" w:hAnsi="仿宋" w:eastAsia="仿宋"/>
          <w:sz w:val="32"/>
          <w:szCs w:val="32"/>
        </w:rPr>
        <w:t>适当提高补助标准。</w:t>
      </w:r>
    </w:p>
    <w:p>
      <w:pPr>
        <w:spacing w:line="580" w:lineRule="exact"/>
        <w:ind w:firstLine="640"/>
        <w:rPr>
          <w:rFonts w:ascii="仿宋_GB2312" w:hAnsi="仿宋_GB2312" w:eastAsia="仿宋_GB2312" w:cs="仿宋_GB2312"/>
          <w:sz w:val="32"/>
          <w:szCs w:val="32"/>
        </w:rPr>
      </w:pPr>
      <w:r>
        <w:rPr>
          <w:rFonts w:ascii="仿宋" w:hAnsi="仿宋" w:eastAsia="仿宋"/>
          <w:sz w:val="32"/>
          <w:szCs w:val="32"/>
        </w:rPr>
        <w:t>3</w:t>
      </w:r>
      <w:r>
        <w:rPr>
          <w:rFonts w:hint="eastAsia" w:ascii="仿宋" w:hAnsi="仿宋" w:eastAsia="仿宋"/>
          <w:sz w:val="32"/>
          <w:szCs w:val="32"/>
        </w:rPr>
        <w:t>、配套一定的工作经费。建议配套一定的工作经费，减轻</w:t>
      </w:r>
      <w:r>
        <w:rPr>
          <w:rFonts w:hint="eastAsia" w:ascii="仿宋" w:hAnsi="仿宋" w:eastAsia="仿宋"/>
          <w:sz w:val="32"/>
          <w:szCs w:val="32"/>
          <w:lang w:eastAsia="zh-CN"/>
        </w:rPr>
        <w:t>镇</w:t>
      </w:r>
      <w:r>
        <w:rPr>
          <w:rFonts w:hint="eastAsia" w:ascii="仿宋" w:hAnsi="仿宋" w:eastAsia="仿宋"/>
          <w:sz w:val="32"/>
          <w:szCs w:val="32"/>
        </w:rPr>
        <w:t>财政压力，更能抓好项目落实。</w:t>
      </w:r>
    </w:p>
    <w:p>
      <w:pPr>
        <w:spacing w:line="580" w:lineRule="exact"/>
        <w:ind w:firstLine="640"/>
        <w:rPr>
          <w:rFonts w:ascii="仿宋_GB2312" w:hAnsi="仿宋_GB2312" w:eastAsia="仿宋_GB2312" w:cs="仿宋_GB2312"/>
          <w:sz w:val="32"/>
          <w:szCs w:val="32"/>
        </w:rPr>
      </w:pPr>
    </w:p>
    <w:p>
      <w:pPr>
        <w:widowControl/>
        <w:jc w:val="left"/>
        <w:rPr>
          <w:rStyle w:val="19"/>
          <w:rFonts w:ascii="黑体" w:hAnsi="黑体" w:eastAsia="黑体"/>
          <w:b w:val="0"/>
        </w:rPr>
      </w:pPr>
    </w:p>
    <w:p>
      <w:pPr>
        <w:widowControl/>
        <w:jc w:val="left"/>
        <w:rPr>
          <w:rStyle w:val="19"/>
          <w:rFonts w:ascii="黑体" w:hAnsi="黑体" w:eastAsia="黑体"/>
          <w:b w:val="0"/>
        </w:rPr>
      </w:pPr>
      <w:r>
        <w:rPr>
          <w:rStyle w:val="19"/>
          <w:rFonts w:ascii="黑体" w:hAnsi="黑体" w:eastAsia="黑体"/>
          <w:b w:val="0"/>
        </w:rPr>
        <w:br w:type="page"/>
      </w:r>
    </w:p>
    <w:p>
      <w:pPr>
        <w:spacing w:line="600" w:lineRule="exact"/>
        <w:jc w:val="center"/>
        <w:outlineLvl w:val="0"/>
        <w:rPr>
          <w:rStyle w:val="19"/>
          <w:rFonts w:hint="eastAsia" w:ascii="黑体" w:hAnsi="黑体" w:eastAsia="黑体"/>
          <w:b w:val="0"/>
        </w:rPr>
      </w:pPr>
      <w:bookmarkStart w:id="60" w:name="_Toc15396618"/>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8"/>
      <w:bookmarkEnd w:id="60"/>
      <w:bookmarkStart w:id="61" w:name="_Toc15396619"/>
    </w:p>
    <w:p>
      <w:pPr>
        <w:spacing w:line="600" w:lineRule="exact"/>
        <w:jc w:val="left"/>
        <w:outlineLvl w:val="0"/>
        <w:rPr>
          <w:rStyle w:val="20"/>
          <w:rFonts w:hint="eastAsia" w:ascii="仿宋_GB2312" w:hAnsi="仿宋_GB2312" w:eastAsia="仿宋_GB2312" w:cs="仿宋_GB2312"/>
          <w:b w:val="0"/>
          <w:bCs w:val="0"/>
          <w:lang w:val="en-US" w:eastAsia="zh-CN" w:bidi="ar-SA"/>
        </w:rPr>
      </w:pPr>
    </w:p>
    <w:p>
      <w:pPr>
        <w:spacing w:line="600" w:lineRule="exact"/>
        <w:jc w:val="left"/>
        <w:outlineLvl w:val="0"/>
        <w:rPr>
          <w:rStyle w:val="20"/>
          <w:rFonts w:hint="eastAsia" w:ascii="仿宋" w:hAnsi="仿宋" w:eastAsia="仿宋"/>
          <w:b w:val="0"/>
          <w:bCs w:val="0"/>
          <w:lang w:val="en-US" w:eastAsia="zh-CN" w:bidi="ar-SA"/>
        </w:rPr>
      </w:pPr>
      <w:r>
        <w:rPr>
          <w:rStyle w:val="20"/>
          <w:rFonts w:hint="eastAsia" w:ascii="仿宋_GB2312" w:hAnsi="仿宋_GB2312" w:eastAsia="仿宋_GB2312" w:cs="仿宋_GB2312"/>
          <w:b w:val="0"/>
          <w:bCs w:val="0"/>
          <w:lang w:val="en-US" w:eastAsia="zh-CN" w:bidi="ar-SA"/>
        </w:rPr>
        <w:t>一</w:t>
      </w:r>
      <w:r>
        <w:rPr>
          <w:rStyle w:val="20"/>
          <w:rFonts w:hint="eastAsia" w:ascii="仿宋" w:hAnsi="仿宋" w:eastAsia="仿宋"/>
          <w:b w:val="0"/>
          <w:bCs w:val="0"/>
          <w:lang w:val="en-US" w:eastAsia="zh-CN" w:bidi="ar-SA"/>
        </w:rPr>
        <w:t>、收入支出决算总表</w:t>
      </w:r>
      <w:bookmarkEnd w:id="61"/>
    </w:p>
    <w:p>
      <w:pPr>
        <w:pStyle w:val="5"/>
        <w:rPr>
          <w:rFonts w:ascii="仿宋" w:hAnsi="仿宋" w:eastAsia="仿宋"/>
          <w:color w:val="000000"/>
        </w:rPr>
      </w:pPr>
      <w:bookmarkStart w:id="62"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62"/>
    </w:p>
    <w:p>
      <w:pPr>
        <w:pStyle w:val="5"/>
        <w:rPr>
          <w:rFonts w:ascii="仿宋" w:hAnsi="仿宋" w:eastAsia="仿宋"/>
          <w:color w:val="000000"/>
        </w:rPr>
      </w:pPr>
      <w:bookmarkStart w:id="63"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63"/>
    </w:p>
    <w:p>
      <w:pPr>
        <w:pStyle w:val="5"/>
        <w:rPr>
          <w:rFonts w:ascii="仿宋" w:hAnsi="仿宋" w:eastAsia="仿宋"/>
          <w:b w:val="0"/>
          <w:color w:val="000000"/>
        </w:rPr>
      </w:pPr>
      <w:bookmarkStart w:id="64"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64"/>
    </w:p>
    <w:p>
      <w:pPr>
        <w:pStyle w:val="5"/>
        <w:rPr>
          <w:rStyle w:val="20"/>
          <w:rFonts w:ascii="仿宋" w:hAnsi="仿宋" w:eastAsia="仿宋"/>
          <w:b w:val="0"/>
          <w:bCs w:val="0"/>
        </w:rPr>
      </w:pPr>
      <w:bookmarkStart w:id="65"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65"/>
      <w:bookmarkStart w:id="66" w:name="_Toc15396624"/>
    </w:p>
    <w:p>
      <w:pPr>
        <w:pStyle w:val="5"/>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66"/>
    </w:p>
    <w:p>
      <w:pPr>
        <w:pStyle w:val="5"/>
        <w:rPr>
          <w:rFonts w:ascii="仿宋" w:hAnsi="仿宋" w:eastAsia="仿宋"/>
          <w:color w:val="000000"/>
        </w:rPr>
      </w:pPr>
      <w:bookmarkStart w:id="67"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67"/>
    </w:p>
    <w:p>
      <w:pPr>
        <w:pStyle w:val="5"/>
        <w:rPr>
          <w:rFonts w:ascii="仿宋" w:hAnsi="仿宋" w:eastAsia="仿宋"/>
          <w:color w:val="000000"/>
        </w:rPr>
      </w:pPr>
      <w:bookmarkStart w:id="68"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68"/>
    </w:p>
    <w:p>
      <w:pPr>
        <w:pStyle w:val="5"/>
        <w:rPr>
          <w:rFonts w:ascii="仿宋" w:hAnsi="仿宋" w:eastAsia="仿宋"/>
          <w:color w:val="000000"/>
        </w:rPr>
      </w:pPr>
      <w:bookmarkStart w:id="69"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69"/>
    </w:p>
    <w:p>
      <w:pPr>
        <w:pStyle w:val="5"/>
        <w:rPr>
          <w:rFonts w:ascii="仿宋" w:hAnsi="仿宋" w:eastAsia="仿宋"/>
          <w:color w:val="000000"/>
        </w:rPr>
      </w:pPr>
      <w:bookmarkStart w:id="70"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70"/>
    </w:p>
    <w:p>
      <w:pPr>
        <w:pStyle w:val="5"/>
        <w:rPr>
          <w:rFonts w:ascii="仿宋" w:hAnsi="仿宋" w:eastAsia="仿宋"/>
          <w:color w:val="000000"/>
        </w:rPr>
      </w:pPr>
      <w:bookmarkStart w:id="71"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71"/>
    </w:p>
    <w:p>
      <w:pPr>
        <w:pStyle w:val="5"/>
        <w:rPr>
          <w:rFonts w:ascii="仿宋" w:hAnsi="仿宋" w:eastAsia="仿宋"/>
          <w:color w:val="000000"/>
        </w:rPr>
      </w:pPr>
      <w:bookmarkStart w:id="72"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72"/>
    </w:p>
    <w:p>
      <w:pPr>
        <w:pStyle w:val="5"/>
        <w:rPr>
          <w:rFonts w:hint="eastAsia"/>
        </w:rPr>
      </w:pPr>
      <w:bookmarkStart w:id="73"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有资本经营预算财政拨款</w:t>
      </w:r>
      <w:r>
        <w:rPr>
          <w:rStyle w:val="20"/>
          <w:rFonts w:hint="eastAsia" w:ascii="仿宋" w:hAnsi="仿宋" w:eastAsia="仿宋"/>
          <w:b w:val="0"/>
          <w:bCs w:val="0"/>
          <w:lang w:eastAsia="zh-CN"/>
        </w:rPr>
        <w:t>收入</w:t>
      </w:r>
      <w:r>
        <w:rPr>
          <w:rStyle w:val="20"/>
          <w:rFonts w:hint="eastAsia" w:ascii="仿宋" w:hAnsi="仿宋" w:eastAsia="仿宋"/>
          <w:b w:val="0"/>
          <w:bCs w:val="0"/>
        </w:rPr>
        <w:t>支出决算表</w:t>
      </w:r>
      <w:bookmarkEnd w:id="73"/>
    </w:p>
    <w:p>
      <w:pPr>
        <w:pStyle w:val="5"/>
        <w:rPr>
          <w:rStyle w:val="20"/>
          <w:rFonts w:hint="eastAsia" w:ascii="仿宋" w:hAnsi="仿宋" w:eastAsia="仿宋"/>
          <w:b w:val="0"/>
          <w:bCs w:val="0"/>
        </w:rPr>
      </w:pPr>
      <w:r>
        <w:rPr>
          <w:rStyle w:val="20"/>
          <w:rFonts w:hint="eastAsia" w:ascii="仿宋" w:hAnsi="仿宋" w:eastAsia="仿宋"/>
          <w:b w:val="0"/>
          <w:bCs w:val="0"/>
        </w:rPr>
        <w:t>十</w:t>
      </w:r>
      <w:r>
        <w:rPr>
          <w:rStyle w:val="20"/>
          <w:rFonts w:hint="eastAsia" w:ascii="仿宋" w:hAnsi="仿宋" w:eastAsia="仿宋"/>
          <w:b w:val="0"/>
          <w:bCs w:val="0"/>
          <w:lang w:eastAsia="zh-CN"/>
        </w:rPr>
        <w:t>四</w:t>
      </w:r>
      <w:r>
        <w:rPr>
          <w:rStyle w:val="20"/>
          <w:rFonts w:hint="eastAsia" w:ascii="仿宋" w:hAnsi="仿宋" w:eastAsia="仿宋"/>
          <w:b w:val="0"/>
          <w:bCs w:val="0"/>
        </w:rPr>
        <w:t>、</w:t>
      </w:r>
      <w:r>
        <w:rPr>
          <w:rFonts w:hint="eastAsia" w:ascii="仿宋" w:hAnsi="仿宋" w:eastAsia="仿宋"/>
          <w:b w:val="0"/>
          <w:color w:val="000000"/>
        </w:rPr>
        <w:t>国</w:t>
      </w:r>
      <w:r>
        <w:rPr>
          <w:rStyle w:val="20"/>
          <w:rFonts w:hint="eastAsia" w:ascii="仿宋" w:hAnsi="仿宋" w:eastAsia="仿宋"/>
          <w:b w:val="0"/>
          <w:bCs w:val="0"/>
        </w:rPr>
        <w:t>有资本经营预算财政拨款支出决算表</w:t>
      </w:r>
    </w:p>
    <w:p/>
    <w:sectPr>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仿宋简体">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DD5A6DD2"/>
    <w:multiLevelType w:val="singleLevel"/>
    <w:tmpl w:val="DD5A6DD2"/>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70BAE"/>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6525E"/>
    <w:rsid w:val="043C51CC"/>
    <w:rsid w:val="05E8176E"/>
    <w:rsid w:val="05F52A79"/>
    <w:rsid w:val="05FC5DE8"/>
    <w:rsid w:val="066B10C7"/>
    <w:rsid w:val="08C938EA"/>
    <w:rsid w:val="0A2032A3"/>
    <w:rsid w:val="0A434922"/>
    <w:rsid w:val="0AB9294A"/>
    <w:rsid w:val="0BC704CC"/>
    <w:rsid w:val="0BC837E9"/>
    <w:rsid w:val="0BE44C3E"/>
    <w:rsid w:val="0C401D9B"/>
    <w:rsid w:val="0F315D6B"/>
    <w:rsid w:val="0F7253B1"/>
    <w:rsid w:val="0F8D47BA"/>
    <w:rsid w:val="0FFC654A"/>
    <w:rsid w:val="105C0852"/>
    <w:rsid w:val="10C055FF"/>
    <w:rsid w:val="118107EC"/>
    <w:rsid w:val="1420539D"/>
    <w:rsid w:val="147C18C6"/>
    <w:rsid w:val="149323C7"/>
    <w:rsid w:val="16742726"/>
    <w:rsid w:val="16BB723D"/>
    <w:rsid w:val="1715336C"/>
    <w:rsid w:val="182D24E2"/>
    <w:rsid w:val="1960096A"/>
    <w:rsid w:val="19921682"/>
    <w:rsid w:val="19A57754"/>
    <w:rsid w:val="1A2F3BF2"/>
    <w:rsid w:val="1B1B0E35"/>
    <w:rsid w:val="1D155CEE"/>
    <w:rsid w:val="1D264B33"/>
    <w:rsid w:val="1D6C6F08"/>
    <w:rsid w:val="1DB36A52"/>
    <w:rsid w:val="1DDB2F99"/>
    <w:rsid w:val="1EAA4A5F"/>
    <w:rsid w:val="1ED755CA"/>
    <w:rsid w:val="21987409"/>
    <w:rsid w:val="23D530C0"/>
    <w:rsid w:val="240371BF"/>
    <w:rsid w:val="264C4454"/>
    <w:rsid w:val="26C5333C"/>
    <w:rsid w:val="276C71ED"/>
    <w:rsid w:val="29FD04D3"/>
    <w:rsid w:val="2AC503E4"/>
    <w:rsid w:val="2D877D86"/>
    <w:rsid w:val="2E9F67E3"/>
    <w:rsid w:val="305527C4"/>
    <w:rsid w:val="30A275C7"/>
    <w:rsid w:val="30B63A8E"/>
    <w:rsid w:val="30F2468F"/>
    <w:rsid w:val="319F7F4E"/>
    <w:rsid w:val="336726FE"/>
    <w:rsid w:val="34065773"/>
    <w:rsid w:val="34D46AE7"/>
    <w:rsid w:val="35D115E7"/>
    <w:rsid w:val="36E065E3"/>
    <w:rsid w:val="37BB4CE7"/>
    <w:rsid w:val="3CA347BC"/>
    <w:rsid w:val="3E150616"/>
    <w:rsid w:val="3F206D91"/>
    <w:rsid w:val="40700BE9"/>
    <w:rsid w:val="42CE6E6F"/>
    <w:rsid w:val="43041567"/>
    <w:rsid w:val="43A031DC"/>
    <w:rsid w:val="43B30638"/>
    <w:rsid w:val="4458033C"/>
    <w:rsid w:val="448608D1"/>
    <w:rsid w:val="45130ECD"/>
    <w:rsid w:val="453D1864"/>
    <w:rsid w:val="48685BF8"/>
    <w:rsid w:val="489B57F6"/>
    <w:rsid w:val="499B5041"/>
    <w:rsid w:val="4A737814"/>
    <w:rsid w:val="4C4A24A4"/>
    <w:rsid w:val="4E131F58"/>
    <w:rsid w:val="4ECE2238"/>
    <w:rsid w:val="4FCF385C"/>
    <w:rsid w:val="50C01B7C"/>
    <w:rsid w:val="51915AAA"/>
    <w:rsid w:val="51EB4DE3"/>
    <w:rsid w:val="524170F9"/>
    <w:rsid w:val="535829EE"/>
    <w:rsid w:val="53E8394A"/>
    <w:rsid w:val="54C36B77"/>
    <w:rsid w:val="54F77108"/>
    <w:rsid w:val="56EA2DB5"/>
    <w:rsid w:val="576F76E0"/>
    <w:rsid w:val="58564F24"/>
    <w:rsid w:val="58C31936"/>
    <w:rsid w:val="58CB11FE"/>
    <w:rsid w:val="598A62B7"/>
    <w:rsid w:val="5B2D369A"/>
    <w:rsid w:val="5C651DBE"/>
    <w:rsid w:val="5CE34055"/>
    <w:rsid w:val="5CFA128E"/>
    <w:rsid w:val="5D4F0C3D"/>
    <w:rsid w:val="5E3545C2"/>
    <w:rsid w:val="5E9322C0"/>
    <w:rsid w:val="5EAA2046"/>
    <w:rsid w:val="5EB656AE"/>
    <w:rsid w:val="5FDC4B98"/>
    <w:rsid w:val="61CE5FEF"/>
    <w:rsid w:val="64F47963"/>
    <w:rsid w:val="65182837"/>
    <w:rsid w:val="654E5064"/>
    <w:rsid w:val="656564CD"/>
    <w:rsid w:val="66660F13"/>
    <w:rsid w:val="67F72DFB"/>
    <w:rsid w:val="694D134C"/>
    <w:rsid w:val="69B21AC0"/>
    <w:rsid w:val="69D45EBE"/>
    <w:rsid w:val="6AE065F5"/>
    <w:rsid w:val="6C4A05C8"/>
    <w:rsid w:val="6CBE3A4F"/>
    <w:rsid w:val="6D720042"/>
    <w:rsid w:val="6E874A9B"/>
    <w:rsid w:val="6FDE5895"/>
    <w:rsid w:val="72734D90"/>
    <w:rsid w:val="73246102"/>
    <w:rsid w:val="75A70526"/>
    <w:rsid w:val="75EE0EBF"/>
    <w:rsid w:val="7635485E"/>
    <w:rsid w:val="765E0752"/>
    <w:rsid w:val="772024E7"/>
    <w:rsid w:val="77277E9E"/>
    <w:rsid w:val="773326BA"/>
    <w:rsid w:val="793A4484"/>
    <w:rsid w:val="7AC961BC"/>
    <w:rsid w:val="7BD67CCC"/>
    <w:rsid w:val="7C181333"/>
    <w:rsid w:val="7D9EA229"/>
    <w:rsid w:val="7EE2224E"/>
    <w:rsid w:val="FFFF87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2"/>
    <w:qFormat/>
    <w:uiPriority w:val="99"/>
    <w:pPr>
      <w:spacing w:beforeLines="30"/>
    </w:pPr>
    <w:rPr>
      <w:rFonts w:ascii="仿宋_GB2312" w:eastAsia="仿宋_GB2312"/>
      <w:kern w:val="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3"/>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100" w:beforeLines="0" w:beforeAutospacing="1" w:after="100" w:afterLines="0" w:afterAutospacing="1"/>
    </w:pPr>
    <w:rPr>
      <w:rFonts w:ascii="宋体" w:eastAsia="宋体" w:cs="宋体"/>
      <w:sz w:val="24"/>
      <w:szCs w:val="24"/>
      <w:lang w:val="en-US" w:eastAsia="zh-CN" w:bidi="ar-SA"/>
    </w:rPr>
  </w:style>
  <w:style w:type="character" w:styleId="17">
    <w:name w:val="Strong"/>
    <w:basedOn w:val="16"/>
    <w:qFormat/>
    <w:uiPriority w:val="99"/>
    <w:rPr>
      <w:rFonts w:cs="Times New Roman"/>
      <w:b/>
    </w:rPr>
  </w:style>
  <w:style w:type="character" w:styleId="18">
    <w:name w:val="Hyperlink"/>
    <w:basedOn w:val="16"/>
    <w:unhideWhenUsed/>
    <w:qFormat/>
    <w:uiPriority w:val="99"/>
    <w:rPr>
      <w:rFonts w:cs="Times New Roman"/>
      <w:color w:val="0000FF"/>
      <w:u w:val="single"/>
    </w:rPr>
  </w:style>
  <w:style w:type="character" w:customStyle="1" w:styleId="19">
    <w:name w:val=" Char Char6"/>
    <w:basedOn w:val="16"/>
    <w:link w:val="4"/>
    <w:qFormat/>
    <w:locked/>
    <w:uiPriority w:val="9"/>
    <w:rPr>
      <w:rFonts w:ascii="Times New Roman" w:hAnsi="Times New Roman" w:cs="Times New Roman"/>
      <w:b/>
      <w:bCs/>
      <w:kern w:val="44"/>
      <w:sz w:val="44"/>
      <w:szCs w:val="44"/>
    </w:rPr>
  </w:style>
  <w:style w:type="character" w:customStyle="1" w:styleId="20">
    <w:name w:val=" Char Char5"/>
    <w:basedOn w:val="16"/>
    <w:link w:val="5"/>
    <w:qFormat/>
    <w:locked/>
    <w:uiPriority w:val="9"/>
    <w:rPr>
      <w:rFonts w:ascii="Cambria" w:hAnsi="Cambria" w:eastAsia="宋体" w:cs="Times New Roman"/>
      <w:b/>
      <w:bCs/>
      <w:kern w:val="2"/>
      <w:sz w:val="32"/>
      <w:szCs w:val="32"/>
    </w:rPr>
  </w:style>
  <w:style w:type="character" w:customStyle="1" w:styleId="21">
    <w:name w:val=" Char Char4"/>
    <w:basedOn w:val="16"/>
    <w:link w:val="6"/>
    <w:qFormat/>
    <w:locked/>
    <w:uiPriority w:val="9"/>
    <w:rPr>
      <w:rFonts w:ascii="Times New Roman" w:hAnsi="Times New Roman" w:cs="Times New Roman"/>
      <w:b/>
      <w:bCs/>
      <w:kern w:val="2"/>
      <w:sz w:val="32"/>
      <w:szCs w:val="32"/>
    </w:rPr>
  </w:style>
  <w:style w:type="character" w:customStyle="1" w:styleId="22">
    <w:name w:val=" Char Char3"/>
    <w:link w:val="7"/>
    <w:qFormat/>
    <w:locked/>
    <w:uiPriority w:val="99"/>
    <w:rPr>
      <w:rFonts w:ascii="仿宋_GB2312" w:hAnsi="Times New Roman" w:eastAsia="仿宋_GB2312"/>
      <w:sz w:val="24"/>
    </w:rPr>
  </w:style>
  <w:style w:type="character" w:customStyle="1" w:styleId="23">
    <w:name w:val=" Char Char2"/>
    <w:basedOn w:val="16"/>
    <w:link w:val="9"/>
    <w:semiHidden/>
    <w:qFormat/>
    <w:locked/>
    <w:uiPriority w:val="99"/>
    <w:rPr>
      <w:rFonts w:ascii="Times New Roman" w:hAnsi="Times New Roman" w:cs="Times New Roman"/>
      <w:kern w:val="2"/>
      <w:sz w:val="18"/>
      <w:szCs w:val="18"/>
    </w:rPr>
  </w:style>
  <w:style w:type="character" w:customStyle="1" w:styleId="24">
    <w:name w:val=" Char Char1"/>
    <w:link w:val="10"/>
    <w:qFormat/>
    <w:locked/>
    <w:uiPriority w:val="99"/>
    <w:rPr>
      <w:sz w:val="18"/>
    </w:rPr>
  </w:style>
  <w:style w:type="character" w:customStyle="1" w:styleId="25">
    <w:name w:val=" Char Char"/>
    <w:link w:val="11"/>
    <w:semiHidden/>
    <w:qFormat/>
    <w:locked/>
    <w:uiPriority w:val="99"/>
    <w:rPr>
      <w:sz w:val="18"/>
    </w:rPr>
  </w:style>
  <w:style w:type="character" w:customStyle="1" w:styleId="26">
    <w:name w:val="Footer Char"/>
    <w:basedOn w:val="16"/>
    <w:semiHidden/>
    <w:qFormat/>
    <w:uiPriority w:val="99"/>
    <w:rPr>
      <w:rFonts w:ascii="Times New Roman" w:hAnsi="Times New Roman" w:cs="Times New Roman"/>
      <w:sz w:val="18"/>
      <w:szCs w:val="18"/>
    </w:rPr>
  </w:style>
  <w:style w:type="character" w:customStyle="1" w:styleId="27">
    <w:name w:val="Body Text Char"/>
    <w:basedOn w:val="16"/>
    <w:semiHidden/>
    <w:qFormat/>
    <w:uiPriority w:val="99"/>
    <w:rPr>
      <w:rFonts w:ascii="Times New Roman" w:hAnsi="Times New Roman" w:cs="Times New Roman"/>
      <w:sz w:val="24"/>
      <w:szCs w:val="24"/>
    </w:rPr>
  </w:style>
  <w:style w:type="character" w:customStyle="1" w:styleId="28">
    <w:name w:val="Header Char"/>
    <w:basedOn w:val="16"/>
    <w:semiHidden/>
    <w:qFormat/>
    <w:uiPriority w:val="99"/>
    <w:rPr>
      <w:rFonts w:ascii="Times New Roman" w:hAnsi="Times New Roman" w:cs="Times New Roman"/>
      <w:sz w:val="18"/>
      <w:szCs w:val="18"/>
    </w:rPr>
  </w:style>
  <w:style w:type="paragraph" w:customStyle="1" w:styleId="29">
    <w:name w:val="List Paragraph"/>
    <w:basedOn w:val="1"/>
    <w:qFormat/>
    <w:uiPriority w:val="34"/>
    <w:pPr>
      <w:ind w:firstLine="420" w:firstLineChars="200"/>
    </w:p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t>收、支决算总计变动情况图</a:t>
            </a:r>
            <a:endParaRPr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solidFill>
              <a:schemeClr val="accent6">
                <a:lumMod val="60000"/>
                <a:lumOff val="40000"/>
              </a:schemeClr>
            </a:solidFill>
            <a:ln>
              <a:noFill/>
            </a:ln>
            <a:effectLst/>
          </c:spPr>
          <c:invertIfNegative val="false"/>
          <c:dLbls>
            <c:delete val="true"/>
          </c:dLbls>
          <c:cat>
            <c:strRef>
              <c:f>Sheet1!$A$2:$A$3</c:f>
              <c:strCache>
                <c:ptCount val="2"/>
                <c:pt idx="0">
                  <c:v>2019年度收、支总计</c:v>
                </c:pt>
                <c:pt idx="1">
                  <c:v>2020年度收、支总计</c:v>
                </c:pt>
              </c:strCache>
            </c:strRef>
          </c:cat>
          <c:val>
            <c:numRef>
              <c:f>Sheet1!$B$2:$B$3</c:f>
              <c:numCache>
                <c:formatCode>General</c:formatCode>
                <c:ptCount val="2"/>
                <c:pt idx="0">
                  <c:v>1635.73</c:v>
                </c:pt>
                <c:pt idx="1">
                  <c:v>1709.62</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manualLayout>
          <c:xMode val="edge"/>
          <c:yMode val="edge"/>
          <c:x val="0.267794057292201"/>
          <c:y val="0.00740923684860459"/>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strCache>
            </c:strRef>
          </c:cat>
          <c:val>
            <c:numRef>
              <c:f>Sheet1!$B$2:$B$3</c:f>
              <c:numCache>
                <c:formatCode>0.00%</c:formatCode>
                <c:ptCount val="2"/>
                <c:pt idx="0">
                  <c:v>1</c:v>
                </c:pt>
              </c:numCache>
            </c:numRef>
          </c:val>
        </c:ser>
        <c:dLbls>
          <c:showLegendKey val="false"/>
          <c:showVal val="false"/>
          <c:showCatName val="false"/>
          <c:showSerName val="false"/>
          <c:showPercent val="true"/>
          <c:showBubbleSize val="false"/>
          <c:showLeaderLines val="true"/>
        </c:dLbls>
        <c:firstSliceAng val="90"/>
      </c:pieChart>
      <c:spPr>
        <a:noFill/>
        <a:ln>
          <a:noFill/>
        </a:ln>
        <a:effectLst/>
      </c:spPr>
    </c:plotArea>
    <c:legend>
      <c:legendPos val="r"/>
      <c:legendEntry>
        <c:idx val="1"/>
        <c:delete val="true"/>
      </c:legendEntry>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false"/>
      <c:spPr>
        <a:noFill/>
        <a:ln>
          <a:noFill/>
        </a:ln>
        <a:effectLst/>
      </c:spPr>
    </c:title>
    <c:autoTitleDeleted val="false"/>
    <c:plotArea>
      <c:layout>
        <c:manualLayout>
          <c:layoutTarget val="inner"/>
          <c:xMode val="edge"/>
          <c:yMode val="edge"/>
          <c:x val="0.0854963156844929"/>
          <c:y val="0.169213621800979"/>
          <c:w val="0.830091459487312"/>
          <c:h val="0.668273444347064"/>
        </c:manualLayout>
      </c:layout>
      <c:pieChart>
        <c:varyColors val="true"/>
        <c:ser>
          <c:idx val="0"/>
          <c:order val="0"/>
          <c:tx>
            <c:strRef>
              <c:f>Sheet1!$B$1</c:f>
              <c:strCache>
                <c:ptCount val="1"/>
                <c:pt idx="0">
                  <c:v>系列 1</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4BACC6"/>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79646">
                  <a:lumMod val="75000"/>
                </a:srgbClr>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0.601</c:v>
                </c:pt>
                <c:pt idx="1">
                  <c:v>0.399</c:v>
                </c:pt>
              </c:numCache>
            </c:numRef>
          </c:val>
        </c:ser>
        <c:ser>
          <c:idx val="1"/>
          <c:order val="1"/>
          <c:tx>
            <c:strRef>
              <c:f>Sheet1!$C$1</c:f>
              <c:strCache>
                <c:ptCount val="1"/>
                <c:pt idx="0">
                  <c:v>系列 2</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Sheet1!$D$1</c:f>
              <c:strCache>
                <c:ptCount val="1"/>
                <c:pt idx="0">
                  <c:v>系列 3</c:v>
                </c:pt>
              </c:strCache>
            </c:strRef>
          </c:tx>
          <c:spPr>
            <a:ln w="22225">
              <a:solidFill>
                <a:schemeClr val="bg1">
                  <a:lumMod val="95000"/>
                </a:schemeClr>
              </a:solidFill>
            </a:ln>
            <a:scene3d>
              <a:camera prst="orthographicFront"/>
              <a:lightRig rig="threePt" dir="t"/>
            </a:scene3d>
            <a:sp3d contourW="22225"/>
          </c:spPr>
          <c:explosion val="0"/>
          <c:dPt>
            <c:idx val="0"/>
            <c:bubble3D val="false"/>
            <c:spPr>
              <a:solidFill>
                <a:srgbClr val="EA7B4C"/>
              </a:solidFill>
              <a:ln w="22225">
                <a:solidFill>
                  <a:schemeClr val="bg1">
                    <a:lumMod val="95000"/>
                  </a:schemeClr>
                </a:solidFill>
              </a:ln>
              <a:effectLst/>
              <a:scene3d>
                <a:camera prst="orthographicFront"/>
                <a:lightRig rig="threePt" dir="t"/>
              </a:scene3d>
              <a:sp3d contourW="22225">
                <a:contourClr>
                  <a:schemeClr val="lt1"/>
                </a:contourClr>
              </a:sp3d>
            </c:spPr>
          </c:dPt>
          <c:dPt>
            <c:idx val="1"/>
            <c:bubble3D val="false"/>
            <c:spPr>
              <a:solidFill>
                <a:srgbClr val="F6A063"/>
              </a:solidFill>
              <a:ln w="22225">
                <a:solidFill>
                  <a:schemeClr val="bg1">
                    <a:lumMod val="95000"/>
                  </a:schemeClr>
                </a:solidFill>
              </a:ln>
              <a:effectLst/>
              <a:scene3d>
                <a:camera prst="orthographicFront"/>
                <a:lightRig rig="threePt" dir="t"/>
              </a:scene3d>
              <a:sp3d contourW="22225">
                <a:contourClr>
                  <a:schemeClr val="lt1"/>
                </a:contourClr>
              </a:sp3d>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Sheet1!$D$2:$D$3</c:f>
              <c:numCache>
                <c:formatCode>General</c:formatCode>
                <c:ptCount val="2"/>
                <c:pt idx="0">
                  <c:v>2</c:v>
                </c:pt>
                <c:pt idx="1">
                  <c:v>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tru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false"/>
      <c:spPr>
        <a:noFill/>
        <a:ln>
          <a:noFill/>
        </a:ln>
        <a:effectLst/>
      </c:spPr>
      <c:txPr>
        <a:bodyPr rot="0" spcFirstLastPara="0" vertOverflow="ellipsis" vert="horz" wrap="square" anchor="ctr" anchorCtr="true" forceAA="false"/>
        <a:lstStyle/>
        <a:p>
          <a:pPr>
            <a:defRPr lang="zh-CN" sz="105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ln w="6350" cap="flat" cmpd="sng" algn="ctr">
      <a:noFill/>
      <a:prstDash val="solid"/>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财政拨款收、支决算总计变动情况图</a:t>
            </a:r>
            <a:endParaRPr sz="1080" b="1"/>
          </a:p>
        </c:rich>
      </c:tx>
      <c:layout>
        <c:manualLayout>
          <c:xMode val="edge"/>
          <c:yMode val="edge"/>
          <c:x val="0.21449945829918"/>
          <c:y val="0.01009761023224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Lbls>
            <c:delete val="true"/>
          </c:dLbls>
          <c:cat>
            <c:strRef>
              <c:f>Sheet1!$A$2:$A$3</c:f>
              <c:strCache>
                <c:ptCount val="2"/>
                <c:pt idx="0">
                  <c:v>2019年度</c:v>
                </c:pt>
                <c:pt idx="1">
                  <c:v>2020年度</c:v>
                </c:pt>
              </c:strCache>
            </c:strRef>
          </c:cat>
          <c:val>
            <c:numRef>
              <c:f>Sheet1!$B$2:$B$3</c:f>
              <c:numCache>
                <c:formatCode>General</c:formatCode>
                <c:ptCount val="2"/>
                <c:pt idx="0">
                  <c:v>1635.73</c:v>
                </c:pt>
                <c:pt idx="1">
                  <c:v>1709.62</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80" b="0" i="0" u="none" strike="noStrike" kern="1200" spc="0" baseline="0">
                <a:solidFill>
                  <a:schemeClr val="tx1">
                    <a:lumMod val="65000"/>
                    <a:lumOff val="35000"/>
                  </a:schemeClr>
                </a:solidFill>
                <a:latin typeface="+mn-lt"/>
                <a:ea typeface="+mn-ea"/>
                <a:cs typeface="+mn-cs"/>
              </a:defRPr>
            </a:pPr>
            <a:r>
              <a:rPr altLang="en-US" sz="1080" b="1"/>
              <a:t>一般公共预算财政拨款支出决算总计变动情况</a:t>
            </a:r>
            <a:endParaRPr sz="1080" b="1"/>
          </a:p>
        </c:rich>
      </c:tx>
      <c:layout>
        <c:manualLayout>
          <c:xMode val="edge"/>
          <c:yMode val="edge"/>
          <c:x val="0.113270872038581"/>
          <c:y val="0.0069236095084237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收、支决算总计变动情况图</c:v>
                </c:pt>
              </c:strCache>
            </c:strRef>
          </c:tx>
          <c:spPr>
            <a:gradFill>
              <a:gsLst>
                <a:gs pos="100000">
                  <a:srgbClr val="F9F8CA"/>
                </a:gs>
                <a:gs pos="6000">
                  <a:srgbClr val="4EAADD"/>
                </a:gs>
              </a:gsLst>
              <a:lin scaled="true"/>
            </a:gradFill>
            <a:ln>
              <a:noFill/>
            </a:ln>
            <a:effectLst/>
          </c:spPr>
          <c:invertIfNegative val="false"/>
          <c:dPt>
            <c:idx val="0"/>
            <c:invertIfNegative val="false"/>
            <c:bubble3D val="false"/>
            <c:spPr>
              <a:solidFill>
                <a:schemeClr val="accent6"/>
              </a:solidFill>
              <a:ln>
                <a:noFill/>
              </a:ln>
              <a:effectLst/>
            </c:spPr>
          </c:dPt>
          <c:dPt>
            <c:idx val="1"/>
            <c:invertIfNegative val="false"/>
            <c:bubble3D val="false"/>
            <c:spPr>
              <a:solidFill>
                <a:schemeClr val="accent6"/>
              </a:solidFill>
              <a:ln>
                <a:noFill/>
              </a:ln>
              <a:effectLst/>
            </c:spPr>
          </c:dPt>
          <c:dLbls>
            <c:delete val="true"/>
          </c:dLbls>
          <c:cat>
            <c:strRef>
              <c:f>Sheet1!$A$2:$A$3</c:f>
              <c:strCache>
                <c:ptCount val="2"/>
                <c:pt idx="0">
                  <c:v>2019年度</c:v>
                </c:pt>
                <c:pt idx="1">
                  <c:v>2020年度</c:v>
                </c:pt>
              </c:strCache>
            </c:strRef>
          </c:cat>
          <c:val>
            <c:numRef>
              <c:f>Sheet1!$B$2:$B$3</c:f>
              <c:numCache>
                <c:formatCode>General</c:formatCode>
                <c:ptCount val="2"/>
                <c:pt idx="0">
                  <c:v>1635.73</c:v>
                </c:pt>
                <c:pt idx="1">
                  <c:v>1709.62</c:v>
                </c:pt>
              </c:numCache>
            </c:numRef>
          </c:val>
        </c:ser>
        <c:dLbls>
          <c:showLegendKey val="false"/>
          <c:showVal val="false"/>
          <c:showCatName val="false"/>
          <c:showSerName val="false"/>
          <c:showPercent val="false"/>
          <c:showBubbleSize val="false"/>
        </c:dLbls>
        <c:gapWidth val="219"/>
        <c:overlap val="-27"/>
        <c:axId val="642349300"/>
        <c:axId val="730360683"/>
      </c:barChart>
      <c:catAx>
        <c:axId val="6423493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360683"/>
        <c:crosses val="autoZero"/>
        <c:auto val="true"/>
        <c:lblAlgn val="ctr"/>
        <c:lblOffset val="100"/>
        <c:noMultiLvlLbl val="false"/>
      </c:catAx>
      <c:valAx>
        <c:axId val="73036068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2349300"/>
        <c:crosses val="autoZero"/>
        <c:crossBetween val="between"/>
      </c:valAx>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900"/>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4723752295109"/>
          <c:y val="0.0333333333333333"/>
        </c:manualLayout>
      </c:layout>
      <c:overlay val="false"/>
      <c:spPr>
        <a:noFill/>
        <a:ln>
          <a:noFill/>
        </a:ln>
        <a:effectLst/>
      </c:spPr>
      <c:txPr>
        <a:bodyPr rot="0" spcFirstLastPara="0" vertOverflow="ellipsis" vert="horz" wrap="square" anchor="ctr" anchorCtr="true"/>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gradFill rotWithShape="true">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true"/>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false"/>
            <c:spPr>
              <a:gradFill rotWithShape="true">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true"/>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false"/>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false"/>
            <c:spPr>
              <a:gradFill rotWithShape="true">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true"/>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false"/>
            <c:spPr>
              <a:gradFill rotWithShape="true">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true"/>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false"/>
            <c:spPr>
              <a:gradFill rotWithShape="true">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true"/>
              </a:gradFill>
              <a:ln w="9525" cap="flat" cmpd="sng" algn="ctr">
                <a:solidFill>
                  <a:schemeClr val="accent6">
                    <a:shade val="95000"/>
                  </a:schemeClr>
                </a:solidFill>
                <a:round/>
              </a:ln>
              <a:effectLst>
                <a:outerShdw blurRad="40000" dist="20000" dir="5400000" rotWithShape="0">
                  <a:srgbClr val="000000">
                    <a:alpha val="38000"/>
                  </a:srgbClr>
                </a:outerShdw>
              </a:effectLst>
            </c:spPr>
          </c:dPt>
          <c:dPt>
            <c:idx val="6"/>
            <c:bubble3D val="false"/>
            <c:spPr>
              <a:gradFill rotWithShape="true">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true"/>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76518970736183"/>
                  <c:y val="-0.016258520326206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55683147205883"/>
                  <c:y val="0.03833187076249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95138342150156"/>
                  <c:y val="0.004405697002491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5"/>
              <c:layout>
                <c:manualLayout>
                  <c:x val="-0.113823392587393"/>
                  <c:y val="-0.0024070125913443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Sheet1!$A$2:$A$8</c:f>
              <c:strCache>
                <c:ptCount val="7"/>
                <c:pt idx="0">
                  <c:v>一般公共服务</c:v>
                </c:pt>
                <c:pt idx="1">
                  <c:v>教育支出</c:v>
                </c:pt>
                <c:pt idx="2">
                  <c:v>社会保障和就业</c:v>
                </c:pt>
                <c:pt idx="3">
                  <c:v>卫生健康支出</c:v>
                </c:pt>
                <c:pt idx="4">
                  <c:v>农林水支出</c:v>
                </c:pt>
                <c:pt idx="5">
                  <c:v>住房保障支出</c:v>
                </c:pt>
                <c:pt idx="6">
                  <c:v>灾害防治及应急管理</c:v>
                </c:pt>
              </c:strCache>
            </c:strRef>
          </c:cat>
          <c:val>
            <c:numRef>
              <c:f>Sheet1!$B$2:$B$8</c:f>
              <c:numCache>
                <c:formatCode>0.00%</c:formatCode>
                <c:ptCount val="7"/>
                <c:pt idx="0">
                  <c:v>0.34</c:v>
                </c:pt>
                <c:pt idx="1">
                  <c:v>0.002</c:v>
                </c:pt>
                <c:pt idx="2">
                  <c:v>0.109</c:v>
                </c:pt>
                <c:pt idx="3">
                  <c:v>0.043</c:v>
                </c:pt>
                <c:pt idx="4">
                  <c:v>0.427</c:v>
                </c:pt>
                <c:pt idx="5">
                  <c:v>0.067</c:v>
                </c:pt>
                <c:pt idx="6">
                  <c:v>0.011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4012539184953"/>
          <c:y val="0.0346020761245675"/>
        </c:manualLayout>
      </c:layout>
      <c:overlay val="false"/>
      <c:spPr>
        <a:noFill/>
        <a:ln>
          <a:noFill/>
        </a:ln>
        <a:effectLst/>
      </c:spPr>
      <c:txPr>
        <a:bodyPr rot="0" spcFirstLastPara="0" vertOverflow="ellipsis" vert="horz" wrap="square" anchor="ctr" anchorCtr="true"/>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accent1"/>
                </a:solidFill>
              </a:ln>
              <a:effectLst/>
            </c:spPr>
          </c:dPt>
          <c:dPt>
            <c:idx val="1"/>
            <c:bubble3D val="false"/>
            <c:spPr>
              <a:solidFill>
                <a:schemeClr val="accent2"/>
              </a:solidFill>
              <a:ln w="19050">
                <a:solidFill>
                  <a:schemeClr val="accent2"/>
                </a:solidFill>
              </a:ln>
              <a:effectLst/>
            </c:spPr>
          </c:dPt>
          <c:dPt>
            <c:idx val="2"/>
            <c:bubble3D val="false"/>
            <c:explosion val="3"/>
            <c:spPr>
              <a:solidFill>
                <a:schemeClr val="accent6">
                  <a:lumMod val="75000"/>
                </a:schemeClr>
              </a:solidFill>
              <a:ln w="19050">
                <a:solidFill>
                  <a:schemeClr val="lt1"/>
                </a:solidFill>
              </a:ln>
              <a:effectLst/>
            </c:spPr>
          </c:dPt>
          <c:dLbls>
            <c:dLbl>
              <c:idx val="0"/>
              <c:delete val="true"/>
            </c:dLbl>
            <c:dLbl>
              <c:idx val="1"/>
              <c:delete val="true"/>
            </c:dLbl>
            <c:dLbl>
              <c:idx val="2"/>
              <c:layout>
                <c:manualLayout>
                  <c:x val="-0.00937589250766697"/>
                  <c:y val="-0.2495682540349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6375"/>
                      <c:h val="0.1295"/>
                    </c:manualLayout>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v>0</c:v>
                </c:pt>
                <c:pt idx="2">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17056</Words>
  <Characters>18020</Characters>
  <Lines>61</Lines>
  <Paragraphs>17</Paragraphs>
  <TotalTime>12</TotalTime>
  <ScaleCrop>false</ScaleCrop>
  <LinksUpToDate>false</LinksUpToDate>
  <CharactersWithSpaces>18063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2021-07-29T19:56:00Z</cp:lastPrinted>
  <dcterms:modified xsi:type="dcterms:W3CDTF">2023-07-13T19:43:33Z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A93A753AC4CE440583DA987C22F78596</vt:lpwstr>
  </property>
</Properties>
</file>