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425"/>
      <w:bookmarkStart w:id="3" w:name="_Toc15377193"/>
      <w:bookmarkStart w:id="4" w:name="_Toc15396597"/>
      <w:bookmarkStart w:id="5" w:name="_Toc15378441"/>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bookmarkStart w:id="63" w:name="_GoBack"/>
      <w:bookmarkEnd w:id="63"/>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96598"/>
      <w:bookmarkStart w:id="9" w:name="_Toc15377194"/>
      <w:bookmarkStart w:id="10" w:name="_Toc15377426"/>
      <w:r>
        <w:rPr>
          <w:rFonts w:hint="eastAsia" w:ascii="方正小标宋简体" w:hAnsi="宋体" w:eastAsia="方正小标宋简体"/>
          <w:color w:val="000000"/>
          <w:sz w:val="72"/>
          <w:szCs w:val="72"/>
        </w:rPr>
        <w:t>四川省广元市朝天区</w:t>
      </w:r>
      <w:bookmarkEnd w:id="0"/>
      <w:bookmarkStart w:id="11" w:name="_Toc15306268"/>
      <w:r>
        <w:rPr>
          <w:rFonts w:hint="eastAsia" w:ascii="方正小标宋简体" w:hAnsi="宋体" w:eastAsia="方正小标宋简体"/>
          <w:color w:val="000000"/>
          <w:sz w:val="72"/>
          <w:szCs w:val="72"/>
          <w:lang w:val="en-US" w:eastAsia="zh-CN"/>
        </w:rPr>
        <w:t>纪委</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hint="eastAsia" w:ascii="黑体" w:hAnsi="黑体" w:eastAsia="黑体"/>
          <w:color w:val="000000"/>
          <w:sz w:val="48"/>
          <w:szCs w:val="48"/>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2"/>
      </w:pPr>
      <w:r>
        <w:rPr>
          <w:rFonts w:hint="eastAsia"/>
        </w:rPr>
        <w:t>公开时间：</w:t>
      </w:r>
      <w: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p/>
    <w:p>
      <w:pPr>
        <w:pStyle w:val="12"/>
      </w:pPr>
      <w:r>
        <w:fldChar w:fldCharType="begin"/>
      </w:r>
      <w:r>
        <w:instrText xml:space="preserve"> HYPERLINK \l "_Toc15396599" </w:instrText>
      </w:r>
      <w:r>
        <w:fldChar w:fldCharType="separate"/>
      </w:r>
      <w:r>
        <w:rPr>
          <w:rStyle w:val="19"/>
          <w:rFonts w:hint="eastAsia"/>
        </w:rPr>
        <w:t>第一部分</w:t>
      </w:r>
      <w:r>
        <w:rPr>
          <w:rStyle w:val="19"/>
        </w:rPr>
        <w:t xml:space="preserve"> </w:t>
      </w:r>
      <w:r>
        <w:rPr>
          <w:rStyle w:val="19"/>
          <w:rFonts w:hint="eastAsia"/>
        </w:rPr>
        <w:t>部门概况</w:t>
      </w:r>
      <w:r>
        <w:tab/>
      </w:r>
      <w:r>
        <w:t>4</w:t>
      </w:r>
      <w:r>
        <w:fldChar w:fldCharType="end"/>
      </w:r>
    </w:p>
    <w:p>
      <w:pPr>
        <w:pStyle w:val="13"/>
        <w:rPr>
          <w:rFonts w:ascii="仿宋" w:hAnsi="仿宋" w:eastAsia="仿宋"/>
          <w:sz w:val="28"/>
          <w:szCs w:val="28"/>
        </w:rPr>
      </w:pPr>
      <w:r>
        <w:fldChar w:fldCharType="begin"/>
      </w:r>
      <w:r>
        <w:instrText xml:space="preserve"> HYPERLINK \l "_Toc15396600" </w:instrText>
      </w:r>
      <w:r>
        <w:fldChar w:fldCharType="separate"/>
      </w:r>
      <w:r>
        <w:rPr>
          <w:rStyle w:val="19"/>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"_Toc15396601" </w:instrText>
      </w:r>
      <w:r>
        <w:fldChar w:fldCharType="separate"/>
      </w:r>
      <w:r>
        <w:rPr>
          <w:rStyle w:val="19"/>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pPr>
      <w:r>
        <w:fldChar w:fldCharType="begin"/>
      </w:r>
      <w:r>
        <w:instrText xml:space="preserve"> HYPERLINK \l "_Toc15396602" </w:instrText>
      </w:r>
      <w:r>
        <w:fldChar w:fldCharType="separate"/>
      </w:r>
      <w:r>
        <w:rPr>
          <w:rStyle w:val="19"/>
          <w:rFonts w:hint="eastAsia"/>
        </w:rPr>
        <w:t>第二部分</w:t>
      </w:r>
      <w:r>
        <w:rPr>
          <w:rStyle w:val="19"/>
        </w:rPr>
        <w:t xml:space="preserve"> </w:t>
      </w:r>
      <w:r>
        <w:rPr>
          <w:rStyle w:val="19"/>
          <w:rFonts w:hint="eastAsia"/>
          <w:lang w:val="en-US" w:eastAsia="zh-CN"/>
        </w:rPr>
        <w:t>2020</w:t>
      </w:r>
      <w:r>
        <w:rPr>
          <w:rStyle w:val="19"/>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3"/>
        <w:rPr>
          <w:rFonts w:ascii="仿宋" w:hAnsi="仿宋" w:eastAsia="仿宋"/>
          <w:sz w:val="28"/>
          <w:szCs w:val="28"/>
        </w:rPr>
      </w:pPr>
      <w:r>
        <w:fldChar w:fldCharType="begin"/>
      </w:r>
      <w:r>
        <w:instrText xml:space="preserve"> HYPERLINK \l "_Toc15396603" </w:instrText>
      </w:r>
      <w:r>
        <w:fldChar w:fldCharType="separate"/>
      </w:r>
      <w:r>
        <w:rPr>
          <w:rStyle w:val="19"/>
          <w:rFonts w:hint="eastAsia" w:ascii="仿宋" w:hAnsi="仿宋" w:eastAsia="仿宋"/>
          <w:bCs/>
          <w:sz w:val="28"/>
          <w:szCs w:val="28"/>
        </w:rPr>
        <w:t>一、</w:t>
      </w:r>
      <w:r>
        <w:rPr>
          <w:rStyle w:val="19"/>
          <w:rFonts w:hint="eastAsia" w:ascii="仿宋" w:hAnsi="仿宋" w:eastAsia="仿宋"/>
          <w:sz w:val="28"/>
          <w:szCs w:val="28"/>
        </w:rPr>
        <w:t>收</w:t>
      </w:r>
      <w:r>
        <w:rPr>
          <w:rStyle w:val="19"/>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"_Toc15396604" </w:instrText>
      </w:r>
      <w:r>
        <w:fldChar w:fldCharType="separate"/>
      </w:r>
      <w:r>
        <w:rPr>
          <w:rStyle w:val="19"/>
          <w:rFonts w:hint="eastAsia" w:ascii="仿宋" w:hAnsi="仿宋" w:eastAsia="仿宋"/>
          <w:bCs/>
          <w:sz w:val="28"/>
          <w:szCs w:val="28"/>
        </w:rPr>
        <w:t>二、</w:t>
      </w:r>
      <w:r>
        <w:rPr>
          <w:rStyle w:val="19"/>
          <w:rFonts w:hint="eastAsia" w:ascii="仿宋" w:hAnsi="仿宋" w:eastAsia="仿宋"/>
          <w:sz w:val="28"/>
          <w:szCs w:val="28"/>
        </w:rPr>
        <w:t>收</w:t>
      </w:r>
      <w:r>
        <w:rPr>
          <w:rStyle w:val="19"/>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"_Toc15396605" </w:instrText>
      </w:r>
      <w:r>
        <w:fldChar w:fldCharType="separate"/>
      </w:r>
      <w:r>
        <w:rPr>
          <w:rStyle w:val="19"/>
          <w:rFonts w:hint="eastAsia" w:ascii="仿宋" w:hAnsi="仿宋" w:eastAsia="仿宋"/>
          <w:bCs/>
          <w:sz w:val="28"/>
          <w:szCs w:val="28"/>
        </w:rPr>
        <w:t>三、</w:t>
      </w:r>
      <w:r>
        <w:rPr>
          <w:rStyle w:val="19"/>
          <w:rFonts w:hint="eastAsia" w:ascii="仿宋" w:hAnsi="仿宋" w:eastAsia="仿宋"/>
          <w:sz w:val="28"/>
          <w:szCs w:val="28"/>
        </w:rPr>
        <w:t>支</w:t>
      </w:r>
      <w:r>
        <w:rPr>
          <w:rStyle w:val="19"/>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"_Toc15396606" </w:instrText>
      </w:r>
      <w:r>
        <w:fldChar w:fldCharType="separate"/>
      </w:r>
      <w:r>
        <w:rPr>
          <w:rStyle w:val="19"/>
          <w:rFonts w:hint="eastAsia" w:ascii="仿宋" w:hAnsi="仿宋" w:eastAsia="仿宋"/>
          <w:sz w:val="28"/>
          <w:szCs w:val="28"/>
        </w:rPr>
        <w:t>四、财</w:t>
      </w:r>
      <w:r>
        <w:rPr>
          <w:rStyle w:val="19"/>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"_Toc15396607" </w:instrText>
      </w:r>
      <w:r>
        <w:fldChar w:fldCharType="separate"/>
      </w:r>
      <w:r>
        <w:rPr>
          <w:rStyle w:val="19"/>
          <w:rFonts w:hint="eastAsia" w:ascii="仿宋" w:hAnsi="仿宋" w:eastAsia="仿宋"/>
          <w:sz w:val="28"/>
          <w:szCs w:val="28"/>
        </w:rPr>
        <w:t>五、一</w:t>
      </w:r>
      <w:r>
        <w:rPr>
          <w:rStyle w:val="19"/>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"_Toc15396608" </w:instrText>
      </w:r>
      <w:r>
        <w:fldChar w:fldCharType="separate"/>
      </w:r>
      <w:r>
        <w:rPr>
          <w:rStyle w:val="19"/>
          <w:rFonts w:hint="eastAsia" w:ascii="仿宋" w:hAnsi="仿宋" w:eastAsia="仿宋"/>
          <w:sz w:val="28"/>
          <w:szCs w:val="28"/>
        </w:rPr>
        <w:t>六、一</w:t>
      </w:r>
      <w:r>
        <w:rPr>
          <w:rStyle w:val="19"/>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"_Toc15396609" </w:instrText>
      </w:r>
      <w:r>
        <w:fldChar w:fldCharType="separate"/>
      </w:r>
      <w:r>
        <w:rPr>
          <w:rStyle w:val="19"/>
          <w:rFonts w:hint="eastAsia" w:ascii="仿宋" w:hAnsi="仿宋" w:eastAsia="仿宋"/>
          <w:sz w:val="28"/>
          <w:szCs w:val="28"/>
        </w:rPr>
        <w:t>七、“</w:t>
      </w:r>
      <w:r>
        <w:rPr>
          <w:rStyle w:val="19"/>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"_Toc15396610" </w:instrText>
      </w:r>
      <w:r>
        <w:fldChar w:fldCharType="separate"/>
      </w:r>
      <w:r>
        <w:rPr>
          <w:rStyle w:val="19"/>
          <w:rFonts w:hint="eastAsia" w:ascii="仿宋" w:hAnsi="仿宋" w:eastAsia="仿宋"/>
          <w:sz w:val="28"/>
          <w:szCs w:val="28"/>
        </w:rPr>
        <w:t>八、</w:t>
      </w:r>
      <w:r>
        <w:rPr>
          <w:rStyle w:val="19"/>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"_Toc15396611" </w:instrText>
      </w:r>
      <w:r>
        <w:fldChar w:fldCharType="separate"/>
      </w:r>
      <w:r>
        <w:rPr>
          <w:rStyle w:val="19"/>
          <w:rFonts w:hint="eastAsia" w:ascii="仿宋" w:hAnsi="仿宋" w:eastAsia="仿宋"/>
          <w:bCs/>
          <w:sz w:val="28"/>
          <w:szCs w:val="28"/>
        </w:rPr>
        <w:t>九、</w:t>
      </w:r>
      <w:r>
        <w:rPr>
          <w:rStyle w:val="19"/>
          <w:rFonts w:ascii="仿宋" w:hAnsi="仿宋" w:eastAsia="仿宋"/>
          <w:sz w:val="28"/>
          <w:szCs w:val="28"/>
        </w:rPr>
        <w:t xml:space="preserve"> </w:t>
      </w:r>
      <w:r>
        <w:rPr>
          <w:rStyle w:val="19"/>
          <w:rFonts w:hint="eastAsia" w:ascii="仿宋" w:hAnsi="仿宋" w:eastAsia="仿宋"/>
          <w:sz w:val="28"/>
          <w:szCs w:val="28"/>
        </w:rPr>
        <w:t>国</w:t>
      </w:r>
      <w:r>
        <w:rPr>
          <w:rStyle w:val="19"/>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"_Toc15396612" </w:instrText>
      </w:r>
      <w:r>
        <w:fldChar w:fldCharType="separate"/>
      </w:r>
      <w:r>
        <w:rPr>
          <w:rStyle w:val="19"/>
          <w:rFonts w:hint="eastAsia" w:ascii="仿宋" w:hAnsi="仿宋" w:eastAsia="仿宋"/>
          <w:sz w:val="28"/>
          <w:szCs w:val="28"/>
        </w:rPr>
        <w:t>十</w:t>
      </w:r>
      <w:r>
        <w:rPr>
          <w:rStyle w:val="19"/>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2"/>
      </w:pPr>
      <w:r>
        <w:fldChar w:fldCharType="begin"/>
      </w:r>
      <w:r>
        <w:instrText xml:space="preserve"> HYPERLINK \l "_Toc15396613" </w:instrText>
      </w:r>
      <w:r>
        <w:fldChar w:fldCharType="separate"/>
      </w:r>
      <w:r>
        <w:rPr>
          <w:rStyle w:val="19"/>
          <w:rFonts w:hint="eastAsia"/>
          <w:bCs/>
          <w:kern w:val="44"/>
        </w:rPr>
        <w:t>第三部分</w:t>
      </w:r>
      <w:r>
        <w:rPr>
          <w:rStyle w:val="19"/>
        </w:rPr>
        <w:t xml:space="preserve"> </w:t>
      </w:r>
      <w:r>
        <w:rPr>
          <w:rStyle w:val="19"/>
          <w:rFonts w:hint="eastAsia"/>
        </w:rPr>
        <w:t>名</w:t>
      </w:r>
      <w:r>
        <w:rPr>
          <w:rStyle w:val="19"/>
          <w:rFonts w:hint="eastAsia"/>
          <w:bCs/>
          <w:kern w:val="44"/>
        </w:rPr>
        <w:t>词解释</w:t>
      </w:r>
      <w:r>
        <w:tab/>
      </w:r>
      <w:r>
        <w:fldChar w:fldCharType="begin"/>
      </w:r>
      <w:r>
        <w:instrText xml:space="preserve"> PAGEREF _Toc15396613 \h </w:instrText>
      </w:r>
      <w:r>
        <w:fldChar w:fldCharType="separate"/>
      </w:r>
      <w:r>
        <w:t>17</w:t>
      </w:r>
      <w:r>
        <w:fldChar w:fldCharType="end"/>
      </w:r>
      <w:r>
        <w:fldChar w:fldCharType="end"/>
      </w:r>
    </w:p>
    <w:p>
      <w:pPr>
        <w:pStyle w:val="12"/>
      </w:pPr>
      <w:r>
        <w:fldChar w:fldCharType="begin"/>
      </w:r>
      <w:r>
        <w:instrText xml:space="preserve"> HYPERLINK \l "_Toc15396614" </w:instrText>
      </w:r>
      <w:r>
        <w:fldChar w:fldCharType="separate"/>
      </w:r>
      <w:r>
        <w:rPr>
          <w:rStyle w:val="19"/>
          <w:rFonts w:hint="eastAsia"/>
        </w:rPr>
        <w:t>第</w:t>
      </w:r>
      <w:r>
        <w:rPr>
          <w:rStyle w:val="19"/>
          <w:rFonts w:hint="eastAsia"/>
          <w:bCs/>
          <w:kern w:val="44"/>
        </w:rPr>
        <w:t>四部分</w:t>
      </w:r>
      <w:r>
        <w:rPr>
          <w:rStyle w:val="19"/>
          <w:bCs/>
          <w:kern w:val="44"/>
        </w:rPr>
        <w:t xml:space="preserve"> </w:t>
      </w:r>
      <w:r>
        <w:rPr>
          <w:rStyle w:val="19"/>
          <w:rFonts w:hint="eastAsia"/>
          <w:bCs/>
          <w:kern w:val="44"/>
        </w:rPr>
        <w:t>附件</w:t>
      </w:r>
      <w:r>
        <w:tab/>
      </w:r>
      <w:r>
        <w:fldChar w:fldCharType="begin"/>
      </w:r>
      <w:r>
        <w:instrText xml:space="preserve"> PAGEREF _Toc15396614 \h </w:instrText>
      </w:r>
      <w:r>
        <w:fldChar w:fldCharType="separate"/>
      </w:r>
      <w:r>
        <w:t>20</w:t>
      </w:r>
      <w:r>
        <w:fldChar w:fldCharType="end"/>
      </w:r>
      <w:r>
        <w:fldChar w:fldCharType="end"/>
      </w:r>
    </w:p>
    <w:p>
      <w:pPr>
        <w:pStyle w:val="13"/>
        <w:rPr>
          <w:rFonts w:ascii="仿宋" w:hAnsi="仿宋" w:eastAsia="仿宋"/>
          <w:sz w:val="28"/>
          <w:szCs w:val="28"/>
        </w:rPr>
      </w:pPr>
      <w:r>
        <w:fldChar w:fldCharType="begin"/>
      </w:r>
      <w:r>
        <w:instrText xml:space="preserve"> HYPERLINK \l "_Toc15396615" </w:instrText>
      </w:r>
      <w:r>
        <w:fldChar w:fldCharType="separate"/>
      </w:r>
      <w:r>
        <w:rPr>
          <w:rStyle w:val="19"/>
          <w:rFonts w:hint="eastAsia" w:ascii="仿宋" w:hAnsi="仿宋" w:eastAsia="仿宋"/>
          <w:kern w:val="44"/>
          <w:sz w:val="28"/>
          <w:szCs w:val="28"/>
        </w:rPr>
        <w:t>附件</w:t>
      </w:r>
      <w:r>
        <w:rPr>
          <w:rStyle w:val="19"/>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fldChar w:fldCharType="begin"/>
      </w:r>
      <w:r>
        <w:instrText xml:space="preserve"> HYPERLINK \l "_Toc15396617" </w:instrText>
      </w:r>
      <w:r>
        <w:fldChar w:fldCharType="separate"/>
      </w:r>
      <w:r>
        <w:rPr>
          <w:rStyle w:val="19"/>
          <w:rFonts w:hint="eastAsia" w:ascii="仿宋" w:hAnsi="仿宋" w:eastAsia="仿宋"/>
          <w:kern w:val="44"/>
          <w:sz w:val="28"/>
          <w:szCs w:val="28"/>
        </w:rPr>
        <w:t>附件</w:t>
      </w:r>
      <w:r>
        <w:rPr>
          <w:rStyle w:val="19"/>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2"/>
      </w:pPr>
      <w:r>
        <w:fldChar w:fldCharType="begin"/>
      </w:r>
      <w:r>
        <w:instrText xml:space="preserve"> HYPERLINK \l "_Toc15396618" </w:instrText>
      </w:r>
      <w:r>
        <w:fldChar w:fldCharType="separate"/>
      </w:r>
      <w:r>
        <w:rPr>
          <w:rStyle w:val="19"/>
          <w:rFonts w:hint="eastAsia"/>
        </w:rPr>
        <w:t>第</w:t>
      </w:r>
      <w:r>
        <w:rPr>
          <w:rStyle w:val="19"/>
          <w:rFonts w:hint="eastAsia"/>
          <w:bCs/>
          <w:kern w:val="44"/>
        </w:rPr>
        <w:t>五部分</w:t>
      </w:r>
      <w:r>
        <w:rPr>
          <w:rStyle w:val="19"/>
          <w:bCs/>
          <w:kern w:val="44"/>
        </w:rPr>
        <w:t xml:space="preserve"> </w:t>
      </w:r>
      <w:r>
        <w:rPr>
          <w:rStyle w:val="19"/>
          <w:rFonts w:hint="eastAsia"/>
          <w:bCs/>
          <w:kern w:val="44"/>
        </w:rPr>
        <w:t>附表</w:t>
      </w:r>
      <w:r>
        <w:tab/>
      </w:r>
      <w:r>
        <w:fldChar w:fldCharType="begin"/>
      </w:r>
      <w:r>
        <w:instrText xml:space="preserve"> PAGEREF _Toc15396618 \h </w:instrText>
      </w:r>
      <w:r>
        <w:fldChar w:fldCharType="separate"/>
      </w:r>
      <w:r>
        <w:t>29</w:t>
      </w:r>
      <w:r>
        <w:fldChar w:fldCharType="end"/>
      </w:r>
      <w:r>
        <w:fldChar w:fldCharType="end"/>
      </w:r>
    </w:p>
    <w:p>
      <w:pPr>
        <w:pStyle w:val="13"/>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9"/>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9"/>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9"/>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9"/>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9"/>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9"/>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9"/>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9"/>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9"/>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9"/>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9"/>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9"/>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3"/>
        <w:jc w:val="center"/>
        <w:rPr>
          <w:rStyle w:val="20"/>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20"/>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36"/>
          <w:rFonts w:ascii="仿宋" w:hAnsi="仿宋" w:eastAsia="仿宋"/>
          <w:b w:val="0"/>
          <w:bCs w:val="0"/>
        </w:rPr>
      </w:pPr>
      <w:bookmarkStart w:id="14" w:name="_Toc15396600"/>
      <w:bookmarkStart w:id="15" w:name="_Toc15377197"/>
      <w:bookmarkStart w:id="16" w:name="_Toc15377204"/>
      <w:bookmarkStart w:id="17" w:name="_Toc15396602"/>
      <w:r>
        <w:rPr>
          <w:rFonts w:hint="eastAsia" w:ascii="黑体" w:hAnsi="黑体" w:eastAsia="黑体"/>
          <w:b w:val="0"/>
          <w:color w:val="000000"/>
        </w:rPr>
        <w:t>一、基</w:t>
      </w:r>
      <w:r>
        <w:rPr>
          <w:rStyle w:val="36"/>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一</w:t>
      </w:r>
      <w:r>
        <w:rPr>
          <w:rFonts w:hint="eastAsia" w:ascii="仿宋" w:hAnsi="仿宋" w:eastAsia="仿宋"/>
          <w:bCs/>
          <w:color w:val="000000"/>
          <w:sz w:val="32"/>
          <w:szCs w:val="32"/>
          <w:lang w:eastAsia="zh-CN"/>
        </w:rPr>
        <w:t>）</w:t>
      </w:r>
      <w:r>
        <w:rPr>
          <w:rFonts w:ascii="仿宋" w:hAnsi="仿宋" w:eastAsia="仿宋"/>
          <w:bCs/>
          <w:color w:val="000000"/>
          <w:sz w:val="32"/>
          <w:szCs w:val="32"/>
        </w:rPr>
        <w:t>主要</w:t>
      </w:r>
      <w:r>
        <w:rPr>
          <w:rFonts w:hint="eastAsia" w:ascii="仿宋" w:hAnsi="仿宋" w:eastAsia="仿宋"/>
          <w:bCs/>
          <w:color w:val="000000"/>
          <w:sz w:val="32"/>
          <w:szCs w:val="32"/>
          <w:lang w:val="en-US" w:eastAsia="zh-CN"/>
        </w:rPr>
        <w:t>职能</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1</w:t>
      </w:r>
      <w:r>
        <w:rPr>
          <w:rFonts w:ascii="仿宋" w:hAnsi="仿宋" w:eastAsia="仿宋"/>
          <w:bCs/>
          <w:color w:val="000000"/>
          <w:sz w:val="32"/>
          <w:szCs w:val="32"/>
        </w:rPr>
        <w:t>）负责党的纪律检查工作。贯彻落实党中央关于纪律检查工作的决定，维护党的章程和其他党内法规，检查党的路线方针政策和决议的执行情况，协助区委推进全面从严治党、加强党风建设和组织协调反腐败工作。</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2</w:t>
      </w:r>
      <w:r>
        <w:rPr>
          <w:rFonts w:ascii="仿宋" w:hAnsi="仿宋" w:eastAsia="仿宋"/>
          <w:bCs/>
          <w:color w:val="000000"/>
          <w:sz w:val="32"/>
          <w:szCs w:val="32"/>
        </w:rPr>
        <w:t>）依照党的章程和其他党内法规履行监督、执纪、问责职责。负责经常对党员进行遵守纪律的教育，作出关于维护党纪的决定。对区委工作机关、区委批准设立的党组织（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3</w:t>
      </w:r>
      <w:r>
        <w:rPr>
          <w:rFonts w:ascii="仿宋" w:hAnsi="仿宋" w:eastAsia="仿宋"/>
          <w:bCs/>
          <w:color w:val="000000"/>
          <w:sz w:val="32"/>
          <w:szCs w:val="32"/>
        </w:rPr>
        <w:t>）负责全区监察工作。贯彻落实党中央关于监察工作的决定，维护宪法法律，依法对区委管理的行使公权力的公职人员进行监察，调查职务违法和职务犯罪，开展廉政建设和反腐败工作。</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4</w:t>
      </w:r>
      <w:r>
        <w:rPr>
          <w:rFonts w:ascii="仿宋" w:hAnsi="仿宋" w:eastAsia="仿宋"/>
          <w:bCs/>
          <w:color w:val="000000"/>
          <w:sz w:val="32"/>
          <w:szCs w:val="32"/>
        </w:rP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5</w:t>
      </w:r>
      <w:r>
        <w:rPr>
          <w:rFonts w:ascii="仿宋" w:hAnsi="仿宋" w:eastAsia="仿宋"/>
          <w:bCs/>
          <w:color w:val="000000"/>
          <w:sz w:val="32"/>
          <w:szCs w:val="32"/>
        </w:rPr>
        <w:t>）负责组织协调全面从严治党、党风廉政建设和反腐败宣传教育工作。</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6</w:t>
      </w:r>
      <w:r>
        <w:rPr>
          <w:rFonts w:ascii="仿宋" w:hAnsi="仿宋" w:eastAsia="仿宋"/>
          <w:bCs/>
          <w:color w:val="000000"/>
          <w:sz w:val="32"/>
          <w:szCs w:val="32"/>
        </w:rPr>
        <w:t>）负责综合分析全面从严治党、党风廉政建设和反腐败工作情况，对纪检监察工作重要理论及实践问题进行调查研究。制定或者修改全区纪检监察规范性文件，参与起草制定规范性文件。</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7</w:t>
      </w:r>
      <w:r>
        <w:rPr>
          <w:rFonts w:ascii="仿宋" w:hAnsi="仿宋" w:eastAsia="仿宋"/>
          <w:bCs/>
          <w:color w:val="000000"/>
          <w:sz w:val="32"/>
          <w:szCs w:val="32"/>
        </w:rPr>
        <w:t>）在市纪委监委的领导下，加强对反腐败国际追逃追赃和防逃工作的组织协调，督促有关单位做好相关工作。</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8</w:t>
      </w:r>
      <w:r>
        <w:rPr>
          <w:rFonts w:ascii="仿宋" w:hAnsi="仿宋" w:eastAsia="仿宋"/>
          <w:bCs/>
          <w:color w:val="000000"/>
          <w:sz w:val="32"/>
          <w:szCs w:val="32"/>
        </w:rPr>
        <w:t>）根据干部管理权限，负责纪检监察系统领导班子建设、干部队伍建设和组织建设的综合规划、政策研究、制度建设和业务指导。会同有关方面做好区纪委监委派驻（出）机构、乡镇纪委（监察室）、区管企业和区属学校医院等企事业单位纪检监察机构领导班子建设有关工作。组织和指导全区纪检监察系统教育培训工作等。</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9</w:t>
      </w:r>
      <w:r>
        <w:rPr>
          <w:rFonts w:ascii="仿宋" w:hAnsi="仿宋" w:eastAsia="仿宋"/>
          <w:bCs/>
          <w:color w:val="000000"/>
          <w:sz w:val="32"/>
          <w:szCs w:val="32"/>
        </w:rPr>
        <w:t>）完成区委和市纪委监委交办的其他任务。</w:t>
      </w:r>
    </w:p>
    <w:p>
      <w:pPr>
        <w:pStyle w:val="6"/>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二</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2020年重点工作完成情况</w:t>
      </w:r>
    </w:p>
    <w:p>
      <w:pPr>
        <w:overflowPunct w:val="0"/>
        <w:spacing w:line="576"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2020年，在市纪委监委和区委坚强领导下，区纪委监委坚定以习近平新时代中国特色社会主义思想为指导，</w:t>
      </w:r>
      <w:r>
        <w:rPr>
          <w:rFonts w:hint="eastAsia" w:ascii="仿宋_GB2312" w:eastAsia="仿宋_GB2312"/>
          <w:sz w:val="32"/>
          <w:szCs w:val="32"/>
        </w:rPr>
        <w:t>深入学习贯彻党的十九大和十九届四中、五中全会精神，</w:t>
      </w:r>
      <w:r>
        <w:rPr>
          <w:rFonts w:hint="eastAsia" w:ascii="仿宋_GB2312" w:hAnsi="宋体" w:eastAsia="仿宋_GB2312" w:cs="仿宋_GB2312"/>
          <w:color w:val="000000"/>
          <w:sz w:val="32"/>
          <w:szCs w:val="32"/>
        </w:rPr>
        <w:t>坚决贯彻新时代党的建设总要求和全面从严治党方针</w:t>
      </w:r>
      <w:r>
        <w:rPr>
          <w:rFonts w:ascii="仿宋_GB2312" w:hAnsi="宋体" w:eastAsia="仿宋_GB2312" w:cs="仿宋_GB2312"/>
          <w:color w:val="000000"/>
          <w:sz w:val="32"/>
          <w:szCs w:val="32"/>
        </w:rPr>
        <w:t>,</w:t>
      </w:r>
      <w:r>
        <w:rPr>
          <w:rFonts w:hint="eastAsia" w:ascii="仿宋_GB2312" w:eastAsia="仿宋_GB2312"/>
          <w:sz w:val="32"/>
          <w:szCs w:val="32"/>
        </w:rPr>
        <w:t>对标对表中央和省、市各级纪委全会部署要求，始终坚持稳中求进工作总基调，以“12348”纪检监察工作总体思路为统揽，</w:t>
      </w:r>
      <w:r>
        <w:rPr>
          <w:rFonts w:hint="eastAsia" w:ascii="仿宋_GB2312" w:hAnsi="宋体" w:eastAsia="仿宋_GB2312" w:cs="仿宋_GB2312"/>
          <w:color w:val="000000"/>
          <w:sz w:val="32"/>
          <w:szCs w:val="32"/>
        </w:rPr>
        <w:t>驰而不息正风肃纪，旗帜鲜明惩治腐败</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为</w:t>
      </w:r>
      <w:r>
        <w:rPr>
          <w:rFonts w:hint="eastAsia" w:ascii="仿宋_GB2312" w:eastAsia="仿宋_GB2312"/>
          <w:sz w:val="32"/>
          <w:szCs w:val="32"/>
        </w:rPr>
        <w:t>夺取疫情防控和经济社会发展“双胜利”，打赢脱贫攻坚收官战，建设更高水平的生态文明繁荣和谐新朝天提供了坚强作风和纪律保障</w:t>
      </w:r>
      <w:r>
        <w:rPr>
          <w:rFonts w:hint="eastAsia" w:ascii="仿宋_GB2312" w:hAnsi="宋体" w:eastAsia="仿宋_GB2312" w:cs="仿宋_GB2312"/>
          <w:color w:val="000000"/>
          <w:sz w:val="32"/>
          <w:szCs w:val="32"/>
        </w:rPr>
        <w:t>。村级监督“三单四廉”创新做法在中国廉政研究2020年学术年会暨中国西部科技创新港廉政论坛上作经验交流发言；信访积案化解“七条机制”、优化营商环境、</w:t>
      </w:r>
      <w:r>
        <w:rPr>
          <w:rFonts w:hint="eastAsia" w:ascii="仿宋_GB2312" w:eastAsia="仿宋_GB2312"/>
          <w:sz w:val="32"/>
          <w:szCs w:val="32"/>
        </w:rPr>
        <w:t>招投标领域突出问题整治等工作被省纪委监委刊载；</w:t>
      </w:r>
      <w:r>
        <w:rPr>
          <w:rFonts w:hint="eastAsia" w:ascii="仿宋_GB2312" w:hAnsi="宋体" w:eastAsia="仿宋_GB2312" w:cs="仿宋_GB2312"/>
          <w:color w:val="000000"/>
          <w:sz w:val="32"/>
          <w:szCs w:val="32"/>
        </w:rPr>
        <w:t>区纪委监委机关先后被市委、市政府表彰为全市脱贫攻坚突出贡献单位、强基固本“三大发展保障”先进集体；指定管辖案件办理、</w:t>
      </w:r>
      <w:r>
        <w:rPr>
          <w:rFonts w:hint="eastAsia" w:ascii="仿宋_GB2312" w:eastAsia="仿宋_GB2312"/>
          <w:sz w:val="32"/>
          <w:szCs w:val="32"/>
        </w:rPr>
        <w:t>系统治理</w:t>
      </w:r>
      <w:r>
        <w:rPr>
          <w:rFonts w:hint="eastAsia" w:ascii="仿宋_GB2312" w:hAnsi="宋体" w:eastAsia="仿宋_GB2312" w:cs="仿宋_GB2312"/>
          <w:color w:val="000000"/>
          <w:sz w:val="32"/>
          <w:szCs w:val="32"/>
        </w:rPr>
        <w:t>等工作得到市纪委监委主要领导肯定性批示。</w:t>
      </w:r>
      <w:r>
        <w:rPr>
          <w:rFonts w:hint="eastAsia" w:ascii="仿宋_GB2312" w:eastAsia="仿宋_GB2312"/>
          <w:sz w:val="32"/>
          <w:szCs w:val="32"/>
        </w:rPr>
        <w:t>现将主要工作开展情况报告如下。</w:t>
      </w:r>
    </w:p>
    <w:p>
      <w:pPr>
        <w:overflowPunct w:val="0"/>
        <w:spacing w:line="576" w:lineRule="exact"/>
        <w:ind w:firstLine="640" w:firstLineChars="200"/>
        <w:rPr>
          <w:rFonts w:ascii="黑体" w:hAnsi="黑体" w:eastAsia="黑体" w:cs="楷体"/>
          <w:bCs/>
          <w:sz w:val="32"/>
          <w:szCs w:val="32"/>
        </w:rPr>
      </w:pPr>
      <w:r>
        <w:rPr>
          <w:rFonts w:hint="eastAsia" w:ascii="黑体" w:hAnsi="黑体" w:eastAsia="黑体" w:cs="楷体"/>
          <w:bCs/>
          <w:sz w:val="32"/>
          <w:szCs w:val="32"/>
        </w:rPr>
        <w:t>一、主要工作开展情况</w:t>
      </w:r>
    </w:p>
    <w:p>
      <w:pPr>
        <w:overflowPunct w:val="0"/>
        <w:spacing w:line="576" w:lineRule="exact"/>
        <w:ind w:firstLine="640" w:firstLineChars="200"/>
        <w:rPr>
          <w:rFonts w:ascii="仿宋_GB2312" w:hAnsi="宋体" w:eastAsia="仿宋_GB2312" w:cs="仿宋_GB2312"/>
          <w:bCs/>
          <w:sz w:val="32"/>
          <w:szCs w:val="32"/>
        </w:rPr>
      </w:pPr>
      <w:r>
        <w:rPr>
          <w:rFonts w:hint="eastAsia" w:ascii="楷体_GB2312" w:hAnsi="黑体" w:eastAsia="楷体_GB2312" w:cs="仿宋_GB2312"/>
          <w:bCs/>
          <w:color w:val="000000"/>
          <w:kern w:val="0"/>
          <w:sz w:val="32"/>
          <w:szCs w:val="32"/>
        </w:rPr>
        <w:t>（一）以“政治监督”为首责，坚定不移排障保畅。</w:t>
      </w:r>
      <w:r>
        <w:rPr>
          <w:rFonts w:hint="eastAsia" w:ascii="仿宋_GB2312" w:hAnsi="宋体" w:eastAsia="仿宋_GB2312"/>
          <w:sz w:val="32"/>
          <w:szCs w:val="32"/>
        </w:rPr>
        <w:t>旗帜鲜明讲政治，自觉树牢“四个意识”，坚定“四个自信”，做到“两个维护”。</w:t>
      </w:r>
      <w:r>
        <w:rPr>
          <w:rFonts w:hint="eastAsia" w:ascii="楷体" w:hAnsi="楷体" w:eastAsia="楷体"/>
          <w:sz w:val="32"/>
          <w:szCs w:val="32"/>
        </w:rPr>
        <w:t>一是实行清单管理“压责任”</w:t>
      </w:r>
      <w:r>
        <w:rPr>
          <w:rFonts w:hint="eastAsia" w:ascii="仿宋_GB2312" w:hAnsi="宋体" w:eastAsia="仿宋_GB2312"/>
          <w:sz w:val="32"/>
          <w:szCs w:val="32"/>
        </w:rPr>
        <w:t>。出台《关于持续巩固良好政治生态的决定》《关于推进2020年全面从严治党、党风廉政建设和反腐败工作的意见》，创新推行“一单一提一督”加强同级监督，</w:t>
      </w:r>
      <w:r>
        <w:rPr>
          <w:rFonts w:hint="eastAsia" w:ascii="仿宋_GB2312" w:eastAsia="仿宋_GB2312"/>
          <w:bCs/>
          <w:sz w:val="32"/>
          <w:szCs w:val="32"/>
        </w:rPr>
        <w:t>在</w:t>
      </w:r>
      <w:r>
        <w:rPr>
          <w:rFonts w:ascii="仿宋_GB2312" w:eastAsia="仿宋_GB2312"/>
          <w:bCs/>
          <w:sz w:val="32"/>
          <w:szCs w:val="32"/>
        </w:rPr>
        <w:t>12</w:t>
      </w:r>
      <w:r>
        <w:rPr>
          <w:rFonts w:hint="eastAsia" w:ascii="仿宋_GB2312" w:eastAsia="仿宋_GB2312"/>
          <w:bCs/>
          <w:sz w:val="32"/>
          <w:szCs w:val="32"/>
        </w:rPr>
        <w:t>个乡镇、</w:t>
      </w:r>
      <w:r>
        <w:rPr>
          <w:rFonts w:ascii="仿宋_GB2312" w:eastAsia="仿宋_GB2312"/>
          <w:bCs/>
          <w:sz w:val="32"/>
          <w:szCs w:val="32"/>
        </w:rPr>
        <w:t>75</w:t>
      </w:r>
      <w:r>
        <w:rPr>
          <w:rFonts w:hint="eastAsia" w:ascii="仿宋_GB2312" w:eastAsia="仿宋_GB2312"/>
          <w:bCs/>
          <w:sz w:val="32"/>
          <w:szCs w:val="32"/>
        </w:rPr>
        <w:t>个部门分层分类建立“三张清单”，全覆盖开展政治生态评估，管党治党政治责任进一步压紧压实。</w:t>
      </w:r>
      <w:r>
        <w:rPr>
          <w:rFonts w:hint="eastAsia" w:ascii="楷体" w:hAnsi="楷体" w:eastAsia="楷体"/>
          <w:bCs/>
          <w:sz w:val="32"/>
          <w:szCs w:val="32"/>
        </w:rPr>
        <w:t>二是聚焦中心大局“强监督”</w:t>
      </w:r>
      <w:r>
        <w:rPr>
          <w:rFonts w:hint="eastAsia" w:ascii="仿宋_GB2312" w:eastAsia="仿宋_GB2312"/>
          <w:bCs/>
          <w:sz w:val="32"/>
          <w:szCs w:val="32"/>
        </w:rPr>
        <w:t>。</w:t>
      </w:r>
      <w:r>
        <w:rPr>
          <w:rFonts w:hint="eastAsia" w:ascii="仿宋_GB2312" w:hAnsi="宋体" w:eastAsia="仿宋_GB2312" w:cs="仿宋_GB2312"/>
          <w:bCs/>
          <w:sz w:val="32"/>
          <w:szCs w:val="32"/>
        </w:rPr>
        <w:t>始终坚持围绕中心大局跟进监督、全程监督、精准监督，统筹开展疫情防控、脱贫攻坚、天府旅游名县创建、村（社区）“两委”换届等监督检查100余批次，下发督战通报16期，立案查处违反政治纪律案件1件1人、20余名党员干部因落实上级决策部署不力被问责。</w:t>
      </w:r>
      <w:r>
        <w:rPr>
          <w:rFonts w:hint="eastAsia" w:ascii="楷体" w:hAnsi="楷体" w:eastAsia="楷体" w:cs="仿宋_GB2312"/>
          <w:bCs/>
          <w:sz w:val="32"/>
          <w:szCs w:val="32"/>
        </w:rPr>
        <w:t>三是紧盯巡视巡察“严整改”</w:t>
      </w:r>
      <w:r>
        <w:rPr>
          <w:rFonts w:hint="eastAsia" w:ascii="仿宋_GB2312" w:hAnsi="宋体" w:eastAsia="仿宋_GB2312" w:cs="仿宋_GB2312"/>
          <w:bCs/>
          <w:sz w:val="32"/>
          <w:szCs w:val="32"/>
        </w:rPr>
        <w:t>。分</w:t>
      </w:r>
      <w:r>
        <w:rPr>
          <w:rFonts w:ascii="仿宋_GB2312" w:hAnsi="宋体" w:eastAsia="仿宋_GB2312" w:cs="仿宋_GB2312"/>
          <w:bCs/>
          <w:sz w:val="32"/>
          <w:szCs w:val="32"/>
        </w:rPr>
        <w:t>3</w:t>
      </w:r>
      <w:r>
        <w:rPr>
          <w:rFonts w:hint="eastAsia" w:ascii="仿宋_GB2312" w:hAnsi="宋体" w:eastAsia="仿宋_GB2312" w:cs="仿宋_GB2312"/>
          <w:bCs/>
          <w:sz w:val="32"/>
          <w:szCs w:val="32"/>
        </w:rPr>
        <w:t>轮次对巡视反馈问题整改情况进行全覆盖抽查，督促反馈问题按期整改到位；完成省委巡视问题整改</w:t>
      </w:r>
      <w:r>
        <w:rPr>
          <w:rFonts w:ascii="仿宋_GB2312" w:hAnsi="宋体" w:eastAsia="仿宋_GB2312" w:cs="仿宋_GB2312"/>
          <w:bCs/>
          <w:sz w:val="32"/>
          <w:szCs w:val="32"/>
        </w:rPr>
        <w:t>1</w:t>
      </w:r>
      <w:r>
        <w:rPr>
          <w:rFonts w:hint="eastAsia" w:ascii="仿宋_GB2312" w:hAnsi="宋体" w:eastAsia="仿宋_GB2312" w:cs="仿宋_GB2312"/>
          <w:bCs/>
          <w:sz w:val="32"/>
          <w:szCs w:val="32"/>
        </w:rPr>
        <w:t>9个，阶段性完成问题整改2个，核实移交信访件</w:t>
      </w:r>
      <w:r>
        <w:rPr>
          <w:rFonts w:ascii="仿宋_GB2312" w:hAnsi="宋体" w:eastAsia="仿宋_GB2312" w:cs="仿宋_GB2312"/>
          <w:bCs/>
          <w:sz w:val="32"/>
          <w:szCs w:val="32"/>
        </w:rPr>
        <w:t>26</w:t>
      </w:r>
      <w:r>
        <w:rPr>
          <w:rFonts w:hint="eastAsia" w:ascii="仿宋_GB2312" w:hAnsi="宋体" w:eastAsia="仿宋_GB2312" w:cs="仿宋_GB2312"/>
          <w:bCs/>
          <w:sz w:val="32"/>
          <w:szCs w:val="32"/>
        </w:rPr>
        <w:t>件，立案</w:t>
      </w:r>
      <w:r>
        <w:rPr>
          <w:rFonts w:ascii="仿宋_GB2312" w:hAnsi="宋体" w:eastAsia="仿宋_GB2312" w:cs="仿宋_GB2312"/>
          <w:bCs/>
          <w:sz w:val="32"/>
          <w:szCs w:val="32"/>
        </w:rPr>
        <w:t>5</w:t>
      </w:r>
      <w:r>
        <w:rPr>
          <w:rFonts w:hint="eastAsia" w:ascii="仿宋_GB2312" w:hAnsi="宋体" w:eastAsia="仿宋_GB2312" w:cs="仿宋_GB2312"/>
          <w:bCs/>
          <w:sz w:val="32"/>
          <w:szCs w:val="32"/>
        </w:rPr>
        <w:t>件</w:t>
      </w:r>
      <w:r>
        <w:rPr>
          <w:rFonts w:ascii="仿宋_GB2312" w:hAnsi="宋体" w:eastAsia="仿宋_GB2312" w:cs="仿宋_GB2312"/>
          <w:bCs/>
          <w:sz w:val="32"/>
          <w:szCs w:val="32"/>
        </w:rPr>
        <w:t>5</w:t>
      </w:r>
      <w:r>
        <w:rPr>
          <w:rFonts w:hint="eastAsia" w:ascii="仿宋_GB2312" w:hAnsi="宋体" w:eastAsia="仿宋_GB2312" w:cs="仿宋_GB2312"/>
          <w:bCs/>
          <w:sz w:val="32"/>
          <w:szCs w:val="32"/>
        </w:rPr>
        <w:t>人，给予党纪政务处分</w:t>
      </w:r>
      <w:r>
        <w:rPr>
          <w:rFonts w:ascii="仿宋_GB2312" w:hAnsi="宋体" w:eastAsia="仿宋_GB2312" w:cs="仿宋_GB2312"/>
          <w:bCs/>
          <w:sz w:val="32"/>
          <w:szCs w:val="32"/>
        </w:rPr>
        <w:t>5</w:t>
      </w:r>
      <w:r>
        <w:rPr>
          <w:rFonts w:hint="eastAsia" w:ascii="仿宋_GB2312" w:hAnsi="宋体" w:eastAsia="仿宋_GB2312" w:cs="仿宋_GB2312"/>
          <w:bCs/>
          <w:sz w:val="32"/>
          <w:szCs w:val="32"/>
        </w:rPr>
        <w:t>人，组织处理</w:t>
      </w:r>
      <w:r>
        <w:rPr>
          <w:rFonts w:ascii="仿宋_GB2312" w:hAnsi="宋体" w:eastAsia="仿宋_GB2312" w:cs="仿宋_GB2312"/>
          <w:bCs/>
          <w:sz w:val="32"/>
          <w:szCs w:val="32"/>
        </w:rPr>
        <w:t>5</w:t>
      </w:r>
      <w:r>
        <w:rPr>
          <w:rFonts w:hint="eastAsia" w:ascii="仿宋_GB2312" w:hAnsi="宋体" w:eastAsia="仿宋_GB2312" w:cs="仿宋_GB2312"/>
          <w:bCs/>
          <w:sz w:val="32"/>
          <w:szCs w:val="32"/>
        </w:rPr>
        <w:t>人；完成七届区委第八轮政治巡察，发现问题119个，移送线索3条，正在开展第九轮巡察，提前完成一届任期内巡察全覆盖，利剑作用不断彰显。</w:t>
      </w:r>
    </w:p>
    <w:p>
      <w:pPr>
        <w:overflowPunct w:val="0"/>
        <w:spacing w:line="576" w:lineRule="exact"/>
        <w:ind w:firstLine="640" w:firstLineChars="200"/>
        <w:rPr>
          <w:rFonts w:ascii="仿宋_GB2312" w:hAnsi="宋体" w:eastAsia="仿宋_GB2312" w:cs="仿宋_GB2312"/>
          <w:bCs/>
          <w:sz w:val="32"/>
          <w:szCs w:val="32"/>
        </w:rPr>
      </w:pPr>
      <w:r>
        <w:rPr>
          <w:rFonts w:hint="eastAsia" w:ascii="楷体_GB2312" w:hAnsi="黑体" w:eastAsia="楷体_GB2312" w:cs="仿宋_GB2312"/>
          <w:bCs/>
          <w:color w:val="000000"/>
          <w:kern w:val="0"/>
          <w:sz w:val="32"/>
          <w:szCs w:val="32"/>
        </w:rPr>
        <w:t>（二）以“改革创新”为</w:t>
      </w:r>
      <w:r>
        <w:rPr>
          <w:rFonts w:hint="eastAsia" w:ascii="楷体_GB2312" w:hAnsi="黑体" w:eastAsia="楷体_GB2312" w:cs="仿宋_GB2312"/>
          <w:bCs/>
          <w:color w:val="000000"/>
          <w:kern w:val="0"/>
          <w:sz w:val="32"/>
          <w:szCs w:val="32"/>
          <w:lang w:eastAsia="zh-CN"/>
        </w:rPr>
        <w:t>驱动</w:t>
      </w:r>
      <w:r>
        <w:rPr>
          <w:rFonts w:hint="eastAsia" w:ascii="楷体_GB2312" w:hAnsi="黑体" w:eastAsia="楷体_GB2312" w:cs="仿宋_GB2312"/>
          <w:bCs/>
          <w:color w:val="000000"/>
          <w:kern w:val="0"/>
          <w:sz w:val="32"/>
          <w:szCs w:val="32"/>
        </w:rPr>
        <w:t>，全面提升监督质效。</w:t>
      </w:r>
      <w:r>
        <w:rPr>
          <w:rFonts w:hint="eastAsia" w:ascii="仿宋_GB2312" w:hAnsi="宋体" w:eastAsia="仿宋_GB2312" w:cs="仿宋_GB2312"/>
          <w:bCs/>
          <w:sz w:val="32"/>
          <w:szCs w:val="32"/>
        </w:rPr>
        <w:t>以全市“4321”精准监督为执纪模版，健全完善基层监督体系，不断推进基层治理体系和治理能力现代化。</w:t>
      </w:r>
      <w:r>
        <w:rPr>
          <w:rFonts w:hint="eastAsia" w:ascii="楷体" w:hAnsi="楷体" w:eastAsia="楷体" w:cs="仿宋_GB2312"/>
          <w:bCs/>
          <w:sz w:val="32"/>
          <w:szCs w:val="32"/>
        </w:rPr>
        <w:t>一是深化“三项改革”</w:t>
      </w:r>
      <w:r>
        <w:rPr>
          <w:rFonts w:hint="eastAsia" w:ascii="仿宋_GB2312" w:hAnsi="宋体" w:eastAsia="仿宋_GB2312" w:cs="仿宋_GB2312"/>
          <w:bCs/>
          <w:sz w:val="32"/>
          <w:szCs w:val="32"/>
        </w:rPr>
        <w:t>。扎实做好乡镇行政区划调整和村建制改革调整后“四职合一”，选优配强村级纪检组织；持续深化派驻（出）机构改革，优化派驻纪检监察机构队伍建设，不断加强统一管理，提升干部履职能力，派的“优势”和驻的“权威”充分发挥；调整设置3个派出乡镇片区纪检监察组，</w:t>
      </w:r>
      <w:r>
        <w:rPr>
          <w:rFonts w:hint="eastAsia" w:ascii="仿宋_GB2312" w:hAnsi="Times New Roman" w:eastAsia="仿宋_GB2312"/>
          <w:sz w:val="32"/>
          <w:szCs w:val="32"/>
        </w:rPr>
        <w:t>积极构建起片区协同、联动发力的良好格局。</w:t>
      </w:r>
      <w:r>
        <w:rPr>
          <w:rFonts w:hint="eastAsia" w:ascii="楷体" w:hAnsi="楷体" w:eastAsia="楷体"/>
          <w:sz w:val="32"/>
          <w:szCs w:val="32"/>
        </w:rPr>
        <w:t>二是创新“三个模式”</w:t>
      </w:r>
      <w:r>
        <w:rPr>
          <w:rFonts w:hint="eastAsia" w:ascii="仿宋_GB2312" w:hAnsi="Times New Roman" w:eastAsia="仿宋_GB2312"/>
          <w:sz w:val="32"/>
          <w:szCs w:val="32"/>
        </w:rPr>
        <w:t>。创新推行村级监督“344”模式，</w:t>
      </w:r>
      <w:r>
        <w:rPr>
          <w:rFonts w:hint="eastAsia" w:ascii="仿宋_GB2312" w:eastAsia="仿宋_GB2312"/>
          <w:bCs/>
          <w:sz w:val="32"/>
          <w:szCs w:val="32"/>
        </w:rPr>
        <w:t>在朝天镇、李家镇、中子镇等乡镇率先试点基础上并全区推广，切实规范村级权力运行，推动全面从严治党向基层延伸，打通了村级监督“最后一米”；创新推行“一站二督三保障”模式，</w:t>
      </w:r>
      <w:r>
        <w:rPr>
          <w:rFonts w:hint="eastAsia" w:ascii="仿宋_GB2312" w:hAnsi="宋体" w:eastAsia="仿宋_GB2312" w:cs="仿宋_GB2312"/>
          <w:bCs/>
          <w:sz w:val="32"/>
          <w:szCs w:val="32"/>
        </w:rPr>
        <w:t>选聘</w:t>
      </w:r>
      <w:r>
        <w:rPr>
          <w:rFonts w:ascii="仿宋_GB2312" w:hAnsi="宋体" w:eastAsia="仿宋_GB2312" w:cs="仿宋_GB2312"/>
          <w:bCs/>
          <w:sz w:val="32"/>
          <w:szCs w:val="32"/>
        </w:rPr>
        <w:t>40</w:t>
      </w:r>
      <w:r>
        <w:rPr>
          <w:rFonts w:hint="eastAsia" w:ascii="仿宋_GB2312" w:hAnsi="宋体" w:eastAsia="仿宋_GB2312" w:cs="仿宋_GB2312"/>
          <w:bCs/>
          <w:sz w:val="32"/>
          <w:szCs w:val="32"/>
        </w:rPr>
        <w:t>余名营商环境监督员，一对一服务企业，累计开展监督服务30余批次，为企业解决问题40个，营商环境持续优化；创新推行“</w:t>
      </w:r>
      <w:r>
        <w:rPr>
          <w:rFonts w:ascii="仿宋_GB2312" w:hAnsi="宋体" w:eastAsia="仿宋_GB2312" w:cs="仿宋_GB2312"/>
          <w:bCs/>
          <w:sz w:val="32"/>
          <w:szCs w:val="32"/>
        </w:rPr>
        <w:t>1+12+139</w:t>
      </w:r>
      <w:r>
        <w:rPr>
          <w:rFonts w:hint="eastAsia" w:ascii="仿宋_GB2312" w:hAnsi="宋体" w:eastAsia="仿宋_GB2312" w:cs="仿宋_GB2312"/>
          <w:bCs/>
          <w:sz w:val="32"/>
          <w:szCs w:val="32"/>
        </w:rPr>
        <w:t>”督战模式，充分发挥脱贫攻坚督战队和纪检监察小分队作用，按照“四不两直”方式深入一线开展监督检查，督促整改问题160余个。</w:t>
      </w:r>
      <w:r>
        <w:rPr>
          <w:rFonts w:hint="eastAsia" w:ascii="楷体" w:hAnsi="楷体" w:eastAsia="楷体" w:cs="仿宋_GB2312"/>
          <w:bCs/>
          <w:sz w:val="32"/>
          <w:szCs w:val="32"/>
        </w:rPr>
        <w:t>三是拓展“朝天三问”。</w:t>
      </w:r>
      <w:r>
        <w:rPr>
          <w:rFonts w:hint="eastAsia" w:ascii="仿宋_GB2312" w:hAnsi="宋体" w:eastAsia="仿宋_GB2312" w:cs="仿宋_GB2312"/>
          <w:bCs/>
          <w:sz w:val="32"/>
          <w:szCs w:val="32"/>
        </w:rPr>
        <w:t>围绕“问初心在不在、问使命树得牢不牢、问群众满不满意”，不断深化拓展“朝天问政”“百姓问廉”“机关问效”朝天监督“三问”名片，全年共开展“三问”活动16场次，现场澄清或督促整改问题200个，群众满意度达97.5%，工作做法在国家级廉政论坛上作经验交流。</w:t>
      </w:r>
    </w:p>
    <w:p>
      <w:pPr>
        <w:overflowPunct w:val="0"/>
        <w:spacing w:line="576" w:lineRule="exact"/>
        <w:ind w:firstLine="627" w:firstLineChars="196"/>
        <w:rPr>
          <w:rFonts w:ascii="仿宋_GB2312" w:hAnsi="宋体" w:eastAsia="仿宋_GB2312" w:cs="仿宋_GB2312"/>
          <w:bCs/>
          <w:sz w:val="32"/>
          <w:szCs w:val="32"/>
        </w:rPr>
      </w:pPr>
      <w:r>
        <w:rPr>
          <w:rFonts w:hint="eastAsia" w:ascii="楷体_GB2312" w:hAnsi="宋体" w:eastAsia="楷体_GB2312" w:cs="仿宋_GB2312"/>
          <w:bCs/>
          <w:sz w:val="32"/>
          <w:szCs w:val="32"/>
        </w:rPr>
        <w:t>（三）以“系统治理”为抓手，不断巩固政治生态</w:t>
      </w:r>
      <w:r>
        <w:rPr>
          <w:rFonts w:hint="eastAsia" w:ascii="仿宋_GB2312" w:hAnsi="宋体" w:eastAsia="仿宋_GB2312" w:cs="仿宋_GB2312"/>
          <w:bCs/>
          <w:sz w:val="32"/>
          <w:szCs w:val="32"/>
        </w:rPr>
        <w:t>。坚持一个系统一个系统的治理，一个问题一个问题的解决，治理一个巩固一个，最终实现积小胜为大胜。</w:t>
      </w:r>
      <w:r>
        <w:rPr>
          <w:rFonts w:hint="eastAsia" w:ascii="楷体" w:hAnsi="楷体" w:eastAsia="楷体" w:cs="仿宋_GB2312"/>
          <w:bCs/>
          <w:sz w:val="32"/>
          <w:szCs w:val="32"/>
        </w:rPr>
        <w:t>一是“高起点”谋划</w:t>
      </w:r>
      <w:r>
        <w:rPr>
          <w:rFonts w:hint="eastAsia" w:ascii="仿宋_GB2312" w:hAnsi="宋体" w:eastAsia="仿宋_GB2312" w:cs="仿宋_GB2312"/>
          <w:bCs/>
          <w:sz w:val="32"/>
          <w:szCs w:val="32"/>
        </w:rPr>
        <w:t>。年初在深入调研基础上，坚持“区委主导、纪委主推、部门主责”，根据查处的广播“村村响”不响、涉农保险和失地农民社保等问题，率先开展文旅体、农业农村、人社</w:t>
      </w:r>
      <w:r>
        <w:rPr>
          <w:rFonts w:ascii="仿宋_GB2312" w:hAnsi="宋体" w:eastAsia="仿宋_GB2312" w:cs="仿宋_GB2312"/>
          <w:bCs/>
          <w:sz w:val="32"/>
          <w:szCs w:val="32"/>
        </w:rPr>
        <w:t>3</w:t>
      </w:r>
      <w:r>
        <w:rPr>
          <w:rFonts w:hint="eastAsia" w:ascii="仿宋_GB2312" w:hAnsi="宋体" w:eastAsia="仿宋_GB2312" w:cs="仿宋_GB2312"/>
          <w:bCs/>
          <w:sz w:val="32"/>
          <w:szCs w:val="32"/>
        </w:rPr>
        <w:t>个系统治理，</w:t>
      </w:r>
      <w:r>
        <w:rPr>
          <w:rFonts w:ascii="仿宋_GB2312" w:hAnsi="宋体" w:eastAsia="仿宋_GB2312" w:cs="仿宋_GB2312"/>
          <w:bCs/>
          <w:sz w:val="32"/>
          <w:szCs w:val="32"/>
        </w:rPr>
        <w:t>5</w:t>
      </w:r>
      <w:r>
        <w:rPr>
          <w:rFonts w:hint="eastAsia" w:ascii="仿宋_GB2312" w:hAnsi="宋体" w:eastAsia="仿宋_GB2312" w:cs="仿宋_GB2312"/>
          <w:bCs/>
          <w:sz w:val="32"/>
          <w:szCs w:val="32"/>
        </w:rPr>
        <w:t>月结合省市开展的</w:t>
      </w:r>
      <w:r>
        <w:rPr>
          <w:rFonts w:ascii="仿宋_GB2312" w:hAnsi="宋体" w:eastAsia="仿宋_GB2312" w:cs="仿宋_GB2312"/>
          <w:bCs/>
          <w:sz w:val="32"/>
          <w:szCs w:val="32"/>
        </w:rPr>
        <w:t>5</w:t>
      </w:r>
      <w:r>
        <w:rPr>
          <w:rFonts w:hint="eastAsia" w:ascii="仿宋_GB2312" w:hAnsi="宋体" w:eastAsia="仿宋_GB2312" w:cs="仿宋_GB2312"/>
          <w:bCs/>
          <w:sz w:val="32"/>
          <w:szCs w:val="32"/>
        </w:rPr>
        <w:t>大系统治理，形成了朝天“</w:t>
      </w:r>
      <w:r>
        <w:rPr>
          <w:rFonts w:ascii="仿宋_GB2312" w:hAnsi="宋体" w:eastAsia="仿宋_GB2312" w:cs="仿宋_GB2312"/>
          <w:bCs/>
          <w:sz w:val="32"/>
          <w:szCs w:val="32"/>
        </w:rPr>
        <w:t>5+3</w:t>
      </w:r>
      <w:r>
        <w:rPr>
          <w:rFonts w:hint="eastAsia" w:ascii="仿宋_GB2312" w:hAnsi="宋体" w:eastAsia="仿宋_GB2312" w:cs="仿宋_GB2312"/>
          <w:bCs/>
          <w:sz w:val="32"/>
          <w:szCs w:val="32"/>
        </w:rPr>
        <w:t>”系统治理体系。</w:t>
      </w:r>
      <w:r>
        <w:rPr>
          <w:rFonts w:hint="eastAsia" w:ascii="楷体" w:hAnsi="楷体" w:eastAsia="楷体" w:cs="黑体"/>
          <w:bCs/>
          <w:sz w:val="32"/>
          <w:szCs w:val="32"/>
        </w:rPr>
        <w:t>二是“高标准”推进。</w:t>
      </w:r>
      <w:r>
        <w:rPr>
          <w:rFonts w:hint="eastAsia" w:ascii="仿宋_GB2312" w:hAnsi="宋体" w:eastAsia="仿宋_GB2312" w:cs="仿宋_GB2312"/>
          <w:bCs/>
          <w:sz w:val="32"/>
          <w:szCs w:val="32"/>
        </w:rPr>
        <w:t>建立健全纪委监委、政法、公安等部门信息共享、线索统筹、同步核查等机制，逐个单位、逐个项目、逐个线索进行排查，举全区之力对</w:t>
      </w:r>
      <w:r>
        <w:rPr>
          <w:rFonts w:ascii="仿宋_GB2312" w:hAnsi="宋体" w:eastAsia="仿宋_GB2312" w:cs="仿宋_GB2312"/>
          <w:bCs/>
          <w:sz w:val="32"/>
          <w:szCs w:val="32"/>
        </w:rPr>
        <w:t>4</w:t>
      </w:r>
      <w:r>
        <w:rPr>
          <w:rFonts w:hint="eastAsia" w:ascii="仿宋_GB2312" w:hAnsi="宋体" w:eastAsia="仿宋_GB2312" w:cs="仿宋_GB2312"/>
          <w:bCs/>
          <w:sz w:val="32"/>
          <w:szCs w:val="32"/>
        </w:rPr>
        <w:t>个水利项目和</w:t>
      </w:r>
      <w:r>
        <w:rPr>
          <w:rFonts w:ascii="仿宋_GB2312" w:hAnsi="宋体" w:eastAsia="仿宋_GB2312" w:cs="仿宋_GB2312"/>
          <w:bCs/>
          <w:sz w:val="32"/>
          <w:szCs w:val="32"/>
        </w:rPr>
        <w:t>1</w:t>
      </w:r>
      <w:r>
        <w:rPr>
          <w:rFonts w:hint="eastAsia" w:ascii="仿宋_GB2312" w:hAnsi="宋体" w:eastAsia="仿宋_GB2312" w:cs="仿宋_GB2312"/>
          <w:bCs/>
          <w:sz w:val="32"/>
          <w:szCs w:val="32"/>
        </w:rPr>
        <w:t>个交通项目招投标问题进行彻查，立案审查调查</w:t>
      </w:r>
      <w:r>
        <w:rPr>
          <w:rFonts w:ascii="仿宋_GB2312" w:hAnsi="宋体" w:eastAsia="仿宋_GB2312" w:cs="仿宋_GB2312"/>
          <w:bCs/>
          <w:sz w:val="32"/>
          <w:szCs w:val="32"/>
        </w:rPr>
        <w:t>1</w:t>
      </w:r>
      <w:r>
        <w:rPr>
          <w:rFonts w:hint="eastAsia" w:ascii="仿宋_GB2312" w:hAnsi="宋体" w:eastAsia="仿宋_GB2312" w:cs="仿宋_GB2312"/>
          <w:bCs/>
          <w:sz w:val="32"/>
          <w:szCs w:val="32"/>
        </w:rPr>
        <w:t>3件</w:t>
      </w:r>
      <w:r>
        <w:rPr>
          <w:rFonts w:ascii="仿宋_GB2312" w:hAnsi="宋体" w:eastAsia="仿宋_GB2312" w:cs="仿宋_GB2312"/>
          <w:bCs/>
          <w:sz w:val="32"/>
          <w:szCs w:val="32"/>
        </w:rPr>
        <w:t>1</w:t>
      </w:r>
      <w:r>
        <w:rPr>
          <w:rFonts w:hint="eastAsia" w:ascii="仿宋_GB2312" w:hAnsi="宋体" w:eastAsia="仿宋_GB2312" w:cs="仿宋_GB2312"/>
          <w:bCs/>
          <w:sz w:val="32"/>
          <w:szCs w:val="32"/>
        </w:rPr>
        <w:t>3人，联合公安等机关依法打击</w:t>
      </w:r>
      <w:r>
        <w:rPr>
          <w:rFonts w:ascii="仿宋_GB2312" w:hAnsi="宋体" w:eastAsia="仿宋_GB2312" w:cs="仿宋_GB2312"/>
          <w:bCs/>
          <w:sz w:val="32"/>
          <w:szCs w:val="32"/>
        </w:rPr>
        <w:t>5</w:t>
      </w:r>
      <w:r>
        <w:rPr>
          <w:rFonts w:hint="eastAsia" w:ascii="仿宋_GB2312" w:hAnsi="宋体" w:eastAsia="仿宋_GB2312" w:cs="仿宋_GB2312"/>
          <w:bCs/>
          <w:sz w:val="32"/>
          <w:szCs w:val="32"/>
        </w:rPr>
        <w:t>件</w:t>
      </w:r>
      <w:r>
        <w:rPr>
          <w:rFonts w:ascii="仿宋_GB2312" w:hAnsi="宋体" w:eastAsia="仿宋_GB2312" w:cs="仿宋_GB2312"/>
          <w:bCs/>
          <w:sz w:val="32"/>
          <w:szCs w:val="32"/>
        </w:rPr>
        <w:t>13</w:t>
      </w:r>
      <w:r>
        <w:rPr>
          <w:rFonts w:hint="eastAsia" w:ascii="仿宋_GB2312" w:hAnsi="宋体" w:eastAsia="仿宋_GB2312" w:cs="仿宋_GB2312"/>
          <w:bCs/>
          <w:sz w:val="32"/>
          <w:szCs w:val="32"/>
        </w:rPr>
        <w:t>人，约谈工作推动不力、成效不显的单位</w:t>
      </w:r>
      <w:r>
        <w:rPr>
          <w:rFonts w:ascii="仿宋_GB2312" w:hAnsi="宋体" w:eastAsia="仿宋_GB2312" w:cs="仿宋_GB2312"/>
          <w:bCs/>
          <w:sz w:val="32"/>
          <w:szCs w:val="32"/>
        </w:rPr>
        <w:t>6</w:t>
      </w:r>
      <w:r>
        <w:rPr>
          <w:rFonts w:hint="eastAsia" w:ascii="仿宋_GB2312" w:hAnsi="宋体" w:eastAsia="仿宋_GB2312" w:cs="仿宋_GB2312"/>
          <w:bCs/>
          <w:sz w:val="32"/>
          <w:szCs w:val="32"/>
        </w:rPr>
        <w:t>个，切实解决雨过地皮湿、治理一阵风等问题。工作经验材料《工程招投标领域乱象的表现形式及“久治不愈”的原因剖析和对策建议》为全市开展招投标领域突出问题专项整治提供了参考借鉴。</w:t>
      </w:r>
      <w:r>
        <w:rPr>
          <w:rFonts w:hint="eastAsia" w:ascii="楷体" w:hAnsi="楷体" w:eastAsia="楷体" w:cs="仿宋_GB2312"/>
          <w:bCs/>
          <w:sz w:val="32"/>
          <w:szCs w:val="32"/>
        </w:rPr>
        <w:t>三是“高质效”治理</w:t>
      </w:r>
      <w:r>
        <w:rPr>
          <w:rFonts w:hint="eastAsia" w:ascii="楷体_GB2312" w:hAnsi="宋体" w:eastAsia="楷体_GB2312" w:cs="仿宋_GB2312"/>
          <w:bCs/>
          <w:sz w:val="32"/>
          <w:szCs w:val="32"/>
        </w:rPr>
        <w:t>。</w:t>
      </w:r>
      <w:r>
        <w:rPr>
          <w:rFonts w:hint="eastAsia" w:ascii="仿宋_GB2312" w:hAnsi="宋体" w:eastAsia="仿宋_GB2312" w:cs="仿宋_GB2312"/>
          <w:bCs/>
          <w:sz w:val="32"/>
          <w:szCs w:val="32"/>
        </w:rPr>
        <w:t>始终坚持边查边治边改，督促行业主管部门既抓面上问题整改，又针对问题建章立制、堵塞漏洞，统筹联动、综合治理。督促各</w:t>
      </w:r>
      <w:r>
        <w:rPr>
          <w:rFonts w:hint="eastAsia" w:ascii="仿宋_GB2312" w:hAnsi="宋体" w:eastAsia="仿宋_GB2312" w:cs="仿宋_GB2312"/>
          <w:bCs/>
          <w:spacing w:val="-4"/>
          <w:sz w:val="32"/>
          <w:szCs w:val="32"/>
        </w:rPr>
        <w:t>行业主管部门建章立制</w:t>
      </w:r>
      <w:r>
        <w:rPr>
          <w:rFonts w:ascii="仿宋_GB2312" w:hAnsi="宋体" w:eastAsia="仿宋_GB2312" w:cs="仿宋_GB2312"/>
          <w:bCs/>
          <w:spacing w:val="-4"/>
          <w:sz w:val="32"/>
          <w:szCs w:val="32"/>
        </w:rPr>
        <w:t>19</w:t>
      </w:r>
      <w:r>
        <w:rPr>
          <w:rFonts w:hint="eastAsia" w:ascii="仿宋_GB2312" w:hAnsi="宋体" w:eastAsia="仿宋_GB2312" w:cs="仿宋_GB2312"/>
          <w:bCs/>
          <w:spacing w:val="-4"/>
          <w:sz w:val="32"/>
          <w:szCs w:val="32"/>
        </w:rPr>
        <w:t>项，开展制度落实情况专项检查</w:t>
      </w:r>
      <w:r>
        <w:rPr>
          <w:rFonts w:ascii="仿宋_GB2312" w:hAnsi="宋体" w:eastAsia="仿宋_GB2312" w:cs="仿宋_GB2312"/>
          <w:bCs/>
          <w:spacing w:val="-4"/>
          <w:sz w:val="32"/>
          <w:szCs w:val="32"/>
        </w:rPr>
        <w:t>2</w:t>
      </w:r>
      <w:r>
        <w:rPr>
          <w:rFonts w:hint="eastAsia" w:ascii="仿宋_GB2312" w:hAnsi="宋体" w:eastAsia="仿宋_GB2312" w:cs="仿宋_GB2312"/>
          <w:bCs/>
          <w:spacing w:val="-4"/>
          <w:sz w:val="32"/>
          <w:szCs w:val="32"/>
        </w:rPr>
        <w:t>场次。</w:t>
      </w:r>
    </w:p>
    <w:p>
      <w:pPr>
        <w:overflowPunct w:val="0"/>
        <w:spacing w:line="576" w:lineRule="exact"/>
        <w:ind w:firstLine="640" w:firstLineChars="200"/>
        <w:rPr>
          <w:rFonts w:ascii="楷体_GB2312" w:eastAsia="楷体_GB2312"/>
          <w:bCs/>
          <w:sz w:val="32"/>
          <w:szCs w:val="32"/>
        </w:rPr>
      </w:pPr>
      <w:r>
        <w:rPr>
          <w:rFonts w:hint="eastAsia" w:ascii="楷体_GB2312" w:hAnsi="黑体" w:eastAsia="楷体_GB2312" w:cs="仿宋_GB2312"/>
          <w:bCs/>
          <w:color w:val="000000"/>
          <w:kern w:val="0"/>
          <w:sz w:val="32"/>
          <w:szCs w:val="32"/>
        </w:rPr>
        <w:t>（四）以“群众满意”为目标，持续深化正风肃纪。</w:t>
      </w:r>
      <w:r>
        <w:rPr>
          <w:rFonts w:hint="eastAsia" w:ascii="仿宋_GB2312" w:hAnsi="宋体" w:eastAsia="仿宋_GB2312" w:cs="仿宋_GB2312"/>
          <w:bCs/>
          <w:sz w:val="32"/>
          <w:szCs w:val="32"/>
        </w:rPr>
        <w:t>深入开展“作风纪律巩固年”活动，以全方位立体化、关键时关键处、不间断持续化的监督，</w:t>
      </w:r>
      <w:r>
        <w:rPr>
          <w:rFonts w:hint="eastAsia" w:ascii="仿宋_GB2312" w:hAnsi="宋体" w:eastAsia="仿宋_GB2312" w:cs="仿宋_GB2312"/>
          <w:bCs/>
          <w:sz w:val="32"/>
          <w:szCs w:val="32"/>
          <w:lang w:eastAsia="zh-CN"/>
        </w:rPr>
        <w:t>驰而不息</w:t>
      </w:r>
      <w:r>
        <w:rPr>
          <w:rFonts w:hint="eastAsia" w:ascii="仿宋_GB2312" w:hAnsi="宋体" w:eastAsia="仿宋_GB2312" w:cs="仿宋_GB2312"/>
          <w:bCs/>
          <w:sz w:val="32"/>
          <w:szCs w:val="32"/>
        </w:rPr>
        <w:t>纠“四风”树新风，不断提升党风廉政建设社会满意度。</w:t>
      </w:r>
      <w:r>
        <w:rPr>
          <w:rFonts w:hint="eastAsia" w:ascii="楷体" w:hAnsi="楷体" w:eastAsia="楷体" w:cs="仿宋_GB2312"/>
          <w:bCs/>
          <w:sz w:val="32"/>
          <w:szCs w:val="32"/>
        </w:rPr>
        <w:t>一是深入开展联合整治</w:t>
      </w:r>
      <w:r>
        <w:rPr>
          <w:rFonts w:hint="eastAsia" w:ascii="仿宋_GB2312" w:hAnsi="宋体" w:eastAsia="仿宋_GB2312" w:cs="仿宋_GB2312"/>
          <w:bCs/>
          <w:sz w:val="32"/>
          <w:szCs w:val="32"/>
        </w:rPr>
        <w:t>。</w:t>
      </w:r>
      <w:r>
        <w:rPr>
          <w:rFonts w:hint="eastAsia" w:ascii="仿宋_GB2312" w:hAnsi="黑体" w:eastAsia="仿宋_GB2312"/>
          <w:bCs/>
          <w:sz w:val="32"/>
          <w:szCs w:val="32"/>
        </w:rPr>
        <w:t>会同审计、财政、民政等部门召开正风肃纪联席会议</w:t>
      </w:r>
      <w:r>
        <w:rPr>
          <w:rFonts w:ascii="仿宋_GB2312" w:hAnsi="黑体" w:eastAsia="仿宋_GB2312"/>
          <w:bCs/>
          <w:sz w:val="32"/>
          <w:szCs w:val="32"/>
        </w:rPr>
        <w:t>8</w:t>
      </w:r>
      <w:r>
        <w:rPr>
          <w:rFonts w:hint="eastAsia" w:ascii="仿宋_GB2312" w:hAnsi="黑体" w:eastAsia="仿宋_GB2312"/>
          <w:bCs/>
          <w:sz w:val="32"/>
          <w:szCs w:val="32"/>
        </w:rPr>
        <w:t>次，统筹</w:t>
      </w:r>
      <w:r>
        <w:rPr>
          <w:rFonts w:hint="eastAsia" w:ascii="仿宋_GB2312" w:hAnsi="宋体" w:eastAsia="仿宋_GB2312" w:cs="仿宋_GB2312"/>
          <w:bCs/>
          <w:sz w:val="32"/>
          <w:szCs w:val="32"/>
        </w:rPr>
        <w:t>开展中央八项规定精神落实、制止餐饮浪费监督检查</w:t>
      </w:r>
      <w:r>
        <w:rPr>
          <w:rFonts w:ascii="仿宋_GB2312" w:hAnsi="宋体" w:eastAsia="仿宋_GB2312" w:cs="仿宋_GB2312"/>
          <w:bCs/>
          <w:sz w:val="32"/>
          <w:szCs w:val="32"/>
        </w:rPr>
        <w:t>7</w:t>
      </w:r>
      <w:r>
        <w:rPr>
          <w:rFonts w:hint="eastAsia" w:ascii="仿宋_GB2312" w:hAnsi="宋体" w:eastAsia="仿宋_GB2312" w:cs="仿宋_GB2312"/>
          <w:bCs/>
          <w:sz w:val="32"/>
          <w:szCs w:val="32"/>
        </w:rPr>
        <w:t>批次，发现整改问题</w:t>
      </w:r>
      <w:r>
        <w:rPr>
          <w:rFonts w:ascii="仿宋_GB2312" w:hAnsi="宋体" w:eastAsia="仿宋_GB2312" w:cs="仿宋_GB2312"/>
          <w:bCs/>
          <w:sz w:val="32"/>
          <w:szCs w:val="32"/>
        </w:rPr>
        <w:t>50</w:t>
      </w:r>
      <w:r>
        <w:rPr>
          <w:rFonts w:hint="eastAsia" w:ascii="仿宋_GB2312" w:hAnsi="宋体" w:eastAsia="仿宋_GB2312" w:cs="仿宋_GB2312"/>
          <w:bCs/>
          <w:sz w:val="32"/>
          <w:szCs w:val="32"/>
        </w:rPr>
        <w:t>余个，发放厉行节约倡议书</w:t>
      </w:r>
      <w:r>
        <w:rPr>
          <w:rFonts w:ascii="仿宋_GB2312" w:hAnsi="宋体" w:eastAsia="仿宋_GB2312" w:cs="仿宋_GB2312"/>
          <w:bCs/>
          <w:sz w:val="32"/>
          <w:szCs w:val="32"/>
        </w:rPr>
        <w:t>5000</w:t>
      </w:r>
      <w:r>
        <w:rPr>
          <w:rFonts w:hint="eastAsia" w:ascii="仿宋_GB2312" w:hAnsi="宋体" w:eastAsia="仿宋_GB2312" w:cs="仿宋_GB2312"/>
          <w:bCs/>
          <w:sz w:val="32"/>
          <w:szCs w:val="32"/>
        </w:rPr>
        <w:t>余份，查处违反中央八项规定精神问题23起、处理29人、处分18人</w:t>
      </w:r>
      <w:r>
        <w:rPr>
          <w:rFonts w:hint="eastAsia" w:ascii="仿宋_GB2312" w:hAnsi="黑体" w:eastAsia="仿宋_GB2312"/>
          <w:bCs/>
          <w:sz w:val="32"/>
          <w:szCs w:val="32"/>
        </w:rPr>
        <w:t>，查处形式主义官僚主义问题20起、</w:t>
      </w:r>
      <w:r>
        <w:rPr>
          <w:rFonts w:hint="eastAsia" w:ascii="仿宋_GB2312" w:hAnsi="宋体" w:eastAsia="仿宋_GB2312" w:cs="仿宋_GB2312"/>
          <w:bCs/>
          <w:sz w:val="32"/>
          <w:szCs w:val="32"/>
        </w:rPr>
        <w:t>处理26人、处分15人</w:t>
      </w:r>
      <w:r>
        <w:rPr>
          <w:rFonts w:hint="eastAsia" w:ascii="仿宋_GB2312" w:hAnsi="黑体" w:eastAsia="仿宋_GB2312"/>
          <w:bCs/>
          <w:sz w:val="32"/>
          <w:szCs w:val="32"/>
        </w:rPr>
        <w:t>；</w:t>
      </w:r>
      <w:r>
        <w:rPr>
          <w:rFonts w:hint="eastAsia" w:ascii="仿宋_GB2312" w:eastAsia="仿宋_GB2312"/>
          <w:bCs/>
          <w:sz w:val="32"/>
          <w:szCs w:val="32"/>
        </w:rPr>
        <w:t>从严从实抓好</w:t>
      </w:r>
      <w:r>
        <w:rPr>
          <w:rFonts w:hint="eastAsia" w:ascii="仿宋_GB2312" w:hAnsi="宋体" w:eastAsia="仿宋_GB2312" w:cs="仿宋_GB2312"/>
          <w:bCs/>
          <w:sz w:val="32"/>
          <w:szCs w:val="32"/>
        </w:rPr>
        <w:t>省、市纪委正风肃纪专项督查反馈问题整改，坚决做到“三个第一、一个同步”，第一时间认领、第一时间核查、第一时间</w:t>
      </w:r>
      <w:r>
        <w:rPr>
          <w:rFonts w:hint="eastAsia" w:ascii="仿宋_GB2312" w:hAnsi="宋体" w:eastAsia="仿宋_GB2312" w:cs="仿宋_GB2312"/>
          <w:bCs/>
          <w:color w:val="000000"/>
          <w:sz w:val="32"/>
          <w:szCs w:val="32"/>
        </w:rPr>
        <w:t>汇报，同步开展举一反三，得到省市纪委监委相关领导充分认可。</w:t>
      </w:r>
      <w:r>
        <w:rPr>
          <w:rFonts w:hint="eastAsia" w:ascii="楷体" w:hAnsi="楷体" w:eastAsia="楷体" w:cs="仿宋_GB2312"/>
          <w:bCs/>
          <w:color w:val="000000"/>
          <w:sz w:val="32"/>
          <w:szCs w:val="32"/>
        </w:rPr>
        <w:t>二是</w:t>
      </w:r>
      <w:r>
        <w:rPr>
          <w:rFonts w:hint="eastAsia" w:ascii="楷体" w:hAnsi="楷体" w:eastAsia="楷体"/>
          <w:bCs/>
          <w:sz w:val="32"/>
          <w:szCs w:val="32"/>
        </w:rPr>
        <w:t>深入开展漠视侵害群众利益专项整治</w:t>
      </w:r>
      <w:r>
        <w:rPr>
          <w:rFonts w:hint="eastAsia" w:ascii="仿宋_GB2312" w:hAnsi="黑体" w:eastAsia="仿宋_GB2312"/>
          <w:bCs/>
          <w:sz w:val="32"/>
          <w:szCs w:val="32"/>
        </w:rPr>
        <w:t>。持续开展民生领域问题大整治、信访矛盾纠纷大化解、惠农政策大宣讲“三大活动”，</w:t>
      </w:r>
      <w:r>
        <w:rPr>
          <w:rFonts w:hint="eastAsia" w:ascii="仿宋_GB2312" w:hAnsi="仿宋_GB2312" w:eastAsia="仿宋_GB2312" w:cs="仿宋_GB2312"/>
          <w:bCs/>
          <w:sz w:val="32"/>
          <w:szCs w:val="32"/>
        </w:rPr>
        <w:t>收集各类问题</w:t>
      </w:r>
      <w:r>
        <w:rPr>
          <w:rFonts w:ascii="仿宋_GB2312" w:hAnsi="仿宋_GB2312" w:eastAsia="仿宋_GB2312" w:cs="仿宋_GB2312"/>
          <w:bCs/>
          <w:sz w:val="32"/>
          <w:szCs w:val="32"/>
        </w:rPr>
        <w:t>570</w:t>
      </w:r>
      <w:r>
        <w:rPr>
          <w:rFonts w:hint="eastAsia" w:ascii="仿宋_GB2312" w:hAnsi="仿宋_GB2312" w:eastAsia="仿宋_GB2312" w:cs="仿宋_GB2312"/>
          <w:bCs/>
          <w:sz w:val="32"/>
          <w:szCs w:val="32"/>
        </w:rPr>
        <w:t>余个，受理化解各类信访举报</w:t>
      </w:r>
      <w:r>
        <w:rPr>
          <w:rFonts w:ascii="仿宋_GB2312" w:hAnsi="仿宋_GB2312" w:eastAsia="仿宋_GB2312" w:cs="仿宋_GB2312"/>
          <w:bCs/>
          <w:sz w:val="32"/>
          <w:szCs w:val="32"/>
        </w:rPr>
        <w:t>221</w:t>
      </w:r>
      <w:r>
        <w:rPr>
          <w:rFonts w:hint="eastAsia" w:ascii="仿宋_GB2312" w:hAnsi="仿宋_GB2312" w:eastAsia="仿宋_GB2312" w:cs="仿宋_GB2312"/>
          <w:bCs/>
          <w:sz w:val="32"/>
          <w:szCs w:val="32"/>
        </w:rPr>
        <w:t>件次，立案查处2件2人。</w:t>
      </w:r>
      <w:r>
        <w:rPr>
          <w:rFonts w:hint="eastAsia" w:ascii="楷体" w:hAnsi="楷体" w:eastAsia="楷体"/>
          <w:bCs/>
          <w:sz w:val="32"/>
          <w:szCs w:val="32"/>
        </w:rPr>
        <w:t>三是深入开展“新四股歪风”整治。</w:t>
      </w:r>
      <w:r>
        <w:rPr>
          <w:rFonts w:hint="eastAsia" w:ascii="仿宋_GB2312" w:eastAsia="仿宋_GB2312"/>
          <w:bCs/>
          <w:sz w:val="32"/>
          <w:szCs w:val="32"/>
        </w:rPr>
        <w:t>立案查处了区农业农村局部分干部为掩盖违纪违法事实给予敲诈勒索犯罪嫌疑人</w:t>
      </w:r>
      <w:r>
        <w:rPr>
          <w:rFonts w:ascii="仿宋_GB2312" w:eastAsia="仿宋_GB2312"/>
          <w:bCs/>
          <w:sz w:val="32"/>
          <w:szCs w:val="32"/>
        </w:rPr>
        <w:t>2</w:t>
      </w:r>
      <w:r>
        <w:rPr>
          <w:rFonts w:hint="eastAsia" w:ascii="仿宋_GB2312" w:eastAsia="仿宋_GB2312"/>
          <w:bCs/>
          <w:sz w:val="32"/>
          <w:szCs w:val="32"/>
        </w:rPr>
        <w:t>万元予以摆平、云雾山镇贫困户住房安全长期未保障等典型案件</w:t>
      </w:r>
      <w:r>
        <w:rPr>
          <w:rFonts w:ascii="仿宋_GB2312" w:eastAsia="仿宋_GB2312"/>
          <w:bCs/>
          <w:sz w:val="32"/>
          <w:szCs w:val="32"/>
        </w:rPr>
        <w:t>33</w:t>
      </w:r>
      <w:r>
        <w:rPr>
          <w:rFonts w:hint="eastAsia" w:ascii="仿宋_GB2312" w:eastAsia="仿宋_GB2312"/>
          <w:bCs/>
          <w:sz w:val="32"/>
          <w:szCs w:val="32"/>
        </w:rPr>
        <w:t>件</w:t>
      </w:r>
      <w:r>
        <w:rPr>
          <w:rFonts w:ascii="仿宋_GB2312" w:eastAsia="仿宋_GB2312"/>
          <w:bCs/>
          <w:sz w:val="32"/>
          <w:szCs w:val="32"/>
        </w:rPr>
        <w:t>33</w:t>
      </w:r>
      <w:r>
        <w:rPr>
          <w:rFonts w:hint="eastAsia" w:ascii="仿宋_GB2312" w:eastAsia="仿宋_GB2312"/>
          <w:bCs/>
          <w:sz w:val="32"/>
          <w:szCs w:val="32"/>
        </w:rPr>
        <w:t>人。</w:t>
      </w:r>
    </w:p>
    <w:p>
      <w:pPr>
        <w:overflowPunct w:val="0"/>
        <w:spacing w:line="576" w:lineRule="exact"/>
        <w:ind w:firstLine="640" w:firstLineChars="200"/>
        <w:rPr>
          <w:rFonts w:ascii="楷体_GB2312" w:eastAsia="楷体_GB2312"/>
          <w:bCs/>
          <w:sz w:val="32"/>
          <w:szCs w:val="32"/>
        </w:rPr>
      </w:pPr>
      <w:r>
        <w:rPr>
          <w:rFonts w:hint="eastAsia" w:ascii="楷体_GB2312" w:hAnsi="宋体" w:eastAsia="楷体_GB2312" w:cs="仿宋_GB2312"/>
          <w:bCs/>
          <w:sz w:val="32"/>
          <w:szCs w:val="32"/>
        </w:rPr>
        <w:t>（五）以“不想腐”为根本，一体联动推进“三不”。</w:t>
      </w:r>
      <w:r>
        <w:rPr>
          <w:rFonts w:hint="eastAsia" w:ascii="仿宋_GB2312" w:eastAsia="仿宋_GB2312"/>
          <w:bCs/>
          <w:sz w:val="32"/>
          <w:szCs w:val="32"/>
        </w:rPr>
        <w:t>坚持以不想腐为根本，推动“三不”融会贯通、一体发力。</w:t>
      </w:r>
      <w:r>
        <w:rPr>
          <w:rFonts w:hint="eastAsia" w:ascii="楷体" w:hAnsi="楷体" w:eastAsia="楷体"/>
          <w:bCs/>
          <w:sz w:val="32"/>
          <w:szCs w:val="32"/>
        </w:rPr>
        <w:t>一是正反教育筑防线</w:t>
      </w:r>
      <w:r>
        <w:rPr>
          <w:rFonts w:hint="eastAsia" w:ascii="仿宋_GB2312" w:hAnsi="宋体" w:eastAsia="仿宋_GB2312" w:cs="仿宋_GB2312"/>
          <w:bCs/>
          <w:sz w:val="32"/>
          <w:szCs w:val="32"/>
        </w:rPr>
        <w:t>。倡导“人人都是宣传员”，积极构建大宣教格局，</w:t>
      </w:r>
      <w:r>
        <w:rPr>
          <w:rFonts w:hint="eastAsia" w:ascii="仿宋_GB2312" w:hAnsi="Times New Roman" w:eastAsia="仿宋_GB2312"/>
          <w:bCs/>
          <w:sz w:val="32"/>
          <w:szCs w:val="32"/>
        </w:rPr>
        <w:t>特色亮点工作</w:t>
      </w:r>
      <w:r>
        <w:rPr>
          <w:rFonts w:hint="eastAsia" w:ascii="仿宋_GB2312" w:hAnsi="宋体" w:eastAsia="仿宋_GB2312" w:cs="仿宋_GB2312"/>
          <w:bCs/>
          <w:sz w:val="32"/>
          <w:szCs w:val="32"/>
        </w:rPr>
        <w:t>在中央、省级主流媒体宣传报道213篇，较去年同期增长</w:t>
      </w:r>
      <w:r>
        <w:rPr>
          <w:rFonts w:hint="eastAsia" w:ascii="仿宋_GB2312" w:eastAsia="仿宋_GB2312"/>
          <w:bCs/>
          <w:sz w:val="32"/>
          <w:szCs w:val="32"/>
        </w:rPr>
        <w:t>426</w:t>
      </w:r>
      <w:r>
        <w:rPr>
          <w:rFonts w:ascii="仿宋_GB2312" w:eastAsia="仿宋_GB2312"/>
          <w:bCs/>
          <w:sz w:val="32"/>
          <w:szCs w:val="32"/>
        </w:rPr>
        <w:t>%</w:t>
      </w:r>
      <w:r>
        <w:rPr>
          <w:rFonts w:hint="eastAsia" w:ascii="仿宋_GB2312" w:eastAsia="仿宋_GB2312"/>
          <w:bCs/>
          <w:sz w:val="32"/>
          <w:szCs w:val="32"/>
        </w:rPr>
        <w:t>；发表网评文章68篇，牢牢把握舆论主阵地；深入挖掘麻柳刺绣等朝天特色文化中的廉洁元素，制作《传·承》廉洁微视频1部；充分发挥廉洁大使、特约监察员作用，开展文明家风大宣讲等活动，以家风引领作风，带动政风行风转变；</w:t>
      </w:r>
      <w:r>
        <w:rPr>
          <w:rFonts w:hint="eastAsia" w:ascii="仿宋_GB2312" w:hAnsi="宋体" w:eastAsia="仿宋_GB2312" w:cs="仿宋_GB2312"/>
          <w:bCs/>
          <w:sz w:val="32"/>
          <w:szCs w:val="32"/>
        </w:rPr>
        <w:t>全</w:t>
      </w:r>
      <w:r>
        <w:rPr>
          <w:rFonts w:hint="eastAsia" w:ascii="仿宋_GB2312" w:eastAsia="仿宋_GB2312"/>
          <w:bCs/>
          <w:sz w:val="32"/>
          <w:szCs w:val="32"/>
        </w:rPr>
        <w:t>覆盖开展《政务处分法》宣传学习，线上测试</w:t>
      </w:r>
      <w:r>
        <w:rPr>
          <w:rFonts w:ascii="仿宋_GB2312" w:eastAsia="仿宋_GB2312"/>
          <w:bCs/>
          <w:sz w:val="32"/>
          <w:szCs w:val="32"/>
        </w:rPr>
        <w:t>1.7</w:t>
      </w:r>
      <w:r>
        <w:rPr>
          <w:rFonts w:hint="eastAsia" w:ascii="仿宋_GB2312" w:eastAsia="仿宋_GB2312"/>
          <w:bCs/>
          <w:sz w:val="32"/>
          <w:szCs w:val="32"/>
        </w:rPr>
        <w:t>万余人次；深度剖析重大典型案件、信访件，将其作为教育引导干部的特殊资源，通报曝光典型案件19件19人，全区崇廉尚洁氛围日益浓厚。</w:t>
      </w:r>
      <w:r>
        <w:rPr>
          <w:rFonts w:hint="eastAsia" w:ascii="楷体" w:hAnsi="楷体" w:eastAsia="楷体"/>
          <w:bCs/>
          <w:sz w:val="32"/>
          <w:szCs w:val="32"/>
        </w:rPr>
        <w:t>二是“三个紧盯”严惩处。</w:t>
      </w:r>
      <w:r>
        <w:rPr>
          <w:rFonts w:hint="eastAsia" w:ascii="仿宋_GB2312" w:eastAsia="仿宋_GB2312"/>
          <w:bCs/>
          <w:sz w:val="32"/>
          <w:szCs w:val="32"/>
        </w:rPr>
        <w:t>紧盯“关键少数”“关键岗位”“关键领域”，全年立案查处各类案件129件129人，四种形态分别占比64%、31.6%、1.8%、2.6%，高质量办理指定管辖案件</w:t>
      </w:r>
      <w:r>
        <w:rPr>
          <w:rFonts w:ascii="仿宋_GB2312" w:eastAsia="仿宋_GB2312"/>
          <w:bCs/>
          <w:sz w:val="32"/>
          <w:szCs w:val="32"/>
        </w:rPr>
        <w:t>5</w:t>
      </w:r>
      <w:r>
        <w:rPr>
          <w:rFonts w:hint="eastAsia" w:ascii="仿宋_GB2312" w:eastAsia="仿宋_GB2312"/>
          <w:bCs/>
          <w:sz w:val="32"/>
          <w:szCs w:val="32"/>
        </w:rPr>
        <w:t>件6人，</w:t>
      </w:r>
      <w:r>
        <w:rPr>
          <w:rFonts w:hint="eastAsia" w:ascii="仿宋_GB2312" w:hAnsi="Times New Roman" w:eastAsia="仿宋_GB2312"/>
          <w:bCs/>
          <w:sz w:val="32"/>
          <w:szCs w:val="32"/>
        </w:rPr>
        <w:t>暂扣、扣押涉案款460余万元</w:t>
      </w:r>
      <w:r>
        <w:rPr>
          <w:rFonts w:hint="eastAsia" w:ascii="仿宋_GB2312" w:eastAsia="仿宋_GB2312"/>
          <w:bCs/>
          <w:sz w:val="32"/>
          <w:szCs w:val="32"/>
        </w:rPr>
        <w:t>。其中，立案查处科级领导干部</w:t>
      </w:r>
      <w:r>
        <w:rPr>
          <w:rFonts w:ascii="仿宋_GB2312" w:eastAsia="仿宋_GB2312"/>
          <w:bCs/>
          <w:sz w:val="32"/>
          <w:szCs w:val="32"/>
        </w:rPr>
        <w:t>17</w:t>
      </w:r>
      <w:r>
        <w:rPr>
          <w:rFonts w:hint="eastAsia" w:ascii="仿宋_GB2312" w:eastAsia="仿宋_GB2312"/>
          <w:bCs/>
          <w:sz w:val="32"/>
          <w:szCs w:val="32"/>
        </w:rPr>
        <w:t>件</w:t>
      </w:r>
      <w:r>
        <w:rPr>
          <w:rFonts w:ascii="仿宋_GB2312" w:eastAsia="仿宋_GB2312"/>
          <w:bCs/>
          <w:sz w:val="32"/>
          <w:szCs w:val="32"/>
        </w:rPr>
        <w:t>17</w:t>
      </w:r>
      <w:r>
        <w:rPr>
          <w:rFonts w:hint="eastAsia" w:ascii="仿宋_GB2312" w:eastAsia="仿宋_GB2312"/>
          <w:bCs/>
          <w:sz w:val="32"/>
          <w:szCs w:val="32"/>
        </w:rPr>
        <w:t>人，“一把手”违纪违法案</w:t>
      </w:r>
      <w:r>
        <w:rPr>
          <w:rFonts w:ascii="仿宋_GB2312" w:eastAsia="仿宋_GB2312"/>
          <w:bCs/>
          <w:sz w:val="32"/>
          <w:szCs w:val="32"/>
        </w:rPr>
        <w:t>2</w:t>
      </w:r>
      <w:r>
        <w:rPr>
          <w:rFonts w:hint="eastAsia" w:ascii="仿宋_GB2312" w:eastAsia="仿宋_GB2312"/>
          <w:bCs/>
          <w:sz w:val="32"/>
          <w:szCs w:val="32"/>
        </w:rPr>
        <w:t>件</w:t>
      </w:r>
      <w:r>
        <w:rPr>
          <w:rFonts w:ascii="仿宋_GB2312" w:eastAsia="仿宋_GB2312"/>
          <w:bCs/>
          <w:sz w:val="32"/>
          <w:szCs w:val="32"/>
        </w:rPr>
        <w:t>2</w:t>
      </w:r>
      <w:r>
        <w:rPr>
          <w:rFonts w:hint="eastAsia" w:ascii="仿宋_GB2312" w:eastAsia="仿宋_GB2312"/>
          <w:bCs/>
          <w:sz w:val="32"/>
          <w:szCs w:val="32"/>
        </w:rPr>
        <w:t>人；紧盯管项目、管资金、管审批等关键岗位，立案查处水利局、发改局、交通运输局等关键岗位党员干部违纪违法典型案件</w:t>
      </w:r>
      <w:r>
        <w:rPr>
          <w:rFonts w:ascii="仿宋_GB2312" w:eastAsia="仿宋_GB2312"/>
          <w:bCs/>
          <w:sz w:val="32"/>
          <w:szCs w:val="32"/>
        </w:rPr>
        <w:t>2</w:t>
      </w:r>
      <w:r>
        <w:rPr>
          <w:rFonts w:hint="eastAsia" w:ascii="仿宋_GB2312" w:eastAsia="仿宋_GB2312"/>
          <w:bCs/>
          <w:sz w:val="32"/>
          <w:szCs w:val="32"/>
        </w:rPr>
        <w:t>3件</w:t>
      </w:r>
      <w:r>
        <w:rPr>
          <w:rFonts w:ascii="仿宋_GB2312" w:eastAsia="仿宋_GB2312"/>
          <w:bCs/>
          <w:sz w:val="32"/>
          <w:szCs w:val="32"/>
        </w:rPr>
        <w:t>2</w:t>
      </w:r>
      <w:r>
        <w:rPr>
          <w:rFonts w:hint="eastAsia" w:ascii="仿宋_GB2312" w:eastAsia="仿宋_GB2312"/>
          <w:bCs/>
          <w:sz w:val="32"/>
          <w:szCs w:val="32"/>
        </w:rPr>
        <w:t>3人；查处涉黑涉恶“保护伞”案件12件12人，移送司法1人。</w:t>
      </w:r>
      <w:r>
        <w:rPr>
          <w:rFonts w:hint="eastAsia" w:ascii="楷体" w:hAnsi="楷体" w:eastAsia="楷体"/>
          <w:bCs/>
          <w:sz w:val="32"/>
          <w:szCs w:val="32"/>
        </w:rPr>
        <w:t>三是“以案促改”长震慑。</w:t>
      </w:r>
      <w:r>
        <w:rPr>
          <w:rFonts w:hint="eastAsia" w:ascii="仿宋_GB2312" w:hAnsi="仿宋_GB2312" w:eastAsia="仿宋_GB2312" w:cs="仿宋_GB2312"/>
          <w:bCs/>
          <w:sz w:val="32"/>
          <w:szCs w:val="32"/>
        </w:rPr>
        <w:t>做好案件审查“下半篇文章”，召开全区以案促改警示教育大会，扎实开展刘亚洲、向永东严重违纪违法案“以案促改”，</w:t>
      </w:r>
      <w:r>
        <w:rPr>
          <w:rFonts w:hint="eastAsia" w:ascii="仿宋_GB2312" w:hAnsi="黑体" w:eastAsia="仿宋_GB2312"/>
          <w:bCs/>
          <w:sz w:val="32"/>
          <w:szCs w:val="32"/>
        </w:rPr>
        <w:t>开展党员干</w:t>
      </w:r>
      <w:r>
        <w:rPr>
          <w:rFonts w:hint="eastAsia" w:ascii="仿宋_GB2312" w:hAnsi="仿宋_GB2312" w:eastAsia="仿宋_GB2312" w:cs="仿宋_GB2312"/>
          <w:bCs/>
          <w:sz w:val="32"/>
          <w:szCs w:val="32"/>
        </w:rPr>
        <w:t>部违规借支拖欠挪用公款问题专项整治，立案查处4件4人，收回资金1000余万元；建立重大典型案件“五个一”机制，开展受处分干部回访教育110余人次，8名受处分干部因表现较好重新被提拔重用。</w:t>
      </w:r>
    </w:p>
    <w:p>
      <w:pPr>
        <w:overflowPunct w:val="0"/>
        <w:spacing w:line="576" w:lineRule="exact"/>
        <w:ind w:firstLine="640" w:firstLineChars="200"/>
        <w:rPr>
          <w:rFonts w:ascii="仿宋_GB2312" w:hAnsi="仿宋_GB2312" w:eastAsia="仿宋_GB2312" w:cs="仿宋_GB2312"/>
          <w:bCs/>
          <w:sz w:val="32"/>
          <w:szCs w:val="32"/>
        </w:rPr>
      </w:pPr>
      <w:r>
        <w:rPr>
          <w:rFonts w:hint="eastAsia" w:ascii="楷体_GB2312" w:hAnsi="仿宋_GB2312" w:eastAsia="楷体_GB2312" w:cs="仿宋_GB2312"/>
          <w:bCs/>
          <w:sz w:val="32"/>
          <w:szCs w:val="32"/>
        </w:rPr>
        <w:t>（六）以“双铁工程”为引领，着力锻造纪检铁军</w:t>
      </w:r>
      <w:r>
        <w:rPr>
          <w:rFonts w:hint="eastAsia" w:ascii="仿宋_GB2312" w:hAnsi="仿宋_GB2312" w:eastAsia="仿宋_GB2312" w:cs="仿宋_GB2312"/>
          <w:bCs/>
          <w:sz w:val="32"/>
          <w:szCs w:val="32"/>
        </w:rPr>
        <w:t>。</w:t>
      </w:r>
      <w:r>
        <w:rPr>
          <w:rFonts w:hint="eastAsia" w:ascii="仿宋_GB2312" w:hAnsi="宋体" w:eastAsia="仿宋_GB2312" w:cs="仿宋_GB2312"/>
          <w:bCs/>
          <w:sz w:val="32"/>
          <w:szCs w:val="32"/>
        </w:rPr>
        <w:t>坚持以铁军办铁案、以铁案炼铁军，</w:t>
      </w:r>
      <w:r>
        <w:rPr>
          <w:rFonts w:hint="eastAsia" w:ascii="仿宋_GB2312" w:hAnsi="仿宋_GB2312" w:eastAsia="仿宋_GB2312" w:cs="仿宋_GB2312"/>
          <w:bCs/>
          <w:sz w:val="32"/>
          <w:szCs w:val="32"/>
        </w:rPr>
        <w:t>深入实施“双铁工程”，着力锻造忠诚、干净、担当的新时代纪检监察铁军。</w:t>
      </w:r>
      <w:r>
        <w:rPr>
          <w:rFonts w:hint="eastAsia" w:ascii="楷体" w:hAnsi="楷体" w:eastAsia="楷体" w:cs="仿宋_GB2312"/>
          <w:bCs/>
          <w:sz w:val="32"/>
          <w:szCs w:val="32"/>
        </w:rPr>
        <w:t>一是“两个渠道”强队伍。</w:t>
      </w:r>
      <w:r>
        <w:rPr>
          <w:rFonts w:hint="eastAsia" w:ascii="仿宋_GB2312" w:hAnsi="仿宋_GB2312" w:eastAsia="仿宋_GB2312" w:cs="仿宋_GB2312"/>
          <w:bCs/>
          <w:sz w:val="32"/>
          <w:szCs w:val="32"/>
        </w:rPr>
        <w:t>打通内部渠道，实行纪检监察组和委机关人员双向流动，交叉任职10人、提拔重用10人，激发干部队伍“一池活水”；畅通外部渠道，从系统外选优配强乡镇纪委副书记</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人、人才回引</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人、公开招考</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人，干部队伍平均年龄</w:t>
      </w:r>
      <w:r>
        <w:rPr>
          <w:rFonts w:ascii="仿宋_GB2312" w:hAnsi="仿宋_GB2312" w:eastAsia="仿宋_GB2312" w:cs="仿宋_GB2312"/>
          <w:bCs/>
          <w:sz w:val="32"/>
          <w:szCs w:val="32"/>
        </w:rPr>
        <w:t>35</w:t>
      </w:r>
      <w:r>
        <w:rPr>
          <w:rFonts w:hint="eastAsia" w:ascii="仿宋_GB2312" w:hAnsi="仿宋_GB2312" w:eastAsia="仿宋_GB2312" w:cs="仿宋_GB2312"/>
          <w:bCs/>
          <w:sz w:val="32"/>
          <w:szCs w:val="32"/>
        </w:rPr>
        <w:t>岁，大学及以上学历人数占比</w:t>
      </w:r>
      <w:r>
        <w:rPr>
          <w:rFonts w:ascii="仿宋_GB2312" w:hAnsi="仿宋_GB2312" w:eastAsia="仿宋_GB2312" w:cs="仿宋_GB2312"/>
          <w:bCs/>
          <w:sz w:val="32"/>
          <w:szCs w:val="32"/>
        </w:rPr>
        <w:t>81%</w:t>
      </w:r>
      <w:r>
        <w:rPr>
          <w:rFonts w:hint="eastAsia" w:ascii="仿宋_GB2312" w:hAnsi="仿宋_GB2312" w:eastAsia="仿宋_GB2312" w:cs="仿宋_GB2312"/>
          <w:bCs/>
          <w:sz w:val="32"/>
          <w:szCs w:val="32"/>
        </w:rPr>
        <w:t>，实现了“一降一升”目标。</w:t>
      </w:r>
      <w:r>
        <w:rPr>
          <w:rFonts w:hint="eastAsia" w:ascii="楷体" w:hAnsi="楷体" w:eastAsia="楷体" w:cs="仿宋_GB2312"/>
          <w:bCs/>
          <w:sz w:val="32"/>
          <w:szCs w:val="32"/>
        </w:rPr>
        <w:t>二是“四大行动”炼铁军</w:t>
      </w:r>
      <w:r>
        <w:rPr>
          <w:rFonts w:hint="eastAsia" w:ascii="仿宋_GB2312" w:hAnsi="仿宋_GB2312" w:eastAsia="仿宋_GB2312" w:cs="仿宋_GB2312"/>
          <w:bCs/>
          <w:sz w:val="32"/>
          <w:szCs w:val="32"/>
        </w:rPr>
        <w:t>。以建设“四型机关”为引领，扎实开展政治淬炼、业务练兵、拓展视野、体能提升“四大行动”，今年</w:t>
      </w:r>
      <w:r>
        <w:rPr>
          <w:rFonts w:ascii="仿宋_GB2312" w:hAnsi="仿宋_GB2312" w:eastAsia="仿宋_GB2312" w:cs="仿宋_GB2312"/>
          <w:bCs/>
          <w:sz w:val="32"/>
          <w:szCs w:val="32"/>
        </w:rPr>
        <w:t>9</w:t>
      </w:r>
      <w:r>
        <w:rPr>
          <w:rFonts w:hint="eastAsia" w:ascii="仿宋_GB2312" w:hAnsi="仿宋_GB2312" w:eastAsia="仿宋_GB2312" w:cs="仿宋_GB2312"/>
          <w:bCs/>
          <w:sz w:val="32"/>
          <w:szCs w:val="32"/>
        </w:rPr>
        <w:t>月，分层分类开展了为期</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个月的全员培训活动，创新开展“微讲堂”“微体会”“微调研”“三微”活动30余场次，充分发挥办案小组临时支部作用，不断加强机关政治建设；运用上挂锻炼、以案代训、高校培训、外出考察等方式，累计培训干部570人次，提升干部专业能力；开展战训基地体能培训、篮球比赛等活动</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场次，培养干部健康体魄。</w:t>
      </w:r>
      <w:r>
        <w:rPr>
          <w:rFonts w:hint="eastAsia" w:ascii="楷体" w:hAnsi="楷体" w:eastAsia="楷体" w:cs="仿宋_GB2312"/>
          <w:bCs/>
          <w:sz w:val="32"/>
          <w:szCs w:val="32"/>
        </w:rPr>
        <w:t>三是“三提三评”办铁案</w:t>
      </w:r>
      <w:r>
        <w:rPr>
          <w:rFonts w:hint="eastAsia" w:ascii="仿宋_GB2312" w:hAnsi="仿宋_GB2312" w:eastAsia="仿宋_GB2312" w:cs="仿宋_GB2312"/>
          <w:bCs/>
          <w:sz w:val="32"/>
          <w:szCs w:val="32"/>
        </w:rPr>
        <w:t>。以实现案件质数双升为目标，扎实开展提质、提速、提效和分组交叉评、内外联动评、集中统一评“三提三评”活动，让办案人员主动学业务、提能力、</w:t>
      </w:r>
      <w:r>
        <w:rPr>
          <w:rFonts w:hint="eastAsia" w:ascii="仿宋_GB2312" w:hAnsi="仿宋_GB2312" w:eastAsia="仿宋_GB2312" w:cs="仿宋_GB2312"/>
          <w:bCs/>
          <w:spacing w:val="-6"/>
          <w:sz w:val="32"/>
          <w:szCs w:val="32"/>
        </w:rPr>
        <w:t>转作风，依纪依法办案，确保每一起案件经得起时间和历史的检验。</w:t>
      </w:r>
    </w:p>
    <w:p>
      <w:pPr>
        <w:overflowPunct w:val="0"/>
        <w:spacing w:line="576" w:lineRule="exact"/>
        <w:ind w:firstLine="640" w:firstLineChars="200"/>
        <w:jc w:val="left"/>
        <w:rPr>
          <w:rFonts w:ascii="Calibri" w:hAnsi="Calibri" w:eastAsia="宋体" w:cs="Times New Roman"/>
          <w:sz w:val="32"/>
          <w:szCs w:val="32"/>
        </w:rPr>
      </w:pPr>
      <w:r>
        <w:rPr>
          <w:rFonts w:hint="eastAsia" w:ascii="黑体" w:hAnsi="黑体" w:eastAsia="黑体" w:cs="仿宋_GB2312"/>
          <w:bCs/>
          <w:sz w:val="32"/>
          <w:szCs w:val="32"/>
        </w:rPr>
        <w:t>二、</w:t>
      </w:r>
      <w:r>
        <w:rPr>
          <w:rFonts w:hint="eastAsia" w:ascii="黑体" w:hAnsi="黑体" w:eastAsia="黑体" w:cs="Times New Roman"/>
          <w:color w:val="000000"/>
          <w:sz w:val="32"/>
          <w:szCs w:val="32"/>
        </w:rPr>
        <w:t>存在的主要问题及2021年工作打算</w:t>
      </w:r>
    </w:p>
    <w:p>
      <w:pPr>
        <w:pStyle w:val="29"/>
        <w:overflowPunct w:val="0"/>
        <w:spacing w:line="576" w:lineRule="exact"/>
        <w:ind w:firstLine="640" w:firstLineChars="200"/>
        <w:jc w:val="both"/>
        <w:rPr>
          <w:rFonts w:ascii="仿宋_GB2312" w:hAnsi="宋体" w:eastAsia="仿宋_GB2312"/>
          <w:sz w:val="32"/>
          <w:szCs w:val="32"/>
        </w:rPr>
      </w:pPr>
      <w:r>
        <w:rPr>
          <w:rFonts w:hint="eastAsia" w:ascii="仿宋_GB2312" w:hAnsi="仿宋_GB2312" w:eastAsia="仿宋_GB2312" w:cs="仿宋_GB2312"/>
          <w:bCs/>
          <w:color w:val="auto"/>
          <w:kern w:val="2"/>
          <w:sz w:val="32"/>
          <w:szCs w:val="32"/>
        </w:rPr>
        <w:t>一年以来，全区纪检监察工作虽然取得了一定成绩，但还存在全面从严治党“三张清单”工作推进不平衡，群众身边不正之风和腐败问题整治不彻底，党员干部日常教育监管针对性还不强，个别乡镇部门抓</w:t>
      </w:r>
      <w:r>
        <w:rPr>
          <w:rFonts w:hint="eastAsia" w:ascii="仿宋_GB2312" w:hAnsi="仿宋_GB2312" w:eastAsia="仿宋_GB2312" w:cs="仿宋_GB2312"/>
          <w:bCs/>
          <w:color w:val="auto"/>
          <w:spacing w:val="-6"/>
          <w:kern w:val="2"/>
          <w:sz w:val="32"/>
          <w:szCs w:val="32"/>
        </w:rPr>
        <w:t>满意度成效还不显，纪检监察干部能力素质有待进一步提升等问题。</w:t>
      </w:r>
      <w:r>
        <w:rPr>
          <w:rFonts w:hint="eastAsia" w:ascii="仿宋_GB2312" w:hAnsi="宋体" w:eastAsia="仿宋_GB2312"/>
          <w:sz w:val="32"/>
          <w:szCs w:val="32"/>
        </w:rPr>
        <w:t>下一步工作中，</w:t>
      </w:r>
      <w:r>
        <w:rPr>
          <w:rFonts w:hint="eastAsia" w:ascii="仿宋_GB2312" w:eastAsia="仿宋_GB2312"/>
          <w:sz w:val="32"/>
          <w:szCs w:val="32"/>
        </w:rPr>
        <w:t>全区各级纪检监察组织和广大纪检监察干部将认真贯彻落实中央、省、市纪委决策部署，坚守初心使命，强化责任担当，不断推进全面从严治党向纵深发展</w:t>
      </w:r>
      <w:r>
        <w:rPr>
          <w:rFonts w:hint="eastAsia" w:ascii="仿宋_GB2312" w:hAnsi="宋体" w:eastAsia="仿宋_GB2312"/>
          <w:sz w:val="32"/>
          <w:szCs w:val="32"/>
        </w:rPr>
        <w:t>，持续巩固提升全区风清气正良好政治生态。</w:t>
      </w:r>
    </w:p>
    <w:p>
      <w:pPr>
        <w:overflowPunct w:val="0"/>
        <w:spacing w:line="576" w:lineRule="exact"/>
        <w:ind w:firstLine="640" w:firstLineChars="200"/>
        <w:rPr>
          <w:rFonts w:ascii="仿宋_GB2312" w:hAnsi="仿宋_GB2312" w:eastAsia="仿宋_GB2312" w:cs="仿宋_GB2312"/>
          <w:bCs/>
          <w:sz w:val="32"/>
          <w:szCs w:val="32"/>
        </w:rPr>
      </w:pPr>
      <w:r>
        <w:rPr>
          <w:rFonts w:hint="eastAsia" w:ascii="仿宋_GB2312" w:hAnsi="宋体" w:eastAsia="仿宋_GB2312"/>
          <w:sz w:val="32"/>
          <w:szCs w:val="32"/>
        </w:rPr>
        <w:t>重点抓实以下九个方面工作：</w:t>
      </w:r>
      <w:r>
        <w:rPr>
          <w:rFonts w:hint="eastAsia" w:ascii="楷体_GB2312" w:hAnsi="宋体" w:eastAsia="楷体_GB2312"/>
          <w:sz w:val="32"/>
          <w:szCs w:val="32"/>
        </w:rPr>
        <w:t>一是在监督保障执行方面有新突破。</w:t>
      </w:r>
      <w:r>
        <w:rPr>
          <w:rFonts w:hint="eastAsia" w:ascii="仿宋_GB2312" w:hAnsi="宋体" w:eastAsia="仿宋_GB2312"/>
          <w:sz w:val="32"/>
          <w:szCs w:val="32"/>
        </w:rPr>
        <w:t>围绕</w:t>
      </w:r>
      <w:r>
        <w:rPr>
          <w:rFonts w:hint="eastAsia" w:ascii="仿宋_GB2312" w:eastAsia="仿宋_GB2312"/>
          <w:sz w:val="32"/>
          <w:szCs w:val="32"/>
        </w:rPr>
        <w:t>“十四五”规划、</w:t>
      </w:r>
      <w:r>
        <w:rPr>
          <w:rFonts w:hint="eastAsia" w:ascii="仿宋_GB2312" w:hAnsi="宋体" w:eastAsia="仿宋_GB2312"/>
          <w:sz w:val="32"/>
          <w:szCs w:val="32"/>
        </w:rPr>
        <w:t>疫情防控、</w:t>
      </w:r>
      <w:r>
        <w:rPr>
          <w:rFonts w:hint="eastAsia" w:ascii="仿宋_GB2312" w:eastAsia="仿宋_GB2312"/>
          <w:sz w:val="32"/>
          <w:szCs w:val="32"/>
        </w:rPr>
        <w:t>主动融入成渝地区双城经济圈建设、</w:t>
      </w:r>
      <w:r>
        <w:rPr>
          <w:rFonts w:hint="eastAsia" w:ascii="仿宋_GB2312" w:hAnsi="宋体" w:eastAsia="仿宋_GB2312"/>
          <w:sz w:val="32"/>
          <w:szCs w:val="32"/>
        </w:rPr>
        <w:t>天府旅游名县创建、</w:t>
      </w:r>
      <w:r>
        <w:rPr>
          <w:rFonts w:hint="eastAsia" w:ascii="仿宋_GB2312" w:eastAsia="仿宋_GB2312"/>
          <w:sz w:val="32"/>
          <w:szCs w:val="32"/>
        </w:rPr>
        <w:t>“区乡村”三级换届、“全民兴商、全民经商”战略等上级重大决策部署深入开展监督检查，确保政令畅通。</w:t>
      </w:r>
      <w:r>
        <w:rPr>
          <w:rFonts w:hint="eastAsia" w:ascii="楷体_GB2312" w:hAnsi="宋体" w:eastAsia="楷体_GB2312"/>
          <w:sz w:val="32"/>
          <w:szCs w:val="32"/>
        </w:rPr>
        <w:t>二是在全面从严治党“三张清单”落地见效方面有新突破。</w:t>
      </w:r>
      <w:r>
        <w:rPr>
          <w:rFonts w:hint="eastAsia" w:ascii="仿宋_GB2312" w:eastAsia="仿宋_GB2312"/>
          <w:sz w:val="32"/>
          <w:szCs w:val="32"/>
        </w:rPr>
        <w:t>推进“三张清单”向村一级延伸，突出加强对贯彻执行情况的监督检查，最大限度释放其治理效能。</w:t>
      </w:r>
      <w:r>
        <w:rPr>
          <w:rFonts w:hint="eastAsia" w:ascii="楷体_GB2312" w:hAnsi="宋体" w:eastAsia="楷体_GB2312"/>
          <w:sz w:val="32"/>
          <w:szCs w:val="32"/>
        </w:rPr>
        <w:t>三是在深入整治“新四股歪风”方面有新突破。</w:t>
      </w:r>
      <w:r>
        <w:rPr>
          <w:rFonts w:hint="eastAsia" w:ascii="仿宋_GB2312" w:eastAsia="仿宋_GB2312"/>
          <w:sz w:val="32"/>
          <w:szCs w:val="32"/>
        </w:rPr>
        <w:t>持续开展“作风纪律巩固年”活动，紧盯中央八项规定落实和干部队伍作风顽疾，以党内监督为主导，统筹联动监督合力，把党员干部精气神最大限度凝聚到干事创业上来。</w:t>
      </w:r>
      <w:r>
        <w:rPr>
          <w:rFonts w:hint="eastAsia" w:ascii="楷体_GB2312" w:hAnsi="宋体" w:eastAsia="楷体_GB2312"/>
          <w:sz w:val="32"/>
          <w:szCs w:val="32"/>
        </w:rPr>
        <w:t>四是在深化拓展“朝天三问”方面有新突破。</w:t>
      </w:r>
      <w:r>
        <w:rPr>
          <w:rFonts w:hint="eastAsia" w:ascii="仿宋_GB2312" w:eastAsia="仿宋_GB2312"/>
          <w:sz w:val="32"/>
          <w:szCs w:val="32"/>
        </w:rPr>
        <w:t>突出群众关切查找问题线索,突出问题整改回应群众期盼,突出建章立制强化规范管理,坚决杜绝“只问不整改、改了不治理、治理不长效”的问题。</w:t>
      </w:r>
      <w:r>
        <w:rPr>
          <w:rFonts w:hint="eastAsia" w:ascii="楷体_GB2312" w:hAnsi="宋体" w:eastAsia="楷体_GB2312"/>
          <w:sz w:val="32"/>
          <w:szCs w:val="32"/>
        </w:rPr>
        <w:t>五是在持续优化营商环境方面有新突破。</w:t>
      </w:r>
      <w:r>
        <w:rPr>
          <w:rFonts w:hint="eastAsia" w:ascii="仿宋_GB2312" w:eastAsia="仿宋_GB2312"/>
          <w:sz w:val="32"/>
          <w:szCs w:val="32"/>
        </w:rPr>
        <w:t>不断深化“一站二督三保障”机制，引导企业加强廉洁文化建设，重树商业道德，营造“遵规守法、崇廉尚德、诚信经营”的浓厚社会氛围。</w:t>
      </w:r>
      <w:r>
        <w:rPr>
          <w:rFonts w:hint="eastAsia" w:ascii="楷体_GB2312" w:hAnsi="宋体" w:eastAsia="楷体_GB2312"/>
          <w:sz w:val="32"/>
          <w:szCs w:val="32"/>
        </w:rPr>
        <w:t>六是在不断提升党风廉政建设社会满意度方面有新突破。</w:t>
      </w:r>
      <w:r>
        <w:rPr>
          <w:rFonts w:hint="eastAsia" w:ascii="仿宋_GB2312" w:eastAsia="仿宋_GB2312"/>
          <w:sz w:val="32"/>
          <w:szCs w:val="32"/>
        </w:rPr>
        <w:t>进一步压紧压实各级各部门责任，与其他工作统筹推进、互促共融。</w:t>
      </w:r>
      <w:r>
        <w:rPr>
          <w:rFonts w:hint="eastAsia" w:ascii="楷体_GB2312" w:hAnsi="宋体" w:eastAsia="楷体_GB2312"/>
          <w:sz w:val="32"/>
          <w:szCs w:val="32"/>
        </w:rPr>
        <w:t>七是在系统治理方面有新突破。</w:t>
      </w:r>
      <w:r>
        <w:rPr>
          <w:rFonts w:hint="eastAsia" w:ascii="仿宋_GB2312" w:eastAsia="仿宋_GB2312"/>
          <w:sz w:val="32"/>
          <w:szCs w:val="32"/>
        </w:rPr>
        <w:t>巩固系统治理成果，按照总体计划逐一治理，推动基层治理体系和治理能力现代化。</w:t>
      </w:r>
      <w:r>
        <w:rPr>
          <w:rFonts w:hint="eastAsia" w:ascii="楷体_GB2312" w:hAnsi="宋体" w:eastAsia="楷体_GB2312"/>
          <w:sz w:val="32"/>
          <w:szCs w:val="32"/>
        </w:rPr>
        <w:t>八是在党员干部日常教育监管方面有新突破。</w:t>
      </w:r>
      <w:r>
        <w:rPr>
          <w:rFonts w:hint="eastAsia" w:ascii="仿宋_GB2312" w:eastAsia="仿宋_GB2312"/>
          <w:sz w:val="32"/>
          <w:szCs w:val="32"/>
          <w:lang w:eastAsia="zh-CN"/>
        </w:rPr>
        <w:t>织密全覆盖、无死角、立体化的日常监督网</w:t>
      </w:r>
      <w:r>
        <w:rPr>
          <w:rFonts w:hint="eastAsia" w:ascii="仿宋_GB2312" w:eastAsia="仿宋_GB2312"/>
          <w:sz w:val="32"/>
          <w:szCs w:val="32"/>
        </w:rPr>
        <w:t>，防止小问题演变大问题，严在日常抓在经常，最大限度教育挽救干部。</w:t>
      </w:r>
      <w:r>
        <w:rPr>
          <w:rFonts w:hint="eastAsia" w:ascii="楷体_GB2312" w:hAnsi="宋体" w:eastAsia="楷体_GB2312"/>
          <w:sz w:val="32"/>
          <w:szCs w:val="32"/>
        </w:rPr>
        <w:t>九是在自身建设方面有新突破。</w:t>
      </w:r>
      <w:r>
        <w:rPr>
          <w:rFonts w:hint="eastAsia" w:ascii="仿宋_GB2312" w:eastAsia="仿宋_GB2312"/>
          <w:sz w:val="32"/>
          <w:szCs w:val="32"/>
        </w:rPr>
        <w:t>不断深化“双铁工程”建设，扎实开展能力素质“四大提升行动”，着力锻造敢于斗争、善于斗争的纪检监察战士。</w:t>
      </w:r>
    </w:p>
    <w:p/>
    <w:p>
      <w:pPr>
        <w:pStyle w:val="4"/>
        <w:rPr>
          <w:rStyle w:val="36"/>
          <w:b w:val="0"/>
          <w:bCs w:val="0"/>
        </w:rPr>
      </w:pPr>
      <w:bookmarkStart w:id="18" w:name="_Toc15377200"/>
      <w:bookmarkStart w:id="19" w:name="_Toc15396601"/>
      <w:r>
        <w:rPr>
          <w:rFonts w:hint="eastAsia" w:ascii="黑体" w:eastAsia="黑体"/>
          <w:b w:val="0"/>
          <w:color w:val="000000"/>
        </w:rPr>
        <w:t>二、</w:t>
      </w:r>
      <w:r>
        <w:rPr>
          <w:rFonts w:hint="eastAsia" w:ascii="黑体" w:hAnsi="黑体" w:eastAsia="黑体"/>
          <w:b w:val="0"/>
          <w:color w:val="000000"/>
        </w:rPr>
        <w:t>机</w:t>
      </w:r>
      <w:r>
        <w:rPr>
          <w:rStyle w:val="36"/>
          <w:rFonts w:hint="eastAsia" w:ascii="黑体" w:hAnsi="黑体" w:eastAsia="黑体"/>
          <w:b w:val="0"/>
          <w:bCs w:val="0"/>
        </w:rPr>
        <w:t>构设置</w:t>
      </w:r>
      <w:bookmarkEnd w:id="18"/>
      <w:bookmarkEnd w:id="19"/>
    </w:p>
    <w:p>
      <w:pPr>
        <w:pStyle w:val="6"/>
        <w:adjustRightInd w:val="0"/>
        <w:snapToGrid w:val="0"/>
        <w:spacing w:before="93" w:line="600" w:lineRule="exact"/>
        <w:ind w:firstLine="655" w:firstLineChars="210"/>
        <w:rPr>
          <w:rFonts w:ascii="仿宋" w:hAnsi="仿宋" w:eastAsia="仿宋"/>
          <w:color w:val="000000"/>
          <w:kern w:val="0"/>
          <w:sz w:val="32"/>
          <w:szCs w:val="32"/>
        </w:rPr>
      </w:pPr>
      <w:r>
        <w:rPr>
          <w:rFonts w:hint="eastAsia" w:ascii="仿宋" w:hAnsi="仿宋" w:eastAsia="仿宋"/>
          <w:spacing w:val="-4"/>
          <w:sz w:val="32"/>
          <w:szCs w:val="32"/>
        </w:rPr>
        <w:t>朝天区纪委属一级预算单位，</w:t>
      </w:r>
      <w:r>
        <w:rPr>
          <w:rFonts w:hint="eastAsia" w:ascii="仿宋" w:hAnsi="仿宋" w:eastAsia="仿宋"/>
          <w:sz w:val="32"/>
          <w:szCs w:val="32"/>
        </w:rPr>
        <w:t>总编制</w:t>
      </w:r>
      <w:r>
        <w:rPr>
          <w:rFonts w:hint="eastAsia" w:ascii="仿宋" w:hAnsi="仿宋" w:eastAsia="仿宋"/>
          <w:spacing w:val="-4"/>
          <w:sz w:val="32"/>
          <w:szCs w:val="32"/>
          <w:lang w:val="en-US" w:eastAsia="zh-CN"/>
        </w:rPr>
        <w:t>85</w:t>
      </w:r>
      <w:r>
        <w:rPr>
          <w:rFonts w:hint="eastAsia" w:ascii="仿宋" w:hAnsi="仿宋" w:eastAsia="仿宋"/>
          <w:sz w:val="32"/>
          <w:szCs w:val="32"/>
        </w:rPr>
        <w:t>名，其中行政编制</w:t>
      </w:r>
      <w:r>
        <w:rPr>
          <w:rFonts w:hint="eastAsia" w:ascii="仿宋" w:hAnsi="仿宋" w:eastAsia="仿宋"/>
          <w:spacing w:val="-4"/>
          <w:sz w:val="32"/>
          <w:szCs w:val="32"/>
          <w:lang w:val="en-US" w:eastAsia="zh-CN"/>
        </w:rPr>
        <w:t>78</w:t>
      </w:r>
      <w:r>
        <w:rPr>
          <w:rFonts w:hint="eastAsia" w:ascii="仿宋" w:hAnsi="仿宋" w:eastAsia="仿宋"/>
          <w:sz w:val="32"/>
          <w:szCs w:val="32"/>
        </w:rPr>
        <w:t>名，</w:t>
      </w:r>
      <w:r>
        <w:rPr>
          <w:rFonts w:hint="eastAsia" w:ascii="仿宋" w:hAnsi="仿宋" w:eastAsia="仿宋"/>
          <w:sz w:val="32"/>
          <w:szCs w:val="32"/>
          <w:lang w:eastAsia="zh-CN"/>
        </w:rPr>
        <w:t>事业编制</w:t>
      </w:r>
      <w:r>
        <w:rPr>
          <w:rFonts w:hint="eastAsia" w:ascii="仿宋" w:hAnsi="仿宋" w:eastAsia="仿宋"/>
          <w:sz w:val="32"/>
          <w:szCs w:val="32"/>
          <w:lang w:val="en-US" w:eastAsia="zh-CN"/>
        </w:rPr>
        <w:t>5名，</w:t>
      </w:r>
      <w:r>
        <w:rPr>
          <w:rFonts w:hint="eastAsia" w:ascii="仿宋" w:hAnsi="仿宋" w:eastAsia="仿宋"/>
          <w:sz w:val="32"/>
          <w:szCs w:val="32"/>
        </w:rPr>
        <w:t>工勤编制</w:t>
      </w:r>
      <w:r>
        <w:rPr>
          <w:rFonts w:hint="eastAsia" w:ascii="仿宋" w:hAnsi="仿宋" w:eastAsia="仿宋"/>
          <w:sz w:val="32"/>
          <w:szCs w:val="32"/>
          <w:lang w:val="en-US" w:eastAsia="zh-CN"/>
        </w:rPr>
        <w:t>2</w:t>
      </w:r>
      <w:r>
        <w:rPr>
          <w:rFonts w:hint="eastAsia" w:ascii="仿宋" w:hAnsi="仿宋" w:eastAsia="仿宋"/>
          <w:sz w:val="32"/>
          <w:szCs w:val="32"/>
        </w:rPr>
        <w:t>名。在职人员总数</w:t>
      </w:r>
      <w:r>
        <w:rPr>
          <w:rFonts w:hint="eastAsia" w:ascii="仿宋" w:hAnsi="仿宋" w:eastAsia="仿宋"/>
          <w:sz w:val="32"/>
          <w:szCs w:val="32"/>
          <w:lang w:val="en-US" w:eastAsia="zh-CN"/>
        </w:rPr>
        <w:t>70</w:t>
      </w:r>
      <w:r>
        <w:rPr>
          <w:rFonts w:hint="eastAsia" w:ascii="仿宋" w:hAnsi="仿宋" w:eastAsia="仿宋"/>
          <w:sz w:val="32"/>
          <w:szCs w:val="32"/>
        </w:rPr>
        <w:t>人，其中行政人员</w:t>
      </w:r>
      <w:r>
        <w:rPr>
          <w:rFonts w:hint="eastAsia" w:ascii="仿宋" w:hAnsi="仿宋" w:eastAsia="仿宋"/>
          <w:sz w:val="32"/>
          <w:szCs w:val="32"/>
          <w:lang w:val="en-US" w:eastAsia="zh-CN"/>
        </w:rPr>
        <w:t>64</w:t>
      </w:r>
      <w:r>
        <w:rPr>
          <w:rFonts w:hint="eastAsia" w:ascii="仿宋" w:hAnsi="仿宋" w:eastAsia="仿宋"/>
          <w:sz w:val="32"/>
          <w:szCs w:val="32"/>
        </w:rPr>
        <w:t>人，事业人员</w:t>
      </w:r>
      <w:r>
        <w:rPr>
          <w:rFonts w:hint="eastAsia" w:ascii="仿宋" w:hAnsi="仿宋" w:eastAsia="仿宋"/>
          <w:sz w:val="32"/>
          <w:szCs w:val="32"/>
          <w:lang w:val="en-US" w:eastAsia="zh-CN"/>
        </w:rPr>
        <w:t>3</w:t>
      </w:r>
      <w:r>
        <w:rPr>
          <w:rFonts w:hint="eastAsia" w:ascii="仿宋" w:hAnsi="仿宋" w:eastAsia="仿宋"/>
          <w:sz w:val="32"/>
          <w:szCs w:val="32"/>
        </w:rPr>
        <w:t>人，工勤人员</w:t>
      </w:r>
      <w:r>
        <w:rPr>
          <w:rFonts w:hint="eastAsia" w:ascii="仿宋" w:hAnsi="仿宋" w:eastAsia="仿宋"/>
          <w:spacing w:val="-4"/>
          <w:sz w:val="32"/>
          <w:szCs w:val="32"/>
        </w:rPr>
        <w:t>3</w:t>
      </w:r>
      <w:r>
        <w:rPr>
          <w:rFonts w:hint="eastAsia" w:ascii="仿宋" w:hAnsi="仿宋" w:eastAsia="仿宋"/>
          <w:sz w:val="32"/>
          <w:szCs w:val="32"/>
        </w:rPr>
        <w:t>人。</w:t>
      </w:r>
    </w:p>
    <w:p>
      <w:pPr>
        <w:pStyle w:val="3"/>
        <w:ind w:left="2420" w:right="1760" w:hanging="2420" w:hangingChars="550"/>
        <w:jc w:val="left"/>
        <w:rPr>
          <w:rStyle w:val="20"/>
          <w:rFonts w:ascii="黑体" w:hAnsi="黑体" w:eastAsia="黑体"/>
          <w:b w:val="0"/>
          <w:bCs w:val="0"/>
        </w:rPr>
      </w:pPr>
      <w:r>
        <w:rPr>
          <w:rFonts w:hint="eastAsia" w:ascii="黑体" w:hAnsi="黑体" w:eastAsia="黑体"/>
          <w:b w:val="0"/>
          <w:color w:val="000000"/>
        </w:rPr>
        <w:t xml:space="preserve">       第二部分</w:t>
      </w:r>
      <w:r>
        <w:rPr>
          <w:rFonts w:ascii="黑体" w:hAnsi="黑体" w:eastAsia="黑体"/>
          <w:color w:val="000000"/>
        </w:rPr>
        <w:t xml:space="preserve"> </w:t>
      </w:r>
      <w:r>
        <w:rPr>
          <w:rStyle w:val="20"/>
          <w:rFonts w:ascii="黑体" w:hAnsi="黑体" w:eastAsia="黑体"/>
          <w:b w:val="0"/>
          <w:bCs w:val="0"/>
        </w:rPr>
        <w:t>20</w:t>
      </w:r>
      <w:r>
        <w:rPr>
          <w:rStyle w:val="20"/>
          <w:rFonts w:hint="eastAsia" w:ascii="黑体" w:hAnsi="黑体" w:eastAsia="黑体"/>
          <w:b w:val="0"/>
          <w:bCs w:val="0"/>
          <w:lang w:val="en-US" w:eastAsia="zh-CN"/>
        </w:rPr>
        <w:t>20</w:t>
      </w:r>
      <w:r>
        <w:rPr>
          <w:rStyle w:val="20"/>
          <w:rFonts w:hint="eastAsia" w:ascii="黑体" w:hAnsi="黑体" w:eastAsia="黑体"/>
          <w:b w:val="0"/>
          <w:bCs w:val="0"/>
        </w:rPr>
        <w:t>年度部门       决算情况说明</w:t>
      </w:r>
      <w:bookmarkEnd w:id="16"/>
      <w:bookmarkEnd w:id="17"/>
    </w:p>
    <w:p/>
    <w:p>
      <w:pPr>
        <w:pStyle w:val="33"/>
        <w:numPr>
          <w:ilvl w:val="0"/>
          <w:numId w:val="1"/>
        </w:numPr>
        <w:spacing w:line="600" w:lineRule="exact"/>
        <w:ind w:firstLineChars="0"/>
        <w:outlineLvl w:val="1"/>
        <w:rPr>
          <w:rStyle w:val="36"/>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36"/>
          <w:rFonts w:hint="eastAsia" w:ascii="黑体" w:hAnsi="黑体" w:eastAsia="黑体"/>
          <w:b w:val="0"/>
        </w:rPr>
        <w:t>入支出决算总体情况说明</w:t>
      </w:r>
      <w:bookmarkEnd w:id="20"/>
      <w:bookmarkEnd w:id="21"/>
    </w:p>
    <w:p>
      <w:pPr>
        <w:numPr>
          <w:ilvl w:val="0"/>
          <w:numId w:val="0"/>
        </w:numPr>
        <w:ind w:firstLine="640" w:firstLineChars="200"/>
        <w:rPr>
          <w:rFonts w:hint="eastAsia" w:ascii="仿宋" w:hAnsi="仿宋" w:eastAsia="仿宋" w:cs="Times New Roman"/>
          <w:kern w:val="0"/>
          <w:sz w:val="32"/>
          <w:szCs w:val="32"/>
          <w:lang w:val="en-US" w:eastAsia="zh-CN" w:bidi="ar-SA"/>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hint="eastAsia" w:ascii="仿宋" w:hAnsi="仿宋" w:eastAsia="仿宋" w:cs="Times New Roman"/>
          <w:kern w:val="0"/>
          <w:sz w:val="32"/>
          <w:szCs w:val="32"/>
          <w:lang w:val="en-US" w:eastAsia="zh-CN" w:bidi="ar-SA"/>
        </w:rPr>
        <w:t>1072.1</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256.2</w:t>
      </w:r>
      <w:r>
        <w:rPr>
          <w:rFonts w:hint="eastAsia" w:ascii="仿宋" w:hAnsi="仿宋" w:eastAsia="仿宋"/>
          <w:color w:val="000000"/>
          <w:sz w:val="32"/>
          <w:szCs w:val="32"/>
        </w:rPr>
        <w:t>万元，增长</w:t>
      </w:r>
      <w:r>
        <w:rPr>
          <w:rFonts w:hint="eastAsia" w:ascii="仿宋" w:hAnsi="仿宋" w:eastAsia="仿宋" w:cs="Times New Roman"/>
          <w:kern w:val="0"/>
          <w:sz w:val="32"/>
          <w:szCs w:val="32"/>
          <w:lang w:val="en-US" w:eastAsia="zh-CN" w:bidi="ar-SA"/>
        </w:rPr>
        <w:t>31%。主要变动原因是人员增加。</w:t>
      </w:r>
    </w:p>
    <w:p>
      <w:pPr>
        <w:spacing w:line="600" w:lineRule="exact"/>
        <w:ind w:left="640"/>
        <w:rPr>
          <w:rFonts w:ascii="仿宋" w:hAnsi="仿宋" w:eastAsia="仿宋"/>
          <w:color w:val="000000"/>
          <w:sz w:val="32"/>
          <w:szCs w:val="32"/>
        </w:rPr>
      </w:pPr>
    </w:p>
    <w:p>
      <w:pPr>
        <w:spacing w:line="60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drawing>
          <wp:anchor distT="0" distB="0" distL="114300" distR="114300" simplePos="0" relativeHeight="251660288" behindDoc="0" locked="0" layoutInCell="1" allowOverlap="1">
            <wp:simplePos x="0" y="0"/>
            <wp:positionH relativeFrom="column">
              <wp:posOffset>576580</wp:posOffset>
            </wp:positionH>
            <wp:positionV relativeFrom="paragraph">
              <wp:posOffset>260350</wp:posOffset>
            </wp:positionV>
            <wp:extent cx="4260850" cy="2755900"/>
            <wp:effectExtent l="5080" t="4445" r="20320" b="209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30"/>
        <w:numPr>
          <w:ilvl w:val="0"/>
          <w:numId w:val="0"/>
        </w:numPr>
        <w:spacing w:line="600" w:lineRule="exact"/>
        <w:outlineLvl w:val="1"/>
        <w:rPr>
          <w:rFonts w:hint="eastAsia" w:ascii="黑体" w:hAnsi="黑体" w:eastAsia="黑体"/>
          <w:color w:val="000000"/>
          <w:sz w:val="32"/>
          <w:szCs w:val="32"/>
        </w:rPr>
      </w:pPr>
      <w:bookmarkStart w:id="22" w:name="_Toc15396604"/>
      <w:bookmarkStart w:id="23" w:name="_Toc15377206"/>
    </w:p>
    <w:p>
      <w:pPr>
        <w:pStyle w:val="30"/>
        <w:numPr>
          <w:ilvl w:val="0"/>
          <w:numId w:val="0"/>
        </w:numPr>
        <w:spacing w:line="600" w:lineRule="exact"/>
        <w:outlineLvl w:val="1"/>
        <w:rPr>
          <w:rFonts w:hint="eastAsia" w:ascii="黑体" w:hAnsi="黑体" w:eastAsia="黑体"/>
          <w:color w:val="000000"/>
          <w:sz w:val="32"/>
          <w:szCs w:val="32"/>
        </w:rPr>
      </w:pPr>
    </w:p>
    <w:p>
      <w:pPr>
        <w:pStyle w:val="30"/>
        <w:numPr>
          <w:ilvl w:val="0"/>
          <w:numId w:val="0"/>
        </w:numPr>
        <w:spacing w:line="600" w:lineRule="exact"/>
        <w:outlineLvl w:val="1"/>
        <w:rPr>
          <w:rFonts w:hint="eastAsia" w:ascii="黑体" w:hAnsi="黑体" w:eastAsia="黑体"/>
          <w:color w:val="000000"/>
          <w:sz w:val="32"/>
          <w:szCs w:val="32"/>
        </w:rPr>
      </w:pPr>
    </w:p>
    <w:p>
      <w:pPr>
        <w:pStyle w:val="30"/>
        <w:numPr>
          <w:ilvl w:val="0"/>
          <w:numId w:val="0"/>
        </w:numPr>
        <w:spacing w:line="600" w:lineRule="exact"/>
        <w:outlineLvl w:val="1"/>
        <w:rPr>
          <w:rFonts w:hint="eastAsia" w:ascii="黑体" w:hAnsi="黑体" w:eastAsia="黑体"/>
          <w:color w:val="000000"/>
          <w:sz w:val="32"/>
          <w:szCs w:val="32"/>
        </w:rPr>
      </w:pPr>
    </w:p>
    <w:bookmarkEnd w:id="22"/>
    <w:bookmarkEnd w:id="23"/>
    <w:p>
      <w:pPr>
        <w:pStyle w:val="33"/>
        <w:numPr>
          <w:ilvl w:val="0"/>
          <w:numId w:val="1"/>
        </w:numPr>
        <w:spacing w:line="600" w:lineRule="exact"/>
        <w:ind w:firstLineChars="0"/>
        <w:outlineLvl w:val="1"/>
        <w:rPr>
          <w:rStyle w:val="36"/>
          <w:rFonts w:ascii="黑体" w:hAnsi="黑体" w:eastAsia="黑体"/>
          <w:b w:val="0"/>
        </w:rPr>
      </w:pPr>
      <w:r>
        <w:rPr>
          <w:rFonts w:hint="eastAsia" w:ascii="黑体" w:hAnsi="黑体" w:eastAsia="黑体"/>
          <w:color w:val="000000"/>
          <w:sz w:val="32"/>
          <w:szCs w:val="32"/>
        </w:rPr>
        <w:t>收</w:t>
      </w:r>
      <w:r>
        <w:rPr>
          <w:rStyle w:val="36"/>
          <w:rFonts w:hint="eastAsia" w:ascii="黑体" w:hAnsi="黑体" w:eastAsia="黑体"/>
          <w:b w:val="0"/>
        </w:rPr>
        <w:t>入决算情况说明</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1072.1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1072.1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1344295</wp:posOffset>
            </wp:positionH>
            <wp:positionV relativeFrom="paragraph">
              <wp:posOffset>318770</wp:posOffset>
            </wp:positionV>
            <wp:extent cx="4146550" cy="2638425"/>
            <wp:effectExtent l="4445" t="5080" r="20955" b="444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33"/>
        <w:numPr>
          <w:ilvl w:val="0"/>
          <w:numId w:val="1"/>
        </w:numPr>
        <w:spacing w:line="600" w:lineRule="exact"/>
        <w:ind w:firstLineChars="0"/>
        <w:outlineLvl w:val="1"/>
        <w:rPr>
          <w:rStyle w:val="36"/>
          <w:rFonts w:ascii="黑体" w:hAnsi="黑体" w:eastAsia="黑体"/>
          <w:b w:val="0"/>
        </w:rPr>
      </w:pPr>
      <w:bookmarkStart w:id="24" w:name="_Toc15377207"/>
      <w:bookmarkStart w:id="25" w:name="_Toc15396605"/>
      <w:r>
        <w:rPr>
          <w:rFonts w:hint="eastAsia" w:ascii="黑体" w:hAnsi="黑体" w:eastAsia="黑体"/>
          <w:color w:val="000000"/>
          <w:sz w:val="32"/>
          <w:szCs w:val="32"/>
        </w:rPr>
        <w:t>支</w:t>
      </w:r>
      <w:r>
        <w:rPr>
          <w:rStyle w:val="36"/>
          <w:rFonts w:hint="eastAsia" w:ascii="黑体" w:hAnsi="黑体" w:eastAsia="黑体"/>
          <w:b w:val="0"/>
        </w:rPr>
        <w:t>出决算情况说明</w:t>
      </w:r>
      <w:bookmarkEnd w:id="24"/>
      <w:bookmarkEnd w:id="25"/>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1072.1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697.69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374.41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1166495</wp:posOffset>
            </wp:positionH>
            <wp:positionV relativeFrom="paragraph">
              <wp:posOffset>-692785</wp:posOffset>
            </wp:positionV>
            <wp:extent cx="3013710" cy="2560320"/>
            <wp:effectExtent l="19050" t="0" r="1524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bookmarkStart w:id="26" w:name="_Toc15396606"/>
      <w:bookmarkStart w:id="27" w:name="_Toc15377208"/>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bookmarkEnd w:id="26"/>
    <w:bookmarkEnd w:id="27"/>
    <w:p>
      <w:pPr>
        <w:spacing w:line="600" w:lineRule="exact"/>
        <w:ind w:firstLine="640" w:firstLineChars="200"/>
        <w:outlineLvl w:val="1"/>
        <w:rPr>
          <w:rStyle w:val="36"/>
          <w:rFonts w:ascii="黑体" w:hAnsi="黑体" w:eastAsia="黑体"/>
          <w:b w:val="0"/>
        </w:rPr>
      </w:pPr>
      <w:r>
        <w:rPr>
          <w:rFonts w:hint="eastAsia" w:ascii="黑体" w:hAnsi="黑体" w:eastAsia="黑体"/>
          <w:color w:val="000000"/>
          <w:sz w:val="32"/>
          <w:szCs w:val="32"/>
        </w:rPr>
        <w:t>四、财</w:t>
      </w:r>
      <w:r>
        <w:rPr>
          <w:rStyle w:val="36"/>
          <w:rFonts w:hint="eastAsia" w:ascii="黑体" w:hAnsi="黑体" w:eastAsia="黑体"/>
          <w:b w:val="0"/>
        </w:rPr>
        <w:t>政拨款收入支出决算总体情况说明</w:t>
      </w:r>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1072.1</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256.2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人员增加。</w:t>
      </w:r>
    </w:p>
    <w:p>
      <w:pPr>
        <w:spacing w:line="600" w:lineRule="exact"/>
        <w:ind w:firstLine="640" w:firstLineChars="200"/>
        <w:rPr>
          <w:rFonts w:ascii="仿宋" w:hAnsi="仿宋" w:eastAsia="仿宋"/>
          <w:color w:val="000000"/>
          <w:sz w:val="32"/>
          <w:szCs w:val="32"/>
        </w:rPr>
      </w:pPr>
    </w:p>
    <w:p>
      <w:pPr>
        <w:spacing w:line="600" w:lineRule="exact"/>
        <w:ind w:firstLine="640"/>
        <w:rPr>
          <w:rFonts w:ascii="仿宋" w:hAnsi="仿宋" w:eastAsia="仿宋"/>
          <w:b/>
          <w:color w:val="00B050"/>
          <w:sz w:val="32"/>
          <w:szCs w:val="32"/>
        </w:rPr>
      </w:pPr>
      <w:r>
        <w:rPr>
          <w:rFonts w:hint="eastAsia" w:ascii="仿宋" w:hAnsi="仿宋" w:eastAsia="仿宋"/>
          <w:bCs/>
          <w:color w:val="000000"/>
          <w:kern w:val="0"/>
          <w:sz w:val="32"/>
          <w:szCs w:val="32"/>
        </w:rPr>
        <w:drawing>
          <wp:anchor distT="0" distB="0" distL="114300" distR="114300" simplePos="0" relativeHeight="251662336" behindDoc="0" locked="0" layoutInCell="1" allowOverlap="1">
            <wp:simplePos x="0" y="0"/>
            <wp:positionH relativeFrom="column">
              <wp:posOffset>828675</wp:posOffset>
            </wp:positionH>
            <wp:positionV relativeFrom="paragraph">
              <wp:posOffset>161925</wp:posOffset>
            </wp:positionV>
            <wp:extent cx="4260850" cy="2755900"/>
            <wp:effectExtent l="5080" t="4445" r="20320" b="2095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36"/>
          <w:rFonts w:ascii="黑体" w:hAnsi="黑体" w:eastAsia="黑体"/>
          <w:b w:val="0"/>
        </w:rPr>
      </w:pPr>
      <w:bookmarkStart w:id="28" w:name="_Toc15377209"/>
      <w:bookmarkStart w:id="29"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6"/>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w:t>
      </w:r>
      <w:r>
        <w:rPr>
          <w:rFonts w:hint="eastAsia" w:ascii="仿宋" w:hAnsi="仿宋" w:eastAsia="仿宋"/>
          <w:color w:val="000000"/>
          <w:sz w:val="32"/>
          <w:szCs w:val="32"/>
          <w:lang w:val="en-US" w:eastAsia="zh-CN"/>
        </w:rPr>
        <w:t>出1072.01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256.2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人员增加。</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1072.1</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940.1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59.53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28.59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42.88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spacing w:line="600" w:lineRule="exact"/>
        <w:ind w:firstLine="642" w:firstLineChars="200"/>
        <w:outlineLvl w:val="2"/>
        <w:rPr>
          <w:rFonts w:ascii="仿宋" w:hAnsi="仿宋" w:eastAsia="仿宋"/>
          <w:color w:val="FF0000"/>
          <w:sz w:val="32"/>
          <w:szCs w:val="32"/>
        </w:rPr>
      </w:pPr>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1072.1</w:t>
      </w:r>
      <w:r>
        <w:rPr>
          <w:rFonts w:hint="eastAsia" w:ascii="仿宋" w:hAnsi="仿宋" w:eastAsia="仿宋"/>
          <w:color w:val="000000"/>
          <w:sz w:val="32"/>
          <w:szCs w:val="32"/>
        </w:rPr>
        <w:t>，</w:t>
      </w:r>
      <w:r>
        <w:rPr>
          <w:rStyle w:val="18"/>
          <w:rFonts w:hint="eastAsia" w:ascii="仿宋" w:hAnsi="仿宋" w:eastAsia="仿宋"/>
          <w:bCs/>
          <w:color w:val="000000"/>
          <w:sz w:val="32"/>
          <w:szCs w:val="32"/>
        </w:rPr>
        <w:t>完成预算</w:t>
      </w:r>
      <w:r>
        <w:rPr>
          <w:rStyle w:val="18"/>
          <w:rFonts w:hint="eastAsia" w:ascii="仿宋" w:hAnsi="仿宋" w:eastAsia="仿宋"/>
          <w:bCs/>
          <w:color w:val="000000"/>
          <w:sz w:val="32"/>
          <w:szCs w:val="32"/>
          <w:lang w:val="en-US" w:eastAsia="zh-CN"/>
        </w:rPr>
        <w:t>100</w:t>
      </w:r>
      <w:r>
        <w:rPr>
          <w:rStyle w:val="18"/>
          <w:rFonts w:ascii="仿宋" w:hAnsi="仿宋" w:eastAsia="仿宋"/>
          <w:bCs/>
          <w:color w:val="000000"/>
          <w:sz w:val="32"/>
          <w:szCs w:val="32"/>
        </w:rPr>
        <w:t>%</w:t>
      </w:r>
      <w:r>
        <w:rPr>
          <w:rStyle w:val="18"/>
          <w:rFonts w:hint="eastAsia" w:ascii="仿宋" w:hAnsi="仿宋" w:eastAsia="仿宋"/>
          <w:bCs/>
          <w:color w:val="000000"/>
          <w:sz w:val="32"/>
          <w:szCs w:val="32"/>
        </w:rPr>
        <w:t>。其中：</w:t>
      </w:r>
    </w:p>
    <w:p>
      <w:pPr>
        <w:spacing w:line="600" w:lineRule="exact"/>
        <w:ind w:firstLine="642" w:firstLineChars="200"/>
        <w:rPr>
          <w:rFonts w:ascii="仿宋" w:hAnsi="仿宋" w:eastAsia="仿宋"/>
          <w:b/>
          <w:color w:val="000000"/>
          <w:sz w:val="32"/>
          <w:szCs w:val="32"/>
        </w:rPr>
      </w:pPr>
      <w:r>
        <w:rPr>
          <w:rStyle w:val="18"/>
          <w:rFonts w:ascii="仿宋" w:hAnsi="仿宋" w:eastAsia="仿宋"/>
          <w:bCs/>
          <w:color w:val="000000"/>
          <w:sz w:val="32"/>
          <w:szCs w:val="32"/>
        </w:rPr>
        <w:t>1.</w:t>
      </w:r>
      <w:r>
        <w:rPr>
          <w:rStyle w:val="18"/>
          <w:rFonts w:hint="eastAsia" w:ascii="仿宋" w:hAnsi="仿宋" w:eastAsia="仿宋"/>
          <w:bCs/>
          <w:color w:val="000000"/>
          <w:sz w:val="32"/>
          <w:szCs w:val="32"/>
        </w:rPr>
        <w:t>一般公共服务</w:t>
      </w:r>
      <w:r>
        <w:rPr>
          <w:rStyle w:val="18"/>
          <w:rFonts w:hint="eastAsia" w:ascii="仿宋" w:hAnsi="仿宋" w:eastAsia="仿宋"/>
          <w:bCs/>
          <w:color w:val="000000"/>
          <w:sz w:val="32"/>
          <w:szCs w:val="32"/>
          <w:lang w:val="en-US" w:eastAsia="zh-CN"/>
        </w:rPr>
        <w:t>2011101</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940.1</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8"/>
          <w:rFonts w:ascii="仿宋" w:hAnsi="仿宋" w:eastAsia="仿宋"/>
          <w:bCs/>
          <w:color w:val="000000"/>
          <w:sz w:val="32"/>
          <w:szCs w:val="32"/>
        </w:rPr>
        <w:t>2.</w:t>
      </w:r>
      <w:r>
        <w:rPr>
          <w:rStyle w:val="18"/>
          <w:rFonts w:hint="eastAsia" w:ascii="仿宋" w:hAnsi="仿宋" w:eastAsia="仿宋"/>
          <w:bCs/>
          <w:color w:val="000000"/>
          <w:sz w:val="32"/>
          <w:szCs w:val="32"/>
        </w:rPr>
        <w:t>教育</w:t>
      </w:r>
      <w:r>
        <w:rPr>
          <w:rStyle w:val="18"/>
          <w:rFonts w:hint="eastAsia" w:ascii="仿宋" w:hAnsi="仿宋" w:eastAsia="仿宋"/>
          <w:bCs/>
          <w:color w:val="000000"/>
          <w:sz w:val="32"/>
          <w:szCs w:val="32"/>
          <w:lang w:val="en-US" w:eastAsia="zh-CN"/>
        </w:rPr>
        <w:t>2050803</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8"/>
          <w:rFonts w:hint="eastAsia" w:ascii="仿宋" w:hAnsi="仿宋" w:eastAsia="仿宋"/>
          <w:bCs/>
          <w:color w:val="000000"/>
          <w:sz w:val="32"/>
          <w:szCs w:val="32"/>
          <w:lang w:val="en-US" w:eastAsia="zh-CN"/>
        </w:rPr>
        <w:t>3</w:t>
      </w:r>
      <w:r>
        <w:rPr>
          <w:rStyle w:val="18"/>
          <w:rFonts w:ascii="仿宋" w:hAnsi="仿宋" w:eastAsia="仿宋"/>
          <w:bCs/>
          <w:color w:val="000000"/>
          <w:sz w:val="32"/>
          <w:szCs w:val="32"/>
        </w:rPr>
        <w:t>.</w:t>
      </w:r>
      <w:r>
        <w:rPr>
          <w:rStyle w:val="18"/>
          <w:rFonts w:hint="eastAsia" w:ascii="仿宋" w:hAnsi="仿宋" w:eastAsia="仿宋"/>
          <w:bCs/>
          <w:color w:val="000000"/>
          <w:sz w:val="32"/>
          <w:szCs w:val="32"/>
        </w:rPr>
        <w:t>社会保障和就业</w:t>
      </w:r>
      <w:r>
        <w:rPr>
          <w:rStyle w:val="18"/>
          <w:rFonts w:hint="eastAsia" w:ascii="仿宋" w:hAnsi="仿宋" w:eastAsia="仿宋"/>
          <w:bCs/>
          <w:color w:val="000000"/>
          <w:sz w:val="32"/>
          <w:szCs w:val="32"/>
          <w:lang w:val="en-US" w:eastAsia="zh-CN"/>
        </w:rPr>
        <w:t>2080505</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59.53</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，决算数等于预算数。</w:t>
      </w:r>
    </w:p>
    <w:p>
      <w:pPr>
        <w:spacing w:line="600" w:lineRule="exact"/>
        <w:ind w:firstLine="642" w:firstLineChars="200"/>
        <w:rPr>
          <w:rStyle w:val="18"/>
          <w:rFonts w:hint="eastAsia" w:ascii="仿宋" w:hAnsi="仿宋" w:eastAsia="仿宋"/>
          <w:b w:val="0"/>
          <w:bCs/>
          <w:color w:val="000000"/>
          <w:sz w:val="32"/>
          <w:szCs w:val="32"/>
        </w:rPr>
      </w:pPr>
      <w:r>
        <w:rPr>
          <w:rStyle w:val="18"/>
          <w:rFonts w:hint="eastAsia" w:ascii="仿宋" w:hAnsi="仿宋" w:eastAsia="仿宋"/>
          <w:bCs/>
          <w:color w:val="000000"/>
          <w:sz w:val="32"/>
          <w:szCs w:val="32"/>
          <w:lang w:val="en-US" w:eastAsia="zh-CN"/>
        </w:rPr>
        <w:t>4</w:t>
      </w:r>
      <w:r>
        <w:rPr>
          <w:rStyle w:val="18"/>
          <w:rFonts w:ascii="仿宋" w:hAnsi="仿宋" w:eastAsia="仿宋"/>
          <w:bCs/>
          <w:color w:val="000000"/>
          <w:sz w:val="32"/>
          <w:szCs w:val="32"/>
        </w:rPr>
        <w:t>.</w:t>
      </w:r>
      <w:r>
        <w:rPr>
          <w:rFonts w:hint="eastAsia" w:ascii="仿宋" w:hAnsi="仿宋" w:eastAsia="仿宋"/>
          <w:b/>
          <w:bCs/>
          <w:color w:val="000000"/>
          <w:sz w:val="32"/>
          <w:szCs w:val="32"/>
        </w:rPr>
        <w:t>卫生健康</w:t>
      </w:r>
      <w:r>
        <w:rPr>
          <w:rStyle w:val="18"/>
          <w:rFonts w:hint="eastAsia" w:ascii="仿宋" w:hAnsi="仿宋" w:eastAsia="仿宋"/>
          <w:bCs/>
          <w:color w:val="000000"/>
          <w:sz w:val="32"/>
          <w:szCs w:val="32"/>
          <w:lang w:val="en-US" w:eastAsia="zh-CN"/>
        </w:rPr>
        <w:t>2101101：</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28.59</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，决算数等于预算数。</w:t>
      </w:r>
    </w:p>
    <w:p>
      <w:pPr>
        <w:spacing w:line="600" w:lineRule="exact"/>
        <w:ind w:firstLine="642" w:firstLineChars="200"/>
        <w:rPr>
          <w:rStyle w:val="18"/>
          <w:rFonts w:hint="eastAsia" w:ascii="仿宋" w:hAnsi="仿宋" w:eastAsia="仿宋"/>
          <w:b w:val="0"/>
          <w:bCs/>
          <w:color w:val="000000"/>
          <w:sz w:val="32"/>
          <w:szCs w:val="32"/>
        </w:rPr>
      </w:pPr>
      <w:r>
        <w:rPr>
          <w:rStyle w:val="18"/>
          <w:rFonts w:hint="eastAsia" w:ascii="仿宋" w:hAnsi="仿宋" w:eastAsia="仿宋" w:cs="Times New Roman"/>
          <w:b/>
          <w:bCs/>
          <w:color w:val="000000"/>
          <w:kern w:val="2"/>
          <w:sz w:val="32"/>
          <w:szCs w:val="32"/>
          <w:lang w:val="en-US" w:eastAsia="zh-CN" w:bidi="ar-SA"/>
        </w:rPr>
        <w:t>5.住房保障支出2210201：</w:t>
      </w:r>
      <w:r>
        <w:rPr>
          <w:rStyle w:val="18"/>
          <w:rFonts w:hint="eastAsia" w:ascii="仿宋" w:hAnsi="仿宋" w:eastAsia="仿宋"/>
          <w:b w:val="0"/>
          <w:bCs/>
          <w:color w:val="000000"/>
          <w:sz w:val="32"/>
          <w:szCs w:val="32"/>
          <w:lang w:val="en-US" w:eastAsia="zh-CN"/>
        </w:rPr>
        <w:t>支出决算为42.88万元，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，决算数等于预算数。</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tabs>
          <w:tab w:val="right" w:pos="8306"/>
        </w:tabs>
        <w:spacing w:line="600" w:lineRule="exact"/>
        <w:ind w:firstLine="640"/>
        <w:outlineLvl w:val="1"/>
        <w:rPr>
          <w:rStyle w:val="36"/>
        </w:rPr>
      </w:pPr>
      <w:bookmarkStart w:id="31" w:name="_Toc15377214"/>
      <w:bookmarkStart w:id="32"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6"/>
          <w:rFonts w:hint="eastAsia" w:ascii="黑体" w:hAnsi="黑体" w:eastAsia="黑体"/>
          <w:b w:val="0"/>
        </w:rPr>
        <w:t>般公共预算财政拨款基本支出决算情况说明</w:t>
      </w:r>
      <w:bookmarkEnd w:id="31"/>
      <w:bookmarkEnd w:id="32"/>
      <w:r>
        <w:rPr>
          <w:rStyle w:val="3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1072.1</w:t>
      </w:r>
      <w:r>
        <w:rPr>
          <w:rFonts w:hint="eastAsia" w:ascii="仿宋" w:hAnsi="仿宋" w:eastAsia="仿宋"/>
          <w:color w:val="000000"/>
          <w:sz w:val="32"/>
          <w:szCs w:val="32"/>
        </w:rPr>
        <w:t>万元，其中：</w:t>
      </w:r>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636.75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435.35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6"/>
          <w:rFonts w:ascii="黑体" w:hAnsi="黑体" w:eastAsia="黑体"/>
          <w:b w:val="0"/>
        </w:rPr>
      </w:pPr>
      <w:bookmarkStart w:id="33" w:name="_Toc15377215"/>
      <w:bookmarkStart w:id="34" w:name="_Toc15396609"/>
      <w:bookmarkStart w:id="35" w:name="_Toc15377216"/>
      <w:r>
        <w:rPr>
          <w:rFonts w:hint="eastAsia" w:ascii="黑体" w:eastAsia="黑体"/>
          <w:color w:val="000000"/>
          <w:sz w:val="32"/>
          <w:szCs w:val="32"/>
        </w:rPr>
        <w:t>七、</w:t>
      </w:r>
      <w:r>
        <w:rPr>
          <w:rStyle w:val="36"/>
          <w:rFonts w:hint="eastAsia" w:ascii="黑体" w:hAnsi="黑体" w:eastAsia="黑体"/>
        </w:rPr>
        <w:t>“</w:t>
      </w:r>
      <w:r>
        <w:rPr>
          <w:rStyle w:val="36"/>
          <w:rFonts w:hint="eastAsia" w:ascii="黑体" w:hAnsi="黑体" w:eastAsia="黑体"/>
          <w:b w:val="0"/>
        </w:rPr>
        <w:t>三公”经费财政拨款支出决算情况说明</w:t>
      </w:r>
      <w:bookmarkEnd w:id="33"/>
      <w:bookmarkEnd w:id="34"/>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（一）“三公”经费财政拨款支出决算总体情况说明</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11.95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36" w:name="_Toc15377217"/>
      <w:r>
        <w:rPr>
          <w:rFonts w:hint="eastAsia" w:ascii="仿宋" w:hAnsi="仿宋" w:eastAsia="仿宋"/>
          <w:b/>
          <w:color w:val="000000"/>
          <w:sz w:val="32"/>
          <w:szCs w:val="32"/>
        </w:rPr>
        <w:t>（二）“三公”经费财政拨款支出决算具体情况说明</w:t>
      </w:r>
      <w:bookmarkEnd w:id="3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11.59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。开支内容包括：</w:t>
      </w:r>
      <w:r>
        <w:rPr>
          <w:rFonts w:hint="eastAsia" w:ascii="仿宋_GB2312" w:eastAsia="仿宋_GB2312"/>
          <w:color w:val="000000"/>
          <w:sz w:val="32"/>
          <w:szCs w:val="32"/>
          <w:lang w:val="en-US" w:eastAsia="zh-CN"/>
        </w:rPr>
        <w:t>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11.59</w:t>
      </w:r>
      <w:r>
        <w:rPr>
          <w:rFonts w:hint="eastAsia" w:ascii="仿宋_GB2312" w:eastAsia="仿宋_GB2312"/>
          <w:color w:val="000000"/>
          <w:sz w:val="32"/>
          <w:szCs w:val="32"/>
        </w:rPr>
        <w:t>万元</w:t>
      </w:r>
      <w:r>
        <w:rPr>
          <w:rFonts w:ascii="仿宋_GB2312" w:eastAsia="仿宋_GB2312"/>
          <w:color w:val="000000"/>
          <w:sz w:val="32"/>
          <w:szCs w:val="32"/>
        </w:rPr>
        <w:t>,</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6.7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厉行节约</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11.59</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案件查办、信访核实、专项督查、暗访、宣传</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0.36</w:t>
      </w:r>
      <w:r>
        <w:rPr>
          <w:rFonts w:hint="eastAsia" w:ascii="仿宋_GB2312" w:eastAsia="仿宋_GB2312"/>
          <w:color w:val="000000"/>
          <w:sz w:val="32"/>
          <w:szCs w:val="32"/>
        </w:rPr>
        <w:t>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0.01</w:t>
      </w:r>
      <w:r>
        <w:rPr>
          <w:rFonts w:hint="eastAsia" w:ascii="仿宋_GB2312" w:eastAsia="仿宋_GB2312"/>
          <w:color w:val="000000"/>
          <w:sz w:val="32"/>
          <w:szCs w:val="32"/>
        </w:rPr>
        <w:t>万元。主要原因是</w:t>
      </w:r>
      <w:r>
        <w:rPr>
          <w:rFonts w:hint="eastAsia" w:ascii="仿宋_GB2312" w:eastAsia="仿宋_GB2312"/>
          <w:color w:val="000000"/>
          <w:sz w:val="32"/>
          <w:szCs w:val="32"/>
          <w:lang w:val="en-US" w:eastAsia="zh-CN"/>
        </w:rPr>
        <w:t>严格按照相关政策规定，控制接待标准与人数</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0.36</w:t>
      </w:r>
      <w:r>
        <w:rPr>
          <w:rFonts w:hint="eastAsia" w:ascii="仿宋_GB2312" w:eastAsia="仿宋_GB2312"/>
          <w:color w:val="000000"/>
          <w:sz w:val="32"/>
          <w:szCs w:val="32"/>
        </w:rPr>
        <w:t>万元，</w:t>
      </w:r>
      <w:r>
        <w:rPr>
          <w:rFonts w:hint="eastAsia" w:ascii="仿宋" w:hAnsi="仿宋" w:eastAsia="仿宋"/>
          <w:color w:val="000000"/>
          <w:sz w:val="32"/>
          <w:szCs w:val="32"/>
        </w:rPr>
        <w:t>国内公务接待55批次，466人次（不包括陪同人员），共计支出2.33万元，具体内容包括：上级检查工作及考察调研相关工作。</w:t>
      </w:r>
      <w:r>
        <w:rPr>
          <w:rFonts w:hint="eastAsia" w:ascii="仿宋_GB2312" w:eastAsia="仿宋_GB2312"/>
          <w:color w:val="000000"/>
          <w:sz w:val="32"/>
          <w:szCs w:val="32"/>
        </w:rPr>
        <w:t>主要用于执行公务、开展业务活动开支的交通费、住宿费、用餐费等。</w:t>
      </w:r>
    </w:p>
    <w:p>
      <w:pPr>
        <w:spacing w:line="600" w:lineRule="exact"/>
        <w:ind w:firstLine="640"/>
        <w:outlineLvl w:val="1"/>
        <w:rPr>
          <w:rFonts w:hint="eastAsia" w:ascii="仿宋" w:hAnsi="仿宋" w:eastAsia="仿宋"/>
          <w:color w:val="000000"/>
          <w:sz w:val="32"/>
          <w:szCs w:val="32"/>
          <w:lang w:val="en-US"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无。</w:t>
      </w:r>
    </w:p>
    <w:p>
      <w:pPr>
        <w:spacing w:line="100" w:lineRule="atLeast"/>
        <w:ind w:firstLine="320" w:firstLineChars="100"/>
        <w:jc w:val="left"/>
        <w:rPr>
          <w:rFonts w:ascii="仿宋" w:hAnsi="仿宋" w:eastAsia="仿宋"/>
          <w:sz w:val="32"/>
          <w:szCs w:val="32"/>
        </w:rPr>
      </w:pPr>
      <w:r>
        <w:rPr>
          <w:rFonts w:hint="eastAsia" w:ascii="仿宋" w:hAnsi="仿宋" w:eastAsia="仿宋"/>
          <w:sz w:val="32"/>
          <w:szCs w:val="32"/>
        </w:rPr>
        <w:drawing>
          <wp:inline distT="0" distB="0" distL="0" distR="0">
            <wp:extent cx="4870450" cy="1828800"/>
            <wp:effectExtent l="19050" t="0" r="25400" b="0"/>
            <wp:docPr id="5" name="对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35"/>
    <w:p>
      <w:pPr>
        <w:spacing w:line="600" w:lineRule="exact"/>
        <w:ind w:firstLine="480" w:firstLineChars="150"/>
        <w:outlineLvl w:val="1"/>
        <w:rPr>
          <w:rStyle w:val="21"/>
          <w:rFonts w:ascii="黑体" w:hAnsi="黑体" w:eastAsia="黑体"/>
        </w:rPr>
      </w:pPr>
      <w:bookmarkStart w:id="37" w:name="_Toc15377218"/>
      <w:bookmarkStart w:id="38" w:name="_Toc15396610"/>
      <w:r>
        <w:rPr>
          <w:rFonts w:hint="eastAsia" w:ascii="黑体" w:eastAsia="黑体"/>
          <w:color w:val="000000"/>
          <w:sz w:val="32"/>
          <w:szCs w:val="32"/>
        </w:rPr>
        <w:t>八、</w:t>
      </w:r>
      <w:r>
        <w:rPr>
          <w:rStyle w:val="21"/>
          <w:rFonts w:hint="eastAsia" w:ascii="黑体" w:hAnsi="黑体" w:eastAsia="黑体"/>
          <w:b w:val="0"/>
        </w:rPr>
        <w:t>政府性基金预算支出决算情况说明</w:t>
      </w:r>
      <w:bookmarkEnd w:id="37"/>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年政府性基金预算拨款支出0万元。</w:t>
      </w:r>
    </w:p>
    <w:p>
      <w:pPr>
        <w:numPr>
          <w:ilvl w:val="0"/>
          <w:numId w:val="2"/>
        </w:numPr>
        <w:spacing w:line="600" w:lineRule="exact"/>
        <w:ind w:firstLine="640"/>
        <w:outlineLvl w:val="1"/>
        <w:rPr>
          <w:rStyle w:val="21"/>
          <w:rFonts w:ascii="黑体" w:hAnsi="黑体" w:eastAsia="黑体"/>
          <w:b w:val="0"/>
        </w:rPr>
      </w:pPr>
      <w:bookmarkStart w:id="39" w:name="_Toc15377219"/>
      <w:bookmarkStart w:id="40" w:name="_Toc15396611"/>
      <w:r>
        <w:rPr>
          <w:rStyle w:val="21"/>
          <w:rFonts w:hint="eastAsia" w:ascii="黑体" w:hAnsi="黑体" w:eastAsia="黑体"/>
          <w:b w:val="0"/>
        </w:rPr>
        <w:t>国有资本经营预算支出决算情况说明</w:t>
      </w:r>
      <w:bookmarkEnd w:id="39"/>
      <w:bookmarkEnd w:id="40"/>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年国有资本经营预算拨款支出0万元。</w:t>
      </w:r>
    </w:p>
    <w:p>
      <w:pPr>
        <w:spacing w:line="600" w:lineRule="exact"/>
        <w:ind w:firstLine="800" w:firstLineChars="250"/>
        <w:outlineLvl w:val="1"/>
        <w:rPr>
          <w:rStyle w:val="36"/>
          <w:rFonts w:ascii="黑体" w:hAnsi="黑体" w:eastAsia="黑体"/>
        </w:rPr>
      </w:pPr>
      <w:r>
        <w:rPr>
          <w:rFonts w:hint="eastAsia" w:ascii="黑体" w:hAnsi="黑体" w:eastAsia="黑体"/>
          <w:color w:val="000000"/>
          <w:sz w:val="32"/>
          <w:szCs w:val="32"/>
        </w:rPr>
        <w:t>十</w:t>
      </w:r>
      <w:r>
        <w:rPr>
          <w:rStyle w:val="36"/>
          <w:rFonts w:hint="eastAsia" w:ascii="黑体" w:hAnsi="黑体" w:eastAsia="黑体"/>
        </w:rPr>
        <w:t>、</w:t>
      </w:r>
      <w:r>
        <w:rPr>
          <w:rStyle w:val="36"/>
          <w:rFonts w:hint="eastAsia" w:ascii="黑体" w:hAnsi="黑体" w:eastAsia="黑体"/>
          <w:b w:val="0"/>
        </w:rPr>
        <w:t>其他重要事项的情况说明</w:t>
      </w:r>
    </w:p>
    <w:p>
      <w:pPr>
        <w:spacing w:line="600" w:lineRule="exact"/>
        <w:ind w:firstLine="642"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hint="eastAsia" w:ascii="仿宋_GB2312" w:eastAsia="仿宋_GB2312"/>
          <w:color w:val="000000"/>
          <w:sz w:val="32"/>
          <w:szCs w:val="32"/>
          <w:lang w:val="en-US" w:eastAsia="zh-CN"/>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区纪委监委</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1072.1</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256.2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人员增加。</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1" w:name="_Toc15377223"/>
      <w:r>
        <w:rPr>
          <w:rFonts w:hint="eastAsia" w:ascii="仿宋" w:hAnsi="仿宋" w:eastAsia="仿宋"/>
          <w:b/>
          <w:color w:val="000000"/>
          <w:sz w:val="32"/>
          <w:szCs w:val="32"/>
        </w:rPr>
        <w:t>（二）政府采购支出情况</w:t>
      </w:r>
      <w:bookmarkEnd w:id="4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区纪委</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2" w:name="_Toc15377224"/>
      <w:r>
        <w:rPr>
          <w:rFonts w:hint="eastAsia" w:ascii="仿宋" w:hAnsi="仿宋" w:eastAsia="仿宋"/>
          <w:b/>
          <w:color w:val="000000"/>
          <w:sz w:val="32"/>
          <w:szCs w:val="32"/>
        </w:rPr>
        <w:t>（三）国有资产占有使用情况</w:t>
      </w:r>
      <w:bookmarkEnd w:id="42"/>
    </w:p>
    <w:p>
      <w:pPr>
        <w:autoSpaceDE w:val="0"/>
        <w:autoSpaceDN w:val="0"/>
        <w:adjustRightInd w:val="0"/>
        <w:spacing w:line="600" w:lineRule="exact"/>
        <w:ind w:firstLine="640" w:firstLineChars="200"/>
        <w:jc w:val="left"/>
        <w:rPr>
          <w:rFonts w:hint="default" w:ascii="仿宋" w:hAnsi="仿宋" w:eastAsia="仿宋_GB2312"/>
          <w:b/>
          <w:color w:val="FF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区纪委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其他用车主要是用于</w:t>
      </w:r>
      <w:r>
        <w:rPr>
          <w:rFonts w:hint="eastAsia" w:ascii="仿宋_GB2312" w:eastAsia="仿宋_GB2312"/>
          <w:color w:val="000000"/>
          <w:sz w:val="32"/>
          <w:szCs w:val="32"/>
          <w:lang w:val="en-US" w:eastAsia="zh-CN"/>
        </w:rPr>
        <w:t>案件察办及信访核查，专项督查等。</w:t>
      </w:r>
    </w:p>
    <w:p>
      <w:pPr>
        <w:pStyle w:val="2"/>
      </w:pPr>
    </w:p>
    <w:p>
      <w:pPr>
        <w:pStyle w:val="30"/>
        <w:numPr>
          <w:ilvl w:val="0"/>
          <w:numId w:val="0"/>
        </w:numPr>
        <w:spacing w:line="580" w:lineRule="exact"/>
        <w:ind w:left="709" w:leftChars="0"/>
        <w:rPr>
          <w:rStyle w:val="21"/>
          <w:rFonts w:ascii="黑体" w:hAnsi="黑体" w:eastAsia="黑体"/>
          <w:b w:val="0"/>
        </w:rPr>
      </w:pP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四</w:t>
      </w:r>
      <w:r>
        <w:rPr>
          <w:rFonts w:hint="eastAsia" w:ascii="仿宋" w:hAnsi="仿宋" w:eastAsia="仿宋"/>
          <w:b/>
          <w:color w:val="000000"/>
          <w:sz w:val="32"/>
          <w:szCs w:val="32"/>
        </w:rPr>
        <w:t>）</w:t>
      </w:r>
      <w:r>
        <w:rPr>
          <w:rStyle w:val="21"/>
          <w:rFonts w:hint="eastAsia" w:ascii="黑体" w:hAnsi="黑体" w:eastAsia="黑体"/>
          <w:b w:val="0"/>
        </w:rPr>
        <w:t>预算绩效情况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本部门在</w:t>
      </w:r>
      <w:r>
        <w:rPr>
          <w:rFonts w:ascii="仿宋" w:hAnsi="仿宋" w:eastAsia="仿宋"/>
          <w:color w:val="000000"/>
          <w:sz w:val="32"/>
          <w:szCs w:val="32"/>
        </w:rPr>
        <w:t>2018</w:t>
      </w:r>
      <w:r>
        <w:rPr>
          <w:rFonts w:hint="eastAsia" w:ascii="仿宋" w:hAnsi="仿宋" w:eastAsia="仿宋"/>
          <w:color w:val="000000"/>
          <w:sz w:val="32"/>
          <w:szCs w:val="32"/>
        </w:rPr>
        <w:t>年度部门决算中反映“办案工作经费”、 “《朝天问政》节目”、“纪检监察干部培训工作经费”、</w:t>
      </w:r>
      <w:r>
        <w:rPr>
          <w:rFonts w:hint="eastAsia" w:ascii="仿宋" w:hAnsi="仿宋" w:eastAsia="仿宋"/>
          <w:color w:val="000000"/>
          <w:sz w:val="32"/>
          <w:szCs w:val="32"/>
          <w:lang w:val="en-US" w:eastAsia="zh-CN"/>
        </w:rPr>
        <w:t>等</w:t>
      </w:r>
      <w:r>
        <w:rPr>
          <w:rFonts w:hint="eastAsia" w:ascii="仿宋" w:hAnsi="仿宋" w:eastAsia="仿宋"/>
          <w:color w:val="000000"/>
          <w:sz w:val="32"/>
          <w:szCs w:val="32"/>
        </w:rPr>
        <w:t>5个项目绩效目标实际完成情况。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1.办案工作经费项目绩效目标完成情况综述。项目全年预算数</w:t>
      </w:r>
      <w:r>
        <w:rPr>
          <w:rFonts w:hint="eastAsia" w:ascii="仿宋" w:hAnsi="仿宋" w:eastAsia="仿宋"/>
          <w:color w:val="000000"/>
          <w:sz w:val="32"/>
          <w:szCs w:val="32"/>
          <w:lang w:val="en-US" w:eastAsia="zh-CN"/>
        </w:rPr>
        <w:t>70</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70</w:t>
      </w:r>
      <w:r>
        <w:rPr>
          <w:rFonts w:hint="eastAsia" w:ascii="仿宋" w:hAnsi="仿宋" w:eastAsia="仿宋"/>
          <w:color w:val="000000"/>
          <w:sz w:val="32"/>
          <w:szCs w:val="32"/>
        </w:rPr>
        <w:t>万元，完成预算的100</w:t>
      </w:r>
      <w:r>
        <w:rPr>
          <w:rFonts w:ascii="仿宋" w:hAnsi="仿宋" w:eastAsia="仿宋"/>
          <w:color w:val="000000"/>
          <w:sz w:val="32"/>
          <w:szCs w:val="32"/>
        </w:rPr>
        <w:t>%</w:t>
      </w:r>
      <w:r>
        <w:rPr>
          <w:rFonts w:hint="eastAsia" w:ascii="仿宋" w:hAnsi="仿宋" w:eastAsia="仿宋"/>
          <w:color w:val="000000"/>
          <w:sz w:val="32"/>
          <w:szCs w:val="32"/>
        </w:rPr>
        <w:t>。反腐败斗争形势依然严峻复杂，巩固压倒性态势、夺取压倒性胜利的任务依然艰巨繁重。我们始终保持惩贪治腐高压态势，充分释放持续从严的强烈信号。聚焦权力集中、群众反应强烈的系统领域，重点分析，重拳治理，共立案查处</w:t>
      </w:r>
      <w:r>
        <w:rPr>
          <w:rFonts w:hint="eastAsia" w:ascii="仿宋" w:hAnsi="仿宋" w:eastAsia="仿宋"/>
          <w:color w:val="000000"/>
          <w:sz w:val="32"/>
          <w:szCs w:val="32"/>
          <w:lang w:val="en-US" w:eastAsia="zh-CN"/>
        </w:rPr>
        <w:t>张建职务违法案、马佐成行贿</w:t>
      </w:r>
      <w:r>
        <w:rPr>
          <w:rFonts w:hint="eastAsia" w:ascii="仿宋" w:hAnsi="仿宋" w:eastAsia="仿宋"/>
          <w:color w:val="000000"/>
          <w:sz w:val="32"/>
          <w:szCs w:val="32"/>
        </w:rPr>
        <w:t>等各类案件</w:t>
      </w:r>
      <w:r>
        <w:rPr>
          <w:rFonts w:hint="eastAsia" w:ascii="仿宋" w:hAnsi="仿宋" w:eastAsia="仿宋"/>
          <w:color w:val="000000"/>
          <w:sz w:val="32"/>
          <w:szCs w:val="32"/>
          <w:lang w:val="en-US" w:eastAsia="zh-CN"/>
        </w:rPr>
        <w:t>共129</w:t>
      </w:r>
      <w:r>
        <w:rPr>
          <w:rFonts w:hint="eastAsia" w:ascii="仿宋" w:hAnsi="仿宋" w:eastAsia="仿宋"/>
          <w:color w:val="000000"/>
          <w:sz w:val="32"/>
          <w:szCs w:val="32"/>
        </w:rPr>
        <w:t>件；实施谈话函询</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人次，给予党政纪处分</w:t>
      </w:r>
      <w:r>
        <w:rPr>
          <w:rFonts w:hint="eastAsia" w:ascii="仿宋" w:hAnsi="仿宋" w:eastAsia="仿宋"/>
          <w:color w:val="000000"/>
          <w:sz w:val="32"/>
          <w:szCs w:val="32"/>
          <w:lang w:val="en-US" w:eastAsia="zh-CN"/>
        </w:rPr>
        <w:t>120</w:t>
      </w:r>
      <w:r>
        <w:rPr>
          <w:rFonts w:hint="eastAsia" w:ascii="仿宋" w:hAnsi="仿宋" w:eastAsia="仿宋"/>
          <w:color w:val="000000"/>
          <w:sz w:val="32"/>
          <w:szCs w:val="32"/>
        </w:rPr>
        <w:t>人，移送司法</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人，切实做好纪律审查“下半篇文章”，曝光典型案件</w:t>
      </w:r>
      <w:r>
        <w:rPr>
          <w:rFonts w:hint="eastAsia" w:ascii="仿宋" w:hAnsi="仿宋" w:eastAsia="仿宋"/>
          <w:color w:val="000000"/>
          <w:sz w:val="32"/>
          <w:szCs w:val="32"/>
          <w:lang w:val="en-US" w:eastAsia="zh-CN"/>
        </w:rPr>
        <w:t>24</w:t>
      </w:r>
      <w:r>
        <w:rPr>
          <w:rFonts w:hint="eastAsia" w:ascii="仿宋" w:hAnsi="仿宋" w:eastAsia="仿宋"/>
          <w:color w:val="000000"/>
          <w:sz w:val="32"/>
          <w:szCs w:val="32"/>
        </w:rPr>
        <w:t>件，制作警示教育片</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部，实现了“查处一案、治理一线、教育一片、规范一方”的综合效应。发现的主要问题：业务经费相对不足。下一步改进措施：向上争取资金。</w:t>
      </w:r>
    </w:p>
    <w:p>
      <w:pPr>
        <w:overflowPunct w:val="0"/>
        <w:spacing w:line="576" w:lineRule="exact"/>
        <w:ind w:firstLine="640" w:firstLineChars="200"/>
        <w:rPr>
          <w:rFonts w:ascii="仿宋_GB2312" w:hAnsi="宋体" w:eastAsia="仿宋_GB2312" w:cs="仿宋_GB2312"/>
          <w:bCs/>
          <w:sz w:val="32"/>
          <w:szCs w:val="32"/>
        </w:rPr>
      </w:pPr>
      <w:r>
        <w:rPr>
          <w:rFonts w:hint="eastAsia" w:ascii="仿宋" w:hAnsi="仿宋" w:eastAsia="仿宋"/>
          <w:color w:val="000000"/>
          <w:sz w:val="32"/>
          <w:szCs w:val="32"/>
        </w:rPr>
        <w:t>2.《朝天问政》项目绩效目标完成情况综述。项目全年预算数80万元，执行数为80万元，完成预算的100</w:t>
      </w:r>
      <w:r>
        <w:rPr>
          <w:rFonts w:ascii="仿宋" w:hAnsi="仿宋" w:eastAsia="仿宋"/>
          <w:color w:val="000000"/>
          <w:sz w:val="32"/>
          <w:szCs w:val="32"/>
        </w:rPr>
        <w:t>%</w:t>
      </w:r>
      <w:r>
        <w:rPr>
          <w:rFonts w:hint="eastAsia" w:ascii="仿宋" w:hAnsi="仿宋" w:eastAsia="仿宋"/>
          <w:color w:val="000000"/>
          <w:sz w:val="32"/>
          <w:szCs w:val="32"/>
        </w:rPr>
        <w:t>。深化舆论监督，将问政舞台搬到群众家门口，全年举办“朝天问政”</w:t>
      </w:r>
      <w:r>
        <w:rPr>
          <w:rFonts w:ascii="仿宋" w:hAnsi="仿宋" w:eastAsia="仿宋"/>
          <w:color w:val="000000"/>
          <w:sz w:val="32"/>
          <w:szCs w:val="32"/>
        </w:rPr>
        <w:t>4</w:t>
      </w:r>
      <w:r>
        <w:rPr>
          <w:rFonts w:hint="eastAsia" w:ascii="仿宋" w:hAnsi="仿宋" w:eastAsia="仿宋"/>
          <w:color w:val="000000"/>
          <w:sz w:val="32"/>
          <w:szCs w:val="32"/>
        </w:rPr>
        <w:t>期，</w:t>
      </w:r>
      <w:r>
        <w:rPr>
          <w:rFonts w:hint="eastAsia" w:ascii="仿宋_GB2312" w:hAnsi="宋体" w:eastAsia="仿宋_GB2312" w:cs="仿宋_GB2312"/>
          <w:bCs/>
          <w:sz w:val="32"/>
          <w:szCs w:val="32"/>
        </w:rPr>
        <w:t>围绕“问初心在不在、问使命树得牢不牢、问群众满不满意”，不断深化拓展“朝天问政”“百姓问廉”“机关问效”朝天监督“三问”名片，全年共开展“三问”活动16场次，现场澄清或督促整改问题200个，群众满意度达97.5%，工作做法在国家级廉政论坛上作经验交流。</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 w:hAnsi="仿宋" w:eastAsia="仿宋"/>
          <w:color w:val="000000"/>
          <w:sz w:val="32"/>
          <w:szCs w:val="32"/>
        </w:rPr>
        <w:t>下一步改进措施：向上争取资金，将问政的舞台搬到群众家门口，切实解决群众问题。</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 w:hAnsi="仿宋" w:eastAsia="仿宋"/>
          <w:color w:val="000000"/>
          <w:sz w:val="32"/>
          <w:szCs w:val="32"/>
        </w:rPr>
        <w:t>3. 纪检监察干部培训费项目绩效目标完成情况综述。项目全年预算数</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5万元，执行数为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5元，完成预算的100</w:t>
      </w:r>
      <w:r>
        <w:rPr>
          <w:rFonts w:ascii="仿宋" w:hAnsi="仿宋" w:eastAsia="仿宋"/>
          <w:color w:val="000000"/>
          <w:sz w:val="32"/>
          <w:szCs w:val="32"/>
        </w:rPr>
        <w:t>%</w:t>
      </w:r>
      <w:r>
        <w:rPr>
          <w:rFonts w:hint="eastAsia" w:ascii="仿宋" w:hAnsi="仿宋" w:eastAsia="仿宋"/>
          <w:color w:val="000000"/>
          <w:sz w:val="32"/>
          <w:szCs w:val="32"/>
        </w:rPr>
        <w:t>。通过开办“反腐倡廉微讲堂”活动、利用“清风明月·廉韵朝天”微信公众号平台，以及跟班学习、上挂锻炼等方式，推动纪检监察干部学透专业知识，熟稔党纪法规，全面增强“八种</w:t>
      </w:r>
      <w:bookmarkStart w:id="43" w:name="baidusnap4"/>
      <w:bookmarkEnd w:id="43"/>
      <w:r>
        <w:rPr>
          <w:rFonts w:hint="eastAsia" w:ascii="仿宋" w:hAnsi="仿宋" w:eastAsia="仿宋"/>
          <w:color w:val="000000"/>
          <w:sz w:val="32"/>
          <w:szCs w:val="32"/>
        </w:rPr>
        <w:t>本领”。要加大纪检监察干部轮岗、交流和使用力度，既严把入口关，又进一步畅通干部的出口渠道。积极组织人员参加各类培训，培训人数达150人以上，充分提高了纪检检查干部人员的业务素质。使纪检监察干部业务水平更上一新台阶，不断适应新形势发展工作需要。发现的主要问题：培训覆盖率没有达到100%，部分人员没有外出参加培训。下一步改进措施：向上争取资金，争取每人都有外出培训机会。</w:t>
      </w:r>
    </w:p>
    <w:tbl>
      <w:tblPr>
        <w:tblStyle w:val="16"/>
        <w:tblpPr w:leftFromText="180" w:rightFromText="180" w:vertAnchor="text" w:horzAnchor="margin" w:tblpXSpec="center" w:tblpY="262"/>
        <w:tblOverlap w:val="never"/>
        <w:tblW w:w="8849" w:type="dxa"/>
        <w:tblInd w:w="0" w:type="dxa"/>
        <w:tblLayout w:type="fixed"/>
        <w:tblCellMar>
          <w:top w:w="0" w:type="dxa"/>
          <w:left w:w="0" w:type="dxa"/>
          <w:bottom w:w="0" w:type="dxa"/>
          <w:right w:w="0" w:type="dxa"/>
        </w:tblCellMar>
      </w:tblPr>
      <w:tblGrid>
        <w:gridCol w:w="390"/>
        <w:gridCol w:w="1367"/>
        <w:gridCol w:w="1025"/>
        <w:gridCol w:w="2392"/>
        <w:gridCol w:w="2394"/>
        <w:gridCol w:w="1281"/>
      </w:tblGrid>
      <w:tr>
        <w:tblPrEx>
          <w:tblCellMar>
            <w:top w:w="0" w:type="dxa"/>
            <w:left w:w="0" w:type="dxa"/>
            <w:bottom w:w="0" w:type="dxa"/>
            <w:right w:w="0" w:type="dxa"/>
          </w:tblCellMar>
        </w:tblPrEx>
        <w:trPr>
          <w:trHeight w:val="1034" w:hRule="atLeast"/>
        </w:trPr>
        <w:tc>
          <w:tcPr>
            <w:tcW w:w="8849" w:type="dxa"/>
            <w:gridSpan w:val="6"/>
            <w:tcMar>
              <w:top w:w="15" w:type="dxa"/>
              <w:left w:w="15" w:type="dxa"/>
              <w:bottom w:w="0" w:type="dxa"/>
              <w:right w:w="15" w:type="dxa"/>
            </w:tcMar>
            <w:vAlign w:val="center"/>
          </w:tcPr>
          <w:p>
            <w:pPr>
              <w:spacing w:line="600" w:lineRule="exact"/>
              <w:ind w:firstLine="640" w:firstLineChars="200"/>
              <w:rPr>
                <w:rFonts w:hint="eastAsia" w:ascii="仿宋" w:hAnsi="仿宋" w:eastAsia="仿宋"/>
                <w:color w:val="000000"/>
                <w:sz w:val="32"/>
                <w:szCs w:val="32"/>
              </w:rPr>
            </w:pPr>
            <w:r>
              <w:rPr>
                <w:rFonts w:hint="eastAsia" w:ascii="仿宋" w:hAnsi="仿宋" w:eastAsia="仿宋" w:cs="Times New Roman"/>
                <w:color w:val="000000"/>
                <w:sz w:val="32"/>
                <w:szCs w:val="32"/>
              </w:rPr>
              <w:t>4</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党风廉政建设图片展</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万元，完成预算的100%。通过项目实施，每年进行</w:t>
            </w:r>
            <w:r>
              <w:rPr>
                <w:rFonts w:hint="eastAsia" w:ascii="仿宋" w:hAnsi="仿宋" w:eastAsia="仿宋"/>
                <w:color w:val="000000"/>
                <w:sz w:val="32"/>
                <w:szCs w:val="32"/>
                <w:lang w:val="en-US" w:eastAsia="zh-CN"/>
              </w:rPr>
              <w:t>巡展13场次</w:t>
            </w:r>
            <w:r>
              <w:rPr>
                <w:rFonts w:hint="eastAsia" w:ascii="仿宋" w:hAnsi="仿宋" w:eastAsia="仿宋"/>
                <w:color w:val="000000"/>
                <w:sz w:val="32"/>
                <w:szCs w:val="32"/>
              </w:rPr>
              <w:t>。发现的主要问题：需加强学习理论及业务。下一步改进措施：向上争取资金，加大</w:t>
            </w:r>
            <w:r>
              <w:rPr>
                <w:rFonts w:hint="eastAsia" w:ascii="仿宋" w:hAnsi="仿宋" w:eastAsia="仿宋"/>
                <w:color w:val="000000"/>
                <w:sz w:val="32"/>
                <w:szCs w:val="32"/>
                <w:lang w:val="en-US" w:eastAsia="zh-CN"/>
              </w:rPr>
              <w:t>巡展</w:t>
            </w:r>
            <w:r>
              <w:rPr>
                <w:rFonts w:hint="eastAsia" w:ascii="仿宋" w:hAnsi="仿宋" w:eastAsia="仿宋"/>
                <w:color w:val="000000"/>
                <w:sz w:val="32"/>
                <w:szCs w:val="32"/>
              </w:rPr>
              <w:t>力度。</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党风廉政建设宣传作品制作</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万元，完成预算的100%。通过项目实施，大力</w:t>
            </w:r>
            <w:r>
              <w:rPr>
                <w:rFonts w:hint="eastAsia" w:ascii="仿宋" w:hAnsi="仿宋" w:eastAsia="仿宋"/>
                <w:color w:val="000000"/>
                <w:sz w:val="32"/>
                <w:szCs w:val="32"/>
                <w:lang w:val="en-US" w:eastAsia="zh-CN"/>
              </w:rPr>
              <w:t>宣传党风廉政建设工作。</w:t>
            </w:r>
          </w:p>
          <w:p>
            <w:pPr>
              <w:spacing w:line="240" w:lineRule="auto"/>
              <w:ind w:firstLine="0" w:firstLineChars="0"/>
              <w:rPr>
                <w:rFonts w:hint="eastAsia" w:ascii="仿宋" w:hAnsi="仿宋" w:eastAsia="仿宋" w:cs="Times New Roman"/>
                <w:color w:val="000000"/>
                <w:sz w:val="32"/>
                <w:szCs w:val="32"/>
              </w:rPr>
            </w:pPr>
          </w:p>
          <w:p>
            <w:pPr>
              <w:pStyle w:val="30"/>
              <w:widowControl/>
              <w:spacing w:line="240" w:lineRule="auto"/>
              <w:ind w:firstLine="0" w:firstLineChars="0"/>
              <w:jc w:val="center"/>
              <w:textAlignment w:val="center"/>
              <w:rPr>
                <w:rFonts w:ascii="仿宋" w:hAnsi="仿宋" w:eastAsia="仿宋"/>
                <w:color w:val="000000"/>
                <w:sz w:val="32"/>
                <w:szCs w:val="32"/>
              </w:rPr>
            </w:pPr>
            <w:r>
              <w:rPr>
                <w:rFonts w:hint="eastAsia" w:ascii="仿宋" w:hAnsi="仿宋" w:eastAsia="仿宋"/>
                <w:color w:val="000000"/>
                <w:sz w:val="32"/>
                <w:szCs w:val="32"/>
              </w:rPr>
              <w:t>项目支出绩效目标完成情况表</w:t>
            </w:r>
            <w:r>
              <w:rPr>
                <w:rFonts w:ascii="仿宋" w:hAnsi="仿宋" w:eastAsia="仿宋"/>
                <w:color w:val="000000"/>
                <w:sz w:val="32"/>
                <w:szCs w:val="32"/>
              </w:rPr>
              <w:br w:type="textWrapping"/>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w:t>
            </w:r>
            <w:r>
              <w:rPr>
                <w:rFonts w:ascii="仿宋" w:hAnsi="仿宋" w:eastAsia="仿宋"/>
                <w:color w:val="000000"/>
                <w:sz w:val="32"/>
                <w:szCs w:val="3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项目名称</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仿宋" w:hAnsi="仿宋" w:eastAsia="仿宋"/>
                <w:color w:val="000000"/>
                <w:sz w:val="32"/>
                <w:szCs w:val="32"/>
              </w:rPr>
            </w:pPr>
            <w:r>
              <w:rPr>
                <w:rFonts w:hint="eastAsia" w:ascii="仿宋" w:hAnsi="仿宋" w:eastAsia="仿宋"/>
                <w:color w:val="000000"/>
                <w:sz w:val="32"/>
                <w:szCs w:val="32"/>
              </w:rPr>
              <w:t>办案工作经费</w:t>
            </w:r>
          </w:p>
          <w:p>
            <w:pPr>
              <w:widowControl/>
              <w:spacing w:line="240" w:lineRule="auto"/>
              <w:ind w:firstLine="0" w:firstLineChars="0"/>
              <w:jc w:val="center"/>
              <w:textAlignment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预算单位</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中共广元市朝天区纪律检查委员会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70万元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70万元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70万元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70万元</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预期目标</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加快建设更高水平的生态文明繁荣和谐新朝天作出新的更大贡献！</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实现了组织认可、领导肯定、社会满意和群众点赞，加快建设更高水平的生态文明繁荣和谐新朝天作出新的更大贡献！</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项目完成指标</w:t>
            </w:r>
          </w:p>
          <w:p>
            <w:pPr>
              <w:widowControl/>
              <w:spacing w:line="240" w:lineRule="auto"/>
              <w:ind w:firstLine="0" w:firstLineChars="0"/>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实效指标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加大惩贪治腐力度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提升群众满意度、幸福感、获得感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r>
      <w:tr>
        <w:tblPrEx>
          <w:tblCellMar>
            <w:top w:w="0" w:type="dxa"/>
            <w:left w:w="0" w:type="dxa"/>
            <w:bottom w:w="0" w:type="dxa"/>
            <w:right w:w="0" w:type="dxa"/>
          </w:tblCellMar>
        </w:tblPrEx>
        <w:trPr>
          <w:trHeight w:val="13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服务对象满意度</w:t>
            </w:r>
          </w:p>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人民群众满意度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w:t>
            </w:r>
            <w:r>
              <w:rPr>
                <w:rFonts w:ascii="宋体" w:cs="宋体"/>
                <w:color w:val="000000"/>
                <w:sz w:val="24"/>
              </w:rPr>
              <w:t>0%</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100</w:t>
            </w:r>
            <w:r>
              <w:rPr>
                <w:rFonts w:ascii="宋体" w:cs="宋体"/>
                <w:color w:val="000000"/>
                <w:sz w:val="24"/>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项目名称</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仿宋" w:hAnsi="仿宋" w:eastAsia="仿宋"/>
                <w:color w:val="000000"/>
                <w:sz w:val="32"/>
                <w:szCs w:val="32"/>
              </w:rPr>
              <w:t>《朝天问政》节目</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预算单位</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中共广元市朝天区纪律检查委员会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80万元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80万元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80万元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80万元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预期目标</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360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加快建设更高水平的生态文明繁荣和谐新朝天作出新的更大贡献！</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实现了组织认可、领导肯定、社会满意和群众点赞，加快建设更高水平的生态文明繁荣和谐新朝天作出新的更大贡献！</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53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项目完成指标</w:t>
            </w:r>
          </w:p>
          <w:p>
            <w:pPr>
              <w:widowControl/>
              <w:spacing w:line="240" w:lineRule="auto"/>
              <w:ind w:firstLine="0" w:firstLineChars="0"/>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eastAsia="宋体" w:cs="宋体"/>
                <w:color w:val="000000"/>
                <w:sz w:val="24"/>
                <w:lang w:eastAsia="zh-CN"/>
              </w:rPr>
            </w:pPr>
            <w:r>
              <w:rPr>
                <w:rFonts w:hint="eastAsia" w:asci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每年4期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54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把问政的舞台搬到群众身边去，让老百姓实际解决身边的微腐败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r>
      <w:tr>
        <w:tblPrEx>
          <w:tblCellMar>
            <w:top w:w="0" w:type="dxa"/>
            <w:left w:w="0" w:type="dxa"/>
            <w:bottom w:w="0" w:type="dxa"/>
            <w:right w:w="0" w:type="dxa"/>
          </w:tblCellMar>
        </w:tblPrEx>
        <w:trPr>
          <w:trHeight w:val="164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服务对象满意度</w:t>
            </w:r>
          </w:p>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人民群众满意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w:t>
            </w:r>
            <w:r>
              <w:rPr>
                <w:rFonts w:ascii="宋体" w:cs="宋体"/>
                <w:color w:val="000000"/>
                <w:sz w:val="24"/>
              </w:rPr>
              <w:t>0%</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100</w:t>
            </w:r>
            <w:r>
              <w:rPr>
                <w:rFonts w:ascii="宋体" w:cs="宋体"/>
                <w:color w:val="000000"/>
                <w:sz w:val="24"/>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项目名称</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仿宋" w:hAnsi="仿宋" w:eastAsia="仿宋"/>
                <w:color w:val="000000"/>
                <w:sz w:val="32"/>
                <w:szCs w:val="32"/>
              </w:rPr>
              <w:t>纪检监察干部培训工作经费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预算单位</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中共广元市朝天区纪律检查委员会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预期目标</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加快建设更高水平的生态文明繁荣和谐新朝天作出新的更大贡献！</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实现了组织认可、领导肯定、社会满意和群众点赞，加快建设更高水平的生态文明繁荣和谐新朝天作出新的更大贡献！</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项目完成指标</w:t>
            </w:r>
          </w:p>
          <w:p>
            <w:pPr>
              <w:widowControl/>
              <w:spacing w:line="240" w:lineRule="auto"/>
              <w:ind w:firstLine="0" w:firstLineChars="0"/>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lang w:val="en-US" w:eastAsia="zh-CN"/>
              </w:rPr>
              <w:t>数量</w:t>
            </w: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eastAsia="宋体" w:cs="宋体"/>
                <w:color w:val="000000"/>
                <w:sz w:val="24"/>
                <w:lang w:val="en-US" w:eastAsia="zh-CN"/>
              </w:rPr>
            </w:pPr>
            <w:r>
              <w:rPr>
                <w:rFonts w:hint="eastAsia" w:ascii="宋体" w:cs="宋体"/>
                <w:color w:val="000000"/>
                <w:sz w:val="24"/>
              </w:rPr>
              <w:t>按文件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203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提升业务能力、提高业务水平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r>
      <w:tr>
        <w:tblPrEx>
          <w:tblCellMar>
            <w:top w:w="0" w:type="dxa"/>
            <w:left w:w="0" w:type="dxa"/>
            <w:bottom w:w="0" w:type="dxa"/>
            <w:right w:w="0" w:type="dxa"/>
          </w:tblCellMar>
        </w:tblPrEx>
        <w:trPr>
          <w:trHeight w:val="213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服务对象满意度</w:t>
            </w:r>
          </w:p>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lang w:val="en-US" w:eastAsia="zh-CN"/>
              </w:rPr>
              <w:t>人民</w:t>
            </w:r>
            <w:r>
              <w:rPr>
                <w:rFonts w:hint="eastAsia" w:asci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w:t>
            </w:r>
            <w:r>
              <w:rPr>
                <w:rFonts w:ascii="宋体" w:cs="宋体"/>
                <w:color w:val="000000"/>
                <w:sz w:val="24"/>
              </w:rPr>
              <w:t>0%</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100</w:t>
            </w:r>
            <w:r>
              <w:rPr>
                <w:rFonts w:ascii="宋体" w:cs="宋体"/>
                <w:color w:val="000000"/>
                <w:sz w:val="24"/>
              </w:rPr>
              <w:t>%</w:t>
            </w:r>
          </w:p>
        </w:tc>
      </w:tr>
      <w:tr>
        <w:tblPrEx>
          <w:tblCellMar>
            <w:top w:w="0" w:type="dxa"/>
            <w:left w:w="0" w:type="dxa"/>
            <w:bottom w:w="0" w:type="dxa"/>
            <w:right w:w="0" w:type="dxa"/>
          </w:tblCellMar>
        </w:tblPrEx>
        <w:trPr>
          <w:trHeight w:val="1029"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项目名称</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仿宋" w:hAnsi="仿宋" w:eastAsia="仿宋"/>
                <w:color w:val="000000"/>
                <w:sz w:val="32"/>
                <w:szCs w:val="32"/>
                <w:lang w:val="en-US" w:eastAsia="zh-CN"/>
              </w:rPr>
              <w:t>党风廉政图片展</w:t>
            </w:r>
            <w:r>
              <w:rPr>
                <w:rFonts w:hint="eastAsia" w:ascii="仿宋" w:hAnsi="仿宋" w:eastAsia="仿宋"/>
                <w:color w:val="000000"/>
                <w:sz w:val="32"/>
                <w:szCs w:val="32"/>
              </w:rPr>
              <w:t>经费</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预算单位</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中共广元市朝天区纪律检查委员会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预期目标</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360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加快建设更高水平的生态文明繁荣和谐新朝天作出新的更大贡献！</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实现了组织认可、领导肯定、社会满意和群众点赞，加快建设更高水平的生态文明繁荣和谐新朝天作出新的更大贡献！</w:t>
            </w:r>
          </w:p>
        </w:tc>
      </w:tr>
      <w:tr>
        <w:tblPrEx>
          <w:tblCellMar>
            <w:top w:w="0" w:type="dxa"/>
            <w:left w:w="0" w:type="dxa"/>
            <w:bottom w:w="0" w:type="dxa"/>
            <w:right w:w="0" w:type="dxa"/>
          </w:tblCellMar>
        </w:tblPrEx>
        <w:trPr>
          <w:trHeight w:val="164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3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项目完成指标</w:t>
            </w:r>
          </w:p>
          <w:p>
            <w:pPr>
              <w:widowControl/>
              <w:spacing w:line="240" w:lineRule="auto"/>
              <w:ind w:firstLine="0" w:firstLineChars="0"/>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实效指标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通过巡展大力宣传我区党风廉政建设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71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对我区的安全稳定起到保驾护航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服务对象满意度</w:t>
            </w:r>
          </w:p>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lang w:val="en-US" w:eastAsia="zh-CN"/>
              </w:rPr>
              <w:t>老百姓</w:t>
            </w:r>
            <w:r>
              <w:rPr>
                <w:rFonts w:hint="eastAsia" w:ascii="宋体" w:cs="宋体"/>
                <w:color w:val="000000"/>
                <w:sz w:val="24"/>
              </w:rPr>
              <w:t>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w:t>
            </w:r>
            <w:r>
              <w:rPr>
                <w:rFonts w:ascii="宋体" w:cs="宋体"/>
                <w:color w:val="000000"/>
                <w:sz w:val="24"/>
              </w:rPr>
              <w:t>0%</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100</w:t>
            </w:r>
            <w:r>
              <w:rPr>
                <w:rFonts w:ascii="宋体" w:cs="宋体"/>
                <w:color w:val="000000"/>
                <w:sz w:val="24"/>
              </w:rPr>
              <w:t>%</w:t>
            </w:r>
          </w:p>
        </w:tc>
      </w:tr>
      <w:tr>
        <w:tblPrEx>
          <w:tblCellMar>
            <w:top w:w="0" w:type="dxa"/>
            <w:left w:w="0" w:type="dxa"/>
            <w:bottom w:w="0" w:type="dxa"/>
            <w:right w:w="0" w:type="dxa"/>
          </w:tblCellMar>
        </w:tblPrEx>
        <w:trPr>
          <w:trHeight w:val="904"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项目名称</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仿宋" w:hAnsi="仿宋" w:eastAsia="仿宋"/>
                <w:color w:val="000000"/>
                <w:sz w:val="32"/>
                <w:szCs w:val="32"/>
                <w:lang w:val="en-US" w:eastAsia="zh-CN"/>
              </w:rPr>
              <w:t>党风廉政建设图片制作</w:t>
            </w:r>
            <w:r>
              <w:rPr>
                <w:rFonts w:hint="eastAsia" w:ascii="仿宋" w:hAnsi="仿宋" w:eastAsia="仿宋"/>
                <w:color w:val="000000"/>
                <w:sz w:val="32"/>
                <w:szCs w:val="32"/>
              </w:rPr>
              <w:t>经费</w:t>
            </w:r>
          </w:p>
        </w:tc>
      </w:tr>
      <w:tr>
        <w:tblPrEx>
          <w:tblCellMar>
            <w:top w:w="0" w:type="dxa"/>
            <w:left w:w="0" w:type="dxa"/>
            <w:bottom w:w="0" w:type="dxa"/>
            <w:right w:w="0" w:type="dxa"/>
          </w:tblCellMar>
        </w:tblPrEx>
        <w:trPr>
          <w:trHeight w:val="54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预算单位</w:t>
            </w:r>
          </w:p>
        </w:tc>
        <w:tc>
          <w:tcPr>
            <w:tcW w:w="60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中共广元市朝天区纪律检查委员会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10万元</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预期目标</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加快建设更高水平的生态文明繁荣和谐新朝天作出新的更大贡献！</w:t>
            </w:r>
          </w:p>
        </w:tc>
        <w:tc>
          <w:tcPr>
            <w:tcW w:w="3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kern w:val="0"/>
                <w:sz w:val="24"/>
              </w:rPr>
            </w:pPr>
            <w:r>
              <w:rPr>
                <w:rFonts w:hint="eastAsia" w:ascii="宋体" w:hAnsi="宋体" w:cs="宋体"/>
                <w:color w:val="000000"/>
                <w:kern w:val="0"/>
                <w:sz w:val="24"/>
              </w:rPr>
              <w:t>以习近平同志为核心的党中央周围，在市纪委和区委的坚强领导下，不忘初心、牢记使命，无私无畏、奋发有为，努力开创全区党风廉政建设和反腐败斗争新局面，为决战决胜脱贫摘帽，同步建成全面小康社会，实现了组织认可、领导肯定、社会满意和群众点赞，加快建设更高水平的生态文明繁荣和谐新朝天作出新的更大贡献！</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项目完成指标</w:t>
            </w:r>
          </w:p>
          <w:p>
            <w:pPr>
              <w:widowControl/>
              <w:spacing w:line="240" w:lineRule="auto"/>
              <w:ind w:firstLine="0" w:firstLineChars="0"/>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实效指标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通过宣传，努力提高我区党风廉政建设工作，用不同形式宣传我区党风廉政建设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对我区的安全稳定起到保驾护航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起引导性作用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服务对象满意度</w:t>
            </w:r>
          </w:p>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市民满意度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w:t>
            </w:r>
            <w:r>
              <w:rPr>
                <w:rFonts w:ascii="宋体" w:cs="宋体"/>
                <w:color w:val="000000"/>
                <w:sz w:val="24"/>
              </w:rPr>
              <w:t>0%</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uto"/>
              <w:ind w:firstLine="0" w:firstLineChars="0"/>
              <w:jc w:val="center"/>
              <w:textAlignment w:val="center"/>
              <w:rPr>
                <w:rFonts w:ascii="宋体" w:cs="宋体"/>
                <w:color w:val="000000"/>
                <w:sz w:val="24"/>
              </w:rPr>
            </w:pPr>
            <w:r>
              <w:rPr>
                <w:rFonts w:hint="eastAsia" w:ascii="宋体" w:cs="宋体"/>
                <w:color w:val="000000"/>
                <w:sz w:val="24"/>
              </w:rPr>
              <w:t>100</w:t>
            </w:r>
            <w:r>
              <w:rPr>
                <w:rFonts w:ascii="宋体" w:cs="宋体"/>
                <w:color w:val="000000"/>
                <w:sz w:val="24"/>
              </w:rPr>
              <w:t>%</w:t>
            </w:r>
          </w:p>
        </w:tc>
      </w:tr>
    </w:tbl>
    <w:p>
      <w:pPr>
        <w:spacing w:line="580" w:lineRule="exact"/>
        <w:rPr>
          <w:rFonts w:ascii="仿宋_GB2312" w:hAnsi="仿宋_GB2312" w:eastAsia="仿宋_GB2312" w:cs="仿宋_GB2312"/>
          <w:sz w:val="32"/>
          <w:szCs w:val="32"/>
        </w:rPr>
      </w:pPr>
    </w:p>
    <w:p>
      <w:pPr>
        <w:numPr>
          <w:ilvl w:val="0"/>
          <w:numId w:val="3"/>
        </w:numPr>
        <w:spacing w:line="580" w:lineRule="exact"/>
        <w:ind w:left="-223" w:leftChars="0" w:firstLine="643"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年部门整体支出绩效评价情况开展自评，《广元市朝天区纪委</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62" w:firstLineChars="150"/>
        <w:jc w:val="center"/>
        <w:outlineLvl w:val="0"/>
        <w:rPr>
          <w:rStyle w:val="20"/>
          <w:rFonts w:ascii="黑体" w:hAnsi="黑体" w:eastAsia="黑体"/>
          <w:b w:val="0"/>
        </w:rPr>
      </w:pPr>
      <w:bookmarkStart w:id="44" w:name="_Toc15377225"/>
      <w:bookmarkStart w:id="45" w:name="_Toc15396613"/>
      <w:r>
        <w:rPr>
          <w:rFonts w:hint="eastAsia" w:ascii="黑体" w:hAnsi="黑体" w:eastAsia="黑体"/>
          <w:b/>
          <w:color w:val="000000"/>
          <w:sz w:val="44"/>
          <w:szCs w:val="44"/>
        </w:rPr>
        <w:t>名</w:t>
      </w:r>
      <w:r>
        <w:rPr>
          <w:rStyle w:val="20"/>
          <w:rFonts w:hint="eastAsia" w:ascii="黑体" w:hAnsi="黑体" w:eastAsia="黑体"/>
          <w:b w:val="0"/>
        </w:rPr>
        <w:t>词解释</w:t>
      </w:r>
      <w:bookmarkEnd w:id="44"/>
      <w:bookmarkEnd w:id="45"/>
    </w:p>
    <w:p>
      <w:pPr>
        <w:spacing w:line="600" w:lineRule="exact"/>
        <w:jc w:val="left"/>
        <w:rPr>
          <w:rFonts w:ascii="宋体"/>
          <w:b/>
          <w:color w:val="000000"/>
          <w:sz w:val="44"/>
          <w:szCs w:val="44"/>
        </w:rPr>
      </w:pPr>
    </w:p>
    <w:p>
      <w:pPr>
        <w:pStyle w:val="29"/>
        <w:spacing w:line="560" w:lineRule="exact"/>
        <w:ind w:firstLine="640" w:firstLineChars="200"/>
        <w:rPr>
          <w:rFonts w:ascii="仿宋_GB2312" w:eastAsia="仿宋_GB2312"/>
          <w:sz w:val="32"/>
          <w:szCs w:val="32"/>
        </w:rPr>
      </w:pPr>
      <w:bookmarkStart w:id="46"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9"/>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0"/>
          <w:rFonts w:ascii="黑体" w:hAnsi="黑体" w:eastAsia="黑体"/>
          <w:b w:val="0"/>
        </w:rPr>
      </w:pPr>
      <w:r>
        <w:rPr>
          <w:rFonts w:ascii="宋体"/>
          <w:b/>
          <w:color w:val="000000"/>
          <w:sz w:val="44"/>
          <w:szCs w:val="44"/>
        </w:rPr>
        <w:br w:type="page"/>
      </w:r>
      <w:bookmarkStart w:id="47" w:name="_Toc15396614"/>
      <w:r>
        <w:rPr>
          <w:rFonts w:hint="eastAsia" w:ascii="黑体" w:hAnsi="黑体" w:eastAsia="黑体"/>
          <w:color w:val="000000"/>
          <w:sz w:val="44"/>
          <w:szCs w:val="44"/>
        </w:rPr>
        <w:t>第</w:t>
      </w:r>
      <w:r>
        <w:rPr>
          <w:rStyle w:val="20"/>
          <w:rFonts w:hint="eastAsia" w:ascii="黑体" w:hAnsi="黑体" w:eastAsia="黑体"/>
          <w:b w:val="0"/>
        </w:rPr>
        <w:t>四部分</w:t>
      </w:r>
      <w:r>
        <w:rPr>
          <w:rStyle w:val="20"/>
          <w:rFonts w:ascii="黑体" w:hAnsi="黑体" w:eastAsia="黑体"/>
          <w:b w:val="0"/>
        </w:rPr>
        <w:t xml:space="preserve"> </w:t>
      </w:r>
      <w:r>
        <w:rPr>
          <w:rStyle w:val="20"/>
          <w:rFonts w:hint="eastAsia" w:ascii="黑体" w:hAnsi="黑体" w:eastAsia="黑体"/>
          <w:b w:val="0"/>
        </w:rPr>
        <w:t>附件</w:t>
      </w:r>
      <w:bookmarkEnd w:id="47"/>
    </w:p>
    <w:p>
      <w:pPr>
        <w:spacing w:line="600" w:lineRule="exact"/>
        <w:jc w:val="center"/>
        <w:outlineLvl w:val="0"/>
        <w:rPr>
          <w:rStyle w:val="20"/>
        </w:rPr>
      </w:pPr>
    </w:p>
    <w:p>
      <w:pPr>
        <w:pStyle w:val="4"/>
        <w:rPr>
          <w:rStyle w:val="20"/>
          <w:rFonts w:ascii="仿宋" w:hAnsi="仿宋" w:eastAsia="仿宋"/>
          <w:b w:val="0"/>
          <w:bCs w:val="0"/>
          <w:sz w:val="32"/>
          <w:szCs w:val="32"/>
        </w:rPr>
      </w:pPr>
      <w:bookmarkStart w:id="48" w:name="_Toc15396615"/>
      <w:r>
        <w:rPr>
          <w:rStyle w:val="20"/>
          <w:rFonts w:hint="eastAsia" w:ascii="仿宋" w:hAnsi="仿宋" w:eastAsia="仿宋"/>
          <w:b w:val="0"/>
          <w:bCs w:val="0"/>
          <w:sz w:val="32"/>
          <w:szCs w:val="32"/>
        </w:rPr>
        <w:t>附件</w:t>
      </w:r>
      <w:r>
        <w:rPr>
          <w:rStyle w:val="20"/>
          <w:rFonts w:ascii="仿宋" w:hAnsi="仿宋" w:eastAsia="仿宋"/>
          <w:b w:val="0"/>
          <w:bCs w:val="0"/>
          <w:sz w:val="32"/>
          <w:szCs w:val="32"/>
        </w:rPr>
        <w:t>1</w:t>
      </w:r>
      <w:bookmarkEnd w:id="48"/>
    </w:p>
    <w:p>
      <w:pPr>
        <w:spacing w:line="580" w:lineRule="exact"/>
        <w:ind w:firstLine="800" w:firstLineChars="200"/>
        <w:rPr>
          <w:rFonts w:ascii="黑体" w:hAnsi="黑体" w:eastAsia="黑体" w:cs="黑体"/>
          <w:sz w:val="32"/>
          <w:szCs w:val="32"/>
        </w:rPr>
      </w:pPr>
      <w:r>
        <w:rPr>
          <w:rFonts w:hint="eastAsia" w:ascii="方正小标宋简体" w:hAnsi="宋体" w:eastAsia="方正小标宋简体"/>
          <w:color w:val="000000"/>
          <w:kern w:val="0"/>
          <w:sz w:val="40"/>
          <w:szCs w:val="44"/>
          <w:lang w:val="en-US" w:eastAsia="zh-CN"/>
        </w:rPr>
        <w:t>区纪委</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r>
        <w:rPr>
          <w:rFonts w:ascii="仿宋" w:hAnsi="仿宋" w:eastAsia="仿宋" w:cs="仿宋_GB2312"/>
          <w:sz w:val="32"/>
          <w:szCs w:val="32"/>
        </w:rPr>
        <w:t>我</w:t>
      </w:r>
      <w:r>
        <w:rPr>
          <w:rFonts w:hint="eastAsia" w:ascii="仿宋" w:hAnsi="仿宋" w:eastAsia="仿宋" w:cs="仿宋_GB2312"/>
          <w:sz w:val="32"/>
          <w:szCs w:val="32"/>
        </w:rPr>
        <w:t>委</w:t>
      </w:r>
      <w:r>
        <w:rPr>
          <w:rFonts w:ascii="仿宋" w:hAnsi="仿宋" w:eastAsia="仿宋" w:cs="仿宋_GB2312"/>
          <w:sz w:val="32"/>
          <w:szCs w:val="32"/>
        </w:rPr>
        <w:t>内设机构有</w:t>
      </w:r>
      <w:r>
        <w:rPr>
          <w:rFonts w:hint="eastAsia" w:ascii="仿宋" w:hAnsi="仿宋" w:eastAsia="仿宋" w:cs="仿宋_GB2312"/>
          <w:sz w:val="32"/>
          <w:szCs w:val="32"/>
        </w:rPr>
        <w:t>办公室（研究室）</w:t>
      </w:r>
      <w:r>
        <w:rPr>
          <w:rFonts w:ascii="仿宋" w:hAnsi="仿宋" w:eastAsia="仿宋" w:cs="仿宋_GB2312"/>
          <w:sz w:val="32"/>
          <w:szCs w:val="32"/>
        </w:rPr>
        <w:t>、</w:t>
      </w:r>
      <w:r>
        <w:rPr>
          <w:rFonts w:hint="eastAsia" w:ascii="仿宋" w:hAnsi="仿宋" w:eastAsia="仿宋" w:cs="仿宋_GB2312"/>
          <w:sz w:val="32"/>
          <w:szCs w:val="32"/>
        </w:rPr>
        <w:t>组织部（纪检监察干部监督室）、宣传部、党风政风监督室、信访室、案件监督管理室、第一纪检监察室、第二纪检监察室、第三纪检监察室、第四纪检监察室、案件审理室（法规室）。</w:t>
      </w:r>
    </w:p>
    <w:p>
      <w:pPr>
        <w:pStyle w:val="6"/>
        <w:adjustRightInd w:val="0"/>
        <w:snapToGrid w:val="0"/>
        <w:spacing w:before="93" w:line="600" w:lineRule="exact"/>
        <w:ind w:firstLine="672" w:firstLineChars="210"/>
        <w:outlineLvl w:val="2"/>
        <w:rPr>
          <w:rFonts w:ascii="仿宋" w:hAnsi="仿宋" w:eastAsia="仿宋" w:cs="仿宋_GB2312"/>
          <w:sz w:val="32"/>
          <w:szCs w:val="32"/>
        </w:rPr>
      </w:pPr>
      <w:r>
        <w:rPr>
          <w:rFonts w:hint="eastAsia" w:ascii="仿宋" w:hAnsi="仿宋" w:eastAsia="仿宋" w:cs="仿宋_GB2312"/>
          <w:sz w:val="32"/>
          <w:szCs w:val="32"/>
        </w:rPr>
        <w:t>（二）机构职能。</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w:t>
      </w:r>
      <w:r>
        <w:rPr>
          <w:rFonts w:hint="eastAsia" w:ascii="仿宋" w:hAnsi="仿宋" w:eastAsia="仿宋"/>
          <w:bCs/>
          <w:color w:val="000000"/>
          <w:sz w:val="32"/>
          <w:szCs w:val="32"/>
        </w:rPr>
        <w:t>1</w:t>
      </w:r>
      <w:r>
        <w:rPr>
          <w:rFonts w:ascii="仿宋" w:hAnsi="仿宋" w:eastAsia="仿宋"/>
          <w:bCs/>
          <w:color w:val="000000"/>
          <w:sz w:val="32"/>
          <w:szCs w:val="32"/>
        </w:rPr>
        <w:t>）负责党的纪律检查工作。贯彻落实党中央关于纪律检查工作的决定，维护党的章程和其他党内法规，检查党的路线方针政策和决议的执行情况，协助区委推进全面从严治党、加强党风建设和组织协调反腐败工作。</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2</w:t>
      </w:r>
      <w:r>
        <w:rPr>
          <w:rFonts w:ascii="仿宋" w:hAnsi="仿宋" w:eastAsia="仿宋"/>
          <w:bCs/>
          <w:color w:val="000000"/>
          <w:sz w:val="32"/>
          <w:szCs w:val="32"/>
        </w:rPr>
        <w:t>）依照党的章程和其他党内法规履行监督、执纪、问责职责。负责经常对党员进行遵守纪律的教育，作出关于维护党纪的决定。对区委工作机关、区委批准设立的党组织（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3</w:t>
      </w:r>
      <w:r>
        <w:rPr>
          <w:rFonts w:ascii="仿宋" w:hAnsi="仿宋" w:eastAsia="仿宋"/>
          <w:bCs/>
          <w:color w:val="000000"/>
          <w:sz w:val="32"/>
          <w:szCs w:val="32"/>
        </w:rPr>
        <w:t>）负责全区监察工作。贯彻落实党中央关于监察工作的决定，维护宪法法律，依法对区委管理的行使公权力的公职人员进行监察，调查职务违法和职务犯罪，开展廉政建设和反腐败工作。</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4</w:t>
      </w:r>
      <w:r>
        <w:rPr>
          <w:rFonts w:ascii="仿宋" w:hAnsi="仿宋" w:eastAsia="仿宋"/>
          <w:bCs/>
          <w:color w:val="000000"/>
          <w:sz w:val="32"/>
          <w:szCs w:val="32"/>
        </w:rP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5</w:t>
      </w:r>
      <w:r>
        <w:rPr>
          <w:rFonts w:ascii="仿宋" w:hAnsi="仿宋" w:eastAsia="仿宋"/>
          <w:bCs/>
          <w:color w:val="000000"/>
          <w:sz w:val="32"/>
          <w:szCs w:val="32"/>
        </w:rPr>
        <w:t>）负责组织协调全面从严治党、党风廉政建设和反腐败宣传教育工作。</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6</w:t>
      </w:r>
      <w:r>
        <w:rPr>
          <w:rFonts w:ascii="仿宋" w:hAnsi="仿宋" w:eastAsia="仿宋"/>
          <w:bCs/>
          <w:color w:val="000000"/>
          <w:sz w:val="32"/>
          <w:szCs w:val="32"/>
        </w:rPr>
        <w:t>）负责综合分析全面从严治党、党风廉政建设和反腐败工作情况，对纪检监察工作重要理论及实践问题进行调查研究。制定或者修改全区纪检监察规范性文件，参与起草制定规范性文件。</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7</w:t>
      </w:r>
      <w:r>
        <w:rPr>
          <w:rFonts w:ascii="仿宋" w:hAnsi="仿宋" w:eastAsia="仿宋"/>
          <w:bCs/>
          <w:color w:val="000000"/>
          <w:sz w:val="32"/>
          <w:szCs w:val="32"/>
        </w:rPr>
        <w:t>）在市纪委监委的领导下，加强对反腐败国际追逃追赃和防逃工作的组织协调，督促有关单位做好相关工作。</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8</w:t>
      </w:r>
      <w:r>
        <w:rPr>
          <w:rFonts w:ascii="仿宋" w:hAnsi="仿宋" w:eastAsia="仿宋"/>
          <w:bCs/>
          <w:color w:val="000000"/>
          <w:sz w:val="32"/>
          <w:szCs w:val="32"/>
        </w:rPr>
        <w:t>）根据干部管理权限，负责纪检监察系统领导班子建设、干部队伍建设和组织建设的综合规划、政策研究、制度建设和业务指导。会同有关方面做好区纪委监委派驻（出）机构、乡镇纪委（监察室）、区管企业和区属学校医院等企事业单位纪检监察机构领导班子建设有关工作。组织和指导全区纪检监察系统教育培训工作等。</w:t>
      </w:r>
      <w:r>
        <w:rPr>
          <w:rFonts w:ascii="仿宋" w:hAnsi="仿宋" w:eastAsia="仿宋"/>
          <w:bCs/>
          <w:color w:val="000000"/>
          <w:sz w:val="32"/>
          <w:szCs w:val="32"/>
        </w:rPr>
        <w:br w:type="textWrapping"/>
      </w:r>
      <w:r>
        <w:rPr>
          <w:rFonts w:hint="eastAsia" w:ascii="仿宋" w:hAnsi="仿宋" w:eastAsia="仿宋"/>
          <w:bCs/>
          <w:color w:val="000000"/>
          <w:sz w:val="32"/>
          <w:szCs w:val="32"/>
        </w:rPr>
        <w:t xml:space="preserve">    </w:t>
      </w:r>
      <w:r>
        <w:rPr>
          <w:rFonts w:ascii="仿宋" w:hAnsi="仿宋" w:eastAsia="仿宋"/>
          <w:bCs/>
          <w:color w:val="000000"/>
          <w:sz w:val="32"/>
          <w:szCs w:val="32"/>
        </w:rPr>
        <w:t>（</w:t>
      </w:r>
      <w:r>
        <w:rPr>
          <w:rFonts w:hint="eastAsia" w:ascii="仿宋" w:hAnsi="仿宋" w:eastAsia="仿宋"/>
          <w:bCs/>
          <w:color w:val="000000"/>
          <w:sz w:val="32"/>
          <w:szCs w:val="32"/>
        </w:rPr>
        <w:t>9</w:t>
      </w:r>
      <w:r>
        <w:rPr>
          <w:rFonts w:ascii="仿宋" w:hAnsi="仿宋" w:eastAsia="仿宋"/>
          <w:bCs/>
          <w:color w:val="000000"/>
          <w:sz w:val="32"/>
          <w:szCs w:val="32"/>
        </w:rPr>
        <w:t>）完成区委和市纪委监委交办的其他任务。</w:t>
      </w:r>
    </w:p>
    <w:p>
      <w:pPr>
        <w:pStyle w:val="6"/>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cs="仿宋_GB2312"/>
          <w:sz w:val="32"/>
          <w:szCs w:val="32"/>
        </w:rPr>
        <w:t>（三）</w:t>
      </w:r>
      <w:r>
        <w:rPr>
          <w:rFonts w:hint="eastAsia" w:ascii="仿宋" w:hAnsi="仿宋" w:eastAsia="仿宋"/>
          <w:spacing w:val="-4"/>
          <w:sz w:val="32"/>
          <w:szCs w:val="32"/>
        </w:rPr>
        <w:t>朝天区纪委属一级预算单位，</w:t>
      </w:r>
      <w:r>
        <w:rPr>
          <w:rFonts w:hint="eastAsia" w:ascii="仿宋" w:hAnsi="仿宋" w:eastAsia="仿宋"/>
          <w:sz w:val="32"/>
          <w:szCs w:val="32"/>
        </w:rPr>
        <w:t>总编制</w:t>
      </w:r>
      <w:r>
        <w:rPr>
          <w:rFonts w:hint="eastAsia" w:ascii="仿宋" w:hAnsi="仿宋" w:eastAsia="仿宋"/>
          <w:spacing w:val="-4"/>
          <w:sz w:val="32"/>
          <w:szCs w:val="32"/>
          <w:lang w:val="en-US" w:eastAsia="zh-CN"/>
        </w:rPr>
        <w:t>85</w:t>
      </w:r>
      <w:r>
        <w:rPr>
          <w:rFonts w:hint="eastAsia" w:ascii="仿宋" w:hAnsi="仿宋" w:eastAsia="仿宋"/>
          <w:sz w:val="32"/>
          <w:szCs w:val="32"/>
        </w:rPr>
        <w:t>名，其中行政编制</w:t>
      </w:r>
      <w:r>
        <w:rPr>
          <w:rFonts w:hint="eastAsia" w:ascii="仿宋" w:hAnsi="仿宋" w:eastAsia="仿宋"/>
          <w:spacing w:val="-4"/>
          <w:sz w:val="32"/>
          <w:szCs w:val="32"/>
          <w:lang w:val="en-US" w:eastAsia="zh-CN"/>
        </w:rPr>
        <w:t>78</w:t>
      </w:r>
      <w:r>
        <w:rPr>
          <w:rFonts w:hint="eastAsia" w:ascii="仿宋" w:hAnsi="仿宋" w:eastAsia="仿宋"/>
          <w:sz w:val="32"/>
          <w:szCs w:val="32"/>
        </w:rPr>
        <w:t>名，</w:t>
      </w:r>
      <w:r>
        <w:rPr>
          <w:rFonts w:hint="eastAsia" w:ascii="仿宋" w:hAnsi="仿宋" w:eastAsia="仿宋"/>
          <w:sz w:val="32"/>
          <w:szCs w:val="32"/>
          <w:lang w:eastAsia="zh-CN"/>
        </w:rPr>
        <w:t>事业编制</w:t>
      </w:r>
      <w:r>
        <w:rPr>
          <w:rFonts w:hint="eastAsia" w:ascii="仿宋" w:hAnsi="仿宋" w:eastAsia="仿宋"/>
          <w:sz w:val="32"/>
          <w:szCs w:val="32"/>
          <w:lang w:val="en-US" w:eastAsia="zh-CN"/>
        </w:rPr>
        <w:t>5名，</w:t>
      </w:r>
      <w:r>
        <w:rPr>
          <w:rFonts w:hint="eastAsia" w:ascii="仿宋" w:hAnsi="仿宋" w:eastAsia="仿宋"/>
          <w:sz w:val="32"/>
          <w:szCs w:val="32"/>
        </w:rPr>
        <w:t>工勤编制</w:t>
      </w:r>
      <w:r>
        <w:rPr>
          <w:rFonts w:hint="eastAsia" w:ascii="仿宋" w:hAnsi="仿宋" w:eastAsia="仿宋"/>
          <w:sz w:val="32"/>
          <w:szCs w:val="32"/>
          <w:lang w:val="en-US" w:eastAsia="zh-CN"/>
        </w:rPr>
        <w:t>2</w:t>
      </w:r>
      <w:r>
        <w:rPr>
          <w:rFonts w:hint="eastAsia" w:ascii="仿宋" w:hAnsi="仿宋" w:eastAsia="仿宋"/>
          <w:sz w:val="32"/>
          <w:szCs w:val="32"/>
        </w:rPr>
        <w:t>名。在职人员总数</w:t>
      </w:r>
      <w:r>
        <w:rPr>
          <w:rFonts w:hint="eastAsia" w:ascii="仿宋" w:hAnsi="仿宋" w:eastAsia="仿宋"/>
          <w:sz w:val="32"/>
          <w:szCs w:val="32"/>
          <w:lang w:val="en-US" w:eastAsia="zh-CN"/>
        </w:rPr>
        <w:t>70</w:t>
      </w:r>
      <w:r>
        <w:rPr>
          <w:rFonts w:hint="eastAsia" w:ascii="仿宋" w:hAnsi="仿宋" w:eastAsia="仿宋"/>
          <w:sz w:val="32"/>
          <w:szCs w:val="32"/>
        </w:rPr>
        <w:t>人，其中行政人员</w:t>
      </w:r>
      <w:r>
        <w:rPr>
          <w:rFonts w:hint="eastAsia" w:ascii="仿宋" w:hAnsi="仿宋" w:eastAsia="仿宋"/>
          <w:sz w:val="32"/>
          <w:szCs w:val="32"/>
          <w:lang w:val="en-US" w:eastAsia="zh-CN"/>
        </w:rPr>
        <w:t>64</w:t>
      </w:r>
      <w:r>
        <w:rPr>
          <w:rFonts w:hint="eastAsia" w:ascii="仿宋" w:hAnsi="仿宋" w:eastAsia="仿宋"/>
          <w:sz w:val="32"/>
          <w:szCs w:val="32"/>
        </w:rPr>
        <w:t>人，事业人员</w:t>
      </w:r>
      <w:r>
        <w:rPr>
          <w:rFonts w:hint="eastAsia" w:ascii="仿宋" w:hAnsi="仿宋" w:eastAsia="仿宋"/>
          <w:sz w:val="32"/>
          <w:szCs w:val="32"/>
          <w:lang w:val="en-US" w:eastAsia="zh-CN"/>
        </w:rPr>
        <w:t>3</w:t>
      </w:r>
      <w:r>
        <w:rPr>
          <w:rFonts w:hint="eastAsia" w:ascii="仿宋" w:hAnsi="仿宋" w:eastAsia="仿宋"/>
          <w:sz w:val="32"/>
          <w:szCs w:val="32"/>
        </w:rPr>
        <w:t>人，工勤人员</w:t>
      </w:r>
      <w:r>
        <w:rPr>
          <w:rFonts w:hint="eastAsia" w:ascii="仿宋" w:hAnsi="仿宋" w:eastAsia="仿宋"/>
          <w:spacing w:val="-4"/>
          <w:sz w:val="32"/>
          <w:szCs w:val="32"/>
        </w:rPr>
        <w:t>3</w:t>
      </w:r>
      <w:r>
        <w:rPr>
          <w:rFonts w:hint="eastAsia" w:ascii="仿宋" w:hAnsi="仿宋" w:eastAsia="仿宋"/>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r>
        <w:rPr>
          <w:rFonts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年朝天</w:t>
      </w:r>
      <w:r>
        <w:rPr>
          <w:rFonts w:hint="eastAsia" w:ascii="仿宋" w:hAnsi="仿宋" w:eastAsia="仿宋" w:cs="仿宋_GB2312"/>
          <w:sz w:val="32"/>
          <w:szCs w:val="32"/>
          <w:lang w:val="en-US" w:eastAsia="zh-CN"/>
        </w:rPr>
        <w:t>区纪委</w:t>
      </w:r>
      <w:r>
        <w:rPr>
          <w:rFonts w:hint="eastAsia" w:ascii="仿宋" w:hAnsi="仿宋" w:eastAsia="仿宋" w:cs="仿宋_GB2312"/>
          <w:sz w:val="32"/>
          <w:szCs w:val="32"/>
        </w:rPr>
        <w:t>本年收入合计</w:t>
      </w:r>
      <w:r>
        <w:rPr>
          <w:rFonts w:hint="eastAsia" w:ascii="仿宋" w:hAnsi="仿宋" w:eastAsia="仿宋" w:cs="仿宋_GB2312"/>
          <w:sz w:val="32"/>
          <w:szCs w:val="32"/>
          <w:lang w:val="en-US" w:eastAsia="zh-CN"/>
        </w:rPr>
        <w:t>1072.1</w:t>
      </w:r>
      <w:r>
        <w:rPr>
          <w:rFonts w:hint="eastAsia" w:ascii="仿宋" w:hAnsi="仿宋" w:eastAsia="仿宋" w:cs="仿宋_GB2312"/>
          <w:sz w:val="32"/>
          <w:szCs w:val="32"/>
        </w:rPr>
        <w:t>万元，其中财政拨款收入</w:t>
      </w:r>
      <w:r>
        <w:rPr>
          <w:rFonts w:hint="eastAsia" w:ascii="仿宋" w:hAnsi="仿宋" w:eastAsia="仿宋" w:cs="仿宋_GB2312"/>
          <w:sz w:val="32"/>
          <w:szCs w:val="32"/>
          <w:lang w:val="en-US" w:eastAsia="zh-CN"/>
        </w:rPr>
        <w:t>1072.1</w:t>
      </w:r>
      <w:r>
        <w:rPr>
          <w:rFonts w:hint="eastAsia" w:ascii="仿宋" w:hAnsi="仿宋" w:eastAsia="仿宋" w:cs="仿宋_GB2312"/>
          <w:sz w:val="32"/>
          <w:szCs w:val="32"/>
        </w:rPr>
        <w:t>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r>
        <w:rPr>
          <w:rFonts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年朝天</w:t>
      </w:r>
      <w:r>
        <w:rPr>
          <w:rFonts w:hint="eastAsia" w:ascii="仿宋" w:hAnsi="仿宋" w:eastAsia="仿宋" w:cs="仿宋_GB2312"/>
          <w:sz w:val="32"/>
          <w:szCs w:val="32"/>
          <w:lang w:val="en-US" w:eastAsia="zh-CN"/>
        </w:rPr>
        <w:t>区纪委</w:t>
      </w:r>
      <w:r>
        <w:rPr>
          <w:rFonts w:hint="eastAsia" w:ascii="仿宋" w:hAnsi="仿宋" w:eastAsia="仿宋" w:cs="仿宋_GB2312"/>
          <w:sz w:val="32"/>
          <w:szCs w:val="32"/>
        </w:rPr>
        <w:t>本年支出合计</w:t>
      </w:r>
      <w:r>
        <w:rPr>
          <w:rFonts w:hint="eastAsia" w:ascii="仿宋" w:hAnsi="仿宋" w:eastAsia="仿宋" w:cs="仿宋_GB2312"/>
          <w:sz w:val="32"/>
          <w:szCs w:val="32"/>
          <w:lang w:val="en-US" w:eastAsia="zh-CN"/>
        </w:rPr>
        <w:t>1072.1</w:t>
      </w:r>
      <w:r>
        <w:rPr>
          <w:rFonts w:hint="eastAsia" w:ascii="仿宋" w:hAnsi="仿宋" w:eastAsia="仿宋" w:cs="仿宋_GB2312"/>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80" w:lineRule="exact"/>
        <w:ind w:firstLine="642" w:firstLineChars="200"/>
        <w:rPr>
          <w:rFonts w:hint="eastAsia" w:ascii="仿宋" w:hAnsi="仿宋" w:eastAsia="仿宋" w:cs="仿宋_GB2312"/>
          <w:b/>
          <w:sz w:val="32"/>
          <w:szCs w:val="32"/>
        </w:rPr>
      </w:pPr>
      <w:r>
        <w:rPr>
          <w:rFonts w:hint="eastAsia" w:ascii="仿宋" w:hAnsi="仿宋" w:eastAsia="仿宋" w:cs="仿宋_GB2312"/>
          <w:b/>
          <w:sz w:val="32"/>
          <w:szCs w:val="32"/>
        </w:rPr>
        <w:t>（一）部门预算管理。</w:t>
      </w:r>
    </w:p>
    <w:p>
      <w:pPr>
        <w:spacing w:line="580" w:lineRule="exact"/>
        <w:ind w:firstLine="642" w:firstLineChars="200"/>
        <w:rPr>
          <w:rFonts w:hint="eastAsia" w:ascii="仿宋" w:hAnsi="仿宋" w:eastAsia="仿宋" w:cs="仿宋_GB2312"/>
          <w:b/>
          <w:sz w:val="32"/>
          <w:szCs w:val="32"/>
        </w:rPr>
      </w:pPr>
      <w:r>
        <w:rPr>
          <w:rFonts w:hint="eastAsia" w:ascii="仿宋" w:hAnsi="仿宋" w:eastAsia="仿宋" w:cs="仿宋_GB2312"/>
          <w:b/>
          <w:sz w:val="32"/>
          <w:szCs w:val="32"/>
        </w:rPr>
        <w:t>1、根据财政管理体制改革要求，按照“量入为出”、“突出重点、兼顾一般”的原则合理制定年度部门预算，经局领导审议通过后上报区财政局。要牢固树立“过紧日子”的思想 ，精心组织预算执行，强化预算约束，认真贯彻落实党政机关</w:t>
      </w:r>
      <w:r>
        <w:rPr>
          <w:rFonts w:hint="eastAsia" w:ascii="仿宋" w:hAnsi="仿宋" w:eastAsia="仿宋" w:cs="仿宋_GB2312"/>
          <w:b/>
          <w:sz w:val="32"/>
          <w:szCs w:val="32"/>
          <w:lang w:eastAsia="zh-CN"/>
        </w:rPr>
        <w:t>厉行节约</w:t>
      </w:r>
      <w:r>
        <w:rPr>
          <w:rFonts w:hint="eastAsia" w:ascii="仿宋" w:hAnsi="仿宋" w:eastAsia="仿宋" w:cs="仿宋_GB2312"/>
          <w:b/>
          <w:sz w:val="32"/>
          <w:szCs w:val="32"/>
        </w:rPr>
        <w:t>的规定，压缩运行经费、会议及公务接待等支出，切实做到“三公经费”支出较上年只减不增。采取有效措施，强化财务管理，优化支出结构，压减一般开支，降低行政运行成本，保证重点支出，努力增收节支，确保年度预算收支任务圆满完成。</w:t>
      </w:r>
    </w:p>
    <w:p>
      <w:pPr>
        <w:spacing w:line="580" w:lineRule="exact"/>
        <w:ind w:firstLine="642" w:firstLineChars="200"/>
        <w:rPr>
          <w:rFonts w:ascii="仿宋" w:hAnsi="仿宋" w:eastAsia="仿宋" w:cs="仿宋_GB2312"/>
          <w:sz w:val="32"/>
          <w:szCs w:val="32"/>
        </w:rPr>
      </w:pPr>
      <w:r>
        <w:rPr>
          <w:rFonts w:hint="eastAsia" w:ascii="仿宋" w:hAnsi="仿宋" w:eastAsia="仿宋" w:cs="仿宋_GB2312"/>
          <w:b/>
          <w:sz w:val="32"/>
          <w:szCs w:val="32"/>
        </w:rPr>
        <w:t>2、部门预算易经确定，即严格遵照执行，要树立“先计划、后支出”的预算概念，确保全年预算的顺利执行。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rPr>
        <w:t>）结果应用情况。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委开展的预算绩效评价的项目达到了预期效果，产生了较好的社会效益，对在绩效评价中发现的问题，单位提出整改意见并限期整改。更重要的是逐步改变了长期以来“重分配轻监督、重使用轻效益”的现象，有效减少和防止盲目用款、无效支出及盲目支出等行为的发生，使资金的运行更加合理高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严格执行财务管理法律法规，强化项目资金管理和使用。以区财政局资金支付相关管理为准绳，同时结合实际制定了《财务管理制度》等制度，加强项目资金的管理和监督，杜觉违规违法事件的发生。预算支出保障了我委的日常运转，认真履行了职能职责，完成了市纪委、区委下达的各项目标任务。</w:t>
      </w:r>
    </w:p>
    <w:p>
      <w:pPr>
        <w:spacing w:line="58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（二）存在问题。一是项目执行力度还有待进一步加强和完善。二是办案（业务）经费投入仍然不足，制约了基层纪检监察工作业务开展.</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（三）改进建议。</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1、细化预算编制工作，认真做好预算的编制。</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进一步加强单位内部机构各科室的预算管理意识，严格按照预算编制的相关制度和要求，公用经费根据单位的年度工作重点和项目专项工作规划，本着“勤俭节约、保障运转”的原则进行预算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加强财务管理，严格财务审核。在费用报账时，按照预算规定的费用项目和用途进行资金使用的审核，严格按照费用的使用用途列报，同时严格费用支出内容进行财务核算，预算金额内严格控制费用的支出，杜绝超支现象的发生。</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遵循预算管理原则。按照程序预算调整追加，逐级申报；结余资金调整用途的按照预算调整追加程序逐级申报报批，做到资金支付、预算先行，确保资金使用按照预算项目和使用用途执行，杜绝费用项目之间调剂使用现象的发生。</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4、进一步严控“三公经费”支出，严控“三公经费”的规模和比例及“三公经费”支出的审核审批流程，杜绝挪用和挤占其他预算资金行为；进一步细化“三公经费”的管理。</w:t>
      </w: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办案经费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580" w:lineRule="exact"/>
        <w:jc w:val="center"/>
        <w:rPr>
          <w:rFonts w:ascii="仿宋" w:hAnsi="仿宋" w:eastAsia="仿宋" w:cs="方正小标宋简体"/>
          <w:b/>
          <w:sz w:val="32"/>
          <w:szCs w:val="32"/>
        </w:rPr>
      </w:pPr>
    </w:p>
    <w:p>
      <w:pPr>
        <w:spacing w:line="580" w:lineRule="exact"/>
        <w:ind w:firstLine="642" w:firstLineChars="200"/>
        <w:rPr>
          <w:rFonts w:ascii="仿宋" w:hAnsi="仿宋" w:eastAsia="仿宋" w:cs="仿宋_GB2312"/>
          <w:b/>
          <w:sz w:val="32"/>
          <w:szCs w:val="32"/>
        </w:rPr>
      </w:pPr>
    </w:p>
    <w:p>
      <w:pPr>
        <w:pStyle w:val="6"/>
        <w:numPr>
          <w:ilvl w:val="0"/>
          <w:numId w:val="5"/>
        </w:numPr>
        <w:adjustRightInd w:val="0"/>
        <w:snapToGrid w:val="0"/>
        <w:spacing w:before="93" w:line="600" w:lineRule="exact"/>
        <w:ind w:firstLine="672" w:firstLineChars="21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项目基本情况</w:t>
      </w:r>
    </w:p>
    <w:p>
      <w:pPr>
        <w:pStyle w:val="6"/>
        <w:numPr>
          <w:ilvl w:val="0"/>
          <w:numId w:val="0"/>
        </w:numPr>
        <w:adjustRightInd w:val="0"/>
        <w:snapToGrid w:val="0"/>
        <w:spacing w:before="93" w:line="600" w:lineRule="exact"/>
        <w:ind w:firstLine="320" w:firstLineChars="100"/>
        <w:rPr>
          <w:rFonts w:ascii="仿宋" w:hAnsi="仿宋" w:eastAsia="仿宋"/>
          <w:sz w:val="32"/>
          <w:szCs w:val="32"/>
        </w:rPr>
      </w:pPr>
      <w:r>
        <w:rPr>
          <w:rFonts w:hint="eastAsia" w:ascii="仿宋" w:hAnsi="仿宋" w:eastAsia="仿宋"/>
          <w:sz w:val="32"/>
          <w:szCs w:val="32"/>
        </w:rPr>
        <w:t>（一）项目概况</w:t>
      </w:r>
    </w:p>
    <w:p>
      <w:pPr>
        <w:pStyle w:val="6"/>
        <w:adjustRightInd w:val="0"/>
        <w:snapToGrid w:val="0"/>
        <w:spacing w:before="93" w:line="600" w:lineRule="exact"/>
        <w:ind w:firstLine="672" w:firstLineChars="21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2020年，全年查处</w:t>
      </w:r>
      <w:r>
        <w:rPr>
          <w:rFonts w:hint="eastAsia" w:ascii="仿宋" w:hAnsi="仿宋" w:eastAsia="仿宋" w:cs="宋体"/>
          <w:color w:val="333333"/>
          <w:kern w:val="0"/>
          <w:sz w:val="32"/>
          <w:szCs w:val="32"/>
          <w:lang w:val="en-US" w:eastAsia="zh-CN"/>
        </w:rPr>
        <w:t>129件案件</w:t>
      </w:r>
      <w:r>
        <w:rPr>
          <w:rFonts w:hint="eastAsia" w:ascii="仿宋" w:hAnsi="仿宋" w:eastAsia="仿宋" w:cs="宋体"/>
          <w:color w:val="333333"/>
          <w:kern w:val="0"/>
          <w:sz w:val="32"/>
          <w:szCs w:val="32"/>
        </w:rPr>
        <w:t>。20</w:t>
      </w:r>
      <w:r>
        <w:rPr>
          <w:rFonts w:hint="eastAsia" w:ascii="仿宋" w:hAnsi="仿宋" w:eastAsia="仿宋" w:cs="宋体"/>
          <w:color w:val="333333"/>
          <w:kern w:val="0"/>
          <w:sz w:val="32"/>
          <w:szCs w:val="32"/>
          <w:lang w:val="en-US" w:eastAsia="zh-CN"/>
        </w:rPr>
        <w:t>20</w:t>
      </w:r>
      <w:r>
        <w:rPr>
          <w:rFonts w:hint="eastAsia" w:ascii="仿宋" w:hAnsi="仿宋" w:eastAsia="仿宋" w:cs="宋体"/>
          <w:color w:val="333333"/>
          <w:kern w:val="0"/>
          <w:sz w:val="32"/>
          <w:szCs w:val="32"/>
        </w:rPr>
        <w:t>年办案业务经费预算</w:t>
      </w:r>
      <w:r>
        <w:rPr>
          <w:rFonts w:hint="eastAsia" w:ascii="仿宋" w:hAnsi="仿宋" w:eastAsia="仿宋" w:cs="宋体"/>
          <w:color w:val="333333"/>
          <w:kern w:val="0"/>
          <w:sz w:val="32"/>
          <w:szCs w:val="32"/>
          <w:lang w:val="en-US" w:eastAsia="zh-CN"/>
        </w:rPr>
        <w:t>70</w:t>
      </w:r>
      <w:r>
        <w:rPr>
          <w:rFonts w:hint="eastAsia" w:ascii="仿宋" w:hAnsi="仿宋" w:eastAsia="仿宋" w:cs="宋体"/>
          <w:color w:val="333333"/>
          <w:kern w:val="0"/>
          <w:sz w:val="32"/>
          <w:szCs w:val="32"/>
        </w:rPr>
        <w:t>万元，本级财政拨付</w:t>
      </w:r>
      <w:r>
        <w:rPr>
          <w:rFonts w:hint="eastAsia" w:ascii="仿宋" w:hAnsi="仿宋" w:eastAsia="仿宋" w:cs="宋体"/>
          <w:color w:val="333333"/>
          <w:kern w:val="0"/>
          <w:sz w:val="32"/>
          <w:szCs w:val="32"/>
          <w:lang w:val="en-US" w:eastAsia="zh-CN"/>
        </w:rPr>
        <w:t>70</w:t>
      </w:r>
      <w:r>
        <w:rPr>
          <w:rFonts w:hint="eastAsia" w:ascii="仿宋" w:hAnsi="仿宋" w:eastAsia="仿宋" w:cs="宋体"/>
          <w:color w:val="333333"/>
          <w:kern w:val="0"/>
          <w:sz w:val="32"/>
          <w:szCs w:val="32"/>
        </w:rPr>
        <w:t>万元。</w:t>
      </w:r>
    </w:p>
    <w:p>
      <w:pPr>
        <w:pStyle w:val="6"/>
        <w:adjustRightInd w:val="0"/>
        <w:snapToGrid w:val="0"/>
        <w:spacing w:before="93" w:line="600" w:lineRule="exact"/>
        <w:ind w:firstLine="672" w:firstLineChars="21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（二）项目绩效目标</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cs="宋体"/>
          <w:color w:val="333333"/>
          <w:kern w:val="0"/>
          <w:sz w:val="32"/>
          <w:szCs w:val="32"/>
        </w:rPr>
        <w:t>1.项目绩效总目标</w:t>
      </w:r>
      <w:r>
        <w:rPr>
          <w:rFonts w:hint="eastAsia" w:ascii="仿宋" w:hAnsi="仿宋" w:eastAsia="仿宋"/>
          <w:sz w:val="32"/>
          <w:szCs w:val="32"/>
        </w:rPr>
        <w:t>在市纪委和区委的坚强领导下，全区纪检监察系统以党的十九大精神为指引，牢固树立“四个意识”，忠诚履行党章赋予职责，始终坚持人民利益至上，始终坚持围绕中心、服务大局，始终坚持问题导向，注重创新、狠抓落实，全区党风廉政建设和反腐败工作取得新进展新成效。打造“清风明月·廉韵朝天”廉洁文化品牌，积极探索治理基层“微腐败”的朝天模式，建设“朝羊蒲”新村廉洁文化走廊。</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2.项目绩效阶段性目标</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（1）强化压力传导，管党治党责任逐级压实。</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（2）强化正风肃纪，良好政治生态持续向好。</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（3）强化惩贪治腐，压倒性态势不断巩固。</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（4）强化教育预防，崇廉尚洁氛围日益浓厚。</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（5）强化政治定位，巡察利剑作用充分发挥。</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（6）强化自身建设，基层治理能力明显提升。</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二、项目单位绩效情况</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朝天区纪委对20</w:t>
      </w:r>
      <w:r>
        <w:rPr>
          <w:rFonts w:hint="eastAsia" w:ascii="仿宋" w:hAnsi="仿宋" w:eastAsia="仿宋"/>
          <w:sz w:val="32"/>
          <w:szCs w:val="32"/>
          <w:lang w:val="en-US" w:eastAsia="zh-CN"/>
        </w:rPr>
        <w:t>20</w:t>
      </w:r>
      <w:r>
        <w:rPr>
          <w:rFonts w:hint="eastAsia" w:ascii="仿宋" w:hAnsi="仿宋" w:eastAsia="仿宋"/>
          <w:sz w:val="32"/>
          <w:szCs w:val="32"/>
        </w:rPr>
        <w:t>年办案经费项目进行了绩效自评，对项目概况、项目资金的使用管理情况、项目组织实施情况、项目绩效完成情况进行了说明，自评得分100分。</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三、绩效评价工作情况</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（一）绩效评价目的</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评价项目存在的必要性、项目管理的规范性和项目绩效的突出性，从而为项目决策提供依据，进一步规范项目管理，提高项目资金使用绩效。</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（二）绩效评价原则、评价指标体系、评价方法</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采取定量与定性分析相结合原则；采用目标效益分析法评价。</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（三）绩效评价工作过程</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1.前期准备。由区财政局绩效评价股牵头，区纪委和区财政局参与，精心准备绩效评价工作。</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2.组织实施。区纪委提供基础数据，区纪委进行审核；区财政局政法股进行数据核对，开展初评。</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3.分析评价。区绩效评价股进行最后审核认定，并提出绩效评价报告。</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四、绩效评价指标分析情况</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（一）项目资金情况分析</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1.项目资金到位情况分析</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区财政局政法股对预算的“办案经费”项目资金实际拨付</w:t>
      </w:r>
      <w:r>
        <w:rPr>
          <w:rFonts w:hint="eastAsia" w:ascii="仿宋" w:hAnsi="仿宋" w:eastAsia="仿宋"/>
          <w:sz w:val="32"/>
          <w:szCs w:val="32"/>
          <w:lang w:val="en-US" w:eastAsia="zh-CN"/>
        </w:rPr>
        <w:t>70</w:t>
      </w:r>
      <w:r>
        <w:rPr>
          <w:rFonts w:hint="eastAsia" w:ascii="仿宋" w:hAnsi="仿宋" w:eastAsia="仿宋"/>
          <w:sz w:val="32"/>
          <w:szCs w:val="32"/>
        </w:rPr>
        <w:t>万元，本级财政拨款</w:t>
      </w:r>
      <w:r>
        <w:rPr>
          <w:rFonts w:hint="eastAsia" w:ascii="仿宋" w:hAnsi="仿宋" w:eastAsia="仿宋"/>
          <w:sz w:val="32"/>
          <w:szCs w:val="32"/>
          <w:lang w:val="en-US" w:eastAsia="zh-CN"/>
        </w:rPr>
        <w:t>70</w:t>
      </w:r>
      <w:r>
        <w:rPr>
          <w:rFonts w:hint="eastAsia" w:ascii="仿宋" w:hAnsi="仿宋" w:eastAsia="仿宋"/>
          <w:sz w:val="32"/>
          <w:szCs w:val="32"/>
        </w:rPr>
        <w:t>万元。</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2.项目资金使用情况分析</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“办案经费”项目资金全部用于办理案件开支，共计</w:t>
      </w:r>
      <w:r>
        <w:rPr>
          <w:rFonts w:hint="eastAsia" w:ascii="仿宋" w:hAnsi="仿宋" w:eastAsia="仿宋"/>
          <w:sz w:val="32"/>
          <w:szCs w:val="32"/>
          <w:lang w:val="en-US" w:eastAsia="zh-CN"/>
        </w:rPr>
        <w:t>70</w:t>
      </w:r>
      <w:r>
        <w:rPr>
          <w:rFonts w:hint="eastAsia" w:ascii="仿宋" w:hAnsi="仿宋" w:eastAsia="仿宋"/>
          <w:sz w:val="32"/>
          <w:szCs w:val="32"/>
        </w:rPr>
        <w:t>万元。</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3.项目资金管理情况分析</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区财政局政法股对我委办案开支进行资金审批，根据我委上报的用款计划进行划拨。</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4.项目完成质量。根据实际情况合理使用，不截留、挤占、挪用项目资金情况；不超标准开支情况。严格把关资金管理、费用支出进行监督。</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5.项目的效益性分析</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（1）项目预期目标完成程度。动态管理，及时审批，节约开支，完成100%，群众满意。</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（2）项目实施对经济和社会的影响。净化了政治生态，提升了群众对政府党员干部的信任度，纯洁了干部队伍。</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五、综合评价情况及评价结论</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该项目做到了管理规范，程序到位，群众满意，社会反响好。取得了巨大的社会效益，维护了社会的稳定。项目评价优秀。</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六、绩效评价结果应用建议</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根据绩效评价结果，认为该项目对维护社会的稳定有重大意义，应当适当增加办案经费。</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七、主要经验及做法、存在的问题和建议</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区财政局、区纪委精诚合作，相辅相成，共同做好办案经费。操作程序科学规范，资金到位及时无误，服务周到，群众满意。建议：继续实施项目，提高办案效率和准确率。</w:t>
      </w:r>
    </w:p>
    <w:p>
      <w:pPr>
        <w:spacing w:line="600" w:lineRule="exact"/>
        <w:jc w:val="center"/>
        <w:outlineLvl w:val="0"/>
        <w:rPr>
          <w:rFonts w:ascii="仿宋" w:hAnsi="仿宋" w:eastAsia="仿宋"/>
          <w:color w:val="000000"/>
          <w:sz w:val="32"/>
          <w:szCs w:val="32"/>
        </w:rPr>
      </w:pPr>
      <w:bookmarkStart w:id="49" w:name="_Toc15396618"/>
    </w:p>
    <w:p>
      <w:pPr>
        <w:spacing w:line="600" w:lineRule="exact"/>
        <w:jc w:val="center"/>
        <w:outlineLvl w:val="0"/>
        <w:rPr>
          <w:rFonts w:ascii="仿宋" w:hAnsi="仿宋" w:eastAsia="仿宋"/>
          <w:color w:val="000000"/>
          <w:sz w:val="32"/>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hint="eastAsia" w:ascii="黑体" w:hAnsi="宋体" w:eastAsia="黑体" w:cs="宋体"/>
          <w:kern w:val="0"/>
          <w:szCs w:val="32"/>
        </w:rPr>
      </w:pPr>
    </w:p>
    <w:p>
      <w:pPr>
        <w:spacing w:line="560" w:lineRule="exact"/>
        <w:rPr>
          <w:rFonts w:hint="eastAsia" w:ascii="黑体" w:hAnsi="宋体" w:eastAsia="黑体" w:cs="宋体"/>
          <w:kern w:val="0"/>
          <w:szCs w:val="32"/>
        </w:rPr>
      </w:pPr>
    </w:p>
    <w:p>
      <w:pPr>
        <w:spacing w:line="560" w:lineRule="exact"/>
        <w:rPr>
          <w:rFonts w:hint="eastAsia" w:ascii="黑体" w:hAnsi="宋体" w:eastAsia="黑体" w:cs="宋体"/>
          <w:kern w:val="0"/>
          <w:szCs w:val="32"/>
        </w:rPr>
      </w:pPr>
    </w:p>
    <w:p>
      <w:pPr>
        <w:spacing w:line="560" w:lineRule="exact"/>
        <w:rPr>
          <w:rFonts w:hint="eastAsia" w:ascii="黑体" w:hAnsi="宋体" w:eastAsia="黑体" w:cs="宋体"/>
          <w:kern w:val="0"/>
          <w:szCs w:val="32"/>
        </w:rPr>
      </w:pPr>
    </w:p>
    <w:p>
      <w:pPr>
        <w:spacing w:line="560" w:lineRule="exact"/>
        <w:rPr>
          <w:rFonts w:hint="eastAsia"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600" w:lineRule="exact"/>
        <w:jc w:val="center"/>
        <w:outlineLvl w:val="0"/>
        <w:rPr>
          <w:rFonts w:ascii="仿宋" w:hAnsi="仿宋" w:eastAsia="仿宋"/>
          <w:color w:val="000000"/>
          <w:sz w:val="32"/>
          <w:szCs w:val="32"/>
        </w:rPr>
      </w:pPr>
    </w:p>
    <w:p>
      <w:pPr>
        <w:spacing w:line="600" w:lineRule="exact"/>
        <w:ind w:firstLine="642" w:firstLineChars="200"/>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区纪委2020年《朝天问政》经费财政支出项目绩效自评报告</w:t>
      </w:r>
    </w:p>
    <w:p>
      <w:pPr>
        <w:spacing w:line="600" w:lineRule="exact"/>
        <w:ind w:firstLine="642" w:firstLineChars="200"/>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一、项目基本情况</w:t>
      </w:r>
    </w:p>
    <w:p>
      <w:pPr>
        <w:spacing w:line="600" w:lineRule="exact"/>
        <w:ind w:firstLine="642" w:firstLineChars="200"/>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（一）项目概况</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 w:hAnsi="仿宋" w:eastAsia="仿宋"/>
          <w:color w:val="000000"/>
          <w:sz w:val="32"/>
          <w:szCs w:val="32"/>
        </w:rPr>
        <w:t>深化舆论监督，将问政舞台搬到群众家门口，切实解决群众问题。</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（二）项目绩效目标</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 w:hAnsi="仿宋" w:eastAsia="仿宋"/>
          <w:color w:val="000000"/>
          <w:sz w:val="32"/>
          <w:szCs w:val="32"/>
        </w:rPr>
        <w:t>深化舆论监督，将问政舞台搬到群众家门口，切实解决群众问题，提升群众满意度。</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二、项目单位绩效报告情况</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全年完成4期节目</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三、绩效评价工作情况</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（一）绩效评价目的</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将问政舞台搬到群众家门口，切实解决群众身边的问题。</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（二）绩效评价原则、评价指标体系、评价方法</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绩效评价原则：项目绩效评价坚持专款专用的经费使用原则、符合国家法律、法规，遵循独立、客观、科学、公正、实事求是的原则，确保各单位专项经费及时发放和使用到位。</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评价方法：坚持定性分析与定量分析，全面评价、现场核查与综合分析相结合以及民调的评价方法。</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（三）绩效评价工作过程</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1.前期准备</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通过暗访走访收集相关问题进行梳理。</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2.组织实施</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首先了解基本情况，听取我委朝天问政工作相关项目负责人对整体项目的目标设定以及完成程度等项目具体情况，听取财务相关负责人对于项目资金落实以及使用、财务管理情况、资金落实及使用情况等项目资金具体情况。</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3.分析评价</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通过分析构建朝天问政工作格局相关评价资料，使所有评价人员充分了解项目绩效情况，掌握评价指标和标准。评价小组根据听取介绍、实地勘察等一系列的评价举措，再对照评价指标和评价标准进行评分，每位评价人员对评价结果要签名，以明确责任。确保评价结果的独立、客观、公正以及实事求是。</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四、绩效评价指标分析情况</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（一）项目资金情况分析</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1.项目资金到位情况分析</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20</w:t>
      </w:r>
      <w:r>
        <w:rPr>
          <w:rFonts w:hint="eastAsia" w:ascii="仿宋" w:hAnsi="仿宋" w:eastAsia="仿宋" w:cs="宋体"/>
          <w:color w:val="333333"/>
          <w:kern w:val="0"/>
          <w:sz w:val="32"/>
          <w:szCs w:val="32"/>
          <w:lang w:val="en-US" w:eastAsia="zh-CN"/>
        </w:rPr>
        <w:t>20</w:t>
      </w:r>
      <w:r>
        <w:rPr>
          <w:rFonts w:hint="eastAsia" w:ascii="仿宋" w:hAnsi="仿宋" w:eastAsia="仿宋" w:cs="宋体"/>
          <w:color w:val="333333"/>
          <w:kern w:val="0"/>
          <w:sz w:val="32"/>
          <w:szCs w:val="32"/>
        </w:rPr>
        <w:t>年度区级配套资金80万元已经拨付到位，完成了本年度整体项目资金拨付的100%。</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2.项目资金使用情况分析</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20</w:t>
      </w:r>
      <w:r>
        <w:rPr>
          <w:rFonts w:hint="eastAsia" w:ascii="仿宋" w:hAnsi="仿宋" w:eastAsia="仿宋" w:cs="宋体"/>
          <w:color w:val="333333"/>
          <w:kern w:val="0"/>
          <w:sz w:val="32"/>
          <w:szCs w:val="32"/>
          <w:lang w:val="en-US" w:eastAsia="zh-CN"/>
        </w:rPr>
        <w:t>20</w:t>
      </w:r>
      <w:r>
        <w:rPr>
          <w:rFonts w:hint="eastAsia" w:ascii="仿宋" w:hAnsi="仿宋" w:eastAsia="仿宋" w:cs="宋体"/>
          <w:color w:val="333333"/>
          <w:kern w:val="0"/>
          <w:sz w:val="32"/>
          <w:szCs w:val="32"/>
        </w:rPr>
        <w:t>年度项目资金已经使用了80万元，使用进度为整体项目资金的100%。</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3.项目资金管理情况分析</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区财政局政法股对我委朝天问政工作开支进行资金审批，根据我委上报的用款计划进行划拨</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（二）项目实施情况分析</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我委实施责任到人制度、集中教育学习、暗访和走访制度，不定期督查、请销假等制度，动态跟踪曝光问题效果；</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（三）项目绩效情况分析</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1.项目经济性分析</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项目成本（预算）控制情况</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区财政局政法股对我委朝天问政开支进行资金审批，根据我委上报的用款计划进行划拨标准进行严格控制。</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2.项目的效率性分析</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（1）项目的实施进度</w:t>
      </w:r>
    </w:p>
    <w:p>
      <w:p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以财政预算为基础，根据工作量的完成情况拨付项目资金，项目资金全部拨付到位。</w:t>
      </w:r>
    </w:p>
    <w:p>
      <w:pPr>
        <w:numPr>
          <w:ilvl w:val="0"/>
          <w:numId w:val="6"/>
        </w:numPr>
        <w:spacing w:line="6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项目完成质量</w:t>
      </w:r>
    </w:p>
    <w:p>
      <w:pPr>
        <w:numPr>
          <w:ilvl w:val="0"/>
          <w:numId w:val="6"/>
        </w:numPr>
        <w:spacing w:line="600" w:lineRule="exact"/>
        <w:ind w:firstLine="640" w:firstLineChars="200"/>
        <w:rPr>
          <w:rFonts w:ascii="仿宋_GB2312" w:hAnsi="仿宋_GB2312" w:eastAsia="仿宋_GB2312" w:cs="仿宋_GB2312"/>
          <w:bCs/>
          <w:color w:val="000000"/>
          <w:sz w:val="32"/>
          <w:szCs w:val="32"/>
        </w:rPr>
      </w:pPr>
      <w:r>
        <w:rPr>
          <w:rFonts w:hint="eastAsia" w:ascii="仿宋" w:hAnsi="仿宋" w:eastAsia="仿宋" w:cs="宋体"/>
          <w:color w:val="333333"/>
          <w:kern w:val="0"/>
          <w:sz w:val="32"/>
          <w:szCs w:val="32"/>
        </w:rPr>
        <w:t>全年举办“朝天问政”</w:t>
      </w:r>
      <w:r>
        <w:rPr>
          <w:rFonts w:ascii="仿宋" w:hAnsi="仿宋" w:eastAsia="仿宋" w:cs="宋体"/>
          <w:color w:val="333333"/>
          <w:kern w:val="0"/>
          <w:sz w:val="32"/>
          <w:szCs w:val="32"/>
        </w:rPr>
        <w:t>4</w:t>
      </w:r>
      <w:r>
        <w:rPr>
          <w:rFonts w:hint="eastAsia" w:ascii="仿宋" w:hAnsi="仿宋" w:eastAsia="仿宋" w:cs="宋体"/>
          <w:color w:val="333333"/>
          <w:kern w:val="0"/>
          <w:sz w:val="32"/>
          <w:szCs w:val="32"/>
        </w:rPr>
        <w:t>期，曝光问题</w:t>
      </w:r>
      <w:r>
        <w:rPr>
          <w:rFonts w:ascii="仿宋" w:hAnsi="仿宋" w:eastAsia="仿宋" w:cs="宋体"/>
          <w:color w:val="333333"/>
          <w:kern w:val="0"/>
          <w:sz w:val="32"/>
          <w:szCs w:val="32"/>
        </w:rPr>
        <w:t>43</w:t>
      </w:r>
      <w:r>
        <w:rPr>
          <w:rFonts w:hint="eastAsia" w:ascii="仿宋" w:hAnsi="仿宋" w:eastAsia="仿宋" w:cs="宋体"/>
          <w:color w:val="333333"/>
          <w:kern w:val="0"/>
          <w:sz w:val="32"/>
          <w:szCs w:val="32"/>
        </w:rPr>
        <w:t>个，问责</w:t>
      </w:r>
      <w:r>
        <w:rPr>
          <w:rFonts w:ascii="仿宋" w:hAnsi="仿宋" w:eastAsia="仿宋" w:cs="宋体"/>
          <w:color w:val="333333"/>
          <w:kern w:val="0"/>
          <w:sz w:val="32"/>
          <w:szCs w:val="32"/>
        </w:rPr>
        <w:t>19</w:t>
      </w:r>
      <w:r>
        <w:rPr>
          <w:rFonts w:hint="eastAsia" w:ascii="仿宋" w:hAnsi="仿宋" w:eastAsia="仿宋" w:cs="宋体"/>
          <w:color w:val="333333"/>
          <w:kern w:val="0"/>
          <w:sz w:val="32"/>
          <w:szCs w:val="32"/>
        </w:rPr>
        <w:t>人，挽回经济损失</w:t>
      </w:r>
      <w:r>
        <w:rPr>
          <w:rFonts w:ascii="仿宋" w:hAnsi="仿宋" w:eastAsia="仿宋" w:cs="宋体"/>
          <w:color w:val="333333"/>
          <w:kern w:val="0"/>
          <w:sz w:val="32"/>
          <w:szCs w:val="32"/>
        </w:rPr>
        <w:t>159.2</w:t>
      </w:r>
      <w:r>
        <w:rPr>
          <w:rFonts w:hint="eastAsia" w:ascii="仿宋" w:hAnsi="仿宋" w:eastAsia="仿宋" w:cs="宋体"/>
          <w:color w:val="333333"/>
          <w:kern w:val="0"/>
          <w:sz w:val="32"/>
          <w:szCs w:val="32"/>
        </w:rPr>
        <w:t>万元；深化群众监督，全面开展村级民主质询评议</w:t>
      </w:r>
      <w:r>
        <w:rPr>
          <w:rFonts w:ascii="仿宋" w:hAnsi="仿宋" w:eastAsia="仿宋" w:cs="宋体"/>
          <w:color w:val="333333"/>
          <w:kern w:val="0"/>
          <w:sz w:val="32"/>
          <w:szCs w:val="32"/>
        </w:rPr>
        <w:t>74</w:t>
      </w:r>
      <w:r>
        <w:rPr>
          <w:rFonts w:hint="eastAsia" w:ascii="仿宋" w:hAnsi="仿宋" w:eastAsia="仿宋" w:cs="宋体"/>
          <w:color w:val="333333"/>
          <w:kern w:val="0"/>
          <w:sz w:val="32"/>
          <w:szCs w:val="32"/>
        </w:rPr>
        <w:t>场次，收集各类问题和意见建议</w:t>
      </w:r>
      <w:r>
        <w:rPr>
          <w:rFonts w:ascii="仿宋" w:hAnsi="仿宋" w:eastAsia="仿宋" w:cs="宋体"/>
          <w:color w:val="333333"/>
          <w:kern w:val="0"/>
          <w:sz w:val="32"/>
          <w:szCs w:val="32"/>
        </w:rPr>
        <w:t>811</w:t>
      </w:r>
      <w:r>
        <w:rPr>
          <w:rFonts w:hint="eastAsia" w:ascii="仿宋" w:hAnsi="仿宋" w:eastAsia="仿宋" w:cs="宋体"/>
          <w:color w:val="333333"/>
          <w:kern w:val="0"/>
          <w:sz w:val="32"/>
          <w:szCs w:val="32"/>
        </w:rPr>
        <w:t>条，现场澄清或解决</w:t>
      </w:r>
      <w:r>
        <w:rPr>
          <w:rFonts w:ascii="仿宋" w:hAnsi="仿宋" w:eastAsia="仿宋" w:cs="宋体"/>
          <w:color w:val="333333"/>
          <w:kern w:val="0"/>
          <w:sz w:val="32"/>
          <w:szCs w:val="32"/>
        </w:rPr>
        <w:t>158</w:t>
      </w:r>
      <w:r>
        <w:rPr>
          <w:rFonts w:hint="eastAsia" w:ascii="仿宋" w:hAnsi="仿宋" w:eastAsia="仿宋" w:cs="宋体"/>
          <w:color w:val="333333"/>
          <w:kern w:val="0"/>
          <w:sz w:val="32"/>
          <w:szCs w:val="32"/>
        </w:rPr>
        <w:t>个，督促整改</w:t>
      </w:r>
      <w:r>
        <w:rPr>
          <w:rFonts w:ascii="仿宋" w:hAnsi="仿宋" w:eastAsia="仿宋" w:cs="宋体"/>
          <w:color w:val="333333"/>
          <w:kern w:val="0"/>
          <w:sz w:val="32"/>
          <w:szCs w:val="32"/>
        </w:rPr>
        <w:t>642</w:t>
      </w:r>
      <w:r>
        <w:rPr>
          <w:rFonts w:hint="eastAsia" w:ascii="仿宋" w:hAnsi="仿宋" w:eastAsia="仿宋" w:cs="宋体"/>
          <w:color w:val="333333"/>
          <w:kern w:val="0"/>
          <w:sz w:val="32"/>
          <w:szCs w:val="32"/>
        </w:rPr>
        <w:t>个，群众对问题整改满意率达</w:t>
      </w:r>
      <w:r>
        <w:rPr>
          <w:rFonts w:ascii="仿宋" w:hAnsi="仿宋" w:eastAsia="仿宋" w:cs="宋体"/>
          <w:color w:val="333333"/>
          <w:kern w:val="0"/>
          <w:sz w:val="32"/>
          <w:szCs w:val="32"/>
        </w:rPr>
        <w:t>94.3%</w:t>
      </w:r>
      <w:r>
        <w:rPr>
          <w:rFonts w:hint="eastAsia" w:ascii="仿宋" w:hAnsi="仿宋" w:eastAsia="仿宋" w:cs="宋体"/>
          <w:color w:val="333333"/>
          <w:kern w:val="0"/>
          <w:sz w:val="32"/>
          <w:szCs w:val="32"/>
        </w:rPr>
        <w:t>。</w:t>
      </w:r>
    </w:p>
    <w:p>
      <w:pPr>
        <w:spacing w:line="560" w:lineRule="exac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五、绩效评价结果应用建议</w:t>
      </w:r>
    </w:p>
    <w:p>
      <w:pPr>
        <w:spacing w:line="560" w:lineRule="exact"/>
        <w:ind w:firstLine="960" w:firstLineChars="300"/>
        <w:rPr>
          <w:rFonts w:ascii="仿宋" w:hAnsi="仿宋" w:eastAsia="仿宋" w:cs="宋体"/>
          <w:kern w:val="0"/>
          <w:sz w:val="32"/>
          <w:szCs w:val="32"/>
        </w:rPr>
      </w:pPr>
      <w:r>
        <w:rPr>
          <w:rFonts w:hint="eastAsia" w:ascii="仿宋" w:hAnsi="仿宋" w:eastAsia="仿宋" w:cs="宋体"/>
          <w:color w:val="333333"/>
          <w:kern w:val="0"/>
          <w:sz w:val="32"/>
          <w:szCs w:val="32"/>
        </w:rPr>
        <w:t>严格按省市有关文件制定预算，按规定内容在规定时间及时公开预决算信息。</w:t>
      </w: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80" w:lineRule="exact"/>
        <w:jc w:val="center"/>
        <w:rPr>
          <w:rFonts w:ascii="仿宋" w:hAnsi="仿宋" w:eastAsia="仿宋" w:cs="方正小标宋简体"/>
          <w:sz w:val="32"/>
          <w:szCs w:val="32"/>
        </w:rPr>
      </w:pPr>
      <w:r>
        <w:rPr>
          <w:rFonts w:hint="eastAsia" w:ascii="仿宋" w:hAnsi="仿宋" w:eastAsia="仿宋" w:cs="方正小标宋简体"/>
          <w:sz w:val="32"/>
          <w:szCs w:val="32"/>
        </w:rPr>
        <w:t>20</w:t>
      </w:r>
      <w:r>
        <w:rPr>
          <w:rFonts w:hint="eastAsia" w:ascii="仿宋" w:hAnsi="仿宋" w:eastAsia="仿宋" w:cs="方正小标宋简体"/>
          <w:sz w:val="32"/>
          <w:szCs w:val="32"/>
          <w:lang w:val="en-US" w:eastAsia="zh-CN"/>
        </w:rPr>
        <w:t>20</w:t>
      </w:r>
      <w:r>
        <w:rPr>
          <w:rFonts w:hint="eastAsia" w:ascii="仿宋" w:hAnsi="仿宋" w:eastAsia="仿宋" w:cs="方正小标宋简体"/>
          <w:sz w:val="32"/>
          <w:szCs w:val="32"/>
        </w:rPr>
        <w:t>年</w:t>
      </w:r>
      <w:r>
        <w:rPr>
          <w:rFonts w:hint="eastAsia" w:ascii="仿宋" w:hAnsi="仿宋" w:eastAsia="仿宋" w:cs="方正小标宋简体"/>
          <w:sz w:val="32"/>
          <w:szCs w:val="32"/>
          <w:lang w:val="en-US" w:eastAsia="zh-CN"/>
        </w:rPr>
        <w:t>纪检监察干部</w:t>
      </w:r>
      <w:r>
        <w:rPr>
          <w:rFonts w:hint="eastAsia" w:ascii="仿宋" w:hAnsi="仿宋" w:eastAsia="仿宋" w:cs="方正小标宋简体"/>
          <w:sz w:val="32"/>
          <w:szCs w:val="32"/>
        </w:rPr>
        <w:t>培训经费项目支出绩效评价报告</w:t>
      </w:r>
    </w:p>
    <w:p>
      <w:pPr>
        <w:spacing w:line="580" w:lineRule="exact"/>
        <w:ind w:firstLine="640" w:firstLineChars="200"/>
        <w:rPr>
          <w:rFonts w:ascii="仿宋_GB2312" w:hAnsi="仿宋_GB2312" w:eastAsia="仿宋_GB2312" w:cs="仿宋_GB2312"/>
          <w:sz w:val="32"/>
          <w:szCs w:val="32"/>
        </w:rPr>
      </w:pP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一、项目基本情况</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（一）项目概况</w:t>
      </w:r>
    </w:p>
    <w:p>
      <w:pPr>
        <w:spacing w:line="600" w:lineRule="exact"/>
        <w:ind w:firstLine="640"/>
        <w:jc w:val="center"/>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通过开办“反腐倡廉微讲堂”活动、利用“清风明月·廉韵朝天”微信公众号平台，以及跟班学习、上挂锻炼等方式，推动纪检监察干部学透专业知识，熟稔党纪法规，全面增强</w:t>
      </w:r>
    </w:p>
    <w:p>
      <w:pPr>
        <w:spacing w:line="600" w:lineRule="exact"/>
        <w:ind w:firstLine="640"/>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“八种本领”。</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（二）项目绩效目标</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1.项目绩效总目标</w:t>
      </w:r>
    </w:p>
    <w:p>
      <w:pPr>
        <w:spacing w:line="600" w:lineRule="exact"/>
        <w:jc w:val="center"/>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积极组织人员参加各类培训，培训人数达150人以上，充分提高了纪检检查干部人员的业务素质。使纪检监察干部业务水平更上一新台阶，不断适应新形势发展工作需要。</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2.项目绩效阶段性目标</w:t>
      </w:r>
    </w:p>
    <w:p>
      <w:pPr>
        <w:spacing w:line="600" w:lineRule="exact"/>
        <w:ind w:firstLine="640" w:firstLineChars="200"/>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（1）服务大局，强化责任意识。</w:t>
      </w:r>
    </w:p>
    <w:p>
      <w:pPr>
        <w:spacing w:line="600" w:lineRule="exact"/>
        <w:ind w:firstLine="640" w:firstLineChars="200"/>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（2）公正高效，强化质效意识。</w:t>
      </w:r>
    </w:p>
    <w:p>
      <w:pPr>
        <w:spacing w:line="600" w:lineRule="exact"/>
        <w:ind w:firstLine="640" w:firstLineChars="200"/>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（3）服务民生，强化为民意识。</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二、项目单位绩效情况</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朝天区纪委对</w:t>
      </w:r>
      <w:r>
        <w:rPr>
          <w:rFonts w:hint="eastAsia" w:ascii="仿宋_GB2312" w:hAnsi="宋体" w:eastAsia="仿宋_GB2312" w:cs="宋体"/>
          <w:color w:val="333333"/>
          <w:kern w:val="0"/>
          <w:sz w:val="32"/>
          <w:szCs w:val="32"/>
          <w:lang w:val="en-US" w:eastAsia="zh-CN"/>
        </w:rPr>
        <w:t>2020</w:t>
      </w:r>
      <w:r>
        <w:rPr>
          <w:rFonts w:hint="eastAsia" w:ascii="仿宋_GB2312" w:hAnsi="宋体" w:eastAsia="仿宋_GB2312" w:cs="宋体"/>
          <w:color w:val="333333"/>
          <w:kern w:val="0"/>
          <w:sz w:val="32"/>
          <w:szCs w:val="32"/>
        </w:rPr>
        <w:t>年培训经费项目进行了绩效自评，对项目概况、项目资金的使用管理情况、项目组织实施情况、项目绩效完成情况进行了说明，自评得分100分。</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三、绩效评价工作情况</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（一）绩效评价目的</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评价项目存在的必要性、项目管理的规范性和项目绩效的突出性，从而为项目决策提供依据，进一步规范项目管理，提高项目资金使用绩效。</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（二）绩效评价原则、评价指标体系、评价方法</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采取定量与定性分析相结合原则；采用目标效益分析法评价。</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（三）绩效评价工作过程</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1.前期准备。由区财政局绩效评价股牵头，区纪委和区财政局参与，精心准备绩效评价工作。</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2.组织实施。区纪委提供基础数据，区纪委进行审核；区财政局政法股进行数据核对，开展初评。</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3.分析评价。区绩效评价股进行最后审核认定，并提出绩效评价报告。</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四、绩效评价指标分析情况</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（一）项目资金情况分析</w:t>
      </w:r>
    </w:p>
    <w:p>
      <w:pPr>
        <w:spacing w:line="600" w:lineRule="exact"/>
        <w:ind w:firstLine="640" w:firstLineChars="200"/>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1.项目资金到位情况分析</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区财政局政法股对预算的“</w:t>
      </w:r>
      <w:r>
        <w:rPr>
          <w:rFonts w:hint="eastAsia" w:ascii="仿宋_GB2312" w:hAnsi="宋体" w:eastAsia="仿宋_GB2312" w:cs="宋体"/>
          <w:color w:val="333333"/>
          <w:kern w:val="0"/>
          <w:sz w:val="32"/>
          <w:szCs w:val="32"/>
          <w:lang w:val="en-US" w:eastAsia="zh-CN"/>
        </w:rPr>
        <w:t>纪检监察干部</w:t>
      </w:r>
      <w:r>
        <w:rPr>
          <w:rFonts w:hint="eastAsia" w:ascii="仿宋_GB2312" w:hAnsi="宋体" w:eastAsia="仿宋_GB2312" w:cs="宋体"/>
          <w:color w:val="333333"/>
          <w:kern w:val="0"/>
          <w:sz w:val="32"/>
          <w:szCs w:val="32"/>
        </w:rPr>
        <w:t>培训”项目资金实际拨付</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5万元，本级财政拨款</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5万元。</w:t>
      </w:r>
    </w:p>
    <w:p>
      <w:pPr>
        <w:spacing w:line="600" w:lineRule="exact"/>
        <w:ind w:firstLine="640" w:firstLineChars="200"/>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2.项目资金使用情况分析</w:t>
      </w:r>
    </w:p>
    <w:p>
      <w:pPr>
        <w:spacing w:line="600" w:lineRule="exact"/>
        <w:jc w:val="center"/>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纪检监察培训”项目资金全部用于通过开办“反腐倡廉微讲堂”活动、利用“清风明月·廉韵朝天”微信公众号平台，以及跟班学习、上挂锻炼、干部外出培训等方式开支，在行政经费支出中的项目经费中反映，共计</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5万元。</w:t>
      </w:r>
    </w:p>
    <w:p>
      <w:pPr>
        <w:spacing w:line="600" w:lineRule="exact"/>
        <w:ind w:firstLine="640" w:firstLineChars="200"/>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3.项目资金管理情况分析</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区财政局政法股对我委纪检监察培训开支进行资金审批，根据我为上报的用款计划进行划拨。</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（二）项目实施情况分析</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1.项目组织情况分析</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我</w:t>
      </w:r>
      <w:r>
        <w:rPr>
          <w:rFonts w:hint="eastAsia" w:ascii="仿宋_GB2312" w:hAnsi="宋体" w:eastAsia="仿宋_GB2312" w:cs="宋体"/>
          <w:color w:val="333333"/>
          <w:kern w:val="0"/>
          <w:sz w:val="32"/>
          <w:szCs w:val="32"/>
          <w:lang w:val="en-US" w:eastAsia="zh-CN"/>
        </w:rPr>
        <w:t>委</w:t>
      </w:r>
      <w:r>
        <w:rPr>
          <w:rFonts w:hint="eastAsia" w:ascii="仿宋_GB2312" w:hAnsi="宋体" w:eastAsia="仿宋_GB2312" w:cs="宋体"/>
          <w:color w:val="333333"/>
          <w:kern w:val="0"/>
          <w:sz w:val="32"/>
          <w:szCs w:val="32"/>
        </w:rPr>
        <w:t>积极组织人员参加各类培训，计划完成培训人数达150人以上，充分提高纪检监察人员的业务素质。</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2.项目管理情况分析</w:t>
      </w:r>
    </w:p>
    <w:p>
      <w:pPr>
        <w:spacing w:line="600" w:lineRule="exact"/>
        <w:ind w:firstLine="640" w:firstLineChars="200"/>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（1）项目的实施进度。根据省财政厅下文，层层审批手续，拨付至我委平台账户。</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（2）项目完成质量。根据实际情况合理使用，不截留、挤占、挪用项目资金情况；不超标准开支情况。严格把关资金管理、费用支出进行监督。</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3.项目的效益性分析</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（1）项目预期目标完成程度。动态管理，及时审批，节约开支，完成100%，群众满意。</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（2）项目实施对经济和社会的影响。提高了纪检监察人员的业务素质，提高了业务水平。</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五、综合评价情况及评价结论</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该项目做到了管理规范，程序到位，群众满意，社会反响好。取得了巨大的社会效益，维护了社会的稳定。项目评价优秀。</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六、绩效评价结果应用建议</w:t>
      </w:r>
    </w:p>
    <w:p>
      <w:pPr>
        <w:spacing w:line="600" w:lineRule="exact"/>
        <w:jc w:val="left"/>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根据绩效评价结果，认为该项目对维护社会的稳定有重大意义，使业务人员水平更上新台阶，不断适应新形势发展工作需要。</w:t>
      </w:r>
    </w:p>
    <w:p>
      <w:pPr>
        <w:spacing w:line="600" w:lineRule="exact"/>
        <w:jc w:val="both"/>
        <w:outlineLvl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七、主要经验及做法、存在的问题和建议</w:t>
      </w:r>
    </w:p>
    <w:p>
      <w:pPr>
        <w:spacing w:line="600" w:lineRule="exact"/>
        <w:jc w:val="left"/>
        <w:outlineLvl w:val="0"/>
        <w:rPr>
          <w:rFonts w:ascii="仿宋" w:hAnsi="仿宋" w:eastAsia="仿宋"/>
          <w:color w:val="00000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区财政局、区纪委精诚合作，相辅相成，共同做好业务人员的培训工作。操作程序科学规范，资金到位及时无误，服务周到，群众满意。建议：继续实施项目，提高业务人员业务水平、办案效率和准确率。</w:t>
      </w: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80" w:lineRule="exact"/>
        <w:jc w:val="center"/>
        <w:rPr>
          <w:rFonts w:hint="eastAsia" w:ascii="仿宋" w:hAnsi="仿宋" w:eastAsia="仿宋" w:cs="方正小标宋简体"/>
          <w:sz w:val="32"/>
          <w:szCs w:val="32"/>
        </w:rPr>
      </w:pPr>
      <w:r>
        <w:rPr>
          <w:rFonts w:hint="eastAsia" w:ascii="仿宋" w:hAnsi="仿宋" w:eastAsia="仿宋" w:cs="方正小标宋简体"/>
          <w:sz w:val="32"/>
          <w:szCs w:val="32"/>
        </w:rPr>
        <w:t>20</w:t>
      </w:r>
      <w:r>
        <w:rPr>
          <w:rFonts w:hint="eastAsia" w:ascii="仿宋" w:hAnsi="仿宋" w:eastAsia="仿宋" w:cs="方正小标宋简体"/>
          <w:sz w:val="32"/>
          <w:szCs w:val="32"/>
          <w:lang w:val="en-US" w:eastAsia="zh-CN"/>
        </w:rPr>
        <w:t>20</w:t>
      </w:r>
      <w:r>
        <w:rPr>
          <w:rFonts w:hint="eastAsia" w:ascii="仿宋" w:hAnsi="仿宋" w:eastAsia="仿宋" w:cs="方正小标宋简体"/>
          <w:sz w:val="32"/>
          <w:szCs w:val="32"/>
        </w:rPr>
        <w:t>年</w:t>
      </w:r>
      <w:r>
        <w:rPr>
          <w:rFonts w:hint="eastAsia" w:ascii="仿宋" w:hAnsi="仿宋" w:eastAsia="仿宋" w:cs="方正小标宋简体"/>
          <w:sz w:val="32"/>
          <w:szCs w:val="32"/>
          <w:lang w:val="en-US" w:eastAsia="zh-CN"/>
        </w:rPr>
        <w:t>党风廉政图片展</w:t>
      </w:r>
      <w:r>
        <w:rPr>
          <w:rFonts w:hint="eastAsia" w:ascii="仿宋" w:hAnsi="仿宋" w:eastAsia="仿宋" w:cs="方正小标宋简体"/>
          <w:sz w:val="32"/>
          <w:szCs w:val="32"/>
        </w:rPr>
        <w:t>工作经费项目支出绩效评价报告</w:t>
      </w:r>
    </w:p>
    <w:p>
      <w:pPr>
        <w:pStyle w:val="2"/>
        <w:rPr>
          <w:rFonts w:hint="eastAsia" w:ascii="仿宋" w:hAnsi="仿宋" w:eastAsia="仿宋" w:cs="方正小标宋简体"/>
          <w:sz w:val="32"/>
          <w:szCs w:val="32"/>
        </w:rPr>
      </w:pPr>
    </w:p>
    <w:p>
      <w:pPr>
        <w:rPr>
          <w:rFonts w:hint="eastAsia" w:ascii="仿宋" w:hAnsi="仿宋" w:eastAsia="仿宋" w:cs="方正小标宋简体"/>
          <w:sz w:val="32"/>
          <w:szCs w:val="32"/>
        </w:rPr>
      </w:pPr>
      <w:r>
        <w:rPr>
          <w:rFonts w:hint="eastAsia" w:ascii="仿宋" w:hAnsi="仿宋" w:eastAsia="仿宋" w:cs="方正小标宋简体"/>
          <w:sz w:val="32"/>
          <w:szCs w:val="32"/>
        </w:rPr>
        <w:t>一、项目基本情况</w:t>
      </w:r>
    </w:p>
    <w:p>
      <w:pPr>
        <w:rPr>
          <w:rFonts w:hint="eastAsia" w:ascii="仿宋" w:hAnsi="仿宋" w:eastAsia="仿宋" w:cs="方正小标宋简体"/>
          <w:sz w:val="32"/>
          <w:szCs w:val="32"/>
        </w:rPr>
      </w:pPr>
      <w:r>
        <w:rPr>
          <w:rFonts w:hint="eastAsia" w:ascii="仿宋" w:hAnsi="仿宋" w:eastAsia="仿宋" w:cs="方正小标宋简体"/>
          <w:sz w:val="32"/>
          <w:szCs w:val="32"/>
        </w:rPr>
        <w:t>（一）项目概况</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通过项目实施，每年13次巡展。</w:t>
      </w:r>
    </w:p>
    <w:p>
      <w:pPr>
        <w:rPr>
          <w:rFonts w:hint="eastAsia" w:ascii="仿宋" w:hAnsi="仿宋" w:eastAsia="仿宋" w:cs="方正小标宋简体"/>
          <w:sz w:val="32"/>
          <w:szCs w:val="32"/>
        </w:rPr>
      </w:pPr>
      <w:r>
        <w:rPr>
          <w:rFonts w:hint="eastAsia" w:ascii="仿宋" w:hAnsi="仿宋" w:eastAsia="仿宋" w:cs="方正小标宋简体"/>
          <w:sz w:val="32"/>
          <w:szCs w:val="32"/>
        </w:rPr>
        <w:t>（二）项目绩效目标</w:t>
      </w:r>
    </w:p>
    <w:p>
      <w:pPr>
        <w:rPr>
          <w:rFonts w:hint="eastAsia" w:ascii="仿宋" w:hAnsi="仿宋" w:eastAsia="仿宋" w:cs="方正小标宋简体"/>
          <w:sz w:val="32"/>
          <w:szCs w:val="32"/>
        </w:rPr>
      </w:pPr>
      <w:r>
        <w:rPr>
          <w:rFonts w:hint="eastAsia" w:ascii="仿宋" w:hAnsi="仿宋" w:eastAsia="仿宋" w:cs="方正小标宋简体"/>
          <w:sz w:val="32"/>
          <w:szCs w:val="32"/>
        </w:rPr>
        <w:t>1.项目绩效总目标</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lang w:val="en-US" w:eastAsia="zh-CN"/>
        </w:rPr>
        <w:t>党风廉政建设图片展</w:t>
      </w:r>
      <w:r>
        <w:rPr>
          <w:rFonts w:hint="eastAsia" w:ascii="仿宋" w:hAnsi="仿宋" w:eastAsia="仿宋" w:cs="方正小标宋简体"/>
          <w:sz w:val="32"/>
          <w:szCs w:val="32"/>
        </w:rPr>
        <w:t>工作经费项目绩效目标完成情况综述。项目全年预算数</w:t>
      </w:r>
      <w:r>
        <w:rPr>
          <w:rFonts w:hint="eastAsia" w:ascii="仿宋" w:hAnsi="仿宋" w:eastAsia="仿宋" w:cs="方正小标宋简体"/>
          <w:sz w:val="32"/>
          <w:szCs w:val="32"/>
          <w:lang w:val="en-US" w:eastAsia="zh-CN"/>
        </w:rPr>
        <w:t>15</w:t>
      </w:r>
      <w:r>
        <w:rPr>
          <w:rFonts w:hint="eastAsia" w:ascii="仿宋" w:hAnsi="仿宋" w:eastAsia="仿宋" w:cs="方正小标宋简体"/>
          <w:sz w:val="32"/>
          <w:szCs w:val="32"/>
        </w:rPr>
        <w:t>万元，执行数为</w:t>
      </w:r>
      <w:r>
        <w:rPr>
          <w:rFonts w:hint="eastAsia" w:ascii="仿宋" w:hAnsi="仿宋" w:eastAsia="仿宋" w:cs="方正小标宋简体"/>
          <w:sz w:val="32"/>
          <w:szCs w:val="32"/>
          <w:lang w:val="en-US" w:eastAsia="zh-CN"/>
        </w:rPr>
        <w:t>15</w:t>
      </w:r>
      <w:r>
        <w:rPr>
          <w:rFonts w:hint="eastAsia" w:ascii="仿宋" w:hAnsi="仿宋" w:eastAsia="仿宋" w:cs="方正小标宋简体"/>
          <w:sz w:val="32"/>
          <w:szCs w:val="32"/>
        </w:rPr>
        <w:t>万元，完成预算的100%。通过项目实施，每年进行</w:t>
      </w:r>
      <w:r>
        <w:rPr>
          <w:rFonts w:hint="eastAsia" w:ascii="仿宋" w:hAnsi="仿宋" w:eastAsia="仿宋" w:cs="方正小标宋简体"/>
          <w:sz w:val="32"/>
          <w:szCs w:val="32"/>
          <w:lang w:val="en-US" w:eastAsia="zh-CN"/>
        </w:rPr>
        <w:t>13次</w:t>
      </w:r>
      <w:r>
        <w:rPr>
          <w:rFonts w:hint="eastAsia" w:ascii="仿宋" w:hAnsi="仿宋" w:eastAsia="仿宋" w:cs="方正小标宋简体"/>
          <w:sz w:val="32"/>
          <w:szCs w:val="32"/>
        </w:rPr>
        <w:t>巡</w:t>
      </w:r>
      <w:r>
        <w:rPr>
          <w:rFonts w:hint="eastAsia" w:ascii="仿宋" w:hAnsi="仿宋" w:eastAsia="仿宋" w:cs="方正小标宋简体"/>
          <w:sz w:val="32"/>
          <w:szCs w:val="32"/>
          <w:lang w:val="en-US" w:eastAsia="zh-CN"/>
        </w:rPr>
        <w:t>展</w:t>
      </w:r>
      <w:r>
        <w:rPr>
          <w:rFonts w:hint="eastAsia" w:ascii="仿宋" w:hAnsi="仿宋" w:eastAsia="仿宋" w:cs="方正小标宋简体"/>
          <w:sz w:val="32"/>
          <w:szCs w:val="32"/>
        </w:rPr>
        <w:t>，</w:t>
      </w:r>
      <w:r>
        <w:rPr>
          <w:rFonts w:hint="eastAsia" w:ascii="仿宋" w:hAnsi="仿宋" w:eastAsia="仿宋" w:cs="方正小标宋简体"/>
          <w:sz w:val="32"/>
          <w:szCs w:val="32"/>
          <w:lang w:val="en-US" w:eastAsia="zh-CN"/>
        </w:rPr>
        <w:t>区级部门1次，12个乡镇各一次</w:t>
      </w:r>
      <w:r>
        <w:rPr>
          <w:rFonts w:hint="eastAsia" w:ascii="仿宋" w:hAnsi="仿宋" w:eastAsia="仿宋" w:cs="方正小标宋简体"/>
          <w:sz w:val="32"/>
          <w:szCs w:val="32"/>
        </w:rPr>
        <w:t>。</w:t>
      </w:r>
    </w:p>
    <w:p>
      <w:pPr>
        <w:numPr>
          <w:ilvl w:val="0"/>
          <w:numId w:val="7"/>
        </w:numPr>
        <w:rPr>
          <w:rFonts w:hint="eastAsia" w:ascii="仿宋" w:hAnsi="仿宋" w:eastAsia="仿宋" w:cs="方正小标宋简体"/>
          <w:sz w:val="32"/>
          <w:szCs w:val="32"/>
        </w:rPr>
      </w:pPr>
      <w:r>
        <w:rPr>
          <w:rFonts w:hint="eastAsia" w:ascii="仿宋" w:hAnsi="仿宋" w:eastAsia="仿宋" w:cs="方正小标宋简体"/>
          <w:sz w:val="32"/>
          <w:szCs w:val="32"/>
        </w:rPr>
        <w:t>项目绩效阶段性目标</w:t>
      </w:r>
    </w:p>
    <w:p>
      <w:pPr>
        <w:numPr>
          <w:ilvl w:val="0"/>
          <w:numId w:val="0"/>
        </w:num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（1）服务大局，强化责任意识。</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（2）公正高效，强化质效意识。</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（3）服务民生，强化为民意识。</w:t>
      </w:r>
    </w:p>
    <w:p>
      <w:pPr>
        <w:rPr>
          <w:rFonts w:hint="eastAsia" w:ascii="仿宋" w:hAnsi="仿宋" w:eastAsia="仿宋" w:cs="方正小标宋简体"/>
          <w:sz w:val="32"/>
          <w:szCs w:val="32"/>
        </w:rPr>
      </w:pPr>
      <w:r>
        <w:rPr>
          <w:rFonts w:hint="eastAsia" w:ascii="仿宋" w:hAnsi="仿宋" w:eastAsia="仿宋" w:cs="方正小标宋简体"/>
          <w:sz w:val="32"/>
          <w:szCs w:val="32"/>
        </w:rPr>
        <w:t>二、项目单位绩效情况</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朝天区纪委对20</w:t>
      </w:r>
      <w:r>
        <w:rPr>
          <w:rFonts w:hint="eastAsia" w:ascii="仿宋" w:hAnsi="仿宋" w:eastAsia="仿宋" w:cs="方正小标宋简体"/>
          <w:sz w:val="32"/>
          <w:szCs w:val="32"/>
          <w:lang w:val="en-US" w:eastAsia="zh-CN"/>
        </w:rPr>
        <w:t>20</w:t>
      </w:r>
      <w:r>
        <w:rPr>
          <w:rFonts w:hint="eastAsia" w:ascii="仿宋" w:hAnsi="仿宋" w:eastAsia="仿宋" w:cs="方正小标宋简体"/>
          <w:sz w:val="32"/>
          <w:szCs w:val="32"/>
        </w:rPr>
        <w:t>年</w:t>
      </w:r>
      <w:r>
        <w:rPr>
          <w:rFonts w:hint="eastAsia" w:ascii="仿宋" w:hAnsi="仿宋" w:eastAsia="仿宋" w:cs="方正小标宋简体"/>
          <w:sz w:val="32"/>
          <w:szCs w:val="32"/>
          <w:lang w:val="en-US" w:eastAsia="zh-CN"/>
        </w:rPr>
        <w:t>党风廉政图片展</w:t>
      </w:r>
      <w:r>
        <w:rPr>
          <w:rFonts w:hint="eastAsia" w:ascii="仿宋" w:hAnsi="仿宋" w:eastAsia="仿宋" w:cs="方正小标宋简体"/>
          <w:sz w:val="32"/>
          <w:szCs w:val="32"/>
        </w:rPr>
        <w:t>项目进行了绩效自评，对项目概况、项目资金的使用管理情况、项目组织实施情况、项目绩效完成情况进行了说明，自评得分100分。</w:t>
      </w:r>
    </w:p>
    <w:p>
      <w:pPr>
        <w:rPr>
          <w:rFonts w:hint="eastAsia" w:ascii="仿宋" w:hAnsi="仿宋" w:eastAsia="仿宋" w:cs="方正小标宋简体"/>
          <w:sz w:val="32"/>
          <w:szCs w:val="32"/>
        </w:rPr>
      </w:pPr>
      <w:r>
        <w:rPr>
          <w:rFonts w:hint="eastAsia" w:ascii="仿宋" w:hAnsi="仿宋" w:eastAsia="仿宋" w:cs="方正小标宋简体"/>
          <w:sz w:val="32"/>
          <w:szCs w:val="32"/>
        </w:rPr>
        <w:t>三、绩效评价工作情况</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（一）绩效评价目的</w:t>
      </w:r>
    </w:p>
    <w:p>
      <w:pPr>
        <w:ind w:firstLine="960" w:firstLineChars="300"/>
        <w:rPr>
          <w:rFonts w:hint="eastAsia" w:ascii="仿宋" w:hAnsi="仿宋" w:eastAsia="仿宋" w:cs="方正小标宋简体"/>
          <w:sz w:val="32"/>
          <w:szCs w:val="32"/>
        </w:rPr>
      </w:pPr>
      <w:r>
        <w:rPr>
          <w:rFonts w:hint="eastAsia" w:ascii="仿宋" w:hAnsi="仿宋" w:eastAsia="仿宋" w:cs="方正小标宋简体"/>
          <w:sz w:val="32"/>
          <w:szCs w:val="32"/>
        </w:rPr>
        <w:t>评价项目存在的必要性、项目管理的规范性和项目绩效的突出性，从而为项目决策提供依据，进一步规范项目管理，提高项目资金使用绩效。</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（二）绩效评价原则、评价指标体系、评价方法</w:t>
      </w:r>
    </w:p>
    <w:p>
      <w:pPr>
        <w:ind w:firstLine="960" w:firstLineChars="300"/>
        <w:rPr>
          <w:rFonts w:hint="eastAsia" w:ascii="仿宋" w:hAnsi="仿宋" w:eastAsia="仿宋" w:cs="方正小标宋简体"/>
          <w:sz w:val="32"/>
          <w:szCs w:val="32"/>
        </w:rPr>
      </w:pPr>
      <w:r>
        <w:rPr>
          <w:rFonts w:hint="eastAsia" w:ascii="仿宋" w:hAnsi="仿宋" w:eastAsia="仿宋" w:cs="方正小标宋简体"/>
          <w:sz w:val="32"/>
          <w:szCs w:val="32"/>
        </w:rPr>
        <w:t>采取定量与定性分析相结合原则；采用目标效益分析法评价。</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（三）绩效评价工作过程</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1.前期准备。由区财政局绩效评价股牵头，区纪委和区财政局参与，精心准备绩效评价工作。</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2.组织实施。区纪委提供基础数据，区纪委进行审核；区财政局政法股进行数据核对，开展初评。</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3.分析评价。区绩效评价股进行最后审核认定，并提出绩效评价报告。</w:t>
      </w:r>
    </w:p>
    <w:p>
      <w:pPr>
        <w:rPr>
          <w:rFonts w:hint="eastAsia" w:ascii="仿宋" w:hAnsi="仿宋" w:eastAsia="仿宋" w:cs="方正小标宋简体"/>
          <w:sz w:val="32"/>
          <w:szCs w:val="32"/>
        </w:rPr>
      </w:pPr>
      <w:r>
        <w:rPr>
          <w:rFonts w:hint="eastAsia" w:ascii="仿宋" w:hAnsi="仿宋" w:eastAsia="仿宋" w:cs="方正小标宋简体"/>
          <w:sz w:val="32"/>
          <w:szCs w:val="32"/>
        </w:rPr>
        <w:t>四、绩效评价指标分析情况</w:t>
      </w:r>
    </w:p>
    <w:p>
      <w:pPr>
        <w:rPr>
          <w:rFonts w:hint="eastAsia" w:ascii="仿宋" w:hAnsi="仿宋" w:eastAsia="仿宋" w:cs="方正小标宋简体"/>
          <w:sz w:val="32"/>
          <w:szCs w:val="32"/>
        </w:rPr>
      </w:pPr>
      <w:r>
        <w:rPr>
          <w:rFonts w:hint="eastAsia" w:ascii="仿宋" w:hAnsi="仿宋" w:eastAsia="仿宋" w:cs="方正小标宋简体"/>
          <w:sz w:val="32"/>
          <w:szCs w:val="32"/>
        </w:rPr>
        <w:t>（一）项目资金情况分析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1.项目资金到位情况分析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区财政局政法股对预算项目资金实际拨付</w:t>
      </w:r>
      <w:r>
        <w:rPr>
          <w:rFonts w:hint="eastAsia" w:ascii="仿宋" w:hAnsi="仿宋" w:eastAsia="仿宋" w:cs="方正小标宋简体"/>
          <w:sz w:val="32"/>
          <w:szCs w:val="32"/>
          <w:lang w:val="en-US" w:eastAsia="zh-CN"/>
        </w:rPr>
        <w:t>15</w:t>
      </w:r>
      <w:r>
        <w:rPr>
          <w:rFonts w:hint="eastAsia" w:ascii="仿宋" w:hAnsi="仿宋" w:eastAsia="仿宋" w:cs="方正小标宋简体"/>
          <w:sz w:val="32"/>
          <w:szCs w:val="32"/>
        </w:rPr>
        <w:t>万元，本级财政拨款</w:t>
      </w:r>
      <w:r>
        <w:rPr>
          <w:rFonts w:hint="eastAsia" w:ascii="仿宋" w:hAnsi="仿宋" w:eastAsia="仿宋" w:cs="方正小标宋简体"/>
          <w:sz w:val="32"/>
          <w:szCs w:val="32"/>
          <w:lang w:val="en-US" w:eastAsia="zh-CN"/>
        </w:rPr>
        <w:t>15</w:t>
      </w:r>
      <w:r>
        <w:rPr>
          <w:rFonts w:hint="eastAsia" w:ascii="仿宋" w:hAnsi="仿宋" w:eastAsia="仿宋" w:cs="方正小标宋简体"/>
          <w:sz w:val="32"/>
          <w:szCs w:val="32"/>
        </w:rPr>
        <w:t>万元。</w:t>
      </w:r>
    </w:p>
    <w:p>
      <w:pPr>
        <w:rPr>
          <w:rFonts w:hint="eastAsia" w:ascii="仿宋" w:hAnsi="仿宋" w:eastAsia="仿宋" w:cs="方正小标宋简体"/>
          <w:sz w:val="32"/>
          <w:szCs w:val="32"/>
        </w:rPr>
      </w:pPr>
      <w:r>
        <w:rPr>
          <w:rFonts w:hint="eastAsia" w:ascii="仿宋" w:hAnsi="仿宋" w:eastAsia="仿宋" w:cs="方正小标宋简体"/>
          <w:sz w:val="32"/>
          <w:szCs w:val="32"/>
        </w:rPr>
        <w:t>2.项目资金使用情况分析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每年进行</w:t>
      </w:r>
      <w:r>
        <w:rPr>
          <w:rFonts w:hint="eastAsia" w:ascii="仿宋" w:hAnsi="仿宋" w:eastAsia="仿宋" w:cs="方正小标宋简体"/>
          <w:sz w:val="32"/>
          <w:szCs w:val="32"/>
          <w:lang w:val="en-US" w:eastAsia="zh-CN"/>
        </w:rPr>
        <w:t>13次巡展</w:t>
      </w:r>
      <w:r>
        <w:rPr>
          <w:rFonts w:hint="eastAsia" w:ascii="仿宋" w:hAnsi="仿宋" w:eastAsia="仿宋" w:cs="方正小标宋简体"/>
          <w:sz w:val="32"/>
          <w:szCs w:val="32"/>
        </w:rPr>
        <w:t>，巡</w:t>
      </w:r>
      <w:r>
        <w:rPr>
          <w:rFonts w:hint="eastAsia" w:ascii="仿宋" w:hAnsi="仿宋" w:eastAsia="仿宋" w:cs="方正小标宋简体"/>
          <w:sz w:val="32"/>
          <w:szCs w:val="32"/>
          <w:lang w:val="en-US" w:eastAsia="zh-CN"/>
        </w:rPr>
        <w:t>展12个乡镇及区级部门</w:t>
      </w:r>
      <w:r>
        <w:rPr>
          <w:rFonts w:hint="eastAsia" w:ascii="仿宋" w:hAnsi="仿宋" w:eastAsia="仿宋" w:cs="方正小标宋简体"/>
          <w:sz w:val="32"/>
          <w:szCs w:val="32"/>
        </w:rPr>
        <w:t>，共计</w:t>
      </w:r>
      <w:r>
        <w:rPr>
          <w:rFonts w:hint="eastAsia" w:ascii="仿宋" w:hAnsi="仿宋" w:eastAsia="仿宋" w:cs="方正小标宋简体"/>
          <w:sz w:val="32"/>
          <w:szCs w:val="32"/>
          <w:lang w:val="en-US" w:eastAsia="zh-CN"/>
        </w:rPr>
        <w:t>15</w:t>
      </w:r>
      <w:r>
        <w:rPr>
          <w:rFonts w:hint="eastAsia" w:ascii="仿宋" w:hAnsi="仿宋" w:eastAsia="仿宋" w:cs="方正小标宋简体"/>
          <w:sz w:val="32"/>
          <w:szCs w:val="32"/>
        </w:rPr>
        <w:t>万元。</w:t>
      </w:r>
    </w:p>
    <w:p>
      <w:pPr>
        <w:rPr>
          <w:rFonts w:hint="eastAsia" w:ascii="仿宋" w:hAnsi="仿宋" w:eastAsia="仿宋" w:cs="方正小标宋简体"/>
          <w:sz w:val="32"/>
          <w:szCs w:val="32"/>
        </w:rPr>
      </w:pPr>
      <w:r>
        <w:rPr>
          <w:rFonts w:hint="eastAsia" w:ascii="仿宋" w:hAnsi="仿宋" w:eastAsia="仿宋" w:cs="方正小标宋简体"/>
          <w:sz w:val="32"/>
          <w:szCs w:val="32"/>
        </w:rPr>
        <w:t>3.项目资金管理情况分析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区财政局政法股对我委</w:t>
      </w:r>
      <w:r>
        <w:rPr>
          <w:rFonts w:hint="eastAsia" w:ascii="仿宋" w:hAnsi="仿宋" w:eastAsia="仿宋" w:cs="方正小标宋简体"/>
          <w:sz w:val="32"/>
          <w:szCs w:val="32"/>
          <w:lang w:val="en-US" w:eastAsia="zh-CN"/>
        </w:rPr>
        <w:t>党风廉政建设图片展</w:t>
      </w:r>
      <w:r>
        <w:rPr>
          <w:rFonts w:hint="eastAsia" w:ascii="仿宋" w:hAnsi="仿宋" w:eastAsia="仿宋" w:cs="方正小标宋简体"/>
          <w:sz w:val="32"/>
          <w:szCs w:val="32"/>
        </w:rPr>
        <w:t>开支进行资金审批，根据我委上报的用款计划进行划拨。</w:t>
      </w:r>
    </w:p>
    <w:p>
      <w:pPr>
        <w:rPr>
          <w:rFonts w:hint="eastAsia" w:ascii="仿宋" w:hAnsi="仿宋" w:eastAsia="仿宋" w:cs="方正小标宋简体"/>
          <w:sz w:val="32"/>
          <w:szCs w:val="32"/>
        </w:rPr>
      </w:pPr>
      <w:r>
        <w:rPr>
          <w:rFonts w:hint="eastAsia" w:ascii="仿宋" w:hAnsi="仿宋" w:eastAsia="仿宋" w:cs="方正小标宋简体"/>
          <w:sz w:val="32"/>
          <w:szCs w:val="32"/>
        </w:rPr>
        <w:t>（二）项目实施情况分析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1.项目组织情况分析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每年进行</w:t>
      </w:r>
      <w:r>
        <w:rPr>
          <w:rFonts w:hint="eastAsia" w:ascii="仿宋" w:hAnsi="仿宋" w:eastAsia="仿宋" w:cs="方正小标宋简体"/>
          <w:sz w:val="32"/>
          <w:szCs w:val="32"/>
          <w:lang w:val="en-US" w:eastAsia="zh-CN"/>
        </w:rPr>
        <w:t>13次巡展</w:t>
      </w:r>
      <w:r>
        <w:rPr>
          <w:rFonts w:hint="eastAsia" w:ascii="仿宋" w:hAnsi="仿宋" w:eastAsia="仿宋" w:cs="方正小标宋简体"/>
          <w:sz w:val="32"/>
          <w:szCs w:val="32"/>
        </w:rPr>
        <w:t>。</w:t>
      </w:r>
    </w:p>
    <w:p>
      <w:pPr>
        <w:ind w:firstLine="320" w:firstLineChars="100"/>
        <w:rPr>
          <w:rFonts w:hint="eastAsia" w:ascii="仿宋" w:hAnsi="仿宋" w:eastAsia="仿宋" w:cs="方正小标宋简体"/>
          <w:sz w:val="32"/>
          <w:szCs w:val="32"/>
        </w:rPr>
      </w:pPr>
      <w:r>
        <w:rPr>
          <w:rFonts w:hint="eastAsia" w:ascii="仿宋" w:hAnsi="仿宋" w:eastAsia="仿宋" w:cs="方正小标宋简体"/>
          <w:sz w:val="32"/>
          <w:szCs w:val="32"/>
          <w:lang w:val="en-US" w:eastAsia="zh-CN"/>
        </w:rPr>
        <w:t xml:space="preserve">  </w:t>
      </w:r>
      <w:r>
        <w:rPr>
          <w:rFonts w:hint="eastAsia" w:ascii="仿宋" w:hAnsi="仿宋" w:eastAsia="仿宋" w:cs="方正小标宋简体"/>
          <w:sz w:val="32"/>
          <w:szCs w:val="32"/>
        </w:rPr>
        <w:t>2.项目管理情况分析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（1）项目的实施进度。根据省财政厅下文，层层审批手续，拨付至我委平台账户。</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（2）项目完成质量。根据实际情况合理使用，不截留、挤占、挪用项目资金情况；不超标准开支情况。严格把关资金管理、费用支出进行监督。</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3.项目的效益性分析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（1）项目预期目标完成程度。动态管理，及时审批，节约开支，完成100%，群众满意。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（2）项目实施对经济和社会的影响。提高了群众的素质，促进了社会和谐稳定，促进了社会公平正义与和谐进步。</w:t>
      </w:r>
    </w:p>
    <w:p>
      <w:pPr>
        <w:rPr>
          <w:rFonts w:hint="eastAsia" w:ascii="仿宋" w:hAnsi="仿宋" w:eastAsia="仿宋" w:cs="方正小标宋简体"/>
          <w:sz w:val="32"/>
          <w:szCs w:val="32"/>
        </w:rPr>
      </w:pPr>
      <w:r>
        <w:rPr>
          <w:rFonts w:hint="eastAsia" w:ascii="仿宋" w:hAnsi="仿宋" w:eastAsia="仿宋" w:cs="方正小标宋简体"/>
          <w:sz w:val="32"/>
          <w:szCs w:val="32"/>
        </w:rPr>
        <w:t>五、综合评价情况及评价结论</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该项目做到了管理规范，程序到位，群众满意，社会反响好。取得了巨大的社会效益，维护了社会的稳定。项目评价优秀。</w:t>
      </w:r>
    </w:p>
    <w:p>
      <w:pPr>
        <w:rPr>
          <w:rFonts w:hint="eastAsia" w:ascii="仿宋" w:hAnsi="仿宋" w:eastAsia="仿宋" w:cs="方正小标宋简体"/>
          <w:sz w:val="32"/>
          <w:szCs w:val="32"/>
        </w:rPr>
      </w:pPr>
      <w:r>
        <w:rPr>
          <w:rFonts w:hint="eastAsia" w:ascii="仿宋" w:hAnsi="仿宋" w:eastAsia="仿宋" w:cs="方正小标宋简体"/>
          <w:sz w:val="32"/>
          <w:szCs w:val="32"/>
        </w:rPr>
        <w:t>六、绩效评价结果应用建议</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根据绩效评价结果，认为该项目对维护社会的稳定有重大意义。</w:t>
      </w:r>
    </w:p>
    <w:p>
      <w:pPr>
        <w:rPr>
          <w:rFonts w:hint="eastAsia" w:ascii="仿宋" w:hAnsi="仿宋" w:eastAsia="仿宋" w:cs="方正小标宋简体"/>
          <w:sz w:val="32"/>
          <w:szCs w:val="32"/>
        </w:rPr>
      </w:pPr>
      <w:r>
        <w:rPr>
          <w:rFonts w:hint="eastAsia" w:ascii="仿宋" w:hAnsi="仿宋" w:eastAsia="仿宋" w:cs="方正小标宋简体"/>
          <w:sz w:val="32"/>
          <w:szCs w:val="32"/>
        </w:rPr>
        <w:t>七、主要经验及做法、存在的问题和建议</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通过该项目的开展，及时、高效的参与处理了各类突发事件，有效保障社会和谐稳定。目前该经费相对不足，一定程度阻碍了维稳工作更全面的开展，下一步向上争取资金。</w:t>
      </w:r>
    </w:p>
    <w:p>
      <w:pPr>
        <w:pStyle w:val="2"/>
        <w:ind w:left="0" w:leftChars="0" w:firstLine="0" w:firstLineChars="0"/>
      </w:pP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hint="eastAsia" w:ascii="仿宋" w:hAnsi="仿宋" w:eastAsia="仿宋" w:cs="方正小标宋简体"/>
          <w:sz w:val="32"/>
          <w:szCs w:val="32"/>
        </w:rPr>
      </w:pPr>
      <w:r>
        <w:rPr>
          <w:rFonts w:hint="eastAsia" w:ascii="仿宋" w:hAnsi="仿宋" w:eastAsia="仿宋" w:cs="方正小标宋简体"/>
          <w:sz w:val="32"/>
          <w:szCs w:val="32"/>
        </w:rPr>
        <w:t>2</w:t>
      </w:r>
      <w:r>
        <w:rPr>
          <w:rFonts w:hint="eastAsia" w:ascii="仿宋" w:hAnsi="仿宋" w:eastAsia="仿宋" w:cs="方正小标宋简体"/>
          <w:sz w:val="32"/>
          <w:szCs w:val="32"/>
          <w:lang w:val="en-US" w:eastAsia="zh-CN"/>
        </w:rPr>
        <w:t>020</w:t>
      </w:r>
      <w:r>
        <w:rPr>
          <w:rFonts w:hint="eastAsia" w:ascii="仿宋" w:hAnsi="仿宋" w:eastAsia="仿宋" w:cs="方正小标宋简体"/>
          <w:sz w:val="32"/>
          <w:szCs w:val="32"/>
        </w:rPr>
        <w:t>年</w:t>
      </w:r>
      <w:r>
        <w:rPr>
          <w:rFonts w:hint="eastAsia" w:ascii="仿宋" w:hAnsi="仿宋" w:eastAsia="仿宋" w:cs="方正小标宋简体"/>
          <w:sz w:val="32"/>
          <w:szCs w:val="32"/>
          <w:lang w:val="en-US" w:eastAsia="zh-CN"/>
        </w:rPr>
        <w:t>党风廉政建设图片制作</w:t>
      </w:r>
      <w:r>
        <w:rPr>
          <w:rFonts w:hint="eastAsia" w:ascii="仿宋" w:hAnsi="仿宋" w:eastAsia="仿宋" w:cs="方正小标宋简体"/>
          <w:sz w:val="32"/>
          <w:szCs w:val="32"/>
        </w:rPr>
        <w:t>项目支出绩效评价报告</w:t>
      </w:r>
    </w:p>
    <w:p>
      <w:pPr>
        <w:pStyle w:val="2"/>
        <w:rPr>
          <w:rFonts w:hint="eastAsia" w:ascii="仿宋" w:hAnsi="仿宋" w:eastAsia="仿宋" w:cs="方正小标宋简体"/>
          <w:sz w:val="32"/>
          <w:szCs w:val="32"/>
        </w:rPr>
      </w:pPr>
    </w:p>
    <w:p>
      <w:pPr>
        <w:rPr>
          <w:rFonts w:hint="eastAsia" w:ascii="仿宋" w:hAnsi="仿宋" w:eastAsia="仿宋" w:cs="方正小标宋简体"/>
          <w:sz w:val="32"/>
          <w:szCs w:val="32"/>
        </w:rPr>
      </w:pPr>
      <w:r>
        <w:rPr>
          <w:rFonts w:hint="eastAsia" w:ascii="仿宋" w:hAnsi="仿宋" w:eastAsia="仿宋" w:cs="方正小标宋简体"/>
          <w:sz w:val="32"/>
          <w:szCs w:val="32"/>
        </w:rPr>
        <w:t>一、项目基本情况</w:t>
      </w:r>
    </w:p>
    <w:p>
      <w:pPr>
        <w:rPr>
          <w:rFonts w:hint="eastAsia" w:ascii="仿宋" w:hAnsi="仿宋" w:eastAsia="仿宋" w:cs="方正小标宋简体"/>
          <w:sz w:val="32"/>
          <w:szCs w:val="32"/>
        </w:rPr>
      </w:pPr>
      <w:r>
        <w:rPr>
          <w:rFonts w:hint="eastAsia" w:ascii="仿宋" w:hAnsi="仿宋" w:eastAsia="仿宋" w:cs="方正小标宋简体"/>
          <w:sz w:val="32"/>
          <w:szCs w:val="32"/>
        </w:rPr>
        <w:t>（一）项目概况</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通过项目实施，每年</w:t>
      </w:r>
      <w:r>
        <w:rPr>
          <w:rFonts w:hint="eastAsia" w:ascii="仿宋" w:hAnsi="仿宋" w:eastAsia="仿宋" w:cs="方正小标宋简体"/>
          <w:sz w:val="32"/>
          <w:szCs w:val="32"/>
          <w:lang w:val="en-US" w:eastAsia="zh-CN"/>
        </w:rPr>
        <w:t>制作5部警示教育片</w:t>
      </w:r>
      <w:r>
        <w:rPr>
          <w:rFonts w:hint="eastAsia" w:ascii="仿宋" w:hAnsi="仿宋" w:eastAsia="仿宋" w:cs="方正小标宋简体"/>
          <w:sz w:val="32"/>
          <w:szCs w:val="32"/>
        </w:rPr>
        <w:t>。</w:t>
      </w:r>
    </w:p>
    <w:p>
      <w:pPr>
        <w:rPr>
          <w:rFonts w:hint="eastAsia" w:ascii="仿宋" w:hAnsi="仿宋" w:eastAsia="仿宋" w:cs="方正小标宋简体"/>
          <w:sz w:val="32"/>
          <w:szCs w:val="32"/>
        </w:rPr>
      </w:pPr>
      <w:r>
        <w:rPr>
          <w:rFonts w:hint="eastAsia" w:ascii="仿宋" w:hAnsi="仿宋" w:eastAsia="仿宋" w:cs="方正小标宋简体"/>
          <w:sz w:val="32"/>
          <w:szCs w:val="32"/>
        </w:rPr>
        <w:t>（二）项目绩效目标</w:t>
      </w:r>
    </w:p>
    <w:p>
      <w:pPr>
        <w:rPr>
          <w:rFonts w:hint="eastAsia" w:ascii="仿宋" w:hAnsi="仿宋" w:eastAsia="仿宋" w:cs="方正小标宋简体"/>
          <w:sz w:val="32"/>
          <w:szCs w:val="32"/>
        </w:rPr>
      </w:pPr>
      <w:r>
        <w:rPr>
          <w:rFonts w:hint="eastAsia" w:ascii="仿宋" w:hAnsi="仿宋" w:eastAsia="仿宋" w:cs="方正小标宋简体"/>
          <w:sz w:val="32"/>
          <w:szCs w:val="32"/>
        </w:rPr>
        <w:t>1.项目绩效总目标</w:t>
      </w:r>
    </w:p>
    <w:p>
      <w:pPr>
        <w:ind w:firstLine="640" w:firstLineChars="200"/>
        <w:rPr>
          <w:rFonts w:hint="default" w:ascii="仿宋" w:hAnsi="仿宋" w:eastAsia="仿宋" w:cs="方正小标宋简体"/>
          <w:sz w:val="32"/>
          <w:szCs w:val="32"/>
          <w:lang w:val="en-US" w:eastAsia="zh-CN"/>
        </w:rPr>
      </w:pPr>
      <w:r>
        <w:rPr>
          <w:rFonts w:hint="eastAsia" w:ascii="仿宋" w:hAnsi="仿宋" w:eastAsia="仿宋" w:cs="方正小标宋简体"/>
          <w:sz w:val="32"/>
          <w:szCs w:val="32"/>
          <w:lang w:val="en-US" w:eastAsia="zh-CN"/>
        </w:rPr>
        <w:t>党风廉政建设图片制作</w:t>
      </w:r>
      <w:r>
        <w:rPr>
          <w:rFonts w:hint="eastAsia" w:ascii="仿宋" w:hAnsi="仿宋" w:eastAsia="仿宋" w:cs="方正小标宋简体"/>
          <w:sz w:val="32"/>
          <w:szCs w:val="32"/>
        </w:rPr>
        <w:t>工作经费项目绩效目标完成情况综述。项目全年预算数</w:t>
      </w:r>
      <w:r>
        <w:rPr>
          <w:rFonts w:hint="eastAsia" w:ascii="仿宋" w:hAnsi="仿宋" w:eastAsia="仿宋" w:cs="方正小标宋简体"/>
          <w:sz w:val="32"/>
          <w:szCs w:val="32"/>
          <w:lang w:val="en-US" w:eastAsia="zh-CN"/>
        </w:rPr>
        <w:t>10</w:t>
      </w:r>
      <w:r>
        <w:rPr>
          <w:rFonts w:hint="eastAsia" w:ascii="仿宋" w:hAnsi="仿宋" w:eastAsia="仿宋" w:cs="方正小标宋简体"/>
          <w:sz w:val="32"/>
          <w:szCs w:val="32"/>
        </w:rPr>
        <w:t>万元，执行数为</w:t>
      </w:r>
      <w:r>
        <w:rPr>
          <w:rFonts w:hint="eastAsia" w:ascii="仿宋" w:hAnsi="仿宋" w:eastAsia="仿宋" w:cs="方正小标宋简体"/>
          <w:sz w:val="32"/>
          <w:szCs w:val="32"/>
          <w:lang w:val="en-US" w:eastAsia="zh-CN"/>
        </w:rPr>
        <w:t>10</w:t>
      </w:r>
      <w:r>
        <w:rPr>
          <w:rFonts w:hint="eastAsia" w:ascii="仿宋" w:hAnsi="仿宋" w:eastAsia="仿宋" w:cs="方正小标宋简体"/>
          <w:sz w:val="32"/>
          <w:szCs w:val="32"/>
        </w:rPr>
        <w:t>万元，完成预算的100%。通过项目实施，每年</w:t>
      </w:r>
      <w:r>
        <w:rPr>
          <w:rFonts w:hint="eastAsia" w:ascii="仿宋" w:hAnsi="仿宋" w:eastAsia="仿宋" w:cs="方正小标宋简体"/>
          <w:sz w:val="32"/>
          <w:szCs w:val="32"/>
          <w:lang w:val="en-US" w:eastAsia="zh-CN"/>
        </w:rPr>
        <w:t>制作5部警示教育片。</w:t>
      </w:r>
    </w:p>
    <w:p>
      <w:pPr>
        <w:numPr>
          <w:ilvl w:val="0"/>
          <w:numId w:val="7"/>
        </w:numPr>
        <w:rPr>
          <w:rFonts w:hint="eastAsia" w:ascii="仿宋" w:hAnsi="仿宋" w:eastAsia="仿宋" w:cs="方正小标宋简体"/>
          <w:sz w:val="32"/>
          <w:szCs w:val="32"/>
        </w:rPr>
      </w:pPr>
      <w:r>
        <w:rPr>
          <w:rFonts w:hint="eastAsia" w:ascii="仿宋" w:hAnsi="仿宋" w:eastAsia="仿宋" w:cs="方正小标宋简体"/>
          <w:sz w:val="32"/>
          <w:szCs w:val="32"/>
        </w:rPr>
        <w:t>项目绩效阶段性目标</w:t>
      </w:r>
    </w:p>
    <w:p>
      <w:pPr>
        <w:numPr>
          <w:ilvl w:val="0"/>
          <w:numId w:val="0"/>
        </w:num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（1）服务大局，强化责任意识。</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（2）公正高效，强化质效意识。</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（3）服务民生，强化为民意识。</w:t>
      </w:r>
    </w:p>
    <w:p>
      <w:pPr>
        <w:rPr>
          <w:rFonts w:hint="eastAsia" w:ascii="仿宋" w:hAnsi="仿宋" w:eastAsia="仿宋" w:cs="方正小标宋简体"/>
          <w:sz w:val="32"/>
          <w:szCs w:val="32"/>
        </w:rPr>
      </w:pPr>
      <w:r>
        <w:rPr>
          <w:rFonts w:hint="eastAsia" w:ascii="仿宋" w:hAnsi="仿宋" w:eastAsia="仿宋" w:cs="方正小标宋简体"/>
          <w:sz w:val="32"/>
          <w:szCs w:val="32"/>
        </w:rPr>
        <w:t>二、项目单位绩效情况</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朝天区纪委对20</w:t>
      </w:r>
      <w:r>
        <w:rPr>
          <w:rFonts w:hint="eastAsia" w:ascii="仿宋" w:hAnsi="仿宋" w:eastAsia="仿宋" w:cs="方正小标宋简体"/>
          <w:sz w:val="32"/>
          <w:szCs w:val="32"/>
          <w:lang w:val="en-US" w:eastAsia="zh-CN"/>
        </w:rPr>
        <w:t>20</w:t>
      </w:r>
      <w:r>
        <w:rPr>
          <w:rFonts w:hint="eastAsia" w:ascii="仿宋" w:hAnsi="仿宋" w:eastAsia="仿宋" w:cs="方正小标宋简体"/>
          <w:sz w:val="32"/>
          <w:szCs w:val="32"/>
        </w:rPr>
        <w:t>年</w:t>
      </w:r>
      <w:r>
        <w:rPr>
          <w:rFonts w:hint="eastAsia" w:ascii="仿宋" w:hAnsi="仿宋" w:eastAsia="仿宋" w:cs="方正小标宋简体"/>
          <w:sz w:val="32"/>
          <w:szCs w:val="32"/>
          <w:lang w:val="en-US" w:eastAsia="zh-CN"/>
        </w:rPr>
        <w:t>党风廉政图片制作</w:t>
      </w:r>
      <w:r>
        <w:rPr>
          <w:rFonts w:hint="eastAsia" w:ascii="仿宋" w:hAnsi="仿宋" w:eastAsia="仿宋" w:cs="方正小标宋简体"/>
          <w:sz w:val="32"/>
          <w:szCs w:val="32"/>
        </w:rPr>
        <w:t>项目进行了绩效自评，对项目概况、项目资金的使用管理情况、项目组织实施情况、项目绩效完成情况进行了说明，自评得分100分。</w:t>
      </w:r>
    </w:p>
    <w:p>
      <w:pPr>
        <w:rPr>
          <w:rFonts w:hint="eastAsia" w:ascii="仿宋" w:hAnsi="仿宋" w:eastAsia="仿宋" w:cs="方正小标宋简体"/>
          <w:sz w:val="32"/>
          <w:szCs w:val="32"/>
        </w:rPr>
      </w:pPr>
      <w:r>
        <w:rPr>
          <w:rFonts w:hint="eastAsia" w:ascii="仿宋" w:hAnsi="仿宋" w:eastAsia="仿宋" w:cs="方正小标宋简体"/>
          <w:sz w:val="32"/>
          <w:szCs w:val="32"/>
        </w:rPr>
        <w:t>三、绩效评价工作情况</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（一）绩效评价目的</w:t>
      </w:r>
    </w:p>
    <w:p>
      <w:pPr>
        <w:ind w:firstLine="960" w:firstLineChars="300"/>
        <w:rPr>
          <w:rFonts w:hint="eastAsia" w:ascii="仿宋" w:hAnsi="仿宋" w:eastAsia="仿宋" w:cs="方正小标宋简体"/>
          <w:sz w:val="32"/>
          <w:szCs w:val="32"/>
        </w:rPr>
      </w:pPr>
      <w:r>
        <w:rPr>
          <w:rFonts w:hint="eastAsia" w:ascii="仿宋" w:hAnsi="仿宋" w:eastAsia="仿宋" w:cs="方正小标宋简体"/>
          <w:sz w:val="32"/>
          <w:szCs w:val="32"/>
        </w:rPr>
        <w:t>评价项目存在的必要性、项目管理的规范性和项目绩效的突出性，从而为项目决策提供依据，进一步规范项目管理，提高项目资金使用绩效。</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（二）绩效评价原则、评价指标体系、评价方法</w:t>
      </w:r>
    </w:p>
    <w:p>
      <w:pPr>
        <w:ind w:firstLine="960" w:firstLineChars="300"/>
        <w:rPr>
          <w:rFonts w:hint="eastAsia" w:ascii="仿宋" w:hAnsi="仿宋" w:eastAsia="仿宋" w:cs="方正小标宋简体"/>
          <w:sz w:val="32"/>
          <w:szCs w:val="32"/>
        </w:rPr>
      </w:pPr>
      <w:r>
        <w:rPr>
          <w:rFonts w:hint="eastAsia" w:ascii="仿宋" w:hAnsi="仿宋" w:eastAsia="仿宋" w:cs="方正小标宋简体"/>
          <w:sz w:val="32"/>
          <w:szCs w:val="32"/>
        </w:rPr>
        <w:t>采取定量与定性分析相结合原则；采用目标效益分析法评价。</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（三）绩效评价工作过程</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1.前期准备。由区财政局绩效评价股牵头，区纪委和区财政局参与，精心准备绩效评价工作。</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2.组织实施。区纪委提供基础数据，区纪委进行审核；区财政局政法股进行数据核对，开展初评。</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3.分析评价。区绩效评价股进行最后审核认定，并提出绩效评价报告。</w:t>
      </w:r>
    </w:p>
    <w:p>
      <w:pPr>
        <w:rPr>
          <w:rFonts w:hint="eastAsia" w:ascii="仿宋" w:hAnsi="仿宋" w:eastAsia="仿宋" w:cs="方正小标宋简体"/>
          <w:sz w:val="32"/>
          <w:szCs w:val="32"/>
        </w:rPr>
      </w:pPr>
      <w:r>
        <w:rPr>
          <w:rFonts w:hint="eastAsia" w:ascii="仿宋" w:hAnsi="仿宋" w:eastAsia="仿宋" w:cs="方正小标宋简体"/>
          <w:sz w:val="32"/>
          <w:szCs w:val="32"/>
        </w:rPr>
        <w:t>四、绩效评价指标分析情况</w:t>
      </w:r>
    </w:p>
    <w:p>
      <w:pPr>
        <w:rPr>
          <w:rFonts w:hint="eastAsia" w:ascii="仿宋" w:hAnsi="仿宋" w:eastAsia="仿宋" w:cs="方正小标宋简体"/>
          <w:sz w:val="32"/>
          <w:szCs w:val="32"/>
        </w:rPr>
      </w:pPr>
      <w:r>
        <w:rPr>
          <w:rFonts w:hint="eastAsia" w:ascii="仿宋" w:hAnsi="仿宋" w:eastAsia="仿宋" w:cs="方正小标宋简体"/>
          <w:sz w:val="32"/>
          <w:szCs w:val="32"/>
        </w:rPr>
        <w:t>（一）项目资金情况分析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1.项目资金到位情况分析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区财政局政法股对预算项目资金实际拨付</w:t>
      </w:r>
      <w:r>
        <w:rPr>
          <w:rFonts w:hint="eastAsia" w:ascii="仿宋" w:hAnsi="仿宋" w:eastAsia="仿宋" w:cs="方正小标宋简体"/>
          <w:sz w:val="32"/>
          <w:szCs w:val="32"/>
          <w:lang w:val="en-US" w:eastAsia="zh-CN"/>
        </w:rPr>
        <w:t>10</w:t>
      </w:r>
      <w:r>
        <w:rPr>
          <w:rFonts w:hint="eastAsia" w:ascii="仿宋" w:hAnsi="仿宋" w:eastAsia="仿宋" w:cs="方正小标宋简体"/>
          <w:sz w:val="32"/>
          <w:szCs w:val="32"/>
        </w:rPr>
        <w:t>万元，本级财政拨款</w:t>
      </w:r>
      <w:r>
        <w:rPr>
          <w:rFonts w:hint="eastAsia" w:ascii="仿宋" w:hAnsi="仿宋" w:eastAsia="仿宋" w:cs="方正小标宋简体"/>
          <w:sz w:val="32"/>
          <w:szCs w:val="32"/>
          <w:lang w:val="en-US" w:eastAsia="zh-CN"/>
        </w:rPr>
        <w:t>10</w:t>
      </w:r>
      <w:r>
        <w:rPr>
          <w:rFonts w:hint="eastAsia" w:ascii="仿宋" w:hAnsi="仿宋" w:eastAsia="仿宋" w:cs="方正小标宋简体"/>
          <w:sz w:val="32"/>
          <w:szCs w:val="32"/>
        </w:rPr>
        <w:t>万元。</w:t>
      </w:r>
    </w:p>
    <w:p>
      <w:pPr>
        <w:rPr>
          <w:rFonts w:hint="eastAsia" w:ascii="仿宋" w:hAnsi="仿宋" w:eastAsia="仿宋" w:cs="方正小标宋简体"/>
          <w:sz w:val="32"/>
          <w:szCs w:val="32"/>
        </w:rPr>
      </w:pPr>
      <w:r>
        <w:rPr>
          <w:rFonts w:hint="eastAsia" w:ascii="仿宋" w:hAnsi="仿宋" w:eastAsia="仿宋" w:cs="方正小标宋简体"/>
          <w:sz w:val="32"/>
          <w:szCs w:val="32"/>
        </w:rPr>
        <w:t>2.项目资金使用情况分析</w:t>
      </w:r>
    </w:p>
    <w:p>
      <w:pPr>
        <w:ind w:firstLine="640" w:firstLineChars="200"/>
        <w:rPr>
          <w:rFonts w:hint="default" w:ascii="仿宋" w:hAnsi="仿宋" w:eastAsia="仿宋" w:cs="方正小标宋简体"/>
          <w:sz w:val="32"/>
          <w:szCs w:val="32"/>
          <w:lang w:val="en-US" w:eastAsia="zh-CN"/>
        </w:rPr>
      </w:pPr>
      <w:r>
        <w:rPr>
          <w:rFonts w:hint="eastAsia" w:ascii="仿宋" w:hAnsi="仿宋" w:eastAsia="仿宋" w:cs="方正小标宋简体"/>
          <w:sz w:val="32"/>
          <w:szCs w:val="32"/>
        </w:rPr>
        <w:t>每年</w:t>
      </w:r>
      <w:r>
        <w:rPr>
          <w:rFonts w:hint="eastAsia" w:ascii="仿宋" w:hAnsi="仿宋" w:eastAsia="仿宋" w:cs="方正小标宋简体"/>
          <w:sz w:val="32"/>
          <w:szCs w:val="32"/>
          <w:lang w:val="en-US" w:eastAsia="zh-CN"/>
        </w:rPr>
        <w:t>制作5部警示教育片。</w:t>
      </w:r>
    </w:p>
    <w:p>
      <w:pPr>
        <w:rPr>
          <w:rFonts w:hint="eastAsia" w:ascii="仿宋" w:hAnsi="仿宋" w:eastAsia="仿宋" w:cs="方正小标宋简体"/>
          <w:sz w:val="32"/>
          <w:szCs w:val="32"/>
        </w:rPr>
      </w:pPr>
      <w:r>
        <w:rPr>
          <w:rFonts w:hint="eastAsia" w:ascii="仿宋" w:hAnsi="仿宋" w:eastAsia="仿宋" w:cs="方正小标宋简体"/>
          <w:sz w:val="32"/>
          <w:szCs w:val="32"/>
        </w:rPr>
        <w:t>3.项目资金管理情况分析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区财政局政法股对我委</w:t>
      </w:r>
      <w:r>
        <w:rPr>
          <w:rFonts w:hint="eastAsia" w:ascii="仿宋" w:hAnsi="仿宋" w:eastAsia="仿宋" w:cs="方正小标宋简体"/>
          <w:sz w:val="32"/>
          <w:szCs w:val="32"/>
          <w:lang w:val="en-US" w:eastAsia="zh-CN"/>
        </w:rPr>
        <w:t>党风廉政建设图片制作</w:t>
      </w:r>
      <w:r>
        <w:rPr>
          <w:rFonts w:hint="eastAsia" w:ascii="仿宋" w:hAnsi="仿宋" w:eastAsia="仿宋" w:cs="方正小标宋简体"/>
          <w:sz w:val="32"/>
          <w:szCs w:val="32"/>
        </w:rPr>
        <w:t>开支进行资金审批，根据我委上报的用款计划进行划拨。</w:t>
      </w:r>
    </w:p>
    <w:p>
      <w:pPr>
        <w:rPr>
          <w:rFonts w:hint="eastAsia" w:ascii="仿宋" w:hAnsi="仿宋" w:eastAsia="仿宋" w:cs="方正小标宋简体"/>
          <w:sz w:val="32"/>
          <w:szCs w:val="32"/>
        </w:rPr>
      </w:pPr>
      <w:r>
        <w:rPr>
          <w:rFonts w:hint="eastAsia" w:ascii="仿宋" w:hAnsi="仿宋" w:eastAsia="仿宋" w:cs="方正小标宋简体"/>
          <w:sz w:val="32"/>
          <w:szCs w:val="32"/>
        </w:rPr>
        <w:t>（二）项目实施情况分析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1.项目组织情况分析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每年</w:t>
      </w:r>
      <w:r>
        <w:rPr>
          <w:rFonts w:hint="eastAsia" w:ascii="仿宋" w:hAnsi="仿宋" w:eastAsia="仿宋" w:cs="方正小标宋简体"/>
          <w:sz w:val="32"/>
          <w:szCs w:val="32"/>
          <w:lang w:val="en-US" w:eastAsia="zh-CN"/>
        </w:rPr>
        <w:t>制作5部警示教育片</w:t>
      </w:r>
      <w:r>
        <w:rPr>
          <w:rFonts w:hint="eastAsia" w:ascii="仿宋" w:hAnsi="仿宋" w:eastAsia="仿宋" w:cs="方正小标宋简体"/>
          <w:sz w:val="32"/>
          <w:szCs w:val="32"/>
        </w:rPr>
        <w:t>。</w:t>
      </w:r>
    </w:p>
    <w:p>
      <w:pPr>
        <w:ind w:firstLine="320" w:firstLineChars="100"/>
        <w:rPr>
          <w:rFonts w:hint="eastAsia" w:ascii="仿宋" w:hAnsi="仿宋" w:eastAsia="仿宋" w:cs="方正小标宋简体"/>
          <w:sz w:val="32"/>
          <w:szCs w:val="32"/>
        </w:rPr>
      </w:pPr>
      <w:r>
        <w:rPr>
          <w:rFonts w:hint="eastAsia" w:ascii="仿宋" w:hAnsi="仿宋" w:eastAsia="仿宋" w:cs="方正小标宋简体"/>
          <w:sz w:val="32"/>
          <w:szCs w:val="32"/>
          <w:lang w:val="en-US" w:eastAsia="zh-CN"/>
        </w:rPr>
        <w:t xml:space="preserve">  </w:t>
      </w:r>
      <w:r>
        <w:rPr>
          <w:rFonts w:hint="eastAsia" w:ascii="仿宋" w:hAnsi="仿宋" w:eastAsia="仿宋" w:cs="方正小标宋简体"/>
          <w:sz w:val="32"/>
          <w:szCs w:val="32"/>
        </w:rPr>
        <w:t>2.项目管理情况分析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（1）项目的实施进度。根据省财政厅下文，层层审批手续，拨付至我委平台账户。</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（2）项目完成质量。根据实际情况合理使用，不截留、挤占、挪用项目资金情况；不超标准开支情况。严格把关资金管理、费用支出进行监督。</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3.项目的效益性分析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（1）项目预期目标完成程度。动态管理，及时审批，节约开支，完成100%，群众满意。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（2）项目实施对经济和社会的影响。提高了群众的素质，促进了社会和谐稳定，促进了社会公平正义与和谐进步。</w:t>
      </w:r>
    </w:p>
    <w:p>
      <w:pPr>
        <w:rPr>
          <w:rFonts w:hint="eastAsia" w:ascii="仿宋" w:hAnsi="仿宋" w:eastAsia="仿宋" w:cs="方正小标宋简体"/>
          <w:sz w:val="32"/>
          <w:szCs w:val="32"/>
        </w:rPr>
      </w:pPr>
      <w:r>
        <w:rPr>
          <w:rFonts w:hint="eastAsia" w:ascii="仿宋" w:hAnsi="仿宋" w:eastAsia="仿宋" w:cs="方正小标宋简体"/>
          <w:sz w:val="32"/>
          <w:szCs w:val="32"/>
        </w:rPr>
        <w:t>五、综合评价情况及评价结论</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该项目做到了管理规范，程序到位，群众满意，社会反响好。取得了巨大的社会效益，维护了社会的稳定。项目评价优秀。</w:t>
      </w:r>
    </w:p>
    <w:p>
      <w:pPr>
        <w:rPr>
          <w:rFonts w:hint="eastAsia" w:ascii="仿宋" w:hAnsi="仿宋" w:eastAsia="仿宋" w:cs="方正小标宋简体"/>
          <w:sz w:val="32"/>
          <w:szCs w:val="32"/>
        </w:rPr>
      </w:pPr>
      <w:r>
        <w:rPr>
          <w:rFonts w:hint="eastAsia" w:ascii="仿宋" w:hAnsi="仿宋" w:eastAsia="仿宋" w:cs="方正小标宋简体"/>
          <w:sz w:val="32"/>
          <w:szCs w:val="32"/>
        </w:rPr>
        <w:t>六、绩效评价结果应用建议</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根据绩效评价结果，认为该项目对维护社会的稳定有重大意义。</w:t>
      </w:r>
    </w:p>
    <w:p>
      <w:pPr>
        <w:rPr>
          <w:rFonts w:hint="eastAsia" w:ascii="仿宋" w:hAnsi="仿宋" w:eastAsia="仿宋" w:cs="方正小标宋简体"/>
          <w:sz w:val="32"/>
          <w:szCs w:val="32"/>
        </w:rPr>
      </w:pPr>
      <w:r>
        <w:rPr>
          <w:rFonts w:hint="eastAsia" w:ascii="仿宋" w:hAnsi="仿宋" w:eastAsia="仿宋" w:cs="方正小标宋简体"/>
          <w:sz w:val="32"/>
          <w:szCs w:val="32"/>
        </w:rPr>
        <w:t>七、主要经验及做法、存在的问题和建议</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通过该项目的开展，及时、高效的参与处理了各类突发事件，有效保障社会和谐稳定。目前该经费相对不足，一定程度阻碍了维稳工作更全面的开展，下一步向上争取资金。</w:t>
      </w:r>
    </w:p>
    <w:p>
      <w:pPr>
        <w:spacing w:line="600" w:lineRule="exact"/>
        <w:jc w:val="center"/>
        <w:outlineLvl w:val="0"/>
        <w:rPr>
          <w:rFonts w:ascii="仿宋" w:hAnsi="仿宋" w:eastAsia="仿宋"/>
          <w:color w:val="000000"/>
          <w:sz w:val="32"/>
          <w:szCs w:val="32"/>
        </w:rPr>
      </w:pPr>
    </w:p>
    <w:p>
      <w:pPr>
        <w:spacing w:line="560" w:lineRule="exact"/>
        <w:rPr>
          <w:rFonts w:ascii="黑体" w:hAnsi="宋体" w:eastAsia="黑体" w:cs="宋体"/>
          <w:kern w:val="0"/>
          <w:szCs w:val="32"/>
        </w:rPr>
      </w:pPr>
    </w:p>
    <w:p>
      <w:pPr>
        <w:spacing w:line="600" w:lineRule="exact"/>
        <w:outlineLvl w:val="0"/>
        <w:rPr>
          <w:rStyle w:val="20"/>
          <w:rFonts w:ascii="黑体" w:hAnsi="黑体" w:eastAsia="黑体"/>
          <w:b w:val="0"/>
        </w:rPr>
      </w:pPr>
      <w:r>
        <w:rPr>
          <w:rFonts w:hint="eastAsia" w:ascii="黑体" w:hAnsi="黑体" w:eastAsia="黑体"/>
          <w:color w:val="000000"/>
          <w:sz w:val="44"/>
          <w:szCs w:val="44"/>
        </w:rPr>
        <w:t>第</w:t>
      </w:r>
      <w:r>
        <w:rPr>
          <w:rStyle w:val="20"/>
          <w:rFonts w:hint="eastAsia" w:ascii="黑体" w:hAnsi="黑体" w:eastAsia="黑体"/>
          <w:b w:val="0"/>
        </w:rPr>
        <w:t>五部分</w:t>
      </w:r>
      <w:r>
        <w:rPr>
          <w:rStyle w:val="20"/>
          <w:rFonts w:ascii="黑体" w:hAnsi="黑体" w:eastAsia="黑体"/>
          <w:b w:val="0"/>
        </w:rPr>
        <w:t xml:space="preserve"> </w:t>
      </w:r>
      <w:r>
        <w:rPr>
          <w:rStyle w:val="20"/>
          <w:rFonts w:hint="eastAsia" w:ascii="黑体" w:hAnsi="黑体" w:eastAsia="黑体"/>
          <w:b w:val="0"/>
        </w:rPr>
        <w:t>附表</w:t>
      </w:r>
      <w:bookmarkEnd w:id="46"/>
      <w:bookmarkEnd w:id="49"/>
      <w:bookmarkStart w:id="50" w:name="_Toc15396619"/>
    </w:p>
    <w:p>
      <w:pPr>
        <w:spacing w:line="600" w:lineRule="exact"/>
        <w:outlineLvl w:val="0"/>
        <w:rPr>
          <w:rFonts w:ascii="黑体" w:hAnsi="黑体" w:eastAsia="黑体"/>
          <w:bCs/>
          <w:kern w:val="44"/>
          <w:sz w:val="44"/>
          <w:szCs w:val="44"/>
        </w:rPr>
      </w:pPr>
      <w:r>
        <w:rPr>
          <w:rStyle w:val="21"/>
          <w:rFonts w:hint="eastAsia" w:ascii="仿宋" w:hAnsi="仿宋" w:eastAsia="仿宋" w:cs="Times New Roman"/>
        </w:rPr>
        <w:t>一、收入</w:t>
      </w:r>
      <w:r>
        <w:rPr>
          <w:rStyle w:val="21"/>
          <w:rFonts w:hint="eastAsia" w:ascii="仿宋" w:hAnsi="仿宋" w:eastAsia="仿宋"/>
        </w:rPr>
        <w:t>支出决算总表</w:t>
      </w:r>
      <w:bookmarkEnd w:id="50"/>
    </w:p>
    <w:p>
      <w:pPr>
        <w:pStyle w:val="4"/>
        <w:rPr>
          <w:rFonts w:ascii="仿宋" w:hAnsi="仿宋" w:eastAsia="仿宋"/>
          <w:color w:val="000000"/>
        </w:rPr>
      </w:pPr>
      <w:bookmarkStart w:id="51" w:name="_Toc15396620"/>
      <w:r>
        <w:rPr>
          <w:rFonts w:hint="eastAsia" w:ascii="仿宋" w:hAnsi="仿宋" w:eastAsia="仿宋"/>
          <w:b w:val="0"/>
          <w:color w:val="000000"/>
        </w:rPr>
        <w:t>二、收</w:t>
      </w:r>
      <w:r>
        <w:rPr>
          <w:rStyle w:val="21"/>
          <w:rFonts w:hint="eastAsia" w:ascii="仿宋" w:hAnsi="仿宋" w:eastAsia="仿宋"/>
          <w:b w:val="0"/>
          <w:bCs w:val="0"/>
        </w:rPr>
        <w:t>入总表</w:t>
      </w:r>
      <w:bookmarkEnd w:id="51"/>
    </w:p>
    <w:p>
      <w:pPr>
        <w:pStyle w:val="4"/>
        <w:rPr>
          <w:rFonts w:ascii="仿宋" w:hAnsi="仿宋" w:eastAsia="仿宋"/>
          <w:color w:val="000000"/>
        </w:rPr>
      </w:pPr>
      <w:bookmarkStart w:id="52" w:name="_Toc15396621"/>
      <w:r>
        <w:rPr>
          <w:rStyle w:val="21"/>
          <w:rFonts w:hint="eastAsia" w:ascii="仿宋" w:hAnsi="仿宋" w:eastAsia="仿宋"/>
          <w:b w:val="0"/>
          <w:bCs w:val="0"/>
        </w:rPr>
        <w:t>三、</w:t>
      </w:r>
      <w:r>
        <w:rPr>
          <w:rFonts w:hint="eastAsia" w:ascii="仿宋" w:hAnsi="仿宋" w:eastAsia="仿宋"/>
          <w:b w:val="0"/>
          <w:color w:val="000000"/>
        </w:rPr>
        <w:t>支</w:t>
      </w:r>
      <w:r>
        <w:rPr>
          <w:rStyle w:val="21"/>
          <w:rFonts w:hint="eastAsia" w:ascii="仿宋" w:hAnsi="仿宋" w:eastAsia="仿宋"/>
          <w:b w:val="0"/>
          <w:bCs w:val="0"/>
        </w:rPr>
        <w:t>出总表</w:t>
      </w:r>
      <w:bookmarkEnd w:id="52"/>
    </w:p>
    <w:p>
      <w:pPr>
        <w:pStyle w:val="4"/>
        <w:rPr>
          <w:rFonts w:ascii="仿宋" w:hAnsi="仿宋" w:eastAsia="仿宋"/>
          <w:b w:val="0"/>
          <w:color w:val="000000"/>
        </w:rPr>
      </w:pPr>
      <w:bookmarkStart w:id="53" w:name="_Toc15396622"/>
      <w:r>
        <w:rPr>
          <w:rStyle w:val="21"/>
          <w:rFonts w:hint="eastAsia" w:ascii="仿宋" w:hAnsi="仿宋" w:eastAsia="仿宋"/>
          <w:b w:val="0"/>
          <w:bCs w:val="0"/>
        </w:rPr>
        <w:t>四、</w:t>
      </w:r>
      <w:r>
        <w:rPr>
          <w:rFonts w:hint="eastAsia" w:ascii="仿宋" w:hAnsi="仿宋" w:eastAsia="仿宋"/>
          <w:b w:val="0"/>
          <w:color w:val="000000"/>
        </w:rPr>
        <w:t>财</w:t>
      </w:r>
      <w:r>
        <w:rPr>
          <w:rStyle w:val="21"/>
          <w:rFonts w:hint="eastAsia" w:ascii="仿宋" w:hAnsi="仿宋" w:eastAsia="仿宋"/>
          <w:b w:val="0"/>
          <w:bCs w:val="0"/>
        </w:rPr>
        <w:t>政拨款收入支出决算总表</w:t>
      </w:r>
      <w:bookmarkEnd w:id="53"/>
    </w:p>
    <w:p>
      <w:pPr>
        <w:pStyle w:val="4"/>
        <w:rPr>
          <w:rFonts w:ascii="仿宋" w:hAnsi="仿宋" w:eastAsia="仿宋"/>
          <w:color w:val="000000"/>
        </w:rPr>
      </w:pPr>
      <w:bookmarkStart w:id="54" w:name="_Toc15396623"/>
      <w:r>
        <w:rPr>
          <w:rStyle w:val="21"/>
          <w:rFonts w:hint="eastAsia" w:ascii="仿宋" w:hAnsi="仿宋" w:eastAsia="仿宋"/>
          <w:b w:val="0"/>
          <w:bCs w:val="0"/>
        </w:rPr>
        <w:t>五、</w:t>
      </w:r>
      <w:r>
        <w:rPr>
          <w:rFonts w:hint="eastAsia" w:ascii="仿宋" w:hAnsi="仿宋" w:eastAsia="仿宋"/>
          <w:b w:val="0"/>
          <w:color w:val="000000"/>
        </w:rPr>
        <w:t>财</w:t>
      </w:r>
      <w:r>
        <w:rPr>
          <w:rStyle w:val="21"/>
          <w:rFonts w:hint="eastAsia" w:ascii="仿宋" w:hAnsi="仿宋" w:eastAsia="仿宋"/>
          <w:b w:val="0"/>
          <w:bCs w:val="0"/>
        </w:rPr>
        <w:t>政拨款支出决算明细表（政府经济分类科目）</w:t>
      </w:r>
      <w:bookmarkEnd w:id="54"/>
    </w:p>
    <w:p>
      <w:pPr>
        <w:pStyle w:val="4"/>
        <w:rPr>
          <w:rFonts w:ascii="仿宋" w:hAnsi="仿宋" w:eastAsia="仿宋"/>
          <w:color w:val="000000"/>
        </w:rPr>
      </w:pPr>
      <w:bookmarkStart w:id="55" w:name="_Toc15396624"/>
      <w:r>
        <w:rPr>
          <w:rStyle w:val="21"/>
          <w:rFonts w:hint="eastAsia" w:ascii="仿宋" w:hAnsi="仿宋" w:eastAsia="仿宋"/>
          <w:b w:val="0"/>
          <w:bCs w:val="0"/>
        </w:rPr>
        <w:t>六、</w:t>
      </w:r>
      <w:r>
        <w:rPr>
          <w:rFonts w:hint="eastAsia" w:ascii="仿宋" w:hAnsi="仿宋" w:eastAsia="仿宋"/>
          <w:b w:val="0"/>
          <w:color w:val="000000"/>
        </w:rPr>
        <w:t>一</w:t>
      </w:r>
      <w:r>
        <w:rPr>
          <w:rStyle w:val="21"/>
          <w:rFonts w:hint="eastAsia" w:ascii="仿宋" w:hAnsi="仿宋" w:eastAsia="仿宋"/>
          <w:b w:val="0"/>
          <w:bCs w:val="0"/>
        </w:rPr>
        <w:t>般公共预算财政拨款支出决算表</w:t>
      </w:r>
      <w:bookmarkEnd w:id="55"/>
    </w:p>
    <w:p>
      <w:pPr>
        <w:pStyle w:val="4"/>
        <w:rPr>
          <w:rFonts w:ascii="仿宋" w:hAnsi="仿宋" w:eastAsia="仿宋"/>
          <w:color w:val="000000"/>
        </w:rPr>
      </w:pPr>
      <w:bookmarkStart w:id="56" w:name="_Toc15396625"/>
      <w:r>
        <w:rPr>
          <w:rStyle w:val="21"/>
          <w:rFonts w:hint="eastAsia" w:ascii="仿宋" w:hAnsi="仿宋" w:eastAsia="仿宋"/>
          <w:b w:val="0"/>
          <w:bCs w:val="0"/>
        </w:rPr>
        <w:t>七、</w:t>
      </w:r>
      <w:r>
        <w:rPr>
          <w:rFonts w:hint="eastAsia" w:ascii="仿宋" w:hAnsi="仿宋" w:eastAsia="仿宋"/>
          <w:b w:val="0"/>
          <w:color w:val="000000"/>
        </w:rPr>
        <w:t>一</w:t>
      </w:r>
      <w:r>
        <w:rPr>
          <w:rStyle w:val="21"/>
          <w:rFonts w:hint="eastAsia" w:ascii="仿宋" w:hAnsi="仿宋" w:eastAsia="仿宋"/>
          <w:b w:val="0"/>
          <w:bCs w:val="0"/>
        </w:rPr>
        <w:t>般公共预算财政拨款支出决算明细表</w:t>
      </w:r>
      <w:bookmarkEnd w:id="56"/>
    </w:p>
    <w:p>
      <w:pPr>
        <w:pStyle w:val="4"/>
        <w:rPr>
          <w:rFonts w:ascii="仿宋" w:hAnsi="仿宋" w:eastAsia="仿宋"/>
          <w:color w:val="000000"/>
        </w:rPr>
      </w:pPr>
      <w:bookmarkStart w:id="57" w:name="_Toc15396626"/>
      <w:r>
        <w:rPr>
          <w:rStyle w:val="21"/>
          <w:rFonts w:hint="eastAsia" w:ascii="仿宋" w:hAnsi="仿宋" w:eastAsia="仿宋"/>
          <w:b w:val="0"/>
          <w:bCs w:val="0"/>
        </w:rPr>
        <w:t>八、</w:t>
      </w:r>
      <w:r>
        <w:rPr>
          <w:rFonts w:hint="eastAsia" w:ascii="仿宋" w:hAnsi="仿宋" w:eastAsia="仿宋"/>
          <w:b w:val="0"/>
          <w:color w:val="000000"/>
        </w:rPr>
        <w:t>一</w:t>
      </w:r>
      <w:r>
        <w:rPr>
          <w:rStyle w:val="21"/>
          <w:rFonts w:hint="eastAsia" w:ascii="仿宋" w:hAnsi="仿宋" w:eastAsia="仿宋"/>
          <w:b w:val="0"/>
          <w:bCs w:val="0"/>
        </w:rPr>
        <w:t>般公共预算财政拨款基本支出决算表</w:t>
      </w:r>
      <w:bookmarkEnd w:id="57"/>
    </w:p>
    <w:p>
      <w:pPr>
        <w:pStyle w:val="4"/>
        <w:rPr>
          <w:rFonts w:ascii="仿宋" w:hAnsi="仿宋" w:eastAsia="仿宋"/>
          <w:color w:val="000000"/>
        </w:rPr>
      </w:pPr>
      <w:bookmarkStart w:id="58" w:name="_Toc15396627"/>
      <w:r>
        <w:rPr>
          <w:rStyle w:val="21"/>
          <w:rFonts w:hint="eastAsia" w:ascii="仿宋" w:hAnsi="仿宋" w:eastAsia="仿宋"/>
          <w:b w:val="0"/>
          <w:bCs w:val="0"/>
        </w:rPr>
        <w:t>九、</w:t>
      </w:r>
      <w:r>
        <w:rPr>
          <w:rFonts w:hint="eastAsia" w:ascii="仿宋" w:hAnsi="仿宋" w:eastAsia="仿宋"/>
          <w:b w:val="0"/>
          <w:color w:val="000000"/>
        </w:rPr>
        <w:t>一</w:t>
      </w:r>
      <w:r>
        <w:rPr>
          <w:rStyle w:val="21"/>
          <w:rFonts w:hint="eastAsia" w:ascii="仿宋" w:hAnsi="仿宋" w:eastAsia="仿宋"/>
          <w:b w:val="0"/>
          <w:bCs w:val="0"/>
        </w:rPr>
        <w:t>般公共预算财政拨款项目支出决算表</w:t>
      </w:r>
      <w:bookmarkEnd w:id="58"/>
    </w:p>
    <w:p>
      <w:pPr>
        <w:pStyle w:val="4"/>
        <w:rPr>
          <w:rFonts w:ascii="仿宋" w:hAnsi="仿宋" w:eastAsia="仿宋"/>
          <w:color w:val="000000"/>
        </w:rPr>
      </w:pPr>
      <w:bookmarkStart w:id="59" w:name="_Toc15396628"/>
      <w:r>
        <w:rPr>
          <w:rStyle w:val="21"/>
          <w:rFonts w:hint="eastAsia" w:ascii="仿宋" w:hAnsi="仿宋" w:eastAsia="仿宋"/>
          <w:b w:val="0"/>
          <w:bCs w:val="0"/>
        </w:rPr>
        <w:t>十、</w:t>
      </w:r>
      <w:r>
        <w:rPr>
          <w:rFonts w:hint="eastAsia" w:ascii="仿宋" w:hAnsi="仿宋" w:eastAsia="仿宋"/>
          <w:b w:val="0"/>
          <w:color w:val="000000"/>
        </w:rPr>
        <w:t>一</w:t>
      </w:r>
      <w:r>
        <w:rPr>
          <w:rStyle w:val="21"/>
          <w:rFonts w:hint="eastAsia" w:ascii="仿宋" w:hAnsi="仿宋" w:eastAsia="仿宋"/>
          <w:b w:val="0"/>
          <w:bCs w:val="0"/>
        </w:rPr>
        <w:t>般公共预算财政拨款“三公”经费支出决算表</w:t>
      </w:r>
      <w:bookmarkEnd w:id="59"/>
    </w:p>
    <w:p>
      <w:pPr>
        <w:pStyle w:val="4"/>
        <w:rPr>
          <w:rFonts w:ascii="仿宋" w:hAnsi="仿宋" w:eastAsia="仿宋"/>
          <w:color w:val="000000"/>
        </w:rPr>
      </w:pPr>
      <w:bookmarkStart w:id="60" w:name="_Toc15396629"/>
      <w:r>
        <w:rPr>
          <w:rStyle w:val="21"/>
          <w:rFonts w:hint="eastAsia" w:ascii="仿宋" w:hAnsi="仿宋" w:eastAsia="仿宋"/>
          <w:b w:val="0"/>
          <w:bCs w:val="0"/>
        </w:rPr>
        <w:t>十一、</w:t>
      </w:r>
      <w:r>
        <w:rPr>
          <w:rFonts w:hint="eastAsia" w:ascii="仿宋" w:hAnsi="仿宋" w:eastAsia="仿宋"/>
          <w:b w:val="0"/>
          <w:color w:val="000000"/>
        </w:rPr>
        <w:t>政</w:t>
      </w:r>
      <w:r>
        <w:rPr>
          <w:rStyle w:val="21"/>
          <w:rFonts w:hint="eastAsia" w:ascii="仿宋" w:hAnsi="仿宋" w:eastAsia="仿宋"/>
          <w:b w:val="0"/>
          <w:bCs w:val="0"/>
        </w:rPr>
        <w:t>府性基金预算财政拨款收入支出决算表</w:t>
      </w:r>
      <w:bookmarkEnd w:id="60"/>
    </w:p>
    <w:p>
      <w:pPr>
        <w:pStyle w:val="4"/>
        <w:rPr>
          <w:rFonts w:ascii="仿宋" w:hAnsi="仿宋" w:eastAsia="仿宋"/>
          <w:color w:val="000000"/>
        </w:rPr>
      </w:pPr>
      <w:bookmarkStart w:id="61" w:name="_Toc15396630"/>
      <w:r>
        <w:rPr>
          <w:rStyle w:val="21"/>
          <w:rFonts w:hint="eastAsia" w:ascii="仿宋" w:hAnsi="仿宋" w:eastAsia="仿宋"/>
          <w:b w:val="0"/>
          <w:bCs w:val="0"/>
        </w:rPr>
        <w:t>十二、</w:t>
      </w:r>
      <w:r>
        <w:rPr>
          <w:rFonts w:hint="eastAsia" w:ascii="仿宋" w:hAnsi="仿宋" w:eastAsia="仿宋"/>
          <w:b w:val="0"/>
          <w:color w:val="000000"/>
        </w:rPr>
        <w:t>政</w:t>
      </w:r>
      <w:r>
        <w:rPr>
          <w:rStyle w:val="21"/>
          <w:rFonts w:hint="eastAsia" w:ascii="仿宋" w:hAnsi="仿宋" w:eastAsia="仿宋"/>
          <w:b w:val="0"/>
          <w:bCs w:val="0"/>
        </w:rPr>
        <w:t>府性基金预算财政拨款“三公”经费支出决算表</w:t>
      </w:r>
      <w:bookmarkEnd w:id="61"/>
    </w:p>
    <w:p>
      <w:pPr>
        <w:pStyle w:val="4"/>
        <w:rPr>
          <w:rFonts w:ascii="仿宋" w:hAnsi="仿宋" w:eastAsia="仿宋"/>
          <w:color w:val="000000"/>
        </w:rPr>
      </w:pPr>
      <w:bookmarkStart w:id="62" w:name="_Toc15396631"/>
      <w:r>
        <w:rPr>
          <w:rStyle w:val="21"/>
          <w:rFonts w:hint="eastAsia" w:ascii="仿宋" w:hAnsi="仿宋" w:eastAsia="仿宋"/>
          <w:b w:val="0"/>
          <w:bCs w:val="0"/>
        </w:rPr>
        <w:t>十三、</w:t>
      </w:r>
      <w:r>
        <w:rPr>
          <w:rFonts w:hint="eastAsia" w:ascii="仿宋" w:hAnsi="仿宋" w:eastAsia="仿宋"/>
          <w:b w:val="0"/>
          <w:color w:val="000000"/>
        </w:rPr>
        <w:t>国</w:t>
      </w:r>
      <w:r>
        <w:rPr>
          <w:rStyle w:val="21"/>
          <w:rFonts w:hint="eastAsia" w:ascii="仿宋" w:hAnsi="仿宋" w:eastAsia="仿宋"/>
          <w:b w:val="0"/>
          <w:bCs w:val="0"/>
        </w:rPr>
        <w:t>有资本经营预算支出决算表</w:t>
      </w:r>
      <w:bookmarkEnd w:id="62"/>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w:altName w:val="Lucida Sans"/>
    <w:panose1 w:val="020F0502020204030204"/>
    <w:charset w:val="01"/>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53</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53</w:t>
                    </w:r>
                    <w:r>
                      <w:rPr>
                        <w:lang w:val="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53</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53</w:t>
                    </w:r>
                    <w:r>
                      <w:rPr>
                        <w:lang w:val="zh-CN"/>
                      </w:rP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E8EF5"/>
    <w:multiLevelType w:val="singleLevel"/>
    <w:tmpl w:val="B20E8EF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pPr>
        <w:ind w:left="-223"/>
      </w:pPr>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42439297"/>
    <w:multiLevelType w:val="singleLevel"/>
    <w:tmpl w:val="42439297"/>
    <w:lvl w:ilvl="0" w:tentative="0">
      <w:start w:val="2"/>
      <w:numFmt w:val="decimal"/>
      <w:lvlText w:val="%1."/>
      <w:lvlJc w:val="left"/>
      <w:pPr>
        <w:tabs>
          <w:tab w:val="left" w:pos="312"/>
        </w:tabs>
      </w:pPr>
    </w:lvl>
  </w:abstractNum>
  <w:abstractNum w:abstractNumId="6">
    <w:nsid w:val="650930A1"/>
    <w:multiLevelType w:val="singleLevel"/>
    <w:tmpl w:val="650930A1"/>
    <w:lvl w:ilvl="0" w:tentative="0">
      <w:start w:val="2"/>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4130"/>
    <w:rsid w:val="000210B9"/>
    <w:rsid w:val="00021B64"/>
    <w:rsid w:val="000222C6"/>
    <w:rsid w:val="0002549F"/>
    <w:rsid w:val="00040F96"/>
    <w:rsid w:val="000439F1"/>
    <w:rsid w:val="0006202A"/>
    <w:rsid w:val="0006487A"/>
    <w:rsid w:val="00065F8F"/>
    <w:rsid w:val="0007209D"/>
    <w:rsid w:val="000768F2"/>
    <w:rsid w:val="0009184B"/>
    <w:rsid w:val="0009593C"/>
    <w:rsid w:val="000B047F"/>
    <w:rsid w:val="000B1CFB"/>
    <w:rsid w:val="000B5923"/>
    <w:rsid w:val="000B5A48"/>
    <w:rsid w:val="000B6A5C"/>
    <w:rsid w:val="000B6FF3"/>
    <w:rsid w:val="000C3467"/>
    <w:rsid w:val="000C3CA6"/>
    <w:rsid w:val="000C5A04"/>
    <w:rsid w:val="000D1191"/>
    <w:rsid w:val="000D1267"/>
    <w:rsid w:val="000D1D50"/>
    <w:rsid w:val="000D5782"/>
    <w:rsid w:val="000E6613"/>
    <w:rsid w:val="000E7119"/>
    <w:rsid w:val="00104319"/>
    <w:rsid w:val="00114E9B"/>
    <w:rsid w:val="0014729F"/>
    <w:rsid w:val="00157BAB"/>
    <w:rsid w:val="00163DBC"/>
    <w:rsid w:val="001654D1"/>
    <w:rsid w:val="0018106D"/>
    <w:rsid w:val="001877A7"/>
    <w:rsid w:val="00191536"/>
    <w:rsid w:val="00196687"/>
    <w:rsid w:val="0019792E"/>
    <w:rsid w:val="001C0962"/>
    <w:rsid w:val="001D7531"/>
    <w:rsid w:val="001E737D"/>
    <w:rsid w:val="001F0592"/>
    <w:rsid w:val="001F0C3F"/>
    <w:rsid w:val="001F7506"/>
    <w:rsid w:val="002006CD"/>
    <w:rsid w:val="00202B36"/>
    <w:rsid w:val="00204B7A"/>
    <w:rsid w:val="0020756C"/>
    <w:rsid w:val="0021101A"/>
    <w:rsid w:val="00217B02"/>
    <w:rsid w:val="00220536"/>
    <w:rsid w:val="00225F04"/>
    <w:rsid w:val="00234FBD"/>
    <w:rsid w:val="00235520"/>
    <w:rsid w:val="00235629"/>
    <w:rsid w:val="00260C38"/>
    <w:rsid w:val="002616C0"/>
    <w:rsid w:val="002662AA"/>
    <w:rsid w:val="00280496"/>
    <w:rsid w:val="00287C38"/>
    <w:rsid w:val="0029198E"/>
    <w:rsid w:val="00295495"/>
    <w:rsid w:val="00296D64"/>
    <w:rsid w:val="002A651B"/>
    <w:rsid w:val="002A7796"/>
    <w:rsid w:val="002B25F0"/>
    <w:rsid w:val="002B2613"/>
    <w:rsid w:val="002F1818"/>
    <w:rsid w:val="002F567B"/>
    <w:rsid w:val="003216A9"/>
    <w:rsid w:val="0037013F"/>
    <w:rsid w:val="00380C92"/>
    <w:rsid w:val="0038341D"/>
    <w:rsid w:val="003A484F"/>
    <w:rsid w:val="003B0BE0"/>
    <w:rsid w:val="003B0C1B"/>
    <w:rsid w:val="003B688C"/>
    <w:rsid w:val="003B7829"/>
    <w:rsid w:val="003C0291"/>
    <w:rsid w:val="003C39AE"/>
    <w:rsid w:val="003C7B60"/>
    <w:rsid w:val="003D1FB2"/>
    <w:rsid w:val="003D66DA"/>
    <w:rsid w:val="003E1310"/>
    <w:rsid w:val="003E38FA"/>
    <w:rsid w:val="003E6F55"/>
    <w:rsid w:val="003F710A"/>
    <w:rsid w:val="00406254"/>
    <w:rsid w:val="004223DE"/>
    <w:rsid w:val="00434489"/>
    <w:rsid w:val="00437085"/>
    <w:rsid w:val="00443880"/>
    <w:rsid w:val="004464F4"/>
    <w:rsid w:val="00471401"/>
    <w:rsid w:val="00473F31"/>
    <w:rsid w:val="0048263A"/>
    <w:rsid w:val="00487E5D"/>
    <w:rsid w:val="004A711F"/>
    <w:rsid w:val="004B199D"/>
    <w:rsid w:val="004B4690"/>
    <w:rsid w:val="004E01C4"/>
    <w:rsid w:val="004E0A2D"/>
    <w:rsid w:val="004E206B"/>
    <w:rsid w:val="004E55A1"/>
    <w:rsid w:val="004E6DF7"/>
    <w:rsid w:val="004F0FBD"/>
    <w:rsid w:val="00505A47"/>
    <w:rsid w:val="00512FDA"/>
    <w:rsid w:val="00520DA0"/>
    <w:rsid w:val="00540ACD"/>
    <w:rsid w:val="00557EDF"/>
    <w:rsid w:val="00560331"/>
    <w:rsid w:val="00565F1C"/>
    <w:rsid w:val="005664BB"/>
    <w:rsid w:val="00566811"/>
    <w:rsid w:val="00566D5C"/>
    <w:rsid w:val="00572C46"/>
    <w:rsid w:val="0057481D"/>
    <w:rsid w:val="0058486E"/>
    <w:rsid w:val="00593B83"/>
    <w:rsid w:val="005A0954"/>
    <w:rsid w:val="005D1C8B"/>
    <w:rsid w:val="005D5CED"/>
    <w:rsid w:val="005D7496"/>
    <w:rsid w:val="005E7BFA"/>
    <w:rsid w:val="005F1A4C"/>
    <w:rsid w:val="00605688"/>
    <w:rsid w:val="006070AF"/>
    <w:rsid w:val="00607E6C"/>
    <w:rsid w:val="006101B1"/>
    <w:rsid w:val="00614E44"/>
    <w:rsid w:val="00622830"/>
    <w:rsid w:val="00630AEF"/>
    <w:rsid w:val="006325F8"/>
    <w:rsid w:val="00634C9A"/>
    <w:rsid w:val="006440E4"/>
    <w:rsid w:val="00661124"/>
    <w:rsid w:val="0066343B"/>
    <w:rsid w:val="00664777"/>
    <w:rsid w:val="00665F29"/>
    <w:rsid w:val="006748A4"/>
    <w:rsid w:val="00683E73"/>
    <w:rsid w:val="0069050D"/>
    <w:rsid w:val="006A3141"/>
    <w:rsid w:val="006A5E34"/>
    <w:rsid w:val="006B2422"/>
    <w:rsid w:val="006B2B9A"/>
    <w:rsid w:val="006B34B7"/>
    <w:rsid w:val="006C1937"/>
    <w:rsid w:val="006F020C"/>
    <w:rsid w:val="007127B7"/>
    <w:rsid w:val="00714F99"/>
    <w:rsid w:val="007309F9"/>
    <w:rsid w:val="007416B6"/>
    <w:rsid w:val="00746F48"/>
    <w:rsid w:val="0075404D"/>
    <w:rsid w:val="0076182A"/>
    <w:rsid w:val="00766D2D"/>
    <w:rsid w:val="00767B7E"/>
    <w:rsid w:val="007770C3"/>
    <w:rsid w:val="00784D24"/>
    <w:rsid w:val="00785FBA"/>
    <w:rsid w:val="00786E4A"/>
    <w:rsid w:val="007875EB"/>
    <w:rsid w:val="0079426B"/>
    <w:rsid w:val="007A64A9"/>
    <w:rsid w:val="007D312A"/>
    <w:rsid w:val="007D3F19"/>
    <w:rsid w:val="007D4887"/>
    <w:rsid w:val="007D6425"/>
    <w:rsid w:val="007E23B0"/>
    <w:rsid w:val="007F1991"/>
    <w:rsid w:val="007F2C2F"/>
    <w:rsid w:val="007F55FC"/>
    <w:rsid w:val="007F5665"/>
    <w:rsid w:val="00800112"/>
    <w:rsid w:val="00806C4F"/>
    <w:rsid w:val="008071D5"/>
    <w:rsid w:val="00810503"/>
    <w:rsid w:val="00810FF6"/>
    <w:rsid w:val="008253BB"/>
    <w:rsid w:val="00835D2E"/>
    <w:rsid w:val="0083706E"/>
    <w:rsid w:val="008423A5"/>
    <w:rsid w:val="00850625"/>
    <w:rsid w:val="00853718"/>
    <w:rsid w:val="00855221"/>
    <w:rsid w:val="00860645"/>
    <w:rsid w:val="00861AF1"/>
    <w:rsid w:val="0086486D"/>
    <w:rsid w:val="00871CA6"/>
    <w:rsid w:val="00871F71"/>
    <w:rsid w:val="00885AF4"/>
    <w:rsid w:val="008939CD"/>
    <w:rsid w:val="008B768C"/>
    <w:rsid w:val="008C1B14"/>
    <w:rsid w:val="008C4DB1"/>
    <w:rsid w:val="008C4EAF"/>
    <w:rsid w:val="008C5176"/>
    <w:rsid w:val="008C7FD0"/>
    <w:rsid w:val="008E1DE7"/>
    <w:rsid w:val="008E707C"/>
    <w:rsid w:val="00900B08"/>
    <w:rsid w:val="00902155"/>
    <w:rsid w:val="00902FA3"/>
    <w:rsid w:val="00923564"/>
    <w:rsid w:val="0092392E"/>
    <w:rsid w:val="009315F9"/>
    <w:rsid w:val="009441DF"/>
    <w:rsid w:val="0094603A"/>
    <w:rsid w:val="00946945"/>
    <w:rsid w:val="00951248"/>
    <w:rsid w:val="0095152F"/>
    <w:rsid w:val="00954C49"/>
    <w:rsid w:val="0097099F"/>
    <w:rsid w:val="00971997"/>
    <w:rsid w:val="00971FFC"/>
    <w:rsid w:val="0098660A"/>
    <w:rsid w:val="009931C3"/>
    <w:rsid w:val="009A1ED6"/>
    <w:rsid w:val="009B2C43"/>
    <w:rsid w:val="009B4EAE"/>
    <w:rsid w:val="009B7573"/>
    <w:rsid w:val="009C2143"/>
    <w:rsid w:val="009C22F4"/>
    <w:rsid w:val="009C2E98"/>
    <w:rsid w:val="009C6F0C"/>
    <w:rsid w:val="009D3447"/>
    <w:rsid w:val="009D4711"/>
    <w:rsid w:val="009F1185"/>
    <w:rsid w:val="009F18CD"/>
    <w:rsid w:val="009F2A13"/>
    <w:rsid w:val="00A04EB0"/>
    <w:rsid w:val="00A110AD"/>
    <w:rsid w:val="00A13CC1"/>
    <w:rsid w:val="00A16847"/>
    <w:rsid w:val="00A2143F"/>
    <w:rsid w:val="00A237D8"/>
    <w:rsid w:val="00A268C4"/>
    <w:rsid w:val="00A307CD"/>
    <w:rsid w:val="00A40A00"/>
    <w:rsid w:val="00A4142F"/>
    <w:rsid w:val="00A47B49"/>
    <w:rsid w:val="00A56DF2"/>
    <w:rsid w:val="00A57FF9"/>
    <w:rsid w:val="00A67AB5"/>
    <w:rsid w:val="00A701F1"/>
    <w:rsid w:val="00A71E80"/>
    <w:rsid w:val="00A73224"/>
    <w:rsid w:val="00A76455"/>
    <w:rsid w:val="00A91760"/>
    <w:rsid w:val="00A93B00"/>
    <w:rsid w:val="00A93C21"/>
    <w:rsid w:val="00AA3B60"/>
    <w:rsid w:val="00AA652B"/>
    <w:rsid w:val="00AA6F03"/>
    <w:rsid w:val="00AB6A88"/>
    <w:rsid w:val="00AC39CA"/>
    <w:rsid w:val="00AC3C6A"/>
    <w:rsid w:val="00AD5620"/>
    <w:rsid w:val="00AD7C1B"/>
    <w:rsid w:val="00AE16BA"/>
    <w:rsid w:val="00AE1EBE"/>
    <w:rsid w:val="00AE2D1D"/>
    <w:rsid w:val="00B01E4D"/>
    <w:rsid w:val="00B02CB1"/>
    <w:rsid w:val="00B03C9D"/>
    <w:rsid w:val="00B060AE"/>
    <w:rsid w:val="00B10517"/>
    <w:rsid w:val="00B14E76"/>
    <w:rsid w:val="00B161B8"/>
    <w:rsid w:val="00B2048C"/>
    <w:rsid w:val="00B20BD6"/>
    <w:rsid w:val="00B310B9"/>
    <w:rsid w:val="00B35F3F"/>
    <w:rsid w:val="00B36CBB"/>
    <w:rsid w:val="00B425E0"/>
    <w:rsid w:val="00B440AA"/>
    <w:rsid w:val="00B44B70"/>
    <w:rsid w:val="00B46B18"/>
    <w:rsid w:val="00B4772E"/>
    <w:rsid w:val="00B53C56"/>
    <w:rsid w:val="00B77EA6"/>
    <w:rsid w:val="00B81598"/>
    <w:rsid w:val="00B841F1"/>
    <w:rsid w:val="00B944D6"/>
    <w:rsid w:val="00BB4DF0"/>
    <w:rsid w:val="00BB60B1"/>
    <w:rsid w:val="00BC289F"/>
    <w:rsid w:val="00BC355E"/>
    <w:rsid w:val="00BC5361"/>
    <w:rsid w:val="00BC5460"/>
    <w:rsid w:val="00BC6219"/>
    <w:rsid w:val="00BC6B50"/>
    <w:rsid w:val="00BD0E25"/>
    <w:rsid w:val="00BF5BD6"/>
    <w:rsid w:val="00C03E31"/>
    <w:rsid w:val="00C11234"/>
    <w:rsid w:val="00C2008F"/>
    <w:rsid w:val="00C2754F"/>
    <w:rsid w:val="00C33E72"/>
    <w:rsid w:val="00C354B2"/>
    <w:rsid w:val="00C35554"/>
    <w:rsid w:val="00C40912"/>
    <w:rsid w:val="00C42709"/>
    <w:rsid w:val="00C52569"/>
    <w:rsid w:val="00C533CC"/>
    <w:rsid w:val="00C5751C"/>
    <w:rsid w:val="00C61BFC"/>
    <w:rsid w:val="00C62B85"/>
    <w:rsid w:val="00C65438"/>
    <w:rsid w:val="00C67015"/>
    <w:rsid w:val="00C80474"/>
    <w:rsid w:val="00C83234"/>
    <w:rsid w:val="00C833D8"/>
    <w:rsid w:val="00C91CBB"/>
    <w:rsid w:val="00CC09B6"/>
    <w:rsid w:val="00CC666F"/>
    <w:rsid w:val="00CD1E3F"/>
    <w:rsid w:val="00CE18AA"/>
    <w:rsid w:val="00CE44F6"/>
    <w:rsid w:val="00CE49DA"/>
    <w:rsid w:val="00CE7B61"/>
    <w:rsid w:val="00D00095"/>
    <w:rsid w:val="00D20620"/>
    <w:rsid w:val="00D26091"/>
    <w:rsid w:val="00D34E7C"/>
    <w:rsid w:val="00D35489"/>
    <w:rsid w:val="00D45D31"/>
    <w:rsid w:val="00D51276"/>
    <w:rsid w:val="00D640D1"/>
    <w:rsid w:val="00D64C55"/>
    <w:rsid w:val="00D7035F"/>
    <w:rsid w:val="00D81471"/>
    <w:rsid w:val="00DA65AC"/>
    <w:rsid w:val="00DB0F51"/>
    <w:rsid w:val="00DB1913"/>
    <w:rsid w:val="00DC1676"/>
    <w:rsid w:val="00DC410D"/>
    <w:rsid w:val="00DC68CA"/>
    <w:rsid w:val="00DC7CBA"/>
    <w:rsid w:val="00DD1D5F"/>
    <w:rsid w:val="00DD73B7"/>
    <w:rsid w:val="00DF28BC"/>
    <w:rsid w:val="00DF34B9"/>
    <w:rsid w:val="00E01053"/>
    <w:rsid w:val="00E07ACF"/>
    <w:rsid w:val="00E24B6B"/>
    <w:rsid w:val="00E331A1"/>
    <w:rsid w:val="00E33202"/>
    <w:rsid w:val="00E336A9"/>
    <w:rsid w:val="00E50624"/>
    <w:rsid w:val="00E5246E"/>
    <w:rsid w:val="00E556F6"/>
    <w:rsid w:val="00E568DF"/>
    <w:rsid w:val="00E64269"/>
    <w:rsid w:val="00E82267"/>
    <w:rsid w:val="00EA010F"/>
    <w:rsid w:val="00EA1400"/>
    <w:rsid w:val="00ED1B63"/>
    <w:rsid w:val="00ED3C1F"/>
    <w:rsid w:val="00ED4085"/>
    <w:rsid w:val="00ED420E"/>
    <w:rsid w:val="00EE2F57"/>
    <w:rsid w:val="00EF4C34"/>
    <w:rsid w:val="00EF77C6"/>
    <w:rsid w:val="00F02436"/>
    <w:rsid w:val="00F05438"/>
    <w:rsid w:val="00F1361C"/>
    <w:rsid w:val="00F160C7"/>
    <w:rsid w:val="00F36B5B"/>
    <w:rsid w:val="00F36D8F"/>
    <w:rsid w:val="00F417B1"/>
    <w:rsid w:val="00F602DF"/>
    <w:rsid w:val="00F62D6F"/>
    <w:rsid w:val="00F81FD9"/>
    <w:rsid w:val="00F841AA"/>
    <w:rsid w:val="00FA228B"/>
    <w:rsid w:val="00FA23E8"/>
    <w:rsid w:val="00FB4F64"/>
    <w:rsid w:val="00FD3CC1"/>
    <w:rsid w:val="00FE2129"/>
    <w:rsid w:val="00FF1E02"/>
    <w:rsid w:val="00FF30B4"/>
    <w:rsid w:val="03C17F5D"/>
    <w:rsid w:val="05FD412B"/>
    <w:rsid w:val="098E094A"/>
    <w:rsid w:val="0C834FB4"/>
    <w:rsid w:val="10C055FF"/>
    <w:rsid w:val="14E82973"/>
    <w:rsid w:val="16BB723D"/>
    <w:rsid w:val="171B5E0E"/>
    <w:rsid w:val="1B8132BF"/>
    <w:rsid w:val="1D894B47"/>
    <w:rsid w:val="1D9F2662"/>
    <w:rsid w:val="240371BF"/>
    <w:rsid w:val="276E1590"/>
    <w:rsid w:val="29FD04D3"/>
    <w:rsid w:val="2B6F7D4A"/>
    <w:rsid w:val="31285898"/>
    <w:rsid w:val="319F7F4E"/>
    <w:rsid w:val="31AF2EE3"/>
    <w:rsid w:val="33486C0F"/>
    <w:rsid w:val="3590177E"/>
    <w:rsid w:val="41A45B03"/>
    <w:rsid w:val="47522D77"/>
    <w:rsid w:val="4B2E0846"/>
    <w:rsid w:val="4C491C03"/>
    <w:rsid w:val="4ED058CD"/>
    <w:rsid w:val="571200B5"/>
    <w:rsid w:val="58FB5459"/>
    <w:rsid w:val="5DA022DA"/>
    <w:rsid w:val="5DC55447"/>
    <w:rsid w:val="5FEB35AF"/>
    <w:rsid w:val="65007C80"/>
    <w:rsid w:val="6A4351A9"/>
    <w:rsid w:val="71D41921"/>
    <w:rsid w:val="72E2577C"/>
    <w:rsid w:val="75CD5324"/>
    <w:rsid w:val="77EC10FC"/>
    <w:rsid w:val="7BD806EE"/>
    <w:rsid w:val="7DFFAF5F"/>
    <w:rsid w:val="7FDF70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6">
    <w:name w:val="Body Text"/>
    <w:basedOn w:val="1"/>
    <w:link w:val="28"/>
    <w:qFormat/>
    <w:uiPriority w:val="99"/>
    <w:pPr>
      <w:spacing w:beforeLines="30"/>
    </w:pPr>
    <w:rPr>
      <w:rFonts w:ascii="仿宋_GB2312" w:eastAsia="仿宋_GB2312"/>
      <w:kern w:val="0"/>
      <w:sz w:val="24"/>
      <w:szCs w:val="20"/>
    </w:rPr>
  </w:style>
  <w:style w:type="paragraph" w:styleId="7">
    <w:name w:val="Body Text Indent"/>
    <w:basedOn w:val="1"/>
    <w:link w:val="34"/>
    <w:semiHidden/>
    <w:unhideWhenUsed/>
    <w:qFormat/>
    <w:uiPriority w:val="99"/>
    <w:pPr>
      <w:spacing w:after="120"/>
      <w:ind w:left="420" w:leftChars="200"/>
    </w:p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32"/>
    <w:semiHidden/>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leftChars="200"/>
    </w:pPr>
  </w:style>
  <w:style w:type="paragraph" w:styleId="14">
    <w:name w:val="Normal (Web)"/>
    <w:basedOn w:val="1"/>
    <w:qFormat/>
    <w:uiPriority w:val="99"/>
    <w:pPr>
      <w:spacing w:beforeAutospacing="1" w:afterAutospacing="1" w:line="600" w:lineRule="exact"/>
      <w:ind w:firstLine="640" w:firstLineChars="200"/>
      <w:jc w:val="left"/>
    </w:pPr>
    <w:rPr>
      <w:rFonts w:ascii="Calibri" w:hAnsi="Calibri" w:eastAsia="仿宋_GB2312"/>
      <w:color w:val="000000"/>
      <w:kern w:val="0"/>
      <w:sz w:val="24"/>
      <w:szCs w:val="32"/>
    </w:rPr>
  </w:style>
  <w:style w:type="paragraph" w:styleId="15">
    <w:name w:val="Body Text First Indent 2"/>
    <w:basedOn w:val="7"/>
    <w:link w:val="35"/>
    <w:semiHidden/>
    <w:unhideWhenUsed/>
    <w:qFormat/>
    <w:uiPriority w:val="99"/>
    <w:pPr>
      <w:ind w:firstLine="420" w:firstLineChars="200"/>
    </w:pPr>
  </w:style>
  <w:style w:type="character" w:styleId="18">
    <w:name w:val="Strong"/>
    <w:basedOn w:val="17"/>
    <w:qFormat/>
    <w:uiPriority w:val="99"/>
    <w:rPr>
      <w:rFonts w:cs="Times New Roman"/>
      <w:b/>
    </w:rPr>
  </w:style>
  <w:style w:type="character" w:styleId="19">
    <w:name w:val="Hyperlink"/>
    <w:basedOn w:val="17"/>
    <w:qFormat/>
    <w:uiPriority w:val="99"/>
    <w:rPr>
      <w:rFonts w:cs="Times New Roman"/>
      <w:color w:val="0000FF"/>
      <w:u w:val="single"/>
    </w:rPr>
  </w:style>
  <w:style w:type="character" w:customStyle="1" w:styleId="20">
    <w:name w:val="标题 1 Char"/>
    <w:basedOn w:val="17"/>
    <w:link w:val="3"/>
    <w:qFormat/>
    <w:locked/>
    <w:uiPriority w:val="99"/>
    <w:rPr>
      <w:rFonts w:ascii="Times New Roman" w:hAnsi="Times New Roman" w:cs="Times New Roman"/>
      <w:b/>
      <w:bCs/>
      <w:kern w:val="44"/>
      <w:sz w:val="44"/>
      <w:szCs w:val="44"/>
    </w:rPr>
  </w:style>
  <w:style w:type="character" w:customStyle="1" w:styleId="21">
    <w:name w:val="标题 2 Char"/>
    <w:basedOn w:val="17"/>
    <w:link w:val="4"/>
    <w:qFormat/>
    <w:locked/>
    <w:uiPriority w:val="99"/>
    <w:rPr>
      <w:rFonts w:ascii="Cambria" w:hAnsi="Cambria" w:eastAsia="宋体" w:cs="Times New Roman"/>
      <w:b/>
      <w:bCs/>
      <w:kern w:val="2"/>
      <w:sz w:val="32"/>
      <w:szCs w:val="32"/>
    </w:rPr>
  </w:style>
  <w:style w:type="character" w:customStyle="1" w:styleId="22">
    <w:name w:val="标题 3 Char"/>
    <w:basedOn w:val="17"/>
    <w:link w:val="5"/>
    <w:qFormat/>
    <w:locked/>
    <w:uiPriority w:val="99"/>
    <w:rPr>
      <w:rFonts w:ascii="Times New Roman" w:hAnsi="Times New Roman" w:cs="Times New Roman"/>
      <w:b/>
      <w:bCs/>
      <w:kern w:val="2"/>
      <w:sz w:val="32"/>
      <w:szCs w:val="32"/>
    </w:rPr>
  </w:style>
  <w:style w:type="character" w:customStyle="1" w:styleId="23">
    <w:name w:val="Body Text Char"/>
    <w:basedOn w:val="17"/>
    <w:link w:val="6"/>
    <w:semiHidden/>
    <w:qFormat/>
    <w:uiPriority w:val="99"/>
    <w:rPr>
      <w:rFonts w:ascii="Times New Roman" w:hAnsi="Times New Roman" w:cs="Times New Roman"/>
      <w:sz w:val="24"/>
      <w:szCs w:val="24"/>
    </w:rPr>
  </w:style>
  <w:style w:type="character" w:customStyle="1" w:styleId="24">
    <w:name w:val="Footer Char"/>
    <w:basedOn w:val="17"/>
    <w:link w:val="10"/>
    <w:semiHidden/>
    <w:qFormat/>
    <w:uiPriority w:val="99"/>
    <w:rPr>
      <w:rFonts w:ascii="Times New Roman" w:hAnsi="Times New Roman" w:cs="Times New Roman"/>
      <w:sz w:val="18"/>
      <w:szCs w:val="18"/>
    </w:rPr>
  </w:style>
  <w:style w:type="character" w:customStyle="1" w:styleId="25">
    <w:name w:val="Header Char"/>
    <w:basedOn w:val="17"/>
    <w:link w:val="11"/>
    <w:semiHidden/>
    <w:qFormat/>
    <w:uiPriority w:val="99"/>
    <w:rPr>
      <w:rFonts w:ascii="Times New Roman" w:hAnsi="Times New Roman" w:cs="Times New Roman"/>
      <w:sz w:val="18"/>
      <w:szCs w:val="18"/>
    </w:rPr>
  </w:style>
  <w:style w:type="character" w:customStyle="1" w:styleId="26">
    <w:name w:val="页眉 Char"/>
    <w:link w:val="11"/>
    <w:semiHidden/>
    <w:qFormat/>
    <w:locked/>
    <w:uiPriority w:val="99"/>
    <w:rPr>
      <w:sz w:val="18"/>
    </w:rPr>
  </w:style>
  <w:style w:type="character" w:customStyle="1" w:styleId="27">
    <w:name w:val="页脚 Char"/>
    <w:link w:val="10"/>
    <w:qFormat/>
    <w:locked/>
    <w:uiPriority w:val="99"/>
    <w:rPr>
      <w:sz w:val="18"/>
    </w:rPr>
  </w:style>
  <w:style w:type="character" w:customStyle="1" w:styleId="28">
    <w:name w:val="正文文本 Char"/>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列出段落1"/>
    <w:basedOn w:val="1"/>
    <w:qFormat/>
    <w:uiPriority w:val="99"/>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2">
    <w:name w:val="批注框文本 Char"/>
    <w:basedOn w:val="17"/>
    <w:link w:val="9"/>
    <w:semiHidden/>
    <w:qFormat/>
    <w:locked/>
    <w:uiPriority w:val="99"/>
    <w:rPr>
      <w:rFonts w:ascii="Times New Roman" w:hAnsi="Times New Roman" w:cs="Times New Roman"/>
      <w:kern w:val="2"/>
      <w:sz w:val="18"/>
      <w:szCs w:val="18"/>
    </w:rPr>
  </w:style>
  <w:style w:type="paragraph" w:styleId="33">
    <w:name w:val="List Paragraph"/>
    <w:basedOn w:val="1"/>
    <w:unhideWhenUsed/>
    <w:qFormat/>
    <w:uiPriority w:val="99"/>
    <w:pPr>
      <w:ind w:firstLine="420" w:firstLineChars="200"/>
    </w:pPr>
  </w:style>
  <w:style w:type="character" w:customStyle="1" w:styleId="34">
    <w:name w:val="正文文本缩进 Char"/>
    <w:basedOn w:val="17"/>
    <w:link w:val="7"/>
    <w:semiHidden/>
    <w:qFormat/>
    <w:uiPriority w:val="99"/>
    <w:rPr>
      <w:kern w:val="2"/>
      <w:sz w:val="21"/>
      <w:szCs w:val="24"/>
    </w:rPr>
  </w:style>
  <w:style w:type="character" w:customStyle="1" w:styleId="35">
    <w:name w:val="正文首行缩进 2 Char"/>
    <w:basedOn w:val="34"/>
    <w:link w:val="15"/>
    <w:semiHidden/>
    <w:qFormat/>
    <w:uiPriority w:val="99"/>
  </w:style>
  <w:style w:type="character" w:customStyle="1" w:styleId="36">
    <w:name w:val=" Char Char5"/>
    <w:basedOn w:val="17"/>
    <w:link w:val="4"/>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a:t>
            </a:r>
          </a:p>
        </c:rich>
      </c:tx>
      <c:layout/>
      <c:overlay val="false"/>
      <c:spPr>
        <a:noFill/>
        <a:ln>
          <a:noFill/>
        </a:ln>
        <a:effectLst/>
      </c:spPr>
    </c:title>
    <c:autoTitleDeleted val="false"/>
    <c:plotArea>
      <c:layout>
        <c:manualLayout>
          <c:layoutTarget val="inner"/>
          <c:xMode val="edge"/>
          <c:yMode val="edge"/>
          <c:x val="0.0531445603576751"/>
          <c:y val="0.172119815668203"/>
          <c:w val="0.914068554396423"/>
          <c:h val="0.607926267281108"/>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Sheet1!$A$2:$A$5</c:f>
              <c:strCache>
                <c:ptCount val="4"/>
                <c:pt idx="0">
                  <c:v>2019年收入</c:v>
                </c:pt>
                <c:pt idx="1">
                  <c:v>2020年收入</c:v>
                </c:pt>
                <c:pt idx="2">
                  <c:v>2019年支出</c:v>
                </c:pt>
                <c:pt idx="3">
                  <c:v>2020年支出</c:v>
                </c:pt>
              </c:strCache>
            </c:strRef>
          </c:cat>
          <c:val>
            <c:numRef>
              <c:f>Sheet1!$B$2:$B$5</c:f>
              <c:numCache>
                <c:formatCode>General</c:formatCode>
                <c:ptCount val="4"/>
                <c:pt idx="0">
                  <c:v>815.9</c:v>
                </c:pt>
                <c:pt idx="1">
                  <c:v>1072.1</c:v>
                </c:pt>
                <c:pt idx="2">
                  <c:v>815.9</c:v>
                </c:pt>
                <c:pt idx="3">
                  <c:v>1072.1</c:v>
                </c:pt>
              </c:numCache>
            </c:numRef>
          </c:val>
        </c:ser>
        <c:ser>
          <c:idx val="1"/>
          <c:order val="1"/>
          <c:tx>
            <c:strRef>
              <c:f>Sheet1!#REF!</c:f>
              <c:strCache>
                <c:ptCount val="1"/>
                <c:pt idx="0">
                  <c:v/>
                </c:pt>
              </c:strCache>
            </c:strRef>
          </c:tx>
          <c:spPr>
            <a:solidFill>
              <a:schemeClr val="accent2"/>
            </a:solidFill>
            <a:ln>
              <a:noFill/>
            </a:ln>
            <a:effectLst/>
          </c:spPr>
          <c:invertIfNegative val="false"/>
          <c:dLbls>
            <c:delete val="true"/>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243025792"/>
        <c:axId val="243079040"/>
      </c:barChart>
      <c:catAx>
        <c:axId val="24302579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3079040"/>
        <c:crosses val="autoZero"/>
        <c:auto val="true"/>
        <c:lblAlgn val="ctr"/>
        <c:lblOffset val="100"/>
        <c:noMultiLvlLbl val="false"/>
      </c:catAx>
      <c:valAx>
        <c:axId val="24307904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302579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收入决算情况</a:t>
            </a:r>
          </a:p>
        </c:rich>
      </c:tx>
      <c:layout>
        <c:manualLayout>
          <c:xMode val="edge"/>
          <c:yMode val="edge"/>
          <c:x val="0.30075"/>
          <c:y val="0.02"/>
        </c:manualLayout>
      </c:layout>
      <c:overlay val="false"/>
      <c:spPr>
        <a:noFill/>
        <a:ln>
          <a:noFill/>
        </a:ln>
        <a:effectLst/>
      </c:spPr>
    </c:title>
    <c:autoTitleDeleted val="false"/>
    <c:plotArea>
      <c:layout/>
      <c:pieChart>
        <c:varyColors val="true"/>
        <c:ser>
          <c:idx val="0"/>
          <c:order val="0"/>
          <c:tx>
            <c:strRef>
              <c:f>Sheet1!$B$1</c:f>
              <c:strCache>
                <c:ptCount val="1"/>
                <c:pt idx="0">
                  <c:v>列2</c:v>
                </c:pt>
              </c:strCache>
            </c:strRef>
          </c:tx>
          <c:explosion val="0"/>
          <c:dPt>
            <c:idx val="0"/>
            <c:bubble3D val="false"/>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20</a:t>
                    </a:r>
                    <a:r>
                      <a:rPr lang="en-US" altLang="zh-CN"/>
                      <a:t>20</a:t>
                    </a:r>
                    <a:r>
                      <a:t>年收入</a:t>
                    </a:r>
                  </a:p>
                  <a:p>
                    <a:pPr defTabSz="914400">
                      <a:defRPr lang="zh-CN" sz="1000" b="1" i="0" u="none" strike="noStrike" kern="1200" baseline="0">
                        <a:solidFill>
                          <a:schemeClr val="lt1"/>
                        </a:solidFill>
                        <a:latin typeface="+mn-lt"/>
                        <a:ea typeface="+mn-ea"/>
                        <a:cs typeface="+mn-cs"/>
                      </a:defRPr>
                    </a:pPr>
                  </a:p>
                </c:rich>
              </c:tx>
              <c:numFmt formatCode="General" sourceLinked="tru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c:f>
              <c:strCache>
                <c:ptCount val="1"/>
                <c:pt idx="0">
                  <c:v>其中财政拨款收入占100%</c:v>
                </c:pt>
              </c:strCache>
            </c:strRef>
          </c:cat>
          <c:val>
            <c:numRef>
              <c:f>Sheet1!$B$2</c:f>
              <c:numCache>
                <c:formatCode>General</c:formatCode>
                <c:ptCount val="1"/>
                <c:pt idx="0">
                  <c:v>686.56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cap="all" baseline="0">
                <a:solidFill>
                  <a:schemeClr val="tx1">
                    <a:lumMod val="65000"/>
                    <a:lumOff val="35000"/>
                  </a:schemeClr>
                </a:solidFill>
                <a:latin typeface="+mn-lt"/>
                <a:ea typeface="+mn-ea"/>
                <a:cs typeface="+mn-cs"/>
              </a:defRPr>
            </a:pPr>
            <a:r>
              <a:t>支出决算情况</a:t>
            </a:r>
            <a:endParaRPr lang="en-US" altLang="zh-CN"/>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explosion val="0"/>
          <c:dPt>
            <c:idx val="0"/>
            <c:bubble3D val="false"/>
            <c:spPr>
              <a:solidFill>
                <a:schemeClr val="accent1"/>
              </a:solidFill>
              <a:ln>
                <a:noFill/>
              </a:ln>
              <a:effectLst>
                <a:outerShdw blurRad="63500" sx="102000" sy="102000" algn="ctr" rotWithShape="0">
                  <a:prstClr val="black">
                    <a:alpha val="20000"/>
                  </a:prstClr>
                </a:outerShdw>
              </a:effectLst>
            </c:spPr>
          </c:dPt>
          <c:dPt>
            <c:idx val="1"/>
            <c:bubble3D val="false"/>
            <c:spPr>
              <a:solidFill>
                <a:schemeClr val="accent2"/>
              </a:solidFill>
              <a:ln>
                <a:noFill/>
              </a:ln>
              <a:effectLst>
                <a:outerShdw blurRad="635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spc="0" baseline="0">
                        <a:solidFill>
                          <a:schemeClr val="accent1"/>
                        </a:solidFill>
                        <a:latin typeface="+mn-lt"/>
                        <a:ea typeface="+mn-ea"/>
                        <a:cs typeface="+mn-cs"/>
                      </a:defRPr>
                    </a:pPr>
                    <a:r>
                      <a:t>基本支出</a:t>
                    </a:r>
                  </a:p>
                  <a:p>
                    <a:pPr defTabSz="914400">
                      <a:defRPr lang="zh-CN" sz="1000" b="1" i="0" u="none" strike="noStrike" kern="1200" spc="0" baseline="0">
                        <a:solidFill>
                          <a:schemeClr val="accent1"/>
                        </a:solidFill>
                        <a:latin typeface="+mn-lt"/>
                        <a:ea typeface="+mn-ea"/>
                        <a:cs typeface="+mn-cs"/>
                      </a:defRPr>
                    </a:pPr>
                    <a:r>
                      <a:rPr lang="en-US" altLang="zh-CN"/>
                      <a:t>65</a:t>
                    </a:r>
                    <a:r>
                      <a:t>%</a:t>
                    </a:r>
                  </a:p>
                </c:rich>
              </c:tx>
              <c:dLblPos val="out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2"/>
                      </a:solidFill>
                      <a:latin typeface="+mn-lt"/>
                      <a:ea typeface="+mn-ea"/>
                      <a:cs typeface="+mn-cs"/>
                    </a:defRPr>
                  </a:pPr>
                </a:p>
              </c:txPr>
              <c:dLblPos val="bestFit"/>
              <c:showLegendKey val="false"/>
              <c:showVal val="false"/>
              <c:showCatName val="true"/>
              <c:showSerName val="tru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1"/>
                    </a:solidFill>
                    <a:latin typeface="+mn-lt"/>
                    <a:ea typeface="+mn-ea"/>
                    <a:cs typeface="+mn-cs"/>
                  </a:defRPr>
                </a:pPr>
              </a:p>
            </c:txPr>
            <c:dLblPos val="out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c:formatCode>
                <c:ptCount val="2"/>
                <c:pt idx="0">
                  <c:v>0.78</c:v>
                </c:pt>
                <c:pt idx="1">
                  <c:v>0.22</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p>
        </c:rich>
      </c:tx>
      <c:layout/>
      <c:overlay val="false"/>
      <c:spPr>
        <a:noFill/>
        <a:ln>
          <a:noFill/>
        </a:ln>
        <a:effectLst/>
      </c:spPr>
    </c:title>
    <c:autoTitleDeleted val="false"/>
    <c:plotArea>
      <c:layout>
        <c:manualLayout>
          <c:layoutTarget val="inner"/>
          <c:xMode val="edge"/>
          <c:yMode val="edge"/>
          <c:x val="0.0814605067064086"/>
          <c:y val="0.296774193548387"/>
          <c:w val="0.914068554396423"/>
          <c:h val="0.607926267281108"/>
        </c:manualLayout>
      </c:layout>
      <c:barChart>
        <c:barDir val="col"/>
        <c:grouping val="clustered"/>
        <c:varyColors val="false"/>
        <c:ser>
          <c:idx val="0"/>
          <c:order val="0"/>
          <c:tx>
            <c:strRef>
              <c:f>Sheet1!$B$1</c:f>
              <c:strCache>
                <c:ptCount val="1"/>
                <c:pt idx="0">
                  <c:v/>
                </c:pt>
              </c:strCache>
            </c:strRef>
          </c:tx>
          <c:spPr>
            <a:solidFill>
              <a:schemeClr val="accent1"/>
            </a:solidFill>
            <a:ln>
              <a:noFill/>
            </a:ln>
            <a:effectLst/>
          </c:spPr>
          <c:invertIfNegative val="false"/>
          <c:dLbls>
            <c:delete val="true"/>
          </c:dLbls>
          <c:cat>
            <c:strRef>
              <c:f>Sheet1!$A$2:$A$5</c:f>
              <c:strCache>
                <c:ptCount val="4"/>
                <c:pt idx="0">
                  <c:v>2019年收入</c:v>
                </c:pt>
                <c:pt idx="1">
                  <c:v>2020年收入</c:v>
                </c:pt>
                <c:pt idx="2">
                  <c:v>2019年支出</c:v>
                </c:pt>
                <c:pt idx="3">
                  <c:v>2020年支出</c:v>
                </c:pt>
              </c:strCache>
            </c:strRef>
          </c:cat>
          <c:val>
            <c:numRef>
              <c:f>Sheet1!$B$2:$B$5</c:f>
              <c:numCache>
                <c:formatCode>General</c:formatCode>
                <c:ptCount val="4"/>
                <c:pt idx="0">
                  <c:v>815.9</c:v>
                </c:pt>
                <c:pt idx="1">
                  <c:v>1072.1</c:v>
                </c:pt>
                <c:pt idx="2">
                  <c:v>815.9</c:v>
                </c:pt>
                <c:pt idx="3">
                  <c:v>1072.1</c:v>
                </c:pt>
              </c:numCache>
            </c:numRef>
          </c:val>
        </c:ser>
        <c:ser>
          <c:idx val="1"/>
          <c:order val="1"/>
          <c:tx>
            <c:strRef>
              <c:f>Sheet1!#REF!</c:f>
              <c:strCache>
                <c:ptCount val="1"/>
                <c:pt idx="0">
                  <c:v/>
                </c:pt>
              </c:strCache>
            </c:strRef>
          </c:tx>
          <c:spPr>
            <a:solidFill>
              <a:schemeClr val="accent2"/>
            </a:solidFill>
            <a:ln>
              <a:noFill/>
            </a:ln>
            <a:effectLst/>
          </c:spPr>
          <c:invertIfNegative val="false"/>
          <c:dLbls>
            <c:delete val="true"/>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243673728"/>
        <c:axId val="243724672"/>
      </c:barChart>
      <c:catAx>
        <c:axId val="243673728"/>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3724672"/>
        <c:crosses val="autoZero"/>
        <c:auto val="true"/>
        <c:lblAlgn val="ctr"/>
        <c:lblOffset val="100"/>
        <c:noMultiLvlLbl val="false"/>
      </c:catAx>
      <c:valAx>
        <c:axId val="24372467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367372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w="19346">
          <a:noFill/>
        </a:ln>
      </c:spPr>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20059880239521"/>
          <c:y val="0.332225913621265"/>
          <c:w val="0.248502994011978"/>
          <c:h val="0.551495016611301"/>
        </c:manualLayout>
      </c:layout>
      <c:pieChart>
        <c:varyColors val="true"/>
        <c:ser>
          <c:idx val="0"/>
          <c:order val="0"/>
          <c:tx>
            <c:strRef>
              <c:f>Sheet1!$B$1</c:f>
              <c:strCache>
                <c:ptCount val="1"/>
                <c:pt idx="0">
                  <c:v>“三公”经费财政拨款支出决算情况</c:v>
                </c:pt>
              </c:strCache>
            </c:strRef>
          </c:tx>
          <c:explosion val="0"/>
          <c:dPt>
            <c:idx val="0"/>
            <c:bubble3D val="false"/>
          </c:dPt>
          <c:dPt>
            <c:idx val="1"/>
            <c:bubble3D val="false"/>
          </c:dPt>
          <c:dPt>
            <c:idx val="2"/>
            <c:bubble3D val="false"/>
          </c:dPt>
          <c:dPt>
            <c:idx val="3"/>
            <c:bubble3D val="false"/>
          </c:dPt>
          <c:dLbls>
            <c:dLbl>
              <c:idx val="0"/>
              <c:delete val="true"/>
            </c:dLbl>
            <c:dLbl>
              <c:idx val="1"/>
              <c:layout>
                <c:manualLayout>
                  <c:x val="0.0664915905236415"/>
                  <c:y val="-0.0441855850867479"/>
                </c:manualLayout>
              </c:layout>
              <c:tx>
                <c:rich>
                  <a:bodyPr rot="0" spcFirstLastPara="0" vertOverflow="ellipsis" vert="horz" wrap="square" lIns="38100" tIns="19050" rIns="38100" bIns="19050" anchor="ctr" anchorCtr="true"/>
                  <a:lstStyle/>
                  <a:p>
                    <a:pPr>
                      <a:defRPr lang="zh-CN" sz="76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760" b="0" i="0" u="none" strike="noStrike" baseline="0">
                        <a:solidFill>
                          <a:srgbClr val="000000"/>
                        </a:solidFill>
                        <a:latin typeface="宋体" panose="02010600030101010101" charset="-122"/>
                        <a:ea typeface="宋体" panose="02010600030101010101" charset="-122"/>
                      </a:rPr>
                      <a:t>公务用车购置及运行支出</a:t>
                    </a:r>
                    <a:r>
                      <a:rPr lang="en-US" altLang="zh-CN" sz="760" b="0" i="0" u="none" strike="noStrike" baseline="0">
                        <a:solidFill>
                          <a:srgbClr val="000000"/>
                        </a:solidFill>
                        <a:latin typeface="Calibri" panose="020F0502020204030204"/>
                      </a:rPr>
                      <a:t>97%</a:t>
                    </a:r>
                    <a:endParaRPr lang="en-US" altLang="zh-CN" sz="760" b="0" i="0" u="none" strike="noStrike" baseline="0">
                      <a:solidFill>
                        <a:srgbClr val="000000"/>
                      </a:solidFill>
                      <a:latin typeface="Calibri" panose="020F0502020204030204"/>
                    </a:endParaRPr>
                  </a:p>
                </c:rich>
              </c:tx>
              <c:numFmt formatCode="General" sourceLinked="true"/>
              <c:spPr>
                <a:noFill/>
                <a:ln w="19346">
                  <a:noFill/>
                </a:ln>
                <a:effectLst/>
              </c:spPr>
              <c:txPr>
                <a:bodyPr rot="0" spcFirstLastPara="0" vertOverflow="ellipsis" vert="horz" wrap="square" lIns="38100" tIns="19050" rIns="38100" bIns="19050" anchor="ctr" anchorCtr="true"/>
                <a:lstStyle/>
                <a:p>
                  <a:pPr>
                    <a:defRPr lang="zh-CN" sz="7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50067586495438"/>
                  <c:y val="-0.0553915898594075"/>
                </c:manualLayout>
              </c:layout>
              <c:tx>
                <c:rich>
                  <a:bodyPr rot="0" spcFirstLastPara="0" vertOverflow="ellipsis" vert="horz" wrap="square" lIns="38100" tIns="19050" rIns="38100" bIns="19050" anchor="ctr" anchorCtr="true"/>
                  <a:lstStyle/>
                  <a:p>
                    <a:pPr>
                      <a:defRPr lang="zh-CN" sz="76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760" b="0" i="0" u="none" strike="noStrike" baseline="0">
                        <a:solidFill>
                          <a:srgbClr val="000000"/>
                        </a:solidFill>
                        <a:latin typeface="宋体" panose="02010600030101010101" charset="-122"/>
                        <a:ea typeface="宋体" panose="02010600030101010101" charset="-122"/>
                      </a:rPr>
                      <a:t>公务接待费支出</a:t>
                    </a:r>
                    <a:r>
                      <a:rPr lang="en-US" altLang="zh-CN" sz="760" b="0" i="0" u="none" strike="noStrike" baseline="0">
                        <a:solidFill>
                          <a:srgbClr val="000000"/>
                        </a:solidFill>
                        <a:latin typeface="宋体" panose="02010600030101010101" charset="-122"/>
                        <a:ea typeface="宋体" panose="02010600030101010101" charset="-122"/>
                      </a:rPr>
                      <a:t>3</a:t>
                    </a:r>
                    <a:r>
                      <a:rPr lang="en-US" altLang="zh-CN" sz="760" b="0" i="0" u="none" strike="noStrike" baseline="0">
                        <a:solidFill>
                          <a:srgbClr val="000000"/>
                        </a:solidFill>
                        <a:latin typeface="Calibri" panose="020F0502020204030204"/>
                      </a:rPr>
                      <a:t>%</a:t>
                    </a:r>
                    <a:endParaRPr lang="en-US" altLang="zh-CN" sz="760" b="0" i="0" u="none" strike="noStrike" baseline="0">
                      <a:solidFill>
                        <a:srgbClr val="000000"/>
                      </a:solidFill>
                      <a:latin typeface="Calibri" panose="020F0502020204030204"/>
                    </a:endParaRPr>
                  </a:p>
                </c:rich>
              </c:tx>
              <c:numFmt formatCode="General" sourceLinked="true"/>
              <c:spPr>
                <a:noFill/>
                <a:ln w="19346">
                  <a:noFill/>
                </a:ln>
                <a:effectLst/>
              </c:spPr>
              <c:txPr>
                <a:bodyPr rot="0" spcFirstLastPara="0" vertOverflow="ellipsis" vert="horz" wrap="square" lIns="38100" tIns="19050" rIns="38100" bIns="19050" anchor="ctr" anchorCtr="true"/>
                <a:lstStyle/>
                <a:p>
                  <a:pPr>
                    <a:defRPr lang="zh-CN" sz="7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19346">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因公出国（境）支出0%</c:v>
                </c:pt>
                <c:pt idx="1">
                  <c:v>公务用车购置及运行费支出占97%</c:v>
                </c:pt>
                <c:pt idx="2">
                  <c:v>公务接待费支出占3%</c:v>
                </c:pt>
              </c:strCache>
            </c:strRef>
          </c:cat>
          <c:val>
            <c:numRef>
              <c:f>Sheet1!$B$2:$B$5</c:f>
              <c:numCache>
                <c:formatCode>General</c:formatCode>
                <c:ptCount val="4"/>
                <c:pt idx="0">
                  <c:v>0</c:v>
                </c:pt>
                <c:pt idx="1">
                  <c:v>11.58</c:v>
                </c:pt>
                <c:pt idx="2">
                  <c:v>1.06</c:v>
                </c:pt>
              </c:numCache>
            </c:numRef>
          </c:val>
        </c:ser>
        <c:dLbls>
          <c:showLegendKey val="false"/>
          <c:showVal val="true"/>
          <c:showCatName val="false"/>
          <c:showSerName val="false"/>
          <c:showPercent val="false"/>
          <c:showBubbleSize val="false"/>
          <c:showLeaderLines val="true"/>
        </c:dLbls>
        <c:firstSliceAng val="0"/>
      </c:pieChart>
      <c:spPr>
        <a:noFill/>
        <a:ln w="19346">
          <a:noFill/>
        </a:ln>
      </c:spPr>
    </c:plotArea>
    <c:legend>
      <c:legendPos val="r"/>
      <c:layout>
        <c:manualLayout>
          <c:xMode val="edge"/>
          <c:yMode val="edge"/>
          <c:x val="0.666167664670659"/>
          <c:y val="0.267216915836103"/>
          <c:w val="0.272455089820359"/>
          <c:h val="0.66777408637874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54</Pages>
  <Words>4280</Words>
  <Characters>24397</Characters>
  <Lines>203</Lines>
  <Paragraphs>57</Paragraphs>
  <TotalTime>1</TotalTime>
  <ScaleCrop>false</ScaleCrop>
  <LinksUpToDate>false</LinksUpToDate>
  <CharactersWithSpaces>28620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2019-09-21T03:45:00Z</dcterms:created>
  <dc:creator>张彬茜</dc:creator>
  <cp:lastModifiedBy>user</cp:lastModifiedBy>
  <cp:lastPrinted>2019-09-20T07:19:00Z</cp:lastPrinted>
  <dcterms:modified xsi:type="dcterms:W3CDTF">2023-07-13T09:24:40Z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2A1EE78DD6FB443DB9441F1BE30DFD12</vt:lpwstr>
  </property>
</Properties>
</file>