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7425"/>
      <w:bookmarkStart w:id="4" w:name="_Toc15377193"/>
      <w:bookmarkStart w:id="5" w:name="_Toc15378441"/>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78442"/>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广元市朝天区应急管理</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keepNext w:val="0"/>
        <w:keepLines w:val="0"/>
        <w:pageBreakBefore w:val="0"/>
        <w:widowControl/>
        <w:kinsoku/>
        <w:wordWrap/>
        <w:overflowPunct/>
        <w:topLinePunct w:val="0"/>
        <w:autoSpaceDE/>
        <w:autoSpaceDN/>
        <w:bidi w:val="0"/>
        <w:spacing w:line="560" w:lineRule="exact"/>
        <w:jc w:val="center"/>
        <w:textAlignment w:val="auto"/>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keepNext w:val="0"/>
        <w:keepLines w:val="0"/>
        <w:pageBreakBefore w:val="0"/>
        <w:widowControl/>
        <w:kinsoku/>
        <w:wordWrap/>
        <w:overflowPunct/>
        <w:topLinePunct w:val="0"/>
        <w:autoSpaceDE/>
        <w:autoSpaceDN/>
        <w:bidi w:val="0"/>
        <w:spacing w:line="560" w:lineRule="exact"/>
        <w:jc w:val="center"/>
        <w:textAlignment w:val="auto"/>
        <w:rPr>
          <w:rFonts w:ascii="黑体" w:hAnsi="黑体" w:eastAsia="黑体" w:cstheme="minorBidi"/>
          <w:sz w:val="28"/>
          <w:szCs w:val="28"/>
        </w:rPr>
      </w:pPr>
    </w:p>
    <w:p>
      <w:pPr>
        <w:pStyle w:val="12"/>
        <w:keepNext w:val="0"/>
        <w:keepLines w:val="0"/>
        <w:pageBreakBefore w:val="0"/>
        <w:kinsoku/>
        <w:wordWrap/>
        <w:overflowPunct/>
        <w:topLinePunct w:val="0"/>
        <w:autoSpaceDE/>
        <w:autoSpaceDN/>
        <w:bidi w:val="0"/>
        <w:spacing w:line="560" w:lineRule="exact"/>
        <w:textAlignment w:val="auto"/>
      </w:pPr>
      <w:r>
        <w:rPr>
          <w:rFonts w:hint="eastAsia"/>
        </w:rPr>
        <w:t>公开时间：202</w:t>
      </w:r>
      <w:r>
        <w:rPr>
          <w:rFonts w:hint="eastAsia"/>
          <w:lang w:val="en-US" w:eastAsia="zh-CN"/>
        </w:rPr>
        <w:t>1</w:t>
      </w:r>
      <w:r>
        <w:rPr>
          <w:rFonts w:hint="eastAsia"/>
        </w:rPr>
        <w:t>年9月</w:t>
      </w:r>
      <w:r>
        <w:rPr>
          <w:rFonts w:hint="eastAsia"/>
          <w:lang w:val="en-US" w:eastAsia="zh-CN"/>
        </w:rPr>
        <w:t>13</w:t>
      </w:r>
      <w:r>
        <w:rPr>
          <w:rFonts w:hint="eastAsia"/>
        </w:rPr>
        <w:t>日</w:t>
      </w:r>
    </w:p>
    <w:p>
      <w:pPr>
        <w:keepNext w:val="0"/>
        <w:keepLines w:val="0"/>
        <w:pageBreakBefore w:val="0"/>
        <w:kinsoku/>
        <w:wordWrap/>
        <w:overflowPunct/>
        <w:topLinePunct w:val="0"/>
        <w:autoSpaceDE/>
        <w:autoSpaceDN/>
        <w:bidi w:val="0"/>
        <w:spacing w:line="560" w:lineRule="exact"/>
        <w:textAlignment w:val="auto"/>
      </w:pP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cstheme="minorBidi"/>
          <w:sz w:val="24"/>
          <w:szCs w:val="24"/>
        </w:rPr>
      </w:pPr>
      <w:r>
        <w:rPr>
          <w:rFonts w:hint="eastAsia"/>
          <w:sz w:val="24"/>
        </w:rPr>
        <w:t>第一部分</w:t>
      </w:r>
      <w:r>
        <w:rPr>
          <w:sz w:val="24"/>
        </w:rPr>
        <w:t xml:space="preserve"> </w:t>
      </w:r>
      <w:r>
        <w:rPr>
          <w:rFonts w:hint="eastAsia"/>
          <w:sz w:val="24"/>
        </w:rPr>
        <w:t>部门概况</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sz w:val="24"/>
        </w:rPr>
      </w:pPr>
      <w:r>
        <w:rPr>
          <w:rFonts w:hint="eastAsia"/>
          <w:sz w:val="24"/>
        </w:rPr>
        <w:t>一、基本职能及主要工作</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sz w:val="24"/>
        </w:rPr>
        <w:t>二、机构设置</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sz w:val="24"/>
          <w:szCs w:val="24"/>
        </w:rPr>
      </w:pPr>
      <w:r>
        <w:rPr>
          <w:rFonts w:hint="eastAsia"/>
          <w:sz w:val="24"/>
        </w:rPr>
        <w:t>第二部分度部门决算情况说明</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sz w:val="24"/>
        </w:rPr>
        <w:t>一、收入支出决算总体情况说明</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sz w:val="24"/>
        </w:rPr>
        <w:t>二、收入决算情况说明</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sz w:val="24"/>
        </w:rPr>
        <w:t>三、支出决算情况说明</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sz w:val="24"/>
        </w:rPr>
        <w:t>四、财政拨款收入支出决算总体情况说明</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sz w:val="24"/>
        </w:rPr>
        <w:t>五、一般公共预算财政拨款支出决算情况说明</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sz w:val="24"/>
        </w:rPr>
        <w:t>六、一般公共预算财政拨款基本支出决算情况说明</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sz w:val="24"/>
        </w:rPr>
        <w:t>八、政府性基金预算支出决算情况说明</w:t>
      </w:r>
    </w:p>
    <w:p>
      <w:pPr>
        <w:pStyle w:val="13"/>
        <w:keepNext w:val="0"/>
        <w:keepLines w:val="0"/>
        <w:pageBreakBefore w:val="0"/>
        <w:kinsoku/>
        <w:wordWrap/>
        <w:overflowPunct/>
        <w:topLinePunct w:val="0"/>
        <w:autoSpaceDE/>
        <w:autoSpaceDN/>
        <w:bidi w:val="0"/>
        <w:adjustRightInd w:val="0"/>
        <w:snapToGrid w:val="0"/>
        <w:spacing w:line="560" w:lineRule="exact"/>
        <w:ind w:leftChars="0"/>
        <w:jc w:val="left"/>
        <w:textAlignment w:val="auto"/>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textAlignment w:val="auto"/>
        <w:rPr>
          <w:rFonts w:ascii="仿宋" w:hAnsi="仿宋" w:eastAsia="仿宋" w:cstheme="minorBidi"/>
          <w:sz w:val="24"/>
        </w:rPr>
      </w:pPr>
      <w:r>
        <w:rPr>
          <w:rStyle w:val="18"/>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cstheme="minorBidi"/>
          <w:sz w:val="24"/>
          <w:szCs w:val="24"/>
        </w:rPr>
      </w:pPr>
      <w:r>
        <w:rPr>
          <w:rFonts w:hint="eastAsia"/>
          <w:sz w:val="24"/>
        </w:rPr>
        <w:t>第三部分</w:t>
      </w:r>
      <w:r>
        <w:rPr>
          <w:sz w:val="24"/>
        </w:rPr>
        <w:t xml:space="preserve"> </w:t>
      </w:r>
      <w:r>
        <w:rPr>
          <w:rFonts w:hint="eastAsia"/>
          <w:sz w:val="24"/>
        </w:rPr>
        <w:t>名词解释</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cstheme="minorBidi"/>
          <w:sz w:val="24"/>
          <w:szCs w:val="24"/>
        </w:rPr>
      </w:pPr>
      <w:r>
        <w:rPr>
          <w:rFonts w:hint="eastAsia"/>
          <w:sz w:val="24"/>
        </w:rPr>
        <w:t>第四部分</w:t>
      </w:r>
      <w:r>
        <w:rPr>
          <w:sz w:val="24"/>
        </w:rPr>
        <w:t xml:space="preserve"> </w:t>
      </w:r>
      <w:r>
        <w:rPr>
          <w:rFonts w:hint="eastAsia"/>
          <w:sz w:val="24"/>
        </w:rPr>
        <w:t>附件</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sz w:val="24"/>
        </w:rPr>
        <w:t>附件</w:t>
      </w:r>
      <w:r>
        <w:rPr>
          <w:sz w:val="24"/>
        </w:rPr>
        <w:t>1</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sz w:val="24"/>
        </w:rPr>
      </w:pPr>
      <w:r>
        <w:rPr>
          <w:rFonts w:hint="eastAsia"/>
          <w:sz w:val="24"/>
        </w:rPr>
        <w:t>附件</w:t>
      </w:r>
      <w:r>
        <w:rPr>
          <w:sz w:val="24"/>
        </w:rPr>
        <w:t>2</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eastAsia="宋体"/>
          <w:sz w:val="24"/>
          <w:lang w:eastAsia="zh-CN"/>
        </w:rPr>
      </w:pPr>
      <w:r>
        <w:rPr>
          <w:rFonts w:hint="eastAsia"/>
          <w:sz w:val="24"/>
        </w:rPr>
        <w:t>附件</w:t>
      </w:r>
      <w:r>
        <w:rPr>
          <w:rFonts w:hint="eastAsia"/>
          <w:sz w:val="24"/>
          <w:lang w:val="en-US" w:eastAsia="zh-CN"/>
        </w:rPr>
        <w:t>3</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eastAsia="宋体"/>
          <w:sz w:val="24"/>
          <w:lang w:eastAsia="zh-CN"/>
        </w:rPr>
      </w:pPr>
      <w:r>
        <w:rPr>
          <w:rFonts w:hint="eastAsia"/>
          <w:sz w:val="24"/>
        </w:rPr>
        <w:t>附件</w:t>
      </w:r>
      <w:r>
        <w:rPr>
          <w:rFonts w:hint="eastAsia"/>
          <w:sz w:val="24"/>
          <w:lang w:val="en-US" w:eastAsia="zh-CN"/>
        </w:rPr>
        <w:t>4</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eastAsia="宋体"/>
          <w:sz w:val="24"/>
          <w:lang w:eastAsia="zh-CN"/>
        </w:rPr>
      </w:pPr>
      <w:r>
        <w:rPr>
          <w:rFonts w:hint="eastAsia"/>
          <w:sz w:val="24"/>
        </w:rPr>
        <w:t>附件</w:t>
      </w:r>
      <w:r>
        <w:rPr>
          <w:rFonts w:hint="eastAsia"/>
          <w:sz w:val="24"/>
          <w:lang w:val="en-US" w:eastAsia="zh-CN"/>
        </w:rPr>
        <w:t>5</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eastAsia="宋体"/>
          <w:sz w:val="24"/>
          <w:lang w:eastAsia="zh-CN"/>
        </w:rPr>
      </w:pPr>
      <w:r>
        <w:rPr>
          <w:rFonts w:hint="eastAsia"/>
          <w:sz w:val="24"/>
        </w:rPr>
        <w:t>附件</w:t>
      </w:r>
      <w:r>
        <w:rPr>
          <w:rFonts w:hint="eastAsia"/>
          <w:sz w:val="24"/>
          <w:lang w:val="en-US" w:eastAsia="zh-CN"/>
        </w:rPr>
        <w:t>6</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cstheme="minorBidi"/>
          <w:sz w:val="24"/>
          <w:szCs w:val="24"/>
        </w:rPr>
      </w:pPr>
      <w:r>
        <w:rPr>
          <w:rFonts w:hint="eastAsia"/>
          <w:sz w:val="24"/>
        </w:rPr>
        <w:t>第五部分</w:t>
      </w:r>
      <w:r>
        <w:rPr>
          <w:sz w:val="24"/>
        </w:rPr>
        <w:t xml:space="preserve"> </w:t>
      </w:r>
      <w:r>
        <w:rPr>
          <w:rFonts w:hint="eastAsia"/>
          <w:sz w:val="24"/>
        </w:rPr>
        <w:t>附表</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sz w:val="24"/>
        </w:rPr>
      </w:pPr>
      <w:r>
        <w:rPr>
          <w:rFonts w:hint="eastAsia" w:ascii="仿宋" w:hAnsi="仿宋" w:eastAsia="仿宋"/>
          <w:sz w:val="24"/>
        </w:rPr>
        <w:t>五、财政拨款支出决算明细表</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3"/>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pageBreakBefore w:val="0"/>
        <w:kinsoku/>
        <w:wordWrap/>
        <w:overflowPunct/>
        <w:topLinePunct w:val="0"/>
        <w:bidi w:val="0"/>
        <w:spacing w:line="560" w:lineRule="exact"/>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pageBreakBefore w:val="0"/>
        <w:widowControl/>
        <w:kinsoku/>
        <w:wordWrap/>
        <w:overflowPunct/>
        <w:topLinePunct w:val="0"/>
        <w:bidi w:val="0"/>
        <w:spacing w:line="560" w:lineRule="exact"/>
        <w:jc w:val="left"/>
        <w:rPr>
          <w:rFonts w:ascii="黑体" w:eastAsia="黑体"/>
          <w:color w:val="000000"/>
          <w:sz w:val="32"/>
          <w:szCs w:val="32"/>
        </w:rPr>
      </w:pPr>
    </w:p>
    <w:p>
      <w:pPr>
        <w:pStyle w:val="4"/>
        <w:pageBreakBefore w:val="0"/>
        <w:kinsoku/>
        <w:wordWrap/>
        <w:overflowPunct/>
        <w:topLinePunct w:val="0"/>
        <w:bidi w:val="0"/>
        <w:spacing w:line="560" w:lineRule="exact"/>
        <w:rPr>
          <w:rStyle w:val="2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pStyle w:val="7"/>
        <w:pageBreakBefore w:val="0"/>
        <w:kinsoku/>
        <w:wordWrap/>
        <w:overflowPunct/>
        <w:topLinePunct w:val="0"/>
        <w:bidi w:val="0"/>
        <w:adjustRightInd w:val="0"/>
        <w:snapToGrid w:val="0"/>
        <w:spacing w:before="93" w:line="56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（一）主要职能。（职能参照省政府批准的三定方案）</w:t>
      </w:r>
      <w:bookmarkEnd w:id="16"/>
      <w:bookmarkEnd w:id="17"/>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1.</w:t>
      </w:r>
      <w:r>
        <w:rPr>
          <w:rFonts w:hint="eastAsia" w:ascii="仿宋_GB2312" w:hAnsi="仿宋_GB2312" w:eastAsia="仿宋_GB2312" w:cs="Times New Roman"/>
          <w:kern w:val="2"/>
          <w:sz w:val="32"/>
          <w:szCs w:val="32"/>
          <w:lang w:val="en-US" w:eastAsia="zh-CN" w:bidi="ar-SA"/>
        </w:rPr>
        <w:t>负责应急管理工作，组织和指导朝天区境内各乡镇、区级各部门应对安全生产类、自然灾害类等突发事件和综合防灾减灾救灾工作。负责安全生产综合监督管理和工矿商贸、煤炭行业安全生产监督管理工作。</w:t>
      </w:r>
    </w:p>
    <w:p>
      <w:pPr>
        <w:pStyle w:val="33"/>
        <w:pageBreakBefore w:val="0"/>
        <w:kinsoku/>
        <w:wordWrap/>
        <w:overflowPunct/>
        <w:topLinePunct w:val="0"/>
        <w:bidi w:val="0"/>
        <w:spacing w:line="560" w:lineRule="exact"/>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2.</w:t>
      </w:r>
      <w:r>
        <w:rPr>
          <w:rFonts w:hint="eastAsia" w:ascii="仿宋_GB2312" w:hAnsi="仿宋_GB2312" w:eastAsia="仿宋_GB2312" w:cs="Times New Roman"/>
          <w:kern w:val="2"/>
          <w:sz w:val="32"/>
          <w:szCs w:val="32"/>
          <w:lang w:val="en-US" w:eastAsia="zh-CN" w:bidi="ar-SA"/>
        </w:rPr>
        <w:t>拟订全区应急管理、安全生产等政策措施，组织编制应急体系建设、安全生产和综合防灾减灾规划，</w:t>
      </w:r>
      <w:r>
        <w:rPr>
          <w:rFonts w:hint="eastAsia" w:ascii="仿宋_GB2312" w:hAnsi="仿宋_GB2312" w:cs="Times New Roman"/>
          <w:kern w:val="2"/>
          <w:sz w:val="32"/>
          <w:szCs w:val="32"/>
          <w:lang w:val="en-US" w:eastAsia="zh-CN" w:bidi="ar-SA"/>
        </w:rPr>
        <w:t>组织</w:t>
      </w:r>
      <w:r>
        <w:rPr>
          <w:rFonts w:hint="eastAsia" w:ascii="仿宋_GB2312" w:hAnsi="仿宋_GB2312" w:eastAsia="仿宋_GB2312" w:cs="Times New Roman"/>
          <w:kern w:val="2"/>
          <w:sz w:val="32"/>
          <w:szCs w:val="32"/>
          <w:lang w:val="en-US" w:eastAsia="zh-CN" w:bidi="ar-SA"/>
        </w:rPr>
        <w:t>起草全区安全生产规范性文件。</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3.</w:t>
      </w:r>
      <w:r>
        <w:rPr>
          <w:rFonts w:hint="eastAsia" w:ascii="仿宋_GB2312" w:hAnsi="仿宋_GB2312" w:eastAsia="仿宋_GB2312" w:cs="Times New Roman"/>
          <w:kern w:val="2"/>
          <w:sz w:val="32"/>
          <w:szCs w:val="32"/>
          <w:lang w:val="en-US" w:eastAsia="zh-CN" w:bidi="ar-SA"/>
        </w:rPr>
        <w:t>负责组织、指导全区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4.</w:t>
      </w:r>
      <w:r>
        <w:rPr>
          <w:rFonts w:hint="eastAsia" w:ascii="仿宋_GB2312" w:hAnsi="仿宋_GB2312" w:eastAsia="仿宋_GB2312" w:cs="Times New Roman"/>
          <w:kern w:val="2"/>
          <w:sz w:val="32"/>
          <w:szCs w:val="32"/>
          <w:lang w:val="en-US" w:eastAsia="zh-CN" w:bidi="ar-SA"/>
        </w:rPr>
        <w:t>牵头建立统一的应急管理信息系统，负责信息传输渠道的规划和布局，建立监测预警和灾情报告制度，健全自然灾害信息资源获取和共享机制，依法统一发布灾情。</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5.</w:t>
      </w:r>
      <w:r>
        <w:rPr>
          <w:rFonts w:hint="eastAsia" w:ascii="仿宋_GB2312" w:hAnsi="仿宋_GB2312" w:eastAsia="仿宋_GB2312" w:cs="Times New Roman"/>
          <w:kern w:val="2"/>
          <w:sz w:val="32"/>
          <w:szCs w:val="32"/>
          <w:lang w:val="en-US" w:eastAsia="zh-CN" w:bidi="ar-SA"/>
        </w:rPr>
        <w:t>负责组织、指导、协调安全生产类、自然灾害类等突发事件应急救援，承担全区应对</w:t>
      </w:r>
      <w:r>
        <w:rPr>
          <w:rFonts w:hint="eastAsia" w:ascii="仿宋_GB2312" w:hAnsi="仿宋_GB2312" w:cs="Times New Roman"/>
          <w:kern w:val="2"/>
          <w:sz w:val="32"/>
          <w:szCs w:val="32"/>
          <w:lang w:val="en-US" w:eastAsia="zh-CN" w:bidi="ar-SA"/>
        </w:rPr>
        <w:t>较大</w:t>
      </w:r>
      <w:r>
        <w:rPr>
          <w:rFonts w:hint="eastAsia" w:ascii="仿宋_GB2312" w:hAnsi="仿宋_GB2312" w:eastAsia="仿宋_GB2312" w:cs="Times New Roman"/>
          <w:kern w:val="2"/>
          <w:sz w:val="32"/>
          <w:szCs w:val="32"/>
          <w:lang w:val="en-US" w:eastAsia="zh-CN" w:bidi="ar-SA"/>
        </w:rPr>
        <w:t>及以上灾害指挥部工作，综合研判突发事件发展态势并提出应对建议，负责组织</w:t>
      </w:r>
      <w:r>
        <w:rPr>
          <w:rFonts w:hint="eastAsia" w:ascii="仿宋_GB2312" w:hAnsi="仿宋_GB2312" w:cs="Times New Roman"/>
          <w:kern w:val="2"/>
          <w:sz w:val="32"/>
          <w:szCs w:val="32"/>
          <w:lang w:val="en-US" w:eastAsia="zh-CN" w:bidi="ar-SA"/>
        </w:rPr>
        <w:t>较大</w:t>
      </w:r>
      <w:r>
        <w:rPr>
          <w:rFonts w:hint="eastAsia" w:ascii="仿宋_GB2312" w:hAnsi="仿宋_GB2312" w:eastAsia="仿宋_GB2312" w:cs="Times New Roman"/>
          <w:kern w:val="2"/>
          <w:sz w:val="32"/>
          <w:szCs w:val="32"/>
          <w:lang w:val="en-US" w:eastAsia="zh-CN" w:bidi="ar-SA"/>
        </w:rPr>
        <w:t>及以上灾害应急处置工作。</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6.</w:t>
      </w:r>
      <w:r>
        <w:rPr>
          <w:rFonts w:hint="eastAsia" w:ascii="仿宋_GB2312" w:hAnsi="仿宋_GB2312" w:eastAsia="仿宋_GB2312" w:cs="Times New Roman"/>
          <w:kern w:val="2"/>
          <w:sz w:val="32"/>
          <w:szCs w:val="32"/>
          <w:lang w:val="en-US" w:eastAsia="zh-CN" w:bidi="ar-SA"/>
        </w:rPr>
        <w:t>统一协调指挥各类应急专业队伍，建立应急协调联动机制，推进指挥平台对接，提请衔接解放军和武警部队参与应急救援工作。</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7.</w:t>
      </w:r>
      <w:r>
        <w:rPr>
          <w:rFonts w:hint="eastAsia" w:ascii="仿宋_GB2312" w:hAnsi="仿宋_GB2312" w:eastAsia="仿宋_GB2312" w:cs="Times New Roman"/>
          <w:kern w:val="2"/>
          <w:sz w:val="32"/>
          <w:szCs w:val="32"/>
          <w:lang w:val="en-US" w:eastAsia="zh-CN" w:bidi="ar-SA"/>
        </w:rPr>
        <w:t>按照国家、省、市相关政策和规定负责消防、森林火灾扑救、抗洪抢险、地震和地质灾害救援、生产安全事故救援等专业应急救援力量建设，依法依规统筹指导各乡镇、朝天经济开发区及社会应急救援力量和保障能力建设。</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8.</w:t>
      </w:r>
      <w:r>
        <w:rPr>
          <w:rFonts w:hint="eastAsia" w:ascii="仿宋_GB2312" w:hAnsi="仿宋_GB2312" w:eastAsia="仿宋_GB2312" w:cs="Times New Roman"/>
          <w:kern w:val="2"/>
          <w:sz w:val="32"/>
          <w:szCs w:val="32"/>
          <w:lang w:val="en-US" w:eastAsia="zh-CN" w:bidi="ar-SA"/>
        </w:rPr>
        <w:t>按照国家相关政策和省、市、区相关规定负责消防工作，组织和指导消防监督、火灾预防、火灾扑救等工作。</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9.</w:t>
      </w:r>
      <w:r>
        <w:rPr>
          <w:rFonts w:hint="eastAsia" w:ascii="仿宋_GB2312" w:hAnsi="仿宋_GB2312" w:eastAsia="仿宋_GB2312" w:cs="Times New Roman"/>
          <w:kern w:val="2"/>
          <w:sz w:val="32"/>
          <w:szCs w:val="32"/>
          <w:lang w:val="en-US" w:eastAsia="zh-CN" w:bidi="ar-SA"/>
        </w:rPr>
        <w:t>负责自然灾害综合监测预警工作，承担自然灾害综合风险评估工作。指导协调森林火灾、水旱灾害、地质灾害等防治工作。</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10.</w:t>
      </w:r>
      <w:r>
        <w:rPr>
          <w:rFonts w:hint="eastAsia" w:ascii="仿宋_GB2312" w:hAnsi="仿宋_GB2312" w:eastAsia="仿宋_GB2312" w:cs="Times New Roman"/>
          <w:kern w:val="2"/>
          <w:sz w:val="32"/>
          <w:szCs w:val="32"/>
          <w:lang w:val="en-US" w:eastAsia="zh-CN" w:bidi="ar-SA"/>
        </w:rPr>
        <w:t>负责组织、协调灾害救助工作，组织和指导灾情核查、损失评估、救灾捐赠工作，管理、分配中央、省级、市级下拨及区级救灾款物并监督使用。</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11.</w:t>
      </w:r>
      <w:r>
        <w:rPr>
          <w:rFonts w:hint="eastAsia" w:ascii="仿宋_GB2312" w:hAnsi="仿宋_GB2312" w:eastAsia="仿宋_GB2312" w:cs="Times New Roman"/>
          <w:kern w:val="2"/>
          <w:sz w:val="32"/>
          <w:szCs w:val="32"/>
          <w:lang w:val="en-US" w:eastAsia="zh-CN" w:bidi="ar-SA"/>
        </w:rPr>
        <w:t>依法承担区政府安全生产综合监督管理责任，指导协调、监督检查各乡镇政府和区级有关部门安全生产工作，组织开展安全生产巡查、考核工作。</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12.</w:t>
      </w:r>
      <w:r>
        <w:rPr>
          <w:rFonts w:hint="eastAsia" w:ascii="仿宋_GB2312" w:hAnsi="仿宋_GB2312" w:eastAsia="仿宋_GB2312" w:cs="Times New Roman"/>
          <w:kern w:val="2"/>
          <w:sz w:val="32"/>
          <w:szCs w:val="32"/>
          <w:lang w:val="en-US" w:eastAsia="zh-CN" w:bidi="ar-SA"/>
        </w:rPr>
        <w:t>按照分级、属地原则，依法监督检查工矿商贸生产经营单位贯彻执行安全生产法律法规情况及其安全生产条件和有关设备（特种设备除外）、材料、劳动防护用品的安全生产管理工作。协助市应急局做好区的中央、省属、市属重点工矿商贸企业</w:t>
      </w:r>
      <w:r>
        <w:rPr>
          <w:rFonts w:hint="eastAsia" w:ascii="仿宋_GB2312" w:hAnsi="仿宋_GB2312" w:cs="Times New Roman"/>
          <w:kern w:val="2"/>
          <w:sz w:val="32"/>
          <w:szCs w:val="32"/>
          <w:lang w:val="en-US" w:eastAsia="zh-CN" w:bidi="ar-SA"/>
        </w:rPr>
        <w:t>的</w:t>
      </w:r>
      <w:r>
        <w:rPr>
          <w:rFonts w:hint="eastAsia" w:ascii="仿宋_GB2312" w:hAnsi="仿宋_GB2312" w:eastAsia="仿宋_GB2312" w:cs="Times New Roman"/>
          <w:kern w:val="2"/>
          <w:sz w:val="32"/>
          <w:szCs w:val="32"/>
          <w:lang w:val="en-US" w:eastAsia="zh-CN" w:bidi="ar-SA"/>
        </w:rPr>
        <w:t>安全生产监督管理工作。</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13.</w:t>
      </w:r>
      <w:r>
        <w:rPr>
          <w:rFonts w:hint="eastAsia" w:ascii="仿宋_GB2312" w:hAnsi="仿宋_GB2312" w:eastAsia="仿宋_GB2312" w:cs="Times New Roman"/>
          <w:kern w:val="2"/>
          <w:sz w:val="32"/>
          <w:szCs w:val="32"/>
          <w:lang w:val="en-US" w:eastAsia="zh-CN" w:bidi="ar-SA"/>
        </w:rPr>
        <w:t>承担煤矿、非煤矿山、危险化学品、烟花爆竹等生产经营单位安全生产准入及非药品类易制毒化学品备案管理责任，依法组织实施安全生产准入制度。负责危险化学品安全监督管理综合工作和煤矿、非煤矿山、烟花爆竹安全生产监督管理工作。</w:t>
      </w:r>
    </w:p>
    <w:p>
      <w:pPr>
        <w:pStyle w:val="33"/>
        <w:pageBreakBefore w:val="0"/>
        <w:kinsoku/>
        <w:wordWrap/>
        <w:overflowPunct/>
        <w:topLinePunct w:val="0"/>
        <w:bidi w:val="0"/>
        <w:spacing w:line="560" w:lineRule="exact"/>
        <w:ind w:firstLine="640"/>
        <w:rPr>
          <w:rFonts w:hint="eastAsia" w:ascii="仿宋_GB2312" w:hAnsi="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14.拟订煤炭产业发展计划并组织实施</w:t>
      </w:r>
      <w:r>
        <w:rPr>
          <w:rFonts w:hint="eastAsia" w:ascii="仿宋_GB2312" w:hAnsi="仿宋_GB2312" w:eastAsia="仿宋_GB2312" w:cs="Times New Roman"/>
          <w:kern w:val="2"/>
          <w:sz w:val="32"/>
          <w:szCs w:val="32"/>
          <w:lang w:val="en-US" w:eastAsia="zh-CN" w:bidi="ar-SA"/>
        </w:rPr>
        <w:t>，按权限审核、上报煤炭建设项目并负责监督管理。负责煤炭生产协调和监督管理，煤炭行业结构调整和产业升级，煤矿瓦斯等级鉴定、瓦斯治理和利用。</w:t>
      </w:r>
      <w:r>
        <w:rPr>
          <w:rFonts w:hint="eastAsia" w:ascii="仿宋_GB2312" w:hAnsi="仿宋_GB2312" w:cs="Times New Roman"/>
          <w:kern w:val="2"/>
          <w:sz w:val="32"/>
          <w:szCs w:val="32"/>
          <w:lang w:val="en-US" w:eastAsia="zh-CN" w:bidi="ar-SA"/>
        </w:rPr>
        <w:t>推进煤炭体制改革。</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15.</w:t>
      </w:r>
      <w:r>
        <w:rPr>
          <w:rFonts w:hint="eastAsia" w:ascii="仿宋_GB2312" w:hAnsi="仿宋_GB2312" w:eastAsia="仿宋_GB2312" w:cs="Times New Roman"/>
          <w:kern w:val="2"/>
          <w:sz w:val="32"/>
          <w:szCs w:val="32"/>
          <w:lang w:val="en-US" w:eastAsia="zh-CN" w:bidi="ar-SA"/>
        </w:rPr>
        <w:t>承担煤矿安全生产监督管理责任，依法监督检查煤矿企业贯彻执行安全生产法律法规情况及其安全生产条件和有关设备（特种设备除外）、材料、劳动防护用品的安全生产监督管理工作。负责组织、指导煤矿企业安全专项整治、安全标准化、瓦斯和水害防治及相关安全科技发展工作。参与煤矿事故调查处理工作。</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16.</w:t>
      </w:r>
      <w:r>
        <w:rPr>
          <w:rFonts w:hint="eastAsia" w:ascii="仿宋_GB2312" w:hAnsi="仿宋_GB2312" w:eastAsia="仿宋_GB2312" w:cs="Times New Roman"/>
          <w:kern w:val="2"/>
          <w:sz w:val="32"/>
          <w:szCs w:val="32"/>
          <w:lang w:val="en-US" w:eastAsia="zh-CN" w:bidi="ar-SA"/>
        </w:rPr>
        <w:t>承担防震减灾工作职责。负责地震监测设施和观测环境保护工作，负责全区工程建设场地地震安全性评价的监督管理工作，承担全区</w:t>
      </w:r>
      <w:r>
        <w:rPr>
          <w:rFonts w:hint="eastAsia" w:ascii="仿宋_GB2312" w:hAnsi="仿宋_GB2312" w:cs="Times New Roman"/>
          <w:kern w:val="2"/>
          <w:sz w:val="32"/>
          <w:szCs w:val="32"/>
          <w:lang w:val="en-US" w:eastAsia="zh-CN" w:bidi="ar-SA"/>
        </w:rPr>
        <w:t>重大</w:t>
      </w:r>
      <w:r>
        <w:rPr>
          <w:rFonts w:hint="eastAsia" w:ascii="仿宋_GB2312" w:hAnsi="仿宋_GB2312" w:eastAsia="仿宋_GB2312" w:cs="Times New Roman"/>
          <w:kern w:val="2"/>
          <w:sz w:val="32"/>
          <w:szCs w:val="32"/>
          <w:lang w:val="en-US" w:eastAsia="zh-CN" w:bidi="ar-SA"/>
        </w:rPr>
        <w:t>工程的抗震设防监督工作。接受上级相关部门的业务指导。</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17.</w:t>
      </w:r>
      <w:r>
        <w:rPr>
          <w:rFonts w:hint="eastAsia" w:ascii="仿宋_GB2312" w:hAnsi="仿宋_GB2312" w:eastAsia="仿宋_GB2312" w:cs="Times New Roman"/>
          <w:kern w:val="2"/>
          <w:sz w:val="32"/>
          <w:szCs w:val="32"/>
          <w:lang w:val="en-US" w:eastAsia="zh-CN" w:bidi="ar-SA"/>
        </w:rPr>
        <w:t>依法组织、指导生产安全事故调查处理，监督事故查处和责任追究落实情况。组织开展自然灾害类突发事件的调查评估工作。</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18.开展</w:t>
      </w:r>
      <w:r>
        <w:rPr>
          <w:rFonts w:hint="eastAsia" w:ascii="仿宋_GB2312" w:hAnsi="仿宋_GB2312" w:eastAsia="仿宋_GB2312" w:cs="Times New Roman"/>
          <w:kern w:val="2"/>
          <w:sz w:val="32"/>
          <w:szCs w:val="32"/>
          <w:lang w:val="en-US" w:eastAsia="zh-CN" w:bidi="ar-SA"/>
        </w:rPr>
        <w:t>应急管理和安全生产方面的交流与合作，按照上级部门的安排参与安全生产类、自然灾害类等突发事件的跨区域救援工作。</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19.</w:t>
      </w:r>
      <w:r>
        <w:rPr>
          <w:rFonts w:hint="eastAsia" w:ascii="仿宋_GB2312" w:hAnsi="仿宋_GB2312" w:eastAsia="仿宋_GB2312" w:cs="Times New Roman"/>
          <w:kern w:val="2"/>
          <w:sz w:val="32"/>
          <w:szCs w:val="32"/>
          <w:lang w:val="en-US" w:eastAsia="zh-CN" w:bidi="ar-SA"/>
        </w:rPr>
        <w:t>制定应急物资储备和应急救援装备规划并组织实施，会同区</w:t>
      </w:r>
      <w:r>
        <w:rPr>
          <w:rFonts w:hint="eastAsia" w:ascii="仿宋_GB2312" w:hAnsi="仿宋_GB2312" w:cs="Times New Roman"/>
          <w:kern w:val="2"/>
          <w:sz w:val="32"/>
          <w:szCs w:val="32"/>
          <w:lang w:val="en-US" w:eastAsia="zh-CN" w:bidi="ar-SA"/>
        </w:rPr>
        <w:t>发改局等</w:t>
      </w:r>
      <w:r>
        <w:rPr>
          <w:rFonts w:hint="eastAsia" w:ascii="仿宋_GB2312" w:hAnsi="仿宋_GB2312" w:eastAsia="仿宋_GB2312" w:cs="Times New Roman"/>
          <w:kern w:val="2"/>
          <w:sz w:val="32"/>
          <w:szCs w:val="32"/>
          <w:lang w:val="en-US" w:eastAsia="zh-CN" w:bidi="ar-SA"/>
        </w:rPr>
        <w:t>部门建立健全应急物资信息平台和调拨制度，在救灾时统一调度。</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20.</w:t>
      </w:r>
      <w:r>
        <w:rPr>
          <w:rFonts w:hint="eastAsia" w:ascii="仿宋_GB2312" w:hAnsi="仿宋_GB2312" w:eastAsia="仿宋_GB2312" w:cs="Times New Roman"/>
          <w:kern w:val="2"/>
          <w:sz w:val="32"/>
          <w:szCs w:val="32"/>
          <w:lang w:val="en-US" w:eastAsia="zh-CN" w:bidi="ar-SA"/>
        </w:rPr>
        <w:t>负责应急管理、安全生产宣传教育和培训工作，组织和指导应急管理、安全生产的科学技术研究、推广应用和信息化建设工作。</w:t>
      </w:r>
    </w:p>
    <w:p>
      <w:pPr>
        <w:pStyle w:val="33"/>
        <w:pageBreakBefore w:val="0"/>
        <w:kinsoku/>
        <w:wordWrap/>
        <w:overflowPunct/>
        <w:topLinePunct w:val="0"/>
        <w:bidi w:val="0"/>
        <w:spacing w:line="560" w:lineRule="exact"/>
        <w:ind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21.</w:t>
      </w:r>
      <w:r>
        <w:rPr>
          <w:rFonts w:hint="eastAsia" w:ascii="仿宋_GB2312" w:hAnsi="仿宋_GB2312" w:eastAsia="仿宋_GB2312" w:cs="Times New Roman"/>
          <w:kern w:val="2"/>
          <w:sz w:val="32"/>
          <w:szCs w:val="32"/>
          <w:lang w:val="en-US" w:eastAsia="zh-CN" w:bidi="ar-SA"/>
        </w:rPr>
        <w:t>负责职责范围内的职业健康、生态环境保护、审批服务便民化等工作。</w:t>
      </w:r>
    </w:p>
    <w:p>
      <w:pPr>
        <w:pStyle w:val="33"/>
        <w:pageBreakBefore w:val="0"/>
        <w:kinsoku/>
        <w:wordWrap/>
        <w:overflowPunct/>
        <w:topLinePunct w:val="0"/>
        <w:bidi w:val="0"/>
        <w:spacing w:line="560" w:lineRule="exact"/>
        <w:ind w:firstLine="640"/>
        <w:rPr>
          <w:rFonts w:hint="eastAsia" w:ascii="仿宋" w:hAnsi="仿宋" w:eastAsia="仿宋"/>
          <w:bCs/>
          <w:color w:val="000000"/>
          <w:sz w:val="32"/>
          <w:szCs w:val="32"/>
        </w:rPr>
      </w:pPr>
      <w:r>
        <w:rPr>
          <w:rFonts w:hint="eastAsia" w:ascii="仿宋_GB2312" w:hAnsi="仿宋_GB2312" w:cs="Times New Roman"/>
          <w:kern w:val="2"/>
          <w:sz w:val="32"/>
          <w:szCs w:val="32"/>
          <w:lang w:val="en-US" w:eastAsia="zh-CN" w:bidi="ar-SA"/>
        </w:rPr>
        <w:t>22.</w:t>
      </w:r>
      <w:r>
        <w:rPr>
          <w:rFonts w:hint="eastAsia" w:ascii="仿宋_GB2312" w:hAnsi="仿宋_GB2312" w:eastAsia="仿宋_GB2312" w:cs="Times New Roman"/>
          <w:kern w:val="2"/>
          <w:sz w:val="32"/>
          <w:szCs w:val="32"/>
          <w:lang w:val="en-US" w:eastAsia="zh-CN" w:bidi="ar-SA"/>
        </w:rPr>
        <w:t>完成区委、区政府交办的其他任务。</w:t>
      </w:r>
    </w:p>
    <w:p>
      <w:pPr>
        <w:pStyle w:val="7"/>
        <w:pageBreakBefore w:val="0"/>
        <w:kinsoku/>
        <w:wordWrap/>
        <w:overflowPunct/>
        <w:topLinePunct w:val="0"/>
        <w:bidi w:val="0"/>
        <w:adjustRightInd w:val="0"/>
        <w:snapToGrid w:val="0"/>
        <w:spacing w:before="93" w:line="56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18"/>
      <w:bookmarkEnd w:id="19"/>
    </w:p>
    <w:p>
      <w:pPr>
        <w:spacing w:line="560" w:lineRule="exact"/>
        <w:ind w:firstLine="640" w:firstLineChars="200"/>
        <w:rPr>
          <w:rFonts w:ascii="仿宋_GB2312" w:hAnsi="仿宋_GB2312" w:eastAsia="仿宋_GB2312" w:cs="仿宋_GB2312"/>
          <w:color w:val="auto"/>
          <w:kern w:val="0"/>
          <w:sz w:val="32"/>
          <w:szCs w:val="32"/>
        </w:rPr>
      </w:pPr>
      <w:bookmarkStart w:id="20" w:name="_Toc15377200"/>
      <w:bookmarkStart w:id="21" w:name="_Toc15396601"/>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全力以赴，服务全区疫情防控大局。</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抓好防疫物资</w:t>
      </w:r>
      <w:r>
        <w:rPr>
          <w:rFonts w:hint="eastAsia" w:ascii="仿宋_GB2312" w:hAnsi="仿宋_GB2312" w:eastAsia="仿宋_GB2312" w:cs="仿宋_GB2312"/>
          <w:color w:val="auto"/>
          <w:kern w:val="0"/>
          <w:sz w:val="32"/>
          <w:szCs w:val="32"/>
        </w:rPr>
        <w:t>保障，累计为全区疫情防控一线提供帐篷251顶、棉大衣197件、棉被119床、褥子43床、竹板床47张；</w:t>
      </w:r>
      <w:r>
        <w:rPr>
          <w:rFonts w:hint="eastAsia" w:ascii="仿宋_GB2312" w:hAnsi="仿宋_GB2312" w:eastAsia="仿宋_GB2312" w:cs="仿宋_GB2312"/>
          <w:b/>
          <w:bCs/>
          <w:color w:val="auto"/>
          <w:kern w:val="0"/>
          <w:sz w:val="32"/>
          <w:szCs w:val="32"/>
        </w:rPr>
        <w:t>二是</w:t>
      </w:r>
      <w:r>
        <w:rPr>
          <w:rFonts w:hint="eastAsia" w:ascii="仿宋_GB2312" w:hAnsi="仿宋_GB2312" w:eastAsia="仿宋_GB2312" w:cs="仿宋_GB2312"/>
          <w:color w:val="auto"/>
          <w:kern w:val="0"/>
          <w:sz w:val="32"/>
          <w:szCs w:val="32"/>
        </w:rPr>
        <w:t>抓好涉疫场所安全服务，成立工作专班对区内涉疫留观场所开展安全检查14次，指导整改安全问题17处；</w:t>
      </w:r>
      <w:r>
        <w:rPr>
          <w:rFonts w:hint="eastAsia" w:ascii="仿宋_GB2312" w:hAnsi="仿宋_GB2312" w:eastAsia="仿宋_GB2312" w:cs="仿宋_GB2312"/>
          <w:b/>
          <w:bCs/>
          <w:color w:val="auto"/>
          <w:kern w:val="0"/>
          <w:sz w:val="32"/>
          <w:szCs w:val="32"/>
        </w:rPr>
        <w:t>三是</w:t>
      </w:r>
      <w:r>
        <w:rPr>
          <w:rFonts w:hint="eastAsia" w:ascii="仿宋_GB2312" w:hAnsi="仿宋_GB2312" w:eastAsia="仿宋_GB2312" w:cs="仿宋_GB2312"/>
          <w:color w:val="auto"/>
          <w:kern w:val="0"/>
          <w:sz w:val="32"/>
          <w:szCs w:val="32"/>
        </w:rPr>
        <w:t>抓好企业复工复产，累计检查企业和工地132家次，督促整改一般安全隐患151个，向46家企业提供复工复产安全指导服务60余次，协助解决疫情防控困难20余个；</w:t>
      </w:r>
      <w:r>
        <w:rPr>
          <w:rFonts w:hint="eastAsia" w:ascii="仿宋_GB2312" w:hAnsi="仿宋_GB2312" w:eastAsia="仿宋_GB2312" w:cs="仿宋_GB2312"/>
          <w:b/>
          <w:bCs/>
          <w:color w:val="auto"/>
          <w:kern w:val="0"/>
          <w:sz w:val="32"/>
          <w:szCs w:val="32"/>
        </w:rPr>
        <w:t>四是</w:t>
      </w:r>
      <w:r>
        <w:rPr>
          <w:rFonts w:hint="eastAsia" w:ascii="仿宋_GB2312" w:hAnsi="仿宋_GB2312" w:eastAsia="仿宋_GB2312" w:cs="仿宋_GB2312"/>
          <w:color w:val="auto"/>
          <w:kern w:val="0"/>
          <w:sz w:val="32"/>
          <w:szCs w:val="32"/>
        </w:rPr>
        <w:t>抓好内部疫情防控，常态化开展人员排查、体温检测、环境消杀，全区应急系统未出现疑似病例或确诊病例。</w:t>
      </w:r>
    </w:p>
    <w:p>
      <w:pPr>
        <w:spacing w:line="560" w:lineRule="exact"/>
        <w:ind w:firstLine="640" w:firstLineChars="200"/>
        <w:rPr>
          <w:rFonts w:ascii="黑体" w:hAnsi="黑体" w:eastAsia="黑体" w:cs="黑体"/>
          <w:b/>
          <w:bCs/>
          <w:sz w:val="32"/>
          <w:szCs w:val="32"/>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rPr>
        <w:t>常抓不懈，确保安全生产形势稳定。</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安全生产责任进一步压实。以深化落实安全生产“1+2”责任体系为主线，着力推进安全生产清单制管理，构建“责任制+清单制”安全生产责任体系。目前全区党政层面清单已全面完成制定，区级部门安全监管清单应建29个，完成29个，完成率100%，企事业单位安全管理责任清单应建124家，完成124家，完成率100%。2020年市安委会第三次会议上，我区就安全生产清单制管理作经验交流发言。</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事故风险预防进一步强化。着力推动“双控”机制应用，并探索其向部门、政府端延伸。着力推动专项整治工作落实，按照“1+2+12”框架编制《广元市朝天区安全生产专项整治三年行动计划》，成立专项整治领导小组，下设1办14个专项（专题）工作组，同时明确专项整治三年行动的总体要求、主要任务、时间安排、保障措施和12个行业领域整治内容。着力推动隐患排查治理，邀请多名安全专家，对全区建筑施工、道路交通、水利水电等重点建设工程项目生产经营单位进行全覆盖“安全体检”，累计发现安全隐患129条，已全部整改到位。</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安全生产执法进一步严实。将“铸安2020”监管执法专项行动与安全生产监督检查计划、打非治违相结合，严格企业、工地复工复产安全检查，抓实城乡建设用地增减挂钩及新村建设项目安全管理，营造全区安全生产高压严打态势。2020年累计开展执法检查430余次，检查企业157家，发现隐患466条,处罚款39.09万元，责令停产停业2家，约谈企业7家。</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事故调查处理进一步严格。2020年我区发生生产安全事故2起，死亡1人（市下控制指标4人），受伤1人，未发生较大以上生产安全事故。事故发生后，区政府授权我局开展事故调查，目前“朝天经济开发区3·22一般高处坠落事故”“曾家山荣乐酒店5·13脚手架坍塌事故”调查均已完毕，并依法依规对事故相关责任单位和责任人员实施了责任追究和行政处罚。</w:t>
      </w:r>
      <w:r>
        <w:rPr>
          <w:rFonts w:hint="eastAsia" w:ascii="仿宋_GB2312" w:hAnsi="仿宋_GB2312" w:eastAsia="仿宋_GB2312" w:cs="仿宋_GB2312"/>
          <w:b/>
          <w:bCs/>
          <w:color w:val="auto"/>
          <w:sz w:val="32"/>
          <w:szCs w:val="32"/>
        </w:rPr>
        <w:t>五是</w:t>
      </w:r>
      <w:r>
        <w:rPr>
          <w:rFonts w:hint="eastAsia" w:ascii="仿宋_GB2312" w:hAnsi="仿宋_GB2312" w:eastAsia="仿宋_GB2312" w:cs="仿宋_GB2312"/>
          <w:color w:val="auto"/>
          <w:sz w:val="32"/>
          <w:szCs w:val="32"/>
        </w:rPr>
        <w:t>安全生产基础进一步牢固。牵头组织开展“5.12”“安全生产月”“安全宣传五进”等咨询活动90场，累计接受群众咨询3万余人次，发放资料5万余份，“安全生产月”活</w:t>
      </w:r>
      <w:r>
        <w:rPr>
          <w:rFonts w:hint="eastAsia" w:ascii="仿宋_GB2312" w:hAnsi="仿宋_GB2312" w:eastAsia="仿宋_GB2312" w:cs="仿宋_GB2312"/>
          <w:sz w:val="32"/>
          <w:szCs w:val="32"/>
        </w:rPr>
        <w:t>动排名全市第一、“应急普法知识竞赛”排名全市第二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邀请省应急厅二级调研员徐大力等5名专家为80余名党政干部授课，举办清单制管理、安全生产监管、应急管理干部培训等培训9期500余人次。涵盖消防、交通、食药、居家、地震等体验项目的朝天区安全体验中心正式投用；新创建安全生产标准化企业4家，复评4家；朝天镇、曾家镇、沙河镇等3家复评“省级安全社区”建设持续改进项目稳步推进，复评自评达标。</w:t>
      </w:r>
      <w:r>
        <w:rPr>
          <w:rFonts w:hint="eastAsia" w:ascii="仿宋_GB2312" w:hAnsi="仿宋_GB2312" w:eastAsia="仿宋_GB2312" w:cs="仿宋_GB2312"/>
          <w:b/>
          <w:bCs/>
          <w:sz w:val="32"/>
          <w:szCs w:val="32"/>
        </w:rPr>
        <w:t>消防安全监管进一步强化。</w:t>
      </w:r>
      <w:r>
        <w:rPr>
          <w:rFonts w:hint="eastAsia" w:ascii="仿宋_GB2312" w:hAnsi="仿宋_GB2312" w:eastAsia="仿宋_GB2312" w:cs="仿宋_GB2312"/>
          <w:sz w:val="32"/>
          <w:szCs w:val="32"/>
        </w:rPr>
        <w:t>进一步完善全区消防责任体系，督促指导乡镇、部门、企业严格落实消防工作责任制，建立朝天区消防工作联席会议制度、朝天区消防工作督办约谈制度；组织开展城乡火灾隐患排查整治、消防通道专项整治，累计排查火灾隐患806处，挂牌督办重大火灾隐患2处，目前已全部整改到位；扎实推进消防安全宣传教育“六进”工作，认真抓好今冬明春农村火灾防控，创新开展消防安全“进农村”活动，在90余个行政村开展消防安全集中宣传；全面完成消防员招录宣传、政治审查和档案收集移交工作，新招录消防员5名。</w:t>
      </w:r>
    </w:p>
    <w:p>
      <w:pPr>
        <w:spacing w:line="560" w:lineRule="exact"/>
        <w:ind w:firstLine="640" w:firstLineChars="200"/>
        <w:rPr>
          <w:rFonts w:ascii="仿宋_GB2312" w:hAnsi="仿宋_GB2312" w:eastAsia="仿宋_GB2312" w:cs="仿宋_GB2312"/>
          <w:sz w:val="32"/>
          <w:szCs w:val="32"/>
        </w:rPr>
      </w:pPr>
      <w:r>
        <w:rPr>
          <w:rFonts w:hint="eastAsia" w:ascii="楷体_GB2312" w:hAnsi="Times New Roman" w:eastAsia="楷体_GB2312"/>
          <w:bCs/>
          <w:sz w:val="32"/>
          <w:szCs w:val="32"/>
          <w:lang w:val="en-US" w:eastAsia="zh-CN"/>
        </w:rPr>
        <w:t>3.</w:t>
      </w:r>
      <w:r>
        <w:rPr>
          <w:rFonts w:hint="eastAsia" w:ascii="楷体_GB2312" w:hAnsi="Times New Roman" w:eastAsia="楷体_GB2312"/>
          <w:bCs/>
          <w:sz w:val="32"/>
          <w:szCs w:val="32"/>
        </w:rPr>
        <w:t>精准发力，务实抓好防灾减灾救灾工作。</w:t>
      </w:r>
      <w:r>
        <w:rPr>
          <w:rFonts w:hint="eastAsia" w:ascii="仿宋_GB2312" w:hAnsi="Times New Roman" w:eastAsia="仿宋_GB2312"/>
          <w:b/>
          <w:sz w:val="32"/>
          <w:szCs w:val="32"/>
        </w:rPr>
        <w:t>一是</w:t>
      </w:r>
      <w:r>
        <w:rPr>
          <w:rFonts w:hint="eastAsia" w:ascii="仿宋_GB2312" w:hAnsi="Times New Roman" w:eastAsia="仿宋_GB2312"/>
          <w:bCs/>
          <w:sz w:val="32"/>
          <w:szCs w:val="32"/>
        </w:rPr>
        <w:t>压实防灾减灾责任。按照“党政同责、一岗双责”要求，建立“镇包村、</w:t>
      </w:r>
      <w:r>
        <w:rPr>
          <w:rFonts w:ascii="仿宋_GB2312" w:hAnsi="Times New Roman" w:eastAsia="仿宋_GB2312"/>
          <w:bCs/>
          <w:sz w:val="32"/>
          <w:szCs w:val="32"/>
        </w:rPr>
        <w:t>村包组、党员干部包户</w:t>
      </w:r>
      <w:r>
        <w:rPr>
          <w:rFonts w:hint="eastAsia" w:ascii="仿宋_GB2312" w:hAnsi="Times New Roman" w:eastAsia="仿宋_GB2312"/>
          <w:bCs/>
          <w:sz w:val="32"/>
          <w:szCs w:val="32"/>
        </w:rPr>
        <w:t>”的防灾减灾责任体系，确保责任层层压实、决策高效落实。</w:t>
      </w:r>
      <w:r>
        <w:rPr>
          <w:rFonts w:hint="eastAsia" w:ascii="仿宋_GB2312" w:hAnsi="Times New Roman" w:eastAsia="仿宋_GB2312" w:cs="Times New Roman"/>
          <w:b/>
          <w:bCs/>
          <w:spacing w:val="-4"/>
          <w:sz w:val="32"/>
          <w:szCs w:val="32"/>
        </w:rPr>
        <w:t>二是</w:t>
      </w:r>
      <w:r>
        <w:rPr>
          <w:rFonts w:hint="eastAsia" w:ascii="仿宋_GB2312" w:hAnsi="Times New Roman" w:eastAsia="仿宋_GB2312" w:cs="Times New Roman"/>
          <w:spacing w:val="-4"/>
          <w:sz w:val="32"/>
          <w:szCs w:val="32"/>
        </w:rPr>
        <w:t>抓好灾害隐患治理。</w:t>
      </w:r>
      <w:r>
        <w:rPr>
          <w:rFonts w:ascii="仿宋_GB2312" w:hAnsi="Times New Roman" w:eastAsia="仿宋_GB2312"/>
          <w:bCs/>
          <w:sz w:val="32"/>
          <w:szCs w:val="32"/>
        </w:rPr>
        <w:t>自然灾害风险形势会商研判机制良好运行，完善预警信息发布渠道，印发《预警信息发布管理办法》，确保第一时间将预警信息传递给广大群众。对乡镇主要地质灾害隐患点开展三轮应急排查，共排查出</w:t>
      </w:r>
      <w:r>
        <w:rPr>
          <w:rFonts w:ascii="仿宋_GB2312" w:hAnsi="Times New Roman" w:eastAsia="仿宋_GB2312"/>
          <w:bCs/>
          <w:color w:val="0070C0"/>
          <w:sz w:val="32"/>
          <w:szCs w:val="32"/>
        </w:rPr>
        <w:t>隐患点34</w:t>
      </w:r>
      <w:r>
        <w:rPr>
          <w:rFonts w:ascii="仿宋_GB2312" w:hAnsi="Times New Roman" w:eastAsia="仿宋_GB2312"/>
          <w:bCs/>
          <w:sz w:val="32"/>
          <w:szCs w:val="32"/>
        </w:rPr>
        <w:t>个，储备</w:t>
      </w:r>
      <w:r>
        <w:rPr>
          <w:rFonts w:hint="eastAsia" w:ascii="仿宋_GB2312" w:hAnsi="Times New Roman" w:eastAsia="仿宋_GB2312"/>
          <w:bCs/>
          <w:sz w:val="32"/>
          <w:szCs w:val="32"/>
        </w:rPr>
        <w:t>地灾治理</w:t>
      </w:r>
      <w:r>
        <w:rPr>
          <w:rFonts w:ascii="仿宋_GB2312" w:hAnsi="Times New Roman" w:eastAsia="仿宋_GB2312"/>
          <w:bCs/>
          <w:sz w:val="32"/>
          <w:szCs w:val="32"/>
        </w:rPr>
        <w:t>项目26个；扎实推进森林防灭火专项整治，</w:t>
      </w:r>
      <w:r>
        <w:rPr>
          <w:rFonts w:hint="eastAsia" w:ascii="仿宋_GB2312" w:hAnsi="Times New Roman" w:eastAsia="仿宋_GB2312"/>
          <w:bCs/>
          <w:sz w:val="32"/>
          <w:szCs w:val="32"/>
        </w:rPr>
        <w:t>完成区森防指办公室转隶并实体化运行，</w:t>
      </w:r>
      <w:r>
        <w:rPr>
          <w:rFonts w:ascii="仿宋_GB2312" w:hAnsi="Times New Roman" w:eastAsia="仿宋_GB2312"/>
          <w:bCs/>
          <w:sz w:val="32"/>
          <w:szCs w:val="32"/>
        </w:rPr>
        <w:t>督促排查森林火灾</w:t>
      </w:r>
      <w:r>
        <w:rPr>
          <w:rFonts w:ascii="仿宋_GB2312" w:hAnsi="Times New Roman" w:eastAsia="仿宋_GB2312"/>
          <w:bCs/>
          <w:color w:val="0070C0"/>
          <w:sz w:val="32"/>
          <w:szCs w:val="32"/>
        </w:rPr>
        <w:t>隐患1061</w:t>
      </w:r>
      <w:r>
        <w:rPr>
          <w:rFonts w:ascii="仿宋_GB2312" w:hAnsi="Times New Roman" w:eastAsia="仿宋_GB2312"/>
          <w:bCs/>
          <w:sz w:val="32"/>
          <w:szCs w:val="32"/>
        </w:rPr>
        <w:t>处，</w:t>
      </w:r>
      <w:r>
        <w:rPr>
          <w:rFonts w:hint="eastAsia" w:ascii="仿宋_GB2312" w:hAnsi="Times New Roman" w:eastAsia="仿宋_GB2312"/>
          <w:bCs/>
          <w:sz w:val="32"/>
          <w:szCs w:val="32"/>
        </w:rPr>
        <w:t>全面完成</w:t>
      </w:r>
      <w:r>
        <w:rPr>
          <w:rFonts w:ascii="仿宋_GB2312" w:hAnsi="Times New Roman" w:eastAsia="仿宋_GB2312"/>
          <w:bCs/>
          <w:sz w:val="32"/>
          <w:szCs w:val="32"/>
        </w:rPr>
        <w:t>整治。</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强化救灾物资准备。</w:t>
      </w:r>
      <w:r>
        <w:rPr>
          <w:rFonts w:hint="eastAsia" w:ascii="仿宋_GB2312" w:hAnsi="Times New Roman" w:eastAsia="仿宋_GB2312"/>
          <w:bCs/>
          <w:sz w:val="32"/>
          <w:szCs w:val="32"/>
        </w:rPr>
        <w:t>常态化储备棉被、棉衣、帐篷等各类应急救灾抢险物资2995件套，沙袋、应急食品等其他物资6万余件套；备案大型工程机械26台，救援车辆55辆，积极争取价值40余万元的御寒物资发放给受灾困难群众。</w:t>
      </w:r>
    </w:p>
    <w:p>
      <w:pPr>
        <w:pStyle w:val="2"/>
        <w:spacing w:line="576" w:lineRule="exact"/>
        <w:ind w:left="0" w:leftChars="0"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持续用力，着力提升应急管理能力水平。</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完善应急预案体系。及时修订完善全区森林火灾、突发公共卫生事件、防汛抗旱、突发性地质灾害、地震等多个专项应急预案，并组织开展桌面演练及实战演练10余次，提升预案科学性、实用性、操作性。</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强化应急救援能力。及时更新完善应急资源台</w:t>
      </w:r>
      <w:r>
        <w:rPr>
          <w:rFonts w:hint="eastAsia" w:ascii="仿宋_GB2312" w:hAnsi="仿宋_GB2312" w:eastAsia="仿宋_GB2312" w:cs="仿宋_GB2312"/>
          <w:color w:val="auto"/>
          <w:sz w:val="32"/>
          <w:szCs w:val="32"/>
        </w:rPr>
        <w:t>账，与陕西省宁强县签订《区域应急联动合作协议》，构建宁朝应急联动协同体，强化区域联动救援能力；与区人武部联合印发《关于进一步完善落实军地抢险救灾协调联动机制的通知》，明确了协同指挥、合作救援、物资保障等方面工作要求，全年处置</w:t>
      </w:r>
      <w:r>
        <w:rPr>
          <w:rFonts w:hint="eastAsia" w:ascii="仿宋_GB2312" w:eastAsia="仿宋_GB2312"/>
          <w:color w:val="auto"/>
          <w:sz w:val="32"/>
          <w:szCs w:val="32"/>
        </w:rPr>
        <w:t>“3·22”朝天经开区一般高处坠落事故、“4.20”高速路LNG罐车泄漏事故、“8.13”潜溪河油墨泄漏水污染事故、“9.28”高速路LNG罐车泄漏事故等突发事故90余起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提升现代化水平。强化应急管理综合应用平台和应急指挥一张图应用，启动应急指挥中心改造项目，采购无人机、无人救援船等高科技设备，不断推动应急管理体系和应急管理能力现代化。</w:t>
      </w:r>
    </w:p>
    <w:p>
      <w:pPr>
        <w:pStyle w:val="6"/>
        <w:spacing w:line="560" w:lineRule="exact"/>
        <w:rPr>
          <w:rFonts w:hAnsi="宋体" w:cs="宋体"/>
          <w:color w:val="auto"/>
          <w:sz w:val="32"/>
          <w:szCs w:val="32"/>
        </w:rPr>
      </w:pPr>
      <w:r>
        <w:rPr>
          <w:rFonts w:hint="eastAsia" w:ascii="楷体_GB2312" w:hAnsi="楷体_GB2312" w:eastAsia="楷体_GB2312" w:cs="楷体_GB2312"/>
          <w:color w:val="auto"/>
          <w:kern w:val="2"/>
          <w:sz w:val="32"/>
          <w:szCs w:val="32"/>
          <w:lang w:val="en-US" w:eastAsia="zh-CN"/>
        </w:rPr>
        <w:t>5.</w:t>
      </w:r>
      <w:r>
        <w:rPr>
          <w:rFonts w:hint="eastAsia" w:ascii="楷体_GB2312" w:hAnsi="楷体_GB2312" w:eastAsia="楷体_GB2312" w:cs="楷体_GB2312"/>
          <w:color w:val="auto"/>
          <w:kern w:val="2"/>
          <w:sz w:val="32"/>
          <w:szCs w:val="32"/>
        </w:rPr>
        <w:t>统筹兼顾，认真抓好“大比武”各项工作。</w:t>
      </w:r>
      <w:r>
        <w:rPr>
          <w:rFonts w:hint="eastAsia" w:hAnsi="仿宋_GB2312" w:cs="仿宋_GB2312"/>
          <w:b/>
          <w:bCs/>
          <w:color w:val="auto"/>
          <w:sz w:val="32"/>
          <w:szCs w:val="32"/>
        </w:rPr>
        <w:t>脱贫攻坚方面，</w:t>
      </w:r>
      <w:r>
        <w:rPr>
          <w:rFonts w:hint="eastAsia" w:hAnsi="仿宋_GB2312" w:cs="仿宋_GB2312"/>
          <w:color w:val="auto"/>
          <w:kern w:val="2"/>
          <w:sz w:val="32"/>
          <w:szCs w:val="32"/>
        </w:rPr>
        <w:t>以巩固提升脱贫成效为目标，为</w:t>
      </w:r>
      <w:r>
        <w:rPr>
          <w:rFonts w:hint="eastAsia" w:hAnsi="仿宋_GB2312" w:cs="仿宋_GB2312"/>
          <w:color w:val="auto"/>
          <w:sz w:val="32"/>
          <w:szCs w:val="32"/>
        </w:rPr>
        <w:t>朝天镇朱家村、双坪村116户贫困户量身定制巩固提升计划，开展“助春耕、促增收、战疫情、添信心”活动，帮助88名贫困户外出就业，赠送复合肥6.5吨、生活物资58套，协调教育扶贫救助基金1.91万元，安装村道防护栏7.5公里。2020年7月，两村顺利通过国家脱贫普查。</w:t>
      </w:r>
      <w:r>
        <w:rPr>
          <w:rFonts w:hint="eastAsia" w:hAnsi="仿宋_GB2312" w:cs="仿宋_GB2312"/>
          <w:b/>
          <w:bCs/>
          <w:color w:val="auto"/>
          <w:sz w:val="32"/>
          <w:szCs w:val="32"/>
        </w:rPr>
        <w:t>污染防治方面，</w:t>
      </w:r>
      <w:r>
        <w:rPr>
          <w:rFonts w:hint="eastAsia" w:hAnsi="仿宋_GB2312" w:cs="仿宋_GB2312"/>
          <w:color w:val="auto"/>
          <w:sz w:val="32"/>
          <w:szCs w:val="32"/>
        </w:rPr>
        <w:t>抓实煤炭去产能工作，关闭煤矿3家；抓好生态环境保护，严格落实环境保护网格化管理，全面完成煤矿环境综合治理工作。</w:t>
      </w:r>
      <w:r>
        <w:rPr>
          <w:rFonts w:hint="eastAsia" w:hAnsi="仿宋_GB2312" w:cs="仿宋_GB2312"/>
          <w:b/>
          <w:bCs/>
          <w:color w:val="auto"/>
          <w:sz w:val="32"/>
          <w:szCs w:val="32"/>
        </w:rPr>
        <w:t>产业发展方面，</w:t>
      </w:r>
      <w:r>
        <w:rPr>
          <w:rFonts w:hint="eastAsia" w:hAnsi="仿宋_GB2312" w:cs="仿宋_GB2312"/>
          <w:color w:val="auto"/>
          <w:sz w:val="32"/>
          <w:szCs w:val="32"/>
        </w:rPr>
        <w:t>积极支持天府旅游名县、省级全域旅游示范区及国家级旅游度假区创建工作，在安全管理、隐患排查治理等方面为企业提供指导服务，着力帮助民营企业安提升安全生产水平。</w:t>
      </w:r>
      <w:r>
        <w:rPr>
          <w:rFonts w:hint="eastAsia" w:hAnsi="仿宋_GB2312" w:cs="仿宋_GB2312"/>
          <w:b/>
          <w:bCs/>
          <w:color w:val="auto"/>
          <w:sz w:val="32"/>
          <w:szCs w:val="32"/>
        </w:rPr>
        <w:t>乡村振兴方面，</w:t>
      </w:r>
      <w:r>
        <w:rPr>
          <w:rFonts w:hint="eastAsia" w:hAnsi="宋体" w:cs="宋体"/>
          <w:color w:val="auto"/>
          <w:sz w:val="32"/>
          <w:szCs w:val="32"/>
        </w:rPr>
        <w:t>督促指导文化旅游和体育行业主管部门加强主管行业安全管理，组织开展了</w:t>
      </w:r>
      <w:r>
        <w:rPr>
          <w:rFonts w:hint="eastAsia" w:cs="仿宋_GB2312"/>
          <w:color w:val="auto"/>
          <w:sz w:val="32"/>
          <w:szCs w:val="32"/>
        </w:rPr>
        <w:t>城乡建设用地增减挂钩及新村建设项目安全管理检查</w:t>
      </w:r>
      <w:r>
        <w:rPr>
          <w:rFonts w:hint="eastAsia" w:hAnsi="宋体" w:cs="宋体"/>
          <w:color w:val="auto"/>
          <w:sz w:val="32"/>
          <w:szCs w:val="32"/>
        </w:rPr>
        <w:t>。</w:t>
      </w:r>
      <w:r>
        <w:rPr>
          <w:rFonts w:hint="eastAsia" w:hAnsi="宋体" w:cs="宋体"/>
          <w:b/>
          <w:bCs/>
          <w:color w:val="auto"/>
          <w:sz w:val="32"/>
          <w:szCs w:val="32"/>
        </w:rPr>
        <w:t>改革创新方面，</w:t>
      </w:r>
      <w:r>
        <w:rPr>
          <w:rFonts w:hint="eastAsia" w:hAnsi="宋体" w:cs="宋体"/>
          <w:color w:val="auto"/>
          <w:sz w:val="32"/>
          <w:szCs w:val="32"/>
        </w:rPr>
        <w:t>着力推进供给侧结构性改革，全区煤矿全面关闭退出；着力深化安全生产和应急管理体制机制改革，构建“责任制+清单制”安全生产责任体系，健全应急管理组织体系和预案体系；落实“放管服”工作，完成四川一体化政务服务平台3.0版本升级，实现在四川省一体化政务服务平台认领的依申请适合在窗口办理的行权事项和公共服务事项全部进驻政务大厅，通过网上办理行政许可事项78件，平均实际办结时间比承诺时间大幅缩短。</w:t>
      </w:r>
      <w:r>
        <w:rPr>
          <w:rFonts w:hint="eastAsia" w:hAnsi="宋体" w:cs="宋体"/>
          <w:b/>
          <w:bCs/>
          <w:color w:val="auto"/>
          <w:sz w:val="32"/>
          <w:szCs w:val="32"/>
        </w:rPr>
        <w:t>依法治区方面，</w:t>
      </w:r>
      <w:r>
        <w:rPr>
          <w:rFonts w:hint="eastAsia" w:hAnsi="宋体" w:cs="宋体"/>
          <w:color w:val="auto"/>
          <w:sz w:val="32"/>
          <w:szCs w:val="32"/>
        </w:rPr>
        <w:t>结合局领导班子工作分工调整，将依法治区、城乡基层治理等工作责任明确到人头，建立健全会前学法制度，完善依法行政工作机制，优化行政审批服务，缩短审批时限、提供上门服务和事前指导，营造优良营商环境。</w:t>
      </w:r>
      <w:r>
        <w:rPr>
          <w:rFonts w:hint="eastAsia" w:hAnsi="宋体" w:cs="宋体"/>
          <w:b/>
          <w:bCs/>
          <w:color w:val="auto"/>
          <w:sz w:val="32"/>
          <w:szCs w:val="32"/>
        </w:rPr>
        <w:t>从严治党方面，</w:t>
      </w:r>
      <w:r>
        <w:rPr>
          <w:rFonts w:hint="eastAsia" w:hAnsi="宋体" w:cs="宋体"/>
          <w:color w:val="auto"/>
          <w:sz w:val="32"/>
          <w:szCs w:val="32"/>
        </w:rPr>
        <w:t>始终坚持以习近平新时代中国特色社会主义思想为指引，认真贯彻落实中央、省、市、区委全会精神及系列决策部署，及时抓好上级领导指示批示落实落地，确保政令畅通。聚焦党风廉政建设，严格落实“一岗双责”要求，着力抓好党风廉政宣传教育，紧盯“新四股歪风”，构建“亲清”政商关系，努力在全区应急系统形成清正守廉、崇廉尚实的浓厚氛围。聚焦党的组织建设，新发展预备党员2名，培养入党积极分子6名，始终坚持正确的选人用人导向，严格按程序选拔任用干部，通过“人才回引”干部1名，推荐科级领导干部2名，按时报送了班子运行情况。聚焦巡察问题整改，高度重视省委巡视反馈意见，积极配合区委第四巡察组进驻开展常规巡察工作，全盘接收巡视（察）反馈意见问题，组建工作专班，认真完成整改。</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Style w:val="28"/>
          <w:b w:val="0"/>
          <w:bCs w:val="0"/>
        </w:rPr>
      </w:pPr>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pPr>
        <w:pageBreakBefore w:val="0"/>
        <w:widowControl w:val="0"/>
        <w:kinsoku/>
        <w:wordWrap/>
        <w:overflowPunct/>
        <w:topLinePunct w:val="0"/>
        <w:autoSpaceDE/>
        <w:autoSpaceDN/>
        <w:bidi w:val="0"/>
        <w:spacing w:line="560" w:lineRule="exact"/>
        <w:ind w:firstLine="800" w:firstLineChars="250"/>
        <w:textAlignment w:val="auto"/>
        <w:rPr>
          <w:rFonts w:ascii="仿宋" w:hAnsi="仿宋" w:eastAsia="仿宋"/>
          <w:sz w:val="32"/>
          <w:szCs w:val="32"/>
        </w:rPr>
      </w:pPr>
      <w:r>
        <w:rPr>
          <w:rFonts w:hint="eastAsia" w:ascii="仿宋" w:hAnsi="仿宋" w:eastAsia="仿宋"/>
          <w:sz w:val="32"/>
          <w:szCs w:val="32"/>
          <w:lang w:eastAsia="zh-CN"/>
        </w:rPr>
        <w:t>广元市朝天区应急管理局</w:t>
      </w:r>
      <w:r>
        <w:rPr>
          <w:rFonts w:hint="eastAsia" w:ascii="仿宋" w:hAnsi="仿宋" w:eastAsia="仿宋"/>
          <w:sz w:val="32"/>
          <w:szCs w:val="32"/>
        </w:rPr>
        <w:t>下属</w:t>
      </w:r>
      <w:r>
        <w:rPr>
          <w:rFonts w:hint="eastAsia" w:ascii="仿宋" w:hAnsi="仿宋" w:eastAsia="仿宋"/>
          <w:sz w:val="32"/>
          <w:szCs w:val="32"/>
          <w:lang w:eastAsia="zh-CN"/>
        </w:rPr>
        <w:t>事业</w:t>
      </w:r>
      <w:r>
        <w:rPr>
          <w:rFonts w:hint="eastAsia" w:ascii="仿宋" w:hAnsi="仿宋" w:eastAsia="仿宋"/>
          <w:sz w:val="32"/>
          <w:szCs w:val="32"/>
        </w:rPr>
        <w:t>单位</w:t>
      </w:r>
      <w:r>
        <w:rPr>
          <w:rFonts w:hint="eastAsia" w:ascii="仿宋" w:hAnsi="仿宋" w:eastAsia="仿宋"/>
          <w:sz w:val="32"/>
          <w:szCs w:val="32"/>
          <w:lang w:val="en-US" w:eastAsia="zh-CN"/>
        </w:rPr>
        <w:t>3</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Lines="0" w:line="560" w:lineRule="exact"/>
        <w:ind w:firstLine="640" w:firstLineChars="200"/>
        <w:jc w:val="both"/>
        <w:textAlignment w:val="auto"/>
        <w:outlineLvl w:val="2"/>
        <w:rPr>
          <w:rFonts w:hint="eastAsia" w:ascii="仿宋" w:hAnsi="仿宋" w:eastAsia="仿宋_GB2312"/>
          <w:color w:val="000000"/>
          <w:sz w:val="32"/>
          <w:szCs w:val="32"/>
          <w:lang w:eastAsia="zh-CN"/>
        </w:rPr>
      </w:pPr>
      <w:bookmarkStart w:id="22" w:name="_Toc15377432"/>
      <w:bookmarkStart w:id="23" w:name="_Toc15306275"/>
      <w:bookmarkStart w:id="24" w:name="_Toc15377201"/>
      <w:bookmarkStart w:id="25" w:name="_Toc15378448"/>
      <w:r>
        <w:rPr>
          <w:rFonts w:hint="eastAsia"/>
          <w:kern w:val="2"/>
          <w:sz w:val="32"/>
          <w:szCs w:val="32"/>
        </w:rPr>
        <w:t>纳入广元市朝天区</w:t>
      </w:r>
      <w:r>
        <w:rPr>
          <w:rFonts w:hint="eastAsia"/>
          <w:kern w:val="2"/>
          <w:sz w:val="32"/>
          <w:szCs w:val="32"/>
          <w:lang w:eastAsia="zh-CN"/>
        </w:rPr>
        <w:t>应急管理</w:t>
      </w:r>
      <w:r>
        <w:rPr>
          <w:rFonts w:hint="eastAsia"/>
          <w:kern w:val="2"/>
          <w:sz w:val="32"/>
          <w:szCs w:val="32"/>
        </w:rPr>
        <w:t>局</w:t>
      </w:r>
      <w:r>
        <w:rPr>
          <w:kern w:val="2"/>
          <w:sz w:val="32"/>
          <w:szCs w:val="32"/>
        </w:rPr>
        <w:t>20</w:t>
      </w:r>
      <w:r>
        <w:rPr>
          <w:rFonts w:hint="eastAsia"/>
          <w:kern w:val="2"/>
          <w:sz w:val="32"/>
          <w:szCs w:val="32"/>
          <w:lang w:val="en-US" w:eastAsia="zh-CN"/>
        </w:rPr>
        <w:t>20</w:t>
      </w:r>
      <w:r>
        <w:rPr>
          <w:rFonts w:hint="eastAsia"/>
          <w:kern w:val="2"/>
          <w:sz w:val="32"/>
          <w:szCs w:val="32"/>
        </w:rPr>
        <w:t>年度部门决算编制范围的二级预算单位</w:t>
      </w:r>
      <w:r>
        <w:rPr>
          <w:rFonts w:hint="eastAsia"/>
          <w:kern w:val="2"/>
          <w:sz w:val="32"/>
          <w:szCs w:val="32"/>
          <w:lang w:val="en-US" w:eastAsia="zh-CN"/>
        </w:rPr>
        <w:t>0</w:t>
      </w:r>
      <w:r>
        <w:rPr>
          <w:rFonts w:hint="eastAsia"/>
          <w:kern w:val="2"/>
          <w:sz w:val="32"/>
          <w:szCs w:val="32"/>
        </w:rPr>
        <w:t>个</w:t>
      </w:r>
      <w:bookmarkEnd w:id="22"/>
      <w:bookmarkEnd w:id="23"/>
      <w:bookmarkEnd w:id="24"/>
      <w:bookmarkEnd w:id="25"/>
      <w:r>
        <w:rPr>
          <w:rFonts w:hint="eastAsia"/>
          <w:kern w:val="2"/>
          <w:sz w:val="32"/>
          <w:szCs w:val="32"/>
          <w:lang w:eastAsia="zh-CN"/>
        </w:rPr>
        <w:t>。</w:t>
      </w:r>
    </w:p>
    <w:p>
      <w:pPr>
        <w:pageBreakBefore w:val="0"/>
        <w:widowControl/>
        <w:kinsoku/>
        <w:wordWrap/>
        <w:overflowPunct/>
        <w:topLinePunct w:val="0"/>
        <w:bidi w:val="0"/>
        <w:spacing w:line="560" w:lineRule="exact"/>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pageBreakBefore w:val="0"/>
        <w:kinsoku/>
        <w:wordWrap/>
        <w:overflowPunct/>
        <w:topLinePunct w:val="0"/>
        <w:bidi w:val="0"/>
        <w:spacing w:line="560" w:lineRule="exact"/>
        <w:ind w:right="440"/>
        <w:jc w:val="right"/>
        <w:rPr>
          <w:rStyle w:val="27"/>
          <w:rFonts w:ascii="黑体" w:hAnsi="黑体" w:eastAsia="黑体"/>
          <w:b w:val="0"/>
          <w:bCs w:val="0"/>
        </w:rPr>
      </w:pPr>
      <w:bookmarkStart w:id="26" w:name="_Toc15396602"/>
      <w:bookmarkStart w:id="27"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w:t>
      </w:r>
      <w:r>
        <w:rPr>
          <w:rStyle w:val="27"/>
          <w:rFonts w:hint="eastAsia" w:ascii="黑体" w:hAnsi="黑体" w:eastAsia="黑体"/>
          <w:b w:val="0"/>
          <w:bCs w:val="0"/>
          <w:lang w:val="en-US" w:eastAsia="zh-CN"/>
        </w:rPr>
        <w:t>20</w:t>
      </w:r>
      <w:r>
        <w:rPr>
          <w:rStyle w:val="27"/>
          <w:rFonts w:hint="eastAsia" w:ascii="黑体" w:hAnsi="黑体" w:eastAsia="黑体"/>
          <w:b w:val="0"/>
          <w:bCs w:val="0"/>
        </w:rPr>
        <w:t>年度部门决算情况说明</w:t>
      </w:r>
      <w:bookmarkEnd w:id="26"/>
      <w:bookmarkEnd w:id="27"/>
    </w:p>
    <w:p>
      <w:pPr>
        <w:pageBreakBefore w:val="0"/>
        <w:kinsoku/>
        <w:wordWrap/>
        <w:overflowPunct/>
        <w:topLinePunct w:val="0"/>
        <w:bidi w:val="0"/>
        <w:spacing w:line="560" w:lineRule="exact"/>
      </w:pPr>
    </w:p>
    <w:p>
      <w:pPr>
        <w:pStyle w:val="26"/>
        <w:pageBreakBefore w:val="0"/>
        <w:numPr>
          <w:ilvl w:val="0"/>
          <w:numId w:val="1"/>
        </w:numPr>
        <w:kinsoku/>
        <w:wordWrap/>
        <w:overflowPunct/>
        <w:topLinePunct w:val="0"/>
        <w:bidi w:val="0"/>
        <w:spacing w:line="560" w:lineRule="exact"/>
        <w:ind w:firstLineChars="0"/>
        <w:outlineLvl w:val="1"/>
        <w:rPr>
          <w:rStyle w:val="28"/>
          <w:rFonts w:ascii="黑体" w:hAnsi="黑体" w:eastAsia="黑体"/>
          <w:b w:val="0"/>
        </w:rPr>
      </w:pPr>
      <w:bookmarkStart w:id="28" w:name="_Toc15377205"/>
      <w:bookmarkStart w:id="29"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8"/>
      <w:bookmarkEnd w:id="29"/>
    </w:p>
    <w:p>
      <w:pPr>
        <w:pageBreakBefore w:val="0"/>
        <w:kinsoku/>
        <w:wordWrap/>
        <w:overflowPunct/>
        <w:topLinePunct w:val="0"/>
        <w:bidi w:val="0"/>
        <w:spacing w:line="560" w:lineRule="exact"/>
        <w:ind w:firstLine="640" w:firstLineChars="200"/>
        <w:rPr>
          <w:rFonts w:ascii="仿宋_GB2312" w:eastAsia="仿宋_GB2312"/>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2256.02</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520.65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30</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_GB2312" w:eastAsia="仿宋_GB2312"/>
          <w:sz w:val="32"/>
          <w:szCs w:val="32"/>
          <w:lang w:eastAsia="zh-CN"/>
        </w:rPr>
        <w:t>：</w:t>
      </w:r>
      <w:r>
        <w:rPr>
          <w:rFonts w:hint="eastAsia" w:ascii="仿宋_GB2312" w:eastAsia="仿宋_GB2312"/>
          <w:sz w:val="32"/>
          <w:szCs w:val="32"/>
        </w:rPr>
        <w:t>一是机构改革单位</w:t>
      </w:r>
      <w:r>
        <w:rPr>
          <w:rFonts w:hint="eastAsia" w:ascii="仿宋_GB2312" w:eastAsia="仿宋_GB2312"/>
          <w:sz w:val="32"/>
          <w:szCs w:val="32"/>
          <w:lang w:eastAsia="zh-CN"/>
        </w:rPr>
        <w:t>职能职责</w:t>
      </w:r>
      <w:r>
        <w:rPr>
          <w:rFonts w:hint="eastAsia" w:ascii="仿宋_GB2312" w:eastAsia="仿宋_GB2312"/>
          <w:sz w:val="32"/>
          <w:szCs w:val="32"/>
        </w:rPr>
        <w:t>增加；二是</w:t>
      </w:r>
      <w:r>
        <w:rPr>
          <w:rFonts w:hint="eastAsia" w:ascii="仿宋_GB2312" w:eastAsia="仿宋_GB2312"/>
          <w:sz w:val="32"/>
          <w:szCs w:val="32"/>
          <w:lang w:eastAsia="zh-CN"/>
        </w:rPr>
        <w:t>自然灾害导致</w:t>
      </w:r>
      <w:r>
        <w:rPr>
          <w:rFonts w:hint="eastAsia" w:ascii="仿宋_GB2312" w:eastAsia="仿宋_GB2312"/>
          <w:sz w:val="32"/>
          <w:szCs w:val="32"/>
        </w:rPr>
        <w:t>自然灾害</w:t>
      </w:r>
      <w:r>
        <w:rPr>
          <w:rFonts w:hint="eastAsia" w:ascii="仿宋_GB2312" w:eastAsia="仿宋_GB2312"/>
          <w:sz w:val="32"/>
          <w:szCs w:val="32"/>
          <w:lang w:eastAsia="zh-CN"/>
        </w:rPr>
        <w:t>救灾</w:t>
      </w:r>
      <w:r>
        <w:rPr>
          <w:rFonts w:hint="eastAsia" w:ascii="仿宋_GB2312" w:eastAsia="仿宋_GB2312"/>
          <w:sz w:val="32"/>
          <w:szCs w:val="32"/>
        </w:rPr>
        <w:t>资金</w:t>
      </w:r>
      <w:r>
        <w:rPr>
          <w:rFonts w:hint="eastAsia" w:ascii="仿宋_GB2312" w:eastAsia="仿宋_GB2312"/>
          <w:sz w:val="32"/>
          <w:szCs w:val="32"/>
          <w:lang w:eastAsia="zh-CN"/>
        </w:rPr>
        <w:t>以</w:t>
      </w:r>
      <w:r>
        <w:rPr>
          <w:rFonts w:hint="eastAsia" w:ascii="仿宋_GB2312" w:eastAsia="仿宋_GB2312"/>
          <w:sz w:val="32"/>
          <w:szCs w:val="32"/>
        </w:rPr>
        <w:t>及补助资金增加。</w:t>
      </w:r>
    </w:p>
    <w:p>
      <w:pPr>
        <w:pageBreakBefore w:val="0"/>
        <w:kinsoku/>
        <w:wordWrap/>
        <w:overflowPunct/>
        <w:topLinePunct w:val="0"/>
        <w:bidi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outlineLvl w:val="1"/>
        <w:rPr>
          <w:rStyle w:val="28"/>
          <w:rFonts w:ascii="黑体" w:hAnsi="黑体" w:eastAsia="黑体"/>
          <w:b w:val="0"/>
        </w:rPr>
      </w:pPr>
      <w:bookmarkStart w:id="30" w:name="_Toc15396604"/>
      <w:bookmarkStart w:id="31" w:name="_Toc15377206"/>
      <w:r>
        <w:drawing>
          <wp:inline distT="0" distB="0" distL="114300" distR="114300">
            <wp:extent cx="4572000" cy="2743200"/>
            <wp:effectExtent l="4445" t="4445" r="10795" b="107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6"/>
        <w:pageBreakBefore w:val="0"/>
        <w:numPr>
          <w:ilvl w:val="0"/>
          <w:numId w:val="0"/>
        </w:numPr>
        <w:kinsoku/>
        <w:wordWrap/>
        <w:overflowPunct/>
        <w:topLinePunct w:val="0"/>
        <w:bidi w:val="0"/>
        <w:spacing w:line="560" w:lineRule="exact"/>
        <w:ind w:left="640" w:leftChars="0"/>
        <w:outlineLvl w:val="1"/>
        <w:rPr>
          <w:rStyle w:val="28"/>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8"/>
          <w:rFonts w:hint="eastAsia" w:ascii="黑体" w:hAnsi="黑体" w:eastAsia="黑体"/>
          <w:b w:val="0"/>
        </w:rPr>
        <w:t>入决算情况说明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2256.02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2256.02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FF0000"/>
          <w:sz w:val="32"/>
          <w:szCs w:val="32"/>
          <w:lang w:eastAsia="zh-CN"/>
        </w:rPr>
      </w:pPr>
      <w:r>
        <w:rPr>
          <w:rFonts w:hint="eastAsia" w:ascii="仿宋" w:hAnsi="仿宋" w:eastAsia="仿宋"/>
          <w:color w:val="000000" w:themeColor="text1"/>
          <w:sz w:val="32"/>
          <w:szCs w:val="32"/>
          <w14:textFill>
            <w14:solidFill>
              <w14:schemeClr w14:val="tx1"/>
            </w14:solidFill>
          </w14:textFill>
        </w:rPr>
        <w:t>（图2：收入决算结构图）（饼状图）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FF0000"/>
          <w:sz w:val="32"/>
          <w:szCs w:val="32"/>
          <w:lang w:eastAsia="zh-CN"/>
        </w:rPr>
      </w:pPr>
    </w:p>
    <w:p>
      <w:pPr>
        <w:pStyle w:val="2"/>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drawing>
          <wp:anchor distT="0" distB="0" distL="114300" distR="114300" simplePos="0" relativeHeight="251659264" behindDoc="1" locked="0" layoutInCell="1" allowOverlap="1">
            <wp:simplePos x="0" y="0"/>
            <wp:positionH relativeFrom="column">
              <wp:posOffset>136525</wp:posOffset>
            </wp:positionH>
            <wp:positionV relativeFrom="paragraph">
              <wp:posOffset>24130</wp:posOffset>
            </wp:positionV>
            <wp:extent cx="5080000" cy="3307715"/>
            <wp:effectExtent l="4445" t="4445" r="5715" b="1016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rPr>
          <w:rFonts w:hint="eastAsia" w:ascii="仿宋_GB2312" w:eastAsia="仿宋_GB2312"/>
          <w:color w:val="FF0000"/>
          <w:sz w:val="32"/>
          <w:szCs w:val="32"/>
          <w:lang w:eastAsia="zh-CN"/>
        </w:rPr>
      </w:pPr>
    </w:p>
    <w:p>
      <w:pPr>
        <w:pStyle w:val="2"/>
        <w:rPr>
          <w:rFonts w:hint="eastAsia" w:ascii="仿宋_GB2312" w:eastAsia="仿宋_GB2312"/>
          <w:color w:val="FF0000"/>
          <w:sz w:val="32"/>
          <w:szCs w:val="32"/>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FF0000"/>
          <w:sz w:val="32"/>
          <w:szCs w:val="32"/>
          <w:lang w:eastAsia="zh-CN"/>
        </w:rPr>
      </w:pPr>
    </w:p>
    <w:p>
      <w:pPr>
        <w:pStyle w:val="26"/>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Chars="0"/>
        <w:textAlignment w:val="auto"/>
        <w:outlineLvl w:val="1"/>
        <w:rPr>
          <w:rStyle w:val="28"/>
          <w:rFonts w:ascii="黑体" w:hAnsi="黑体" w:eastAsia="黑体"/>
          <w:b w:val="0"/>
        </w:rPr>
      </w:pPr>
      <w:bookmarkStart w:id="32" w:name="_Toc15396605"/>
      <w:bookmarkStart w:id="33" w:name="_Toc15377207"/>
      <w:r>
        <w:rPr>
          <w:rFonts w:hint="eastAsia" w:ascii="黑体" w:hAnsi="黑体" w:eastAsia="黑体"/>
          <w:color w:val="000000"/>
          <w:sz w:val="32"/>
          <w:szCs w:val="32"/>
        </w:rPr>
        <w:t>支</w:t>
      </w:r>
      <w:r>
        <w:rPr>
          <w:rStyle w:val="28"/>
          <w:rFonts w:hint="eastAsia" w:ascii="黑体" w:hAnsi="黑体" w:eastAsia="黑体"/>
          <w:b w:val="0"/>
        </w:rPr>
        <w:t>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2256.02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550.83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24.42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1705.18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75.58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FF0000"/>
          <w:sz w:val="32"/>
          <w:szCs w:val="32"/>
          <w:lang w:eastAsia="zh-CN"/>
        </w:rPr>
      </w:pPr>
      <w:r>
        <w:rPr>
          <w:rFonts w:hint="eastAsia" w:ascii="仿宋" w:hAnsi="仿宋" w:eastAsia="仿宋"/>
          <w:color w:val="000000" w:themeColor="text1"/>
          <w:sz w:val="32"/>
          <w:szCs w:val="32"/>
          <w14:textFill>
            <w14:solidFill>
              <w14:schemeClr w14:val="tx1"/>
            </w14:solidFill>
          </w14:textFill>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黑体" w:hAnsi="黑体" w:eastAsia="黑体"/>
          <w:color w:val="000000"/>
          <w:sz w:val="32"/>
          <w:szCs w:val="32"/>
        </w:rPr>
      </w:pPr>
      <w:bookmarkStart w:id="34" w:name="_Toc15377208"/>
      <w:bookmarkStart w:id="35" w:name="_Toc15396606"/>
      <w:r>
        <w:drawing>
          <wp:inline distT="0" distB="0" distL="114300" distR="114300">
            <wp:extent cx="4572000" cy="2743200"/>
            <wp:effectExtent l="4445" t="4445" r="10795" b="1079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ageBreakBefore w:val="0"/>
        <w:kinsoku/>
        <w:wordWrap/>
        <w:overflowPunct/>
        <w:topLinePunct w:val="0"/>
        <w:bidi w:val="0"/>
        <w:spacing w:line="560" w:lineRule="exact"/>
        <w:ind w:firstLine="640" w:firstLineChars="200"/>
        <w:outlineLvl w:val="1"/>
        <w:rPr>
          <w:rStyle w:val="28"/>
          <w:rFonts w:ascii="黑体" w:hAnsi="黑体" w:eastAsia="黑体"/>
          <w:b w:val="0"/>
        </w:rPr>
      </w:pPr>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4"/>
      <w:bookmarkEnd w:id="35"/>
    </w:p>
    <w:p>
      <w:pPr>
        <w:pageBreakBefore w:val="0"/>
        <w:kinsoku/>
        <w:wordWrap/>
        <w:overflowPunct/>
        <w:topLinePunct w:val="0"/>
        <w:bidi w:val="0"/>
        <w:spacing w:line="56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2256.02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年相比，财政拨款收、支总计各增加</w:t>
      </w:r>
      <w:r>
        <w:rPr>
          <w:rFonts w:hint="eastAsia" w:ascii="仿宋" w:hAnsi="仿宋" w:eastAsia="仿宋"/>
          <w:color w:val="000000"/>
          <w:sz w:val="32"/>
          <w:szCs w:val="32"/>
          <w:lang w:val="en-US" w:eastAsia="zh-CN"/>
        </w:rPr>
        <w:t>520.65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30</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_GB2312" w:eastAsia="仿宋_GB2312"/>
          <w:sz w:val="32"/>
          <w:szCs w:val="32"/>
          <w:lang w:eastAsia="zh-CN"/>
        </w:rPr>
        <w:t>：</w:t>
      </w:r>
      <w:r>
        <w:rPr>
          <w:rFonts w:hint="eastAsia" w:ascii="仿宋_GB2312" w:eastAsia="仿宋_GB2312"/>
          <w:sz w:val="32"/>
          <w:szCs w:val="32"/>
        </w:rPr>
        <w:t>一是机构改革单位</w:t>
      </w:r>
      <w:r>
        <w:rPr>
          <w:rFonts w:hint="eastAsia" w:ascii="仿宋_GB2312" w:eastAsia="仿宋_GB2312"/>
          <w:sz w:val="32"/>
          <w:szCs w:val="32"/>
          <w:lang w:eastAsia="zh-CN"/>
        </w:rPr>
        <w:t>职能职责</w:t>
      </w:r>
      <w:r>
        <w:rPr>
          <w:rFonts w:hint="eastAsia" w:ascii="仿宋_GB2312" w:eastAsia="仿宋_GB2312"/>
          <w:sz w:val="32"/>
          <w:szCs w:val="32"/>
        </w:rPr>
        <w:t>增加；二是</w:t>
      </w:r>
      <w:r>
        <w:rPr>
          <w:rFonts w:hint="eastAsia" w:ascii="仿宋_GB2312" w:eastAsia="仿宋_GB2312"/>
          <w:sz w:val="32"/>
          <w:szCs w:val="32"/>
          <w:lang w:eastAsia="zh-CN"/>
        </w:rPr>
        <w:t>自然灾害导致</w:t>
      </w:r>
      <w:r>
        <w:rPr>
          <w:rFonts w:hint="eastAsia" w:ascii="仿宋_GB2312" w:eastAsia="仿宋_GB2312"/>
          <w:sz w:val="32"/>
          <w:szCs w:val="32"/>
        </w:rPr>
        <w:t>自然灾害</w:t>
      </w:r>
      <w:r>
        <w:rPr>
          <w:rFonts w:hint="eastAsia" w:ascii="仿宋_GB2312" w:eastAsia="仿宋_GB2312"/>
          <w:sz w:val="32"/>
          <w:szCs w:val="32"/>
          <w:lang w:eastAsia="zh-CN"/>
        </w:rPr>
        <w:t>救灾</w:t>
      </w:r>
      <w:r>
        <w:rPr>
          <w:rFonts w:hint="eastAsia" w:ascii="仿宋_GB2312" w:eastAsia="仿宋_GB2312"/>
          <w:sz w:val="32"/>
          <w:szCs w:val="32"/>
        </w:rPr>
        <w:t>资金</w:t>
      </w:r>
      <w:r>
        <w:rPr>
          <w:rFonts w:hint="eastAsia" w:ascii="仿宋_GB2312" w:eastAsia="仿宋_GB2312"/>
          <w:sz w:val="32"/>
          <w:szCs w:val="32"/>
          <w:lang w:eastAsia="zh-CN"/>
        </w:rPr>
        <w:t>以</w:t>
      </w:r>
      <w:r>
        <w:rPr>
          <w:rFonts w:hint="eastAsia" w:ascii="仿宋_GB2312" w:eastAsia="仿宋_GB2312"/>
          <w:sz w:val="32"/>
          <w:szCs w:val="32"/>
        </w:rPr>
        <w:t>及补助资金增加。</w:t>
      </w:r>
    </w:p>
    <w:p>
      <w:pPr>
        <w:pageBreakBefore w:val="0"/>
        <w:kinsoku/>
        <w:wordWrap/>
        <w:overflowPunct/>
        <w:topLinePunct w:val="0"/>
        <w:bidi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pageBreakBefore w:val="0"/>
        <w:kinsoku/>
        <w:wordWrap/>
        <w:overflowPunct/>
        <w:topLinePunct w:val="0"/>
        <w:bidi w:val="0"/>
        <w:spacing w:line="560" w:lineRule="exact"/>
        <w:ind w:firstLine="640"/>
        <w:rPr>
          <w:rStyle w:val="28"/>
          <w:rFonts w:ascii="黑体" w:hAnsi="黑体" w:eastAsia="黑体"/>
          <w:b w:val="0"/>
        </w:rPr>
      </w:pPr>
      <w:r>
        <w:drawing>
          <wp:anchor distT="0" distB="0" distL="114300" distR="114300" simplePos="0" relativeHeight="251660288" behindDoc="0" locked="0" layoutInCell="1" allowOverlap="1">
            <wp:simplePos x="0" y="0"/>
            <wp:positionH relativeFrom="column">
              <wp:posOffset>408305</wp:posOffset>
            </wp:positionH>
            <wp:positionV relativeFrom="paragraph">
              <wp:posOffset>24765</wp:posOffset>
            </wp:positionV>
            <wp:extent cx="4572000" cy="2743200"/>
            <wp:effectExtent l="4445" t="4445" r="10795" b="10795"/>
            <wp:wrapTopAndBottom/>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36" w:name="_Toc15377209"/>
      <w:bookmarkStart w:id="3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6"/>
      <w:bookmarkEnd w:id="37"/>
    </w:p>
    <w:p>
      <w:pPr>
        <w:pageBreakBefore w:val="0"/>
        <w:kinsoku/>
        <w:wordWrap/>
        <w:overflowPunct/>
        <w:topLinePunct w:val="0"/>
        <w:bidi w:val="0"/>
        <w:spacing w:line="560" w:lineRule="exact"/>
        <w:ind w:firstLine="642"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pageBreakBefore w:val="0"/>
        <w:kinsoku/>
        <w:wordWrap/>
        <w:overflowPunct/>
        <w:topLinePunct w:val="0"/>
        <w:bidi w:val="0"/>
        <w:spacing w:line="56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2256.02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520.65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30</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_GB2312" w:eastAsia="仿宋_GB2312"/>
          <w:sz w:val="32"/>
          <w:szCs w:val="32"/>
          <w:lang w:eastAsia="zh-CN"/>
        </w:rPr>
        <w:t>：</w:t>
      </w:r>
      <w:r>
        <w:rPr>
          <w:rFonts w:hint="eastAsia" w:ascii="仿宋_GB2312" w:eastAsia="仿宋_GB2312"/>
          <w:sz w:val="32"/>
          <w:szCs w:val="32"/>
        </w:rPr>
        <w:t>一是机构改革单位职工增加，人员工资及五险一金相应增加；二是</w:t>
      </w:r>
      <w:r>
        <w:rPr>
          <w:rFonts w:hint="eastAsia" w:ascii="仿宋_GB2312" w:eastAsia="仿宋_GB2312"/>
          <w:sz w:val="32"/>
          <w:szCs w:val="32"/>
          <w:lang w:eastAsia="zh-CN"/>
        </w:rPr>
        <w:t>自然灾害导致</w:t>
      </w:r>
      <w:r>
        <w:rPr>
          <w:rFonts w:hint="eastAsia" w:ascii="仿宋_GB2312" w:eastAsia="仿宋_GB2312"/>
          <w:sz w:val="32"/>
          <w:szCs w:val="32"/>
        </w:rPr>
        <w:t>补助资金及自然灾害资金增加。</w:t>
      </w:r>
    </w:p>
    <w:p>
      <w:pPr>
        <w:pageBreakBefore w:val="0"/>
        <w:kinsoku/>
        <w:wordWrap/>
        <w:overflowPunct/>
        <w:topLinePunct w:val="0"/>
        <w:bidi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pageBreakBefore w:val="0"/>
        <w:kinsoku/>
        <w:wordWrap/>
        <w:overflowPunct/>
        <w:topLinePunct w:val="0"/>
        <w:bidi w:val="0"/>
        <w:spacing w:line="560" w:lineRule="exact"/>
        <w:outlineLvl w:val="2"/>
        <w:rPr>
          <w:rFonts w:hint="eastAsia" w:ascii="仿宋" w:hAnsi="仿宋" w:eastAsia="仿宋"/>
          <w:b/>
          <w:color w:val="000000"/>
          <w:sz w:val="32"/>
          <w:szCs w:val="32"/>
        </w:rPr>
      </w:pPr>
      <w:bookmarkStart w:id="39" w:name="_Toc15377211"/>
      <w:r>
        <w:rPr>
          <w:rFonts w:hint="eastAsia" w:ascii="仿宋" w:hAnsi="仿宋" w:eastAsia="仿宋"/>
          <w:b/>
          <w:color w:val="000000"/>
          <w:sz w:val="32"/>
          <w:szCs w:val="32"/>
        </w:rPr>
        <w:drawing>
          <wp:anchor distT="0" distB="0" distL="114300" distR="114300" simplePos="0" relativeHeight="251661312" behindDoc="0" locked="0" layoutInCell="1" allowOverlap="1">
            <wp:simplePos x="0" y="0"/>
            <wp:positionH relativeFrom="column">
              <wp:posOffset>294005</wp:posOffset>
            </wp:positionH>
            <wp:positionV relativeFrom="paragraph">
              <wp:posOffset>-8611870</wp:posOffset>
            </wp:positionV>
            <wp:extent cx="4572000" cy="2743200"/>
            <wp:effectExtent l="4445" t="4445" r="10795" b="10795"/>
            <wp:wrapTopAndBottom/>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（二）一般公共预算财政拨款支出决算结构情况</w:t>
      </w:r>
      <w:bookmarkEnd w:id="39"/>
    </w:p>
    <w:p>
      <w:pPr>
        <w:pageBreakBefore w:val="0"/>
        <w:kinsoku/>
        <w:wordWrap/>
        <w:overflowPunct/>
        <w:topLinePunct w:val="0"/>
        <w:bidi w:val="0"/>
        <w:spacing w:line="56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2256.02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color w:val="000000" w:themeColor="text1"/>
          <w:sz w:val="32"/>
          <w:szCs w:val="32"/>
          <w:lang w:eastAsia="zh-CN"/>
          <w14:textFill>
            <w14:solidFill>
              <w14:schemeClr w14:val="tx1"/>
            </w14:solidFill>
          </w14:textFill>
        </w:rPr>
        <w:t>节能环保（类）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color w:val="000000" w:themeColor="text1"/>
          <w:sz w:val="32"/>
          <w:szCs w:val="32"/>
          <w:lang w:eastAsia="zh-CN"/>
          <w14:textFill>
            <w14:solidFill>
              <w14:schemeClr w14:val="tx1"/>
            </w14:solidFill>
          </w14:textFill>
        </w:rPr>
        <w:t>农林水（类）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Times New Roman"/>
          <w:b/>
          <w:color w:val="000000" w:themeColor="text1"/>
          <w:sz w:val="32"/>
          <w:szCs w:val="32"/>
          <w:lang w:eastAsia="zh-CN"/>
          <w14:textFill>
            <w14:solidFill>
              <w14:schemeClr w14:val="tx1"/>
            </w14:solidFill>
          </w14:textFill>
        </w:rPr>
        <w:t>资源勘探信息等（类）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Times New Roman"/>
          <w:b/>
          <w:color w:val="000000" w:themeColor="text1"/>
          <w:sz w:val="32"/>
          <w:szCs w:val="32"/>
          <w:lang w:eastAsia="zh-CN"/>
          <w14:textFill>
            <w14:solidFill>
              <w14:schemeClr w14:val="tx1"/>
            </w14:solidFill>
          </w14:textFill>
        </w:rPr>
        <w:t>灾害防治及应急管理（类）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2098.28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93.01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w:t>
      </w:r>
      <w:r>
        <w:rPr>
          <w:rFonts w:hint="eastAsia" w:ascii="仿宋" w:hAnsi="仿宋" w:eastAsia="仿宋" w:cs="Times New Roman"/>
          <w:color w:val="000000" w:themeColor="text1"/>
          <w:sz w:val="32"/>
          <w:szCs w:val="32"/>
          <w:lang w:val="en-US" w:eastAsia="zh-CN"/>
          <w14:textFill>
            <w14:solidFill>
              <w14:schemeClr w14:val="tx1"/>
            </w14:solidFill>
          </w14:textFill>
        </w:rPr>
        <w:t>支出0万元，占0%；</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87.62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3.88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30.05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1.33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住房保障</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34.07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1.51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pageBreakBefore w:val="0"/>
        <w:kinsoku/>
        <w:wordWrap/>
        <w:overflowPunct/>
        <w:topLinePunct w:val="0"/>
        <w:bidi w:val="0"/>
        <w:spacing w:line="560" w:lineRule="exact"/>
        <w:ind w:firstLine="420" w:firstLineChars="200"/>
        <w:rPr>
          <w:rFonts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682625</wp:posOffset>
            </wp:positionH>
            <wp:positionV relativeFrom="paragraph">
              <wp:posOffset>502285</wp:posOffset>
            </wp:positionV>
            <wp:extent cx="4335780" cy="2555875"/>
            <wp:effectExtent l="4445" t="5080" r="18415" b="14605"/>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pageBreakBefore w:val="0"/>
        <w:kinsoku/>
        <w:wordWrap/>
        <w:overflowPunct/>
        <w:topLinePunct w:val="0"/>
        <w:bidi w:val="0"/>
        <w:spacing w:line="560" w:lineRule="exact"/>
        <w:ind w:firstLine="640" w:firstLineChars="200"/>
        <w:rPr>
          <w:rFonts w:hint="eastAsia" w:ascii="仿宋" w:hAnsi="仿宋" w:eastAsia="仿宋"/>
          <w:color w:val="000000"/>
          <w:sz w:val="32"/>
          <w:szCs w:val="32"/>
          <w:lang w:eastAsia="zh-CN"/>
        </w:rPr>
      </w:pPr>
    </w:p>
    <w:p>
      <w:pPr>
        <w:pageBreakBefore w:val="0"/>
        <w:kinsoku/>
        <w:wordWrap/>
        <w:overflowPunct/>
        <w:topLinePunct w:val="0"/>
        <w:bidi w:val="0"/>
        <w:spacing w:line="560" w:lineRule="exact"/>
        <w:ind w:firstLine="642"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pageBreakBefore w:val="0"/>
        <w:kinsoku/>
        <w:wordWrap/>
        <w:overflowPunct/>
        <w:topLinePunct w:val="0"/>
        <w:bidi w:val="0"/>
        <w:spacing w:line="560" w:lineRule="exact"/>
        <w:ind w:firstLine="642" w:firstLineChars="200"/>
        <w:outlineLvl w:val="2"/>
        <w:rPr>
          <w:rFonts w:ascii="仿宋" w:hAnsi="仿宋" w:eastAsia="仿宋"/>
          <w:color w:val="FF0000"/>
          <w:sz w:val="32"/>
          <w:szCs w:val="32"/>
        </w:rPr>
      </w:pPr>
      <w:bookmarkStart w:id="41" w:name="_Toc15377213"/>
      <w:bookmarkStart w:id="42" w:name="_Toc15378460"/>
      <w:bookmarkStart w:id="43" w:name="_Toc15377444"/>
      <w:r>
        <w:rPr>
          <w:rFonts w:hint="eastAsia"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lang w:val="en-US" w:eastAsia="zh-CN"/>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color w:val="000000"/>
          <w:sz w:val="32"/>
          <w:szCs w:val="32"/>
          <w:lang w:val="en-US" w:eastAsia="zh-CN"/>
        </w:rPr>
        <w:t>2256.02万元</w:t>
      </w:r>
      <w:r>
        <w:rPr>
          <w:rFonts w:hint="eastAsia" w:ascii="仿宋" w:hAnsi="仿宋" w:eastAsia="仿宋"/>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完成</w:t>
      </w:r>
      <w:r>
        <w:rPr>
          <w:rStyle w:val="17"/>
          <w:rFonts w:hint="eastAsia" w:ascii="仿宋" w:hAnsi="仿宋" w:eastAsia="仿宋"/>
          <w:bCs/>
          <w:color w:val="000000"/>
          <w:sz w:val="32"/>
          <w:szCs w:val="32"/>
        </w:rPr>
        <w:t>预算</w:t>
      </w:r>
      <w:r>
        <w:rPr>
          <w:rStyle w:val="17"/>
          <w:rFonts w:hint="eastAsia" w:ascii="仿宋" w:hAnsi="仿宋" w:eastAsia="仿宋"/>
          <w:bCs/>
          <w:color w:val="000000"/>
          <w:sz w:val="32"/>
          <w:szCs w:val="32"/>
          <w:lang w:val="en-US" w:eastAsia="zh-CN"/>
        </w:rPr>
        <w:t>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41"/>
      <w:bookmarkEnd w:id="42"/>
      <w:bookmarkEnd w:id="43"/>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w:t>
      </w:r>
      <w:r>
        <w:rPr>
          <w:rStyle w:val="17"/>
          <w:rFonts w:hint="eastAsia" w:ascii="仿宋" w:hAnsi="仿宋" w:eastAsia="仿宋"/>
          <w:bCs/>
          <w:color w:val="000000"/>
          <w:sz w:val="32"/>
          <w:szCs w:val="32"/>
          <w:lang w:eastAsia="zh-CN"/>
        </w:rPr>
        <w:t>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行政事业单位养老支出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机关事业单位基本养老保险缴费支出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68.06</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2</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w:t>
      </w:r>
      <w:r>
        <w:rPr>
          <w:rStyle w:val="17"/>
          <w:rFonts w:hint="eastAsia" w:ascii="仿宋" w:hAnsi="仿宋" w:eastAsia="仿宋"/>
          <w:bCs/>
          <w:color w:val="000000"/>
          <w:sz w:val="32"/>
          <w:szCs w:val="32"/>
          <w:lang w:eastAsia="zh-CN"/>
        </w:rPr>
        <w:t>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行政事业单位养老支出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机关事业单位职业年金缴费支出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11.15</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3</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w:t>
      </w:r>
      <w:r>
        <w:rPr>
          <w:rStyle w:val="17"/>
          <w:rFonts w:hint="eastAsia" w:ascii="仿宋" w:hAnsi="仿宋" w:eastAsia="仿宋"/>
          <w:bCs/>
          <w:color w:val="000000"/>
          <w:sz w:val="32"/>
          <w:szCs w:val="32"/>
          <w:lang w:eastAsia="zh-CN"/>
        </w:rPr>
        <w:t>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其他</w:t>
      </w:r>
      <w:r>
        <w:rPr>
          <w:rStyle w:val="17"/>
          <w:rFonts w:hint="eastAsia" w:ascii="仿宋" w:hAnsi="仿宋" w:eastAsia="仿宋"/>
          <w:bCs/>
          <w:color w:val="000000"/>
          <w:sz w:val="32"/>
          <w:szCs w:val="32"/>
        </w:rPr>
        <w:t>社会保障和就业</w:t>
      </w:r>
      <w:r>
        <w:rPr>
          <w:rStyle w:val="17"/>
          <w:rFonts w:hint="eastAsia" w:ascii="仿宋" w:hAnsi="仿宋" w:eastAsia="仿宋"/>
          <w:bCs/>
          <w:color w:val="000000"/>
          <w:sz w:val="32"/>
          <w:szCs w:val="32"/>
          <w:lang w:eastAsia="zh-CN"/>
        </w:rPr>
        <w:t>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w:t>
      </w:r>
      <w:r>
        <w:rPr>
          <w:rStyle w:val="17"/>
          <w:rFonts w:hint="eastAsia" w:ascii="仿宋" w:hAnsi="仿宋" w:eastAsia="仿宋"/>
          <w:bCs/>
          <w:color w:val="000000"/>
          <w:sz w:val="32"/>
          <w:szCs w:val="32"/>
        </w:rPr>
        <w:t>社会保障和就业</w:t>
      </w:r>
      <w:r>
        <w:rPr>
          <w:rStyle w:val="17"/>
          <w:rFonts w:hint="eastAsia" w:ascii="仿宋" w:hAnsi="仿宋" w:eastAsia="仿宋"/>
          <w:bCs/>
          <w:color w:val="000000"/>
          <w:sz w:val="32"/>
          <w:szCs w:val="32"/>
          <w:lang w:eastAsia="zh-CN"/>
        </w:rPr>
        <w:t>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8.41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4</w:t>
      </w:r>
      <w:r>
        <w:rPr>
          <w:rStyle w:val="17"/>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行政事业单位医疗</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行政单位医疗</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30.05</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5.农林水（类）扶贫（款）其他扶贫支出（项）：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6.住房保障支出（类）住房改革支出（款）住房公积金（项）：</w:t>
      </w:r>
      <w:r>
        <w:rPr>
          <w:rStyle w:val="17"/>
          <w:rFonts w:hint="eastAsia" w:ascii="仿宋" w:hAnsi="仿宋" w:eastAsia="仿宋"/>
          <w:b w:val="0"/>
          <w:bCs/>
          <w:color w:val="000000"/>
          <w:sz w:val="32"/>
          <w:szCs w:val="32"/>
        </w:rPr>
        <w:t>决算为</w:t>
      </w:r>
      <w:r>
        <w:rPr>
          <w:rStyle w:val="17"/>
          <w:rFonts w:hint="eastAsia" w:ascii="仿宋" w:hAnsi="仿宋" w:eastAsia="仿宋"/>
          <w:b w:val="0"/>
          <w:bCs/>
          <w:color w:val="000000"/>
          <w:sz w:val="32"/>
          <w:szCs w:val="32"/>
          <w:lang w:val="en-US" w:eastAsia="zh-CN"/>
        </w:rPr>
        <w:t>34.07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7.灾害防治及应急管理支出（类）应急管理事务（款）行政运行（项）：</w:t>
      </w:r>
      <w:r>
        <w:rPr>
          <w:rStyle w:val="17"/>
          <w:rFonts w:hint="eastAsia" w:ascii="仿宋" w:hAnsi="仿宋" w:eastAsia="仿宋"/>
          <w:b w:val="0"/>
          <w:bCs/>
          <w:color w:val="000000"/>
          <w:sz w:val="32"/>
          <w:szCs w:val="32"/>
        </w:rPr>
        <w:t>决算为</w:t>
      </w:r>
      <w:r>
        <w:rPr>
          <w:rStyle w:val="17"/>
          <w:rFonts w:hint="eastAsia" w:ascii="仿宋" w:hAnsi="仿宋" w:eastAsia="仿宋"/>
          <w:b w:val="0"/>
          <w:bCs/>
          <w:color w:val="000000"/>
          <w:sz w:val="32"/>
          <w:szCs w:val="32"/>
          <w:lang w:val="en-US" w:eastAsia="zh-CN"/>
        </w:rPr>
        <w:t>399.1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8.灾害防治及应急管理支出（类）应急管理事务（款）一般行政管理事务（项）：</w:t>
      </w:r>
      <w:r>
        <w:rPr>
          <w:rStyle w:val="17"/>
          <w:rFonts w:hint="eastAsia" w:ascii="仿宋" w:hAnsi="仿宋" w:eastAsia="仿宋"/>
          <w:b w:val="0"/>
          <w:bCs/>
          <w:color w:val="000000"/>
          <w:sz w:val="32"/>
          <w:szCs w:val="32"/>
        </w:rPr>
        <w:t>决算为</w:t>
      </w:r>
      <w:r>
        <w:rPr>
          <w:rStyle w:val="17"/>
          <w:rFonts w:hint="eastAsia" w:ascii="仿宋" w:hAnsi="仿宋" w:eastAsia="仿宋"/>
          <w:b w:val="0"/>
          <w:bCs/>
          <w:color w:val="000000"/>
          <w:sz w:val="32"/>
          <w:szCs w:val="32"/>
          <w:lang w:val="en-US" w:eastAsia="zh-CN"/>
        </w:rPr>
        <w:t>35.04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9.灾害防治及应急管理支出（类）应急管理事务（款）安全监管（项）：</w:t>
      </w:r>
      <w:r>
        <w:rPr>
          <w:rStyle w:val="17"/>
          <w:rFonts w:hint="eastAsia" w:ascii="仿宋" w:hAnsi="仿宋" w:eastAsia="仿宋"/>
          <w:b w:val="0"/>
          <w:bCs/>
          <w:color w:val="000000"/>
          <w:sz w:val="32"/>
          <w:szCs w:val="32"/>
        </w:rPr>
        <w:t>决算为</w:t>
      </w:r>
      <w:r>
        <w:rPr>
          <w:rStyle w:val="17"/>
          <w:rFonts w:hint="eastAsia" w:ascii="仿宋" w:hAnsi="仿宋" w:eastAsia="仿宋"/>
          <w:b w:val="0"/>
          <w:bCs/>
          <w:color w:val="000000"/>
          <w:sz w:val="32"/>
          <w:szCs w:val="32"/>
          <w:lang w:val="en-US" w:eastAsia="zh-CN"/>
        </w:rPr>
        <w:t>17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10.灾害防治及应急管理支出（类）应急管理事务（款）应急救援（项）：</w:t>
      </w:r>
      <w:r>
        <w:rPr>
          <w:rStyle w:val="17"/>
          <w:rFonts w:hint="eastAsia" w:ascii="仿宋" w:hAnsi="仿宋" w:eastAsia="仿宋"/>
          <w:b w:val="0"/>
          <w:bCs/>
          <w:color w:val="000000"/>
          <w:sz w:val="32"/>
          <w:szCs w:val="32"/>
        </w:rPr>
        <w:t>决算为</w:t>
      </w:r>
      <w:r>
        <w:rPr>
          <w:rStyle w:val="17"/>
          <w:rFonts w:hint="eastAsia" w:ascii="仿宋" w:hAnsi="仿宋" w:eastAsia="仿宋"/>
          <w:b w:val="0"/>
          <w:bCs/>
          <w:color w:val="000000"/>
          <w:sz w:val="32"/>
          <w:szCs w:val="32"/>
          <w:lang w:val="en-US" w:eastAsia="zh-CN"/>
        </w:rPr>
        <w:t>248.17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11.灾害防治及应急管理支出（类）应急管理事务（款）其他应急管理支出（项）：</w:t>
      </w:r>
      <w:r>
        <w:rPr>
          <w:rStyle w:val="17"/>
          <w:rFonts w:hint="eastAsia" w:ascii="仿宋" w:hAnsi="仿宋" w:eastAsia="仿宋"/>
          <w:b w:val="0"/>
          <w:bCs/>
          <w:color w:val="000000"/>
          <w:sz w:val="32"/>
          <w:szCs w:val="32"/>
        </w:rPr>
        <w:t>决算为</w:t>
      </w:r>
      <w:r>
        <w:rPr>
          <w:rStyle w:val="17"/>
          <w:rFonts w:hint="eastAsia" w:ascii="仿宋" w:hAnsi="仿宋" w:eastAsia="仿宋"/>
          <w:b w:val="0"/>
          <w:bCs/>
          <w:color w:val="000000"/>
          <w:sz w:val="32"/>
          <w:szCs w:val="32"/>
          <w:lang w:val="en-US" w:eastAsia="zh-CN"/>
        </w:rPr>
        <w:t>521.47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12.灾害防治及应急管理支出（类）消防事务（款）其他消防事务支出（项）：</w:t>
      </w:r>
      <w:r>
        <w:rPr>
          <w:rStyle w:val="17"/>
          <w:rFonts w:hint="eastAsia" w:ascii="仿宋" w:hAnsi="仿宋" w:eastAsia="仿宋"/>
          <w:b w:val="0"/>
          <w:bCs/>
          <w:color w:val="000000"/>
          <w:sz w:val="32"/>
          <w:szCs w:val="32"/>
        </w:rPr>
        <w:t>决算为</w:t>
      </w:r>
      <w:r>
        <w:rPr>
          <w:rStyle w:val="17"/>
          <w:rFonts w:hint="eastAsia" w:ascii="仿宋" w:hAnsi="仿宋" w:eastAsia="仿宋"/>
          <w:b w:val="0"/>
          <w:bCs/>
          <w:color w:val="000000"/>
          <w:sz w:val="32"/>
          <w:szCs w:val="32"/>
          <w:lang w:val="en-US" w:eastAsia="zh-CN"/>
        </w:rPr>
        <w:t>110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13.灾害防治及应急管理支出（类）森林消防事务（款）其他森林消防事务支出（项）：</w:t>
      </w:r>
      <w:r>
        <w:rPr>
          <w:rStyle w:val="17"/>
          <w:rFonts w:hint="eastAsia" w:ascii="仿宋" w:hAnsi="仿宋" w:eastAsia="仿宋"/>
          <w:b w:val="0"/>
          <w:bCs/>
          <w:color w:val="000000"/>
          <w:sz w:val="32"/>
          <w:szCs w:val="32"/>
        </w:rPr>
        <w:t>决算为</w:t>
      </w:r>
      <w:r>
        <w:rPr>
          <w:rStyle w:val="17"/>
          <w:rFonts w:hint="eastAsia" w:ascii="仿宋" w:hAnsi="仿宋" w:eastAsia="仿宋"/>
          <w:b w:val="0"/>
          <w:bCs/>
          <w:color w:val="000000"/>
          <w:sz w:val="32"/>
          <w:szCs w:val="32"/>
          <w:lang w:val="en-US" w:eastAsia="zh-CN"/>
        </w:rPr>
        <w:t>15</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14.灾害防治及应急管理支出（类）煤矿安全（款）一般行政管理事务（项）：</w:t>
      </w:r>
      <w:r>
        <w:rPr>
          <w:rStyle w:val="17"/>
          <w:rFonts w:hint="eastAsia" w:ascii="仿宋" w:hAnsi="仿宋" w:eastAsia="仿宋"/>
          <w:b w:val="0"/>
          <w:bCs/>
          <w:color w:val="000000"/>
          <w:sz w:val="32"/>
          <w:szCs w:val="32"/>
        </w:rPr>
        <w:t>决算为</w:t>
      </w:r>
      <w:r>
        <w:rPr>
          <w:rStyle w:val="17"/>
          <w:rFonts w:hint="eastAsia" w:ascii="仿宋" w:hAnsi="仿宋" w:eastAsia="仿宋"/>
          <w:b w:val="0"/>
          <w:bCs/>
          <w:color w:val="000000"/>
          <w:sz w:val="32"/>
          <w:szCs w:val="32"/>
          <w:lang w:val="en-US" w:eastAsia="zh-CN"/>
        </w:rPr>
        <w:t>90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15.灾害防治及应急管理支出（类）自然灾害救灾及恢复重建支出（款）中央自然灾害生活补助（项）：</w:t>
      </w:r>
      <w:r>
        <w:rPr>
          <w:rStyle w:val="17"/>
          <w:rFonts w:hint="eastAsia" w:ascii="仿宋" w:hAnsi="仿宋" w:eastAsia="仿宋"/>
          <w:b w:val="0"/>
          <w:bCs/>
          <w:color w:val="000000"/>
          <w:sz w:val="32"/>
          <w:szCs w:val="32"/>
        </w:rPr>
        <w:t>决算为</w:t>
      </w:r>
      <w:r>
        <w:rPr>
          <w:rStyle w:val="17"/>
          <w:rFonts w:hint="eastAsia" w:ascii="仿宋" w:hAnsi="仿宋" w:eastAsia="仿宋"/>
          <w:b w:val="0"/>
          <w:bCs/>
          <w:color w:val="000000"/>
          <w:sz w:val="32"/>
          <w:szCs w:val="32"/>
          <w:lang w:val="en-US" w:eastAsia="zh-CN"/>
        </w:rPr>
        <w:t>194.5</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16.灾害防治及应急管理支出（类）自然灾害救灾及恢复重建支出（款）其他自然灾害救灾及恢复重建支出（项）：</w:t>
      </w:r>
      <w:r>
        <w:rPr>
          <w:rStyle w:val="17"/>
          <w:rFonts w:hint="eastAsia" w:ascii="仿宋" w:hAnsi="仿宋" w:eastAsia="仿宋"/>
          <w:b w:val="0"/>
          <w:bCs/>
          <w:color w:val="000000"/>
          <w:sz w:val="32"/>
          <w:szCs w:val="32"/>
        </w:rPr>
        <w:t>决算为</w:t>
      </w:r>
      <w:r>
        <w:rPr>
          <w:rStyle w:val="17"/>
          <w:rFonts w:hint="eastAsia" w:ascii="仿宋" w:hAnsi="仿宋" w:eastAsia="仿宋"/>
          <w:b w:val="0"/>
          <w:bCs/>
          <w:color w:val="000000"/>
          <w:sz w:val="32"/>
          <w:szCs w:val="32"/>
          <w:lang w:val="en-US" w:eastAsia="zh-CN"/>
        </w:rPr>
        <w:t>288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2" w:firstLineChars="200"/>
        <w:rPr>
          <w:rFonts w:hint="default"/>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17.灾害防治及应急管理支出（类）其他灾害防治及应急管理支出（款）其他灾害防治及应急管理支出（项）：</w:t>
      </w:r>
      <w:r>
        <w:rPr>
          <w:rStyle w:val="17"/>
          <w:rFonts w:hint="eastAsia" w:ascii="仿宋" w:hAnsi="仿宋" w:eastAsia="仿宋"/>
          <w:b w:val="0"/>
          <w:bCs/>
          <w:color w:val="000000"/>
          <w:sz w:val="32"/>
          <w:szCs w:val="32"/>
        </w:rPr>
        <w:t>决算为</w:t>
      </w:r>
      <w:r>
        <w:rPr>
          <w:rStyle w:val="17"/>
          <w:rFonts w:hint="eastAsia" w:ascii="仿宋" w:hAnsi="仿宋" w:eastAsia="仿宋"/>
          <w:b w:val="0"/>
          <w:bCs/>
          <w:color w:val="000000"/>
          <w:sz w:val="32"/>
          <w:szCs w:val="32"/>
          <w:lang w:val="en-US" w:eastAsia="zh-CN"/>
        </w:rPr>
        <w:t>180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_GB2312" w:hAnsi="仿宋" w:eastAsia="仿宋_GB2312"/>
          <w:b w:val="0"/>
          <w:bCs/>
          <w:color w:val="000000"/>
          <w:sz w:val="32"/>
          <w:szCs w:val="32"/>
        </w:rPr>
        <w:t>决算数与预算数持平</w:t>
      </w:r>
      <w:r>
        <w:rPr>
          <w:rStyle w:val="17"/>
          <w:rFonts w:hint="eastAsia" w:ascii="仿宋" w:hAnsi="仿宋" w:eastAsia="仿宋"/>
          <w:b w:val="0"/>
          <w:bCs/>
          <w:color w:val="000000"/>
          <w:sz w:val="32"/>
          <w:szCs w:val="32"/>
        </w:rPr>
        <w:t>。</w:t>
      </w:r>
    </w:p>
    <w:p>
      <w:pPr>
        <w:pageBreakBefore w:val="0"/>
        <w:tabs>
          <w:tab w:val="right" w:pos="8306"/>
        </w:tabs>
        <w:kinsoku/>
        <w:wordWrap/>
        <w:overflowPunct/>
        <w:topLinePunct w:val="0"/>
        <w:bidi w:val="0"/>
        <w:spacing w:line="560" w:lineRule="exact"/>
        <w:ind w:firstLine="640"/>
        <w:outlineLvl w:val="1"/>
        <w:rPr>
          <w:rStyle w:val="28"/>
        </w:rPr>
      </w:pPr>
      <w:bookmarkStart w:id="44" w:name="_Toc15377214"/>
      <w:bookmarkStart w:id="45"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4"/>
      <w:bookmarkEnd w:id="45"/>
      <w:r>
        <w:rPr>
          <w:rStyle w:val="28"/>
          <w:rFonts w:ascii="黑体" w:hAnsi="黑体" w:eastAsia="黑体"/>
          <w:b w:val="0"/>
        </w:rPr>
        <w:tab/>
      </w:r>
    </w:p>
    <w:p>
      <w:pPr>
        <w:spacing w:line="600" w:lineRule="exact"/>
        <w:ind w:firstLine="645"/>
        <w:rPr>
          <w:rFonts w:ascii="仿宋" w:hAnsi="仿宋" w:eastAsia="仿宋"/>
          <w:color w:val="000000"/>
          <w:sz w:val="32"/>
          <w:szCs w:val="32"/>
        </w:rPr>
      </w:pPr>
      <w:bookmarkStart w:id="46" w:name="_Toc15396609"/>
      <w:bookmarkStart w:id="47" w:name="_Toc15377215"/>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550.83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504.62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46.21</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60" w:lineRule="exact"/>
        <w:ind w:firstLine="640"/>
        <w:outlineLvl w:val="1"/>
        <w:rPr>
          <w:rStyle w:val="28"/>
          <w:rFonts w:ascii="黑体" w:hAnsi="黑体" w:eastAsia="黑体"/>
          <w:b w:val="0"/>
        </w:rPr>
      </w:pPr>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6"/>
      <w:bookmarkEnd w:id="47"/>
    </w:p>
    <w:p>
      <w:pPr>
        <w:pageBreakBefore w:val="0"/>
        <w:kinsoku/>
        <w:wordWrap/>
        <w:overflowPunct/>
        <w:topLinePunct w:val="0"/>
        <w:bidi w:val="0"/>
        <w:spacing w:line="56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pageBreakBefore w:val="0"/>
        <w:kinsoku/>
        <w:wordWrap/>
        <w:overflowPunct/>
        <w:topLinePunct w:val="0"/>
        <w:bidi w:val="0"/>
        <w:spacing w:line="56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9.66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94.57</w:t>
      </w:r>
      <w:r>
        <w:rPr>
          <w:rFonts w:hint="eastAsia" w:ascii="仿宋" w:hAnsi="仿宋" w:eastAsia="仿宋"/>
          <w:color w:val="000000"/>
          <w:sz w:val="32"/>
          <w:szCs w:val="32"/>
        </w:rPr>
        <w:t>%，决算数小于预算数（或与预算数持平）的主要原因是</w:t>
      </w:r>
      <w:r>
        <w:rPr>
          <w:rFonts w:hint="eastAsia" w:ascii="仿宋" w:hAnsi="仿宋" w:eastAsia="仿宋"/>
          <w:color w:val="000000"/>
          <w:sz w:val="32"/>
          <w:szCs w:val="32"/>
          <w:lang w:eastAsia="zh-CN"/>
        </w:rPr>
        <w:t>单位实行节约化办公</w:t>
      </w:r>
      <w:r>
        <w:rPr>
          <w:rFonts w:hint="eastAsia" w:ascii="仿宋" w:hAnsi="仿宋" w:eastAsia="仿宋"/>
          <w:color w:val="000000"/>
          <w:sz w:val="32"/>
          <w:szCs w:val="32"/>
        </w:rPr>
        <w:t>。</w:t>
      </w:r>
    </w:p>
    <w:p>
      <w:pPr>
        <w:pageBreakBefore w:val="0"/>
        <w:kinsoku/>
        <w:wordWrap/>
        <w:overflowPunct/>
        <w:topLinePunct w:val="0"/>
        <w:bidi w:val="0"/>
        <w:spacing w:line="56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pageBreakBefore w:val="0"/>
        <w:kinsoku/>
        <w:wordWrap/>
        <w:overflowPunct/>
        <w:topLinePunct w:val="0"/>
        <w:bidi w:val="0"/>
        <w:spacing w:line="56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4.46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46.15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53.85</w:t>
      </w:r>
      <w:r>
        <w:rPr>
          <w:rFonts w:ascii="仿宋" w:hAnsi="仿宋" w:eastAsia="仿宋"/>
          <w:color w:val="000000"/>
          <w:sz w:val="32"/>
          <w:szCs w:val="32"/>
        </w:rPr>
        <w:t>%</w:t>
      </w:r>
      <w:r>
        <w:rPr>
          <w:rFonts w:hint="eastAsia" w:ascii="仿宋" w:hAnsi="仿宋" w:eastAsia="仿宋"/>
          <w:color w:val="000000"/>
          <w:sz w:val="32"/>
          <w:szCs w:val="32"/>
        </w:rPr>
        <w:t>。具体情况如下：</w:t>
      </w:r>
    </w:p>
    <w:p>
      <w:pPr>
        <w:pageBreakBefore w:val="0"/>
        <w:kinsoku/>
        <w:wordWrap/>
        <w:overflowPunct/>
        <w:topLinePunct w:val="0"/>
        <w:bidi w:val="0"/>
        <w:spacing w:line="56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pStyle w:val="2"/>
      </w:pPr>
      <w:r>
        <w:drawing>
          <wp:inline distT="0" distB="0" distL="114300" distR="114300">
            <wp:extent cx="4455795" cy="2637790"/>
            <wp:effectExtent l="4445" t="5080" r="5080" b="8890"/>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pacing w:line="560" w:lineRule="exact"/>
        <w:ind w:firstLine="642" w:firstLineChars="200"/>
        <w:rPr>
          <w:rFonts w:hint="eastAsia" w:ascii="仿宋_GB2312" w:eastAsia="仿宋_GB2312"/>
          <w:color w:val="000000"/>
          <w:sz w:val="32"/>
          <w:szCs w:val="32"/>
        </w:rPr>
      </w:pPr>
      <w:r>
        <w:rPr>
          <w:rFonts w:hint="eastAsia" w:ascii="仿宋_GB2312" w:eastAsia="仿宋_GB2312"/>
          <w:b/>
          <w:color w:val="000000"/>
          <w:sz w:val="32"/>
          <w:szCs w:val="32"/>
        </w:rPr>
        <w:t>1.因公出国（境）经费支出</w:t>
      </w:r>
      <w:r>
        <w:rPr>
          <w:rFonts w:hint="eastAsia" w:ascii="仿宋_GB2312" w:eastAsia="仿宋_GB2312"/>
          <w:color w:val="000000"/>
          <w:sz w:val="32"/>
          <w:szCs w:val="32"/>
        </w:rPr>
        <w:t>0万元，全年安排因公出国（境）团组0次，出国（境）0人。</w:t>
      </w:r>
    </w:p>
    <w:p>
      <w:pPr>
        <w:pageBreakBefore w:val="0"/>
        <w:kinsoku/>
        <w:wordWrap/>
        <w:overflowPunct/>
        <w:topLinePunct w:val="0"/>
        <w:bidi w:val="0"/>
        <w:spacing w:line="560" w:lineRule="exact"/>
        <w:ind w:firstLine="640"/>
        <w:rPr>
          <w:rFonts w:hint="default" w:ascii="仿宋_GB2312" w:eastAsia="仿宋_GB2312"/>
          <w:b/>
          <w:color w:val="000000" w:themeColor="text1"/>
          <w:sz w:val="32"/>
          <w:szCs w:val="32"/>
          <w:lang w:val="en-US" w:eastAsia="zh-CN"/>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2.</w:t>
      </w:r>
      <w:r>
        <w:rPr>
          <w:rFonts w:hint="eastAsia" w:ascii="仿宋_GB2312" w:eastAsia="仿宋_GB2312"/>
          <w:b/>
          <w:color w:val="000000" w:themeColor="text1"/>
          <w:sz w:val="32"/>
          <w:szCs w:val="32"/>
          <w14:textFill>
            <w14:solidFill>
              <w14:schemeClr w14:val="tx1"/>
            </w14:solidFill>
          </w14:textFill>
        </w:rPr>
        <w:t>公务用车购置及运行维护费支出</w:t>
      </w:r>
      <w:r>
        <w:rPr>
          <w:rFonts w:hint="eastAsia" w:ascii="仿宋_GB2312" w:eastAsia="仿宋_GB2312"/>
          <w:color w:val="000000" w:themeColor="text1"/>
          <w:sz w:val="32"/>
          <w:szCs w:val="32"/>
          <w:lang w:val="en-US" w:eastAsia="zh-CN"/>
          <w14:textFill>
            <w14:solidFill>
              <w14:schemeClr w14:val="tx1"/>
            </w14:solidFill>
          </w14:textFill>
        </w:rPr>
        <w:t>4.46</w:t>
      </w:r>
      <w:r>
        <w:rPr>
          <w:rFonts w:hint="eastAsia" w:ascii="仿宋_GB2312" w:eastAsia="仿宋_GB2312"/>
          <w:color w:val="000000" w:themeColor="text1"/>
          <w:sz w:val="32"/>
          <w:szCs w:val="32"/>
          <w14:textFill>
            <w14:solidFill>
              <w14:schemeClr w14:val="tx1"/>
            </w14:solidFill>
          </w14:textFill>
        </w:rPr>
        <w:t>万元,</w:t>
      </w:r>
      <w:r>
        <w:rPr>
          <w:rStyle w:val="17"/>
          <w:rFonts w:hint="eastAsia" w:ascii="仿宋" w:hAnsi="仿宋" w:eastAsia="仿宋"/>
          <w:b w:val="0"/>
          <w:bCs/>
          <w:color w:val="000000" w:themeColor="text1"/>
          <w:sz w:val="32"/>
          <w:szCs w:val="32"/>
          <w14:textFill>
            <w14:solidFill>
              <w14:schemeClr w14:val="tx1"/>
            </w14:solidFill>
          </w14:textFill>
        </w:rPr>
        <w:t>完成预算</w:t>
      </w:r>
      <w:r>
        <w:rPr>
          <w:rStyle w:val="17"/>
          <w:rFonts w:hint="eastAsia" w:ascii="仿宋" w:hAnsi="仿宋" w:eastAsia="仿宋"/>
          <w:b w:val="0"/>
          <w:bCs/>
          <w:color w:val="000000" w:themeColor="text1"/>
          <w:sz w:val="32"/>
          <w:szCs w:val="32"/>
          <w:lang w:val="en-US" w:eastAsia="zh-CN"/>
          <w14:textFill>
            <w14:solidFill>
              <w14:schemeClr w14:val="tx1"/>
            </w14:solidFill>
          </w14:textFill>
        </w:rPr>
        <w:t>89.12</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公务用车购置及运行维护费支出决算比</w:t>
      </w: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2.28</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33.83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单位实行节约化办公以及汽油价格下降导致</w:t>
      </w: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w:t>
      </w:r>
      <w:r>
        <w:rPr>
          <w:rFonts w:hint="eastAsia" w:ascii="仿宋_GB2312" w:eastAsia="仿宋_GB2312"/>
          <w:color w:val="000000"/>
          <w:sz w:val="32"/>
          <w:szCs w:val="32"/>
          <w:lang w:eastAsia="zh-CN"/>
        </w:rPr>
        <w:t>特种专业技术用车</w:t>
      </w:r>
      <w:r>
        <w:rPr>
          <w:rFonts w:hint="eastAsia" w:ascii="仿宋_GB2312" w:eastAsia="仿宋_GB2312"/>
          <w:color w:val="000000"/>
          <w:sz w:val="32"/>
          <w:szCs w:val="32"/>
          <w:lang w:val="en-US" w:eastAsia="zh-CN"/>
        </w:rPr>
        <w:t>2辆、</w:t>
      </w:r>
      <w:r>
        <w:rPr>
          <w:rFonts w:hint="eastAsia" w:ascii="仿宋_GB2312" w:eastAsia="仿宋_GB2312"/>
          <w:color w:val="000000"/>
          <w:sz w:val="32"/>
          <w:szCs w:val="32"/>
        </w:rPr>
        <w:t>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pageBreakBefore w:val="0"/>
        <w:kinsoku/>
        <w:wordWrap/>
        <w:overflowPunct/>
        <w:topLinePunct w:val="0"/>
        <w:bidi w:val="0"/>
        <w:spacing w:line="560" w:lineRule="exact"/>
        <w:ind w:firstLine="640"/>
        <w:rPr>
          <w:rFonts w:ascii="仿宋_GB2312" w:eastAsia="仿宋_GB2312"/>
          <w:color w:val="000000"/>
          <w:sz w:val="32"/>
          <w:szCs w:val="32"/>
        </w:rPr>
      </w:pPr>
      <w:r>
        <w:rPr>
          <w:rFonts w:hint="eastAsia" w:ascii="仿宋_GB2312" w:eastAsia="仿宋_GB2312"/>
          <w:b/>
          <w:color w:val="000000" w:themeColor="text1"/>
          <w:sz w:val="32"/>
          <w:szCs w:val="32"/>
          <w14:textFill>
            <w14:solidFill>
              <w14:schemeClr w14:val="tx1"/>
            </w14:solidFill>
          </w14:textFill>
        </w:rPr>
        <w:t>公务用车运行维护费支出</w:t>
      </w:r>
      <w:r>
        <w:rPr>
          <w:rFonts w:hint="eastAsia" w:ascii="仿宋_GB2312" w:eastAsia="仿宋_GB2312"/>
          <w:color w:val="000000" w:themeColor="text1"/>
          <w:sz w:val="32"/>
          <w:szCs w:val="32"/>
          <w:lang w:val="en-US" w:eastAsia="zh-CN"/>
          <w14:textFill>
            <w14:solidFill>
              <w14:schemeClr w14:val="tx1"/>
            </w14:solidFill>
          </w14:textFill>
        </w:rPr>
        <w:t>4.46</w:t>
      </w:r>
      <w:r>
        <w:rPr>
          <w:rFonts w:hint="eastAsia" w:ascii="仿宋_GB2312" w:eastAsia="仿宋_GB2312"/>
          <w:color w:val="000000" w:themeColor="text1"/>
          <w:sz w:val="32"/>
          <w:szCs w:val="32"/>
          <w14:textFill>
            <w14:solidFill>
              <w14:schemeClr w14:val="tx1"/>
            </w14:solidFill>
          </w14:textFill>
        </w:rPr>
        <w:t>万元。主要用于</w:t>
      </w:r>
      <w:r>
        <w:rPr>
          <w:rFonts w:hint="eastAsia" w:ascii="仿宋_GB2312" w:eastAsia="仿宋_GB2312"/>
          <w:color w:val="000000" w:themeColor="text1"/>
          <w:sz w:val="32"/>
          <w:szCs w:val="32"/>
          <w:lang w:eastAsia="zh-CN"/>
          <w14:textFill>
            <w14:solidFill>
              <w14:schemeClr w14:val="tx1"/>
            </w14:solidFill>
          </w14:textFill>
        </w:rPr>
        <w:t>执法检查、防灾减灾救灾及应急救援</w:t>
      </w:r>
      <w:r>
        <w:rPr>
          <w:rFonts w:hint="eastAsia" w:ascii="仿宋_GB2312" w:eastAsia="仿宋_GB2312"/>
          <w:color w:val="000000" w:themeColor="text1"/>
          <w:sz w:val="32"/>
          <w:szCs w:val="32"/>
          <w14:textFill>
            <w14:solidFill>
              <w14:schemeClr w14:val="tx1"/>
            </w14:solidFill>
          </w14:textFill>
        </w:rPr>
        <w:t>等所需的公务用车燃料费、维修费、过路过桥费、保险费等支出。</w:t>
      </w:r>
    </w:p>
    <w:p>
      <w:pPr>
        <w:pageBreakBefore w:val="0"/>
        <w:kinsoku/>
        <w:wordWrap/>
        <w:overflowPunct/>
        <w:topLinePunct w:val="0"/>
        <w:bidi w:val="0"/>
        <w:spacing w:line="560" w:lineRule="exact"/>
        <w:ind w:firstLine="64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3.</w:t>
      </w:r>
      <w:r>
        <w:rPr>
          <w:rFonts w:hint="eastAsia" w:ascii="仿宋_GB2312" w:eastAsia="仿宋_GB2312"/>
          <w:b/>
          <w:color w:val="000000" w:themeColor="text1"/>
          <w:sz w:val="32"/>
          <w:szCs w:val="32"/>
          <w14:textFill>
            <w14:solidFill>
              <w14:schemeClr w14:val="tx1"/>
            </w14:solidFill>
          </w14:textFill>
        </w:rPr>
        <w:t>公务接待费支出</w:t>
      </w:r>
      <w:r>
        <w:rPr>
          <w:rFonts w:hint="eastAsia" w:ascii="仿宋_GB2312" w:eastAsia="仿宋_GB2312"/>
          <w:color w:val="000000" w:themeColor="text1"/>
          <w:sz w:val="32"/>
          <w:szCs w:val="32"/>
          <w:lang w:val="en-US" w:eastAsia="zh-CN"/>
          <w14:textFill>
            <w14:solidFill>
              <w14:schemeClr w14:val="tx1"/>
            </w14:solidFill>
          </w14:textFill>
        </w:rPr>
        <w:t>5.2</w:t>
      </w:r>
      <w:r>
        <w:rPr>
          <w:rFonts w:hint="eastAsia" w:ascii="仿宋_GB2312" w:eastAsia="仿宋_GB2312"/>
          <w:color w:val="000000" w:themeColor="text1"/>
          <w:sz w:val="32"/>
          <w:szCs w:val="32"/>
          <w14:textFill>
            <w14:solidFill>
              <w14:schemeClr w14:val="tx1"/>
            </w14:solidFill>
          </w14:textFill>
        </w:rPr>
        <w:t>万元，</w:t>
      </w:r>
      <w:r>
        <w:rPr>
          <w:rStyle w:val="17"/>
          <w:rFonts w:hint="eastAsia" w:ascii="仿宋" w:hAnsi="仿宋" w:eastAsia="仿宋"/>
          <w:b w:val="0"/>
          <w:bCs/>
          <w:color w:val="000000" w:themeColor="text1"/>
          <w:sz w:val="32"/>
          <w:szCs w:val="32"/>
          <w14:textFill>
            <w14:solidFill>
              <w14:schemeClr w14:val="tx1"/>
            </w14:solidFill>
          </w14:textFill>
        </w:rPr>
        <w:t>完成预算</w:t>
      </w:r>
      <w:r>
        <w:rPr>
          <w:rStyle w:val="17"/>
          <w:rFonts w:hint="eastAsia" w:ascii="仿宋" w:hAnsi="仿宋" w:eastAsia="仿宋"/>
          <w:b w:val="0"/>
          <w:bCs/>
          <w:color w:val="000000" w:themeColor="text1"/>
          <w:sz w:val="32"/>
          <w:szCs w:val="32"/>
          <w:lang w:val="en-US" w:eastAsia="zh-CN"/>
          <w14:textFill>
            <w14:solidFill>
              <w14:schemeClr w14:val="tx1"/>
            </w14:solidFill>
          </w14:textFill>
        </w:rPr>
        <w:t>99.81</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公务接待费支出决算比</w:t>
      </w: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0.18</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3.35</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单位严格执行中央八项规定，实行节约化办公。</w:t>
      </w:r>
    </w:p>
    <w:p>
      <w:pPr>
        <w:pageBreakBefore w:val="0"/>
        <w:kinsoku/>
        <w:wordWrap/>
        <w:overflowPunct/>
        <w:topLinePunct w:val="0"/>
        <w:bidi w:val="0"/>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5.2</w:t>
      </w:r>
      <w:r>
        <w:rPr>
          <w:rFonts w:hint="eastAsia" w:ascii="仿宋_GB2312" w:eastAsia="仿宋_GB2312"/>
          <w:color w:val="000000"/>
          <w:sz w:val="32"/>
          <w:szCs w:val="32"/>
        </w:rPr>
        <w:t>万元，主要用于执行公务、开展业务活动开支的住宿费、用餐费等。</w:t>
      </w:r>
      <w:r>
        <w:rPr>
          <w:rFonts w:hint="eastAsia" w:ascii="仿宋_GB2312" w:eastAsia="仿宋_GB2312"/>
          <w:color w:val="000000" w:themeColor="text1"/>
          <w:sz w:val="32"/>
          <w:szCs w:val="32"/>
          <w14:textFill>
            <w14:solidFill>
              <w14:schemeClr w14:val="tx1"/>
            </w14:solidFill>
          </w14:textFill>
        </w:rPr>
        <w:t>国内公务接待</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435</w:t>
      </w:r>
      <w:r>
        <w:rPr>
          <w:rFonts w:hint="eastAsia" w:ascii="仿宋_GB2312" w:eastAsia="仿宋_GB2312"/>
          <w:color w:val="000000" w:themeColor="text1"/>
          <w:sz w:val="32"/>
          <w:szCs w:val="32"/>
          <w14:textFill>
            <w14:solidFill>
              <w14:schemeClr w14:val="tx1"/>
            </w14:solidFill>
          </w14:textFill>
        </w:rPr>
        <w:t>人次（不包括陪同人员），共计支出</w:t>
      </w:r>
      <w:r>
        <w:rPr>
          <w:rFonts w:hint="eastAsia" w:ascii="仿宋_GB2312" w:eastAsia="仿宋_GB2312"/>
          <w:color w:val="000000" w:themeColor="text1"/>
          <w:sz w:val="32"/>
          <w:szCs w:val="32"/>
          <w:lang w:val="en-US" w:eastAsia="zh-CN"/>
          <w14:textFill>
            <w14:solidFill>
              <w14:schemeClr w14:val="tx1"/>
            </w14:solidFill>
          </w14:textFill>
        </w:rPr>
        <w:t>5.2</w:t>
      </w:r>
      <w:r>
        <w:rPr>
          <w:rFonts w:hint="eastAsia" w:ascii="仿宋_GB2312" w:eastAsia="仿宋_GB2312"/>
          <w:color w:val="000000" w:themeColor="text1"/>
          <w:sz w:val="32"/>
          <w:szCs w:val="32"/>
          <w14:textFill>
            <w14:solidFill>
              <w14:schemeClr w14:val="tx1"/>
            </w14:solidFill>
          </w14:textFill>
        </w:rPr>
        <w:t>万元，具体内容包括：举办大型会议、基层企业、基层安监、安监系统内部交叉检查、上级调研督查等。</w:t>
      </w:r>
    </w:p>
    <w:p>
      <w:pPr>
        <w:pageBreakBefore w:val="0"/>
        <w:kinsoku/>
        <w:wordWrap/>
        <w:overflowPunct/>
        <w:topLinePunct w:val="0"/>
        <w:bidi w:val="0"/>
        <w:spacing w:line="560" w:lineRule="exact"/>
        <w:ind w:firstLine="640" w:firstLineChars="200"/>
        <w:rPr>
          <w:rFonts w:ascii="黑体" w:eastAsia="黑体"/>
          <w:color w:val="000000"/>
          <w:sz w:val="32"/>
          <w:szCs w:val="32"/>
        </w:rPr>
      </w:pPr>
      <w:r>
        <w:rPr>
          <w:rFonts w:hint="eastAsia" w:ascii="仿宋_GB2312" w:eastAsia="仿宋_GB2312"/>
          <w:sz w:val="32"/>
          <w:szCs w:val="32"/>
        </w:rPr>
        <w:t>外事接待支出</w:t>
      </w:r>
      <w:r>
        <w:rPr>
          <w:rFonts w:ascii="仿宋_GB2312" w:eastAsia="仿宋_GB2312"/>
          <w:sz w:val="32"/>
          <w:szCs w:val="32"/>
        </w:rPr>
        <w:t>0</w:t>
      </w:r>
      <w:r>
        <w:rPr>
          <w:rFonts w:hint="eastAsia" w:ascii="仿宋_GB2312" w:eastAsia="仿宋_GB2312"/>
          <w:sz w:val="32"/>
          <w:szCs w:val="32"/>
        </w:rPr>
        <w:t>万元。</w:t>
      </w:r>
      <w:bookmarkStart w:id="50" w:name="_Toc15396610"/>
      <w:bookmarkStart w:id="51" w:name="_Toc15377218"/>
    </w:p>
    <w:p>
      <w:pPr>
        <w:pageBreakBefore w:val="0"/>
        <w:kinsoku/>
        <w:wordWrap/>
        <w:overflowPunct/>
        <w:topLinePunct w:val="0"/>
        <w:bidi w:val="0"/>
        <w:spacing w:line="560" w:lineRule="exact"/>
        <w:ind w:firstLine="640"/>
        <w:outlineLvl w:val="1"/>
        <w:rPr>
          <w:rStyle w:val="28"/>
          <w:rFonts w:ascii="黑体" w:hAnsi="黑体" w:eastAsia="黑体"/>
        </w:rPr>
      </w:pPr>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50"/>
      <w:bookmarkEnd w:id="51"/>
      <w:bookmarkStart w:id="77" w:name="_GoBack"/>
      <w:bookmarkEnd w:id="77"/>
    </w:p>
    <w:p>
      <w:pPr>
        <w:pageBreakBefore w:val="0"/>
        <w:kinsoku/>
        <w:wordWrap/>
        <w:overflowPunct/>
        <w:topLinePunct w:val="0"/>
        <w:bidi w:val="0"/>
        <w:spacing w:line="56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numPr>
          <w:ilvl w:val="0"/>
          <w:numId w:val="2"/>
        </w:numPr>
        <w:kinsoku/>
        <w:wordWrap/>
        <w:overflowPunct/>
        <w:topLinePunct w:val="0"/>
        <w:bidi w:val="0"/>
        <w:spacing w:line="560" w:lineRule="exact"/>
        <w:ind w:firstLine="640"/>
        <w:outlineLvl w:val="1"/>
        <w:rPr>
          <w:rStyle w:val="28"/>
          <w:rFonts w:ascii="黑体" w:hAnsi="黑体" w:eastAsia="黑体"/>
          <w:b w:val="0"/>
        </w:rPr>
      </w:pPr>
      <w:bookmarkStart w:id="52" w:name="_Toc15377219"/>
      <w:bookmarkStart w:id="53" w:name="_Toc15396611"/>
      <w:r>
        <w:rPr>
          <w:rStyle w:val="28"/>
          <w:rFonts w:hint="eastAsia" w:ascii="黑体" w:hAnsi="黑体" w:eastAsia="黑体"/>
          <w:b w:val="0"/>
        </w:rPr>
        <w:t>国有资本经营预算支出决算情况说明</w:t>
      </w:r>
      <w:bookmarkEnd w:id="52"/>
      <w:bookmarkEnd w:id="53"/>
    </w:p>
    <w:p>
      <w:pPr>
        <w:pageBreakBefore w:val="0"/>
        <w:kinsoku/>
        <w:wordWrap/>
        <w:overflowPunct/>
        <w:topLinePunct w:val="0"/>
        <w:bidi w:val="0"/>
        <w:spacing w:line="56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kinsoku/>
        <w:wordWrap/>
        <w:overflowPunct/>
        <w:topLinePunct w:val="0"/>
        <w:bidi w:val="0"/>
        <w:spacing w:line="560" w:lineRule="exact"/>
        <w:ind w:firstLine="800" w:firstLineChars="250"/>
        <w:outlineLvl w:val="1"/>
        <w:rPr>
          <w:rStyle w:val="28"/>
          <w:rFonts w:ascii="黑体" w:hAnsi="黑体" w:eastAsia="黑体"/>
        </w:rPr>
      </w:pPr>
      <w:bookmarkStart w:id="54" w:name="_Toc15396612"/>
      <w:bookmarkStart w:id="55" w:name="_Toc15377221"/>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54"/>
      <w:bookmarkEnd w:id="55"/>
    </w:p>
    <w:p>
      <w:pPr>
        <w:pageBreakBefore w:val="0"/>
        <w:kinsoku/>
        <w:wordWrap/>
        <w:overflowPunct/>
        <w:topLinePunct w:val="0"/>
        <w:bidi w:val="0"/>
        <w:spacing w:line="560" w:lineRule="exact"/>
        <w:ind w:firstLine="642"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pageBreakBefore w:val="0"/>
        <w:kinsoku/>
        <w:wordWrap/>
        <w:overflowPunct/>
        <w:topLinePunct w:val="0"/>
        <w:bidi w:val="0"/>
        <w:spacing w:line="560" w:lineRule="exact"/>
        <w:ind w:firstLine="640" w:firstLineChars="200"/>
        <w:rPr>
          <w:rFonts w:hint="eastAsia" w:ascii="仿宋_GB2312" w:eastAsia="仿宋_GB2312"/>
          <w:color w:val="FF0000"/>
          <w:sz w:val="32"/>
          <w:szCs w:val="32"/>
          <w:lang w:eastAsia="zh-CN"/>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广元市朝天区应急管理局</w:t>
      </w:r>
      <w:r>
        <w:rPr>
          <w:rFonts w:hint="eastAsia" w:ascii="仿宋_GB2312" w:eastAsia="仿宋_GB2312"/>
          <w:color w:val="000000" w:themeColor="text1"/>
          <w:sz w:val="32"/>
          <w:szCs w:val="32"/>
          <w14:textFill>
            <w14:solidFill>
              <w14:schemeClr w14:val="tx1"/>
            </w14:solidFill>
          </w14:textFill>
        </w:rPr>
        <w:t>机关运行经费支出</w:t>
      </w:r>
      <w:r>
        <w:rPr>
          <w:rFonts w:hint="eastAsia" w:ascii="仿宋_GB2312" w:eastAsia="仿宋_GB2312"/>
          <w:color w:val="000000" w:themeColor="text1"/>
          <w:sz w:val="32"/>
          <w:szCs w:val="32"/>
          <w:lang w:val="en-US" w:eastAsia="zh-CN"/>
          <w14:textFill>
            <w14:solidFill>
              <w14:schemeClr w14:val="tx1"/>
            </w14:solidFill>
          </w14:textFill>
        </w:rPr>
        <w:t>45.72</w:t>
      </w:r>
      <w:r>
        <w:rPr>
          <w:rFonts w:hint="eastAsia" w:ascii="仿宋_GB2312" w:eastAsia="仿宋_GB2312"/>
          <w:color w:val="000000" w:themeColor="text1"/>
          <w:sz w:val="32"/>
          <w:szCs w:val="32"/>
          <w14:textFill>
            <w14:solidFill>
              <w14:schemeClr w14:val="tx1"/>
            </w14:solidFill>
          </w14:textFill>
        </w:rPr>
        <w:t>万元，比</w:t>
      </w: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15.36</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25.15</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单位严格执行上级规定，实行节约化办公。</w:t>
      </w:r>
    </w:p>
    <w:p>
      <w:pPr>
        <w:pageBreakBefore w:val="0"/>
        <w:kinsoku/>
        <w:wordWrap/>
        <w:overflowPunct/>
        <w:topLinePunct w:val="0"/>
        <w:autoSpaceDE w:val="0"/>
        <w:autoSpaceDN w:val="0"/>
        <w:bidi w:val="0"/>
        <w:adjustRightInd w:val="0"/>
        <w:spacing w:line="560" w:lineRule="exact"/>
        <w:ind w:firstLine="642"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pageBreakBefore w:val="0"/>
        <w:kinsoku/>
        <w:wordWrap/>
        <w:overflowPunct/>
        <w:topLinePunct w:val="0"/>
        <w:bidi w:val="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themeColor="text1"/>
          <w:sz w:val="32"/>
          <w:szCs w:val="32"/>
          <w:lang w:eastAsia="zh-CN"/>
          <w14:textFill>
            <w14:solidFill>
              <w14:schemeClr w14:val="tx1"/>
            </w14:solidFill>
          </w14:textFill>
        </w:rPr>
        <w:t>广元市朝天区应急管理局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pageBreakBefore w:val="0"/>
        <w:kinsoku/>
        <w:wordWrap/>
        <w:overflowPunct/>
        <w:topLinePunct w:val="0"/>
        <w:autoSpaceDE w:val="0"/>
        <w:autoSpaceDN w:val="0"/>
        <w:bidi w:val="0"/>
        <w:adjustRightInd w:val="0"/>
        <w:spacing w:line="560" w:lineRule="exact"/>
        <w:ind w:firstLine="642"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pageBreakBefore w:val="0"/>
        <w:kinsoku/>
        <w:wordWrap/>
        <w:overflowPunct/>
        <w:topLinePunct w:val="0"/>
        <w:autoSpaceDE w:val="0"/>
        <w:autoSpaceDN w:val="0"/>
        <w:bidi w:val="0"/>
        <w:adjustRightInd w:val="0"/>
        <w:spacing w:line="56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themeColor="text1"/>
          <w:sz w:val="32"/>
          <w:szCs w:val="32"/>
          <w:lang w:eastAsia="zh-CN"/>
          <w14:textFill>
            <w14:solidFill>
              <w14:schemeClr w14:val="tx1"/>
            </w14:solidFill>
          </w14:textFill>
        </w:rPr>
        <w:t>广元市朝天区应急管理局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w:t>
      </w:r>
      <w:r>
        <w:rPr>
          <w:rFonts w:hint="eastAsia" w:ascii="仿宋_GB2312" w:eastAsia="仿宋_GB2312"/>
          <w:color w:val="000000"/>
          <w:sz w:val="32"/>
          <w:szCs w:val="32"/>
          <w:lang w:eastAsia="zh-CN"/>
        </w:rPr>
        <w:t>特种专业技术用车</w:t>
      </w:r>
      <w:r>
        <w:rPr>
          <w:rFonts w:hint="eastAsia" w:ascii="仿宋_GB2312" w:eastAsia="仿宋_GB2312"/>
          <w:color w:val="000000"/>
          <w:sz w:val="32"/>
          <w:szCs w:val="32"/>
          <w:lang w:val="en-US" w:eastAsia="zh-CN"/>
        </w:rPr>
        <w:t>2辆、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pageBreakBefore w:val="0"/>
        <w:kinsoku/>
        <w:wordWrap/>
        <w:overflowPunct/>
        <w:topLinePunct w:val="0"/>
        <w:autoSpaceDE w:val="0"/>
        <w:autoSpaceDN w:val="0"/>
        <w:bidi w:val="0"/>
        <w:adjustRightInd w:val="0"/>
        <w:spacing w:line="56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2019年地质灾害资金、2020年度冬春临时生活困难救助资金、民房恢复重建资金、新型冠状病毒感染肺炎疫情防控资金、自然灾害生活救助资金</w:t>
      </w:r>
      <w:r>
        <w:rPr>
          <w:rFonts w:hint="eastAsia" w:ascii="仿宋_GB2312" w:hAnsi="仿宋_GB2312" w:eastAsia="仿宋_GB2312" w:cs="仿宋_GB2312"/>
          <w:sz w:val="32"/>
          <w:szCs w:val="32"/>
        </w:rPr>
        <w:t>项目（项目名称）开展了预算事前绩效评估，对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，项目完成了年初设定绩效目标，具有一定的经济和社会效益，群众满意度高</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val="en-US" w:eastAsia="zh-CN"/>
        </w:rPr>
        <w:t>2019年地质灾害资金、2020年度冬春临时生活困难救助资金、民房恢复重建资金、新型冠状病毒感染肺炎疫情防控资金、自然灾害生活救助资金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2019年地质灾害资金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。通过项目实施，及时开展应急排查和应急临时工程治理，</w:t>
      </w:r>
      <w:r>
        <w:rPr>
          <w:rFonts w:hint="eastAsia" w:ascii="仿宋_GB2312" w:hAnsi="仿宋_GB2312" w:eastAsia="仿宋_GB2312" w:cs="仿宋_GB2312"/>
          <w:sz w:val="32"/>
          <w:szCs w:val="32"/>
          <w:lang w:eastAsia="zh-CN"/>
        </w:rPr>
        <w:t>保障了</w:t>
      </w:r>
      <w:r>
        <w:rPr>
          <w:rFonts w:hint="eastAsia" w:ascii="仿宋_GB2312" w:hAnsi="仿宋_GB2312" w:eastAsia="仿宋_GB2312" w:cs="仿宋_GB2312"/>
          <w:sz w:val="32"/>
          <w:szCs w:val="32"/>
        </w:rPr>
        <w:t>人民群众生命财产安全。</w:t>
      </w:r>
    </w:p>
    <w:p>
      <w:pPr>
        <w:spacing w:line="58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2020年度冬春临时生活困难救助资金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288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288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 w:eastAsia="仿宋_GB2312"/>
          <w:sz w:val="32"/>
          <w:szCs w:val="32"/>
        </w:rPr>
        <w:t>对冬春期间</w:t>
      </w:r>
      <w:r>
        <w:rPr>
          <w:rFonts w:hint="eastAsia" w:ascii="仿宋_GB2312" w:hAnsi="仿宋" w:eastAsia="仿宋_GB2312"/>
          <w:sz w:val="32"/>
          <w:szCs w:val="32"/>
          <w:lang w:eastAsia="zh-CN"/>
        </w:rPr>
        <w:t>生活困难</w:t>
      </w:r>
      <w:r>
        <w:rPr>
          <w:rFonts w:hint="eastAsia" w:ascii="仿宋_GB2312" w:hAnsi="仿宋" w:eastAsia="仿宋_GB2312"/>
          <w:sz w:val="32"/>
          <w:szCs w:val="32"/>
        </w:rPr>
        <w:t>群众口粮、衣被、取暖等困难给予补助，确保人民群众平稳度过</w:t>
      </w:r>
      <w:r>
        <w:rPr>
          <w:rFonts w:hint="eastAsia" w:ascii="仿宋_GB2312" w:hAnsi="仿宋" w:eastAsia="仿宋_GB2312"/>
          <w:sz w:val="32"/>
          <w:szCs w:val="32"/>
          <w:lang w:eastAsia="zh-CN"/>
        </w:rPr>
        <w:t>冬春困难时期</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民房恢复重建资金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 w:eastAsia="仿宋_GB2312"/>
          <w:sz w:val="32"/>
          <w:szCs w:val="32"/>
        </w:rPr>
        <w:t>做好“8.11”洪涝灾害农村住房恢复重建工作，按照“以人为本、规划先行、统筹兼顾、合力攻坚”的总体思路，通过政府组织、政策扶持、灾民自建、社会支持，保障受灾群众基本生活，让受灾群众住上放心房。</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新型冠状病毒感染肺炎疫情防控资金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 w:eastAsia="仿宋_GB2312"/>
          <w:sz w:val="32"/>
          <w:szCs w:val="32"/>
        </w:rPr>
        <w:t>及时发现和报告新型冠状病毒感染的肺炎病例，提高疫情应急处置能力，防止疫情扩散蔓延，切实保护人民群众生命安全。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自然灾害生活救助资金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200.17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200.17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 w:eastAsia="仿宋_GB2312"/>
          <w:sz w:val="32"/>
          <w:szCs w:val="32"/>
        </w:rPr>
        <w:t>对受灾困难群众紧急转移安置，并根据政策规定对受灾群众过渡期进行生活救助，确保人民群众平稳度过灾情。</w:t>
      </w: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2019年地质灾害资金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广元市朝天区应急管理局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180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180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180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180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根据政策规定，及时开展应急排查和应急临时工程治理，确保人民群众生命财产安全。</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共排查出15个危险点，并进行临时工程治理，确保</w:t>
            </w:r>
            <w:r>
              <w:rPr>
                <w:rFonts w:hint="eastAsia" w:ascii="宋体" w:cs="宋体"/>
                <w:color w:val="000000"/>
                <w:sz w:val="24"/>
                <w:lang w:eastAsia="zh-CN"/>
              </w:rPr>
              <w:t>了</w:t>
            </w:r>
            <w:r>
              <w:rPr>
                <w:rFonts w:hint="eastAsia" w:ascii="宋体" w:cs="宋体"/>
                <w:color w:val="000000"/>
                <w:sz w:val="24"/>
              </w:rPr>
              <w:t>人民群众生命财产安全。</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地质灾害应急排查面积</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1620平方公里</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1620平方公里</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地质灾害隐患临时治理（处）</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15处</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15处</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临时治理项目验收合格率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地质灾害应急处置及时率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灾害带来的损失</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有效减少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有效减少</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保护人民群众</w:t>
            </w:r>
            <w:r>
              <w:rPr>
                <w:rFonts w:hint="eastAsia" w:ascii="宋体" w:cs="宋体"/>
                <w:color w:val="000000"/>
                <w:sz w:val="24"/>
                <w:lang w:eastAsia="zh-CN"/>
              </w:rPr>
              <w:t>生命财产</w:t>
            </w:r>
            <w:r>
              <w:rPr>
                <w:rFonts w:hint="eastAsia" w:ascii="宋体" w:cs="宋体"/>
                <w:color w:val="000000"/>
                <w:sz w:val="24"/>
              </w:rPr>
              <w:t>安全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社会安全稳定</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保护了4209人生</w:t>
            </w:r>
            <w:r>
              <w:rPr>
                <w:rFonts w:hint="eastAsia" w:ascii="宋体" w:cs="宋体"/>
                <w:color w:val="000000"/>
                <w:sz w:val="24"/>
                <w:lang w:eastAsia="zh-CN"/>
              </w:rPr>
              <w:t>命</w:t>
            </w:r>
            <w:r>
              <w:rPr>
                <w:rFonts w:hint="eastAsia" w:ascii="宋体" w:cs="宋体"/>
                <w:color w:val="000000"/>
                <w:sz w:val="24"/>
              </w:rPr>
              <w:t>财产安全，维护了社会和谐稳定</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val="en-US" w:eastAsia="zh-CN" w:bidi="ar"/>
              </w:rPr>
              <w:t>2020年度冬春临时生活困难救助资金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广元市朝天区应急管理局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288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288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288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288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解决冬春临时生活困难救助，对冬春期间受灾口粮、衣被、取暖等困难给予补助。</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解决冬春生活困难需救助人员21146人，给予受灾群众口粮、衣被、取暖等方面的补助。</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救助冬春临时生活困难人数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21146人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21146人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按标准全部通过一卡通发放到户</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资金下拨及时率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灾害带来的损失</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有效降低</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有效降低</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全区社会秩序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稳定有序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稳定有序</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rPr>
              <w:t>困难群众</w:t>
            </w:r>
            <w:r>
              <w:rPr>
                <w:rFonts w:hint="eastAsia" w:ascii="宋体" w:cs="宋体"/>
                <w:color w:val="000000"/>
                <w:sz w:val="24"/>
                <w:lang w:eastAsia="zh-CN"/>
              </w:rPr>
              <w:t>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val="en-US" w:eastAsia="zh-CN" w:bidi="ar"/>
              </w:rPr>
              <w:t>民房恢复重建资金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广元市朝天区应急管理局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42.5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42.5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42.5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42.5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为做好“8.11”洪涝灾害农村住房恢复重建工作，按照“以人为本、规划先行、统筹兼顾、合力攻坚”的总体思路，通过政府组织、政策扶持、灾民自建、社会支持，保障受灾群众基本生活，让受灾群众住上放心房。</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rPr>
              <w:t>共有5个乡镇17户按标准完成了灾后重建</w:t>
            </w:r>
            <w:r>
              <w:rPr>
                <w:rFonts w:hint="eastAsia" w:ascii="宋体" w:cs="宋体"/>
                <w:color w:val="000000"/>
                <w:sz w:val="24"/>
                <w:lang w:eastAsia="zh-CN"/>
              </w:rPr>
              <w:t>，</w:t>
            </w:r>
            <w:r>
              <w:rPr>
                <w:rFonts w:hint="eastAsia" w:ascii="宋体" w:cs="宋体"/>
                <w:color w:val="000000"/>
                <w:sz w:val="24"/>
              </w:rPr>
              <w:t>住上</w:t>
            </w:r>
            <w:r>
              <w:rPr>
                <w:rFonts w:hint="eastAsia" w:ascii="宋体" w:cs="宋体"/>
                <w:color w:val="000000"/>
                <w:sz w:val="24"/>
                <w:lang w:eastAsia="zh-CN"/>
              </w:rPr>
              <w:t>了</w:t>
            </w:r>
            <w:r>
              <w:rPr>
                <w:rFonts w:hint="eastAsia" w:ascii="宋体" w:cs="宋体"/>
                <w:color w:val="000000"/>
                <w:sz w:val="24"/>
              </w:rPr>
              <w:t>放心房</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rPr>
              <w:t>灾后重建户</w:t>
            </w:r>
            <w:r>
              <w:rPr>
                <w:rFonts w:hint="eastAsia" w:ascii="宋体" w:cs="宋体"/>
                <w:color w:val="000000"/>
                <w:sz w:val="24"/>
                <w:lang w:eastAsia="zh-CN"/>
              </w:rPr>
              <w:t>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17户</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17户</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资金通过一卡通发放到户</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资金发放及时率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灾后重建户补助标准</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2.5万/户</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2.5万/户</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灾害带来的危害</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有效降低</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有效降低</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维护社会和谐稳定</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社会安全稳定</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社会安全稳定</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val="en-US" w:eastAsia="zh-CN" w:bidi="ar"/>
              </w:rPr>
              <w:t>新型冠状病毒感染肺炎疫情防控资金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广元市朝天区应急管理局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10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10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及时发现和报告新型冠状病毒感染的肺炎病例，提高疫情应急处置能力，防止疫情扩散蔓延，切实保护人民群众生命安全。</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2020年全区无新冠肺炎确诊人员。</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防疫物资采购数量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棉絮400床，棉被套400床，垫絮100床，军大衣200件，防疫耗材1批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棉絮400床，棉被套400床，垫絮100床，军大衣200件，防疫耗材1批</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防疫物资验收合格率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有效提高疫情应急处置能力</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有效提高</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有效提高</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维护社会和谐稳定</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社会和谐稳定</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社会和谐稳定</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val="en-US" w:eastAsia="zh-CN" w:bidi="ar"/>
              </w:rPr>
              <w:t>自然灾害生活救助资金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广元市朝天区应急管理局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w:t>
            </w:r>
            <w:r>
              <w:rPr>
                <w:rFonts w:hint="eastAsia" w:ascii="宋体" w:cs="宋体"/>
                <w:color w:val="000000"/>
                <w:sz w:val="24"/>
                <w:lang w:eastAsia="zh-CN"/>
              </w:rPr>
              <w:t>.</w:t>
            </w:r>
            <w:r>
              <w:rPr>
                <w:rFonts w:hint="eastAsia" w:ascii="宋体" w:cs="宋体"/>
                <w:color w:val="000000"/>
                <w:sz w:val="24"/>
              </w:rPr>
              <w:t>17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w:t>
            </w:r>
            <w:r>
              <w:rPr>
                <w:rFonts w:hint="eastAsia" w:ascii="宋体" w:cs="宋体"/>
                <w:color w:val="000000"/>
                <w:sz w:val="24"/>
                <w:lang w:eastAsia="zh-CN"/>
              </w:rPr>
              <w:t>.</w:t>
            </w:r>
            <w:r>
              <w:rPr>
                <w:rFonts w:hint="eastAsia" w:ascii="宋体" w:cs="宋体"/>
                <w:color w:val="000000"/>
                <w:sz w:val="24"/>
              </w:rPr>
              <w:t>17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w:t>
            </w:r>
            <w:r>
              <w:rPr>
                <w:rFonts w:hint="eastAsia" w:ascii="宋体" w:cs="宋体"/>
                <w:color w:val="000000"/>
                <w:sz w:val="24"/>
                <w:lang w:eastAsia="zh-CN"/>
              </w:rPr>
              <w:t>.</w:t>
            </w:r>
            <w:r>
              <w:rPr>
                <w:rFonts w:hint="eastAsia" w:ascii="宋体" w:cs="宋体"/>
                <w:color w:val="000000"/>
                <w:sz w:val="24"/>
              </w:rPr>
              <w:t>17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w:t>
            </w:r>
            <w:r>
              <w:rPr>
                <w:rFonts w:hint="eastAsia" w:ascii="宋体" w:cs="宋体"/>
                <w:color w:val="000000"/>
                <w:sz w:val="24"/>
                <w:lang w:eastAsia="zh-CN"/>
              </w:rPr>
              <w:t>.</w:t>
            </w:r>
            <w:r>
              <w:rPr>
                <w:rFonts w:hint="eastAsia" w:ascii="宋体" w:cs="宋体"/>
                <w:color w:val="000000"/>
                <w:sz w:val="24"/>
              </w:rPr>
              <w:t>17</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对受灾困难群众紧急转移安置，并根据政策规定对受灾群众过渡期进行生活救助，确保人民群众平稳度过灾情。</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转移受灾困难群众4619人，受灾群众过渡期生活救助778人。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紧急转移安置受灾群众总人次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4619人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4619人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过渡期生活救助总人次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778人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778人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应急救灾资金下拨率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资金下拨及时率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灾害带来的损失</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有效减少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有效减少</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灾区社会秩序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稳定有序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稳定有序</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rPr>
              <w:t>受灾群众</w:t>
            </w:r>
            <w:r>
              <w:rPr>
                <w:rFonts w:hint="eastAsia" w:ascii="宋体" w:cs="宋体"/>
                <w:color w:val="000000"/>
                <w:sz w:val="24"/>
                <w:lang w:eastAsia="zh-CN"/>
              </w:rPr>
              <w:t>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lang w:val="en-US" w:eastAsia="zh-CN"/>
              </w:rPr>
              <w:t>100%</w:t>
            </w:r>
          </w:p>
        </w:tc>
      </w:tr>
    </w:tbl>
    <w:p>
      <w:pPr>
        <w:pStyle w:val="2"/>
        <w:pageBreakBefore w:val="0"/>
        <w:kinsoku/>
        <w:wordWrap/>
        <w:overflowPunct/>
        <w:topLinePunct w:val="0"/>
        <w:bidi w:val="0"/>
        <w:spacing w:line="560" w:lineRule="exact"/>
      </w:pPr>
    </w:p>
    <w:p>
      <w:pPr>
        <w:pageBreakBefore w:val="0"/>
        <w:kinsoku/>
        <w:wordWrap/>
        <w:overflowPunct/>
        <w:topLinePunct w:val="0"/>
        <w:bidi w:val="0"/>
        <w:spacing w:line="56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广元市朝天区应急管理局</w:t>
      </w: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2019年地质灾害资金、2020年度冬春临时生活困难救助资金、民房恢复重建资金、新型冠状病毒感染肺炎疫情防控资金、自然灾害生活救助资金</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val="en-US" w:eastAsia="zh-CN"/>
        </w:rPr>
        <w:t>2019年地质灾害资金</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2020年度冬春临时生活困难救助资金</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民房恢复重建资金</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新型冠状病毒感染肺炎疫情防控资金</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自然灾害生活救助资金</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pPr>
        <w:rPr>
          <w:rFonts w:hint="eastAsia"/>
          <w:lang w:val="en-US" w:eastAsia="zh-CN"/>
        </w:rPr>
      </w:pPr>
      <w:r>
        <w:rPr>
          <w:rFonts w:hint="eastAsia"/>
          <w:lang w:val="en-US" w:eastAsia="zh-CN"/>
        </w:rPr>
        <w:br w:type="page"/>
      </w:r>
    </w:p>
    <w:p>
      <w:pPr>
        <w:pageBreakBefore w:val="0"/>
        <w:widowControl/>
        <w:numPr>
          <w:ilvl w:val="0"/>
          <w:numId w:val="3"/>
        </w:numPr>
        <w:kinsoku/>
        <w:wordWrap/>
        <w:overflowPunct/>
        <w:topLinePunct w:val="0"/>
        <w:bidi w:val="0"/>
        <w:spacing w:line="560" w:lineRule="exact"/>
        <w:jc w:val="center"/>
        <w:rPr>
          <w:rStyle w:val="27"/>
          <w:rFonts w:hint="eastAsia" w:ascii="黑体" w:hAnsi="黑体" w:eastAsia="黑体"/>
          <w:b w:val="0"/>
        </w:rPr>
      </w:pPr>
      <w:bookmarkStart w:id="59" w:name="_Toc15396613"/>
      <w:bookmarkStart w:id="60" w:name="_Toc15377225"/>
      <w:r>
        <w:rPr>
          <w:rFonts w:hint="eastAsia" w:ascii="黑体" w:hAnsi="黑体" w:eastAsia="黑体"/>
          <w:color w:val="000000"/>
          <w:sz w:val="44"/>
          <w:szCs w:val="44"/>
        </w:rPr>
        <w:t>名</w:t>
      </w:r>
      <w:r>
        <w:rPr>
          <w:rStyle w:val="27"/>
          <w:rFonts w:hint="eastAsia" w:ascii="黑体" w:hAnsi="黑体" w:eastAsia="黑体"/>
          <w:b w:val="0"/>
        </w:rPr>
        <w:t>词解释</w:t>
      </w:r>
      <w:bookmarkEnd w:id="59"/>
      <w:bookmarkEnd w:id="60"/>
    </w:p>
    <w:p>
      <w:pPr>
        <w:pStyle w:val="2"/>
        <w:pageBreakBefore w:val="0"/>
        <w:numPr>
          <w:ilvl w:val="0"/>
          <w:numId w:val="0"/>
        </w:numPr>
        <w:kinsoku/>
        <w:wordWrap/>
        <w:overflowPunct/>
        <w:topLinePunct w:val="0"/>
        <w:bidi w:val="0"/>
        <w:spacing w:line="560" w:lineRule="exact"/>
        <w:ind w:left="420" w:leftChars="0"/>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2020</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ageBreakBefore w:val="0"/>
        <w:kinsoku/>
        <w:wordWrap/>
        <w:overflowPunct/>
        <w:topLinePunct w:val="0"/>
        <w:bidi w:val="0"/>
        <w:spacing w:line="56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pageBreakBefore w:val="0"/>
        <w:kinsoku/>
        <w:wordWrap/>
        <w:overflowPunct/>
        <w:topLinePunct w:val="0"/>
        <w:bidi w:val="0"/>
        <w:spacing w:line="560" w:lineRule="exact"/>
        <w:jc w:val="center"/>
        <w:outlineLvl w:val="0"/>
        <w:rPr>
          <w:rStyle w:val="27"/>
          <w:rFonts w:ascii="黑体" w:hAnsi="黑体" w:eastAsia="黑体"/>
          <w:b w:val="0"/>
        </w:rPr>
      </w:pPr>
      <w:bookmarkStart w:id="61" w:name="_Toc15377226"/>
      <w:r>
        <w:rPr>
          <w:rFonts w:ascii="宋体"/>
          <w:b/>
          <w:color w:val="000000"/>
          <w:sz w:val="44"/>
          <w:szCs w:val="44"/>
        </w:rPr>
        <w:br w:type="page"/>
      </w:r>
      <w:bookmarkStart w:id="62"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62"/>
    </w:p>
    <w:p>
      <w:pPr>
        <w:pageBreakBefore w:val="0"/>
        <w:kinsoku/>
        <w:wordWrap/>
        <w:overflowPunct/>
        <w:topLinePunct w:val="0"/>
        <w:bidi w:val="0"/>
        <w:spacing w:line="56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pageBreakBefore w:val="0"/>
        <w:kinsoku/>
        <w:wordWrap/>
        <w:overflowPunct/>
        <w:topLinePunct w:val="0"/>
        <w:bidi w:val="0"/>
        <w:spacing w:line="560" w:lineRule="exact"/>
        <w:jc w:val="center"/>
        <w:rPr>
          <w:rFonts w:ascii="方正小标宋简体" w:hAnsi="方正小标宋简体" w:eastAsia="方正小标宋简体" w:cs="方正小标宋简体"/>
          <w:sz w:val="44"/>
          <w:szCs w:val="44"/>
        </w:rPr>
      </w:pPr>
    </w:p>
    <w:p>
      <w:pPr>
        <w:pageBreakBefore w:val="0"/>
        <w:kinsoku/>
        <w:wordWrap/>
        <w:overflowPunct/>
        <w:topLinePunct w:val="0"/>
        <w:bidi w:val="0"/>
        <w:spacing w:line="560" w:lineRule="exact"/>
        <w:jc w:val="center"/>
        <w:rPr>
          <w:rFonts w:ascii="仿宋_GB2312" w:hAnsi="宋体" w:eastAsia="仿宋_GB2312"/>
          <w:sz w:val="32"/>
          <w:szCs w:val="32"/>
          <w:shd w:val="clear" w:color="auto" w:fill="FFFFFF"/>
        </w:rPr>
      </w:pPr>
      <w:r>
        <w:rPr>
          <w:rFonts w:hint="eastAsia" w:ascii="方正小标宋简体" w:hAnsi="宋体" w:eastAsia="方正小标宋简体"/>
          <w:color w:val="000000"/>
          <w:kern w:val="0"/>
          <w:sz w:val="40"/>
          <w:szCs w:val="44"/>
          <w:lang w:eastAsia="zh-CN"/>
        </w:rPr>
        <w:t>广元市朝天区应急管理</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pageBreakBefore w:val="0"/>
        <w:widowControl/>
        <w:kinsoku/>
        <w:wordWrap/>
        <w:overflowPunct/>
        <w:topLinePunct w:val="0"/>
        <w:bidi w:val="0"/>
        <w:adjustRightInd w:val="0"/>
        <w:snapToGrid w:val="0"/>
        <w:spacing w:line="560" w:lineRule="exact"/>
        <w:ind w:firstLine="480" w:firstLineChars="200"/>
        <w:contextualSpacing/>
        <w:jc w:val="left"/>
        <w:rPr>
          <w:rFonts w:ascii="黑体" w:hAnsi="宋体" w:eastAsia="黑体" w:cs="宋体"/>
          <w:color w:val="000000"/>
          <w:kern w:val="0"/>
          <w:sz w:val="24"/>
          <w:szCs w:val="32"/>
          <w:shd w:val="clear" w:color="auto" w:fill="FFFFFF"/>
        </w:rPr>
      </w:pPr>
    </w:p>
    <w:p>
      <w:pPr>
        <w:pageBreakBefore w:val="0"/>
        <w:widowControl/>
        <w:kinsoku/>
        <w:wordWrap/>
        <w:overflowPunct/>
        <w:topLinePunct w:val="0"/>
        <w:bidi w:val="0"/>
        <w:adjustRightInd w:val="0"/>
        <w:snapToGrid w:val="0"/>
        <w:spacing w:line="56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pageBreakBefore w:val="0"/>
        <w:widowControl/>
        <w:kinsoku/>
        <w:wordWrap/>
        <w:overflowPunct/>
        <w:topLinePunct w:val="0"/>
        <w:bidi w:val="0"/>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pStyle w:val="33"/>
        <w:pageBreakBefore w:val="0"/>
        <w:kinsoku/>
        <w:wordWrap/>
        <w:overflowPunct/>
        <w:topLinePunct w:val="0"/>
        <w:bidi w:val="0"/>
        <w:spacing w:line="560" w:lineRule="exact"/>
        <w:ind w:firstLine="632"/>
        <w:rPr>
          <w:lang w:val="zh-CN"/>
        </w:rPr>
      </w:pPr>
      <w:r>
        <w:rPr>
          <w:rFonts w:hint="eastAsia" w:ascii="仿宋_GB2312" w:hAnsi="仿宋_GB2312"/>
          <w:kern w:val="2"/>
          <w:szCs w:val="32"/>
        </w:rPr>
        <w:t>朝天区应急管理局(以下简称区应急局)是区政府工作部门，为正科级。内设机构八个：办公室、基础管理股、综合协调股、防灾减灾救灾股、应急救援与预案管理股、安全生产技术服务中心、执法大队、驻矿安监员管理办公室。</w:t>
      </w:r>
    </w:p>
    <w:p>
      <w:pPr>
        <w:pageBreakBefore w:val="0"/>
        <w:widowControl/>
        <w:kinsoku/>
        <w:wordWrap/>
        <w:overflowPunct/>
        <w:topLinePunct w:val="0"/>
        <w:bidi w:val="0"/>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1.负责应急管理工作，组织和指导朝天区境内各乡镇、区级各部门应对安全生产类、自然灾害类等突发事件和综合防灾减灾救灾工作。负责安全生产综合监督管理和工矿商贸、煤炭行业安全生产监督管理工作。</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2.拟订全区应急管理、安全生产等政策措施，组织编制应急体系建设、安全生产和综合防灾减灾规划，组织起草全区安全生产规范性文件。</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3.负责组织、指导全区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4.牵头建立统一的应急管理信息系统，负责信息传输渠道的规划和布局，建立监测预警和灾情报告制度，健全自然灾害信息资源获取和共享机制，依法统一发布灾情。</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5.负责组织、指导、协调安全生产类、自然灾害类等突发事件应急救援，承担全区应对较大及以上灾害指挥部工作，综合研判突发事件发展态势并提出应对建议，负责组织较大及以上灾害应急处置工作。</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6.统一协调指挥各类应急专业队伍，建立应急协调联动机制，推进指挥平台对接，提请衔接解放军和武警部队参与应急救援工作。</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7.按照国家、省、市相关政策和规定负责消防、森林火灾扑救、抗洪抢险、地震和地质灾害救援、生产安全事故救援等专业应急救援力量建设，依法依规统筹指导各乡镇、朝天经济开发区及社会应急救援力量和保障能力建设。</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8.按照国家相关政策和省、市、区相关规定负责消防工作，组织和指导消防监督、火灾预防、火灾扑救等工作。</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9.负责自然灾害综合监测预警工作，承担自然灾害综合风险评估工作。指导协调森林火灾、水旱灾害、地质灾害等防治工作。</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10.负责组织、协调灾害救助工作，组织和指导灾情核查、损失评估、救灾捐赠工作，管理、分配中央、省级、市级下拨及区级救灾款物并监督使用。</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11.依法承担区政府安全生产综合监督管理责任，指导协调、监督检查各乡镇政府和区级有关部门安全生产工作，组织开展安全生产巡查、考核工作。</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12.按照分级、属地原则，依法监督检查工矿商贸生产经营单位贯彻执行安全生产法律法规情况及其安全生产条件和有关设备（特种设备除外）、材料、劳动防护用品的安全生产管理工作。协助市应急局做好区的中央、省属、市属重点工矿商贸企业的安全生产监督管理工作。</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13.承担煤矿、非煤矿山、危险化学品、烟花爆竹等生产经营单位安全生产准入及非药品类易制毒化学品备案管理责任，依法组织实施安全生产准入制度。负责危险化学品安全监督管理综合工作和煤矿、非煤矿山、烟花爆竹安全生产监督管理工作。</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14.拟订煤炭产业发展计划并组织实施，按权限审核、上报煤炭建设项目并负责监督管理。负责煤炭生产协调和监督管理，煤炭行业结构调整和产业升级，煤矿瓦斯等级鉴定、瓦斯治理和利用。推进煤炭体制改革。</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15.承担煤矿安全生产监督管理责任，依法监督检查煤矿企业贯彻执行安全生产法律法规情况及其安全生产条件和有关设备（特种设备除外）、材料、劳动防护用品的安全生产监督管理工作。负责组织、指导煤矿企业安全专项整治、安全标准化、瓦斯和水害防治及相关安全科技发展工作。参与煤矿事故调查处理工作。</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16.承担防震减灾工作职责。负责地震监测设施和观测环境保护工作，负责全区工程建设场地地震安全性评价的监督管理工作，承担全区重大工程的抗震设防监督工作。接受上级相关部门的业务指导。</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17.依法组织、指导生产安全事故调查处理，监督事故查处和责任追究落实情况。组织开展自然灾害类突发事件的调查评估工作。</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18.开展应急管理和安全生产方面的交流与合作，按照上级部门的安排参与安全生产类、自然灾害类等突发事件的跨区域救援工作。</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19.制定应急物资储备和应急救援装备规划并组织实施，会同区发改局等部门建立健全应急物资信息平台和调拨制度，在救灾时统一调度。</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20.负责应急管理、安全生产宣传教育和培训工作，组织和指导应急管理、安全生产的科学技术研究、推广应用和信息化建设工作。</w:t>
      </w:r>
    </w:p>
    <w:p>
      <w:pPr>
        <w:pStyle w:val="33"/>
        <w:pageBreakBefore w:val="0"/>
        <w:kinsoku/>
        <w:wordWrap/>
        <w:overflowPunct/>
        <w:topLinePunct w:val="0"/>
        <w:bidi w:val="0"/>
        <w:spacing w:line="560" w:lineRule="exact"/>
        <w:ind w:firstLine="632"/>
        <w:rPr>
          <w:rFonts w:hint="eastAsia" w:ascii="仿宋_GB2312" w:hAnsi="仿宋_GB2312"/>
          <w:kern w:val="2"/>
          <w:szCs w:val="32"/>
        </w:rPr>
      </w:pPr>
      <w:r>
        <w:rPr>
          <w:rFonts w:hint="eastAsia" w:ascii="仿宋_GB2312" w:hAnsi="仿宋_GB2312"/>
          <w:kern w:val="2"/>
          <w:szCs w:val="32"/>
        </w:rPr>
        <w:t>21.负责职责范围内的职业健康、生态环境保护、审批服务便民化等工作。</w:t>
      </w:r>
    </w:p>
    <w:p>
      <w:pPr>
        <w:pStyle w:val="33"/>
        <w:pageBreakBefore w:val="0"/>
        <w:kinsoku/>
        <w:wordWrap/>
        <w:overflowPunct/>
        <w:topLinePunct w:val="0"/>
        <w:bidi w:val="0"/>
        <w:spacing w:line="560" w:lineRule="exact"/>
        <w:ind w:firstLine="632"/>
        <w:rPr>
          <w:lang w:val="zh-CN"/>
        </w:rPr>
      </w:pPr>
      <w:r>
        <w:rPr>
          <w:rFonts w:hint="eastAsia" w:ascii="仿宋_GB2312" w:hAnsi="仿宋_GB2312"/>
          <w:kern w:val="2"/>
          <w:szCs w:val="32"/>
        </w:rPr>
        <w:t>22.完成区委、区政府交办的其他任务。</w:t>
      </w:r>
    </w:p>
    <w:p>
      <w:pPr>
        <w:pageBreakBefore w:val="0"/>
        <w:widowControl/>
        <w:kinsoku/>
        <w:wordWrap/>
        <w:overflowPunct/>
        <w:topLinePunct w:val="0"/>
        <w:bidi w:val="0"/>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pStyle w:val="33"/>
        <w:spacing w:line="520" w:lineRule="exact"/>
        <w:ind w:firstLine="632"/>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kern w:val="2"/>
          <w:szCs w:val="32"/>
          <w:lang w:eastAsia="zh-CN"/>
        </w:rPr>
        <w:t>截止</w:t>
      </w:r>
      <w:r>
        <w:rPr>
          <w:rFonts w:hint="eastAsia" w:ascii="仿宋_GB2312" w:hAnsi="仿宋_GB2312"/>
          <w:kern w:val="2"/>
          <w:szCs w:val="32"/>
          <w:lang w:val="en-US" w:eastAsia="zh-CN"/>
        </w:rPr>
        <w:t>2020年底，</w:t>
      </w:r>
      <w:r>
        <w:rPr>
          <w:rFonts w:hint="eastAsia" w:ascii="仿宋_GB2312" w:hAnsi="仿宋_GB2312"/>
          <w:kern w:val="2"/>
          <w:szCs w:val="32"/>
        </w:rPr>
        <w:t>本部门核定编制数46人，</w:t>
      </w:r>
      <w:r>
        <w:rPr>
          <w:rFonts w:hint="eastAsia" w:ascii="仿宋_GB2312" w:hAnsi="仿宋_GB2312"/>
          <w:kern w:val="2"/>
          <w:szCs w:val="32"/>
          <w:lang w:eastAsia="zh-CN"/>
        </w:rPr>
        <w:t>其中：行政编制</w:t>
      </w:r>
      <w:r>
        <w:rPr>
          <w:rFonts w:hint="eastAsia" w:ascii="仿宋_GB2312" w:hAnsi="仿宋_GB2312"/>
          <w:kern w:val="2"/>
          <w:szCs w:val="32"/>
          <w:lang w:val="en-US" w:eastAsia="zh-CN"/>
        </w:rPr>
        <w:t>12名</w:t>
      </w:r>
      <w:r>
        <w:rPr>
          <w:rFonts w:hint="eastAsia" w:ascii="仿宋_GB2312" w:hAnsi="仿宋_GB2312"/>
          <w:kern w:val="2"/>
          <w:szCs w:val="32"/>
        </w:rPr>
        <w:t>，</w:t>
      </w:r>
      <w:r>
        <w:rPr>
          <w:rFonts w:hint="eastAsia" w:ascii="仿宋_GB2312" w:hAnsi="仿宋_GB2312"/>
          <w:kern w:val="2"/>
          <w:szCs w:val="32"/>
          <w:lang w:eastAsia="zh-CN"/>
        </w:rPr>
        <w:t>参公编制</w:t>
      </w:r>
      <w:r>
        <w:rPr>
          <w:rFonts w:hint="eastAsia" w:ascii="仿宋_GB2312" w:hAnsi="仿宋_GB2312"/>
          <w:kern w:val="2"/>
          <w:szCs w:val="32"/>
          <w:lang w:val="en-US" w:eastAsia="zh-CN"/>
        </w:rPr>
        <w:t>7人，工勤编制1人，事业编制26人。</w:t>
      </w:r>
      <w:r>
        <w:rPr>
          <w:rFonts w:hint="eastAsia" w:ascii="仿宋_GB2312" w:hAnsi="仿宋_GB2312"/>
          <w:kern w:val="2"/>
          <w:szCs w:val="32"/>
        </w:rPr>
        <w:t>实有人数4</w:t>
      </w:r>
      <w:r>
        <w:rPr>
          <w:rFonts w:hint="eastAsia" w:ascii="仿宋_GB2312" w:hAnsi="仿宋_GB2312"/>
          <w:kern w:val="2"/>
          <w:szCs w:val="32"/>
          <w:lang w:val="en-US" w:eastAsia="zh-CN"/>
        </w:rPr>
        <w:t>2</w:t>
      </w:r>
      <w:r>
        <w:rPr>
          <w:rFonts w:hint="eastAsia" w:ascii="仿宋_GB2312" w:hAnsi="仿宋_GB2312"/>
          <w:kern w:val="2"/>
          <w:szCs w:val="32"/>
        </w:rPr>
        <w:t>人</w:t>
      </w:r>
      <w:r>
        <w:rPr>
          <w:rFonts w:hint="eastAsia" w:ascii="仿宋_GB2312" w:hAnsi="仿宋_GB2312"/>
          <w:kern w:val="2"/>
          <w:szCs w:val="32"/>
          <w:lang w:eastAsia="zh-CN"/>
        </w:rPr>
        <w:t>，其中：行政编制</w:t>
      </w:r>
      <w:r>
        <w:rPr>
          <w:rFonts w:hint="eastAsia" w:ascii="仿宋_GB2312" w:hAnsi="仿宋_GB2312"/>
          <w:kern w:val="2"/>
          <w:szCs w:val="32"/>
          <w:lang w:val="en-US" w:eastAsia="zh-CN"/>
        </w:rPr>
        <w:t>12名</w:t>
      </w:r>
      <w:r>
        <w:rPr>
          <w:rFonts w:hint="eastAsia" w:ascii="仿宋_GB2312" w:hAnsi="仿宋_GB2312"/>
          <w:kern w:val="2"/>
          <w:szCs w:val="32"/>
        </w:rPr>
        <w:t>，</w:t>
      </w:r>
      <w:r>
        <w:rPr>
          <w:rFonts w:hint="eastAsia" w:ascii="仿宋_GB2312" w:hAnsi="仿宋_GB2312"/>
          <w:kern w:val="2"/>
          <w:szCs w:val="32"/>
          <w:lang w:eastAsia="zh-CN"/>
        </w:rPr>
        <w:t>参公编制</w:t>
      </w:r>
      <w:r>
        <w:rPr>
          <w:rFonts w:hint="eastAsia" w:ascii="仿宋_GB2312" w:hAnsi="仿宋_GB2312"/>
          <w:kern w:val="2"/>
          <w:szCs w:val="32"/>
          <w:lang w:val="en-US" w:eastAsia="zh-CN"/>
        </w:rPr>
        <w:t>1人，工勤编制9人，事业编制20人</w:t>
      </w:r>
      <w:r>
        <w:rPr>
          <w:rFonts w:hint="eastAsia" w:ascii="仿宋_GB2312" w:eastAsia="仿宋_GB2312"/>
          <w:color w:val="000000" w:themeColor="text1"/>
          <w:sz w:val="32"/>
          <w:szCs w:val="32"/>
          <w14:textFill>
            <w14:solidFill>
              <w14:schemeClr w14:val="tx1"/>
            </w14:solidFill>
          </w14:textFill>
        </w:rPr>
        <w:t>。</w:t>
      </w:r>
    </w:p>
    <w:p>
      <w:pPr>
        <w:pageBreakBefore w:val="0"/>
        <w:widowControl/>
        <w:kinsoku/>
        <w:wordWrap/>
        <w:overflowPunct/>
        <w:topLinePunct w:val="0"/>
        <w:bidi w:val="0"/>
        <w:adjustRightInd w:val="0"/>
        <w:snapToGrid w:val="0"/>
        <w:spacing w:line="56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pageBreakBefore w:val="0"/>
        <w:widowControl/>
        <w:kinsoku/>
        <w:wordWrap/>
        <w:overflowPunct/>
        <w:topLinePunct w:val="0"/>
        <w:bidi w:val="0"/>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pageBreakBefore w:val="0"/>
        <w:kinsoku/>
        <w:wordWrap/>
        <w:overflowPunct/>
        <w:topLinePunct w:val="0"/>
        <w:bidi w:val="0"/>
        <w:spacing w:line="560" w:lineRule="exact"/>
        <w:ind w:firstLine="640" w:firstLineChars="200"/>
        <w:rPr>
          <w:color w:val="000000" w:themeColor="text1"/>
          <w:lang w:val="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年朝天区</w:t>
      </w:r>
      <w:r>
        <w:rPr>
          <w:rFonts w:hint="eastAsia" w:ascii="仿宋_GB2312" w:hAnsi="仿宋_GB2312" w:eastAsia="仿宋_GB2312" w:cs="仿宋_GB2312"/>
          <w:color w:val="000000" w:themeColor="text1"/>
          <w:sz w:val="32"/>
          <w:szCs w:val="32"/>
          <w:lang w:eastAsia="zh-CN"/>
          <w14:textFill>
            <w14:solidFill>
              <w14:schemeClr w14:val="tx1"/>
            </w14:solidFill>
          </w14:textFill>
        </w:rPr>
        <w:t>应急管理</w:t>
      </w:r>
      <w:r>
        <w:rPr>
          <w:rFonts w:hint="eastAsia" w:ascii="仿宋_GB2312" w:hAnsi="仿宋_GB2312" w:eastAsia="仿宋_GB2312" w:cs="仿宋_GB2312"/>
          <w:color w:val="000000" w:themeColor="text1"/>
          <w:sz w:val="32"/>
          <w:szCs w:val="32"/>
          <w14:textFill>
            <w14:solidFill>
              <w14:schemeClr w14:val="tx1"/>
            </w14:solidFill>
          </w14:textFill>
        </w:rPr>
        <w:t>局收入预算总额为：</w:t>
      </w:r>
      <w:r>
        <w:rPr>
          <w:rFonts w:hint="eastAsia" w:ascii="仿宋" w:hAnsi="仿宋" w:eastAsia="仿宋" w:cs="仿宋_GB2312"/>
          <w:color w:val="000000" w:themeColor="text1"/>
          <w:sz w:val="32"/>
          <w:szCs w:val="32"/>
          <w:lang w:val="en-US" w:eastAsia="zh-CN"/>
          <w14:textFill>
            <w14:solidFill>
              <w14:schemeClr w14:val="tx1"/>
            </w14:solidFill>
          </w14:textFill>
        </w:rPr>
        <w:t>2256.02</w:t>
      </w:r>
      <w:r>
        <w:rPr>
          <w:rFonts w:hint="eastAsia" w:ascii="仿宋_GB2312" w:hAnsi="仿宋_GB2312" w:eastAsia="仿宋_GB2312" w:cs="仿宋_GB2312"/>
          <w:color w:val="000000" w:themeColor="text1"/>
          <w:sz w:val="32"/>
          <w:szCs w:val="32"/>
          <w14:textFill>
            <w14:solidFill>
              <w14:schemeClr w14:val="tx1"/>
            </w14:solidFill>
          </w14:textFill>
        </w:rPr>
        <w:t>万元，其中：一般公共预算财政拨款收入</w:t>
      </w:r>
      <w:r>
        <w:rPr>
          <w:rFonts w:hint="eastAsia" w:ascii="仿宋" w:hAnsi="仿宋" w:eastAsia="仿宋" w:cs="仿宋_GB2312"/>
          <w:color w:val="000000" w:themeColor="text1"/>
          <w:sz w:val="32"/>
          <w:szCs w:val="32"/>
          <w:lang w:val="en-US" w:eastAsia="zh-CN"/>
          <w14:textFill>
            <w14:solidFill>
              <w14:schemeClr w14:val="tx1"/>
            </w14:solidFill>
          </w14:textFill>
        </w:rPr>
        <w:t>2256.02</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ageBreakBefore w:val="0"/>
        <w:widowControl/>
        <w:numPr>
          <w:ilvl w:val="0"/>
          <w:numId w:val="4"/>
        </w:numPr>
        <w:kinsoku/>
        <w:wordWrap/>
        <w:overflowPunct/>
        <w:topLinePunct w:val="0"/>
        <w:bidi w:val="0"/>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pageBreakBefore w:val="0"/>
        <w:kinsoku/>
        <w:wordWrap/>
        <w:overflowPunct/>
        <w:topLinePunct w:val="0"/>
        <w:bidi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20</w:t>
      </w:r>
      <w:r>
        <w:rPr>
          <w:rFonts w:hint="eastAsia" w:ascii="仿宋" w:hAnsi="仿宋" w:eastAsia="仿宋" w:cs="仿宋_GB2312"/>
          <w:color w:val="000000" w:themeColor="text1"/>
          <w:sz w:val="32"/>
          <w:szCs w:val="32"/>
          <w:lang w:val="en-US" w:eastAsia="zh-CN"/>
          <w14:textFill>
            <w14:solidFill>
              <w14:schemeClr w14:val="tx1"/>
            </w14:solidFill>
          </w14:textFill>
        </w:rPr>
        <w:t>20</w:t>
      </w:r>
      <w:r>
        <w:rPr>
          <w:rFonts w:hint="eastAsia" w:ascii="仿宋" w:hAnsi="仿宋" w:eastAsia="仿宋" w:cs="仿宋_GB2312"/>
          <w:color w:val="000000" w:themeColor="text1"/>
          <w:sz w:val="32"/>
          <w:szCs w:val="32"/>
          <w14:textFill>
            <w14:solidFill>
              <w14:schemeClr w14:val="tx1"/>
            </w14:solidFill>
          </w14:textFill>
        </w:rPr>
        <w:t>年本年支出合计</w:t>
      </w:r>
      <w:r>
        <w:rPr>
          <w:rFonts w:hint="eastAsia" w:ascii="仿宋" w:hAnsi="仿宋" w:eastAsia="仿宋" w:cs="仿宋_GB2312"/>
          <w:color w:val="000000" w:themeColor="text1"/>
          <w:sz w:val="32"/>
          <w:szCs w:val="32"/>
          <w:lang w:val="en-US" w:eastAsia="zh-CN"/>
          <w14:textFill>
            <w14:solidFill>
              <w14:schemeClr w14:val="tx1"/>
            </w14:solidFill>
          </w14:textFill>
        </w:rPr>
        <w:t>2256.02</w:t>
      </w:r>
      <w:r>
        <w:rPr>
          <w:rFonts w:hint="eastAsia" w:ascii="仿宋" w:hAnsi="仿宋" w:eastAsia="仿宋" w:cs="仿宋_GB2312"/>
          <w:color w:val="000000" w:themeColor="text1"/>
          <w:sz w:val="32"/>
          <w:szCs w:val="32"/>
          <w14:textFill>
            <w14:solidFill>
              <w14:schemeClr w14:val="tx1"/>
            </w14:solidFill>
          </w14:textFill>
        </w:rPr>
        <w:t>万元，</w:t>
      </w:r>
      <w:r>
        <w:rPr>
          <w:rFonts w:hint="eastAsia" w:ascii="仿宋" w:hAnsi="仿宋" w:eastAsia="仿宋"/>
          <w:color w:val="000000"/>
          <w:sz w:val="32"/>
          <w:szCs w:val="32"/>
        </w:rPr>
        <w:t>其中：基本支出</w:t>
      </w:r>
      <w:r>
        <w:rPr>
          <w:rFonts w:hint="eastAsia" w:ascii="仿宋" w:hAnsi="仿宋" w:eastAsia="仿宋"/>
          <w:color w:val="000000"/>
          <w:sz w:val="32"/>
          <w:szCs w:val="32"/>
          <w:lang w:val="en-US" w:eastAsia="zh-CN"/>
        </w:rPr>
        <w:t>550.83</w:t>
      </w:r>
      <w:r>
        <w:rPr>
          <w:rFonts w:hint="eastAsia" w:ascii="仿宋" w:hAnsi="仿宋" w:eastAsia="仿宋"/>
          <w:color w:val="000000"/>
          <w:sz w:val="32"/>
          <w:szCs w:val="32"/>
        </w:rPr>
        <w:t>万元，占</w:t>
      </w:r>
      <w:r>
        <w:rPr>
          <w:rFonts w:hint="eastAsia" w:ascii="仿宋" w:hAnsi="仿宋" w:eastAsia="仿宋"/>
          <w:color w:val="000000"/>
          <w:sz w:val="32"/>
          <w:szCs w:val="32"/>
          <w:lang w:eastAsia="zh-CN"/>
        </w:rPr>
        <w:t>比</w:t>
      </w:r>
      <w:r>
        <w:rPr>
          <w:rFonts w:hint="eastAsia" w:ascii="仿宋" w:hAnsi="仿宋" w:eastAsia="仿宋"/>
          <w:color w:val="000000"/>
          <w:sz w:val="32"/>
          <w:szCs w:val="32"/>
          <w:lang w:val="en-US" w:eastAsia="zh-CN"/>
        </w:rPr>
        <w:t>24.42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1705.18</w:t>
      </w:r>
      <w:r>
        <w:rPr>
          <w:rFonts w:hint="eastAsia" w:ascii="仿宋" w:hAnsi="仿宋" w:eastAsia="仿宋"/>
          <w:color w:val="000000"/>
          <w:sz w:val="32"/>
          <w:szCs w:val="32"/>
        </w:rPr>
        <w:t>万元，占</w:t>
      </w:r>
      <w:r>
        <w:rPr>
          <w:rFonts w:hint="eastAsia" w:ascii="仿宋" w:hAnsi="仿宋" w:eastAsia="仿宋"/>
          <w:color w:val="000000"/>
          <w:sz w:val="32"/>
          <w:szCs w:val="32"/>
          <w:lang w:eastAsia="zh-CN"/>
        </w:rPr>
        <w:t>比</w:t>
      </w:r>
      <w:r>
        <w:rPr>
          <w:rFonts w:hint="eastAsia" w:ascii="仿宋" w:hAnsi="仿宋" w:eastAsia="仿宋"/>
          <w:color w:val="000000"/>
          <w:sz w:val="32"/>
          <w:szCs w:val="32"/>
          <w:lang w:val="en-US" w:eastAsia="zh-CN"/>
        </w:rPr>
        <w:t>75.58</w:t>
      </w:r>
      <w:r>
        <w:rPr>
          <w:rFonts w:ascii="仿宋" w:hAnsi="仿宋" w:eastAsia="仿宋"/>
          <w:color w:val="000000"/>
          <w:sz w:val="32"/>
          <w:szCs w:val="32"/>
        </w:rPr>
        <w:t>%</w:t>
      </w:r>
      <w:r>
        <w:rPr>
          <w:rFonts w:hint="eastAsia" w:ascii="仿宋" w:hAnsi="仿宋" w:eastAsia="仿宋" w:cs="仿宋_GB2312"/>
          <w:color w:val="000000" w:themeColor="text1"/>
          <w:sz w:val="32"/>
          <w:szCs w:val="32"/>
          <w14:textFill>
            <w14:solidFill>
              <w14:schemeClr w14:val="tx1"/>
            </w14:solidFill>
          </w14:textFill>
        </w:rPr>
        <w:t>。</w:t>
      </w:r>
    </w:p>
    <w:p>
      <w:pPr>
        <w:pStyle w:val="2"/>
        <w:pageBreakBefore w:val="0"/>
        <w:numPr>
          <w:ilvl w:val="0"/>
          <w:numId w:val="0"/>
        </w:numPr>
        <w:kinsoku/>
        <w:wordWrap/>
        <w:overflowPunct/>
        <w:topLinePunct w:val="0"/>
        <w:bidi w:val="0"/>
        <w:spacing w:line="560" w:lineRule="exact"/>
        <w:ind w:left="420" w:leftChars="0"/>
        <w:rPr>
          <w:lang w:val="zh-CN"/>
        </w:rPr>
      </w:pPr>
    </w:p>
    <w:p>
      <w:pPr>
        <w:pageBreakBefore w:val="0"/>
        <w:widowControl/>
        <w:kinsoku/>
        <w:wordWrap/>
        <w:overflowPunct/>
        <w:topLinePunct w:val="0"/>
        <w:bidi w:val="0"/>
        <w:adjustRightInd w:val="0"/>
        <w:snapToGrid w:val="0"/>
        <w:spacing w:line="56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pageBreakBefore w:val="0"/>
        <w:kinsoku/>
        <w:wordWrap/>
        <w:overflowPunct/>
        <w:topLinePunct w:val="0"/>
        <w:bidi w:val="0"/>
        <w:spacing w:line="560" w:lineRule="exact"/>
        <w:ind w:firstLine="627" w:firstLineChars="196"/>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绩效目标制定及完成情况</w:t>
      </w:r>
    </w:p>
    <w:p>
      <w:pPr>
        <w:pageBreakBefore w:val="0"/>
        <w:kinsoku/>
        <w:wordWrap/>
        <w:overflowPunct/>
        <w:topLinePunct w:val="0"/>
        <w:bidi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度，朝天区应急管理局部门绩效目标为根据相关规定，强化安全生产监管体系，加大安全生产执法检查力度，确保全区全年安全生产形势稳定。压实防灾减灾责任，抓好灾害隐患治理，强化救灾物资储备，做好救灾工作，降低自然灾害带来的损失，保障人民群众生命财产安全。完善应急预案体系，提升应急救援能力。当年目标全部完成。</w:t>
      </w:r>
    </w:p>
    <w:p>
      <w:pPr>
        <w:pageBreakBefore w:val="0"/>
        <w:kinsoku/>
        <w:wordWrap/>
        <w:overflowPunct/>
        <w:topLinePunct w:val="0"/>
        <w:bidi w:val="0"/>
        <w:spacing w:line="560" w:lineRule="exact"/>
        <w:ind w:firstLine="627" w:firstLineChars="196"/>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、预算执行</w:t>
      </w:r>
      <w:r>
        <w:rPr>
          <w:rFonts w:hint="eastAsia" w:ascii="仿宋_GB2312" w:hAnsi="仿宋_GB2312" w:eastAsia="仿宋_GB2312" w:cs="仿宋_GB2312"/>
          <w:sz w:val="32"/>
          <w:szCs w:val="32"/>
          <w:lang w:eastAsia="zh-CN"/>
        </w:rPr>
        <w:t>情况</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2020年度，朝天区应急管理局预算编制准确，量入为出，比照预算收入严格控制支出，按照实际情况，通过规定程序追加预算，当年预算全部执行完毕，达到了预期目标，无违规记录。</w:t>
      </w:r>
    </w:p>
    <w:p>
      <w:pPr>
        <w:pageBreakBefore w:val="0"/>
        <w:widowControl/>
        <w:kinsoku/>
        <w:wordWrap/>
        <w:overflowPunct/>
        <w:topLinePunct w:val="0"/>
        <w:bidi w:val="0"/>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pageBreakBefore w:val="0"/>
        <w:widowControl/>
        <w:kinsoku/>
        <w:wordWrap/>
        <w:overflowPunct/>
        <w:topLinePunct w:val="0"/>
        <w:bidi w:val="0"/>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pageBreakBefore w:val="0"/>
        <w:kinsoku/>
        <w:wordWrap/>
        <w:overflowPunct/>
        <w:topLinePunct w:val="0"/>
        <w:bidi w:val="0"/>
        <w:spacing w:line="560" w:lineRule="exact"/>
        <w:ind w:firstLine="640" w:firstLineChars="200"/>
        <w:rPr>
          <w:color w:val="000000" w:themeColor="text1"/>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进一步加强了以国库集中支付、政府采购制度为重点的支出管理，严格预算支出控制。根据</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部门预算总量，按照“增收节支、收支平衡、统筹兼顾、保证重点”的原则，压缩了全局支出总量，调整和规范了支出项目、批准、同时严格执行支出审批、核算管理规定，完善支出手续，规范支出科目，确保各类支出真实、有效。年初绩效目标全部予以公开。实施过程公开透明，随时接受社会监督。通过绩效管理，使资金的使用更加合理规范，收到良好的社会效益。</w:t>
      </w:r>
    </w:p>
    <w:p>
      <w:pPr>
        <w:pageBreakBefore w:val="0"/>
        <w:widowControl/>
        <w:kinsoku/>
        <w:wordWrap/>
        <w:overflowPunct/>
        <w:topLinePunct w:val="0"/>
        <w:bidi w:val="0"/>
        <w:adjustRightInd w:val="0"/>
        <w:snapToGrid w:val="0"/>
        <w:spacing w:line="56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pageBreakBefore w:val="0"/>
        <w:widowControl/>
        <w:kinsoku/>
        <w:wordWrap/>
        <w:overflowPunct/>
        <w:topLinePunct w:val="0"/>
        <w:bidi w:val="0"/>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根据绩效评价指标体系及评分标准，对立项财政专项资金绩效进行客观评价，绩效评级为“</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rPr>
        <w:t>”。</w:t>
      </w:r>
    </w:p>
    <w:p>
      <w:pPr>
        <w:pageBreakBefore w:val="0"/>
        <w:widowControl/>
        <w:numPr>
          <w:ilvl w:val="0"/>
          <w:numId w:val="4"/>
        </w:numPr>
        <w:kinsoku/>
        <w:wordWrap/>
        <w:overflowPunct/>
        <w:topLinePunct w:val="0"/>
        <w:bidi w:val="0"/>
        <w:adjustRightInd w:val="0"/>
        <w:snapToGrid w:val="0"/>
        <w:spacing w:line="56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pageBreakBefore w:val="0"/>
        <w:widowControl/>
        <w:kinsoku/>
        <w:wordWrap/>
        <w:overflowPunct/>
        <w:topLinePunct w:val="0"/>
        <w:bidi w:val="0"/>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pageBreakBefore w:val="0"/>
        <w:kinsoku/>
        <w:wordWrap/>
        <w:overflowPunct/>
        <w:topLinePunct w:val="0"/>
        <w:bidi w:val="0"/>
        <w:spacing w:line="560" w:lineRule="exact"/>
        <w:ind w:firstLine="640" w:firstLineChars="200"/>
        <w:rPr>
          <w:rFonts w:ascii="仿宋_GB2312" w:hAnsi="仿宋_GB2312" w:eastAsia="仿宋_GB2312" w:cs="仿宋_GB2312"/>
          <w:sz w:val="32"/>
          <w:szCs w:val="32"/>
        </w:rPr>
      </w:pPr>
    </w:p>
    <w:p>
      <w:pPr>
        <w:pStyle w:val="2"/>
        <w:pageBreakBefore w:val="0"/>
        <w:kinsoku/>
        <w:wordWrap/>
        <w:overflowPunct/>
        <w:topLinePunct w:val="0"/>
        <w:bidi w:val="0"/>
        <w:spacing w:line="560" w:lineRule="exact"/>
        <w:rPr>
          <w:rFonts w:ascii="仿宋_GB2312" w:hAnsi="仿宋_GB2312" w:eastAsia="仿宋_GB2312" w:cs="仿宋_GB2312"/>
          <w:sz w:val="32"/>
          <w:szCs w:val="32"/>
        </w:rPr>
      </w:pPr>
    </w:p>
    <w:p>
      <w:pPr>
        <w:pageBreakBefore w:val="0"/>
        <w:kinsoku/>
        <w:wordWrap/>
        <w:overflowPunct/>
        <w:topLinePunct w:val="0"/>
        <w:bidi w:val="0"/>
        <w:spacing w:line="560" w:lineRule="exact"/>
        <w:rPr>
          <w:rFonts w:ascii="仿宋_GB2312" w:hAnsi="仿宋_GB2312" w:eastAsia="仿宋_GB2312" w:cs="仿宋_GB2312"/>
          <w:sz w:val="32"/>
          <w:szCs w:val="32"/>
        </w:rPr>
      </w:pPr>
    </w:p>
    <w:p>
      <w:pPr>
        <w:pStyle w:val="2"/>
        <w:pageBreakBefore w:val="0"/>
        <w:kinsoku/>
        <w:wordWrap/>
        <w:overflowPunct/>
        <w:topLinePunct w:val="0"/>
        <w:bidi w:val="0"/>
        <w:spacing w:line="560" w:lineRule="exact"/>
        <w:rPr>
          <w:rFonts w:ascii="仿宋_GB2312" w:hAnsi="仿宋_GB2312" w:eastAsia="仿宋_GB2312" w:cs="仿宋_GB2312"/>
          <w:sz w:val="32"/>
          <w:szCs w:val="32"/>
        </w:rPr>
      </w:pPr>
    </w:p>
    <w:p>
      <w:pPr>
        <w:pageBreakBefore w:val="0"/>
        <w:kinsoku/>
        <w:wordWrap/>
        <w:overflowPunct/>
        <w:topLinePunct w:val="0"/>
        <w:bidi w:val="0"/>
        <w:spacing w:line="560" w:lineRule="exact"/>
        <w:rPr>
          <w:rFonts w:ascii="仿宋_GB2312" w:hAnsi="仿宋_GB2312" w:eastAsia="仿宋_GB2312" w:cs="仿宋_GB2312"/>
          <w:sz w:val="32"/>
          <w:szCs w:val="32"/>
        </w:rPr>
      </w:pPr>
    </w:p>
    <w:p>
      <w:pPr>
        <w:pStyle w:val="2"/>
        <w:pageBreakBefore w:val="0"/>
        <w:kinsoku/>
        <w:wordWrap/>
        <w:overflowPunct/>
        <w:topLinePunct w:val="0"/>
        <w:bidi w:val="0"/>
        <w:spacing w:line="560" w:lineRule="exact"/>
        <w:rPr>
          <w:rFonts w:ascii="仿宋_GB2312" w:hAnsi="仿宋_GB2312" w:eastAsia="仿宋_GB2312" w:cs="仿宋_GB2312"/>
          <w:sz w:val="32"/>
          <w:szCs w:val="32"/>
        </w:rPr>
      </w:pPr>
    </w:p>
    <w:p>
      <w:pPr>
        <w:pageBreakBefore w:val="0"/>
        <w:kinsoku/>
        <w:wordWrap/>
        <w:overflowPunct/>
        <w:topLinePunct w:val="0"/>
        <w:bidi w:val="0"/>
        <w:spacing w:line="560" w:lineRule="exact"/>
        <w:rPr>
          <w:rFonts w:ascii="仿宋_GB2312" w:hAnsi="仿宋_GB2312" w:eastAsia="仿宋_GB2312" w:cs="仿宋_GB2312"/>
          <w:sz w:val="32"/>
          <w:szCs w:val="32"/>
        </w:rPr>
      </w:pPr>
    </w:p>
    <w:p>
      <w:pPr>
        <w:pStyle w:val="2"/>
        <w:pageBreakBefore w:val="0"/>
        <w:kinsoku/>
        <w:wordWrap/>
        <w:overflowPunct/>
        <w:topLinePunct w:val="0"/>
        <w:bidi w:val="0"/>
        <w:spacing w:line="560" w:lineRule="exact"/>
        <w:rPr>
          <w:rFonts w:ascii="仿宋_GB2312" w:hAnsi="仿宋_GB2312" w:eastAsia="仿宋_GB2312" w:cs="仿宋_GB2312"/>
          <w:sz w:val="32"/>
          <w:szCs w:val="32"/>
        </w:rPr>
      </w:pPr>
    </w:p>
    <w:p>
      <w:pPr>
        <w:pageBreakBefore w:val="0"/>
        <w:kinsoku/>
        <w:wordWrap/>
        <w:overflowPunct/>
        <w:topLinePunct w:val="0"/>
        <w:bidi w:val="0"/>
        <w:spacing w:line="560" w:lineRule="exact"/>
        <w:rPr>
          <w:rFonts w:ascii="仿宋_GB2312" w:hAnsi="仿宋_GB2312" w:eastAsia="仿宋_GB2312" w:cs="仿宋_GB2312"/>
          <w:sz w:val="32"/>
          <w:szCs w:val="32"/>
        </w:rPr>
      </w:pPr>
    </w:p>
    <w:p>
      <w:pPr>
        <w:pStyle w:val="2"/>
        <w:pageBreakBefore w:val="0"/>
        <w:kinsoku/>
        <w:wordWrap/>
        <w:overflowPunct/>
        <w:topLinePunct w:val="0"/>
        <w:bidi w:val="0"/>
        <w:spacing w:line="560" w:lineRule="exact"/>
        <w:rPr>
          <w:rFonts w:ascii="仿宋_GB2312" w:hAnsi="仿宋_GB2312" w:eastAsia="仿宋_GB2312" w:cs="仿宋_GB2312"/>
          <w:sz w:val="32"/>
          <w:szCs w:val="32"/>
        </w:rPr>
      </w:pPr>
    </w:p>
    <w:p>
      <w:pPr>
        <w:pageBreakBefore w:val="0"/>
        <w:kinsoku/>
        <w:wordWrap/>
        <w:overflowPunct/>
        <w:topLinePunct w:val="0"/>
        <w:bidi w:val="0"/>
        <w:spacing w:line="560" w:lineRule="exact"/>
      </w:pPr>
    </w:p>
    <w:p>
      <w:pPr>
        <w:pageBreakBefore w:val="0"/>
        <w:kinsoku/>
        <w:wordWrap/>
        <w:overflowPunct/>
        <w:topLinePunct w:val="0"/>
        <w:bidi w:val="0"/>
        <w:spacing w:line="56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pageBreakBefore w:val="0"/>
        <w:kinsoku/>
        <w:wordWrap/>
        <w:overflowPunct/>
        <w:topLinePunct w:val="0"/>
        <w:bidi w:val="0"/>
        <w:spacing w:line="560" w:lineRule="exact"/>
        <w:ind w:firstLine="640" w:firstLineChars="200"/>
        <w:rPr>
          <w:rFonts w:ascii="仿宋_GB2312" w:hAnsi="仿宋_GB2312" w:eastAsia="仿宋_GB2312" w:cs="仿宋_GB2312"/>
          <w:sz w:val="32"/>
          <w:szCs w:val="32"/>
        </w:rPr>
      </w:pPr>
    </w:p>
    <w:p>
      <w:pPr>
        <w:pageBreakBefore w:val="0"/>
        <w:kinsoku/>
        <w:wordWrap/>
        <w:overflowPunct/>
        <w:topLinePunct w:val="0"/>
        <w:bidi w:val="0"/>
        <w:spacing w:line="56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en-US" w:eastAsia="zh-CN"/>
        </w:rPr>
        <w:t>2019年地质灾害资金</w:t>
      </w:r>
      <w:r>
        <w:rPr>
          <w:rFonts w:hint="eastAsia" w:ascii="方正小标宋简体" w:hAnsi="宋体" w:eastAsia="方正小标宋简体"/>
          <w:color w:val="000000"/>
          <w:kern w:val="0"/>
          <w:sz w:val="44"/>
          <w:szCs w:val="44"/>
          <w:lang w:val="zh-CN"/>
        </w:rPr>
        <w:t>项目</w:t>
      </w:r>
    </w:p>
    <w:p>
      <w:pPr>
        <w:pageBreakBefore w:val="0"/>
        <w:kinsoku/>
        <w:wordWrap/>
        <w:overflowPunct/>
        <w:topLinePunct w:val="0"/>
        <w:bidi w:val="0"/>
        <w:spacing w:line="56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lang w:val="en-US" w:eastAsia="zh-CN"/>
        </w:rPr>
        <w:t>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pageBreakBefore w:val="0"/>
        <w:kinsoku/>
        <w:wordWrap/>
        <w:overflowPunct/>
        <w:topLinePunct w:val="0"/>
        <w:bidi w:val="0"/>
        <w:spacing w:line="560" w:lineRule="exact"/>
        <w:rPr>
          <w:rFonts w:ascii="宋体" w:hAnsi="宋体"/>
          <w:sz w:val="32"/>
          <w:szCs w:val="32"/>
          <w:lang w:val="zh-CN"/>
        </w:rPr>
      </w:pPr>
    </w:p>
    <w:p>
      <w:pPr>
        <w:pageBreakBefore w:val="0"/>
        <w:kinsoku/>
        <w:wordWrap/>
        <w:overflowPunct/>
        <w:topLinePunct w:val="0"/>
        <w:bidi w:val="0"/>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1．说明项目主管部门（单位）在该项目管理中的职能。</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一是规范项目实施管理。组织项目管理人员认真学习项目管理政策法规，准确把握项目管理要求，主动与财政等部门进行对接，保证项目实施规范合法；二是严格项目资金管理。加强项目财务管理，做到专款专用、专账核算，不得挪用、挤占、截留资金。</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pageBreakBefore w:val="0"/>
        <w:kinsoku/>
        <w:wordWrap/>
        <w:overflowPunct/>
        <w:topLinePunct w:val="0"/>
        <w:bidi w:val="0"/>
        <w:adjustRightInd w:val="0"/>
        <w:snapToGrid w:val="0"/>
        <w:spacing w:line="560" w:lineRule="exact"/>
        <w:ind w:firstLine="720"/>
        <w:rPr>
          <w:lang w:val="zh-CN"/>
        </w:rPr>
      </w:pPr>
      <w:r>
        <w:rPr>
          <w:rFonts w:hint="eastAsia" w:ascii="仿宋_GB2312" w:hAnsi="宋体" w:eastAsia="仿宋_GB2312"/>
          <w:sz w:val="32"/>
          <w:szCs w:val="32"/>
          <w:lang w:val="zh-CN"/>
        </w:rPr>
        <w:t>项目立项、资金申报的依据为</w:t>
      </w:r>
      <w:r>
        <w:rPr>
          <w:rFonts w:hint="eastAsia" w:ascii="仿宋_GB2312" w:hAnsi="仿宋" w:eastAsia="仿宋_GB2312"/>
          <w:sz w:val="32"/>
          <w:szCs w:val="32"/>
        </w:rPr>
        <w:t>《广元市朝天区财政局关于下达2019年中央自然灾害救灾专项资金的通知》（广朝财建〔2020〕3号）</w:t>
      </w:r>
      <w:r>
        <w:rPr>
          <w:rFonts w:hint="eastAsia" w:ascii="仿宋_GB2312" w:hAnsi="宋体" w:eastAsia="仿宋_GB2312"/>
          <w:sz w:val="32"/>
          <w:szCs w:val="32"/>
          <w:lang w:val="zh-CN" w:eastAsia="zh-CN"/>
        </w:rPr>
        <w:t>。</w:t>
      </w:r>
    </w:p>
    <w:p>
      <w:pPr>
        <w:pageBreakBefore w:val="0"/>
        <w:numPr>
          <w:ilvl w:val="0"/>
          <w:numId w:val="5"/>
        </w:numPr>
        <w:kinsoku/>
        <w:wordWrap/>
        <w:overflowPunct/>
        <w:topLinePunct w:val="0"/>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资金管理办法制定情况，资金支持具体项目的条件、范围与支持方式概况。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lang w:val="zh-CN"/>
        </w:rPr>
      </w:pPr>
      <w:r>
        <w:rPr>
          <w:rFonts w:hint="eastAsia" w:ascii="仿宋_GB2312" w:hAnsi="宋体" w:eastAsia="仿宋_GB2312"/>
          <w:sz w:val="32"/>
          <w:szCs w:val="32"/>
          <w:lang w:val="zh-CN"/>
        </w:rPr>
        <w:t>该专项资金专款专用，主要用于排查地质灾害隐患，并对排查处的隐患所在</w:t>
      </w:r>
      <w:r>
        <w:rPr>
          <w:rFonts w:hint="eastAsia" w:ascii="仿宋_GB2312" w:hAnsi="宋体" w:eastAsia="仿宋_GB2312"/>
          <w:sz w:val="32"/>
          <w:szCs w:val="32"/>
          <w:lang w:val="en-US" w:eastAsia="zh-CN"/>
        </w:rPr>
        <w:t>乡镇进行资金支持以便地质灾害治理</w:t>
      </w:r>
      <w:r>
        <w:rPr>
          <w:rFonts w:hint="eastAsia" w:ascii="仿宋_GB2312" w:hAnsi="宋体" w:eastAsia="仿宋_GB2312"/>
          <w:sz w:val="32"/>
          <w:szCs w:val="32"/>
          <w:lang w:val="zh-CN"/>
        </w:rPr>
        <w:t>。</w:t>
      </w:r>
    </w:p>
    <w:p>
      <w:pPr>
        <w:pageBreakBefore w:val="0"/>
        <w:numPr>
          <w:ilvl w:val="0"/>
          <w:numId w:val="5"/>
        </w:numPr>
        <w:kinsoku/>
        <w:wordWrap/>
        <w:overflowPunct/>
        <w:topLinePunct w:val="0"/>
        <w:bidi w:val="0"/>
        <w:adjustRightInd w:val="0"/>
        <w:snapToGrid w:val="0"/>
        <w:spacing w:line="560" w:lineRule="exact"/>
        <w:ind w:left="0" w:leftChars="0" w:firstLine="720" w:firstLineChars="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资金分配的原则及考虑因素。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color w:val="FF0000"/>
          <w:lang w:val="zh-CN"/>
        </w:rPr>
      </w:pPr>
      <w:r>
        <w:rPr>
          <w:rFonts w:hint="eastAsia" w:ascii="仿宋_GB2312" w:hAnsi="宋体" w:eastAsia="仿宋_GB2312"/>
          <w:sz w:val="32"/>
          <w:szCs w:val="32"/>
          <w:lang w:val="zh-CN"/>
        </w:rPr>
        <w:t>“分级管理、分级负担；专款专用、重点使用；公平公正、公开透明；强化监督、注重时效”的基本原则，按程序和规定使用分配，确保资金专款专用。</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1．项目主要内容。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color w:val="000000" w:themeColor="text1"/>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项目主要内容为</w:t>
      </w:r>
      <w:r>
        <w:rPr>
          <w:rFonts w:hint="eastAsia" w:ascii="仿宋_GB2312" w:hAnsi="仿宋" w:eastAsia="仿宋_GB2312"/>
          <w:sz w:val="32"/>
          <w:szCs w:val="32"/>
        </w:rPr>
        <w:t>开展地质灾害应急救援救灾工作，主要为应急排查与检测应急避险转移及排除危险、应急临时工程治理和交通后勤通信应急保障等</w:t>
      </w:r>
      <w:r>
        <w:rPr>
          <w:rFonts w:hint="eastAsia" w:ascii="仿宋_GB2312" w:hAnsi="宋体" w:eastAsia="仿宋_GB2312"/>
          <w:color w:val="000000" w:themeColor="text1"/>
          <w:sz w:val="32"/>
          <w:szCs w:val="32"/>
          <w:lang w:val="zh-CN" w:eastAsia="zh-CN"/>
          <w14:textFill>
            <w14:solidFill>
              <w14:schemeClr w14:val="tx1"/>
            </w14:solidFill>
          </w14:textFill>
        </w:rPr>
        <w:t>。</w:t>
      </w:r>
    </w:p>
    <w:p>
      <w:pPr>
        <w:pageBreakBefore w:val="0"/>
        <w:numPr>
          <w:ilvl w:val="0"/>
          <w:numId w:val="0"/>
        </w:numPr>
        <w:kinsoku/>
        <w:wordWrap/>
        <w:overflowPunct/>
        <w:topLinePunct w:val="0"/>
        <w:bidi w:val="0"/>
        <w:adjustRightInd w:val="0"/>
        <w:snapToGrid w:val="0"/>
        <w:spacing w:line="560" w:lineRule="exact"/>
        <w:ind w:firstLine="640" w:firstLineChars="200"/>
        <w:rPr>
          <w:rFonts w:hint="eastAsia"/>
          <w:lang w:val="zh-CN"/>
        </w:rPr>
      </w:pP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lang w:val="zh-CN"/>
          <w14:textFill>
            <w14:solidFill>
              <w14:schemeClr w14:val="tx1"/>
            </w14:solidFill>
          </w14:textFill>
        </w:rPr>
        <w:t>项目应实现的具体绩效目标，包括目标的量化、细化情况以及项目实施进度计划等。</w:t>
      </w:r>
    </w:p>
    <w:p>
      <w:pPr>
        <w:pageBreakBefore w:val="0"/>
        <w:numPr>
          <w:ilvl w:val="0"/>
          <w:numId w:val="0"/>
        </w:numPr>
        <w:kinsoku/>
        <w:wordWrap/>
        <w:overflowPunct/>
        <w:topLinePunct w:val="0"/>
        <w:bidi w:val="0"/>
        <w:adjustRightInd w:val="0"/>
        <w:snapToGrid w:val="0"/>
        <w:spacing w:line="560" w:lineRule="exact"/>
        <w:ind w:firstLine="640" w:firstLineChars="200"/>
        <w:rPr>
          <w:rFonts w:hint="eastAsia"/>
          <w:lang w:val="zh-CN"/>
        </w:rPr>
      </w:pPr>
      <w:r>
        <w:rPr>
          <w:rFonts w:hint="eastAsia" w:ascii="仿宋_GB2312" w:hAnsi="仿宋" w:eastAsia="仿宋_GB2312"/>
          <w:sz w:val="32"/>
          <w:szCs w:val="32"/>
          <w:lang w:eastAsia="zh-CN"/>
        </w:rPr>
        <w:t>项目</w:t>
      </w:r>
      <w:r>
        <w:rPr>
          <w:rFonts w:hint="eastAsia" w:ascii="仿宋_GB2312" w:hAnsi="仿宋" w:eastAsia="仿宋_GB2312"/>
          <w:sz w:val="32"/>
          <w:szCs w:val="32"/>
        </w:rPr>
        <w:t>预期总目标为按照</w:t>
      </w:r>
      <w:r>
        <w:rPr>
          <w:rFonts w:hint="eastAsia" w:ascii="仿宋_GB2312" w:hAnsi="仿宋" w:eastAsia="仿宋_GB2312"/>
          <w:sz w:val="32"/>
          <w:szCs w:val="32"/>
          <w:lang w:eastAsia="zh-CN"/>
        </w:rPr>
        <w:t>相关</w:t>
      </w:r>
      <w:r>
        <w:rPr>
          <w:rFonts w:hint="eastAsia" w:ascii="仿宋_GB2312" w:hAnsi="仿宋" w:eastAsia="仿宋_GB2312"/>
          <w:sz w:val="32"/>
          <w:szCs w:val="32"/>
        </w:rPr>
        <w:t>规定，及时开展应急排查和应急临时工程治理，确保人民群众生命财产安全。衡量目标实现程度的评价指标、标准主要为：数量指标2个，分别为地质灾害应急排查面积、地质灾害隐患临时治理（处）；质量指标临时治理项目验收合格率；时效指标地质灾害应急处置及时率等</w:t>
      </w:r>
    </w:p>
    <w:p>
      <w:pPr>
        <w:pageBreakBefore w:val="0"/>
        <w:numPr>
          <w:ilvl w:val="0"/>
          <w:numId w:val="0"/>
        </w:numPr>
        <w:kinsoku/>
        <w:wordWrap/>
        <w:overflowPunct/>
        <w:topLinePunct w:val="0"/>
        <w:bidi w:val="0"/>
        <w:adjustRightInd w:val="0"/>
        <w:snapToGrid w:val="0"/>
        <w:spacing w:line="560" w:lineRule="exact"/>
        <w:ind w:firstLine="640" w:firstLineChars="20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lang w:val="zh-CN"/>
          <w14:textFill>
            <w14:solidFill>
              <w14:schemeClr w14:val="tx1"/>
            </w14:solidFill>
          </w14:textFill>
        </w:rPr>
        <w:t>分析评价申报内容是否与实际相符，申报目标是否合理可行。</w:t>
      </w:r>
    </w:p>
    <w:p>
      <w:pPr>
        <w:pStyle w:val="2"/>
        <w:pageBreakBefore w:val="0"/>
        <w:numPr>
          <w:ilvl w:val="0"/>
          <w:numId w:val="0"/>
        </w:numPr>
        <w:kinsoku/>
        <w:wordWrap/>
        <w:overflowPunct/>
        <w:topLinePunct w:val="0"/>
        <w:bidi w:val="0"/>
        <w:spacing w:line="560" w:lineRule="exact"/>
        <w:ind w:left="640" w:leftChars="0"/>
        <w:rPr>
          <w:color w:val="FF0000"/>
          <w:lang w:val="zh-CN"/>
        </w:rPr>
      </w:pPr>
      <w:r>
        <w:rPr>
          <w:rFonts w:hint="eastAsia" w:ascii="仿宋_GB2312" w:hAnsi="宋体" w:eastAsia="仿宋_GB2312"/>
          <w:color w:val="000000" w:themeColor="text1"/>
          <w:sz w:val="32"/>
          <w:szCs w:val="32"/>
          <w:lang w:val="zh-CN" w:eastAsia="zh-CN"/>
          <w14:textFill>
            <w14:solidFill>
              <w14:schemeClr w14:val="tx1"/>
            </w14:solidFill>
          </w14:textFill>
        </w:rPr>
        <w:t>分析评价申报内容与实际相符，申报目标合理可行。</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1.收集数据。对2019年度地质灾害资金收支情况、项目实施情况相关资料进行收集。</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2、组织实施。对基础数据进行审核、核对开展自评；</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3、归纳汇总。对收集的评价材料结合本单位情况进行综合分析、归纳汇总；</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4、根据评价材料结合各项评价指标逐条对应进行分析评分；</w:t>
      </w:r>
    </w:p>
    <w:p>
      <w:pPr>
        <w:pageBreakBefore w:val="0"/>
        <w:kinsoku/>
        <w:wordWrap/>
        <w:overflowPunct/>
        <w:topLinePunct w:val="0"/>
        <w:bidi w:val="0"/>
        <w:adjustRightInd w:val="0"/>
        <w:snapToGrid w:val="0"/>
        <w:spacing w:line="560" w:lineRule="exact"/>
        <w:ind w:firstLine="720"/>
        <w:rPr>
          <w:rFonts w:ascii="仿宋_GB2312" w:hAnsi="宋体" w:eastAsia="仿宋_GB2312"/>
          <w:color w:val="FF0000"/>
          <w:sz w:val="32"/>
          <w:szCs w:val="32"/>
          <w:lang w:val="zh-CN"/>
        </w:rPr>
      </w:pPr>
      <w:r>
        <w:rPr>
          <w:rFonts w:hint="eastAsia" w:ascii="仿宋_GB2312" w:hAnsi="宋体" w:eastAsia="仿宋_GB2312"/>
          <w:color w:val="000000" w:themeColor="text1"/>
          <w:sz w:val="32"/>
          <w:szCs w:val="32"/>
          <w:lang w:val="en-US" w:eastAsia="zh-CN"/>
          <w14:textFill>
            <w14:solidFill>
              <w14:schemeClr w14:val="tx1"/>
            </w14:solidFill>
          </w14:textFill>
        </w:rPr>
        <w:t>5、形成绩效评价自评报告。</w:t>
      </w:r>
    </w:p>
    <w:p>
      <w:pPr>
        <w:pageBreakBefore w:val="0"/>
        <w:kinsoku/>
        <w:wordWrap/>
        <w:overflowPunct/>
        <w:topLinePunct w:val="0"/>
        <w:bidi w:val="0"/>
        <w:adjustRightInd w:val="0"/>
        <w:snapToGrid w:val="0"/>
        <w:spacing w:line="56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仿宋" w:eastAsia="仿宋_GB2312"/>
          <w:sz w:val="32"/>
          <w:szCs w:val="32"/>
        </w:rPr>
        <w:t>《广元市朝天区财政局关于下达2019年中央自然灾害救灾专项资金的通知》（广朝财建〔2020〕3号）</w:t>
      </w:r>
      <w:r>
        <w:rPr>
          <w:rFonts w:hint="eastAsia" w:ascii="仿宋_GB2312" w:hAnsi="仿宋" w:eastAsia="仿宋_GB2312"/>
          <w:sz w:val="32"/>
          <w:szCs w:val="32"/>
          <w:lang w:eastAsia="zh-CN"/>
        </w:rPr>
        <w:t>下达资金</w:t>
      </w:r>
      <w:r>
        <w:rPr>
          <w:rFonts w:hint="eastAsia" w:ascii="仿宋_GB2312" w:hAnsi="仿宋" w:eastAsia="仿宋_GB2312"/>
          <w:sz w:val="32"/>
          <w:szCs w:val="32"/>
          <w:lang w:val="en-US" w:eastAsia="zh-CN"/>
        </w:rPr>
        <w:t>180万元</w:t>
      </w:r>
      <w:r>
        <w:rPr>
          <w:rFonts w:hint="eastAsia" w:ascii="仿宋_GB2312" w:hAnsi="宋体" w:eastAsia="仿宋_GB2312"/>
          <w:color w:val="000000" w:themeColor="text1"/>
          <w:sz w:val="32"/>
          <w:szCs w:val="32"/>
          <w:lang w:val="zh-CN"/>
          <w14:textFill>
            <w14:solidFill>
              <w14:schemeClr w14:val="tx1"/>
            </w14:solidFill>
          </w14:textFill>
        </w:rPr>
        <w:t>。</w:t>
      </w:r>
    </w:p>
    <w:p>
      <w:pPr>
        <w:pageBreakBefore w:val="0"/>
        <w:kinsoku/>
        <w:wordWrap/>
        <w:overflowPunct/>
        <w:topLinePunct w:val="0"/>
        <w:bidi w:val="0"/>
        <w:adjustRightInd w:val="0"/>
        <w:snapToGrid w:val="0"/>
        <w:spacing w:line="56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（二）资金计划、到位及使用情况（可用表格形式反映）。</w:t>
      </w:r>
    </w:p>
    <w:p>
      <w:pPr>
        <w:pageBreakBefore w:val="0"/>
        <w:kinsoku/>
        <w:wordWrap/>
        <w:overflowPunct/>
        <w:topLinePunct w:val="0"/>
        <w:bidi w:val="0"/>
        <w:adjustRightInd w:val="0"/>
        <w:snapToGrid w:val="0"/>
        <w:spacing w:line="560" w:lineRule="exact"/>
        <w:ind w:firstLine="720"/>
        <w:rPr>
          <w:rFonts w:hint="eastAsia" w:ascii="仿宋_GB2312" w:hAnsi="仿宋" w:eastAsia="仿宋_GB2312"/>
          <w:sz w:val="32"/>
          <w:szCs w:val="32"/>
        </w:rPr>
      </w:pPr>
      <w:r>
        <w:rPr>
          <w:rFonts w:hint="eastAsia" w:ascii="仿宋_GB2312" w:hAnsi="仿宋" w:eastAsia="仿宋_GB2312"/>
          <w:sz w:val="32"/>
          <w:szCs w:val="32"/>
        </w:rPr>
        <w:t>截至2020年12月31日，区财政局拨付2019地质灾害救灾资金共180万元，实际拨付资金与预算相符，项目资金全部到位。</w:t>
      </w:r>
    </w:p>
    <w:p>
      <w:pPr>
        <w:pageBreakBefore w:val="0"/>
        <w:kinsoku/>
        <w:wordWrap/>
        <w:overflowPunct/>
        <w:topLinePunct w:val="0"/>
        <w:bidi w:val="0"/>
        <w:adjustRightInd w:val="0"/>
        <w:snapToGrid w:val="0"/>
        <w:spacing w:line="560" w:lineRule="exact"/>
        <w:ind w:firstLine="720"/>
        <w:rPr>
          <w:rFonts w:hint="eastAsia" w:ascii="楷体_GB2312" w:hAnsi="宋体" w:eastAsia="楷体_GB2312"/>
          <w:b/>
          <w:sz w:val="32"/>
          <w:szCs w:val="32"/>
          <w:lang w:val="zh-CN"/>
        </w:rPr>
      </w:pPr>
      <w:r>
        <w:rPr>
          <w:rFonts w:hint="eastAsia" w:ascii="仿宋_GB2312" w:hAnsi="仿宋" w:eastAsia="仿宋_GB2312"/>
          <w:sz w:val="32"/>
          <w:szCs w:val="32"/>
        </w:rPr>
        <w:t>截至2020年12月31日，</w:t>
      </w:r>
      <w:r>
        <w:rPr>
          <w:rFonts w:hint="eastAsia" w:ascii="仿宋_GB2312" w:hAnsi="微软雅黑" w:eastAsia="仿宋_GB2312"/>
          <w:color w:val="000000"/>
          <w:sz w:val="32"/>
          <w:szCs w:val="32"/>
        </w:rPr>
        <w:t>专项资金实际使用180万元，项目支出标准、支付依据合规合法。</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我局财务制度健全，管理规范,账务处理及时，会计核算规范。专项资金严格按照国家规定的项目资金相关法律、法规的规定和要求使用，确保资金的专款专用。</w:t>
      </w:r>
    </w:p>
    <w:p>
      <w:pPr>
        <w:pageBreakBefore w:val="0"/>
        <w:kinsoku/>
        <w:wordWrap/>
        <w:overflowPunct/>
        <w:topLinePunct w:val="0"/>
        <w:bidi w:val="0"/>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三、项目实施及管理情况</w:t>
      </w:r>
    </w:p>
    <w:p>
      <w:pPr>
        <w:pageBreakBefore w:val="0"/>
        <w:numPr>
          <w:ilvl w:val="0"/>
          <w:numId w:val="6"/>
        </w:numPr>
        <w:kinsoku/>
        <w:wordWrap/>
        <w:overflowPunct/>
        <w:topLinePunct w:val="0"/>
        <w:bidi w:val="0"/>
        <w:adjustRightInd w:val="0"/>
        <w:snapToGrid w:val="0"/>
        <w:spacing w:line="560" w:lineRule="exact"/>
        <w:ind w:firstLine="720"/>
        <w:rPr>
          <w:rFonts w:hint="eastAsia"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项目组织架构及实施流程。</w:t>
      </w:r>
    </w:p>
    <w:p>
      <w:pPr>
        <w:pageBreakBefore w:val="0"/>
        <w:kinsoku/>
        <w:wordWrap/>
        <w:overflowPunct/>
        <w:topLinePunct w:val="0"/>
        <w:bidi w:val="0"/>
        <w:spacing w:line="560" w:lineRule="exact"/>
        <w:ind w:firstLine="640" w:firstLineChars="200"/>
        <w:rPr>
          <w:lang w:val="zh-CN"/>
        </w:rPr>
      </w:pPr>
      <w:r>
        <w:rPr>
          <w:rFonts w:hint="eastAsia" w:ascii="仿宋" w:hAnsi="仿宋" w:eastAsia="仿宋" w:cs="仿宋"/>
          <w:color w:val="000000"/>
          <w:sz w:val="32"/>
          <w:szCs w:val="32"/>
          <w:lang w:eastAsia="zh-CN" w:bidi="ar"/>
        </w:rPr>
        <w:t>应急排查</w:t>
      </w:r>
      <w:r>
        <w:rPr>
          <w:rFonts w:hint="eastAsia" w:ascii="仿宋" w:hAnsi="仿宋" w:eastAsia="仿宋" w:cs="仿宋"/>
          <w:color w:val="000000"/>
          <w:sz w:val="32"/>
          <w:szCs w:val="32"/>
          <w:lang w:bidi="ar"/>
        </w:rPr>
        <w:t>→</w:t>
      </w:r>
      <w:r>
        <w:rPr>
          <w:rFonts w:hint="eastAsia" w:ascii="仿宋" w:hAnsi="仿宋" w:eastAsia="仿宋" w:cs="仿宋"/>
          <w:color w:val="000000"/>
          <w:sz w:val="32"/>
          <w:szCs w:val="32"/>
          <w:lang w:eastAsia="zh-CN" w:bidi="ar"/>
        </w:rPr>
        <w:t>排危除险</w:t>
      </w:r>
      <w:r>
        <w:rPr>
          <w:rFonts w:hint="eastAsia" w:ascii="仿宋" w:hAnsi="仿宋" w:eastAsia="仿宋" w:cs="仿宋"/>
          <w:color w:val="000000"/>
          <w:sz w:val="32"/>
          <w:szCs w:val="32"/>
          <w:lang w:bidi="ar"/>
        </w:rPr>
        <w:t>→</w:t>
      </w:r>
      <w:r>
        <w:rPr>
          <w:rFonts w:hint="eastAsia" w:ascii="仿宋" w:hAnsi="仿宋" w:eastAsia="仿宋" w:cs="仿宋"/>
          <w:color w:val="000000"/>
          <w:sz w:val="32"/>
          <w:szCs w:val="32"/>
          <w:lang w:eastAsia="zh-CN" w:bidi="ar"/>
        </w:rPr>
        <w:t>临时工程治理</w:t>
      </w:r>
      <w:r>
        <w:rPr>
          <w:rFonts w:hint="eastAsia" w:ascii="仿宋" w:hAnsi="仿宋" w:eastAsia="仿宋" w:cs="仿宋"/>
          <w:color w:val="000000"/>
          <w:sz w:val="32"/>
          <w:szCs w:val="32"/>
          <w:lang w:bidi="ar"/>
        </w:rPr>
        <w:t>→</w:t>
      </w:r>
      <w:r>
        <w:rPr>
          <w:rFonts w:hint="eastAsia" w:ascii="仿宋" w:hAnsi="仿宋" w:eastAsia="仿宋" w:cs="仿宋"/>
          <w:color w:val="000000"/>
          <w:sz w:val="32"/>
          <w:szCs w:val="32"/>
          <w:lang w:eastAsia="zh-CN" w:bidi="ar"/>
        </w:rPr>
        <w:t>交通后勤通信应急保障</w:t>
      </w:r>
    </w:p>
    <w:p>
      <w:pPr>
        <w:pageBreakBefore w:val="0"/>
        <w:widowControl/>
        <w:kinsoku/>
        <w:wordWrap/>
        <w:overflowPunct/>
        <w:topLinePunct w:val="0"/>
        <w:bidi w:val="0"/>
        <w:spacing w:line="560" w:lineRule="exact"/>
        <w:ind w:firstLine="642" w:firstLineChars="200"/>
        <w:jc w:val="left"/>
        <w:textAlignment w:val="baseline"/>
        <w:rPr>
          <w:lang w:val="zh-CN"/>
        </w:rPr>
      </w:pPr>
      <w:r>
        <w:rPr>
          <w:rFonts w:hint="eastAsia" w:ascii="楷体_GB2312" w:hAnsi="宋体" w:eastAsia="楷体_GB2312"/>
          <w:b/>
          <w:sz w:val="32"/>
          <w:szCs w:val="32"/>
          <w:lang w:val="zh-CN"/>
        </w:rPr>
        <w:t>（二）项目管理情况。</w:t>
      </w:r>
      <w:r>
        <w:rPr>
          <w:rFonts w:hint="eastAsia" w:ascii="仿宋_GB2312" w:hAnsi="宋体" w:eastAsia="仿宋_GB2312"/>
          <w:color w:val="000000" w:themeColor="text1"/>
          <w:sz w:val="32"/>
          <w:szCs w:val="32"/>
          <w:lang w:val="zh-CN"/>
          <w14:textFill>
            <w14:solidFill>
              <w14:schemeClr w14:val="tx1"/>
            </w14:solidFill>
          </w14:textFill>
        </w:rPr>
        <w:t>我局成立了由局长任组长、分管办公室副局长和分管相关项目副局长任副组长、办公室和相关业务股室负责人任成员的项目资金使用监督管理工作领导小组。认真学习项目管理政策法规，准确把握项目管理要求，保证项目实施规范合法，切实保障受威胁群众生命财产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rPr>
          <w:color w:val="000000" w:themeColor="text1"/>
          <w:lang w:val="zh-CN"/>
          <w14:textFill>
            <w14:solidFill>
              <w14:schemeClr w14:val="tx1"/>
            </w14:solidFill>
          </w14:textFill>
        </w:rPr>
      </w:pPr>
      <w:r>
        <w:rPr>
          <w:rFonts w:hint="eastAsia" w:ascii="楷体_GB2312" w:hAnsi="宋体" w:eastAsia="楷体_GB2312"/>
          <w:b/>
          <w:sz w:val="32"/>
          <w:szCs w:val="32"/>
          <w:lang w:val="zh-CN"/>
        </w:rPr>
        <w:t>（三）项目监管情况。</w:t>
      </w:r>
      <w:r>
        <w:rPr>
          <w:rFonts w:hint="eastAsia" w:ascii="仿宋_GB2312" w:hAnsi="宋体" w:eastAsia="仿宋_GB2312"/>
          <w:color w:val="000000" w:themeColor="text1"/>
          <w:sz w:val="32"/>
          <w:szCs w:val="32"/>
          <w:lang w:val="zh-CN"/>
          <w14:textFill>
            <w14:solidFill>
              <w14:schemeClr w14:val="tx1"/>
            </w14:solidFill>
          </w14:textFill>
        </w:rPr>
        <w:t>根据受灾乡镇人民政府上报的受灾情况，严格按照资金的使用标准，安排落实了资金的使用。在项目实施过程中，我局成立督导小组，深入到受灾的三个乡镇进行了专项监督，确保资金使用的真实、有效。</w:t>
      </w:r>
    </w:p>
    <w:p>
      <w:pPr>
        <w:pageBreakBefore w:val="0"/>
        <w:kinsoku/>
        <w:wordWrap/>
        <w:overflowPunct/>
        <w:topLinePunct w:val="0"/>
        <w:bidi w:val="0"/>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1.数量指标。地质灾害应急排查面积1620平方公里，完成率100%；地质灾害隐患治理15处，完成率100%。</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2.质量指标。临时治理项目验收合格率100%，实际验收合格率100%。</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3.时效指标。地质灾害应急处置及时率100%，实际处置及时率100%。</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1.经济效益指标。有效减少灾害带来的损失，项目实施主体通过实施项目有效的减少了灾害带来的损失。</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2.社会效益指标。保护人民群众生命财产安全，社会稳定和谐，通过项目实施实际保护了4209人生</w:t>
      </w:r>
      <w:r>
        <w:rPr>
          <w:rFonts w:hint="eastAsia" w:ascii="仿宋_GB2312" w:hAnsi="仿宋" w:eastAsia="仿宋_GB2312"/>
          <w:sz w:val="32"/>
          <w:szCs w:val="32"/>
          <w:lang w:eastAsia="zh-CN"/>
        </w:rPr>
        <w:t>命</w:t>
      </w:r>
      <w:r>
        <w:rPr>
          <w:rFonts w:hint="eastAsia" w:ascii="仿宋_GB2312" w:hAnsi="仿宋" w:eastAsia="仿宋_GB2312"/>
          <w:sz w:val="32"/>
          <w:szCs w:val="32"/>
        </w:rPr>
        <w:t>财产安全，维护了社会和谐稳定。</w:t>
      </w:r>
    </w:p>
    <w:p>
      <w:pPr>
        <w:spacing w:line="560" w:lineRule="exact"/>
        <w:ind w:firstLine="645"/>
        <w:rPr>
          <w:rFonts w:hint="eastAsia" w:ascii="微软雅黑" w:hAnsi="微软雅黑" w:eastAsia="微软雅黑"/>
          <w:color w:val="000000"/>
        </w:rPr>
      </w:pPr>
      <w:r>
        <w:rPr>
          <w:rFonts w:hint="eastAsia" w:ascii="仿宋_GB2312" w:hAnsi="仿宋" w:eastAsia="仿宋_GB2312"/>
          <w:sz w:val="32"/>
          <w:szCs w:val="32"/>
        </w:rPr>
        <w:t>3.可持续影响指标。</w:t>
      </w:r>
      <w:r>
        <w:rPr>
          <w:rFonts w:hint="eastAsia" w:ascii="仿宋_GB2312" w:eastAsia="仿宋_GB2312"/>
          <w:bCs/>
          <w:color w:val="000000"/>
          <w:sz w:val="32"/>
          <w:szCs w:val="32"/>
        </w:rPr>
        <w:t>排危除险和临时治理措施持续发挥作用的年限进一步推动隐患排查治理和安全预防控制体系建设</w:t>
      </w:r>
      <w:r>
        <w:rPr>
          <w:rFonts w:hint="eastAsia" w:ascii="微软雅黑" w:hAnsi="微软雅黑" w:eastAsia="微软雅黑"/>
          <w:color w:val="000000"/>
        </w:rPr>
        <w:t>。</w:t>
      </w:r>
    </w:p>
    <w:p>
      <w:pPr>
        <w:spacing w:line="560" w:lineRule="exact"/>
        <w:ind w:firstLine="645"/>
        <w:rPr>
          <w:rFonts w:hint="eastAsia" w:ascii="仿宋_GB2312" w:hAnsi="仿宋" w:eastAsia="仿宋_GB2312"/>
          <w:sz w:val="32"/>
          <w:szCs w:val="32"/>
        </w:rPr>
      </w:pPr>
      <w:r>
        <w:rPr>
          <w:rFonts w:hint="eastAsia" w:ascii="微软雅黑" w:hAnsi="微软雅黑" w:eastAsia="微软雅黑"/>
          <w:color w:val="000000"/>
        </w:rPr>
        <w:t>4</w:t>
      </w:r>
      <w:r>
        <w:rPr>
          <w:rFonts w:hint="eastAsia" w:ascii="仿宋_GB2312" w:hAnsi="仿宋" w:eastAsia="仿宋_GB2312"/>
          <w:sz w:val="32"/>
          <w:szCs w:val="32"/>
        </w:rPr>
        <w:t>.满意度指标。救助群众满意度100%。</w:t>
      </w:r>
    </w:p>
    <w:p>
      <w:pPr>
        <w:pageBreakBefore w:val="0"/>
        <w:kinsoku/>
        <w:wordWrap/>
        <w:overflowPunct/>
        <w:topLinePunct w:val="0"/>
        <w:bidi w:val="0"/>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五、评价结论及建议</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ageBreakBefore w:val="0"/>
        <w:kinsoku/>
        <w:wordWrap/>
        <w:overflowPunct/>
        <w:topLinePunct w:val="0"/>
        <w:bidi w:val="0"/>
        <w:adjustRightInd w:val="0"/>
        <w:snapToGrid w:val="0"/>
        <w:spacing w:line="56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结合地质灾害救灾资金项目自身特点、评价重点及管理办法等要求，围绕</w:t>
      </w:r>
      <w:r>
        <w:rPr>
          <w:rFonts w:hint="eastAsia" w:ascii="仿宋_GB2312" w:hAnsi="宋体" w:eastAsia="仿宋_GB2312"/>
          <w:sz w:val="32"/>
          <w:szCs w:val="32"/>
          <w:lang w:val="zh-CN" w:eastAsia="zh-CN"/>
        </w:rPr>
        <w:t>专项项目支出绩效评价指标体系对项目进行总体评价</w:t>
      </w:r>
      <w:r>
        <w:rPr>
          <w:rFonts w:hint="eastAsia" w:ascii="仿宋_GB2312" w:hAnsi="宋体" w:eastAsia="仿宋_GB2312"/>
          <w:sz w:val="32"/>
          <w:szCs w:val="32"/>
          <w:lang w:val="zh-CN"/>
        </w:rPr>
        <w:t>，得分100分，绩效评级为“优”。</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olor w:val="000000" w:themeColor="text1"/>
          <w:sz w:val="32"/>
          <w:szCs w:val="32"/>
          <w:lang w:val="zh-CN"/>
          <w14:textFill>
            <w14:solidFill>
              <w14:schemeClr w14:val="tx1"/>
            </w14:solidFill>
          </w14:textFill>
        </w:rPr>
      </w:pPr>
    </w:p>
    <w:p>
      <w:pPr>
        <w:pStyle w:val="2"/>
        <w:rPr>
          <w:rFonts w:hint="eastAsia" w:ascii="仿宋_GB2312" w:hAnsi="宋体" w:eastAsia="仿宋_GB2312"/>
          <w:color w:val="000000" w:themeColor="text1"/>
          <w:sz w:val="32"/>
          <w:szCs w:val="32"/>
          <w:lang w:val="zh-CN"/>
          <w14:textFill>
            <w14:solidFill>
              <w14:schemeClr w14:val="tx1"/>
            </w14:solidFill>
          </w14:textFill>
        </w:rPr>
      </w:pPr>
    </w:p>
    <w:p>
      <w:pPr>
        <w:rPr>
          <w:rFonts w:hint="eastAsia" w:ascii="仿宋_GB2312" w:hAnsi="宋体" w:eastAsia="仿宋_GB2312"/>
          <w:color w:val="000000" w:themeColor="text1"/>
          <w:sz w:val="32"/>
          <w:szCs w:val="32"/>
          <w:lang w:val="zh-CN"/>
          <w14:textFill>
            <w14:solidFill>
              <w14:schemeClr w14:val="tx1"/>
            </w14:solidFill>
          </w14:textFill>
        </w:rPr>
      </w:pPr>
    </w:p>
    <w:p>
      <w:pPr>
        <w:pStyle w:val="2"/>
        <w:rPr>
          <w:rFonts w:hint="eastAsia" w:ascii="仿宋_GB2312" w:hAnsi="宋体" w:eastAsia="仿宋_GB2312"/>
          <w:color w:val="000000" w:themeColor="text1"/>
          <w:sz w:val="32"/>
          <w:szCs w:val="32"/>
          <w:lang w:val="zh-CN"/>
          <w14:textFill>
            <w14:solidFill>
              <w14:schemeClr w14:val="tx1"/>
            </w14:solidFill>
          </w14:textFill>
        </w:rPr>
      </w:pPr>
    </w:p>
    <w:p>
      <w:pPr>
        <w:rPr>
          <w:rFonts w:hint="eastAsia" w:ascii="仿宋_GB2312" w:hAnsi="宋体" w:eastAsia="仿宋_GB2312"/>
          <w:color w:val="000000" w:themeColor="text1"/>
          <w:sz w:val="32"/>
          <w:szCs w:val="32"/>
          <w:lang w:val="zh-CN"/>
          <w14:textFill>
            <w14:solidFill>
              <w14:schemeClr w14:val="tx1"/>
            </w14:solidFill>
          </w14:textFill>
        </w:rPr>
      </w:pPr>
    </w:p>
    <w:p>
      <w:pPr>
        <w:pStyle w:val="2"/>
        <w:rPr>
          <w:rFonts w:hint="eastAsia" w:ascii="仿宋_GB2312" w:hAnsi="宋体" w:eastAsia="仿宋_GB2312"/>
          <w:color w:val="000000" w:themeColor="text1"/>
          <w:sz w:val="32"/>
          <w:szCs w:val="32"/>
          <w:lang w:val="zh-CN"/>
          <w14:textFill>
            <w14:solidFill>
              <w14:schemeClr w14:val="tx1"/>
            </w14:solidFill>
          </w14:textFill>
        </w:rPr>
      </w:pPr>
    </w:p>
    <w:p>
      <w:pPr>
        <w:rPr>
          <w:rFonts w:hint="eastAsia" w:ascii="仿宋_GB2312" w:hAnsi="宋体" w:eastAsia="仿宋_GB2312"/>
          <w:color w:val="000000" w:themeColor="text1"/>
          <w:sz w:val="32"/>
          <w:szCs w:val="32"/>
          <w:lang w:val="zh-CN"/>
          <w14:textFill>
            <w14:solidFill>
              <w14:schemeClr w14:val="tx1"/>
            </w14:solidFill>
          </w14:textFill>
        </w:rPr>
      </w:pPr>
    </w:p>
    <w:p>
      <w:pPr>
        <w:pStyle w:val="2"/>
        <w:rPr>
          <w:rFonts w:hint="eastAsia" w:ascii="仿宋_GB2312" w:hAnsi="宋体" w:eastAsia="仿宋_GB2312"/>
          <w:color w:val="000000" w:themeColor="text1"/>
          <w:sz w:val="32"/>
          <w:szCs w:val="32"/>
          <w:lang w:val="zh-CN"/>
          <w14:textFill>
            <w14:solidFill>
              <w14:schemeClr w14:val="tx1"/>
            </w14:solidFill>
          </w14:textFill>
        </w:rPr>
      </w:pPr>
    </w:p>
    <w:p>
      <w:pPr>
        <w:rPr>
          <w:rFonts w:hint="eastAsia" w:ascii="仿宋_GB2312" w:hAnsi="宋体" w:eastAsia="仿宋_GB2312"/>
          <w:color w:val="000000" w:themeColor="text1"/>
          <w:sz w:val="32"/>
          <w:szCs w:val="32"/>
          <w:lang w:val="zh-CN"/>
          <w14:textFill>
            <w14:solidFill>
              <w14:schemeClr w14:val="tx1"/>
            </w14:solidFill>
          </w14:textFill>
        </w:rPr>
      </w:pPr>
    </w:p>
    <w:p>
      <w:pPr>
        <w:pStyle w:val="2"/>
        <w:rPr>
          <w:rFonts w:hint="eastAsia"/>
          <w:lang w:val="zh-CN"/>
        </w:rPr>
      </w:pPr>
    </w:p>
    <w:p>
      <w:pPr>
        <w:pageBreakBefore w:val="0"/>
        <w:widowControl/>
        <w:kinsoku/>
        <w:wordWrap/>
        <w:overflowPunct/>
        <w:topLinePunct w:val="0"/>
        <w:bidi w:val="0"/>
        <w:spacing w:line="560" w:lineRule="exact"/>
        <w:jc w:val="left"/>
        <w:rPr>
          <w:rFonts w:hint="eastAsia" w:ascii="黑体" w:hAnsi="黑体" w:eastAsia="黑体" w:cs="黑体"/>
          <w:sz w:val="32"/>
          <w:szCs w:val="32"/>
        </w:rPr>
      </w:pPr>
    </w:p>
    <w:p>
      <w:pPr>
        <w:pageBreakBefore w:val="0"/>
        <w:widowControl/>
        <w:kinsoku/>
        <w:wordWrap/>
        <w:overflowPunct/>
        <w:topLinePunct w:val="0"/>
        <w:bidi w:val="0"/>
        <w:spacing w:line="560" w:lineRule="exact"/>
        <w:jc w:val="left"/>
        <w:rPr>
          <w:rFonts w:hint="eastAsia" w:ascii="黑体" w:hAnsi="黑体" w:eastAsia="黑体" w:cs="黑体"/>
          <w:sz w:val="32"/>
          <w:szCs w:val="32"/>
        </w:rPr>
      </w:pPr>
    </w:p>
    <w:p>
      <w:pPr>
        <w:pageBreakBefore w:val="0"/>
        <w:widowControl/>
        <w:kinsoku/>
        <w:wordWrap/>
        <w:overflowPunct/>
        <w:topLinePunct w:val="0"/>
        <w:bidi w:val="0"/>
        <w:spacing w:line="560" w:lineRule="exact"/>
        <w:jc w:val="left"/>
        <w:rPr>
          <w:rFonts w:hint="eastAsia" w:ascii="黑体" w:hAnsi="黑体" w:eastAsia="黑体" w:cs="黑体"/>
          <w:sz w:val="32"/>
          <w:szCs w:val="32"/>
        </w:rPr>
      </w:pPr>
    </w:p>
    <w:p>
      <w:pPr>
        <w:pStyle w:val="2"/>
        <w:rPr>
          <w:rFonts w:hint="eastAsia"/>
        </w:rPr>
      </w:pPr>
    </w:p>
    <w:p>
      <w:pPr>
        <w:pageBreakBefore w:val="0"/>
        <w:widowControl/>
        <w:kinsoku/>
        <w:wordWrap/>
        <w:overflowPunct/>
        <w:topLinePunct w:val="0"/>
        <w:bidi w:val="0"/>
        <w:spacing w:line="560" w:lineRule="exact"/>
        <w:jc w:val="left"/>
        <w:rPr>
          <w:rFonts w:hint="eastAsia" w:ascii="黑体" w:hAnsi="黑体" w:eastAsia="黑体" w:cs="黑体"/>
          <w:sz w:val="32"/>
          <w:szCs w:val="32"/>
        </w:rPr>
      </w:pPr>
    </w:p>
    <w:p>
      <w:pPr>
        <w:pageBreakBefore w:val="0"/>
        <w:widowControl/>
        <w:kinsoku/>
        <w:wordWrap/>
        <w:overflowPunct/>
        <w:topLinePunct w:val="0"/>
        <w:bidi w:val="0"/>
        <w:spacing w:line="560" w:lineRule="exact"/>
        <w:jc w:val="left"/>
        <w:rPr>
          <w:rFonts w:hint="eastAsia" w:ascii="黑体" w:hAnsi="黑体" w:eastAsia="黑体" w:cs="黑体"/>
          <w:sz w:val="32"/>
          <w:szCs w:val="32"/>
        </w:rPr>
      </w:pPr>
    </w:p>
    <w:p>
      <w:pPr>
        <w:pageBreakBefore w:val="0"/>
        <w:widowControl/>
        <w:kinsoku/>
        <w:wordWrap/>
        <w:overflowPunct/>
        <w:topLinePunct w:val="0"/>
        <w:bidi w:val="0"/>
        <w:spacing w:line="560" w:lineRule="exact"/>
        <w:jc w:val="left"/>
        <w:rPr>
          <w:rFonts w:hint="eastAsia" w:ascii="仿宋_GB2312" w:hAnsi="仿宋_GB2312" w:eastAsia="黑体" w:cs="仿宋_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ageBreakBefore w:val="0"/>
        <w:kinsoku/>
        <w:wordWrap/>
        <w:overflowPunct/>
        <w:topLinePunct w:val="0"/>
        <w:bidi w:val="0"/>
        <w:spacing w:line="560" w:lineRule="exact"/>
        <w:ind w:firstLine="640" w:firstLineChars="200"/>
        <w:rPr>
          <w:rFonts w:ascii="仿宋_GB2312" w:hAnsi="仿宋_GB2312" w:eastAsia="仿宋_GB2312" w:cs="仿宋_GB2312"/>
          <w:sz w:val="32"/>
          <w:szCs w:val="32"/>
        </w:rPr>
      </w:pPr>
    </w:p>
    <w:p>
      <w:pPr>
        <w:pageBreakBefore w:val="0"/>
        <w:kinsoku/>
        <w:wordWrap/>
        <w:overflowPunct/>
        <w:topLinePunct w:val="0"/>
        <w:bidi w:val="0"/>
        <w:spacing w:line="56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en-US" w:eastAsia="zh-CN"/>
        </w:rPr>
        <w:t>2020年度冬春临时生活困难救助资金</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lang w:val="en-US" w:eastAsia="zh-CN"/>
        </w:rPr>
        <w:t>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pageBreakBefore w:val="0"/>
        <w:kinsoku/>
        <w:wordWrap/>
        <w:overflowPunct/>
        <w:topLinePunct w:val="0"/>
        <w:bidi w:val="0"/>
        <w:spacing w:line="560" w:lineRule="exact"/>
        <w:rPr>
          <w:rFonts w:ascii="宋体" w:hAnsi="宋体"/>
          <w:sz w:val="32"/>
          <w:szCs w:val="32"/>
          <w:lang w:val="zh-CN"/>
        </w:rPr>
      </w:pPr>
    </w:p>
    <w:p>
      <w:pPr>
        <w:pageBreakBefore w:val="0"/>
        <w:kinsoku/>
        <w:wordWrap/>
        <w:overflowPunct/>
        <w:topLinePunct w:val="0"/>
        <w:bidi w:val="0"/>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调查、核实、汇总当年冬季和次年春季本行政区域内受灾困难人员需救助情况，填报《受灾人员冬春生活政府救助人口台账》《受灾人员冬春生活需救助情况统计表》，形成需救助情况报告。</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pageBreakBefore w:val="0"/>
        <w:kinsoku/>
        <w:wordWrap/>
        <w:overflowPunct/>
        <w:topLinePunct w:val="0"/>
        <w:bidi w:val="0"/>
        <w:adjustRightInd w:val="0"/>
        <w:snapToGrid w:val="0"/>
        <w:spacing w:line="560" w:lineRule="exact"/>
        <w:ind w:firstLine="720"/>
        <w:rPr>
          <w:lang w:val="zh-CN"/>
        </w:rPr>
      </w:pPr>
      <w:r>
        <w:rPr>
          <w:rFonts w:hint="eastAsia" w:ascii="仿宋_GB2312" w:hAnsi="仿宋" w:eastAsia="仿宋_GB2312"/>
          <w:sz w:val="32"/>
          <w:szCs w:val="32"/>
        </w:rPr>
        <w:t>该项目立项</w:t>
      </w:r>
      <w:r>
        <w:rPr>
          <w:rFonts w:hint="eastAsia" w:ascii="仿宋_GB2312" w:hAnsi="宋体" w:eastAsia="仿宋_GB2312"/>
          <w:sz w:val="32"/>
          <w:szCs w:val="32"/>
          <w:lang w:val="zh-CN"/>
        </w:rPr>
        <w:t>、资金申报的</w:t>
      </w:r>
      <w:r>
        <w:rPr>
          <w:rFonts w:hint="eastAsia" w:ascii="仿宋_GB2312" w:hAnsi="仿宋" w:eastAsia="仿宋_GB2312"/>
          <w:sz w:val="32"/>
          <w:szCs w:val="32"/>
        </w:rPr>
        <w:t>依据为</w:t>
      </w:r>
      <w:r>
        <w:rPr>
          <w:rFonts w:hint="eastAsia" w:ascii="华文仿宋" w:hAnsi="华文仿宋" w:eastAsia="华文仿宋" w:cs="华文仿宋"/>
          <w:sz w:val="32"/>
          <w:szCs w:val="32"/>
        </w:rPr>
        <w:t>《</w:t>
      </w:r>
      <w:r>
        <w:rPr>
          <w:rFonts w:hint="eastAsia" w:ascii="华文仿宋" w:hAnsi="华文仿宋" w:eastAsia="华文仿宋" w:cs="华文仿宋"/>
          <w:kern w:val="0"/>
          <w:sz w:val="32"/>
          <w:szCs w:val="32"/>
        </w:rPr>
        <w:t>广元市</w:t>
      </w:r>
      <w:r>
        <w:rPr>
          <w:rFonts w:hint="eastAsia" w:ascii="华文仿宋" w:hAnsi="华文仿宋" w:eastAsia="华文仿宋" w:cs="华文仿宋"/>
          <w:sz w:val="32"/>
          <w:szCs w:val="32"/>
        </w:rPr>
        <w:t>财政局关于下达2020年中央自然灾害救灾资金预算的通知》</w:t>
      </w:r>
      <w:r>
        <w:rPr>
          <w:rFonts w:hint="eastAsia" w:ascii="华文仿宋" w:hAnsi="华文仿宋" w:eastAsia="华文仿宋" w:cs="华文仿宋"/>
          <w:kern w:val="0"/>
          <w:sz w:val="32"/>
          <w:szCs w:val="32"/>
        </w:rPr>
        <w:t>（广财建〔2020〕153号）</w:t>
      </w:r>
      <w:r>
        <w:rPr>
          <w:rFonts w:hint="eastAsia" w:ascii="仿宋_GB2312" w:hAnsi="仿宋" w:eastAsia="仿宋_GB2312"/>
          <w:sz w:val="32"/>
          <w:szCs w:val="32"/>
        </w:rPr>
        <w:t>及</w:t>
      </w:r>
      <w:r>
        <w:rPr>
          <w:rFonts w:hint="eastAsia" w:ascii="华文仿宋" w:hAnsi="华文仿宋" w:eastAsia="华文仿宋" w:cs="华文仿宋"/>
          <w:kern w:val="0"/>
          <w:sz w:val="32"/>
          <w:szCs w:val="32"/>
        </w:rPr>
        <w:t>《</w:t>
      </w:r>
      <w:r>
        <w:rPr>
          <w:rFonts w:hint="eastAsia" w:ascii="华文仿宋" w:hAnsi="华文仿宋" w:eastAsia="华文仿宋" w:cs="华文仿宋"/>
          <w:sz w:val="32"/>
          <w:szCs w:val="32"/>
        </w:rPr>
        <w:t>广元市朝天区财政局</w:t>
      </w:r>
      <w:r>
        <w:rPr>
          <w:rFonts w:hint="eastAsia" w:ascii="华文仿宋" w:hAnsi="华文仿宋" w:eastAsia="华文仿宋" w:cs="华文仿宋"/>
          <w:kern w:val="0"/>
          <w:sz w:val="32"/>
          <w:szCs w:val="32"/>
        </w:rPr>
        <w:t>关于下达2020年中央救灾资金预算的通知》（广朝财建〔2020〕55号）</w:t>
      </w:r>
      <w:r>
        <w:rPr>
          <w:rFonts w:hint="eastAsia" w:ascii="仿宋_GB2312" w:hAnsi="宋体" w:eastAsia="仿宋_GB2312"/>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资金管理办法制定情况，资金支持具体项目的条件、范围与支持方式概况。</w:t>
      </w:r>
    </w:p>
    <w:p>
      <w:pPr>
        <w:pageBreakBefore w:val="0"/>
        <w:kinsoku/>
        <w:wordWrap/>
        <w:overflowPunct/>
        <w:topLinePunct w:val="0"/>
        <w:bidi w:val="0"/>
        <w:adjustRightInd w:val="0"/>
        <w:snapToGrid w:val="0"/>
        <w:spacing w:line="560" w:lineRule="exact"/>
        <w:ind w:firstLine="720"/>
        <w:rPr>
          <w:lang w:val="zh-CN"/>
        </w:rPr>
      </w:pPr>
      <w:r>
        <w:rPr>
          <w:rFonts w:hint="eastAsia" w:ascii="仿宋_GB2312" w:eastAsia="仿宋_GB2312"/>
          <w:sz w:val="32"/>
          <w:szCs w:val="32"/>
          <w:lang w:val="zh-CN" w:eastAsia="zh-CN"/>
        </w:rPr>
        <w:t>一是按照《自然灾害救助条例》《国家自然灾害救助应急预案》等规定，支持做好灾区受灾好群众冬春期间口粮、饮水、衣被、取暖、医疗等基本生活救助，维护社会稳定;二是及时足额发放中央救灾资金，确保冬春期间受灾群众基本生活和安全温暖过冬。</w:t>
      </w:r>
    </w:p>
    <w:p>
      <w:pPr>
        <w:pageBreakBefore w:val="0"/>
        <w:numPr>
          <w:ilvl w:val="0"/>
          <w:numId w:val="0"/>
        </w:numPr>
        <w:kinsoku/>
        <w:wordWrap/>
        <w:overflowPunct/>
        <w:topLinePunct w:val="0"/>
        <w:bidi w:val="0"/>
        <w:adjustRightInd w:val="0"/>
        <w:snapToGrid w:val="0"/>
        <w:spacing w:line="560" w:lineRule="exact"/>
        <w:ind w:left="720" w:leftChars="0"/>
        <w:rPr>
          <w:rFonts w:hint="eastAsia" w:ascii="仿宋_GB2312" w:hAnsi="宋体" w:eastAsia="仿宋_GB2312"/>
          <w:color w:val="FF0000"/>
          <w:sz w:val="32"/>
          <w:szCs w:val="32"/>
          <w:lang w:val="zh-CN"/>
        </w:rPr>
      </w:pP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lang w:val="zh-CN"/>
          <w14:textFill>
            <w14:solidFill>
              <w14:schemeClr w14:val="tx1"/>
            </w14:solidFill>
          </w14:textFill>
        </w:rPr>
        <w:t>资金分配的原则及考虑因素</w:t>
      </w:r>
      <w:r>
        <w:rPr>
          <w:rFonts w:hint="eastAsia" w:ascii="仿宋_GB2312" w:hAnsi="宋体" w:eastAsia="仿宋_GB2312"/>
          <w:color w:val="FF0000"/>
          <w:sz w:val="32"/>
          <w:szCs w:val="32"/>
          <w:lang w:val="zh-CN"/>
        </w:rPr>
        <w:t>。</w:t>
      </w:r>
    </w:p>
    <w:p>
      <w:pPr>
        <w:pageBreakBefore w:val="0"/>
        <w:kinsoku/>
        <w:wordWrap/>
        <w:overflowPunct/>
        <w:topLinePunct w:val="0"/>
        <w:bidi w:val="0"/>
        <w:adjustRightInd w:val="0"/>
        <w:snapToGrid w:val="0"/>
        <w:spacing w:line="560" w:lineRule="exact"/>
        <w:ind w:firstLine="720"/>
        <w:rPr>
          <w:rFonts w:hint="eastAsia" w:ascii="仿宋_GB2312" w:hAnsi="Arial" w:eastAsia="仿宋_GB2312" w:cs="Arial"/>
          <w:color w:val="000000" w:themeColor="text1"/>
          <w:sz w:val="32"/>
          <w:szCs w:val="32"/>
          <w:shd w:val="clear" w:color="auto" w:fill="FFFFFF"/>
          <w:lang w:eastAsia="zh-CN"/>
          <w14:textFill>
            <w14:solidFill>
              <w14:schemeClr w14:val="tx1"/>
            </w14:solidFill>
          </w14:textFill>
        </w:rPr>
      </w:pPr>
      <w:r>
        <w:rPr>
          <w:rFonts w:hint="eastAsia" w:ascii="仿宋_GB2312" w:eastAsia="仿宋_GB2312"/>
          <w:sz w:val="32"/>
          <w:szCs w:val="32"/>
        </w:rPr>
        <w:t>“分级管理、分级负担；专款专用、重点使用；公平公正、公开透明；强化监督、注重时效”的基本原则，按程序和规定使用分配</w:t>
      </w:r>
      <w:r>
        <w:rPr>
          <w:rFonts w:hint="eastAsia" w:ascii="仿宋_GB2312" w:hAnsi="Arial" w:eastAsia="仿宋_GB2312" w:cs="Arial"/>
          <w:color w:val="000000" w:themeColor="text1"/>
          <w:sz w:val="32"/>
          <w:szCs w:val="32"/>
          <w:shd w:val="clear" w:color="auto" w:fill="FFFFFF"/>
          <w14:textFill>
            <w14:solidFill>
              <w14:schemeClr w14:val="tx1"/>
            </w14:solidFill>
          </w14:textFill>
        </w:rPr>
        <w:t>，确保资金专款专用</w:t>
      </w:r>
      <w:r>
        <w:rPr>
          <w:rFonts w:hint="eastAsia" w:ascii="仿宋_GB2312" w:hAnsi="Arial" w:eastAsia="仿宋_GB2312" w:cs="Arial"/>
          <w:color w:val="000000" w:themeColor="text1"/>
          <w:sz w:val="32"/>
          <w:szCs w:val="32"/>
          <w:shd w:val="clear" w:color="auto" w:fill="FFFFFF"/>
          <w:lang w:eastAsia="zh-CN"/>
          <w14:textFill>
            <w14:solidFill>
              <w14:schemeClr w14:val="tx1"/>
            </w14:solidFill>
          </w14:textFill>
        </w:rPr>
        <w:t>。</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1．项目主要内容。</w:t>
      </w:r>
    </w:p>
    <w:p>
      <w:pPr>
        <w:pageBreakBefore w:val="0"/>
        <w:kinsoku/>
        <w:wordWrap/>
        <w:overflowPunct/>
        <w:topLinePunct w:val="0"/>
        <w:bidi w:val="0"/>
        <w:adjustRightInd w:val="0"/>
        <w:snapToGrid w:val="0"/>
        <w:spacing w:line="560" w:lineRule="exact"/>
        <w:ind w:firstLine="720"/>
        <w:rPr>
          <w:rFonts w:hint="eastAsia" w:ascii="仿宋_GB2312" w:eastAsia="仿宋_GB2312"/>
          <w:color w:val="000000" w:themeColor="text1"/>
          <w:sz w:val="32"/>
          <w:szCs w:val="32"/>
          <w:lang w:val="zh-CN" w:eastAsia="zh-CN"/>
          <w14:textFill>
            <w14:solidFill>
              <w14:schemeClr w14:val="tx1"/>
            </w14:solidFill>
          </w14:textFill>
        </w:rPr>
      </w:pPr>
      <w:r>
        <w:rPr>
          <w:rFonts w:hint="eastAsia" w:ascii="仿宋_GB2312" w:eastAsia="仿宋_GB2312"/>
          <w:color w:val="000000" w:themeColor="text1"/>
          <w:sz w:val="32"/>
          <w:szCs w:val="32"/>
          <w:lang w:val="zh-CN" w:eastAsia="zh-CN"/>
          <w14:textFill>
            <w14:solidFill>
              <w14:schemeClr w14:val="tx1"/>
            </w14:solidFill>
          </w14:textFill>
        </w:rPr>
        <w:t>救助因当年遭受自然灾害造成当年冬寒或次年春荒期间基本生活困难，需口粮、衣被、取暖等方面生活救助的受灾人员。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lang w:val="zh-CN"/>
          <w14:textFill>
            <w14:solidFill>
              <w14:schemeClr w14:val="tx1"/>
            </w14:solidFill>
          </w14:textFill>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FF0000"/>
          <w:sz w:val="32"/>
          <w:szCs w:val="32"/>
          <w:lang w:val="zh-CN"/>
        </w:rPr>
      </w:pPr>
      <w:r>
        <w:rPr>
          <w:rFonts w:hint="eastAsia" w:ascii="仿宋_GB2312" w:eastAsia="仿宋_GB2312"/>
          <w:sz w:val="32"/>
          <w:szCs w:val="32"/>
        </w:rPr>
        <w:t>保障受灾群众基本生活，确保受灾群众“有饭吃、有衣穿、有住所、有干净水喝、有病能及时医治”，救灾资金对于受灾群众来说是“救急钱、救命钱”。</w:t>
      </w:r>
    </w:p>
    <w:p>
      <w:pPr>
        <w:pageBreakBefore w:val="0"/>
        <w:numPr>
          <w:ilvl w:val="0"/>
          <w:numId w:val="0"/>
        </w:numPr>
        <w:kinsoku/>
        <w:wordWrap/>
        <w:overflowPunct/>
        <w:topLinePunct w:val="0"/>
        <w:bidi w:val="0"/>
        <w:adjustRightInd w:val="0"/>
        <w:snapToGrid w:val="0"/>
        <w:spacing w:line="560" w:lineRule="exact"/>
        <w:ind w:firstLine="640" w:firstLineChars="20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lang w:val="zh-CN"/>
          <w14:textFill>
            <w14:solidFill>
              <w14:schemeClr w14:val="tx1"/>
            </w14:solidFill>
          </w14:textFill>
        </w:rPr>
        <w:t>分析评价申报内容是否与实际相符，申报目标是否合理可行。</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eastAsia="zh-CN"/>
          <w14:textFill>
            <w14:solidFill>
              <w14:schemeClr w14:val="tx1"/>
            </w14:solidFill>
          </w14:textFill>
        </w:rPr>
      </w:pPr>
      <w:r>
        <w:rPr>
          <w:rFonts w:hint="eastAsia" w:ascii="仿宋_GB2312" w:hAnsi="宋体" w:eastAsia="仿宋_GB2312"/>
          <w:color w:val="000000" w:themeColor="text1"/>
          <w:sz w:val="32"/>
          <w:szCs w:val="32"/>
          <w:lang w:val="zh-CN" w:eastAsia="zh-CN"/>
          <w14:textFill>
            <w14:solidFill>
              <w14:schemeClr w14:val="tx1"/>
            </w14:solidFill>
          </w14:textFill>
        </w:rPr>
        <w:t>分析评价申报内容与实际相符，申报目标合理可行。</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1.收集数据。对项目资金收支情况、项目实施情况相关资料进行收集。</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2、组织实施。对基础数据进行审核、核对开展自评；</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3、归纳汇总。对收集的评价材料结合本单位情况进行综合分析、归纳汇总；</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4、根据评价材料结合各项评价指标逐条对应进行分析评分；</w:t>
      </w:r>
    </w:p>
    <w:p>
      <w:pPr>
        <w:pageBreakBefore w:val="0"/>
        <w:kinsoku/>
        <w:wordWrap/>
        <w:overflowPunct/>
        <w:topLinePunct w:val="0"/>
        <w:bidi w:val="0"/>
        <w:adjustRightInd w:val="0"/>
        <w:snapToGrid w:val="0"/>
        <w:spacing w:line="560" w:lineRule="exact"/>
        <w:ind w:firstLine="720"/>
        <w:rPr>
          <w:rFonts w:ascii="仿宋_GB2312" w:hAnsi="宋体" w:eastAsia="仿宋_GB2312"/>
          <w:color w:val="FF0000"/>
          <w:sz w:val="32"/>
          <w:szCs w:val="32"/>
          <w:lang w:val="zh-CN"/>
        </w:rPr>
      </w:pPr>
      <w:r>
        <w:rPr>
          <w:rFonts w:hint="eastAsia" w:ascii="仿宋_GB2312" w:hAnsi="宋体" w:eastAsia="仿宋_GB2312"/>
          <w:color w:val="000000" w:themeColor="text1"/>
          <w:sz w:val="32"/>
          <w:szCs w:val="32"/>
          <w:lang w:val="en-US" w:eastAsia="zh-CN"/>
          <w14:textFill>
            <w14:solidFill>
              <w14:schemeClr w14:val="tx1"/>
            </w14:solidFill>
          </w14:textFill>
        </w:rPr>
        <w:t>5、形成绩效评价自评报告。</w:t>
      </w:r>
    </w:p>
    <w:p>
      <w:pPr>
        <w:pageBreakBefore w:val="0"/>
        <w:kinsoku/>
        <w:wordWrap/>
        <w:overflowPunct/>
        <w:topLinePunct w:val="0"/>
        <w:bidi w:val="0"/>
        <w:adjustRightInd w:val="0"/>
        <w:snapToGrid w:val="0"/>
        <w:spacing w:line="56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spacing w:line="560" w:lineRule="exact"/>
        <w:ind w:firstLine="640" w:firstLineChars="200"/>
        <w:rPr>
          <w:rFonts w:hint="eastAsia" w:ascii="黑体" w:hAnsi="黑体" w:eastAsia="黑体"/>
          <w:b/>
          <w:sz w:val="32"/>
          <w:szCs w:val="32"/>
        </w:rPr>
      </w:pPr>
      <w:r>
        <w:rPr>
          <w:rFonts w:hint="eastAsia" w:ascii="华文仿宋" w:hAnsi="华文仿宋" w:eastAsia="华文仿宋" w:cs="华文仿宋"/>
          <w:kern w:val="0"/>
          <w:sz w:val="32"/>
          <w:szCs w:val="32"/>
        </w:rPr>
        <w:t>《</w:t>
      </w:r>
      <w:r>
        <w:rPr>
          <w:rFonts w:hint="eastAsia" w:ascii="华文仿宋" w:hAnsi="华文仿宋" w:eastAsia="华文仿宋" w:cs="华文仿宋"/>
          <w:sz w:val="32"/>
          <w:szCs w:val="32"/>
        </w:rPr>
        <w:t>广元市朝天区财政局</w:t>
      </w:r>
      <w:r>
        <w:rPr>
          <w:rFonts w:hint="eastAsia" w:ascii="华文仿宋" w:hAnsi="华文仿宋" w:eastAsia="华文仿宋" w:cs="华文仿宋"/>
          <w:kern w:val="0"/>
          <w:sz w:val="32"/>
          <w:szCs w:val="32"/>
        </w:rPr>
        <w:t>关于下达2020年中央救灾资金预算的通知》（广朝财建〔2020〕55号）</w:t>
      </w:r>
      <w:r>
        <w:rPr>
          <w:rFonts w:hint="eastAsia" w:ascii="仿宋_GB2312" w:hAnsi="仿宋" w:eastAsia="仿宋_GB2312"/>
          <w:sz w:val="32"/>
          <w:szCs w:val="32"/>
        </w:rPr>
        <w:t>下达冬春临时生活困难救助资金288万元。</w:t>
      </w:r>
    </w:p>
    <w:p>
      <w:pPr>
        <w:pageBreakBefore w:val="0"/>
        <w:kinsoku/>
        <w:wordWrap/>
        <w:overflowPunct/>
        <w:topLinePunct w:val="0"/>
        <w:bidi w:val="0"/>
        <w:adjustRightInd w:val="0"/>
        <w:snapToGrid w:val="0"/>
        <w:spacing w:line="56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（二）资金计划、到位及使用情况（可用表格形式反映）。</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截至2020年12月31日，区财政局拨付冬春临时生活困难救助资金共288万元，实际拨付资金与预算相符，项目资金全部到位。</w:t>
      </w:r>
    </w:p>
    <w:p>
      <w:pPr>
        <w:spacing w:line="560" w:lineRule="exact"/>
        <w:ind w:firstLine="645"/>
        <w:rPr>
          <w:rFonts w:hint="eastAsia" w:ascii="仿宋_GB2312" w:hAnsi="仿宋" w:eastAsia="仿宋_GB2312"/>
          <w:sz w:val="32"/>
          <w:szCs w:val="32"/>
        </w:rPr>
      </w:pPr>
      <w:r>
        <w:rPr>
          <w:rFonts w:hint="eastAsia" w:ascii="仿宋_GB2312" w:hAnsi="微软雅黑" w:eastAsia="仿宋_GB2312"/>
          <w:color w:val="000000"/>
          <w:sz w:val="32"/>
          <w:szCs w:val="32"/>
        </w:rPr>
        <w:t>截至项目评价日，专项资金实际使用288万元，项目支出标准、支付依据合规合法。</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我局财务制度健全，管理规范,账务处理及时，会计核算规范。专项资金严格按照国家规定的项目资金相关法律、法规的规定和要求使用，确保资金的专款专用。</w:t>
      </w:r>
    </w:p>
    <w:p>
      <w:pPr>
        <w:pageBreakBefore w:val="0"/>
        <w:kinsoku/>
        <w:wordWrap/>
        <w:overflowPunct/>
        <w:topLinePunct w:val="0"/>
        <w:bidi w:val="0"/>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三、项目实施及管理情况</w:t>
      </w:r>
    </w:p>
    <w:p>
      <w:pPr>
        <w:pageBreakBefore w:val="0"/>
        <w:kinsoku/>
        <w:wordWrap/>
        <w:overflowPunct/>
        <w:topLinePunct w:val="0"/>
        <w:bidi w:val="0"/>
        <w:adjustRightInd w:val="0"/>
        <w:snapToGrid w:val="0"/>
        <w:spacing w:line="560" w:lineRule="exact"/>
        <w:ind w:firstLine="720"/>
        <w:rPr>
          <w:color w:val="000000" w:themeColor="text1"/>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结合项目组织实施管理办法，重点围绕以下内容进行分析评价，并对自评中发现的问题分析说明。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（一）项目组织架构及实施流程。</w:t>
      </w:r>
    </w:p>
    <w:p>
      <w:pPr>
        <w:pageBreakBefore w:val="0"/>
        <w:kinsoku/>
        <w:wordWrap/>
        <w:overflowPunct/>
        <w:topLinePunct w:val="0"/>
        <w:bidi w:val="0"/>
        <w:spacing w:line="560" w:lineRule="exact"/>
        <w:ind w:firstLine="640" w:firstLineChars="200"/>
        <w:rPr>
          <w:lang w:val="zh-CN"/>
        </w:rPr>
      </w:pPr>
      <w:r>
        <w:rPr>
          <w:rFonts w:hint="eastAsia" w:ascii="仿宋" w:hAnsi="仿宋" w:eastAsia="仿宋" w:cs="仿宋"/>
          <w:color w:val="000000"/>
          <w:sz w:val="32"/>
          <w:szCs w:val="32"/>
          <w:lang w:bidi="ar"/>
        </w:rPr>
        <w:t>个人申请→民主评议→张榜公示→乡（镇）审核→县级核定并发放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rPr>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一是全面征求意见，提出救灾资金安排建议。我局相关股室提出分配方案，局党组会讨论研究形成送审稿，提交区政府分管领导审批。二是结合灾情，根据不同灾情的因素指标和原则，对资金安排的范围、档次和资金额度等拟定资金安排方案，在规定时间内按程序下达资金。</w:t>
      </w:r>
    </w:p>
    <w:p>
      <w:pPr>
        <w:pageBreakBefore w:val="0"/>
        <w:numPr>
          <w:ilvl w:val="0"/>
          <w:numId w:val="0"/>
        </w:numPr>
        <w:kinsoku/>
        <w:wordWrap/>
        <w:overflowPunct/>
        <w:topLinePunct w:val="0"/>
        <w:bidi w:val="0"/>
        <w:adjustRightInd w:val="0"/>
        <w:snapToGrid w:val="0"/>
        <w:spacing w:line="560" w:lineRule="exact"/>
        <w:ind w:left="720" w:leftChars="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到乡镇采取查阅灾民救助花名册、领取款物凭证、张榜公示情况等原始资料和实地考察救灾物资存放仓库等方式对乡镇资金使用情况进行监督检查。</w:t>
      </w:r>
    </w:p>
    <w:p>
      <w:pPr>
        <w:pageBreakBefore w:val="0"/>
        <w:kinsoku/>
        <w:wordWrap/>
        <w:overflowPunct/>
        <w:topLinePunct w:val="0"/>
        <w:bidi w:val="0"/>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为确保人民群众平稳度过冬春困难时期，共救助冬春临时生活困难群众</w:t>
      </w:r>
      <w:r>
        <w:rPr>
          <w:rFonts w:ascii="仿宋_GB2312" w:hAnsi="仿宋" w:eastAsia="仿宋_GB2312"/>
          <w:sz w:val="32"/>
          <w:szCs w:val="32"/>
        </w:rPr>
        <w:t>21146</w:t>
      </w:r>
      <w:r>
        <w:rPr>
          <w:rFonts w:hint="eastAsia" w:ascii="仿宋_GB2312" w:hAnsi="仿宋" w:eastAsia="仿宋_GB2312"/>
          <w:sz w:val="32"/>
          <w:szCs w:val="32"/>
        </w:rPr>
        <w:t>人，完成率100%，。资金按标准全部通过“一卡通”发放到户。</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通过实施项目，有效降低灾害带来的损失，保障全区社会稳定有序，补助在发放后持续发挥作用，</w:t>
      </w:r>
      <w:r>
        <w:rPr>
          <w:rFonts w:hint="eastAsia" w:ascii="仿宋_GB2312" w:eastAsia="仿宋_GB2312"/>
          <w:bCs/>
          <w:color w:val="000000"/>
          <w:sz w:val="32"/>
          <w:szCs w:val="32"/>
        </w:rPr>
        <w:t>无受灾群众投诉</w:t>
      </w:r>
      <w:r>
        <w:rPr>
          <w:rFonts w:hint="eastAsia" w:ascii="仿宋_GB2312" w:hAnsi="仿宋" w:eastAsia="仿宋_GB2312"/>
          <w:sz w:val="32"/>
          <w:szCs w:val="32"/>
        </w:rPr>
        <w:t>。</w:t>
      </w:r>
    </w:p>
    <w:p>
      <w:pPr>
        <w:pageBreakBefore w:val="0"/>
        <w:kinsoku/>
        <w:wordWrap/>
        <w:overflowPunct/>
        <w:topLinePunct w:val="0"/>
        <w:bidi w:val="0"/>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五、评价结论及建议</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ageBreakBefore w:val="0"/>
        <w:kinsoku/>
        <w:wordWrap/>
        <w:overflowPunct/>
        <w:topLinePunct w:val="0"/>
        <w:bidi w:val="0"/>
        <w:adjustRightInd w:val="0"/>
        <w:snapToGrid w:val="0"/>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结合冬春临时生活困难救助资金项目自身特点、评价重点及管理办法等要求，围绕</w:t>
      </w:r>
      <w:r>
        <w:rPr>
          <w:rFonts w:hint="eastAsia" w:ascii="仿宋_GB2312" w:hAnsi="宋体" w:eastAsia="仿宋_GB2312"/>
          <w:sz w:val="32"/>
          <w:szCs w:val="32"/>
          <w:lang w:val="zh-CN" w:eastAsia="zh-CN"/>
        </w:rPr>
        <w:t>专项项目支出绩效评价指标体系对项目进行总体评价</w:t>
      </w:r>
      <w:r>
        <w:rPr>
          <w:rFonts w:hint="eastAsia" w:ascii="仿宋_GB2312" w:hAnsi="宋体" w:eastAsia="仿宋_GB2312"/>
          <w:sz w:val="32"/>
          <w:szCs w:val="32"/>
          <w:lang w:val="zh-CN"/>
        </w:rPr>
        <w:t>，得分100分，绩效评级为“优”。</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FF0000"/>
          <w:sz w:val="32"/>
          <w:szCs w:val="32"/>
          <w:lang w:val="zh-CN"/>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rPr>
          <w:rFonts w:hint="eastAsia"/>
        </w:rPr>
      </w:pPr>
      <w:bookmarkStart w:id="63" w:name="_Toc15396618"/>
    </w:p>
    <w:p>
      <w:pPr>
        <w:pageBreakBefore w:val="0"/>
        <w:widowControl/>
        <w:kinsoku/>
        <w:wordWrap/>
        <w:overflowPunct/>
        <w:topLinePunct w:val="0"/>
        <w:bidi w:val="0"/>
        <w:spacing w:line="560" w:lineRule="exact"/>
        <w:jc w:val="left"/>
        <w:rPr>
          <w:rFonts w:hint="eastAsia" w:ascii="仿宋_GB2312" w:hAnsi="仿宋_GB2312" w:eastAsia="黑体" w:cs="仿宋_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pageBreakBefore w:val="0"/>
        <w:kinsoku/>
        <w:wordWrap/>
        <w:overflowPunct/>
        <w:topLinePunct w:val="0"/>
        <w:bidi w:val="0"/>
        <w:spacing w:line="560" w:lineRule="exact"/>
        <w:jc w:val="both"/>
        <w:outlineLvl w:val="0"/>
        <w:rPr>
          <w:rFonts w:hint="eastAsia" w:ascii="黑体" w:hAnsi="黑体" w:eastAsia="黑体"/>
          <w:color w:val="000000"/>
          <w:sz w:val="44"/>
          <w:szCs w:val="44"/>
        </w:rPr>
      </w:pPr>
    </w:p>
    <w:p>
      <w:pPr>
        <w:pageBreakBefore w:val="0"/>
        <w:kinsoku/>
        <w:wordWrap/>
        <w:overflowPunct/>
        <w:topLinePunct w:val="0"/>
        <w:bidi w:val="0"/>
        <w:spacing w:line="56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en-US" w:eastAsia="zh-CN"/>
        </w:rPr>
        <w:t>民房恢复重建资金</w:t>
      </w:r>
      <w:r>
        <w:rPr>
          <w:rFonts w:hint="eastAsia" w:ascii="方正小标宋简体" w:hAnsi="宋体" w:eastAsia="方正小标宋简体"/>
          <w:color w:val="000000"/>
          <w:kern w:val="0"/>
          <w:sz w:val="44"/>
          <w:szCs w:val="44"/>
          <w:lang w:val="zh-CN" w:eastAsia="zh-CN"/>
        </w:rPr>
        <w:t>项</w:t>
      </w:r>
      <w:r>
        <w:rPr>
          <w:rFonts w:hint="eastAsia" w:ascii="方正小标宋简体" w:hAnsi="宋体" w:eastAsia="方正小标宋简体"/>
          <w:color w:val="000000"/>
          <w:kern w:val="0"/>
          <w:sz w:val="44"/>
          <w:szCs w:val="44"/>
          <w:lang w:val="zh-CN"/>
        </w:rPr>
        <w:t>目</w:t>
      </w:r>
    </w:p>
    <w:p>
      <w:pPr>
        <w:pageBreakBefore w:val="0"/>
        <w:kinsoku/>
        <w:wordWrap/>
        <w:overflowPunct/>
        <w:topLinePunct w:val="0"/>
        <w:bidi w:val="0"/>
        <w:spacing w:line="56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lang w:val="en-US" w:eastAsia="zh-CN"/>
        </w:rPr>
        <w:t>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pageBreakBefore w:val="0"/>
        <w:kinsoku/>
        <w:wordWrap/>
        <w:overflowPunct/>
        <w:topLinePunct w:val="0"/>
        <w:bidi w:val="0"/>
        <w:spacing w:line="560" w:lineRule="exact"/>
        <w:rPr>
          <w:rFonts w:ascii="宋体" w:hAnsi="宋体"/>
          <w:sz w:val="32"/>
          <w:szCs w:val="32"/>
          <w:lang w:val="zh-CN"/>
        </w:rPr>
      </w:pPr>
    </w:p>
    <w:p>
      <w:pPr>
        <w:pageBreakBefore w:val="0"/>
        <w:kinsoku/>
        <w:wordWrap/>
        <w:overflowPunct/>
        <w:topLinePunct w:val="0"/>
        <w:bidi w:val="0"/>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1．说明项目主管部门（单位）在该项目管理中的职能。</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一是规范项目实施管理。组织项目管理人员认真学习项目管理政策法规，准确把握项目管理要求，主动与财政等部门进行对接，保证项目实施规范合法；二是严格项目资金管理。加强项目财务管理，做到专款专用、专账核算，不得挪用、挤占、截留资金。</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pageBreakBefore w:val="0"/>
        <w:numPr>
          <w:ilvl w:val="0"/>
          <w:numId w:val="0"/>
        </w:numPr>
        <w:kinsoku/>
        <w:wordWrap/>
        <w:overflowPunct/>
        <w:topLinePunct w:val="0"/>
        <w:bidi w:val="0"/>
        <w:adjustRightInd w:val="0"/>
        <w:snapToGrid w:val="0"/>
        <w:spacing w:line="560" w:lineRule="exact"/>
        <w:ind w:firstLine="640" w:firstLineChars="200"/>
        <w:rPr>
          <w:rFonts w:hint="eastAsia" w:ascii="仿宋_GB2312" w:hAnsi="仿宋" w:eastAsia="仿宋_GB2312"/>
          <w:sz w:val="32"/>
          <w:szCs w:val="32"/>
          <w:lang w:eastAsia="zh-CN"/>
        </w:rPr>
      </w:pPr>
      <w:r>
        <w:rPr>
          <w:rFonts w:hint="eastAsia" w:ascii="仿宋_GB2312" w:hAnsi="宋体" w:eastAsia="仿宋_GB2312"/>
          <w:sz w:val="32"/>
          <w:szCs w:val="32"/>
          <w:lang w:val="zh-CN"/>
        </w:rPr>
        <w:t>项目立项、资金申报的依据为</w:t>
      </w:r>
      <w:r>
        <w:rPr>
          <w:rFonts w:hint="eastAsia" w:ascii="仿宋_GB2312" w:hAnsi="仿宋" w:eastAsia="仿宋_GB2312"/>
          <w:sz w:val="32"/>
          <w:szCs w:val="32"/>
        </w:rPr>
        <w:t>《广元市朝天区财政局关于下达2020年因洪涝灾害倒塌和严重损坏民房恢复重建补助资金的通知》（广朝财建〔2020〕43号）</w:t>
      </w:r>
      <w:r>
        <w:rPr>
          <w:rFonts w:hint="eastAsia" w:ascii="仿宋_GB2312" w:hAnsi="仿宋" w:eastAsia="仿宋_GB2312"/>
          <w:sz w:val="32"/>
          <w:szCs w:val="32"/>
          <w:lang w:eastAsia="zh-CN"/>
        </w:rPr>
        <w:t>。</w:t>
      </w:r>
    </w:p>
    <w:p>
      <w:pPr>
        <w:pageBreakBefore w:val="0"/>
        <w:numPr>
          <w:ilvl w:val="0"/>
          <w:numId w:val="0"/>
        </w:numPr>
        <w:kinsoku/>
        <w:wordWrap/>
        <w:overflowPunct/>
        <w:topLinePunct w:val="0"/>
        <w:bidi w:val="0"/>
        <w:adjustRightInd w:val="0"/>
        <w:snapToGrid w:val="0"/>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．资金管理办法制定情况，资金支持具体项目的条件、范围与支持方式概况。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lang w:val="zh-CN" w:eastAsia="zh-CN"/>
        </w:rPr>
      </w:pPr>
      <w:r>
        <w:rPr>
          <w:rFonts w:hint="eastAsia" w:ascii="仿宋_GB2312" w:hAnsi="宋体" w:eastAsia="仿宋_GB2312"/>
          <w:sz w:val="32"/>
          <w:szCs w:val="32"/>
          <w:lang w:val="zh-CN"/>
        </w:rPr>
        <w:t>该资金严格按照相关规定专款专用，对</w:t>
      </w:r>
      <w:r>
        <w:rPr>
          <w:rFonts w:hint="eastAsia" w:ascii="仿宋_GB2312" w:hAnsi="仿宋" w:eastAsia="仿宋_GB2312"/>
          <w:sz w:val="32"/>
          <w:szCs w:val="32"/>
        </w:rPr>
        <w:t>2020年因洪涝灾害倒塌和严重损坏民房恢复重建</w:t>
      </w:r>
      <w:r>
        <w:rPr>
          <w:rFonts w:hint="eastAsia" w:ascii="仿宋_GB2312" w:hAnsi="仿宋" w:eastAsia="仿宋_GB2312"/>
          <w:sz w:val="32"/>
          <w:szCs w:val="32"/>
          <w:lang w:eastAsia="zh-CN"/>
        </w:rPr>
        <w:t>农户进行补贴。</w:t>
      </w:r>
    </w:p>
    <w:p>
      <w:pPr>
        <w:pageBreakBefore w:val="0"/>
        <w:numPr>
          <w:ilvl w:val="0"/>
          <w:numId w:val="0"/>
        </w:numPr>
        <w:kinsoku/>
        <w:wordWrap/>
        <w:overflowPunct/>
        <w:topLinePunct w:val="0"/>
        <w:bidi w:val="0"/>
        <w:adjustRightInd w:val="0"/>
        <w:snapToGrid w:val="0"/>
        <w:spacing w:line="560" w:lineRule="exact"/>
        <w:ind w:left="720" w:leftChars="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sz w:val="32"/>
          <w:szCs w:val="32"/>
          <w:lang w:val="zh-CN"/>
        </w:rPr>
        <w:t>．</w:t>
      </w:r>
      <w:r>
        <w:rPr>
          <w:rFonts w:hint="eastAsia" w:ascii="仿宋_GB2312" w:hAnsi="宋体" w:eastAsia="仿宋_GB2312"/>
          <w:color w:val="000000" w:themeColor="text1"/>
          <w:sz w:val="32"/>
          <w:szCs w:val="32"/>
          <w:lang w:val="zh-CN"/>
          <w14:textFill>
            <w14:solidFill>
              <w14:schemeClr w14:val="tx1"/>
            </w14:solidFill>
          </w14:textFill>
        </w:rPr>
        <w:t>资金分配的原则及考虑因素。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color w:val="FF0000"/>
          <w:lang w:val="zh-CN"/>
        </w:rPr>
      </w:pPr>
      <w:r>
        <w:rPr>
          <w:rFonts w:hint="eastAsia" w:ascii="仿宋_GB2312" w:hAnsi="宋体" w:eastAsia="仿宋_GB2312"/>
          <w:sz w:val="32"/>
          <w:szCs w:val="32"/>
          <w:lang w:val="zh-CN"/>
        </w:rPr>
        <w:t>分级管理、分级负担；专款专用、重点使用；公平公正、公开透明；强化监督、注重时效”的基本原则，按程序和规定使用分配，确保救灾资金专款专用。</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1．项目主要内容。</w:t>
      </w:r>
    </w:p>
    <w:p>
      <w:pPr>
        <w:spacing w:line="560" w:lineRule="exact"/>
        <w:ind w:firstLine="640" w:firstLineChars="200"/>
        <w:rPr>
          <w:rFonts w:hint="eastAsia" w:ascii="仿宋_GB2312" w:hAnsi="仿宋" w:eastAsia="仿宋_GB2312"/>
          <w:sz w:val="32"/>
          <w:szCs w:val="32"/>
        </w:rPr>
      </w:pPr>
      <w:r>
        <w:rPr>
          <w:rFonts w:hint="eastAsia" w:ascii="仿宋_GB2312" w:hAnsi="宋体" w:eastAsia="仿宋_GB2312"/>
          <w:color w:val="000000" w:themeColor="text1"/>
          <w:sz w:val="32"/>
          <w:szCs w:val="32"/>
          <w:lang w:val="zh-CN"/>
          <w14:textFill>
            <w14:solidFill>
              <w14:schemeClr w14:val="tx1"/>
            </w14:solidFill>
          </w14:textFill>
        </w:rPr>
        <w:t>项目主要</w:t>
      </w:r>
      <w:r>
        <w:rPr>
          <w:rFonts w:hint="eastAsia" w:ascii="仿宋_GB2312" w:hAnsi="仿宋" w:eastAsia="仿宋_GB2312"/>
          <w:sz w:val="32"/>
          <w:szCs w:val="32"/>
        </w:rPr>
        <w:t>实施内容为“全部用于受灾群众倒塌和严重损坏民房恢复重建补助。按照每户2.5万元补助标准，结合住房重建实际，将资金落实到受益对象”</w:t>
      </w:r>
    </w:p>
    <w:p>
      <w:pPr>
        <w:pageBreakBefore w:val="0"/>
        <w:numPr>
          <w:ilvl w:val="0"/>
          <w:numId w:val="7"/>
        </w:numPr>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项目应实现的具体绩效目标，包括目标的量化、细化情况以及项目实施进度计划等。</w:t>
      </w:r>
    </w:p>
    <w:p>
      <w:pPr>
        <w:pageBreakBefore w:val="0"/>
        <w:kinsoku/>
        <w:wordWrap/>
        <w:overflowPunct/>
        <w:topLinePunct w:val="0"/>
        <w:bidi w:val="0"/>
        <w:spacing w:line="560" w:lineRule="exact"/>
        <w:ind w:firstLine="640" w:firstLineChars="20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仿宋" w:eastAsia="仿宋_GB2312"/>
          <w:sz w:val="32"/>
          <w:szCs w:val="32"/>
        </w:rPr>
        <w:t>预期总目标为按照《广元市朝天区财政局关于下达2020年因洪涝灾害倒塌和严重损坏民房恢复重建补助资金的通知》（广朝财建〔2020〕43号）的规定，做好“8.11”洪涝灾害农村住房恢复重建工作，按照“以人为本、规划先行、统筹兼顾、合力攻坚”的总体思路，通过政府组织、政策扶持、灾民自建、社会支持，保障受灾群众基本生活，让受灾群众住上放心房。衡量目标实现程度的评价指标、标准主要为：数量指标为重建倒塌及严重损坏民房17户；质量指标通过一卡通发放全部资金，保证资金安全及时发放到位；时效指标资金发放及时率等</w:t>
      </w:r>
      <w:r>
        <w:rPr>
          <w:rFonts w:hint="eastAsia" w:ascii="仿宋_GB2312" w:hAnsi="仿宋_GB2312" w:eastAsia="仿宋_GB2312" w:cs="仿宋_GB2312"/>
          <w:sz w:val="32"/>
          <w:szCs w:val="32"/>
        </w:rPr>
        <w:t>。</w:t>
      </w:r>
    </w:p>
    <w:p>
      <w:pPr>
        <w:pageBreakBefore w:val="0"/>
        <w:numPr>
          <w:ilvl w:val="0"/>
          <w:numId w:val="7"/>
        </w:numPr>
        <w:kinsoku/>
        <w:wordWrap/>
        <w:overflowPunct/>
        <w:topLinePunct w:val="0"/>
        <w:bidi w:val="0"/>
        <w:adjustRightInd w:val="0"/>
        <w:snapToGrid w:val="0"/>
        <w:spacing w:line="560" w:lineRule="exact"/>
        <w:ind w:left="0" w:leftChars="0" w:firstLine="720" w:firstLineChars="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分析评价申报内容是否与实际相符，申报目标是否合理可行。</w:t>
      </w:r>
    </w:p>
    <w:p>
      <w:pPr>
        <w:pStyle w:val="2"/>
        <w:pageBreakBefore w:val="0"/>
        <w:numPr>
          <w:ilvl w:val="0"/>
          <w:numId w:val="0"/>
        </w:numPr>
        <w:kinsoku/>
        <w:wordWrap/>
        <w:overflowPunct/>
        <w:topLinePunct w:val="0"/>
        <w:bidi w:val="0"/>
        <w:spacing w:line="560" w:lineRule="exact"/>
        <w:ind w:left="640" w:leftChars="0"/>
        <w:rPr>
          <w:color w:val="FF0000"/>
          <w:lang w:val="zh-CN"/>
        </w:rPr>
      </w:pPr>
      <w:r>
        <w:rPr>
          <w:rFonts w:hint="eastAsia" w:ascii="仿宋_GB2312" w:hAnsi="宋体" w:eastAsia="仿宋_GB2312"/>
          <w:color w:val="000000" w:themeColor="text1"/>
          <w:sz w:val="32"/>
          <w:szCs w:val="32"/>
          <w:lang w:val="zh-CN" w:eastAsia="zh-CN"/>
          <w14:textFill>
            <w14:solidFill>
              <w14:schemeClr w14:val="tx1"/>
            </w14:solidFill>
          </w14:textFill>
        </w:rPr>
        <w:t>分析评价申报内容与实际相符，申报目标合理可行。</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1.收集数据。对项目资金收支情况、项目实施情况相关资料进行收集。</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2、组织实施。对基础数据进行审核、核对开展自评；</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3、归纳汇总。对收集的评价材料结合本单位情况进行综合分析、归纳汇总；</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4、根据评价材料结合各项评价指标逐条对应进行分析评分；</w:t>
      </w:r>
    </w:p>
    <w:p>
      <w:pPr>
        <w:pageBreakBefore w:val="0"/>
        <w:kinsoku/>
        <w:wordWrap/>
        <w:overflowPunct/>
        <w:topLinePunct w:val="0"/>
        <w:bidi w:val="0"/>
        <w:adjustRightInd w:val="0"/>
        <w:snapToGrid w:val="0"/>
        <w:spacing w:line="560" w:lineRule="exact"/>
        <w:ind w:firstLine="720"/>
        <w:rPr>
          <w:rFonts w:ascii="仿宋_GB2312" w:hAnsi="宋体" w:eastAsia="仿宋_GB2312"/>
          <w:color w:val="FF0000"/>
          <w:sz w:val="32"/>
          <w:szCs w:val="32"/>
          <w:lang w:val="zh-CN"/>
        </w:rPr>
      </w:pPr>
      <w:r>
        <w:rPr>
          <w:rFonts w:hint="eastAsia" w:ascii="仿宋_GB2312" w:hAnsi="宋体" w:eastAsia="仿宋_GB2312"/>
          <w:color w:val="000000" w:themeColor="text1"/>
          <w:sz w:val="32"/>
          <w:szCs w:val="32"/>
          <w:lang w:val="en-US" w:eastAsia="zh-CN"/>
          <w14:textFill>
            <w14:solidFill>
              <w14:schemeClr w14:val="tx1"/>
            </w14:solidFill>
          </w14:textFill>
        </w:rPr>
        <w:t>5、形成绩效评价自评报告。</w:t>
      </w:r>
    </w:p>
    <w:p>
      <w:pPr>
        <w:pageBreakBefore w:val="0"/>
        <w:kinsoku/>
        <w:wordWrap/>
        <w:overflowPunct/>
        <w:topLinePunct w:val="0"/>
        <w:bidi w:val="0"/>
        <w:adjustRightInd w:val="0"/>
        <w:snapToGrid w:val="0"/>
        <w:spacing w:line="56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pageBreakBefore w:val="0"/>
        <w:kinsoku/>
        <w:wordWrap/>
        <w:overflowPunct/>
        <w:topLinePunct w:val="0"/>
        <w:bidi w:val="0"/>
        <w:adjustRightInd w:val="0"/>
        <w:snapToGrid w:val="0"/>
        <w:spacing w:line="560" w:lineRule="exact"/>
        <w:ind w:firstLine="720"/>
        <w:rPr>
          <w:rFonts w:hint="eastAsia" w:ascii="楷体_GB2312" w:hAnsi="宋体" w:eastAsia="楷体_GB2312"/>
          <w:b/>
          <w:color w:val="000000" w:themeColor="text1"/>
          <w:sz w:val="32"/>
          <w:szCs w:val="32"/>
          <w:lang w:val="zh-CN"/>
          <w14:textFill>
            <w14:solidFill>
              <w14:schemeClr w14:val="tx1"/>
            </w14:solidFill>
          </w14:textFill>
        </w:rPr>
      </w:pPr>
      <w:r>
        <w:rPr>
          <w:rFonts w:hint="eastAsia" w:ascii="仿宋_GB2312" w:hAnsi="仿宋" w:eastAsia="仿宋_GB2312"/>
          <w:sz w:val="32"/>
          <w:szCs w:val="32"/>
        </w:rPr>
        <w:t>《广元市朝天区财政局关于下达2020年因洪涝灾害倒塌和严重损坏民房恢复重建补助资金的通知》（广朝财建〔2020〕43号）下达资金42.5万元。</w:t>
      </w:r>
    </w:p>
    <w:p>
      <w:pPr>
        <w:pageBreakBefore w:val="0"/>
        <w:kinsoku/>
        <w:wordWrap/>
        <w:overflowPunct/>
        <w:topLinePunct w:val="0"/>
        <w:bidi w:val="0"/>
        <w:adjustRightInd w:val="0"/>
        <w:snapToGrid w:val="0"/>
        <w:spacing w:line="56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（二）资金计划、到位及使用情况（可用表格形式反映）。</w:t>
      </w:r>
    </w:p>
    <w:p>
      <w:pPr>
        <w:pageBreakBefore w:val="0"/>
        <w:kinsoku/>
        <w:wordWrap/>
        <w:overflowPunct/>
        <w:topLinePunct w:val="0"/>
        <w:bidi w:val="0"/>
        <w:adjustRightInd w:val="0"/>
        <w:snapToGrid w:val="0"/>
        <w:spacing w:line="560" w:lineRule="exact"/>
        <w:ind w:firstLine="720"/>
        <w:rPr>
          <w:rFonts w:hint="eastAsia" w:ascii="仿宋_GB2312" w:hAnsi="仿宋" w:eastAsia="仿宋_GB2312"/>
          <w:sz w:val="32"/>
          <w:szCs w:val="32"/>
        </w:rPr>
      </w:pPr>
      <w:r>
        <w:rPr>
          <w:rFonts w:hint="eastAsia" w:ascii="仿宋_GB2312" w:hAnsi="仿宋" w:eastAsia="仿宋_GB2312"/>
          <w:sz w:val="32"/>
          <w:szCs w:val="32"/>
        </w:rPr>
        <w:t>截至2020年12月31日，区财政局拨付2019自然灾害救灾资金共42.5万元，实际拨付资金与预算相符，项目资金全部到位。</w:t>
      </w:r>
    </w:p>
    <w:p>
      <w:pPr>
        <w:spacing w:line="560" w:lineRule="exact"/>
        <w:ind w:firstLine="645"/>
        <w:rPr>
          <w:rFonts w:hint="eastAsia" w:ascii="仿宋_GB2312" w:hAnsi="仿宋" w:eastAsia="仿宋_GB2312"/>
          <w:sz w:val="32"/>
          <w:szCs w:val="32"/>
        </w:rPr>
      </w:pPr>
      <w:r>
        <w:rPr>
          <w:rFonts w:hint="eastAsia" w:ascii="仿宋_GB2312" w:hAnsi="微软雅黑" w:eastAsia="仿宋_GB2312"/>
          <w:color w:val="000000"/>
          <w:sz w:val="32"/>
          <w:szCs w:val="32"/>
        </w:rPr>
        <w:t>截至2020年12月31日，专项资金实际使用42.5万元，项目支出标准、支付依据合规合法。</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我局财务制度健全，管理规范,账务处理及时，会计核算规范。专项资金严格按照国家规定的项目资金相关法律、法规的规定和要求使用，确保资金的专款专用。</w:t>
      </w:r>
    </w:p>
    <w:p>
      <w:pPr>
        <w:pageBreakBefore w:val="0"/>
        <w:kinsoku/>
        <w:wordWrap/>
        <w:overflowPunct/>
        <w:topLinePunct w:val="0"/>
        <w:bidi w:val="0"/>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三、项目实施及管理情况</w:t>
      </w:r>
    </w:p>
    <w:p>
      <w:pPr>
        <w:pageBreakBefore w:val="0"/>
        <w:numPr>
          <w:ilvl w:val="0"/>
          <w:numId w:val="0"/>
        </w:numPr>
        <w:kinsoku/>
        <w:wordWrap/>
        <w:overflowPunct/>
        <w:topLinePunct w:val="0"/>
        <w:bidi w:val="0"/>
        <w:adjustRightInd w:val="0"/>
        <w:snapToGrid w:val="0"/>
        <w:spacing w:line="560" w:lineRule="exact"/>
        <w:ind w:firstLine="642" w:firstLineChars="200"/>
        <w:rPr>
          <w:rFonts w:hint="eastAsia"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（一）项目组织架构及实施流程。</w:t>
      </w:r>
    </w:p>
    <w:p>
      <w:pPr>
        <w:pageBreakBefore w:val="0"/>
        <w:kinsoku/>
        <w:wordWrap/>
        <w:overflowPunct/>
        <w:topLinePunct w:val="0"/>
        <w:bidi w:val="0"/>
        <w:spacing w:line="560" w:lineRule="exact"/>
        <w:ind w:firstLine="640" w:firstLineChars="200"/>
        <w:rPr>
          <w:lang w:val="zh-CN"/>
        </w:rPr>
      </w:pPr>
      <w:r>
        <w:rPr>
          <w:rFonts w:hint="eastAsia" w:ascii="仿宋" w:hAnsi="仿宋" w:eastAsia="仿宋" w:cs="仿宋"/>
          <w:color w:val="000000"/>
          <w:sz w:val="32"/>
          <w:szCs w:val="32"/>
          <w:lang w:eastAsia="zh-CN" w:bidi="ar"/>
        </w:rPr>
        <w:t>应急排查</w:t>
      </w:r>
      <w:r>
        <w:rPr>
          <w:rFonts w:hint="eastAsia" w:ascii="仿宋" w:hAnsi="仿宋" w:eastAsia="仿宋" w:cs="仿宋"/>
          <w:color w:val="000000"/>
          <w:sz w:val="32"/>
          <w:szCs w:val="32"/>
          <w:lang w:bidi="ar"/>
        </w:rPr>
        <w:t>→</w:t>
      </w:r>
      <w:r>
        <w:rPr>
          <w:rFonts w:hint="eastAsia" w:ascii="仿宋" w:hAnsi="仿宋" w:eastAsia="仿宋" w:cs="仿宋"/>
          <w:color w:val="000000"/>
          <w:sz w:val="32"/>
          <w:szCs w:val="32"/>
          <w:lang w:eastAsia="zh-CN" w:bidi="ar"/>
        </w:rPr>
        <w:t>损坏程度评估</w:t>
      </w:r>
      <w:r>
        <w:rPr>
          <w:rFonts w:hint="eastAsia" w:ascii="仿宋" w:hAnsi="仿宋" w:eastAsia="仿宋" w:cs="仿宋"/>
          <w:color w:val="000000"/>
          <w:sz w:val="32"/>
          <w:szCs w:val="32"/>
          <w:lang w:bidi="ar"/>
        </w:rPr>
        <w:t>→</w:t>
      </w:r>
      <w:r>
        <w:rPr>
          <w:rFonts w:hint="eastAsia" w:ascii="仿宋" w:hAnsi="仿宋" w:eastAsia="仿宋" w:cs="仿宋"/>
          <w:color w:val="000000"/>
          <w:sz w:val="32"/>
          <w:szCs w:val="32"/>
          <w:lang w:eastAsia="zh-CN" w:bidi="ar"/>
        </w:rPr>
        <w:t>乡镇审核</w:t>
      </w:r>
      <w:r>
        <w:rPr>
          <w:rFonts w:hint="eastAsia" w:ascii="仿宋" w:hAnsi="仿宋" w:eastAsia="仿宋" w:cs="仿宋"/>
          <w:color w:val="000000"/>
          <w:sz w:val="32"/>
          <w:szCs w:val="32"/>
          <w:lang w:bidi="ar"/>
        </w:rPr>
        <w:t>→</w:t>
      </w:r>
      <w:r>
        <w:rPr>
          <w:rFonts w:hint="eastAsia" w:ascii="仿宋" w:hAnsi="仿宋" w:eastAsia="仿宋" w:cs="仿宋"/>
          <w:color w:val="000000"/>
          <w:sz w:val="32"/>
          <w:szCs w:val="32"/>
          <w:lang w:eastAsia="zh-CN" w:bidi="ar"/>
        </w:rPr>
        <w:t>县级核定发放</w:t>
      </w:r>
    </w:p>
    <w:p>
      <w:pPr>
        <w:pageBreakBefore w:val="0"/>
        <w:widowControl/>
        <w:kinsoku/>
        <w:wordWrap/>
        <w:overflowPunct/>
        <w:topLinePunct w:val="0"/>
        <w:bidi w:val="0"/>
        <w:spacing w:line="560" w:lineRule="exact"/>
        <w:ind w:firstLine="642" w:firstLineChars="200"/>
        <w:jc w:val="left"/>
        <w:textAlignment w:val="baseline"/>
        <w:rPr>
          <w:lang w:val="zh-CN"/>
        </w:rPr>
      </w:pPr>
      <w:r>
        <w:rPr>
          <w:rFonts w:hint="eastAsia" w:ascii="楷体_GB2312" w:hAnsi="宋体" w:eastAsia="楷体_GB2312"/>
          <w:b/>
          <w:sz w:val="32"/>
          <w:szCs w:val="32"/>
          <w:lang w:val="zh-CN"/>
        </w:rPr>
        <w:t>（二）项目管理情况。</w:t>
      </w:r>
      <w:r>
        <w:rPr>
          <w:rFonts w:hint="eastAsia" w:ascii="仿宋_GB2312" w:hAnsi="宋体" w:eastAsia="仿宋_GB2312"/>
          <w:color w:val="000000" w:themeColor="text1"/>
          <w:sz w:val="32"/>
          <w:szCs w:val="32"/>
          <w:lang w:val="zh-CN"/>
          <w14:textFill>
            <w14:solidFill>
              <w14:schemeClr w14:val="tx1"/>
            </w14:solidFill>
          </w14:textFill>
        </w:rPr>
        <w:t>我局成立了由局长任组长、分管办公室副局长和分管相关项目副局长任副组长、办公室和相关业务股室负责人任成员的项目资金使用监督管理工作领导小组。认真学习项目管理政策法规，准确把握项目管理要求，保证项目实施规范合法，切实保障受灾群众生命财产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 w:eastAsia="仿宋_GB2312"/>
          <w:sz w:val="32"/>
          <w:szCs w:val="32"/>
        </w:rPr>
      </w:pPr>
      <w:r>
        <w:rPr>
          <w:rFonts w:hint="eastAsia" w:ascii="楷体_GB2312" w:hAnsi="宋体" w:eastAsia="楷体_GB2312"/>
          <w:b/>
          <w:sz w:val="32"/>
          <w:szCs w:val="32"/>
          <w:lang w:val="zh-CN"/>
        </w:rPr>
        <w:t>（三）项目监管情况。</w:t>
      </w:r>
      <w:r>
        <w:rPr>
          <w:rFonts w:hint="eastAsia" w:ascii="仿宋_GB2312" w:hAnsi="仿宋" w:eastAsia="仿宋_GB2312"/>
          <w:sz w:val="32"/>
          <w:szCs w:val="32"/>
        </w:rPr>
        <w:t>由相关业务股室检查监督各重建户房屋重建情况，由项目督导小组对整个项目实施监督管理并最终验收，并确保资金使用真实有效。</w:t>
      </w:r>
    </w:p>
    <w:p>
      <w:pPr>
        <w:pageBreakBefore w:val="0"/>
        <w:kinsoku/>
        <w:wordWrap/>
        <w:overflowPunct/>
        <w:topLinePunct w:val="0"/>
        <w:bidi w:val="0"/>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截至报告日，5个乡镇共17户洪涝灾害受灾户完按照标准完成了灾后重建，重建补助资金通过一卡通按照每户2.5万元标准及时发放，项目基本建设完成。</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项目有效缓解了洪涝灾害带来的危害，在帮助受灾群众恢复重建和尽早开展生产上有一定贡献，维护了社会安定和谐，避免了受灾群众因灾情失去再生产能力，在可持续生产上有一定贡献，项目补助群众满意度高。</w:t>
      </w:r>
    </w:p>
    <w:p>
      <w:pPr>
        <w:pageBreakBefore w:val="0"/>
        <w:kinsoku/>
        <w:wordWrap/>
        <w:overflowPunct/>
        <w:topLinePunct w:val="0"/>
        <w:bidi w:val="0"/>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五、评价结论及建议</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ageBreakBefore w:val="0"/>
        <w:kinsoku/>
        <w:wordWrap/>
        <w:overflowPunct/>
        <w:topLinePunct w:val="0"/>
        <w:bidi w:val="0"/>
        <w:adjustRightInd w:val="0"/>
        <w:snapToGrid w:val="0"/>
        <w:spacing w:line="56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结合农房重建资金项目自身特点、评价重点及管理办法等要求，围绕</w:t>
      </w:r>
      <w:r>
        <w:rPr>
          <w:rFonts w:hint="eastAsia" w:ascii="仿宋_GB2312" w:hAnsi="宋体" w:eastAsia="仿宋_GB2312"/>
          <w:sz w:val="32"/>
          <w:szCs w:val="32"/>
          <w:lang w:val="zh-CN" w:eastAsia="zh-CN"/>
        </w:rPr>
        <w:t>专项项目支出绩效评价指标体系对项目进行总体评价</w:t>
      </w:r>
      <w:r>
        <w:rPr>
          <w:rFonts w:hint="eastAsia" w:ascii="仿宋_GB2312" w:hAnsi="宋体" w:eastAsia="仿宋_GB2312"/>
          <w:sz w:val="32"/>
          <w:szCs w:val="32"/>
          <w:lang w:val="zh-CN"/>
        </w:rPr>
        <w:t>，得分100分，绩效评级为“优”。</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pageBreakBefore w:val="0"/>
        <w:kinsoku/>
        <w:wordWrap/>
        <w:overflowPunct/>
        <w:topLinePunct w:val="0"/>
        <w:bidi w:val="0"/>
        <w:spacing w:line="560" w:lineRule="exact"/>
        <w:jc w:val="center"/>
        <w:outlineLvl w:val="0"/>
        <w:rPr>
          <w:rFonts w:hint="eastAsia" w:ascii="黑体" w:hAnsi="黑体" w:eastAsia="黑体"/>
          <w:color w:val="000000"/>
          <w:sz w:val="44"/>
          <w:szCs w:val="44"/>
        </w:rPr>
      </w:pPr>
    </w:p>
    <w:p>
      <w:pPr>
        <w:pageBreakBefore w:val="0"/>
        <w:kinsoku/>
        <w:wordWrap/>
        <w:overflowPunct/>
        <w:topLinePunct w:val="0"/>
        <w:bidi w:val="0"/>
        <w:spacing w:line="560" w:lineRule="exact"/>
        <w:jc w:val="center"/>
        <w:outlineLvl w:val="0"/>
        <w:rPr>
          <w:rFonts w:hint="eastAsia" w:ascii="黑体" w:hAnsi="黑体" w:eastAsia="黑体"/>
          <w:color w:val="000000"/>
          <w:sz w:val="44"/>
          <w:szCs w:val="44"/>
        </w:rPr>
      </w:pPr>
    </w:p>
    <w:p>
      <w:pPr>
        <w:pageBreakBefore w:val="0"/>
        <w:kinsoku/>
        <w:wordWrap/>
        <w:overflowPunct/>
        <w:topLinePunct w:val="0"/>
        <w:bidi w:val="0"/>
        <w:spacing w:line="560" w:lineRule="exact"/>
        <w:jc w:val="center"/>
        <w:outlineLvl w:val="0"/>
        <w:rPr>
          <w:rFonts w:hint="eastAsia" w:ascii="黑体" w:hAnsi="黑体" w:eastAsia="黑体"/>
          <w:color w:val="000000"/>
          <w:sz w:val="44"/>
          <w:szCs w:val="44"/>
        </w:rPr>
      </w:pPr>
    </w:p>
    <w:p>
      <w:pPr>
        <w:pageBreakBefore w:val="0"/>
        <w:kinsoku/>
        <w:wordWrap/>
        <w:overflowPunct/>
        <w:topLinePunct w:val="0"/>
        <w:bidi w:val="0"/>
        <w:spacing w:line="560" w:lineRule="exact"/>
        <w:jc w:val="center"/>
        <w:outlineLvl w:val="0"/>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rPr>
          <w:rFonts w:hint="eastAsia"/>
        </w:rPr>
      </w:pPr>
    </w:p>
    <w:p>
      <w:pPr>
        <w:pageBreakBefore w:val="0"/>
        <w:kinsoku/>
        <w:wordWrap/>
        <w:overflowPunct/>
        <w:topLinePunct w:val="0"/>
        <w:bidi w:val="0"/>
        <w:spacing w:line="560" w:lineRule="exact"/>
        <w:jc w:val="center"/>
        <w:outlineLvl w:val="0"/>
        <w:rPr>
          <w:rFonts w:hint="eastAsia" w:ascii="黑体" w:hAnsi="黑体" w:eastAsia="黑体"/>
          <w:color w:val="000000"/>
          <w:sz w:val="44"/>
          <w:szCs w:val="44"/>
        </w:rPr>
      </w:pPr>
    </w:p>
    <w:p>
      <w:pPr>
        <w:pageBreakBefore w:val="0"/>
        <w:kinsoku/>
        <w:wordWrap/>
        <w:overflowPunct/>
        <w:topLinePunct w:val="0"/>
        <w:bidi w:val="0"/>
        <w:spacing w:line="560" w:lineRule="exact"/>
        <w:jc w:val="center"/>
        <w:outlineLvl w:val="0"/>
        <w:rPr>
          <w:rFonts w:hint="eastAsia" w:ascii="黑体" w:hAnsi="黑体" w:eastAsia="黑体"/>
          <w:color w:val="000000"/>
          <w:sz w:val="44"/>
          <w:szCs w:val="44"/>
        </w:rPr>
      </w:pPr>
    </w:p>
    <w:p>
      <w:pPr>
        <w:pageBreakBefore w:val="0"/>
        <w:kinsoku/>
        <w:wordWrap/>
        <w:overflowPunct/>
        <w:topLinePunct w:val="0"/>
        <w:bidi w:val="0"/>
        <w:spacing w:line="560" w:lineRule="exact"/>
        <w:jc w:val="center"/>
        <w:outlineLvl w:val="0"/>
        <w:rPr>
          <w:rFonts w:hint="eastAsia" w:ascii="黑体" w:hAnsi="黑体" w:eastAsia="黑体"/>
          <w:color w:val="000000"/>
          <w:sz w:val="44"/>
          <w:szCs w:val="44"/>
        </w:rPr>
      </w:pPr>
    </w:p>
    <w:p>
      <w:pPr>
        <w:pageBreakBefore w:val="0"/>
        <w:widowControl/>
        <w:kinsoku/>
        <w:wordWrap/>
        <w:overflowPunct/>
        <w:topLinePunct w:val="0"/>
        <w:bidi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pStyle w:val="2"/>
        <w:rPr>
          <w:rFonts w:hint="eastAsia"/>
          <w:lang w:val="en-US" w:eastAsia="zh-CN"/>
        </w:rPr>
      </w:pPr>
    </w:p>
    <w:p>
      <w:pPr>
        <w:pageBreakBefore w:val="0"/>
        <w:kinsoku/>
        <w:wordWrap/>
        <w:overflowPunct/>
        <w:topLinePunct w:val="0"/>
        <w:bidi w:val="0"/>
        <w:spacing w:line="56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en-US" w:eastAsia="zh-CN"/>
        </w:rPr>
        <w:t>新型冠状病毒感染肺炎疫情防控资金</w:t>
      </w:r>
      <w:r>
        <w:rPr>
          <w:rFonts w:hint="eastAsia" w:ascii="方正小标宋简体" w:hAnsi="宋体" w:eastAsia="方正小标宋简体"/>
          <w:color w:val="000000"/>
          <w:kern w:val="0"/>
          <w:sz w:val="44"/>
          <w:szCs w:val="44"/>
          <w:lang w:val="zh-CN"/>
        </w:rPr>
        <w:t>项目</w:t>
      </w:r>
    </w:p>
    <w:p>
      <w:pPr>
        <w:pageBreakBefore w:val="0"/>
        <w:kinsoku/>
        <w:wordWrap/>
        <w:overflowPunct/>
        <w:topLinePunct w:val="0"/>
        <w:bidi w:val="0"/>
        <w:spacing w:line="56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lang w:val="en-US" w:eastAsia="zh-CN"/>
        </w:rPr>
        <w:t>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pageBreakBefore w:val="0"/>
        <w:kinsoku/>
        <w:wordWrap/>
        <w:overflowPunct/>
        <w:topLinePunct w:val="0"/>
        <w:bidi w:val="0"/>
        <w:spacing w:line="560" w:lineRule="exact"/>
        <w:rPr>
          <w:rFonts w:ascii="宋体" w:hAnsi="宋体"/>
          <w:sz w:val="32"/>
          <w:szCs w:val="32"/>
          <w:lang w:val="zh-CN"/>
        </w:rPr>
      </w:pPr>
    </w:p>
    <w:p>
      <w:pPr>
        <w:pageBreakBefore w:val="0"/>
        <w:kinsoku/>
        <w:wordWrap/>
        <w:overflowPunct/>
        <w:topLinePunct w:val="0"/>
        <w:bidi w:val="0"/>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1．说明项目主管部门（单位）在该项目管理中的职能。</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一是规范项目实施管理。组织项目管理人员认真学习项目管理政策法规，准确把握项目管理要求，主动与财政等部门进行对接，保证项目实施规范合法；二是严格项目资金管理。加强项目财务管理，做到专款专用、专账核算，不得挪用、挤占、截留资金。</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pageBreakBefore w:val="0"/>
        <w:kinsoku/>
        <w:wordWrap/>
        <w:overflowPunct/>
        <w:topLinePunct w:val="0"/>
        <w:bidi w:val="0"/>
        <w:adjustRightInd w:val="0"/>
        <w:snapToGrid w:val="0"/>
        <w:spacing w:line="560" w:lineRule="exact"/>
        <w:ind w:firstLine="720"/>
        <w:rPr>
          <w:lang w:val="zh-CN"/>
        </w:rPr>
      </w:pPr>
      <w:r>
        <w:rPr>
          <w:rFonts w:hint="eastAsia" w:ascii="仿宋_GB2312" w:hAnsi="仿宋" w:eastAsia="仿宋_GB2312"/>
          <w:sz w:val="32"/>
          <w:szCs w:val="32"/>
        </w:rPr>
        <w:t>该项目立项</w:t>
      </w:r>
      <w:r>
        <w:rPr>
          <w:rFonts w:hint="eastAsia" w:ascii="仿宋_GB2312" w:hAnsi="宋体" w:eastAsia="仿宋_GB2312"/>
          <w:sz w:val="32"/>
          <w:szCs w:val="32"/>
          <w:lang w:val="zh-CN"/>
        </w:rPr>
        <w:t>、资金申报的</w:t>
      </w:r>
      <w:r>
        <w:rPr>
          <w:rFonts w:hint="eastAsia" w:ascii="仿宋_GB2312" w:hAnsi="仿宋" w:eastAsia="仿宋_GB2312"/>
          <w:sz w:val="32"/>
          <w:szCs w:val="32"/>
        </w:rPr>
        <w:t>依据为《关于加强新冠肺炎疫情防控财税政策落实和财政资金监管工作的通知》（财办〔2020〕11号）</w:t>
      </w:r>
    </w:p>
    <w:p>
      <w:pPr>
        <w:pageBreakBefore w:val="0"/>
        <w:numPr>
          <w:ilvl w:val="0"/>
          <w:numId w:val="0"/>
        </w:numPr>
        <w:kinsoku/>
        <w:wordWrap/>
        <w:overflowPunct/>
        <w:topLinePunct w:val="0"/>
        <w:bidi w:val="0"/>
        <w:adjustRightInd w:val="0"/>
        <w:snapToGrid w:val="0"/>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zh-CN"/>
        </w:rPr>
        <w:t>项目资金严格按照</w:t>
      </w:r>
      <w:r>
        <w:rPr>
          <w:rFonts w:hint="eastAsia" w:ascii="仿宋_GB2312" w:hAnsi="仿宋" w:eastAsia="仿宋_GB2312"/>
          <w:sz w:val="32"/>
          <w:szCs w:val="32"/>
        </w:rPr>
        <w:t>《关于加强新冠肺炎疫情防控财税政策落实和财政资金监管工作的通知》（财办〔2020〕11号）</w:t>
      </w:r>
      <w:r>
        <w:rPr>
          <w:rFonts w:hint="eastAsia" w:ascii="仿宋_GB2312" w:hAnsi="仿宋" w:eastAsia="仿宋_GB2312"/>
          <w:sz w:val="32"/>
          <w:szCs w:val="32"/>
          <w:lang w:eastAsia="zh-CN"/>
        </w:rPr>
        <w:t>要求使用，主要用于</w:t>
      </w:r>
      <w:r>
        <w:rPr>
          <w:rFonts w:hint="eastAsia" w:ascii="仿宋_GB2312" w:hAnsi="仿宋" w:eastAsia="仿宋_GB2312"/>
          <w:sz w:val="32"/>
          <w:szCs w:val="32"/>
          <w:lang w:val="en-US" w:eastAsia="zh-CN"/>
        </w:rPr>
        <w:t>2020年度新冠疫情防控物资采购。</w:t>
      </w:r>
    </w:p>
    <w:p>
      <w:pPr>
        <w:pageBreakBefore w:val="0"/>
        <w:numPr>
          <w:ilvl w:val="0"/>
          <w:numId w:val="0"/>
        </w:numPr>
        <w:kinsoku/>
        <w:wordWrap/>
        <w:overflowPunct/>
        <w:topLinePunct w:val="0"/>
        <w:bidi w:val="0"/>
        <w:adjustRightInd w:val="0"/>
        <w:snapToGrid w:val="0"/>
        <w:spacing w:line="560" w:lineRule="exact"/>
        <w:ind w:left="720" w:leftChars="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sz w:val="32"/>
          <w:szCs w:val="32"/>
          <w:lang w:val="zh-CN"/>
        </w:rPr>
        <w:t>．</w:t>
      </w:r>
      <w:r>
        <w:rPr>
          <w:rFonts w:hint="eastAsia" w:ascii="仿宋_GB2312" w:hAnsi="宋体" w:eastAsia="仿宋_GB2312"/>
          <w:color w:val="000000" w:themeColor="text1"/>
          <w:sz w:val="32"/>
          <w:szCs w:val="32"/>
          <w:lang w:val="zh-CN"/>
          <w14:textFill>
            <w14:solidFill>
              <w14:schemeClr w14:val="tx1"/>
            </w14:solidFill>
          </w14:textFill>
        </w:rPr>
        <w:t>资金分配的原则及考虑因素。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color w:val="FF0000"/>
          <w:lang w:val="zh-CN"/>
        </w:rPr>
      </w:pPr>
      <w:r>
        <w:rPr>
          <w:rFonts w:hint="eastAsia" w:ascii="仿宋_GB2312" w:hAnsi="宋体" w:eastAsia="仿宋_GB2312"/>
          <w:sz w:val="32"/>
          <w:szCs w:val="32"/>
          <w:lang w:val="zh-CN"/>
        </w:rPr>
        <w:t>分级管理、分级负担；专款专用、重点使用；公平公正、公开透明；强化监督、注重时效的基本原则，按程序和规定使用分配，确保救灾资金专款专用。</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1．项目主要内容。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color w:val="000000" w:themeColor="text1"/>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该项资金用于</w:t>
      </w:r>
      <w:r>
        <w:rPr>
          <w:rFonts w:hint="eastAsia" w:ascii="仿宋_GB2312" w:hAnsi="仿宋" w:eastAsia="仿宋_GB2312"/>
          <w:sz w:val="32"/>
          <w:szCs w:val="32"/>
        </w:rPr>
        <w:t>及时发现和报告新型冠状病毒感染的肺炎病例，提高疫情应急处置能力，防止疫情扩散蔓延，切实保护人民群众生命安全</w:t>
      </w:r>
      <w:r>
        <w:rPr>
          <w:rFonts w:hint="eastAsia" w:ascii="仿宋_GB2312" w:hAnsi="宋体" w:eastAsia="仿宋_GB2312"/>
          <w:color w:val="000000" w:themeColor="text1"/>
          <w:sz w:val="32"/>
          <w:szCs w:val="32"/>
          <w:lang w:val="zh-CN" w:eastAsia="zh-CN"/>
          <w14:textFill>
            <w14:solidFill>
              <w14:schemeClr w14:val="tx1"/>
            </w14:solidFill>
          </w14:textFill>
        </w:rPr>
        <w:t>。</w:t>
      </w:r>
    </w:p>
    <w:p>
      <w:pPr>
        <w:pageBreakBefore w:val="0"/>
        <w:numPr>
          <w:ilvl w:val="0"/>
          <w:numId w:val="0"/>
        </w:numPr>
        <w:kinsoku/>
        <w:wordWrap/>
        <w:overflowPunct/>
        <w:topLinePunct w:val="0"/>
        <w:bidi w:val="0"/>
        <w:adjustRightInd w:val="0"/>
        <w:snapToGrid w:val="0"/>
        <w:spacing w:line="560" w:lineRule="exact"/>
        <w:ind w:firstLine="640" w:firstLineChars="20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lang w:val="zh-CN"/>
          <w14:textFill>
            <w14:solidFill>
              <w14:schemeClr w14:val="tx1"/>
            </w14:solidFill>
          </w14:textFill>
        </w:rPr>
        <w:t>．项目应实现的具体绩效目标，包括目标的量化、细化情况以及项目实施进度计划等。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预期总目标为及时发现和报告新型冠状病毒感染的肺炎病例，提高疫情应急处置能力，防止疫情扩散蔓延，切实保护人民群众生命安全。衡量目标实现程度的评价指标、标准主要为：数量指标采购防疫物资棉絮400床，棉被套400床，垫絮100床，军大衣200件，防疫耗材1批；质量指标采购防疫物资合格率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lang w:val="zh-CN"/>
          <w14:textFill>
            <w14:solidFill>
              <w14:schemeClr w14:val="tx1"/>
            </w14:solidFill>
          </w14:textFill>
        </w:rPr>
        <w:t>．分析评价申报内容是否与实际相符，申报目标是否合理可行。</w:t>
      </w:r>
    </w:p>
    <w:p>
      <w:pPr>
        <w:pStyle w:val="2"/>
        <w:pageBreakBefore w:val="0"/>
        <w:numPr>
          <w:ilvl w:val="0"/>
          <w:numId w:val="0"/>
        </w:numPr>
        <w:kinsoku/>
        <w:wordWrap/>
        <w:overflowPunct/>
        <w:topLinePunct w:val="0"/>
        <w:bidi w:val="0"/>
        <w:spacing w:line="560" w:lineRule="exact"/>
        <w:ind w:left="640" w:leftChars="0"/>
        <w:rPr>
          <w:color w:val="FF0000"/>
          <w:lang w:val="zh-CN"/>
        </w:rPr>
      </w:pPr>
      <w:r>
        <w:rPr>
          <w:rFonts w:hint="eastAsia" w:ascii="仿宋_GB2312" w:hAnsi="宋体" w:eastAsia="仿宋_GB2312"/>
          <w:color w:val="000000" w:themeColor="text1"/>
          <w:sz w:val="32"/>
          <w:szCs w:val="32"/>
          <w:lang w:val="zh-CN" w:eastAsia="zh-CN"/>
          <w14:textFill>
            <w14:solidFill>
              <w14:schemeClr w14:val="tx1"/>
            </w14:solidFill>
          </w14:textFill>
        </w:rPr>
        <w:t>分析评价申报内容与实际相符，申报目标合理可行。</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1.收集数据。对项目资金收支情况、项目实施情况相关资料进行收集。</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2、组织实施。对基础数据进行审核、核对开展自评。</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3、归纳汇总。对收集的评价材料结合本单位情况进行综合分析、归纳汇总。</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4、根据评价材料结合各项评价指标逐条对应进行分析评分。</w:t>
      </w:r>
    </w:p>
    <w:p>
      <w:pPr>
        <w:pageBreakBefore w:val="0"/>
        <w:kinsoku/>
        <w:wordWrap/>
        <w:overflowPunct/>
        <w:topLinePunct w:val="0"/>
        <w:bidi w:val="0"/>
        <w:adjustRightInd w:val="0"/>
        <w:snapToGrid w:val="0"/>
        <w:spacing w:line="560" w:lineRule="exact"/>
        <w:ind w:firstLine="720"/>
        <w:rPr>
          <w:rFonts w:ascii="仿宋_GB2312" w:hAnsi="宋体" w:eastAsia="仿宋_GB2312"/>
          <w:color w:val="FF0000"/>
          <w:sz w:val="32"/>
          <w:szCs w:val="32"/>
          <w:lang w:val="zh-CN"/>
        </w:rPr>
      </w:pPr>
      <w:r>
        <w:rPr>
          <w:rFonts w:hint="eastAsia" w:ascii="仿宋_GB2312" w:hAnsi="宋体" w:eastAsia="仿宋_GB2312"/>
          <w:color w:val="000000" w:themeColor="text1"/>
          <w:sz w:val="32"/>
          <w:szCs w:val="32"/>
          <w:lang w:val="en-US" w:eastAsia="zh-CN"/>
          <w14:textFill>
            <w14:solidFill>
              <w14:schemeClr w14:val="tx1"/>
            </w14:solidFill>
          </w14:textFill>
        </w:rPr>
        <w:t>5、形成绩效评价自评报告。</w:t>
      </w:r>
    </w:p>
    <w:p>
      <w:pPr>
        <w:pageBreakBefore w:val="0"/>
        <w:kinsoku/>
        <w:wordWrap/>
        <w:overflowPunct/>
        <w:topLinePunct w:val="0"/>
        <w:bidi w:val="0"/>
        <w:adjustRightInd w:val="0"/>
        <w:snapToGrid w:val="0"/>
        <w:spacing w:line="56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spacing w:line="560" w:lineRule="exact"/>
        <w:ind w:firstLine="645"/>
        <w:rPr>
          <w:rFonts w:hint="eastAsia" w:ascii="仿宋_GB2312" w:hAnsi="仿宋" w:eastAsia="仿宋_GB2312"/>
          <w:sz w:val="32"/>
          <w:szCs w:val="32"/>
          <w:lang w:eastAsia="zh-CN"/>
        </w:rPr>
      </w:pPr>
      <w:r>
        <w:rPr>
          <w:rFonts w:hint="eastAsia" w:ascii="仿宋_GB2312" w:hAnsi="仿宋" w:eastAsia="仿宋_GB2312"/>
          <w:sz w:val="32"/>
          <w:szCs w:val="32"/>
          <w:lang w:eastAsia="zh-CN"/>
        </w:rPr>
        <w:t>朝天财政局通过</w:t>
      </w:r>
      <w:r>
        <w:rPr>
          <w:rFonts w:hint="eastAsia" w:ascii="仿宋_GB2312" w:hAnsi="仿宋" w:eastAsia="仿宋_GB2312"/>
          <w:sz w:val="32"/>
          <w:szCs w:val="32"/>
        </w:rPr>
        <w:t>朝财预下-001</w:t>
      </w:r>
      <w:r>
        <w:rPr>
          <w:rFonts w:hint="eastAsia" w:ascii="仿宋_GB2312" w:hAnsi="仿宋" w:eastAsia="仿宋_GB2312"/>
          <w:sz w:val="32"/>
          <w:szCs w:val="32"/>
          <w:lang w:eastAsia="zh-CN"/>
        </w:rPr>
        <w:t>指标</w:t>
      </w:r>
      <w:r>
        <w:rPr>
          <w:rFonts w:hint="eastAsia" w:ascii="仿宋_GB2312" w:hAnsi="仿宋" w:eastAsia="仿宋_GB2312"/>
          <w:sz w:val="32"/>
          <w:szCs w:val="32"/>
        </w:rPr>
        <w:t>下达新型冠状病毒感染肺炎疫情防控资金10万元</w:t>
      </w:r>
      <w:r>
        <w:rPr>
          <w:rFonts w:hint="eastAsia" w:ascii="仿宋_GB2312" w:hAnsi="仿宋" w:eastAsia="仿宋_GB2312"/>
          <w:sz w:val="32"/>
          <w:szCs w:val="32"/>
          <w:lang w:eastAsia="zh-CN"/>
        </w:rPr>
        <w:t>。</w:t>
      </w:r>
    </w:p>
    <w:p>
      <w:pPr>
        <w:pageBreakBefore w:val="0"/>
        <w:kinsoku/>
        <w:wordWrap/>
        <w:overflowPunct/>
        <w:topLinePunct w:val="0"/>
        <w:bidi w:val="0"/>
        <w:adjustRightInd w:val="0"/>
        <w:snapToGrid w:val="0"/>
        <w:spacing w:line="56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（二）资金计划、到位及使用情况（可用表格形式反映）。</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截至2020年12月31日，区财政局拨付新型冠状病毒感染肺炎疫情防控资金共10万元，实际拨付资金与预算相符，项目资金全部到位。</w:t>
      </w:r>
    </w:p>
    <w:p>
      <w:pPr>
        <w:spacing w:line="560" w:lineRule="exact"/>
        <w:ind w:firstLine="645"/>
        <w:rPr>
          <w:rFonts w:hint="eastAsia" w:ascii="仿宋_GB2312" w:hAnsi="仿宋" w:eastAsia="仿宋_GB2312"/>
          <w:sz w:val="32"/>
          <w:szCs w:val="32"/>
        </w:rPr>
      </w:pPr>
      <w:r>
        <w:rPr>
          <w:rFonts w:hint="eastAsia" w:ascii="仿宋_GB2312" w:hAnsi="微软雅黑" w:eastAsia="仿宋_GB2312"/>
          <w:color w:val="000000"/>
          <w:sz w:val="32"/>
          <w:szCs w:val="32"/>
        </w:rPr>
        <w:t>截至2020年12月31日，专项资金实际使用10万元，项目支出标准、支付依据合规合法。</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我局财务制度健全，管理规范,账务处理及时，会计核算规范。专项资金严格按照国家规定的项目资金相关法律、法规的规定和要求使用，确保资金的专款专用。</w:t>
      </w:r>
    </w:p>
    <w:p>
      <w:pPr>
        <w:pageBreakBefore w:val="0"/>
        <w:kinsoku/>
        <w:wordWrap/>
        <w:overflowPunct/>
        <w:topLinePunct w:val="0"/>
        <w:bidi w:val="0"/>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三、项目实施及管理情况</w:t>
      </w:r>
    </w:p>
    <w:p>
      <w:pPr>
        <w:pageBreakBefore w:val="0"/>
        <w:kinsoku/>
        <w:wordWrap/>
        <w:overflowPunct/>
        <w:topLinePunct w:val="0"/>
        <w:bidi w:val="0"/>
        <w:adjustRightInd w:val="0"/>
        <w:snapToGrid w:val="0"/>
        <w:spacing w:line="560" w:lineRule="exact"/>
        <w:ind w:firstLine="720"/>
        <w:rPr>
          <w:color w:val="000000" w:themeColor="text1"/>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结合项目组织实施管理办法，重点围绕以下内容进行分析评价，并对自评中发现的问题分析说明。</w:t>
      </w:r>
    </w:p>
    <w:p>
      <w:pPr>
        <w:pageBreakBefore w:val="0"/>
        <w:numPr>
          <w:ilvl w:val="0"/>
          <w:numId w:val="6"/>
        </w:numPr>
        <w:kinsoku/>
        <w:wordWrap/>
        <w:overflowPunct/>
        <w:topLinePunct w:val="0"/>
        <w:bidi w:val="0"/>
        <w:adjustRightInd w:val="0"/>
        <w:snapToGrid w:val="0"/>
        <w:spacing w:line="560" w:lineRule="exact"/>
        <w:ind w:firstLine="720"/>
        <w:rPr>
          <w:rFonts w:hint="eastAsia"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项目组织架构及实施流程。</w:t>
      </w:r>
    </w:p>
    <w:p>
      <w:pPr>
        <w:pageBreakBefore w:val="0"/>
        <w:kinsoku/>
        <w:wordWrap/>
        <w:overflowPunct/>
        <w:topLinePunct w:val="0"/>
        <w:bidi w:val="0"/>
        <w:spacing w:line="560" w:lineRule="exact"/>
        <w:ind w:firstLine="640" w:firstLineChars="200"/>
        <w:rPr>
          <w:lang w:val="zh-CN"/>
        </w:rPr>
      </w:pPr>
      <w:r>
        <w:rPr>
          <w:rFonts w:hint="eastAsia" w:ascii="仿宋" w:hAnsi="仿宋" w:eastAsia="仿宋" w:cs="仿宋"/>
          <w:color w:val="000000"/>
          <w:sz w:val="32"/>
          <w:szCs w:val="32"/>
          <w:lang w:eastAsia="zh-CN" w:bidi="ar"/>
        </w:rPr>
        <w:t>相关股室确定采购需求</w:t>
      </w:r>
      <w:r>
        <w:rPr>
          <w:rFonts w:hint="eastAsia" w:ascii="仿宋" w:hAnsi="仿宋" w:eastAsia="仿宋" w:cs="仿宋"/>
          <w:color w:val="000000"/>
          <w:sz w:val="32"/>
          <w:szCs w:val="32"/>
          <w:lang w:bidi="ar"/>
        </w:rPr>
        <w:t>→</w:t>
      </w:r>
      <w:r>
        <w:rPr>
          <w:rFonts w:hint="eastAsia" w:ascii="仿宋" w:hAnsi="仿宋" w:eastAsia="仿宋" w:cs="仿宋"/>
          <w:color w:val="000000"/>
          <w:sz w:val="32"/>
          <w:szCs w:val="32"/>
          <w:lang w:eastAsia="zh-CN" w:bidi="ar"/>
        </w:rPr>
        <w:t>办公室审核</w:t>
      </w:r>
      <w:r>
        <w:rPr>
          <w:rFonts w:hint="eastAsia" w:ascii="仿宋" w:hAnsi="仿宋" w:eastAsia="仿宋" w:cs="仿宋"/>
          <w:color w:val="000000"/>
          <w:sz w:val="32"/>
          <w:szCs w:val="32"/>
          <w:lang w:bidi="ar"/>
        </w:rPr>
        <w:t>→</w:t>
      </w:r>
      <w:r>
        <w:rPr>
          <w:rFonts w:hint="eastAsia" w:ascii="仿宋" w:hAnsi="仿宋" w:eastAsia="仿宋" w:cs="仿宋"/>
          <w:color w:val="000000"/>
          <w:sz w:val="32"/>
          <w:szCs w:val="32"/>
          <w:lang w:eastAsia="zh-CN" w:bidi="ar"/>
        </w:rPr>
        <w:t>领导审批</w:t>
      </w:r>
      <w:r>
        <w:rPr>
          <w:rFonts w:hint="eastAsia" w:ascii="仿宋" w:hAnsi="仿宋" w:eastAsia="仿宋" w:cs="仿宋"/>
          <w:color w:val="000000"/>
          <w:sz w:val="32"/>
          <w:szCs w:val="32"/>
          <w:lang w:bidi="ar"/>
        </w:rPr>
        <w:t>→</w:t>
      </w:r>
      <w:r>
        <w:rPr>
          <w:rFonts w:hint="eastAsia" w:ascii="仿宋" w:hAnsi="仿宋" w:eastAsia="仿宋" w:cs="仿宋"/>
          <w:color w:val="000000"/>
          <w:sz w:val="32"/>
          <w:szCs w:val="32"/>
          <w:lang w:eastAsia="zh-CN" w:bidi="ar"/>
        </w:rPr>
        <w:t>物资采购</w:t>
      </w:r>
    </w:p>
    <w:p>
      <w:pPr>
        <w:pageBreakBefore w:val="0"/>
        <w:widowControl/>
        <w:kinsoku/>
        <w:wordWrap/>
        <w:overflowPunct/>
        <w:topLinePunct w:val="0"/>
        <w:bidi w:val="0"/>
        <w:spacing w:line="560" w:lineRule="exact"/>
        <w:ind w:firstLine="642" w:firstLineChars="200"/>
        <w:jc w:val="left"/>
        <w:textAlignment w:val="baseline"/>
        <w:rPr>
          <w:lang w:val="zh-CN"/>
        </w:rPr>
      </w:pPr>
      <w:r>
        <w:rPr>
          <w:rFonts w:hint="eastAsia" w:ascii="楷体_GB2312" w:hAnsi="宋体" w:eastAsia="楷体_GB2312"/>
          <w:b/>
          <w:sz w:val="32"/>
          <w:szCs w:val="32"/>
          <w:lang w:val="zh-CN"/>
        </w:rPr>
        <w:t>（二）项目管理情况。</w:t>
      </w:r>
      <w:r>
        <w:rPr>
          <w:rFonts w:hint="eastAsia" w:ascii="仿宋_GB2312" w:hAnsi="宋体" w:eastAsia="仿宋_GB2312"/>
          <w:color w:val="000000" w:themeColor="text1"/>
          <w:sz w:val="32"/>
          <w:szCs w:val="32"/>
          <w:lang w:val="zh-CN"/>
          <w14:textFill>
            <w14:solidFill>
              <w14:schemeClr w14:val="tx1"/>
            </w14:solidFill>
          </w14:textFill>
        </w:rPr>
        <w:t>我局成立了由局长任组长、分管办公室副局长和分管相关项目副局长任副组长、办公室和相关业务股室负责人任成员的项目资金使用监督管理工作领导小组。认真学习项目管理政策法规，准确把握项目管理要求，保证项目实施规范合法，切实保障受威胁群众生命财产安全。</w:t>
      </w:r>
    </w:p>
    <w:p>
      <w:pPr>
        <w:spacing w:line="560" w:lineRule="exact"/>
        <w:ind w:firstLine="660"/>
        <w:rPr>
          <w:rFonts w:hint="eastAsia" w:ascii="仿宋_GB2312" w:hAnsi="仿宋" w:eastAsia="仿宋_GB2312"/>
          <w:sz w:val="32"/>
          <w:szCs w:val="32"/>
        </w:rPr>
      </w:pPr>
      <w:r>
        <w:rPr>
          <w:rFonts w:hint="eastAsia" w:ascii="楷体_GB2312" w:hAnsi="宋体" w:eastAsia="楷体_GB2312"/>
          <w:b/>
          <w:sz w:val="32"/>
          <w:szCs w:val="32"/>
          <w:lang w:val="zh-CN"/>
        </w:rPr>
        <w:t>（三）项目监管情况。</w:t>
      </w:r>
      <w:r>
        <w:rPr>
          <w:rFonts w:hint="eastAsia" w:ascii="仿宋_GB2312" w:hAnsi="仿宋" w:eastAsia="仿宋_GB2312"/>
          <w:sz w:val="32"/>
          <w:szCs w:val="32"/>
        </w:rPr>
        <w:t>由防灾减灾救灾股负责采购物资的验收工作，并接受审计、纪检委等相关单位的日常监督。确保资金使用真实有效。</w:t>
      </w:r>
    </w:p>
    <w:p>
      <w:pPr>
        <w:pageBreakBefore w:val="0"/>
        <w:kinsoku/>
        <w:wordWrap/>
        <w:overflowPunct/>
        <w:topLinePunct w:val="0"/>
        <w:bidi w:val="0"/>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通过项目实施，采购了棉絮400床，棉被套400床，垫絮100床，军大衣200件，防疫耗材1批，防疫物资全部验收合格。</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该项目有效提高了疫情应急处置能力，当年全区无新冠疫情确诊人员，维护了社会和谐稳定，促进了社会可持续发展，群众满意度高。</w:t>
      </w:r>
    </w:p>
    <w:p>
      <w:pPr>
        <w:pageBreakBefore w:val="0"/>
        <w:kinsoku/>
        <w:wordWrap/>
        <w:overflowPunct/>
        <w:topLinePunct w:val="0"/>
        <w:bidi w:val="0"/>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五、评价结论及建议</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ageBreakBefore w:val="0"/>
        <w:kinsoku/>
        <w:wordWrap/>
        <w:overflowPunct/>
        <w:topLinePunct w:val="0"/>
        <w:bidi w:val="0"/>
        <w:adjustRightInd w:val="0"/>
        <w:snapToGrid w:val="0"/>
        <w:spacing w:line="56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结合新型冠状病毒感染肺炎疫情防控资金项目自身特点、评价重点及管理办法等要求，围绕</w:t>
      </w:r>
      <w:r>
        <w:rPr>
          <w:rFonts w:hint="eastAsia" w:ascii="仿宋_GB2312" w:hAnsi="宋体" w:eastAsia="仿宋_GB2312"/>
          <w:sz w:val="32"/>
          <w:szCs w:val="32"/>
          <w:lang w:val="zh-CN" w:eastAsia="zh-CN"/>
        </w:rPr>
        <w:t>专项项目支出绩效评价指标体系对项目进行总体评价</w:t>
      </w:r>
      <w:r>
        <w:rPr>
          <w:rFonts w:hint="eastAsia" w:ascii="仿宋_GB2312" w:hAnsi="宋体" w:eastAsia="仿宋_GB2312"/>
          <w:sz w:val="32"/>
          <w:szCs w:val="32"/>
          <w:lang w:val="zh-CN"/>
        </w:rPr>
        <w:t>，得分100分，绩效评级为“优”。</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pageBreakBefore w:val="0"/>
        <w:widowControl/>
        <w:kinsoku/>
        <w:wordWrap/>
        <w:overflowPunct/>
        <w:topLinePunct w:val="0"/>
        <w:bidi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pStyle w:val="2"/>
        <w:rPr>
          <w:rFonts w:hint="eastAsia"/>
          <w:lang w:val="en-US" w:eastAsia="zh-CN"/>
        </w:rPr>
      </w:pPr>
    </w:p>
    <w:p>
      <w:pPr>
        <w:pageBreakBefore w:val="0"/>
        <w:kinsoku/>
        <w:wordWrap/>
        <w:overflowPunct/>
        <w:topLinePunct w:val="0"/>
        <w:bidi w:val="0"/>
        <w:spacing w:line="56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en-US" w:eastAsia="zh-CN"/>
        </w:rPr>
        <w:t>自然灾害生活救助资金</w:t>
      </w:r>
      <w:r>
        <w:rPr>
          <w:rFonts w:hint="eastAsia" w:ascii="方正小标宋简体" w:hAnsi="宋体" w:eastAsia="方正小标宋简体"/>
          <w:color w:val="000000"/>
          <w:kern w:val="0"/>
          <w:sz w:val="44"/>
          <w:szCs w:val="44"/>
          <w:lang w:val="zh-CN"/>
        </w:rPr>
        <w:t>项目</w:t>
      </w:r>
    </w:p>
    <w:p>
      <w:pPr>
        <w:pageBreakBefore w:val="0"/>
        <w:kinsoku/>
        <w:wordWrap/>
        <w:overflowPunct/>
        <w:topLinePunct w:val="0"/>
        <w:bidi w:val="0"/>
        <w:spacing w:line="56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lang w:val="en-US" w:eastAsia="zh-CN"/>
        </w:rPr>
        <w:t>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pageBreakBefore w:val="0"/>
        <w:kinsoku/>
        <w:wordWrap/>
        <w:overflowPunct/>
        <w:topLinePunct w:val="0"/>
        <w:bidi w:val="0"/>
        <w:spacing w:line="560" w:lineRule="exact"/>
        <w:rPr>
          <w:rFonts w:ascii="宋体" w:hAnsi="宋体"/>
          <w:sz w:val="32"/>
          <w:szCs w:val="32"/>
          <w:lang w:val="zh-CN"/>
        </w:rPr>
      </w:pPr>
    </w:p>
    <w:p>
      <w:pPr>
        <w:pageBreakBefore w:val="0"/>
        <w:kinsoku/>
        <w:wordWrap/>
        <w:overflowPunct/>
        <w:topLinePunct w:val="0"/>
        <w:bidi w:val="0"/>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1．说明项目主管部门（单位）在该项目管理中的职能。</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一是规范项目实施管理。组织项目管理人员认真学习项目管理政策法规，准确把握项目管理要求，主动与财政等部门进行对接，保证项目实施规范合法；二是严格项目资金管理。加强项目财务管理，做到专款专用、专账核算，不得挪用、挤占、截留资金。</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pageBreakBefore w:val="0"/>
        <w:kinsoku/>
        <w:wordWrap/>
        <w:overflowPunct/>
        <w:topLinePunct w:val="0"/>
        <w:bidi w:val="0"/>
        <w:adjustRightInd w:val="0"/>
        <w:snapToGrid w:val="0"/>
        <w:spacing w:line="560" w:lineRule="exact"/>
        <w:ind w:firstLine="720"/>
        <w:rPr>
          <w:lang w:val="zh-CN"/>
        </w:rPr>
      </w:pPr>
      <w:r>
        <w:rPr>
          <w:rFonts w:hint="eastAsia" w:ascii="仿宋_GB2312" w:hAnsi="宋体" w:eastAsia="仿宋_GB2312"/>
          <w:sz w:val="32"/>
          <w:szCs w:val="32"/>
          <w:lang w:val="zh-CN"/>
        </w:rPr>
        <w:t>项目立项、资金申报的依据为</w:t>
      </w:r>
      <w:r>
        <w:rPr>
          <w:rFonts w:hint="eastAsia" w:ascii="仿宋_GB2312" w:hAnsi="仿宋" w:eastAsia="仿宋_GB2312"/>
          <w:sz w:val="32"/>
          <w:szCs w:val="32"/>
        </w:rPr>
        <w:t>《广元市朝天区财政局关于下达2020年中央自然灾害救灾资金预算的通知》（广朝财建〔2020〕51号）</w:t>
      </w:r>
    </w:p>
    <w:p>
      <w:pPr>
        <w:pageBreakBefore w:val="0"/>
        <w:numPr>
          <w:ilvl w:val="0"/>
          <w:numId w:val="0"/>
        </w:numPr>
        <w:kinsoku/>
        <w:wordWrap/>
        <w:overflowPunct/>
        <w:topLinePunct w:val="0"/>
        <w:bidi w:val="0"/>
        <w:adjustRightInd w:val="0"/>
        <w:snapToGrid w:val="0"/>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．资金管理办法制定情况，资金支持具体项目的条件、范围与支持方式概况。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lang w:val="zh-CN" w:eastAsia="zh-CN"/>
        </w:rPr>
      </w:pPr>
      <w:r>
        <w:rPr>
          <w:rFonts w:hint="eastAsia" w:ascii="仿宋_GB2312" w:hAnsi="宋体" w:eastAsia="仿宋_GB2312"/>
          <w:sz w:val="32"/>
          <w:szCs w:val="32"/>
          <w:lang w:val="zh-CN"/>
        </w:rPr>
        <w:t>该项资金严格按照</w:t>
      </w:r>
      <w:r>
        <w:rPr>
          <w:rFonts w:hint="eastAsia" w:ascii="仿宋_GB2312" w:hAnsi="仿宋" w:eastAsia="仿宋_GB2312"/>
          <w:sz w:val="32"/>
          <w:szCs w:val="32"/>
        </w:rPr>
        <w:t>《广元市朝天区财政局关于下达2020年中央自然灾害救灾资金预算的通知》</w:t>
      </w:r>
      <w:r>
        <w:rPr>
          <w:rFonts w:hint="eastAsia" w:ascii="仿宋_GB2312" w:hAnsi="仿宋" w:eastAsia="仿宋_GB2312"/>
          <w:sz w:val="32"/>
          <w:szCs w:val="32"/>
          <w:lang w:eastAsia="zh-CN"/>
        </w:rPr>
        <w:t>要求专款专用，对自然灾害救灾工作以及受灾群众过渡期生活给与支持。</w:t>
      </w:r>
    </w:p>
    <w:p>
      <w:pPr>
        <w:pageBreakBefore w:val="0"/>
        <w:numPr>
          <w:ilvl w:val="0"/>
          <w:numId w:val="5"/>
        </w:numPr>
        <w:kinsoku/>
        <w:wordWrap/>
        <w:overflowPunct/>
        <w:topLinePunct w:val="0"/>
        <w:bidi w:val="0"/>
        <w:adjustRightInd w:val="0"/>
        <w:snapToGrid w:val="0"/>
        <w:spacing w:line="560" w:lineRule="exact"/>
        <w:ind w:left="0" w:leftChars="0" w:firstLine="720" w:firstLineChars="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资金分配的原则及考虑因素。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color w:val="FF0000"/>
          <w:lang w:val="zh-CN"/>
        </w:rPr>
      </w:pPr>
      <w:r>
        <w:rPr>
          <w:rFonts w:hint="eastAsia" w:ascii="仿宋_GB2312" w:hAnsi="宋体" w:eastAsia="仿宋_GB2312"/>
          <w:sz w:val="32"/>
          <w:szCs w:val="32"/>
          <w:lang w:val="zh-CN"/>
        </w:rPr>
        <w:t>分级管理、分级负担；专款专用、重点使用；公平公正、公开透明；强化监督、注重时效的基本原则，按程序和规定使用分配，确保救灾资金专款专用。</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1．项目主要内容。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color w:val="000000" w:themeColor="text1"/>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该项资金用于</w:t>
      </w:r>
      <w:r>
        <w:rPr>
          <w:rFonts w:hint="eastAsia" w:ascii="仿宋_GB2312" w:hAnsi="仿宋" w:eastAsia="仿宋_GB2312"/>
          <w:sz w:val="32"/>
          <w:szCs w:val="32"/>
        </w:rPr>
        <w:t>开展自然灾害应急救援救灾工作，并对受灾群众过渡期生活进行补助。</w:t>
      </w:r>
    </w:p>
    <w:p>
      <w:pPr>
        <w:pageBreakBefore w:val="0"/>
        <w:numPr>
          <w:ilvl w:val="0"/>
          <w:numId w:val="0"/>
        </w:numPr>
        <w:kinsoku/>
        <w:wordWrap/>
        <w:overflowPunct/>
        <w:topLinePunct w:val="0"/>
        <w:bidi w:val="0"/>
        <w:adjustRightInd w:val="0"/>
        <w:snapToGrid w:val="0"/>
        <w:spacing w:line="560" w:lineRule="exact"/>
        <w:ind w:firstLine="640" w:firstLineChars="20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lang w:val="zh-CN"/>
          <w14:textFill>
            <w14:solidFill>
              <w14:schemeClr w14:val="tx1"/>
            </w14:solidFill>
          </w14:textFill>
        </w:rPr>
        <w:t>．项目应实现的具体绩效目标，包括目标的量化、细化情况以及项目实施进度计划等。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预期总目标为按照《自然灾害救助条例》的规定，对受灾困难群众紧急转移安置，并根据政策规定对受灾群众过渡期进行生活救助，确保人民群众平稳度过灾情。衡量目标实现程度的评价指标、标准主要为：数量指标2个，分别为紧急转移安置受灾群众总人次、过渡期生活救助总人次；质量指标应急救灾资金下拨率；时效指标资金下拨及时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lang w:val="zh-CN"/>
          <w14:textFill>
            <w14:solidFill>
              <w14:schemeClr w14:val="tx1"/>
            </w14:solidFill>
          </w14:textFill>
        </w:rPr>
        <w:t>分析评价申报内容是否与实际相符，申报目标是否合理可行。</w:t>
      </w:r>
    </w:p>
    <w:p>
      <w:pPr>
        <w:pStyle w:val="2"/>
        <w:pageBreakBefore w:val="0"/>
        <w:numPr>
          <w:ilvl w:val="0"/>
          <w:numId w:val="0"/>
        </w:numPr>
        <w:kinsoku/>
        <w:wordWrap/>
        <w:overflowPunct/>
        <w:topLinePunct w:val="0"/>
        <w:bidi w:val="0"/>
        <w:spacing w:line="560" w:lineRule="exact"/>
        <w:ind w:left="640" w:leftChars="0"/>
        <w:rPr>
          <w:color w:val="FF0000"/>
          <w:lang w:val="zh-CN"/>
        </w:rPr>
      </w:pPr>
      <w:r>
        <w:rPr>
          <w:rFonts w:hint="eastAsia" w:ascii="仿宋_GB2312" w:hAnsi="宋体" w:eastAsia="仿宋_GB2312"/>
          <w:color w:val="000000" w:themeColor="text1"/>
          <w:sz w:val="32"/>
          <w:szCs w:val="32"/>
          <w:lang w:val="zh-CN" w:eastAsia="zh-CN"/>
          <w14:textFill>
            <w14:solidFill>
              <w14:schemeClr w14:val="tx1"/>
            </w14:solidFill>
          </w14:textFill>
        </w:rPr>
        <w:t>分析评价申报内容与实际相符，申报目标合理可行。</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1.收集数据。对项目资金收支情况、项目实施情况相关资料进行收集。</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2、组织实施。对基础数据进行审核、核对开展自评；</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3、归纳汇总。对收集的评价材料结合本单位情况进行综合分析、归纳汇总；</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4、根据评价材料结合各项评价指标逐条对应进行分析评分；</w:t>
      </w:r>
    </w:p>
    <w:p>
      <w:pPr>
        <w:pageBreakBefore w:val="0"/>
        <w:kinsoku/>
        <w:wordWrap/>
        <w:overflowPunct/>
        <w:topLinePunct w:val="0"/>
        <w:bidi w:val="0"/>
        <w:adjustRightInd w:val="0"/>
        <w:snapToGrid w:val="0"/>
        <w:spacing w:line="560" w:lineRule="exact"/>
        <w:ind w:firstLine="720"/>
        <w:rPr>
          <w:rFonts w:ascii="仿宋_GB2312" w:hAnsi="宋体" w:eastAsia="仿宋_GB2312"/>
          <w:color w:val="FF0000"/>
          <w:sz w:val="32"/>
          <w:szCs w:val="32"/>
          <w:lang w:val="zh-CN"/>
        </w:rPr>
      </w:pPr>
      <w:r>
        <w:rPr>
          <w:rFonts w:hint="eastAsia" w:ascii="仿宋_GB2312" w:hAnsi="宋体" w:eastAsia="仿宋_GB2312"/>
          <w:color w:val="000000" w:themeColor="text1"/>
          <w:sz w:val="32"/>
          <w:szCs w:val="32"/>
          <w:lang w:val="en-US" w:eastAsia="zh-CN"/>
          <w14:textFill>
            <w14:solidFill>
              <w14:schemeClr w14:val="tx1"/>
            </w14:solidFill>
          </w14:textFill>
        </w:rPr>
        <w:t>5、形成绩效评价自评报告。</w:t>
      </w:r>
    </w:p>
    <w:p>
      <w:pPr>
        <w:pageBreakBefore w:val="0"/>
        <w:kinsoku/>
        <w:wordWrap/>
        <w:overflowPunct/>
        <w:topLinePunct w:val="0"/>
        <w:bidi w:val="0"/>
        <w:adjustRightInd w:val="0"/>
        <w:snapToGrid w:val="0"/>
        <w:spacing w:line="56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pageBreakBefore w:val="0"/>
        <w:kinsoku/>
        <w:wordWrap/>
        <w:overflowPunct/>
        <w:topLinePunct w:val="0"/>
        <w:bidi w:val="0"/>
        <w:adjustRightInd w:val="0"/>
        <w:snapToGrid w:val="0"/>
        <w:spacing w:line="56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spacing w:line="560" w:lineRule="exact"/>
        <w:ind w:firstLine="640" w:firstLineChars="200"/>
        <w:rPr>
          <w:rFonts w:hint="eastAsia" w:ascii="黑体" w:hAnsi="黑体" w:eastAsia="黑体"/>
          <w:b/>
          <w:sz w:val="32"/>
          <w:szCs w:val="32"/>
        </w:rPr>
      </w:pPr>
      <w:r>
        <w:rPr>
          <w:rFonts w:hint="eastAsia" w:ascii="仿宋_GB2312" w:hAnsi="仿宋" w:eastAsia="仿宋_GB2312"/>
          <w:sz w:val="32"/>
          <w:szCs w:val="32"/>
        </w:rPr>
        <w:t>《广元市朝天区财政局关于下达2020年自然灾害救灾资金的通知》（广朝财建〔2020〕40号）下达资金112万元、《广元市朝天区财政局关于下达2020年中央自然灾害救灾资金预算的通知》（广朝财建〔2020〕51号）下达资金88.17万元，共计200.17万元。</w:t>
      </w:r>
    </w:p>
    <w:p>
      <w:pPr>
        <w:pageBreakBefore w:val="0"/>
        <w:kinsoku/>
        <w:wordWrap/>
        <w:overflowPunct/>
        <w:topLinePunct w:val="0"/>
        <w:bidi w:val="0"/>
        <w:adjustRightInd w:val="0"/>
        <w:snapToGrid w:val="0"/>
        <w:spacing w:line="56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（二）资金计划、到位及使用情况（可用表格形式反映）。</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截至2020年12月31日，区财政局拨付自然灾害生活救助资金共200.17万元，实际拨付资金与预算相符，项目资金全部到位。</w:t>
      </w:r>
    </w:p>
    <w:p>
      <w:pPr>
        <w:spacing w:line="560" w:lineRule="exact"/>
        <w:ind w:firstLine="645"/>
        <w:rPr>
          <w:rFonts w:hint="eastAsia" w:ascii="仿宋_GB2312" w:hAnsi="仿宋" w:eastAsia="仿宋_GB2312"/>
          <w:sz w:val="32"/>
          <w:szCs w:val="32"/>
        </w:rPr>
      </w:pPr>
      <w:r>
        <w:rPr>
          <w:rFonts w:hint="eastAsia" w:ascii="仿宋_GB2312" w:hAnsi="微软雅黑" w:eastAsia="仿宋_GB2312"/>
          <w:color w:val="000000"/>
          <w:sz w:val="32"/>
          <w:szCs w:val="32"/>
        </w:rPr>
        <w:t>截至项目评价日，专项资金实际使用200.17万元，项目支出标准、支付依据合规合法。</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pageBreakBefore w:val="0"/>
        <w:kinsoku/>
        <w:wordWrap/>
        <w:overflowPunct/>
        <w:topLinePunct w:val="0"/>
        <w:bidi w:val="0"/>
        <w:adjustRightInd w:val="0"/>
        <w:snapToGrid w:val="0"/>
        <w:spacing w:line="56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我局财务制度健全，管理规范,账务处理及时，会计核算规范。专项资金严格按照国家规定的项目资金相关法律、法规的规定和要求使用，确保资金的专款专用。</w:t>
      </w:r>
    </w:p>
    <w:p>
      <w:pPr>
        <w:pageBreakBefore w:val="0"/>
        <w:kinsoku/>
        <w:wordWrap/>
        <w:overflowPunct/>
        <w:topLinePunct w:val="0"/>
        <w:bidi w:val="0"/>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三、项目实施及管理情况</w:t>
      </w:r>
    </w:p>
    <w:p>
      <w:pPr>
        <w:pageBreakBefore w:val="0"/>
        <w:kinsoku/>
        <w:wordWrap/>
        <w:overflowPunct/>
        <w:topLinePunct w:val="0"/>
        <w:bidi w:val="0"/>
        <w:adjustRightInd w:val="0"/>
        <w:snapToGrid w:val="0"/>
        <w:spacing w:line="56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ageBreakBefore w:val="0"/>
        <w:kinsoku/>
        <w:wordWrap/>
        <w:overflowPunct/>
        <w:topLinePunct w:val="0"/>
        <w:bidi w:val="0"/>
        <w:spacing w:line="560" w:lineRule="exact"/>
        <w:ind w:firstLine="640" w:firstLineChars="200"/>
        <w:rPr>
          <w:rFonts w:hint="eastAsia" w:ascii="仿宋" w:hAnsi="仿宋" w:eastAsia="仿宋" w:cs="仿宋"/>
          <w:color w:val="000000"/>
          <w:sz w:val="32"/>
          <w:szCs w:val="32"/>
          <w:lang w:eastAsia="zh-CN" w:bidi="ar"/>
        </w:rPr>
      </w:pPr>
      <w:r>
        <w:rPr>
          <w:rFonts w:hint="eastAsia" w:ascii="仿宋" w:hAnsi="仿宋" w:eastAsia="仿宋" w:cs="仿宋"/>
          <w:color w:val="000000"/>
          <w:sz w:val="32"/>
          <w:szCs w:val="32"/>
          <w:lang w:eastAsia="zh-CN" w:bidi="ar"/>
        </w:rPr>
        <w:t>应急排查</w:t>
      </w:r>
      <w:r>
        <w:rPr>
          <w:rFonts w:hint="eastAsia" w:ascii="仿宋" w:hAnsi="仿宋" w:eastAsia="仿宋" w:cs="仿宋"/>
          <w:color w:val="000000"/>
          <w:sz w:val="32"/>
          <w:szCs w:val="32"/>
          <w:lang w:bidi="ar"/>
        </w:rPr>
        <w:t>→</w:t>
      </w:r>
      <w:r>
        <w:rPr>
          <w:rFonts w:hint="eastAsia" w:ascii="仿宋" w:hAnsi="仿宋" w:eastAsia="仿宋" w:cs="仿宋"/>
          <w:color w:val="000000"/>
          <w:sz w:val="32"/>
          <w:szCs w:val="32"/>
          <w:lang w:eastAsia="zh-CN" w:bidi="ar"/>
        </w:rPr>
        <w:t>排危除险</w:t>
      </w:r>
      <w:r>
        <w:rPr>
          <w:rFonts w:hint="eastAsia" w:ascii="仿宋" w:hAnsi="仿宋" w:eastAsia="仿宋" w:cs="仿宋"/>
          <w:color w:val="000000"/>
          <w:sz w:val="32"/>
          <w:szCs w:val="32"/>
          <w:lang w:bidi="ar"/>
        </w:rPr>
        <w:t>→</w:t>
      </w:r>
      <w:r>
        <w:rPr>
          <w:rFonts w:hint="eastAsia" w:ascii="仿宋" w:hAnsi="仿宋" w:eastAsia="仿宋" w:cs="仿宋"/>
          <w:color w:val="000000"/>
          <w:sz w:val="32"/>
          <w:szCs w:val="32"/>
          <w:lang w:eastAsia="zh-CN" w:bidi="ar"/>
        </w:rPr>
        <w:t>过渡期补贴</w:t>
      </w:r>
      <w:r>
        <w:rPr>
          <w:rFonts w:hint="eastAsia" w:ascii="仿宋" w:hAnsi="仿宋" w:eastAsia="仿宋" w:cs="仿宋"/>
          <w:color w:val="000000"/>
          <w:sz w:val="32"/>
          <w:szCs w:val="32"/>
          <w:lang w:bidi="ar"/>
        </w:rPr>
        <w:t>→</w:t>
      </w:r>
      <w:r>
        <w:rPr>
          <w:rFonts w:hint="eastAsia" w:ascii="仿宋" w:hAnsi="仿宋" w:eastAsia="仿宋" w:cs="仿宋"/>
          <w:color w:val="000000"/>
          <w:sz w:val="32"/>
          <w:szCs w:val="32"/>
          <w:lang w:eastAsia="zh-CN" w:bidi="ar"/>
        </w:rPr>
        <w:t>交通后勤通信应急保障。</w:t>
      </w:r>
    </w:p>
    <w:p>
      <w:pPr>
        <w:pageBreakBefore w:val="0"/>
        <w:kinsoku/>
        <w:wordWrap/>
        <w:overflowPunct/>
        <w:topLinePunct w:val="0"/>
        <w:bidi w:val="0"/>
        <w:spacing w:line="560" w:lineRule="exact"/>
        <w:ind w:firstLine="642" w:firstLineChars="200"/>
        <w:rPr>
          <w:lang w:val="zh-CN"/>
        </w:rPr>
      </w:pPr>
      <w:r>
        <w:rPr>
          <w:rFonts w:hint="eastAsia" w:ascii="楷体_GB2312" w:hAnsi="宋体" w:eastAsia="楷体_GB2312"/>
          <w:b/>
          <w:sz w:val="32"/>
          <w:szCs w:val="32"/>
          <w:lang w:val="zh-CN"/>
        </w:rPr>
        <w:t>（二）项目管理情况。</w:t>
      </w:r>
      <w:r>
        <w:rPr>
          <w:rFonts w:hint="eastAsia" w:ascii="仿宋_GB2312" w:hAnsi="宋体" w:eastAsia="仿宋_GB2312"/>
          <w:color w:val="000000" w:themeColor="text1"/>
          <w:sz w:val="32"/>
          <w:szCs w:val="32"/>
          <w:lang w:val="zh-CN"/>
          <w14:textFill>
            <w14:solidFill>
              <w14:schemeClr w14:val="tx1"/>
            </w14:solidFill>
          </w14:textFill>
        </w:rPr>
        <w:t>我局成立了由局长任组长、分管办公室副局长和分管相关项目副局长任副组长、办公室和相关业务股室负责人任成员的项目资金使用监督管理工作领导小组。认真学习项目管理政策法规，准确把握项目管理要求，保证项目实施规范合法，切实保障受威胁群众生命财产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eastAsia="仿宋_GB2312"/>
          <w:color w:val="000000" w:themeColor="text1"/>
          <w:lang w:val="zh-CN" w:eastAsia="zh-CN"/>
          <w14:textFill>
            <w14:solidFill>
              <w14:schemeClr w14:val="tx1"/>
            </w14:solidFill>
          </w14:textFill>
        </w:rPr>
      </w:pPr>
      <w:r>
        <w:rPr>
          <w:rFonts w:hint="eastAsia" w:ascii="楷体_GB2312" w:hAnsi="宋体" w:eastAsia="楷体_GB2312"/>
          <w:b/>
          <w:sz w:val="32"/>
          <w:szCs w:val="32"/>
          <w:lang w:val="zh-CN"/>
        </w:rPr>
        <w:t>（三）项目监管情况。</w:t>
      </w:r>
      <w:r>
        <w:rPr>
          <w:rFonts w:hint="eastAsia" w:ascii="仿宋_GB2312" w:hAnsi="宋体" w:eastAsia="仿宋_GB2312"/>
          <w:color w:val="000000" w:themeColor="text1"/>
          <w:sz w:val="32"/>
          <w:szCs w:val="32"/>
          <w:lang w:val="zh-CN"/>
          <w14:textFill>
            <w14:solidFill>
              <w14:schemeClr w14:val="tx1"/>
            </w14:solidFill>
          </w14:textFill>
        </w:rPr>
        <w:t>根据受灾乡镇人民政府上报的受灾情况，严格按照《自然灾害救助资金》的使用标准，</w:t>
      </w:r>
      <w:r>
        <w:rPr>
          <w:rFonts w:hint="eastAsia" w:ascii="仿宋_GB2312" w:hAnsi="仿宋" w:eastAsia="仿宋_GB2312"/>
          <w:sz w:val="32"/>
          <w:szCs w:val="32"/>
        </w:rPr>
        <w:t>根据项目实施主体不同，分别由相关业务股室检查监督各乡镇项目实施情况，由项目督导小组对整个项目实施监督管理，并确保资金使用真实有效</w:t>
      </w:r>
      <w:r>
        <w:rPr>
          <w:rFonts w:hint="eastAsia" w:ascii="仿宋_GB2312" w:hAnsi="仿宋" w:eastAsia="仿宋_GB2312"/>
          <w:sz w:val="32"/>
          <w:szCs w:val="32"/>
          <w:lang w:eastAsia="zh-CN"/>
        </w:rPr>
        <w:t>。</w:t>
      </w:r>
    </w:p>
    <w:p>
      <w:pPr>
        <w:pageBreakBefore w:val="0"/>
        <w:kinsoku/>
        <w:wordWrap/>
        <w:overflowPunct/>
        <w:topLinePunct w:val="0"/>
        <w:bidi w:val="0"/>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为确保人民群众平稳度过灾情，共紧急转移安置受灾群众4619人，完成率100%，受灾群众过渡期生活补助778人。资金及时下拨率100%。</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通过实施项目，有效减少灾害带来的损失，灾区社会稳定有序，</w:t>
      </w:r>
      <w:r>
        <w:rPr>
          <w:rFonts w:hint="eastAsia" w:ascii="仿宋_GB2312" w:eastAsia="仿宋_GB2312"/>
          <w:bCs/>
          <w:color w:val="000000"/>
          <w:sz w:val="32"/>
          <w:szCs w:val="32"/>
        </w:rPr>
        <w:t>无受灾群众投诉</w:t>
      </w:r>
      <w:r>
        <w:rPr>
          <w:rFonts w:hint="eastAsia" w:ascii="仿宋_GB2312" w:hAnsi="仿宋" w:eastAsia="仿宋_GB2312"/>
          <w:sz w:val="32"/>
          <w:szCs w:val="32"/>
        </w:rPr>
        <w:t>。</w:t>
      </w:r>
    </w:p>
    <w:p>
      <w:pPr>
        <w:pageBreakBefore w:val="0"/>
        <w:kinsoku/>
        <w:wordWrap/>
        <w:overflowPunct/>
        <w:topLinePunct w:val="0"/>
        <w:bidi w:val="0"/>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五、评价结论及建议</w:t>
      </w:r>
    </w:p>
    <w:p>
      <w:pPr>
        <w:pageBreakBefore w:val="0"/>
        <w:kinsoku/>
        <w:wordWrap/>
        <w:overflowPunct/>
        <w:topLinePunct w:val="0"/>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ageBreakBefore w:val="0"/>
        <w:kinsoku/>
        <w:wordWrap/>
        <w:overflowPunct/>
        <w:topLinePunct w:val="0"/>
        <w:bidi w:val="0"/>
        <w:adjustRightInd w:val="0"/>
        <w:snapToGrid w:val="0"/>
        <w:spacing w:line="56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结合自然灾害生活救助资金项目自身特点、评价重点及管理办法等要求，围绕</w:t>
      </w:r>
      <w:r>
        <w:rPr>
          <w:rFonts w:hint="eastAsia" w:ascii="仿宋_GB2312" w:hAnsi="宋体" w:eastAsia="仿宋_GB2312"/>
          <w:sz w:val="32"/>
          <w:szCs w:val="32"/>
          <w:lang w:val="zh-CN" w:eastAsia="zh-CN"/>
        </w:rPr>
        <w:t>专项项目支出绩效评价指标体系对项目进行总体评价</w:t>
      </w:r>
      <w:r>
        <w:rPr>
          <w:rFonts w:hint="eastAsia" w:ascii="仿宋_GB2312" w:hAnsi="宋体" w:eastAsia="仿宋_GB2312"/>
          <w:sz w:val="32"/>
          <w:szCs w:val="32"/>
          <w:lang w:val="zh-CN"/>
        </w:rPr>
        <w:t>，得分100分，绩效评级为“优”。</w:t>
      </w:r>
    </w:p>
    <w:p>
      <w:pPr>
        <w:pageBreakBefore w:val="0"/>
        <w:numPr>
          <w:ilvl w:val="0"/>
          <w:numId w:val="6"/>
        </w:numPr>
        <w:kinsoku/>
        <w:wordWrap/>
        <w:overflowPunct/>
        <w:topLinePunct w:val="0"/>
        <w:bidi w:val="0"/>
        <w:adjustRightInd w:val="0"/>
        <w:snapToGrid w:val="0"/>
        <w:spacing w:line="560" w:lineRule="exact"/>
        <w:ind w:left="0" w:leftChars="0" w:firstLine="720" w:firstLineChars="0"/>
        <w:rPr>
          <w:rFonts w:hint="eastAsia"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存在的问题。</w:t>
      </w:r>
    </w:p>
    <w:p>
      <w:pPr>
        <w:pageBreakBefore w:val="0"/>
        <w:numPr>
          <w:ilvl w:val="0"/>
          <w:numId w:val="6"/>
        </w:numPr>
        <w:kinsoku/>
        <w:wordWrap/>
        <w:overflowPunct/>
        <w:topLinePunct w:val="0"/>
        <w:bidi w:val="0"/>
        <w:adjustRightInd w:val="0"/>
        <w:snapToGrid w:val="0"/>
        <w:spacing w:line="560" w:lineRule="exact"/>
        <w:ind w:left="0" w:leftChars="0" w:firstLine="720"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pageBreakBefore w:val="0"/>
        <w:kinsoku/>
        <w:wordWrap/>
        <w:overflowPunct/>
        <w:topLinePunct w:val="0"/>
        <w:bidi w:val="0"/>
        <w:spacing w:line="560" w:lineRule="exact"/>
        <w:jc w:val="center"/>
        <w:outlineLvl w:val="0"/>
        <w:rPr>
          <w:rStyle w:val="27"/>
          <w:rFonts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b w:val="0"/>
        </w:rPr>
        <w:t>五部分 附表</w:t>
      </w:r>
      <w:bookmarkEnd w:id="61"/>
      <w:bookmarkEnd w:id="63"/>
    </w:p>
    <w:p>
      <w:pPr>
        <w:pStyle w:val="4"/>
        <w:rPr>
          <w:rFonts w:ascii="仿宋" w:hAnsi="仿宋" w:eastAsia="仿宋"/>
          <w:color w:val="000000"/>
        </w:rPr>
      </w:pPr>
      <w:bookmarkStart w:id="64" w:name="_Toc15396619"/>
      <w:r>
        <w:rPr>
          <w:rFonts w:hint="eastAsia" w:ascii="仿宋" w:hAnsi="仿宋" w:eastAsia="仿宋"/>
          <w:b w:val="0"/>
          <w:color w:val="000000"/>
        </w:rPr>
        <w:t>一、收</w:t>
      </w:r>
      <w:r>
        <w:rPr>
          <w:rStyle w:val="34"/>
          <w:rFonts w:hint="eastAsia" w:ascii="仿宋" w:hAnsi="仿宋" w:eastAsia="仿宋"/>
          <w:b w:val="0"/>
          <w:bCs w:val="0"/>
        </w:rPr>
        <w:t>入支出决算总表</w:t>
      </w:r>
      <w:bookmarkEnd w:id="64"/>
    </w:p>
    <w:p>
      <w:pPr>
        <w:pStyle w:val="4"/>
        <w:rPr>
          <w:rFonts w:ascii="仿宋" w:hAnsi="仿宋" w:eastAsia="仿宋"/>
          <w:color w:val="000000"/>
        </w:rPr>
      </w:pPr>
      <w:bookmarkStart w:id="65" w:name="_Toc15396620"/>
      <w:r>
        <w:rPr>
          <w:rFonts w:hint="eastAsia" w:ascii="仿宋" w:hAnsi="仿宋" w:eastAsia="仿宋"/>
          <w:b w:val="0"/>
          <w:color w:val="000000"/>
        </w:rPr>
        <w:t>二、收</w:t>
      </w:r>
      <w:r>
        <w:rPr>
          <w:rStyle w:val="34"/>
          <w:rFonts w:hint="eastAsia" w:ascii="仿宋" w:hAnsi="仿宋" w:eastAsia="仿宋"/>
          <w:b w:val="0"/>
          <w:bCs w:val="0"/>
        </w:rPr>
        <w:t>入决算表</w:t>
      </w:r>
      <w:bookmarkEnd w:id="65"/>
    </w:p>
    <w:p>
      <w:pPr>
        <w:pStyle w:val="4"/>
        <w:rPr>
          <w:rFonts w:ascii="仿宋" w:hAnsi="仿宋" w:eastAsia="仿宋"/>
          <w:color w:val="000000"/>
        </w:rPr>
      </w:pPr>
      <w:bookmarkStart w:id="66" w:name="_Toc15396621"/>
      <w:r>
        <w:rPr>
          <w:rStyle w:val="34"/>
          <w:rFonts w:hint="eastAsia" w:ascii="仿宋" w:hAnsi="仿宋" w:eastAsia="仿宋"/>
          <w:b w:val="0"/>
          <w:bCs w:val="0"/>
        </w:rPr>
        <w:t>三、</w:t>
      </w:r>
      <w:r>
        <w:rPr>
          <w:rFonts w:hint="eastAsia" w:ascii="仿宋" w:hAnsi="仿宋" w:eastAsia="仿宋"/>
          <w:b w:val="0"/>
          <w:color w:val="000000"/>
        </w:rPr>
        <w:t>支</w:t>
      </w:r>
      <w:r>
        <w:rPr>
          <w:rStyle w:val="34"/>
          <w:rFonts w:hint="eastAsia" w:ascii="仿宋" w:hAnsi="仿宋" w:eastAsia="仿宋"/>
          <w:b w:val="0"/>
          <w:bCs w:val="0"/>
        </w:rPr>
        <w:t>出决算表</w:t>
      </w:r>
      <w:bookmarkEnd w:id="66"/>
    </w:p>
    <w:p>
      <w:pPr>
        <w:pStyle w:val="4"/>
        <w:rPr>
          <w:rFonts w:ascii="仿宋" w:hAnsi="仿宋" w:eastAsia="仿宋"/>
          <w:b w:val="0"/>
          <w:color w:val="000000"/>
        </w:rPr>
      </w:pPr>
      <w:bookmarkStart w:id="67" w:name="_Toc15396622"/>
      <w:r>
        <w:rPr>
          <w:rStyle w:val="34"/>
          <w:rFonts w:hint="eastAsia" w:ascii="仿宋" w:hAnsi="仿宋" w:eastAsia="仿宋"/>
          <w:b w:val="0"/>
          <w:bCs w:val="0"/>
        </w:rPr>
        <w:t>四、</w:t>
      </w:r>
      <w:r>
        <w:rPr>
          <w:rFonts w:hint="eastAsia" w:ascii="仿宋" w:hAnsi="仿宋" w:eastAsia="仿宋"/>
          <w:b w:val="0"/>
          <w:color w:val="000000"/>
        </w:rPr>
        <w:t>财</w:t>
      </w:r>
      <w:r>
        <w:rPr>
          <w:rStyle w:val="34"/>
          <w:rFonts w:hint="eastAsia" w:ascii="仿宋" w:hAnsi="仿宋" w:eastAsia="仿宋"/>
          <w:b w:val="0"/>
          <w:bCs w:val="0"/>
        </w:rPr>
        <w:t>政拨款收入支出决算总表</w:t>
      </w:r>
      <w:bookmarkEnd w:id="67"/>
    </w:p>
    <w:p>
      <w:pPr>
        <w:pStyle w:val="4"/>
        <w:rPr>
          <w:rStyle w:val="34"/>
          <w:rFonts w:ascii="仿宋" w:hAnsi="仿宋" w:eastAsia="仿宋"/>
          <w:b w:val="0"/>
          <w:bCs w:val="0"/>
        </w:rPr>
      </w:pPr>
      <w:bookmarkStart w:id="68" w:name="_Toc15396623"/>
      <w:r>
        <w:rPr>
          <w:rStyle w:val="34"/>
          <w:rFonts w:hint="eastAsia" w:ascii="仿宋" w:hAnsi="仿宋" w:eastAsia="仿宋"/>
          <w:b w:val="0"/>
          <w:bCs w:val="0"/>
        </w:rPr>
        <w:t>五、</w:t>
      </w:r>
      <w:r>
        <w:rPr>
          <w:rFonts w:hint="eastAsia" w:ascii="仿宋" w:hAnsi="仿宋" w:eastAsia="仿宋"/>
          <w:b w:val="0"/>
          <w:color w:val="000000"/>
        </w:rPr>
        <w:t>财</w:t>
      </w:r>
      <w:r>
        <w:rPr>
          <w:rStyle w:val="34"/>
          <w:rFonts w:hint="eastAsia" w:ascii="仿宋" w:hAnsi="仿宋" w:eastAsia="仿宋"/>
          <w:b w:val="0"/>
          <w:bCs w:val="0"/>
        </w:rPr>
        <w:t>政拨款支出决算明细表</w:t>
      </w:r>
      <w:bookmarkEnd w:id="68"/>
      <w:bookmarkStart w:id="69" w:name="_Toc15396624"/>
    </w:p>
    <w:p>
      <w:pPr>
        <w:pStyle w:val="4"/>
        <w:rPr>
          <w:rFonts w:ascii="仿宋" w:hAnsi="仿宋" w:eastAsia="仿宋"/>
          <w:color w:val="000000"/>
        </w:rPr>
      </w:pPr>
      <w:r>
        <w:rPr>
          <w:rStyle w:val="34"/>
          <w:rFonts w:hint="eastAsia" w:ascii="仿宋" w:hAnsi="仿宋" w:eastAsia="仿宋"/>
          <w:b w:val="0"/>
          <w:bCs w:val="0"/>
        </w:rPr>
        <w:t>六、</w:t>
      </w:r>
      <w:r>
        <w:rPr>
          <w:rFonts w:hint="eastAsia" w:ascii="仿宋" w:hAnsi="仿宋" w:eastAsia="仿宋"/>
          <w:b w:val="0"/>
          <w:color w:val="000000"/>
        </w:rPr>
        <w:t>一</w:t>
      </w:r>
      <w:r>
        <w:rPr>
          <w:rStyle w:val="34"/>
          <w:rFonts w:hint="eastAsia" w:ascii="仿宋" w:hAnsi="仿宋" w:eastAsia="仿宋"/>
          <w:b w:val="0"/>
          <w:bCs w:val="0"/>
        </w:rPr>
        <w:t>般公共预算财政拨款支出决算表</w:t>
      </w:r>
      <w:bookmarkEnd w:id="69"/>
    </w:p>
    <w:p>
      <w:pPr>
        <w:pStyle w:val="4"/>
        <w:rPr>
          <w:rFonts w:ascii="仿宋" w:hAnsi="仿宋" w:eastAsia="仿宋"/>
          <w:color w:val="000000"/>
        </w:rPr>
      </w:pPr>
      <w:bookmarkStart w:id="70" w:name="_Toc15396625"/>
      <w:r>
        <w:rPr>
          <w:rStyle w:val="34"/>
          <w:rFonts w:hint="eastAsia" w:ascii="仿宋" w:hAnsi="仿宋" w:eastAsia="仿宋"/>
          <w:b w:val="0"/>
          <w:bCs w:val="0"/>
        </w:rPr>
        <w:t>七、</w:t>
      </w:r>
      <w:r>
        <w:rPr>
          <w:rFonts w:hint="eastAsia" w:ascii="仿宋" w:hAnsi="仿宋" w:eastAsia="仿宋"/>
          <w:b w:val="0"/>
          <w:color w:val="000000"/>
        </w:rPr>
        <w:t>一</w:t>
      </w:r>
      <w:r>
        <w:rPr>
          <w:rStyle w:val="34"/>
          <w:rFonts w:hint="eastAsia" w:ascii="仿宋" w:hAnsi="仿宋" w:eastAsia="仿宋"/>
          <w:b w:val="0"/>
          <w:bCs w:val="0"/>
        </w:rPr>
        <w:t>般公共预算财政拨款支出决算明细表</w:t>
      </w:r>
      <w:bookmarkEnd w:id="70"/>
    </w:p>
    <w:p>
      <w:pPr>
        <w:pStyle w:val="4"/>
        <w:rPr>
          <w:rFonts w:ascii="仿宋" w:hAnsi="仿宋" w:eastAsia="仿宋"/>
          <w:color w:val="000000"/>
        </w:rPr>
      </w:pPr>
      <w:bookmarkStart w:id="71" w:name="_Toc15396626"/>
      <w:r>
        <w:rPr>
          <w:rStyle w:val="34"/>
          <w:rFonts w:hint="eastAsia" w:ascii="仿宋" w:hAnsi="仿宋" w:eastAsia="仿宋"/>
          <w:b w:val="0"/>
          <w:bCs w:val="0"/>
        </w:rPr>
        <w:t>八、</w:t>
      </w:r>
      <w:r>
        <w:rPr>
          <w:rFonts w:hint="eastAsia" w:ascii="仿宋" w:hAnsi="仿宋" w:eastAsia="仿宋"/>
          <w:b w:val="0"/>
          <w:color w:val="000000"/>
        </w:rPr>
        <w:t>一</w:t>
      </w:r>
      <w:r>
        <w:rPr>
          <w:rStyle w:val="34"/>
          <w:rFonts w:hint="eastAsia" w:ascii="仿宋" w:hAnsi="仿宋" w:eastAsia="仿宋"/>
          <w:b w:val="0"/>
          <w:bCs w:val="0"/>
        </w:rPr>
        <w:t>般公共预算财政拨款基本支出决算表</w:t>
      </w:r>
      <w:bookmarkEnd w:id="71"/>
    </w:p>
    <w:p>
      <w:pPr>
        <w:pStyle w:val="4"/>
        <w:rPr>
          <w:rFonts w:ascii="仿宋" w:hAnsi="仿宋" w:eastAsia="仿宋"/>
          <w:color w:val="000000"/>
        </w:rPr>
      </w:pPr>
      <w:bookmarkStart w:id="72" w:name="_Toc15396627"/>
      <w:r>
        <w:rPr>
          <w:rStyle w:val="34"/>
          <w:rFonts w:hint="eastAsia" w:ascii="仿宋" w:hAnsi="仿宋" w:eastAsia="仿宋"/>
          <w:b w:val="0"/>
          <w:bCs w:val="0"/>
        </w:rPr>
        <w:t>九、</w:t>
      </w:r>
      <w:r>
        <w:rPr>
          <w:rFonts w:hint="eastAsia" w:ascii="仿宋" w:hAnsi="仿宋" w:eastAsia="仿宋"/>
          <w:b w:val="0"/>
          <w:color w:val="000000"/>
        </w:rPr>
        <w:t>一</w:t>
      </w:r>
      <w:r>
        <w:rPr>
          <w:rStyle w:val="34"/>
          <w:rFonts w:hint="eastAsia" w:ascii="仿宋" w:hAnsi="仿宋" w:eastAsia="仿宋"/>
          <w:b w:val="0"/>
          <w:bCs w:val="0"/>
        </w:rPr>
        <w:t>般公共预算财政拨款项目支出决算表</w:t>
      </w:r>
      <w:bookmarkEnd w:id="72"/>
    </w:p>
    <w:p>
      <w:pPr>
        <w:pStyle w:val="4"/>
        <w:rPr>
          <w:rFonts w:ascii="仿宋" w:hAnsi="仿宋" w:eastAsia="仿宋"/>
          <w:color w:val="000000"/>
        </w:rPr>
      </w:pPr>
      <w:bookmarkStart w:id="73" w:name="_Toc15396628"/>
      <w:r>
        <w:rPr>
          <w:rStyle w:val="34"/>
          <w:rFonts w:hint="eastAsia" w:ascii="仿宋" w:hAnsi="仿宋" w:eastAsia="仿宋"/>
          <w:b w:val="0"/>
          <w:bCs w:val="0"/>
        </w:rPr>
        <w:t>十、</w:t>
      </w:r>
      <w:r>
        <w:rPr>
          <w:rFonts w:hint="eastAsia" w:ascii="仿宋" w:hAnsi="仿宋" w:eastAsia="仿宋"/>
          <w:b w:val="0"/>
          <w:color w:val="000000"/>
        </w:rPr>
        <w:t>一</w:t>
      </w:r>
      <w:r>
        <w:rPr>
          <w:rStyle w:val="34"/>
          <w:rFonts w:hint="eastAsia" w:ascii="仿宋" w:hAnsi="仿宋" w:eastAsia="仿宋"/>
          <w:b w:val="0"/>
          <w:bCs w:val="0"/>
        </w:rPr>
        <w:t>般公共预算财政拨款“三公”经费支出决算表</w:t>
      </w:r>
      <w:bookmarkEnd w:id="73"/>
    </w:p>
    <w:p>
      <w:pPr>
        <w:pStyle w:val="4"/>
        <w:rPr>
          <w:rFonts w:ascii="仿宋" w:hAnsi="仿宋" w:eastAsia="仿宋"/>
          <w:color w:val="000000"/>
        </w:rPr>
      </w:pPr>
      <w:bookmarkStart w:id="74" w:name="_Toc15396629"/>
      <w:r>
        <w:rPr>
          <w:rStyle w:val="34"/>
          <w:rFonts w:hint="eastAsia" w:ascii="仿宋" w:hAnsi="仿宋" w:eastAsia="仿宋"/>
          <w:b w:val="0"/>
          <w:bCs w:val="0"/>
        </w:rPr>
        <w:t>十一、</w:t>
      </w:r>
      <w:r>
        <w:rPr>
          <w:rFonts w:hint="eastAsia" w:ascii="仿宋" w:hAnsi="仿宋" w:eastAsia="仿宋"/>
          <w:b w:val="0"/>
          <w:color w:val="000000"/>
        </w:rPr>
        <w:t>政</w:t>
      </w:r>
      <w:r>
        <w:rPr>
          <w:rStyle w:val="34"/>
          <w:rFonts w:hint="eastAsia" w:ascii="仿宋" w:hAnsi="仿宋" w:eastAsia="仿宋"/>
          <w:b w:val="0"/>
          <w:bCs w:val="0"/>
        </w:rPr>
        <w:t>府性基金预算财政拨款收入支出决算表</w:t>
      </w:r>
      <w:bookmarkEnd w:id="74"/>
    </w:p>
    <w:p>
      <w:pPr>
        <w:pStyle w:val="4"/>
        <w:rPr>
          <w:rFonts w:ascii="仿宋" w:hAnsi="仿宋" w:eastAsia="仿宋"/>
          <w:color w:val="000000"/>
        </w:rPr>
      </w:pPr>
      <w:bookmarkStart w:id="75" w:name="_Toc15396630"/>
      <w:r>
        <w:rPr>
          <w:rStyle w:val="34"/>
          <w:rFonts w:hint="eastAsia" w:ascii="仿宋" w:hAnsi="仿宋" w:eastAsia="仿宋"/>
          <w:b w:val="0"/>
          <w:bCs w:val="0"/>
        </w:rPr>
        <w:t>十二、</w:t>
      </w:r>
      <w:r>
        <w:rPr>
          <w:rFonts w:hint="eastAsia" w:ascii="仿宋" w:hAnsi="仿宋" w:eastAsia="仿宋"/>
          <w:b w:val="0"/>
          <w:color w:val="000000"/>
        </w:rPr>
        <w:t>政</w:t>
      </w:r>
      <w:r>
        <w:rPr>
          <w:rStyle w:val="34"/>
          <w:rFonts w:hint="eastAsia" w:ascii="仿宋" w:hAnsi="仿宋" w:eastAsia="仿宋"/>
          <w:b w:val="0"/>
          <w:bCs w:val="0"/>
        </w:rPr>
        <w:t>府性基金预算财政拨款“三公”经费支出决算表</w:t>
      </w:r>
      <w:bookmarkEnd w:id="75"/>
    </w:p>
    <w:p>
      <w:pPr>
        <w:pStyle w:val="4"/>
        <w:rPr>
          <w:rFonts w:hint="eastAsia"/>
        </w:rPr>
      </w:pPr>
      <w:bookmarkStart w:id="76" w:name="_Toc15396631"/>
      <w:r>
        <w:rPr>
          <w:rStyle w:val="34"/>
          <w:rFonts w:hint="eastAsia" w:ascii="仿宋" w:hAnsi="仿宋" w:eastAsia="仿宋"/>
          <w:b w:val="0"/>
          <w:bCs w:val="0"/>
        </w:rPr>
        <w:t>十三、</w:t>
      </w:r>
      <w:r>
        <w:rPr>
          <w:rFonts w:hint="eastAsia" w:ascii="仿宋" w:hAnsi="仿宋" w:eastAsia="仿宋"/>
          <w:b w:val="0"/>
          <w:color w:val="000000"/>
        </w:rPr>
        <w:t>国</w:t>
      </w:r>
      <w:r>
        <w:rPr>
          <w:rStyle w:val="34"/>
          <w:rFonts w:hint="eastAsia" w:ascii="仿宋" w:hAnsi="仿宋" w:eastAsia="仿宋"/>
          <w:b w:val="0"/>
          <w:bCs w:val="0"/>
        </w:rPr>
        <w:t>有资本经营预算财政拨款</w:t>
      </w:r>
      <w:r>
        <w:rPr>
          <w:rStyle w:val="34"/>
          <w:rFonts w:hint="eastAsia" w:ascii="仿宋" w:hAnsi="仿宋" w:eastAsia="仿宋"/>
          <w:b w:val="0"/>
          <w:bCs w:val="0"/>
          <w:lang w:eastAsia="zh-CN"/>
        </w:rPr>
        <w:t>收入</w:t>
      </w:r>
      <w:r>
        <w:rPr>
          <w:rStyle w:val="34"/>
          <w:rFonts w:hint="eastAsia" w:ascii="仿宋" w:hAnsi="仿宋" w:eastAsia="仿宋"/>
          <w:b w:val="0"/>
          <w:bCs w:val="0"/>
        </w:rPr>
        <w:t>支出决算表</w:t>
      </w:r>
      <w:bookmarkEnd w:id="76"/>
    </w:p>
    <w:p>
      <w:pPr>
        <w:pStyle w:val="4"/>
        <w:rPr>
          <w:rStyle w:val="34"/>
          <w:rFonts w:hint="eastAsia" w:ascii="仿宋" w:hAnsi="仿宋" w:eastAsia="仿宋"/>
          <w:b w:val="0"/>
          <w:bCs w:val="0"/>
        </w:rPr>
      </w:pPr>
      <w:r>
        <w:rPr>
          <w:rStyle w:val="34"/>
          <w:rFonts w:hint="eastAsia" w:ascii="仿宋" w:hAnsi="仿宋" w:eastAsia="仿宋"/>
          <w:b w:val="0"/>
          <w:bCs w:val="0"/>
        </w:rPr>
        <w:t>十</w:t>
      </w:r>
      <w:r>
        <w:rPr>
          <w:rStyle w:val="34"/>
          <w:rFonts w:hint="eastAsia" w:ascii="仿宋" w:hAnsi="仿宋" w:eastAsia="仿宋"/>
          <w:b w:val="0"/>
          <w:bCs w:val="0"/>
          <w:lang w:eastAsia="zh-CN"/>
        </w:rPr>
        <w:t>四</w:t>
      </w:r>
      <w:r>
        <w:rPr>
          <w:rStyle w:val="34"/>
          <w:rFonts w:hint="eastAsia" w:ascii="仿宋" w:hAnsi="仿宋" w:eastAsia="仿宋"/>
          <w:b w:val="0"/>
          <w:bCs w:val="0"/>
        </w:rPr>
        <w:t>、</w:t>
      </w:r>
      <w:r>
        <w:rPr>
          <w:rFonts w:hint="eastAsia" w:ascii="仿宋" w:hAnsi="仿宋" w:eastAsia="仿宋"/>
          <w:b w:val="0"/>
          <w:color w:val="000000"/>
        </w:rPr>
        <w:t>国</w:t>
      </w:r>
      <w:r>
        <w:rPr>
          <w:rStyle w:val="34"/>
          <w:rFonts w:hint="eastAsia" w:ascii="仿宋" w:hAnsi="仿宋" w:eastAsia="仿宋"/>
          <w:b w:val="0"/>
          <w:bCs w:val="0"/>
        </w:rPr>
        <w:t>有资本经营预算财政拨款支出决算表</w:t>
      </w:r>
    </w:p>
    <w:p>
      <w:pPr>
        <w:pStyle w:val="4"/>
        <w:pageBreakBefore w:val="0"/>
        <w:kinsoku/>
        <w:wordWrap/>
        <w:overflowPunct/>
        <w:topLinePunct w:val="0"/>
        <w:bidi w:val="0"/>
        <w:spacing w:line="560" w:lineRule="exact"/>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roman"/>
    <w:pitch w:val="default"/>
    <w:sig w:usb0="00000000" w:usb1="00000000" w:usb2="00000016" w:usb3="00000000" w:csb0="0004001F" w:csb1="00000000"/>
  </w:font>
  <w:font w:name="华文仿宋">
    <w:altName w:val="汉仪仿宋简"/>
    <w:panose1 w:val="02010600040101010101"/>
    <w:charset w:val="86"/>
    <w:family w:val="auto"/>
    <w:pitch w:val="default"/>
    <w:sig w:usb0="00000000" w:usb1="00000000" w:usb2="00000000" w:usb3="00000000" w:csb0="0004009F" w:csb1="DFD7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44BAE"/>
    <w:multiLevelType w:val="singleLevel"/>
    <w:tmpl w:val="85644BAE"/>
    <w:lvl w:ilvl="0" w:tentative="0">
      <w:start w:val="3"/>
      <w:numFmt w:val="chineseCounting"/>
      <w:suff w:val="space"/>
      <w:lvlText w:val="第%1部分"/>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E00E656"/>
    <w:multiLevelType w:val="singleLevel"/>
    <w:tmpl w:val="EE00E656"/>
    <w:lvl w:ilvl="0" w:tentative="0">
      <w:start w:val="3"/>
      <w:numFmt w:val="decimal"/>
      <w:suff w:val="nothing"/>
      <w:lvlText w:val="%1．"/>
      <w:lvlJc w:val="left"/>
    </w:lvl>
  </w:abstractNum>
  <w:abstractNum w:abstractNumId="3">
    <w:nsid w:val="F307B093"/>
    <w:multiLevelType w:val="singleLevel"/>
    <w:tmpl w:val="F307B093"/>
    <w:lvl w:ilvl="0" w:tentative="0">
      <w:start w:val="2"/>
      <w:numFmt w:val="chineseCounting"/>
      <w:suff w:val="nothing"/>
      <w:lvlText w:val="（%1）"/>
      <w:lvlJc w:val="left"/>
      <w:rPr>
        <w:rFonts w:hint="eastAsia"/>
      </w:rPr>
    </w:lvl>
  </w:abstractNum>
  <w:abstractNum w:abstractNumId="4">
    <w:nsid w:val="FDB43474"/>
    <w:multiLevelType w:val="singleLevel"/>
    <w:tmpl w:val="FDB43474"/>
    <w:lvl w:ilvl="0" w:tentative="0">
      <w:start w:val="1"/>
      <w:numFmt w:val="chineseCounting"/>
      <w:suff w:val="nothing"/>
      <w:lvlText w:val="（%1）"/>
      <w:lvlJc w:val="left"/>
      <w:rPr>
        <w:rFonts w:hint="eastAsia"/>
      </w:rPr>
    </w:lvl>
  </w:abstractNum>
  <w:abstractNum w:abstractNumId="5">
    <w:nsid w:val="069BDBCE"/>
    <w:multiLevelType w:val="singleLevel"/>
    <w:tmpl w:val="069BDBCE"/>
    <w:lvl w:ilvl="0" w:tentative="0">
      <w:start w:val="2"/>
      <w:numFmt w:val="decimal"/>
      <w:suff w:val="nothing"/>
      <w:lvlText w:val="%1．"/>
      <w:lvlJc w:val="left"/>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F66684"/>
    <w:rsid w:val="055E1D56"/>
    <w:rsid w:val="060C3530"/>
    <w:rsid w:val="079B5377"/>
    <w:rsid w:val="07DA3334"/>
    <w:rsid w:val="09FF67E7"/>
    <w:rsid w:val="0B3B0CFF"/>
    <w:rsid w:val="0BB52D11"/>
    <w:rsid w:val="0EC92DDD"/>
    <w:rsid w:val="0F127C88"/>
    <w:rsid w:val="0F3F56C6"/>
    <w:rsid w:val="0F743B85"/>
    <w:rsid w:val="0FBB58CD"/>
    <w:rsid w:val="100D1612"/>
    <w:rsid w:val="108B71B2"/>
    <w:rsid w:val="10C055FF"/>
    <w:rsid w:val="10E77D9A"/>
    <w:rsid w:val="14AC3C61"/>
    <w:rsid w:val="160B6560"/>
    <w:rsid w:val="16802782"/>
    <w:rsid w:val="16BB723D"/>
    <w:rsid w:val="177371B4"/>
    <w:rsid w:val="18CF416C"/>
    <w:rsid w:val="1A763170"/>
    <w:rsid w:val="1AFA55FD"/>
    <w:rsid w:val="1C1870F1"/>
    <w:rsid w:val="1C7E46D0"/>
    <w:rsid w:val="1FEF0176"/>
    <w:rsid w:val="20905EC6"/>
    <w:rsid w:val="210F5968"/>
    <w:rsid w:val="23982974"/>
    <w:rsid w:val="240371BF"/>
    <w:rsid w:val="25875F47"/>
    <w:rsid w:val="26E126CE"/>
    <w:rsid w:val="287D6628"/>
    <w:rsid w:val="29BF3871"/>
    <w:rsid w:val="29DD3FF2"/>
    <w:rsid w:val="29FD04D3"/>
    <w:rsid w:val="2B925942"/>
    <w:rsid w:val="2C8E68A5"/>
    <w:rsid w:val="2CA87F11"/>
    <w:rsid w:val="2ED53483"/>
    <w:rsid w:val="2F99402B"/>
    <w:rsid w:val="30A679ED"/>
    <w:rsid w:val="31224952"/>
    <w:rsid w:val="319F7F4E"/>
    <w:rsid w:val="33363350"/>
    <w:rsid w:val="33BE11D4"/>
    <w:rsid w:val="3BAE07B5"/>
    <w:rsid w:val="3CDA7C61"/>
    <w:rsid w:val="3E4E3B7A"/>
    <w:rsid w:val="3F427118"/>
    <w:rsid w:val="40BE4311"/>
    <w:rsid w:val="413918AF"/>
    <w:rsid w:val="42000A38"/>
    <w:rsid w:val="43324F46"/>
    <w:rsid w:val="437D02B6"/>
    <w:rsid w:val="45571374"/>
    <w:rsid w:val="458B2528"/>
    <w:rsid w:val="4658194D"/>
    <w:rsid w:val="46EC1F29"/>
    <w:rsid w:val="474D53A0"/>
    <w:rsid w:val="4827200B"/>
    <w:rsid w:val="48F15904"/>
    <w:rsid w:val="4AEC57B0"/>
    <w:rsid w:val="4ECE2238"/>
    <w:rsid w:val="51A93EF0"/>
    <w:rsid w:val="531433E7"/>
    <w:rsid w:val="55696300"/>
    <w:rsid w:val="5A415B07"/>
    <w:rsid w:val="5EDE2D2A"/>
    <w:rsid w:val="5FC61AA4"/>
    <w:rsid w:val="61741AA4"/>
    <w:rsid w:val="6298715D"/>
    <w:rsid w:val="62FE5474"/>
    <w:rsid w:val="635165DD"/>
    <w:rsid w:val="64C10F80"/>
    <w:rsid w:val="650B5457"/>
    <w:rsid w:val="6669472B"/>
    <w:rsid w:val="6818355F"/>
    <w:rsid w:val="6A5B74A4"/>
    <w:rsid w:val="6A7A1606"/>
    <w:rsid w:val="6C310449"/>
    <w:rsid w:val="6C430A84"/>
    <w:rsid w:val="6D5C5006"/>
    <w:rsid w:val="6E4E359F"/>
    <w:rsid w:val="6F8C1102"/>
    <w:rsid w:val="713730E5"/>
    <w:rsid w:val="71B636E9"/>
    <w:rsid w:val="71BA19FF"/>
    <w:rsid w:val="71DA52C1"/>
    <w:rsid w:val="72734D90"/>
    <w:rsid w:val="735C2FC5"/>
    <w:rsid w:val="73775D14"/>
    <w:rsid w:val="739040CA"/>
    <w:rsid w:val="739C6FAB"/>
    <w:rsid w:val="73D462EC"/>
    <w:rsid w:val="74A13805"/>
    <w:rsid w:val="75EA2DB1"/>
    <w:rsid w:val="77876959"/>
    <w:rsid w:val="79880858"/>
    <w:rsid w:val="79D50702"/>
    <w:rsid w:val="7AAD2B53"/>
    <w:rsid w:val="7AF27F7C"/>
    <w:rsid w:val="7C0C5E95"/>
    <w:rsid w:val="7CC50C7B"/>
    <w:rsid w:val="7F973FAE"/>
    <w:rsid w:val="7F9A58A5"/>
    <w:rsid w:val="7FCB5D78"/>
    <w:rsid w:val="EE16436D"/>
    <w:rsid w:val="EEEACB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ind w:leftChars="200" w:hanging="200" w:hangingChars="200"/>
    </w:pPr>
    <w:rPr>
      <w:szCs w:val="22"/>
    </w:rPr>
  </w:style>
  <w:style w:type="paragraph" w:styleId="6">
    <w:name w:val="Normal Indent"/>
    <w:basedOn w:val="1"/>
    <w:qFormat/>
    <w:uiPriority w:val="0"/>
    <w:pPr>
      <w:snapToGrid w:val="0"/>
      <w:spacing w:line="300" w:lineRule="auto"/>
      <w:ind w:firstLine="556"/>
    </w:pPr>
    <w:rPr>
      <w:rFonts w:ascii="仿宋_GB2312" w:eastAsia="仿宋_GB2312"/>
      <w:kern w:val="0"/>
      <w:szCs w:val="20"/>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公文主体"/>
    <w:basedOn w:val="1"/>
    <w:qFormat/>
    <w:uiPriority w:val="0"/>
    <w:pPr>
      <w:spacing w:line="580" w:lineRule="exact"/>
      <w:ind w:firstLine="200" w:firstLineChars="200"/>
    </w:pPr>
    <w:rPr>
      <w:rFonts w:eastAsia="仿宋_GB2312"/>
      <w:kern w:val="0"/>
      <w:sz w:val="32"/>
      <w:szCs w:val="20"/>
    </w:rPr>
  </w:style>
  <w:style w:type="character" w:customStyle="1" w:styleId="34">
    <w:name w:val=" Char Char5"/>
    <w:basedOn w:val="16"/>
    <w:link w:val="4"/>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2599;&#27491;&#31077;\&#39044;&#20915;&#31639;&#20844;&#24320;\&#20915;&#31639;&#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32599;&#27491;&#31077;\&#39044;&#20915;&#31639;&#20844;&#24320;\&#20915;&#31639;&#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32599;&#27491;&#31077;\&#39044;&#20915;&#31639;&#20844;&#24320;\&#20915;&#31639;&#20844;&#24320;&#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2599;&#27491;&#31077;\&#39044;&#20915;&#31639;&#20844;&#24320;\&#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32599;&#27491;&#31077;\&#39044;&#20915;&#31639;&#20844;&#24320;\&#20915;&#31639;&#20844;&#24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2599;&#27491;&#31077;\&#39044;&#20915;&#31639;&#20844;&#2432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false"/>
      <c:spPr>
        <a:noFill/>
        <a:ln>
          <a:noFill/>
        </a:ln>
        <a:effectLst/>
      </c:spPr>
    </c:title>
    <c:autoTitleDeleted val="false"/>
    <c:plotArea>
      <c:layout/>
      <c:barChart>
        <c:barDir val="col"/>
        <c:grouping val="clustered"/>
        <c:varyColors val="false"/>
        <c:ser>
          <c:idx val="0"/>
          <c:order val="0"/>
          <c:tx>
            <c:strRef>
              <c:f>[决算公开图表.xlsx]Sheet1!$A$3</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[决算公开图表.xlsx]Sheet1!$B$2:$C$2</c:f>
              <c:numCache>
                <c:formatCode>General</c:formatCode>
                <c:ptCount val="2"/>
                <c:pt idx="0">
                  <c:v>2019</c:v>
                </c:pt>
                <c:pt idx="1">
                  <c:v>2020</c:v>
                </c:pt>
              </c:numCache>
            </c:numRef>
          </c:cat>
          <c:val>
            <c:numRef>
              <c:f>[决算公开图表.xlsx]Sheet1!$B$3:$C$3</c:f>
              <c:numCache>
                <c:formatCode>General</c:formatCode>
                <c:ptCount val="2"/>
                <c:pt idx="0">
                  <c:v>1735.37</c:v>
                </c:pt>
                <c:pt idx="1">
                  <c:v>2256.02</c:v>
                </c:pt>
              </c:numCache>
            </c:numRef>
          </c:val>
        </c:ser>
        <c:ser>
          <c:idx val="1"/>
          <c:order val="1"/>
          <c:tx>
            <c:strRef>
              <c:f>[决算公开图表.xlsx]Sheet1!$A$4</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[决算公开图表.xlsx]Sheet1!$B$2:$C$2</c:f>
              <c:numCache>
                <c:formatCode>General</c:formatCode>
                <c:ptCount val="2"/>
                <c:pt idx="0">
                  <c:v>2019</c:v>
                </c:pt>
                <c:pt idx="1">
                  <c:v>2020</c:v>
                </c:pt>
              </c:numCache>
            </c:numRef>
          </c:cat>
          <c:val>
            <c:numRef>
              <c:f>[决算公开图表.xlsx]Sheet1!$B$4:$C$4</c:f>
              <c:numCache>
                <c:formatCode>General</c:formatCode>
                <c:ptCount val="2"/>
                <c:pt idx="0">
                  <c:v>1735.37</c:v>
                </c:pt>
                <c:pt idx="1">
                  <c:v>2256.02</c:v>
                </c:pt>
              </c:numCache>
            </c:numRef>
          </c:val>
        </c:ser>
        <c:dLbls>
          <c:showLegendKey val="false"/>
          <c:showVal val="true"/>
          <c:showCatName val="false"/>
          <c:showSerName val="false"/>
          <c:showPercent val="false"/>
          <c:showBubbleSize val="false"/>
        </c:dLbls>
        <c:gapWidth val="219"/>
        <c:overlap val="-27"/>
        <c:axId val="353354128"/>
        <c:axId val="727083155"/>
      </c:barChart>
      <c:catAx>
        <c:axId val="35335412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7083155"/>
        <c:crosses val="autoZero"/>
        <c:auto val="true"/>
        <c:lblAlgn val="ctr"/>
        <c:lblOffset val="100"/>
        <c:noMultiLvlLbl val="false"/>
      </c:catAx>
      <c:valAx>
        <c:axId val="72708315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5335412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dLbl>
              <c:idx val="0"/>
              <c:layout>
                <c:manualLayout>
                  <c:x val="0.00599934994328339"/>
                  <c:y val="-0.0766897800401194"/>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2256.02</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1735.37</c:v>
                </c:pt>
                <c:pt idx="1">
                  <c:v>0</c:v>
                </c:pt>
                <c:pt idx="2">
                  <c:v>0</c:v>
                </c:pt>
                <c:pt idx="3">
                  <c:v>0</c:v>
                </c:pt>
                <c:pt idx="4">
                  <c:v>0</c:v>
                </c:pt>
                <c:pt idx="5">
                  <c:v>0</c:v>
                </c:pt>
                <c:pt idx="6">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550.</a:t>
                    </a:r>
                    <a:r>
                      <a:rPr lang="en-US" altLang="zh-CN"/>
                      <a:t>8</a:t>
                    </a:r>
                    <a:r>
                      <a:t>3</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1705.</a:t>
                    </a:r>
                    <a:r>
                      <a:rPr lang="en-US" altLang="zh-CN"/>
                      <a:t>1</a:t>
                    </a:r>
                    <a:r>
                      <a:t>8</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[决算公开图表.xlsx]Sheet1!$A$21:$A$22</c:f>
              <c:strCache>
                <c:ptCount val="2"/>
                <c:pt idx="0">
                  <c:v>基本支出</c:v>
                </c:pt>
                <c:pt idx="1">
                  <c:v>项目支出</c:v>
                </c:pt>
              </c:strCache>
            </c:strRef>
          </c:cat>
          <c:val>
            <c:numRef>
              <c:f>[决算公开图表.xlsx]Sheet1!$B$21:$B$22</c:f>
              <c:numCache>
                <c:formatCode>General</c:formatCode>
                <c:ptCount val="2"/>
                <c:pt idx="0">
                  <c:v>550.33</c:v>
                </c:pt>
                <c:pt idx="1">
                  <c:v>1705.68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财政拨款收、支决算总计变动图</a:t>
            </a:r>
          </a:p>
        </c:rich>
      </c:tx>
      <c:layout/>
      <c:overlay val="false"/>
      <c:spPr>
        <a:noFill/>
        <a:ln>
          <a:noFill/>
        </a:ln>
        <a:effectLst/>
      </c:spPr>
    </c:title>
    <c:autoTitleDeleted val="false"/>
    <c:plotArea>
      <c:layout/>
      <c:barChart>
        <c:barDir val="col"/>
        <c:grouping val="clustered"/>
        <c:varyColors val="false"/>
        <c:ser>
          <c:idx val="0"/>
          <c:order val="0"/>
          <c:tx>
            <c:strRef>
              <c:f>[决算公开图表.xlsx]Sheet1!$A$3</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[决算公开图表.xlsx]Sheet1!$B$2:$C$2</c:f>
              <c:numCache>
                <c:formatCode>General</c:formatCode>
                <c:ptCount val="2"/>
                <c:pt idx="0">
                  <c:v>2019</c:v>
                </c:pt>
                <c:pt idx="1">
                  <c:v>2020</c:v>
                </c:pt>
              </c:numCache>
            </c:numRef>
          </c:cat>
          <c:val>
            <c:numRef>
              <c:f>[决算公开图表.xlsx]Sheet1!$B$3:$C$3</c:f>
              <c:numCache>
                <c:formatCode>General</c:formatCode>
                <c:ptCount val="2"/>
                <c:pt idx="0">
                  <c:v>1735.37</c:v>
                </c:pt>
                <c:pt idx="1">
                  <c:v>2256.02</c:v>
                </c:pt>
              </c:numCache>
            </c:numRef>
          </c:val>
        </c:ser>
        <c:ser>
          <c:idx val="1"/>
          <c:order val="1"/>
          <c:tx>
            <c:strRef>
              <c:f>[决算公开图表.xlsx]Sheet1!$A$4</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[决算公开图表.xlsx]Sheet1!$B$2:$C$2</c:f>
              <c:numCache>
                <c:formatCode>General</c:formatCode>
                <c:ptCount val="2"/>
                <c:pt idx="0">
                  <c:v>2019</c:v>
                </c:pt>
                <c:pt idx="1">
                  <c:v>2020</c:v>
                </c:pt>
              </c:numCache>
            </c:numRef>
          </c:cat>
          <c:val>
            <c:numRef>
              <c:f>[决算公开图表.xlsx]Sheet1!$B$4:$C$4</c:f>
              <c:numCache>
                <c:formatCode>General</c:formatCode>
                <c:ptCount val="2"/>
                <c:pt idx="0">
                  <c:v>1735.37</c:v>
                </c:pt>
                <c:pt idx="1">
                  <c:v>2256.02</c:v>
                </c:pt>
              </c:numCache>
            </c:numRef>
          </c:val>
        </c:ser>
        <c:dLbls>
          <c:showLegendKey val="false"/>
          <c:showVal val="true"/>
          <c:showCatName val="false"/>
          <c:showSerName val="false"/>
          <c:showPercent val="false"/>
          <c:showBubbleSize val="false"/>
        </c:dLbls>
        <c:gapWidth val="219"/>
        <c:overlap val="-27"/>
        <c:axId val="353354128"/>
        <c:axId val="727083155"/>
      </c:barChart>
      <c:catAx>
        <c:axId val="35335412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7083155"/>
        <c:crosses val="autoZero"/>
        <c:auto val="true"/>
        <c:lblAlgn val="ctr"/>
        <c:lblOffset val="100"/>
        <c:noMultiLvlLbl val="false"/>
      </c:catAx>
      <c:valAx>
        <c:axId val="72708315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5335412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[决算公开图表.xlsx]Sheet1!$A$37:$B$37</c:f>
              <c:strCache>
                <c:ptCount val="2"/>
                <c:pt idx="0">
                  <c:v>2019年度</c:v>
                </c:pt>
                <c:pt idx="1">
                  <c:v>2020年度</c:v>
                </c:pt>
              </c:strCache>
            </c:strRef>
          </c:cat>
          <c:val>
            <c:numRef>
              <c:f>[决算公开图表.xlsx]Sheet1!$A$38:$B$38</c:f>
              <c:numCache>
                <c:formatCode>General</c:formatCode>
                <c:ptCount val="2"/>
                <c:pt idx="0">
                  <c:v>1735.37</c:v>
                </c:pt>
                <c:pt idx="1">
                  <c:v>2256.02</c:v>
                </c:pt>
              </c:numCache>
            </c:numRef>
          </c:val>
        </c:ser>
        <c:dLbls>
          <c:showLegendKey val="false"/>
          <c:showVal val="true"/>
          <c:showCatName val="false"/>
          <c:showSerName val="false"/>
          <c:showPercent val="false"/>
          <c:showBubbleSize val="false"/>
        </c:dLbls>
        <c:gapWidth val="219"/>
        <c:overlap val="-27"/>
        <c:axId val="324509919"/>
        <c:axId val="220826815"/>
      </c:barChart>
      <c:catAx>
        <c:axId val="32450991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20826815"/>
        <c:crosses val="autoZero"/>
        <c:auto val="true"/>
        <c:lblAlgn val="ctr"/>
        <c:lblOffset val="100"/>
        <c:noMultiLvlLbl val="false"/>
      </c:catAx>
      <c:valAx>
        <c:axId val="22082681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2450991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[决算公开图表.xlsx]Sheet1!$A$56:$A$60</c:f>
              <c:strCache>
                <c:ptCount val="5"/>
                <c:pt idx="0">
                  <c:v>农林水支出</c:v>
                </c:pt>
                <c:pt idx="1">
                  <c:v>灾害防治及应急管理支出</c:v>
                </c:pt>
                <c:pt idx="2">
                  <c:v>社会保障和就业支出</c:v>
                </c:pt>
                <c:pt idx="3">
                  <c:v>卫生健康支出</c:v>
                </c:pt>
                <c:pt idx="4">
                  <c:v>住房保障支出</c:v>
                </c:pt>
              </c:strCache>
            </c:strRef>
          </c:cat>
          <c:val>
            <c:numRef>
              <c:f>[决算公开图表.xlsx]Sheet1!$B$56:$B$60</c:f>
              <c:numCache>
                <c:formatCode>General</c:formatCode>
                <c:ptCount val="5"/>
                <c:pt idx="0">
                  <c:v>6</c:v>
                </c:pt>
                <c:pt idx="1">
                  <c:v>2098.28</c:v>
                </c:pt>
                <c:pt idx="2">
                  <c:v>87.62</c:v>
                </c:pt>
                <c:pt idx="3">
                  <c:v>30.05</c:v>
                </c:pt>
                <c:pt idx="4">
                  <c:v>34.07</c:v>
                </c:pt>
              </c:numCache>
            </c:numRef>
          </c:val>
        </c:ser>
        <c:ser>
          <c:idx val="1"/>
          <c:order val="1"/>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[决算公开图表.xlsx]Sheet1!$A$56:$A$60</c:f>
              <c:strCache>
                <c:ptCount val="5"/>
                <c:pt idx="0">
                  <c:v>农林水支出</c:v>
                </c:pt>
                <c:pt idx="1">
                  <c:v>灾害防治及应急管理支出</c:v>
                </c:pt>
                <c:pt idx="2">
                  <c:v>社会保障和就业支出</c:v>
                </c:pt>
                <c:pt idx="3">
                  <c:v>卫生健康支出</c:v>
                </c:pt>
                <c:pt idx="4">
                  <c:v>住房保障支出</c:v>
                </c:pt>
              </c:strCache>
            </c:strRef>
          </c:cat>
          <c:val>
            <c:numRef>
              <c:f>[决算公开图表.xlsx]Sheet1!$C$56:$C$60</c:f>
              <c:numCache>
                <c:formatCode>0.0%</c:formatCode>
                <c:ptCount val="5"/>
                <c:pt idx="0">
                  <c:v>0.00265955089050629</c:v>
                </c:pt>
                <c:pt idx="1">
                  <c:v>0.93008040708859</c:v>
                </c:pt>
                <c:pt idx="2">
                  <c:v>0.0388383081710268</c:v>
                </c:pt>
                <c:pt idx="3">
                  <c:v>0.013319917376619</c:v>
                </c:pt>
                <c:pt idx="4">
                  <c:v>0.0151018164732582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[决算公开图表.xlsx]Sheet1!$A$67:$A$69</c:f>
              <c:strCache>
                <c:ptCount val="3"/>
                <c:pt idx="0">
                  <c:v>因公出国（境）费</c:v>
                </c:pt>
                <c:pt idx="1">
                  <c:v>公务用车购置及运行维护费</c:v>
                </c:pt>
                <c:pt idx="2">
                  <c:v>公务接待费</c:v>
                </c:pt>
              </c:strCache>
            </c:strRef>
          </c:cat>
          <c:val>
            <c:numRef>
              <c:f>[决算公开图表.xlsx]Sheet1!$B$67:$B$69</c:f>
              <c:numCache>
                <c:formatCode>General</c:formatCode>
                <c:ptCount val="3"/>
                <c:pt idx="0">
                  <c:v>0</c:v>
                </c:pt>
                <c:pt idx="1">
                  <c:v>4.46</c:v>
                </c:pt>
                <c:pt idx="2">
                  <c:v>5.2</c:v>
                </c:pt>
              </c:numCache>
            </c:numRef>
          </c:val>
        </c:ser>
        <c:ser>
          <c:idx val="1"/>
          <c:order val="1"/>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[决算公开图表.xlsx]Sheet1!$A$67:$A$69</c:f>
              <c:strCache>
                <c:ptCount val="3"/>
                <c:pt idx="0">
                  <c:v>因公出国（境）费</c:v>
                </c:pt>
                <c:pt idx="1">
                  <c:v>公务用车购置及运行维护费</c:v>
                </c:pt>
                <c:pt idx="2">
                  <c:v>公务接待费</c:v>
                </c:pt>
              </c:strCache>
            </c:strRef>
          </c:cat>
          <c:val>
            <c:numRef>
              <c:f>[决算公开图表.xlsx]Sheet1!$C$67:$C$69</c:f>
              <c:numCache>
                <c:formatCode>General</c:formatCode>
                <c:ptCount val="3"/>
                <c:pt idx="0">
                  <c:v>0</c:v>
                </c:pt>
                <c:pt idx="1" c:formatCode="0.0%">
                  <c:v>0.461697722567288</c:v>
                </c:pt>
                <c:pt idx="2" c:formatCode="0.0%">
                  <c:v>0.538302277432712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0</TotalTime>
  <ScaleCrop>false</ScaleCrop>
  <LinksUpToDate>false</LinksUpToDate>
  <CharactersWithSpaces>8536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2020-08-04T17:49:00Z</dcterms:created>
  <dc:creator>曹颖</dc:creator>
  <cp:lastModifiedBy>user</cp:lastModifiedBy>
  <cp:lastPrinted>2020-07-23T18:58:00Z</cp:lastPrinted>
  <dcterms:modified xsi:type="dcterms:W3CDTF">2023-07-13T09:16:04Z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CA0A06A50E1046929ED1362E23E8A152</vt:lpwstr>
  </property>
</Properties>
</file>