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96475"/>
      <w:bookmarkStart w:id="1" w:name="_Toc15396597"/>
      <w:bookmarkStart w:id="2" w:name="_Toc15377193"/>
      <w:bookmarkStart w:id="3" w:name="_Toc15377425"/>
      <w:bookmarkStart w:id="4" w:name="_Toc15378441"/>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ascii="方正小标宋简体" w:hAnsi="方正小标宋简体" w:eastAsia="方正小标宋简体" w:cs="方正小标宋简体"/>
          <w:sz w:val="72"/>
          <w:szCs w:val="72"/>
        </w:rPr>
        <w:t>2021</w:t>
      </w:r>
      <w:r>
        <w:rPr>
          <w:rFonts w:hint="eastAsia" w:ascii="方正小标宋简体" w:hAnsi="方正小标宋简体" w:eastAsia="方正小标宋简体" w:cs="方正小标宋简体"/>
          <w:sz w:val="72"/>
          <w:szCs w:val="72"/>
        </w:rPr>
        <w:t>年度</w:t>
      </w:r>
      <w:bookmarkEnd w:id="0"/>
      <w:bookmarkEnd w:id="1"/>
      <w:bookmarkEnd w:id="2"/>
      <w:bookmarkEnd w:id="3"/>
      <w:bookmarkEnd w:id="4"/>
      <w:bookmarkStart w:id="55" w:name="_GoBack"/>
      <w:bookmarkEnd w:id="55"/>
    </w:p>
    <w:bookmarkEnd w:id="5"/>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宋体" w:eastAsia="方正小标宋简体"/>
          <w:color w:val="000000"/>
          <w:sz w:val="72"/>
          <w:szCs w:val="72"/>
          <w:lang w:eastAsia="zh-CN"/>
        </w:rPr>
        <w:t>中国共产党广元市朝天区委员会办公室部门决算</w:t>
      </w: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sz w:val="28"/>
          <w:szCs w:val="28"/>
        </w:rPr>
      </w:pPr>
    </w:p>
    <w:p>
      <w:pPr>
        <w:pStyle w:val="11"/>
      </w:pPr>
      <w:r>
        <w:rPr>
          <w:rFonts w:hint="eastAsia"/>
        </w:rPr>
        <w:t>公开时间：</w:t>
      </w:r>
      <w:r>
        <w:t>2022</w:t>
      </w:r>
      <w:r>
        <w:rPr>
          <w:rFonts w:hint="eastAsia"/>
          <w:lang w:eastAsia="zh-CN"/>
        </w:rPr>
        <w:t>年</w:t>
      </w:r>
      <w:r>
        <w:rPr>
          <w:rFonts w:hint="eastAsia"/>
          <w:lang w:val="en-US" w:eastAsia="zh-CN"/>
        </w:rPr>
        <w:t>9</w:t>
      </w:r>
      <w:r>
        <w:rPr>
          <w:rFonts w:hint="eastAsia"/>
        </w:rPr>
        <w:t>月</w:t>
      </w:r>
      <w:r>
        <w:rPr>
          <w:rFonts w:hint="eastAsia"/>
          <w:lang w:val="en-US" w:eastAsia="zh-CN"/>
        </w:rPr>
        <w:t>14</w:t>
      </w:r>
      <w:r>
        <w:rPr>
          <w:rFonts w:hint="eastAsia"/>
        </w:rPr>
        <w:t>日</w:t>
      </w:r>
    </w:p>
    <w:p/>
    <w:p>
      <w:pPr>
        <w:pStyle w:val="11"/>
        <w:adjustRightInd w:val="0"/>
        <w:snapToGrid w:val="0"/>
        <w:spacing w:before="0" w:line="440" w:lineRule="exact"/>
        <w:jc w:val="left"/>
        <w:rPr>
          <w:rFonts w:hint="default" w:eastAsia="仿宋"/>
          <w:sz w:val="24"/>
          <w:szCs w:val="24"/>
          <w:lang w:val="en-US" w:eastAsia="zh-CN"/>
        </w:rPr>
      </w:pPr>
      <w:r>
        <w:rPr>
          <w:rFonts w:hint="eastAsia"/>
          <w:sz w:val="24"/>
        </w:rPr>
        <w:t>第一部分</w:t>
      </w:r>
      <w:r>
        <w:rPr>
          <w:sz w:val="24"/>
        </w:rPr>
        <w:t xml:space="preserve"> </w:t>
      </w:r>
      <w:r>
        <w:rPr>
          <w:rFonts w:hint="eastAsia"/>
          <w:sz w:val="24"/>
        </w:rPr>
        <w:t>部门概况</w:t>
      </w:r>
      <w:r>
        <w:rPr>
          <w:rFonts w:hint="eastAsia"/>
          <w:sz w:val="24"/>
          <w:lang w:eastAsia="zh-CN"/>
        </w:rPr>
        <w:t>…………………………………………………………………</w:t>
      </w:r>
      <w:r>
        <w:rPr>
          <w:rFonts w:hint="eastAsia"/>
          <w:sz w:val="24"/>
          <w:lang w:val="en-US" w:eastAsia="zh-CN"/>
        </w:rPr>
        <w:t xml:space="preserve">   </w:t>
      </w:r>
      <w:r>
        <w:rPr>
          <w:rFonts w:hint="eastAsia" w:ascii="Times New Roman" w:hAnsi="Times New Roman" w:eastAsia="宋体" w:cs="Times New Roman"/>
          <w:kern w:val="2"/>
          <w:sz w:val="24"/>
          <w:szCs w:val="24"/>
          <w:lang w:val="en-US" w:eastAsia="zh-CN" w:bidi="ar-SA"/>
        </w:rPr>
        <w:t>4</w:t>
      </w:r>
    </w:p>
    <w:p>
      <w:pPr>
        <w:pStyle w:val="12"/>
        <w:adjustRightInd w:val="0"/>
        <w:snapToGrid w:val="0"/>
        <w:spacing w:line="440" w:lineRule="exact"/>
        <w:jc w:val="left"/>
        <w:rPr>
          <w:rFonts w:hint="default" w:ascii="仿宋" w:hAnsi="仿宋" w:eastAsia="仿宋"/>
          <w:sz w:val="24"/>
          <w:lang w:val="en-US"/>
        </w:rPr>
      </w:pPr>
      <w:r>
        <w:rPr>
          <w:rFonts w:hint="eastAsia"/>
          <w:sz w:val="24"/>
        </w:rPr>
        <w:t>一、基本职能及主要工作</w:t>
      </w:r>
      <w:r>
        <w:rPr>
          <w:rFonts w:hint="eastAsia"/>
          <w:sz w:val="24"/>
          <w:lang w:eastAsia="zh-CN"/>
        </w:rPr>
        <w:t>………………………………………………………</w:t>
      </w:r>
      <w:r>
        <w:rPr>
          <w:rFonts w:hint="eastAsia"/>
          <w:sz w:val="24"/>
          <w:lang w:val="en-US" w:eastAsia="zh-CN"/>
        </w:rPr>
        <w:t xml:space="preserve">  4</w:t>
      </w:r>
    </w:p>
    <w:p>
      <w:pPr>
        <w:pStyle w:val="12"/>
        <w:adjustRightInd w:val="0"/>
        <w:snapToGrid w:val="0"/>
        <w:spacing w:line="440" w:lineRule="exact"/>
        <w:jc w:val="left"/>
        <w:rPr>
          <w:rFonts w:hint="default" w:ascii="仿宋" w:hAnsi="仿宋" w:eastAsia="仿宋"/>
          <w:sz w:val="24"/>
          <w:lang w:val="en-US"/>
        </w:rPr>
      </w:pPr>
      <w:r>
        <w:rPr>
          <w:rFonts w:hint="eastAsia"/>
          <w:sz w:val="24"/>
        </w:rPr>
        <w:t>二、机构设置</w:t>
      </w:r>
      <w:r>
        <w:rPr>
          <w:rFonts w:hint="eastAsia"/>
          <w:sz w:val="24"/>
          <w:lang w:eastAsia="zh-CN"/>
        </w:rPr>
        <w:t>……………………………………………………………………</w:t>
      </w:r>
      <w:r>
        <w:rPr>
          <w:rFonts w:hint="eastAsia"/>
          <w:sz w:val="24"/>
          <w:lang w:val="en-US" w:eastAsia="zh-CN"/>
        </w:rPr>
        <w:t xml:space="preserve">  10</w:t>
      </w:r>
    </w:p>
    <w:p>
      <w:pPr>
        <w:pStyle w:val="11"/>
        <w:adjustRightInd w:val="0"/>
        <w:snapToGrid w:val="0"/>
        <w:spacing w:before="0" w:line="440" w:lineRule="exact"/>
        <w:jc w:val="left"/>
        <w:rPr>
          <w:rFonts w:hint="default"/>
          <w:sz w:val="24"/>
          <w:szCs w:val="24"/>
          <w:lang w:val="en-US"/>
        </w:rPr>
      </w:pPr>
      <w:r>
        <w:rPr>
          <w:rFonts w:hint="eastAsia"/>
          <w:sz w:val="24"/>
        </w:rPr>
        <w:t>第二部分</w:t>
      </w:r>
      <w:r>
        <w:rPr>
          <w:sz w:val="24"/>
        </w:rPr>
        <w:t xml:space="preserve"> 2021</w:t>
      </w:r>
      <w:r>
        <w:rPr>
          <w:rFonts w:hint="eastAsia"/>
          <w:sz w:val="24"/>
        </w:rPr>
        <w:t>年度部门决算情况说明</w:t>
      </w:r>
      <w:r>
        <w:rPr>
          <w:rFonts w:hint="eastAsia"/>
          <w:sz w:val="24"/>
          <w:lang w:eastAsia="zh-CN"/>
        </w:rPr>
        <w:t>……………………………………………</w:t>
      </w:r>
      <w:r>
        <w:rPr>
          <w:rFonts w:hint="eastAsia"/>
          <w:sz w:val="24"/>
          <w:lang w:val="en-US" w:eastAsia="zh-CN"/>
        </w:rPr>
        <w:t xml:space="preserve">  </w:t>
      </w:r>
      <w:r>
        <w:rPr>
          <w:rFonts w:hint="eastAsia" w:ascii="Times New Roman" w:hAnsi="Times New Roman" w:eastAsia="宋体" w:cs="Times New Roman"/>
          <w:kern w:val="2"/>
          <w:sz w:val="24"/>
          <w:szCs w:val="24"/>
          <w:lang w:val="en-US" w:eastAsia="zh-CN" w:bidi="ar-SA"/>
        </w:rPr>
        <w:t>10</w:t>
      </w:r>
    </w:p>
    <w:p>
      <w:pPr>
        <w:pStyle w:val="12"/>
        <w:adjustRightInd w:val="0"/>
        <w:snapToGrid w:val="0"/>
        <w:spacing w:line="440" w:lineRule="exact"/>
        <w:jc w:val="left"/>
        <w:rPr>
          <w:rFonts w:hint="default" w:ascii="仿宋" w:hAnsi="仿宋" w:eastAsia="仿宋"/>
          <w:sz w:val="24"/>
          <w:lang w:val="en-US"/>
        </w:rPr>
      </w:pPr>
      <w:r>
        <w:rPr>
          <w:rFonts w:hint="eastAsia"/>
          <w:sz w:val="24"/>
        </w:rPr>
        <w:t>一、收入支出决算总体情况说明</w:t>
      </w:r>
      <w:r>
        <w:rPr>
          <w:rFonts w:hint="eastAsia"/>
          <w:sz w:val="24"/>
          <w:lang w:eastAsia="zh-CN"/>
        </w:rPr>
        <w:t>………………………………………………</w:t>
      </w:r>
      <w:r>
        <w:rPr>
          <w:rFonts w:hint="eastAsia"/>
          <w:sz w:val="24"/>
          <w:lang w:val="en-US" w:eastAsia="zh-CN"/>
        </w:rPr>
        <w:t xml:space="preserve">  10</w:t>
      </w:r>
    </w:p>
    <w:p>
      <w:pPr>
        <w:pStyle w:val="12"/>
        <w:adjustRightInd w:val="0"/>
        <w:snapToGrid w:val="0"/>
        <w:spacing w:line="440" w:lineRule="exact"/>
        <w:jc w:val="left"/>
        <w:rPr>
          <w:rFonts w:hint="default" w:ascii="仿宋" w:hAnsi="仿宋" w:eastAsia="仿宋"/>
          <w:sz w:val="24"/>
          <w:lang w:val="en-US"/>
        </w:rPr>
      </w:pPr>
      <w:r>
        <w:rPr>
          <w:rFonts w:hint="eastAsia"/>
          <w:sz w:val="24"/>
        </w:rPr>
        <w:t>二、收入决算情况说明</w:t>
      </w:r>
      <w:r>
        <w:rPr>
          <w:rFonts w:hint="eastAsia"/>
          <w:sz w:val="24"/>
          <w:lang w:eastAsia="zh-CN"/>
        </w:rPr>
        <w:t>…………………………………………………………</w:t>
      </w:r>
      <w:r>
        <w:rPr>
          <w:rFonts w:hint="eastAsia"/>
          <w:sz w:val="24"/>
          <w:lang w:val="en-US" w:eastAsia="zh-CN"/>
        </w:rPr>
        <w:t xml:space="preserve">  11</w:t>
      </w:r>
    </w:p>
    <w:p>
      <w:pPr>
        <w:pStyle w:val="12"/>
        <w:adjustRightInd w:val="0"/>
        <w:snapToGrid w:val="0"/>
        <w:spacing w:line="440" w:lineRule="exact"/>
        <w:jc w:val="left"/>
        <w:rPr>
          <w:rFonts w:hint="default" w:ascii="仿宋" w:hAnsi="仿宋" w:eastAsia="仿宋"/>
          <w:sz w:val="24"/>
          <w:lang w:val="en-US"/>
        </w:rPr>
      </w:pPr>
      <w:r>
        <w:rPr>
          <w:rFonts w:hint="eastAsia"/>
          <w:sz w:val="24"/>
        </w:rPr>
        <w:t>三、支出决算情况说明</w:t>
      </w:r>
      <w:r>
        <w:rPr>
          <w:rFonts w:hint="eastAsia"/>
          <w:sz w:val="24"/>
          <w:lang w:eastAsia="zh-CN"/>
        </w:rPr>
        <w:t>…………………………………………………………</w:t>
      </w:r>
      <w:r>
        <w:rPr>
          <w:rFonts w:hint="eastAsia"/>
          <w:sz w:val="24"/>
          <w:lang w:val="en-US" w:eastAsia="zh-CN"/>
        </w:rPr>
        <w:t xml:space="preserve">  12</w:t>
      </w:r>
    </w:p>
    <w:p>
      <w:pPr>
        <w:pStyle w:val="12"/>
        <w:adjustRightInd w:val="0"/>
        <w:snapToGrid w:val="0"/>
        <w:spacing w:line="440" w:lineRule="exact"/>
        <w:jc w:val="left"/>
        <w:rPr>
          <w:rFonts w:hint="default" w:ascii="仿宋" w:hAnsi="仿宋" w:eastAsia="仿宋"/>
          <w:sz w:val="24"/>
          <w:lang w:val="en-US"/>
        </w:rPr>
      </w:pPr>
      <w:r>
        <w:rPr>
          <w:rFonts w:hint="eastAsia"/>
          <w:sz w:val="24"/>
        </w:rPr>
        <w:t>四、财政拨款收入支出决算总体情况说明</w:t>
      </w:r>
      <w:r>
        <w:rPr>
          <w:rFonts w:hint="eastAsia"/>
          <w:sz w:val="24"/>
          <w:lang w:eastAsia="zh-CN"/>
        </w:rPr>
        <w:t>……………………………………</w:t>
      </w:r>
      <w:r>
        <w:rPr>
          <w:rFonts w:hint="eastAsia"/>
          <w:sz w:val="24"/>
          <w:lang w:val="en-US" w:eastAsia="zh-CN"/>
        </w:rPr>
        <w:t xml:space="preserve">  12</w:t>
      </w:r>
    </w:p>
    <w:p>
      <w:pPr>
        <w:pStyle w:val="12"/>
        <w:adjustRightInd w:val="0"/>
        <w:snapToGrid w:val="0"/>
        <w:spacing w:line="440" w:lineRule="exact"/>
        <w:jc w:val="left"/>
        <w:rPr>
          <w:rFonts w:hint="default" w:ascii="仿宋" w:hAnsi="仿宋" w:eastAsia="仿宋"/>
          <w:sz w:val="24"/>
          <w:lang w:val="en-US"/>
        </w:rPr>
      </w:pPr>
      <w:r>
        <w:rPr>
          <w:rFonts w:hint="eastAsia"/>
          <w:sz w:val="24"/>
        </w:rPr>
        <w:t>五、一般公共预算财政拨款支出决算情况说明</w:t>
      </w:r>
      <w:r>
        <w:rPr>
          <w:rFonts w:hint="eastAsia"/>
          <w:sz w:val="24"/>
          <w:lang w:eastAsia="zh-CN"/>
        </w:rPr>
        <w:t>………………………………</w:t>
      </w:r>
      <w:r>
        <w:rPr>
          <w:rFonts w:hint="eastAsia"/>
          <w:sz w:val="24"/>
          <w:lang w:val="en-US" w:eastAsia="zh-CN"/>
        </w:rPr>
        <w:t xml:space="preserve">  13</w:t>
      </w:r>
    </w:p>
    <w:p>
      <w:pPr>
        <w:pStyle w:val="12"/>
        <w:adjustRightInd w:val="0"/>
        <w:snapToGrid w:val="0"/>
        <w:spacing w:line="440" w:lineRule="exact"/>
        <w:jc w:val="left"/>
        <w:rPr>
          <w:rFonts w:hint="default" w:ascii="仿宋" w:hAnsi="仿宋" w:eastAsia="仿宋"/>
          <w:sz w:val="24"/>
          <w:lang w:val="en-US"/>
        </w:rPr>
      </w:pPr>
      <w:r>
        <w:rPr>
          <w:rFonts w:hint="eastAsia"/>
          <w:sz w:val="24"/>
        </w:rPr>
        <w:t>六、一般公共预算财政拨款基本支出决算情况说明</w:t>
      </w:r>
      <w:r>
        <w:rPr>
          <w:rFonts w:hint="eastAsia"/>
          <w:sz w:val="24"/>
          <w:lang w:eastAsia="zh-CN"/>
        </w:rPr>
        <w:t>…………………………</w:t>
      </w:r>
      <w:r>
        <w:rPr>
          <w:rFonts w:hint="eastAsia"/>
          <w:sz w:val="24"/>
          <w:lang w:val="en-US" w:eastAsia="zh-CN"/>
        </w:rPr>
        <w:t xml:space="preserve">  16   </w:t>
      </w:r>
      <w:r>
        <w:rPr>
          <w:rFonts w:hint="eastAsia"/>
          <w:sz w:val="24"/>
        </w:rPr>
        <w:t>七、“三公”经费财政拨款支出决算情况说明</w:t>
      </w:r>
      <w:r>
        <w:rPr>
          <w:rFonts w:hint="eastAsia"/>
          <w:sz w:val="24"/>
          <w:lang w:eastAsia="zh-CN"/>
        </w:rPr>
        <w:t>………………………………</w:t>
      </w:r>
      <w:r>
        <w:rPr>
          <w:rFonts w:hint="eastAsia"/>
          <w:sz w:val="24"/>
          <w:lang w:val="en-US" w:eastAsia="zh-CN"/>
        </w:rPr>
        <w:t xml:space="preserve">   16</w:t>
      </w:r>
    </w:p>
    <w:p>
      <w:pPr>
        <w:pStyle w:val="12"/>
        <w:adjustRightInd w:val="0"/>
        <w:snapToGrid w:val="0"/>
        <w:spacing w:line="440" w:lineRule="exact"/>
        <w:jc w:val="left"/>
        <w:rPr>
          <w:rFonts w:hint="default" w:ascii="仿宋" w:hAnsi="仿宋" w:eastAsia="仿宋"/>
          <w:sz w:val="24"/>
          <w:lang w:val="en-US"/>
        </w:rPr>
      </w:pPr>
      <w:r>
        <w:rPr>
          <w:rFonts w:hint="eastAsia"/>
          <w:sz w:val="24"/>
        </w:rPr>
        <w:t>八、政府性基金预算支出决算情况说明</w:t>
      </w:r>
      <w:r>
        <w:rPr>
          <w:rFonts w:hint="eastAsia"/>
          <w:sz w:val="24"/>
          <w:lang w:eastAsia="zh-CN"/>
        </w:rPr>
        <w:t>………………………………………</w:t>
      </w:r>
      <w:r>
        <w:rPr>
          <w:rFonts w:hint="eastAsia"/>
          <w:sz w:val="24"/>
          <w:lang w:val="en-US" w:eastAsia="zh-CN"/>
        </w:rPr>
        <w:t xml:space="preserve">  18</w:t>
      </w:r>
    </w:p>
    <w:p>
      <w:pPr>
        <w:pStyle w:val="12"/>
        <w:adjustRightInd w:val="0"/>
        <w:snapToGrid w:val="0"/>
        <w:spacing w:line="440" w:lineRule="exact"/>
        <w:ind w:leftChars="0"/>
        <w:jc w:val="left"/>
        <w:rPr>
          <w:rFonts w:hint="default" w:ascii="宋体" w:cs="宋体"/>
          <w:sz w:val="24"/>
          <w:lang w:val="en-US"/>
        </w:rPr>
      </w:pPr>
      <w:r>
        <w:rPr>
          <w:rFonts w:hint="eastAsia" w:ascii="宋体" w:hAnsi="宋体" w:cs="宋体"/>
          <w:sz w:val="24"/>
        </w:rPr>
        <w:t>九、国有资本经营预算支出决算情况说明</w:t>
      </w:r>
      <w:r>
        <w:rPr>
          <w:rFonts w:hint="eastAsia"/>
          <w:sz w:val="24"/>
          <w:lang w:eastAsia="zh-CN"/>
        </w:rPr>
        <w:t>……………………………………</w:t>
      </w:r>
      <w:r>
        <w:rPr>
          <w:rFonts w:hint="eastAsia"/>
          <w:sz w:val="24"/>
          <w:lang w:val="en-US" w:eastAsia="zh-CN"/>
        </w:rPr>
        <w:t xml:space="preserve">  18</w:t>
      </w:r>
    </w:p>
    <w:p>
      <w:pPr>
        <w:adjustRightInd w:val="0"/>
        <w:snapToGrid w:val="0"/>
        <w:spacing w:line="440" w:lineRule="exact"/>
        <w:ind w:firstLine="420" w:firstLineChars="175"/>
        <w:jc w:val="left"/>
        <w:rPr>
          <w:rFonts w:ascii="宋体" w:cs="宋体"/>
          <w:sz w:val="24"/>
        </w:rPr>
      </w:pPr>
      <w:r>
        <w:rPr>
          <w:rStyle w:val="18"/>
          <w:rFonts w:hint="eastAsia" w:ascii="宋体" w:hAnsi="宋体" w:cs="宋体"/>
          <w:color w:val="auto"/>
          <w:sz w:val="24"/>
          <w:u w:val="none"/>
        </w:rPr>
        <w:t>十、</w:t>
      </w:r>
      <w:r>
        <w:rPr>
          <w:rFonts w:hint="eastAsia" w:ascii="宋体" w:hAnsi="宋体" w:cs="宋体"/>
          <w:sz w:val="24"/>
        </w:rPr>
        <w:t>其他重要事项的情况说明</w:t>
      </w:r>
      <w:r>
        <w:rPr>
          <w:rFonts w:hint="eastAsia"/>
          <w:sz w:val="24"/>
          <w:lang w:eastAsia="zh-CN"/>
        </w:rPr>
        <w:t>…………………………………………………</w:t>
      </w:r>
      <w:r>
        <w:rPr>
          <w:rFonts w:hint="eastAsia"/>
          <w:sz w:val="24"/>
          <w:lang w:val="en-US" w:eastAsia="zh-CN"/>
        </w:rPr>
        <w:t xml:space="preserve">  18</w:t>
      </w:r>
      <w:r>
        <w:rPr>
          <w:rFonts w:ascii="宋体" w:cs="宋体"/>
          <w:sz w:val="24"/>
        </w:rPr>
        <w:tab/>
      </w:r>
    </w:p>
    <w:p>
      <w:pPr>
        <w:pStyle w:val="11"/>
        <w:adjustRightInd w:val="0"/>
        <w:snapToGrid w:val="0"/>
        <w:spacing w:before="0" w:line="440" w:lineRule="exact"/>
        <w:jc w:val="left"/>
        <w:rPr>
          <w:rFonts w:hint="default"/>
          <w:sz w:val="24"/>
          <w:szCs w:val="24"/>
          <w:lang w:val="en-US"/>
        </w:rPr>
      </w:pPr>
      <w:r>
        <w:rPr>
          <w:rFonts w:hint="eastAsia"/>
          <w:sz w:val="24"/>
        </w:rPr>
        <w:t>第三部分</w:t>
      </w:r>
      <w:r>
        <w:rPr>
          <w:sz w:val="24"/>
        </w:rPr>
        <w:t xml:space="preserve"> </w:t>
      </w:r>
      <w:r>
        <w:rPr>
          <w:rFonts w:hint="eastAsia"/>
          <w:sz w:val="24"/>
        </w:rPr>
        <w:t>名词解释</w:t>
      </w:r>
      <w:r>
        <w:rPr>
          <w:rFonts w:hint="eastAsia"/>
          <w:sz w:val="24"/>
          <w:lang w:eastAsia="zh-CN"/>
        </w:rPr>
        <w:t>…………………………………………………………………</w:t>
      </w:r>
      <w:r>
        <w:rPr>
          <w:rFonts w:hint="eastAsia"/>
          <w:sz w:val="24"/>
          <w:lang w:val="en-US" w:eastAsia="zh-CN"/>
        </w:rPr>
        <w:t xml:space="preserve">  </w:t>
      </w:r>
      <w:r>
        <w:rPr>
          <w:rFonts w:hint="default"/>
          <w:sz w:val="24"/>
          <w:lang w:val="en" w:eastAsia="zh-CN"/>
        </w:rPr>
        <w:t xml:space="preserve"> </w:t>
      </w:r>
      <w:r>
        <w:rPr>
          <w:rFonts w:hint="eastAsia" w:ascii="Times New Roman" w:hAnsi="Times New Roman" w:eastAsia="宋体" w:cs="Times New Roman"/>
          <w:kern w:val="2"/>
          <w:sz w:val="24"/>
          <w:szCs w:val="24"/>
          <w:lang w:val="en-US" w:eastAsia="zh-CN" w:bidi="ar-SA"/>
        </w:rPr>
        <w:t>20</w:t>
      </w:r>
    </w:p>
    <w:p>
      <w:pPr>
        <w:pStyle w:val="11"/>
        <w:adjustRightInd w:val="0"/>
        <w:snapToGrid w:val="0"/>
        <w:spacing w:before="0" w:line="440" w:lineRule="exact"/>
        <w:jc w:val="left"/>
        <w:rPr>
          <w:rFonts w:hint="default"/>
          <w:sz w:val="24"/>
          <w:szCs w:val="24"/>
          <w:lang w:val="en"/>
        </w:rPr>
      </w:pPr>
      <w:r>
        <w:rPr>
          <w:rFonts w:hint="eastAsia"/>
          <w:sz w:val="24"/>
        </w:rPr>
        <w:t>第四部分</w:t>
      </w:r>
      <w:r>
        <w:rPr>
          <w:sz w:val="24"/>
        </w:rPr>
        <w:t xml:space="preserve"> </w:t>
      </w:r>
      <w:r>
        <w:rPr>
          <w:rFonts w:hint="eastAsia"/>
          <w:sz w:val="24"/>
        </w:rPr>
        <w:t>附件</w:t>
      </w:r>
      <w:r>
        <w:rPr>
          <w:rFonts w:hint="eastAsia"/>
          <w:sz w:val="24"/>
          <w:lang w:eastAsia="zh-CN"/>
        </w:rPr>
        <w:t>………………………………………………………………………</w:t>
      </w:r>
      <w:r>
        <w:rPr>
          <w:rFonts w:hint="default"/>
          <w:sz w:val="24"/>
          <w:lang w:val="en" w:eastAsia="zh-CN"/>
        </w:rPr>
        <w:t xml:space="preserve">   </w:t>
      </w:r>
      <w:r>
        <w:rPr>
          <w:rFonts w:hint="default" w:ascii="Times New Roman" w:hAnsi="Times New Roman" w:eastAsia="宋体" w:cs="Times New Roman"/>
          <w:kern w:val="2"/>
          <w:sz w:val="24"/>
          <w:szCs w:val="24"/>
          <w:lang w:val="en" w:eastAsia="zh-CN" w:bidi="ar-SA"/>
        </w:rPr>
        <w:t>22</w:t>
      </w:r>
    </w:p>
    <w:p>
      <w:pPr>
        <w:pStyle w:val="11"/>
        <w:adjustRightInd w:val="0"/>
        <w:snapToGrid w:val="0"/>
        <w:spacing w:before="0" w:line="440" w:lineRule="exact"/>
        <w:jc w:val="left"/>
        <w:rPr>
          <w:rFonts w:hint="default"/>
          <w:sz w:val="24"/>
          <w:szCs w:val="24"/>
          <w:lang w:val="en"/>
        </w:rPr>
      </w:pPr>
      <w:r>
        <w:rPr>
          <w:rFonts w:hint="eastAsia"/>
          <w:sz w:val="24"/>
        </w:rPr>
        <w:t>第五部分</w:t>
      </w:r>
      <w:r>
        <w:rPr>
          <w:sz w:val="24"/>
        </w:rPr>
        <w:t xml:space="preserve"> </w:t>
      </w:r>
      <w:r>
        <w:rPr>
          <w:rFonts w:hint="eastAsia"/>
          <w:sz w:val="24"/>
        </w:rPr>
        <w:t>附表</w:t>
      </w:r>
      <w:r>
        <w:rPr>
          <w:rFonts w:hint="eastAsia"/>
          <w:sz w:val="24"/>
          <w:lang w:eastAsia="zh-CN"/>
        </w:rPr>
        <w:t>………………………………………………………………………</w:t>
      </w:r>
      <w:r>
        <w:rPr>
          <w:rFonts w:hint="default"/>
          <w:sz w:val="24"/>
          <w:lang w:val="en" w:eastAsia="zh-CN"/>
        </w:rPr>
        <w:t xml:space="preserve">   </w:t>
      </w:r>
      <w:r>
        <w:rPr>
          <w:rFonts w:hint="default" w:ascii="Times New Roman" w:hAnsi="Times New Roman" w:eastAsia="宋体" w:cs="Times New Roman"/>
          <w:kern w:val="2"/>
          <w:sz w:val="24"/>
          <w:szCs w:val="24"/>
          <w:lang w:val="en" w:eastAsia="zh-CN" w:bidi="ar-SA"/>
        </w:rPr>
        <w:t>74</w:t>
      </w:r>
    </w:p>
    <w:p>
      <w:pPr>
        <w:pStyle w:val="12"/>
        <w:adjustRightInd w:val="0"/>
        <w:snapToGrid w:val="0"/>
        <w:spacing w:line="440" w:lineRule="exact"/>
        <w:jc w:val="left"/>
        <w:rPr>
          <w:rFonts w:hint="default" w:ascii="仿宋" w:hAnsi="仿宋" w:eastAsia="仿宋"/>
          <w:sz w:val="24"/>
          <w:lang w:val="en-US"/>
        </w:rPr>
      </w:pPr>
      <w:r>
        <w:rPr>
          <w:rFonts w:hint="eastAsia" w:ascii="仿宋" w:hAnsi="仿宋" w:eastAsia="仿宋"/>
          <w:sz w:val="24"/>
        </w:rPr>
        <w:t>一、</w:t>
      </w:r>
      <w:r>
        <w:rPr>
          <w:rFonts w:hint="eastAsia"/>
          <w:sz w:val="24"/>
        </w:rPr>
        <w:t>收入支出决算总表</w:t>
      </w:r>
      <w:r>
        <w:rPr>
          <w:rFonts w:hint="eastAsia"/>
          <w:sz w:val="24"/>
          <w:lang w:eastAsia="zh-CN"/>
        </w:rPr>
        <w:t>…………………………………………………………</w:t>
      </w:r>
      <w:r>
        <w:rPr>
          <w:rFonts w:hint="eastAsia"/>
          <w:sz w:val="24"/>
          <w:lang w:val="en-US" w:eastAsia="zh-CN"/>
        </w:rPr>
        <w:t xml:space="preserve">  74</w:t>
      </w:r>
    </w:p>
    <w:p>
      <w:pPr>
        <w:pStyle w:val="12"/>
        <w:adjustRightInd w:val="0"/>
        <w:snapToGrid w:val="0"/>
        <w:spacing w:line="440" w:lineRule="exact"/>
        <w:jc w:val="left"/>
        <w:rPr>
          <w:rFonts w:hint="default" w:ascii="宋体" w:cs="宋体"/>
          <w:sz w:val="24"/>
          <w:lang w:val="en-US"/>
        </w:rPr>
      </w:pPr>
      <w:r>
        <w:rPr>
          <w:rFonts w:hint="eastAsia" w:ascii="宋体" w:hAnsi="宋体" w:cs="宋体"/>
          <w:sz w:val="24"/>
        </w:rPr>
        <w:t>二、收入决算表</w:t>
      </w:r>
      <w:r>
        <w:rPr>
          <w:rFonts w:hint="eastAsia"/>
          <w:sz w:val="24"/>
          <w:lang w:eastAsia="zh-CN"/>
        </w:rPr>
        <w:t>…………………………………………………………………</w:t>
      </w:r>
      <w:r>
        <w:rPr>
          <w:rFonts w:hint="eastAsia"/>
          <w:sz w:val="24"/>
          <w:lang w:val="en-US" w:eastAsia="zh-CN"/>
        </w:rPr>
        <w:t xml:space="preserve">  74</w:t>
      </w:r>
    </w:p>
    <w:p>
      <w:pPr>
        <w:pStyle w:val="12"/>
        <w:adjustRightInd w:val="0"/>
        <w:snapToGrid w:val="0"/>
        <w:spacing w:line="440" w:lineRule="exact"/>
        <w:jc w:val="left"/>
        <w:rPr>
          <w:rFonts w:hint="default" w:ascii="宋体" w:cs="宋体"/>
          <w:sz w:val="24"/>
          <w:lang w:val="en-US"/>
        </w:rPr>
      </w:pPr>
      <w:r>
        <w:rPr>
          <w:rFonts w:hint="eastAsia" w:ascii="宋体" w:hAnsi="宋体" w:cs="宋体"/>
          <w:sz w:val="24"/>
        </w:rPr>
        <w:t>三、支出决算表</w:t>
      </w:r>
      <w:r>
        <w:rPr>
          <w:rFonts w:hint="eastAsia"/>
          <w:sz w:val="24"/>
          <w:lang w:eastAsia="zh-CN"/>
        </w:rPr>
        <w:t>…………………………………………………………………</w:t>
      </w:r>
      <w:r>
        <w:rPr>
          <w:rFonts w:hint="eastAsia"/>
          <w:sz w:val="24"/>
          <w:lang w:val="en-US" w:eastAsia="zh-CN"/>
        </w:rPr>
        <w:t xml:space="preserve">  74</w:t>
      </w:r>
    </w:p>
    <w:p>
      <w:pPr>
        <w:pStyle w:val="12"/>
        <w:adjustRightInd w:val="0"/>
        <w:snapToGrid w:val="0"/>
        <w:spacing w:line="440" w:lineRule="exact"/>
        <w:jc w:val="left"/>
        <w:rPr>
          <w:rFonts w:hint="default" w:ascii="宋体" w:cs="宋体"/>
          <w:sz w:val="24"/>
          <w:lang w:val="en-US"/>
        </w:rPr>
      </w:pPr>
      <w:r>
        <w:rPr>
          <w:rFonts w:hint="eastAsia" w:ascii="宋体" w:hAnsi="宋体" w:cs="宋体"/>
          <w:sz w:val="24"/>
        </w:rPr>
        <w:t>四、财政拨款收入支出决算总表</w:t>
      </w:r>
      <w:r>
        <w:rPr>
          <w:rFonts w:hint="eastAsia"/>
          <w:sz w:val="24"/>
          <w:lang w:eastAsia="zh-CN"/>
        </w:rPr>
        <w:t>………………………………………………</w:t>
      </w:r>
      <w:r>
        <w:rPr>
          <w:rFonts w:hint="eastAsia"/>
          <w:sz w:val="24"/>
          <w:lang w:val="en-US" w:eastAsia="zh-CN"/>
        </w:rPr>
        <w:t xml:space="preserve">  74</w:t>
      </w:r>
    </w:p>
    <w:p>
      <w:pPr>
        <w:pStyle w:val="12"/>
        <w:adjustRightInd w:val="0"/>
        <w:snapToGrid w:val="0"/>
        <w:spacing w:line="440" w:lineRule="exact"/>
        <w:jc w:val="left"/>
        <w:rPr>
          <w:rFonts w:hint="default" w:ascii="宋体" w:cs="宋体"/>
          <w:sz w:val="24"/>
          <w:lang w:val="en-US"/>
        </w:rPr>
      </w:pPr>
      <w:r>
        <w:rPr>
          <w:rFonts w:hint="eastAsia" w:ascii="宋体" w:hAnsi="宋体" w:cs="宋体"/>
          <w:sz w:val="24"/>
        </w:rPr>
        <w:t>五、财政拨款支出决算明细表</w:t>
      </w:r>
      <w:r>
        <w:rPr>
          <w:rFonts w:hint="eastAsia"/>
          <w:sz w:val="24"/>
          <w:lang w:eastAsia="zh-CN"/>
        </w:rPr>
        <w:t>…………………………………………………</w:t>
      </w:r>
      <w:r>
        <w:rPr>
          <w:rFonts w:hint="eastAsia"/>
          <w:sz w:val="24"/>
          <w:lang w:val="en-US" w:eastAsia="zh-CN"/>
        </w:rPr>
        <w:t xml:space="preserve">  74</w:t>
      </w:r>
    </w:p>
    <w:p>
      <w:pPr>
        <w:pStyle w:val="12"/>
        <w:adjustRightInd w:val="0"/>
        <w:snapToGrid w:val="0"/>
        <w:spacing w:line="440" w:lineRule="exact"/>
        <w:jc w:val="left"/>
        <w:rPr>
          <w:rFonts w:hint="default" w:ascii="宋体" w:cs="宋体"/>
          <w:sz w:val="24"/>
          <w:lang w:val="en-US"/>
        </w:rPr>
      </w:pPr>
      <w:r>
        <w:rPr>
          <w:rFonts w:hint="eastAsia" w:ascii="宋体" w:hAnsi="宋体" w:cs="宋体"/>
          <w:sz w:val="24"/>
        </w:rPr>
        <w:t>六、一般公共预算财政拨款支出决算表</w:t>
      </w:r>
      <w:r>
        <w:rPr>
          <w:rFonts w:hint="eastAsia"/>
          <w:sz w:val="24"/>
          <w:lang w:eastAsia="zh-CN"/>
        </w:rPr>
        <w:t>………………………………………</w:t>
      </w:r>
      <w:r>
        <w:rPr>
          <w:rFonts w:hint="eastAsia"/>
          <w:sz w:val="24"/>
          <w:lang w:val="en-US" w:eastAsia="zh-CN"/>
        </w:rPr>
        <w:t xml:space="preserve">  74</w:t>
      </w:r>
    </w:p>
    <w:p>
      <w:pPr>
        <w:pStyle w:val="12"/>
        <w:adjustRightInd w:val="0"/>
        <w:snapToGrid w:val="0"/>
        <w:spacing w:line="440" w:lineRule="exact"/>
        <w:jc w:val="left"/>
        <w:rPr>
          <w:rFonts w:hint="default" w:ascii="宋体" w:cs="宋体"/>
          <w:sz w:val="24"/>
          <w:lang w:val="en-US"/>
        </w:rPr>
      </w:pPr>
      <w:r>
        <w:rPr>
          <w:rFonts w:hint="eastAsia" w:ascii="宋体" w:hAnsi="宋体" w:cs="宋体"/>
          <w:sz w:val="24"/>
        </w:rPr>
        <w:t>七、一般公共预算财政拨款支出决算明细表</w:t>
      </w:r>
      <w:r>
        <w:rPr>
          <w:rFonts w:hint="eastAsia"/>
          <w:sz w:val="24"/>
          <w:lang w:eastAsia="zh-CN"/>
        </w:rPr>
        <w:t>…………………………………</w:t>
      </w:r>
      <w:r>
        <w:rPr>
          <w:rFonts w:hint="eastAsia"/>
          <w:sz w:val="24"/>
          <w:lang w:val="en-US" w:eastAsia="zh-CN"/>
        </w:rPr>
        <w:t xml:space="preserve">  74</w:t>
      </w:r>
    </w:p>
    <w:p>
      <w:pPr>
        <w:pStyle w:val="12"/>
        <w:adjustRightInd w:val="0"/>
        <w:snapToGrid w:val="0"/>
        <w:spacing w:line="440" w:lineRule="exact"/>
        <w:jc w:val="left"/>
        <w:rPr>
          <w:rFonts w:hint="default" w:ascii="宋体" w:cs="宋体"/>
          <w:sz w:val="24"/>
          <w:lang w:val="en-US"/>
        </w:rPr>
      </w:pPr>
      <w:r>
        <w:rPr>
          <w:rFonts w:hint="eastAsia" w:ascii="宋体" w:hAnsi="宋体" w:cs="宋体"/>
          <w:sz w:val="24"/>
        </w:rPr>
        <w:t>八、一般公共预算财政拨款基本支出决算表</w:t>
      </w:r>
      <w:r>
        <w:rPr>
          <w:rFonts w:hint="eastAsia"/>
          <w:sz w:val="24"/>
          <w:lang w:eastAsia="zh-CN"/>
        </w:rPr>
        <w:t>…………………………………</w:t>
      </w:r>
      <w:r>
        <w:rPr>
          <w:rFonts w:hint="eastAsia"/>
          <w:sz w:val="24"/>
          <w:lang w:val="en-US" w:eastAsia="zh-CN"/>
        </w:rPr>
        <w:t xml:space="preserve">  74</w:t>
      </w:r>
    </w:p>
    <w:p>
      <w:pPr>
        <w:pStyle w:val="12"/>
        <w:adjustRightInd w:val="0"/>
        <w:snapToGrid w:val="0"/>
        <w:spacing w:line="440" w:lineRule="exact"/>
        <w:jc w:val="left"/>
        <w:rPr>
          <w:rFonts w:hint="default" w:ascii="宋体" w:cs="宋体"/>
          <w:sz w:val="24"/>
          <w:lang w:val="en-US"/>
        </w:rPr>
      </w:pPr>
      <w:r>
        <w:rPr>
          <w:rFonts w:hint="eastAsia" w:ascii="宋体" w:hAnsi="宋体" w:cs="宋体"/>
          <w:sz w:val="24"/>
        </w:rPr>
        <w:t>九、一般公共预算财政拨款项目支出决算表</w:t>
      </w:r>
      <w:r>
        <w:rPr>
          <w:rFonts w:hint="eastAsia"/>
          <w:sz w:val="24"/>
          <w:lang w:eastAsia="zh-CN"/>
        </w:rPr>
        <w:t>…………………………………</w:t>
      </w:r>
      <w:r>
        <w:rPr>
          <w:rFonts w:hint="eastAsia"/>
          <w:sz w:val="24"/>
          <w:lang w:val="en-US" w:eastAsia="zh-CN"/>
        </w:rPr>
        <w:t xml:space="preserve">  74</w:t>
      </w:r>
    </w:p>
    <w:p>
      <w:pPr>
        <w:pStyle w:val="12"/>
        <w:adjustRightInd w:val="0"/>
        <w:snapToGrid w:val="0"/>
        <w:spacing w:line="440" w:lineRule="exact"/>
        <w:jc w:val="left"/>
        <w:rPr>
          <w:rFonts w:hint="default" w:ascii="宋体" w:cs="宋体"/>
          <w:sz w:val="24"/>
          <w:lang w:val="en-US"/>
        </w:rPr>
      </w:pPr>
      <w:r>
        <w:rPr>
          <w:rFonts w:hint="eastAsia" w:ascii="宋体" w:hAnsi="宋体" w:cs="宋体"/>
          <w:sz w:val="24"/>
        </w:rPr>
        <w:t>十、一般公共预算财政拨款“三公”经费支出决算表</w:t>
      </w:r>
      <w:r>
        <w:rPr>
          <w:rFonts w:hint="eastAsia"/>
          <w:sz w:val="24"/>
          <w:lang w:eastAsia="zh-CN"/>
        </w:rPr>
        <w:t>………………………</w:t>
      </w:r>
      <w:r>
        <w:rPr>
          <w:rFonts w:hint="eastAsia"/>
          <w:sz w:val="24"/>
          <w:lang w:val="en-US" w:eastAsia="zh-CN"/>
        </w:rPr>
        <w:t xml:space="preserve">  74</w:t>
      </w:r>
    </w:p>
    <w:p>
      <w:pPr>
        <w:pStyle w:val="12"/>
        <w:adjustRightInd w:val="0"/>
        <w:snapToGrid w:val="0"/>
        <w:spacing w:line="440" w:lineRule="exact"/>
        <w:jc w:val="left"/>
        <w:rPr>
          <w:rFonts w:hint="default" w:ascii="宋体" w:cs="宋体"/>
          <w:sz w:val="24"/>
          <w:lang w:val="en-US"/>
        </w:rPr>
      </w:pPr>
      <w:r>
        <w:rPr>
          <w:rFonts w:hint="eastAsia" w:ascii="宋体" w:hAnsi="宋体" w:cs="宋体"/>
          <w:sz w:val="24"/>
        </w:rPr>
        <w:t>十一、政府性基金预算财政拨款收入支出决算表</w:t>
      </w:r>
      <w:r>
        <w:rPr>
          <w:rFonts w:hint="eastAsia"/>
          <w:sz w:val="24"/>
          <w:lang w:eastAsia="zh-CN"/>
        </w:rPr>
        <w:t>……………………………</w:t>
      </w:r>
      <w:r>
        <w:rPr>
          <w:rFonts w:hint="eastAsia"/>
          <w:sz w:val="24"/>
          <w:lang w:val="en-US" w:eastAsia="zh-CN"/>
        </w:rPr>
        <w:t xml:space="preserve">  75</w:t>
      </w:r>
    </w:p>
    <w:p>
      <w:pPr>
        <w:pStyle w:val="12"/>
        <w:adjustRightInd w:val="0"/>
        <w:snapToGrid w:val="0"/>
        <w:spacing w:line="440" w:lineRule="exact"/>
        <w:jc w:val="left"/>
        <w:rPr>
          <w:rFonts w:hint="default" w:ascii="宋体" w:cs="宋体"/>
          <w:sz w:val="24"/>
          <w:lang w:val="en-US"/>
        </w:rPr>
      </w:pPr>
      <w:r>
        <w:rPr>
          <w:rFonts w:hint="eastAsia" w:ascii="宋体" w:hAnsi="宋体" w:cs="宋体"/>
          <w:sz w:val="24"/>
        </w:rPr>
        <w:t>十二、政府性基金预算财政拨款“三公”经费支出决算表</w:t>
      </w:r>
      <w:r>
        <w:rPr>
          <w:rFonts w:hint="eastAsia"/>
          <w:sz w:val="24"/>
          <w:lang w:eastAsia="zh-CN"/>
        </w:rPr>
        <w:t>…………………</w:t>
      </w:r>
      <w:r>
        <w:rPr>
          <w:rFonts w:hint="eastAsia"/>
          <w:sz w:val="24"/>
          <w:lang w:val="en-US" w:eastAsia="zh-CN"/>
        </w:rPr>
        <w:t xml:space="preserve">  75</w:t>
      </w:r>
    </w:p>
    <w:p>
      <w:pPr>
        <w:pStyle w:val="12"/>
        <w:adjustRightInd w:val="0"/>
        <w:snapToGrid w:val="0"/>
        <w:spacing w:line="440" w:lineRule="exact"/>
        <w:jc w:val="left"/>
        <w:rPr>
          <w:rFonts w:hint="default" w:ascii="宋体" w:cs="宋体"/>
          <w:sz w:val="24"/>
          <w:lang w:val="en-US"/>
        </w:rPr>
      </w:pPr>
      <w:r>
        <w:rPr>
          <w:rFonts w:hint="eastAsia" w:ascii="宋体" w:hAnsi="宋体" w:cs="宋体"/>
          <w:sz w:val="24"/>
        </w:rPr>
        <w:t>十三、国有资本经营预算财政拨款收入支出决算表</w:t>
      </w:r>
      <w:r>
        <w:rPr>
          <w:rFonts w:hint="eastAsia"/>
          <w:sz w:val="24"/>
          <w:lang w:eastAsia="zh-CN"/>
        </w:rPr>
        <w:t>…………………………</w:t>
      </w:r>
      <w:r>
        <w:rPr>
          <w:rFonts w:hint="eastAsia"/>
          <w:sz w:val="24"/>
          <w:lang w:val="en-US" w:eastAsia="zh-CN"/>
        </w:rPr>
        <w:t xml:space="preserve">  75</w:t>
      </w:r>
    </w:p>
    <w:p>
      <w:pPr>
        <w:pStyle w:val="12"/>
        <w:adjustRightInd w:val="0"/>
        <w:snapToGrid w:val="0"/>
        <w:spacing w:line="440" w:lineRule="exact"/>
        <w:jc w:val="left"/>
        <w:rPr>
          <w:rFonts w:hint="default" w:ascii="宋体" w:cs="宋体"/>
          <w:sz w:val="24"/>
          <w:lang w:val="en-US"/>
        </w:rPr>
      </w:pPr>
      <w:r>
        <w:rPr>
          <w:rFonts w:hint="eastAsia" w:ascii="宋体" w:hAnsi="宋体" w:cs="宋体"/>
          <w:sz w:val="24"/>
        </w:rPr>
        <w:t>十四、国有资本经营预算财政拨款支出决算表</w:t>
      </w:r>
      <w:r>
        <w:rPr>
          <w:rFonts w:hint="eastAsia"/>
          <w:sz w:val="24"/>
          <w:lang w:eastAsia="zh-CN"/>
        </w:rPr>
        <w:t>………………………………</w:t>
      </w:r>
      <w:r>
        <w:rPr>
          <w:rFonts w:hint="eastAsia"/>
          <w:sz w:val="24"/>
          <w:lang w:val="en-US" w:eastAsia="zh-CN"/>
        </w:rPr>
        <w:t xml:space="preserve">  75</w:t>
      </w:r>
    </w:p>
    <w:p>
      <w:pPr>
        <w:widowControl/>
        <w:spacing w:line="440" w:lineRule="exact"/>
        <w:jc w:val="left"/>
        <w:rPr>
          <w:rFonts w:ascii="仿宋" w:hAnsi="仿宋" w:eastAsia="仿宋"/>
          <w:bCs/>
          <w:kern w:val="44"/>
          <w:sz w:val="24"/>
        </w:rPr>
      </w:pPr>
      <w:bookmarkStart w:id="6" w:name="_Toc15396599"/>
      <w:bookmarkStart w:id="7" w:name="_Toc15377196"/>
      <w:r>
        <w:rPr>
          <w:rFonts w:ascii="仿宋" w:hAnsi="仿宋" w:eastAsia="仿宋"/>
          <w:b/>
          <w:sz w:val="24"/>
        </w:rPr>
        <w:br w:type="page"/>
      </w:r>
    </w:p>
    <w:p>
      <w:pPr>
        <w:pStyle w:val="3"/>
        <w:jc w:val="center"/>
        <w:rPr>
          <w:rStyle w:val="19"/>
          <w:rFonts w:ascii="黑体" w:hAnsi="黑体" w:eastAsia="黑体"/>
          <w:b/>
          <w:bCs w:val="0"/>
        </w:rPr>
      </w:pPr>
      <w:r>
        <w:rPr>
          <w:rFonts w:hint="eastAsia" w:ascii="黑体" w:hAnsi="黑体" w:eastAsia="黑体"/>
          <w:b w:val="0"/>
        </w:rPr>
        <w:t>第一部分</w:t>
      </w:r>
      <w:r>
        <w:rPr>
          <w:rFonts w:ascii="黑体" w:hAnsi="黑体" w:eastAsia="黑体"/>
          <w:b w:val="0"/>
        </w:rPr>
        <w:t xml:space="preserve"> </w:t>
      </w:r>
      <w:r>
        <w:rPr>
          <w:rStyle w:val="19"/>
          <w:rFonts w:hint="eastAsia" w:ascii="黑体" w:hAnsi="黑体" w:eastAsia="黑体"/>
          <w:b w:val="0"/>
          <w:bCs w:val="0"/>
        </w:rPr>
        <w:t>部门概况</w:t>
      </w:r>
      <w:bookmarkEnd w:id="6"/>
      <w:bookmarkEnd w:id="7"/>
    </w:p>
    <w:p>
      <w:pPr>
        <w:widowControl/>
        <w:jc w:val="left"/>
        <w:rPr>
          <w:rFonts w:ascii="黑体" w:eastAsia="黑体"/>
          <w:sz w:val="32"/>
          <w:szCs w:val="32"/>
        </w:rPr>
      </w:pPr>
    </w:p>
    <w:p>
      <w:pPr>
        <w:pStyle w:val="4"/>
        <w:rPr>
          <w:rStyle w:val="20"/>
          <w:rFonts w:ascii="仿宋" w:hAnsi="仿宋" w:eastAsia="仿宋"/>
          <w:b w:val="0"/>
          <w:bCs w:val="0"/>
        </w:rPr>
      </w:pPr>
      <w:bookmarkStart w:id="8" w:name="_Toc15377197"/>
      <w:bookmarkStart w:id="9" w:name="_Toc15396600"/>
      <w:r>
        <w:rPr>
          <w:rFonts w:hint="eastAsia" w:ascii="黑体" w:hAnsi="黑体" w:eastAsia="黑体"/>
          <w:b w:val="0"/>
        </w:rPr>
        <w:t>一、基</w:t>
      </w:r>
      <w:r>
        <w:rPr>
          <w:rStyle w:val="20"/>
          <w:rFonts w:hint="eastAsia" w:ascii="黑体" w:hAnsi="黑体" w:eastAsia="黑体"/>
          <w:b w:val="0"/>
          <w:bCs w:val="0"/>
        </w:rPr>
        <w:t>本职能及主要工作</w:t>
      </w:r>
      <w:bookmarkEnd w:id="8"/>
      <w:bookmarkEnd w:id="9"/>
    </w:p>
    <w:p>
      <w:pPr>
        <w:spacing w:line="560" w:lineRule="exact"/>
        <w:ind w:firstLine="640" w:firstLineChars="200"/>
        <w:rPr>
          <w:rFonts w:ascii="仿宋" w:hAnsi="仿宋" w:eastAsia="仿宋"/>
          <w:bCs/>
          <w:color w:val="000000"/>
          <w:sz w:val="32"/>
          <w:szCs w:val="32"/>
        </w:rPr>
      </w:pPr>
      <w:bookmarkStart w:id="10" w:name="_Toc15378445"/>
      <w:bookmarkStart w:id="11" w:name="_Toc15377198"/>
      <w:r>
        <w:rPr>
          <w:rFonts w:hint="eastAsia" w:ascii="仿宋" w:hAnsi="仿宋" w:eastAsia="仿宋"/>
          <w:bCs/>
          <w:sz w:val="32"/>
          <w:szCs w:val="32"/>
        </w:rPr>
        <w:t>（一）主要职能。</w:t>
      </w:r>
      <w:bookmarkEnd w:id="10"/>
      <w:bookmarkEnd w:id="11"/>
      <w:bookmarkStart w:id="12" w:name="_Toc15378446"/>
      <w:bookmarkStart w:id="13" w:name="_Toc15377199"/>
      <w:r>
        <w:rPr>
          <w:rFonts w:ascii="仿宋_GB2312" w:hAnsi="仿宋" w:eastAsia="仿宋_GB2312" w:cs="仿宋_GB2312"/>
          <w:sz w:val="32"/>
          <w:szCs w:val="32"/>
        </w:rPr>
        <w:t>1</w:t>
      </w:r>
      <w:r>
        <w:rPr>
          <w:rFonts w:hint="eastAsia" w:ascii="仿宋_GB2312" w:hAnsi="仿宋" w:eastAsia="仿宋_GB2312" w:cs="仿宋_GB2312"/>
          <w:sz w:val="32"/>
          <w:szCs w:val="32"/>
        </w:rPr>
        <w:t>、</w:t>
      </w:r>
      <w:r>
        <w:rPr>
          <w:rFonts w:hint="eastAsia" w:ascii="仿宋_GB2312" w:eastAsia="仿宋_GB2312"/>
          <w:sz w:val="32"/>
          <w:szCs w:val="32"/>
        </w:rPr>
        <w:t>围绕中央、省委、市委和区委总体工作部署，做好调查研究、收集信息、反映动态，为区委决策提供服务。</w:t>
      </w:r>
      <w:r>
        <w:rPr>
          <w:rFonts w:ascii="仿宋_GB2312" w:eastAsia="仿宋_GB2312"/>
          <w:sz w:val="32"/>
          <w:szCs w:val="32"/>
        </w:rPr>
        <w:t>2</w:t>
      </w:r>
      <w:r>
        <w:rPr>
          <w:rFonts w:hint="eastAsia" w:ascii="仿宋_GB2312" w:eastAsia="仿宋_GB2312"/>
          <w:sz w:val="32"/>
          <w:szCs w:val="32"/>
        </w:rPr>
        <w:t>、负责区委日常公文处理，承担区委文电、重要文稿和区委领导讲话的起草、修改和校核工作。</w:t>
      </w:r>
      <w:r>
        <w:rPr>
          <w:rFonts w:ascii="仿宋_GB2312" w:eastAsia="仿宋_GB2312"/>
          <w:sz w:val="32"/>
          <w:szCs w:val="32"/>
        </w:rPr>
        <w:t>3</w:t>
      </w:r>
      <w:r>
        <w:rPr>
          <w:rFonts w:hint="eastAsia" w:ascii="仿宋_GB2312" w:eastAsia="仿宋_GB2312"/>
          <w:sz w:val="32"/>
          <w:szCs w:val="32"/>
        </w:rPr>
        <w:t>、负责上级和区委重要工作部署、重大决策贯彻落实情况的督促检查，以及中央、省、市及区委领导同志批示、指示的催办落实。</w:t>
      </w:r>
      <w:r>
        <w:rPr>
          <w:rFonts w:ascii="仿宋_GB2312" w:eastAsia="仿宋_GB2312"/>
          <w:sz w:val="32"/>
          <w:szCs w:val="32"/>
        </w:rPr>
        <w:t>4</w:t>
      </w:r>
      <w:r>
        <w:rPr>
          <w:rFonts w:hint="eastAsia" w:ascii="仿宋_GB2312" w:eastAsia="仿宋_GB2312"/>
          <w:sz w:val="32"/>
          <w:szCs w:val="32"/>
        </w:rPr>
        <w:t>、协助区委领导做好协调工作，促使各部门工作中互相配合、互相支持，提高效率，确保顺利完成工作任务。</w:t>
      </w:r>
      <w:r>
        <w:rPr>
          <w:rFonts w:ascii="仿宋_GB2312" w:eastAsia="仿宋_GB2312"/>
          <w:sz w:val="32"/>
          <w:szCs w:val="32"/>
        </w:rPr>
        <w:t>5</w:t>
      </w:r>
      <w:r>
        <w:rPr>
          <w:rFonts w:hint="eastAsia" w:ascii="仿宋_GB2312" w:eastAsia="仿宋_GB2312"/>
          <w:sz w:val="32"/>
          <w:szCs w:val="32"/>
        </w:rPr>
        <w:t>、负责区委各种会议和区委领导活动的组织安排，搞好上级领导和其他区、县（市）党委负责同志及有关来宾的接待服务工作。</w:t>
      </w:r>
      <w:r>
        <w:rPr>
          <w:rFonts w:ascii="仿宋_GB2312" w:eastAsia="仿宋_GB2312"/>
          <w:sz w:val="32"/>
          <w:szCs w:val="32"/>
        </w:rPr>
        <w:t>6</w:t>
      </w:r>
      <w:r>
        <w:rPr>
          <w:rFonts w:hint="eastAsia" w:ascii="仿宋_GB2312" w:eastAsia="仿宋_GB2312"/>
          <w:sz w:val="32"/>
          <w:szCs w:val="32"/>
        </w:rPr>
        <w:t>、负责全区党政系统的机要通讯和密码管理，负责中央、省委、市委文件和全区党政军领导机关及其部门机密文件、信件的传递工作。</w:t>
      </w:r>
      <w:r>
        <w:rPr>
          <w:rFonts w:ascii="仿宋_GB2312" w:eastAsia="仿宋_GB2312"/>
          <w:sz w:val="32"/>
          <w:szCs w:val="32"/>
        </w:rPr>
        <w:t>7</w:t>
      </w:r>
      <w:r>
        <w:rPr>
          <w:rFonts w:hint="eastAsia" w:ascii="仿宋_GB2312" w:eastAsia="仿宋_GB2312"/>
          <w:sz w:val="32"/>
          <w:szCs w:val="32"/>
        </w:rPr>
        <w:t>、负责全区的保密工作，督促查处失泄密事件，指导协调、督促检查全区保密工作开展情况。</w:t>
      </w:r>
      <w:r>
        <w:rPr>
          <w:rFonts w:ascii="仿宋_GB2312" w:eastAsia="仿宋_GB2312"/>
          <w:sz w:val="32"/>
          <w:szCs w:val="32"/>
        </w:rPr>
        <w:t>8</w:t>
      </w:r>
      <w:r>
        <w:rPr>
          <w:rFonts w:hint="eastAsia" w:ascii="仿宋_GB2312" w:eastAsia="仿宋_GB2312"/>
          <w:sz w:val="32"/>
          <w:szCs w:val="32"/>
        </w:rPr>
        <w:t>、负责区委机关后勤行政事务。协调、指导全区党史资料、历史档案和机关档案资料的征集、接收、整理、保管、利用和研究。</w:t>
      </w:r>
      <w:r>
        <w:rPr>
          <w:rFonts w:ascii="仿宋_GB2312" w:eastAsia="仿宋_GB2312"/>
          <w:sz w:val="32"/>
          <w:szCs w:val="32"/>
        </w:rPr>
        <w:t>10</w:t>
      </w:r>
      <w:r>
        <w:rPr>
          <w:rFonts w:hint="eastAsia" w:ascii="仿宋_GB2312" w:eastAsia="仿宋_GB2312"/>
          <w:sz w:val="32"/>
          <w:szCs w:val="32"/>
        </w:rPr>
        <w:t>、协调、指导全区信访工作，协助区委领导同志处理群众来信来访，及时了解群众的要求和建议，督促热点、难点问题的解决。</w:t>
      </w:r>
      <w:r>
        <w:rPr>
          <w:rFonts w:ascii="仿宋_GB2312" w:eastAsia="仿宋_GB2312"/>
          <w:sz w:val="32"/>
          <w:szCs w:val="32"/>
        </w:rPr>
        <w:t>11</w:t>
      </w:r>
      <w:r>
        <w:rPr>
          <w:rFonts w:hint="eastAsia" w:ascii="仿宋_GB2312" w:eastAsia="仿宋_GB2312"/>
          <w:sz w:val="32"/>
          <w:szCs w:val="32"/>
        </w:rPr>
        <w:t>、完成区委交办的其他任务。</w:t>
      </w:r>
    </w:p>
    <w:p>
      <w:pPr>
        <w:spacing w:line="576" w:lineRule="exact"/>
        <w:ind w:firstLine="640"/>
        <w:rPr>
          <w:rFonts w:hint="eastAsia" w:ascii="仿宋" w:hAnsi="仿宋" w:eastAsia="仿宋"/>
          <w:bCs/>
          <w:sz w:val="32"/>
          <w:szCs w:val="32"/>
        </w:rPr>
      </w:pPr>
      <w:r>
        <w:rPr>
          <w:rFonts w:hint="eastAsia" w:ascii="仿宋" w:hAnsi="仿宋" w:eastAsia="仿宋"/>
          <w:bCs/>
          <w:sz w:val="32"/>
          <w:szCs w:val="32"/>
        </w:rPr>
        <w:t>（二）</w:t>
      </w:r>
      <w:r>
        <w:rPr>
          <w:rFonts w:ascii="仿宋" w:hAnsi="仿宋" w:eastAsia="仿宋"/>
          <w:bCs/>
          <w:sz w:val="32"/>
          <w:szCs w:val="32"/>
        </w:rPr>
        <w:t>2021</w:t>
      </w:r>
      <w:r>
        <w:rPr>
          <w:rFonts w:hint="eastAsia" w:ascii="仿宋" w:hAnsi="仿宋" w:eastAsia="仿宋"/>
          <w:bCs/>
          <w:sz w:val="32"/>
          <w:szCs w:val="32"/>
        </w:rPr>
        <w:t>年重点工作完成情况。</w:t>
      </w:r>
      <w:bookmarkEnd w:id="12"/>
      <w:bookmarkEnd w:id="13"/>
    </w:p>
    <w:p>
      <w:pPr>
        <w:spacing w:line="576" w:lineRule="exact"/>
        <w:ind w:firstLine="640"/>
        <w:rPr>
          <w:rFonts w:hint="eastAsia" w:ascii="仿宋" w:hAnsi="仿宋" w:eastAsia="仿宋"/>
          <w:bCs/>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年来，区委办公室坚持以习近平新时代中国特色社会主义思想为指导，坚定践行习近平总书记对党委办公室提出的“五个坚持”总体要求，紧紧围绕区委中心工作，旗帜鲜明讲政治、忠诚担当干事业、团结一心抓落实，坚持当好参谋、积极统筹协调、严谨细致服务、严格督查问效，各项工作稳步有序。</w:t>
      </w:r>
    </w:p>
    <w:p>
      <w:pPr>
        <w:spacing w:line="576" w:lineRule="exact"/>
        <w:ind w:firstLine="640"/>
        <w:rPr>
          <w:rFonts w:hint="eastAsia" w:ascii="仿宋_GB2312" w:eastAsia="仿宋_GB2312"/>
          <w:sz w:val="32"/>
          <w:szCs w:val="32"/>
        </w:rPr>
      </w:pPr>
      <w:r>
        <w:rPr>
          <w:rFonts w:hint="eastAsia" w:ascii="楷体_GB2312" w:hAnsi="楷体_GB2312" w:eastAsia="楷体_GB2312" w:cs="楷体_GB2312"/>
          <w:sz w:val="32"/>
          <w:szCs w:val="32"/>
        </w:rPr>
        <w:t>（一）旗帜鲜明讲政治，加强政治机关建设。</w:t>
      </w:r>
      <w:r>
        <w:rPr>
          <w:rFonts w:hint="eastAsia" w:ascii="仿宋_GB2312" w:eastAsia="仿宋_GB2312"/>
          <w:sz w:val="32"/>
          <w:szCs w:val="32"/>
        </w:rPr>
        <w:t>区委办作为区委的首要政治机关，始终坚持把思想政治建设摆在突出位置，教育引导党员干部善于从政治上看问题，善于把握政治大局，不断提高政治判断力、政治领悟力、政治执行力，切实增强“四个意识”、坚定“四个自信”、做到“两个维护”，在任何时候、任何情况下旗帜鲜明、绝对忠诚。</w:t>
      </w:r>
    </w:p>
    <w:p>
      <w:pPr>
        <w:spacing w:line="576" w:lineRule="exact"/>
        <w:ind w:firstLine="640"/>
        <w:rPr>
          <w:rFonts w:hint="eastAsia" w:ascii="仿宋_GB2312" w:eastAsia="仿宋_GB2312"/>
          <w:bCs/>
          <w:sz w:val="32"/>
          <w:szCs w:val="32"/>
        </w:rPr>
      </w:pPr>
      <w:r>
        <w:rPr>
          <w:rFonts w:hint="eastAsia" w:ascii="黑体" w:hAnsi="黑体" w:eastAsia="黑体" w:cs="黑体"/>
          <w:bCs/>
          <w:sz w:val="32"/>
          <w:szCs w:val="32"/>
        </w:rPr>
        <w:t>一是</w:t>
      </w:r>
      <w:r>
        <w:rPr>
          <w:rFonts w:hint="eastAsia" w:ascii="仿宋_GB2312" w:eastAsia="仿宋_GB2312"/>
          <w:bCs/>
          <w:sz w:val="32"/>
          <w:szCs w:val="32"/>
        </w:rPr>
        <w:t>深入推进思想政治建设。全年组织召开室务会、全体干部职工会、专题学习会等会议37次，及时传达学习中央、省委、市委和区委各类重要会议精神、重大决策部署和各级领导批示指示精神。通过干部职工撰写学习心得、支部活动等方式，进一步学深悟透各级会议、重要文件等精神实质，始终确保全办干部职工</w:t>
      </w:r>
      <w:r>
        <w:rPr>
          <w:rFonts w:ascii="仿宋_GB2312" w:eastAsia="仿宋_GB2312"/>
          <w:bCs/>
          <w:sz w:val="32"/>
          <w:szCs w:val="32"/>
        </w:rPr>
        <w:t>时刻保持政治立场坚定</w:t>
      </w:r>
      <w:r>
        <w:rPr>
          <w:rFonts w:hint="eastAsia" w:ascii="仿宋_GB2312" w:eastAsia="仿宋_GB2312"/>
          <w:bCs/>
          <w:sz w:val="32"/>
          <w:szCs w:val="32"/>
        </w:rPr>
        <w:t>，</w:t>
      </w:r>
      <w:r>
        <w:rPr>
          <w:rFonts w:ascii="仿宋_GB2312" w:eastAsia="仿宋_GB2312"/>
          <w:bCs/>
          <w:sz w:val="32"/>
          <w:szCs w:val="32"/>
        </w:rPr>
        <w:t>始终</w:t>
      </w:r>
      <w:r>
        <w:rPr>
          <w:rFonts w:hint="eastAsia" w:ascii="仿宋_GB2312" w:eastAsia="仿宋_GB2312"/>
          <w:bCs/>
          <w:sz w:val="32"/>
          <w:szCs w:val="32"/>
        </w:rPr>
        <w:t>同党</w:t>
      </w:r>
      <w:r>
        <w:rPr>
          <w:rFonts w:ascii="仿宋_GB2312" w:eastAsia="仿宋_GB2312"/>
          <w:bCs/>
          <w:sz w:val="32"/>
          <w:szCs w:val="32"/>
        </w:rPr>
        <w:t>中央、省委、市委</w:t>
      </w:r>
      <w:r>
        <w:rPr>
          <w:rFonts w:hint="eastAsia" w:ascii="仿宋_GB2312" w:eastAsia="仿宋_GB2312"/>
          <w:bCs/>
          <w:sz w:val="32"/>
          <w:szCs w:val="32"/>
        </w:rPr>
        <w:t>、区委</w:t>
      </w:r>
      <w:r>
        <w:rPr>
          <w:rFonts w:ascii="仿宋_GB2312" w:eastAsia="仿宋_GB2312"/>
          <w:bCs/>
          <w:sz w:val="32"/>
          <w:szCs w:val="32"/>
        </w:rPr>
        <w:t>同心同向同步</w:t>
      </w:r>
      <w:r>
        <w:rPr>
          <w:rFonts w:hint="eastAsia" w:ascii="仿宋_GB2312" w:eastAsia="仿宋_GB2312"/>
          <w:bCs/>
          <w:sz w:val="32"/>
          <w:szCs w:val="32"/>
        </w:rPr>
        <w:t>。</w:t>
      </w:r>
    </w:p>
    <w:p>
      <w:pPr>
        <w:spacing w:line="576" w:lineRule="exact"/>
        <w:ind w:firstLine="641"/>
        <w:rPr>
          <w:rStyle w:val="33"/>
          <w:rFonts w:hint="eastAsia" w:ascii="仿宋_GB2312" w:hAnsi="仿宋_GB2312" w:eastAsia="仿宋_GB2312" w:cs="仿宋_GB2312"/>
          <w:color w:val="000000"/>
          <w:sz w:val="32"/>
          <w:szCs w:val="32"/>
        </w:rPr>
      </w:pPr>
      <w:r>
        <w:rPr>
          <w:rFonts w:hint="eastAsia" w:ascii="黑体" w:hAnsi="黑体" w:eastAsia="黑体" w:cs="黑体"/>
          <w:sz w:val="32"/>
          <w:szCs w:val="32"/>
        </w:rPr>
        <w:t>二是</w:t>
      </w:r>
      <w:r>
        <w:rPr>
          <w:rFonts w:hint="eastAsia" w:ascii="仿宋_GB2312" w:eastAsia="仿宋_GB2312"/>
          <w:sz w:val="32"/>
          <w:szCs w:val="32"/>
        </w:rPr>
        <w:t>持续巩固深化“不忘初心、牢记使命”主题教育成果，扎实开展党史学习教育。牵头抓好全区庆祝中国共产党成立100周年系列活动，组织全体党员干部参加</w:t>
      </w:r>
      <w:r>
        <w:rPr>
          <w:rFonts w:hint="eastAsia" w:ascii="仿宋_GB2312" w:eastAsia="仿宋_GB2312"/>
          <w:sz w:val="32"/>
          <w:szCs w:val="32"/>
          <w:lang w:eastAsia="zh-CN"/>
        </w:rPr>
        <w:t>“发扬‘三牛精神’，续写时代篇章”</w:t>
      </w:r>
      <w:r>
        <w:rPr>
          <w:rFonts w:hint="eastAsia" w:ascii="仿宋_GB2312" w:eastAsia="仿宋_GB2312"/>
          <w:sz w:val="32"/>
          <w:szCs w:val="32"/>
        </w:rPr>
        <w:t>“领航新时代·开启新征程”“学‘四史’·迎国庆”</w:t>
      </w:r>
      <w:r>
        <w:rPr>
          <w:rStyle w:val="33"/>
          <w:rFonts w:hint="eastAsia" w:ascii="仿宋_GB2312" w:hAnsi="仿宋_GB2312" w:eastAsia="仿宋_GB2312" w:cs="仿宋_GB2312"/>
          <w:color w:val="000000"/>
          <w:sz w:val="32"/>
          <w:szCs w:val="32"/>
        </w:rPr>
        <w:t>“学党史、颂党恩、办实事”</w:t>
      </w:r>
      <w:r>
        <w:rPr>
          <w:rFonts w:hint="eastAsia" w:ascii="仿宋_GB2312" w:eastAsia="仿宋_GB2312"/>
          <w:sz w:val="32"/>
          <w:szCs w:val="32"/>
        </w:rPr>
        <w:t>等主题党日活动</w:t>
      </w:r>
      <w:r>
        <w:rPr>
          <w:rFonts w:hint="eastAsia" w:ascii="仿宋_GB2312" w:hAnsi="仿宋_GB2312" w:eastAsia="仿宋_GB2312" w:cs="仿宋_GB2312"/>
          <w:sz w:val="32"/>
          <w:szCs w:val="32"/>
        </w:rPr>
        <w:t>和到红色爱国主义基地开展党史学习教育研学活动，深切缅怀革命先烈，感悟共产党人的</w:t>
      </w:r>
      <w:r>
        <w:rPr>
          <w:rStyle w:val="33"/>
          <w:rFonts w:hint="eastAsia" w:ascii="仿宋_GB2312" w:hAnsi="仿宋_GB2312" w:eastAsia="仿宋_GB2312" w:cs="仿宋_GB2312"/>
          <w:color w:val="000000"/>
          <w:sz w:val="32"/>
          <w:szCs w:val="32"/>
        </w:rPr>
        <w:t>初心使命，弘扬伟大建党精神。</w:t>
      </w:r>
    </w:p>
    <w:p>
      <w:pPr>
        <w:spacing w:line="576" w:lineRule="exact"/>
        <w:ind w:firstLine="641"/>
        <w:rPr>
          <w:rStyle w:val="33"/>
          <w:rFonts w:hint="eastAsia" w:ascii="仿宋_GB2312" w:hAnsi="仿宋_GB2312" w:eastAsia="仿宋_GB2312" w:cs="仿宋_GB2312"/>
          <w:color w:val="000000"/>
          <w:sz w:val="32"/>
          <w:szCs w:val="32"/>
        </w:rPr>
      </w:pPr>
      <w:r>
        <w:rPr>
          <w:rFonts w:hint="eastAsia" w:ascii="黑体" w:hAnsi="黑体" w:eastAsia="黑体" w:cs="黑体"/>
          <w:sz w:val="32"/>
          <w:szCs w:val="32"/>
        </w:rPr>
        <w:t>三是</w:t>
      </w:r>
      <w:r>
        <w:rPr>
          <w:rStyle w:val="33"/>
          <w:rFonts w:hint="eastAsia" w:ascii="仿宋_GB2312" w:hAnsi="仿宋_GB2312" w:eastAsia="仿宋_GB2312" w:cs="仿宋_GB2312"/>
          <w:color w:val="000000"/>
          <w:sz w:val="32"/>
          <w:szCs w:val="32"/>
        </w:rPr>
        <w:t>扎实开展“我为群众办实事”实践活动。深入基层一线开展调查研究15次，解决朝天城区南出口道路整治、协调解决朝天镇将军村新开挖路面硬化等</w:t>
      </w:r>
      <w:r>
        <w:rPr>
          <w:rFonts w:hint="eastAsia" w:ascii="仿宋_GB2312" w:eastAsia="仿宋_GB2312"/>
          <w:color w:val="000000"/>
          <w:sz w:val="32"/>
          <w:szCs w:val="32"/>
        </w:rPr>
        <w:t>事项37个。</w:t>
      </w:r>
      <w:r>
        <w:rPr>
          <w:rFonts w:hint="eastAsia" w:ascii="仿宋_GB2312" w:hAnsi="仿宋_GB2312" w:eastAsia="仿宋_GB2312" w:cs="仿宋_GB2312"/>
          <w:color w:val="000000"/>
          <w:sz w:val="32"/>
          <w:szCs w:val="32"/>
        </w:rPr>
        <w:t>认真落实党员干部“双报到”志愿服务制度，组织全体党员干部深入开展文明城市创建、</w:t>
      </w:r>
      <w:r>
        <w:rPr>
          <w:rStyle w:val="33"/>
          <w:rFonts w:hint="eastAsia" w:ascii="仿宋_GB2312" w:hAnsi="仿宋_GB2312" w:eastAsia="仿宋_GB2312" w:cs="仿宋_GB2312"/>
          <w:color w:val="000000"/>
          <w:sz w:val="32"/>
          <w:szCs w:val="32"/>
        </w:rPr>
        <w:t>无偿献血、疫情防控</w:t>
      </w:r>
      <w:r>
        <w:rPr>
          <w:rFonts w:hint="eastAsia" w:ascii="仿宋_GB2312" w:hAnsi="仿宋_GB2312" w:eastAsia="仿宋_GB2312" w:cs="仿宋_GB2312"/>
          <w:color w:val="000000"/>
          <w:sz w:val="32"/>
          <w:szCs w:val="32"/>
        </w:rPr>
        <w:t>等志愿服务活动100余人次，持续增强为民服务宗旨意识。</w:t>
      </w: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四是</w:t>
      </w:r>
      <w:r>
        <w:rPr>
          <w:rFonts w:hint="eastAsia" w:ascii="仿宋_GB2312" w:eastAsia="仿宋_GB2312"/>
          <w:sz w:val="32"/>
          <w:szCs w:val="32"/>
        </w:rPr>
        <w:t>扎实开展干部纪律作风整顿工作。</w:t>
      </w:r>
      <w:r>
        <w:rPr>
          <w:rFonts w:hint="eastAsia" w:ascii="仿宋_GB2312" w:hAnsi="仿宋_GB2312" w:eastAsia="仿宋_GB2312" w:cs="仿宋_GB2312"/>
          <w:sz w:val="32"/>
          <w:szCs w:val="32"/>
        </w:rPr>
        <w:t>领导班子成员共查摆出3个方面8个问题，全办45名在职在岗党员干部共查摆5个方面135个问题，已全部整改到位。牵头抓好“办事拖沓、效率低下”专项整治，全区各级领导班子对照查摆出具体问题40余个，全区党员干部累计查找问题700余个，已全部整改到位。同时，持续推进“文风、会风、话风”整改工作，会议频次、时间、规模得到有效控制，行文更加规范、精炼，讲话更加严谨、务实、平白。</w:t>
      </w:r>
    </w:p>
    <w:p>
      <w:pPr>
        <w:spacing w:line="576" w:lineRule="exact"/>
        <w:ind w:firstLine="640"/>
        <w:rPr>
          <w:rFonts w:hint="eastAsia" w:ascii="仿宋_GB2312" w:eastAsia="仿宋_GB2312"/>
          <w:sz w:val="32"/>
          <w:szCs w:val="32"/>
        </w:rPr>
      </w:pPr>
      <w:r>
        <w:rPr>
          <w:rFonts w:hint="eastAsia" w:ascii="楷体_GB2312" w:hAnsi="楷体_GB2312" w:eastAsia="楷体_GB2312" w:cs="楷体_GB2312"/>
          <w:sz w:val="32"/>
          <w:szCs w:val="32"/>
        </w:rPr>
        <w:t>（二）务实担当抓落实，加强执行机关建设。</w:t>
      </w:r>
      <w:r>
        <w:rPr>
          <w:rFonts w:hint="eastAsia" w:ascii="仿宋_GB2312" w:eastAsia="仿宋_GB2312"/>
          <w:sz w:val="32"/>
          <w:szCs w:val="32"/>
        </w:rPr>
        <w:t>区委办坚持把推动区委决策部署落实作为工作主要职责，把务实高效作为对各项工作的第一要求，树立讲实效、快节奏的良好作风，坚决确保区委政令畅通、决策部署落地生根。</w:t>
      </w:r>
    </w:p>
    <w:p>
      <w:pPr>
        <w:spacing w:line="576" w:lineRule="exact"/>
        <w:ind w:firstLine="640"/>
        <w:rPr>
          <w:rFonts w:ascii="仿宋_GB2312" w:eastAsia="仿宋_GB2312"/>
          <w:bCs/>
          <w:sz w:val="32"/>
          <w:szCs w:val="32"/>
        </w:rPr>
      </w:pPr>
      <w:r>
        <w:rPr>
          <w:rFonts w:hint="eastAsia" w:ascii="黑体" w:hAnsi="黑体" w:eastAsia="黑体" w:cs="黑体"/>
          <w:sz w:val="32"/>
          <w:szCs w:val="32"/>
        </w:rPr>
        <w:t>一是</w:t>
      </w:r>
      <w:r>
        <w:rPr>
          <w:rFonts w:hint="eastAsia" w:ascii="仿宋_GB2312" w:hAnsi="仿宋_GB2312" w:eastAsia="仿宋_GB2312" w:cs="仿宋_GB2312"/>
          <w:sz w:val="32"/>
          <w:szCs w:val="32"/>
        </w:rPr>
        <w:t>加强以文辅政。建立了区委重要文稿审核把关工作机制，完成区第八次党代会、区“两会”、4次区委全会、区委区政府工作会等重要会议和活动文稿起草，累计起草区委主要领导文稿200余篇，积极做好各级各部门来文办理和各类公文规范印发，完成党内规范性文件备案21件。加强公文管理，年初制定发文计划、建立文稿退文制度，严格把控发文数量和质量，全年文件精简数量较2021年市下目标数下降20%左右。严格实行会议审批制度，坚持少开会、开短会、讲短话，对主题相近、内容相关的会议一律合并召开，切实提高会议效率和质量。坚持准确高效信息服务。截至目前，报送调研报告</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篇</w:t>
      </w:r>
      <w:r>
        <w:rPr>
          <w:rFonts w:hint="eastAsia" w:ascii="仿宋_GB2312" w:hAnsi="仿宋_GB2312" w:eastAsia="仿宋_GB2312" w:cs="仿宋_GB2312"/>
          <w:sz w:val="32"/>
          <w:szCs w:val="32"/>
        </w:rPr>
        <w:t>，经验类信息400余条，问题建议类信息50余条，编报紧急信息20</w:t>
      </w:r>
      <w:r>
        <w:rPr>
          <w:rFonts w:hint="eastAsia" w:ascii="仿宋_GB2312" w:eastAsia="仿宋_GB2312"/>
          <w:bCs/>
          <w:sz w:val="32"/>
          <w:szCs w:val="32"/>
        </w:rPr>
        <w:t>余条，编发《每日动态》242期，其中省委办</w:t>
      </w:r>
      <w:r>
        <w:rPr>
          <w:rFonts w:hint="eastAsia" w:ascii="仿宋_GB2312" w:eastAsia="仿宋_GB2312"/>
          <w:bCs/>
          <w:sz w:val="32"/>
          <w:szCs w:val="32"/>
          <w:lang w:eastAsia="zh-CN"/>
        </w:rPr>
        <w:t>公厅</w:t>
      </w:r>
      <w:r>
        <w:rPr>
          <w:rFonts w:hint="eastAsia" w:ascii="仿宋_GB2312" w:eastAsia="仿宋_GB2312"/>
          <w:bCs/>
          <w:sz w:val="32"/>
          <w:szCs w:val="32"/>
        </w:rPr>
        <w:t>《每日要情》采用3条，市委办《广元要情》采用100余条，11月份排名全市第一。</w:t>
      </w: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二是</w:t>
      </w:r>
      <w:r>
        <w:rPr>
          <w:rFonts w:hint="eastAsia" w:ascii="仿宋_GB2312" w:hAnsi="仿宋_GB2312" w:eastAsia="仿宋_GB2312" w:cs="仿宋_GB2312"/>
          <w:sz w:val="32"/>
          <w:szCs w:val="32"/>
        </w:rPr>
        <w:t>强化综合统筹。按</w:t>
      </w:r>
      <w:r>
        <w:rPr>
          <w:rFonts w:hint="eastAsia" w:ascii="仿宋_GB2312" w:hAnsi="仿宋_GB2312" w:eastAsia="仿宋_GB2312" w:cs="仿宋_GB2312"/>
          <w:sz w:val="32"/>
          <w:szCs w:val="32"/>
          <w:lang w:eastAsia="zh-CN"/>
        </w:rPr>
        <w:t>照</w:t>
      </w:r>
      <w:r>
        <w:rPr>
          <w:rFonts w:hint="eastAsia" w:ascii="仿宋_GB2312" w:eastAsia="仿宋_GB2312"/>
          <w:sz w:val="32"/>
          <w:szCs w:val="32"/>
        </w:rPr>
        <w:t>区委工作规则要求，切实履行相关职责，确保上级精神及时贯彻、区委决策准确传达、重大事项有效协商、诉求反映渠道畅通。</w:t>
      </w:r>
      <w:r>
        <w:rPr>
          <w:rFonts w:hint="eastAsia" w:ascii="仿宋_GB2312" w:eastAsia="仿宋_GB2312"/>
          <w:bCs/>
          <w:sz w:val="32"/>
          <w:szCs w:val="32"/>
          <w:lang w:val="zh-CN"/>
        </w:rPr>
        <w:t>发挥统筹协调作用，</w:t>
      </w:r>
      <w:r>
        <w:rPr>
          <w:rFonts w:hint="eastAsia" w:ascii="仿宋_GB2312" w:eastAsia="仿宋_GB2312"/>
          <w:bCs/>
          <w:sz w:val="32"/>
          <w:szCs w:val="32"/>
        </w:rPr>
        <w:t>做好了区委常委会会议、区委全会、区委区政府工作会等各类全区性重要会议保障工作。</w:t>
      </w:r>
      <w:r>
        <w:rPr>
          <w:rFonts w:hint="eastAsia" w:ascii="仿宋_GB2312" w:eastAsia="仿宋_GB2312"/>
          <w:sz w:val="32"/>
          <w:szCs w:val="32"/>
        </w:rPr>
        <w:t>统筹县级干部活动，做好领导服务工作，编发工作动态，保证运转及时有序。</w:t>
      </w:r>
      <w:r>
        <w:rPr>
          <w:rFonts w:hint="eastAsia" w:ascii="仿宋_GB2312" w:eastAsia="仿宋_GB2312"/>
          <w:bCs/>
          <w:sz w:val="32"/>
          <w:szCs w:val="32"/>
        </w:rPr>
        <w:t>完成国务院总理李克强、省委书记彭清华、市委书记邹自景、市长董里等各级领导来朝天调研服务保障工作以及全省旅游景区发展大会、全省现代林业园区建设现场推进会等各类重大会议活动服务保障工作。</w:t>
      </w:r>
    </w:p>
    <w:p>
      <w:pPr>
        <w:spacing w:line="576" w:lineRule="exact"/>
        <w:ind w:firstLine="640"/>
        <w:rPr>
          <w:rFonts w:hint="eastAsia" w:ascii="仿宋_GB2312" w:eastAsia="仿宋_GB2312"/>
          <w:color w:val="FF0000"/>
          <w:sz w:val="32"/>
          <w:szCs w:val="32"/>
        </w:rPr>
      </w:pPr>
      <w:r>
        <w:rPr>
          <w:rFonts w:hint="eastAsia" w:ascii="黑体" w:hAnsi="黑体" w:eastAsia="黑体" w:cs="黑体"/>
          <w:sz w:val="32"/>
          <w:szCs w:val="32"/>
        </w:rPr>
        <w:t>三是</w:t>
      </w:r>
      <w:r>
        <w:rPr>
          <w:rFonts w:hint="eastAsia" w:ascii="仿宋_GB2312" w:hAnsi="仿宋_GB2312" w:eastAsia="仿宋_GB2312" w:cs="仿宋_GB2312"/>
          <w:sz w:val="32"/>
          <w:szCs w:val="32"/>
        </w:rPr>
        <w:t>做好协调服务。认真</w:t>
      </w:r>
      <w:r>
        <w:rPr>
          <w:rFonts w:hint="eastAsia" w:ascii="仿宋_GB2312" w:eastAsia="仿宋_GB2312" w:cs="Times New Roman"/>
          <w:sz w:val="32"/>
          <w:szCs w:val="32"/>
        </w:rPr>
        <w:t>做好议事协调机构办公室日常事务，全面完成年度目标任务，确保各项考核指标不扣分。</w:t>
      </w:r>
      <w:r>
        <w:rPr>
          <w:rFonts w:hint="eastAsia" w:ascii="仿宋_GB2312" w:eastAsia="仿宋_GB2312" w:cs="Times New Roman"/>
          <w:b/>
          <w:bCs/>
          <w:sz w:val="32"/>
          <w:szCs w:val="32"/>
          <w:lang w:eastAsia="zh-CN"/>
        </w:rPr>
        <w:t>改革方面，</w:t>
      </w:r>
      <w:r>
        <w:rPr>
          <w:rFonts w:hint="eastAsia" w:ascii="仿宋_GB2312" w:eastAsia="仿宋_GB2312" w:cs="Times New Roman"/>
          <w:sz w:val="32"/>
          <w:szCs w:val="32"/>
        </w:rPr>
        <w:t>已全面完成135项年度改革任务</w:t>
      </w: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2项工作得到市委主要领导肯定、2条经验在人民日报刊发推广。</w:t>
      </w:r>
      <w:r>
        <w:rPr>
          <w:rFonts w:hint="eastAsia" w:ascii="仿宋_GB2312" w:eastAsia="仿宋_GB2312" w:cs="Times New Roman"/>
          <w:b/>
          <w:bCs/>
          <w:sz w:val="32"/>
          <w:szCs w:val="32"/>
          <w:lang w:val="en-US" w:eastAsia="zh-CN"/>
        </w:rPr>
        <w:t>外事方面，</w:t>
      </w:r>
      <w:r>
        <w:rPr>
          <w:rFonts w:hint="eastAsia" w:ascii="仿宋_GB2312" w:eastAsia="仿宋_GB2312" w:cs="Times New Roman"/>
          <w:sz w:val="32"/>
          <w:szCs w:val="32"/>
        </w:rPr>
        <w:t>出台《朝天区2021年外事工作要点》，持续巩固疫情防控成果</w:t>
      </w:r>
      <w:r>
        <w:rPr>
          <w:rFonts w:hint="eastAsia" w:ascii="仿宋_GB2312" w:eastAsia="仿宋_GB2312" w:cs="Times New Roman"/>
          <w:sz w:val="32"/>
          <w:szCs w:val="32"/>
          <w:lang w:eastAsia="zh-CN"/>
        </w:rPr>
        <w:t>，</w:t>
      </w:r>
      <w:r>
        <w:rPr>
          <w:rFonts w:hint="eastAsia" w:ascii="仿宋_GB2312" w:eastAsia="仿宋_GB2312" w:cs="Times New Roman"/>
          <w:sz w:val="32"/>
          <w:szCs w:val="32"/>
        </w:rPr>
        <w:t>目前集中隔离4人。</w:t>
      </w:r>
      <w:r>
        <w:rPr>
          <w:rFonts w:hint="eastAsia" w:ascii="仿宋_GB2312" w:eastAsia="仿宋_GB2312" w:cs="Times New Roman"/>
          <w:b/>
          <w:bCs/>
          <w:sz w:val="32"/>
          <w:szCs w:val="32"/>
          <w:lang w:eastAsia="zh-CN"/>
        </w:rPr>
        <w:t>党史方面，</w:t>
      </w:r>
      <w:r>
        <w:rPr>
          <w:rFonts w:hint="eastAsia" w:ascii="仿宋_GB2312" w:eastAsia="仿宋_GB2312" w:cs="Times New Roman"/>
          <w:sz w:val="32"/>
          <w:szCs w:val="32"/>
        </w:rPr>
        <w:t>积极开展党史“七进”活动，登记上报全区红色遗址20处</w:t>
      </w: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编纂完成《朝天区执政实录（2020）》。</w:t>
      </w:r>
      <w:r>
        <w:rPr>
          <w:rFonts w:hint="eastAsia" w:ascii="仿宋_GB2312" w:eastAsia="仿宋_GB2312" w:cs="Times New Roman"/>
          <w:b/>
          <w:bCs/>
          <w:sz w:val="32"/>
          <w:szCs w:val="32"/>
          <w:lang w:val="en-US" w:eastAsia="zh-CN"/>
        </w:rPr>
        <w:t>档案方面，</w:t>
      </w:r>
      <w:r>
        <w:rPr>
          <w:rFonts w:hint="eastAsia" w:ascii="仿宋_GB2312" w:eastAsia="仿宋_GB2312" w:cs="Times New Roman"/>
          <w:sz w:val="32"/>
          <w:szCs w:val="32"/>
        </w:rPr>
        <w:t>扎实开展档案行政执法</w:t>
      </w:r>
      <w:r>
        <w:rPr>
          <w:rFonts w:hint="eastAsia" w:ascii="仿宋_GB2312" w:eastAsia="仿宋_GB2312" w:cs="Times New Roman"/>
          <w:sz w:val="32"/>
          <w:szCs w:val="32"/>
          <w:lang w:eastAsia="zh-CN"/>
        </w:rPr>
        <w:t>检查，全面</w:t>
      </w:r>
      <w:r>
        <w:rPr>
          <w:rFonts w:hint="eastAsia" w:ascii="仿宋_GB2312" w:eastAsia="仿宋_GB2312" w:cs="Times New Roman"/>
          <w:sz w:val="32"/>
          <w:szCs w:val="32"/>
        </w:rPr>
        <w:t>完成脱贫攻坚档案收集整理</w:t>
      </w:r>
      <w:r>
        <w:rPr>
          <w:rFonts w:hint="eastAsia" w:ascii="仿宋_GB2312" w:eastAsia="仿宋_GB2312" w:cs="Times New Roman"/>
          <w:sz w:val="32"/>
          <w:szCs w:val="32"/>
          <w:lang w:eastAsia="zh-CN"/>
        </w:rPr>
        <w:t>和</w:t>
      </w:r>
      <w:r>
        <w:rPr>
          <w:rFonts w:hint="eastAsia" w:ascii="仿宋_GB2312" w:eastAsia="仿宋_GB2312" w:cs="Times New Roman"/>
          <w:sz w:val="32"/>
          <w:szCs w:val="32"/>
        </w:rPr>
        <w:t>档案工作规范化建设</w:t>
      </w:r>
      <w:r>
        <w:rPr>
          <w:rFonts w:hint="eastAsia" w:ascii="仿宋_GB2312" w:eastAsia="仿宋_GB2312" w:cs="Times New Roman"/>
          <w:sz w:val="32"/>
          <w:szCs w:val="32"/>
          <w:lang w:eastAsia="zh-CN"/>
        </w:rPr>
        <w:t>。</w:t>
      </w:r>
      <w:r>
        <w:rPr>
          <w:rFonts w:hint="eastAsia" w:ascii="仿宋_GB2312" w:eastAsia="仿宋_GB2312" w:cs="Times New Roman"/>
          <w:b/>
          <w:bCs/>
          <w:sz w:val="32"/>
          <w:szCs w:val="32"/>
          <w:lang w:eastAsia="zh-CN"/>
        </w:rPr>
        <w:t>驻村帮扶方面，</w:t>
      </w:r>
      <w:r>
        <w:rPr>
          <w:rFonts w:hint="eastAsia" w:ascii="仿宋_GB2312" w:eastAsia="仿宋_GB2312" w:cs="Times New Roman"/>
          <w:sz w:val="32"/>
          <w:szCs w:val="32"/>
          <w:lang w:eastAsia="zh-CN"/>
        </w:rPr>
        <w:t>全面</w:t>
      </w:r>
      <w:r>
        <w:rPr>
          <w:rFonts w:hint="eastAsia" w:ascii="仿宋_GB2312" w:eastAsia="仿宋_GB2312" w:cs="Times New Roman"/>
          <w:sz w:val="32"/>
          <w:szCs w:val="32"/>
        </w:rPr>
        <w:t>完成驻村帮扶</w:t>
      </w:r>
      <w:r>
        <w:rPr>
          <w:rFonts w:hint="eastAsia" w:ascii="仿宋_GB2312" w:eastAsia="仿宋_GB2312" w:cs="Times New Roman"/>
          <w:sz w:val="32"/>
          <w:szCs w:val="32"/>
          <w:lang w:eastAsia="zh-CN"/>
        </w:rPr>
        <w:t>干部和工作队</w:t>
      </w:r>
      <w:r>
        <w:rPr>
          <w:rFonts w:hint="eastAsia" w:ascii="仿宋_GB2312" w:eastAsia="仿宋_GB2312" w:cs="Times New Roman"/>
          <w:sz w:val="32"/>
          <w:szCs w:val="32"/>
        </w:rPr>
        <w:t>调整，</w:t>
      </w:r>
      <w:r>
        <w:rPr>
          <w:rFonts w:hint="eastAsia" w:ascii="仿宋_GB2312" w:eastAsia="仿宋_GB2312" w:cs="Times New Roman"/>
          <w:sz w:val="32"/>
          <w:szCs w:val="32"/>
          <w:lang w:eastAsia="zh-CN"/>
        </w:rPr>
        <w:t>全年</w:t>
      </w:r>
      <w:r>
        <w:rPr>
          <w:rFonts w:hint="eastAsia" w:ascii="仿宋_GB2312" w:eastAsia="仿宋_GB2312" w:cs="Times New Roman"/>
          <w:sz w:val="32"/>
          <w:szCs w:val="32"/>
        </w:rPr>
        <w:t>协调项目资金60万元，用于</w:t>
      </w:r>
      <w:r>
        <w:rPr>
          <w:rFonts w:hint="eastAsia" w:ascii="仿宋_GB2312" w:eastAsia="仿宋_GB2312" w:cs="Times New Roman"/>
          <w:sz w:val="32"/>
          <w:szCs w:val="32"/>
          <w:lang w:eastAsia="zh-CN"/>
        </w:rPr>
        <w:t>将军村</w:t>
      </w:r>
      <w:r>
        <w:rPr>
          <w:rFonts w:hint="eastAsia" w:ascii="仿宋_GB2312" w:eastAsia="仿宋_GB2312" w:cs="Times New Roman"/>
          <w:sz w:val="32"/>
          <w:szCs w:val="32"/>
        </w:rPr>
        <w:t>安置点入户路和村道硬化</w:t>
      </w:r>
      <w:r>
        <w:rPr>
          <w:rFonts w:hint="eastAsia" w:ascii="仿宋_GB2312" w:eastAsia="仿宋_GB2312" w:cs="Times New Roman"/>
          <w:sz w:val="32"/>
          <w:szCs w:val="32"/>
          <w:lang w:eastAsia="zh-CN"/>
        </w:rPr>
        <w:t>；</w:t>
      </w:r>
      <w:r>
        <w:rPr>
          <w:rFonts w:hint="eastAsia" w:ascii="仿宋_GB2312" w:eastAsia="仿宋_GB2312" w:cs="Times New Roman"/>
          <w:sz w:val="32"/>
          <w:szCs w:val="32"/>
        </w:rPr>
        <w:t>扎实开展驻村工作“回头看”“后评估”等工作，脱贫户实现持续稳定增收。</w:t>
      </w:r>
    </w:p>
    <w:p>
      <w:pPr>
        <w:spacing w:line="576" w:lineRule="exact"/>
        <w:ind w:firstLine="641"/>
        <w:rPr>
          <w:rFonts w:hint="eastAsia" w:ascii="黑体" w:hAnsi="黑体" w:eastAsia="黑体" w:cs="黑体"/>
          <w:sz w:val="32"/>
          <w:szCs w:val="32"/>
        </w:rPr>
      </w:pPr>
      <w:r>
        <w:rPr>
          <w:rFonts w:hint="eastAsia" w:ascii="黑体" w:hAnsi="黑体" w:eastAsia="黑体" w:cs="黑体"/>
          <w:sz w:val="32"/>
          <w:szCs w:val="32"/>
        </w:rPr>
        <w:t>四是</w:t>
      </w:r>
      <w:r>
        <w:rPr>
          <w:rFonts w:hint="eastAsia" w:ascii="仿宋_GB2312" w:hAnsi="仿宋_GB2312" w:eastAsia="仿宋_GB2312" w:cs="仿宋_GB2312"/>
          <w:sz w:val="32"/>
          <w:szCs w:val="32"/>
        </w:rPr>
        <w:t>严格督查督办。牵</w:t>
      </w:r>
      <w:r>
        <w:rPr>
          <w:rFonts w:hint="eastAsia" w:ascii="仿宋_GB2312" w:eastAsia="仿宋_GB2312"/>
          <w:sz w:val="32"/>
          <w:szCs w:val="32"/>
        </w:rPr>
        <w:t>头抓好习近平总书记、李克强总理、省委彭清华书记、市委邹自景</w:t>
      </w:r>
      <w:r>
        <w:rPr>
          <w:rFonts w:hint="eastAsia" w:ascii="仿宋_GB2312" w:hAnsi="仿宋_GB2312" w:eastAsia="仿宋_GB2312" w:cs="仿宋_GB2312"/>
          <w:sz w:val="32"/>
          <w:szCs w:val="32"/>
        </w:rPr>
        <w:t>书记</w:t>
      </w:r>
      <w:r>
        <w:rPr>
          <w:rFonts w:hint="eastAsia" w:ascii="仿宋_GB2312" w:eastAsia="仿宋_GB2312"/>
          <w:sz w:val="32"/>
          <w:szCs w:val="32"/>
        </w:rPr>
        <w:t>、区委余飞宇书记指示批示精神责任分解、催办督办，制定贯彻落实清单，全力推动上级工作部署在朝天落到实处。聚集主要经济指标运行、民生实事实施、巩固疫情防控成果等全区重点工作，真督实查，动真碰硬，今年以来，印发《督查通报》27期、《督查专报》8期</w:t>
      </w:r>
      <w:r>
        <w:rPr>
          <w:rFonts w:hint="eastAsia" w:ascii="仿宋_GB2312" w:eastAsia="仿宋_GB2312"/>
          <w:bCs/>
          <w:sz w:val="32"/>
          <w:szCs w:val="32"/>
        </w:rPr>
        <w:t>。</w:t>
      </w:r>
      <w:r>
        <w:rPr>
          <w:rFonts w:hint="eastAsia" w:ascii="仿宋_GB2312" w:eastAsia="仿宋_GB2312"/>
          <w:sz w:val="32"/>
          <w:szCs w:val="32"/>
        </w:rPr>
        <w:t>认真做好上级督查督办相关事项、区委常委会决定事项督办工作，印发督查有关情况专报5期，确保了各项决策部署落到实处、见到实效。</w:t>
      </w:r>
    </w:p>
    <w:p>
      <w:pPr>
        <w:spacing w:line="576" w:lineRule="exact"/>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（三）抓班子带队伍，坚决以良好形象作表率当楷模走前列。</w:t>
      </w:r>
      <w:r>
        <w:rPr>
          <w:rFonts w:hint="eastAsia" w:ascii="仿宋_GB2312" w:hAnsi="仿宋_GB2312" w:eastAsia="仿宋_GB2312" w:cs="仿宋_GB2312"/>
          <w:sz w:val="32"/>
          <w:szCs w:val="32"/>
        </w:rPr>
        <w:t>区委办始终</w:t>
      </w:r>
      <w:r>
        <w:rPr>
          <w:rFonts w:hint="default" w:ascii="仿宋_GB2312" w:hAnsi="仿宋_GB2312" w:eastAsia="仿宋_GB2312" w:cs="仿宋_GB2312"/>
          <w:sz w:val="32"/>
          <w:szCs w:val="32"/>
          <w:lang w:val="en"/>
        </w:rPr>
        <w:t>坚持和加强党的全面领导</w:t>
      </w:r>
      <w:r>
        <w:rPr>
          <w:rFonts w:hint="eastAsia" w:ascii="仿宋_GB2312" w:hAnsi="仿宋_GB2312" w:eastAsia="仿宋_GB2312" w:cs="仿宋_GB2312"/>
          <w:sz w:val="32"/>
          <w:szCs w:val="32"/>
        </w:rPr>
        <w:t>，全面压实管党治党政治责任，严格落实“一岗双责”制度，建强组织、选优队伍、严明作风、强化纪律，持续营造了团结活泼、干事创业、风清气正的良好氛围。前面机关党委书记向仕俊同志作了汇报，这里不再赘述。</w:t>
      </w:r>
    </w:p>
    <w:p>
      <w:pPr>
        <w:spacing w:line="576" w:lineRule="exact"/>
        <w:ind w:firstLine="640"/>
        <w:rPr>
          <w:rFonts w:hint="eastAsia" w:ascii="仿宋_GB2312" w:hAnsi="宋体" w:eastAsia="仿宋_GB2312" w:cs="宋体"/>
          <w:sz w:val="32"/>
          <w:szCs w:val="32"/>
        </w:rPr>
      </w:pPr>
      <w:r>
        <w:rPr>
          <w:rFonts w:hint="eastAsia" w:ascii="楷体_GB2312" w:hAnsi="楷体_GB2312" w:eastAsia="楷体_GB2312" w:cs="楷体_GB2312"/>
          <w:sz w:val="32"/>
          <w:szCs w:val="32"/>
        </w:rPr>
        <w:t>（四）持续强化自身建设，加强综合机关建设。</w:t>
      </w:r>
      <w:r>
        <w:rPr>
          <w:rFonts w:hint="eastAsia" w:ascii="仿宋_GB2312" w:hAnsi="宋体" w:eastAsia="仿宋_GB2312" w:cs="宋体"/>
          <w:sz w:val="32"/>
          <w:szCs w:val="32"/>
        </w:rPr>
        <w:t>区委办坚持把自身建设摆在重要位置，坚持打造政治强、业务精、作风正、讲团结、善管理的领导班子和政治坚定、素质优良、创新进取、善谋实干的干部队伍。</w:t>
      </w:r>
    </w:p>
    <w:p>
      <w:pPr>
        <w:spacing w:line="560" w:lineRule="exact"/>
        <w:ind w:firstLine="640" w:firstLineChars="200"/>
        <w:rPr>
          <w:rFonts w:hint="eastAsia" w:ascii="仿宋_GB2312" w:hAnsi="宋体" w:eastAsia="仿宋_GB2312" w:cs="宋体"/>
          <w:sz w:val="32"/>
          <w:szCs w:val="32"/>
        </w:rPr>
      </w:pPr>
      <w:r>
        <w:rPr>
          <w:rFonts w:hint="eastAsia" w:ascii="黑体" w:hAnsi="黑体" w:eastAsia="黑体" w:cs="黑体"/>
          <w:sz w:val="32"/>
          <w:szCs w:val="32"/>
        </w:rPr>
        <w:t>一是</w:t>
      </w:r>
      <w:r>
        <w:rPr>
          <w:rFonts w:hint="eastAsia" w:ascii="仿宋_GB2312" w:hAnsi="仿宋_GB2312" w:eastAsia="仿宋_GB2312" w:cs="仿宋_GB2312"/>
          <w:sz w:val="32"/>
          <w:szCs w:val="32"/>
        </w:rPr>
        <w:t>完善规章制度。修</w:t>
      </w:r>
      <w:r>
        <w:rPr>
          <w:rFonts w:hint="eastAsia" w:ascii="仿宋_GB2312" w:hAnsi="宋体" w:eastAsia="仿宋_GB2312" w:cs="宋体"/>
          <w:sz w:val="32"/>
          <w:szCs w:val="32"/>
        </w:rPr>
        <w:t>订完善了会议、学习、财务等16项规章制度，干部按规办事、有章可循，办公室日常工作运转更加制度化、程序化、规范化，做到以制度管人、以制度管事。认真贯彻落实</w:t>
      </w:r>
      <w:r>
        <w:rPr>
          <w:rFonts w:hint="eastAsia" w:ascii="仿宋_GB2312" w:hAnsi="宋体" w:eastAsia="仿宋_GB2312" w:cs="宋体"/>
          <w:sz w:val="32"/>
          <w:szCs w:val="32"/>
          <w:lang w:eastAsia="zh-CN"/>
        </w:rPr>
        <w:t>中央八项规定</w:t>
      </w:r>
      <w:r>
        <w:rPr>
          <w:rFonts w:hint="eastAsia" w:ascii="仿宋_GB2312" w:hAnsi="宋体" w:eastAsia="仿宋_GB2312" w:cs="宋体"/>
          <w:sz w:val="32"/>
          <w:szCs w:val="32"/>
        </w:rPr>
        <w:t>，加强公务接待管理，严格财务报销手续，从严控制差旅、会议和活动费开支。</w:t>
      </w:r>
    </w:p>
    <w:p>
      <w:pPr>
        <w:pStyle w:val="2"/>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二是</w:t>
      </w:r>
      <w:r>
        <w:rPr>
          <w:rFonts w:hint="eastAsia" w:ascii="仿宋_GB2312" w:hAnsi="仿宋_GB2312" w:eastAsia="仿宋_GB2312" w:cs="仿宋_GB2312"/>
          <w:kern w:val="2"/>
          <w:sz w:val="32"/>
          <w:szCs w:val="32"/>
          <w:lang w:val="en-US" w:eastAsia="zh-CN" w:bidi="ar-SA"/>
        </w:rPr>
        <w:t>明确职责考核。按照</w:t>
      </w:r>
      <w:r>
        <w:rPr>
          <w:rFonts w:hint="eastAsia" w:ascii="仿宋_GB2312" w:hAnsi="宋体" w:eastAsia="仿宋_GB2312" w:cs="宋体"/>
          <w:sz w:val="32"/>
          <w:szCs w:val="32"/>
        </w:rPr>
        <w:t>“定岗、定责、定标准”的要求，对办公室领导班子进行了分工调整，制定详细的工作职责和岗位细则，做到职责清晰明确，有效避免职责交叉、重叠或空白。进一步完善文秘、信息、机要、后勤人员考核办法，优化考核指标及分值比例，将考核结果作为评优选先和推荐提拔的重要依据。</w:t>
      </w:r>
    </w:p>
    <w:p>
      <w:pPr>
        <w:pStyle w:val="2"/>
        <w:spacing w:line="560" w:lineRule="exact"/>
        <w:ind w:firstLine="640" w:firstLineChars="200"/>
        <w:rPr>
          <w:rFonts w:ascii="仿宋" w:hAnsi="仿宋" w:eastAsia="仿宋"/>
          <w:bCs/>
          <w:sz w:val="32"/>
          <w:szCs w:val="32"/>
        </w:rPr>
      </w:pPr>
      <w:r>
        <w:rPr>
          <w:rFonts w:hint="eastAsia" w:ascii="黑体" w:hAnsi="黑体" w:eastAsia="黑体" w:cs="黑体"/>
          <w:sz w:val="32"/>
          <w:szCs w:val="32"/>
        </w:rPr>
        <w:t>三是</w:t>
      </w:r>
      <w:r>
        <w:rPr>
          <w:rFonts w:hint="eastAsia" w:ascii="仿宋_GB2312" w:hAnsi="仿宋_GB2312" w:eastAsia="仿宋_GB2312" w:cs="仿宋_GB2312"/>
          <w:kern w:val="2"/>
          <w:sz w:val="32"/>
          <w:szCs w:val="32"/>
          <w:lang w:val="en-US" w:eastAsia="zh-CN" w:bidi="ar-SA"/>
        </w:rPr>
        <w:t>落实“三重一大”。进一步健全完善“三重一大”事项集体决策制度，凡属重大人事、重大项目资金等职责范围内的事项，除遇重大突发事件和紧急情况外，均召开室务会集体讨论决定，领导班子科学决策、民主决策、依法决策的能力和水平持续提升。</w:t>
      </w:r>
    </w:p>
    <w:p>
      <w:pPr>
        <w:pStyle w:val="4"/>
        <w:ind w:firstLine="640" w:firstLineChars="200"/>
        <w:rPr>
          <w:rStyle w:val="20"/>
          <w:b w:val="0"/>
          <w:bCs w:val="0"/>
        </w:rPr>
      </w:pPr>
      <w:bookmarkStart w:id="14" w:name="_Toc15396601"/>
      <w:bookmarkStart w:id="15" w:name="_Toc15377200"/>
      <w:r>
        <w:rPr>
          <w:rFonts w:hint="eastAsia" w:ascii="黑体" w:eastAsia="黑体"/>
          <w:b w:val="0"/>
        </w:rPr>
        <w:t>二、</w:t>
      </w:r>
      <w:r>
        <w:rPr>
          <w:rFonts w:hint="eastAsia" w:ascii="黑体" w:hAnsi="黑体" w:eastAsia="黑体"/>
          <w:b w:val="0"/>
        </w:rPr>
        <w:t>机</w:t>
      </w:r>
      <w:r>
        <w:rPr>
          <w:rStyle w:val="20"/>
          <w:rFonts w:hint="eastAsia" w:ascii="黑体" w:hAnsi="黑体" w:eastAsia="黑体"/>
          <w:b w:val="0"/>
          <w:bCs w:val="0"/>
        </w:rPr>
        <w:t>构设置</w:t>
      </w:r>
      <w:bookmarkEnd w:id="14"/>
      <w:bookmarkEnd w:id="15"/>
    </w:p>
    <w:p>
      <w:pPr>
        <w:widowControl/>
        <w:ind w:firstLine="640" w:firstLineChars="200"/>
        <w:jc w:val="left"/>
        <w:rPr>
          <w:rFonts w:hint="eastAsia" w:eastAsia="仿宋_GB2312"/>
          <w:lang w:eastAsia="zh-CN"/>
        </w:rPr>
      </w:pPr>
      <w:r>
        <w:rPr>
          <w:rFonts w:hint="eastAsia" w:ascii="仿宋_GB2312" w:hAnsi="仿宋" w:eastAsia="仿宋_GB2312" w:cs="仿宋_GB2312"/>
          <w:sz w:val="32"/>
          <w:szCs w:val="32"/>
        </w:rPr>
        <w:t>根据广朝编委发【</w:t>
      </w:r>
      <w:r>
        <w:rPr>
          <w:rFonts w:ascii="仿宋_GB2312" w:hAnsi="仿宋" w:eastAsia="仿宋_GB2312" w:cs="仿宋_GB2312"/>
          <w:sz w:val="32"/>
          <w:szCs w:val="32"/>
        </w:rPr>
        <w:t>2019</w:t>
      </w:r>
      <w:r>
        <w:rPr>
          <w:rFonts w:hint="eastAsia" w:ascii="仿宋_GB2312" w:hAnsi="仿宋" w:eastAsia="仿宋_GB2312" w:cs="仿宋_GB2312"/>
          <w:sz w:val="32"/>
          <w:szCs w:val="32"/>
        </w:rPr>
        <w:t>】</w:t>
      </w:r>
      <w:r>
        <w:rPr>
          <w:rFonts w:ascii="仿宋_GB2312" w:hAnsi="仿宋" w:eastAsia="仿宋_GB2312" w:cs="仿宋_GB2312"/>
          <w:sz w:val="32"/>
          <w:szCs w:val="32"/>
        </w:rPr>
        <w:t>54</w:t>
      </w:r>
      <w:r>
        <w:rPr>
          <w:rFonts w:hint="eastAsia" w:ascii="仿宋_GB2312" w:hAnsi="仿宋" w:eastAsia="仿宋_GB2312" w:cs="仿宋_GB2312"/>
          <w:sz w:val="32"/>
          <w:szCs w:val="32"/>
        </w:rPr>
        <w:t>号关于调整中共广元市朝天区委办公室有关机构编制事项通知文件精神，区委办内设行政、文秘、综合、信息、常委办、机要保密等股室及深化改革、国安、外事等议事协调机构。</w:t>
      </w:r>
      <w:r>
        <w:rPr>
          <w:rFonts w:hint="eastAsia" w:ascii="仿宋_GB2312" w:hAnsi="新宋体" w:eastAsia="仿宋_GB2312"/>
          <w:sz w:val="32"/>
          <w:szCs w:val="32"/>
        </w:rPr>
        <w:t>中共广元市朝天区</w:t>
      </w:r>
      <w:r>
        <w:rPr>
          <w:rFonts w:hint="eastAsia" w:ascii="仿宋_GB2312" w:hAnsi="新宋体" w:eastAsia="仿宋_GB2312" w:cs="Arial"/>
          <w:color w:val="000000"/>
          <w:sz w:val="32"/>
          <w:szCs w:val="32"/>
        </w:rPr>
        <w:t>委办公室</w:t>
      </w:r>
      <w:r>
        <w:rPr>
          <w:rFonts w:hint="eastAsia" w:ascii="仿宋_GB2312" w:hAnsi="仿宋" w:eastAsia="仿宋_GB2312" w:cs="仿宋"/>
          <w:sz w:val="32"/>
          <w:szCs w:val="32"/>
        </w:rPr>
        <w:t>属财政一级预算单位，下属二级预算单位0个</w:t>
      </w:r>
      <w:r>
        <w:rPr>
          <w:rFonts w:hint="eastAsia" w:ascii="仿宋_GB2312" w:hAnsi="仿宋" w:eastAsia="仿宋_GB2312" w:cs="仿宋"/>
          <w:sz w:val="32"/>
          <w:szCs w:val="32"/>
          <w:lang w:eastAsia="zh-CN"/>
        </w:rPr>
        <w:t>。</w:t>
      </w:r>
    </w:p>
    <w:p>
      <w:pPr>
        <w:widowControl/>
        <w:jc w:val="left"/>
        <w:rPr>
          <w:rFonts w:ascii="仿宋" w:hAnsi="仿宋" w:eastAsia="仿宋"/>
          <w:kern w:val="0"/>
          <w:sz w:val="32"/>
          <w:szCs w:val="32"/>
        </w:rPr>
      </w:pPr>
    </w:p>
    <w:p>
      <w:pPr>
        <w:pStyle w:val="3"/>
        <w:ind w:right="440"/>
        <w:jc w:val="center"/>
        <w:rPr>
          <w:rStyle w:val="19"/>
          <w:rFonts w:ascii="黑体" w:hAnsi="黑体" w:eastAsia="黑体"/>
          <w:b w:val="0"/>
          <w:bCs/>
        </w:rPr>
      </w:pPr>
      <w:bookmarkStart w:id="16" w:name="_Toc15396602"/>
      <w:bookmarkStart w:id="17" w:name="_Toc15377204"/>
      <w:r>
        <w:rPr>
          <w:rFonts w:hint="eastAsia" w:ascii="黑体" w:hAnsi="黑体" w:eastAsia="黑体"/>
          <w:b w:val="0"/>
        </w:rPr>
        <w:t>第二部分</w:t>
      </w:r>
      <w:r>
        <w:rPr>
          <w:rFonts w:ascii="黑体" w:hAnsi="黑体" w:eastAsia="黑体"/>
          <w:b w:val="0"/>
        </w:rPr>
        <w:t xml:space="preserve"> 2021</w:t>
      </w:r>
      <w:r>
        <w:rPr>
          <w:rFonts w:hint="eastAsia" w:ascii="黑体" w:hAnsi="黑体" w:eastAsia="黑体"/>
          <w:b w:val="0"/>
        </w:rPr>
        <w:t>年度</w:t>
      </w:r>
      <w:r>
        <w:rPr>
          <w:rStyle w:val="19"/>
          <w:rFonts w:hint="eastAsia" w:ascii="黑体" w:hAnsi="黑体" w:eastAsia="黑体"/>
          <w:b w:val="0"/>
          <w:bCs/>
        </w:rPr>
        <w:t>部门决算情况说明</w:t>
      </w:r>
      <w:bookmarkEnd w:id="16"/>
      <w:bookmarkEnd w:id="17"/>
    </w:p>
    <w:p/>
    <w:p>
      <w:pPr>
        <w:pStyle w:val="30"/>
        <w:numPr>
          <w:ilvl w:val="0"/>
          <w:numId w:val="1"/>
        </w:numPr>
        <w:spacing w:line="600" w:lineRule="exact"/>
        <w:ind w:firstLineChars="0"/>
        <w:outlineLvl w:val="1"/>
        <w:rPr>
          <w:rStyle w:val="20"/>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0"/>
          <w:rFonts w:hint="eastAsia" w:ascii="黑体" w:hAnsi="黑体" w:eastAsia="黑体"/>
          <w:b w:val="0"/>
        </w:rPr>
        <w:t>入支出决算总体情况说明</w:t>
      </w:r>
      <w:bookmarkEnd w:id="18"/>
      <w:bookmarkEnd w:id="19"/>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年区委办本年收入合计</w:t>
      </w:r>
      <w:r>
        <w:rPr>
          <w:rFonts w:hint="eastAsia" w:ascii="仿宋_GB2312" w:eastAsia="仿宋_GB2312"/>
          <w:color w:val="000000"/>
          <w:sz w:val="32"/>
          <w:szCs w:val="32"/>
          <w:lang w:val="en-US" w:eastAsia="zh-CN"/>
        </w:rPr>
        <w:t>1142.19</w:t>
      </w:r>
      <w:r>
        <w:rPr>
          <w:rFonts w:hint="eastAsia" w:ascii="仿宋_GB2312" w:eastAsia="仿宋_GB2312"/>
          <w:color w:val="000000"/>
          <w:sz w:val="32"/>
          <w:szCs w:val="32"/>
        </w:rPr>
        <w:t>万元，其中：财政拨款收入</w:t>
      </w:r>
      <w:r>
        <w:rPr>
          <w:rFonts w:hint="eastAsia" w:ascii="仿宋_GB2312" w:eastAsia="仿宋_GB2312"/>
          <w:color w:val="000000"/>
          <w:sz w:val="32"/>
          <w:szCs w:val="32"/>
          <w:lang w:val="en-US" w:eastAsia="zh-CN"/>
        </w:rPr>
        <w:t>1142.19</w:t>
      </w:r>
      <w:r>
        <w:rPr>
          <w:rFonts w:hint="eastAsia" w:ascii="仿宋_GB2312" w:eastAsia="仿宋_GB2312"/>
          <w:color w:val="000000"/>
          <w:sz w:val="32"/>
          <w:szCs w:val="32"/>
        </w:rPr>
        <w:t>万元，占</w:t>
      </w:r>
      <w:r>
        <w:rPr>
          <w:rFonts w:ascii="仿宋_GB2312" w:eastAsia="仿宋_GB2312"/>
          <w:color w:val="000000"/>
          <w:sz w:val="32"/>
          <w:szCs w:val="32"/>
        </w:rPr>
        <w:t>100%</w:t>
      </w:r>
      <w:r>
        <w:rPr>
          <w:rFonts w:hint="eastAsia" w:ascii="仿宋_GB2312" w:eastAsia="仿宋_GB2312"/>
          <w:color w:val="000000"/>
          <w:sz w:val="32"/>
          <w:szCs w:val="32"/>
        </w:rPr>
        <w:t>。与</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年相比</w:t>
      </w:r>
      <w:r>
        <w:rPr>
          <w:rFonts w:hint="eastAsia" w:ascii="仿宋_GB2312" w:eastAsia="仿宋_GB2312"/>
          <w:color w:val="000000"/>
          <w:sz w:val="32"/>
          <w:szCs w:val="32"/>
          <w:lang w:eastAsia="zh-CN"/>
        </w:rPr>
        <w:t>增长</w:t>
      </w:r>
      <w:r>
        <w:rPr>
          <w:rFonts w:hint="eastAsia" w:ascii="仿宋_GB2312" w:eastAsia="仿宋_GB2312"/>
          <w:color w:val="000000"/>
          <w:sz w:val="32"/>
          <w:szCs w:val="32"/>
          <w:lang w:val="en-US" w:eastAsia="zh-CN"/>
        </w:rPr>
        <w:t>106</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增长</w:t>
      </w:r>
      <w:r>
        <w:rPr>
          <w:rFonts w:hint="eastAsia" w:ascii="仿宋_GB2312" w:eastAsia="仿宋_GB2312"/>
          <w:color w:val="000000"/>
          <w:sz w:val="32"/>
          <w:szCs w:val="32"/>
          <w:lang w:val="en-US" w:eastAsia="zh-CN"/>
        </w:rPr>
        <w:t>10</w:t>
      </w:r>
      <w:r>
        <w:rPr>
          <w:rFonts w:ascii="仿宋_GB2312" w:eastAsia="仿宋_GB2312"/>
          <w:color w:val="000000"/>
          <w:sz w:val="32"/>
          <w:szCs w:val="32"/>
        </w:rPr>
        <w:t>%</w:t>
      </w:r>
      <w:r>
        <w:rPr>
          <w:rFonts w:hint="eastAsia" w:ascii="仿宋_GB2312" w:eastAsia="仿宋_GB2312"/>
          <w:color w:val="000000"/>
          <w:sz w:val="32"/>
          <w:szCs w:val="32"/>
          <w:lang w:eastAsia="zh-CN"/>
        </w:rPr>
        <w:t>，增长主要原因为人员年度正常调资等人员经费增加。</w:t>
      </w:r>
    </w:p>
    <w:p>
      <w:pPr>
        <w:spacing w:line="600" w:lineRule="exact"/>
        <w:ind w:firstLine="640" w:firstLineChars="200"/>
        <w:rPr>
          <w:rFonts w:hint="eastAsia" w:ascii="仿宋_GB2312" w:eastAsia="仿宋_GB2312"/>
          <w:sz w:val="32"/>
          <w:szCs w:val="32"/>
        </w:rPr>
      </w:pPr>
      <w:r>
        <w:rPr>
          <w:rFonts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年区委办本年支出合计</w:t>
      </w:r>
      <w:r>
        <w:rPr>
          <w:rFonts w:hint="eastAsia" w:ascii="仿宋_GB2312" w:eastAsia="仿宋_GB2312"/>
          <w:sz w:val="32"/>
          <w:szCs w:val="32"/>
          <w:lang w:val="en-US" w:eastAsia="zh-CN"/>
        </w:rPr>
        <w:t>1142.19</w:t>
      </w:r>
      <w:r>
        <w:rPr>
          <w:rFonts w:hint="eastAsia" w:ascii="仿宋_GB2312" w:eastAsia="仿宋_GB2312"/>
          <w:sz w:val="32"/>
          <w:szCs w:val="32"/>
        </w:rPr>
        <w:t>万元，其中：基本支出</w:t>
      </w:r>
      <w:r>
        <w:rPr>
          <w:rFonts w:hint="eastAsia" w:ascii="仿宋_GB2312" w:eastAsia="仿宋_GB2312"/>
          <w:sz w:val="32"/>
          <w:szCs w:val="32"/>
          <w:lang w:val="en-US" w:eastAsia="zh-CN"/>
        </w:rPr>
        <w:t>724.58</w:t>
      </w:r>
      <w:r>
        <w:rPr>
          <w:rFonts w:hint="eastAsia" w:ascii="仿宋_GB2312" w:eastAsia="仿宋_GB2312"/>
          <w:sz w:val="32"/>
          <w:szCs w:val="32"/>
        </w:rPr>
        <w:t>万元，占</w:t>
      </w:r>
      <w:r>
        <w:rPr>
          <w:rFonts w:hint="eastAsia" w:ascii="仿宋_GB2312" w:eastAsia="仿宋_GB2312"/>
          <w:sz w:val="32"/>
          <w:szCs w:val="32"/>
          <w:lang w:val="en-US" w:eastAsia="zh-CN"/>
        </w:rPr>
        <w:t>63</w:t>
      </w:r>
      <w:r>
        <w:rPr>
          <w:rFonts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与</w:t>
      </w:r>
      <w:r>
        <w:rPr>
          <w:rFonts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年相比</w:t>
      </w:r>
      <w:r>
        <w:rPr>
          <w:rFonts w:hint="eastAsia" w:ascii="仿宋_GB2312" w:eastAsia="仿宋_GB2312"/>
          <w:sz w:val="32"/>
          <w:szCs w:val="32"/>
          <w:lang w:eastAsia="zh-CN"/>
        </w:rPr>
        <w:t>增长</w:t>
      </w:r>
      <w:r>
        <w:rPr>
          <w:rFonts w:hint="eastAsia" w:ascii="仿宋_GB2312" w:eastAsia="仿宋_GB2312"/>
          <w:sz w:val="32"/>
          <w:szCs w:val="32"/>
          <w:lang w:val="en-US" w:eastAsia="zh-CN"/>
        </w:rPr>
        <w:t>108.2</w:t>
      </w:r>
      <w:r>
        <w:rPr>
          <w:rFonts w:hint="eastAsia" w:ascii="仿宋_GB2312" w:eastAsia="仿宋_GB2312"/>
          <w:sz w:val="32"/>
          <w:szCs w:val="32"/>
        </w:rPr>
        <w:t>万元，</w:t>
      </w:r>
      <w:r>
        <w:rPr>
          <w:rFonts w:hint="eastAsia" w:ascii="仿宋_GB2312" w:eastAsia="仿宋_GB2312"/>
          <w:sz w:val="32"/>
          <w:szCs w:val="32"/>
          <w:lang w:eastAsia="zh-CN"/>
        </w:rPr>
        <w:t>增长</w:t>
      </w:r>
      <w:r>
        <w:rPr>
          <w:rFonts w:hint="eastAsia" w:ascii="仿宋_GB2312" w:eastAsia="仿宋_GB2312"/>
          <w:sz w:val="32"/>
          <w:szCs w:val="32"/>
          <w:lang w:val="en-US" w:eastAsia="zh-CN"/>
        </w:rPr>
        <w:t>17.5</w:t>
      </w:r>
      <w:r>
        <w:rPr>
          <w:rFonts w:ascii="仿宋_GB2312" w:eastAsia="仿宋_GB2312"/>
          <w:sz w:val="32"/>
          <w:szCs w:val="32"/>
        </w:rPr>
        <w:t>%</w:t>
      </w:r>
      <w:r>
        <w:rPr>
          <w:rFonts w:hint="eastAsia" w:ascii="仿宋_GB2312" w:eastAsia="仿宋_GB2312"/>
          <w:sz w:val="32"/>
          <w:szCs w:val="32"/>
        </w:rPr>
        <w:t>；项目支出</w:t>
      </w:r>
      <w:r>
        <w:rPr>
          <w:rFonts w:hint="eastAsia" w:ascii="仿宋_GB2312" w:eastAsia="仿宋_GB2312"/>
          <w:sz w:val="32"/>
          <w:szCs w:val="32"/>
          <w:lang w:val="en-US" w:eastAsia="zh-CN"/>
        </w:rPr>
        <w:t>417.61</w:t>
      </w:r>
      <w:r>
        <w:rPr>
          <w:rFonts w:hint="eastAsia" w:ascii="仿宋_GB2312" w:eastAsia="仿宋_GB2312"/>
          <w:sz w:val="32"/>
          <w:szCs w:val="32"/>
        </w:rPr>
        <w:t>万元，占</w:t>
      </w:r>
      <w:r>
        <w:rPr>
          <w:rFonts w:hint="eastAsia" w:ascii="仿宋_GB2312" w:eastAsia="仿宋_GB2312"/>
          <w:sz w:val="32"/>
          <w:szCs w:val="32"/>
          <w:lang w:val="en-US" w:eastAsia="zh-CN"/>
        </w:rPr>
        <w:t>37</w:t>
      </w:r>
      <w:r>
        <w:rPr>
          <w:rFonts w:ascii="仿宋_GB2312" w:eastAsia="仿宋_GB2312"/>
          <w:sz w:val="32"/>
          <w:szCs w:val="32"/>
        </w:rPr>
        <w:t>%</w:t>
      </w:r>
      <w:r>
        <w:rPr>
          <w:rFonts w:hint="eastAsia" w:ascii="仿宋_GB2312" w:eastAsia="仿宋_GB2312"/>
          <w:sz w:val="32"/>
          <w:szCs w:val="32"/>
        </w:rPr>
        <w:t>，与</w:t>
      </w:r>
      <w:r>
        <w:rPr>
          <w:rFonts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年相比</w:t>
      </w:r>
      <w:r>
        <w:rPr>
          <w:rFonts w:hint="eastAsia" w:ascii="仿宋_GB2312" w:eastAsia="仿宋_GB2312"/>
          <w:sz w:val="32"/>
          <w:szCs w:val="32"/>
          <w:lang w:eastAsia="zh-CN"/>
        </w:rPr>
        <w:t>基本持平</w:t>
      </w:r>
      <w:r>
        <w:rPr>
          <w:rFonts w:hint="eastAsia" w:ascii="仿宋_GB2312" w:eastAsia="仿宋_GB2312"/>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640" w:firstLineChars="200"/>
        <w:jc w:val="left"/>
        <w:rPr>
          <w:rFonts w:ascii="仿宋_GB2312" w:eastAsia="仿宋_GB2312"/>
          <w:sz w:val="32"/>
          <w:szCs w:val="32"/>
        </w:rPr>
      </w:pPr>
    </w:p>
    <w:p>
      <w:pPr>
        <w:pStyle w:val="13"/>
        <w:rPr>
          <w:rFonts w:ascii="仿宋_GB2312" w:eastAsia="仿宋_GB2312"/>
          <w:sz w:val="32"/>
          <w:szCs w:val="32"/>
        </w:rPr>
      </w:pPr>
    </w:p>
    <w:p>
      <w:pPr>
        <w:pStyle w:val="13"/>
        <w:rPr>
          <w:rFonts w:ascii="仿宋_GB2312" w:eastAsia="仿宋_GB2312"/>
          <w:sz w:val="32"/>
          <w:szCs w:val="32"/>
        </w:rPr>
      </w:pPr>
      <w:r>
        <w:rPr>
          <w:rFonts w:hint="eastAsia" w:ascii="等线" w:hAnsi="等线" w:eastAsia="等线"/>
          <w:szCs w:val="22"/>
          <w:lang w:eastAsia="zh-CN"/>
        </w:rPr>
        <w:object>
          <v:shape id="_x0000_i1025" o:spt="75" type="#_x0000_t75" style="height:245.25pt;width:409pt;" o:ole="t" filled="f" o:preferrelative="t" stroked="f" coordsize="21600,21600">
            <v:path/>
            <v:fill on="f" focussize="0,0"/>
            <v:stroke on="f"/>
            <v:imagedata r:id="rId34" o:title="olechartimg_1663119987768298_49645568"/>
            <o:lock v:ext="edit" aspectratio="t"/>
            <w10:wrap type="none"/>
            <w10:anchorlock/>
          </v:shape>
          <o:OLEObject Type="Embed" ProgID="Excel.Chart.8" ShapeID="_x0000_i1025" DrawAspect="Content" ObjectID="_1468075725" r:id="rId33">
            <o:LockedField>false</o:LockedField>
          </o:OLEObject>
        </w:object>
      </w:r>
    </w:p>
    <w:p>
      <w:pPr>
        <w:pStyle w:val="30"/>
        <w:numPr>
          <w:ilvl w:val="0"/>
          <w:numId w:val="1"/>
        </w:numPr>
        <w:spacing w:line="600" w:lineRule="exact"/>
        <w:ind w:firstLineChars="0"/>
        <w:outlineLvl w:val="1"/>
        <w:rPr>
          <w:rStyle w:val="20"/>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0"/>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color w:val="FF0000"/>
          <w:sz w:val="32"/>
          <w:szCs w:val="32"/>
        </w:rPr>
      </w:pPr>
      <w:r>
        <w:rPr>
          <w:rFonts w:ascii="仿宋" w:hAnsi="仿宋" w:eastAsia="仿宋"/>
          <w:sz w:val="32"/>
          <w:szCs w:val="32"/>
        </w:rPr>
        <w:t>2021</w:t>
      </w:r>
      <w:r>
        <w:rPr>
          <w:rFonts w:hint="eastAsia" w:ascii="仿宋" w:hAnsi="仿宋" w:eastAsia="仿宋"/>
          <w:sz w:val="32"/>
          <w:szCs w:val="32"/>
        </w:rPr>
        <w:t>年本年收入合计</w:t>
      </w:r>
      <w:r>
        <w:rPr>
          <w:rFonts w:hint="eastAsia" w:ascii="仿宋" w:hAnsi="仿宋" w:eastAsia="仿宋"/>
          <w:sz w:val="32"/>
          <w:szCs w:val="32"/>
          <w:lang w:val="en-US" w:eastAsia="zh-CN"/>
        </w:rPr>
        <w:t>1142.19</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1142.19</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0</w:t>
      </w:r>
      <w:r>
        <w:rPr>
          <w:rFonts w:hint="eastAsia" w:ascii="仿宋" w:hAnsi="仿宋" w:eastAsia="仿宋"/>
          <w:sz w:val="32"/>
          <w:szCs w:val="32"/>
        </w:rPr>
        <w:t>万元；国有资本经营预算财政拨款收入</w:t>
      </w:r>
      <w:r>
        <w:rPr>
          <w:rFonts w:hint="eastAsia" w:ascii="仿宋" w:hAnsi="仿宋" w:eastAsia="仿宋"/>
          <w:sz w:val="32"/>
          <w:szCs w:val="32"/>
          <w:lang w:val="en-US" w:eastAsia="zh-CN"/>
        </w:rPr>
        <w:t>0</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；上级补助收入</w:t>
      </w:r>
      <w:r>
        <w:rPr>
          <w:rFonts w:hint="eastAsia" w:ascii="仿宋" w:hAnsi="仿宋" w:eastAsia="仿宋"/>
          <w:sz w:val="32"/>
          <w:szCs w:val="32"/>
          <w:lang w:val="en-US" w:eastAsia="zh-CN"/>
        </w:rPr>
        <w:t>0</w:t>
      </w:r>
      <w:r>
        <w:rPr>
          <w:rFonts w:hint="eastAsia" w:ascii="仿宋" w:hAnsi="仿宋" w:eastAsia="仿宋"/>
          <w:sz w:val="32"/>
          <w:szCs w:val="32"/>
        </w:rPr>
        <w:t>万元；事业收入</w:t>
      </w:r>
      <w:r>
        <w:rPr>
          <w:rFonts w:hint="eastAsia" w:ascii="仿宋" w:hAnsi="仿宋" w:eastAsia="仿宋"/>
          <w:sz w:val="32"/>
          <w:szCs w:val="32"/>
          <w:lang w:val="en-US" w:eastAsia="zh-CN"/>
        </w:rPr>
        <w:t>0</w:t>
      </w:r>
      <w:r>
        <w:rPr>
          <w:rFonts w:hint="eastAsia" w:ascii="仿宋" w:hAnsi="仿宋" w:eastAsia="仿宋"/>
          <w:sz w:val="32"/>
          <w:szCs w:val="32"/>
        </w:rPr>
        <w:t>万元；经营收入</w:t>
      </w:r>
      <w:r>
        <w:rPr>
          <w:rFonts w:hint="eastAsia" w:ascii="仿宋" w:hAnsi="仿宋" w:eastAsia="仿宋"/>
          <w:sz w:val="32"/>
          <w:szCs w:val="32"/>
          <w:lang w:val="en-US" w:eastAsia="zh-CN"/>
        </w:rPr>
        <w:t>0</w:t>
      </w:r>
      <w:r>
        <w:rPr>
          <w:rFonts w:hint="eastAsia" w:ascii="仿宋" w:hAnsi="仿宋" w:eastAsia="仿宋"/>
          <w:sz w:val="32"/>
          <w:szCs w:val="32"/>
        </w:rPr>
        <w:t>万元；附属单位上缴收入</w:t>
      </w:r>
      <w:r>
        <w:rPr>
          <w:rFonts w:hint="eastAsia" w:ascii="仿宋" w:hAnsi="仿宋" w:eastAsia="仿宋"/>
          <w:sz w:val="32"/>
          <w:szCs w:val="32"/>
          <w:lang w:val="en-US" w:eastAsia="zh-CN"/>
        </w:rPr>
        <w:t>0</w:t>
      </w:r>
      <w:r>
        <w:rPr>
          <w:rFonts w:hint="eastAsia" w:ascii="仿宋" w:hAnsi="仿宋" w:eastAsia="仿宋"/>
          <w:sz w:val="32"/>
          <w:szCs w:val="32"/>
        </w:rPr>
        <w:t>万元；其他收入</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600" w:lineRule="exact"/>
        <w:ind w:firstLine="640" w:firstLineChars="200"/>
        <w:rPr>
          <w:rFonts w:ascii="仿宋_GB2312" w:eastAsia="仿宋_GB2312"/>
          <w:sz w:val="32"/>
          <w:szCs w:val="32"/>
        </w:rPr>
      </w:pPr>
      <w:r>
        <w:rPr>
          <w:rFonts w:hint="eastAsia" w:ascii="仿宋" w:hAnsi="仿宋" w:eastAsia="仿宋"/>
          <w:sz w:val="32"/>
          <w:szCs w:val="32"/>
        </w:rPr>
        <w:t>（图</w:t>
      </w:r>
      <w:r>
        <w:rPr>
          <w:rFonts w:ascii="仿宋" w:hAnsi="仿宋" w:eastAsia="仿宋"/>
          <w:sz w:val="32"/>
          <w:szCs w:val="32"/>
        </w:rPr>
        <w:t>2</w:t>
      </w:r>
      <w:r>
        <w:rPr>
          <w:rFonts w:hint="eastAsia" w:ascii="仿宋" w:hAnsi="仿宋" w:eastAsia="仿宋"/>
          <w:sz w:val="32"/>
          <w:szCs w:val="32"/>
        </w:rPr>
        <w:t>：收入决算结构图）（饼状图）</w:t>
      </w:r>
    </w:p>
    <w:p>
      <w:pPr>
        <w:pStyle w:val="13"/>
        <w:rPr>
          <w:rFonts w:ascii="仿宋_GB2312" w:eastAsia="仿宋_GB2312"/>
          <w:sz w:val="32"/>
          <w:szCs w:val="32"/>
        </w:rPr>
      </w:pPr>
      <w:r>
        <w:rPr>
          <w:rFonts w:ascii="等线" w:hAnsi="等线" w:eastAsia="等线"/>
          <w:szCs w:val="22"/>
        </w:rPr>
        <w:object>
          <v:shape id="_x0000_i1026" o:spt="75" alt="oleetimg_1631759176957381_283404288" type="#_x0000_t75" style="height:177.9pt;width:417.75pt;" o:ole="t" filled="f" o:preferrelative="t" stroked="f" coordsize="21600,21600">
            <v:path/>
            <v:fill on="f" focussize="0,0"/>
            <v:stroke on="f"/>
            <v:imagedata r:id="rId36" o:title="oleetimg_1663120491147570_190547968"/>
            <o:lock v:ext="edit" aspectratio="f"/>
            <w10:wrap type="none"/>
            <w10:anchorlock/>
          </v:shape>
          <o:OLEObject Type="Embed" ProgID="Excel.Sheet.8" ShapeID="_x0000_i1026" DrawAspect="Content" ObjectID="_1468075726" r:id="rId35">
            <o:LockedField>false</o:LockedField>
          </o:OLEObject>
        </w:object>
      </w:r>
    </w:p>
    <w:p>
      <w:pPr>
        <w:pStyle w:val="30"/>
        <w:numPr>
          <w:ilvl w:val="0"/>
          <w:numId w:val="1"/>
        </w:numPr>
        <w:spacing w:line="600" w:lineRule="exact"/>
        <w:ind w:firstLineChars="0"/>
        <w:outlineLvl w:val="1"/>
        <w:rPr>
          <w:rStyle w:val="20"/>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0"/>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shd w:val="pct10" w:color="auto" w:fill="FFFFFF"/>
        </w:rPr>
      </w:pPr>
      <w:r>
        <w:rPr>
          <w:rFonts w:ascii="仿宋" w:hAnsi="仿宋" w:eastAsia="仿宋"/>
          <w:sz w:val="32"/>
          <w:szCs w:val="32"/>
        </w:rPr>
        <w:t>2021</w:t>
      </w:r>
      <w:r>
        <w:rPr>
          <w:rFonts w:hint="eastAsia" w:ascii="仿宋" w:hAnsi="仿宋" w:eastAsia="仿宋"/>
          <w:sz w:val="32"/>
          <w:szCs w:val="32"/>
        </w:rPr>
        <w:t>年本年支出合计</w:t>
      </w:r>
      <w:r>
        <w:rPr>
          <w:rFonts w:hint="eastAsia" w:ascii="仿宋" w:hAnsi="仿宋" w:eastAsia="仿宋"/>
          <w:sz w:val="32"/>
          <w:szCs w:val="32"/>
          <w:lang w:val="en-US" w:eastAsia="zh-CN"/>
        </w:rPr>
        <w:t>1142.19</w:t>
      </w:r>
      <w:r>
        <w:rPr>
          <w:rFonts w:hint="eastAsia" w:ascii="仿宋" w:hAnsi="仿宋" w:eastAsia="仿宋"/>
          <w:sz w:val="32"/>
          <w:szCs w:val="32"/>
        </w:rPr>
        <w:t>万元，其中：基本支出</w:t>
      </w:r>
      <w:r>
        <w:rPr>
          <w:rFonts w:hint="eastAsia" w:ascii="仿宋" w:hAnsi="仿宋" w:eastAsia="仿宋"/>
          <w:sz w:val="32"/>
          <w:szCs w:val="32"/>
          <w:lang w:val="en-US" w:eastAsia="zh-CN"/>
        </w:rPr>
        <w:t>724.58</w:t>
      </w:r>
      <w:r>
        <w:rPr>
          <w:rFonts w:hint="eastAsia" w:ascii="仿宋" w:hAnsi="仿宋" w:eastAsia="仿宋"/>
          <w:sz w:val="32"/>
          <w:szCs w:val="32"/>
        </w:rPr>
        <w:t>万元，占</w:t>
      </w:r>
      <w:r>
        <w:rPr>
          <w:rFonts w:hint="eastAsia" w:ascii="仿宋" w:hAnsi="仿宋" w:eastAsia="仿宋"/>
          <w:sz w:val="32"/>
          <w:szCs w:val="32"/>
          <w:lang w:val="en-US" w:eastAsia="zh-CN"/>
        </w:rPr>
        <w:t>63</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417.61</w:t>
      </w:r>
      <w:r>
        <w:rPr>
          <w:rFonts w:hint="eastAsia" w:ascii="仿宋" w:hAnsi="仿宋" w:eastAsia="仿宋"/>
          <w:sz w:val="32"/>
          <w:szCs w:val="32"/>
        </w:rPr>
        <w:t>万元，占</w:t>
      </w:r>
      <w:r>
        <w:rPr>
          <w:rFonts w:hint="eastAsia" w:ascii="仿宋" w:hAnsi="仿宋" w:eastAsia="仿宋"/>
          <w:sz w:val="32"/>
          <w:szCs w:val="32"/>
          <w:lang w:val="en-US" w:eastAsia="zh-CN"/>
        </w:rPr>
        <w:t>37</w:t>
      </w:r>
      <w:r>
        <w:rPr>
          <w:rFonts w:ascii="仿宋" w:hAnsi="仿宋" w:eastAsia="仿宋"/>
          <w:sz w:val="32"/>
          <w:szCs w:val="32"/>
        </w:rPr>
        <w:t>%</w:t>
      </w:r>
      <w:r>
        <w:rPr>
          <w:rFonts w:hint="eastAsia" w:ascii="仿宋" w:hAnsi="仿宋" w:eastAsia="仿宋"/>
          <w:sz w:val="32"/>
          <w:szCs w:val="32"/>
        </w:rPr>
        <w:t>；上缴上级支出</w:t>
      </w:r>
      <w:r>
        <w:rPr>
          <w:rFonts w:hint="eastAsia" w:ascii="仿宋" w:hAnsi="仿宋" w:eastAsia="仿宋"/>
          <w:sz w:val="32"/>
          <w:szCs w:val="32"/>
          <w:lang w:val="en-US" w:eastAsia="zh-CN"/>
        </w:rPr>
        <w:t>0</w:t>
      </w:r>
      <w:r>
        <w:rPr>
          <w:rFonts w:hint="eastAsia" w:ascii="仿宋" w:hAnsi="仿宋" w:eastAsia="仿宋"/>
          <w:sz w:val="32"/>
          <w:szCs w:val="32"/>
        </w:rPr>
        <w:t>万元；经营支出</w:t>
      </w:r>
      <w:r>
        <w:rPr>
          <w:rFonts w:hint="eastAsia" w:ascii="仿宋" w:hAnsi="仿宋" w:eastAsia="仿宋"/>
          <w:sz w:val="32"/>
          <w:szCs w:val="32"/>
          <w:lang w:val="en-US" w:eastAsia="zh-CN"/>
        </w:rPr>
        <w:t>0</w:t>
      </w:r>
      <w:r>
        <w:rPr>
          <w:rFonts w:hint="eastAsia" w:ascii="仿宋" w:hAnsi="仿宋" w:eastAsia="仿宋"/>
          <w:sz w:val="32"/>
          <w:szCs w:val="32"/>
        </w:rPr>
        <w:t>万元；对附属单位补助支出</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3</w:t>
      </w:r>
      <w:r>
        <w:rPr>
          <w:rFonts w:hint="eastAsia" w:ascii="仿宋" w:hAnsi="仿宋" w:eastAsia="仿宋"/>
          <w:sz w:val="32"/>
          <w:szCs w:val="32"/>
        </w:rPr>
        <w:t>：支出决算结构图）（饼状图）</w:t>
      </w:r>
    </w:p>
    <w:p>
      <w:pPr>
        <w:pStyle w:val="13"/>
        <w:ind w:left="0" w:leftChars="0" w:firstLine="640" w:firstLineChars="200"/>
        <w:rPr>
          <w:rFonts w:ascii="仿宋_GB2312" w:eastAsia="仿宋_GB2312"/>
          <w:sz w:val="32"/>
          <w:szCs w:val="32"/>
        </w:rPr>
      </w:pPr>
      <w:r>
        <w:rPr>
          <w:rFonts w:hint="eastAsia" w:ascii="仿宋_GB2312" w:eastAsia="仿宋_GB2312"/>
          <w:color w:val="FF0000"/>
          <w:sz w:val="32"/>
          <w:szCs w:val="32"/>
          <w:lang w:eastAsia="zh-CN"/>
        </w:rPr>
        <w:object>
          <v:shape id="_x0000_i1027" o:spt="75" type="#_x0000_t75" style="height:199.7pt;width:393.2pt;" o:ole="t" filled="f" o:preferrelative="t" stroked="f" coordsize="21600,21600">
            <v:path/>
            <v:fill on="f" focussize="0,0"/>
            <v:stroke on="f"/>
            <v:imagedata r:id="rId38" o:title="olechartimg_1663121734009164_190547968"/>
            <o:lock v:ext="edit" aspectratio="t"/>
            <w10:wrap type="none"/>
            <w10:anchorlock/>
          </v:shape>
          <o:OLEObject Type="Embed" ProgID="Excel.Chart.8" ShapeID="_x0000_i1027" DrawAspect="Content" ObjectID="_1468075727" r:id="rId37">
            <o:LockedField>false</o:LockedField>
          </o:OLEObject>
        </w:object>
      </w:r>
    </w:p>
    <w:p>
      <w:pPr>
        <w:spacing w:line="600" w:lineRule="exact"/>
        <w:ind w:firstLine="640" w:firstLineChars="200"/>
        <w:outlineLvl w:val="1"/>
        <w:rPr>
          <w:rStyle w:val="20"/>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0"/>
          <w:rFonts w:hint="eastAsia" w:ascii="黑体" w:hAnsi="黑体" w:eastAsia="黑体"/>
          <w:b w:val="0"/>
        </w:rPr>
        <w:t>政拨款收入支出决算总体情况说明</w:t>
      </w:r>
      <w:bookmarkEnd w:id="24"/>
      <w:bookmarkEnd w:id="25"/>
    </w:p>
    <w:p>
      <w:pPr>
        <w:spacing w:line="600" w:lineRule="exact"/>
        <w:ind w:firstLine="600" w:firstLineChars="200"/>
        <w:rPr>
          <w:rFonts w:hint="default" w:ascii="仿宋_GB2312" w:eastAsia="仿宋_GB2312"/>
          <w:color w:val="000000"/>
          <w:sz w:val="30"/>
          <w:szCs w:val="30"/>
          <w:lang w:val="en-US" w:eastAsia="zh-CN"/>
        </w:rPr>
      </w:pPr>
      <w:r>
        <w:rPr>
          <w:rFonts w:hint="eastAsia" w:ascii="仿宋_GB2312" w:eastAsia="仿宋_GB2312"/>
          <w:color w:val="000000"/>
          <w:sz w:val="30"/>
          <w:szCs w:val="30"/>
          <w:lang w:val="en-US" w:eastAsia="zh-CN"/>
        </w:rPr>
        <w:t>2021</w:t>
      </w:r>
      <w:r>
        <w:rPr>
          <w:rFonts w:hint="eastAsia" w:ascii="仿宋_GB2312" w:eastAsia="仿宋_GB2312"/>
          <w:color w:val="000000"/>
          <w:sz w:val="30"/>
          <w:szCs w:val="30"/>
        </w:rPr>
        <w:t>年区委办本年财政拨款收入合计</w:t>
      </w:r>
      <w:r>
        <w:rPr>
          <w:rFonts w:hint="eastAsia" w:ascii="仿宋_GB2312" w:eastAsia="仿宋_GB2312"/>
          <w:color w:val="000000"/>
          <w:sz w:val="30"/>
          <w:szCs w:val="30"/>
          <w:lang w:val="en-US" w:eastAsia="zh-CN"/>
        </w:rPr>
        <w:t>1142.19</w:t>
      </w:r>
      <w:r>
        <w:rPr>
          <w:rFonts w:hint="eastAsia" w:ascii="仿宋_GB2312" w:eastAsia="仿宋_GB2312"/>
          <w:color w:val="000000"/>
          <w:sz w:val="30"/>
          <w:szCs w:val="30"/>
        </w:rPr>
        <w:t>万元，与</w:t>
      </w:r>
      <w:r>
        <w:rPr>
          <w:rFonts w:ascii="仿宋_GB2312" w:eastAsia="仿宋_GB2312"/>
          <w:color w:val="000000"/>
          <w:sz w:val="30"/>
          <w:szCs w:val="30"/>
        </w:rPr>
        <w:t>20</w:t>
      </w:r>
      <w:r>
        <w:rPr>
          <w:rFonts w:hint="eastAsia" w:ascii="仿宋_GB2312" w:eastAsia="仿宋_GB2312"/>
          <w:color w:val="000000"/>
          <w:sz w:val="30"/>
          <w:szCs w:val="30"/>
          <w:lang w:val="en-US" w:eastAsia="zh-CN"/>
        </w:rPr>
        <w:t>20</w:t>
      </w:r>
      <w:r>
        <w:rPr>
          <w:rFonts w:hint="eastAsia" w:ascii="仿宋_GB2312" w:eastAsia="仿宋_GB2312"/>
          <w:color w:val="000000"/>
          <w:sz w:val="30"/>
          <w:szCs w:val="30"/>
        </w:rPr>
        <w:t>年相比</w:t>
      </w:r>
      <w:r>
        <w:rPr>
          <w:rFonts w:hint="eastAsia" w:ascii="仿宋_GB2312" w:eastAsia="仿宋_GB2312"/>
          <w:color w:val="000000"/>
          <w:sz w:val="30"/>
          <w:szCs w:val="30"/>
          <w:lang w:eastAsia="zh-CN"/>
        </w:rPr>
        <w:t>增加</w:t>
      </w:r>
      <w:r>
        <w:rPr>
          <w:rFonts w:hint="eastAsia" w:ascii="仿宋_GB2312" w:eastAsia="仿宋_GB2312"/>
          <w:color w:val="000000"/>
          <w:sz w:val="30"/>
          <w:szCs w:val="30"/>
          <w:lang w:val="en-US" w:eastAsia="zh-CN"/>
        </w:rPr>
        <w:t>106</w:t>
      </w:r>
      <w:r>
        <w:rPr>
          <w:rFonts w:hint="eastAsia" w:ascii="仿宋_GB2312" w:eastAsia="仿宋_GB2312"/>
          <w:color w:val="000000"/>
          <w:sz w:val="30"/>
          <w:szCs w:val="30"/>
        </w:rPr>
        <w:t>万元，</w:t>
      </w:r>
      <w:r>
        <w:rPr>
          <w:rFonts w:hint="eastAsia" w:ascii="仿宋_GB2312" w:eastAsia="仿宋_GB2312"/>
          <w:color w:val="000000"/>
          <w:sz w:val="30"/>
          <w:szCs w:val="30"/>
          <w:lang w:eastAsia="zh-CN"/>
        </w:rPr>
        <w:t>增长</w:t>
      </w:r>
      <w:r>
        <w:rPr>
          <w:rFonts w:hint="eastAsia" w:ascii="仿宋_GB2312" w:eastAsia="仿宋_GB2312"/>
          <w:color w:val="000000"/>
          <w:sz w:val="30"/>
          <w:szCs w:val="30"/>
          <w:lang w:val="en-US" w:eastAsia="zh-CN"/>
        </w:rPr>
        <w:t>10</w:t>
      </w:r>
      <w:r>
        <w:rPr>
          <w:rFonts w:ascii="仿宋_GB2312" w:eastAsia="仿宋_GB2312"/>
          <w:color w:val="000000"/>
          <w:sz w:val="30"/>
          <w:szCs w:val="30"/>
        </w:rPr>
        <w:t>%</w:t>
      </w:r>
      <w:r>
        <w:rPr>
          <w:rFonts w:hint="eastAsia" w:ascii="仿宋_GB2312" w:eastAsia="仿宋_GB2312"/>
          <w:color w:val="000000"/>
          <w:sz w:val="30"/>
          <w:szCs w:val="30"/>
          <w:lang w:eastAsia="zh-CN"/>
        </w:rPr>
        <w:t>，</w:t>
      </w:r>
      <w:r>
        <w:rPr>
          <w:rFonts w:hint="eastAsia" w:ascii="仿宋_GB2312" w:eastAsia="仿宋_GB2312"/>
          <w:color w:val="000000"/>
          <w:sz w:val="32"/>
          <w:szCs w:val="32"/>
          <w:lang w:eastAsia="zh-CN"/>
        </w:rPr>
        <w:t>增长主要原因为人员年度正常调资等人员经费增加。</w:t>
      </w:r>
    </w:p>
    <w:p>
      <w:pPr>
        <w:spacing w:line="600" w:lineRule="exact"/>
        <w:ind w:firstLine="600" w:firstLineChars="200"/>
        <w:rPr>
          <w:rFonts w:hint="eastAsia" w:ascii="仿宋" w:hAnsi="仿宋" w:eastAsia="仿宋_GB2312"/>
          <w:i w:val="0"/>
          <w:iCs w:val="0"/>
          <w:color w:val="000000"/>
          <w:sz w:val="30"/>
          <w:szCs w:val="30"/>
          <w:lang w:eastAsia="zh-CN"/>
        </w:rPr>
      </w:pPr>
      <w:r>
        <w:rPr>
          <w:rFonts w:ascii="仿宋_GB2312" w:eastAsia="仿宋_GB2312"/>
          <w:color w:val="000000"/>
          <w:sz w:val="30"/>
          <w:szCs w:val="30"/>
        </w:rPr>
        <w:t>20</w:t>
      </w:r>
      <w:r>
        <w:rPr>
          <w:rFonts w:hint="eastAsia" w:ascii="仿宋_GB2312" w:eastAsia="仿宋_GB2312"/>
          <w:color w:val="000000"/>
          <w:sz w:val="30"/>
          <w:szCs w:val="30"/>
          <w:lang w:val="en-US" w:eastAsia="zh-CN"/>
        </w:rPr>
        <w:t>21</w:t>
      </w:r>
      <w:r>
        <w:rPr>
          <w:rFonts w:hint="eastAsia" w:ascii="仿宋_GB2312" w:eastAsia="仿宋_GB2312"/>
          <w:color w:val="000000"/>
          <w:sz w:val="30"/>
          <w:szCs w:val="30"/>
        </w:rPr>
        <w:t>年区委办本年财政拨款支出合计</w:t>
      </w:r>
      <w:r>
        <w:rPr>
          <w:rFonts w:hint="eastAsia" w:ascii="仿宋_GB2312" w:eastAsia="仿宋_GB2312"/>
          <w:color w:val="000000"/>
          <w:sz w:val="30"/>
          <w:szCs w:val="30"/>
          <w:lang w:val="en-US" w:eastAsia="zh-CN"/>
        </w:rPr>
        <w:t>1142.19</w:t>
      </w:r>
      <w:r>
        <w:rPr>
          <w:rFonts w:hint="eastAsia" w:ascii="仿宋_GB2312" w:eastAsia="仿宋_GB2312"/>
          <w:color w:val="000000"/>
          <w:sz w:val="30"/>
          <w:szCs w:val="30"/>
        </w:rPr>
        <w:t>万元，与</w:t>
      </w:r>
      <w:r>
        <w:rPr>
          <w:rFonts w:ascii="仿宋_GB2312" w:eastAsia="仿宋_GB2312"/>
          <w:color w:val="000000"/>
          <w:sz w:val="30"/>
          <w:szCs w:val="30"/>
        </w:rPr>
        <w:t>20</w:t>
      </w:r>
      <w:r>
        <w:rPr>
          <w:rFonts w:hint="eastAsia" w:ascii="仿宋_GB2312" w:eastAsia="仿宋_GB2312"/>
          <w:color w:val="000000"/>
          <w:sz w:val="30"/>
          <w:szCs w:val="30"/>
          <w:lang w:val="en-US" w:eastAsia="zh-CN"/>
        </w:rPr>
        <w:t>20</w:t>
      </w:r>
      <w:r>
        <w:rPr>
          <w:rFonts w:hint="eastAsia" w:ascii="仿宋_GB2312" w:eastAsia="仿宋_GB2312"/>
          <w:color w:val="000000"/>
          <w:sz w:val="30"/>
          <w:szCs w:val="30"/>
        </w:rPr>
        <w:t>年相比</w:t>
      </w:r>
      <w:r>
        <w:rPr>
          <w:rFonts w:hint="eastAsia" w:ascii="仿宋_GB2312" w:eastAsia="仿宋_GB2312"/>
          <w:color w:val="000000"/>
          <w:sz w:val="30"/>
          <w:szCs w:val="30"/>
          <w:lang w:eastAsia="zh-CN"/>
        </w:rPr>
        <w:t>增加</w:t>
      </w:r>
      <w:r>
        <w:rPr>
          <w:rFonts w:hint="eastAsia" w:ascii="仿宋_GB2312" w:eastAsia="仿宋_GB2312"/>
          <w:i w:val="0"/>
          <w:iCs w:val="0"/>
          <w:color w:val="000000"/>
          <w:sz w:val="30"/>
          <w:szCs w:val="30"/>
          <w:lang w:val="en-US" w:eastAsia="zh-CN"/>
        </w:rPr>
        <w:t>106</w:t>
      </w:r>
      <w:r>
        <w:rPr>
          <w:rFonts w:hint="eastAsia" w:ascii="仿宋_GB2312" w:eastAsia="仿宋_GB2312"/>
          <w:i w:val="0"/>
          <w:iCs w:val="0"/>
          <w:color w:val="000000"/>
          <w:sz w:val="30"/>
          <w:szCs w:val="30"/>
        </w:rPr>
        <w:t>万元，</w:t>
      </w:r>
      <w:r>
        <w:rPr>
          <w:rFonts w:hint="eastAsia" w:ascii="仿宋_GB2312" w:eastAsia="仿宋_GB2312"/>
          <w:i w:val="0"/>
          <w:iCs w:val="0"/>
          <w:color w:val="000000"/>
          <w:sz w:val="30"/>
          <w:szCs w:val="30"/>
          <w:lang w:eastAsia="zh-CN"/>
        </w:rPr>
        <w:t>增长</w:t>
      </w:r>
      <w:r>
        <w:rPr>
          <w:rFonts w:hint="eastAsia" w:ascii="仿宋_GB2312" w:eastAsia="仿宋_GB2312"/>
          <w:i w:val="0"/>
          <w:iCs w:val="0"/>
          <w:color w:val="000000"/>
          <w:sz w:val="30"/>
          <w:szCs w:val="30"/>
          <w:lang w:val="en-US" w:eastAsia="zh-CN"/>
        </w:rPr>
        <w:t>10</w:t>
      </w:r>
      <w:r>
        <w:rPr>
          <w:rFonts w:ascii="仿宋_GB2312" w:eastAsia="仿宋_GB2312"/>
          <w:i w:val="0"/>
          <w:iCs w:val="0"/>
          <w:color w:val="000000"/>
          <w:sz w:val="30"/>
          <w:szCs w:val="30"/>
        </w:rPr>
        <w:t>%</w:t>
      </w:r>
      <w:r>
        <w:rPr>
          <w:rFonts w:hint="eastAsia" w:ascii="仿宋_GB2312" w:eastAsia="仿宋_GB2312"/>
          <w:i w:val="0"/>
          <w:iCs w:val="0"/>
          <w:color w:val="000000"/>
          <w:sz w:val="30"/>
          <w:szCs w:val="30"/>
          <w:lang w:eastAsia="zh-CN"/>
        </w:rPr>
        <w:t>，</w:t>
      </w:r>
      <w:r>
        <w:rPr>
          <w:rFonts w:hint="eastAsia" w:ascii="仿宋_GB2312" w:eastAsia="仿宋_GB2312"/>
          <w:color w:val="000000"/>
          <w:sz w:val="32"/>
          <w:szCs w:val="32"/>
          <w:lang w:eastAsia="zh-CN"/>
        </w:rPr>
        <w:t>增长主要原因为人员年度正常调资等人员经费增加。</w:t>
      </w:r>
    </w:p>
    <w:p>
      <w:pPr>
        <w:spacing w:line="600" w:lineRule="exact"/>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4</w:t>
      </w:r>
      <w:r>
        <w:rPr>
          <w:rFonts w:hint="eastAsia" w:ascii="仿宋" w:hAnsi="仿宋" w:eastAsia="仿宋"/>
          <w:sz w:val="32"/>
          <w:szCs w:val="32"/>
        </w:rPr>
        <w:t>：财政拨款收、支决算总计变动情况）（柱状图）</w:t>
      </w:r>
    </w:p>
    <w:p>
      <w:pPr>
        <w:spacing w:line="600" w:lineRule="exact"/>
        <w:ind w:firstLine="640"/>
        <w:rPr>
          <w:rFonts w:ascii="仿宋" w:hAnsi="仿宋" w:eastAsia="仿宋"/>
          <w:b/>
          <w:sz w:val="32"/>
          <w:szCs w:val="32"/>
        </w:rPr>
      </w:pPr>
    </w:p>
    <w:p>
      <w:pPr>
        <w:pStyle w:val="13"/>
        <w:ind w:left="0" w:leftChars="0" w:firstLine="0" w:firstLineChars="0"/>
        <w:rPr>
          <w:rFonts w:ascii="仿宋" w:hAnsi="仿宋" w:eastAsia="仿宋"/>
          <w:b/>
          <w:sz w:val="32"/>
          <w:szCs w:val="32"/>
        </w:rPr>
      </w:pPr>
      <w:r>
        <w:rPr>
          <w:rFonts w:hint="eastAsia" w:eastAsia="仿宋"/>
          <w:lang w:eastAsia="zh-CN"/>
        </w:rPr>
        <w:object>
          <v:shape id="_x0000_i1028" o:spt="75" type="#_x0000_t75" style="height:183.25pt;width:414.35pt;" o:ole="t" filled="f" o:preferrelative="t" stroked="f" coordsize="21600,21600">
            <v:path/>
            <v:fill on="f" focussize="0,0"/>
            <v:stroke on="f"/>
            <v:imagedata r:id="rId40" o:title="olechartimg_1663122025515385_171640832"/>
            <o:lock v:ext="edit" aspectratio="t"/>
            <w10:wrap type="none"/>
            <w10:anchorlock/>
          </v:shape>
          <o:OLEObject Type="Embed" ProgID="Excel.Chart.8" ShapeID="_x0000_i1028" DrawAspect="Content" ObjectID="_1468075728" r:id="rId39">
            <o:LockedField>false</o:LockedField>
          </o:OLEObject>
        </w:object>
      </w:r>
    </w:p>
    <w:p>
      <w:pPr>
        <w:spacing w:line="600" w:lineRule="exact"/>
        <w:ind w:firstLine="640" w:firstLineChars="200"/>
        <w:outlineLvl w:val="1"/>
        <w:rPr>
          <w:rStyle w:val="20"/>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0"/>
          <w:rFonts w:hint="eastAsia" w:ascii="黑体" w:hAnsi="黑体" w:eastAsia="黑体"/>
          <w:b w:val="0"/>
        </w:rPr>
        <w:t>般公共预算财政拨款支出决算情况说明</w:t>
      </w:r>
      <w:bookmarkEnd w:id="26"/>
      <w:bookmarkEnd w:id="27"/>
    </w:p>
    <w:p>
      <w:pPr>
        <w:spacing w:line="600" w:lineRule="exact"/>
        <w:ind w:firstLine="642"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hint="eastAsia" w:ascii="仿宋_GB2312" w:eastAsia="仿宋_GB2312"/>
          <w:color w:val="000000"/>
          <w:sz w:val="32"/>
          <w:szCs w:val="32"/>
          <w:lang w:eastAsia="zh-CN"/>
        </w:rPr>
      </w:pPr>
      <w:r>
        <w:rPr>
          <w:rFonts w:ascii="仿宋" w:hAnsi="仿宋" w:eastAsia="仿宋"/>
          <w:sz w:val="32"/>
          <w:szCs w:val="32"/>
        </w:rPr>
        <w:t>2021</w:t>
      </w:r>
      <w:r>
        <w:rPr>
          <w:rFonts w:hint="eastAsia" w:ascii="仿宋" w:hAnsi="仿宋" w:eastAsia="仿宋"/>
          <w:sz w:val="32"/>
          <w:szCs w:val="32"/>
        </w:rPr>
        <w:t>年一般公共预算财政拨款支出</w:t>
      </w:r>
      <w:r>
        <w:rPr>
          <w:rFonts w:hint="eastAsia" w:ascii="仿宋" w:hAnsi="仿宋" w:eastAsia="仿宋"/>
          <w:sz w:val="32"/>
          <w:szCs w:val="32"/>
          <w:lang w:val="en-US" w:eastAsia="zh-CN"/>
        </w:rPr>
        <w:t>1142.19</w:t>
      </w:r>
      <w:r>
        <w:rPr>
          <w:rFonts w:hint="eastAsia" w:ascii="仿宋" w:hAnsi="仿宋" w:eastAsia="仿宋"/>
          <w:sz w:val="32"/>
          <w:szCs w:val="32"/>
        </w:rPr>
        <w:t>万元，占本年支出合计的</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2020</w:t>
      </w:r>
      <w:r>
        <w:rPr>
          <w:rFonts w:hint="eastAsia" w:ascii="仿宋" w:hAnsi="仿宋" w:eastAsia="仿宋"/>
          <w:sz w:val="32"/>
          <w:szCs w:val="32"/>
        </w:rPr>
        <w:t>年相比，一般公共预算财政拨款支出增加</w:t>
      </w:r>
      <w:r>
        <w:rPr>
          <w:rFonts w:hint="eastAsia" w:ascii="仿宋" w:hAnsi="仿宋" w:eastAsia="仿宋"/>
          <w:sz w:val="32"/>
          <w:szCs w:val="32"/>
          <w:lang w:val="en-US" w:eastAsia="zh-CN"/>
        </w:rPr>
        <w:t>106</w:t>
      </w:r>
      <w:r>
        <w:rPr>
          <w:rFonts w:hint="eastAsia" w:ascii="仿宋" w:hAnsi="仿宋" w:eastAsia="仿宋"/>
          <w:sz w:val="32"/>
          <w:szCs w:val="32"/>
        </w:rPr>
        <w:t>万元，增长</w:t>
      </w:r>
      <w:r>
        <w:rPr>
          <w:rFonts w:hint="eastAsia" w:ascii="仿宋" w:hAnsi="仿宋" w:eastAsia="仿宋"/>
          <w:sz w:val="32"/>
          <w:szCs w:val="32"/>
          <w:lang w:val="en-US" w:eastAsia="zh-CN"/>
        </w:rPr>
        <w:t>10</w:t>
      </w:r>
      <w:r>
        <w:rPr>
          <w:rFonts w:ascii="仿宋" w:hAnsi="仿宋" w:eastAsia="仿宋"/>
          <w:sz w:val="32"/>
          <w:szCs w:val="32"/>
        </w:rPr>
        <w:t>%</w:t>
      </w:r>
      <w:r>
        <w:rPr>
          <w:rFonts w:hint="eastAsia" w:ascii="仿宋" w:hAnsi="仿宋" w:eastAsia="仿宋"/>
          <w:sz w:val="32"/>
          <w:szCs w:val="32"/>
        </w:rPr>
        <w:t>。主要变动原因</w:t>
      </w:r>
      <w:r>
        <w:rPr>
          <w:rFonts w:hint="eastAsia" w:ascii="仿宋_GB2312" w:eastAsia="仿宋_GB2312"/>
          <w:color w:val="000000"/>
          <w:sz w:val="32"/>
          <w:szCs w:val="32"/>
          <w:lang w:eastAsia="zh-CN"/>
        </w:rPr>
        <w:t>为人员年度正常调资等人员经费支出增加。</w:t>
      </w:r>
    </w:p>
    <w:p>
      <w:pPr>
        <w:spacing w:line="600" w:lineRule="exact"/>
        <w:ind w:firstLine="640" w:firstLineChars="200"/>
        <w:rPr>
          <w:rFonts w:hint="eastAsia" w:ascii="仿宋_GB2312" w:eastAsia="仿宋_GB2312"/>
          <w:color w:val="000000"/>
          <w:sz w:val="32"/>
          <w:szCs w:val="32"/>
          <w:lang w:eastAsia="zh-CN"/>
        </w:rPr>
      </w:pP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w:t>
      </w:r>
    </w:p>
    <w:p>
      <w:pPr>
        <w:pStyle w:val="13"/>
        <w:rPr>
          <w:rFonts w:hint="eastAsia" w:ascii="仿宋_GB2312" w:eastAsia="仿宋_GB2312"/>
          <w:color w:val="000000"/>
          <w:sz w:val="32"/>
          <w:szCs w:val="32"/>
          <w:lang w:eastAsia="zh-CN"/>
        </w:rPr>
      </w:pPr>
    </w:p>
    <w:p>
      <w:pPr>
        <w:pStyle w:val="13"/>
        <w:ind w:left="0" w:leftChars="0" w:firstLine="0" w:firstLineChars="0"/>
        <w:rPr>
          <w:rFonts w:ascii="仿宋" w:hAnsi="仿宋" w:eastAsia="仿宋"/>
          <w:sz w:val="32"/>
          <w:szCs w:val="32"/>
        </w:rPr>
      </w:pPr>
      <w:r>
        <w:rPr>
          <w:rFonts w:hint="eastAsia" w:ascii="仿宋" w:hAnsi="仿宋" w:eastAsia="仿宋"/>
          <w:color w:val="000000"/>
          <w:sz w:val="32"/>
          <w:szCs w:val="32"/>
          <w:lang w:eastAsia="zh-CN"/>
        </w:rPr>
        <w:object>
          <v:shape id="_x0000_i1029" o:spt="75" alt="olechartimg_1631764797080547_283404288" type="#_x0000_t75" style="height:169.7pt;width:438.65pt;" o:ole="t" filled="f" o:preferrelative="t" stroked="f" coordsize="21600,21600">
            <v:path/>
            <v:fill on="f" focussize="0,0"/>
            <v:stroke on="f"/>
            <v:imagedata r:id="rId42" o:title="olechartimg_1663123280870899_190547968"/>
            <o:lock v:ext="edit" aspectratio="t"/>
            <w10:wrap type="none"/>
            <w10:anchorlock/>
          </v:shape>
          <o:OLEObject Type="Embed" ProgID="Excel.Chart.8" ShapeID="_x0000_i1029" DrawAspect="Content" ObjectID="_1468075729" r:id="rId41">
            <o:LockedField>false</o:LockedField>
          </o:OLEObject>
        </w:object>
      </w:r>
    </w:p>
    <w:p>
      <w:pPr>
        <w:spacing w:line="600" w:lineRule="exact"/>
        <w:ind w:firstLine="642"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年一般公共预算财政拨款支出</w:t>
      </w:r>
      <w:r>
        <w:rPr>
          <w:rFonts w:hint="eastAsia" w:ascii="仿宋" w:hAnsi="仿宋" w:eastAsia="仿宋"/>
          <w:sz w:val="32"/>
          <w:szCs w:val="32"/>
          <w:lang w:val="en-US" w:eastAsia="zh-CN"/>
        </w:rPr>
        <w:t>1142.19</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w:t>
      </w:r>
      <w:r>
        <w:rPr>
          <w:rFonts w:hint="eastAsia" w:ascii="仿宋" w:hAnsi="仿宋" w:eastAsia="仿宋"/>
          <w:sz w:val="32"/>
          <w:szCs w:val="32"/>
          <w:lang w:val="en-US" w:eastAsia="zh-CN"/>
        </w:rPr>
        <w:t>971.9</w:t>
      </w:r>
      <w:r>
        <w:rPr>
          <w:rFonts w:hint="eastAsia" w:ascii="仿宋" w:hAnsi="仿宋" w:eastAsia="仿宋"/>
          <w:sz w:val="32"/>
          <w:szCs w:val="32"/>
        </w:rPr>
        <w:t>万元，占</w:t>
      </w:r>
      <w:r>
        <w:rPr>
          <w:rFonts w:hint="eastAsia" w:ascii="仿宋" w:hAnsi="仿宋" w:eastAsia="仿宋"/>
          <w:sz w:val="32"/>
          <w:szCs w:val="32"/>
          <w:lang w:val="en-US" w:eastAsia="zh-CN"/>
        </w:rPr>
        <w:t>85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教育（类）</w:t>
      </w:r>
      <w:r>
        <w:rPr>
          <w:rFonts w:hint="eastAsia" w:ascii="仿宋" w:hAnsi="仿宋" w:eastAsia="仿宋"/>
          <w:sz w:val="32"/>
          <w:szCs w:val="32"/>
        </w:rPr>
        <w:t>支出</w:t>
      </w:r>
      <w:r>
        <w:rPr>
          <w:rFonts w:hint="eastAsia" w:ascii="仿宋" w:hAnsi="仿宋" w:eastAsia="仿宋"/>
          <w:sz w:val="32"/>
          <w:szCs w:val="32"/>
          <w:lang w:val="en-US" w:eastAsia="zh-CN"/>
        </w:rPr>
        <w:t>13.76</w:t>
      </w:r>
      <w:r>
        <w:rPr>
          <w:rFonts w:hint="eastAsia" w:ascii="仿宋" w:hAnsi="仿宋" w:eastAsia="仿宋"/>
          <w:sz w:val="32"/>
          <w:szCs w:val="32"/>
        </w:rPr>
        <w:t>万元，占</w:t>
      </w:r>
      <w:r>
        <w:rPr>
          <w:rFonts w:hint="eastAsia" w:ascii="仿宋" w:hAnsi="仿宋" w:eastAsia="仿宋"/>
          <w:sz w:val="32"/>
          <w:szCs w:val="32"/>
          <w:lang w:val="en-US" w:eastAsia="zh-CN"/>
        </w:rPr>
        <w:t>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w:t>
      </w:r>
      <w:r>
        <w:rPr>
          <w:rFonts w:hint="eastAsia" w:ascii="仿宋" w:hAnsi="仿宋" w:eastAsia="仿宋"/>
          <w:sz w:val="32"/>
          <w:szCs w:val="32"/>
          <w:lang w:val="en-US" w:eastAsia="zh-CN"/>
        </w:rPr>
        <w:t>75.9</w:t>
      </w:r>
      <w:r>
        <w:rPr>
          <w:rFonts w:hint="eastAsia" w:ascii="仿宋" w:hAnsi="仿宋" w:eastAsia="仿宋"/>
          <w:sz w:val="32"/>
          <w:szCs w:val="32"/>
        </w:rPr>
        <w:t>万元，占</w:t>
      </w:r>
      <w:r>
        <w:rPr>
          <w:rFonts w:hint="eastAsia" w:ascii="仿宋" w:hAnsi="仿宋" w:eastAsia="仿宋"/>
          <w:sz w:val="32"/>
          <w:szCs w:val="32"/>
          <w:lang w:val="en-US" w:eastAsia="zh-CN"/>
        </w:rPr>
        <w:t>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w:t>
      </w:r>
      <w:r>
        <w:rPr>
          <w:rFonts w:hint="eastAsia" w:ascii="仿宋" w:hAnsi="仿宋" w:eastAsia="仿宋"/>
          <w:b/>
          <w:sz w:val="32"/>
          <w:szCs w:val="32"/>
        </w:rPr>
        <w:t>（类）</w:t>
      </w:r>
      <w:r>
        <w:rPr>
          <w:rFonts w:hint="eastAsia" w:ascii="仿宋" w:hAnsi="仿宋" w:eastAsia="仿宋"/>
          <w:sz w:val="32"/>
          <w:szCs w:val="32"/>
        </w:rPr>
        <w:t>支出</w:t>
      </w:r>
      <w:r>
        <w:rPr>
          <w:rFonts w:hint="eastAsia" w:ascii="仿宋" w:hAnsi="仿宋" w:eastAsia="仿宋"/>
          <w:sz w:val="32"/>
          <w:szCs w:val="32"/>
          <w:lang w:val="en-US" w:eastAsia="zh-CN"/>
        </w:rPr>
        <w:t>27.9</w:t>
      </w:r>
      <w:r>
        <w:rPr>
          <w:rFonts w:hint="eastAsia" w:ascii="仿宋" w:hAnsi="仿宋" w:eastAsia="仿宋"/>
          <w:sz w:val="32"/>
          <w:szCs w:val="32"/>
        </w:rPr>
        <w:t>万元，占</w:t>
      </w:r>
      <w:r>
        <w:rPr>
          <w:rFonts w:hint="eastAsia" w:ascii="仿宋" w:hAnsi="仿宋" w:eastAsia="仿宋"/>
          <w:sz w:val="32"/>
          <w:szCs w:val="32"/>
          <w:lang w:val="en-US" w:eastAsia="zh-CN"/>
        </w:rPr>
        <w:t>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w:t>
      </w:r>
      <w:r>
        <w:rPr>
          <w:rFonts w:hint="eastAsia" w:ascii="仿宋" w:hAnsi="仿宋" w:eastAsia="仿宋"/>
          <w:b/>
          <w:sz w:val="32"/>
          <w:szCs w:val="32"/>
        </w:rPr>
        <w:t>（类）</w:t>
      </w:r>
      <w:r>
        <w:rPr>
          <w:rFonts w:hint="eastAsia" w:ascii="仿宋" w:hAnsi="仿宋" w:eastAsia="仿宋"/>
          <w:sz w:val="32"/>
          <w:szCs w:val="32"/>
        </w:rPr>
        <w:t>支出</w:t>
      </w:r>
      <w:r>
        <w:rPr>
          <w:rFonts w:hint="eastAsia" w:ascii="仿宋" w:hAnsi="仿宋" w:eastAsia="仿宋"/>
          <w:sz w:val="32"/>
          <w:szCs w:val="32"/>
          <w:lang w:val="en-US" w:eastAsia="zh-CN"/>
        </w:rPr>
        <w:t>52.73</w:t>
      </w:r>
      <w:r>
        <w:rPr>
          <w:rFonts w:hint="eastAsia" w:ascii="仿宋" w:hAnsi="仿宋" w:eastAsia="仿宋"/>
          <w:sz w:val="32"/>
          <w:szCs w:val="32"/>
        </w:rPr>
        <w:t>万元，占</w:t>
      </w:r>
      <w:r>
        <w:rPr>
          <w:rFonts w:hint="eastAsia" w:ascii="仿宋" w:hAnsi="仿宋" w:eastAsia="仿宋"/>
          <w:sz w:val="32"/>
          <w:szCs w:val="32"/>
          <w:lang w:val="en-US" w:eastAsia="zh-CN"/>
        </w:rPr>
        <w:t>5</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6</w:t>
      </w:r>
      <w:r>
        <w:rPr>
          <w:rFonts w:hint="eastAsia" w:ascii="仿宋" w:hAnsi="仿宋" w:eastAsia="仿宋"/>
          <w:sz w:val="32"/>
          <w:szCs w:val="32"/>
        </w:rPr>
        <w:t>：一般公共预算财政拨款支出决算结构）（饼状图）</w:t>
      </w:r>
    </w:p>
    <w:p>
      <w:pPr>
        <w:spacing w:line="600" w:lineRule="exact"/>
        <w:rPr>
          <w:rFonts w:ascii="仿宋" w:hAnsi="仿宋" w:eastAsia="仿宋"/>
          <w:sz w:val="32"/>
          <w:szCs w:val="32"/>
        </w:rPr>
      </w:pPr>
    </w:p>
    <w:p>
      <w:pPr>
        <w:pStyle w:val="13"/>
        <w:rPr>
          <w:rFonts w:ascii="仿宋" w:hAnsi="仿宋" w:eastAsia="仿宋"/>
          <w:sz w:val="32"/>
          <w:szCs w:val="32"/>
        </w:rPr>
      </w:pPr>
      <w:r>
        <w:rPr>
          <w:rFonts w:hint="eastAsia" w:ascii="仿宋" w:hAnsi="仿宋" w:eastAsia="仿宋"/>
          <w:color w:val="000000"/>
          <w:sz w:val="32"/>
          <w:szCs w:val="32"/>
          <w:lang w:eastAsia="zh-CN"/>
        </w:rPr>
        <w:object>
          <v:shape id="_x0000_i1030" o:spt="75" alt="olechartimg_1631776611571739_265125888" type="#_x0000_t75" style="height:261.15pt;width:419.1pt;" o:ole="t" filled="f" o:preferrelative="t" stroked="f" coordsize="21600,21600">
            <v:path/>
            <v:fill on="f" focussize="0,0"/>
            <v:stroke on="f"/>
            <v:imagedata r:id="rId44" o:title="olechartimg_1663123665283305_190547968"/>
            <o:lock v:ext="edit" aspectratio="t"/>
            <w10:wrap type="none"/>
            <w10:anchorlock/>
          </v:shape>
          <o:OLEObject Type="Embed" ProgID="Excel.Chart.8" ShapeID="_x0000_i1030" DrawAspect="Content" ObjectID="_1468075730" r:id="rId43">
            <o:LockedField>false</o:LockedField>
          </o:OLEObject>
        </w:object>
      </w:r>
    </w:p>
    <w:p>
      <w:pPr>
        <w:spacing w:line="600" w:lineRule="exact"/>
        <w:ind w:firstLine="642"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2" w:firstLineChars="200"/>
        <w:outlineLvl w:val="2"/>
        <w:rPr>
          <w:rFonts w:ascii="仿宋" w:hAnsi="仿宋" w:eastAsia="仿宋"/>
          <w:sz w:val="32"/>
          <w:szCs w:val="32"/>
        </w:rPr>
      </w:pPr>
      <w:bookmarkStart w:id="31" w:name="_Toc15377213"/>
      <w:bookmarkStart w:id="32" w:name="_Toc15377444"/>
      <w:bookmarkStart w:id="33" w:name="_Toc15378460"/>
      <w:r>
        <w:rPr>
          <w:rFonts w:ascii="仿宋" w:hAnsi="仿宋" w:eastAsia="仿宋"/>
          <w:b/>
          <w:sz w:val="32"/>
          <w:szCs w:val="32"/>
        </w:rPr>
        <w:t>2021</w:t>
      </w:r>
      <w:r>
        <w:rPr>
          <w:rFonts w:hint="eastAsia" w:ascii="仿宋" w:hAnsi="仿宋" w:eastAsia="仿宋"/>
          <w:b/>
          <w:sz w:val="32"/>
          <w:szCs w:val="32"/>
        </w:rPr>
        <w:t>年一般公共预算支出决算数为</w:t>
      </w:r>
      <w:r>
        <w:rPr>
          <w:rFonts w:hint="eastAsia" w:ascii="仿宋" w:hAnsi="仿宋" w:eastAsia="仿宋"/>
          <w:b/>
          <w:sz w:val="32"/>
          <w:szCs w:val="32"/>
          <w:lang w:val="en-US" w:eastAsia="zh-CN"/>
        </w:rPr>
        <w:t>1142.19</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hint="eastAsia" w:ascii="仿宋" w:hAnsi="仿宋" w:eastAsia="仿宋"/>
          <w:bCs/>
          <w:sz w:val="32"/>
          <w:szCs w:val="32"/>
          <w:lang w:val="en-US" w:eastAsia="zh-CN"/>
        </w:rPr>
        <w:t>100</w:t>
      </w:r>
      <w:r>
        <w:rPr>
          <w:rStyle w:val="16"/>
          <w:rFonts w:ascii="仿宋" w:hAnsi="仿宋" w:eastAsia="仿宋"/>
          <w:bCs/>
          <w:sz w:val="32"/>
          <w:szCs w:val="32"/>
        </w:rPr>
        <w:t>%</w:t>
      </w:r>
      <w:r>
        <w:rPr>
          <w:rStyle w:val="16"/>
          <w:rFonts w:hint="eastAsia" w:ascii="仿宋" w:hAnsi="仿宋" w:eastAsia="仿宋"/>
          <w:bCs/>
          <w:sz w:val="32"/>
          <w:szCs w:val="32"/>
        </w:rPr>
        <w:t>。其中：</w:t>
      </w:r>
      <w:bookmarkEnd w:id="31"/>
      <w:bookmarkEnd w:id="32"/>
      <w:bookmarkEnd w:id="33"/>
    </w:p>
    <w:p>
      <w:pPr>
        <w:spacing w:line="600" w:lineRule="exact"/>
        <w:ind w:firstLine="642" w:firstLineChars="200"/>
        <w:rPr>
          <w:rFonts w:ascii="仿宋" w:hAnsi="仿宋" w:eastAsia="仿宋"/>
          <w:b/>
          <w:sz w:val="32"/>
          <w:szCs w:val="32"/>
        </w:rPr>
      </w:pPr>
      <w:r>
        <w:rPr>
          <w:rStyle w:val="16"/>
          <w:rFonts w:ascii="仿宋" w:hAnsi="仿宋" w:eastAsia="仿宋"/>
          <w:bCs/>
          <w:sz w:val="32"/>
          <w:szCs w:val="32"/>
        </w:rPr>
        <w:t>1</w:t>
      </w:r>
      <w:r>
        <w:rPr>
          <w:rFonts w:hint="eastAsia" w:ascii="仿宋_GB2312" w:hAnsi="宋体" w:eastAsia="仿宋_GB2312"/>
          <w:sz w:val="32"/>
          <w:szCs w:val="32"/>
          <w:lang w:val="zh-CN"/>
        </w:rPr>
        <w:t>．</w:t>
      </w:r>
      <w:r>
        <w:rPr>
          <w:rStyle w:val="16"/>
          <w:rFonts w:hint="eastAsia" w:ascii="仿宋" w:hAnsi="仿宋" w:eastAsia="仿宋"/>
          <w:bCs/>
          <w:sz w:val="32"/>
          <w:szCs w:val="32"/>
        </w:rPr>
        <w:t>一般公共服务（类）</w:t>
      </w:r>
      <w:r>
        <w:rPr>
          <w:rStyle w:val="16"/>
          <w:rFonts w:hint="eastAsia" w:ascii="仿宋" w:hAnsi="仿宋" w:eastAsia="仿宋"/>
          <w:bCs/>
          <w:sz w:val="32"/>
          <w:szCs w:val="32"/>
          <w:lang w:val="en-US" w:eastAsia="zh-CN"/>
        </w:rPr>
        <w:t>2013101行政运行</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355.68</w:t>
      </w:r>
      <w:r>
        <w:rPr>
          <w:rStyle w:val="16"/>
          <w:rFonts w:hint="eastAsia" w:ascii="仿宋" w:hAnsi="仿宋" w:eastAsia="仿宋"/>
          <w:b w:val="0"/>
          <w:bCs/>
          <w:sz w:val="32"/>
          <w:szCs w:val="32"/>
        </w:rPr>
        <w:t>万元，</w:t>
      </w:r>
      <w:r>
        <w:rPr>
          <w:rStyle w:val="16"/>
          <w:rFonts w:hint="eastAsia" w:ascii="仿宋" w:hAnsi="仿宋" w:eastAsia="仿宋"/>
          <w:b w:val="0"/>
          <w:bCs/>
          <w:sz w:val="32"/>
          <w:szCs w:val="32"/>
          <w:lang w:val="en-US" w:eastAsia="zh-CN"/>
        </w:rPr>
        <w:t>2013102一般行政管理事务支出决算为403.85万元，2013103机关服务支出决算为212.37万元，</w:t>
      </w:r>
      <w:r>
        <w:rPr>
          <w:rStyle w:val="16"/>
          <w:rFonts w:hint="eastAsia" w:ascii="仿宋" w:hAnsi="仿宋" w:eastAsia="仿宋"/>
          <w:b w:val="0"/>
          <w:bCs/>
          <w:sz w:val="32"/>
          <w:szCs w:val="32"/>
        </w:rPr>
        <w:t>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2" w:firstLineChars="200"/>
        <w:rPr>
          <w:rFonts w:ascii="仿宋" w:hAnsi="仿宋" w:eastAsia="仿宋"/>
          <w:b/>
          <w:sz w:val="32"/>
          <w:szCs w:val="32"/>
        </w:rPr>
      </w:pPr>
      <w:r>
        <w:rPr>
          <w:rStyle w:val="16"/>
          <w:rFonts w:ascii="仿宋" w:hAnsi="仿宋" w:eastAsia="仿宋"/>
          <w:bCs/>
          <w:sz w:val="32"/>
          <w:szCs w:val="32"/>
        </w:rPr>
        <w:t>2</w:t>
      </w:r>
      <w:r>
        <w:rPr>
          <w:rFonts w:hint="eastAsia" w:ascii="仿宋_GB2312" w:hAnsi="宋体" w:eastAsia="仿宋_GB2312"/>
          <w:sz w:val="32"/>
          <w:szCs w:val="32"/>
          <w:lang w:val="zh-CN"/>
        </w:rPr>
        <w:t>．</w:t>
      </w:r>
      <w:r>
        <w:rPr>
          <w:rStyle w:val="16"/>
          <w:rFonts w:hint="eastAsia" w:ascii="仿宋" w:hAnsi="仿宋" w:eastAsia="仿宋"/>
          <w:bCs/>
          <w:sz w:val="32"/>
          <w:szCs w:val="32"/>
        </w:rPr>
        <w:t>教育（类）</w:t>
      </w:r>
      <w:r>
        <w:rPr>
          <w:rStyle w:val="16"/>
          <w:rFonts w:hint="eastAsia" w:ascii="仿宋" w:hAnsi="仿宋" w:eastAsia="仿宋"/>
          <w:bCs/>
          <w:sz w:val="32"/>
          <w:szCs w:val="32"/>
          <w:lang w:val="en-US" w:eastAsia="zh-CN"/>
        </w:rPr>
        <w:t>2050803培训支出</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13.76</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2" w:firstLineChars="200"/>
        <w:rPr>
          <w:rFonts w:ascii="仿宋" w:hAnsi="仿宋" w:eastAsia="仿宋"/>
          <w:b/>
          <w:sz w:val="32"/>
          <w:szCs w:val="32"/>
        </w:rPr>
      </w:pPr>
      <w:r>
        <w:rPr>
          <w:rStyle w:val="16"/>
          <w:rFonts w:hint="eastAsia" w:ascii="仿宋" w:hAnsi="仿宋" w:eastAsia="仿宋"/>
          <w:bCs/>
          <w:sz w:val="32"/>
          <w:szCs w:val="32"/>
          <w:lang w:val="en-US" w:eastAsia="zh-CN"/>
        </w:rPr>
        <w:t>3</w:t>
      </w:r>
      <w:r>
        <w:rPr>
          <w:rFonts w:hint="eastAsia" w:ascii="仿宋_GB2312" w:hAnsi="宋体" w:eastAsia="仿宋_GB2312"/>
          <w:sz w:val="32"/>
          <w:szCs w:val="32"/>
          <w:lang w:val="zh-CN"/>
        </w:rPr>
        <w:t>．</w:t>
      </w:r>
      <w:r>
        <w:rPr>
          <w:rStyle w:val="16"/>
          <w:rFonts w:hint="eastAsia" w:ascii="仿宋" w:hAnsi="仿宋" w:eastAsia="仿宋"/>
          <w:bCs/>
          <w:sz w:val="32"/>
          <w:szCs w:val="32"/>
        </w:rPr>
        <w:t>社会保障和就业（类）</w:t>
      </w:r>
      <w:r>
        <w:rPr>
          <w:rStyle w:val="16"/>
          <w:rFonts w:hint="eastAsia" w:ascii="仿宋" w:hAnsi="仿宋" w:eastAsia="仿宋"/>
          <w:bCs/>
          <w:sz w:val="32"/>
          <w:szCs w:val="32"/>
          <w:lang w:val="en-US" w:eastAsia="zh-CN"/>
        </w:rPr>
        <w:t>2080505机关事业单位养老保险缴费支出</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50.31</w:t>
      </w:r>
      <w:r>
        <w:rPr>
          <w:rStyle w:val="16"/>
          <w:rFonts w:hint="eastAsia" w:ascii="仿宋" w:hAnsi="仿宋" w:eastAsia="仿宋"/>
          <w:b w:val="0"/>
          <w:bCs/>
          <w:sz w:val="32"/>
          <w:szCs w:val="32"/>
        </w:rPr>
        <w:t>万元，</w:t>
      </w:r>
      <w:r>
        <w:rPr>
          <w:rStyle w:val="16"/>
          <w:rFonts w:hint="eastAsia" w:ascii="仿宋" w:hAnsi="仿宋" w:eastAsia="仿宋"/>
          <w:b w:val="0"/>
          <w:bCs/>
          <w:sz w:val="32"/>
          <w:szCs w:val="32"/>
          <w:lang w:val="en-US" w:eastAsia="zh-CN"/>
        </w:rPr>
        <w:t>2080506机关事业单位职业年金缴费支出决算为25.59万元，</w:t>
      </w:r>
      <w:r>
        <w:rPr>
          <w:rStyle w:val="16"/>
          <w:rFonts w:hint="eastAsia" w:ascii="仿宋" w:hAnsi="仿宋" w:eastAsia="仿宋"/>
          <w:b w:val="0"/>
          <w:bCs/>
          <w:sz w:val="32"/>
          <w:szCs w:val="32"/>
        </w:rPr>
        <w:t>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2" w:firstLineChars="200"/>
        <w:rPr>
          <w:rStyle w:val="16"/>
          <w:rFonts w:hint="eastAsia" w:ascii="仿宋" w:hAnsi="仿宋" w:eastAsia="仿宋"/>
          <w:b w:val="0"/>
          <w:bCs/>
          <w:sz w:val="32"/>
          <w:szCs w:val="32"/>
          <w:lang w:eastAsia="zh-CN"/>
        </w:rPr>
      </w:pPr>
      <w:r>
        <w:rPr>
          <w:rStyle w:val="16"/>
          <w:rFonts w:hint="eastAsia" w:ascii="仿宋" w:hAnsi="仿宋" w:eastAsia="仿宋"/>
          <w:bCs/>
          <w:sz w:val="32"/>
          <w:szCs w:val="32"/>
          <w:lang w:val="en-US" w:eastAsia="zh-CN"/>
        </w:rPr>
        <w:t>4</w:t>
      </w:r>
      <w:r>
        <w:rPr>
          <w:rFonts w:hint="eastAsia" w:ascii="仿宋_GB2312" w:hAnsi="宋体" w:eastAsia="仿宋_GB2312"/>
          <w:sz w:val="32"/>
          <w:szCs w:val="32"/>
          <w:lang w:val="zh-CN"/>
        </w:rPr>
        <w:t>．</w:t>
      </w:r>
      <w:r>
        <w:rPr>
          <w:rFonts w:hint="eastAsia" w:ascii="仿宋" w:hAnsi="仿宋" w:eastAsia="仿宋"/>
          <w:b/>
          <w:bCs/>
          <w:sz w:val="32"/>
          <w:szCs w:val="32"/>
        </w:rPr>
        <w:t>卫生健康</w:t>
      </w:r>
      <w:r>
        <w:rPr>
          <w:rStyle w:val="16"/>
          <w:rFonts w:hint="eastAsia" w:ascii="仿宋" w:hAnsi="仿宋" w:eastAsia="仿宋"/>
          <w:bCs/>
          <w:sz w:val="32"/>
          <w:szCs w:val="32"/>
        </w:rPr>
        <w:t>（类）</w:t>
      </w:r>
      <w:r>
        <w:rPr>
          <w:rStyle w:val="16"/>
          <w:rFonts w:hint="eastAsia" w:ascii="仿宋" w:hAnsi="仿宋" w:eastAsia="仿宋"/>
          <w:bCs/>
          <w:sz w:val="32"/>
          <w:szCs w:val="32"/>
          <w:lang w:val="en-US" w:eastAsia="zh-CN"/>
        </w:rPr>
        <w:t>2101101行政单位医疗</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27.9</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lang w:eastAsia="zh-CN"/>
        </w:rPr>
        <w:t>。</w:t>
      </w:r>
    </w:p>
    <w:p>
      <w:pPr>
        <w:spacing w:line="600" w:lineRule="exact"/>
        <w:ind w:firstLine="642" w:firstLineChars="200"/>
        <w:rPr>
          <w:rFonts w:ascii="仿宋" w:hAnsi="仿宋" w:eastAsia="仿宋"/>
          <w:b/>
          <w:sz w:val="32"/>
          <w:szCs w:val="32"/>
        </w:rPr>
      </w:pPr>
      <w:r>
        <w:rPr>
          <w:rStyle w:val="16"/>
          <w:rFonts w:hint="eastAsia" w:ascii="仿宋" w:hAnsi="仿宋" w:eastAsia="仿宋"/>
          <w:bCs/>
          <w:sz w:val="32"/>
          <w:szCs w:val="32"/>
          <w:lang w:val="en-US" w:eastAsia="zh-CN"/>
        </w:rPr>
        <w:t>5</w:t>
      </w:r>
      <w:r>
        <w:rPr>
          <w:rFonts w:hint="eastAsia" w:ascii="仿宋_GB2312" w:hAnsi="宋体" w:eastAsia="仿宋_GB2312"/>
          <w:sz w:val="32"/>
          <w:szCs w:val="32"/>
          <w:lang w:val="zh-CN"/>
        </w:rPr>
        <w:t>．</w:t>
      </w:r>
      <w:r>
        <w:rPr>
          <w:rFonts w:hint="eastAsia" w:ascii="仿宋" w:hAnsi="仿宋" w:eastAsia="仿宋"/>
          <w:b/>
          <w:bCs/>
          <w:sz w:val="32"/>
          <w:szCs w:val="32"/>
          <w:lang w:eastAsia="zh-CN"/>
        </w:rPr>
        <w:t>住房保障</w:t>
      </w:r>
      <w:r>
        <w:rPr>
          <w:rStyle w:val="16"/>
          <w:rFonts w:hint="eastAsia" w:ascii="仿宋" w:hAnsi="仿宋" w:eastAsia="仿宋"/>
          <w:bCs/>
          <w:sz w:val="32"/>
          <w:szCs w:val="32"/>
        </w:rPr>
        <w:t>（类）</w:t>
      </w:r>
      <w:r>
        <w:rPr>
          <w:rStyle w:val="16"/>
          <w:rFonts w:hint="eastAsia" w:ascii="仿宋" w:hAnsi="仿宋" w:eastAsia="仿宋"/>
          <w:bCs/>
          <w:sz w:val="32"/>
          <w:szCs w:val="32"/>
          <w:lang w:val="en-US" w:eastAsia="zh-CN"/>
        </w:rPr>
        <w:t>2210201住房公积金</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52.73</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lang w:eastAsia="zh-CN"/>
        </w:rPr>
        <w:t>。</w:t>
      </w:r>
    </w:p>
    <w:p>
      <w:pPr>
        <w:tabs>
          <w:tab w:val="right" w:pos="8306"/>
        </w:tabs>
        <w:spacing w:line="600" w:lineRule="exact"/>
        <w:ind w:firstLine="640"/>
        <w:outlineLvl w:val="1"/>
        <w:rPr>
          <w:rStyle w:val="20"/>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0"/>
          <w:rFonts w:hint="eastAsia" w:ascii="黑体" w:hAnsi="黑体" w:eastAsia="黑体"/>
          <w:b w:val="0"/>
        </w:rPr>
        <w:t>般公共预算财政拨款基本支出决算情况说明</w:t>
      </w:r>
      <w:bookmarkEnd w:id="34"/>
      <w:bookmarkEnd w:id="35"/>
      <w:r>
        <w:rPr>
          <w:rStyle w:val="20"/>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年一般公共预算财政拨款基本支出</w:t>
      </w:r>
      <w:r>
        <w:rPr>
          <w:rFonts w:hint="eastAsia" w:ascii="仿宋" w:hAnsi="仿宋" w:eastAsia="仿宋"/>
          <w:sz w:val="32"/>
          <w:szCs w:val="32"/>
          <w:lang w:val="en-US" w:eastAsia="zh-CN"/>
        </w:rPr>
        <w:t>724.58</w:t>
      </w:r>
      <w:r>
        <w:rPr>
          <w:rFonts w:hint="eastAsia" w:ascii="仿宋" w:hAnsi="仿宋" w:eastAsia="仿宋"/>
          <w:sz w:val="32"/>
          <w:szCs w:val="32"/>
        </w:rPr>
        <w:t>万元，其中：</w:t>
      </w:r>
    </w:p>
    <w:p>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人员经费</w:t>
      </w:r>
      <w:r>
        <w:rPr>
          <w:rFonts w:hint="eastAsia" w:ascii="仿宋" w:hAnsi="仿宋" w:eastAsia="仿宋"/>
          <w:sz w:val="32"/>
          <w:szCs w:val="32"/>
          <w:lang w:val="en-US" w:eastAsia="zh-CN"/>
        </w:rPr>
        <w:t>655.72</w:t>
      </w:r>
      <w:r>
        <w:rPr>
          <w:rFonts w:hint="eastAsia" w:ascii="仿宋" w:hAnsi="仿宋" w:eastAsia="仿宋"/>
          <w:sz w:val="32"/>
          <w:szCs w:val="32"/>
        </w:rPr>
        <w:t>万元，主要包括：基本</w:t>
      </w:r>
      <w:r>
        <w:rPr>
          <w:rFonts w:hint="eastAsia" w:ascii="仿宋" w:hAnsi="仿宋" w:eastAsia="仿宋"/>
          <w:sz w:val="32"/>
          <w:szCs w:val="32"/>
          <w:lang w:eastAsia="zh-CN"/>
        </w:rPr>
        <w:t>工</w:t>
      </w:r>
      <w:r>
        <w:rPr>
          <w:rFonts w:hint="eastAsia" w:ascii="仿宋" w:hAnsi="仿宋" w:eastAsia="仿宋"/>
          <w:sz w:val="32"/>
          <w:szCs w:val="32"/>
        </w:rPr>
        <w:t>资、津贴补贴、奖金、绩效工资、机关事业单位基本养老保险缴费、职业年金缴费、其他社会保障缴费、其他工资福利支出、生活补助、奖励金、住房公积金、其他对个人和家庭的补助支出等。</w:t>
      </w:r>
    </w:p>
    <w:p>
      <w:pPr>
        <w:spacing w:line="600" w:lineRule="exact"/>
        <w:ind w:firstLine="645"/>
        <w:rPr>
          <w:rFonts w:ascii="仿宋" w:hAnsi="仿宋" w:eastAsia="仿宋"/>
          <w:sz w:val="32"/>
          <w:szCs w:val="32"/>
        </w:rPr>
      </w:pPr>
      <w:r>
        <w:rPr>
          <w:rFonts w:hint="eastAsia" w:ascii="仿宋" w:hAnsi="仿宋" w:eastAsia="仿宋"/>
          <w:sz w:val="32"/>
          <w:szCs w:val="32"/>
        </w:rPr>
        <w:t>　　公用经费</w:t>
      </w:r>
      <w:r>
        <w:rPr>
          <w:rFonts w:hint="eastAsia" w:ascii="仿宋" w:hAnsi="仿宋" w:eastAsia="仿宋"/>
          <w:sz w:val="32"/>
          <w:szCs w:val="32"/>
          <w:lang w:val="en-US" w:eastAsia="zh-CN"/>
        </w:rPr>
        <w:t>68.86</w:t>
      </w:r>
      <w:r>
        <w:rPr>
          <w:rFonts w:hint="eastAsia" w:ascii="仿宋" w:hAnsi="仿宋" w:eastAsia="仿宋"/>
          <w:sz w:val="32"/>
          <w:szCs w:val="32"/>
        </w:rPr>
        <w:t>万元，主要包括：办公费、印刷费、手续费、水费、电费、邮电费、物业管理费、差旅费、维修（护）费、租赁费、会议费、培训费、公务接待费、劳务费、工会经费、公务用车运行维护费、其他交通费、其他商品和服务支出等。</w:t>
      </w:r>
    </w:p>
    <w:p>
      <w:pPr>
        <w:spacing w:line="600" w:lineRule="exact"/>
        <w:ind w:firstLine="640"/>
        <w:outlineLvl w:val="1"/>
        <w:rPr>
          <w:rStyle w:val="20"/>
          <w:rFonts w:ascii="黑体" w:hAnsi="黑体" w:eastAsia="黑体"/>
          <w:b w:val="0"/>
        </w:rPr>
      </w:pPr>
      <w:bookmarkStart w:id="36" w:name="_Toc15377215"/>
      <w:bookmarkStart w:id="37" w:name="_Toc15396609"/>
      <w:r>
        <w:rPr>
          <w:rFonts w:hint="eastAsia" w:ascii="黑体" w:eastAsia="黑体"/>
          <w:sz w:val="32"/>
          <w:szCs w:val="32"/>
        </w:rPr>
        <w:t>七、</w:t>
      </w:r>
      <w:r>
        <w:rPr>
          <w:rStyle w:val="20"/>
          <w:rFonts w:hint="eastAsia" w:ascii="黑体" w:hAnsi="黑体" w:eastAsia="黑体"/>
        </w:rPr>
        <w:t>“</w:t>
      </w:r>
      <w:r>
        <w:rPr>
          <w:rStyle w:val="20"/>
          <w:rFonts w:hint="eastAsia" w:ascii="黑体" w:hAnsi="黑体" w:eastAsia="黑体"/>
          <w:b w:val="0"/>
        </w:rPr>
        <w:t>三公”经费财政拨款支出决算情况说明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年“三公”经费财政拨款支出决算为</w:t>
      </w:r>
      <w:r>
        <w:rPr>
          <w:rFonts w:hint="eastAsia" w:ascii="仿宋" w:hAnsi="仿宋" w:eastAsia="仿宋"/>
          <w:sz w:val="32"/>
          <w:szCs w:val="32"/>
          <w:lang w:val="en-US" w:eastAsia="zh-CN"/>
        </w:rPr>
        <w:t>17.15</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万元；公务用车购置及运行维护费支出决算</w:t>
      </w:r>
      <w:r>
        <w:rPr>
          <w:rFonts w:hint="eastAsia" w:ascii="仿宋" w:hAnsi="仿宋" w:eastAsia="仿宋"/>
          <w:sz w:val="32"/>
          <w:szCs w:val="32"/>
          <w:lang w:val="en-US" w:eastAsia="zh-CN"/>
        </w:rPr>
        <w:t>11.94</w:t>
      </w:r>
      <w:r>
        <w:rPr>
          <w:rFonts w:hint="eastAsia" w:ascii="仿宋" w:hAnsi="仿宋" w:eastAsia="仿宋"/>
          <w:sz w:val="32"/>
          <w:szCs w:val="32"/>
        </w:rPr>
        <w:t>万元，占</w:t>
      </w:r>
      <w:r>
        <w:rPr>
          <w:rFonts w:hint="eastAsia" w:ascii="仿宋" w:hAnsi="仿宋" w:eastAsia="仿宋"/>
          <w:sz w:val="32"/>
          <w:szCs w:val="32"/>
          <w:lang w:val="en-US" w:eastAsia="zh-CN"/>
        </w:rPr>
        <w:t>70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5.21</w:t>
      </w:r>
      <w:r>
        <w:rPr>
          <w:rFonts w:hint="eastAsia" w:ascii="仿宋" w:hAnsi="仿宋" w:eastAsia="仿宋"/>
          <w:sz w:val="32"/>
          <w:szCs w:val="32"/>
        </w:rPr>
        <w:t>万元，占</w:t>
      </w:r>
      <w:r>
        <w:rPr>
          <w:rFonts w:hint="eastAsia" w:ascii="仿宋" w:hAnsi="仿宋" w:eastAsia="仿宋"/>
          <w:sz w:val="32"/>
          <w:szCs w:val="32"/>
          <w:lang w:val="en-US" w:eastAsia="zh-CN"/>
        </w:rPr>
        <w:t>30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7</w:t>
      </w:r>
      <w:r>
        <w:rPr>
          <w:rFonts w:hint="eastAsia" w:ascii="仿宋" w:hAnsi="仿宋" w:eastAsia="仿宋"/>
          <w:sz w:val="32"/>
          <w:szCs w:val="32"/>
        </w:rPr>
        <w:t>：“三公”经费财政拨款支出结构）（饼状图）</w:t>
      </w:r>
    </w:p>
    <w:p>
      <w:pPr>
        <w:pStyle w:val="13"/>
        <w:ind w:left="0" w:leftChars="0" w:firstLine="0" w:firstLineChars="0"/>
        <w:rPr>
          <w:rFonts w:hint="eastAsia" w:ascii="仿宋" w:hAnsi="仿宋" w:eastAsia="仿宋"/>
          <w:sz w:val="32"/>
          <w:szCs w:val="32"/>
        </w:rPr>
      </w:pPr>
      <w:r>
        <w:rPr>
          <w:rFonts w:hint="eastAsia" w:ascii="仿宋" w:hAnsi="仿宋" w:eastAsia="仿宋"/>
          <w:color w:val="000000"/>
          <w:sz w:val="32"/>
          <w:szCs w:val="32"/>
          <w:lang w:eastAsia="zh-CN"/>
        </w:rPr>
        <w:object>
          <v:shape id="_x0000_i1031" o:spt="75" alt="olechartimg_1631779302259233_344778752" type="#_x0000_t75" style="height:249.9pt;width:408.5pt;" o:ole="t" filled="f" o:preferrelative="t" stroked="f" coordsize="21600,21600">
            <v:path/>
            <v:fill on="f" focussize="0,0"/>
            <v:stroke on="f"/>
            <v:imagedata r:id="rId46" o:title="olechartimg_1663549189261721_1199228928"/>
            <o:lock v:ext="edit" aspectratio="t"/>
            <w10:wrap type="none"/>
            <w10:anchorlock/>
          </v:shape>
          <o:OLEObject Type="Embed" ProgID="Excel.Chart.8" ShapeID="_x0000_i1031" DrawAspect="Content" ObjectID="_1468075731" r:id="rId45">
            <o:LockedField>false</o:LockedField>
          </o:OLEObject>
        </w:object>
      </w:r>
    </w:p>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hAnsi="宋体" w:eastAsia="仿宋_GB2312"/>
          <w:sz w:val="32"/>
          <w:szCs w:val="32"/>
          <w:lang w:val="zh-CN"/>
        </w:rPr>
        <w:t>．</w:t>
      </w:r>
      <w:r>
        <w:rPr>
          <w:rFonts w:hint="eastAsia" w:ascii="仿宋_GB2312" w:eastAsia="仿宋_GB2312"/>
          <w:b/>
          <w:sz w:val="32"/>
          <w:szCs w:val="32"/>
        </w:rPr>
        <w:t>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hAnsi="宋体" w:eastAsia="仿宋_GB2312"/>
          <w:sz w:val="32"/>
          <w:szCs w:val="32"/>
          <w:lang w:val="zh-CN"/>
        </w:rPr>
        <w:t>．</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6"/>
          <w:rFonts w:hint="eastAsia" w:ascii="仿宋" w:hAnsi="仿宋" w:eastAsia="仿宋"/>
          <w:b w:val="0"/>
          <w:bCs/>
          <w:sz w:val="32"/>
          <w:szCs w:val="32"/>
        </w:rPr>
        <w:t>。</w:t>
      </w:r>
      <w:r>
        <w:rPr>
          <w:rFonts w:hint="eastAsia" w:ascii="仿宋_GB2312" w:eastAsia="仿宋_GB2312"/>
          <w:sz w:val="32"/>
          <w:szCs w:val="32"/>
        </w:rPr>
        <w:t>公务用车购置及运行维护费支出决算</w:t>
      </w:r>
      <w:r>
        <w:rPr>
          <w:rFonts w:hint="eastAsia" w:ascii="仿宋_GB2312" w:eastAsia="仿宋_GB2312"/>
          <w:sz w:val="32"/>
          <w:szCs w:val="32"/>
          <w:lang w:eastAsia="zh-CN"/>
        </w:rPr>
        <w:t>与</w:t>
      </w:r>
      <w:r>
        <w:rPr>
          <w:rFonts w:ascii="仿宋_GB2312" w:eastAsia="仿宋_GB2312"/>
          <w:sz w:val="32"/>
          <w:szCs w:val="32"/>
        </w:rPr>
        <w:t>2020</w:t>
      </w:r>
      <w:r>
        <w:rPr>
          <w:rFonts w:hint="eastAsia" w:ascii="仿宋_GB2312" w:eastAsia="仿宋_GB2312"/>
          <w:sz w:val="32"/>
          <w:szCs w:val="32"/>
        </w:rPr>
        <w:t>年</w:t>
      </w:r>
      <w:r>
        <w:rPr>
          <w:rFonts w:hint="eastAsia" w:ascii="仿宋_GB2312" w:eastAsia="仿宋_GB2312"/>
          <w:sz w:val="32"/>
          <w:szCs w:val="32"/>
          <w:lang w:eastAsia="zh-CN"/>
        </w:rPr>
        <w:t>基本持平</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0</w:t>
      </w:r>
      <w:r>
        <w:rPr>
          <w:rFonts w:hint="eastAsia" w:ascii="仿宋_GB2312" w:eastAsia="仿宋_GB2312"/>
          <w:sz w:val="32"/>
          <w:szCs w:val="32"/>
        </w:rPr>
        <w:t>万元。截至</w:t>
      </w:r>
      <w:r>
        <w:rPr>
          <w:rFonts w:ascii="仿宋_GB2312" w:eastAsia="仿宋_GB2312"/>
          <w:sz w:val="32"/>
          <w:szCs w:val="32"/>
        </w:rPr>
        <w:t>2021</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2</w:t>
      </w:r>
      <w:r>
        <w:rPr>
          <w:rFonts w:hint="eastAsia" w:ascii="仿宋_GB2312" w:eastAsia="仿宋_GB2312"/>
          <w:sz w:val="32"/>
          <w:szCs w:val="32"/>
        </w:rPr>
        <w:t>辆，其中：轿车</w:t>
      </w:r>
      <w:r>
        <w:rPr>
          <w:rFonts w:hint="eastAsia" w:ascii="仿宋_GB2312" w:eastAsia="仿宋_GB2312"/>
          <w:sz w:val="32"/>
          <w:szCs w:val="32"/>
          <w:lang w:val="en-US" w:eastAsia="zh-CN"/>
        </w:rPr>
        <w:t>1</w:t>
      </w:r>
      <w:r>
        <w:rPr>
          <w:rFonts w:hint="eastAsia" w:ascii="仿宋_GB2312" w:eastAsia="仿宋_GB2312"/>
          <w:sz w:val="32"/>
          <w:szCs w:val="32"/>
        </w:rPr>
        <w:t>辆、越野车</w:t>
      </w:r>
      <w:r>
        <w:rPr>
          <w:rFonts w:hint="eastAsia" w:ascii="仿宋_GB2312" w:eastAsia="仿宋_GB2312"/>
          <w:sz w:val="32"/>
          <w:szCs w:val="32"/>
          <w:lang w:val="en-US" w:eastAsia="zh-CN"/>
        </w:rPr>
        <w:t>1</w:t>
      </w:r>
      <w:r>
        <w:rPr>
          <w:rFonts w:hint="eastAsia" w:ascii="仿宋_GB2312" w:eastAsia="仿宋_GB2312"/>
          <w:sz w:val="32"/>
          <w:szCs w:val="32"/>
        </w:rPr>
        <w:t>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11.94</w:t>
      </w:r>
      <w:r>
        <w:rPr>
          <w:rFonts w:hint="eastAsia" w:ascii="仿宋_GB2312" w:eastAsia="仿宋_GB2312"/>
          <w:sz w:val="32"/>
          <w:szCs w:val="32"/>
        </w:rPr>
        <w:t>万元。主要用于</w:t>
      </w:r>
      <w:r>
        <w:rPr>
          <w:rFonts w:hint="eastAsia" w:ascii="仿宋_GB2312" w:eastAsia="仿宋_GB2312"/>
          <w:sz w:val="32"/>
          <w:szCs w:val="32"/>
          <w:lang w:eastAsia="zh-CN"/>
        </w:rPr>
        <w:t>日常公务运行、机要保密</w:t>
      </w:r>
      <w:r>
        <w:rPr>
          <w:rFonts w:hint="eastAsia" w:ascii="仿宋_GB2312" w:eastAsia="仿宋_GB2312"/>
          <w:sz w:val="32"/>
          <w:szCs w:val="32"/>
        </w:rPr>
        <w:t>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hAnsi="宋体" w:eastAsia="仿宋_GB2312"/>
          <w:sz w:val="32"/>
          <w:szCs w:val="32"/>
          <w:lang w:val="zh-CN"/>
        </w:rPr>
        <w:t>．</w:t>
      </w:r>
      <w:r>
        <w:rPr>
          <w:rFonts w:hint="eastAsia" w:ascii="仿宋_GB2312" w:eastAsia="仿宋_GB2312"/>
          <w:b/>
          <w:sz w:val="32"/>
          <w:szCs w:val="32"/>
        </w:rPr>
        <w:t>公务接待费支出</w:t>
      </w:r>
      <w:r>
        <w:rPr>
          <w:rFonts w:hint="eastAsia" w:ascii="仿宋_GB2312" w:eastAsia="仿宋_GB2312"/>
          <w:sz w:val="32"/>
          <w:szCs w:val="32"/>
          <w:lang w:val="en-US" w:eastAsia="zh-CN"/>
        </w:rPr>
        <w:t>5.21</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2020</w:t>
      </w:r>
      <w:r>
        <w:rPr>
          <w:rFonts w:hint="eastAsia" w:ascii="仿宋_GB2312" w:eastAsia="仿宋_GB2312"/>
          <w:sz w:val="32"/>
          <w:szCs w:val="32"/>
        </w:rPr>
        <w:t>年减少</w:t>
      </w:r>
      <w:r>
        <w:rPr>
          <w:rFonts w:hint="eastAsia" w:ascii="仿宋_GB2312" w:eastAsia="仿宋_GB2312"/>
          <w:sz w:val="32"/>
          <w:szCs w:val="32"/>
          <w:lang w:val="en-US" w:eastAsia="zh-CN"/>
        </w:rPr>
        <w:t>0.07</w:t>
      </w:r>
      <w:r>
        <w:rPr>
          <w:rFonts w:hint="eastAsia" w:ascii="仿宋_GB2312" w:eastAsia="仿宋_GB2312"/>
          <w:sz w:val="32"/>
          <w:szCs w:val="32"/>
        </w:rPr>
        <w:t>万元，下降</w:t>
      </w:r>
      <w:r>
        <w:rPr>
          <w:rFonts w:hint="eastAsia" w:ascii="仿宋_GB2312" w:eastAsia="仿宋_GB2312"/>
          <w:sz w:val="32"/>
          <w:szCs w:val="32"/>
          <w:lang w:val="en-US" w:eastAsia="zh-CN"/>
        </w:rPr>
        <w:t>1</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进一步厉行节约，压缩三公经费支出</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lang w:val="en-US" w:eastAsia="zh-CN"/>
        </w:rPr>
        <w:t>5.21</w:t>
      </w:r>
      <w:r>
        <w:rPr>
          <w:rFonts w:hint="eastAsia" w:ascii="仿宋_GB2312" w:eastAsia="仿宋_GB2312"/>
          <w:sz w:val="32"/>
          <w:szCs w:val="32"/>
        </w:rPr>
        <w:t>万元，主要用于……</w:t>
      </w:r>
      <w:r>
        <w:rPr>
          <w:rFonts w:ascii="仿宋_GB2312" w:eastAsia="仿宋_GB2312"/>
          <w:sz w:val="32"/>
          <w:szCs w:val="32"/>
        </w:rPr>
        <w:t>(</w:t>
      </w:r>
      <w:r>
        <w:rPr>
          <w:rFonts w:hint="eastAsia" w:ascii="仿宋_GB2312" w:eastAsia="仿宋_GB2312"/>
          <w:sz w:val="32"/>
          <w:szCs w:val="32"/>
        </w:rPr>
        <w:t>执行公务、开展业务活动开支的交通费、住宿费、用餐费等</w:t>
      </w:r>
      <w:r>
        <w:rPr>
          <w:rFonts w:ascii="仿宋_GB2312" w:eastAsia="仿宋_GB2312"/>
          <w:sz w:val="32"/>
          <w:szCs w:val="32"/>
        </w:rPr>
        <w:t>)</w:t>
      </w:r>
      <w:r>
        <w:rPr>
          <w:rFonts w:hint="eastAsia" w:ascii="仿宋_GB2312" w:eastAsia="仿宋_GB2312"/>
          <w:sz w:val="32"/>
          <w:szCs w:val="32"/>
        </w:rPr>
        <w:t>。国内公务接待</w:t>
      </w:r>
      <w:r>
        <w:rPr>
          <w:rFonts w:hint="eastAsia" w:ascii="仿宋_GB2312" w:eastAsia="仿宋_GB2312"/>
          <w:sz w:val="32"/>
          <w:szCs w:val="32"/>
          <w:lang w:val="en-US" w:eastAsia="zh-CN"/>
        </w:rPr>
        <w:t>135</w:t>
      </w:r>
      <w:r>
        <w:rPr>
          <w:rFonts w:hint="eastAsia" w:ascii="仿宋_GB2312" w:eastAsia="仿宋_GB2312"/>
          <w:sz w:val="32"/>
          <w:szCs w:val="32"/>
        </w:rPr>
        <w:t>批次，</w:t>
      </w:r>
      <w:r>
        <w:rPr>
          <w:rFonts w:hint="eastAsia" w:ascii="仿宋_GB2312" w:eastAsia="仿宋_GB2312"/>
          <w:sz w:val="32"/>
          <w:szCs w:val="32"/>
          <w:lang w:val="en-US" w:eastAsia="zh-CN"/>
        </w:rPr>
        <w:t>652</w:t>
      </w:r>
      <w:r>
        <w:rPr>
          <w:rFonts w:hint="eastAsia" w:ascii="仿宋_GB2312" w:eastAsia="仿宋_GB2312"/>
          <w:sz w:val="32"/>
          <w:szCs w:val="32"/>
        </w:rPr>
        <w:t>人次（不包括陪同人员），共计支</w:t>
      </w:r>
      <w:r>
        <w:rPr>
          <w:rFonts w:hint="eastAsia" w:ascii="仿宋_GB2312" w:eastAsia="仿宋_GB2312"/>
          <w:sz w:val="32"/>
          <w:szCs w:val="32"/>
          <w:lang w:val="en-US" w:eastAsia="zh-CN"/>
        </w:rPr>
        <w:t>5.21</w:t>
      </w:r>
      <w:r>
        <w:rPr>
          <w:rFonts w:hint="eastAsia" w:ascii="仿宋_GB2312" w:eastAsia="仿宋_GB2312"/>
          <w:sz w:val="32"/>
          <w:szCs w:val="32"/>
        </w:rPr>
        <w:t>万元，具体内容包括：</w:t>
      </w:r>
      <w:r>
        <w:rPr>
          <w:rFonts w:hint="eastAsia" w:ascii="仿宋_GB2312" w:hAnsi="仿宋" w:eastAsia="仿宋_GB2312" w:cs="仿宋"/>
          <w:color w:val="000000"/>
          <w:kern w:val="0"/>
          <w:sz w:val="30"/>
          <w:szCs w:val="30"/>
        </w:rPr>
        <w:t>其他省市区交流、汇报工作情况、接受相关部门检查指导工作的接待支出，大部分为在接待地发生的工作餐费等支出</w:t>
      </w:r>
      <w:r>
        <w:rPr>
          <w:rFonts w:hint="eastAsia" w:ascii="仿宋_GB2312" w:eastAsia="仿宋_GB2312"/>
          <w:color w:val="000000"/>
          <w:sz w:val="32"/>
          <w:szCs w:val="32"/>
        </w:rPr>
        <w:t>。</w:t>
      </w:r>
    </w:p>
    <w:p>
      <w:pPr>
        <w:spacing w:line="600" w:lineRule="exact"/>
        <w:ind w:firstLine="640"/>
        <w:outlineLvl w:val="1"/>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color w:val="000000"/>
          <w:sz w:val="32"/>
          <w:szCs w:val="32"/>
        </w:rPr>
        <w:t>外事接待</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人，共计支出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bookmarkStart w:id="40" w:name="_Toc15377218"/>
      <w:bookmarkStart w:id="41" w:name="_Toc15396610"/>
    </w:p>
    <w:p>
      <w:pPr>
        <w:spacing w:line="600" w:lineRule="exact"/>
        <w:ind w:firstLine="640"/>
        <w:outlineLvl w:val="1"/>
        <w:rPr>
          <w:rStyle w:val="20"/>
          <w:rFonts w:ascii="黑体" w:hAnsi="黑体" w:eastAsia="黑体"/>
        </w:rPr>
      </w:pPr>
      <w:r>
        <w:rPr>
          <w:rFonts w:hint="eastAsia" w:ascii="黑体" w:eastAsia="黑体"/>
          <w:sz w:val="32"/>
          <w:szCs w:val="32"/>
        </w:rPr>
        <w:t>八、</w:t>
      </w:r>
      <w:r>
        <w:rPr>
          <w:rStyle w:val="20"/>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年政府性基金预算财政拨款支出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2"/>
        </w:numPr>
        <w:spacing w:line="600" w:lineRule="exact"/>
        <w:ind w:firstLine="640"/>
        <w:outlineLvl w:val="1"/>
        <w:rPr>
          <w:rStyle w:val="20"/>
          <w:rFonts w:ascii="黑体" w:hAnsi="黑体" w:eastAsia="黑体"/>
          <w:b w:val="0"/>
        </w:rPr>
      </w:pPr>
      <w:bookmarkStart w:id="42" w:name="_Toc15396611"/>
      <w:bookmarkStart w:id="43" w:name="_Toc15377219"/>
      <w:r>
        <w:rPr>
          <w:rStyle w:val="20"/>
          <w:rFonts w:hint="eastAsia" w:ascii="黑体" w:hAnsi="黑体" w:eastAsia="黑体"/>
          <w:b w:val="0"/>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2021</w:t>
      </w:r>
      <w:r>
        <w:rPr>
          <w:rFonts w:hint="eastAsia" w:ascii="仿宋_GB2312" w:eastAsia="仿宋_GB2312"/>
          <w:sz w:val="32"/>
          <w:szCs w:val="32"/>
        </w:rPr>
        <w:t>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2"/>
        </w:numPr>
        <w:spacing w:line="600" w:lineRule="exact"/>
        <w:ind w:firstLine="640"/>
        <w:outlineLvl w:val="1"/>
        <w:rPr>
          <w:rStyle w:val="20"/>
          <w:rFonts w:ascii="黑体" w:hAnsi="黑体" w:eastAsia="黑体"/>
          <w:b w:val="0"/>
        </w:rPr>
      </w:pPr>
      <w:bookmarkStart w:id="44" w:name="_Toc15396612"/>
      <w:bookmarkStart w:id="45" w:name="_Toc15377221"/>
      <w:r>
        <w:rPr>
          <w:rStyle w:val="20"/>
          <w:rFonts w:hint="eastAsia" w:ascii="黑体" w:hAnsi="黑体" w:eastAsia="黑体"/>
          <w:b w:val="0"/>
        </w:rPr>
        <w:t>其他重要事项的情况说明</w:t>
      </w:r>
      <w:bookmarkEnd w:id="44"/>
      <w:bookmarkEnd w:id="45"/>
    </w:p>
    <w:p>
      <w:pPr>
        <w:spacing w:line="600" w:lineRule="exact"/>
        <w:ind w:firstLine="642"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hint="default" w:ascii="仿宋_GB2312" w:eastAsia="仿宋_GB2312"/>
          <w:sz w:val="32"/>
          <w:szCs w:val="32"/>
          <w:lang w:val="en-US" w:eastAsia="zh-CN"/>
        </w:rPr>
      </w:pPr>
      <w:r>
        <w:rPr>
          <w:rFonts w:ascii="仿宋_GB2312" w:eastAsia="仿宋_GB2312"/>
          <w:sz w:val="32"/>
          <w:szCs w:val="32"/>
        </w:rPr>
        <w:t>2021</w:t>
      </w:r>
      <w:r>
        <w:rPr>
          <w:rFonts w:hint="eastAsia" w:ascii="仿宋_GB2312" w:eastAsia="仿宋_GB2312"/>
          <w:sz w:val="32"/>
          <w:szCs w:val="32"/>
        </w:rPr>
        <w:t>年，</w:t>
      </w:r>
      <w:r>
        <w:rPr>
          <w:rFonts w:hint="eastAsia" w:ascii="仿宋_GB2312" w:eastAsia="仿宋_GB2312"/>
          <w:sz w:val="32"/>
          <w:szCs w:val="32"/>
          <w:lang w:eastAsia="zh-CN"/>
        </w:rPr>
        <w:t>区委办</w:t>
      </w:r>
      <w:r>
        <w:rPr>
          <w:rFonts w:hint="eastAsia" w:ascii="仿宋_GB2312" w:eastAsia="仿宋_GB2312"/>
          <w:sz w:val="32"/>
          <w:szCs w:val="32"/>
        </w:rPr>
        <w:t>机关运行经费支出</w:t>
      </w:r>
      <w:r>
        <w:rPr>
          <w:rFonts w:hint="eastAsia" w:ascii="仿宋_GB2312" w:eastAsia="仿宋_GB2312"/>
          <w:sz w:val="32"/>
          <w:szCs w:val="32"/>
          <w:lang w:val="en-US" w:eastAsia="zh-CN"/>
        </w:rPr>
        <w:t>68.86</w:t>
      </w:r>
      <w:r>
        <w:rPr>
          <w:rFonts w:hint="eastAsia" w:ascii="仿宋_GB2312" w:eastAsia="仿宋_GB2312"/>
          <w:sz w:val="32"/>
          <w:szCs w:val="32"/>
        </w:rPr>
        <w:t>万元，比</w:t>
      </w:r>
      <w:r>
        <w:rPr>
          <w:rFonts w:ascii="仿宋_GB2312" w:eastAsia="仿宋_GB2312"/>
          <w:sz w:val="32"/>
          <w:szCs w:val="32"/>
        </w:rPr>
        <w:t>2020</w:t>
      </w:r>
      <w:r>
        <w:rPr>
          <w:rFonts w:hint="eastAsia" w:ascii="仿宋_GB2312" w:eastAsia="仿宋_GB2312"/>
          <w:sz w:val="32"/>
          <w:szCs w:val="32"/>
        </w:rPr>
        <w:t>年增加</w:t>
      </w:r>
      <w:r>
        <w:rPr>
          <w:rFonts w:hint="eastAsia" w:ascii="仿宋_GB2312" w:eastAsia="仿宋_GB2312"/>
          <w:sz w:val="32"/>
          <w:szCs w:val="32"/>
          <w:lang w:val="en-US" w:eastAsia="zh-CN"/>
        </w:rPr>
        <w:t>7.54</w:t>
      </w:r>
      <w:r>
        <w:rPr>
          <w:rFonts w:hint="eastAsia" w:ascii="仿宋_GB2312" w:eastAsia="仿宋_GB2312"/>
          <w:sz w:val="32"/>
          <w:szCs w:val="32"/>
        </w:rPr>
        <w:t>万元，增长</w:t>
      </w:r>
      <w:r>
        <w:rPr>
          <w:rFonts w:hint="eastAsia" w:ascii="仿宋_GB2312" w:eastAsia="仿宋_GB2312"/>
          <w:sz w:val="32"/>
          <w:szCs w:val="32"/>
          <w:lang w:val="en-US" w:eastAsia="zh-CN"/>
        </w:rPr>
        <w:t>12</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2021年度因工作需要致使公用经费增加及补发补发人员车辆改革性补贴。</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 w:hAnsi="仿宋" w:eastAsia="仿宋"/>
          <w:b/>
          <w:sz w:val="32"/>
          <w:szCs w:val="32"/>
        </w:rPr>
      </w:pPr>
      <w:r>
        <w:rPr>
          <w:rFonts w:ascii="仿宋_GB2312" w:eastAsia="仿宋_GB2312"/>
          <w:sz w:val="32"/>
          <w:szCs w:val="32"/>
        </w:rPr>
        <w:t>2021</w:t>
      </w:r>
      <w:r>
        <w:rPr>
          <w:rFonts w:hint="eastAsia" w:ascii="仿宋_GB2312" w:eastAsia="仿宋_GB2312"/>
          <w:sz w:val="32"/>
          <w:szCs w:val="32"/>
        </w:rPr>
        <w:t>年，</w:t>
      </w:r>
      <w:r>
        <w:rPr>
          <w:rFonts w:hint="eastAsia" w:ascii="仿宋_GB2312" w:eastAsia="仿宋_GB2312"/>
          <w:sz w:val="32"/>
          <w:szCs w:val="32"/>
          <w:lang w:eastAsia="zh-CN"/>
        </w:rPr>
        <w:t>区委办</w:t>
      </w:r>
      <w:r>
        <w:rPr>
          <w:rFonts w:hint="eastAsia" w:ascii="仿宋_GB2312" w:eastAsia="仿宋_GB2312"/>
          <w:sz w:val="32"/>
          <w:szCs w:val="32"/>
        </w:rPr>
        <w:t>政府采购支出总额</w:t>
      </w:r>
      <w:r>
        <w:rPr>
          <w:rFonts w:hint="eastAsia" w:ascii="仿宋_GB2312" w:eastAsia="仿宋_GB2312"/>
          <w:sz w:val="32"/>
          <w:szCs w:val="32"/>
          <w:lang w:val="en-US" w:eastAsia="zh-CN"/>
        </w:rPr>
        <w:t>3.25</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3.25</w:t>
      </w:r>
      <w:r>
        <w:rPr>
          <w:rFonts w:hint="eastAsia" w:ascii="仿宋_GB2312" w:eastAsia="仿宋_GB2312"/>
          <w:sz w:val="32"/>
          <w:szCs w:val="32"/>
        </w:rPr>
        <w:t>万元。主要用于</w:t>
      </w:r>
      <w:r>
        <w:rPr>
          <w:rFonts w:hint="eastAsia" w:ascii="仿宋_GB2312" w:eastAsia="仿宋_GB2312"/>
          <w:sz w:val="32"/>
          <w:szCs w:val="32"/>
          <w:lang w:eastAsia="zh-CN"/>
        </w:rPr>
        <w:t>日常办公家具正常替代及更换</w:t>
      </w:r>
      <w:r>
        <w:rPr>
          <w:rFonts w:hint="eastAsia" w:ascii="仿宋_GB2312" w:eastAsia="仿宋_GB2312"/>
          <w:sz w:val="32"/>
          <w:szCs w:val="32"/>
        </w:rPr>
        <w:t>。</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2021</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sz w:val="32"/>
          <w:szCs w:val="32"/>
          <w:lang w:eastAsia="zh-CN"/>
        </w:rPr>
        <w:t>区委办</w:t>
      </w:r>
      <w:r>
        <w:rPr>
          <w:rFonts w:hint="eastAsia" w:ascii="仿宋_GB2312" w:eastAsia="仿宋_GB2312"/>
          <w:sz w:val="32"/>
          <w:szCs w:val="32"/>
        </w:rPr>
        <w:t>共有车辆</w:t>
      </w:r>
      <w:r>
        <w:rPr>
          <w:rFonts w:hint="eastAsia" w:ascii="仿宋_GB2312" w:eastAsia="仿宋_GB2312"/>
          <w:sz w:val="32"/>
          <w:szCs w:val="32"/>
          <w:lang w:val="en-US" w:eastAsia="zh-CN"/>
        </w:rPr>
        <w:t>2</w:t>
      </w:r>
      <w:r>
        <w:rPr>
          <w:rFonts w:hint="eastAsia" w:ascii="仿宋_GB2312" w:eastAsia="仿宋_GB2312"/>
          <w:sz w:val="32"/>
          <w:szCs w:val="32"/>
        </w:rPr>
        <w:t>辆，其中：机要通信用车</w:t>
      </w:r>
      <w:r>
        <w:rPr>
          <w:rFonts w:hint="eastAsia" w:ascii="仿宋_GB2312" w:eastAsia="仿宋_GB2312"/>
          <w:sz w:val="32"/>
          <w:szCs w:val="32"/>
          <w:lang w:val="en-US" w:eastAsia="zh-CN"/>
        </w:rPr>
        <w:t>1</w:t>
      </w:r>
      <w:r>
        <w:rPr>
          <w:rFonts w:hint="eastAsia" w:ascii="仿宋_GB2312" w:eastAsia="仿宋_GB2312"/>
          <w:sz w:val="32"/>
          <w:szCs w:val="32"/>
        </w:rPr>
        <w:t>辆、其他用车</w:t>
      </w:r>
      <w:r>
        <w:rPr>
          <w:rFonts w:hint="eastAsia" w:ascii="仿宋_GB2312" w:eastAsia="仿宋_GB2312"/>
          <w:sz w:val="32"/>
          <w:szCs w:val="32"/>
          <w:lang w:val="en-US" w:eastAsia="zh-CN"/>
        </w:rPr>
        <w:t>1</w:t>
      </w:r>
      <w:r>
        <w:rPr>
          <w:rFonts w:hint="eastAsia" w:ascii="仿宋_GB2312" w:eastAsia="仿宋_GB2312"/>
          <w:sz w:val="32"/>
          <w:szCs w:val="32"/>
        </w:rPr>
        <w:t>辆</w:t>
      </w:r>
      <w:r>
        <w:rPr>
          <w:rFonts w:hint="eastAsia" w:ascii="仿宋_GB2312" w:eastAsia="仿宋_GB2312"/>
          <w:sz w:val="32"/>
          <w:szCs w:val="32"/>
          <w:lang w:eastAsia="zh-CN"/>
        </w:rPr>
        <w:t>。</w:t>
      </w:r>
      <w:r>
        <w:rPr>
          <w:rFonts w:hint="eastAsia" w:ascii="仿宋_GB2312" w:eastAsia="仿宋_GB2312"/>
          <w:sz w:val="32"/>
          <w:szCs w:val="32"/>
        </w:rPr>
        <w:t>其他用车主要是用于</w:t>
      </w:r>
      <w:r>
        <w:rPr>
          <w:rFonts w:hint="eastAsia" w:ascii="仿宋_GB2312" w:eastAsia="仿宋_GB2312"/>
          <w:sz w:val="32"/>
          <w:szCs w:val="32"/>
          <w:lang w:eastAsia="zh-CN"/>
        </w:rPr>
        <w:t>单位日常公务运行用车。</w:t>
      </w:r>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万元以上通用设备</w:t>
      </w:r>
      <w:r>
        <w:rPr>
          <w:rFonts w:hint="eastAsia" w:ascii="仿宋_GB2312" w:eastAsia="仿宋_GB2312"/>
          <w:sz w:val="32"/>
          <w:szCs w:val="32"/>
          <w:lang w:val="en-US" w:eastAsia="zh-CN"/>
        </w:rPr>
        <w:t>0</w:t>
      </w:r>
      <w:r>
        <w:rPr>
          <w:rFonts w:hint="eastAsia" w:ascii="仿宋_GB2312" w:eastAsia="仿宋_GB2312"/>
          <w:sz w:val="32"/>
          <w:szCs w:val="32"/>
        </w:rPr>
        <w:t>台（套），单价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年度预算编制阶段，组织对</w:t>
      </w:r>
      <w:r>
        <w:rPr>
          <w:rFonts w:hint="eastAsia" w:ascii="仿宋_GB2312" w:hAnsi="仿宋_GB2312" w:eastAsia="仿宋_GB2312" w:cs="仿宋_GB2312"/>
          <w:sz w:val="32"/>
          <w:szCs w:val="32"/>
          <w:lang w:eastAsia="zh-CN"/>
        </w:rPr>
        <w:t>干部能力提升培训专项工作、政研专项工作等</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个项目编制了绩效目标，预算执行过程中，</w:t>
      </w:r>
      <w:r>
        <w:rPr>
          <w:rFonts w:hint="eastAsia" w:ascii="仿宋_GB2312" w:hAnsi="仿宋_GB2312" w:eastAsia="仿宋_GB2312" w:cs="仿宋_GB2312"/>
          <w:sz w:val="32"/>
          <w:szCs w:val="32"/>
          <w:lang w:eastAsia="zh-CN"/>
        </w:rPr>
        <w:t>对所有</w:t>
      </w:r>
      <w:r>
        <w:rPr>
          <w:rFonts w:hint="eastAsia" w:ascii="仿宋_GB2312" w:hAnsi="仿宋_GB2312" w:eastAsia="仿宋_GB2312" w:cs="仿宋_GB2312"/>
          <w:sz w:val="32"/>
          <w:szCs w:val="32"/>
        </w:rPr>
        <w:t>项目开展绩效监控，年终执行完毕后，对</w:t>
      </w:r>
      <w:r>
        <w:rPr>
          <w:rFonts w:hint="eastAsia" w:ascii="仿宋_GB2312" w:hAnsi="仿宋_GB2312" w:eastAsia="仿宋_GB2312" w:cs="仿宋_GB2312"/>
          <w:sz w:val="32"/>
          <w:szCs w:val="32"/>
          <w:lang w:eastAsia="zh-CN"/>
        </w:rPr>
        <w:t>所有</w:t>
      </w:r>
      <w:r>
        <w:rPr>
          <w:rFonts w:hint="eastAsia" w:ascii="仿宋_GB2312" w:hAnsi="仿宋_GB2312" w:eastAsia="仿宋_GB2312" w:cs="仿宋_GB2312"/>
          <w:sz w:val="32"/>
          <w:szCs w:val="32"/>
        </w:rPr>
        <w:t>项目开展了绩效自评。同时，本部门对</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年部门整体开展绩效自评，《</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区委办</w:t>
      </w:r>
      <w:r>
        <w:rPr>
          <w:rFonts w:hint="eastAsia" w:ascii="仿宋_GB2312" w:hAnsi="仿宋_GB2312" w:eastAsia="仿宋_GB2312" w:cs="仿宋_GB2312"/>
          <w:sz w:val="32"/>
          <w:szCs w:val="32"/>
        </w:rPr>
        <w:t>部门整体绩效评价报告》见附件（第四部分）。</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19"/>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19"/>
          <w:rFonts w:hint="eastAsia" w:ascii="黑体" w:hAnsi="黑体" w:eastAsia="黑体"/>
          <w:b w:val="0"/>
        </w:rPr>
        <w:t>词解释</w:t>
      </w:r>
      <w:bookmarkEnd w:id="49"/>
      <w:bookmarkEnd w:id="50"/>
    </w:p>
    <w:p>
      <w:pPr>
        <w:spacing w:line="600" w:lineRule="exact"/>
        <w:jc w:val="left"/>
        <w:rPr>
          <w:rFonts w:ascii="宋体"/>
          <w:b/>
          <w:sz w:val="44"/>
          <w:szCs w:val="44"/>
        </w:rPr>
      </w:pPr>
    </w:p>
    <w:p>
      <w:pPr>
        <w:pStyle w:val="29"/>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hAnsi="宋体" w:eastAsia="仿宋_GB2312" w:cs="Times New Roman"/>
          <w:color w:val="auto"/>
          <w:sz w:val="32"/>
          <w:szCs w:val="32"/>
          <w:lang w:val="zh-CN"/>
        </w:rPr>
        <w:t>．</w:t>
      </w:r>
      <w:r>
        <w:rPr>
          <w:rFonts w:hint="eastAsia" w:ascii="仿宋_GB2312" w:eastAsia="仿宋_GB2312"/>
          <w:color w:val="auto"/>
          <w:sz w:val="32"/>
          <w:szCs w:val="32"/>
        </w:rPr>
        <w:t>财政拨款收入：指单位从同级财政部门取得的财政预算资金。</w:t>
      </w:r>
    </w:p>
    <w:p>
      <w:pPr>
        <w:spacing w:line="600" w:lineRule="exact"/>
        <w:ind w:firstLine="640" w:firstLineChars="200"/>
        <w:rPr>
          <w:rFonts w:ascii="仿宋" w:hAnsi="仿宋" w:eastAsia="仿宋" w:cs="仿宋"/>
          <w:b/>
          <w:bCs/>
          <w:color w:val="000000"/>
          <w:sz w:val="32"/>
          <w:szCs w:val="32"/>
        </w:rPr>
      </w:pPr>
      <w:bookmarkStart w:id="51" w:name="_Toc15377226"/>
      <w:r>
        <w:rPr>
          <w:rFonts w:ascii="仿宋_GB2312" w:eastAsia="仿宋_GB2312"/>
          <w:color w:val="000000"/>
          <w:sz w:val="32"/>
          <w:szCs w:val="32"/>
        </w:rPr>
        <w:t>4.</w:t>
      </w:r>
      <w:r>
        <w:rPr>
          <w:rFonts w:hint="eastAsia" w:ascii="仿宋_GB2312" w:eastAsia="仿宋_GB2312"/>
          <w:color w:val="000000"/>
          <w:sz w:val="32"/>
          <w:szCs w:val="32"/>
        </w:rPr>
        <w:t>一般公共服务</w:t>
      </w:r>
      <w:r>
        <w:rPr>
          <w:rFonts w:ascii="仿宋_GB2312" w:hAnsi="仿宋" w:eastAsia="仿宋_GB2312" w:cs="仿宋"/>
          <w:color w:val="000000"/>
          <w:sz w:val="32"/>
          <w:szCs w:val="32"/>
        </w:rPr>
        <w:t>201</w:t>
      </w:r>
      <w:r>
        <w:rPr>
          <w:rFonts w:hint="eastAsia" w:ascii="仿宋_GB2312" w:hAnsi="仿宋" w:eastAsia="仿宋_GB2312" w:cs="仿宋"/>
          <w:color w:val="000000"/>
          <w:sz w:val="32"/>
          <w:szCs w:val="32"/>
        </w:rPr>
        <w:t>：指反映政府提供一般公共服务产生的</w:t>
      </w:r>
      <w:r>
        <w:rPr>
          <w:rStyle w:val="34"/>
          <w:rFonts w:hint="eastAsia" w:ascii="仿宋_GB2312" w:hAnsi="仿宋" w:eastAsia="仿宋_GB2312" w:cs="仿宋"/>
          <w:b w:val="0"/>
          <w:bCs w:val="0"/>
          <w:color w:val="000000"/>
          <w:sz w:val="32"/>
          <w:szCs w:val="32"/>
        </w:rPr>
        <w:t>人员工资奖金津补贴以及购买的商品和服务</w:t>
      </w:r>
      <w:r>
        <w:rPr>
          <w:rFonts w:hint="eastAsia" w:ascii="仿宋_GB2312" w:hAnsi="仿宋" w:eastAsia="仿宋_GB2312" w:cs="仿宋"/>
          <w:color w:val="000000"/>
          <w:sz w:val="32"/>
          <w:szCs w:val="32"/>
        </w:rPr>
        <w:t>支出。包括</w:t>
      </w:r>
      <w:r>
        <w:rPr>
          <w:rStyle w:val="34"/>
          <w:rFonts w:hint="eastAsia" w:ascii="仿宋_GB2312" w:hAnsi="仿宋" w:eastAsia="仿宋_GB2312" w:cs="仿宋"/>
          <w:b w:val="0"/>
          <w:bCs w:val="0"/>
          <w:color w:val="000000"/>
          <w:sz w:val="32"/>
          <w:szCs w:val="32"/>
        </w:rPr>
        <w:t>行政运行</w:t>
      </w:r>
      <w:r>
        <w:rPr>
          <w:rStyle w:val="34"/>
          <w:rFonts w:ascii="仿宋_GB2312" w:hAnsi="仿宋" w:eastAsia="仿宋_GB2312" w:cs="仿宋"/>
          <w:b w:val="0"/>
          <w:bCs w:val="0"/>
          <w:color w:val="000000"/>
          <w:sz w:val="32"/>
          <w:szCs w:val="32"/>
        </w:rPr>
        <w:t>2013101</w:t>
      </w:r>
      <w:r>
        <w:rPr>
          <w:rStyle w:val="34"/>
          <w:rFonts w:hint="eastAsia" w:ascii="仿宋_GB2312" w:hAnsi="仿宋" w:eastAsia="仿宋_GB2312" w:cs="仿宋"/>
          <w:b w:val="0"/>
          <w:bCs w:val="0"/>
          <w:color w:val="000000"/>
          <w:sz w:val="32"/>
          <w:szCs w:val="32"/>
        </w:rPr>
        <w:t>反映行政单位基本</w:t>
      </w:r>
      <w:r>
        <w:rPr>
          <w:rFonts w:hint="eastAsia" w:ascii="仿宋_GB2312" w:hAnsi="仿宋" w:eastAsia="仿宋_GB2312"/>
          <w:color w:val="000000"/>
          <w:sz w:val="32"/>
          <w:szCs w:val="32"/>
        </w:rPr>
        <w:t>支出、</w:t>
      </w:r>
      <w:r>
        <w:rPr>
          <w:rStyle w:val="34"/>
          <w:rFonts w:ascii="仿宋_GB2312" w:hAnsi="仿宋" w:eastAsia="仿宋_GB2312" w:cs="仿宋"/>
          <w:b w:val="0"/>
          <w:bCs w:val="0"/>
          <w:color w:val="000000"/>
          <w:sz w:val="32"/>
          <w:szCs w:val="32"/>
        </w:rPr>
        <w:t>2013199</w:t>
      </w:r>
      <w:r>
        <w:rPr>
          <w:rStyle w:val="34"/>
          <w:rFonts w:hint="eastAsia" w:ascii="仿宋_GB2312" w:hAnsi="仿宋" w:eastAsia="仿宋_GB2312" w:cs="仿宋"/>
          <w:b w:val="0"/>
          <w:bCs w:val="0"/>
          <w:color w:val="000000"/>
          <w:sz w:val="32"/>
          <w:szCs w:val="32"/>
        </w:rPr>
        <w:t>指反映党委办公厅（室）及相关机构其他事务支出。</w:t>
      </w:r>
    </w:p>
    <w:p>
      <w:pPr>
        <w:ind w:firstLine="640" w:firstLineChars="200"/>
        <w:rPr>
          <w:rFonts w:ascii="仿宋_GB2312" w:hAnsi="仿宋" w:eastAsia="仿宋_GB2312" w:cs="仿宋"/>
          <w:color w:val="000000"/>
          <w:sz w:val="32"/>
          <w:szCs w:val="32"/>
        </w:rPr>
      </w:pPr>
      <w:r>
        <w:rPr>
          <w:rFonts w:ascii="仿宋_GB2312" w:hAnsi="仿宋" w:eastAsia="仿宋_GB2312" w:cs="仿宋"/>
          <w:color w:val="000000"/>
          <w:sz w:val="32"/>
          <w:szCs w:val="32"/>
        </w:rPr>
        <w:t>5.</w:t>
      </w:r>
      <w:r>
        <w:rPr>
          <w:rFonts w:hint="eastAsia" w:ascii="仿宋_GB2312" w:hAnsi="仿宋" w:eastAsia="仿宋_GB2312" w:cs="仿宋"/>
          <w:color w:val="000000"/>
          <w:sz w:val="32"/>
          <w:szCs w:val="32"/>
        </w:rPr>
        <w:t>培训支出</w:t>
      </w:r>
      <w:r>
        <w:rPr>
          <w:rFonts w:ascii="仿宋_GB2312" w:hAnsi="仿宋" w:eastAsia="仿宋_GB2312" w:cs="仿宋"/>
          <w:color w:val="000000"/>
          <w:sz w:val="32"/>
          <w:szCs w:val="32"/>
        </w:rPr>
        <w:t>2050803</w:t>
      </w:r>
      <w:r>
        <w:rPr>
          <w:rFonts w:hint="eastAsia" w:ascii="仿宋_GB2312" w:hAnsi="仿宋" w:eastAsia="仿宋_GB2312" w:cs="仿宋"/>
          <w:color w:val="000000"/>
          <w:sz w:val="32"/>
          <w:szCs w:val="32"/>
        </w:rPr>
        <w:t>：指为反映部门安排用于培训的支出。</w:t>
      </w:r>
    </w:p>
    <w:p>
      <w:pPr>
        <w:ind w:firstLine="640" w:firstLineChars="200"/>
        <w:rPr>
          <w:rFonts w:ascii="仿宋_GB2312" w:hAnsi="仿宋" w:eastAsia="仿宋_GB2312" w:cs="仿宋"/>
          <w:color w:val="000000"/>
          <w:sz w:val="32"/>
          <w:szCs w:val="32"/>
        </w:rPr>
      </w:pPr>
      <w:r>
        <w:rPr>
          <w:rFonts w:ascii="仿宋_GB2312" w:hAnsi="仿宋" w:eastAsia="仿宋_GB2312" w:cs="仿宋"/>
          <w:color w:val="000000"/>
          <w:sz w:val="32"/>
          <w:szCs w:val="32"/>
        </w:rPr>
        <w:t>6.</w:t>
      </w:r>
      <w:r>
        <w:rPr>
          <w:rFonts w:hint="eastAsia" w:ascii="仿宋_GB2312" w:hAnsi="仿宋" w:eastAsia="仿宋_GB2312" w:cs="仿宋"/>
          <w:color w:val="000000"/>
          <w:sz w:val="32"/>
          <w:szCs w:val="32"/>
        </w:rPr>
        <w:t>社会保障和就业</w:t>
      </w:r>
      <w:r>
        <w:rPr>
          <w:rFonts w:ascii="仿宋_GB2312" w:hAnsi="仿宋" w:eastAsia="仿宋_GB2312" w:cs="仿宋"/>
          <w:color w:val="000000"/>
          <w:sz w:val="32"/>
          <w:szCs w:val="32"/>
        </w:rPr>
        <w:t>208</w:t>
      </w:r>
      <w:r>
        <w:rPr>
          <w:rFonts w:hint="eastAsia" w:ascii="仿宋_GB2312" w:hAnsi="仿宋" w:eastAsia="仿宋_GB2312" w:cs="仿宋"/>
          <w:color w:val="000000"/>
          <w:sz w:val="32"/>
          <w:szCs w:val="32"/>
        </w:rPr>
        <w:t>：职工缴纳的基本养老保险金</w:t>
      </w:r>
      <w:r>
        <w:rPr>
          <w:rFonts w:ascii="仿宋_GB2312" w:hAnsi="仿宋" w:eastAsia="仿宋_GB2312" w:cs="仿宋"/>
          <w:color w:val="000000"/>
          <w:sz w:val="32"/>
          <w:szCs w:val="32"/>
        </w:rPr>
        <w:t>2080505</w:t>
      </w:r>
      <w:r>
        <w:rPr>
          <w:rFonts w:hint="eastAsia" w:ascii="仿宋_GB2312" w:hAnsi="仿宋" w:eastAsia="仿宋_GB2312" w:cs="仿宋"/>
          <w:color w:val="000000"/>
          <w:sz w:val="32"/>
          <w:szCs w:val="32"/>
        </w:rPr>
        <w:t>指反映机关单位实施养老保险制度由单位缴纳的基本养老保险费的支出、职业年金</w:t>
      </w:r>
      <w:r>
        <w:rPr>
          <w:rFonts w:ascii="仿宋_GB2312" w:hAnsi="仿宋" w:eastAsia="仿宋_GB2312" w:cs="仿宋"/>
          <w:color w:val="000000"/>
          <w:sz w:val="32"/>
          <w:szCs w:val="32"/>
        </w:rPr>
        <w:t>2080506</w:t>
      </w:r>
      <w:r>
        <w:rPr>
          <w:rFonts w:hint="eastAsia" w:ascii="仿宋_GB2312" w:hAnsi="仿宋" w:eastAsia="仿宋_GB2312" w:cs="仿宋"/>
          <w:color w:val="000000"/>
          <w:sz w:val="32"/>
          <w:szCs w:val="32"/>
        </w:rPr>
        <w:t>指反映机关单位实施养老保险制度由单位缴纳的职业年金支出、失业保险</w:t>
      </w:r>
      <w:r>
        <w:rPr>
          <w:rFonts w:ascii="仿宋_GB2312" w:hAnsi="仿宋" w:eastAsia="仿宋_GB2312" w:cs="仿宋"/>
          <w:color w:val="000000"/>
          <w:sz w:val="32"/>
          <w:szCs w:val="32"/>
        </w:rPr>
        <w:t>2082701</w:t>
      </w:r>
      <w:r>
        <w:rPr>
          <w:rFonts w:hint="eastAsia" w:ascii="仿宋_GB2312" w:hAnsi="仿宋" w:eastAsia="仿宋_GB2312" w:cs="仿宋"/>
          <w:color w:val="000000"/>
          <w:sz w:val="32"/>
          <w:szCs w:val="32"/>
        </w:rPr>
        <w:t>反映财政对失业保险基金的补助支出和工伤保险</w:t>
      </w:r>
      <w:r>
        <w:rPr>
          <w:rFonts w:ascii="仿宋_GB2312" w:hAnsi="仿宋" w:eastAsia="仿宋_GB2312" w:cs="仿宋"/>
          <w:color w:val="000000"/>
          <w:sz w:val="32"/>
          <w:szCs w:val="32"/>
        </w:rPr>
        <w:t>2082702</w:t>
      </w:r>
      <w:r>
        <w:rPr>
          <w:rFonts w:hint="eastAsia" w:ascii="仿宋_GB2312" w:hAnsi="仿宋" w:eastAsia="仿宋_GB2312" w:cs="仿宋"/>
          <w:color w:val="000000"/>
          <w:sz w:val="32"/>
          <w:szCs w:val="32"/>
        </w:rPr>
        <w:t>反映财政对工伤保险基金的补助支出。</w:t>
      </w:r>
    </w:p>
    <w:p>
      <w:pPr>
        <w:ind w:firstLine="640" w:firstLineChars="200"/>
        <w:rPr>
          <w:rFonts w:ascii="仿宋_GB2312" w:hAnsi="仿宋" w:eastAsia="仿宋_GB2312" w:cs="仿宋"/>
          <w:color w:val="000000"/>
          <w:sz w:val="32"/>
          <w:szCs w:val="32"/>
        </w:rPr>
      </w:pPr>
      <w:r>
        <w:rPr>
          <w:rFonts w:ascii="仿宋_GB2312" w:hAnsi="仿宋" w:eastAsia="仿宋_GB2312" w:cs="仿宋"/>
          <w:color w:val="000000"/>
          <w:sz w:val="32"/>
          <w:szCs w:val="32"/>
        </w:rPr>
        <w:t>7.</w:t>
      </w:r>
      <w:r>
        <w:rPr>
          <w:rFonts w:hint="eastAsia" w:ascii="仿宋_GB2312" w:hAnsi="仿宋" w:eastAsia="仿宋_GB2312" w:cs="仿宋"/>
          <w:color w:val="000000"/>
          <w:sz w:val="32"/>
          <w:szCs w:val="32"/>
        </w:rPr>
        <w:t>医疗卫生与计划生育：包含行政单位医疗</w:t>
      </w:r>
      <w:r>
        <w:rPr>
          <w:rFonts w:ascii="仿宋_GB2312" w:hAnsi="仿宋" w:eastAsia="仿宋_GB2312" w:cs="仿宋"/>
          <w:color w:val="000000"/>
          <w:sz w:val="32"/>
          <w:szCs w:val="32"/>
        </w:rPr>
        <w:t>2101101</w:t>
      </w:r>
      <w:r>
        <w:rPr>
          <w:rFonts w:hint="eastAsia" w:ascii="仿宋_GB2312" w:hAnsi="仿宋" w:eastAsia="仿宋_GB2312" w:cs="仿宋"/>
          <w:color w:val="000000"/>
          <w:sz w:val="32"/>
          <w:szCs w:val="32"/>
        </w:rPr>
        <w:t>反映财政部门安排的行政单位基本医疗保险缴费经费和生育保险</w:t>
      </w:r>
      <w:r>
        <w:rPr>
          <w:rFonts w:ascii="仿宋_GB2312" w:hAnsi="仿宋" w:eastAsia="仿宋_GB2312" w:cs="仿宋"/>
          <w:color w:val="000000"/>
          <w:sz w:val="32"/>
          <w:szCs w:val="32"/>
        </w:rPr>
        <w:t>2082703</w:t>
      </w:r>
      <w:r>
        <w:rPr>
          <w:rFonts w:hint="eastAsia" w:ascii="仿宋_GB2312" w:hAnsi="仿宋" w:eastAsia="仿宋_GB2312" w:cs="仿宋"/>
          <w:color w:val="000000"/>
          <w:sz w:val="32"/>
          <w:szCs w:val="32"/>
        </w:rPr>
        <w:t>反映财政对生育保险基金的补助支出。。</w:t>
      </w:r>
    </w:p>
    <w:p>
      <w:pPr>
        <w:ind w:firstLine="640" w:firstLineChars="200"/>
        <w:rPr>
          <w:rFonts w:ascii="仿宋_GB2312" w:hAnsi="仿宋" w:eastAsia="仿宋_GB2312" w:cs="仿宋"/>
          <w:color w:val="000000"/>
          <w:sz w:val="32"/>
          <w:szCs w:val="32"/>
        </w:rPr>
      </w:pPr>
      <w:r>
        <w:rPr>
          <w:rFonts w:ascii="仿宋_GB2312" w:hAnsi="仿宋" w:eastAsia="仿宋_GB2312" w:cs="仿宋"/>
          <w:color w:val="000000"/>
          <w:sz w:val="32"/>
          <w:szCs w:val="32"/>
        </w:rPr>
        <w:t>8.</w:t>
      </w:r>
      <w:r>
        <w:rPr>
          <w:rFonts w:hint="eastAsia" w:ascii="仿宋_GB2312" w:hAnsi="仿宋" w:eastAsia="仿宋_GB2312" w:cs="仿宋"/>
          <w:color w:val="000000"/>
          <w:sz w:val="32"/>
          <w:szCs w:val="32"/>
        </w:rPr>
        <w:t>住房保障</w:t>
      </w:r>
      <w:r>
        <w:rPr>
          <w:rFonts w:ascii="仿宋_GB2312" w:hAnsi="仿宋" w:eastAsia="仿宋_GB2312" w:cs="仿宋"/>
          <w:color w:val="000000"/>
          <w:sz w:val="32"/>
          <w:szCs w:val="32"/>
        </w:rPr>
        <w:t>2210201</w:t>
      </w:r>
      <w:r>
        <w:rPr>
          <w:rFonts w:hint="eastAsia" w:ascii="仿宋_GB2312" w:hAnsi="仿宋" w:eastAsia="仿宋_GB2312" w:cs="仿宋"/>
          <w:color w:val="000000"/>
          <w:sz w:val="32"/>
          <w:szCs w:val="32"/>
        </w:rPr>
        <w:t>：反映行政事业单位按人力资源和社会保障部、财政部规定的基本工资和津补贴以及规定比例为职工缴纳的住房公积金。</w:t>
      </w:r>
    </w:p>
    <w:p>
      <w:pPr>
        <w:ind w:firstLine="640" w:firstLineChars="200"/>
        <w:rPr>
          <w:rFonts w:ascii="仿宋_GB2312" w:eastAsia="仿宋_GB2312"/>
          <w:color w:val="000000"/>
          <w:sz w:val="32"/>
          <w:szCs w:val="32"/>
        </w:rPr>
      </w:pPr>
      <w:r>
        <w:rPr>
          <w:rFonts w:ascii="仿宋_GB2312" w:eastAsia="仿宋_GB2312"/>
          <w:color w:val="000000"/>
          <w:sz w:val="32"/>
          <w:szCs w:val="32"/>
        </w:rPr>
        <w:t>8.</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9"/>
        <w:spacing w:line="560" w:lineRule="exact"/>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rPr>
          <w:rFonts w:ascii="仿宋" w:hAnsi="仿宋" w:eastAsia="仿宋"/>
          <w:b/>
          <w:color w:val="000000"/>
          <w:sz w:val="32"/>
          <w:szCs w:val="32"/>
        </w:rPr>
      </w:pPr>
      <w:r>
        <w:rPr>
          <w:rFonts w:ascii="仿宋_GB2312" w:eastAsia="仿宋_GB2312"/>
          <w:sz w:val="32"/>
          <w:szCs w:val="32"/>
        </w:rPr>
        <w:t>11.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19"/>
          <w:rFonts w:ascii="黑体" w:hAnsi="黑体" w:eastAsia="黑体"/>
          <w:b w:val="0"/>
        </w:rPr>
      </w:pPr>
      <w:r>
        <w:rPr>
          <w:rFonts w:ascii="宋体"/>
          <w:b/>
          <w:sz w:val="44"/>
          <w:szCs w:val="44"/>
        </w:rPr>
        <w:br w:type="page"/>
      </w:r>
      <w:bookmarkStart w:id="52" w:name="_Toc15396614"/>
      <w:r>
        <w:rPr>
          <w:rFonts w:hint="eastAsia" w:ascii="黑体" w:hAnsi="黑体" w:eastAsia="黑体"/>
          <w:sz w:val="44"/>
          <w:szCs w:val="44"/>
        </w:rPr>
        <w:t>第</w:t>
      </w:r>
      <w:r>
        <w:rPr>
          <w:rStyle w:val="19"/>
          <w:rFonts w:hint="eastAsia" w:ascii="黑体" w:hAnsi="黑体" w:eastAsia="黑体"/>
          <w:b w:val="0"/>
        </w:rPr>
        <w:t>四部分</w:t>
      </w:r>
      <w:r>
        <w:rPr>
          <w:rStyle w:val="19"/>
          <w:rFonts w:ascii="黑体" w:hAnsi="黑体" w:eastAsia="黑体"/>
          <w:b w:val="0"/>
        </w:rPr>
        <w:t xml:space="preserve"> </w:t>
      </w:r>
      <w:r>
        <w:rPr>
          <w:rStyle w:val="19"/>
          <w:rFonts w:hint="eastAsia" w:ascii="黑体" w:hAnsi="黑体" w:eastAsia="黑体"/>
          <w:b w:val="0"/>
        </w:rPr>
        <w:t>附件</w:t>
      </w:r>
      <w:bookmarkEnd w:id="52"/>
    </w:p>
    <w:p>
      <w:pPr>
        <w:spacing w:line="550" w:lineRule="exact"/>
        <w:contextualSpacing/>
        <w:jc w:val="center"/>
        <w:rPr>
          <w:rFonts w:hint="eastAsia" w:ascii="方正小标宋简体" w:hAnsi="宋体" w:eastAsia="方正小标宋简体"/>
          <w:sz w:val="44"/>
          <w:szCs w:val="44"/>
          <w:shd w:val="clear" w:color="auto" w:fill="FFFFFF"/>
        </w:rPr>
      </w:pPr>
    </w:p>
    <w:p>
      <w:pPr>
        <w:spacing w:line="550" w:lineRule="exact"/>
        <w:contextualSpacing/>
        <w:jc w:val="center"/>
        <w:rPr>
          <w:rFonts w:ascii="方正小标宋简体" w:hAnsi="宋体" w:eastAsia="方正小标宋简体"/>
          <w:sz w:val="44"/>
          <w:szCs w:val="44"/>
          <w:shd w:val="clear" w:color="auto" w:fill="FFFFFF"/>
        </w:rPr>
      </w:pPr>
      <w:r>
        <w:rPr>
          <w:rFonts w:hint="eastAsia" w:ascii="方正小标宋简体" w:hAnsi="宋体" w:eastAsia="方正小标宋简体"/>
          <w:sz w:val="44"/>
          <w:szCs w:val="44"/>
          <w:shd w:val="clear" w:color="auto" w:fill="FFFFFF"/>
        </w:rPr>
        <w:t>中共广元市朝天区委办公室</w:t>
      </w:r>
    </w:p>
    <w:p>
      <w:pPr>
        <w:spacing w:line="550" w:lineRule="exact"/>
        <w:contextualSpacing/>
        <w:jc w:val="center"/>
        <w:rPr>
          <w:rFonts w:ascii="方正小标宋简体" w:hAnsi="宋体" w:eastAsia="方正小标宋简体"/>
          <w:sz w:val="44"/>
          <w:szCs w:val="44"/>
          <w:shd w:val="clear" w:color="auto" w:fill="FFFFFF"/>
        </w:rPr>
      </w:pPr>
      <w:r>
        <w:rPr>
          <w:rFonts w:ascii="方正小标宋简体" w:hAnsi="宋体" w:eastAsia="方正小标宋简体"/>
          <w:sz w:val="44"/>
          <w:szCs w:val="44"/>
          <w:shd w:val="clear" w:color="auto" w:fill="FFFFFF"/>
        </w:rPr>
        <w:t>2021</w:t>
      </w:r>
      <w:r>
        <w:rPr>
          <w:rFonts w:hint="eastAsia" w:ascii="方正小标宋简体" w:hAnsi="宋体" w:eastAsia="方正小标宋简体"/>
          <w:sz w:val="44"/>
          <w:szCs w:val="44"/>
          <w:shd w:val="clear" w:color="auto" w:fill="FFFFFF"/>
        </w:rPr>
        <w:t>年度部门整体支出绩效自评报告</w:t>
      </w:r>
    </w:p>
    <w:p>
      <w:pPr>
        <w:spacing w:line="550" w:lineRule="exact"/>
        <w:contextualSpacing/>
        <w:jc w:val="center"/>
        <w:rPr>
          <w:rFonts w:ascii="黑体" w:hAnsi="??" w:eastAsia="黑体" w:cs="??"/>
          <w:color w:val="000000"/>
          <w:kern w:val="0"/>
          <w:sz w:val="32"/>
          <w:szCs w:val="32"/>
          <w:shd w:val="clear" w:color="auto" w:fill="FFFFFF"/>
        </w:rPr>
      </w:pPr>
    </w:p>
    <w:p>
      <w:pPr>
        <w:autoSpaceDE w:val="0"/>
        <w:adjustRightInd w:val="0"/>
        <w:snapToGrid w:val="0"/>
        <w:spacing w:line="550" w:lineRule="exact"/>
        <w:ind w:firstLine="640" w:firstLineChars="200"/>
        <w:contextualSpacing/>
        <w:jc w:val="left"/>
        <w:rPr>
          <w:rFonts w:ascii="黑体" w:hAnsi="黑体" w:eastAsia="黑体"/>
          <w:color w:val="000000"/>
          <w:kern w:val="0"/>
          <w:sz w:val="32"/>
          <w:szCs w:val="32"/>
          <w:shd w:val="clear" w:color="auto" w:fill="FFFFFF"/>
        </w:rPr>
      </w:pPr>
      <w:r>
        <w:rPr>
          <w:rFonts w:hint="eastAsia" w:ascii="黑体" w:hAnsi="黑体" w:eastAsia="黑体"/>
          <w:color w:val="000000"/>
          <w:kern w:val="0"/>
          <w:sz w:val="32"/>
          <w:szCs w:val="32"/>
          <w:shd w:val="clear" w:color="auto" w:fill="FFFFFF"/>
        </w:rPr>
        <w:t>一、部门概况</w:t>
      </w:r>
    </w:p>
    <w:p>
      <w:pPr>
        <w:spacing w:line="550" w:lineRule="exact"/>
        <w:ind w:firstLine="640" w:firstLineChars="200"/>
        <w:rPr>
          <w:rFonts w:ascii="仿宋_GB2312" w:hAnsi="??" w:eastAsia="仿宋_GB2312" w:cs="仿宋_GB2312"/>
          <w:sz w:val="32"/>
          <w:szCs w:val="32"/>
        </w:rPr>
      </w:pPr>
      <w:r>
        <w:rPr>
          <w:rFonts w:hint="eastAsia" w:ascii="楷体_GB2312" w:hAnsi="Times New Roman" w:eastAsia="楷体_GB2312"/>
          <w:color w:val="000000"/>
          <w:kern w:val="0"/>
          <w:sz w:val="32"/>
          <w:szCs w:val="32"/>
          <w:shd w:val="clear" w:color="auto" w:fill="FFFFFF"/>
        </w:rPr>
        <w:t>（一）机构组成。</w:t>
      </w:r>
      <w:r>
        <w:rPr>
          <w:rFonts w:hint="eastAsia" w:ascii="仿宋_GB2312" w:hAnsi="??" w:eastAsia="仿宋_GB2312" w:cs="仿宋_GB2312"/>
          <w:sz w:val="32"/>
          <w:szCs w:val="32"/>
        </w:rPr>
        <w:t>根据广朝编委发〔</w:t>
      </w:r>
      <w:r>
        <w:rPr>
          <w:rFonts w:ascii="仿宋_GB2312" w:hAnsi="??" w:eastAsia="仿宋_GB2312" w:cs="仿宋_GB2312"/>
          <w:sz w:val="32"/>
          <w:szCs w:val="32"/>
        </w:rPr>
        <w:t>2019</w:t>
      </w:r>
      <w:r>
        <w:rPr>
          <w:rFonts w:hint="eastAsia" w:ascii="仿宋_GB2312" w:hAnsi="??" w:eastAsia="仿宋_GB2312" w:cs="仿宋_GB2312"/>
          <w:sz w:val="32"/>
          <w:szCs w:val="32"/>
        </w:rPr>
        <w:t>〕</w:t>
      </w:r>
      <w:r>
        <w:rPr>
          <w:rFonts w:ascii="仿宋_GB2312" w:hAnsi="??" w:eastAsia="仿宋_GB2312" w:cs="仿宋_GB2312"/>
          <w:sz w:val="32"/>
          <w:szCs w:val="32"/>
        </w:rPr>
        <w:t>54</w:t>
      </w:r>
      <w:r>
        <w:rPr>
          <w:rFonts w:hint="eastAsia" w:ascii="仿宋_GB2312" w:hAnsi="??" w:eastAsia="仿宋_GB2312" w:cs="仿宋_GB2312"/>
          <w:sz w:val="32"/>
          <w:szCs w:val="32"/>
        </w:rPr>
        <w:t>号关于调整中共广元市朝天区委办公室有关机构编制事项通知文件精神，区委办内设行政、文秘、综合、信息、常委办、机要保密等股室及深化改革、国安、外事等议事协调机构办事机构。</w:t>
      </w:r>
    </w:p>
    <w:p>
      <w:pPr>
        <w:spacing w:line="550" w:lineRule="exact"/>
        <w:ind w:firstLine="640" w:firstLineChars="200"/>
        <w:rPr>
          <w:rFonts w:ascii="仿宋_GB2312" w:eastAsia="仿宋_GB2312"/>
          <w:sz w:val="32"/>
          <w:szCs w:val="32"/>
        </w:rPr>
      </w:pPr>
      <w:r>
        <w:rPr>
          <w:rFonts w:hint="eastAsia" w:ascii="楷体_GB2312" w:hAnsi="Times New Roman" w:eastAsia="楷体_GB2312"/>
          <w:color w:val="000000"/>
          <w:kern w:val="0"/>
          <w:sz w:val="32"/>
          <w:szCs w:val="32"/>
          <w:shd w:val="clear" w:color="auto" w:fill="FFFFFF"/>
        </w:rPr>
        <w:t>（二）机构职能。</w:t>
      </w:r>
      <w:r>
        <w:rPr>
          <w:rFonts w:ascii="仿宋_GB2312" w:hAnsi="??" w:eastAsia="仿宋_GB2312" w:cs="仿宋_GB2312"/>
          <w:sz w:val="32"/>
          <w:szCs w:val="32"/>
        </w:rPr>
        <w:t>1</w:t>
      </w:r>
      <w:r>
        <w:rPr>
          <w:rFonts w:hint="eastAsia" w:ascii="仿宋_GB2312" w:hAnsi="??" w:eastAsia="仿宋_GB2312" w:cs="仿宋_GB2312"/>
          <w:sz w:val="32"/>
          <w:szCs w:val="32"/>
        </w:rPr>
        <w:t>、</w:t>
      </w:r>
      <w:r>
        <w:rPr>
          <w:rFonts w:hint="eastAsia" w:ascii="仿宋_GB2312" w:eastAsia="仿宋_GB2312"/>
          <w:sz w:val="32"/>
          <w:szCs w:val="32"/>
        </w:rPr>
        <w:t>围绕中央、省委、市委和区委总体工作部署，做好调查研究、收集信息、反映动态，为区委决策提供服务。</w:t>
      </w:r>
      <w:r>
        <w:rPr>
          <w:rFonts w:ascii="仿宋_GB2312" w:eastAsia="仿宋_GB2312"/>
          <w:sz w:val="32"/>
          <w:szCs w:val="32"/>
        </w:rPr>
        <w:t>2</w:t>
      </w:r>
      <w:r>
        <w:rPr>
          <w:rFonts w:hint="eastAsia" w:ascii="仿宋_GB2312" w:eastAsia="仿宋_GB2312"/>
          <w:sz w:val="32"/>
          <w:szCs w:val="32"/>
        </w:rPr>
        <w:t>、负责区委日常公文处理，承担区委文电、重要文稿和区委领导讲话的起草、修改和校核工作。</w:t>
      </w:r>
      <w:r>
        <w:rPr>
          <w:rFonts w:ascii="仿宋_GB2312" w:eastAsia="仿宋_GB2312"/>
          <w:sz w:val="32"/>
          <w:szCs w:val="32"/>
        </w:rPr>
        <w:t>3</w:t>
      </w:r>
      <w:r>
        <w:rPr>
          <w:rFonts w:hint="eastAsia" w:ascii="仿宋_GB2312" w:eastAsia="仿宋_GB2312"/>
          <w:sz w:val="32"/>
          <w:szCs w:val="32"/>
        </w:rPr>
        <w:t>、负责上级和区委重要工作部署、重大决策贯彻落实情况的督促检查，以及中央、省、市及区委领导同志批示、指示的催办落实。</w:t>
      </w:r>
      <w:r>
        <w:rPr>
          <w:rFonts w:ascii="仿宋_GB2312" w:eastAsia="仿宋_GB2312"/>
          <w:sz w:val="32"/>
          <w:szCs w:val="32"/>
        </w:rPr>
        <w:t>4</w:t>
      </w:r>
      <w:r>
        <w:rPr>
          <w:rFonts w:hint="eastAsia" w:ascii="仿宋_GB2312" w:eastAsia="仿宋_GB2312"/>
          <w:sz w:val="32"/>
          <w:szCs w:val="32"/>
        </w:rPr>
        <w:t>、协助区委领导做好协调工作，促使各部门工作中互相配合、互相支持，提高效率，确保顺利完成工作任务。</w:t>
      </w:r>
      <w:r>
        <w:rPr>
          <w:rFonts w:ascii="仿宋_GB2312" w:eastAsia="仿宋_GB2312"/>
          <w:sz w:val="32"/>
          <w:szCs w:val="32"/>
        </w:rPr>
        <w:t>5</w:t>
      </w:r>
      <w:r>
        <w:rPr>
          <w:rFonts w:hint="eastAsia" w:ascii="仿宋_GB2312" w:eastAsia="仿宋_GB2312"/>
          <w:sz w:val="32"/>
          <w:szCs w:val="32"/>
        </w:rPr>
        <w:t>、负责区委各种会议和区委领导活动的组织安排，搞好上级领导和其他区、县（市）党委负责同志及有关来宾的接待服务工作。</w:t>
      </w:r>
      <w:r>
        <w:rPr>
          <w:rFonts w:ascii="仿宋_GB2312" w:eastAsia="仿宋_GB2312"/>
          <w:sz w:val="32"/>
          <w:szCs w:val="32"/>
        </w:rPr>
        <w:t>6</w:t>
      </w:r>
      <w:r>
        <w:rPr>
          <w:rFonts w:hint="eastAsia" w:ascii="仿宋_GB2312" w:eastAsia="仿宋_GB2312"/>
          <w:sz w:val="32"/>
          <w:szCs w:val="32"/>
        </w:rPr>
        <w:t>、负责全区党政系统的机要通讯和密码管理，负责中央、省委、市委文件和全区党政军领导机关及其部门机密文件、信件的传递工作。</w:t>
      </w:r>
      <w:r>
        <w:rPr>
          <w:rFonts w:ascii="仿宋_GB2312" w:eastAsia="仿宋_GB2312"/>
          <w:sz w:val="32"/>
          <w:szCs w:val="32"/>
        </w:rPr>
        <w:t>7</w:t>
      </w:r>
      <w:r>
        <w:rPr>
          <w:rFonts w:hint="eastAsia" w:ascii="仿宋_GB2312" w:eastAsia="仿宋_GB2312"/>
          <w:sz w:val="32"/>
          <w:szCs w:val="32"/>
        </w:rPr>
        <w:t>、负责全区的保密工作，督促查处失泄密事件，指导协调、督促检查全区保密工作开展情况。</w:t>
      </w:r>
      <w:r>
        <w:rPr>
          <w:rFonts w:ascii="仿宋_GB2312" w:eastAsia="仿宋_GB2312"/>
          <w:sz w:val="32"/>
          <w:szCs w:val="32"/>
        </w:rPr>
        <w:t>8</w:t>
      </w:r>
      <w:r>
        <w:rPr>
          <w:rFonts w:hint="eastAsia" w:ascii="仿宋_GB2312" w:eastAsia="仿宋_GB2312"/>
          <w:sz w:val="32"/>
          <w:szCs w:val="32"/>
        </w:rPr>
        <w:t>、负责区委机关后勤行政事务。协调、指导全区党史资料、历史档案和机关档案资料的征集、接收、整理、保管、利用和研究。</w:t>
      </w:r>
      <w:r>
        <w:rPr>
          <w:rFonts w:ascii="仿宋_GB2312" w:eastAsia="仿宋_GB2312"/>
          <w:sz w:val="32"/>
          <w:szCs w:val="32"/>
        </w:rPr>
        <w:t>10</w:t>
      </w:r>
      <w:r>
        <w:rPr>
          <w:rFonts w:hint="eastAsia" w:ascii="仿宋_GB2312" w:eastAsia="仿宋_GB2312"/>
          <w:sz w:val="32"/>
          <w:szCs w:val="32"/>
        </w:rPr>
        <w:t>、协调、指导全区信访工作，协助区委领导同志处理群众来信来访，及时了解群众的要求和建议，督促热点、难点问题的解决。</w:t>
      </w:r>
      <w:r>
        <w:rPr>
          <w:rFonts w:ascii="仿宋_GB2312" w:eastAsia="仿宋_GB2312"/>
          <w:sz w:val="32"/>
          <w:szCs w:val="32"/>
        </w:rPr>
        <w:t>11</w:t>
      </w:r>
      <w:r>
        <w:rPr>
          <w:rFonts w:hint="eastAsia" w:ascii="仿宋_GB2312" w:eastAsia="仿宋_GB2312"/>
          <w:sz w:val="32"/>
          <w:szCs w:val="32"/>
        </w:rPr>
        <w:t>、完成区委交办的其他任务。</w:t>
      </w:r>
    </w:p>
    <w:p>
      <w:pPr>
        <w:autoSpaceDE w:val="0"/>
        <w:adjustRightInd w:val="0"/>
        <w:snapToGrid w:val="0"/>
        <w:spacing w:line="550" w:lineRule="exact"/>
        <w:ind w:firstLine="640" w:firstLineChars="200"/>
        <w:contextualSpacing/>
        <w:jc w:val="left"/>
        <w:rPr>
          <w:rFonts w:ascii="楷体_GB2312" w:hAnsi="Times New Roman" w:eastAsia="楷体_GB2312"/>
          <w:color w:val="000000"/>
          <w:kern w:val="0"/>
          <w:sz w:val="32"/>
          <w:szCs w:val="32"/>
          <w:shd w:val="clear" w:color="auto" w:fill="FFFFFF"/>
        </w:rPr>
      </w:pPr>
      <w:r>
        <w:rPr>
          <w:rFonts w:hint="eastAsia" w:ascii="楷体_GB2312" w:hAnsi="Times New Roman" w:eastAsia="楷体_GB2312"/>
          <w:color w:val="000000"/>
          <w:kern w:val="0"/>
          <w:sz w:val="32"/>
          <w:szCs w:val="32"/>
          <w:shd w:val="clear" w:color="auto" w:fill="FFFFFF"/>
        </w:rPr>
        <w:t>（三）人员概况。</w:t>
      </w:r>
      <w:r>
        <w:rPr>
          <w:rFonts w:hint="eastAsia" w:ascii="仿宋_GB2312" w:hAnsi="仿宋_GB2312" w:eastAsia="仿宋_GB2312" w:cs="仿宋_GB2312"/>
          <w:sz w:val="32"/>
          <w:szCs w:val="32"/>
        </w:rPr>
        <w:t>共有编制</w:t>
      </w:r>
      <w:r>
        <w:rPr>
          <w:rFonts w:ascii="仿宋_GB2312" w:hAnsi="仿宋_GB2312" w:eastAsia="仿宋_GB2312" w:cs="仿宋_GB2312"/>
          <w:sz w:val="32"/>
          <w:szCs w:val="32"/>
        </w:rPr>
        <w:t>43</w:t>
      </w:r>
      <w:r>
        <w:rPr>
          <w:rFonts w:hint="eastAsia" w:ascii="仿宋_GB2312" w:hAnsi="仿宋_GB2312" w:eastAsia="仿宋_GB2312" w:cs="仿宋_GB2312"/>
          <w:sz w:val="32"/>
          <w:szCs w:val="32"/>
        </w:rPr>
        <w:t>个，（其中，行政编制</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个，参公编制</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个，事业编制</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个，工勤编制</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个），实际在岗工作人员</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人（含借调和跟班学习</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人）。领导职数</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名，实配领导班子成员</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名。设机关党委，下设</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个党支部，管理党员</w:t>
      </w:r>
      <w:r>
        <w:rPr>
          <w:rFonts w:ascii="仿宋_GB2312" w:hAnsi="仿宋_GB2312" w:eastAsia="仿宋_GB2312" w:cs="仿宋_GB2312"/>
          <w:sz w:val="32"/>
          <w:szCs w:val="32"/>
        </w:rPr>
        <w:t>62</w:t>
      </w:r>
      <w:r>
        <w:rPr>
          <w:rFonts w:hint="eastAsia" w:ascii="仿宋_GB2312" w:hAnsi="仿宋_GB2312" w:eastAsia="仿宋_GB2312" w:cs="仿宋_GB2312"/>
          <w:sz w:val="32"/>
          <w:szCs w:val="32"/>
        </w:rPr>
        <w:t>人（在职党员</w:t>
      </w:r>
      <w:r>
        <w:rPr>
          <w:rFonts w:ascii="仿宋_GB2312" w:hAnsi="仿宋_GB2312" w:eastAsia="仿宋_GB2312" w:cs="仿宋_GB2312"/>
          <w:sz w:val="32"/>
          <w:szCs w:val="32"/>
        </w:rPr>
        <w:t>51</w:t>
      </w:r>
      <w:r>
        <w:rPr>
          <w:rFonts w:hint="eastAsia" w:ascii="仿宋_GB2312" w:hAnsi="仿宋_GB2312" w:eastAsia="仿宋_GB2312" w:cs="仿宋_GB2312"/>
          <w:sz w:val="32"/>
          <w:szCs w:val="32"/>
        </w:rPr>
        <w:t>人，退休党员</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人）。</w:t>
      </w:r>
    </w:p>
    <w:p>
      <w:pPr>
        <w:autoSpaceDE w:val="0"/>
        <w:adjustRightInd w:val="0"/>
        <w:snapToGrid w:val="0"/>
        <w:spacing w:line="550" w:lineRule="exact"/>
        <w:ind w:firstLine="640" w:firstLineChars="200"/>
        <w:contextualSpacing/>
        <w:jc w:val="left"/>
        <w:rPr>
          <w:rFonts w:ascii="黑体" w:hAnsi="黑体" w:eastAsia="黑体"/>
          <w:color w:val="000000"/>
          <w:kern w:val="0"/>
          <w:sz w:val="32"/>
          <w:szCs w:val="32"/>
          <w:shd w:val="clear" w:color="auto" w:fill="FFFFFF"/>
        </w:rPr>
      </w:pPr>
      <w:r>
        <w:rPr>
          <w:rFonts w:hint="eastAsia" w:ascii="黑体" w:hAnsi="黑体" w:eastAsia="黑体"/>
          <w:color w:val="000000"/>
          <w:kern w:val="0"/>
          <w:sz w:val="32"/>
          <w:szCs w:val="32"/>
          <w:shd w:val="clear" w:color="auto" w:fill="FFFFFF"/>
        </w:rPr>
        <w:t>二、部门财政资金收支情况</w:t>
      </w:r>
    </w:p>
    <w:p>
      <w:pPr>
        <w:spacing w:line="550" w:lineRule="exact"/>
        <w:ind w:firstLine="640" w:firstLineChars="200"/>
        <w:outlineLvl w:val="1"/>
        <w:rPr>
          <w:rFonts w:ascii="仿宋_GB2312" w:hAnsi="仿宋_GB2312" w:eastAsia="仿宋_GB2312" w:cs="仿宋_GB2312"/>
          <w:sz w:val="32"/>
          <w:szCs w:val="32"/>
        </w:rPr>
      </w:pPr>
      <w:r>
        <w:rPr>
          <w:rFonts w:hint="eastAsia" w:ascii="楷体_GB2312" w:hAnsi="Times New Roman" w:eastAsia="楷体_GB2312"/>
          <w:color w:val="000000"/>
          <w:kern w:val="0"/>
          <w:sz w:val="32"/>
          <w:szCs w:val="32"/>
          <w:shd w:val="clear" w:color="auto" w:fill="FFFFFF"/>
        </w:rPr>
        <w:t>（一）部门财政资金收入情况。</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年本年收入合计</w:t>
      </w:r>
      <w:r>
        <w:rPr>
          <w:rFonts w:ascii="仿宋_GB2312" w:hAnsi="仿宋_GB2312" w:eastAsia="仿宋_GB2312" w:cs="仿宋_GB2312"/>
          <w:sz w:val="32"/>
          <w:szCs w:val="32"/>
        </w:rPr>
        <w:t>1142.19</w:t>
      </w:r>
      <w:r>
        <w:rPr>
          <w:rFonts w:hint="eastAsia" w:ascii="仿宋_GB2312" w:hAnsi="仿宋_GB2312" w:eastAsia="仿宋_GB2312" w:cs="仿宋_GB2312"/>
          <w:sz w:val="32"/>
          <w:szCs w:val="32"/>
        </w:rPr>
        <w:t>万元，其中：一般公共预算财政拨款收入</w:t>
      </w:r>
      <w:r>
        <w:rPr>
          <w:rFonts w:ascii="仿宋_GB2312" w:hAnsi="仿宋_GB2312" w:eastAsia="仿宋_GB2312" w:cs="仿宋_GB2312"/>
          <w:sz w:val="32"/>
          <w:szCs w:val="32"/>
        </w:rPr>
        <w:t>1142.19</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；政府性基金预算财政拨款收入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万元；上级补助收入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万元；事业收入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万元；经营收入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万元；附属单位上缴收入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万元；其他收入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p>
    <w:p>
      <w:pPr>
        <w:autoSpaceDE w:val="0"/>
        <w:adjustRightInd w:val="0"/>
        <w:snapToGrid w:val="0"/>
        <w:spacing w:line="550" w:lineRule="exact"/>
        <w:ind w:firstLine="640" w:firstLineChars="200"/>
        <w:contextualSpacing/>
        <w:jc w:val="left"/>
        <w:rPr>
          <w:rFonts w:ascii="仿宋_GB2312" w:hAnsi="仿宋_GB2312" w:eastAsia="仿宋_GB2312" w:cs="仿宋_GB2312"/>
          <w:sz w:val="32"/>
          <w:szCs w:val="32"/>
        </w:rPr>
      </w:pPr>
      <w:r>
        <w:rPr>
          <w:rFonts w:hint="eastAsia" w:ascii="楷体_GB2312" w:hAnsi="Times New Roman" w:eastAsia="楷体_GB2312"/>
          <w:color w:val="000000"/>
          <w:kern w:val="0"/>
          <w:sz w:val="32"/>
          <w:szCs w:val="32"/>
          <w:shd w:val="clear" w:color="auto" w:fill="FFFFFF"/>
        </w:rPr>
        <w:t>（二）部门财政资金支出情况。</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年本年支出合计</w:t>
      </w:r>
      <w:r>
        <w:rPr>
          <w:rFonts w:ascii="仿宋_GB2312" w:hAnsi="仿宋_GB2312" w:eastAsia="仿宋_GB2312" w:cs="仿宋_GB2312"/>
          <w:sz w:val="32"/>
          <w:szCs w:val="32"/>
        </w:rPr>
        <w:t>1142.19</w:t>
      </w:r>
      <w:r>
        <w:rPr>
          <w:rFonts w:hint="eastAsia" w:ascii="仿宋_GB2312" w:hAnsi="仿宋_GB2312" w:eastAsia="仿宋_GB2312" w:cs="仿宋_GB2312"/>
          <w:sz w:val="32"/>
          <w:szCs w:val="32"/>
        </w:rPr>
        <w:t>万元，其中：基本支出</w:t>
      </w:r>
      <w:r>
        <w:rPr>
          <w:rFonts w:ascii="仿宋_GB2312" w:hAnsi="仿宋_GB2312" w:eastAsia="仿宋_GB2312" w:cs="仿宋_GB2312"/>
          <w:sz w:val="32"/>
          <w:szCs w:val="32"/>
        </w:rPr>
        <w:t>724.58</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63%</w:t>
      </w:r>
      <w:r>
        <w:rPr>
          <w:rFonts w:hint="eastAsia" w:ascii="仿宋_GB2312" w:hAnsi="仿宋_GB2312" w:eastAsia="仿宋_GB2312" w:cs="仿宋_GB2312"/>
          <w:sz w:val="32"/>
          <w:szCs w:val="32"/>
        </w:rPr>
        <w:t>；项目支出</w:t>
      </w:r>
      <w:r>
        <w:rPr>
          <w:rFonts w:ascii="仿宋_GB2312" w:hAnsi="仿宋_GB2312" w:eastAsia="仿宋_GB2312" w:cs="仿宋_GB2312"/>
          <w:sz w:val="32"/>
          <w:szCs w:val="32"/>
        </w:rPr>
        <w:t>417.61</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37%</w:t>
      </w:r>
      <w:r>
        <w:rPr>
          <w:rFonts w:hint="eastAsia" w:ascii="仿宋_GB2312" w:hAnsi="仿宋_GB2312" w:eastAsia="仿宋_GB2312" w:cs="仿宋_GB2312"/>
          <w:sz w:val="32"/>
          <w:szCs w:val="32"/>
        </w:rPr>
        <w:t>。</w:t>
      </w:r>
    </w:p>
    <w:p>
      <w:pPr>
        <w:autoSpaceDE w:val="0"/>
        <w:adjustRightInd w:val="0"/>
        <w:snapToGrid w:val="0"/>
        <w:spacing w:line="550" w:lineRule="exact"/>
        <w:ind w:firstLine="640" w:firstLineChars="200"/>
        <w:contextualSpacing/>
        <w:jc w:val="left"/>
        <w:rPr>
          <w:rFonts w:ascii="仿宋_GB2312" w:hAnsi="Times New Roman" w:eastAsia="仿宋_GB2312"/>
          <w:color w:val="000000"/>
          <w:kern w:val="0"/>
          <w:sz w:val="28"/>
          <w:szCs w:val="28"/>
          <w:shd w:val="clear" w:color="auto" w:fill="FFFFFF"/>
        </w:rPr>
      </w:pPr>
      <w:r>
        <w:rPr>
          <w:rFonts w:hint="eastAsia" w:ascii="黑体" w:hAnsi="黑体" w:eastAsia="黑体"/>
          <w:color w:val="000000"/>
          <w:kern w:val="0"/>
          <w:sz w:val="32"/>
          <w:szCs w:val="32"/>
          <w:shd w:val="clear" w:color="auto" w:fill="FFFFFF"/>
        </w:rPr>
        <w:t>三、部门整体预算绩效管理情况</w:t>
      </w:r>
      <w:r>
        <w:rPr>
          <w:rFonts w:hint="eastAsia" w:ascii="黑体" w:hAnsi="黑体" w:eastAsia="黑体"/>
          <w:color w:val="000000"/>
          <w:kern w:val="0"/>
          <w:sz w:val="28"/>
          <w:szCs w:val="28"/>
          <w:shd w:val="clear" w:color="auto" w:fill="FFFFFF"/>
        </w:rPr>
        <w:t>（根据适用指标体系进行调整）</w:t>
      </w:r>
    </w:p>
    <w:p>
      <w:pPr>
        <w:spacing w:line="550" w:lineRule="exact"/>
        <w:ind w:firstLine="640" w:firstLineChars="200"/>
        <w:rPr>
          <w:rFonts w:ascii="仿宋_GB2312" w:hAnsi="Times New Roman" w:eastAsia="仿宋_GB2312"/>
          <w:color w:val="000000"/>
          <w:kern w:val="0"/>
          <w:sz w:val="32"/>
          <w:szCs w:val="32"/>
          <w:shd w:val="clear" w:color="auto" w:fill="FFFFFF"/>
        </w:rPr>
      </w:pPr>
      <w:r>
        <w:rPr>
          <w:rFonts w:hint="eastAsia" w:ascii="楷体_GB2312" w:hAnsi="Times New Roman" w:eastAsia="楷体_GB2312"/>
          <w:color w:val="000000"/>
          <w:kern w:val="0"/>
          <w:sz w:val="32"/>
          <w:szCs w:val="32"/>
          <w:shd w:val="clear" w:color="auto" w:fill="FFFFFF"/>
        </w:rPr>
        <w:t>（一）部门预算项目绩效管理。</w:t>
      </w:r>
      <w:r>
        <w:rPr>
          <w:rFonts w:hint="eastAsia" w:ascii="仿宋_GB2312" w:hAnsi="Times New Roman" w:eastAsia="仿宋_GB2312"/>
          <w:color w:val="000000"/>
          <w:kern w:val="0"/>
          <w:sz w:val="32"/>
          <w:szCs w:val="32"/>
          <w:shd w:val="clear" w:color="auto" w:fill="FFFFFF"/>
        </w:rPr>
        <w:t>本次绩效评价共分三个阶段，一是绩效评价准备阶段。我单位根据《广元市朝天区区级预算绩效目标管理办法》（广朝财发【</w:t>
      </w:r>
      <w:r>
        <w:rPr>
          <w:rFonts w:ascii="仿宋_GB2312" w:hAnsi="Times New Roman" w:eastAsia="仿宋_GB2312"/>
          <w:color w:val="000000"/>
          <w:kern w:val="0"/>
          <w:sz w:val="32"/>
          <w:szCs w:val="32"/>
          <w:shd w:val="clear" w:color="auto" w:fill="FFFFFF"/>
        </w:rPr>
        <w:t>2022</w:t>
      </w:r>
      <w:r>
        <w:rPr>
          <w:rFonts w:hint="eastAsia" w:ascii="仿宋_GB2312" w:hAnsi="Times New Roman" w:eastAsia="仿宋_GB2312"/>
          <w:color w:val="000000"/>
          <w:kern w:val="0"/>
          <w:sz w:val="32"/>
          <w:szCs w:val="32"/>
          <w:shd w:val="clear" w:color="auto" w:fill="FFFFFF"/>
        </w:rPr>
        <w:t>】</w:t>
      </w:r>
      <w:r>
        <w:rPr>
          <w:rFonts w:ascii="仿宋_GB2312" w:hAnsi="Times New Roman" w:eastAsia="仿宋_GB2312"/>
          <w:color w:val="000000"/>
          <w:kern w:val="0"/>
          <w:sz w:val="32"/>
          <w:szCs w:val="32"/>
          <w:shd w:val="clear" w:color="auto" w:fill="FFFFFF"/>
        </w:rPr>
        <w:t>28</w:t>
      </w:r>
      <w:r>
        <w:rPr>
          <w:rFonts w:hint="eastAsia" w:ascii="仿宋_GB2312" w:hAnsi="Times New Roman" w:eastAsia="仿宋_GB2312"/>
          <w:color w:val="000000"/>
          <w:kern w:val="0"/>
          <w:sz w:val="32"/>
          <w:szCs w:val="32"/>
          <w:shd w:val="clear" w:color="auto" w:fill="FFFFFF"/>
        </w:rPr>
        <w:t>号）文件精神，及时组织对相关文件进行学习，成立绩效评价领导小组，制定详细可操作性强的实施方案及目标绩效操作流程图。二是绩效评价实施阶段。我单位严格按照规定组织实施绩效评价，及时查阅和收集相关数据资料，并认真进行分析，初步计算出各评价指标分值。三是绩效评价报告形成阶段。通过对各项资料进行归纳整理，形成内容真实绩效评价报告。</w:t>
      </w:r>
    </w:p>
    <w:p>
      <w:pPr>
        <w:spacing w:line="550" w:lineRule="exact"/>
        <w:ind w:firstLine="640" w:firstLineChars="200"/>
        <w:rPr>
          <w:rFonts w:ascii="仿宋_GB2312" w:hAnsi="??" w:eastAsia="仿宋_GB2312"/>
          <w:color w:val="000000"/>
          <w:sz w:val="32"/>
          <w:szCs w:val="32"/>
        </w:rPr>
      </w:pPr>
      <w:r>
        <w:rPr>
          <w:rFonts w:hint="eastAsia" w:ascii="仿宋_GB2312" w:hAnsi="??" w:eastAsia="仿宋_GB2312"/>
          <w:color w:val="000000"/>
          <w:sz w:val="32"/>
          <w:szCs w:val="32"/>
        </w:rPr>
        <w:t>按照决算绩效管理要求，根据单位的职能职责，区委办在年初预算编制时即制定了绩效目标的产出指标和效益指标，覆盖率达到</w:t>
      </w:r>
      <w:r>
        <w:rPr>
          <w:rFonts w:ascii="仿宋_GB2312" w:hAnsi="??" w:eastAsia="仿宋_GB2312"/>
          <w:color w:val="000000"/>
          <w:sz w:val="32"/>
          <w:szCs w:val="32"/>
        </w:rPr>
        <w:t>100%</w:t>
      </w:r>
      <w:r>
        <w:rPr>
          <w:rFonts w:hint="eastAsia" w:ascii="仿宋_GB2312" w:hAnsi="??" w:eastAsia="仿宋_GB2312"/>
          <w:color w:val="000000"/>
          <w:sz w:val="32"/>
          <w:szCs w:val="32"/>
        </w:rPr>
        <w:t>。</w:t>
      </w:r>
      <w:r>
        <w:rPr>
          <w:rFonts w:hint="eastAsia" w:ascii="仿宋_GB2312" w:hAnsi="??" w:eastAsia="仿宋_GB2312" w:cs="??"/>
          <w:color w:val="000000"/>
          <w:kern w:val="0"/>
          <w:sz w:val="32"/>
          <w:szCs w:val="32"/>
        </w:rPr>
        <w:t>在全年预算执行过程中，每月月初根据资金调拨情况</w:t>
      </w:r>
      <w:r>
        <w:rPr>
          <w:rFonts w:hint="eastAsia" w:ascii="仿宋_GB2312" w:hAnsi="????" w:eastAsia="仿宋_GB2312"/>
          <w:sz w:val="32"/>
          <w:szCs w:val="32"/>
        </w:rPr>
        <w:t>提出资金支付建议方案，月末及时编制本月预算执行情况，进一步加大了预算执行力度，提升了预算执行的科学性和准确性。</w:t>
      </w:r>
      <w:r>
        <w:rPr>
          <w:rFonts w:hint="eastAsia" w:ascii="仿宋_GB2312" w:hAnsi="??" w:eastAsia="仿宋_GB2312"/>
          <w:color w:val="000000"/>
          <w:sz w:val="32"/>
          <w:szCs w:val="32"/>
        </w:rPr>
        <w:t>总体来看，财政预算项目编制准确，并严格按预算执行，完成预算</w:t>
      </w:r>
      <w:r>
        <w:rPr>
          <w:rFonts w:ascii="仿宋_GB2312" w:hAnsi="??" w:eastAsia="仿宋_GB2312"/>
          <w:color w:val="000000"/>
          <w:sz w:val="32"/>
          <w:szCs w:val="32"/>
        </w:rPr>
        <w:t>100%</w:t>
      </w:r>
      <w:r>
        <w:rPr>
          <w:rFonts w:hint="eastAsia" w:ascii="仿宋_GB2312" w:hAnsi="??" w:eastAsia="仿宋_GB2312"/>
          <w:color w:val="000000"/>
          <w:sz w:val="32"/>
          <w:szCs w:val="32"/>
        </w:rPr>
        <w:t>，无违规记录。</w:t>
      </w:r>
    </w:p>
    <w:p>
      <w:pPr>
        <w:spacing w:line="550" w:lineRule="exact"/>
        <w:ind w:firstLine="640" w:firstLineChars="200"/>
        <w:rPr>
          <w:rFonts w:ascii="仿宋_GB2312" w:hAnsi="??" w:eastAsia="仿宋_GB2312" w:cs="仿宋_GB2312"/>
          <w:sz w:val="32"/>
          <w:szCs w:val="32"/>
        </w:rPr>
      </w:pPr>
      <w:r>
        <w:rPr>
          <w:rFonts w:hint="eastAsia" w:ascii="楷体_GB2312" w:hAnsi="Times New Roman" w:eastAsia="楷体_GB2312"/>
          <w:color w:val="000000"/>
          <w:kern w:val="0"/>
          <w:sz w:val="32"/>
          <w:szCs w:val="32"/>
          <w:shd w:val="clear" w:color="auto" w:fill="FFFFFF"/>
        </w:rPr>
        <w:t>（二）结果应用情况。</w:t>
      </w:r>
      <w:r>
        <w:rPr>
          <w:rFonts w:hint="eastAsia" w:ascii="仿宋_GB2312" w:hAnsi="??" w:eastAsia="仿宋_GB2312" w:cs="仿宋_GB2312"/>
          <w:sz w:val="32"/>
          <w:szCs w:val="32"/>
        </w:rPr>
        <w:t>我单位开展的预算绩效评价的项目达到了预期效果，产生了较好的社会效益、经济效益和生态效益，对在绩效评价中发现的问题，单位及时提出整改意见并限期整改落实。逐步改变了长期以来“重分配轻监管、重使用轻效益”的现象，有效减少和防止盲目用款、无效支出及盲目支出等行为的发生，使财政资金的运行更加合理高效。提高了经济、社会、生态效益，促进了可持续发展。</w:t>
      </w:r>
    </w:p>
    <w:p>
      <w:pPr>
        <w:spacing w:line="550" w:lineRule="exact"/>
        <w:ind w:firstLine="640" w:firstLineChars="200"/>
        <w:rPr>
          <w:rFonts w:ascii="仿宋_GB2312" w:hAnsi="??" w:eastAsia="仿宋_GB2312" w:cs="仿宋_GB2312"/>
          <w:sz w:val="32"/>
          <w:szCs w:val="32"/>
        </w:rPr>
      </w:pPr>
      <w:r>
        <w:rPr>
          <w:rFonts w:hint="eastAsia" w:ascii="楷体_GB2312" w:hAnsi="Times New Roman" w:eastAsia="楷体_GB2312"/>
          <w:color w:val="000000"/>
          <w:kern w:val="0"/>
          <w:sz w:val="32"/>
          <w:szCs w:val="32"/>
          <w:shd w:val="clear" w:color="auto" w:fill="FFFFFF"/>
        </w:rPr>
        <w:t>（三）自评质量。</w:t>
      </w:r>
      <w:r>
        <w:rPr>
          <w:rFonts w:hint="eastAsia" w:ascii="仿宋_GB2312" w:hAnsi="??" w:eastAsia="仿宋_GB2312" w:cs="仿宋_GB2312"/>
          <w:sz w:val="32"/>
          <w:szCs w:val="32"/>
        </w:rPr>
        <w:t>从评价情况来看有关项目预算执行及时、有效，绩效目标得到较好实现，绩效管理水平不断提高，绩效指标体系建设逐渐丰富和完善，较为充分地反映了区委办的工作目标和任务。</w:t>
      </w:r>
    </w:p>
    <w:p>
      <w:pPr>
        <w:autoSpaceDE w:val="0"/>
        <w:adjustRightInd w:val="0"/>
        <w:snapToGrid w:val="0"/>
        <w:spacing w:line="550" w:lineRule="exact"/>
        <w:ind w:firstLine="640" w:firstLineChars="200"/>
        <w:contextualSpacing/>
        <w:jc w:val="left"/>
        <w:rPr>
          <w:rFonts w:ascii="黑体" w:hAnsi="黑体" w:eastAsia="黑体"/>
          <w:color w:val="000000"/>
          <w:kern w:val="0"/>
          <w:sz w:val="32"/>
          <w:szCs w:val="32"/>
          <w:shd w:val="clear" w:color="auto" w:fill="FFFFFF"/>
        </w:rPr>
      </w:pPr>
      <w:r>
        <w:rPr>
          <w:rFonts w:hint="eastAsia" w:ascii="黑体" w:hAnsi="黑体" w:eastAsia="黑体"/>
          <w:color w:val="000000"/>
          <w:kern w:val="0"/>
          <w:sz w:val="32"/>
          <w:szCs w:val="32"/>
          <w:shd w:val="clear" w:color="auto" w:fill="FFFFFF"/>
        </w:rPr>
        <w:t>四、自评结论及建议</w:t>
      </w:r>
    </w:p>
    <w:p>
      <w:pPr>
        <w:autoSpaceDE w:val="0"/>
        <w:adjustRightInd w:val="0"/>
        <w:snapToGrid w:val="0"/>
        <w:spacing w:line="550" w:lineRule="exact"/>
        <w:ind w:firstLine="640" w:firstLineChars="200"/>
        <w:contextualSpacing/>
        <w:jc w:val="left"/>
        <w:rPr>
          <w:rFonts w:ascii="楷体_GB2312" w:hAnsi="Times New Roman" w:eastAsia="楷体_GB2312"/>
          <w:color w:val="000000"/>
          <w:kern w:val="0"/>
          <w:sz w:val="32"/>
          <w:szCs w:val="32"/>
          <w:shd w:val="clear" w:color="auto" w:fill="FFFFFF"/>
        </w:rPr>
      </w:pPr>
      <w:r>
        <w:rPr>
          <w:rFonts w:hint="eastAsia" w:ascii="楷体_GB2312" w:hAnsi="Times New Roman" w:eastAsia="楷体_GB2312"/>
          <w:color w:val="000000"/>
          <w:kern w:val="0"/>
          <w:sz w:val="32"/>
          <w:szCs w:val="32"/>
          <w:shd w:val="clear" w:color="auto" w:fill="FFFFFF"/>
        </w:rPr>
        <w:t>（一）自评结论。</w:t>
      </w:r>
      <w:r>
        <w:rPr>
          <w:rFonts w:hint="eastAsia" w:ascii="仿宋_GB2312" w:hAnsi="??" w:eastAsia="仿宋_GB2312" w:cs="仿宋_GB2312"/>
          <w:sz w:val="32"/>
          <w:szCs w:val="32"/>
        </w:rPr>
        <w:t>根据考核评分细则，从整体上看，我单位</w:t>
      </w:r>
      <w:r>
        <w:rPr>
          <w:rFonts w:ascii="仿宋_GB2312" w:hAnsi="??" w:eastAsia="仿宋_GB2312" w:cs="仿宋_GB2312"/>
          <w:sz w:val="32"/>
          <w:szCs w:val="32"/>
        </w:rPr>
        <w:t>20</w:t>
      </w:r>
      <w:r>
        <w:rPr>
          <w:rFonts w:ascii="仿宋_GB2312" w:hAnsi="??" w:eastAsia="Times New Roman" w:cs="仿宋_GB2312"/>
          <w:sz w:val="32"/>
          <w:szCs w:val="32"/>
        </w:rPr>
        <w:t>21</w:t>
      </w:r>
      <w:r>
        <w:rPr>
          <w:rFonts w:hint="eastAsia" w:ascii="仿宋_GB2312" w:hAnsi="??" w:eastAsia="仿宋_GB2312" w:cs="仿宋_GB2312"/>
          <w:sz w:val="32"/>
          <w:szCs w:val="32"/>
        </w:rPr>
        <w:t>年度财政资金管理规范，项目管理到位，政策执行有力，有效的发挥了财政资金使用效益，在人员经费支出、公用经费支出中，严格执行区委、政府的各项制度，三公经费严格控制在预算范围内。在项目资金使用中，在保证各项任务顺利完成的同时，严格落实厉行节约的原则。</w:t>
      </w:r>
    </w:p>
    <w:p>
      <w:pPr>
        <w:autoSpaceDE w:val="0"/>
        <w:adjustRightInd w:val="0"/>
        <w:snapToGrid w:val="0"/>
        <w:spacing w:line="550" w:lineRule="exact"/>
        <w:ind w:firstLine="640" w:firstLineChars="200"/>
        <w:contextualSpacing/>
        <w:jc w:val="left"/>
        <w:rPr>
          <w:rFonts w:ascii="楷体_GB2312" w:hAnsi="Times New Roman" w:eastAsia="楷体_GB2312"/>
          <w:color w:val="000000"/>
          <w:kern w:val="0"/>
          <w:sz w:val="32"/>
          <w:szCs w:val="32"/>
          <w:shd w:val="clear" w:color="auto" w:fill="FFFFFF"/>
        </w:rPr>
      </w:pPr>
      <w:r>
        <w:rPr>
          <w:rFonts w:hint="eastAsia" w:ascii="楷体_GB2312" w:hAnsi="Times New Roman" w:eastAsia="楷体_GB2312"/>
          <w:color w:val="000000"/>
          <w:kern w:val="0"/>
          <w:sz w:val="32"/>
          <w:szCs w:val="32"/>
          <w:shd w:val="clear" w:color="auto" w:fill="FFFFFF"/>
        </w:rPr>
        <w:t>（二）存在问题。</w:t>
      </w:r>
      <w:r>
        <w:rPr>
          <w:rFonts w:hint="eastAsia" w:ascii="仿宋_GB2312" w:hAnsi="??" w:eastAsia="仿宋_GB2312" w:cs="仿宋_GB2312"/>
          <w:sz w:val="32"/>
          <w:szCs w:val="32"/>
        </w:rPr>
        <w:t>一是预算编制有待更严格执行。预算编制与实际支出项目有的仍存在细微差异；二是固定资产管理有待进一步加强，未及时对固定资产进行清理核销。</w:t>
      </w:r>
    </w:p>
    <w:p>
      <w:pPr>
        <w:spacing w:line="550" w:lineRule="exact"/>
        <w:ind w:firstLine="640" w:firstLineChars="200"/>
        <w:rPr>
          <w:rFonts w:ascii="仿宋_GB2312" w:hAnsi="仿宋_GB2312" w:eastAsia="仿宋_GB2312" w:cs="仿宋_GB2312"/>
          <w:sz w:val="32"/>
          <w:szCs w:val="32"/>
        </w:rPr>
      </w:pPr>
      <w:r>
        <w:rPr>
          <w:rFonts w:hint="eastAsia" w:ascii="楷体_GB2312" w:hAnsi="Times New Roman" w:eastAsia="楷体_GB2312"/>
          <w:color w:val="000000"/>
          <w:kern w:val="0"/>
          <w:sz w:val="32"/>
          <w:szCs w:val="32"/>
          <w:shd w:val="clear" w:color="auto" w:fill="FFFFFF"/>
        </w:rPr>
        <w:t>（三）改进建议。</w:t>
      </w:r>
      <w:r>
        <w:rPr>
          <w:rFonts w:hint="eastAsia" w:ascii="仿宋_GB2312" w:hAnsi="??" w:eastAsia="仿宋_GB2312" w:cs="仿宋_GB2312"/>
          <w:sz w:val="32"/>
          <w:szCs w:val="32"/>
        </w:rPr>
        <w:t>一是按照预算规定的项目和用途严格财务审核，经费支出严格按预算项目的财务支出内容进行财务核算，在预算金额内严格控制费用的支出；二是预算财务分析常态化，定期做好预算支出财务分析，做好单位整体支出预算评价工作；三是制定适用于本单位的固定资产管理制度，从资产采购、使用以及报废各环节规范固定资产的管理，提高资产使用效率，减少资金浪费。</w:t>
      </w:r>
    </w:p>
    <w:p>
      <w:pPr>
        <w:autoSpaceDE w:val="0"/>
        <w:adjustRightInd w:val="0"/>
        <w:snapToGrid w:val="0"/>
        <w:spacing w:line="550" w:lineRule="exact"/>
        <w:ind w:firstLine="640" w:firstLineChars="200"/>
        <w:contextualSpacing/>
        <w:jc w:val="left"/>
        <w:rPr>
          <w:rFonts w:ascii="楷体_GB2312" w:hAnsi="Times New Roman" w:eastAsia="楷体_GB2312"/>
          <w:color w:val="000000"/>
          <w:kern w:val="0"/>
          <w:sz w:val="32"/>
          <w:szCs w:val="32"/>
          <w:shd w:val="clear" w:color="auto" w:fill="FFFFFF"/>
        </w:rPr>
      </w:pPr>
    </w:p>
    <w:p>
      <w:pPr>
        <w:autoSpaceDE w:val="0"/>
        <w:adjustRightInd w:val="0"/>
        <w:snapToGrid w:val="0"/>
        <w:spacing w:line="550" w:lineRule="exact"/>
        <w:ind w:firstLine="640" w:firstLineChars="200"/>
        <w:contextualSpacing/>
        <w:jc w:val="left"/>
        <w:rPr>
          <w:rFonts w:ascii="仿宋_GB2312" w:hAnsi="Times New Roman" w:eastAsia="仿宋_GB2312"/>
          <w:color w:val="000000"/>
          <w:kern w:val="0"/>
          <w:sz w:val="32"/>
          <w:szCs w:val="32"/>
          <w:shd w:val="clear" w:color="auto" w:fill="FFFFFF"/>
        </w:rPr>
      </w:pPr>
      <w:r>
        <w:rPr>
          <w:rFonts w:hint="eastAsia" w:ascii="仿宋_GB2312" w:hAnsi="Times New Roman" w:eastAsia="仿宋_GB2312"/>
          <w:color w:val="000000"/>
          <w:kern w:val="0"/>
          <w:sz w:val="32"/>
          <w:szCs w:val="32"/>
          <w:shd w:val="clear" w:color="auto" w:fill="FFFFFF"/>
        </w:rPr>
        <w:t>附件：</w:t>
      </w:r>
      <w:r>
        <w:rPr>
          <w:rFonts w:ascii="仿宋_GB2312" w:hAnsi="Times New Roman" w:eastAsia="仿宋_GB2312"/>
          <w:color w:val="000000"/>
          <w:kern w:val="0"/>
          <w:sz w:val="32"/>
          <w:szCs w:val="32"/>
          <w:shd w:val="clear" w:color="auto" w:fill="FFFFFF"/>
        </w:rPr>
        <w:t>1</w:t>
      </w:r>
      <w:r>
        <w:rPr>
          <w:rFonts w:hint="eastAsia" w:ascii="仿宋_GB2312" w:hAnsi="Times New Roman" w:eastAsia="仿宋_GB2312"/>
          <w:color w:val="000000"/>
          <w:kern w:val="0"/>
          <w:sz w:val="32"/>
          <w:szCs w:val="32"/>
          <w:shd w:val="clear" w:color="auto" w:fill="FFFFFF"/>
        </w:rPr>
        <w:t>.部门整体支出绩效目标自评表</w:t>
      </w:r>
    </w:p>
    <w:p>
      <w:pPr>
        <w:autoSpaceDE w:val="0"/>
        <w:adjustRightInd w:val="0"/>
        <w:snapToGrid w:val="0"/>
        <w:spacing w:line="550" w:lineRule="exact"/>
        <w:ind w:firstLine="640" w:firstLineChars="200"/>
        <w:contextualSpacing/>
        <w:jc w:val="left"/>
        <w:rPr>
          <w:rFonts w:ascii="仿宋_GB2312" w:hAnsi="Times New Roman" w:eastAsia="仿宋_GB2312"/>
          <w:color w:val="000000"/>
          <w:kern w:val="0"/>
          <w:sz w:val="32"/>
          <w:szCs w:val="32"/>
          <w:shd w:val="clear" w:color="auto" w:fill="FFFFFF"/>
        </w:rPr>
      </w:pPr>
      <w:r>
        <w:rPr>
          <w:rFonts w:ascii="仿宋_GB2312" w:hAnsi="Times New Roman" w:eastAsia="仿宋_GB2312"/>
          <w:color w:val="000000"/>
          <w:kern w:val="0"/>
          <w:sz w:val="32"/>
          <w:szCs w:val="32"/>
          <w:shd w:val="clear" w:color="auto" w:fill="FFFFFF"/>
        </w:rPr>
        <w:t xml:space="preserve">      2</w:t>
      </w:r>
      <w:r>
        <w:rPr>
          <w:rFonts w:hint="eastAsia" w:ascii="仿宋_GB2312" w:hAnsi="Times New Roman" w:eastAsia="仿宋_GB2312"/>
          <w:color w:val="000000"/>
          <w:kern w:val="0"/>
          <w:sz w:val="32"/>
          <w:szCs w:val="32"/>
          <w:shd w:val="clear" w:color="auto" w:fill="FFFFFF"/>
        </w:rPr>
        <w:t>.</w:t>
      </w:r>
      <w:r>
        <w:rPr>
          <w:rFonts w:ascii="仿宋_GB2312" w:hAnsi="Times New Roman" w:eastAsia="仿宋_GB2312"/>
          <w:color w:val="000000"/>
          <w:kern w:val="0"/>
          <w:sz w:val="32"/>
          <w:szCs w:val="32"/>
          <w:shd w:val="clear" w:color="auto" w:fill="FFFFFF"/>
        </w:rPr>
        <w:t>2021</w:t>
      </w:r>
      <w:r>
        <w:rPr>
          <w:rFonts w:hint="eastAsia" w:ascii="仿宋_GB2312" w:hAnsi="Times New Roman" w:eastAsia="仿宋_GB2312"/>
          <w:color w:val="000000"/>
          <w:kern w:val="0"/>
          <w:sz w:val="32"/>
          <w:szCs w:val="32"/>
          <w:shd w:val="clear" w:color="auto" w:fill="FFFFFF"/>
        </w:rPr>
        <w:t>年部门整体支出绩效自评评分表</w:t>
      </w:r>
    </w:p>
    <w:p>
      <w:pPr>
        <w:autoSpaceDE w:val="0"/>
        <w:spacing w:line="550" w:lineRule="exact"/>
        <w:ind w:firstLine="5120" w:firstLineChars="1600"/>
        <w:rPr>
          <w:rFonts w:ascii="仿宋_GB2312" w:hAnsi="Times New Roman" w:eastAsia="仿宋_GB2312"/>
          <w:sz w:val="32"/>
          <w:szCs w:val="32"/>
        </w:rPr>
      </w:pPr>
    </w:p>
    <w:p>
      <w:pPr>
        <w:pStyle w:val="13"/>
        <w:spacing w:after="0" w:line="500" w:lineRule="exact"/>
        <w:ind w:left="0" w:leftChars="0" w:firstLine="0" w:firstLineChars="0"/>
        <w:rPr>
          <w:rFonts w:ascii="黑体" w:hAnsi="黑体" w:eastAsia="黑体" w:cs="宋体"/>
          <w:color w:val="000000"/>
          <w:kern w:val="0"/>
          <w:sz w:val="32"/>
          <w:szCs w:val="32"/>
        </w:rPr>
      </w:pPr>
      <w:r>
        <w:rPr>
          <w:rFonts w:hint="eastAsia" w:ascii="黑体" w:hAnsi="黑体" w:eastAsia="黑体" w:cs="宋体"/>
          <w:color w:val="000000"/>
          <w:kern w:val="0"/>
          <w:sz w:val="32"/>
          <w:szCs w:val="32"/>
        </w:rPr>
        <w:t>附件</w:t>
      </w:r>
      <w:r>
        <w:rPr>
          <w:rFonts w:ascii="黑体" w:hAnsi="黑体" w:eastAsia="黑体" w:cs="宋体"/>
          <w:color w:val="000000"/>
          <w:kern w:val="0"/>
          <w:sz w:val="32"/>
          <w:szCs w:val="32"/>
        </w:rPr>
        <w:t>1</w:t>
      </w:r>
    </w:p>
    <w:p>
      <w:pPr>
        <w:pStyle w:val="13"/>
        <w:spacing w:after="0" w:line="500" w:lineRule="exact"/>
        <w:ind w:left="0" w:leftChars="0" w:firstLine="0" w:firstLineChars="0"/>
        <w:jc w:val="center"/>
        <w:rPr>
          <w:rFonts w:ascii="方正小标宋简体" w:hAnsi="宋体" w:eastAsia="方正小标宋简体" w:cs="宋体"/>
          <w:bCs/>
          <w:color w:val="000000"/>
          <w:kern w:val="0"/>
          <w:sz w:val="44"/>
          <w:szCs w:val="44"/>
        </w:rPr>
      </w:pPr>
      <w:r>
        <w:rPr>
          <w:rFonts w:hint="eastAsia" w:ascii="方正小标宋简体" w:hAnsi="宋体" w:eastAsia="方正小标宋简体" w:cs="宋体"/>
          <w:bCs/>
          <w:color w:val="000000"/>
          <w:kern w:val="0"/>
          <w:sz w:val="44"/>
          <w:szCs w:val="44"/>
        </w:rPr>
        <w:t>部门整体支出绩效目标自评表</w:t>
      </w:r>
    </w:p>
    <w:p>
      <w:pPr>
        <w:pStyle w:val="13"/>
        <w:spacing w:after="0" w:line="500" w:lineRule="exact"/>
        <w:ind w:left="0" w:leftChars="0" w:firstLine="0" w:firstLineChars="0"/>
        <w:jc w:val="center"/>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w:t>
      </w:r>
      <w:r>
        <w:rPr>
          <w:rFonts w:ascii="楷体_GB2312" w:hAnsi="Times New Roman" w:eastAsia="楷体_GB2312"/>
          <w:color w:val="000000"/>
          <w:kern w:val="0"/>
          <w:sz w:val="32"/>
          <w:szCs w:val="32"/>
        </w:rPr>
        <w:t>2021</w:t>
      </w:r>
      <w:r>
        <w:rPr>
          <w:rFonts w:hint="eastAsia" w:ascii="楷体_GB2312" w:hAnsi="宋体" w:eastAsia="楷体_GB2312" w:cs="宋体"/>
          <w:color w:val="000000"/>
          <w:kern w:val="0"/>
          <w:sz w:val="32"/>
          <w:szCs w:val="32"/>
        </w:rPr>
        <w:t>年度）</w:t>
      </w:r>
    </w:p>
    <w:p>
      <w:pPr>
        <w:pStyle w:val="13"/>
        <w:spacing w:after="0" w:line="240" w:lineRule="atLeast"/>
        <w:ind w:left="0" w:leftChars="0" w:firstLine="0" w:firstLineChars="0"/>
      </w:pPr>
      <w:r>
        <w:rPr>
          <w:rFonts w:hint="eastAsia" w:ascii="宋体" w:hAnsi="宋体" w:cs="宋体"/>
          <w:color w:val="000000"/>
          <w:kern w:val="0"/>
          <w:sz w:val="18"/>
          <w:szCs w:val="18"/>
        </w:rPr>
        <w:t>部门（单位）盖章：中共广元市朝天区委办公室</w:t>
      </w:r>
    </w:p>
    <w:tbl>
      <w:tblPr>
        <w:tblStyle w:val="14"/>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679"/>
        <w:gridCol w:w="769"/>
        <w:gridCol w:w="756"/>
        <w:gridCol w:w="601"/>
        <w:gridCol w:w="365"/>
        <w:gridCol w:w="224"/>
        <w:gridCol w:w="658"/>
        <w:gridCol w:w="1441"/>
        <w:gridCol w:w="938"/>
        <w:gridCol w:w="812"/>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344" w:type="dxa"/>
            <w:gridSpan w:val="5"/>
            <w:noWrap w:val="0"/>
            <w:vAlign w:val="center"/>
          </w:tcPr>
          <w:p>
            <w:pPr>
              <w:spacing w:line="0" w:lineRule="atLeast"/>
              <w:jc w:val="center"/>
              <w:rPr>
                <w:rFonts w:ascii="宋体" w:cs="宋体"/>
                <w:bCs/>
                <w:color w:val="000000"/>
                <w:kern w:val="0"/>
                <w:sz w:val="18"/>
                <w:szCs w:val="18"/>
              </w:rPr>
            </w:pPr>
            <w:r>
              <w:rPr>
                <w:rFonts w:hint="eastAsia" w:ascii="宋体" w:hAnsi="宋体" w:cs="宋体"/>
                <w:bCs/>
                <w:color w:val="000000"/>
                <w:kern w:val="0"/>
                <w:sz w:val="18"/>
                <w:szCs w:val="18"/>
              </w:rPr>
              <w:t>部门（单位）名称</w:t>
            </w:r>
          </w:p>
        </w:tc>
        <w:tc>
          <w:tcPr>
            <w:tcW w:w="5621" w:type="dxa"/>
            <w:gridSpan w:val="7"/>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中国共产党广元市朝天区委办公室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539" w:type="dxa"/>
            <w:vMerge w:val="restart"/>
            <w:shd w:val="clear" w:color="auto" w:fill="auto"/>
            <w:noWrap w:val="0"/>
            <w:vAlign w:val="center"/>
          </w:tcPr>
          <w:p>
            <w:pPr>
              <w:spacing w:line="0" w:lineRule="atLeast"/>
              <w:jc w:val="center"/>
              <w:rPr>
                <w:rFonts w:ascii="宋体" w:cs="宋体"/>
                <w:bCs/>
                <w:color w:val="000000"/>
                <w:kern w:val="0"/>
                <w:sz w:val="18"/>
                <w:szCs w:val="18"/>
              </w:rPr>
            </w:pPr>
            <w:r>
              <w:rPr>
                <w:rFonts w:hint="eastAsia" w:ascii="宋体" w:hAnsi="宋体" w:cs="宋体"/>
                <w:bCs/>
                <w:color w:val="000000"/>
                <w:kern w:val="0"/>
                <w:sz w:val="18"/>
                <w:szCs w:val="18"/>
              </w:rPr>
              <w:t>年度主要任务</w:t>
            </w:r>
          </w:p>
        </w:tc>
        <w:tc>
          <w:tcPr>
            <w:tcW w:w="2805" w:type="dxa"/>
            <w:gridSpan w:val="4"/>
            <w:noWrap w:val="0"/>
            <w:vAlign w:val="center"/>
          </w:tcPr>
          <w:p>
            <w:pPr>
              <w:spacing w:line="0" w:lineRule="atLeast"/>
              <w:jc w:val="center"/>
              <w:rPr>
                <w:rFonts w:ascii="宋体" w:cs="宋体"/>
                <w:bCs/>
                <w:color w:val="000000"/>
                <w:kern w:val="0"/>
                <w:sz w:val="18"/>
                <w:szCs w:val="18"/>
              </w:rPr>
            </w:pPr>
            <w:r>
              <w:rPr>
                <w:rFonts w:hint="eastAsia" w:ascii="宋体" w:hAnsi="宋体" w:cs="宋体"/>
                <w:bCs/>
                <w:color w:val="000000"/>
                <w:kern w:val="0"/>
                <w:sz w:val="18"/>
                <w:szCs w:val="18"/>
              </w:rPr>
              <w:t>任务名称</w:t>
            </w:r>
          </w:p>
        </w:tc>
        <w:tc>
          <w:tcPr>
            <w:tcW w:w="5621" w:type="dxa"/>
            <w:gridSpan w:val="7"/>
            <w:noWrap w:val="0"/>
            <w:vAlign w:val="center"/>
          </w:tcPr>
          <w:p>
            <w:pPr>
              <w:spacing w:line="0" w:lineRule="atLeast"/>
              <w:jc w:val="center"/>
              <w:rPr>
                <w:rFonts w:ascii="宋体" w:cs="宋体"/>
                <w:bCs/>
                <w:color w:val="000000"/>
                <w:kern w:val="0"/>
                <w:sz w:val="18"/>
                <w:szCs w:val="18"/>
              </w:rPr>
            </w:pPr>
            <w:r>
              <w:rPr>
                <w:rFonts w:hint="eastAsia" w:ascii="宋体" w:hAnsi="宋体" w:cs="宋体"/>
                <w:bCs/>
                <w:color w:val="000000"/>
                <w:kern w:val="0"/>
                <w:sz w:val="18"/>
                <w:szCs w:val="18"/>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39" w:type="dxa"/>
            <w:vMerge w:val="continue"/>
            <w:shd w:val="clear" w:color="auto" w:fill="auto"/>
            <w:noWrap w:val="0"/>
            <w:vAlign w:val="center"/>
          </w:tcPr>
          <w:p>
            <w:pPr>
              <w:spacing w:line="0" w:lineRule="atLeast"/>
              <w:jc w:val="center"/>
              <w:rPr>
                <w:rFonts w:ascii="宋体" w:cs="宋体"/>
                <w:bCs/>
                <w:color w:val="000000"/>
                <w:kern w:val="0"/>
                <w:sz w:val="18"/>
                <w:szCs w:val="18"/>
              </w:rPr>
            </w:pPr>
          </w:p>
        </w:tc>
        <w:tc>
          <w:tcPr>
            <w:tcW w:w="2805" w:type="dxa"/>
            <w:gridSpan w:val="4"/>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人员工资福利支出</w:t>
            </w:r>
          </w:p>
        </w:tc>
        <w:tc>
          <w:tcPr>
            <w:tcW w:w="5621" w:type="dxa"/>
            <w:gridSpan w:val="7"/>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在职实有</w:t>
            </w:r>
            <w:r>
              <w:rPr>
                <w:rFonts w:ascii="宋体" w:hAnsi="宋体" w:cs="宋体"/>
                <w:color w:val="000000"/>
                <w:kern w:val="0"/>
                <w:sz w:val="18"/>
                <w:szCs w:val="18"/>
              </w:rPr>
              <w:t>44</w:t>
            </w:r>
            <w:r>
              <w:rPr>
                <w:rFonts w:hint="eastAsia" w:ascii="宋体" w:hAnsi="宋体" w:cs="宋体"/>
                <w:color w:val="000000"/>
                <w:kern w:val="0"/>
                <w:sz w:val="18"/>
                <w:szCs w:val="18"/>
              </w:rPr>
              <w:t>人。其中公务员</w:t>
            </w:r>
            <w:r>
              <w:rPr>
                <w:rFonts w:ascii="宋体" w:hAnsi="宋体" w:cs="宋体"/>
                <w:color w:val="000000"/>
                <w:kern w:val="0"/>
                <w:sz w:val="18"/>
                <w:szCs w:val="18"/>
              </w:rPr>
              <w:t>21</w:t>
            </w:r>
            <w:r>
              <w:rPr>
                <w:rFonts w:hint="eastAsia" w:ascii="宋体" w:hAnsi="宋体" w:cs="宋体"/>
                <w:color w:val="000000"/>
                <w:kern w:val="0"/>
                <w:sz w:val="18"/>
                <w:szCs w:val="18"/>
              </w:rPr>
              <w:t>人、工勤人员</w:t>
            </w:r>
            <w:r>
              <w:rPr>
                <w:rFonts w:ascii="宋体" w:hAnsi="宋体" w:cs="宋体"/>
                <w:color w:val="000000"/>
                <w:kern w:val="0"/>
                <w:sz w:val="18"/>
                <w:szCs w:val="18"/>
              </w:rPr>
              <w:t>5</w:t>
            </w:r>
            <w:r>
              <w:rPr>
                <w:rFonts w:hint="eastAsia" w:ascii="宋体" w:hAnsi="宋体" w:cs="宋体"/>
                <w:color w:val="000000"/>
                <w:kern w:val="0"/>
                <w:sz w:val="18"/>
                <w:szCs w:val="18"/>
              </w:rPr>
              <w:t>人、事业人员</w:t>
            </w:r>
            <w:r>
              <w:rPr>
                <w:rFonts w:ascii="宋体" w:hAnsi="宋体" w:cs="宋体"/>
                <w:color w:val="000000"/>
                <w:kern w:val="0"/>
                <w:sz w:val="18"/>
                <w:szCs w:val="18"/>
              </w:rPr>
              <w:t>18</w:t>
            </w:r>
            <w:r>
              <w:rPr>
                <w:rFonts w:hint="eastAsia" w:ascii="宋体" w:hAnsi="宋体" w:cs="宋体"/>
                <w:color w:val="000000"/>
                <w:kern w:val="0"/>
                <w:sz w:val="18"/>
                <w:szCs w:val="1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39" w:type="dxa"/>
            <w:vMerge w:val="continue"/>
            <w:shd w:val="clear" w:color="auto" w:fill="auto"/>
            <w:noWrap w:val="0"/>
            <w:vAlign w:val="center"/>
          </w:tcPr>
          <w:p>
            <w:pPr>
              <w:spacing w:line="0" w:lineRule="atLeast"/>
              <w:jc w:val="center"/>
              <w:rPr>
                <w:rFonts w:ascii="宋体" w:cs="宋体"/>
                <w:bCs/>
                <w:color w:val="000000"/>
                <w:kern w:val="0"/>
                <w:sz w:val="18"/>
                <w:szCs w:val="18"/>
              </w:rPr>
            </w:pPr>
          </w:p>
        </w:tc>
        <w:tc>
          <w:tcPr>
            <w:tcW w:w="2805" w:type="dxa"/>
            <w:gridSpan w:val="4"/>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社会保障缴费及住房公积金</w:t>
            </w:r>
          </w:p>
        </w:tc>
        <w:tc>
          <w:tcPr>
            <w:tcW w:w="5621" w:type="dxa"/>
            <w:gridSpan w:val="7"/>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医疗保险按</w:t>
            </w:r>
            <w:r>
              <w:rPr>
                <w:rFonts w:ascii="宋体" w:hAnsi="宋体" w:cs="宋体"/>
                <w:color w:val="000000"/>
                <w:kern w:val="0"/>
                <w:sz w:val="18"/>
                <w:szCs w:val="18"/>
              </w:rPr>
              <w:t>7.5%</w:t>
            </w:r>
            <w:r>
              <w:rPr>
                <w:rFonts w:hint="eastAsia" w:ascii="宋体" w:hAnsi="宋体" w:cs="宋体"/>
                <w:color w:val="000000"/>
                <w:kern w:val="0"/>
                <w:sz w:val="18"/>
                <w:szCs w:val="18"/>
              </w:rPr>
              <w:t>标准计算。失业保险按</w:t>
            </w:r>
            <w:r>
              <w:rPr>
                <w:rFonts w:ascii="宋体" w:hAnsi="宋体" w:cs="宋体"/>
                <w:color w:val="000000"/>
                <w:kern w:val="0"/>
                <w:sz w:val="18"/>
                <w:szCs w:val="18"/>
              </w:rPr>
              <w:t>0.6%</w:t>
            </w:r>
            <w:r>
              <w:rPr>
                <w:rFonts w:hint="eastAsia" w:ascii="宋体" w:hAnsi="宋体" w:cs="宋体"/>
                <w:color w:val="000000"/>
                <w:kern w:val="0"/>
                <w:sz w:val="18"/>
                <w:szCs w:val="18"/>
              </w:rPr>
              <w:t>标准计算</w:t>
            </w:r>
            <w:r>
              <w:rPr>
                <w:rFonts w:ascii="宋体" w:cs="宋体"/>
                <w:color w:val="000000"/>
                <w:kern w:val="0"/>
                <w:sz w:val="18"/>
                <w:szCs w:val="18"/>
              </w:rPr>
              <w:t>,</w:t>
            </w:r>
            <w:r>
              <w:rPr>
                <w:rFonts w:hint="eastAsia" w:ascii="宋体" w:hAnsi="宋体" w:cs="宋体"/>
                <w:color w:val="000000"/>
                <w:kern w:val="0"/>
                <w:sz w:val="18"/>
                <w:szCs w:val="18"/>
              </w:rPr>
              <w:t>。养老保险按</w:t>
            </w:r>
            <w:r>
              <w:rPr>
                <w:rFonts w:ascii="宋体" w:hAnsi="宋体" w:cs="宋体"/>
                <w:color w:val="000000"/>
                <w:kern w:val="0"/>
                <w:sz w:val="18"/>
                <w:szCs w:val="18"/>
              </w:rPr>
              <w:t>16%</w:t>
            </w:r>
            <w:r>
              <w:rPr>
                <w:rFonts w:hint="eastAsia" w:ascii="宋体" w:hAnsi="宋体" w:cs="宋体"/>
                <w:color w:val="000000"/>
                <w:kern w:val="0"/>
                <w:sz w:val="18"/>
                <w:szCs w:val="18"/>
              </w:rPr>
              <w:t>标准计算。住房公积金按</w:t>
            </w:r>
            <w:r>
              <w:rPr>
                <w:rFonts w:ascii="宋体" w:hAnsi="宋体" w:cs="宋体"/>
                <w:color w:val="000000"/>
                <w:kern w:val="0"/>
                <w:sz w:val="18"/>
                <w:szCs w:val="18"/>
              </w:rPr>
              <w:t>12%</w:t>
            </w:r>
            <w:r>
              <w:rPr>
                <w:rFonts w:hint="eastAsia" w:ascii="宋体" w:hAnsi="宋体" w:cs="宋体"/>
                <w:color w:val="000000"/>
                <w:kern w:val="0"/>
                <w:sz w:val="18"/>
                <w:szCs w:val="18"/>
              </w:rPr>
              <w:t>标准计算。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9" w:type="dxa"/>
            <w:vMerge w:val="continue"/>
            <w:shd w:val="clear" w:color="auto" w:fill="auto"/>
            <w:noWrap w:val="0"/>
            <w:vAlign w:val="center"/>
          </w:tcPr>
          <w:p>
            <w:pPr>
              <w:spacing w:line="0" w:lineRule="atLeast"/>
              <w:jc w:val="center"/>
              <w:rPr>
                <w:rFonts w:ascii="宋体" w:cs="宋体"/>
                <w:bCs/>
                <w:color w:val="000000"/>
                <w:kern w:val="0"/>
                <w:sz w:val="18"/>
                <w:szCs w:val="18"/>
              </w:rPr>
            </w:pPr>
          </w:p>
        </w:tc>
        <w:tc>
          <w:tcPr>
            <w:tcW w:w="2805" w:type="dxa"/>
            <w:gridSpan w:val="4"/>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公用经费</w:t>
            </w:r>
          </w:p>
        </w:tc>
        <w:tc>
          <w:tcPr>
            <w:tcW w:w="5621" w:type="dxa"/>
            <w:gridSpan w:val="7"/>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人年均</w:t>
            </w:r>
            <w:r>
              <w:rPr>
                <w:rFonts w:ascii="宋体" w:hAnsi="宋体" w:cs="宋体"/>
                <w:color w:val="000000"/>
                <w:kern w:val="0"/>
                <w:sz w:val="18"/>
                <w:szCs w:val="18"/>
              </w:rPr>
              <w:t>10000</w:t>
            </w:r>
            <w:r>
              <w:rPr>
                <w:rFonts w:hint="eastAsia" w:ascii="宋体" w:hAnsi="宋体" w:cs="宋体"/>
                <w:color w:val="000000"/>
                <w:kern w:val="0"/>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39" w:type="dxa"/>
            <w:vMerge w:val="continue"/>
            <w:shd w:val="clear" w:color="auto" w:fill="auto"/>
            <w:noWrap w:val="0"/>
            <w:vAlign w:val="center"/>
          </w:tcPr>
          <w:p>
            <w:pPr>
              <w:spacing w:line="0" w:lineRule="atLeast"/>
              <w:jc w:val="center"/>
              <w:rPr>
                <w:rFonts w:ascii="宋体" w:cs="宋体"/>
                <w:bCs/>
                <w:color w:val="000000"/>
                <w:kern w:val="0"/>
                <w:sz w:val="18"/>
                <w:szCs w:val="18"/>
              </w:rPr>
            </w:pPr>
          </w:p>
        </w:tc>
        <w:tc>
          <w:tcPr>
            <w:tcW w:w="2805" w:type="dxa"/>
            <w:gridSpan w:val="4"/>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对个人和家庭补助</w:t>
            </w:r>
          </w:p>
        </w:tc>
        <w:tc>
          <w:tcPr>
            <w:tcW w:w="5621" w:type="dxa"/>
            <w:gridSpan w:val="7"/>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遗属生活补助：按人社部门核定标准及遗属对象预算，城镇户籍</w:t>
            </w:r>
            <w:r>
              <w:rPr>
                <w:rFonts w:ascii="宋体" w:hAnsi="宋体" w:cs="宋体"/>
                <w:color w:val="000000"/>
                <w:kern w:val="0"/>
                <w:sz w:val="18"/>
                <w:szCs w:val="18"/>
              </w:rPr>
              <w:t>650/</w:t>
            </w:r>
            <w:r>
              <w:rPr>
                <w:rFonts w:hint="eastAsia" w:ascii="宋体" w:hAnsi="宋体" w:cs="宋体"/>
                <w:color w:val="000000"/>
                <w:kern w:val="0"/>
                <w:sz w:val="18"/>
                <w:szCs w:val="18"/>
              </w:rPr>
              <w:t>月。独子费：夫妻双方均为财政供养人员按人月均</w:t>
            </w:r>
            <w:r>
              <w:rPr>
                <w:rFonts w:ascii="宋体" w:hAnsi="宋体" w:cs="宋体"/>
                <w:color w:val="000000"/>
                <w:kern w:val="0"/>
                <w:sz w:val="18"/>
                <w:szCs w:val="18"/>
              </w:rPr>
              <w:t>10</w:t>
            </w:r>
            <w:r>
              <w:rPr>
                <w:rFonts w:hint="eastAsia" w:ascii="宋体" w:hAnsi="宋体" w:cs="宋体"/>
                <w:color w:val="000000"/>
                <w:kern w:val="0"/>
                <w:sz w:val="18"/>
                <w:szCs w:val="18"/>
              </w:rPr>
              <w:t>元预算，夫妻只有一方为财政供养人员按人月均</w:t>
            </w:r>
            <w:r>
              <w:rPr>
                <w:rFonts w:ascii="宋体" w:hAnsi="宋体" w:cs="宋体"/>
                <w:color w:val="000000"/>
                <w:kern w:val="0"/>
                <w:sz w:val="18"/>
                <w:szCs w:val="18"/>
              </w:rPr>
              <w:t>20</w:t>
            </w:r>
            <w:r>
              <w:rPr>
                <w:rFonts w:hint="eastAsia" w:ascii="宋体" w:hAnsi="宋体" w:cs="宋体"/>
                <w:color w:val="000000"/>
                <w:kern w:val="0"/>
                <w:sz w:val="18"/>
                <w:szCs w:val="18"/>
              </w:rPr>
              <w:t>元预算。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39" w:type="dxa"/>
            <w:vMerge w:val="continue"/>
            <w:shd w:val="clear" w:color="auto" w:fill="auto"/>
            <w:noWrap w:val="0"/>
            <w:vAlign w:val="center"/>
          </w:tcPr>
          <w:p>
            <w:pPr>
              <w:spacing w:line="0" w:lineRule="atLeast"/>
              <w:jc w:val="center"/>
              <w:rPr>
                <w:rFonts w:ascii="宋体" w:cs="宋体"/>
                <w:bCs/>
                <w:color w:val="000000"/>
                <w:kern w:val="0"/>
                <w:sz w:val="18"/>
                <w:szCs w:val="18"/>
              </w:rPr>
            </w:pPr>
          </w:p>
        </w:tc>
        <w:tc>
          <w:tcPr>
            <w:tcW w:w="2805" w:type="dxa"/>
            <w:gridSpan w:val="4"/>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干部能力提升培训专项</w:t>
            </w:r>
          </w:p>
        </w:tc>
        <w:tc>
          <w:tcPr>
            <w:tcW w:w="5621" w:type="dxa"/>
            <w:gridSpan w:val="7"/>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保障干部职工继续教育培训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539" w:type="dxa"/>
            <w:vMerge w:val="continue"/>
            <w:shd w:val="clear" w:color="auto" w:fill="auto"/>
            <w:noWrap w:val="0"/>
            <w:vAlign w:val="center"/>
          </w:tcPr>
          <w:p>
            <w:pPr>
              <w:spacing w:line="0" w:lineRule="atLeast"/>
              <w:jc w:val="center"/>
              <w:rPr>
                <w:rFonts w:ascii="宋体" w:cs="宋体"/>
                <w:bCs/>
                <w:color w:val="000000"/>
                <w:kern w:val="0"/>
                <w:sz w:val="18"/>
                <w:szCs w:val="18"/>
              </w:rPr>
            </w:pPr>
          </w:p>
        </w:tc>
        <w:tc>
          <w:tcPr>
            <w:tcW w:w="2805" w:type="dxa"/>
            <w:gridSpan w:val="4"/>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引进人才安家及工作补助</w:t>
            </w:r>
          </w:p>
        </w:tc>
        <w:tc>
          <w:tcPr>
            <w:tcW w:w="5621" w:type="dxa"/>
            <w:gridSpan w:val="7"/>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完成</w:t>
            </w:r>
            <w:r>
              <w:rPr>
                <w:rFonts w:ascii="宋体" w:hAnsi="宋体" w:cs="宋体"/>
                <w:color w:val="000000"/>
                <w:kern w:val="0"/>
                <w:sz w:val="18"/>
                <w:szCs w:val="18"/>
              </w:rPr>
              <w:t>2021</w:t>
            </w:r>
            <w:r>
              <w:rPr>
                <w:rFonts w:hint="eastAsia" w:ascii="宋体" w:hAnsi="宋体" w:cs="宋体"/>
                <w:color w:val="000000"/>
                <w:kern w:val="0"/>
                <w:sz w:val="18"/>
                <w:szCs w:val="18"/>
              </w:rPr>
              <w:t>年部引进高层次人才的生活补助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39" w:type="dxa"/>
            <w:vMerge w:val="continue"/>
            <w:shd w:val="clear" w:color="auto" w:fill="auto"/>
            <w:noWrap w:val="0"/>
            <w:vAlign w:val="center"/>
          </w:tcPr>
          <w:p>
            <w:pPr>
              <w:spacing w:line="0" w:lineRule="atLeast"/>
              <w:jc w:val="center"/>
              <w:rPr>
                <w:rFonts w:ascii="宋体" w:cs="宋体"/>
                <w:bCs/>
                <w:color w:val="000000"/>
                <w:kern w:val="0"/>
                <w:sz w:val="18"/>
                <w:szCs w:val="18"/>
              </w:rPr>
            </w:pPr>
          </w:p>
        </w:tc>
        <w:tc>
          <w:tcPr>
            <w:tcW w:w="2805" w:type="dxa"/>
            <w:gridSpan w:val="4"/>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政研工作专项</w:t>
            </w:r>
          </w:p>
        </w:tc>
        <w:tc>
          <w:tcPr>
            <w:tcW w:w="5621" w:type="dxa"/>
            <w:gridSpan w:val="7"/>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合作开展政策研究课题调研，形成政策调研文章，编印成果刊物；指导、协调全区调研活动开展；完成省、市下达目标任务及约稿任务；保障日常工作运转。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539" w:type="dxa"/>
            <w:vMerge w:val="continue"/>
            <w:shd w:val="clear" w:color="auto" w:fill="auto"/>
            <w:noWrap w:val="0"/>
            <w:vAlign w:val="center"/>
          </w:tcPr>
          <w:p>
            <w:pPr>
              <w:spacing w:line="0" w:lineRule="atLeast"/>
              <w:jc w:val="center"/>
              <w:rPr>
                <w:rFonts w:ascii="宋体" w:cs="宋体"/>
                <w:bCs/>
                <w:color w:val="000000"/>
                <w:kern w:val="0"/>
                <w:sz w:val="18"/>
                <w:szCs w:val="18"/>
              </w:rPr>
            </w:pPr>
          </w:p>
        </w:tc>
        <w:tc>
          <w:tcPr>
            <w:tcW w:w="2805" w:type="dxa"/>
            <w:gridSpan w:val="4"/>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密钥信息中心专项工作</w:t>
            </w:r>
          </w:p>
        </w:tc>
        <w:tc>
          <w:tcPr>
            <w:tcW w:w="5621" w:type="dxa"/>
            <w:gridSpan w:val="7"/>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完成</w:t>
            </w:r>
            <w:r>
              <w:rPr>
                <w:rFonts w:ascii="宋体" w:hAnsi="宋体" w:cs="宋体"/>
                <w:color w:val="000000"/>
                <w:kern w:val="0"/>
                <w:sz w:val="18"/>
                <w:szCs w:val="18"/>
              </w:rPr>
              <w:t>2021</w:t>
            </w:r>
            <w:r>
              <w:rPr>
                <w:rFonts w:hint="eastAsia" w:ascii="宋体" w:hAnsi="宋体" w:cs="宋体"/>
                <w:color w:val="000000"/>
                <w:kern w:val="0"/>
                <w:sz w:val="18"/>
                <w:szCs w:val="18"/>
              </w:rPr>
              <w:t>年度密钥中心和信息中心工作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539" w:type="dxa"/>
            <w:vMerge w:val="continue"/>
            <w:shd w:val="clear" w:color="auto" w:fill="auto"/>
            <w:noWrap w:val="0"/>
            <w:vAlign w:val="center"/>
          </w:tcPr>
          <w:p>
            <w:pPr>
              <w:spacing w:line="0" w:lineRule="atLeast"/>
              <w:jc w:val="center"/>
              <w:rPr>
                <w:rFonts w:ascii="宋体" w:cs="宋体"/>
                <w:bCs/>
                <w:color w:val="000000"/>
                <w:kern w:val="0"/>
                <w:sz w:val="18"/>
                <w:szCs w:val="18"/>
              </w:rPr>
            </w:pPr>
          </w:p>
        </w:tc>
        <w:tc>
          <w:tcPr>
            <w:tcW w:w="2805" w:type="dxa"/>
            <w:gridSpan w:val="4"/>
            <w:noWrap w:val="0"/>
            <w:vAlign w:val="center"/>
          </w:tcPr>
          <w:p>
            <w:pPr>
              <w:spacing w:line="0" w:lineRule="atLeast"/>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公务交通补贴</w:t>
            </w:r>
          </w:p>
        </w:tc>
        <w:tc>
          <w:tcPr>
            <w:tcW w:w="5621" w:type="dxa"/>
            <w:gridSpan w:val="7"/>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保障</w:t>
            </w:r>
            <w:r>
              <w:rPr>
                <w:rFonts w:ascii="宋体" w:hAnsi="宋体" w:cs="宋体"/>
                <w:color w:val="000000"/>
                <w:kern w:val="0"/>
                <w:sz w:val="18"/>
                <w:szCs w:val="18"/>
              </w:rPr>
              <w:t>26</w:t>
            </w:r>
            <w:r>
              <w:rPr>
                <w:rFonts w:hint="eastAsia" w:ascii="宋体" w:hAnsi="宋体" w:cs="宋体"/>
                <w:color w:val="000000"/>
                <w:kern w:val="0"/>
                <w:sz w:val="18"/>
                <w:szCs w:val="18"/>
              </w:rPr>
              <w:t>人</w:t>
            </w:r>
            <w:r>
              <w:rPr>
                <w:rFonts w:ascii="宋体" w:hAnsi="宋体" w:cs="宋体"/>
                <w:color w:val="000000"/>
                <w:kern w:val="0"/>
                <w:sz w:val="18"/>
                <w:szCs w:val="18"/>
              </w:rPr>
              <w:t>2021</w:t>
            </w:r>
            <w:r>
              <w:rPr>
                <w:rFonts w:hint="eastAsia" w:ascii="宋体" w:hAnsi="宋体" w:cs="宋体"/>
                <w:color w:val="000000"/>
                <w:kern w:val="0"/>
                <w:sz w:val="18"/>
                <w:szCs w:val="18"/>
              </w:rPr>
              <w:t>年度公务交通补贴发放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39" w:type="dxa"/>
            <w:vMerge w:val="continue"/>
            <w:shd w:val="clear" w:color="auto" w:fill="auto"/>
            <w:noWrap w:val="0"/>
            <w:vAlign w:val="center"/>
          </w:tcPr>
          <w:p>
            <w:pPr>
              <w:spacing w:line="0" w:lineRule="atLeast"/>
              <w:jc w:val="center"/>
              <w:rPr>
                <w:rFonts w:ascii="宋体" w:cs="宋体"/>
                <w:bCs/>
                <w:color w:val="000000"/>
                <w:kern w:val="0"/>
                <w:sz w:val="18"/>
                <w:szCs w:val="18"/>
              </w:rPr>
            </w:pPr>
          </w:p>
        </w:tc>
        <w:tc>
          <w:tcPr>
            <w:tcW w:w="2805" w:type="dxa"/>
            <w:gridSpan w:val="4"/>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对外宣传专项工作</w:t>
            </w:r>
          </w:p>
        </w:tc>
        <w:tc>
          <w:tcPr>
            <w:tcW w:w="5621" w:type="dxa"/>
            <w:gridSpan w:val="7"/>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围绕“四个服务”，抓好信息和突发事件新的收集、整理、编报、下发工作，围绕党委中心工作，积极开展信息调研，为领导决策提供高层次信息，加大对外宣传力度，形成省市区可复制可推广的经验，建设朝天党委信息主阵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39" w:type="dxa"/>
            <w:vMerge w:val="continue"/>
            <w:shd w:val="clear" w:color="auto" w:fill="auto"/>
            <w:noWrap w:val="0"/>
            <w:vAlign w:val="center"/>
          </w:tcPr>
          <w:p>
            <w:pPr>
              <w:spacing w:line="0" w:lineRule="atLeast"/>
              <w:jc w:val="center"/>
              <w:rPr>
                <w:rFonts w:ascii="宋体" w:cs="宋体"/>
                <w:bCs/>
                <w:color w:val="000000"/>
                <w:kern w:val="0"/>
                <w:sz w:val="18"/>
                <w:szCs w:val="18"/>
              </w:rPr>
            </w:pPr>
          </w:p>
        </w:tc>
        <w:tc>
          <w:tcPr>
            <w:tcW w:w="2805" w:type="dxa"/>
            <w:gridSpan w:val="4"/>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密码设备运行维护</w:t>
            </w:r>
          </w:p>
        </w:tc>
        <w:tc>
          <w:tcPr>
            <w:tcW w:w="5621" w:type="dxa"/>
            <w:gridSpan w:val="7"/>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确保密码绝对安全，密码通信绝对畅通。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539" w:type="dxa"/>
            <w:vMerge w:val="continue"/>
            <w:shd w:val="clear" w:color="auto" w:fill="auto"/>
            <w:noWrap w:val="0"/>
            <w:vAlign w:val="center"/>
          </w:tcPr>
          <w:p>
            <w:pPr>
              <w:spacing w:line="0" w:lineRule="atLeast"/>
              <w:jc w:val="center"/>
              <w:rPr>
                <w:rFonts w:ascii="宋体" w:cs="宋体"/>
                <w:bCs/>
                <w:color w:val="000000"/>
                <w:kern w:val="0"/>
                <w:sz w:val="18"/>
                <w:szCs w:val="18"/>
              </w:rPr>
            </w:pPr>
          </w:p>
        </w:tc>
        <w:tc>
          <w:tcPr>
            <w:tcW w:w="2805" w:type="dxa"/>
            <w:gridSpan w:val="4"/>
            <w:noWrap w:val="0"/>
            <w:vAlign w:val="center"/>
          </w:tcPr>
          <w:p>
            <w:pPr>
              <w:spacing w:line="0" w:lineRule="atLeast"/>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对外开放专项工作</w:t>
            </w:r>
          </w:p>
        </w:tc>
        <w:tc>
          <w:tcPr>
            <w:tcW w:w="5621" w:type="dxa"/>
            <w:gridSpan w:val="7"/>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认真落实区域协调发展战略，大力实施对外开放合作战略，以全视觉、宽领域的大开放促进多层次、多形式的大合作，面向全省、全国乃至全世界聚集发展要素，努力参与更大范围产品供给，积极承接产业转移，广泛开展交流合作，全方位提升对外开放能力和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9" w:type="dxa"/>
            <w:vMerge w:val="continue"/>
            <w:shd w:val="clear" w:color="auto" w:fill="auto"/>
            <w:noWrap w:val="0"/>
            <w:vAlign w:val="center"/>
          </w:tcPr>
          <w:p>
            <w:pPr>
              <w:spacing w:line="0" w:lineRule="atLeast"/>
              <w:jc w:val="center"/>
              <w:rPr>
                <w:rFonts w:ascii="宋体" w:cs="宋体"/>
                <w:bCs/>
                <w:color w:val="000000"/>
                <w:kern w:val="0"/>
                <w:sz w:val="18"/>
                <w:szCs w:val="18"/>
              </w:rPr>
            </w:pPr>
          </w:p>
        </w:tc>
        <w:tc>
          <w:tcPr>
            <w:tcW w:w="2805" w:type="dxa"/>
            <w:gridSpan w:val="4"/>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党史工作专项</w:t>
            </w:r>
          </w:p>
        </w:tc>
        <w:tc>
          <w:tcPr>
            <w:tcW w:w="5621" w:type="dxa"/>
            <w:gridSpan w:val="7"/>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保障党史资料征集、《执政实录》编撰、党史宣传教育活动开展及日常工作运转。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539" w:type="dxa"/>
            <w:vMerge w:val="continue"/>
            <w:shd w:val="clear" w:color="auto" w:fill="auto"/>
            <w:noWrap w:val="0"/>
            <w:vAlign w:val="center"/>
          </w:tcPr>
          <w:p>
            <w:pPr>
              <w:spacing w:line="0" w:lineRule="atLeast"/>
              <w:jc w:val="center"/>
              <w:rPr>
                <w:rFonts w:ascii="宋体" w:cs="宋体"/>
                <w:bCs/>
                <w:color w:val="000000"/>
                <w:kern w:val="0"/>
                <w:sz w:val="18"/>
                <w:szCs w:val="18"/>
              </w:rPr>
            </w:pPr>
          </w:p>
        </w:tc>
        <w:tc>
          <w:tcPr>
            <w:tcW w:w="2805" w:type="dxa"/>
            <w:gridSpan w:val="4"/>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机要保密工作专项</w:t>
            </w:r>
          </w:p>
        </w:tc>
        <w:tc>
          <w:tcPr>
            <w:tcW w:w="5621" w:type="dxa"/>
            <w:gridSpan w:val="7"/>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开展保密宣传、教育、执法检查及案件查处工作，确保全区无失、泄密案件发生；抓好保密检查平台建设、利用及维护；加强全区保密业务指导，保障日常工作运转。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39" w:type="dxa"/>
            <w:vMerge w:val="continue"/>
            <w:shd w:val="clear" w:color="auto" w:fill="auto"/>
            <w:noWrap w:val="0"/>
            <w:vAlign w:val="center"/>
          </w:tcPr>
          <w:p>
            <w:pPr>
              <w:spacing w:line="0" w:lineRule="atLeast"/>
              <w:jc w:val="center"/>
              <w:rPr>
                <w:rFonts w:ascii="宋体" w:cs="宋体"/>
                <w:bCs/>
                <w:color w:val="000000"/>
                <w:kern w:val="0"/>
                <w:sz w:val="18"/>
                <w:szCs w:val="18"/>
              </w:rPr>
            </w:pPr>
          </w:p>
        </w:tc>
        <w:tc>
          <w:tcPr>
            <w:tcW w:w="2805" w:type="dxa"/>
            <w:gridSpan w:val="4"/>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区委全会等专项会议工作</w:t>
            </w:r>
          </w:p>
        </w:tc>
        <w:tc>
          <w:tcPr>
            <w:tcW w:w="5621" w:type="dxa"/>
            <w:gridSpan w:val="7"/>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保障区委全会、区委常委会议、区委区政府工作会议召开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39" w:type="dxa"/>
            <w:vMerge w:val="continue"/>
            <w:shd w:val="clear" w:color="auto" w:fill="auto"/>
            <w:noWrap w:val="0"/>
            <w:vAlign w:val="center"/>
          </w:tcPr>
          <w:p>
            <w:pPr>
              <w:spacing w:line="0" w:lineRule="atLeast"/>
              <w:jc w:val="center"/>
              <w:rPr>
                <w:rFonts w:ascii="宋体" w:cs="宋体"/>
                <w:bCs/>
                <w:color w:val="000000"/>
                <w:kern w:val="0"/>
                <w:sz w:val="18"/>
                <w:szCs w:val="18"/>
              </w:rPr>
            </w:pPr>
          </w:p>
        </w:tc>
        <w:tc>
          <w:tcPr>
            <w:tcW w:w="2805" w:type="dxa"/>
            <w:gridSpan w:val="4"/>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深化改革专项工作</w:t>
            </w:r>
          </w:p>
        </w:tc>
        <w:tc>
          <w:tcPr>
            <w:tcW w:w="5621" w:type="dxa"/>
            <w:gridSpan w:val="7"/>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对照《区委全面深化改革重要举措实施规划》确定的任务书、时间表和路线图，推动既定改革任务全面完成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539" w:type="dxa"/>
            <w:vMerge w:val="continue"/>
            <w:shd w:val="clear" w:color="auto" w:fill="auto"/>
            <w:noWrap w:val="0"/>
            <w:vAlign w:val="center"/>
          </w:tcPr>
          <w:p>
            <w:pPr>
              <w:spacing w:line="0" w:lineRule="atLeast"/>
              <w:jc w:val="center"/>
              <w:rPr>
                <w:rFonts w:ascii="宋体" w:cs="宋体"/>
                <w:bCs/>
                <w:color w:val="000000"/>
                <w:kern w:val="0"/>
                <w:sz w:val="18"/>
                <w:szCs w:val="18"/>
              </w:rPr>
            </w:pPr>
          </w:p>
        </w:tc>
        <w:tc>
          <w:tcPr>
            <w:tcW w:w="2805" w:type="dxa"/>
            <w:gridSpan w:val="4"/>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机要值班专项</w:t>
            </w:r>
          </w:p>
        </w:tc>
        <w:tc>
          <w:tcPr>
            <w:tcW w:w="5621" w:type="dxa"/>
            <w:gridSpan w:val="7"/>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保障机要值班工作顺利开展，确保密码绝对安全、密码通信绝对畅通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39" w:type="dxa"/>
            <w:vMerge w:val="continue"/>
            <w:shd w:val="clear" w:color="auto" w:fill="auto"/>
            <w:noWrap w:val="0"/>
            <w:vAlign w:val="center"/>
          </w:tcPr>
          <w:p>
            <w:pPr>
              <w:spacing w:line="0" w:lineRule="atLeast"/>
              <w:jc w:val="left"/>
              <w:rPr>
                <w:rFonts w:ascii="宋体" w:cs="宋体"/>
                <w:bCs/>
                <w:color w:val="000000"/>
                <w:kern w:val="0"/>
                <w:sz w:val="18"/>
                <w:szCs w:val="18"/>
              </w:rPr>
            </w:pPr>
          </w:p>
        </w:tc>
        <w:tc>
          <w:tcPr>
            <w:tcW w:w="2805" w:type="dxa"/>
            <w:gridSpan w:val="4"/>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办公室专项工作</w:t>
            </w:r>
          </w:p>
        </w:tc>
        <w:tc>
          <w:tcPr>
            <w:tcW w:w="5621" w:type="dxa"/>
            <w:gridSpan w:val="7"/>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围绕中央、省委、市委和区委总体工作部署，全面完成各项目标任务，为区委各项决策部署顺利实施提供坚强有力地后勤保障，推动办公室工作正常运转。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9" w:type="dxa"/>
            <w:vMerge w:val="continue"/>
            <w:shd w:val="clear" w:color="auto" w:fill="auto"/>
            <w:noWrap w:val="0"/>
            <w:vAlign w:val="center"/>
          </w:tcPr>
          <w:p>
            <w:pPr>
              <w:spacing w:line="0" w:lineRule="atLeast"/>
              <w:jc w:val="left"/>
              <w:rPr>
                <w:rFonts w:ascii="宋体" w:cs="宋体"/>
                <w:bCs/>
                <w:color w:val="000000"/>
                <w:kern w:val="0"/>
                <w:sz w:val="18"/>
                <w:szCs w:val="18"/>
              </w:rPr>
            </w:pPr>
          </w:p>
        </w:tc>
        <w:tc>
          <w:tcPr>
            <w:tcW w:w="2805" w:type="dxa"/>
            <w:gridSpan w:val="4"/>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办公设备购置</w:t>
            </w:r>
          </w:p>
        </w:tc>
        <w:tc>
          <w:tcPr>
            <w:tcW w:w="5621" w:type="dxa"/>
            <w:gridSpan w:val="7"/>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保障单位办公设施设备正常增加替换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743" w:type="dxa"/>
            <w:gridSpan w:val="4"/>
            <w:noWrap w:val="0"/>
            <w:vAlign w:val="center"/>
          </w:tcPr>
          <w:p>
            <w:pPr>
              <w:spacing w:line="0" w:lineRule="atLeast"/>
              <w:jc w:val="center"/>
              <w:rPr>
                <w:rFonts w:ascii="宋体" w:cs="宋体"/>
                <w:bCs/>
                <w:color w:val="000000"/>
                <w:kern w:val="0"/>
                <w:sz w:val="18"/>
                <w:szCs w:val="18"/>
              </w:rPr>
            </w:pPr>
            <w:r>
              <w:rPr>
                <w:rFonts w:hint="eastAsia" w:ascii="宋体" w:hAnsi="宋体" w:cs="宋体"/>
                <w:bCs/>
                <w:color w:val="000000"/>
                <w:kern w:val="0"/>
                <w:sz w:val="18"/>
                <w:szCs w:val="18"/>
              </w:rPr>
              <w:t>预算资金总额（万元）</w:t>
            </w:r>
          </w:p>
        </w:tc>
        <w:tc>
          <w:tcPr>
            <w:tcW w:w="1848" w:type="dxa"/>
            <w:gridSpan w:val="4"/>
            <w:noWrap w:val="0"/>
            <w:vAlign w:val="center"/>
          </w:tcPr>
          <w:p>
            <w:pPr>
              <w:spacing w:line="0" w:lineRule="atLeast"/>
              <w:rPr>
                <w:rFonts w:ascii="宋体" w:hAnsi="宋体" w:cs="宋体"/>
                <w:bCs/>
                <w:color w:val="000000"/>
                <w:kern w:val="0"/>
                <w:sz w:val="18"/>
                <w:szCs w:val="18"/>
              </w:rPr>
            </w:pPr>
            <w:r>
              <w:rPr>
                <w:rFonts w:ascii="宋体" w:hAnsi="宋体" w:cs="宋体"/>
                <w:bCs/>
                <w:color w:val="000000"/>
                <w:kern w:val="0"/>
                <w:sz w:val="18"/>
                <w:szCs w:val="18"/>
              </w:rPr>
              <w:t>1142.19</w:t>
            </w:r>
          </w:p>
        </w:tc>
        <w:tc>
          <w:tcPr>
            <w:tcW w:w="2379" w:type="dxa"/>
            <w:gridSpan w:val="2"/>
            <w:noWrap w:val="0"/>
            <w:vAlign w:val="center"/>
          </w:tcPr>
          <w:p>
            <w:pPr>
              <w:spacing w:line="0" w:lineRule="atLeast"/>
              <w:jc w:val="center"/>
              <w:rPr>
                <w:rFonts w:ascii="宋体" w:cs="宋体"/>
                <w:bCs/>
                <w:color w:val="000000"/>
                <w:kern w:val="0"/>
                <w:sz w:val="18"/>
                <w:szCs w:val="18"/>
              </w:rPr>
            </w:pPr>
            <w:r>
              <w:rPr>
                <w:rFonts w:hint="eastAsia" w:ascii="宋体" w:hAnsi="宋体" w:cs="宋体"/>
                <w:bCs/>
                <w:color w:val="000000"/>
                <w:kern w:val="0"/>
                <w:sz w:val="18"/>
                <w:szCs w:val="18"/>
              </w:rPr>
              <w:t>实际执行总额（万元）</w:t>
            </w:r>
          </w:p>
        </w:tc>
        <w:tc>
          <w:tcPr>
            <w:tcW w:w="1995" w:type="dxa"/>
            <w:gridSpan w:val="2"/>
            <w:noWrap w:val="0"/>
            <w:vAlign w:val="center"/>
          </w:tcPr>
          <w:p>
            <w:pPr>
              <w:spacing w:line="0" w:lineRule="atLeast"/>
              <w:jc w:val="center"/>
              <w:rPr>
                <w:rFonts w:ascii="宋体" w:hAnsi="宋体" w:cs="宋体"/>
                <w:color w:val="000000"/>
                <w:kern w:val="0"/>
                <w:sz w:val="18"/>
                <w:szCs w:val="18"/>
              </w:rPr>
            </w:pPr>
            <w:r>
              <w:rPr>
                <w:rFonts w:ascii="宋体" w:hAnsi="宋体" w:cs="宋体"/>
                <w:color w:val="000000"/>
                <w:kern w:val="0"/>
                <w:sz w:val="18"/>
                <w:szCs w:val="18"/>
              </w:rPr>
              <w:t>1142.19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743" w:type="dxa"/>
            <w:gridSpan w:val="4"/>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其中：一般公共预算</w:t>
            </w:r>
          </w:p>
        </w:tc>
        <w:tc>
          <w:tcPr>
            <w:tcW w:w="1848" w:type="dxa"/>
            <w:gridSpan w:val="4"/>
            <w:noWrap w:val="0"/>
            <w:vAlign w:val="center"/>
          </w:tcPr>
          <w:p>
            <w:pPr>
              <w:spacing w:line="0" w:lineRule="atLeast"/>
              <w:rPr>
                <w:rFonts w:ascii="宋体" w:hAnsi="宋体" w:cs="宋体"/>
                <w:color w:val="000000"/>
                <w:kern w:val="0"/>
                <w:sz w:val="18"/>
                <w:szCs w:val="18"/>
              </w:rPr>
            </w:pPr>
            <w:r>
              <w:rPr>
                <w:rFonts w:ascii="宋体" w:hAnsi="宋体" w:cs="宋体"/>
                <w:color w:val="000000"/>
                <w:kern w:val="0"/>
                <w:sz w:val="18"/>
                <w:szCs w:val="18"/>
              </w:rPr>
              <w:t>1142.19</w:t>
            </w:r>
          </w:p>
        </w:tc>
        <w:tc>
          <w:tcPr>
            <w:tcW w:w="2379" w:type="dxa"/>
            <w:gridSpan w:val="2"/>
            <w:noWrap w:val="0"/>
            <w:vAlign w:val="center"/>
          </w:tcPr>
          <w:p>
            <w:pPr>
              <w:spacing w:line="0" w:lineRule="atLeast"/>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其中：一般公共预算</w:t>
            </w:r>
          </w:p>
        </w:tc>
        <w:tc>
          <w:tcPr>
            <w:tcW w:w="1995" w:type="dxa"/>
            <w:gridSpan w:val="2"/>
            <w:noWrap w:val="0"/>
            <w:vAlign w:val="center"/>
          </w:tcPr>
          <w:p>
            <w:pPr>
              <w:spacing w:line="0" w:lineRule="atLeast"/>
              <w:jc w:val="center"/>
              <w:rPr>
                <w:rFonts w:ascii="宋体" w:hAnsi="宋体" w:cs="宋体"/>
                <w:color w:val="000000"/>
                <w:kern w:val="0"/>
                <w:sz w:val="18"/>
                <w:szCs w:val="18"/>
              </w:rPr>
            </w:pPr>
            <w:r>
              <w:rPr>
                <w:rFonts w:ascii="宋体" w:hAnsi="宋体" w:cs="宋体"/>
                <w:color w:val="000000"/>
                <w:kern w:val="0"/>
                <w:sz w:val="18"/>
                <w:szCs w:val="18"/>
              </w:rPr>
              <w:t>1142.19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743" w:type="dxa"/>
            <w:gridSpan w:val="4"/>
            <w:noWrap w:val="0"/>
            <w:vAlign w:val="center"/>
          </w:tcPr>
          <w:p>
            <w:pPr>
              <w:spacing w:line="0" w:lineRule="atLeas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政府性基金预算</w:t>
            </w:r>
          </w:p>
        </w:tc>
        <w:tc>
          <w:tcPr>
            <w:tcW w:w="1848" w:type="dxa"/>
            <w:gridSpan w:val="4"/>
            <w:noWrap w:val="0"/>
            <w:vAlign w:val="center"/>
          </w:tcPr>
          <w:p>
            <w:pPr>
              <w:spacing w:line="0" w:lineRule="atLeast"/>
              <w:rPr>
                <w:rFonts w:ascii="宋体" w:cs="宋体"/>
                <w:color w:val="000000"/>
                <w:kern w:val="0"/>
                <w:sz w:val="18"/>
                <w:szCs w:val="18"/>
              </w:rPr>
            </w:pPr>
            <w:r>
              <w:rPr>
                <w:rFonts w:hint="eastAsia" w:ascii="宋体" w:hAnsi="宋体" w:cs="宋体"/>
                <w:color w:val="000000"/>
                <w:kern w:val="0"/>
                <w:sz w:val="18"/>
                <w:szCs w:val="18"/>
              </w:rPr>
              <w:t>　</w:t>
            </w:r>
          </w:p>
        </w:tc>
        <w:tc>
          <w:tcPr>
            <w:tcW w:w="2379" w:type="dxa"/>
            <w:gridSpan w:val="2"/>
            <w:noWrap w:val="0"/>
            <w:vAlign w:val="center"/>
          </w:tcPr>
          <w:p>
            <w:pPr>
              <w:spacing w:line="0" w:lineRule="atLeas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政府性基金预算</w:t>
            </w:r>
          </w:p>
        </w:tc>
        <w:tc>
          <w:tcPr>
            <w:tcW w:w="1995" w:type="dxa"/>
            <w:gridSpan w:val="2"/>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743" w:type="dxa"/>
            <w:gridSpan w:val="4"/>
            <w:noWrap w:val="0"/>
            <w:vAlign w:val="center"/>
          </w:tcPr>
          <w:p>
            <w:pPr>
              <w:spacing w:line="0" w:lineRule="atLeas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国有资本经营预算</w:t>
            </w:r>
          </w:p>
        </w:tc>
        <w:tc>
          <w:tcPr>
            <w:tcW w:w="1848" w:type="dxa"/>
            <w:gridSpan w:val="4"/>
            <w:noWrap w:val="0"/>
            <w:vAlign w:val="center"/>
          </w:tcPr>
          <w:p>
            <w:pPr>
              <w:spacing w:line="0" w:lineRule="atLeast"/>
              <w:rPr>
                <w:rFonts w:ascii="宋体" w:cs="宋体"/>
                <w:color w:val="000000"/>
                <w:kern w:val="0"/>
                <w:sz w:val="18"/>
                <w:szCs w:val="18"/>
              </w:rPr>
            </w:pPr>
            <w:r>
              <w:rPr>
                <w:rFonts w:hint="eastAsia" w:ascii="宋体" w:hAnsi="宋体" w:cs="宋体"/>
                <w:color w:val="000000"/>
                <w:kern w:val="0"/>
                <w:sz w:val="18"/>
                <w:szCs w:val="18"/>
              </w:rPr>
              <w:t>　</w:t>
            </w:r>
          </w:p>
        </w:tc>
        <w:tc>
          <w:tcPr>
            <w:tcW w:w="2379" w:type="dxa"/>
            <w:gridSpan w:val="2"/>
            <w:noWrap w:val="0"/>
            <w:vAlign w:val="center"/>
          </w:tcPr>
          <w:p>
            <w:pPr>
              <w:spacing w:line="0" w:lineRule="atLeas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国有资本经营预算</w:t>
            </w:r>
          </w:p>
        </w:tc>
        <w:tc>
          <w:tcPr>
            <w:tcW w:w="1995" w:type="dxa"/>
            <w:gridSpan w:val="2"/>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743" w:type="dxa"/>
            <w:gridSpan w:val="4"/>
            <w:noWrap w:val="0"/>
            <w:vAlign w:val="center"/>
          </w:tcPr>
          <w:p>
            <w:pPr>
              <w:spacing w:line="0" w:lineRule="atLeas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社会保险基金预算</w:t>
            </w:r>
          </w:p>
        </w:tc>
        <w:tc>
          <w:tcPr>
            <w:tcW w:w="1848" w:type="dxa"/>
            <w:gridSpan w:val="4"/>
            <w:noWrap w:val="0"/>
            <w:vAlign w:val="center"/>
          </w:tcPr>
          <w:p>
            <w:pPr>
              <w:spacing w:line="0" w:lineRule="atLeast"/>
              <w:rPr>
                <w:rFonts w:ascii="宋体" w:cs="宋体"/>
                <w:color w:val="000000"/>
                <w:kern w:val="0"/>
                <w:sz w:val="18"/>
                <w:szCs w:val="18"/>
              </w:rPr>
            </w:pPr>
            <w:r>
              <w:rPr>
                <w:rFonts w:hint="eastAsia" w:ascii="宋体" w:hAnsi="宋体" w:cs="宋体"/>
                <w:color w:val="000000"/>
                <w:kern w:val="0"/>
                <w:sz w:val="18"/>
                <w:szCs w:val="18"/>
              </w:rPr>
              <w:t>　</w:t>
            </w:r>
          </w:p>
        </w:tc>
        <w:tc>
          <w:tcPr>
            <w:tcW w:w="2379" w:type="dxa"/>
            <w:gridSpan w:val="2"/>
            <w:noWrap w:val="0"/>
            <w:vAlign w:val="center"/>
          </w:tcPr>
          <w:p>
            <w:pPr>
              <w:spacing w:line="0" w:lineRule="atLeas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社会保险基金预算</w:t>
            </w:r>
          </w:p>
        </w:tc>
        <w:tc>
          <w:tcPr>
            <w:tcW w:w="1995" w:type="dxa"/>
            <w:gridSpan w:val="2"/>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743" w:type="dxa"/>
            <w:gridSpan w:val="4"/>
            <w:noWrap w:val="0"/>
            <w:vAlign w:val="center"/>
          </w:tcPr>
          <w:p>
            <w:pPr>
              <w:spacing w:line="0" w:lineRule="atLeas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其他资金</w:t>
            </w:r>
          </w:p>
        </w:tc>
        <w:tc>
          <w:tcPr>
            <w:tcW w:w="1848" w:type="dxa"/>
            <w:gridSpan w:val="4"/>
            <w:noWrap w:val="0"/>
            <w:vAlign w:val="center"/>
          </w:tcPr>
          <w:p>
            <w:pPr>
              <w:spacing w:line="0" w:lineRule="atLeast"/>
              <w:rPr>
                <w:rFonts w:ascii="宋体" w:cs="宋体"/>
                <w:color w:val="000000"/>
                <w:kern w:val="0"/>
                <w:sz w:val="18"/>
                <w:szCs w:val="18"/>
              </w:rPr>
            </w:pPr>
            <w:r>
              <w:rPr>
                <w:rFonts w:hint="eastAsia" w:ascii="宋体" w:hAnsi="宋体" w:cs="宋体"/>
                <w:color w:val="000000"/>
                <w:kern w:val="0"/>
                <w:sz w:val="18"/>
                <w:szCs w:val="18"/>
              </w:rPr>
              <w:t>　</w:t>
            </w:r>
          </w:p>
        </w:tc>
        <w:tc>
          <w:tcPr>
            <w:tcW w:w="2379" w:type="dxa"/>
            <w:gridSpan w:val="2"/>
            <w:noWrap w:val="0"/>
            <w:vAlign w:val="center"/>
          </w:tcPr>
          <w:p>
            <w:pPr>
              <w:spacing w:line="0" w:lineRule="atLeas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其他资金</w:t>
            </w:r>
          </w:p>
        </w:tc>
        <w:tc>
          <w:tcPr>
            <w:tcW w:w="1995" w:type="dxa"/>
            <w:gridSpan w:val="2"/>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9" w:type="dxa"/>
            <w:vMerge w:val="restart"/>
            <w:noWrap w:val="0"/>
            <w:vAlign w:val="center"/>
          </w:tcPr>
          <w:p>
            <w:pPr>
              <w:spacing w:line="0" w:lineRule="atLeast"/>
              <w:jc w:val="center"/>
              <w:rPr>
                <w:rFonts w:ascii="宋体" w:cs="宋体"/>
                <w:bCs/>
                <w:color w:val="000000"/>
                <w:kern w:val="0"/>
                <w:sz w:val="18"/>
                <w:szCs w:val="18"/>
              </w:rPr>
            </w:pPr>
            <w:r>
              <w:rPr>
                <w:rFonts w:hint="eastAsia" w:ascii="宋体" w:hAnsi="宋体" w:cs="宋体"/>
                <w:bCs/>
                <w:color w:val="000000"/>
                <w:kern w:val="0"/>
                <w:sz w:val="18"/>
                <w:szCs w:val="18"/>
              </w:rPr>
              <w:t>年度总体目标</w:t>
            </w:r>
          </w:p>
        </w:tc>
        <w:tc>
          <w:tcPr>
            <w:tcW w:w="4052" w:type="dxa"/>
            <w:gridSpan w:val="7"/>
            <w:noWrap w:val="0"/>
            <w:vAlign w:val="center"/>
          </w:tcPr>
          <w:p>
            <w:pPr>
              <w:spacing w:line="0" w:lineRule="atLeast"/>
              <w:jc w:val="center"/>
              <w:rPr>
                <w:rFonts w:ascii="宋体" w:cs="宋体"/>
                <w:bCs/>
                <w:color w:val="000000"/>
                <w:kern w:val="0"/>
                <w:sz w:val="18"/>
                <w:szCs w:val="18"/>
              </w:rPr>
            </w:pPr>
            <w:r>
              <w:rPr>
                <w:rFonts w:hint="eastAsia" w:ascii="宋体" w:hAnsi="宋体" w:cs="宋体"/>
                <w:bCs/>
                <w:color w:val="000000"/>
                <w:kern w:val="0"/>
                <w:sz w:val="18"/>
                <w:szCs w:val="18"/>
              </w:rPr>
              <w:t>预期目标</w:t>
            </w:r>
          </w:p>
        </w:tc>
        <w:tc>
          <w:tcPr>
            <w:tcW w:w="4374" w:type="dxa"/>
            <w:gridSpan w:val="4"/>
            <w:noWrap w:val="0"/>
            <w:vAlign w:val="center"/>
          </w:tcPr>
          <w:p>
            <w:pPr>
              <w:spacing w:line="0" w:lineRule="atLeast"/>
              <w:jc w:val="center"/>
              <w:rPr>
                <w:rFonts w:ascii="宋体" w:cs="宋体"/>
                <w:bCs/>
                <w:color w:val="000000"/>
                <w:kern w:val="0"/>
                <w:sz w:val="18"/>
                <w:szCs w:val="18"/>
              </w:rPr>
            </w:pPr>
            <w:r>
              <w:rPr>
                <w:rFonts w:hint="eastAsia" w:ascii="宋体" w:hAnsi="宋体" w:cs="宋体"/>
                <w:bCs/>
                <w:color w:val="000000"/>
                <w:kern w:val="0"/>
                <w:sz w:val="18"/>
                <w:szCs w:val="18"/>
              </w:rPr>
              <w:t>实际完成目标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trPr>
        <w:tc>
          <w:tcPr>
            <w:tcW w:w="539" w:type="dxa"/>
            <w:vMerge w:val="continue"/>
            <w:noWrap w:val="0"/>
            <w:vAlign w:val="center"/>
          </w:tcPr>
          <w:p>
            <w:pPr>
              <w:spacing w:line="0" w:lineRule="atLeast"/>
              <w:jc w:val="left"/>
              <w:rPr>
                <w:rFonts w:ascii="宋体" w:cs="宋体"/>
                <w:bCs/>
                <w:color w:val="000000"/>
                <w:kern w:val="0"/>
                <w:sz w:val="18"/>
                <w:szCs w:val="18"/>
              </w:rPr>
            </w:pPr>
          </w:p>
        </w:tc>
        <w:tc>
          <w:tcPr>
            <w:tcW w:w="3394" w:type="dxa"/>
            <w:gridSpan w:val="6"/>
            <w:noWrap w:val="0"/>
            <w:vAlign w:val="center"/>
          </w:tcPr>
          <w:p>
            <w:pPr>
              <w:spacing w:line="0" w:lineRule="atLeas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目标</w:t>
            </w:r>
            <w:r>
              <w:rPr>
                <w:rFonts w:ascii="宋体" w:hAnsi="宋体" w:cs="宋体"/>
                <w:color w:val="000000"/>
                <w:kern w:val="0"/>
                <w:sz w:val="18"/>
                <w:szCs w:val="18"/>
              </w:rPr>
              <w:t>1</w:t>
            </w:r>
            <w:r>
              <w:rPr>
                <w:rFonts w:hint="eastAsia" w:ascii="宋体" w:hAnsi="宋体" w:cs="宋体"/>
                <w:color w:val="000000"/>
                <w:kern w:val="0"/>
                <w:sz w:val="18"/>
                <w:szCs w:val="18"/>
              </w:rPr>
              <w:t>：保障办公室人员工资、保险、日常公用经费支出，确保机构正常运行。</w:t>
            </w:r>
          </w:p>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目标</w:t>
            </w:r>
            <w:r>
              <w:rPr>
                <w:rFonts w:ascii="宋体" w:hAnsi="宋体" w:cs="宋体"/>
                <w:color w:val="000000"/>
                <w:kern w:val="0"/>
                <w:sz w:val="18"/>
                <w:szCs w:val="18"/>
              </w:rPr>
              <w:t>2</w:t>
            </w:r>
            <w:r>
              <w:rPr>
                <w:rFonts w:hint="eastAsia" w:ascii="宋体" w:hAnsi="宋体" w:cs="宋体"/>
                <w:color w:val="000000"/>
                <w:kern w:val="0"/>
                <w:sz w:val="18"/>
                <w:szCs w:val="18"/>
              </w:rPr>
              <w:t>：认真落实党中央和省委、市委、区委各项决策部署，专注定力，紧扣全区中心大局，充分发挥参谋部、协调部、服务部、督查部职能作用，为区委决策部署顺利实施和区委工作高效运转提供了有力保证</w:t>
            </w:r>
          </w:p>
        </w:tc>
        <w:tc>
          <w:tcPr>
            <w:tcW w:w="5032" w:type="dxa"/>
            <w:gridSpan w:val="5"/>
            <w:noWrap w:val="0"/>
            <w:vAlign w:val="center"/>
          </w:tcPr>
          <w:p>
            <w:pPr>
              <w:spacing w:line="0" w:lineRule="atLeas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目标</w:t>
            </w:r>
            <w:r>
              <w:rPr>
                <w:rFonts w:ascii="宋体" w:hAnsi="宋体" w:cs="宋体"/>
                <w:color w:val="000000"/>
                <w:kern w:val="0"/>
                <w:sz w:val="18"/>
                <w:szCs w:val="18"/>
              </w:rPr>
              <w:t>1</w:t>
            </w:r>
            <w:r>
              <w:rPr>
                <w:rFonts w:hint="eastAsia" w:ascii="宋体" w:hAnsi="宋体" w:cs="宋体"/>
                <w:color w:val="000000"/>
                <w:kern w:val="0"/>
                <w:sz w:val="18"/>
                <w:szCs w:val="18"/>
              </w:rPr>
              <w:t>完成情况：保障</w:t>
            </w:r>
            <w:r>
              <w:rPr>
                <w:rFonts w:ascii="宋体" w:hAnsi="宋体" w:cs="宋体"/>
                <w:color w:val="000000"/>
                <w:kern w:val="0"/>
                <w:sz w:val="18"/>
                <w:szCs w:val="18"/>
              </w:rPr>
              <w:t>44</w:t>
            </w:r>
            <w:r>
              <w:rPr>
                <w:rFonts w:hint="eastAsia" w:ascii="宋体" w:hAnsi="宋体" w:cs="宋体"/>
                <w:color w:val="000000"/>
                <w:kern w:val="0"/>
                <w:sz w:val="18"/>
                <w:szCs w:val="18"/>
              </w:rPr>
              <w:t>人工资、保险等工资福利费用按时支付，严格公用经费管理，确保了办公室全年正常运转。</w:t>
            </w:r>
          </w:p>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目标</w:t>
            </w:r>
            <w:r>
              <w:rPr>
                <w:rFonts w:ascii="宋体" w:hAnsi="宋体" w:cs="宋体"/>
                <w:color w:val="000000"/>
                <w:kern w:val="0"/>
                <w:sz w:val="18"/>
                <w:szCs w:val="18"/>
              </w:rPr>
              <w:t>2</w:t>
            </w:r>
            <w:r>
              <w:rPr>
                <w:rFonts w:hint="eastAsia" w:ascii="宋体" w:hAnsi="宋体" w:cs="宋体"/>
                <w:color w:val="000000"/>
                <w:kern w:val="0"/>
                <w:sz w:val="18"/>
                <w:szCs w:val="18"/>
              </w:rPr>
              <w:t>完成情况：区委办公室坚定践行习近平总书记“五个坚持”总体要求，按照市委常委、区委书记对办公室工作“四部”职能的重要指示，旗帜鲜明讲政治、忠诚担当干事业、团结一心抓落实，各项工作稳步推进、有力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539" w:type="dxa"/>
            <w:vMerge w:val="restart"/>
            <w:noWrap w:val="0"/>
            <w:vAlign w:val="center"/>
          </w:tcPr>
          <w:p>
            <w:pPr>
              <w:spacing w:line="0" w:lineRule="atLeast"/>
              <w:jc w:val="center"/>
              <w:rPr>
                <w:rFonts w:ascii="宋体" w:cs="宋体"/>
                <w:bCs/>
                <w:color w:val="000000"/>
                <w:kern w:val="0"/>
                <w:sz w:val="18"/>
                <w:szCs w:val="18"/>
              </w:rPr>
            </w:pPr>
            <w:r>
              <w:rPr>
                <w:rFonts w:hint="eastAsia" w:ascii="宋体" w:hAnsi="宋体" w:cs="宋体"/>
                <w:bCs/>
                <w:color w:val="000000"/>
                <w:kern w:val="0"/>
                <w:sz w:val="18"/>
                <w:szCs w:val="18"/>
              </w:rPr>
              <w:t>年度绩效指标</w:t>
            </w:r>
          </w:p>
        </w:tc>
        <w:tc>
          <w:tcPr>
            <w:tcW w:w="679" w:type="dxa"/>
            <w:noWrap w:val="0"/>
            <w:vAlign w:val="center"/>
          </w:tcPr>
          <w:p>
            <w:pPr>
              <w:spacing w:line="0" w:lineRule="atLeast"/>
              <w:jc w:val="center"/>
              <w:rPr>
                <w:rFonts w:ascii="宋体" w:cs="宋体"/>
                <w:bCs/>
                <w:color w:val="000000"/>
                <w:kern w:val="0"/>
                <w:sz w:val="18"/>
                <w:szCs w:val="18"/>
              </w:rPr>
            </w:pPr>
            <w:r>
              <w:rPr>
                <w:rFonts w:hint="eastAsia" w:ascii="宋体" w:hAnsi="宋体" w:cs="宋体"/>
                <w:bCs/>
                <w:color w:val="000000"/>
                <w:kern w:val="0"/>
                <w:sz w:val="18"/>
                <w:szCs w:val="18"/>
              </w:rPr>
              <w:t>一级指标</w:t>
            </w:r>
          </w:p>
        </w:tc>
        <w:tc>
          <w:tcPr>
            <w:tcW w:w="769" w:type="dxa"/>
            <w:noWrap w:val="0"/>
            <w:vAlign w:val="center"/>
          </w:tcPr>
          <w:p>
            <w:pPr>
              <w:spacing w:line="0" w:lineRule="atLeast"/>
              <w:jc w:val="center"/>
              <w:rPr>
                <w:rFonts w:ascii="宋体" w:cs="宋体"/>
                <w:bCs/>
                <w:color w:val="000000"/>
                <w:kern w:val="0"/>
                <w:sz w:val="18"/>
                <w:szCs w:val="18"/>
              </w:rPr>
            </w:pPr>
            <w:r>
              <w:rPr>
                <w:rFonts w:hint="eastAsia" w:ascii="宋体" w:hAnsi="宋体" w:cs="宋体"/>
                <w:bCs/>
                <w:color w:val="000000"/>
                <w:kern w:val="0"/>
                <w:sz w:val="18"/>
                <w:szCs w:val="18"/>
              </w:rPr>
              <w:t>二级</w:t>
            </w:r>
          </w:p>
          <w:p>
            <w:pPr>
              <w:spacing w:line="0" w:lineRule="atLeast"/>
              <w:jc w:val="center"/>
              <w:rPr>
                <w:rFonts w:ascii="宋体" w:cs="宋体"/>
                <w:bCs/>
                <w:color w:val="000000"/>
                <w:kern w:val="0"/>
                <w:sz w:val="18"/>
                <w:szCs w:val="18"/>
              </w:rPr>
            </w:pPr>
            <w:r>
              <w:rPr>
                <w:rFonts w:hint="eastAsia" w:ascii="宋体" w:hAnsi="宋体" w:cs="宋体"/>
                <w:bCs/>
                <w:color w:val="000000"/>
                <w:kern w:val="0"/>
                <w:sz w:val="18"/>
                <w:szCs w:val="18"/>
              </w:rPr>
              <w:t>指标</w:t>
            </w:r>
          </w:p>
        </w:tc>
        <w:tc>
          <w:tcPr>
            <w:tcW w:w="1722" w:type="dxa"/>
            <w:gridSpan w:val="3"/>
            <w:noWrap w:val="0"/>
            <w:vAlign w:val="center"/>
          </w:tcPr>
          <w:p>
            <w:pPr>
              <w:spacing w:line="0" w:lineRule="atLeast"/>
              <w:jc w:val="center"/>
              <w:rPr>
                <w:rFonts w:ascii="宋体" w:cs="宋体"/>
                <w:bCs/>
                <w:color w:val="000000"/>
                <w:kern w:val="0"/>
                <w:sz w:val="18"/>
                <w:szCs w:val="18"/>
              </w:rPr>
            </w:pPr>
            <w:r>
              <w:rPr>
                <w:rFonts w:hint="eastAsia" w:ascii="宋体" w:hAnsi="宋体" w:cs="宋体"/>
                <w:bCs/>
                <w:color w:val="000000"/>
                <w:kern w:val="0"/>
                <w:sz w:val="18"/>
                <w:szCs w:val="18"/>
              </w:rPr>
              <w:t>三级指标</w:t>
            </w:r>
          </w:p>
        </w:tc>
        <w:tc>
          <w:tcPr>
            <w:tcW w:w="2323" w:type="dxa"/>
            <w:gridSpan w:val="3"/>
            <w:noWrap w:val="0"/>
            <w:vAlign w:val="center"/>
          </w:tcPr>
          <w:p>
            <w:pPr>
              <w:spacing w:line="0" w:lineRule="atLeast"/>
              <w:jc w:val="center"/>
              <w:rPr>
                <w:rFonts w:hint="eastAsia" w:ascii="宋体" w:hAnsi="宋体" w:eastAsia="宋体" w:cs="宋体"/>
                <w:bCs/>
                <w:color w:val="000000"/>
                <w:kern w:val="0"/>
                <w:sz w:val="18"/>
                <w:szCs w:val="18"/>
                <w:lang w:eastAsia="zh-CN"/>
              </w:rPr>
            </w:pPr>
            <w:r>
              <w:rPr>
                <w:rFonts w:hint="eastAsia" w:ascii="宋体" w:hAnsi="宋体" w:cs="宋体"/>
                <w:bCs/>
                <w:color w:val="000000"/>
                <w:kern w:val="0"/>
                <w:sz w:val="18"/>
                <w:szCs w:val="18"/>
              </w:rPr>
              <w:t>预期指标值</w:t>
            </w:r>
          </w:p>
          <w:p>
            <w:pPr>
              <w:spacing w:line="0" w:lineRule="atLeast"/>
              <w:jc w:val="center"/>
              <w:rPr>
                <w:rFonts w:ascii="宋体" w:cs="宋体"/>
                <w:bCs/>
                <w:color w:val="000000"/>
                <w:kern w:val="0"/>
                <w:sz w:val="18"/>
                <w:szCs w:val="18"/>
              </w:rPr>
            </w:pPr>
            <w:r>
              <w:rPr>
                <w:rFonts w:hint="eastAsia" w:ascii="宋体" w:hAnsi="宋体" w:cs="宋体"/>
                <w:color w:val="000000"/>
                <w:kern w:val="0"/>
                <w:sz w:val="18"/>
                <w:szCs w:val="18"/>
              </w:rPr>
              <w:t>（包含数字及文字描述）</w:t>
            </w:r>
          </w:p>
        </w:tc>
        <w:tc>
          <w:tcPr>
            <w:tcW w:w="1750" w:type="dxa"/>
            <w:gridSpan w:val="2"/>
            <w:noWrap w:val="0"/>
            <w:vAlign w:val="center"/>
          </w:tcPr>
          <w:p>
            <w:pPr>
              <w:spacing w:line="0" w:lineRule="atLeast"/>
              <w:jc w:val="center"/>
              <w:rPr>
                <w:rFonts w:ascii="宋体" w:cs="宋体"/>
                <w:bCs/>
                <w:color w:val="000000"/>
                <w:kern w:val="0"/>
                <w:sz w:val="18"/>
                <w:szCs w:val="18"/>
              </w:rPr>
            </w:pPr>
            <w:r>
              <w:rPr>
                <w:rFonts w:hint="eastAsia" w:ascii="宋体" w:hAnsi="宋体" w:cs="宋体"/>
                <w:bCs/>
                <w:color w:val="000000"/>
                <w:kern w:val="0"/>
                <w:sz w:val="18"/>
                <w:szCs w:val="18"/>
              </w:rPr>
              <w:t>实际完成指标值</w:t>
            </w:r>
            <w:r>
              <w:rPr>
                <w:rFonts w:hint="eastAsia" w:ascii="宋体" w:hAnsi="宋体" w:cs="宋体"/>
                <w:color w:val="000000"/>
                <w:kern w:val="0"/>
                <w:sz w:val="18"/>
                <w:szCs w:val="18"/>
              </w:rPr>
              <w:t>（包含数字及文字描述）</w:t>
            </w:r>
          </w:p>
        </w:tc>
        <w:tc>
          <w:tcPr>
            <w:tcW w:w="1183" w:type="dxa"/>
            <w:noWrap w:val="0"/>
            <w:vAlign w:val="center"/>
          </w:tcPr>
          <w:p>
            <w:pPr>
              <w:spacing w:line="0" w:lineRule="atLeast"/>
              <w:jc w:val="center"/>
              <w:rPr>
                <w:rFonts w:ascii="宋体" w:cs="宋体"/>
                <w:bCs/>
                <w:color w:val="000000"/>
                <w:kern w:val="0"/>
                <w:sz w:val="18"/>
                <w:szCs w:val="18"/>
              </w:rPr>
            </w:pPr>
            <w:r>
              <w:rPr>
                <w:rFonts w:hint="eastAsia" w:ascii="宋体" w:hAnsi="宋体" w:cs="宋体"/>
                <w:bCs/>
                <w:color w:val="000000"/>
                <w:kern w:val="0"/>
                <w:sz w:val="18"/>
                <w:szCs w:val="18"/>
              </w:rPr>
              <w:t>未完成原因及改进措施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539" w:type="dxa"/>
            <w:vMerge w:val="continue"/>
            <w:noWrap w:val="0"/>
            <w:vAlign w:val="center"/>
          </w:tcPr>
          <w:p>
            <w:pPr>
              <w:spacing w:line="0" w:lineRule="atLeast"/>
              <w:jc w:val="left"/>
              <w:rPr>
                <w:rFonts w:ascii="宋体" w:cs="宋体"/>
                <w:bCs/>
                <w:color w:val="000000"/>
                <w:kern w:val="0"/>
                <w:sz w:val="18"/>
                <w:szCs w:val="18"/>
              </w:rPr>
            </w:pPr>
          </w:p>
        </w:tc>
        <w:tc>
          <w:tcPr>
            <w:tcW w:w="679" w:type="dxa"/>
            <w:vMerge w:val="restart"/>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产出指标</w:t>
            </w:r>
          </w:p>
        </w:tc>
        <w:tc>
          <w:tcPr>
            <w:tcW w:w="769" w:type="dxa"/>
            <w:vMerge w:val="restart"/>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数量</w:t>
            </w:r>
          </w:p>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指标</w:t>
            </w:r>
          </w:p>
        </w:tc>
        <w:tc>
          <w:tcPr>
            <w:tcW w:w="1722" w:type="dxa"/>
            <w:gridSpan w:val="3"/>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保障工资、保险、公积金等工资福利费用按时支付</w:t>
            </w:r>
          </w:p>
        </w:tc>
        <w:tc>
          <w:tcPr>
            <w:tcW w:w="2323" w:type="dxa"/>
            <w:gridSpan w:val="3"/>
            <w:noWrap w:val="0"/>
            <w:vAlign w:val="center"/>
          </w:tcPr>
          <w:p>
            <w:pPr>
              <w:spacing w:line="0" w:lineRule="atLeast"/>
              <w:jc w:val="left"/>
              <w:rPr>
                <w:rFonts w:ascii="宋体" w:cs="宋体"/>
                <w:color w:val="000000"/>
                <w:kern w:val="0"/>
                <w:sz w:val="18"/>
                <w:szCs w:val="18"/>
              </w:rPr>
            </w:pPr>
            <w:r>
              <w:rPr>
                <w:rFonts w:ascii="宋体" w:hAnsi="宋体" w:cs="宋体"/>
                <w:color w:val="000000"/>
                <w:kern w:val="0"/>
                <w:sz w:val="18"/>
                <w:szCs w:val="18"/>
              </w:rPr>
              <w:t>44</w:t>
            </w:r>
            <w:r>
              <w:rPr>
                <w:rFonts w:hint="eastAsia" w:ascii="宋体" w:hAnsi="宋体" w:cs="宋体"/>
                <w:color w:val="000000"/>
                <w:kern w:val="0"/>
                <w:sz w:val="18"/>
                <w:szCs w:val="18"/>
              </w:rPr>
              <w:t>人</w:t>
            </w:r>
          </w:p>
        </w:tc>
        <w:tc>
          <w:tcPr>
            <w:tcW w:w="1750" w:type="dxa"/>
            <w:gridSpan w:val="2"/>
            <w:noWrap/>
            <w:vAlign w:val="center"/>
          </w:tcPr>
          <w:p>
            <w:pPr>
              <w:spacing w:line="0" w:lineRule="atLeast"/>
              <w:jc w:val="center"/>
              <w:rPr>
                <w:rFonts w:ascii="宋体" w:cs="宋体"/>
                <w:color w:val="000000"/>
                <w:kern w:val="0"/>
                <w:sz w:val="18"/>
                <w:szCs w:val="18"/>
              </w:rPr>
            </w:pPr>
            <w:r>
              <w:rPr>
                <w:rFonts w:ascii="宋体" w:hAnsi="宋体" w:cs="宋体"/>
                <w:color w:val="000000"/>
                <w:kern w:val="0"/>
                <w:sz w:val="18"/>
                <w:szCs w:val="18"/>
              </w:rPr>
              <w:t>100%</w:t>
            </w:r>
            <w:r>
              <w:rPr>
                <w:rFonts w:hint="eastAsia" w:ascii="宋体" w:hAnsi="宋体" w:cs="宋体"/>
                <w:color w:val="000000"/>
                <w:kern w:val="0"/>
                <w:sz w:val="18"/>
                <w:szCs w:val="18"/>
              </w:rPr>
              <w:t>全面完成</w:t>
            </w:r>
          </w:p>
        </w:tc>
        <w:tc>
          <w:tcPr>
            <w:tcW w:w="1183" w:type="dxa"/>
            <w:noWrap/>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0" w:hRule="atLeast"/>
        </w:trPr>
        <w:tc>
          <w:tcPr>
            <w:tcW w:w="539" w:type="dxa"/>
            <w:vMerge w:val="continue"/>
            <w:noWrap w:val="0"/>
            <w:vAlign w:val="center"/>
          </w:tcPr>
          <w:p>
            <w:pPr>
              <w:spacing w:line="0" w:lineRule="atLeast"/>
              <w:jc w:val="left"/>
              <w:rPr>
                <w:rFonts w:ascii="宋体" w:cs="宋体"/>
                <w:bCs/>
                <w:color w:val="000000"/>
                <w:kern w:val="0"/>
                <w:sz w:val="18"/>
                <w:szCs w:val="18"/>
              </w:rPr>
            </w:pPr>
          </w:p>
        </w:tc>
        <w:tc>
          <w:tcPr>
            <w:tcW w:w="679" w:type="dxa"/>
            <w:vMerge w:val="continue"/>
            <w:noWrap w:val="0"/>
            <w:vAlign w:val="center"/>
          </w:tcPr>
          <w:p>
            <w:pPr>
              <w:spacing w:line="0" w:lineRule="atLeast"/>
              <w:jc w:val="left"/>
              <w:rPr>
                <w:rFonts w:ascii="宋体" w:cs="宋体"/>
                <w:color w:val="000000"/>
                <w:kern w:val="0"/>
                <w:sz w:val="18"/>
                <w:szCs w:val="18"/>
              </w:rPr>
            </w:pPr>
          </w:p>
        </w:tc>
        <w:tc>
          <w:tcPr>
            <w:tcW w:w="769" w:type="dxa"/>
            <w:vMerge w:val="continue"/>
            <w:noWrap w:val="0"/>
            <w:vAlign w:val="center"/>
          </w:tcPr>
          <w:p>
            <w:pPr>
              <w:spacing w:line="0" w:lineRule="atLeast"/>
              <w:jc w:val="left"/>
              <w:rPr>
                <w:rFonts w:ascii="宋体" w:cs="宋体"/>
                <w:color w:val="000000"/>
                <w:kern w:val="0"/>
                <w:sz w:val="18"/>
                <w:szCs w:val="18"/>
              </w:rPr>
            </w:pPr>
          </w:p>
        </w:tc>
        <w:tc>
          <w:tcPr>
            <w:tcW w:w="1722" w:type="dxa"/>
            <w:gridSpan w:val="3"/>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高质量以文辅政、充分发挥参谋决策作用</w:t>
            </w:r>
          </w:p>
        </w:tc>
        <w:tc>
          <w:tcPr>
            <w:tcW w:w="2323" w:type="dxa"/>
            <w:gridSpan w:val="3"/>
            <w:noWrap w:val="0"/>
            <w:vAlign w:val="center"/>
          </w:tcPr>
          <w:p>
            <w:pPr>
              <w:spacing w:line="0" w:lineRule="atLeast"/>
              <w:rPr>
                <w:rFonts w:ascii="宋体" w:cs="宋体"/>
                <w:color w:val="000000"/>
                <w:kern w:val="0"/>
                <w:sz w:val="15"/>
                <w:szCs w:val="15"/>
              </w:rPr>
            </w:pPr>
            <w:r>
              <w:rPr>
                <w:rFonts w:hint="eastAsia" w:ascii="宋体" w:hAnsi="宋体" w:cs="宋体"/>
                <w:color w:val="000000"/>
                <w:kern w:val="0"/>
                <w:sz w:val="15"/>
                <w:szCs w:val="15"/>
              </w:rPr>
              <w:t>制作主题鲜明对外宣传推介片</w:t>
            </w:r>
            <w:r>
              <w:rPr>
                <w:rFonts w:ascii="宋体" w:hAnsi="宋体" w:cs="宋体"/>
                <w:color w:val="000000"/>
                <w:kern w:val="0"/>
                <w:sz w:val="15"/>
                <w:szCs w:val="15"/>
              </w:rPr>
              <w:t>2</w:t>
            </w:r>
            <w:r>
              <w:rPr>
                <w:rFonts w:hint="eastAsia" w:ascii="宋体" w:hAnsi="宋体" w:cs="宋体"/>
                <w:color w:val="000000"/>
                <w:kern w:val="0"/>
                <w:sz w:val="15"/>
                <w:szCs w:val="15"/>
              </w:rPr>
              <w:t>个，在省级平台刊发各类文章、信息</w:t>
            </w:r>
            <w:r>
              <w:rPr>
                <w:rFonts w:ascii="宋体" w:hAnsi="宋体" w:cs="宋体"/>
                <w:color w:val="000000"/>
                <w:kern w:val="0"/>
                <w:sz w:val="15"/>
                <w:szCs w:val="15"/>
              </w:rPr>
              <w:t>4</w:t>
            </w:r>
            <w:r>
              <w:rPr>
                <w:rFonts w:hint="eastAsia" w:ascii="宋体" w:hAnsi="宋体" w:cs="宋体"/>
                <w:color w:val="000000"/>
                <w:kern w:val="0"/>
                <w:sz w:val="15"/>
                <w:szCs w:val="15"/>
              </w:rPr>
              <w:t>条以上，市级平台刊发文章、信息</w:t>
            </w:r>
            <w:r>
              <w:rPr>
                <w:rFonts w:ascii="宋体" w:hAnsi="宋体" w:cs="宋体"/>
                <w:color w:val="000000"/>
                <w:kern w:val="0"/>
                <w:sz w:val="15"/>
                <w:szCs w:val="15"/>
              </w:rPr>
              <w:t>60</w:t>
            </w:r>
            <w:r>
              <w:rPr>
                <w:rFonts w:hint="eastAsia" w:ascii="宋体" w:hAnsi="宋体" w:cs="宋体"/>
                <w:color w:val="000000"/>
                <w:kern w:val="0"/>
                <w:sz w:val="15"/>
                <w:szCs w:val="15"/>
              </w:rPr>
              <w:t>条以上，编发《每周信息》</w:t>
            </w:r>
            <w:r>
              <w:rPr>
                <w:rFonts w:ascii="宋体" w:hAnsi="宋体" w:cs="宋体"/>
                <w:color w:val="000000"/>
                <w:kern w:val="0"/>
                <w:sz w:val="15"/>
                <w:szCs w:val="15"/>
              </w:rPr>
              <w:t>35</w:t>
            </w:r>
            <w:r>
              <w:rPr>
                <w:rFonts w:hint="eastAsia" w:ascii="宋体" w:hAnsi="宋体" w:cs="宋体"/>
                <w:color w:val="000000"/>
                <w:kern w:val="0"/>
                <w:sz w:val="15"/>
                <w:szCs w:val="15"/>
              </w:rPr>
              <w:t>期、《每日动态》</w:t>
            </w:r>
            <w:r>
              <w:rPr>
                <w:rFonts w:ascii="宋体" w:hAnsi="宋体" w:cs="宋体"/>
                <w:color w:val="000000"/>
                <w:kern w:val="0"/>
                <w:sz w:val="15"/>
                <w:szCs w:val="15"/>
              </w:rPr>
              <w:t>200</w:t>
            </w:r>
            <w:r>
              <w:rPr>
                <w:rFonts w:hint="eastAsia" w:ascii="宋体" w:hAnsi="宋体" w:cs="宋体"/>
                <w:color w:val="000000"/>
                <w:kern w:val="0"/>
                <w:sz w:val="15"/>
                <w:szCs w:val="15"/>
              </w:rPr>
              <w:t>余期、《信息采用情况通报》</w:t>
            </w:r>
            <w:r>
              <w:rPr>
                <w:rFonts w:ascii="宋体" w:hAnsi="宋体" w:cs="宋体"/>
                <w:color w:val="000000"/>
                <w:kern w:val="0"/>
                <w:sz w:val="15"/>
                <w:szCs w:val="15"/>
              </w:rPr>
              <w:t>4</w:t>
            </w:r>
            <w:r>
              <w:rPr>
                <w:rFonts w:hint="eastAsia" w:ascii="宋体" w:hAnsi="宋体" w:cs="宋体"/>
                <w:color w:val="000000"/>
                <w:kern w:val="0"/>
                <w:sz w:val="15"/>
                <w:szCs w:val="15"/>
              </w:rPr>
              <w:t>期、《工作情况交流》</w:t>
            </w:r>
            <w:r>
              <w:rPr>
                <w:rFonts w:ascii="宋体" w:hAnsi="宋体" w:cs="宋体"/>
                <w:color w:val="000000"/>
                <w:kern w:val="0"/>
                <w:sz w:val="15"/>
                <w:szCs w:val="15"/>
              </w:rPr>
              <w:t>5</w:t>
            </w:r>
            <w:r>
              <w:rPr>
                <w:rFonts w:hint="eastAsia" w:ascii="宋体" w:hAnsi="宋体" w:cs="宋体"/>
                <w:color w:val="000000"/>
                <w:kern w:val="0"/>
                <w:sz w:val="15"/>
                <w:szCs w:val="15"/>
              </w:rPr>
              <w:t>期，完成省市下达目标任务。</w:t>
            </w:r>
            <w:r>
              <w:rPr>
                <w:rFonts w:ascii="宋体" w:hAnsi="宋体" w:cs="宋体"/>
                <w:color w:val="000000"/>
                <w:kern w:val="0"/>
                <w:sz w:val="15"/>
                <w:szCs w:val="15"/>
              </w:rPr>
              <w:t>2</w:t>
            </w:r>
            <w:r>
              <w:rPr>
                <w:rFonts w:hint="eastAsia" w:ascii="宋体" w:hAnsi="宋体" w:cs="宋体"/>
                <w:color w:val="000000"/>
                <w:kern w:val="0"/>
                <w:sz w:val="15"/>
                <w:szCs w:val="15"/>
              </w:rPr>
              <w:t>、开展法制宣传活动</w:t>
            </w:r>
            <w:r>
              <w:rPr>
                <w:rFonts w:ascii="宋体" w:hAnsi="宋体" w:cs="宋体"/>
                <w:color w:val="000000"/>
                <w:kern w:val="0"/>
                <w:sz w:val="15"/>
                <w:szCs w:val="15"/>
              </w:rPr>
              <w:t>4</w:t>
            </w:r>
            <w:r>
              <w:rPr>
                <w:rFonts w:hint="eastAsia" w:ascii="宋体" w:hAnsi="宋体" w:cs="宋体"/>
                <w:color w:val="000000"/>
                <w:kern w:val="0"/>
                <w:sz w:val="15"/>
                <w:szCs w:val="15"/>
              </w:rPr>
              <w:t>次，印制宣传资料</w:t>
            </w:r>
            <w:r>
              <w:rPr>
                <w:rFonts w:ascii="宋体" w:hAnsi="宋体" w:cs="宋体"/>
                <w:color w:val="000000"/>
                <w:kern w:val="0"/>
                <w:sz w:val="15"/>
                <w:szCs w:val="15"/>
              </w:rPr>
              <w:t>4000</w:t>
            </w:r>
            <w:r>
              <w:rPr>
                <w:rFonts w:hint="eastAsia" w:ascii="宋体" w:hAnsi="宋体" w:cs="宋体"/>
                <w:color w:val="000000"/>
                <w:kern w:val="0"/>
                <w:sz w:val="15"/>
                <w:szCs w:val="15"/>
              </w:rPr>
              <w:t>份；开展业务培训</w:t>
            </w:r>
            <w:r>
              <w:rPr>
                <w:rFonts w:ascii="宋体" w:hAnsi="宋体" w:cs="宋体"/>
                <w:color w:val="000000"/>
                <w:kern w:val="0"/>
                <w:sz w:val="15"/>
                <w:szCs w:val="15"/>
              </w:rPr>
              <w:t>180</w:t>
            </w:r>
            <w:r>
              <w:rPr>
                <w:rFonts w:hint="eastAsia" w:ascii="宋体" w:hAnsi="宋体" w:cs="宋体"/>
                <w:color w:val="000000"/>
                <w:kern w:val="0"/>
                <w:sz w:val="15"/>
                <w:szCs w:val="15"/>
              </w:rPr>
              <w:t>人次；</w:t>
            </w:r>
            <w:r>
              <w:rPr>
                <w:rFonts w:ascii="宋体" w:hAnsi="宋体" w:cs="宋体"/>
                <w:color w:val="000000"/>
                <w:kern w:val="0"/>
                <w:sz w:val="15"/>
                <w:szCs w:val="15"/>
              </w:rPr>
              <w:t>3</w:t>
            </w:r>
            <w:r>
              <w:rPr>
                <w:rFonts w:hint="eastAsia" w:ascii="宋体" w:hAnsi="宋体" w:cs="宋体"/>
                <w:color w:val="000000"/>
                <w:kern w:val="0"/>
                <w:sz w:val="15"/>
                <w:szCs w:val="15"/>
              </w:rPr>
              <w:t>、召开全区乡镇部门办公室主任培训会议</w:t>
            </w:r>
            <w:r>
              <w:rPr>
                <w:rFonts w:ascii="宋体" w:hAnsi="宋体" w:cs="宋体"/>
                <w:color w:val="000000"/>
                <w:kern w:val="0"/>
                <w:sz w:val="15"/>
                <w:szCs w:val="15"/>
              </w:rPr>
              <w:t>2</w:t>
            </w:r>
            <w:r>
              <w:rPr>
                <w:rFonts w:hint="eastAsia" w:ascii="宋体" w:hAnsi="宋体" w:cs="宋体"/>
                <w:color w:val="000000"/>
                <w:kern w:val="0"/>
                <w:sz w:val="15"/>
                <w:szCs w:val="15"/>
              </w:rPr>
              <w:t>次，组织干部积极参加继续教育，努力提升自身素质。</w:t>
            </w:r>
            <w:r>
              <w:rPr>
                <w:rFonts w:ascii="宋体" w:hAnsi="宋体" w:cs="宋体"/>
                <w:color w:val="000000"/>
                <w:kern w:val="0"/>
                <w:sz w:val="15"/>
                <w:szCs w:val="15"/>
              </w:rPr>
              <w:t>4</w:t>
            </w:r>
            <w:r>
              <w:rPr>
                <w:rFonts w:hint="eastAsia" w:ascii="宋体" w:hAnsi="宋体" w:cs="宋体"/>
                <w:color w:val="000000"/>
                <w:kern w:val="0"/>
                <w:sz w:val="15"/>
                <w:szCs w:val="15"/>
              </w:rPr>
              <w:t>、合作完成调研课题</w:t>
            </w:r>
            <w:r>
              <w:rPr>
                <w:rFonts w:ascii="宋体" w:hAnsi="宋体" w:cs="宋体"/>
                <w:color w:val="000000"/>
                <w:kern w:val="0"/>
                <w:sz w:val="15"/>
                <w:szCs w:val="15"/>
              </w:rPr>
              <w:t>6</w:t>
            </w:r>
            <w:r>
              <w:rPr>
                <w:rFonts w:hint="eastAsia" w:ascii="宋体" w:hAnsi="宋体" w:cs="宋体"/>
                <w:color w:val="000000"/>
                <w:kern w:val="0"/>
                <w:sz w:val="15"/>
                <w:szCs w:val="15"/>
              </w:rPr>
              <w:t>个，编印《调研与决策》刊物</w:t>
            </w:r>
            <w:r>
              <w:rPr>
                <w:rFonts w:ascii="宋体" w:hAnsi="宋体" w:cs="宋体"/>
                <w:color w:val="000000"/>
                <w:kern w:val="0"/>
                <w:sz w:val="15"/>
                <w:szCs w:val="15"/>
              </w:rPr>
              <w:t>6</w:t>
            </w:r>
            <w:r>
              <w:rPr>
                <w:rFonts w:hint="eastAsia" w:ascii="宋体" w:hAnsi="宋体" w:cs="宋体"/>
                <w:color w:val="000000"/>
                <w:kern w:val="0"/>
                <w:sz w:val="15"/>
                <w:szCs w:val="15"/>
              </w:rPr>
              <w:t>期</w:t>
            </w:r>
            <w:r>
              <w:rPr>
                <w:rFonts w:ascii="宋体" w:hAnsi="宋体" w:cs="宋体"/>
                <w:color w:val="000000"/>
                <w:kern w:val="0"/>
                <w:sz w:val="15"/>
                <w:szCs w:val="15"/>
              </w:rPr>
              <w:t>1000</w:t>
            </w:r>
            <w:r>
              <w:rPr>
                <w:rFonts w:hint="eastAsia" w:ascii="宋体" w:hAnsi="宋体" w:cs="宋体"/>
                <w:color w:val="000000"/>
                <w:kern w:val="0"/>
                <w:sz w:val="15"/>
                <w:szCs w:val="15"/>
              </w:rPr>
              <w:t>册，协助完成省、市调研课题。</w:t>
            </w:r>
            <w:r>
              <w:rPr>
                <w:rFonts w:ascii="宋体" w:hAnsi="宋体" w:cs="宋体"/>
                <w:color w:val="000000"/>
                <w:kern w:val="0"/>
                <w:sz w:val="15"/>
                <w:szCs w:val="15"/>
              </w:rPr>
              <w:t>5</w:t>
            </w:r>
            <w:r>
              <w:rPr>
                <w:rFonts w:hint="eastAsia" w:ascii="宋体" w:hAnsi="宋体" w:cs="宋体"/>
                <w:color w:val="000000"/>
                <w:kern w:val="0"/>
                <w:sz w:val="15"/>
                <w:szCs w:val="15"/>
              </w:rPr>
              <w:t>、全力保障</w:t>
            </w:r>
            <w:r>
              <w:rPr>
                <w:rFonts w:ascii="宋体" w:hAnsi="宋体" w:cs="宋体"/>
                <w:color w:val="000000"/>
                <w:kern w:val="0"/>
                <w:sz w:val="15"/>
                <w:szCs w:val="15"/>
              </w:rPr>
              <w:t>2019</w:t>
            </w:r>
            <w:r>
              <w:rPr>
                <w:rFonts w:hint="eastAsia" w:ascii="宋体" w:hAnsi="宋体" w:cs="宋体"/>
                <w:color w:val="000000"/>
                <w:kern w:val="0"/>
                <w:sz w:val="15"/>
                <w:szCs w:val="15"/>
              </w:rPr>
              <w:t>年区委、区委办机关日常工作及区委全会、区委常委会议资料文印服务。预计全年印制各类文件</w:t>
            </w:r>
            <w:r>
              <w:rPr>
                <w:rFonts w:ascii="宋体" w:hAnsi="宋体" w:cs="宋体"/>
                <w:color w:val="000000"/>
                <w:kern w:val="0"/>
                <w:sz w:val="15"/>
                <w:szCs w:val="15"/>
              </w:rPr>
              <w:t>400</w:t>
            </w:r>
            <w:r>
              <w:rPr>
                <w:rFonts w:hint="eastAsia" w:ascii="宋体" w:hAnsi="宋体" w:cs="宋体"/>
                <w:color w:val="000000"/>
                <w:kern w:val="0"/>
                <w:sz w:val="15"/>
                <w:szCs w:val="15"/>
              </w:rPr>
              <w:t>件，各类会议资料</w:t>
            </w:r>
            <w:r>
              <w:rPr>
                <w:rFonts w:ascii="宋体" w:hAnsi="宋体" w:cs="宋体"/>
                <w:color w:val="000000"/>
                <w:kern w:val="0"/>
                <w:sz w:val="15"/>
                <w:szCs w:val="15"/>
              </w:rPr>
              <w:t>1000</w:t>
            </w:r>
            <w:r>
              <w:rPr>
                <w:rFonts w:hint="eastAsia" w:ascii="宋体" w:hAnsi="宋体" w:cs="宋体"/>
                <w:color w:val="000000"/>
                <w:kern w:val="0"/>
                <w:sz w:val="15"/>
                <w:szCs w:val="15"/>
              </w:rPr>
              <w:t>件。</w:t>
            </w:r>
            <w:r>
              <w:rPr>
                <w:rFonts w:ascii="宋体" w:hAnsi="宋体" w:cs="宋体"/>
                <w:color w:val="000000"/>
                <w:kern w:val="0"/>
                <w:sz w:val="15"/>
                <w:szCs w:val="15"/>
              </w:rPr>
              <w:t>6</w:t>
            </w:r>
            <w:r>
              <w:rPr>
                <w:rFonts w:hint="eastAsia" w:ascii="宋体" w:hAnsi="宋体" w:cs="宋体"/>
                <w:color w:val="000000"/>
                <w:kern w:val="0"/>
                <w:sz w:val="15"/>
                <w:szCs w:val="15"/>
              </w:rPr>
              <w:t>、预计</w:t>
            </w:r>
            <w:r>
              <w:rPr>
                <w:rFonts w:ascii="宋体" w:hAnsi="宋体" w:cs="宋体"/>
                <w:color w:val="000000"/>
                <w:kern w:val="0"/>
                <w:sz w:val="15"/>
                <w:szCs w:val="15"/>
              </w:rPr>
              <w:t>2021</w:t>
            </w:r>
            <w:r>
              <w:rPr>
                <w:rFonts w:hint="eastAsia" w:ascii="宋体" w:hAnsi="宋体" w:cs="宋体"/>
                <w:color w:val="000000"/>
                <w:kern w:val="0"/>
                <w:sz w:val="15"/>
                <w:szCs w:val="15"/>
              </w:rPr>
              <w:t>年度召开区委全会、区委区政府工作会一类会议</w:t>
            </w:r>
            <w:r>
              <w:rPr>
                <w:rFonts w:ascii="宋体" w:hAnsi="宋体" w:cs="宋体"/>
                <w:color w:val="000000"/>
                <w:kern w:val="0"/>
                <w:sz w:val="15"/>
                <w:szCs w:val="15"/>
              </w:rPr>
              <w:t>3</w:t>
            </w:r>
            <w:r>
              <w:rPr>
                <w:rFonts w:hint="eastAsia" w:ascii="宋体" w:hAnsi="宋体" w:cs="宋体"/>
                <w:color w:val="000000"/>
                <w:kern w:val="0"/>
                <w:sz w:val="15"/>
                <w:szCs w:val="15"/>
              </w:rPr>
              <w:t>次，区委常委会议、全区办公室主任会议等专题会议</w:t>
            </w:r>
            <w:r>
              <w:rPr>
                <w:rFonts w:ascii="宋体" w:hAnsi="宋体" w:cs="宋体"/>
                <w:color w:val="000000"/>
                <w:kern w:val="0"/>
                <w:sz w:val="15"/>
                <w:szCs w:val="15"/>
              </w:rPr>
              <w:t>50</w:t>
            </w:r>
            <w:r>
              <w:rPr>
                <w:rFonts w:hint="eastAsia" w:ascii="宋体" w:hAnsi="宋体" w:cs="宋体"/>
                <w:color w:val="000000"/>
                <w:kern w:val="0"/>
                <w:sz w:val="15"/>
                <w:szCs w:val="15"/>
              </w:rPr>
              <w:t>次。</w:t>
            </w:r>
            <w:r>
              <w:rPr>
                <w:rFonts w:ascii="宋体" w:hAnsi="宋体" w:cs="宋体"/>
                <w:color w:val="000000"/>
                <w:kern w:val="0"/>
                <w:sz w:val="15"/>
                <w:szCs w:val="15"/>
              </w:rPr>
              <w:t>7</w:t>
            </w:r>
            <w:r>
              <w:rPr>
                <w:rFonts w:hint="eastAsia" w:ascii="宋体" w:hAnsi="宋体" w:cs="宋体"/>
                <w:color w:val="000000"/>
                <w:kern w:val="0"/>
                <w:sz w:val="15"/>
                <w:szCs w:val="15"/>
              </w:rPr>
              <w:t>、新购置电脑</w:t>
            </w:r>
            <w:r>
              <w:rPr>
                <w:rFonts w:ascii="宋体" w:hAnsi="宋体" w:cs="宋体"/>
                <w:color w:val="000000"/>
                <w:kern w:val="0"/>
                <w:sz w:val="15"/>
                <w:szCs w:val="15"/>
              </w:rPr>
              <w:t>8</w:t>
            </w:r>
            <w:r>
              <w:rPr>
                <w:rFonts w:hint="eastAsia" w:ascii="宋体" w:hAnsi="宋体" w:cs="宋体"/>
                <w:color w:val="000000"/>
                <w:kern w:val="0"/>
                <w:sz w:val="15"/>
                <w:szCs w:val="15"/>
              </w:rPr>
              <w:t>台，打印机</w:t>
            </w:r>
            <w:r>
              <w:rPr>
                <w:rFonts w:ascii="宋体" w:hAnsi="宋体" w:cs="宋体"/>
                <w:color w:val="000000"/>
                <w:kern w:val="0"/>
                <w:sz w:val="15"/>
                <w:szCs w:val="15"/>
              </w:rPr>
              <w:t>8</w:t>
            </w:r>
            <w:r>
              <w:rPr>
                <w:rFonts w:hint="eastAsia" w:ascii="宋体" w:hAnsi="宋体" w:cs="宋体"/>
                <w:color w:val="000000"/>
                <w:kern w:val="0"/>
                <w:sz w:val="15"/>
                <w:szCs w:val="15"/>
              </w:rPr>
              <w:t>台，办公桌椅</w:t>
            </w:r>
            <w:r>
              <w:rPr>
                <w:rFonts w:ascii="宋体" w:hAnsi="宋体" w:cs="宋体"/>
                <w:color w:val="000000"/>
                <w:kern w:val="0"/>
                <w:sz w:val="15"/>
                <w:szCs w:val="15"/>
              </w:rPr>
              <w:t>1</w:t>
            </w:r>
            <w:r>
              <w:rPr>
                <w:rFonts w:hint="eastAsia" w:ascii="宋体" w:hAnsi="宋体" w:cs="宋体"/>
                <w:color w:val="000000"/>
                <w:kern w:val="0"/>
                <w:sz w:val="15"/>
                <w:szCs w:val="15"/>
              </w:rPr>
              <w:t>批。</w:t>
            </w:r>
          </w:p>
        </w:tc>
        <w:tc>
          <w:tcPr>
            <w:tcW w:w="1750" w:type="dxa"/>
            <w:gridSpan w:val="2"/>
            <w:noWrap w:val="0"/>
            <w:vAlign w:val="center"/>
          </w:tcPr>
          <w:p>
            <w:pPr>
              <w:spacing w:line="0" w:lineRule="atLeast"/>
              <w:rPr>
                <w:rFonts w:ascii="宋体" w:cs="宋体"/>
                <w:color w:val="000000"/>
                <w:kern w:val="0"/>
                <w:sz w:val="15"/>
                <w:szCs w:val="15"/>
              </w:rPr>
            </w:pPr>
            <w:r>
              <w:rPr>
                <w:rFonts w:hint="eastAsia" w:ascii="宋体" w:hAnsi="宋体" w:cs="宋体"/>
                <w:color w:val="000000"/>
                <w:kern w:val="0"/>
                <w:sz w:val="15"/>
                <w:szCs w:val="15"/>
              </w:rPr>
              <w:t>全年组织召开室务会、全体干部职工会、专题学习会等会议</w:t>
            </w:r>
            <w:r>
              <w:rPr>
                <w:rFonts w:ascii="宋体" w:hAnsi="宋体" w:cs="宋体"/>
                <w:color w:val="000000"/>
                <w:kern w:val="0"/>
                <w:sz w:val="15"/>
                <w:szCs w:val="15"/>
              </w:rPr>
              <w:t>37</w:t>
            </w:r>
            <w:r>
              <w:rPr>
                <w:rFonts w:hint="eastAsia" w:ascii="宋体" w:hAnsi="宋体" w:cs="宋体"/>
                <w:color w:val="000000"/>
                <w:kern w:val="0"/>
                <w:sz w:val="15"/>
                <w:szCs w:val="15"/>
              </w:rPr>
              <w:t>次，完成区第八次党代会、区“两会”、</w:t>
            </w:r>
            <w:r>
              <w:rPr>
                <w:rFonts w:ascii="宋体" w:hAnsi="宋体" w:cs="宋体"/>
                <w:color w:val="000000"/>
                <w:kern w:val="0"/>
                <w:sz w:val="15"/>
                <w:szCs w:val="15"/>
              </w:rPr>
              <w:t>4</w:t>
            </w:r>
            <w:r>
              <w:rPr>
                <w:rFonts w:hint="eastAsia" w:ascii="宋体" w:hAnsi="宋体" w:cs="宋体"/>
                <w:color w:val="000000"/>
                <w:kern w:val="0"/>
                <w:sz w:val="15"/>
                <w:szCs w:val="15"/>
              </w:rPr>
              <w:t>次区委全会、区委区政府工作会等重要会议和活动文稿起草，累计起草区委主要领导文稿</w:t>
            </w:r>
            <w:r>
              <w:rPr>
                <w:rFonts w:ascii="宋体" w:hAnsi="宋体" w:cs="宋体"/>
                <w:color w:val="000000"/>
                <w:kern w:val="0"/>
                <w:sz w:val="15"/>
                <w:szCs w:val="15"/>
              </w:rPr>
              <w:t>200</w:t>
            </w:r>
            <w:r>
              <w:rPr>
                <w:rFonts w:hint="eastAsia" w:ascii="宋体" w:hAnsi="宋体" w:cs="宋体"/>
                <w:color w:val="000000"/>
                <w:kern w:val="0"/>
                <w:sz w:val="15"/>
                <w:szCs w:val="15"/>
              </w:rPr>
              <w:t>余篇，完成党内规范性文件备案</w:t>
            </w:r>
            <w:r>
              <w:rPr>
                <w:rFonts w:ascii="宋体" w:hAnsi="宋体" w:cs="宋体"/>
                <w:color w:val="000000"/>
                <w:kern w:val="0"/>
                <w:sz w:val="15"/>
                <w:szCs w:val="15"/>
              </w:rPr>
              <w:t>21</w:t>
            </w:r>
            <w:r>
              <w:rPr>
                <w:rFonts w:hint="eastAsia" w:ascii="宋体" w:hAnsi="宋体" w:cs="宋体"/>
                <w:color w:val="000000"/>
                <w:kern w:val="0"/>
                <w:sz w:val="15"/>
                <w:szCs w:val="15"/>
              </w:rPr>
              <w:t>件。报送调研报告</w:t>
            </w:r>
            <w:r>
              <w:rPr>
                <w:rFonts w:ascii="宋体" w:hAnsi="宋体" w:cs="宋体"/>
                <w:color w:val="000000"/>
                <w:kern w:val="0"/>
                <w:sz w:val="15"/>
                <w:szCs w:val="15"/>
              </w:rPr>
              <w:t>2</w:t>
            </w:r>
            <w:r>
              <w:rPr>
                <w:rFonts w:hint="eastAsia" w:ascii="宋体" w:hAnsi="宋体" w:cs="宋体"/>
                <w:color w:val="000000"/>
                <w:kern w:val="0"/>
                <w:sz w:val="15"/>
                <w:szCs w:val="15"/>
              </w:rPr>
              <w:t>篇，经验类信息</w:t>
            </w:r>
            <w:r>
              <w:rPr>
                <w:rFonts w:ascii="宋体" w:hAnsi="宋体" w:cs="宋体"/>
                <w:color w:val="000000"/>
                <w:kern w:val="0"/>
                <w:sz w:val="15"/>
                <w:szCs w:val="15"/>
              </w:rPr>
              <w:t>400</w:t>
            </w:r>
            <w:r>
              <w:rPr>
                <w:rFonts w:hint="eastAsia" w:ascii="宋体" w:hAnsi="宋体" w:cs="宋体"/>
                <w:color w:val="000000"/>
                <w:kern w:val="0"/>
                <w:sz w:val="15"/>
                <w:szCs w:val="15"/>
              </w:rPr>
              <w:t>余条，问题建议类信息</w:t>
            </w:r>
            <w:r>
              <w:rPr>
                <w:rFonts w:ascii="宋体" w:hAnsi="宋体" w:cs="宋体"/>
                <w:color w:val="000000"/>
                <w:kern w:val="0"/>
                <w:sz w:val="15"/>
                <w:szCs w:val="15"/>
              </w:rPr>
              <w:t>50</w:t>
            </w:r>
            <w:r>
              <w:rPr>
                <w:rFonts w:hint="eastAsia" w:ascii="宋体" w:hAnsi="宋体" w:cs="宋体"/>
                <w:color w:val="000000"/>
                <w:kern w:val="0"/>
                <w:sz w:val="15"/>
                <w:szCs w:val="15"/>
              </w:rPr>
              <w:t>余条，编报紧急信息</w:t>
            </w:r>
            <w:r>
              <w:rPr>
                <w:rFonts w:ascii="宋体" w:hAnsi="宋体" w:cs="宋体"/>
                <w:color w:val="000000"/>
                <w:kern w:val="0"/>
                <w:sz w:val="15"/>
                <w:szCs w:val="15"/>
              </w:rPr>
              <w:t>20</w:t>
            </w:r>
            <w:r>
              <w:rPr>
                <w:rFonts w:hint="eastAsia" w:ascii="宋体" w:hAnsi="宋体" w:cs="宋体"/>
                <w:color w:val="000000"/>
                <w:kern w:val="0"/>
                <w:sz w:val="15"/>
                <w:szCs w:val="15"/>
              </w:rPr>
              <w:t>余条，编发《每日动态》</w:t>
            </w:r>
            <w:r>
              <w:rPr>
                <w:rFonts w:ascii="宋体" w:hAnsi="宋体" w:cs="宋体"/>
                <w:color w:val="000000"/>
                <w:kern w:val="0"/>
                <w:sz w:val="15"/>
                <w:szCs w:val="15"/>
              </w:rPr>
              <w:t>242</w:t>
            </w:r>
            <w:r>
              <w:rPr>
                <w:rFonts w:hint="eastAsia" w:ascii="宋体" w:hAnsi="宋体" w:cs="宋体"/>
                <w:color w:val="000000"/>
                <w:kern w:val="0"/>
                <w:sz w:val="15"/>
                <w:szCs w:val="15"/>
              </w:rPr>
              <w:t>期，其中省委办公厅《每日要情》采用</w:t>
            </w:r>
            <w:r>
              <w:rPr>
                <w:rFonts w:ascii="宋体" w:hAnsi="宋体" w:cs="宋体"/>
                <w:color w:val="000000"/>
                <w:kern w:val="0"/>
                <w:sz w:val="15"/>
                <w:szCs w:val="15"/>
              </w:rPr>
              <w:t>3</w:t>
            </w:r>
            <w:r>
              <w:rPr>
                <w:rFonts w:hint="eastAsia" w:ascii="宋体" w:hAnsi="宋体" w:cs="宋体"/>
                <w:color w:val="000000"/>
                <w:kern w:val="0"/>
                <w:sz w:val="15"/>
                <w:szCs w:val="15"/>
              </w:rPr>
              <w:t>条，市委办《广元要情》采用</w:t>
            </w:r>
            <w:r>
              <w:rPr>
                <w:rFonts w:ascii="宋体" w:hAnsi="宋体" w:cs="宋体"/>
                <w:color w:val="000000"/>
                <w:kern w:val="0"/>
                <w:sz w:val="15"/>
                <w:szCs w:val="15"/>
              </w:rPr>
              <w:t>100</w:t>
            </w:r>
            <w:r>
              <w:rPr>
                <w:rFonts w:hint="eastAsia" w:ascii="宋体" w:hAnsi="宋体" w:cs="宋体"/>
                <w:color w:val="000000"/>
                <w:kern w:val="0"/>
                <w:sz w:val="15"/>
                <w:szCs w:val="15"/>
              </w:rPr>
              <w:t>余条。印发《督查通报》</w:t>
            </w:r>
            <w:r>
              <w:rPr>
                <w:rFonts w:ascii="宋体" w:hAnsi="宋体" w:cs="宋体"/>
                <w:color w:val="000000"/>
                <w:kern w:val="0"/>
                <w:sz w:val="15"/>
                <w:szCs w:val="15"/>
              </w:rPr>
              <w:t>27</w:t>
            </w:r>
            <w:r>
              <w:rPr>
                <w:rFonts w:hint="eastAsia" w:ascii="宋体" w:hAnsi="宋体" w:cs="宋体"/>
                <w:color w:val="000000"/>
                <w:kern w:val="0"/>
                <w:sz w:val="15"/>
                <w:szCs w:val="15"/>
              </w:rPr>
              <w:t>期、《督查专报》</w:t>
            </w:r>
            <w:r>
              <w:rPr>
                <w:rFonts w:ascii="宋体" w:hAnsi="宋体" w:cs="宋体"/>
                <w:color w:val="000000"/>
                <w:kern w:val="0"/>
                <w:sz w:val="15"/>
                <w:szCs w:val="15"/>
              </w:rPr>
              <w:t>8</w:t>
            </w:r>
            <w:r>
              <w:rPr>
                <w:rFonts w:hint="eastAsia" w:ascii="宋体" w:hAnsi="宋体" w:cs="宋体"/>
                <w:color w:val="000000"/>
                <w:kern w:val="0"/>
                <w:sz w:val="15"/>
                <w:szCs w:val="15"/>
              </w:rPr>
              <w:t>期，印发督查有关情况专报</w:t>
            </w:r>
            <w:r>
              <w:rPr>
                <w:rFonts w:ascii="宋体" w:hAnsi="宋体" w:cs="宋体"/>
                <w:color w:val="000000"/>
                <w:kern w:val="0"/>
                <w:sz w:val="15"/>
                <w:szCs w:val="15"/>
              </w:rPr>
              <w:t>5</w:t>
            </w:r>
            <w:r>
              <w:rPr>
                <w:rFonts w:hint="eastAsia" w:ascii="宋体" w:hAnsi="宋体" w:cs="宋体"/>
                <w:color w:val="000000"/>
                <w:kern w:val="0"/>
                <w:sz w:val="15"/>
                <w:szCs w:val="15"/>
              </w:rPr>
              <w:t>期。根据工作需要，完成办公设备更换采购。</w:t>
            </w:r>
          </w:p>
        </w:tc>
        <w:tc>
          <w:tcPr>
            <w:tcW w:w="1183" w:type="dxa"/>
            <w:noWrap/>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539" w:type="dxa"/>
            <w:vMerge w:val="restart"/>
            <w:noWrap w:val="0"/>
            <w:vAlign w:val="center"/>
          </w:tcPr>
          <w:p>
            <w:pPr>
              <w:spacing w:line="0" w:lineRule="atLeast"/>
              <w:jc w:val="left"/>
              <w:rPr>
                <w:rFonts w:ascii="宋体" w:cs="宋体"/>
                <w:bCs/>
                <w:color w:val="000000"/>
                <w:kern w:val="0"/>
                <w:sz w:val="18"/>
                <w:szCs w:val="18"/>
              </w:rPr>
            </w:pPr>
            <w:r>
              <w:rPr>
                <w:rFonts w:hint="eastAsia" w:ascii="宋体" w:hAnsi="宋体" w:cs="宋体"/>
                <w:bCs/>
                <w:color w:val="000000"/>
                <w:kern w:val="0"/>
                <w:sz w:val="18"/>
                <w:szCs w:val="18"/>
              </w:rPr>
              <w:t>年度绩效指标</w:t>
            </w:r>
          </w:p>
        </w:tc>
        <w:tc>
          <w:tcPr>
            <w:tcW w:w="679" w:type="dxa"/>
            <w:vMerge w:val="restart"/>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产出指标</w:t>
            </w:r>
          </w:p>
        </w:tc>
        <w:tc>
          <w:tcPr>
            <w:tcW w:w="769" w:type="dxa"/>
            <w:vMerge w:val="restart"/>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质量</w:t>
            </w:r>
          </w:p>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指标</w:t>
            </w:r>
          </w:p>
        </w:tc>
        <w:tc>
          <w:tcPr>
            <w:tcW w:w="1722" w:type="dxa"/>
            <w:gridSpan w:val="3"/>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高标准牵头抓总、全力做好区委综合服务保障工作</w:t>
            </w:r>
          </w:p>
        </w:tc>
        <w:tc>
          <w:tcPr>
            <w:tcW w:w="2323" w:type="dxa"/>
            <w:gridSpan w:val="3"/>
            <w:noWrap w:val="0"/>
            <w:vAlign w:val="center"/>
          </w:tcPr>
          <w:p>
            <w:pPr>
              <w:spacing w:line="0" w:lineRule="atLeast"/>
              <w:jc w:val="left"/>
              <w:rPr>
                <w:rFonts w:ascii="宋体" w:cs="宋体"/>
                <w:color w:val="000000"/>
                <w:spacing w:val="-4"/>
                <w:kern w:val="0"/>
                <w:sz w:val="18"/>
                <w:szCs w:val="18"/>
              </w:rPr>
            </w:pPr>
            <w:r>
              <w:rPr>
                <w:rFonts w:hint="eastAsia" w:ascii="宋体" w:hAnsi="宋体" w:cs="宋体"/>
                <w:color w:val="000000"/>
                <w:spacing w:val="-4"/>
                <w:kern w:val="0"/>
                <w:sz w:val="18"/>
                <w:szCs w:val="18"/>
              </w:rPr>
              <w:t>严格落实区委“六个一”工作推进机制，每天统筹县级干部活动、编印工作动态。牵头落实区四大班子联席会议制度、重大事项报告制度</w:t>
            </w:r>
          </w:p>
        </w:tc>
        <w:tc>
          <w:tcPr>
            <w:tcW w:w="1750" w:type="dxa"/>
            <w:gridSpan w:val="2"/>
            <w:noWrap/>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高质量完成</w:t>
            </w:r>
          </w:p>
        </w:tc>
        <w:tc>
          <w:tcPr>
            <w:tcW w:w="1183" w:type="dxa"/>
            <w:noWrap/>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539" w:type="dxa"/>
            <w:vMerge w:val="continue"/>
            <w:noWrap w:val="0"/>
            <w:vAlign w:val="center"/>
          </w:tcPr>
          <w:p>
            <w:pPr>
              <w:spacing w:line="0" w:lineRule="atLeast"/>
              <w:jc w:val="left"/>
              <w:rPr>
                <w:rFonts w:ascii="宋体" w:cs="宋体"/>
                <w:bCs/>
                <w:color w:val="000000"/>
                <w:kern w:val="0"/>
                <w:sz w:val="18"/>
                <w:szCs w:val="18"/>
              </w:rPr>
            </w:pPr>
          </w:p>
        </w:tc>
        <w:tc>
          <w:tcPr>
            <w:tcW w:w="679" w:type="dxa"/>
            <w:vMerge w:val="continue"/>
            <w:noWrap w:val="0"/>
            <w:vAlign w:val="center"/>
          </w:tcPr>
          <w:p>
            <w:pPr>
              <w:spacing w:line="0" w:lineRule="atLeast"/>
              <w:jc w:val="left"/>
              <w:rPr>
                <w:rFonts w:ascii="宋体" w:cs="宋体"/>
                <w:color w:val="000000"/>
                <w:kern w:val="0"/>
                <w:sz w:val="18"/>
                <w:szCs w:val="18"/>
              </w:rPr>
            </w:pPr>
          </w:p>
        </w:tc>
        <w:tc>
          <w:tcPr>
            <w:tcW w:w="769" w:type="dxa"/>
            <w:vMerge w:val="continue"/>
            <w:noWrap w:val="0"/>
            <w:vAlign w:val="center"/>
          </w:tcPr>
          <w:p>
            <w:pPr>
              <w:spacing w:line="0" w:lineRule="atLeast"/>
              <w:jc w:val="left"/>
              <w:rPr>
                <w:rFonts w:ascii="宋体" w:cs="宋体"/>
                <w:color w:val="000000"/>
                <w:kern w:val="0"/>
                <w:sz w:val="18"/>
                <w:szCs w:val="18"/>
              </w:rPr>
            </w:pPr>
          </w:p>
        </w:tc>
        <w:tc>
          <w:tcPr>
            <w:tcW w:w="1722" w:type="dxa"/>
            <w:gridSpan w:val="3"/>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高效率督查督办、全力推动各项工作任务落实</w:t>
            </w:r>
          </w:p>
        </w:tc>
        <w:tc>
          <w:tcPr>
            <w:tcW w:w="2323" w:type="dxa"/>
            <w:gridSpan w:val="3"/>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《督查通报》、《督查专报》、《督办通知》及时编印。严格执行《区委书记专题交办工作办理制度》</w:t>
            </w:r>
          </w:p>
        </w:tc>
        <w:tc>
          <w:tcPr>
            <w:tcW w:w="1750" w:type="dxa"/>
            <w:gridSpan w:val="2"/>
            <w:noWrap/>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高质量完成</w:t>
            </w:r>
          </w:p>
        </w:tc>
        <w:tc>
          <w:tcPr>
            <w:tcW w:w="1183" w:type="dxa"/>
            <w:noWrap/>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39" w:type="dxa"/>
            <w:vMerge w:val="continue"/>
            <w:noWrap w:val="0"/>
            <w:vAlign w:val="center"/>
          </w:tcPr>
          <w:p>
            <w:pPr>
              <w:spacing w:line="0" w:lineRule="atLeast"/>
              <w:jc w:val="left"/>
              <w:rPr>
                <w:rFonts w:ascii="宋体" w:cs="宋体"/>
                <w:bCs/>
                <w:color w:val="000000"/>
                <w:kern w:val="0"/>
                <w:sz w:val="18"/>
                <w:szCs w:val="18"/>
              </w:rPr>
            </w:pPr>
          </w:p>
        </w:tc>
        <w:tc>
          <w:tcPr>
            <w:tcW w:w="679" w:type="dxa"/>
            <w:vMerge w:val="continue"/>
            <w:noWrap w:val="0"/>
            <w:vAlign w:val="center"/>
          </w:tcPr>
          <w:p>
            <w:pPr>
              <w:spacing w:line="0" w:lineRule="atLeast"/>
              <w:jc w:val="left"/>
              <w:rPr>
                <w:rFonts w:ascii="宋体" w:cs="宋体"/>
                <w:color w:val="000000"/>
                <w:kern w:val="0"/>
                <w:sz w:val="18"/>
                <w:szCs w:val="18"/>
              </w:rPr>
            </w:pPr>
          </w:p>
        </w:tc>
        <w:tc>
          <w:tcPr>
            <w:tcW w:w="769" w:type="dxa"/>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时效</w:t>
            </w:r>
          </w:p>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指标</w:t>
            </w:r>
          </w:p>
        </w:tc>
        <w:tc>
          <w:tcPr>
            <w:tcW w:w="1722" w:type="dxa"/>
            <w:gridSpan w:val="3"/>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完成时限</w:t>
            </w:r>
          </w:p>
        </w:tc>
        <w:tc>
          <w:tcPr>
            <w:tcW w:w="2323" w:type="dxa"/>
            <w:gridSpan w:val="3"/>
            <w:noWrap w:val="0"/>
            <w:vAlign w:val="center"/>
          </w:tcPr>
          <w:p>
            <w:pPr>
              <w:spacing w:line="0" w:lineRule="atLeast"/>
              <w:jc w:val="left"/>
              <w:rPr>
                <w:rFonts w:ascii="宋体" w:cs="宋体"/>
                <w:color w:val="000000"/>
                <w:kern w:val="0"/>
                <w:sz w:val="18"/>
                <w:szCs w:val="18"/>
              </w:rPr>
            </w:pPr>
            <w:r>
              <w:rPr>
                <w:rFonts w:ascii="宋体" w:hAnsi="宋体" w:cs="宋体"/>
                <w:color w:val="000000"/>
                <w:kern w:val="0"/>
                <w:sz w:val="18"/>
                <w:szCs w:val="18"/>
              </w:rPr>
              <w:t>2021</w:t>
            </w:r>
            <w:r>
              <w:rPr>
                <w:rFonts w:hint="eastAsia" w:ascii="宋体" w:hAnsi="宋体" w:cs="宋体"/>
                <w:color w:val="000000"/>
                <w:kern w:val="0"/>
                <w:sz w:val="18"/>
                <w:szCs w:val="18"/>
              </w:rPr>
              <w:t>年底</w:t>
            </w:r>
          </w:p>
        </w:tc>
        <w:tc>
          <w:tcPr>
            <w:tcW w:w="1750" w:type="dxa"/>
            <w:gridSpan w:val="2"/>
            <w:noWrap/>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全面完成</w:t>
            </w:r>
          </w:p>
        </w:tc>
        <w:tc>
          <w:tcPr>
            <w:tcW w:w="1183" w:type="dxa"/>
            <w:noWrap/>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39" w:type="dxa"/>
            <w:vMerge w:val="continue"/>
            <w:noWrap w:val="0"/>
            <w:vAlign w:val="center"/>
          </w:tcPr>
          <w:p>
            <w:pPr>
              <w:spacing w:line="0" w:lineRule="atLeast"/>
              <w:jc w:val="left"/>
              <w:rPr>
                <w:rFonts w:ascii="宋体" w:cs="宋体"/>
                <w:bCs/>
                <w:color w:val="000000"/>
                <w:kern w:val="0"/>
                <w:sz w:val="18"/>
                <w:szCs w:val="18"/>
              </w:rPr>
            </w:pPr>
          </w:p>
        </w:tc>
        <w:tc>
          <w:tcPr>
            <w:tcW w:w="679" w:type="dxa"/>
            <w:vMerge w:val="continue"/>
            <w:noWrap w:val="0"/>
            <w:vAlign w:val="center"/>
          </w:tcPr>
          <w:p>
            <w:pPr>
              <w:spacing w:line="0" w:lineRule="atLeast"/>
              <w:jc w:val="left"/>
              <w:rPr>
                <w:rFonts w:ascii="宋体" w:cs="宋体"/>
                <w:color w:val="000000"/>
                <w:kern w:val="0"/>
                <w:sz w:val="18"/>
                <w:szCs w:val="18"/>
              </w:rPr>
            </w:pPr>
          </w:p>
        </w:tc>
        <w:tc>
          <w:tcPr>
            <w:tcW w:w="769" w:type="dxa"/>
            <w:vMerge w:val="restart"/>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成本</w:t>
            </w:r>
          </w:p>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指标</w:t>
            </w:r>
          </w:p>
        </w:tc>
        <w:tc>
          <w:tcPr>
            <w:tcW w:w="1722" w:type="dxa"/>
            <w:gridSpan w:val="3"/>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从严控制预算成本，严禁超预算</w:t>
            </w:r>
          </w:p>
        </w:tc>
        <w:tc>
          <w:tcPr>
            <w:tcW w:w="2323" w:type="dxa"/>
            <w:gridSpan w:val="3"/>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≤年初预算项目金额</w:t>
            </w:r>
          </w:p>
        </w:tc>
        <w:tc>
          <w:tcPr>
            <w:tcW w:w="1750" w:type="dxa"/>
            <w:gridSpan w:val="2"/>
            <w:noWrap/>
            <w:vAlign w:val="center"/>
          </w:tcPr>
          <w:p>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预算资金执行率</w:t>
            </w:r>
            <w:r>
              <w:rPr>
                <w:rFonts w:ascii="宋体" w:hAnsi="宋体" w:cs="宋体"/>
                <w:color w:val="000000"/>
                <w:kern w:val="0"/>
                <w:sz w:val="18"/>
                <w:szCs w:val="18"/>
              </w:rPr>
              <w:t>100%</w:t>
            </w:r>
          </w:p>
        </w:tc>
        <w:tc>
          <w:tcPr>
            <w:tcW w:w="1183" w:type="dxa"/>
            <w:noWrap/>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39" w:type="dxa"/>
            <w:vMerge w:val="continue"/>
            <w:noWrap w:val="0"/>
            <w:vAlign w:val="center"/>
          </w:tcPr>
          <w:p>
            <w:pPr>
              <w:spacing w:line="0" w:lineRule="atLeast"/>
              <w:jc w:val="left"/>
              <w:rPr>
                <w:rFonts w:ascii="宋体" w:cs="宋体"/>
                <w:bCs/>
                <w:color w:val="000000"/>
                <w:kern w:val="0"/>
                <w:sz w:val="18"/>
                <w:szCs w:val="18"/>
              </w:rPr>
            </w:pPr>
          </w:p>
        </w:tc>
        <w:tc>
          <w:tcPr>
            <w:tcW w:w="679" w:type="dxa"/>
            <w:vMerge w:val="continue"/>
            <w:noWrap w:val="0"/>
            <w:vAlign w:val="center"/>
          </w:tcPr>
          <w:p>
            <w:pPr>
              <w:spacing w:line="0" w:lineRule="atLeast"/>
              <w:jc w:val="left"/>
              <w:rPr>
                <w:rFonts w:ascii="宋体" w:cs="宋体"/>
                <w:color w:val="000000"/>
                <w:kern w:val="0"/>
                <w:sz w:val="18"/>
                <w:szCs w:val="18"/>
              </w:rPr>
            </w:pPr>
          </w:p>
        </w:tc>
        <w:tc>
          <w:tcPr>
            <w:tcW w:w="769" w:type="dxa"/>
            <w:vMerge w:val="continue"/>
            <w:noWrap w:val="0"/>
            <w:vAlign w:val="center"/>
          </w:tcPr>
          <w:p>
            <w:pPr>
              <w:spacing w:line="0" w:lineRule="atLeast"/>
              <w:jc w:val="left"/>
              <w:rPr>
                <w:rFonts w:ascii="宋体" w:cs="宋体"/>
                <w:color w:val="000000"/>
                <w:kern w:val="0"/>
                <w:sz w:val="18"/>
                <w:szCs w:val="18"/>
              </w:rPr>
            </w:pPr>
          </w:p>
        </w:tc>
        <w:tc>
          <w:tcPr>
            <w:tcW w:w="1722" w:type="dxa"/>
            <w:gridSpan w:val="3"/>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严格财经纪律，杜绝违规违纪现象发生</w:t>
            </w:r>
          </w:p>
        </w:tc>
        <w:tc>
          <w:tcPr>
            <w:tcW w:w="2323" w:type="dxa"/>
            <w:gridSpan w:val="3"/>
            <w:noWrap w:val="0"/>
            <w:vAlign w:val="center"/>
          </w:tcPr>
          <w:p>
            <w:pPr>
              <w:spacing w:line="0" w:lineRule="atLeast"/>
              <w:jc w:val="left"/>
              <w:rPr>
                <w:rFonts w:ascii="宋体" w:hAnsi="宋体" w:cs="宋体"/>
                <w:color w:val="000000"/>
                <w:kern w:val="0"/>
                <w:sz w:val="18"/>
                <w:szCs w:val="18"/>
              </w:rPr>
            </w:pPr>
            <w:r>
              <w:rPr>
                <w:rFonts w:hint="eastAsia" w:ascii="宋体" w:hAnsi="宋体" w:cs="宋体"/>
                <w:color w:val="000000"/>
                <w:kern w:val="0"/>
                <w:sz w:val="18"/>
                <w:szCs w:val="18"/>
              </w:rPr>
              <w:t>违规违纪</w:t>
            </w:r>
            <w:r>
              <w:rPr>
                <w:rFonts w:ascii="宋体" w:hAnsi="宋体" w:cs="宋体"/>
                <w:color w:val="000000"/>
                <w:kern w:val="0"/>
                <w:sz w:val="18"/>
                <w:szCs w:val="18"/>
              </w:rPr>
              <w:t>=0</w:t>
            </w:r>
          </w:p>
        </w:tc>
        <w:tc>
          <w:tcPr>
            <w:tcW w:w="1750" w:type="dxa"/>
            <w:gridSpan w:val="2"/>
            <w:noWrap/>
            <w:vAlign w:val="center"/>
          </w:tcPr>
          <w:p>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违规违纪</w:t>
            </w:r>
            <w:r>
              <w:rPr>
                <w:rFonts w:ascii="宋体" w:hAnsi="宋体" w:cs="宋体"/>
                <w:color w:val="000000"/>
                <w:kern w:val="0"/>
                <w:sz w:val="18"/>
                <w:szCs w:val="18"/>
              </w:rPr>
              <w:t>=0</w:t>
            </w:r>
          </w:p>
        </w:tc>
        <w:tc>
          <w:tcPr>
            <w:tcW w:w="1183" w:type="dxa"/>
            <w:noWrap/>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39" w:type="dxa"/>
            <w:vMerge w:val="continue"/>
            <w:noWrap w:val="0"/>
            <w:vAlign w:val="center"/>
          </w:tcPr>
          <w:p>
            <w:pPr>
              <w:spacing w:line="0" w:lineRule="atLeast"/>
              <w:jc w:val="left"/>
              <w:rPr>
                <w:rFonts w:ascii="宋体" w:cs="宋体"/>
                <w:bCs/>
                <w:color w:val="000000"/>
                <w:kern w:val="0"/>
                <w:sz w:val="18"/>
                <w:szCs w:val="18"/>
              </w:rPr>
            </w:pPr>
          </w:p>
        </w:tc>
        <w:tc>
          <w:tcPr>
            <w:tcW w:w="679" w:type="dxa"/>
            <w:vMerge w:val="restart"/>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效益指标</w:t>
            </w:r>
          </w:p>
        </w:tc>
        <w:tc>
          <w:tcPr>
            <w:tcW w:w="769" w:type="dxa"/>
            <w:vMerge w:val="restart"/>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经济效益指标</w:t>
            </w:r>
          </w:p>
        </w:tc>
        <w:tc>
          <w:tcPr>
            <w:tcW w:w="1722" w:type="dxa"/>
            <w:gridSpan w:val="3"/>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地区生产总值增长</w:t>
            </w:r>
          </w:p>
        </w:tc>
        <w:tc>
          <w:tcPr>
            <w:tcW w:w="2323" w:type="dxa"/>
            <w:gridSpan w:val="3"/>
            <w:noWrap w:val="0"/>
            <w:vAlign w:val="center"/>
          </w:tcPr>
          <w:p>
            <w:pPr>
              <w:spacing w:line="0" w:lineRule="atLeast"/>
              <w:jc w:val="left"/>
              <w:rPr>
                <w:rFonts w:ascii="宋体" w:hAnsi="宋体" w:cs="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8.2%</w:t>
            </w:r>
          </w:p>
        </w:tc>
        <w:tc>
          <w:tcPr>
            <w:tcW w:w="1750" w:type="dxa"/>
            <w:gridSpan w:val="2"/>
            <w:noWrap/>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高质量完成</w:t>
            </w:r>
          </w:p>
        </w:tc>
        <w:tc>
          <w:tcPr>
            <w:tcW w:w="1183" w:type="dxa"/>
            <w:noWrap/>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9" w:type="dxa"/>
            <w:vMerge w:val="continue"/>
            <w:noWrap w:val="0"/>
            <w:vAlign w:val="center"/>
          </w:tcPr>
          <w:p>
            <w:pPr>
              <w:spacing w:line="0" w:lineRule="atLeast"/>
              <w:jc w:val="left"/>
              <w:rPr>
                <w:rFonts w:ascii="宋体" w:cs="宋体"/>
                <w:bCs/>
                <w:color w:val="000000"/>
                <w:kern w:val="0"/>
                <w:sz w:val="18"/>
                <w:szCs w:val="18"/>
              </w:rPr>
            </w:pPr>
          </w:p>
        </w:tc>
        <w:tc>
          <w:tcPr>
            <w:tcW w:w="679" w:type="dxa"/>
            <w:vMerge w:val="continue"/>
            <w:noWrap w:val="0"/>
            <w:vAlign w:val="center"/>
          </w:tcPr>
          <w:p>
            <w:pPr>
              <w:spacing w:line="0" w:lineRule="atLeast"/>
              <w:jc w:val="left"/>
              <w:rPr>
                <w:rFonts w:ascii="宋体" w:cs="宋体"/>
                <w:color w:val="000000"/>
                <w:kern w:val="0"/>
                <w:sz w:val="18"/>
                <w:szCs w:val="18"/>
              </w:rPr>
            </w:pPr>
          </w:p>
        </w:tc>
        <w:tc>
          <w:tcPr>
            <w:tcW w:w="769" w:type="dxa"/>
            <w:vMerge w:val="continue"/>
            <w:noWrap w:val="0"/>
            <w:vAlign w:val="center"/>
          </w:tcPr>
          <w:p>
            <w:pPr>
              <w:spacing w:line="0" w:lineRule="atLeast"/>
              <w:jc w:val="left"/>
              <w:rPr>
                <w:rFonts w:ascii="宋体" w:cs="宋体"/>
                <w:color w:val="000000"/>
                <w:kern w:val="0"/>
                <w:sz w:val="18"/>
                <w:szCs w:val="18"/>
              </w:rPr>
            </w:pPr>
          </w:p>
        </w:tc>
        <w:tc>
          <w:tcPr>
            <w:tcW w:w="1722" w:type="dxa"/>
            <w:gridSpan w:val="3"/>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规模以上工业增加值增长</w:t>
            </w:r>
          </w:p>
        </w:tc>
        <w:tc>
          <w:tcPr>
            <w:tcW w:w="2323" w:type="dxa"/>
            <w:gridSpan w:val="3"/>
            <w:noWrap w:val="0"/>
            <w:vAlign w:val="center"/>
          </w:tcPr>
          <w:p>
            <w:pPr>
              <w:spacing w:line="0" w:lineRule="atLeast"/>
              <w:jc w:val="left"/>
              <w:rPr>
                <w:rFonts w:ascii="宋体" w:hAnsi="宋体" w:cs="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10.5%</w:t>
            </w:r>
          </w:p>
        </w:tc>
        <w:tc>
          <w:tcPr>
            <w:tcW w:w="1750" w:type="dxa"/>
            <w:gridSpan w:val="2"/>
            <w:noWrap/>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高质量完成</w:t>
            </w:r>
          </w:p>
        </w:tc>
        <w:tc>
          <w:tcPr>
            <w:tcW w:w="1183" w:type="dxa"/>
            <w:noWrap/>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539" w:type="dxa"/>
            <w:vMerge w:val="continue"/>
            <w:noWrap w:val="0"/>
            <w:vAlign w:val="center"/>
          </w:tcPr>
          <w:p>
            <w:pPr>
              <w:spacing w:line="0" w:lineRule="atLeast"/>
              <w:jc w:val="left"/>
              <w:rPr>
                <w:rFonts w:ascii="宋体" w:cs="宋体"/>
                <w:bCs/>
                <w:color w:val="000000"/>
                <w:kern w:val="0"/>
                <w:sz w:val="18"/>
                <w:szCs w:val="18"/>
              </w:rPr>
            </w:pPr>
          </w:p>
        </w:tc>
        <w:tc>
          <w:tcPr>
            <w:tcW w:w="679" w:type="dxa"/>
            <w:vMerge w:val="continue"/>
            <w:noWrap w:val="0"/>
            <w:vAlign w:val="center"/>
          </w:tcPr>
          <w:p>
            <w:pPr>
              <w:spacing w:line="0" w:lineRule="atLeast"/>
              <w:jc w:val="left"/>
              <w:rPr>
                <w:rFonts w:ascii="宋体" w:cs="宋体"/>
                <w:color w:val="000000"/>
                <w:kern w:val="0"/>
                <w:sz w:val="18"/>
                <w:szCs w:val="18"/>
              </w:rPr>
            </w:pPr>
          </w:p>
        </w:tc>
        <w:tc>
          <w:tcPr>
            <w:tcW w:w="769" w:type="dxa"/>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社会效益指标</w:t>
            </w:r>
          </w:p>
        </w:tc>
        <w:tc>
          <w:tcPr>
            <w:tcW w:w="1722" w:type="dxa"/>
            <w:gridSpan w:val="3"/>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防范化解区域治理难题为突破口，创新服务管理体制机制，加快走出具有时代特征、朝天特色的基层治理新路</w:t>
            </w:r>
          </w:p>
        </w:tc>
        <w:tc>
          <w:tcPr>
            <w:tcW w:w="2323" w:type="dxa"/>
            <w:gridSpan w:val="3"/>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雪亮工程”覆盖率达</w:t>
            </w:r>
            <w:r>
              <w:rPr>
                <w:rFonts w:ascii="宋体" w:hAnsi="宋体" w:cs="宋体"/>
                <w:color w:val="000000"/>
                <w:kern w:val="0"/>
                <w:sz w:val="18"/>
                <w:szCs w:val="18"/>
              </w:rPr>
              <w:t>100%</w:t>
            </w:r>
            <w:r>
              <w:rPr>
                <w:rFonts w:hint="eastAsia" w:ascii="宋体" w:hAnsi="宋体" w:cs="宋体"/>
                <w:color w:val="000000"/>
                <w:kern w:val="0"/>
                <w:sz w:val="18"/>
                <w:szCs w:val="18"/>
              </w:rPr>
              <w:t>，刑事案件发案总数连续下降，平安建设满意度居全省前列。国安、防邪、禁毒、民族宗教等工作稳步推进。</w:t>
            </w:r>
          </w:p>
        </w:tc>
        <w:tc>
          <w:tcPr>
            <w:tcW w:w="1750" w:type="dxa"/>
            <w:gridSpan w:val="2"/>
            <w:noWrap/>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优</w:t>
            </w:r>
          </w:p>
        </w:tc>
        <w:tc>
          <w:tcPr>
            <w:tcW w:w="1183" w:type="dxa"/>
            <w:noWrap/>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539" w:type="dxa"/>
            <w:vMerge w:val="continue"/>
            <w:noWrap w:val="0"/>
            <w:vAlign w:val="center"/>
          </w:tcPr>
          <w:p>
            <w:pPr>
              <w:spacing w:line="0" w:lineRule="atLeast"/>
              <w:jc w:val="left"/>
              <w:rPr>
                <w:rFonts w:ascii="宋体" w:cs="宋体"/>
                <w:bCs/>
                <w:color w:val="000000"/>
                <w:kern w:val="0"/>
                <w:sz w:val="18"/>
                <w:szCs w:val="18"/>
              </w:rPr>
            </w:pPr>
          </w:p>
        </w:tc>
        <w:tc>
          <w:tcPr>
            <w:tcW w:w="679" w:type="dxa"/>
            <w:vMerge w:val="continue"/>
            <w:noWrap w:val="0"/>
            <w:vAlign w:val="center"/>
          </w:tcPr>
          <w:p>
            <w:pPr>
              <w:spacing w:line="0" w:lineRule="atLeast"/>
              <w:jc w:val="left"/>
              <w:rPr>
                <w:rFonts w:ascii="宋体" w:cs="宋体"/>
                <w:color w:val="000000"/>
                <w:kern w:val="0"/>
                <w:sz w:val="18"/>
                <w:szCs w:val="18"/>
              </w:rPr>
            </w:pPr>
          </w:p>
        </w:tc>
        <w:tc>
          <w:tcPr>
            <w:tcW w:w="769" w:type="dxa"/>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可持续影响指标</w:t>
            </w:r>
          </w:p>
        </w:tc>
        <w:tc>
          <w:tcPr>
            <w:tcW w:w="1722" w:type="dxa"/>
            <w:gridSpan w:val="3"/>
            <w:noWrap w:val="0"/>
            <w:vAlign w:val="center"/>
          </w:tcPr>
          <w:p>
            <w:pPr>
              <w:spacing w:line="0" w:lineRule="atLeast"/>
              <w:jc w:val="center"/>
              <w:rPr>
                <w:rFonts w:ascii="宋体" w:cs="宋体"/>
                <w:color w:val="000000"/>
                <w:spacing w:val="-6"/>
                <w:kern w:val="0"/>
                <w:sz w:val="18"/>
                <w:szCs w:val="18"/>
              </w:rPr>
            </w:pPr>
            <w:r>
              <w:rPr>
                <w:rFonts w:hint="eastAsia" w:ascii="宋体" w:hAnsi="宋体" w:cs="宋体"/>
                <w:color w:val="000000"/>
                <w:spacing w:val="-6"/>
                <w:kern w:val="0"/>
                <w:sz w:val="18"/>
                <w:szCs w:val="18"/>
              </w:rPr>
              <w:t>充分发挥办公室工作“四部”职能作用，旗帜鲜明讲政治、忠诚担当干事业、团结一心抓落实，促使各项工作稳步推进、有力有效。</w:t>
            </w:r>
          </w:p>
        </w:tc>
        <w:tc>
          <w:tcPr>
            <w:tcW w:w="2323" w:type="dxa"/>
            <w:gridSpan w:val="3"/>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长期可持续</w:t>
            </w:r>
          </w:p>
        </w:tc>
        <w:tc>
          <w:tcPr>
            <w:tcW w:w="1750" w:type="dxa"/>
            <w:gridSpan w:val="2"/>
            <w:noWrap/>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优</w:t>
            </w:r>
          </w:p>
        </w:tc>
        <w:tc>
          <w:tcPr>
            <w:tcW w:w="1183" w:type="dxa"/>
            <w:noWrap/>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9" w:type="dxa"/>
            <w:vMerge w:val="continue"/>
            <w:noWrap w:val="0"/>
            <w:vAlign w:val="center"/>
          </w:tcPr>
          <w:p>
            <w:pPr>
              <w:spacing w:line="0" w:lineRule="atLeast"/>
              <w:jc w:val="left"/>
              <w:rPr>
                <w:rFonts w:ascii="宋体" w:cs="宋体"/>
                <w:bCs/>
                <w:color w:val="000000"/>
                <w:kern w:val="0"/>
                <w:sz w:val="18"/>
                <w:szCs w:val="18"/>
              </w:rPr>
            </w:pPr>
          </w:p>
        </w:tc>
        <w:tc>
          <w:tcPr>
            <w:tcW w:w="679" w:type="dxa"/>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满意度指标</w:t>
            </w:r>
          </w:p>
        </w:tc>
        <w:tc>
          <w:tcPr>
            <w:tcW w:w="769" w:type="dxa"/>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满意度指标</w:t>
            </w:r>
          </w:p>
        </w:tc>
        <w:tc>
          <w:tcPr>
            <w:tcW w:w="1722" w:type="dxa"/>
            <w:gridSpan w:val="3"/>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干部职工及社会满意度</w:t>
            </w:r>
          </w:p>
        </w:tc>
        <w:tc>
          <w:tcPr>
            <w:tcW w:w="2323" w:type="dxa"/>
            <w:gridSpan w:val="3"/>
            <w:noWrap w:val="0"/>
            <w:vAlign w:val="center"/>
          </w:tcPr>
          <w:p>
            <w:pPr>
              <w:spacing w:line="0" w:lineRule="atLeast"/>
              <w:jc w:val="left"/>
              <w:rPr>
                <w:rFonts w:ascii="宋体" w:hAnsi="宋体" w:cs="宋体"/>
                <w:color w:val="000000"/>
                <w:kern w:val="0"/>
                <w:sz w:val="18"/>
                <w:szCs w:val="18"/>
              </w:rPr>
            </w:pPr>
            <w:r>
              <w:rPr>
                <w:rFonts w:ascii="宋体" w:hAnsi="宋体" w:cs="宋体"/>
                <w:color w:val="000000"/>
                <w:kern w:val="0"/>
                <w:sz w:val="18"/>
                <w:szCs w:val="18"/>
              </w:rPr>
              <w:t>&gt;90%</w:t>
            </w:r>
          </w:p>
        </w:tc>
        <w:tc>
          <w:tcPr>
            <w:tcW w:w="1750" w:type="dxa"/>
            <w:gridSpan w:val="2"/>
            <w:noWrap/>
            <w:vAlign w:val="center"/>
          </w:tcPr>
          <w:p>
            <w:pPr>
              <w:spacing w:line="0" w:lineRule="atLeast"/>
              <w:jc w:val="center"/>
              <w:rPr>
                <w:rFonts w:ascii="宋体" w:hAnsi="宋体" w:cs="宋体"/>
                <w:color w:val="000000"/>
                <w:kern w:val="0"/>
                <w:sz w:val="18"/>
                <w:szCs w:val="18"/>
              </w:rPr>
            </w:pPr>
            <w:r>
              <w:rPr>
                <w:rFonts w:ascii="宋体" w:hAnsi="宋体" w:cs="宋体"/>
                <w:color w:val="000000"/>
                <w:kern w:val="0"/>
                <w:sz w:val="18"/>
                <w:szCs w:val="18"/>
              </w:rPr>
              <w:t>92%</w:t>
            </w:r>
          </w:p>
        </w:tc>
        <w:tc>
          <w:tcPr>
            <w:tcW w:w="1183" w:type="dxa"/>
            <w:noWrap/>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　</w:t>
            </w:r>
          </w:p>
        </w:tc>
      </w:tr>
    </w:tbl>
    <w:p>
      <w:pPr>
        <w:pStyle w:val="13"/>
      </w:pPr>
    </w:p>
    <w:p>
      <w:pPr>
        <w:pStyle w:val="13"/>
      </w:pPr>
    </w:p>
    <w:p>
      <w:pPr>
        <w:pStyle w:val="13"/>
        <w:ind w:left="0" w:leftChars="0" w:firstLine="0" w:firstLineChars="0"/>
      </w:pPr>
    </w:p>
    <w:p>
      <w:pPr>
        <w:pStyle w:val="13"/>
        <w:ind w:left="0" w:leftChars="0" w:firstLine="0" w:firstLineChars="0"/>
        <w:rPr>
          <w:rFonts w:ascii="宋体" w:cs="宋体"/>
          <w:b/>
          <w:bCs/>
          <w:color w:val="000000"/>
          <w:kern w:val="0"/>
          <w:sz w:val="24"/>
          <w:szCs w:val="24"/>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1474" w:gutter="0"/>
          <w:pgNumType w:fmt="decimal"/>
          <w:cols w:space="425" w:num="1"/>
          <w:docGrid w:type="lines" w:linePitch="312" w:charSpace="0"/>
        </w:sectPr>
      </w:pPr>
    </w:p>
    <w:p>
      <w:pPr>
        <w:pStyle w:val="13"/>
        <w:spacing w:after="0" w:line="576" w:lineRule="exact"/>
        <w:ind w:left="0" w:leftChars="0" w:firstLine="0" w:firstLineChars="0"/>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附件</w:t>
      </w:r>
      <w:r>
        <w:rPr>
          <w:rFonts w:ascii="黑体" w:hAnsi="黑体" w:eastAsia="黑体" w:cs="宋体"/>
          <w:bCs/>
          <w:color w:val="000000"/>
          <w:kern w:val="0"/>
          <w:sz w:val="32"/>
          <w:szCs w:val="32"/>
        </w:rPr>
        <w:t>2</w:t>
      </w:r>
    </w:p>
    <w:p>
      <w:pPr>
        <w:pStyle w:val="13"/>
        <w:spacing w:after="156" w:afterLines="50" w:line="576" w:lineRule="exact"/>
        <w:ind w:left="0" w:leftChars="0" w:firstLine="0" w:firstLineChars="0"/>
        <w:jc w:val="center"/>
        <w:rPr>
          <w:rFonts w:ascii="方正小标宋简体" w:hAnsi="宋体" w:eastAsia="方正小标宋简体" w:cs="宋体"/>
          <w:bCs/>
          <w:color w:val="000000"/>
          <w:kern w:val="0"/>
          <w:sz w:val="44"/>
          <w:szCs w:val="44"/>
        </w:rPr>
      </w:pPr>
      <w:r>
        <w:rPr>
          <w:rFonts w:ascii="方正小标宋简体" w:hAnsi="宋体" w:eastAsia="方正小标宋简体" w:cs="宋体"/>
          <w:bCs/>
          <w:color w:val="000000"/>
          <w:kern w:val="0"/>
          <w:sz w:val="44"/>
          <w:szCs w:val="44"/>
        </w:rPr>
        <w:t>2021</w:t>
      </w:r>
      <w:r>
        <w:rPr>
          <w:rFonts w:hint="eastAsia" w:ascii="方正小标宋简体" w:hAnsi="宋体" w:eastAsia="方正小标宋简体" w:cs="宋体"/>
          <w:bCs/>
          <w:color w:val="000000"/>
          <w:kern w:val="0"/>
          <w:sz w:val="44"/>
          <w:szCs w:val="44"/>
        </w:rPr>
        <w:t>年部门整体支出绩效自评评分表</w:t>
      </w:r>
    </w:p>
    <w:p>
      <w:pPr>
        <w:pStyle w:val="13"/>
        <w:spacing w:after="0" w:line="240" w:lineRule="atLeast"/>
        <w:ind w:left="0" w:leftChars="0" w:firstLine="180" w:firstLineChars="100"/>
        <w:rPr>
          <w:rFonts w:ascii="宋体"/>
          <w:sz w:val="18"/>
          <w:szCs w:val="18"/>
        </w:rPr>
      </w:pPr>
      <w:r>
        <w:rPr>
          <w:rFonts w:hint="eastAsia" w:ascii="宋体" w:hAnsi="宋体" w:cs="宋体"/>
          <w:color w:val="000000"/>
          <w:kern w:val="0"/>
          <w:sz w:val="18"/>
          <w:szCs w:val="18"/>
        </w:rPr>
        <w:t>部门（单位）盖章：中共广元市朝天区委办公室</w:t>
      </w:r>
    </w:p>
    <w:tbl>
      <w:tblPr>
        <w:tblStyle w:val="14"/>
        <w:tblW w:w="0" w:type="auto"/>
        <w:jc w:val="center"/>
        <w:tblLayout w:type="autofit"/>
        <w:tblCellMar>
          <w:top w:w="0" w:type="dxa"/>
          <w:left w:w="108" w:type="dxa"/>
          <w:bottom w:w="0" w:type="dxa"/>
          <w:right w:w="108" w:type="dxa"/>
        </w:tblCellMar>
      </w:tblPr>
      <w:tblGrid>
        <w:gridCol w:w="671"/>
        <w:gridCol w:w="674"/>
        <w:gridCol w:w="1055"/>
        <w:gridCol w:w="546"/>
        <w:gridCol w:w="2628"/>
        <w:gridCol w:w="4867"/>
        <w:gridCol w:w="506"/>
        <w:gridCol w:w="492"/>
        <w:gridCol w:w="492"/>
        <w:gridCol w:w="520"/>
        <w:gridCol w:w="520"/>
      </w:tblGrid>
      <w:tr>
        <w:tblPrEx>
          <w:tblCellMar>
            <w:top w:w="0" w:type="dxa"/>
            <w:left w:w="108" w:type="dxa"/>
            <w:bottom w:w="0" w:type="dxa"/>
            <w:right w:w="108" w:type="dxa"/>
          </w:tblCellMar>
        </w:tblPrEx>
        <w:trPr>
          <w:trHeight w:val="420" w:hRule="atLeast"/>
          <w:tblHeader/>
          <w:jc w:val="center"/>
        </w:trPr>
        <w:tc>
          <w:tcPr>
            <w:tcW w:w="2555"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绩效指标</w:t>
            </w:r>
          </w:p>
        </w:tc>
        <w:tc>
          <w:tcPr>
            <w:tcW w:w="55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0" w:lineRule="atLeast"/>
              <w:ind w:left="-105" w:leftChars="-50" w:right="-105" w:rightChars="-5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指标</w:t>
            </w:r>
          </w:p>
          <w:p>
            <w:pPr>
              <w:spacing w:line="0" w:lineRule="atLeast"/>
              <w:ind w:left="-105" w:leftChars="-50" w:right="-105" w:rightChars="-50"/>
              <w:jc w:val="center"/>
              <w:rPr>
                <w:rFonts w:ascii="黑体" w:hAnsi="黑体" w:eastAsia="黑体" w:cs="宋体"/>
                <w:bCs/>
                <w:color w:val="000000"/>
                <w:kern w:val="0"/>
                <w:sz w:val="18"/>
                <w:szCs w:val="18"/>
              </w:rPr>
            </w:pPr>
            <w:r>
              <w:rPr>
                <w:rFonts w:hint="eastAsia" w:ascii="黑体" w:hAnsi="黑体" w:eastAsia="黑体" w:cs="宋体"/>
                <w:color w:val="000000"/>
                <w:kern w:val="0"/>
                <w:sz w:val="18"/>
                <w:szCs w:val="18"/>
              </w:rPr>
              <w:t>分值</w:t>
            </w:r>
          </w:p>
        </w:tc>
        <w:tc>
          <w:tcPr>
            <w:tcW w:w="29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指标解释</w:t>
            </w:r>
          </w:p>
        </w:tc>
        <w:tc>
          <w:tcPr>
            <w:tcW w:w="546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计分标准</w:t>
            </w:r>
          </w:p>
        </w:tc>
        <w:tc>
          <w:tcPr>
            <w:tcW w:w="1028" w:type="dxa"/>
            <w:gridSpan w:val="2"/>
            <w:tcBorders>
              <w:top w:val="single" w:color="auto" w:sz="4" w:space="0"/>
              <w:left w:val="nil"/>
              <w:bottom w:val="single" w:color="auto" w:sz="4" w:space="0"/>
              <w:right w:val="single" w:color="auto" w:sz="4" w:space="0"/>
            </w:tcBorders>
            <w:noWrap w:val="0"/>
            <w:vAlign w:val="center"/>
          </w:tcPr>
          <w:p>
            <w:pPr>
              <w:spacing w:line="0" w:lineRule="atLeast"/>
              <w:ind w:left="-105" w:leftChars="-50" w:right="-105" w:rightChars="-5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评价方式</w:t>
            </w:r>
          </w:p>
        </w:tc>
        <w:tc>
          <w:tcPr>
            <w:tcW w:w="1044" w:type="dxa"/>
            <w:gridSpan w:val="2"/>
            <w:tcBorders>
              <w:top w:val="single" w:color="auto" w:sz="4" w:space="0"/>
              <w:left w:val="nil"/>
              <w:bottom w:val="single" w:color="auto" w:sz="4" w:space="0"/>
              <w:right w:val="single" w:color="auto" w:sz="4" w:space="0"/>
            </w:tcBorders>
            <w:noWrap w:val="0"/>
            <w:vAlign w:val="center"/>
          </w:tcPr>
          <w:p>
            <w:pPr>
              <w:spacing w:line="0" w:lineRule="atLeast"/>
              <w:ind w:left="-105" w:leftChars="-50" w:right="-105" w:rightChars="-5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评价属性</w:t>
            </w:r>
          </w:p>
        </w:tc>
        <w:tc>
          <w:tcPr>
            <w:tcW w:w="53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0" w:lineRule="atLeast"/>
              <w:ind w:left="-105" w:leftChars="-50" w:right="-105" w:rightChars="-5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自评得分</w:t>
            </w:r>
          </w:p>
        </w:tc>
      </w:tr>
      <w:tr>
        <w:tblPrEx>
          <w:tblCellMar>
            <w:top w:w="0" w:type="dxa"/>
            <w:left w:w="108" w:type="dxa"/>
            <w:bottom w:w="0" w:type="dxa"/>
            <w:right w:w="108" w:type="dxa"/>
          </w:tblCellMar>
        </w:tblPrEx>
        <w:trPr>
          <w:trHeight w:val="503" w:hRule="atLeast"/>
          <w:tblHeader/>
          <w:jc w:val="center"/>
        </w:trPr>
        <w:tc>
          <w:tcPr>
            <w:tcW w:w="713" w:type="dxa"/>
            <w:tcBorders>
              <w:top w:val="nil"/>
              <w:left w:val="single" w:color="auto" w:sz="4" w:space="0"/>
              <w:bottom w:val="single" w:color="auto" w:sz="4" w:space="0"/>
              <w:right w:val="single" w:color="auto" w:sz="4" w:space="0"/>
            </w:tcBorders>
            <w:noWrap w:val="0"/>
            <w:vAlign w:val="center"/>
          </w:tcPr>
          <w:p>
            <w:pPr>
              <w:spacing w:line="0" w:lineRule="atLeast"/>
              <w:jc w:val="center"/>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一级指标</w:t>
            </w:r>
          </w:p>
        </w:tc>
        <w:tc>
          <w:tcPr>
            <w:tcW w:w="716" w:type="dxa"/>
            <w:tcBorders>
              <w:top w:val="nil"/>
              <w:left w:val="nil"/>
              <w:bottom w:val="single" w:color="auto" w:sz="4" w:space="0"/>
              <w:right w:val="single" w:color="auto" w:sz="4" w:space="0"/>
            </w:tcBorders>
            <w:noWrap w:val="0"/>
            <w:vAlign w:val="center"/>
          </w:tcPr>
          <w:p>
            <w:pPr>
              <w:spacing w:line="0" w:lineRule="atLeast"/>
              <w:jc w:val="center"/>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二级指标</w:t>
            </w:r>
          </w:p>
        </w:tc>
        <w:tc>
          <w:tcPr>
            <w:tcW w:w="1126" w:type="dxa"/>
            <w:tcBorders>
              <w:top w:val="nil"/>
              <w:left w:val="nil"/>
              <w:bottom w:val="single" w:color="auto" w:sz="4" w:space="0"/>
              <w:right w:val="single" w:color="auto" w:sz="4" w:space="0"/>
            </w:tcBorders>
            <w:noWrap w:val="0"/>
            <w:vAlign w:val="center"/>
          </w:tcPr>
          <w:p>
            <w:pPr>
              <w:spacing w:line="0" w:lineRule="atLeast"/>
              <w:jc w:val="center"/>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三级指标</w:t>
            </w:r>
          </w:p>
        </w:tc>
        <w:tc>
          <w:tcPr>
            <w:tcW w:w="55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0" w:lineRule="atLeast"/>
              <w:jc w:val="left"/>
              <w:rPr>
                <w:rFonts w:ascii="黑体" w:hAnsi="黑体" w:eastAsia="黑体" w:cs="宋体"/>
                <w:bCs/>
                <w:color w:val="000000"/>
                <w:kern w:val="0"/>
                <w:sz w:val="18"/>
                <w:szCs w:val="18"/>
              </w:rPr>
            </w:pPr>
          </w:p>
        </w:tc>
        <w:tc>
          <w:tcPr>
            <w:tcW w:w="29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0" w:lineRule="atLeast"/>
              <w:jc w:val="left"/>
              <w:rPr>
                <w:rFonts w:ascii="黑体" w:hAnsi="黑体" w:eastAsia="黑体" w:cs="宋体"/>
                <w:bCs/>
                <w:color w:val="000000"/>
                <w:kern w:val="0"/>
                <w:sz w:val="18"/>
                <w:szCs w:val="18"/>
              </w:rPr>
            </w:pPr>
          </w:p>
        </w:tc>
        <w:tc>
          <w:tcPr>
            <w:tcW w:w="546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0" w:lineRule="atLeast"/>
              <w:jc w:val="left"/>
              <w:rPr>
                <w:rFonts w:ascii="黑体" w:hAnsi="黑体" w:eastAsia="黑体" w:cs="宋体"/>
                <w:bCs/>
                <w:color w:val="000000"/>
                <w:kern w:val="0"/>
                <w:sz w:val="18"/>
                <w:szCs w:val="18"/>
              </w:rPr>
            </w:pPr>
          </w:p>
        </w:tc>
        <w:tc>
          <w:tcPr>
            <w:tcW w:w="522" w:type="dxa"/>
            <w:tcBorders>
              <w:top w:val="nil"/>
              <w:left w:val="nil"/>
              <w:bottom w:val="single" w:color="auto" w:sz="4" w:space="0"/>
              <w:right w:val="single" w:color="auto" w:sz="4" w:space="0"/>
            </w:tcBorders>
            <w:noWrap w:val="0"/>
            <w:vAlign w:val="center"/>
          </w:tcPr>
          <w:p>
            <w:pPr>
              <w:spacing w:line="0" w:lineRule="atLeast"/>
              <w:ind w:left="-105" w:leftChars="-50" w:right="-105" w:rightChars="-5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整体评价</w:t>
            </w:r>
          </w:p>
        </w:tc>
        <w:tc>
          <w:tcPr>
            <w:tcW w:w="506" w:type="dxa"/>
            <w:tcBorders>
              <w:top w:val="nil"/>
              <w:left w:val="nil"/>
              <w:bottom w:val="single" w:color="auto" w:sz="4" w:space="0"/>
              <w:right w:val="single" w:color="auto" w:sz="4" w:space="0"/>
            </w:tcBorders>
            <w:noWrap w:val="0"/>
            <w:vAlign w:val="center"/>
          </w:tcPr>
          <w:p>
            <w:pPr>
              <w:spacing w:line="0" w:lineRule="atLeast"/>
              <w:ind w:left="-105" w:leftChars="-50" w:right="-105" w:rightChars="-5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样本评价</w:t>
            </w:r>
          </w:p>
        </w:tc>
        <w:tc>
          <w:tcPr>
            <w:tcW w:w="506" w:type="dxa"/>
            <w:tcBorders>
              <w:top w:val="nil"/>
              <w:left w:val="nil"/>
              <w:bottom w:val="single" w:color="auto" w:sz="4" w:space="0"/>
              <w:right w:val="single" w:color="auto" w:sz="4" w:space="0"/>
            </w:tcBorders>
            <w:noWrap w:val="0"/>
            <w:vAlign w:val="center"/>
          </w:tcPr>
          <w:p>
            <w:pPr>
              <w:spacing w:line="0" w:lineRule="atLeast"/>
              <w:ind w:left="-105" w:leftChars="-50" w:right="-105" w:rightChars="-5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定性评价</w:t>
            </w:r>
          </w:p>
        </w:tc>
        <w:tc>
          <w:tcPr>
            <w:tcW w:w="538" w:type="dxa"/>
            <w:tcBorders>
              <w:top w:val="nil"/>
              <w:left w:val="nil"/>
              <w:bottom w:val="single" w:color="auto" w:sz="4" w:space="0"/>
              <w:right w:val="single" w:color="auto" w:sz="4" w:space="0"/>
            </w:tcBorders>
            <w:noWrap w:val="0"/>
            <w:vAlign w:val="center"/>
          </w:tcPr>
          <w:p>
            <w:pPr>
              <w:spacing w:line="0" w:lineRule="atLeast"/>
              <w:ind w:left="-105" w:leftChars="-50" w:right="-105" w:rightChars="-5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定量评价</w:t>
            </w:r>
          </w:p>
        </w:tc>
        <w:tc>
          <w:tcPr>
            <w:tcW w:w="53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0" w:lineRule="atLeast"/>
              <w:ind w:left="-105" w:leftChars="-50" w:right="-105" w:rightChars="-50"/>
              <w:jc w:val="left"/>
              <w:rPr>
                <w:rFonts w:ascii="宋体" w:cs="宋体"/>
                <w:color w:val="000000"/>
                <w:kern w:val="0"/>
                <w:sz w:val="18"/>
                <w:szCs w:val="18"/>
              </w:rPr>
            </w:pPr>
          </w:p>
        </w:tc>
      </w:tr>
      <w:tr>
        <w:tblPrEx>
          <w:tblCellMar>
            <w:top w:w="0" w:type="dxa"/>
            <w:left w:w="108" w:type="dxa"/>
            <w:bottom w:w="0" w:type="dxa"/>
            <w:right w:w="108" w:type="dxa"/>
          </w:tblCellMar>
        </w:tblPrEx>
        <w:trPr>
          <w:trHeight w:val="1479" w:hRule="atLeast"/>
          <w:jc w:val="center"/>
        </w:trPr>
        <w:tc>
          <w:tcPr>
            <w:tcW w:w="713" w:type="dxa"/>
            <w:vMerge w:val="restart"/>
            <w:tcBorders>
              <w:top w:val="nil"/>
              <w:left w:val="single" w:color="auto" w:sz="4" w:space="0"/>
              <w:right w:val="single" w:color="auto" w:sz="4" w:space="0"/>
            </w:tcBorders>
            <w:noWrap w:val="0"/>
            <w:vAlign w:val="center"/>
          </w:tcPr>
          <w:p>
            <w:pPr>
              <w:spacing w:line="0" w:lineRule="atLeast"/>
              <w:ind w:left="-105" w:leftChars="-50" w:right="-105" w:rightChars="-50"/>
              <w:jc w:val="center"/>
              <w:rPr>
                <w:rFonts w:ascii="宋体" w:cs="宋体"/>
                <w:color w:val="000000"/>
                <w:kern w:val="0"/>
                <w:sz w:val="18"/>
                <w:szCs w:val="18"/>
              </w:rPr>
            </w:pPr>
            <w:r>
              <w:rPr>
                <w:rFonts w:hint="eastAsia" w:ascii="宋体" w:hAnsi="宋体" w:cs="宋体"/>
                <w:color w:val="000000"/>
                <w:kern w:val="0"/>
                <w:sz w:val="18"/>
                <w:szCs w:val="18"/>
              </w:rPr>
              <w:t>部门</w:t>
            </w:r>
          </w:p>
          <w:p>
            <w:pPr>
              <w:spacing w:line="0" w:lineRule="atLeast"/>
              <w:ind w:left="-105" w:leftChars="-50" w:right="-105" w:rightChars="-50"/>
              <w:jc w:val="center"/>
              <w:rPr>
                <w:rFonts w:ascii="宋体" w:cs="宋体"/>
                <w:color w:val="000000"/>
                <w:kern w:val="0"/>
                <w:sz w:val="18"/>
                <w:szCs w:val="18"/>
              </w:rPr>
            </w:pPr>
            <w:r>
              <w:rPr>
                <w:rFonts w:hint="eastAsia" w:ascii="宋体" w:hAnsi="宋体" w:cs="宋体"/>
                <w:color w:val="000000"/>
                <w:kern w:val="0"/>
                <w:sz w:val="18"/>
                <w:szCs w:val="18"/>
              </w:rPr>
              <w:t>预算项目绩效管理</w:t>
            </w:r>
          </w:p>
          <w:p>
            <w:pPr>
              <w:spacing w:line="0" w:lineRule="atLeast"/>
              <w:ind w:left="-105" w:leftChars="-50" w:right="-105" w:rightChars="-50"/>
              <w:jc w:val="center"/>
              <w:rPr>
                <w:rFonts w:ascii="宋体" w:cs="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70</w:t>
            </w:r>
            <w:r>
              <w:rPr>
                <w:rFonts w:hint="eastAsia" w:ascii="宋体" w:hAnsi="宋体" w:cs="宋体"/>
                <w:color w:val="000000"/>
                <w:kern w:val="0"/>
                <w:sz w:val="18"/>
                <w:szCs w:val="18"/>
              </w:rPr>
              <w:t>分）</w:t>
            </w:r>
          </w:p>
        </w:tc>
        <w:tc>
          <w:tcPr>
            <w:tcW w:w="716" w:type="dxa"/>
            <w:vMerge w:val="restart"/>
            <w:tcBorders>
              <w:top w:val="nil"/>
              <w:left w:val="single" w:color="auto" w:sz="4" w:space="0"/>
              <w:bottom w:val="single" w:color="auto" w:sz="4" w:space="0"/>
              <w:right w:val="single" w:color="auto" w:sz="4" w:space="0"/>
            </w:tcBorders>
            <w:noWrap w:val="0"/>
            <w:vAlign w:val="center"/>
          </w:tcPr>
          <w:p>
            <w:pPr>
              <w:spacing w:line="0" w:lineRule="atLeast"/>
              <w:ind w:left="-105" w:leftChars="-50" w:right="-105" w:rightChars="-50"/>
              <w:jc w:val="center"/>
              <w:rPr>
                <w:rFonts w:ascii="宋体" w:cs="宋体"/>
                <w:color w:val="000000"/>
                <w:kern w:val="0"/>
                <w:sz w:val="18"/>
                <w:szCs w:val="18"/>
              </w:rPr>
            </w:pPr>
            <w:r>
              <w:rPr>
                <w:rFonts w:hint="eastAsia" w:ascii="宋体" w:hAnsi="宋体" w:cs="宋体"/>
                <w:color w:val="000000"/>
                <w:kern w:val="0"/>
                <w:sz w:val="18"/>
                <w:szCs w:val="18"/>
              </w:rPr>
              <w:t>目标</w:t>
            </w:r>
          </w:p>
          <w:p>
            <w:pPr>
              <w:spacing w:line="0" w:lineRule="atLeast"/>
              <w:ind w:left="-105" w:leftChars="-50" w:right="-105" w:rightChars="-50"/>
              <w:jc w:val="center"/>
              <w:rPr>
                <w:rFonts w:ascii="宋体" w:cs="宋体"/>
                <w:color w:val="000000"/>
                <w:kern w:val="0"/>
                <w:sz w:val="18"/>
                <w:szCs w:val="18"/>
              </w:rPr>
            </w:pPr>
            <w:r>
              <w:rPr>
                <w:rFonts w:hint="eastAsia" w:ascii="宋体" w:hAnsi="宋体" w:cs="宋体"/>
                <w:color w:val="000000"/>
                <w:kern w:val="0"/>
                <w:sz w:val="18"/>
                <w:szCs w:val="18"/>
              </w:rPr>
              <w:t>管理</w:t>
            </w:r>
          </w:p>
          <w:p>
            <w:pPr>
              <w:spacing w:line="0" w:lineRule="atLeast"/>
              <w:ind w:left="-105" w:leftChars="-50" w:right="-105" w:rightChars="-50"/>
              <w:jc w:val="center"/>
              <w:rPr>
                <w:rFonts w:ascii="宋体" w:cs="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30</w:t>
            </w:r>
            <w:r>
              <w:rPr>
                <w:rFonts w:hint="eastAsia" w:ascii="宋体" w:hAnsi="宋体" w:cs="宋体"/>
                <w:color w:val="000000"/>
                <w:kern w:val="0"/>
                <w:sz w:val="18"/>
                <w:szCs w:val="18"/>
              </w:rPr>
              <w:t>分）</w:t>
            </w:r>
          </w:p>
        </w:tc>
        <w:tc>
          <w:tcPr>
            <w:tcW w:w="1126" w:type="dxa"/>
            <w:tcBorders>
              <w:top w:val="nil"/>
              <w:left w:val="nil"/>
              <w:bottom w:val="single" w:color="auto" w:sz="4" w:space="0"/>
              <w:right w:val="single" w:color="auto" w:sz="4" w:space="0"/>
            </w:tcBorders>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目标制定</w:t>
            </w:r>
          </w:p>
        </w:tc>
        <w:tc>
          <w:tcPr>
            <w:tcW w:w="555" w:type="dxa"/>
            <w:tcBorders>
              <w:top w:val="nil"/>
              <w:left w:val="nil"/>
              <w:bottom w:val="single" w:color="auto" w:sz="4" w:space="0"/>
              <w:right w:val="single" w:color="auto" w:sz="4" w:space="0"/>
            </w:tcBorders>
            <w:noWrap w:val="0"/>
            <w:vAlign w:val="center"/>
          </w:tcPr>
          <w:p>
            <w:pPr>
              <w:spacing w:line="0" w:lineRule="atLeast"/>
              <w:jc w:val="center"/>
              <w:rPr>
                <w:rFonts w:ascii="宋体" w:hAnsi="宋体" w:cs="宋体"/>
                <w:color w:val="000000"/>
                <w:kern w:val="0"/>
                <w:sz w:val="18"/>
                <w:szCs w:val="18"/>
              </w:rPr>
            </w:pPr>
            <w:r>
              <w:rPr>
                <w:rFonts w:ascii="宋体" w:hAnsi="宋体" w:cs="宋体"/>
                <w:color w:val="000000"/>
                <w:kern w:val="0"/>
                <w:sz w:val="18"/>
                <w:szCs w:val="18"/>
              </w:rPr>
              <w:t>15</w:t>
            </w:r>
          </w:p>
        </w:tc>
        <w:tc>
          <w:tcPr>
            <w:tcW w:w="2935" w:type="dxa"/>
            <w:tcBorders>
              <w:top w:val="nil"/>
              <w:left w:val="nil"/>
              <w:bottom w:val="single" w:color="auto" w:sz="4" w:space="0"/>
              <w:right w:val="single" w:color="auto" w:sz="4" w:space="0"/>
            </w:tcBorders>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评价部门绩效目标是否要素完整、细化量化并集体决策。</w:t>
            </w:r>
          </w:p>
        </w:tc>
        <w:tc>
          <w:tcPr>
            <w:tcW w:w="5468" w:type="dxa"/>
            <w:tcBorders>
              <w:top w:val="nil"/>
              <w:left w:val="nil"/>
              <w:bottom w:val="single" w:color="auto" w:sz="4" w:space="0"/>
              <w:right w:val="single" w:color="auto" w:sz="4" w:space="0"/>
            </w:tcBorders>
            <w:noWrap w:val="0"/>
            <w:vAlign w:val="center"/>
          </w:tcPr>
          <w:p>
            <w:pPr>
              <w:spacing w:line="0" w:lineRule="atLeast"/>
              <w:jc w:val="left"/>
              <w:rPr>
                <w:rFonts w:ascii="宋体" w:hAnsi="宋体" w:cs="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绩效目标编制要素完整的，得</w:t>
            </w:r>
            <w:r>
              <w:rPr>
                <w:rFonts w:ascii="宋体" w:hAnsi="宋体" w:cs="宋体"/>
                <w:color w:val="000000"/>
                <w:kern w:val="0"/>
                <w:sz w:val="18"/>
                <w:szCs w:val="18"/>
              </w:rPr>
              <w:t>5</w:t>
            </w:r>
            <w:r>
              <w:rPr>
                <w:rFonts w:hint="eastAsia" w:ascii="宋体" w:hAnsi="宋体" w:cs="宋体"/>
                <w:color w:val="000000"/>
                <w:kern w:val="0"/>
                <w:sz w:val="18"/>
                <w:szCs w:val="18"/>
              </w:rPr>
              <w:t>分，否则酌情扣分。</w:t>
            </w:r>
            <w:r>
              <w:rPr>
                <w:rFonts w:ascii="宋体" w:hAnsi="宋体" w:cs="宋体"/>
                <w:color w:val="000000"/>
                <w:kern w:val="0"/>
                <w:sz w:val="18"/>
                <w:szCs w:val="18"/>
              </w:rPr>
              <w:t xml:space="preserve">                                                       2.</w:t>
            </w:r>
            <w:r>
              <w:rPr>
                <w:rFonts w:hint="eastAsia" w:ascii="宋体" w:hAnsi="宋体" w:cs="宋体"/>
                <w:color w:val="000000"/>
                <w:kern w:val="0"/>
                <w:sz w:val="18"/>
                <w:szCs w:val="18"/>
              </w:rPr>
              <w:t>绩效指标细化量化的，得</w:t>
            </w:r>
            <w:r>
              <w:rPr>
                <w:rFonts w:ascii="宋体" w:hAnsi="宋体" w:cs="宋体"/>
                <w:color w:val="000000"/>
                <w:kern w:val="0"/>
                <w:sz w:val="18"/>
                <w:szCs w:val="18"/>
              </w:rPr>
              <w:t>5</w:t>
            </w:r>
            <w:r>
              <w:rPr>
                <w:rFonts w:hint="eastAsia" w:ascii="宋体" w:hAnsi="宋体" w:cs="宋体"/>
                <w:color w:val="000000"/>
                <w:kern w:val="0"/>
                <w:sz w:val="18"/>
                <w:szCs w:val="18"/>
              </w:rPr>
              <w:t>分，否则酌情扣分。</w:t>
            </w:r>
            <w:r>
              <w:rPr>
                <w:rFonts w:ascii="宋体" w:hAnsi="宋体" w:cs="宋体"/>
                <w:color w:val="000000"/>
                <w:kern w:val="0"/>
                <w:sz w:val="18"/>
                <w:szCs w:val="18"/>
              </w:rPr>
              <w:t xml:space="preserve">                                                                                                    3.</w:t>
            </w:r>
            <w:r>
              <w:rPr>
                <w:rFonts w:hint="eastAsia" w:ascii="宋体" w:hAnsi="宋体" w:cs="宋体"/>
                <w:color w:val="000000"/>
                <w:kern w:val="0"/>
                <w:sz w:val="18"/>
                <w:szCs w:val="18"/>
              </w:rPr>
              <w:t>评价部门绩效目标纳入部门党组（委）会（办公会）集体决策范围的得</w:t>
            </w:r>
            <w:r>
              <w:rPr>
                <w:rFonts w:ascii="宋体" w:hAnsi="宋体" w:cs="宋体"/>
                <w:color w:val="000000"/>
                <w:kern w:val="0"/>
                <w:sz w:val="18"/>
                <w:szCs w:val="18"/>
              </w:rPr>
              <w:t>5</w:t>
            </w:r>
            <w:r>
              <w:rPr>
                <w:rFonts w:hint="eastAsia" w:ascii="宋体" w:hAnsi="宋体" w:cs="宋体"/>
                <w:color w:val="000000"/>
                <w:kern w:val="0"/>
                <w:sz w:val="18"/>
                <w:szCs w:val="18"/>
              </w:rPr>
              <w:t>分，否则不得分。</w:t>
            </w:r>
            <w:r>
              <w:rPr>
                <w:rFonts w:ascii="宋体" w:hAnsi="宋体" w:cs="宋体"/>
                <w:color w:val="000000"/>
                <w:kern w:val="0"/>
                <w:sz w:val="18"/>
                <w:szCs w:val="18"/>
              </w:rPr>
              <w:t xml:space="preserve">                                                                                                    </w:t>
            </w:r>
            <w:r>
              <w:rPr>
                <w:rFonts w:hint="eastAsia" w:ascii="宋体" w:hAnsi="宋体" w:cs="宋体"/>
                <w:color w:val="000000"/>
                <w:kern w:val="0"/>
                <w:sz w:val="18"/>
                <w:szCs w:val="18"/>
              </w:rPr>
              <w:t>有项目绩效目标的部门（单位），根据项目绩效目标编制质量打分，无项目绩效目标的部门，根据部门整体支出绩效目标打分。</w:t>
            </w:r>
            <w:r>
              <w:rPr>
                <w:rFonts w:ascii="宋体" w:hAnsi="宋体" w:cs="宋体"/>
                <w:color w:val="000000"/>
                <w:kern w:val="0"/>
                <w:sz w:val="18"/>
                <w:szCs w:val="18"/>
              </w:rPr>
              <w:t xml:space="preserve">                                                                    </w:t>
            </w:r>
          </w:p>
        </w:tc>
        <w:tc>
          <w:tcPr>
            <w:tcW w:w="522" w:type="dxa"/>
            <w:tcBorders>
              <w:top w:val="nil"/>
              <w:left w:val="nil"/>
              <w:bottom w:val="single" w:color="auto" w:sz="4" w:space="0"/>
              <w:right w:val="single" w:color="auto" w:sz="4" w:space="0"/>
            </w:tcBorders>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w:t>
            </w:r>
          </w:p>
        </w:tc>
        <w:tc>
          <w:tcPr>
            <w:tcW w:w="506" w:type="dxa"/>
            <w:tcBorders>
              <w:top w:val="nil"/>
              <w:left w:val="nil"/>
              <w:bottom w:val="single" w:color="auto" w:sz="4" w:space="0"/>
              <w:right w:val="single" w:color="auto" w:sz="4" w:space="0"/>
            </w:tcBorders>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w:t>
            </w:r>
          </w:p>
        </w:tc>
        <w:tc>
          <w:tcPr>
            <w:tcW w:w="506" w:type="dxa"/>
            <w:tcBorders>
              <w:top w:val="nil"/>
              <w:left w:val="nil"/>
              <w:bottom w:val="single" w:color="auto" w:sz="4" w:space="0"/>
              <w:right w:val="single" w:color="auto" w:sz="4" w:space="0"/>
            </w:tcBorders>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w:t>
            </w:r>
          </w:p>
        </w:tc>
        <w:tc>
          <w:tcPr>
            <w:tcW w:w="538" w:type="dxa"/>
            <w:tcBorders>
              <w:top w:val="nil"/>
              <w:left w:val="nil"/>
              <w:bottom w:val="single" w:color="auto" w:sz="4" w:space="0"/>
              <w:right w:val="single" w:color="auto" w:sz="4" w:space="0"/>
            </w:tcBorders>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w:t>
            </w:r>
          </w:p>
        </w:tc>
        <w:tc>
          <w:tcPr>
            <w:tcW w:w="538" w:type="dxa"/>
            <w:tcBorders>
              <w:top w:val="nil"/>
              <w:left w:val="nil"/>
              <w:bottom w:val="single" w:color="auto" w:sz="4" w:space="0"/>
              <w:right w:val="single" w:color="auto" w:sz="4" w:space="0"/>
            </w:tcBorders>
            <w:noWrap w:val="0"/>
            <w:vAlign w:val="center"/>
          </w:tcPr>
          <w:p>
            <w:pPr>
              <w:spacing w:line="0" w:lineRule="atLeast"/>
              <w:jc w:val="center"/>
              <w:rPr>
                <w:rFonts w:ascii="宋体" w:hAnsi="宋体" w:cs="宋体"/>
                <w:color w:val="000000"/>
                <w:kern w:val="0"/>
                <w:sz w:val="18"/>
                <w:szCs w:val="18"/>
              </w:rPr>
            </w:pPr>
            <w:r>
              <w:rPr>
                <w:rFonts w:ascii="宋体" w:hAnsi="宋体" w:cs="宋体"/>
                <w:color w:val="000000"/>
                <w:kern w:val="0"/>
                <w:sz w:val="18"/>
                <w:szCs w:val="18"/>
              </w:rPr>
              <w:t>12</w:t>
            </w:r>
          </w:p>
        </w:tc>
      </w:tr>
      <w:tr>
        <w:tblPrEx>
          <w:tblCellMar>
            <w:top w:w="0" w:type="dxa"/>
            <w:left w:w="108" w:type="dxa"/>
            <w:bottom w:w="0" w:type="dxa"/>
            <w:right w:w="108" w:type="dxa"/>
          </w:tblCellMar>
        </w:tblPrEx>
        <w:trPr>
          <w:trHeight w:val="1032" w:hRule="atLeast"/>
          <w:jc w:val="center"/>
        </w:trPr>
        <w:tc>
          <w:tcPr>
            <w:tcW w:w="713" w:type="dxa"/>
            <w:vMerge w:val="continue"/>
            <w:tcBorders>
              <w:left w:val="single" w:color="auto" w:sz="4" w:space="0"/>
              <w:right w:val="single" w:color="auto" w:sz="4" w:space="0"/>
            </w:tcBorders>
            <w:noWrap w:val="0"/>
            <w:vAlign w:val="center"/>
          </w:tcPr>
          <w:p>
            <w:pPr>
              <w:spacing w:line="0" w:lineRule="atLeast"/>
              <w:jc w:val="left"/>
              <w:rPr>
                <w:rFonts w:ascii="宋体" w:cs="宋体"/>
                <w:color w:val="000000"/>
                <w:kern w:val="0"/>
                <w:sz w:val="18"/>
                <w:szCs w:val="18"/>
              </w:rPr>
            </w:pPr>
          </w:p>
        </w:tc>
        <w:tc>
          <w:tcPr>
            <w:tcW w:w="716" w:type="dxa"/>
            <w:vMerge w:val="continue"/>
            <w:tcBorders>
              <w:top w:val="nil"/>
              <w:left w:val="single" w:color="auto" w:sz="4" w:space="0"/>
              <w:bottom w:val="single" w:color="auto" w:sz="4" w:space="0"/>
              <w:right w:val="single" w:color="auto" w:sz="4" w:space="0"/>
            </w:tcBorders>
            <w:noWrap w:val="0"/>
            <w:vAlign w:val="center"/>
          </w:tcPr>
          <w:p>
            <w:pPr>
              <w:spacing w:line="0" w:lineRule="atLeast"/>
              <w:jc w:val="left"/>
              <w:rPr>
                <w:rFonts w:ascii="宋体" w:cs="宋体"/>
                <w:color w:val="000000"/>
                <w:kern w:val="0"/>
                <w:sz w:val="18"/>
                <w:szCs w:val="18"/>
              </w:rPr>
            </w:pPr>
          </w:p>
        </w:tc>
        <w:tc>
          <w:tcPr>
            <w:tcW w:w="1126" w:type="dxa"/>
            <w:tcBorders>
              <w:top w:val="nil"/>
              <w:left w:val="nil"/>
              <w:bottom w:val="single" w:color="auto" w:sz="4" w:space="0"/>
              <w:right w:val="single" w:color="auto" w:sz="4" w:space="0"/>
            </w:tcBorders>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目标实现</w:t>
            </w:r>
          </w:p>
        </w:tc>
        <w:tc>
          <w:tcPr>
            <w:tcW w:w="555" w:type="dxa"/>
            <w:tcBorders>
              <w:top w:val="nil"/>
              <w:left w:val="nil"/>
              <w:bottom w:val="single" w:color="auto" w:sz="4" w:space="0"/>
              <w:right w:val="single" w:color="auto" w:sz="4" w:space="0"/>
            </w:tcBorders>
            <w:noWrap w:val="0"/>
            <w:vAlign w:val="center"/>
          </w:tcPr>
          <w:p>
            <w:pPr>
              <w:spacing w:line="0" w:lineRule="atLeast"/>
              <w:jc w:val="center"/>
              <w:rPr>
                <w:rFonts w:ascii="宋体" w:hAnsi="宋体" w:cs="宋体"/>
                <w:color w:val="000000"/>
                <w:kern w:val="0"/>
                <w:sz w:val="18"/>
                <w:szCs w:val="18"/>
              </w:rPr>
            </w:pPr>
            <w:r>
              <w:rPr>
                <w:rFonts w:ascii="宋体" w:hAnsi="宋体" w:cs="宋体"/>
                <w:color w:val="000000"/>
                <w:kern w:val="0"/>
                <w:sz w:val="18"/>
                <w:szCs w:val="18"/>
              </w:rPr>
              <w:t>15</w:t>
            </w:r>
          </w:p>
        </w:tc>
        <w:tc>
          <w:tcPr>
            <w:tcW w:w="2935" w:type="dxa"/>
            <w:tcBorders>
              <w:top w:val="nil"/>
              <w:left w:val="nil"/>
              <w:bottom w:val="single" w:color="auto" w:sz="4" w:space="0"/>
              <w:right w:val="single" w:color="auto" w:sz="4" w:space="0"/>
            </w:tcBorders>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评价部门绩效目标实际实现程度与预期目标的偏离度。</w:t>
            </w:r>
          </w:p>
        </w:tc>
        <w:tc>
          <w:tcPr>
            <w:tcW w:w="5468" w:type="dxa"/>
            <w:tcBorders>
              <w:top w:val="nil"/>
              <w:left w:val="nil"/>
              <w:bottom w:val="single" w:color="auto" w:sz="4" w:space="0"/>
              <w:right w:val="single" w:color="auto" w:sz="4" w:space="0"/>
            </w:tcBorders>
            <w:noWrap w:val="0"/>
            <w:vAlign w:val="center"/>
          </w:tcPr>
          <w:p>
            <w:pPr>
              <w:spacing w:line="0" w:lineRule="atLeast"/>
              <w:jc w:val="left"/>
              <w:rPr>
                <w:rFonts w:ascii="宋体" w:cs="宋体"/>
                <w:color w:val="000000"/>
                <w:spacing w:val="-6"/>
                <w:kern w:val="0"/>
                <w:sz w:val="18"/>
                <w:szCs w:val="18"/>
              </w:rPr>
            </w:pPr>
            <w:r>
              <w:rPr>
                <w:rFonts w:hint="eastAsia" w:ascii="宋体" w:hAnsi="宋体" w:cs="宋体"/>
                <w:color w:val="000000"/>
                <w:spacing w:val="-6"/>
                <w:kern w:val="0"/>
                <w:sz w:val="18"/>
                <w:szCs w:val="18"/>
              </w:rPr>
              <w:t>以项目完成数量为核心，评价项目实际完成情况与预期绩效目标偏离度，单个数量指标实际完成未达到预期指标或超过预期指标</w:t>
            </w:r>
            <w:r>
              <w:rPr>
                <w:rFonts w:ascii="宋体" w:hAnsi="宋体" w:cs="宋体"/>
                <w:color w:val="000000"/>
                <w:spacing w:val="-6"/>
                <w:kern w:val="0"/>
                <w:sz w:val="18"/>
                <w:szCs w:val="18"/>
              </w:rPr>
              <w:t>30%</w:t>
            </w:r>
            <w:r>
              <w:rPr>
                <w:rFonts w:hint="eastAsia" w:ascii="宋体" w:hAnsi="宋体" w:cs="宋体"/>
                <w:color w:val="000000"/>
                <w:spacing w:val="-6"/>
                <w:kern w:val="0"/>
                <w:sz w:val="18"/>
                <w:szCs w:val="18"/>
              </w:rPr>
              <w:t>以上的，均不计分。该项指标得分</w:t>
            </w:r>
            <w:r>
              <w:rPr>
                <w:rFonts w:ascii="宋体" w:hAnsi="宋体" w:cs="宋体"/>
                <w:color w:val="000000"/>
                <w:spacing w:val="-6"/>
                <w:kern w:val="0"/>
                <w:sz w:val="18"/>
                <w:szCs w:val="18"/>
              </w:rPr>
              <w:t>=</w:t>
            </w:r>
            <w:r>
              <w:rPr>
                <w:rFonts w:hint="eastAsia" w:ascii="宋体" w:hAnsi="宋体" w:cs="宋体"/>
                <w:color w:val="000000"/>
                <w:spacing w:val="-6"/>
                <w:kern w:val="0"/>
                <w:sz w:val="18"/>
                <w:szCs w:val="18"/>
              </w:rPr>
              <w:t>达到预期值的数量指标个数</w:t>
            </w:r>
            <w:r>
              <w:rPr>
                <w:rFonts w:ascii="宋体" w:hAnsi="宋体" w:cs="宋体"/>
                <w:color w:val="000000"/>
                <w:spacing w:val="-6"/>
                <w:kern w:val="0"/>
                <w:sz w:val="18"/>
                <w:szCs w:val="18"/>
              </w:rPr>
              <w:t>/</w:t>
            </w:r>
            <w:r>
              <w:rPr>
                <w:rFonts w:hint="eastAsia" w:ascii="宋体" w:hAnsi="宋体" w:cs="宋体"/>
                <w:color w:val="000000"/>
                <w:spacing w:val="-6"/>
                <w:kern w:val="0"/>
                <w:sz w:val="18"/>
                <w:szCs w:val="18"/>
              </w:rPr>
              <w:t>全部数量指标个数（即评价选取的项目绩效目标包含的所有数量指标）</w:t>
            </w:r>
            <w:r>
              <w:rPr>
                <w:rFonts w:ascii="宋体" w:hAnsi="宋体" w:cs="宋体"/>
                <w:color w:val="000000"/>
                <w:spacing w:val="-6"/>
                <w:kern w:val="0"/>
                <w:sz w:val="18"/>
                <w:szCs w:val="18"/>
              </w:rPr>
              <w:t>*15</w:t>
            </w:r>
            <w:r>
              <w:rPr>
                <w:rFonts w:hint="eastAsia" w:ascii="宋体" w:hAnsi="宋体" w:cs="宋体"/>
                <w:color w:val="000000"/>
                <w:spacing w:val="-6"/>
                <w:kern w:val="0"/>
                <w:sz w:val="18"/>
                <w:szCs w:val="18"/>
              </w:rPr>
              <w:t>。</w:t>
            </w:r>
          </w:p>
        </w:tc>
        <w:tc>
          <w:tcPr>
            <w:tcW w:w="522" w:type="dxa"/>
            <w:tcBorders>
              <w:top w:val="nil"/>
              <w:left w:val="nil"/>
              <w:bottom w:val="single" w:color="auto" w:sz="4" w:space="0"/>
              <w:right w:val="single" w:color="auto" w:sz="4" w:space="0"/>
            </w:tcBorders>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　</w:t>
            </w:r>
          </w:p>
        </w:tc>
        <w:tc>
          <w:tcPr>
            <w:tcW w:w="506" w:type="dxa"/>
            <w:tcBorders>
              <w:top w:val="nil"/>
              <w:left w:val="nil"/>
              <w:bottom w:val="single" w:color="auto" w:sz="4" w:space="0"/>
              <w:right w:val="single" w:color="auto" w:sz="4" w:space="0"/>
            </w:tcBorders>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w:t>
            </w:r>
          </w:p>
        </w:tc>
        <w:tc>
          <w:tcPr>
            <w:tcW w:w="506" w:type="dxa"/>
            <w:tcBorders>
              <w:top w:val="nil"/>
              <w:left w:val="nil"/>
              <w:bottom w:val="single" w:color="auto" w:sz="4" w:space="0"/>
              <w:right w:val="single" w:color="auto" w:sz="4" w:space="0"/>
            </w:tcBorders>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　</w:t>
            </w:r>
          </w:p>
        </w:tc>
        <w:tc>
          <w:tcPr>
            <w:tcW w:w="538" w:type="dxa"/>
            <w:tcBorders>
              <w:top w:val="nil"/>
              <w:left w:val="nil"/>
              <w:bottom w:val="single" w:color="auto" w:sz="4" w:space="0"/>
              <w:right w:val="single" w:color="auto" w:sz="4" w:space="0"/>
            </w:tcBorders>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w:t>
            </w:r>
          </w:p>
        </w:tc>
        <w:tc>
          <w:tcPr>
            <w:tcW w:w="538" w:type="dxa"/>
            <w:tcBorders>
              <w:top w:val="nil"/>
              <w:left w:val="nil"/>
              <w:bottom w:val="single" w:color="auto" w:sz="4" w:space="0"/>
              <w:right w:val="single" w:color="auto" w:sz="4" w:space="0"/>
            </w:tcBorders>
            <w:noWrap w:val="0"/>
            <w:vAlign w:val="center"/>
          </w:tcPr>
          <w:p>
            <w:pPr>
              <w:spacing w:line="0" w:lineRule="atLeast"/>
              <w:jc w:val="center"/>
              <w:rPr>
                <w:rFonts w:ascii="宋体" w:hAnsi="宋体" w:cs="宋体"/>
                <w:color w:val="000000"/>
                <w:kern w:val="0"/>
                <w:sz w:val="18"/>
                <w:szCs w:val="18"/>
              </w:rPr>
            </w:pPr>
            <w:r>
              <w:rPr>
                <w:rFonts w:ascii="宋体" w:hAnsi="宋体" w:cs="宋体"/>
                <w:color w:val="000000"/>
                <w:kern w:val="0"/>
                <w:sz w:val="18"/>
                <w:szCs w:val="18"/>
              </w:rPr>
              <w:t>15</w:t>
            </w:r>
          </w:p>
        </w:tc>
      </w:tr>
      <w:tr>
        <w:tblPrEx>
          <w:tblCellMar>
            <w:top w:w="0" w:type="dxa"/>
            <w:left w:w="108" w:type="dxa"/>
            <w:bottom w:w="0" w:type="dxa"/>
            <w:right w:w="108" w:type="dxa"/>
          </w:tblCellMar>
        </w:tblPrEx>
        <w:trPr>
          <w:trHeight w:val="1045" w:hRule="atLeast"/>
          <w:jc w:val="center"/>
        </w:trPr>
        <w:tc>
          <w:tcPr>
            <w:tcW w:w="713" w:type="dxa"/>
            <w:vMerge w:val="continue"/>
            <w:tcBorders>
              <w:left w:val="single" w:color="auto" w:sz="4" w:space="0"/>
              <w:right w:val="single" w:color="auto" w:sz="4" w:space="0"/>
            </w:tcBorders>
            <w:noWrap w:val="0"/>
            <w:vAlign w:val="center"/>
          </w:tcPr>
          <w:p>
            <w:pPr>
              <w:spacing w:line="0" w:lineRule="atLeast"/>
              <w:jc w:val="left"/>
              <w:rPr>
                <w:rFonts w:ascii="宋体" w:cs="宋体"/>
                <w:color w:val="000000"/>
                <w:kern w:val="0"/>
                <w:sz w:val="18"/>
                <w:szCs w:val="18"/>
              </w:rPr>
            </w:pPr>
          </w:p>
        </w:tc>
        <w:tc>
          <w:tcPr>
            <w:tcW w:w="716" w:type="dxa"/>
            <w:vMerge w:val="restart"/>
            <w:tcBorders>
              <w:top w:val="nil"/>
              <w:left w:val="single" w:color="auto" w:sz="4" w:space="0"/>
              <w:bottom w:val="single" w:color="auto" w:sz="4" w:space="0"/>
              <w:right w:val="single" w:color="auto" w:sz="4" w:space="0"/>
            </w:tcBorders>
            <w:noWrap w:val="0"/>
            <w:vAlign w:val="center"/>
          </w:tcPr>
          <w:p>
            <w:pPr>
              <w:spacing w:line="0" w:lineRule="atLeast"/>
              <w:ind w:left="-105" w:leftChars="-50" w:right="-105" w:rightChars="-50"/>
              <w:jc w:val="center"/>
              <w:rPr>
                <w:rFonts w:ascii="宋体" w:cs="宋体"/>
                <w:color w:val="000000"/>
                <w:kern w:val="0"/>
                <w:sz w:val="18"/>
                <w:szCs w:val="18"/>
              </w:rPr>
            </w:pPr>
            <w:r>
              <w:rPr>
                <w:rFonts w:hint="eastAsia" w:ascii="宋体" w:hAnsi="宋体" w:cs="宋体"/>
                <w:color w:val="000000"/>
                <w:kern w:val="0"/>
                <w:sz w:val="18"/>
                <w:szCs w:val="18"/>
              </w:rPr>
              <w:t>动态</w:t>
            </w:r>
          </w:p>
          <w:p>
            <w:pPr>
              <w:spacing w:line="0" w:lineRule="atLeast"/>
              <w:ind w:left="-105" w:leftChars="-50" w:right="-105" w:rightChars="-50"/>
              <w:jc w:val="center"/>
              <w:rPr>
                <w:rFonts w:ascii="宋体" w:cs="宋体"/>
                <w:color w:val="000000"/>
                <w:kern w:val="0"/>
                <w:sz w:val="18"/>
                <w:szCs w:val="18"/>
              </w:rPr>
            </w:pPr>
            <w:r>
              <w:rPr>
                <w:rFonts w:hint="eastAsia" w:ascii="宋体" w:hAnsi="宋体" w:cs="宋体"/>
                <w:color w:val="000000"/>
                <w:kern w:val="0"/>
                <w:sz w:val="18"/>
                <w:szCs w:val="18"/>
              </w:rPr>
              <w:t>调整</w:t>
            </w:r>
          </w:p>
          <w:p>
            <w:pPr>
              <w:spacing w:line="0" w:lineRule="atLeast"/>
              <w:ind w:left="-105" w:leftChars="-50" w:right="-105" w:rightChars="-50"/>
              <w:jc w:val="center"/>
              <w:rPr>
                <w:rFonts w:ascii="宋体" w:cs="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20</w:t>
            </w:r>
            <w:r>
              <w:rPr>
                <w:rFonts w:hint="eastAsia" w:ascii="宋体" w:hAnsi="宋体" w:cs="宋体"/>
                <w:color w:val="000000"/>
                <w:kern w:val="0"/>
                <w:sz w:val="18"/>
                <w:szCs w:val="18"/>
              </w:rPr>
              <w:t>分）</w:t>
            </w:r>
          </w:p>
        </w:tc>
        <w:tc>
          <w:tcPr>
            <w:tcW w:w="1126" w:type="dxa"/>
            <w:tcBorders>
              <w:top w:val="nil"/>
              <w:left w:val="nil"/>
              <w:bottom w:val="single" w:color="auto" w:sz="4" w:space="0"/>
              <w:right w:val="single" w:color="auto" w:sz="4" w:space="0"/>
            </w:tcBorders>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支出控制</w:t>
            </w:r>
          </w:p>
        </w:tc>
        <w:tc>
          <w:tcPr>
            <w:tcW w:w="555" w:type="dxa"/>
            <w:tcBorders>
              <w:top w:val="nil"/>
              <w:left w:val="nil"/>
              <w:bottom w:val="single" w:color="auto" w:sz="4" w:space="0"/>
              <w:right w:val="single" w:color="auto" w:sz="4" w:space="0"/>
            </w:tcBorders>
            <w:noWrap w:val="0"/>
            <w:vAlign w:val="center"/>
          </w:tcPr>
          <w:p>
            <w:pPr>
              <w:spacing w:line="0" w:lineRule="atLeast"/>
              <w:jc w:val="center"/>
              <w:rPr>
                <w:rFonts w:ascii="宋体" w:hAnsi="宋体" w:cs="宋体"/>
                <w:color w:val="000000"/>
                <w:kern w:val="0"/>
                <w:sz w:val="18"/>
                <w:szCs w:val="18"/>
              </w:rPr>
            </w:pPr>
            <w:r>
              <w:rPr>
                <w:rFonts w:ascii="宋体" w:hAnsi="宋体" w:cs="宋体"/>
                <w:color w:val="000000"/>
                <w:kern w:val="0"/>
                <w:sz w:val="18"/>
                <w:szCs w:val="18"/>
              </w:rPr>
              <w:t>5</w:t>
            </w:r>
          </w:p>
        </w:tc>
        <w:tc>
          <w:tcPr>
            <w:tcW w:w="2935" w:type="dxa"/>
            <w:tcBorders>
              <w:top w:val="nil"/>
              <w:left w:val="nil"/>
              <w:bottom w:val="single" w:color="auto" w:sz="4" w:space="0"/>
              <w:right w:val="single" w:color="auto" w:sz="4" w:space="0"/>
            </w:tcBorders>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部门公用经费及非定额公用支出控制情况。</w:t>
            </w:r>
          </w:p>
        </w:tc>
        <w:tc>
          <w:tcPr>
            <w:tcW w:w="5468" w:type="dxa"/>
            <w:tcBorders>
              <w:top w:val="nil"/>
              <w:left w:val="nil"/>
              <w:bottom w:val="single" w:color="auto" w:sz="4" w:space="0"/>
              <w:right w:val="single" w:color="auto" w:sz="4" w:space="0"/>
            </w:tcBorders>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计算部门日常公用经费、项目支出中“办公费、印刷费、水费、电费、物业管理费”等科目年初预算数与决算数偏差程度。</w:t>
            </w:r>
            <w:r>
              <w:rPr>
                <w:rFonts w:ascii="宋体" w:hAnsi="宋体" w:cs="宋体"/>
                <w:color w:val="000000"/>
                <w:kern w:val="0"/>
                <w:sz w:val="18"/>
                <w:szCs w:val="18"/>
              </w:rPr>
              <w:t xml:space="preserve">                                                            </w:t>
            </w:r>
            <w:r>
              <w:rPr>
                <w:rFonts w:hint="eastAsia" w:ascii="宋体" w:hAnsi="宋体" w:cs="宋体"/>
                <w:color w:val="000000"/>
                <w:kern w:val="0"/>
                <w:sz w:val="18"/>
                <w:szCs w:val="18"/>
              </w:rPr>
              <w:t>预决算偏差程度在</w:t>
            </w:r>
            <w:r>
              <w:rPr>
                <w:rFonts w:ascii="宋体" w:hAnsi="宋体" w:cs="宋体"/>
                <w:color w:val="000000"/>
                <w:kern w:val="0"/>
                <w:sz w:val="18"/>
                <w:szCs w:val="18"/>
              </w:rPr>
              <w:t>10%</w:t>
            </w:r>
            <w:r>
              <w:rPr>
                <w:rFonts w:hint="eastAsia" w:ascii="宋体" w:hAnsi="宋体" w:cs="宋体"/>
                <w:color w:val="000000"/>
                <w:kern w:val="0"/>
                <w:sz w:val="18"/>
                <w:szCs w:val="18"/>
              </w:rPr>
              <w:t>以内的，得</w:t>
            </w:r>
            <w:r>
              <w:rPr>
                <w:rFonts w:ascii="宋体" w:hAnsi="宋体" w:cs="宋体"/>
                <w:color w:val="000000"/>
                <w:kern w:val="0"/>
                <w:sz w:val="18"/>
                <w:szCs w:val="18"/>
              </w:rPr>
              <w:t>5</w:t>
            </w:r>
            <w:r>
              <w:rPr>
                <w:rFonts w:hint="eastAsia" w:ascii="宋体" w:hAnsi="宋体" w:cs="宋体"/>
                <w:color w:val="000000"/>
                <w:kern w:val="0"/>
                <w:sz w:val="18"/>
                <w:szCs w:val="18"/>
              </w:rPr>
              <w:t>分。偏差度在</w:t>
            </w:r>
            <w:r>
              <w:rPr>
                <w:rFonts w:ascii="宋体" w:hAnsi="宋体" w:cs="宋体"/>
                <w:color w:val="000000"/>
                <w:kern w:val="0"/>
                <w:sz w:val="18"/>
                <w:szCs w:val="18"/>
              </w:rPr>
              <w:t>10%-20%</w:t>
            </w:r>
            <w:r>
              <w:rPr>
                <w:rFonts w:hint="eastAsia" w:ascii="宋体" w:hAnsi="宋体" w:cs="宋体"/>
                <w:color w:val="000000"/>
                <w:kern w:val="0"/>
                <w:sz w:val="18"/>
                <w:szCs w:val="18"/>
              </w:rPr>
              <w:t>之间的，得</w:t>
            </w:r>
            <w:r>
              <w:rPr>
                <w:rFonts w:ascii="宋体" w:hAnsi="宋体" w:cs="宋体"/>
                <w:color w:val="000000"/>
                <w:kern w:val="0"/>
                <w:sz w:val="18"/>
                <w:szCs w:val="18"/>
              </w:rPr>
              <w:t>2</w:t>
            </w:r>
            <w:r>
              <w:rPr>
                <w:rFonts w:hint="eastAsia" w:ascii="宋体" w:hAnsi="宋体" w:cs="宋体"/>
                <w:color w:val="000000"/>
                <w:kern w:val="0"/>
                <w:sz w:val="18"/>
                <w:szCs w:val="18"/>
              </w:rPr>
              <w:t>分，偏差度超过</w:t>
            </w:r>
            <w:r>
              <w:rPr>
                <w:rFonts w:ascii="宋体" w:hAnsi="宋体" w:cs="宋体"/>
                <w:color w:val="000000"/>
                <w:kern w:val="0"/>
                <w:sz w:val="18"/>
                <w:szCs w:val="18"/>
              </w:rPr>
              <w:t>20%</w:t>
            </w:r>
            <w:r>
              <w:rPr>
                <w:rFonts w:hint="eastAsia" w:ascii="宋体" w:hAnsi="宋体" w:cs="宋体"/>
                <w:color w:val="000000"/>
                <w:kern w:val="0"/>
                <w:sz w:val="18"/>
                <w:szCs w:val="18"/>
              </w:rPr>
              <w:t>的，不得分。</w:t>
            </w:r>
          </w:p>
        </w:tc>
        <w:tc>
          <w:tcPr>
            <w:tcW w:w="522" w:type="dxa"/>
            <w:tcBorders>
              <w:top w:val="nil"/>
              <w:left w:val="nil"/>
              <w:bottom w:val="single" w:color="auto" w:sz="4" w:space="0"/>
              <w:right w:val="single" w:color="auto" w:sz="4" w:space="0"/>
            </w:tcBorders>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w:t>
            </w:r>
          </w:p>
        </w:tc>
        <w:tc>
          <w:tcPr>
            <w:tcW w:w="506" w:type="dxa"/>
            <w:tcBorders>
              <w:top w:val="nil"/>
              <w:left w:val="nil"/>
              <w:bottom w:val="single" w:color="auto" w:sz="4" w:space="0"/>
              <w:right w:val="single" w:color="auto" w:sz="4" w:space="0"/>
            </w:tcBorders>
            <w:noWrap w:val="0"/>
            <w:vAlign w:val="center"/>
          </w:tcPr>
          <w:p>
            <w:pPr>
              <w:spacing w:line="0" w:lineRule="atLeast"/>
              <w:rPr>
                <w:rFonts w:ascii="宋体" w:cs="宋体"/>
                <w:color w:val="000000"/>
                <w:kern w:val="0"/>
                <w:sz w:val="18"/>
                <w:szCs w:val="18"/>
              </w:rPr>
            </w:pPr>
            <w:r>
              <w:rPr>
                <w:rFonts w:hint="eastAsia" w:ascii="宋体" w:hAnsi="宋体" w:cs="宋体"/>
                <w:color w:val="000000"/>
                <w:kern w:val="0"/>
                <w:sz w:val="18"/>
                <w:szCs w:val="18"/>
              </w:rPr>
              <w:t>　</w:t>
            </w:r>
          </w:p>
        </w:tc>
        <w:tc>
          <w:tcPr>
            <w:tcW w:w="506" w:type="dxa"/>
            <w:tcBorders>
              <w:top w:val="nil"/>
              <w:left w:val="nil"/>
              <w:bottom w:val="single" w:color="auto" w:sz="4" w:space="0"/>
              <w:right w:val="single" w:color="auto" w:sz="4" w:space="0"/>
            </w:tcBorders>
            <w:noWrap w:val="0"/>
            <w:vAlign w:val="center"/>
          </w:tcPr>
          <w:p>
            <w:pPr>
              <w:spacing w:line="0" w:lineRule="atLeast"/>
              <w:rPr>
                <w:rFonts w:ascii="宋体" w:cs="宋体"/>
                <w:color w:val="000000"/>
                <w:kern w:val="0"/>
                <w:sz w:val="18"/>
                <w:szCs w:val="18"/>
              </w:rPr>
            </w:pPr>
            <w:r>
              <w:rPr>
                <w:rFonts w:hint="eastAsia" w:ascii="宋体" w:hAnsi="宋体" w:cs="宋体"/>
                <w:color w:val="000000"/>
                <w:kern w:val="0"/>
                <w:sz w:val="18"/>
                <w:szCs w:val="18"/>
              </w:rPr>
              <w:t>　</w:t>
            </w:r>
          </w:p>
        </w:tc>
        <w:tc>
          <w:tcPr>
            <w:tcW w:w="538" w:type="dxa"/>
            <w:tcBorders>
              <w:top w:val="nil"/>
              <w:left w:val="nil"/>
              <w:bottom w:val="single" w:color="auto" w:sz="4" w:space="0"/>
              <w:right w:val="single" w:color="auto" w:sz="4" w:space="0"/>
            </w:tcBorders>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w:t>
            </w:r>
          </w:p>
        </w:tc>
        <w:tc>
          <w:tcPr>
            <w:tcW w:w="538" w:type="dxa"/>
            <w:tcBorders>
              <w:top w:val="nil"/>
              <w:left w:val="nil"/>
              <w:bottom w:val="single" w:color="auto" w:sz="4" w:space="0"/>
              <w:right w:val="single" w:color="auto" w:sz="4" w:space="0"/>
            </w:tcBorders>
            <w:noWrap w:val="0"/>
            <w:vAlign w:val="center"/>
          </w:tcPr>
          <w:p>
            <w:pPr>
              <w:spacing w:line="0" w:lineRule="atLeast"/>
              <w:jc w:val="center"/>
              <w:rPr>
                <w:rFonts w:ascii="宋体" w:hAnsi="宋体" w:cs="宋体"/>
                <w:color w:val="000000"/>
                <w:kern w:val="0"/>
                <w:sz w:val="18"/>
                <w:szCs w:val="18"/>
              </w:rPr>
            </w:pPr>
            <w:r>
              <w:rPr>
                <w:rFonts w:ascii="宋体" w:hAnsi="宋体" w:cs="宋体"/>
                <w:color w:val="000000"/>
                <w:kern w:val="0"/>
                <w:sz w:val="18"/>
                <w:szCs w:val="18"/>
              </w:rPr>
              <w:t>5</w:t>
            </w:r>
          </w:p>
        </w:tc>
      </w:tr>
      <w:tr>
        <w:tblPrEx>
          <w:tblCellMar>
            <w:top w:w="0" w:type="dxa"/>
            <w:left w:w="108" w:type="dxa"/>
            <w:bottom w:w="0" w:type="dxa"/>
            <w:right w:w="108" w:type="dxa"/>
          </w:tblCellMar>
        </w:tblPrEx>
        <w:trPr>
          <w:trHeight w:val="1787" w:hRule="atLeast"/>
          <w:jc w:val="center"/>
        </w:trPr>
        <w:tc>
          <w:tcPr>
            <w:tcW w:w="713" w:type="dxa"/>
            <w:vMerge w:val="continue"/>
            <w:tcBorders>
              <w:left w:val="single" w:color="auto" w:sz="4" w:space="0"/>
              <w:right w:val="single" w:color="auto" w:sz="4" w:space="0"/>
            </w:tcBorders>
            <w:noWrap w:val="0"/>
            <w:vAlign w:val="center"/>
          </w:tcPr>
          <w:p>
            <w:pPr>
              <w:spacing w:line="0" w:lineRule="atLeast"/>
              <w:jc w:val="left"/>
              <w:rPr>
                <w:rFonts w:ascii="宋体" w:cs="宋体"/>
                <w:color w:val="000000"/>
                <w:kern w:val="0"/>
                <w:sz w:val="18"/>
                <w:szCs w:val="18"/>
              </w:rPr>
            </w:pPr>
          </w:p>
        </w:tc>
        <w:tc>
          <w:tcPr>
            <w:tcW w:w="716" w:type="dxa"/>
            <w:vMerge w:val="continue"/>
            <w:tcBorders>
              <w:top w:val="nil"/>
              <w:left w:val="single" w:color="auto" w:sz="4" w:space="0"/>
              <w:bottom w:val="single" w:color="auto" w:sz="4" w:space="0"/>
              <w:right w:val="single" w:color="auto" w:sz="4" w:space="0"/>
            </w:tcBorders>
            <w:noWrap w:val="0"/>
            <w:vAlign w:val="center"/>
          </w:tcPr>
          <w:p>
            <w:pPr>
              <w:spacing w:line="0" w:lineRule="atLeast"/>
              <w:jc w:val="left"/>
              <w:rPr>
                <w:rFonts w:ascii="宋体" w:cs="宋体"/>
                <w:color w:val="000000"/>
                <w:kern w:val="0"/>
                <w:sz w:val="18"/>
                <w:szCs w:val="18"/>
              </w:rPr>
            </w:pPr>
          </w:p>
        </w:tc>
        <w:tc>
          <w:tcPr>
            <w:tcW w:w="1126" w:type="dxa"/>
            <w:tcBorders>
              <w:top w:val="nil"/>
              <w:left w:val="nil"/>
              <w:bottom w:val="single" w:color="auto" w:sz="4" w:space="0"/>
              <w:right w:val="single" w:color="auto" w:sz="4" w:space="0"/>
            </w:tcBorders>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及时处置</w:t>
            </w:r>
          </w:p>
        </w:tc>
        <w:tc>
          <w:tcPr>
            <w:tcW w:w="555" w:type="dxa"/>
            <w:tcBorders>
              <w:top w:val="nil"/>
              <w:left w:val="nil"/>
              <w:bottom w:val="single" w:color="auto" w:sz="4" w:space="0"/>
              <w:right w:val="single" w:color="auto" w:sz="4" w:space="0"/>
            </w:tcBorders>
            <w:noWrap w:val="0"/>
            <w:vAlign w:val="center"/>
          </w:tcPr>
          <w:p>
            <w:pPr>
              <w:spacing w:line="0" w:lineRule="atLeast"/>
              <w:jc w:val="center"/>
              <w:rPr>
                <w:rFonts w:ascii="宋体" w:hAnsi="宋体" w:cs="宋体"/>
                <w:color w:val="000000"/>
                <w:kern w:val="0"/>
                <w:sz w:val="18"/>
                <w:szCs w:val="18"/>
              </w:rPr>
            </w:pPr>
            <w:r>
              <w:rPr>
                <w:rFonts w:ascii="宋体" w:hAnsi="宋体" w:cs="宋体"/>
                <w:color w:val="000000"/>
                <w:kern w:val="0"/>
                <w:sz w:val="18"/>
                <w:szCs w:val="18"/>
              </w:rPr>
              <w:t>10</w:t>
            </w:r>
          </w:p>
        </w:tc>
        <w:tc>
          <w:tcPr>
            <w:tcW w:w="2935" w:type="dxa"/>
            <w:tcBorders>
              <w:top w:val="nil"/>
              <w:left w:val="nil"/>
              <w:bottom w:val="single" w:color="auto" w:sz="4" w:space="0"/>
              <w:right w:val="single" w:color="auto" w:sz="4" w:space="0"/>
            </w:tcBorders>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评价部门开展绩效运行监控后，将绩效监控结果应用到预算调整的情况。</w:t>
            </w:r>
          </w:p>
        </w:tc>
        <w:tc>
          <w:tcPr>
            <w:tcW w:w="5468" w:type="dxa"/>
            <w:tcBorders>
              <w:top w:val="nil"/>
              <w:left w:val="nil"/>
              <w:bottom w:val="single" w:color="auto" w:sz="4" w:space="0"/>
              <w:right w:val="single" w:color="auto" w:sz="4" w:space="0"/>
            </w:tcBorders>
            <w:noWrap w:val="0"/>
            <w:vAlign w:val="center"/>
          </w:tcPr>
          <w:p>
            <w:pPr>
              <w:spacing w:line="0" w:lineRule="atLeast"/>
              <w:jc w:val="left"/>
              <w:rPr>
                <w:rFonts w:ascii="宋体" w:hAnsi="宋体" w:cs="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当部门绩效监控调整取消额和结余注销额均不为零时，指标得分</w:t>
            </w:r>
            <w:r>
              <w:rPr>
                <w:rFonts w:ascii="宋体" w:hAnsi="宋体" w:cs="宋体"/>
                <w:color w:val="000000"/>
                <w:kern w:val="0"/>
                <w:sz w:val="18"/>
                <w:szCs w:val="18"/>
              </w:rPr>
              <w:t>=</w:t>
            </w:r>
            <w:r>
              <w:rPr>
                <w:rFonts w:hint="eastAsia" w:ascii="宋体" w:hAnsi="宋体" w:cs="宋体"/>
                <w:color w:val="000000"/>
                <w:kern w:val="0"/>
                <w:sz w:val="18"/>
                <w:szCs w:val="18"/>
              </w:rPr>
              <w:t>部门项目支出绩效监控调整取消额÷</w:t>
            </w:r>
            <w:r>
              <w:rPr>
                <w:rFonts w:ascii="宋体" w:hAnsi="宋体" w:cs="宋体"/>
                <w:color w:val="000000"/>
                <w:kern w:val="0"/>
                <w:sz w:val="18"/>
                <w:szCs w:val="18"/>
              </w:rPr>
              <w:t>(</w:t>
            </w:r>
            <w:r>
              <w:rPr>
                <w:rFonts w:hint="eastAsia" w:ascii="宋体" w:hAnsi="宋体" w:cs="宋体"/>
                <w:color w:val="000000"/>
                <w:kern w:val="0"/>
                <w:sz w:val="18"/>
                <w:szCs w:val="18"/>
              </w:rPr>
              <w:t>部门绩效监控调整取消额</w:t>
            </w:r>
            <w:r>
              <w:rPr>
                <w:rFonts w:ascii="宋体" w:hAnsi="宋体" w:cs="宋体"/>
                <w:color w:val="000000"/>
                <w:kern w:val="0"/>
                <w:sz w:val="18"/>
                <w:szCs w:val="18"/>
              </w:rPr>
              <w:t>+</w:t>
            </w:r>
            <w:r>
              <w:rPr>
                <w:rFonts w:hint="eastAsia" w:ascii="宋体" w:hAnsi="宋体" w:cs="宋体"/>
                <w:color w:val="000000"/>
                <w:kern w:val="0"/>
                <w:sz w:val="18"/>
                <w:szCs w:val="18"/>
              </w:rPr>
              <w:t>预算结余注销额）</w:t>
            </w:r>
            <w:r>
              <w:rPr>
                <w:rFonts w:ascii="宋体" w:hAnsi="宋体" w:cs="宋体"/>
                <w:color w:val="000000"/>
                <w:kern w:val="0"/>
                <w:sz w:val="18"/>
                <w:szCs w:val="18"/>
              </w:rPr>
              <w:t>*10</w:t>
            </w:r>
            <w:r>
              <w:rPr>
                <w:rFonts w:hint="eastAsia" w:ascii="宋体" w:hAnsi="宋体" w:cs="宋体"/>
                <w:color w:val="000000"/>
                <w:kern w:val="0"/>
                <w:sz w:val="18"/>
                <w:szCs w:val="18"/>
              </w:rPr>
              <w:t>。</w:t>
            </w:r>
            <w:r>
              <w:rPr>
                <w:rFonts w:ascii="宋体" w:hAnsi="宋体" w:cs="宋体"/>
                <w:color w:val="000000"/>
                <w:kern w:val="0"/>
                <w:sz w:val="18"/>
                <w:szCs w:val="18"/>
              </w:rPr>
              <w:t xml:space="preserve">                                                2.</w:t>
            </w:r>
            <w:r>
              <w:rPr>
                <w:rFonts w:hint="eastAsia" w:ascii="宋体" w:hAnsi="宋体" w:cs="宋体"/>
                <w:color w:val="000000"/>
                <w:kern w:val="0"/>
                <w:sz w:val="18"/>
                <w:szCs w:val="18"/>
              </w:rPr>
              <w:t>当部门绩效监控调整取消额为零，结余注销额不为零时，指标得分</w:t>
            </w:r>
            <w:r>
              <w:rPr>
                <w:rFonts w:ascii="宋体" w:hAnsi="宋体" w:cs="宋体"/>
                <w:color w:val="000000"/>
                <w:kern w:val="0"/>
                <w:sz w:val="18"/>
                <w:szCs w:val="18"/>
              </w:rPr>
              <w:t>=</w:t>
            </w:r>
            <w:r>
              <w:rPr>
                <w:rFonts w:hint="eastAsia" w:ascii="宋体" w:hAnsi="宋体" w:cs="宋体"/>
                <w:color w:val="000000"/>
                <w:kern w:val="0"/>
                <w:sz w:val="18"/>
                <w:szCs w:val="18"/>
              </w:rPr>
              <w:t>（</w:t>
            </w:r>
            <w:r>
              <w:rPr>
                <w:rFonts w:ascii="宋体" w:hAnsi="宋体" w:cs="宋体"/>
                <w:color w:val="000000"/>
                <w:kern w:val="0"/>
                <w:sz w:val="18"/>
                <w:szCs w:val="18"/>
              </w:rPr>
              <w:t>1-10*</w:t>
            </w:r>
            <w:r>
              <w:rPr>
                <w:rFonts w:hint="eastAsia" w:ascii="宋体" w:hAnsi="宋体" w:cs="宋体"/>
                <w:color w:val="000000"/>
                <w:kern w:val="0"/>
                <w:sz w:val="18"/>
                <w:szCs w:val="18"/>
              </w:rPr>
              <w:t>结余注销额</w:t>
            </w:r>
            <w:r>
              <w:rPr>
                <w:rFonts w:ascii="宋体" w:hAnsi="宋体" w:cs="宋体"/>
                <w:color w:val="000000"/>
                <w:kern w:val="0"/>
                <w:sz w:val="18"/>
                <w:szCs w:val="18"/>
              </w:rPr>
              <w:t>/</w:t>
            </w:r>
            <w:r>
              <w:rPr>
                <w:rFonts w:hint="eastAsia" w:ascii="宋体" w:hAnsi="宋体" w:cs="宋体"/>
                <w:color w:val="000000"/>
                <w:kern w:val="0"/>
                <w:sz w:val="18"/>
                <w:szCs w:val="18"/>
              </w:rPr>
              <w:t>年度预算总额）</w:t>
            </w:r>
            <w:r>
              <w:rPr>
                <w:rFonts w:ascii="宋体" w:hAnsi="宋体" w:cs="宋体"/>
                <w:color w:val="000000"/>
                <w:kern w:val="0"/>
                <w:sz w:val="18"/>
                <w:szCs w:val="18"/>
              </w:rPr>
              <w:t>*10</w:t>
            </w:r>
            <w:r>
              <w:rPr>
                <w:rFonts w:hint="eastAsia" w:ascii="宋体" w:hAnsi="宋体" w:cs="宋体"/>
                <w:color w:val="000000"/>
                <w:kern w:val="0"/>
                <w:sz w:val="18"/>
                <w:szCs w:val="18"/>
              </w:rPr>
              <w:t>，结余注销额超过部门年度预算总额</w:t>
            </w:r>
            <w:r>
              <w:rPr>
                <w:rFonts w:ascii="宋体" w:hAnsi="宋体" w:cs="宋体"/>
                <w:color w:val="000000"/>
                <w:kern w:val="0"/>
                <w:sz w:val="18"/>
                <w:szCs w:val="18"/>
              </w:rPr>
              <w:t>10%</w:t>
            </w:r>
            <w:r>
              <w:rPr>
                <w:rFonts w:hint="eastAsia" w:ascii="宋体" w:hAnsi="宋体" w:cs="宋体"/>
                <w:color w:val="000000"/>
                <w:kern w:val="0"/>
                <w:sz w:val="18"/>
                <w:szCs w:val="18"/>
              </w:rPr>
              <w:t>的，指标不得分。</w:t>
            </w:r>
            <w:r>
              <w:rPr>
                <w:rFonts w:ascii="宋体" w:hAnsi="宋体" w:cs="宋体"/>
                <w:color w:val="000000"/>
                <w:kern w:val="0"/>
                <w:sz w:val="18"/>
                <w:szCs w:val="18"/>
              </w:rPr>
              <w:t xml:space="preserve">                                                                                             3.</w:t>
            </w:r>
            <w:r>
              <w:rPr>
                <w:rFonts w:hint="eastAsia" w:ascii="宋体" w:hAnsi="宋体" w:cs="宋体"/>
                <w:color w:val="000000"/>
                <w:kern w:val="0"/>
                <w:sz w:val="18"/>
                <w:szCs w:val="18"/>
              </w:rPr>
              <w:t>当部门绩效监控调整取消额与结余注销额均为零时，得满分。</w:t>
            </w:r>
            <w:r>
              <w:rPr>
                <w:rFonts w:ascii="宋体" w:hAnsi="宋体" w:cs="宋体"/>
                <w:color w:val="000000"/>
                <w:kern w:val="0"/>
                <w:sz w:val="18"/>
                <w:szCs w:val="18"/>
              </w:rPr>
              <w:t xml:space="preserve">                                                             </w:t>
            </w:r>
          </w:p>
        </w:tc>
        <w:tc>
          <w:tcPr>
            <w:tcW w:w="522" w:type="dxa"/>
            <w:tcBorders>
              <w:top w:val="nil"/>
              <w:left w:val="nil"/>
              <w:bottom w:val="single" w:color="auto" w:sz="4" w:space="0"/>
              <w:right w:val="single" w:color="auto" w:sz="4" w:space="0"/>
            </w:tcBorders>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w:t>
            </w:r>
          </w:p>
        </w:tc>
        <w:tc>
          <w:tcPr>
            <w:tcW w:w="506" w:type="dxa"/>
            <w:tcBorders>
              <w:top w:val="nil"/>
              <w:left w:val="nil"/>
              <w:bottom w:val="single" w:color="auto" w:sz="4" w:space="0"/>
              <w:right w:val="single" w:color="auto" w:sz="4" w:space="0"/>
            </w:tcBorders>
            <w:noWrap w:val="0"/>
            <w:vAlign w:val="center"/>
          </w:tcPr>
          <w:p>
            <w:pPr>
              <w:spacing w:line="0" w:lineRule="atLeast"/>
              <w:rPr>
                <w:rFonts w:ascii="宋体" w:cs="宋体"/>
                <w:color w:val="000000"/>
                <w:kern w:val="0"/>
                <w:sz w:val="18"/>
                <w:szCs w:val="18"/>
              </w:rPr>
            </w:pPr>
            <w:r>
              <w:rPr>
                <w:rFonts w:hint="eastAsia" w:ascii="宋体" w:hAnsi="宋体" w:cs="宋体"/>
                <w:color w:val="000000"/>
                <w:kern w:val="0"/>
                <w:sz w:val="18"/>
                <w:szCs w:val="18"/>
              </w:rPr>
              <w:t>　</w:t>
            </w:r>
          </w:p>
        </w:tc>
        <w:tc>
          <w:tcPr>
            <w:tcW w:w="506" w:type="dxa"/>
            <w:tcBorders>
              <w:top w:val="nil"/>
              <w:left w:val="nil"/>
              <w:bottom w:val="single" w:color="auto" w:sz="4" w:space="0"/>
              <w:right w:val="single" w:color="auto" w:sz="4" w:space="0"/>
            </w:tcBorders>
            <w:noWrap w:val="0"/>
            <w:vAlign w:val="center"/>
          </w:tcPr>
          <w:p>
            <w:pPr>
              <w:spacing w:line="0" w:lineRule="atLeast"/>
              <w:rPr>
                <w:rFonts w:ascii="宋体" w:cs="宋体"/>
                <w:color w:val="000000"/>
                <w:kern w:val="0"/>
                <w:sz w:val="18"/>
                <w:szCs w:val="18"/>
              </w:rPr>
            </w:pPr>
            <w:r>
              <w:rPr>
                <w:rFonts w:hint="eastAsia" w:ascii="宋体" w:hAnsi="宋体" w:cs="宋体"/>
                <w:color w:val="000000"/>
                <w:kern w:val="0"/>
                <w:sz w:val="18"/>
                <w:szCs w:val="18"/>
              </w:rPr>
              <w:t>　</w:t>
            </w:r>
          </w:p>
        </w:tc>
        <w:tc>
          <w:tcPr>
            <w:tcW w:w="538" w:type="dxa"/>
            <w:tcBorders>
              <w:top w:val="nil"/>
              <w:left w:val="nil"/>
              <w:bottom w:val="single" w:color="auto" w:sz="4" w:space="0"/>
              <w:right w:val="single" w:color="auto" w:sz="4" w:space="0"/>
            </w:tcBorders>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w:t>
            </w:r>
          </w:p>
        </w:tc>
        <w:tc>
          <w:tcPr>
            <w:tcW w:w="538" w:type="dxa"/>
            <w:tcBorders>
              <w:top w:val="nil"/>
              <w:left w:val="nil"/>
              <w:bottom w:val="single" w:color="auto" w:sz="4" w:space="0"/>
              <w:right w:val="single" w:color="auto" w:sz="4" w:space="0"/>
            </w:tcBorders>
            <w:noWrap w:val="0"/>
            <w:vAlign w:val="center"/>
          </w:tcPr>
          <w:p>
            <w:pPr>
              <w:spacing w:line="0" w:lineRule="atLeast"/>
              <w:jc w:val="center"/>
              <w:rPr>
                <w:rFonts w:ascii="宋体" w:hAnsi="宋体" w:cs="宋体"/>
                <w:color w:val="000000"/>
                <w:kern w:val="0"/>
                <w:sz w:val="18"/>
                <w:szCs w:val="18"/>
              </w:rPr>
            </w:pPr>
            <w:r>
              <w:rPr>
                <w:rFonts w:ascii="宋体" w:hAnsi="宋体" w:cs="宋体"/>
                <w:color w:val="000000"/>
                <w:kern w:val="0"/>
                <w:sz w:val="18"/>
                <w:szCs w:val="18"/>
              </w:rPr>
              <w:t>10</w:t>
            </w:r>
          </w:p>
        </w:tc>
      </w:tr>
      <w:tr>
        <w:tblPrEx>
          <w:tblCellMar>
            <w:top w:w="0" w:type="dxa"/>
            <w:left w:w="108" w:type="dxa"/>
            <w:bottom w:w="0" w:type="dxa"/>
            <w:right w:w="108" w:type="dxa"/>
          </w:tblCellMar>
        </w:tblPrEx>
        <w:trPr>
          <w:trHeight w:val="1019" w:hRule="atLeast"/>
          <w:jc w:val="center"/>
        </w:trPr>
        <w:tc>
          <w:tcPr>
            <w:tcW w:w="713" w:type="dxa"/>
            <w:vMerge w:val="continue"/>
            <w:tcBorders>
              <w:left w:val="single" w:color="auto" w:sz="4" w:space="0"/>
              <w:bottom w:val="single" w:color="auto" w:sz="4" w:space="0"/>
              <w:right w:val="single" w:color="auto" w:sz="4" w:space="0"/>
            </w:tcBorders>
            <w:noWrap w:val="0"/>
            <w:vAlign w:val="center"/>
          </w:tcPr>
          <w:p>
            <w:pPr>
              <w:spacing w:line="0" w:lineRule="atLeast"/>
              <w:jc w:val="left"/>
              <w:rPr>
                <w:rFonts w:ascii="宋体" w:cs="宋体"/>
                <w:color w:val="000000"/>
                <w:kern w:val="0"/>
                <w:sz w:val="18"/>
                <w:szCs w:val="18"/>
              </w:rPr>
            </w:pPr>
          </w:p>
        </w:tc>
        <w:tc>
          <w:tcPr>
            <w:tcW w:w="716" w:type="dxa"/>
            <w:vMerge w:val="continue"/>
            <w:tcBorders>
              <w:top w:val="nil"/>
              <w:left w:val="single" w:color="auto" w:sz="4" w:space="0"/>
              <w:bottom w:val="single" w:color="auto" w:sz="4" w:space="0"/>
              <w:right w:val="single" w:color="auto" w:sz="4" w:space="0"/>
            </w:tcBorders>
            <w:noWrap w:val="0"/>
            <w:vAlign w:val="center"/>
          </w:tcPr>
          <w:p>
            <w:pPr>
              <w:spacing w:line="0" w:lineRule="atLeast"/>
              <w:jc w:val="left"/>
              <w:rPr>
                <w:rFonts w:ascii="宋体" w:cs="宋体"/>
                <w:color w:val="000000"/>
                <w:kern w:val="0"/>
                <w:sz w:val="18"/>
                <w:szCs w:val="18"/>
              </w:rPr>
            </w:pPr>
          </w:p>
        </w:tc>
        <w:tc>
          <w:tcPr>
            <w:tcW w:w="1126" w:type="dxa"/>
            <w:tcBorders>
              <w:top w:val="nil"/>
              <w:left w:val="nil"/>
              <w:bottom w:val="single" w:color="auto" w:sz="4" w:space="0"/>
              <w:right w:val="single" w:color="auto" w:sz="4" w:space="0"/>
            </w:tcBorders>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执行进度</w:t>
            </w:r>
          </w:p>
        </w:tc>
        <w:tc>
          <w:tcPr>
            <w:tcW w:w="555" w:type="dxa"/>
            <w:tcBorders>
              <w:top w:val="nil"/>
              <w:left w:val="nil"/>
              <w:bottom w:val="single" w:color="auto" w:sz="4" w:space="0"/>
              <w:right w:val="single" w:color="auto" w:sz="4" w:space="0"/>
            </w:tcBorders>
            <w:noWrap w:val="0"/>
            <w:vAlign w:val="center"/>
          </w:tcPr>
          <w:p>
            <w:pPr>
              <w:spacing w:line="0" w:lineRule="atLeast"/>
              <w:jc w:val="center"/>
              <w:rPr>
                <w:rFonts w:ascii="宋体" w:hAnsi="宋体" w:cs="宋体"/>
                <w:color w:val="000000"/>
                <w:kern w:val="0"/>
                <w:sz w:val="18"/>
                <w:szCs w:val="18"/>
              </w:rPr>
            </w:pPr>
            <w:r>
              <w:rPr>
                <w:rFonts w:ascii="宋体" w:hAnsi="宋体" w:cs="宋体"/>
                <w:color w:val="000000"/>
                <w:kern w:val="0"/>
                <w:sz w:val="18"/>
                <w:szCs w:val="18"/>
              </w:rPr>
              <w:t>5</w:t>
            </w:r>
          </w:p>
        </w:tc>
        <w:tc>
          <w:tcPr>
            <w:tcW w:w="2935" w:type="dxa"/>
            <w:tcBorders>
              <w:top w:val="nil"/>
              <w:left w:val="nil"/>
              <w:bottom w:val="single" w:color="auto" w:sz="4" w:space="0"/>
              <w:right w:val="single" w:color="auto" w:sz="4" w:space="0"/>
            </w:tcBorders>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评价部门在</w:t>
            </w:r>
            <w:r>
              <w:rPr>
                <w:rFonts w:ascii="宋体" w:hAnsi="宋体" w:cs="宋体"/>
                <w:color w:val="000000"/>
                <w:kern w:val="0"/>
                <w:sz w:val="18"/>
                <w:szCs w:val="18"/>
              </w:rPr>
              <w:t>6</w:t>
            </w:r>
            <w:r>
              <w:rPr>
                <w:rFonts w:hint="eastAsia" w:ascii="宋体" w:hAnsi="宋体" w:cs="宋体"/>
                <w:color w:val="000000"/>
                <w:kern w:val="0"/>
                <w:sz w:val="18"/>
                <w:szCs w:val="18"/>
              </w:rPr>
              <w:t>、</w:t>
            </w:r>
            <w:r>
              <w:rPr>
                <w:rFonts w:ascii="宋体" w:hAnsi="宋体" w:cs="宋体"/>
                <w:color w:val="000000"/>
                <w:kern w:val="0"/>
                <w:sz w:val="18"/>
                <w:szCs w:val="18"/>
              </w:rPr>
              <w:t>9</w:t>
            </w:r>
            <w:r>
              <w:rPr>
                <w:rFonts w:hint="eastAsia" w:ascii="宋体" w:hAnsi="宋体" w:cs="宋体"/>
                <w:color w:val="000000"/>
                <w:kern w:val="0"/>
                <w:sz w:val="18"/>
                <w:szCs w:val="18"/>
              </w:rPr>
              <w:t>、</w:t>
            </w:r>
            <w:r>
              <w:rPr>
                <w:rFonts w:ascii="宋体" w:hAnsi="宋体" w:cs="宋体"/>
                <w:color w:val="000000"/>
                <w:kern w:val="0"/>
                <w:sz w:val="18"/>
                <w:szCs w:val="18"/>
              </w:rPr>
              <w:t>11</w:t>
            </w:r>
            <w:r>
              <w:rPr>
                <w:rFonts w:hint="eastAsia" w:ascii="宋体" w:hAnsi="宋体" w:cs="宋体"/>
                <w:color w:val="000000"/>
                <w:kern w:val="0"/>
                <w:sz w:val="18"/>
                <w:szCs w:val="18"/>
              </w:rPr>
              <w:t>月的预算执行情况。</w:t>
            </w:r>
          </w:p>
        </w:tc>
        <w:tc>
          <w:tcPr>
            <w:tcW w:w="5468" w:type="dxa"/>
            <w:tcBorders>
              <w:top w:val="nil"/>
              <w:left w:val="nil"/>
              <w:bottom w:val="single" w:color="auto" w:sz="4" w:space="0"/>
              <w:right w:val="single" w:color="auto" w:sz="4" w:space="0"/>
            </w:tcBorders>
            <w:noWrap w:val="0"/>
            <w:vAlign w:val="center"/>
          </w:tcPr>
          <w:p>
            <w:pPr>
              <w:spacing w:line="0" w:lineRule="atLeast"/>
              <w:jc w:val="left"/>
              <w:rPr>
                <w:rFonts w:ascii="宋体" w:hAnsi="宋体" w:cs="宋体"/>
                <w:color w:val="000000"/>
                <w:kern w:val="0"/>
                <w:sz w:val="18"/>
                <w:szCs w:val="18"/>
              </w:rPr>
            </w:pPr>
            <w:r>
              <w:rPr>
                <w:rFonts w:hint="eastAsia" w:ascii="宋体" w:hAnsi="宋体" w:cs="宋体"/>
                <w:color w:val="000000"/>
                <w:kern w:val="0"/>
                <w:sz w:val="18"/>
                <w:szCs w:val="18"/>
              </w:rPr>
              <w:t>部门预算执行进度在</w:t>
            </w:r>
            <w:r>
              <w:rPr>
                <w:rFonts w:ascii="宋体" w:hAnsi="宋体" w:cs="宋体"/>
                <w:color w:val="000000"/>
                <w:kern w:val="0"/>
                <w:sz w:val="18"/>
                <w:szCs w:val="18"/>
              </w:rPr>
              <w:t>6</w:t>
            </w:r>
            <w:r>
              <w:rPr>
                <w:rFonts w:hint="eastAsia" w:ascii="宋体" w:hAnsi="宋体" w:cs="宋体"/>
                <w:color w:val="000000"/>
                <w:kern w:val="0"/>
                <w:sz w:val="18"/>
                <w:szCs w:val="18"/>
              </w:rPr>
              <w:t>、</w:t>
            </w:r>
            <w:r>
              <w:rPr>
                <w:rFonts w:ascii="宋体" w:hAnsi="宋体" w:cs="宋体"/>
                <w:color w:val="000000"/>
                <w:kern w:val="0"/>
                <w:sz w:val="18"/>
                <w:szCs w:val="18"/>
              </w:rPr>
              <w:t>9</w:t>
            </w:r>
            <w:r>
              <w:rPr>
                <w:rFonts w:hint="eastAsia" w:ascii="宋体" w:hAnsi="宋体" w:cs="宋体"/>
                <w:color w:val="000000"/>
                <w:kern w:val="0"/>
                <w:sz w:val="18"/>
                <w:szCs w:val="18"/>
              </w:rPr>
              <w:t>、</w:t>
            </w:r>
            <w:r>
              <w:rPr>
                <w:rFonts w:ascii="宋体" w:hAnsi="宋体" w:cs="宋体"/>
                <w:color w:val="000000"/>
                <w:kern w:val="0"/>
                <w:sz w:val="18"/>
                <w:szCs w:val="18"/>
              </w:rPr>
              <w:t>11</w:t>
            </w:r>
            <w:r>
              <w:rPr>
                <w:rFonts w:hint="eastAsia" w:ascii="宋体" w:hAnsi="宋体" w:cs="宋体"/>
                <w:color w:val="000000"/>
                <w:kern w:val="0"/>
                <w:sz w:val="18"/>
                <w:szCs w:val="18"/>
              </w:rPr>
              <w:t>月应达到序时进度的</w:t>
            </w:r>
            <w:r>
              <w:rPr>
                <w:rFonts w:ascii="宋体" w:hAnsi="宋体" w:cs="宋体"/>
                <w:color w:val="000000"/>
                <w:kern w:val="0"/>
                <w:sz w:val="18"/>
                <w:szCs w:val="18"/>
              </w:rPr>
              <w:t>80%</w:t>
            </w:r>
            <w:r>
              <w:rPr>
                <w:rFonts w:hint="eastAsia" w:ascii="宋体" w:hAnsi="宋体" w:cs="宋体"/>
                <w:color w:val="000000"/>
                <w:kern w:val="0"/>
                <w:sz w:val="18"/>
                <w:szCs w:val="18"/>
              </w:rPr>
              <w:t>、</w:t>
            </w:r>
            <w:r>
              <w:rPr>
                <w:rFonts w:ascii="宋体" w:hAnsi="宋体" w:cs="宋体"/>
                <w:color w:val="000000"/>
                <w:kern w:val="0"/>
                <w:sz w:val="18"/>
                <w:szCs w:val="18"/>
              </w:rPr>
              <w:t>90%</w:t>
            </w:r>
            <w:r>
              <w:rPr>
                <w:rFonts w:hint="eastAsia" w:ascii="宋体" w:hAnsi="宋体" w:cs="宋体"/>
                <w:color w:val="000000"/>
                <w:kern w:val="0"/>
                <w:sz w:val="18"/>
                <w:szCs w:val="18"/>
              </w:rPr>
              <w:t>、</w:t>
            </w:r>
            <w:r>
              <w:rPr>
                <w:rFonts w:ascii="宋体" w:hAnsi="宋体" w:cs="宋体"/>
                <w:color w:val="000000"/>
                <w:kern w:val="0"/>
                <w:sz w:val="18"/>
                <w:szCs w:val="18"/>
              </w:rPr>
              <w:t>90%</w:t>
            </w:r>
            <w:r>
              <w:rPr>
                <w:rFonts w:hint="eastAsia" w:ascii="宋体" w:hAnsi="宋体" w:cs="宋体"/>
                <w:color w:val="000000"/>
                <w:kern w:val="0"/>
                <w:sz w:val="18"/>
                <w:szCs w:val="18"/>
              </w:rPr>
              <w:t>，即实际支出进度分别达到</w:t>
            </w:r>
            <w:r>
              <w:rPr>
                <w:rFonts w:ascii="宋体" w:hAnsi="宋体" w:cs="宋体"/>
                <w:color w:val="000000"/>
                <w:kern w:val="0"/>
                <w:sz w:val="18"/>
                <w:szCs w:val="18"/>
              </w:rPr>
              <w:t>40%</w:t>
            </w:r>
            <w:r>
              <w:rPr>
                <w:rFonts w:hint="eastAsia" w:ascii="宋体" w:hAnsi="宋体" w:cs="宋体"/>
                <w:color w:val="000000"/>
                <w:kern w:val="0"/>
                <w:sz w:val="18"/>
                <w:szCs w:val="18"/>
              </w:rPr>
              <w:t>、</w:t>
            </w:r>
            <w:r>
              <w:rPr>
                <w:rFonts w:ascii="宋体" w:hAnsi="宋体" w:cs="宋体"/>
                <w:color w:val="000000"/>
                <w:kern w:val="0"/>
                <w:sz w:val="18"/>
                <w:szCs w:val="18"/>
              </w:rPr>
              <w:t>67.5%</w:t>
            </w:r>
            <w:r>
              <w:rPr>
                <w:rFonts w:hint="eastAsia" w:ascii="宋体" w:hAnsi="宋体" w:cs="宋体"/>
                <w:color w:val="000000"/>
                <w:kern w:val="0"/>
                <w:sz w:val="18"/>
                <w:szCs w:val="18"/>
              </w:rPr>
              <w:t>、</w:t>
            </w:r>
            <w:r>
              <w:rPr>
                <w:rFonts w:ascii="宋体" w:hAnsi="宋体" w:cs="宋体"/>
                <w:color w:val="000000"/>
                <w:kern w:val="0"/>
                <w:sz w:val="18"/>
                <w:szCs w:val="18"/>
              </w:rPr>
              <w:t>82.5%</w:t>
            </w:r>
            <w:r>
              <w:rPr>
                <w:rFonts w:hint="eastAsia" w:ascii="宋体" w:hAnsi="宋体" w:cs="宋体"/>
                <w:color w:val="000000"/>
                <w:kern w:val="0"/>
                <w:sz w:val="18"/>
                <w:szCs w:val="18"/>
              </w:rPr>
              <w:t>。</w:t>
            </w:r>
            <w:r>
              <w:rPr>
                <w:rFonts w:ascii="宋体" w:hAnsi="宋体" w:cs="宋体"/>
                <w:color w:val="000000"/>
                <w:kern w:val="0"/>
                <w:sz w:val="18"/>
                <w:szCs w:val="18"/>
              </w:rPr>
              <w:t xml:space="preserve">                                                                                                     6</w:t>
            </w:r>
            <w:r>
              <w:rPr>
                <w:rFonts w:hint="eastAsia" w:ascii="宋体" w:hAnsi="宋体" w:cs="宋体"/>
                <w:color w:val="000000"/>
                <w:kern w:val="0"/>
                <w:sz w:val="18"/>
                <w:szCs w:val="18"/>
              </w:rPr>
              <w:t>、</w:t>
            </w:r>
            <w:r>
              <w:rPr>
                <w:rFonts w:ascii="宋体" w:hAnsi="宋体" w:cs="宋体"/>
                <w:color w:val="000000"/>
                <w:kern w:val="0"/>
                <w:sz w:val="18"/>
                <w:szCs w:val="18"/>
              </w:rPr>
              <w:t>9</w:t>
            </w:r>
            <w:r>
              <w:rPr>
                <w:rFonts w:hint="eastAsia" w:ascii="宋体" w:hAnsi="宋体" w:cs="宋体"/>
                <w:color w:val="000000"/>
                <w:kern w:val="0"/>
                <w:sz w:val="18"/>
                <w:szCs w:val="18"/>
              </w:rPr>
              <w:t>、</w:t>
            </w:r>
            <w:r>
              <w:rPr>
                <w:rFonts w:ascii="宋体" w:hAnsi="宋体" w:cs="宋体"/>
                <w:color w:val="000000"/>
                <w:kern w:val="0"/>
                <w:sz w:val="18"/>
                <w:szCs w:val="18"/>
              </w:rPr>
              <w:t>11</w:t>
            </w:r>
            <w:r>
              <w:rPr>
                <w:rFonts w:hint="eastAsia" w:ascii="宋体" w:hAnsi="宋体" w:cs="宋体"/>
                <w:color w:val="000000"/>
                <w:kern w:val="0"/>
                <w:sz w:val="18"/>
                <w:szCs w:val="18"/>
              </w:rPr>
              <w:t>月部门预算执行进度达到量化指标的分别得</w:t>
            </w:r>
            <w:r>
              <w:rPr>
                <w:rFonts w:ascii="宋体" w:hAnsi="宋体" w:cs="宋体"/>
                <w:color w:val="000000"/>
                <w:kern w:val="0"/>
                <w:sz w:val="18"/>
                <w:szCs w:val="18"/>
              </w:rPr>
              <w:t>1</w:t>
            </w: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分，未达到目标进度</w:t>
            </w:r>
            <w:r>
              <w:rPr>
                <w:rFonts w:hint="eastAsia" w:ascii="宋体" w:hAnsi="宋体" w:cs="宋体"/>
                <w:color w:val="000000"/>
                <w:kern w:val="0"/>
                <w:sz w:val="18"/>
                <w:szCs w:val="18"/>
                <w:lang w:eastAsia="zh-CN"/>
              </w:rPr>
              <w:t>的</w:t>
            </w:r>
            <w:r>
              <w:rPr>
                <w:rFonts w:hint="eastAsia" w:ascii="宋体" w:hAnsi="宋体" w:cs="宋体"/>
                <w:color w:val="000000"/>
                <w:kern w:val="0"/>
                <w:sz w:val="18"/>
                <w:szCs w:val="18"/>
              </w:rPr>
              <w:t>按其实际进度占目标进度的比重计算得分。</w:t>
            </w:r>
            <w:r>
              <w:rPr>
                <w:rFonts w:ascii="宋体" w:hAnsi="宋体" w:cs="宋体"/>
                <w:color w:val="000000"/>
                <w:kern w:val="0"/>
                <w:sz w:val="18"/>
                <w:szCs w:val="18"/>
              </w:rPr>
              <w:t xml:space="preserve">                                             </w:t>
            </w:r>
          </w:p>
        </w:tc>
        <w:tc>
          <w:tcPr>
            <w:tcW w:w="522" w:type="dxa"/>
            <w:tcBorders>
              <w:top w:val="nil"/>
              <w:left w:val="nil"/>
              <w:bottom w:val="single" w:color="auto" w:sz="4" w:space="0"/>
              <w:right w:val="single" w:color="auto" w:sz="4" w:space="0"/>
            </w:tcBorders>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w:t>
            </w:r>
          </w:p>
        </w:tc>
        <w:tc>
          <w:tcPr>
            <w:tcW w:w="506" w:type="dxa"/>
            <w:tcBorders>
              <w:top w:val="nil"/>
              <w:left w:val="nil"/>
              <w:bottom w:val="single" w:color="auto" w:sz="4" w:space="0"/>
              <w:right w:val="single" w:color="auto" w:sz="4" w:space="0"/>
            </w:tcBorders>
            <w:noWrap w:val="0"/>
            <w:vAlign w:val="center"/>
          </w:tcPr>
          <w:p>
            <w:pPr>
              <w:spacing w:line="0" w:lineRule="atLeast"/>
              <w:rPr>
                <w:rFonts w:ascii="宋体" w:cs="宋体"/>
                <w:color w:val="000000"/>
                <w:kern w:val="0"/>
                <w:sz w:val="18"/>
                <w:szCs w:val="18"/>
              </w:rPr>
            </w:pPr>
            <w:r>
              <w:rPr>
                <w:rFonts w:hint="eastAsia" w:ascii="宋体" w:hAnsi="宋体" w:cs="宋体"/>
                <w:color w:val="000000"/>
                <w:kern w:val="0"/>
                <w:sz w:val="18"/>
                <w:szCs w:val="18"/>
              </w:rPr>
              <w:t>　</w:t>
            </w:r>
          </w:p>
        </w:tc>
        <w:tc>
          <w:tcPr>
            <w:tcW w:w="506" w:type="dxa"/>
            <w:tcBorders>
              <w:top w:val="nil"/>
              <w:left w:val="nil"/>
              <w:bottom w:val="single" w:color="auto" w:sz="4" w:space="0"/>
              <w:right w:val="single" w:color="auto" w:sz="4" w:space="0"/>
            </w:tcBorders>
            <w:noWrap w:val="0"/>
            <w:vAlign w:val="center"/>
          </w:tcPr>
          <w:p>
            <w:pPr>
              <w:spacing w:line="0" w:lineRule="atLeast"/>
              <w:rPr>
                <w:rFonts w:ascii="宋体" w:cs="宋体"/>
                <w:color w:val="000000"/>
                <w:kern w:val="0"/>
                <w:sz w:val="18"/>
                <w:szCs w:val="18"/>
              </w:rPr>
            </w:pPr>
            <w:r>
              <w:rPr>
                <w:rFonts w:hint="eastAsia" w:ascii="宋体" w:hAnsi="宋体" w:cs="宋体"/>
                <w:color w:val="000000"/>
                <w:kern w:val="0"/>
                <w:sz w:val="18"/>
                <w:szCs w:val="18"/>
              </w:rPr>
              <w:t>　</w:t>
            </w:r>
          </w:p>
        </w:tc>
        <w:tc>
          <w:tcPr>
            <w:tcW w:w="538" w:type="dxa"/>
            <w:tcBorders>
              <w:top w:val="nil"/>
              <w:left w:val="nil"/>
              <w:bottom w:val="single" w:color="auto" w:sz="4" w:space="0"/>
              <w:right w:val="single" w:color="auto" w:sz="4" w:space="0"/>
            </w:tcBorders>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w:t>
            </w:r>
          </w:p>
        </w:tc>
        <w:tc>
          <w:tcPr>
            <w:tcW w:w="538" w:type="dxa"/>
            <w:tcBorders>
              <w:top w:val="nil"/>
              <w:left w:val="nil"/>
              <w:bottom w:val="single" w:color="auto" w:sz="4" w:space="0"/>
              <w:right w:val="single" w:color="auto" w:sz="4" w:space="0"/>
            </w:tcBorders>
            <w:noWrap w:val="0"/>
            <w:vAlign w:val="center"/>
          </w:tcPr>
          <w:p>
            <w:pPr>
              <w:spacing w:line="0" w:lineRule="atLeast"/>
              <w:jc w:val="center"/>
              <w:rPr>
                <w:rFonts w:ascii="宋体" w:hAnsi="宋体" w:cs="宋体"/>
                <w:color w:val="000000"/>
                <w:kern w:val="0"/>
                <w:sz w:val="18"/>
                <w:szCs w:val="18"/>
              </w:rPr>
            </w:pPr>
            <w:r>
              <w:rPr>
                <w:rFonts w:ascii="宋体" w:hAnsi="宋体" w:cs="宋体"/>
                <w:color w:val="000000"/>
                <w:kern w:val="0"/>
                <w:sz w:val="18"/>
                <w:szCs w:val="18"/>
              </w:rPr>
              <w:t>4</w:t>
            </w:r>
          </w:p>
        </w:tc>
      </w:tr>
      <w:tr>
        <w:tblPrEx>
          <w:tblCellMar>
            <w:top w:w="0" w:type="dxa"/>
            <w:left w:w="108" w:type="dxa"/>
            <w:bottom w:w="0" w:type="dxa"/>
            <w:right w:w="108" w:type="dxa"/>
          </w:tblCellMar>
        </w:tblPrEx>
        <w:trPr>
          <w:trHeight w:val="656" w:hRule="atLeast"/>
          <w:jc w:val="center"/>
        </w:trPr>
        <w:tc>
          <w:tcPr>
            <w:tcW w:w="713" w:type="dxa"/>
            <w:vMerge w:val="restart"/>
            <w:tcBorders>
              <w:top w:val="nil"/>
              <w:left w:val="single" w:color="auto" w:sz="4" w:space="0"/>
              <w:right w:val="single" w:color="auto" w:sz="4" w:space="0"/>
            </w:tcBorders>
            <w:noWrap w:val="0"/>
            <w:vAlign w:val="center"/>
          </w:tcPr>
          <w:p>
            <w:pPr>
              <w:spacing w:line="0" w:lineRule="atLeast"/>
              <w:ind w:left="-105" w:leftChars="-50" w:right="-105" w:rightChars="-50"/>
              <w:jc w:val="center"/>
              <w:rPr>
                <w:rFonts w:ascii="宋体" w:cs="宋体"/>
                <w:color w:val="000000"/>
                <w:kern w:val="0"/>
                <w:sz w:val="18"/>
                <w:szCs w:val="18"/>
              </w:rPr>
            </w:pPr>
            <w:r>
              <w:rPr>
                <w:rFonts w:hint="eastAsia" w:ascii="宋体" w:hAnsi="宋体" w:cs="宋体"/>
                <w:color w:val="000000"/>
                <w:kern w:val="0"/>
                <w:sz w:val="18"/>
                <w:szCs w:val="18"/>
              </w:rPr>
              <w:t>部门</w:t>
            </w:r>
          </w:p>
          <w:p>
            <w:pPr>
              <w:spacing w:line="0" w:lineRule="atLeast"/>
              <w:ind w:left="-105" w:leftChars="-50" w:right="-105" w:rightChars="-50"/>
              <w:jc w:val="center"/>
              <w:rPr>
                <w:rFonts w:ascii="宋体" w:cs="宋体"/>
                <w:color w:val="000000"/>
                <w:kern w:val="0"/>
                <w:sz w:val="18"/>
                <w:szCs w:val="18"/>
              </w:rPr>
            </w:pPr>
            <w:r>
              <w:rPr>
                <w:rFonts w:hint="eastAsia" w:ascii="宋体" w:hAnsi="宋体" w:cs="宋体"/>
                <w:color w:val="000000"/>
                <w:kern w:val="0"/>
                <w:sz w:val="18"/>
                <w:szCs w:val="18"/>
              </w:rPr>
              <w:t>预算项目绩效管理</w:t>
            </w:r>
          </w:p>
          <w:p>
            <w:pPr>
              <w:spacing w:line="0" w:lineRule="atLeast"/>
              <w:ind w:left="-105" w:leftChars="-50" w:right="-105" w:rightChars="-50"/>
              <w:jc w:val="center"/>
              <w:rPr>
                <w:rFonts w:ascii="宋体" w:cs="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70</w:t>
            </w:r>
            <w:r>
              <w:rPr>
                <w:rFonts w:hint="eastAsia" w:ascii="宋体" w:hAnsi="宋体" w:cs="宋体"/>
                <w:color w:val="000000"/>
                <w:kern w:val="0"/>
                <w:sz w:val="18"/>
                <w:szCs w:val="18"/>
              </w:rPr>
              <w:t>分）</w:t>
            </w:r>
          </w:p>
        </w:tc>
        <w:tc>
          <w:tcPr>
            <w:tcW w:w="716" w:type="dxa"/>
            <w:vMerge w:val="restart"/>
            <w:tcBorders>
              <w:top w:val="nil"/>
              <w:left w:val="single" w:color="auto" w:sz="4" w:space="0"/>
              <w:bottom w:val="single" w:color="auto" w:sz="4" w:space="0"/>
              <w:right w:val="single" w:color="auto" w:sz="4" w:space="0"/>
            </w:tcBorders>
            <w:noWrap w:val="0"/>
            <w:vAlign w:val="center"/>
          </w:tcPr>
          <w:p>
            <w:pPr>
              <w:spacing w:line="0" w:lineRule="atLeast"/>
              <w:ind w:left="-105" w:leftChars="-50" w:right="-105" w:rightChars="-50"/>
              <w:jc w:val="center"/>
              <w:rPr>
                <w:rFonts w:ascii="宋体" w:cs="宋体"/>
                <w:color w:val="000000"/>
                <w:kern w:val="0"/>
                <w:sz w:val="18"/>
                <w:szCs w:val="18"/>
              </w:rPr>
            </w:pPr>
            <w:r>
              <w:rPr>
                <w:rFonts w:hint="eastAsia" w:ascii="宋体" w:hAnsi="宋体" w:cs="宋体"/>
                <w:color w:val="000000"/>
                <w:kern w:val="0"/>
                <w:sz w:val="18"/>
                <w:szCs w:val="18"/>
              </w:rPr>
              <w:t>完成</w:t>
            </w:r>
          </w:p>
          <w:p>
            <w:pPr>
              <w:spacing w:line="0" w:lineRule="atLeast"/>
              <w:ind w:left="-105" w:leftChars="-50" w:right="-105" w:rightChars="-50"/>
              <w:jc w:val="center"/>
              <w:rPr>
                <w:rFonts w:ascii="宋体" w:cs="宋体"/>
                <w:color w:val="000000"/>
                <w:kern w:val="0"/>
                <w:sz w:val="18"/>
                <w:szCs w:val="18"/>
              </w:rPr>
            </w:pPr>
            <w:r>
              <w:rPr>
                <w:rFonts w:hint="eastAsia" w:ascii="宋体" w:hAnsi="宋体" w:cs="宋体"/>
                <w:color w:val="000000"/>
                <w:kern w:val="0"/>
                <w:sz w:val="18"/>
                <w:szCs w:val="18"/>
              </w:rPr>
              <w:t>结果</w:t>
            </w:r>
          </w:p>
          <w:p>
            <w:pPr>
              <w:spacing w:line="0" w:lineRule="atLeast"/>
              <w:ind w:left="-105" w:leftChars="-50" w:right="-105" w:rightChars="-50"/>
              <w:jc w:val="center"/>
              <w:rPr>
                <w:rFonts w:ascii="宋体" w:cs="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20</w:t>
            </w:r>
            <w:r>
              <w:rPr>
                <w:rFonts w:hint="eastAsia" w:ascii="宋体" w:hAnsi="宋体" w:cs="宋体"/>
                <w:color w:val="000000"/>
                <w:kern w:val="0"/>
                <w:sz w:val="18"/>
                <w:szCs w:val="18"/>
              </w:rPr>
              <w:t>分）</w:t>
            </w:r>
          </w:p>
        </w:tc>
        <w:tc>
          <w:tcPr>
            <w:tcW w:w="1126" w:type="dxa"/>
            <w:tcBorders>
              <w:top w:val="nil"/>
              <w:left w:val="nil"/>
              <w:bottom w:val="single" w:color="auto" w:sz="4" w:space="0"/>
              <w:right w:val="single" w:color="auto" w:sz="4" w:space="0"/>
            </w:tcBorders>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预算完成</w:t>
            </w:r>
          </w:p>
        </w:tc>
        <w:tc>
          <w:tcPr>
            <w:tcW w:w="555" w:type="dxa"/>
            <w:tcBorders>
              <w:top w:val="nil"/>
              <w:left w:val="nil"/>
              <w:bottom w:val="single" w:color="auto" w:sz="4" w:space="0"/>
              <w:right w:val="single" w:color="auto" w:sz="4" w:space="0"/>
            </w:tcBorders>
            <w:noWrap w:val="0"/>
            <w:vAlign w:val="center"/>
          </w:tcPr>
          <w:p>
            <w:pPr>
              <w:spacing w:line="0" w:lineRule="atLeast"/>
              <w:jc w:val="center"/>
              <w:rPr>
                <w:rFonts w:ascii="宋体" w:hAnsi="宋体" w:cs="宋体"/>
                <w:color w:val="000000"/>
                <w:kern w:val="0"/>
                <w:sz w:val="18"/>
                <w:szCs w:val="18"/>
              </w:rPr>
            </w:pPr>
            <w:r>
              <w:rPr>
                <w:rFonts w:ascii="宋体" w:hAnsi="宋体" w:cs="宋体"/>
                <w:color w:val="000000"/>
                <w:kern w:val="0"/>
                <w:sz w:val="18"/>
                <w:szCs w:val="18"/>
              </w:rPr>
              <w:t>10</w:t>
            </w:r>
          </w:p>
        </w:tc>
        <w:tc>
          <w:tcPr>
            <w:tcW w:w="2935" w:type="dxa"/>
            <w:tcBorders>
              <w:top w:val="nil"/>
              <w:left w:val="nil"/>
              <w:bottom w:val="single" w:color="auto" w:sz="4" w:space="0"/>
              <w:right w:val="single" w:color="auto" w:sz="4" w:space="0"/>
            </w:tcBorders>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评价部门预算项目年终预算执行情况。</w:t>
            </w:r>
          </w:p>
        </w:tc>
        <w:tc>
          <w:tcPr>
            <w:tcW w:w="5468" w:type="dxa"/>
            <w:tcBorders>
              <w:top w:val="nil"/>
              <w:left w:val="nil"/>
              <w:bottom w:val="single" w:color="auto" w:sz="4" w:space="0"/>
              <w:right w:val="single" w:color="auto" w:sz="4" w:space="0"/>
            </w:tcBorders>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部门预算项目</w:t>
            </w:r>
            <w:r>
              <w:rPr>
                <w:rFonts w:ascii="宋体" w:hAnsi="宋体" w:cs="宋体"/>
                <w:color w:val="000000"/>
                <w:kern w:val="0"/>
                <w:sz w:val="18"/>
                <w:szCs w:val="18"/>
              </w:rPr>
              <w:t>12</w:t>
            </w:r>
            <w:r>
              <w:rPr>
                <w:rFonts w:hint="eastAsia" w:ascii="宋体" w:hAnsi="宋体" w:cs="宋体"/>
                <w:color w:val="000000"/>
                <w:kern w:val="0"/>
                <w:sz w:val="18"/>
                <w:szCs w:val="18"/>
              </w:rPr>
              <w:t>月预算执行进度达到</w:t>
            </w:r>
            <w:r>
              <w:rPr>
                <w:rFonts w:ascii="宋体" w:hAnsi="宋体" w:cs="宋体"/>
                <w:color w:val="000000"/>
                <w:kern w:val="0"/>
                <w:sz w:val="18"/>
                <w:szCs w:val="18"/>
              </w:rPr>
              <w:t>100%</w:t>
            </w:r>
            <w:r>
              <w:rPr>
                <w:rFonts w:hint="eastAsia" w:ascii="宋体" w:hAnsi="宋体" w:cs="宋体"/>
                <w:color w:val="000000"/>
                <w:kern w:val="0"/>
                <w:sz w:val="18"/>
                <w:szCs w:val="18"/>
              </w:rPr>
              <w:t>的，得</w:t>
            </w:r>
            <w:r>
              <w:rPr>
                <w:rFonts w:ascii="宋体" w:hAnsi="宋体" w:cs="宋体"/>
                <w:color w:val="000000"/>
                <w:kern w:val="0"/>
                <w:sz w:val="18"/>
                <w:szCs w:val="18"/>
              </w:rPr>
              <w:t>10</w:t>
            </w:r>
            <w:r>
              <w:rPr>
                <w:rFonts w:hint="eastAsia" w:ascii="宋体" w:hAnsi="宋体" w:cs="宋体"/>
                <w:color w:val="000000"/>
                <w:kern w:val="0"/>
                <w:sz w:val="18"/>
                <w:szCs w:val="18"/>
              </w:rPr>
              <w:t>分，未达</w:t>
            </w:r>
            <w:r>
              <w:rPr>
                <w:rFonts w:ascii="宋体" w:hAnsi="宋体" w:cs="宋体"/>
                <w:color w:val="000000"/>
                <w:kern w:val="0"/>
                <w:sz w:val="18"/>
                <w:szCs w:val="18"/>
              </w:rPr>
              <w:t>100%</w:t>
            </w:r>
            <w:r>
              <w:rPr>
                <w:rFonts w:hint="eastAsia" w:ascii="宋体" w:hAnsi="宋体" w:cs="宋体"/>
                <w:color w:val="000000"/>
                <w:kern w:val="0"/>
                <w:sz w:val="18"/>
                <w:szCs w:val="18"/>
              </w:rPr>
              <w:t>的，按照实际进度量化计算得分。</w:t>
            </w:r>
          </w:p>
        </w:tc>
        <w:tc>
          <w:tcPr>
            <w:tcW w:w="522" w:type="dxa"/>
            <w:tcBorders>
              <w:top w:val="nil"/>
              <w:left w:val="nil"/>
              <w:bottom w:val="single" w:color="auto" w:sz="4" w:space="0"/>
              <w:right w:val="single" w:color="auto" w:sz="4" w:space="0"/>
            </w:tcBorders>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w:t>
            </w:r>
          </w:p>
        </w:tc>
        <w:tc>
          <w:tcPr>
            <w:tcW w:w="506" w:type="dxa"/>
            <w:tcBorders>
              <w:top w:val="nil"/>
              <w:left w:val="nil"/>
              <w:bottom w:val="single" w:color="auto" w:sz="4" w:space="0"/>
              <w:right w:val="single" w:color="auto" w:sz="4" w:space="0"/>
            </w:tcBorders>
            <w:noWrap w:val="0"/>
            <w:vAlign w:val="center"/>
          </w:tcPr>
          <w:p>
            <w:pPr>
              <w:spacing w:line="0" w:lineRule="atLeast"/>
              <w:rPr>
                <w:rFonts w:ascii="宋体" w:cs="宋体"/>
                <w:color w:val="000000"/>
                <w:kern w:val="0"/>
                <w:sz w:val="18"/>
                <w:szCs w:val="18"/>
              </w:rPr>
            </w:pPr>
            <w:r>
              <w:rPr>
                <w:rFonts w:hint="eastAsia" w:ascii="宋体" w:hAnsi="宋体" w:cs="宋体"/>
                <w:color w:val="000000"/>
                <w:kern w:val="0"/>
                <w:sz w:val="18"/>
                <w:szCs w:val="18"/>
              </w:rPr>
              <w:t>　</w:t>
            </w:r>
          </w:p>
        </w:tc>
        <w:tc>
          <w:tcPr>
            <w:tcW w:w="506" w:type="dxa"/>
            <w:tcBorders>
              <w:top w:val="nil"/>
              <w:left w:val="nil"/>
              <w:bottom w:val="single" w:color="auto" w:sz="4" w:space="0"/>
              <w:right w:val="single" w:color="auto" w:sz="4" w:space="0"/>
            </w:tcBorders>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　</w:t>
            </w:r>
          </w:p>
        </w:tc>
        <w:tc>
          <w:tcPr>
            <w:tcW w:w="538" w:type="dxa"/>
            <w:tcBorders>
              <w:top w:val="nil"/>
              <w:left w:val="nil"/>
              <w:bottom w:val="single" w:color="auto" w:sz="4" w:space="0"/>
              <w:right w:val="single" w:color="auto" w:sz="4" w:space="0"/>
            </w:tcBorders>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w:t>
            </w:r>
          </w:p>
        </w:tc>
        <w:tc>
          <w:tcPr>
            <w:tcW w:w="538" w:type="dxa"/>
            <w:tcBorders>
              <w:top w:val="nil"/>
              <w:left w:val="nil"/>
              <w:bottom w:val="single" w:color="auto" w:sz="4" w:space="0"/>
              <w:right w:val="single" w:color="auto" w:sz="4" w:space="0"/>
            </w:tcBorders>
            <w:noWrap w:val="0"/>
            <w:vAlign w:val="center"/>
          </w:tcPr>
          <w:p>
            <w:pPr>
              <w:spacing w:line="0" w:lineRule="atLeast"/>
              <w:jc w:val="center"/>
              <w:rPr>
                <w:rFonts w:ascii="宋体" w:hAnsi="宋体" w:cs="宋体"/>
                <w:color w:val="000000"/>
                <w:kern w:val="0"/>
                <w:sz w:val="18"/>
                <w:szCs w:val="18"/>
              </w:rPr>
            </w:pPr>
            <w:r>
              <w:rPr>
                <w:rFonts w:ascii="宋体" w:hAnsi="宋体" w:cs="宋体"/>
                <w:color w:val="000000"/>
                <w:kern w:val="0"/>
                <w:sz w:val="18"/>
                <w:szCs w:val="18"/>
              </w:rPr>
              <w:t>10</w:t>
            </w:r>
          </w:p>
        </w:tc>
      </w:tr>
      <w:tr>
        <w:tblPrEx>
          <w:tblCellMar>
            <w:top w:w="0" w:type="dxa"/>
            <w:left w:w="108" w:type="dxa"/>
            <w:bottom w:w="0" w:type="dxa"/>
            <w:right w:w="108" w:type="dxa"/>
          </w:tblCellMar>
        </w:tblPrEx>
        <w:trPr>
          <w:trHeight w:val="808" w:hRule="atLeast"/>
          <w:jc w:val="center"/>
        </w:trPr>
        <w:tc>
          <w:tcPr>
            <w:tcW w:w="713" w:type="dxa"/>
            <w:vMerge w:val="continue"/>
            <w:tcBorders>
              <w:left w:val="single" w:color="auto" w:sz="4" w:space="0"/>
              <w:right w:val="single" w:color="auto" w:sz="4" w:space="0"/>
            </w:tcBorders>
            <w:noWrap w:val="0"/>
            <w:vAlign w:val="center"/>
          </w:tcPr>
          <w:p>
            <w:pPr>
              <w:spacing w:line="0" w:lineRule="atLeast"/>
              <w:jc w:val="left"/>
              <w:rPr>
                <w:rFonts w:ascii="宋体" w:cs="宋体"/>
                <w:color w:val="000000"/>
                <w:kern w:val="0"/>
                <w:sz w:val="18"/>
                <w:szCs w:val="18"/>
              </w:rPr>
            </w:pPr>
          </w:p>
        </w:tc>
        <w:tc>
          <w:tcPr>
            <w:tcW w:w="716" w:type="dxa"/>
            <w:vMerge w:val="continue"/>
            <w:tcBorders>
              <w:top w:val="nil"/>
              <w:left w:val="single" w:color="auto" w:sz="4" w:space="0"/>
              <w:bottom w:val="single" w:color="auto" w:sz="4" w:space="0"/>
              <w:right w:val="single" w:color="auto" w:sz="4" w:space="0"/>
            </w:tcBorders>
            <w:noWrap w:val="0"/>
            <w:vAlign w:val="center"/>
          </w:tcPr>
          <w:p>
            <w:pPr>
              <w:spacing w:line="0" w:lineRule="atLeast"/>
              <w:jc w:val="left"/>
              <w:rPr>
                <w:rFonts w:ascii="宋体" w:cs="宋体"/>
                <w:color w:val="000000"/>
                <w:kern w:val="0"/>
                <w:sz w:val="18"/>
                <w:szCs w:val="18"/>
              </w:rPr>
            </w:pPr>
          </w:p>
        </w:tc>
        <w:tc>
          <w:tcPr>
            <w:tcW w:w="1126" w:type="dxa"/>
            <w:tcBorders>
              <w:top w:val="nil"/>
              <w:left w:val="nil"/>
              <w:bottom w:val="single" w:color="auto" w:sz="4" w:space="0"/>
              <w:right w:val="single" w:color="auto" w:sz="4" w:space="0"/>
            </w:tcBorders>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资金结余率（低效无效率）</w:t>
            </w:r>
          </w:p>
        </w:tc>
        <w:tc>
          <w:tcPr>
            <w:tcW w:w="555" w:type="dxa"/>
            <w:tcBorders>
              <w:top w:val="nil"/>
              <w:left w:val="nil"/>
              <w:bottom w:val="single" w:color="auto" w:sz="4" w:space="0"/>
              <w:right w:val="single" w:color="auto" w:sz="4" w:space="0"/>
            </w:tcBorders>
            <w:noWrap w:val="0"/>
            <w:vAlign w:val="center"/>
          </w:tcPr>
          <w:p>
            <w:pPr>
              <w:spacing w:line="0" w:lineRule="atLeast"/>
              <w:jc w:val="center"/>
              <w:rPr>
                <w:rFonts w:ascii="宋体" w:hAnsi="宋体" w:cs="宋体"/>
                <w:color w:val="000000"/>
                <w:kern w:val="0"/>
                <w:sz w:val="18"/>
                <w:szCs w:val="18"/>
              </w:rPr>
            </w:pPr>
            <w:r>
              <w:rPr>
                <w:rFonts w:ascii="宋体" w:hAnsi="宋体" w:cs="宋体"/>
                <w:color w:val="000000"/>
                <w:kern w:val="0"/>
                <w:sz w:val="18"/>
                <w:szCs w:val="18"/>
              </w:rPr>
              <w:t>5</w:t>
            </w:r>
          </w:p>
        </w:tc>
        <w:tc>
          <w:tcPr>
            <w:tcW w:w="2935" w:type="dxa"/>
            <w:tcBorders>
              <w:top w:val="nil"/>
              <w:left w:val="nil"/>
              <w:bottom w:val="single" w:color="auto" w:sz="4" w:space="0"/>
              <w:right w:val="single" w:color="auto" w:sz="4" w:space="0"/>
            </w:tcBorders>
            <w:noWrap w:val="0"/>
            <w:vAlign w:val="center"/>
          </w:tcPr>
          <w:p>
            <w:pPr>
              <w:spacing w:line="0" w:lineRule="atLeast"/>
              <w:jc w:val="left"/>
              <w:rPr>
                <w:rFonts w:ascii="宋体" w:hAnsi="宋体" w:cs="宋体"/>
                <w:color w:val="000000"/>
                <w:kern w:val="0"/>
                <w:sz w:val="18"/>
                <w:szCs w:val="18"/>
              </w:rPr>
            </w:pPr>
            <w:r>
              <w:rPr>
                <w:rFonts w:hint="eastAsia" w:ascii="宋体" w:hAnsi="宋体" w:cs="宋体"/>
                <w:color w:val="000000"/>
                <w:kern w:val="0"/>
                <w:sz w:val="18"/>
                <w:szCs w:val="18"/>
              </w:rPr>
              <w:t>评价部门预算项目年终资金结余情况。</w:t>
            </w:r>
            <w:r>
              <w:rPr>
                <w:rFonts w:ascii="宋体" w:hAnsi="宋体" w:cs="宋体"/>
                <w:color w:val="000000"/>
                <w:kern w:val="0"/>
                <w:sz w:val="18"/>
                <w:szCs w:val="18"/>
              </w:rPr>
              <w:t xml:space="preserve">                 </w:t>
            </w:r>
          </w:p>
        </w:tc>
        <w:tc>
          <w:tcPr>
            <w:tcW w:w="5468" w:type="dxa"/>
            <w:tcBorders>
              <w:top w:val="nil"/>
              <w:left w:val="nil"/>
              <w:bottom w:val="single" w:color="auto" w:sz="4" w:space="0"/>
              <w:right w:val="single" w:color="auto" w:sz="4" w:space="0"/>
            </w:tcBorders>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部门预算项目资金结余率小于</w:t>
            </w:r>
            <w:r>
              <w:rPr>
                <w:rFonts w:ascii="宋体" w:hAnsi="宋体" w:cs="宋体"/>
                <w:color w:val="000000"/>
                <w:kern w:val="0"/>
                <w:sz w:val="18"/>
                <w:szCs w:val="18"/>
              </w:rPr>
              <w:t>0.1</w:t>
            </w:r>
            <w:r>
              <w:rPr>
                <w:rFonts w:hint="eastAsia" w:ascii="宋体" w:hAnsi="宋体" w:cs="宋体"/>
                <w:color w:val="000000"/>
                <w:kern w:val="0"/>
                <w:sz w:val="18"/>
                <w:szCs w:val="18"/>
              </w:rPr>
              <w:t>的项目数</w:t>
            </w:r>
            <w:r>
              <w:rPr>
                <w:rFonts w:ascii="宋体" w:hAnsi="宋体" w:cs="宋体"/>
                <w:color w:val="000000"/>
                <w:kern w:val="0"/>
                <w:sz w:val="18"/>
                <w:szCs w:val="18"/>
              </w:rPr>
              <w:t>/</w:t>
            </w:r>
            <w:r>
              <w:rPr>
                <w:rFonts w:hint="eastAsia" w:ascii="宋体" w:hAnsi="宋体" w:cs="宋体"/>
                <w:color w:val="000000"/>
                <w:kern w:val="0"/>
                <w:sz w:val="18"/>
                <w:szCs w:val="18"/>
              </w:rPr>
              <w:t>部门预算项目总数</w:t>
            </w:r>
            <w:r>
              <w:rPr>
                <w:rFonts w:ascii="宋体" w:hAnsi="宋体" w:cs="宋体"/>
                <w:color w:val="000000"/>
                <w:kern w:val="0"/>
                <w:sz w:val="18"/>
                <w:szCs w:val="18"/>
              </w:rPr>
              <w:t>*5</w:t>
            </w:r>
            <w:r>
              <w:rPr>
                <w:rFonts w:hint="eastAsia" w:ascii="宋体" w:hAnsi="宋体" w:cs="宋体"/>
                <w:color w:val="000000"/>
                <w:kern w:val="0"/>
                <w:sz w:val="18"/>
                <w:szCs w:val="18"/>
              </w:rPr>
              <w:t>。</w:t>
            </w:r>
          </w:p>
        </w:tc>
        <w:tc>
          <w:tcPr>
            <w:tcW w:w="522" w:type="dxa"/>
            <w:tcBorders>
              <w:top w:val="nil"/>
              <w:left w:val="nil"/>
              <w:bottom w:val="single" w:color="auto" w:sz="4" w:space="0"/>
              <w:right w:val="single" w:color="auto" w:sz="4" w:space="0"/>
            </w:tcBorders>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w:t>
            </w:r>
          </w:p>
        </w:tc>
        <w:tc>
          <w:tcPr>
            <w:tcW w:w="506" w:type="dxa"/>
            <w:tcBorders>
              <w:top w:val="nil"/>
              <w:left w:val="nil"/>
              <w:bottom w:val="single" w:color="auto" w:sz="4" w:space="0"/>
              <w:right w:val="single" w:color="auto" w:sz="4" w:space="0"/>
            </w:tcBorders>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　</w:t>
            </w:r>
          </w:p>
        </w:tc>
        <w:tc>
          <w:tcPr>
            <w:tcW w:w="506" w:type="dxa"/>
            <w:tcBorders>
              <w:top w:val="nil"/>
              <w:left w:val="nil"/>
              <w:bottom w:val="single" w:color="auto" w:sz="4" w:space="0"/>
              <w:right w:val="single" w:color="auto" w:sz="4" w:space="0"/>
            </w:tcBorders>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　</w:t>
            </w:r>
          </w:p>
        </w:tc>
        <w:tc>
          <w:tcPr>
            <w:tcW w:w="538" w:type="dxa"/>
            <w:tcBorders>
              <w:top w:val="nil"/>
              <w:left w:val="nil"/>
              <w:bottom w:val="single" w:color="auto" w:sz="4" w:space="0"/>
              <w:right w:val="single" w:color="auto" w:sz="4" w:space="0"/>
            </w:tcBorders>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w:t>
            </w:r>
          </w:p>
        </w:tc>
        <w:tc>
          <w:tcPr>
            <w:tcW w:w="538" w:type="dxa"/>
            <w:tcBorders>
              <w:top w:val="nil"/>
              <w:left w:val="nil"/>
              <w:bottom w:val="single" w:color="auto" w:sz="4" w:space="0"/>
              <w:right w:val="single" w:color="auto" w:sz="4" w:space="0"/>
            </w:tcBorders>
            <w:noWrap w:val="0"/>
            <w:vAlign w:val="center"/>
          </w:tcPr>
          <w:p>
            <w:pPr>
              <w:spacing w:line="0" w:lineRule="atLeast"/>
              <w:jc w:val="center"/>
              <w:rPr>
                <w:rFonts w:ascii="宋体" w:hAnsi="宋体" w:cs="宋体"/>
                <w:color w:val="000000"/>
                <w:kern w:val="0"/>
                <w:sz w:val="18"/>
                <w:szCs w:val="18"/>
              </w:rPr>
            </w:pPr>
            <w:r>
              <w:rPr>
                <w:rFonts w:ascii="宋体" w:hAnsi="宋体" w:cs="宋体"/>
                <w:color w:val="000000"/>
                <w:kern w:val="0"/>
                <w:sz w:val="18"/>
                <w:szCs w:val="18"/>
              </w:rPr>
              <w:t>5</w:t>
            </w:r>
          </w:p>
        </w:tc>
      </w:tr>
      <w:tr>
        <w:tblPrEx>
          <w:tblCellMar>
            <w:top w:w="0" w:type="dxa"/>
            <w:left w:w="108" w:type="dxa"/>
            <w:bottom w:w="0" w:type="dxa"/>
            <w:right w:w="108" w:type="dxa"/>
          </w:tblCellMar>
        </w:tblPrEx>
        <w:trPr>
          <w:trHeight w:val="864" w:hRule="atLeast"/>
          <w:jc w:val="center"/>
        </w:trPr>
        <w:tc>
          <w:tcPr>
            <w:tcW w:w="713" w:type="dxa"/>
            <w:vMerge w:val="continue"/>
            <w:tcBorders>
              <w:left w:val="single" w:color="auto" w:sz="4" w:space="0"/>
              <w:bottom w:val="single" w:color="auto" w:sz="4" w:space="0"/>
              <w:right w:val="single" w:color="auto" w:sz="4" w:space="0"/>
            </w:tcBorders>
            <w:noWrap w:val="0"/>
            <w:vAlign w:val="center"/>
          </w:tcPr>
          <w:p>
            <w:pPr>
              <w:spacing w:line="0" w:lineRule="atLeast"/>
              <w:jc w:val="left"/>
              <w:rPr>
                <w:rFonts w:ascii="宋体" w:cs="宋体"/>
                <w:color w:val="000000"/>
                <w:kern w:val="0"/>
                <w:sz w:val="18"/>
                <w:szCs w:val="18"/>
              </w:rPr>
            </w:pPr>
          </w:p>
        </w:tc>
        <w:tc>
          <w:tcPr>
            <w:tcW w:w="716" w:type="dxa"/>
            <w:vMerge w:val="continue"/>
            <w:tcBorders>
              <w:top w:val="nil"/>
              <w:left w:val="single" w:color="auto" w:sz="4" w:space="0"/>
              <w:bottom w:val="single" w:color="auto" w:sz="4" w:space="0"/>
              <w:right w:val="single" w:color="auto" w:sz="4" w:space="0"/>
            </w:tcBorders>
            <w:noWrap w:val="0"/>
            <w:vAlign w:val="center"/>
          </w:tcPr>
          <w:p>
            <w:pPr>
              <w:spacing w:line="0" w:lineRule="atLeast"/>
              <w:jc w:val="left"/>
              <w:rPr>
                <w:rFonts w:ascii="宋体" w:cs="宋体"/>
                <w:color w:val="000000"/>
                <w:kern w:val="0"/>
                <w:sz w:val="18"/>
                <w:szCs w:val="18"/>
              </w:rPr>
            </w:pPr>
          </w:p>
        </w:tc>
        <w:tc>
          <w:tcPr>
            <w:tcW w:w="1126" w:type="dxa"/>
            <w:tcBorders>
              <w:top w:val="nil"/>
              <w:left w:val="nil"/>
              <w:bottom w:val="single" w:color="auto" w:sz="4" w:space="0"/>
              <w:right w:val="single" w:color="auto" w:sz="4" w:space="0"/>
            </w:tcBorders>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违规记录</w:t>
            </w:r>
          </w:p>
        </w:tc>
        <w:tc>
          <w:tcPr>
            <w:tcW w:w="555" w:type="dxa"/>
            <w:tcBorders>
              <w:top w:val="nil"/>
              <w:left w:val="nil"/>
              <w:bottom w:val="single" w:color="auto" w:sz="4" w:space="0"/>
              <w:right w:val="single" w:color="auto" w:sz="4" w:space="0"/>
            </w:tcBorders>
            <w:noWrap w:val="0"/>
            <w:vAlign w:val="center"/>
          </w:tcPr>
          <w:p>
            <w:pPr>
              <w:spacing w:line="0" w:lineRule="atLeast"/>
              <w:jc w:val="center"/>
              <w:rPr>
                <w:rFonts w:ascii="宋体" w:hAnsi="宋体" w:cs="宋体"/>
                <w:color w:val="000000"/>
                <w:kern w:val="0"/>
                <w:sz w:val="18"/>
                <w:szCs w:val="18"/>
              </w:rPr>
            </w:pPr>
            <w:r>
              <w:rPr>
                <w:rFonts w:ascii="宋体" w:hAnsi="宋体" w:cs="宋体"/>
                <w:color w:val="000000"/>
                <w:kern w:val="0"/>
                <w:sz w:val="18"/>
                <w:szCs w:val="18"/>
              </w:rPr>
              <w:t>5</w:t>
            </w:r>
          </w:p>
        </w:tc>
        <w:tc>
          <w:tcPr>
            <w:tcW w:w="2935" w:type="dxa"/>
            <w:tcBorders>
              <w:top w:val="nil"/>
              <w:left w:val="nil"/>
              <w:bottom w:val="single" w:color="auto" w:sz="4" w:space="0"/>
              <w:right w:val="single" w:color="auto" w:sz="4" w:space="0"/>
            </w:tcBorders>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根据审计监督、财政检查结果反映部门上一年度部门预算管理是否合规。</w:t>
            </w:r>
          </w:p>
        </w:tc>
        <w:tc>
          <w:tcPr>
            <w:tcW w:w="5468" w:type="dxa"/>
            <w:tcBorders>
              <w:top w:val="nil"/>
              <w:left w:val="nil"/>
              <w:bottom w:val="single" w:color="auto" w:sz="4" w:space="0"/>
              <w:right w:val="single" w:color="auto" w:sz="4" w:space="0"/>
            </w:tcBorders>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依据评价年度审计监督、财政检查结果，出现部门预算管理方面违纪违规问题的，每个问题扣</w:t>
            </w:r>
            <w:r>
              <w:rPr>
                <w:rFonts w:ascii="宋体" w:hAnsi="宋体" w:cs="宋体"/>
                <w:color w:val="000000"/>
                <w:kern w:val="0"/>
                <w:sz w:val="18"/>
                <w:szCs w:val="18"/>
              </w:rPr>
              <w:t>0.5</w:t>
            </w:r>
            <w:r>
              <w:rPr>
                <w:rFonts w:hint="eastAsia" w:ascii="宋体" w:hAnsi="宋体" w:cs="宋体"/>
                <w:color w:val="000000"/>
                <w:kern w:val="0"/>
                <w:sz w:val="18"/>
                <w:szCs w:val="18"/>
              </w:rPr>
              <w:t>分，直至扣完。</w:t>
            </w:r>
          </w:p>
        </w:tc>
        <w:tc>
          <w:tcPr>
            <w:tcW w:w="522" w:type="dxa"/>
            <w:tcBorders>
              <w:top w:val="nil"/>
              <w:left w:val="nil"/>
              <w:bottom w:val="single" w:color="auto" w:sz="4" w:space="0"/>
              <w:right w:val="single" w:color="auto" w:sz="4" w:space="0"/>
            </w:tcBorders>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w:t>
            </w:r>
          </w:p>
        </w:tc>
        <w:tc>
          <w:tcPr>
            <w:tcW w:w="506" w:type="dxa"/>
            <w:tcBorders>
              <w:top w:val="nil"/>
              <w:left w:val="nil"/>
              <w:bottom w:val="single" w:color="auto" w:sz="4" w:space="0"/>
              <w:right w:val="single" w:color="auto" w:sz="4" w:space="0"/>
            </w:tcBorders>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　</w:t>
            </w:r>
          </w:p>
        </w:tc>
        <w:tc>
          <w:tcPr>
            <w:tcW w:w="506" w:type="dxa"/>
            <w:tcBorders>
              <w:top w:val="nil"/>
              <w:left w:val="nil"/>
              <w:bottom w:val="single" w:color="auto" w:sz="4" w:space="0"/>
              <w:right w:val="single" w:color="auto" w:sz="4" w:space="0"/>
            </w:tcBorders>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　</w:t>
            </w:r>
          </w:p>
        </w:tc>
        <w:tc>
          <w:tcPr>
            <w:tcW w:w="538" w:type="dxa"/>
            <w:tcBorders>
              <w:top w:val="nil"/>
              <w:left w:val="nil"/>
              <w:bottom w:val="single" w:color="auto" w:sz="4" w:space="0"/>
              <w:right w:val="single" w:color="auto" w:sz="4" w:space="0"/>
            </w:tcBorders>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w:t>
            </w:r>
          </w:p>
        </w:tc>
        <w:tc>
          <w:tcPr>
            <w:tcW w:w="538" w:type="dxa"/>
            <w:tcBorders>
              <w:top w:val="nil"/>
              <w:left w:val="nil"/>
              <w:bottom w:val="single" w:color="auto" w:sz="4" w:space="0"/>
              <w:right w:val="single" w:color="auto" w:sz="4" w:space="0"/>
            </w:tcBorders>
            <w:noWrap w:val="0"/>
            <w:vAlign w:val="center"/>
          </w:tcPr>
          <w:p>
            <w:pPr>
              <w:spacing w:line="0" w:lineRule="atLeast"/>
              <w:jc w:val="center"/>
              <w:rPr>
                <w:rFonts w:ascii="宋体" w:hAnsi="宋体" w:cs="宋体"/>
                <w:color w:val="000000"/>
                <w:kern w:val="0"/>
                <w:sz w:val="18"/>
                <w:szCs w:val="18"/>
              </w:rPr>
            </w:pPr>
            <w:r>
              <w:rPr>
                <w:rFonts w:ascii="宋体" w:hAnsi="宋体" w:cs="宋体"/>
                <w:color w:val="000000"/>
                <w:kern w:val="0"/>
                <w:sz w:val="18"/>
                <w:szCs w:val="18"/>
              </w:rPr>
              <w:t>5</w:t>
            </w:r>
          </w:p>
        </w:tc>
      </w:tr>
      <w:tr>
        <w:tblPrEx>
          <w:tblCellMar>
            <w:top w:w="0" w:type="dxa"/>
            <w:left w:w="108" w:type="dxa"/>
            <w:bottom w:w="0" w:type="dxa"/>
            <w:right w:w="108" w:type="dxa"/>
          </w:tblCellMar>
        </w:tblPrEx>
        <w:trPr>
          <w:trHeight w:val="836" w:hRule="atLeast"/>
          <w:jc w:val="center"/>
        </w:trPr>
        <w:tc>
          <w:tcPr>
            <w:tcW w:w="713" w:type="dxa"/>
            <w:vMerge w:val="restart"/>
            <w:tcBorders>
              <w:top w:val="nil"/>
              <w:left w:val="single" w:color="auto" w:sz="4" w:space="0"/>
              <w:bottom w:val="single" w:color="auto" w:sz="4" w:space="0"/>
              <w:right w:val="single" w:color="auto" w:sz="4" w:space="0"/>
            </w:tcBorders>
            <w:noWrap w:val="0"/>
            <w:vAlign w:val="center"/>
          </w:tcPr>
          <w:p>
            <w:pPr>
              <w:spacing w:line="0" w:lineRule="atLeast"/>
              <w:ind w:left="-105" w:leftChars="-50" w:right="-105" w:rightChars="-50"/>
              <w:jc w:val="center"/>
              <w:rPr>
                <w:rFonts w:ascii="宋体" w:cs="宋体"/>
                <w:color w:val="000000"/>
                <w:kern w:val="0"/>
                <w:sz w:val="18"/>
                <w:szCs w:val="18"/>
              </w:rPr>
            </w:pPr>
            <w:r>
              <w:rPr>
                <w:rFonts w:hint="eastAsia" w:ascii="宋体" w:hAnsi="宋体" w:cs="宋体"/>
                <w:color w:val="000000"/>
                <w:kern w:val="0"/>
                <w:sz w:val="18"/>
                <w:szCs w:val="18"/>
              </w:rPr>
              <w:t>绩效结果应用（</w:t>
            </w:r>
            <w:r>
              <w:rPr>
                <w:rFonts w:ascii="宋体" w:hAnsi="宋体" w:cs="宋体"/>
                <w:color w:val="000000"/>
                <w:kern w:val="0"/>
                <w:sz w:val="18"/>
                <w:szCs w:val="18"/>
              </w:rPr>
              <w:t>20</w:t>
            </w:r>
            <w:r>
              <w:rPr>
                <w:rFonts w:hint="eastAsia" w:ascii="宋体" w:hAnsi="宋体" w:cs="宋体"/>
                <w:color w:val="000000"/>
                <w:kern w:val="0"/>
                <w:sz w:val="18"/>
                <w:szCs w:val="18"/>
              </w:rPr>
              <w:t>分）</w:t>
            </w:r>
          </w:p>
        </w:tc>
        <w:tc>
          <w:tcPr>
            <w:tcW w:w="716" w:type="dxa"/>
            <w:tcBorders>
              <w:top w:val="nil"/>
              <w:left w:val="nil"/>
              <w:bottom w:val="single" w:color="auto" w:sz="4" w:space="0"/>
              <w:right w:val="single" w:color="auto" w:sz="4" w:space="0"/>
            </w:tcBorders>
            <w:noWrap w:val="0"/>
            <w:vAlign w:val="center"/>
          </w:tcPr>
          <w:p>
            <w:pPr>
              <w:spacing w:line="0" w:lineRule="atLeast"/>
              <w:ind w:left="-105" w:leftChars="-50" w:right="-105" w:rightChars="-50"/>
              <w:jc w:val="center"/>
              <w:rPr>
                <w:rFonts w:ascii="宋体" w:cs="宋体"/>
                <w:color w:val="000000"/>
                <w:kern w:val="0"/>
                <w:sz w:val="18"/>
                <w:szCs w:val="18"/>
              </w:rPr>
            </w:pPr>
            <w:r>
              <w:rPr>
                <w:rFonts w:hint="eastAsia" w:ascii="宋体" w:hAnsi="宋体" w:cs="宋体"/>
                <w:color w:val="000000"/>
                <w:kern w:val="0"/>
                <w:sz w:val="18"/>
                <w:szCs w:val="18"/>
              </w:rPr>
              <w:t>内部</w:t>
            </w:r>
          </w:p>
          <w:p>
            <w:pPr>
              <w:spacing w:line="0" w:lineRule="atLeast"/>
              <w:ind w:left="-105" w:leftChars="-50" w:right="-105" w:rightChars="-50"/>
              <w:jc w:val="center"/>
              <w:rPr>
                <w:rFonts w:ascii="宋体" w:cs="宋体"/>
                <w:color w:val="000000"/>
                <w:kern w:val="0"/>
                <w:sz w:val="18"/>
                <w:szCs w:val="18"/>
              </w:rPr>
            </w:pPr>
            <w:r>
              <w:rPr>
                <w:rFonts w:hint="eastAsia" w:ascii="宋体" w:hAnsi="宋体" w:cs="宋体"/>
                <w:color w:val="000000"/>
                <w:kern w:val="0"/>
                <w:sz w:val="18"/>
                <w:szCs w:val="18"/>
              </w:rPr>
              <w:t>应用</w:t>
            </w:r>
          </w:p>
          <w:p>
            <w:pPr>
              <w:spacing w:line="0" w:lineRule="atLeast"/>
              <w:ind w:left="-105" w:leftChars="-50" w:right="-105" w:rightChars="-50"/>
              <w:jc w:val="center"/>
              <w:rPr>
                <w:rFonts w:ascii="宋体" w:cs="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6</w:t>
            </w:r>
            <w:r>
              <w:rPr>
                <w:rFonts w:hint="eastAsia" w:ascii="宋体" w:hAnsi="宋体" w:cs="宋体"/>
                <w:color w:val="000000"/>
                <w:kern w:val="0"/>
                <w:sz w:val="18"/>
                <w:szCs w:val="18"/>
              </w:rPr>
              <w:t>分）</w:t>
            </w:r>
          </w:p>
        </w:tc>
        <w:tc>
          <w:tcPr>
            <w:tcW w:w="1126" w:type="dxa"/>
            <w:tcBorders>
              <w:top w:val="nil"/>
              <w:left w:val="nil"/>
              <w:bottom w:val="single" w:color="auto" w:sz="4" w:space="0"/>
              <w:right w:val="single" w:color="auto" w:sz="4" w:space="0"/>
            </w:tcBorders>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预算挂钩</w:t>
            </w:r>
          </w:p>
        </w:tc>
        <w:tc>
          <w:tcPr>
            <w:tcW w:w="555" w:type="dxa"/>
            <w:tcBorders>
              <w:top w:val="nil"/>
              <w:left w:val="nil"/>
              <w:bottom w:val="single" w:color="auto" w:sz="4" w:space="0"/>
              <w:right w:val="single" w:color="auto" w:sz="4" w:space="0"/>
            </w:tcBorders>
            <w:noWrap w:val="0"/>
            <w:vAlign w:val="center"/>
          </w:tcPr>
          <w:p>
            <w:pPr>
              <w:spacing w:line="0" w:lineRule="atLeast"/>
              <w:jc w:val="center"/>
              <w:rPr>
                <w:rFonts w:ascii="宋体" w:hAnsi="宋体" w:cs="宋体"/>
                <w:color w:val="000000"/>
                <w:kern w:val="0"/>
                <w:sz w:val="18"/>
                <w:szCs w:val="18"/>
              </w:rPr>
            </w:pPr>
            <w:r>
              <w:rPr>
                <w:rFonts w:ascii="宋体" w:hAnsi="宋体" w:cs="宋体"/>
                <w:color w:val="000000"/>
                <w:kern w:val="0"/>
                <w:sz w:val="18"/>
                <w:szCs w:val="18"/>
              </w:rPr>
              <w:t>6</w:t>
            </w:r>
          </w:p>
        </w:tc>
        <w:tc>
          <w:tcPr>
            <w:tcW w:w="2935" w:type="dxa"/>
            <w:tcBorders>
              <w:top w:val="nil"/>
              <w:left w:val="nil"/>
              <w:bottom w:val="single" w:color="auto" w:sz="4" w:space="0"/>
              <w:right w:val="single" w:color="auto" w:sz="4" w:space="0"/>
            </w:tcBorders>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部门内部绩效结果与预算挂钩情况</w:t>
            </w:r>
          </w:p>
        </w:tc>
        <w:tc>
          <w:tcPr>
            <w:tcW w:w="5468" w:type="dxa"/>
            <w:tcBorders>
              <w:top w:val="nil"/>
              <w:left w:val="nil"/>
              <w:bottom w:val="single" w:color="auto" w:sz="4" w:space="0"/>
              <w:right w:val="single" w:color="auto" w:sz="4" w:space="0"/>
            </w:tcBorders>
            <w:noWrap w:val="0"/>
            <w:vAlign w:val="center"/>
          </w:tcPr>
          <w:p>
            <w:pPr>
              <w:spacing w:line="0" w:lineRule="atLeast"/>
              <w:jc w:val="left"/>
              <w:rPr>
                <w:rFonts w:ascii="宋体" w:hAnsi="宋体" w:cs="宋体"/>
                <w:color w:val="000000"/>
                <w:kern w:val="0"/>
                <w:sz w:val="18"/>
                <w:szCs w:val="18"/>
              </w:rPr>
            </w:pPr>
            <w:r>
              <w:rPr>
                <w:rFonts w:hint="eastAsia" w:ascii="宋体" w:hAnsi="宋体" w:cs="宋体"/>
                <w:color w:val="000000"/>
                <w:kern w:val="0"/>
                <w:sz w:val="18"/>
                <w:szCs w:val="18"/>
              </w:rPr>
              <w:t>将内设机构和下属单位绩效自评纳入考核体系，建立对内设机构和下属单位预算与绩效挂钩机制的，得</w:t>
            </w:r>
            <w:r>
              <w:rPr>
                <w:rFonts w:ascii="宋体" w:hAnsi="宋体" w:cs="宋体"/>
                <w:color w:val="000000"/>
                <w:kern w:val="0"/>
                <w:sz w:val="18"/>
                <w:szCs w:val="18"/>
              </w:rPr>
              <w:t>6</w:t>
            </w:r>
            <w:r>
              <w:rPr>
                <w:rFonts w:hint="eastAsia" w:ascii="宋体" w:hAnsi="宋体" w:cs="宋体"/>
                <w:color w:val="000000"/>
                <w:kern w:val="0"/>
                <w:sz w:val="18"/>
                <w:szCs w:val="18"/>
              </w:rPr>
              <w:t>分，否则酌情扣分。</w:t>
            </w:r>
            <w:r>
              <w:rPr>
                <w:rFonts w:ascii="宋体" w:hAnsi="宋体" w:cs="宋体"/>
                <w:color w:val="000000"/>
                <w:kern w:val="0"/>
                <w:sz w:val="18"/>
                <w:szCs w:val="18"/>
              </w:rPr>
              <w:t xml:space="preserve">    </w:t>
            </w:r>
          </w:p>
        </w:tc>
        <w:tc>
          <w:tcPr>
            <w:tcW w:w="522" w:type="dxa"/>
            <w:tcBorders>
              <w:top w:val="nil"/>
              <w:left w:val="nil"/>
              <w:bottom w:val="single" w:color="auto" w:sz="4" w:space="0"/>
              <w:right w:val="single" w:color="auto" w:sz="4" w:space="0"/>
            </w:tcBorders>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w:t>
            </w:r>
          </w:p>
        </w:tc>
        <w:tc>
          <w:tcPr>
            <w:tcW w:w="506" w:type="dxa"/>
            <w:tcBorders>
              <w:top w:val="nil"/>
              <w:left w:val="nil"/>
              <w:bottom w:val="single" w:color="auto" w:sz="4" w:space="0"/>
              <w:right w:val="single" w:color="auto" w:sz="4" w:space="0"/>
            </w:tcBorders>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　</w:t>
            </w:r>
          </w:p>
        </w:tc>
        <w:tc>
          <w:tcPr>
            <w:tcW w:w="506" w:type="dxa"/>
            <w:tcBorders>
              <w:top w:val="nil"/>
              <w:left w:val="nil"/>
              <w:bottom w:val="single" w:color="auto" w:sz="4" w:space="0"/>
              <w:right w:val="single" w:color="auto" w:sz="4" w:space="0"/>
            </w:tcBorders>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w:t>
            </w:r>
          </w:p>
        </w:tc>
        <w:tc>
          <w:tcPr>
            <w:tcW w:w="538" w:type="dxa"/>
            <w:tcBorders>
              <w:top w:val="nil"/>
              <w:left w:val="nil"/>
              <w:bottom w:val="single" w:color="auto" w:sz="4" w:space="0"/>
              <w:right w:val="single" w:color="auto" w:sz="4" w:space="0"/>
            </w:tcBorders>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　</w:t>
            </w:r>
          </w:p>
        </w:tc>
        <w:tc>
          <w:tcPr>
            <w:tcW w:w="538" w:type="dxa"/>
            <w:tcBorders>
              <w:top w:val="nil"/>
              <w:left w:val="nil"/>
              <w:bottom w:val="single" w:color="auto" w:sz="4" w:space="0"/>
              <w:right w:val="single" w:color="auto" w:sz="4" w:space="0"/>
            </w:tcBorders>
            <w:noWrap w:val="0"/>
            <w:vAlign w:val="center"/>
          </w:tcPr>
          <w:p>
            <w:pPr>
              <w:spacing w:line="0" w:lineRule="atLeast"/>
              <w:jc w:val="center"/>
              <w:rPr>
                <w:rFonts w:ascii="宋体" w:hAnsi="宋体" w:cs="宋体"/>
                <w:color w:val="000000"/>
                <w:kern w:val="0"/>
                <w:sz w:val="18"/>
                <w:szCs w:val="18"/>
              </w:rPr>
            </w:pPr>
            <w:r>
              <w:rPr>
                <w:rFonts w:ascii="宋体" w:hAnsi="宋体" w:cs="宋体"/>
                <w:color w:val="000000"/>
                <w:kern w:val="0"/>
                <w:sz w:val="18"/>
                <w:szCs w:val="18"/>
              </w:rPr>
              <w:t>6</w:t>
            </w:r>
          </w:p>
        </w:tc>
      </w:tr>
      <w:tr>
        <w:tblPrEx>
          <w:tblCellMar>
            <w:top w:w="0" w:type="dxa"/>
            <w:left w:w="108" w:type="dxa"/>
            <w:bottom w:w="0" w:type="dxa"/>
            <w:right w:w="108" w:type="dxa"/>
          </w:tblCellMar>
        </w:tblPrEx>
        <w:trPr>
          <w:trHeight w:val="934" w:hRule="atLeast"/>
          <w:jc w:val="center"/>
        </w:trPr>
        <w:tc>
          <w:tcPr>
            <w:tcW w:w="713" w:type="dxa"/>
            <w:vMerge w:val="continue"/>
            <w:tcBorders>
              <w:top w:val="nil"/>
              <w:left w:val="single" w:color="auto" w:sz="4" w:space="0"/>
              <w:bottom w:val="single" w:color="auto" w:sz="4" w:space="0"/>
              <w:right w:val="single" w:color="auto" w:sz="4" w:space="0"/>
            </w:tcBorders>
            <w:noWrap w:val="0"/>
            <w:vAlign w:val="center"/>
          </w:tcPr>
          <w:p>
            <w:pPr>
              <w:spacing w:line="0" w:lineRule="atLeast"/>
              <w:jc w:val="left"/>
              <w:rPr>
                <w:rFonts w:ascii="宋体" w:cs="宋体"/>
                <w:color w:val="000000"/>
                <w:kern w:val="0"/>
                <w:sz w:val="18"/>
                <w:szCs w:val="18"/>
              </w:rPr>
            </w:pPr>
          </w:p>
        </w:tc>
        <w:tc>
          <w:tcPr>
            <w:tcW w:w="716" w:type="dxa"/>
            <w:tcBorders>
              <w:top w:val="nil"/>
              <w:left w:val="nil"/>
              <w:bottom w:val="single" w:color="auto" w:sz="4" w:space="0"/>
              <w:right w:val="single" w:color="auto" w:sz="4" w:space="0"/>
            </w:tcBorders>
            <w:noWrap w:val="0"/>
            <w:vAlign w:val="center"/>
          </w:tcPr>
          <w:p>
            <w:pPr>
              <w:spacing w:line="0" w:lineRule="atLeast"/>
              <w:ind w:left="-105" w:leftChars="-50" w:right="-105" w:rightChars="-50"/>
              <w:jc w:val="center"/>
              <w:rPr>
                <w:rFonts w:ascii="宋体" w:cs="宋体"/>
                <w:color w:val="000000"/>
                <w:kern w:val="0"/>
                <w:sz w:val="18"/>
                <w:szCs w:val="18"/>
              </w:rPr>
            </w:pPr>
            <w:r>
              <w:rPr>
                <w:rFonts w:hint="eastAsia" w:ascii="宋体" w:hAnsi="宋体" w:cs="宋体"/>
                <w:color w:val="000000"/>
                <w:kern w:val="0"/>
                <w:sz w:val="18"/>
                <w:szCs w:val="18"/>
              </w:rPr>
              <w:t>信息</w:t>
            </w:r>
          </w:p>
          <w:p>
            <w:pPr>
              <w:spacing w:line="0" w:lineRule="atLeast"/>
              <w:ind w:left="-105" w:leftChars="-50" w:right="-105" w:rightChars="-50"/>
              <w:jc w:val="center"/>
              <w:rPr>
                <w:rFonts w:ascii="宋体" w:cs="宋体"/>
                <w:color w:val="000000"/>
                <w:kern w:val="0"/>
                <w:sz w:val="18"/>
                <w:szCs w:val="18"/>
              </w:rPr>
            </w:pPr>
            <w:r>
              <w:rPr>
                <w:rFonts w:hint="eastAsia" w:ascii="宋体" w:hAnsi="宋体" w:cs="宋体"/>
                <w:color w:val="000000"/>
                <w:kern w:val="0"/>
                <w:sz w:val="18"/>
                <w:szCs w:val="18"/>
              </w:rPr>
              <w:t>公开</w:t>
            </w:r>
          </w:p>
          <w:p>
            <w:pPr>
              <w:spacing w:line="0" w:lineRule="atLeast"/>
              <w:ind w:left="-105" w:leftChars="-50" w:right="-105" w:rightChars="-50"/>
              <w:jc w:val="center"/>
              <w:rPr>
                <w:rFonts w:ascii="宋体" w:hAnsi="宋体" w:cs="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4</w:t>
            </w:r>
            <w:r>
              <w:rPr>
                <w:rFonts w:hint="eastAsia" w:ascii="宋体" w:hAnsi="宋体" w:cs="宋体"/>
                <w:color w:val="000000"/>
                <w:kern w:val="0"/>
                <w:sz w:val="18"/>
                <w:szCs w:val="18"/>
              </w:rPr>
              <w:t>分</w:t>
            </w:r>
            <w:r>
              <w:rPr>
                <w:rFonts w:ascii="宋体" w:hAnsi="宋体" w:cs="宋体"/>
                <w:color w:val="000000"/>
                <w:kern w:val="0"/>
                <w:sz w:val="18"/>
                <w:szCs w:val="18"/>
              </w:rPr>
              <w:t>)</w:t>
            </w:r>
          </w:p>
        </w:tc>
        <w:tc>
          <w:tcPr>
            <w:tcW w:w="1126" w:type="dxa"/>
            <w:tcBorders>
              <w:top w:val="nil"/>
              <w:left w:val="nil"/>
              <w:bottom w:val="single" w:color="auto" w:sz="4" w:space="0"/>
              <w:right w:val="single" w:color="auto" w:sz="4" w:space="0"/>
            </w:tcBorders>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自评公开</w:t>
            </w:r>
          </w:p>
        </w:tc>
        <w:tc>
          <w:tcPr>
            <w:tcW w:w="555" w:type="dxa"/>
            <w:tcBorders>
              <w:top w:val="nil"/>
              <w:left w:val="nil"/>
              <w:bottom w:val="single" w:color="auto" w:sz="4" w:space="0"/>
              <w:right w:val="single" w:color="auto" w:sz="4" w:space="0"/>
            </w:tcBorders>
            <w:noWrap w:val="0"/>
            <w:vAlign w:val="center"/>
          </w:tcPr>
          <w:p>
            <w:pPr>
              <w:spacing w:line="0" w:lineRule="atLeast"/>
              <w:jc w:val="center"/>
              <w:rPr>
                <w:rFonts w:ascii="宋体" w:hAnsi="宋体" w:cs="宋体"/>
                <w:color w:val="000000"/>
                <w:kern w:val="0"/>
                <w:sz w:val="18"/>
                <w:szCs w:val="18"/>
              </w:rPr>
            </w:pPr>
            <w:r>
              <w:rPr>
                <w:rFonts w:ascii="宋体" w:hAnsi="宋体" w:cs="宋体"/>
                <w:color w:val="000000"/>
                <w:kern w:val="0"/>
                <w:sz w:val="18"/>
                <w:szCs w:val="18"/>
              </w:rPr>
              <w:t>4</w:t>
            </w:r>
          </w:p>
        </w:tc>
        <w:tc>
          <w:tcPr>
            <w:tcW w:w="2935" w:type="dxa"/>
            <w:tcBorders>
              <w:top w:val="nil"/>
              <w:left w:val="nil"/>
              <w:bottom w:val="single" w:color="auto" w:sz="4" w:space="0"/>
              <w:right w:val="single" w:color="auto" w:sz="4" w:space="0"/>
            </w:tcBorders>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评价部门是否按要求将部门整体绩效自评情况和自行组织的评价情况向社会公开。</w:t>
            </w:r>
          </w:p>
        </w:tc>
        <w:tc>
          <w:tcPr>
            <w:tcW w:w="5468" w:type="dxa"/>
            <w:tcBorders>
              <w:top w:val="nil"/>
              <w:left w:val="nil"/>
              <w:bottom w:val="single" w:color="auto" w:sz="4" w:space="0"/>
              <w:right w:val="single" w:color="auto" w:sz="4" w:space="0"/>
            </w:tcBorders>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按要求将相关绩效信息随同决算公开的，得</w:t>
            </w:r>
            <w:r>
              <w:rPr>
                <w:rFonts w:ascii="宋体" w:hAnsi="宋体" w:cs="宋体"/>
                <w:color w:val="000000"/>
                <w:kern w:val="0"/>
                <w:sz w:val="18"/>
                <w:szCs w:val="18"/>
              </w:rPr>
              <w:t>4</w:t>
            </w:r>
            <w:r>
              <w:rPr>
                <w:rFonts w:hint="eastAsia" w:ascii="宋体" w:hAnsi="宋体" w:cs="宋体"/>
                <w:color w:val="000000"/>
                <w:kern w:val="0"/>
                <w:sz w:val="18"/>
                <w:szCs w:val="18"/>
              </w:rPr>
              <w:t>分，否则不得分。</w:t>
            </w:r>
          </w:p>
        </w:tc>
        <w:tc>
          <w:tcPr>
            <w:tcW w:w="522" w:type="dxa"/>
            <w:tcBorders>
              <w:top w:val="nil"/>
              <w:left w:val="nil"/>
              <w:bottom w:val="single" w:color="auto" w:sz="4" w:space="0"/>
              <w:right w:val="single" w:color="auto" w:sz="4" w:space="0"/>
            </w:tcBorders>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w:t>
            </w:r>
          </w:p>
        </w:tc>
        <w:tc>
          <w:tcPr>
            <w:tcW w:w="506" w:type="dxa"/>
            <w:tcBorders>
              <w:top w:val="nil"/>
              <w:left w:val="nil"/>
              <w:bottom w:val="single" w:color="auto" w:sz="4" w:space="0"/>
              <w:right w:val="single" w:color="auto" w:sz="4" w:space="0"/>
            </w:tcBorders>
            <w:noWrap w:val="0"/>
            <w:vAlign w:val="center"/>
          </w:tcPr>
          <w:p>
            <w:pPr>
              <w:spacing w:line="0" w:lineRule="atLeast"/>
              <w:rPr>
                <w:rFonts w:ascii="宋体" w:cs="宋体"/>
                <w:color w:val="000000"/>
                <w:kern w:val="0"/>
                <w:sz w:val="18"/>
                <w:szCs w:val="18"/>
              </w:rPr>
            </w:pPr>
            <w:r>
              <w:rPr>
                <w:rFonts w:hint="eastAsia" w:ascii="宋体" w:hAnsi="宋体" w:cs="宋体"/>
                <w:color w:val="000000"/>
                <w:kern w:val="0"/>
                <w:sz w:val="18"/>
                <w:szCs w:val="18"/>
              </w:rPr>
              <w:t>　</w:t>
            </w:r>
          </w:p>
        </w:tc>
        <w:tc>
          <w:tcPr>
            <w:tcW w:w="506" w:type="dxa"/>
            <w:tcBorders>
              <w:top w:val="nil"/>
              <w:left w:val="nil"/>
              <w:bottom w:val="single" w:color="auto" w:sz="4" w:space="0"/>
              <w:right w:val="single" w:color="auto" w:sz="4" w:space="0"/>
            </w:tcBorders>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w:t>
            </w:r>
          </w:p>
        </w:tc>
        <w:tc>
          <w:tcPr>
            <w:tcW w:w="538" w:type="dxa"/>
            <w:tcBorders>
              <w:top w:val="nil"/>
              <w:left w:val="nil"/>
              <w:bottom w:val="single" w:color="auto" w:sz="4" w:space="0"/>
              <w:right w:val="single" w:color="auto" w:sz="4" w:space="0"/>
            </w:tcBorders>
            <w:noWrap w:val="0"/>
            <w:vAlign w:val="center"/>
          </w:tcPr>
          <w:p>
            <w:pPr>
              <w:spacing w:line="0" w:lineRule="atLeast"/>
              <w:rPr>
                <w:rFonts w:ascii="宋体" w:cs="宋体"/>
                <w:color w:val="000000"/>
                <w:kern w:val="0"/>
                <w:sz w:val="18"/>
                <w:szCs w:val="18"/>
              </w:rPr>
            </w:pPr>
            <w:r>
              <w:rPr>
                <w:rFonts w:hint="eastAsia" w:ascii="宋体" w:hAnsi="宋体" w:cs="宋体"/>
                <w:color w:val="000000"/>
                <w:kern w:val="0"/>
                <w:sz w:val="18"/>
                <w:szCs w:val="18"/>
              </w:rPr>
              <w:t>　</w:t>
            </w:r>
          </w:p>
        </w:tc>
        <w:tc>
          <w:tcPr>
            <w:tcW w:w="538" w:type="dxa"/>
            <w:tcBorders>
              <w:top w:val="nil"/>
              <w:left w:val="nil"/>
              <w:bottom w:val="single" w:color="auto" w:sz="4" w:space="0"/>
              <w:right w:val="single" w:color="auto" w:sz="4" w:space="0"/>
            </w:tcBorders>
            <w:noWrap w:val="0"/>
            <w:vAlign w:val="center"/>
          </w:tcPr>
          <w:p>
            <w:pPr>
              <w:spacing w:line="0" w:lineRule="atLeast"/>
              <w:jc w:val="center"/>
              <w:rPr>
                <w:rFonts w:ascii="宋体" w:hAnsi="宋体" w:cs="宋体"/>
                <w:color w:val="000000"/>
                <w:kern w:val="0"/>
                <w:sz w:val="18"/>
                <w:szCs w:val="18"/>
              </w:rPr>
            </w:pPr>
            <w:r>
              <w:rPr>
                <w:rFonts w:ascii="宋体" w:hAnsi="宋体" w:cs="宋体"/>
                <w:color w:val="000000"/>
                <w:kern w:val="0"/>
                <w:sz w:val="18"/>
                <w:szCs w:val="18"/>
              </w:rPr>
              <w:t>4</w:t>
            </w:r>
          </w:p>
        </w:tc>
      </w:tr>
      <w:tr>
        <w:tblPrEx>
          <w:tblCellMar>
            <w:top w:w="0" w:type="dxa"/>
            <w:left w:w="108" w:type="dxa"/>
            <w:bottom w:w="0" w:type="dxa"/>
            <w:right w:w="108" w:type="dxa"/>
          </w:tblCellMar>
        </w:tblPrEx>
        <w:trPr>
          <w:trHeight w:val="697" w:hRule="atLeast"/>
          <w:jc w:val="center"/>
        </w:trPr>
        <w:tc>
          <w:tcPr>
            <w:tcW w:w="713" w:type="dxa"/>
            <w:vMerge w:val="continue"/>
            <w:tcBorders>
              <w:top w:val="nil"/>
              <w:left w:val="single" w:color="auto" w:sz="4" w:space="0"/>
              <w:bottom w:val="single" w:color="auto" w:sz="4" w:space="0"/>
              <w:right w:val="single" w:color="auto" w:sz="4" w:space="0"/>
            </w:tcBorders>
            <w:noWrap w:val="0"/>
            <w:vAlign w:val="center"/>
          </w:tcPr>
          <w:p>
            <w:pPr>
              <w:spacing w:line="0" w:lineRule="atLeast"/>
              <w:jc w:val="left"/>
              <w:rPr>
                <w:rFonts w:ascii="宋体" w:cs="宋体"/>
                <w:color w:val="000000"/>
                <w:kern w:val="0"/>
                <w:sz w:val="18"/>
                <w:szCs w:val="18"/>
              </w:rPr>
            </w:pPr>
          </w:p>
        </w:tc>
        <w:tc>
          <w:tcPr>
            <w:tcW w:w="716" w:type="dxa"/>
            <w:vMerge w:val="restart"/>
            <w:tcBorders>
              <w:top w:val="nil"/>
              <w:left w:val="single" w:color="auto" w:sz="4" w:space="0"/>
              <w:bottom w:val="single" w:color="auto" w:sz="4" w:space="0"/>
              <w:right w:val="single" w:color="auto" w:sz="4" w:space="0"/>
            </w:tcBorders>
            <w:noWrap w:val="0"/>
            <w:vAlign w:val="center"/>
          </w:tcPr>
          <w:p>
            <w:pPr>
              <w:spacing w:line="0" w:lineRule="atLeast"/>
              <w:ind w:left="-105" w:leftChars="-50" w:right="-105" w:rightChars="-50"/>
              <w:jc w:val="center"/>
              <w:rPr>
                <w:rFonts w:ascii="宋体" w:cs="宋体"/>
                <w:color w:val="000000"/>
                <w:kern w:val="0"/>
                <w:sz w:val="18"/>
                <w:szCs w:val="18"/>
              </w:rPr>
            </w:pPr>
            <w:r>
              <w:rPr>
                <w:rFonts w:hint="eastAsia" w:ascii="宋体" w:hAnsi="宋体" w:cs="宋体"/>
                <w:color w:val="000000"/>
                <w:kern w:val="0"/>
                <w:sz w:val="18"/>
                <w:szCs w:val="18"/>
              </w:rPr>
              <w:t>整改</w:t>
            </w:r>
          </w:p>
          <w:p>
            <w:pPr>
              <w:spacing w:line="0" w:lineRule="atLeast"/>
              <w:ind w:left="-105" w:leftChars="-50" w:right="-105" w:rightChars="-50"/>
              <w:jc w:val="center"/>
              <w:rPr>
                <w:rFonts w:ascii="宋体" w:cs="宋体"/>
                <w:color w:val="000000"/>
                <w:kern w:val="0"/>
                <w:sz w:val="18"/>
                <w:szCs w:val="18"/>
              </w:rPr>
            </w:pPr>
            <w:r>
              <w:rPr>
                <w:rFonts w:hint="eastAsia" w:ascii="宋体" w:hAnsi="宋体" w:cs="宋体"/>
                <w:color w:val="000000"/>
                <w:kern w:val="0"/>
                <w:sz w:val="18"/>
                <w:szCs w:val="18"/>
              </w:rPr>
              <w:t>反馈</w:t>
            </w:r>
          </w:p>
          <w:p>
            <w:pPr>
              <w:spacing w:line="0" w:lineRule="atLeast"/>
              <w:ind w:left="-105" w:leftChars="-50" w:right="-105" w:rightChars="-50"/>
              <w:jc w:val="center"/>
              <w:rPr>
                <w:rFonts w:ascii="宋体" w:cs="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10</w:t>
            </w:r>
            <w:r>
              <w:rPr>
                <w:rFonts w:hint="eastAsia" w:ascii="宋体" w:hAnsi="宋体" w:cs="宋体"/>
                <w:color w:val="000000"/>
                <w:kern w:val="0"/>
                <w:sz w:val="18"/>
                <w:szCs w:val="18"/>
              </w:rPr>
              <w:t>分）</w:t>
            </w:r>
          </w:p>
        </w:tc>
        <w:tc>
          <w:tcPr>
            <w:tcW w:w="1126" w:type="dxa"/>
            <w:tcBorders>
              <w:top w:val="nil"/>
              <w:left w:val="nil"/>
              <w:bottom w:val="single" w:color="auto" w:sz="4" w:space="0"/>
              <w:right w:val="single" w:color="auto" w:sz="4" w:space="0"/>
            </w:tcBorders>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问题整改</w:t>
            </w:r>
          </w:p>
        </w:tc>
        <w:tc>
          <w:tcPr>
            <w:tcW w:w="555" w:type="dxa"/>
            <w:tcBorders>
              <w:top w:val="nil"/>
              <w:left w:val="nil"/>
              <w:bottom w:val="single" w:color="auto" w:sz="4" w:space="0"/>
              <w:right w:val="single" w:color="auto" w:sz="4" w:space="0"/>
            </w:tcBorders>
            <w:noWrap w:val="0"/>
            <w:vAlign w:val="center"/>
          </w:tcPr>
          <w:p>
            <w:pPr>
              <w:spacing w:line="0" w:lineRule="atLeast"/>
              <w:jc w:val="center"/>
              <w:rPr>
                <w:rFonts w:ascii="宋体" w:hAnsi="宋体" w:cs="宋体"/>
                <w:color w:val="000000"/>
                <w:kern w:val="0"/>
                <w:sz w:val="18"/>
                <w:szCs w:val="18"/>
              </w:rPr>
            </w:pPr>
            <w:r>
              <w:rPr>
                <w:rFonts w:ascii="宋体" w:hAnsi="宋体" w:cs="宋体"/>
                <w:color w:val="000000"/>
                <w:kern w:val="0"/>
                <w:sz w:val="18"/>
                <w:szCs w:val="18"/>
              </w:rPr>
              <w:t>5</w:t>
            </w:r>
          </w:p>
        </w:tc>
        <w:tc>
          <w:tcPr>
            <w:tcW w:w="2935" w:type="dxa"/>
            <w:tcBorders>
              <w:top w:val="nil"/>
              <w:left w:val="nil"/>
              <w:bottom w:val="single" w:color="auto" w:sz="4" w:space="0"/>
              <w:right w:val="single" w:color="auto" w:sz="4" w:space="0"/>
            </w:tcBorders>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评价部门根据绩效管理结果整改问题、完善政策、改进管理的情况。</w:t>
            </w:r>
          </w:p>
        </w:tc>
        <w:tc>
          <w:tcPr>
            <w:tcW w:w="5468" w:type="dxa"/>
            <w:tcBorders>
              <w:top w:val="nil"/>
              <w:left w:val="nil"/>
              <w:bottom w:val="single" w:color="auto" w:sz="4" w:space="0"/>
              <w:right w:val="single" w:color="auto" w:sz="4" w:space="0"/>
            </w:tcBorders>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针对绩效管理过程中（包括绩效目标核查、绩效监控核查和重点绩效评价）提出的问题进行整改，得</w:t>
            </w:r>
            <w:r>
              <w:rPr>
                <w:rFonts w:ascii="宋体" w:hAnsi="宋体" w:cs="宋体"/>
                <w:color w:val="000000"/>
                <w:kern w:val="0"/>
                <w:sz w:val="18"/>
                <w:szCs w:val="18"/>
              </w:rPr>
              <w:t>5</w:t>
            </w:r>
            <w:r>
              <w:rPr>
                <w:rFonts w:hint="eastAsia" w:ascii="宋体" w:hAnsi="宋体" w:cs="宋体"/>
                <w:color w:val="000000"/>
                <w:kern w:val="0"/>
                <w:sz w:val="18"/>
                <w:szCs w:val="18"/>
              </w:rPr>
              <w:t>分，否则酌情扣分。</w:t>
            </w:r>
          </w:p>
        </w:tc>
        <w:tc>
          <w:tcPr>
            <w:tcW w:w="522" w:type="dxa"/>
            <w:tcBorders>
              <w:top w:val="nil"/>
              <w:left w:val="nil"/>
              <w:bottom w:val="single" w:color="auto" w:sz="4" w:space="0"/>
              <w:right w:val="single" w:color="auto" w:sz="4" w:space="0"/>
            </w:tcBorders>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w:t>
            </w:r>
          </w:p>
        </w:tc>
        <w:tc>
          <w:tcPr>
            <w:tcW w:w="506" w:type="dxa"/>
            <w:tcBorders>
              <w:top w:val="nil"/>
              <w:left w:val="nil"/>
              <w:bottom w:val="single" w:color="auto" w:sz="4" w:space="0"/>
              <w:right w:val="single" w:color="auto" w:sz="4" w:space="0"/>
            </w:tcBorders>
            <w:noWrap w:val="0"/>
            <w:vAlign w:val="center"/>
          </w:tcPr>
          <w:p>
            <w:pPr>
              <w:spacing w:line="0" w:lineRule="atLeast"/>
              <w:rPr>
                <w:rFonts w:ascii="宋体" w:cs="宋体"/>
                <w:color w:val="000000"/>
                <w:kern w:val="0"/>
                <w:sz w:val="18"/>
                <w:szCs w:val="18"/>
              </w:rPr>
            </w:pPr>
            <w:r>
              <w:rPr>
                <w:rFonts w:hint="eastAsia" w:ascii="宋体" w:hAnsi="宋体" w:cs="宋体"/>
                <w:color w:val="000000"/>
                <w:kern w:val="0"/>
                <w:sz w:val="18"/>
                <w:szCs w:val="18"/>
              </w:rPr>
              <w:t>　</w:t>
            </w:r>
          </w:p>
        </w:tc>
        <w:tc>
          <w:tcPr>
            <w:tcW w:w="506" w:type="dxa"/>
            <w:tcBorders>
              <w:top w:val="nil"/>
              <w:left w:val="nil"/>
              <w:bottom w:val="single" w:color="auto" w:sz="4" w:space="0"/>
              <w:right w:val="single" w:color="auto" w:sz="4" w:space="0"/>
            </w:tcBorders>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w:t>
            </w:r>
          </w:p>
        </w:tc>
        <w:tc>
          <w:tcPr>
            <w:tcW w:w="538" w:type="dxa"/>
            <w:tcBorders>
              <w:top w:val="nil"/>
              <w:left w:val="nil"/>
              <w:bottom w:val="single" w:color="auto" w:sz="4" w:space="0"/>
              <w:right w:val="single" w:color="auto" w:sz="4" w:space="0"/>
            </w:tcBorders>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w:t>
            </w:r>
          </w:p>
        </w:tc>
        <w:tc>
          <w:tcPr>
            <w:tcW w:w="538" w:type="dxa"/>
            <w:tcBorders>
              <w:top w:val="nil"/>
              <w:left w:val="nil"/>
              <w:bottom w:val="single" w:color="auto" w:sz="4" w:space="0"/>
              <w:right w:val="single" w:color="auto" w:sz="4" w:space="0"/>
            </w:tcBorders>
            <w:noWrap w:val="0"/>
            <w:vAlign w:val="center"/>
          </w:tcPr>
          <w:p>
            <w:pPr>
              <w:spacing w:line="0" w:lineRule="atLeast"/>
              <w:jc w:val="center"/>
              <w:rPr>
                <w:rFonts w:ascii="宋体" w:hAnsi="宋体" w:cs="宋体"/>
                <w:color w:val="000000"/>
                <w:kern w:val="0"/>
                <w:sz w:val="18"/>
                <w:szCs w:val="18"/>
              </w:rPr>
            </w:pPr>
            <w:r>
              <w:rPr>
                <w:rFonts w:ascii="宋体" w:hAnsi="宋体" w:cs="宋体"/>
                <w:color w:val="000000"/>
                <w:kern w:val="0"/>
                <w:sz w:val="18"/>
                <w:szCs w:val="18"/>
              </w:rPr>
              <w:t>5</w:t>
            </w:r>
          </w:p>
        </w:tc>
      </w:tr>
      <w:tr>
        <w:tblPrEx>
          <w:tblCellMar>
            <w:top w:w="0" w:type="dxa"/>
            <w:left w:w="108" w:type="dxa"/>
            <w:bottom w:w="0" w:type="dxa"/>
            <w:right w:w="108" w:type="dxa"/>
          </w:tblCellMar>
        </w:tblPrEx>
        <w:trPr>
          <w:trHeight w:val="682" w:hRule="atLeast"/>
          <w:jc w:val="center"/>
        </w:trPr>
        <w:tc>
          <w:tcPr>
            <w:tcW w:w="713" w:type="dxa"/>
            <w:vMerge w:val="continue"/>
            <w:tcBorders>
              <w:top w:val="nil"/>
              <w:left w:val="single" w:color="auto" w:sz="4" w:space="0"/>
              <w:bottom w:val="single" w:color="auto" w:sz="4" w:space="0"/>
              <w:right w:val="single" w:color="auto" w:sz="4" w:space="0"/>
            </w:tcBorders>
            <w:noWrap w:val="0"/>
            <w:vAlign w:val="center"/>
          </w:tcPr>
          <w:p>
            <w:pPr>
              <w:spacing w:line="0" w:lineRule="atLeast"/>
              <w:jc w:val="left"/>
              <w:rPr>
                <w:rFonts w:ascii="宋体" w:cs="宋体"/>
                <w:color w:val="000000"/>
                <w:kern w:val="0"/>
                <w:sz w:val="18"/>
                <w:szCs w:val="18"/>
              </w:rPr>
            </w:pPr>
          </w:p>
        </w:tc>
        <w:tc>
          <w:tcPr>
            <w:tcW w:w="716" w:type="dxa"/>
            <w:vMerge w:val="continue"/>
            <w:tcBorders>
              <w:top w:val="nil"/>
              <w:left w:val="single" w:color="auto" w:sz="4" w:space="0"/>
              <w:bottom w:val="single" w:color="auto" w:sz="4" w:space="0"/>
              <w:right w:val="single" w:color="auto" w:sz="4" w:space="0"/>
            </w:tcBorders>
            <w:noWrap w:val="0"/>
            <w:vAlign w:val="center"/>
          </w:tcPr>
          <w:p>
            <w:pPr>
              <w:spacing w:line="0" w:lineRule="atLeast"/>
              <w:jc w:val="left"/>
              <w:rPr>
                <w:rFonts w:ascii="宋体" w:cs="宋体"/>
                <w:color w:val="000000"/>
                <w:kern w:val="0"/>
                <w:sz w:val="18"/>
                <w:szCs w:val="18"/>
              </w:rPr>
            </w:pPr>
          </w:p>
        </w:tc>
        <w:tc>
          <w:tcPr>
            <w:tcW w:w="1126" w:type="dxa"/>
            <w:tcBorders>
              <w:top w:val="nil"/>
              <w:left w:val="nil"/>
              <w:bottom w:val="single" w:color="auto" w:sz="4" w:space="0"/>
              <w:right w:val="single" w:color="auto" w:sz="4" w:space="0"/>
            </w:tcBorders>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应用反馈</w:t>
            </w:r>
          </w:p>
        </w:tc>
        <w:tc>
          <w:tcPr>
            <w:tcW w:w="555" w:type="dxa"/>
            <w:tcBorders>
              <w:top w:val="nil"/>
              <w:left w:val="nil"/>
              <w:bottom w:val="single" w:color="auto" w:sz="4" w:space="0"/>
              <w:right w:val="single" w:color="auto" w:sz="4" w:space="0"/>
            </w:tcBorders>
            <w:noWrap w:val="0"/>
            <w:vAlign w:val="center"/>
          </w:tcPr>
          <w:p>
            <w:pPr>
              <w:spacing w:line="0" w:lineRule="atLeast"/>
              <w:jc w:val="center"/>
              <w:rPr>
                <w:rFonts w:ascii="宋体" w:hAnsi="宋体" w:cs="宋体"/>
                <w:color w:val="000000"/>
                <w:kern w:val="0"/>
                <w:sz w:val="18"/>
                <w:szCs w:val="18"/>
              </w:rPr>
            </w:pPr>
            <w:r>
              <w:rPr>
                <w:rFonts w:ascii="宋体" w:hAnsi="宋体" w:cs="宋体"/>
                <w:color w:val="000000"/>
                <w:kern w:val="0"/>
                <w:sz w:val="18"/>
                <w:szCs w:val="18"/>
              </w:rPr>
              <w:t>5</w:t>
            </w:r>
          </w:p>
        </w:tc>
        <w:tc>
          <w:tcPr>
            <w:tcW w:w="2935" w:type="dxa"/>
            <w:tcBorders>
              <w:top w:val="nil"/>
              <w:left w:val="nil"/>
              <w:bottom w:val="single" w:color="auto" w:sz="4" w:space="0"/>
              <w:right w:val="single" w:color="auto" w:sz="4" w:space="0"/>
            </w:tcBorders>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评价部门按要求及时向财政部门反馈结果应用情况。</w:t>
            </w:r>
          </w:p>
        </w:tc>
        <w:tc>
          <w:tcPr>
            <w:tcW w:w="5468" w:type="dxa"/>
            <w:tcBorders>
              <w:top w:val="nil"/>
              <w:left w:val="nil"/>
              <w:bottom w:val="single" w:color="auto" w:sz="4" w:space="0"/>
              <w:right w:val="single" w:color="auto" w:sz="4" w:space="0"/>
            </w:tcBorders>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部门在规定时间内向财政部门反馈应用绩效结果报告的，得</w:t>
            </w:r>
            <w:r>
              <w:rPr>
                <w:rFonts w:ascii="宋体" w:hAnsi="宋体" w:cs="宋体"/>
                <w:color w:val="000000"/>
                <w:kern w:val="0"/>
                <w:sz w:val="18"/>
                <w:szCs w:val="18"/>
              </w:rPr>
              <w:t>5</w:t>
            </w:r>
            <w:r>
              <w:rPr>
                <w:rFonts w:hint="eastAsia" w:ascii="宋体" w:hAnsi="宋体" w:cs="宋体"/>
                <w:color w:val="000000"/>
                <w:kern w:val="0"/>
                <w:sz w:val="18"/>
                <w:szCs w:val="18"/>
              </w:rPr>
              <w:t>分，否则不得分。</w:t>
            </w:r>
          </w:p>
        </w:tc>
        <w:tc>
          <w:tcPr>
            <w:tcW w:w="522" w:type="dxa"/>
            <w:tcBorders>
              <w:top w:val="nil"/>
              <w:left w:val="nil"/>
              <w:bottom w:val="single" w:color="auto" w:sz="4" w:space="0"/>
              <w:right w:val="single" w:color="auto" w:sz="4" w:space="0"/>
            </w:tcBorders>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w:t>
            </w:r>
          </w:p>
        </w:tc>
        <w:tc>
          <w:tcPr>
            <w:tcW w:w="506" w:type="dxa"/>
            <w:tcBorders>
              <w:top w:val="nil"/>
              <w:left w:val="nil"/>
              <w:bottom w:val="single" w:color="auto" w:sz="4" w:space="0"/>
              <w:right w:val="single" w:color="auto" w:sz="4" w:space="0"/>
            </w:tcBorders>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　</w:t>
            </w:r>
          </w:p>
        </w:tc>
        <w:tc>
          <w:tcPr>
            <w:tcW w:w="506" w:type="dxa"/>
            <w:tcBorders>
              <w:top w:val="nil"/>
              <w:left w:val="nil"/>
              <w:bottom w:val="single" w:color="auto" w:sz="4" w:space="0"/>
              <w:right w:val="single" w:color="auto" w:sz="4" w:space="0"/>
            </w:tcBorders>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w:t>
            </w:r>
          </w:p>
        </w:tc>
        <w:tc>
          <w:tcPr>
            <w:tcW w:w="538" w:type="dxa"/>
            <w:tcBorders>
              <w:top w:val="nil"/>
              <w:left w:val="nil"/>
              <w:bottom w:val="single" w:color="auto" w:sz="4" w:space="0"/>
              <w:right w:val="single" w:color="auto" w:sz="4" w:space="0"/>
            </w:tcBorders>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w:t>
            </w:r>
          </w:p>
        </w:tc>
        <w:tc>
          <w:tcPr>
            <w:tcW w:w="538" w:type="dxa"/>
            <w:tcBorders>
              <w:top w:val="nil"/>
              <w:left w:val="nil"/>
              <w:bottom w:val="single" w:color="auto" w:sz="4" w:space="0"/>
              <w:right w:val="single" w:color="auto" w:sz="4" w:space="0"/>
            </w:tcBorders>
            <w:noWrap w:val="0"/>
            <w:vAlign w:val="center"/>
          </w:tcPr>
          <w:p>
            <w:pPr>
              <w:spacing w:line="0" w:lineRule="atLeast"/>
              <w:jc w:val="center"/>
              <w:rPr>
                <w:rFonts w:ascii="宋体" w:hAnsi="宋体" w:cs="宋体"/>
                <w:color w:val="000000"/>
                <w:kern w:val="0"/>
                <w:sz w:val="18"/>
                <w:szCs w:val="18"/>
              </w:rPr>
            </w:pPr>
            <w:r>
              <w:rPr>
                <w:rFonts w:ascii="宋体" w:hAnsi="宋体" w:cs="宋体"/>
                <w:color w:val="000000"/>
                <w:kern w:val="0"/>
                <w:sz w:val="18"/>
                <w:szCs w:val="18"/>
              </w:rPr>
              <w:t>5</w:t>
            </w:r>
          </w:p>
        </w:tc>
      </w:tr>
      <w:tr>
        <w:tblPrEx>
          <w:tblCellMar>
            <w:top w:w="0" w:type="dxa"/>
            <w:left w:w="108" w:type="dxa"/>
            <w:bottom w:w="0" w:type="dxa"/>
            <w:right w:w="108" w:type="dxa"/>
          </w:tblCellMar>
        </w:tblPrEx>
        <w:trPr>
          <w:trHeight w:val="1115" w:hRule="atLeast"/>
          <w:jc w:val="center"/>
        </w:trPr>
        <w:tc>
          <w:tcPr>
            <w:tcW w:w="713" w:type="dxa"/>
            <w:tcBorders>
              <w:top w:val="nil"/>
              <w:left w:val="single" w:color="auto" w:sz="4" w:space="0"/>
              <w:bottom w:val="single" w:color="auto" w:sz="4" w:space="0"/>
              <w:right w:val="single" w:color="auto" w:sz="4" w:space="0"/>
            </w:tcBorders>
            <w:noWrap w:val="0"/>
            <w:vAlign w:val="center"/>
          </w:tcPr>
          <w:p>
            <w:pPr>
              <w:spacing w:line="0" w:lineRule="atLeast"/>
              <w:ind w:left="-105" w:leftChars="-50" w:right="-105" w:rightChars="-50"/>
              <w:jc w:val="center"/>
              <w:rPr>
                <w:rFonts w:ascii="宋体" w:cs="宋体"/>
                <w:color w:val="000000"/>
                <w:kern w:val="0"/>
                <w:sz w:val="18"/>
                <w:szCs w:val="18"/>
              </w:rPr>
            </w:pPr>
            <w:r>
              <w:rPr>
                <w:rFonts w:hint="eastAsia" w:ascii="宋体" w:hAnsi="宋体" w:cs="宋体"/>
                <w:color w:val="000000"/>
                <w:kern w:val="0"/>
                <w:sz w:val="18"/>
                <w:szCs w:val="18"/>
              </w:rPr>
              <w:t>自评</w:t>
            </w:r>
          </w:p>
          <w:p>
            <w:pPr>
              <w:spacing w:line="0" w:lineRule="atLeast"/>
              <w:ind w:left="-105" w:leftChars="-50" w:right="-105" w:rightChars="-50"/>
              <w:jc w:val="center"/>
              <w:rPr>
                <w:rFonts w:ascii="宋体" w:cs="宋体"/>
                <w:color w:val="000000"/>
                <w:kern w:val="0"/>
                <w:sz w:val="18"/>
                <w:szCs w:val="18"/>
              </w:rPr>
            </w:pPr>
            <w:r>
              <w:rPr>
                <w:rFonts w:hint="eastAsia" w:ascii="宋体" w:hAnsi="宋体" w:cs="宋体"/>
                <w:color w:val="000000"/>
                <w:kern w:val="0"/>
                <w:sz w:val="18"/>
                <w:szCs w:val="18"/>
              </w:rPr>
              <w:t>质量</w:t>
            </w:r>
          </w:p>
          <w:p>
            <w:pPr>
              <w:spacing w:line="0" w:lineRule="atLeast"/>
              <w:ind w:left="-105" w:leftChars="-50" w:right="-105" w:rightChars="-50"/>
              <w:jc w:val="center"/>
              <w:rPr>
                <w:rFonts w:ascii="宋体" w:cs="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10</w:t>
            </w:r>
            <w:r>
              <w:rPr>
                <w:rFonts w:hint="eastAsia" w:ascii="宋体" w:hAnsi="宋体" w:cs="宋体"/>
                <w:color w:val="000000"/>
                <w:kern w:val="0"/>
                <w:sz w:val="18"/>
                <w:szCs w:val="18"/>
              </w:rPr>
              <w:t>分）</w:t>
            </w:r>
          </w:p>
        </w:tc>
        <w:tc>
          <w:tcPr>
            <w:tcW w:w="716" w:type="dxa"/>
            <w:tcBorders>
              <w:top w:val="nil"/>
              <w:left w:val="nil"/>
              <w:bottom w:val="single" w:color="auto" w:sz="4" w:space="0"/>
              <w:right w:val="single" w:color="auto" w:sz="4" w:space="0"/>
            </w:tcBorders>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自评质量</w:t>
            </w:r>
          </w:p>
        </w:tc>
        <w:tc>
          <w:tcPr>
            <w:tcW w:w="1126" w:type="dxa"/>
            <w:tcBorders>
              <w:top w:val="nil"/>
              <w:left w:val="nil"/>
              <w:bottom w:val="single" w:color="auto" w:sz="4" w:space="0"/>
              <w:right w:val="single" w:color="auto" w:sz="4" w:space="0"/>
            </w:tcBorders>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自评质量</w:t>
            </w:r>
          </w:p>
        </w:tc>
        <w:tc>
          <w:tcPr>
            <w:tcW w:w="555" w:type="dxa"/>
            <w:tcBorders>
              <w:top w:val="nil"/>
              <w:left w:val="nil"/>
              <w:bottom w:val="single" w:color="auto" w:sz="4" w:space="0"/>
              <w:right w:val="single" w:color="auto" w:sz="4" w:space="0"/>
            </w:tcBorders>
            <w:noWrap w:val="0"/>
            <w:vAlign w:val="center"/>
          </w:tcPr>
          <w:p>
            <w:pPr>
              <w:spacing w:line="0" w:lineRule="atLeast"/>
              <w:jc w:val="center"/>
              <w:rPr>
                <w:rFonts w:ascii="宋体" w:hAnsi="宋体" w:cs="宋体"/>
                <w:color w:val="000000"/>
                <w:kern w:val="0"/>
                <w:sz w:val="18"/>
                <w:szCs w:val="18"/>
              </w:rPr>
            </w:pPr>
            <w:r>
              <w:rPr>
                <w:rFonts w:ascii="宋体" w:hAnsi="宋体" w:cs="宋体"/>
                <w:color w:val="000000"/>
                <w:kern w:val="0"/>
                <w:sz w:val="18"/>
                <w:szCs w:val="18"/>
              </w:rPr>
              <w:t>10</w:t>
            </w:r>
          </w:p>
        </w:tc>
        <w:tc>
          <w:tcPr>
            <w:tcW w:w="2935" w:type="dxa"/>
            <w:tcBorders>
              <w:top w:val="nil"/>
              <w:left w:val="nil"/>
              <w:bottom w:val="single" w:color="auto" w:sz="4" w:space="0"/>
              <w:right w:val="single" w:color="auto" w:sz="4" w:space="0"/>
            </w:tcBorders>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评价部门整体支出自评准确率。</w:t>
            </w:r>
          </w:p>
        </w:tc>
        <w:tc>
          <w:tcPr>
            <w:tcW w:w="5468" w:type="dxa"/>
            <w:tcBorders>
              <w:top w:val="nil"/>
              <w:left w:val="nil"/>
              <w:bottom w:val="single" w:color="auto" w:sz="4" w:space="0"/>
              <w:right w:val="single" w:color="auto" w:sz="4" w:space="0"/>
            </w:tcBorders>
            <w:noWrap w:val="0"/>
            <w:vAlign w:val="center"/>
          </w:tcPr>
          <w:p>
            <w:pPr>
              <w:spacing w:line="0" w:lineRule="atLeast"/>
              <w:jc w:val="left"/>
              <w:rPr>
                <w:rFonts w:ascii="宋体" w:cs="宋体"/>
                <w:color w:val="000000"/>
                <w:kern w:val="0"/>
                <w:sz w:val="18"/>
                <w:szCs w:val="18"/>
              </w:rPr>
            </w:pPr>
            <w:r>
              <w:rPr>
                <w:rFonts w:hint="eastAsia" w:ascii="宋体" w:hAnsi="宋体" w:cs="宋体"/>
                <w:color w:val="000000"/>
                <w:kern w:val="0"/>
                <w:sz w:val="18"/>
                <w:szCs w:val="18"/>
              </w:rPr>
              <w:t>部门整体支出自评得分与评价组抽查得分差异在</w:t>
            </w:r>
            <w:r>
              <w:rPr>
                <w:rFonts w:ascii="宋体" w:hAnsi="宋体" w:cs="宋体"/>
                <w:color w:val="000000"/>
                <w:kern w:val="0"/>
                <w:sz w:val="18"/>
                <w:szCs w:val="18"/>
              </w:rPr>
              <w:t>5%</w:t>
            </w:r>
            <w:r>
              <w:rPr>
                <w:rFonts w:hint="eastAsia" w:ascii="宋体" w:hAnsi="宋体" w:cs="宋体"/>
                <w:color w:val="000000"/>
                <w:kern w:val="0"/>
                <w:sz w:val="18"/>
                <w:szCs w:val="18"/>
              </w:rPr>
              <w:t>以内的，不扣分；在</w:t>
            </w:r>
            <w:r>
              <w:rPr>
                <w:rFonts w:ascii="宋体" w:hAnsi="宋体" w:cs="宋体"/>
                <w:color w:val="000000"/>
                <w:kern w:val="0"/>
                <w:sz w:val="18"/>
                <w:szCs w:val="18"/>
              </w:rPr>
              <w:t>5%-10%</w:t>
            </w:r>
            <w:r>
              <w:rPr>
                <w:rFonts w:hint="eastAsia" w:ascii="宋体" w:hAnsi="宋体" w:cs="宋体"/>
                <w:color w:val="000000"/>
                <w:kern w:val="0"/>
                <w:sz w:val="18"/>
                <w:szCs w:val="18"/>
              </w:rPr>
              <w:t>之间的，扣</w:t>
            </w:r>
            <w:r>
              <w:rPr>
                <w:rFonts w:ascii="宋体" w:hAnsi="宋体" w:cs="宋体"/>
                <w:color w:val="000000"/>
                <w:kern w:val="0"/>
                <w:sz w:val="18"/>
                <w:szCs w:val="18"/>
              </w:rPr>
              <w:t>4</w:t>
            </w:r>
            <w:r>
              <w:rPr>
                <w:rFonts w:hint="eastAsia" w:ascii="宋体" w:hAnsi="宋体" w:cs="宋体"/>
                <w:color w:val="000000"/>
                <w:kern w:val="0"/>
                <w:sz w:val="18"/>
                <w:szCs w:val="18"/>
              </w:rPr>
              <w:t>分，在</w:t>
            </w:r>
            <w:r>
              <w:rPr>
                <w:rFonts w:ascii="宋体" w:hAnsi="宋体" w:cs="宋体"/>
                <w:color w:val="000000"/>
                <w:kern w:val="0"/>
                <w:sz w:val="18"/>
                <w:szCs w:val="18"/>
              </w:rPr>
              <w:t>10%-20%</w:t>
            </w:r>
            <w:r>
              <w:rPr>
                <w:rFonts w:hint="eastAsia" w:ascii="宋体" w:hAnsi="宋体" w:cs="宋体"/>
                <w:color w:val="000000"/>
                <w:kern w:val="0"/>
                <w:sz w:val="18"/>
                <w:szCs w:val="18"/>
              </w:rPr>
              <w:t>的，扣</w:t>
            </w:r>
            <w:r>
              <w:rPr>
                <w:rFonts w:ascii="宋体" w:hAnsi="宋体" w:cs="宋体"/>
                <w:color w:val="000000"/>
                <w:kern w:val="0"/>
                <w:sz w:val="18"/>
                <w:szCs w:val="18"/>
              </w:rPr>
              <w:t>8</w:t>
            </w:r>
            <w:r>
              <w:rPr>
                <w:rFonts w:hint="eastAsia" w:ascii="宋体" w:hAnsi="宋体" w:cs="宋体"/>
                <w:color w:val="000000"/>
                <w:kern w:val="0"/>
                <w:sz w:val="18"/>
                <w:szCs w:val="18"/>
              </w:rPr>
              <w:t>分，在</w:t>
            </w:r>
            <w:r>
              <w:rPr>
                <w:rFonts w:ascii="宋体" w:hAnsi="宋体" w:cs="宋体"/>
                <w:color w:val="000000"/>
                <w:kern w:val="0"/>
                <w:sz w:val="18"/>
                <w:szCs w:val="18"/>
              </w:rPr>
              <w:t>20%</w:t>
            </w:r>
            <w:r>
              <w:rPr>
                <w:rFonts w:hint="eastAsia" w:ascii="宋体" w:hAnsi="宋体" w:cs="宋体"/>
                <w:color w:val="000000"/>
                <w:kern w:val="0"/>
                <w:sz w:val="18"/>
                <w:szCs w:val="18"/>
              </w:rPr>
              <w:t>以上的，扣</w:t>
            </w:r>
            <w:r>
              <w:rPr>
                <w:rFonts w:ascii="宋体" w:hAnsi="宋体" w:cs="宋体"/>
                <w:color w:val="000000"/>
                <w:kern w:val="0"/>
                <w:sz w:val="18"/>
                <w:szCs w:val="18"/>
              </w:rPr>
              <w:t>10</w:t>
            </w:r>
            <w:r>
              <w:rPr>
                <w:rFonts w:hint="eastAsia" w:ascii="宋体" w:hAnsi="宋体" w:cs="宋体"/>
                <w:color w:val="000000"/>
                <w:kern w:val="0"/>
                <w:sz w:val="18"/>
                <w:szCs w:val="18"/>
              </w:rPr>
              <w:t>分（此为财政重点绩效评价计分标准，部门参照该标准对部门及下属单位抽查计分）。</w:t>
            </w:r>
          </w:p>
        </w:tc>
        <w:tc>
          <w:tcPr>
            <w:tcW w:w="522" w:type="dxa"/>
            <w:tcBorders>
              <w:top w:val="nil"/>
              <w:left w:val="nil"/>
              <w:bottom w:val="single" w:color="auto" w:sz="4" w:space="0"/>
              <w:right w:val="single" w:color="auto" w:sz="4" w:space="0"/>
            </w:tcBorders>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w:t>
            </w:r>
          </w:p>
        </w:tc>
        <w:tc>
          <w:tcPr>
            <w:tcW w:w="506" w:type="dxa"/>
            <w:tcBorders>
              <w:top w:val="nil"/>
              <w:left w:val="nil"/>
              <w:bottom w:val="single" w:color="auto" w:sz="4" w:space="0"/>
              <w:right w:val="single" w:color="auto" w:sz="4" w:space="0"/>
            </w:tcBorders>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　</w:t>
            </w:r>
          </w:p>
        </w:tc>
        <w:tc>
          <w:tcPr>
            <w:tcW w:w="506" w:type="dxa"/>
            <w:tcBorders>
              <w:top w:val="nil"/>
              <w:left w:val="nil"/>
              <w:bottom w:val="single" w:color="auto" w:sz="4" w:space="0"/>
              <w:right w:val="single" w:color="auto" w:sz="4" w:space="0"/>
            </w:tcBorders>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w:t>
            </w:r>
          </w:p>
        </w:tc>
        <w:tc>
          <w:tcPr>
            <w:tcW w:w="538" w:type="dxa"/>
            <w:tcBorders>
              <w:top w:val="nil"/>
              <w:left w:val="nil"/>
              <w:bottom w:val="single" w:color="auto" w:sz="4" w:space="0"/>
              <w:right w:val="single" w:color="auto" w:sz="4" w:space="0"/>
            </w:tcBorders>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w:t>
            </w:r>
          </w:p>
        </w:tc>
        <w:tc>
          <w:tcPr>
            <w:tcW w:w="538" w:type="dxa"/>
            <w:tcBorders>
              <w:top w:val="nil"/>
              <w:left w:val="nil"/>
              <w:bottom w:val="single" w:color="auto" w:sz="4" w:space="0"/>
              <w:right w:val="single" w:color="auto" w:sz="4" w:space="0"/>
            </w:tcBorders>
            <w:noWrap w:val="0"/>
            <w:vAlign w:val="center"/>
          </w:tcPr>
          <w:p>
            <w:pPr>
              <w:spacing w:line="0" w:lineRule="atLeast"/>
              <w:jc w:val="center"/>
              <w:rPr>
                <w:rFonts w:ascii="宋体" w:hAnsi="宋体" w:cs="宋体"/>
                <w:color w:val="000000"/>
                <w:kern w:val="0"/>
                <w:sz w:val="18"/>
                <w:szCs w:val="18"/>
              </w:rPr>
            </w:pPr>
            <w:r>
              <w:rPr>
                <w:rFonts w:ascii="宋体" w:hAnsi="宋体" w:cs="宋体"/>
                <w:color w:val="000000"/>
                <w:kern w:val="0"/>
                <w:sz w:val="18"/>
                <w:szCs w:val="18"/>
              </w:rPr>
              <w:t>8</w:t>
            </w:r>
          </w:p>
        </w:tc>
      </w:tr>
      <w:tr>
        <w:tblPrEx>
          <w:tblCellMar>
            <w:top w:w="0" w:type="dxa"/>
            <w:left w:w="108" w:type="dxa"/>
            <w:bottom w:w="0" w:type="dxa"/>
            <w:right w:w="108" w:type="dxa"/>
          </w:tblCellMar>
        </w:tblPrEx>
        <w:trPr>
          <w:trHeight w:val="473" w:hRule="atLeast"/>
          <w:jc w:val="center"/>
        </w:trPr>
        <w:tc>
          <w:tcPr>
            <w:tcW w:w="2555"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cs="宋体"/>
                <w:b/>
                <w:bCs/>
                <w:color w:val="000000"/>
                <w:kern w:val="0"/>
                <w:sz w:val="18"/>
                <w:szCs w:val="18"/>
              </w:rPr>
            </w:pPr>
            <w:r>
              <w:rPr>
                <w:rFonts w:hint="eastAsia" w:ascii="宋体" w:hAnsi="宋体" w:cs="宋体"/>
                <w:b/>
                <w:bCs/>
                <w:color w:val="000000"/>
                <w:kern w:val="0"/>
                <w:sz w:val="18"/>
                <w:szCs w:val="18"/>
              </w:rPr>
              <w:t>分值</w:t>
            </w:r>
          </w:p>
        </w:tc>
        <w:tc>
          <w:tcPr>
            <w:tcW w:w="555" w:type="dxa"/>
            <w:tcBorders>
              <w:top w:val="nil"/>
              <w:left w:val="nil"/>
              <w:bottom w:val="single" w:color="auto" w:sz="4" w:space="0"/>
              <w:right w:val="single" w:color="auto" w:sz="4" w:space="0"/>
            </w:tcBorders>
            <w:noWrap w:val="0"/>
            <w:vAlign w:val="center"/>
          </w:tcPr>
          <w:p>
            <w:pPr>
              <w:spacing w:line="0" w:lineRule="atLeast"/>
              <w:rPr>
                <w:rFonts w:ascii="宋体" w:hAnsi="宋体" w:cs="宋体"/>
                <w:b/>
                <w:bCs/>
                <w:color w:val="000000"/>
                <w:kern w:val="0"/>
                <w:sz w:val="18"/>
                <w:szCs w:val="18"/>
              </w:rPr>
            </w:pPr>
            <w:r>
              <w:rPr>
                <w:rFonts w:ascii="宋体" w:hAnsi="宋体" w:cs="宋体"/>
                <w:b/>
                <w:bCs/>
                <w:color w:val="000000"/>
                <w:kern w:val="0"/>
                <w:sz w:val="18"/>
                <w:szCs w:val="18"/>
              </w:rPr>
              <w:t>100</w:t>
            </w:r>
          </w:p>
        </w:tc>
        <w:tc>
          <w:tcPr>
            <w:tcW w:w="2935" w:type="dxa"/>
            <w:tcBorders>
              <w:top w:val="nil"/>
              <w:left w:val="nil"/>
              <w:bottom w:val="single" w:color="auto" w:sz="4" w:space="0"/>
              <w:right w:val="single" w:color="auto" w:sz="4" w:space="0"/>
            </w:tcBorders>
            <w:noWrap w:val="0"/>
            <w:vAlign w:val="center"/>
          </w:tcPr>
          <w:p>
            <w:pPr>
              <w:spacing w:line="0" w:lineRule="atLeast"/>
              <w:rPr>
                <w:rFonts w:ascii="宋体" w:cs="宋体"/>
                <w:b/>
                <w:bCs/>
                <w:color w:val="000000"/>
                <w:kern w:val="0"/>
                <w:sz w:val="18"/>
                <w:szCs w:val="18"/>
              </w:rPr>
            </w:pPr>
            <w:r>
              <w:rPr>
                <w:rFonts w:hint="eastAsia" w:ascii="宋体" w:hAnsi="宋体" w:cs="宋体"/>
                <w:b/>
                <w:bCs/>
                <w:color w:val="000000"/>
                <w:kern w:val="0"/>
                <w:sz w:val="18"/>
                <w:szCs w:val="18"/>
              </w:rPr>
              <w:t>　</w:t>
            </w:r>
          </w:p>
        </w:tc>
        <w:tc>
          <w:tcPr>
            <w:tcW w:w="5468" w:type="dxa"/>
            <w:tcBorders>
              <w:top w:val="nil"/>
              <w:left w:val="nil"/>
              <w:bottom w:val="single" w:color="auto" w:sz="4" w:space="0"/>
              <w:right w:val="single" w:color="auto" w:sz="4" w:space="0"/>
            </w:tcBorders>
            <w:noWrap w:val="0"/>
            <w:vAlign w:val="center"/>
          </w:tcPr>
          <w:p>
            <w:pPr>
              <w:spacing w:line="0" w:lineRule="atLeast"/>
              <w:rPr>
                <w:rFonts w:ascii="宋体" w:cs="宋体"/>
                <w:b/>
                <w:bCs/>
                <w:color w:val="000000"/>
                <w:kern w:val="0"/>
                <w:sz w:val="18"/>
                <w:szCs w:val="18"/>
              </w:rPr>
            </w:pPr>
            <w:r>
              <w:rPr>
                <w:rFonts w:hint="eastAsia" w:ascii="宋体" w:hAnsi="宋体" w:cs="宋体"/>
                <w:b/>
                <w:bCs/>
                <w:color w:val="000000"/>
                <w:kern w:val="0"/>
                <w:sz w:val="18"/>
                <w:szCs w:val="18"/>
              </w:rPr>
              <w:t>　</w:t>
            </w:r>
          </w:p>
        </w:tc>
        <w:tc>
          <w:tcPr>
            <w:tcW w:w="2072" w:type="dxa"/>
            <w:gridSpan w:val="4"/>
            <w:tcBorders>
              <w:top w:val="single" w:color="auto" w:sz="4" w:space="0"/>
              <w:left w:val="nil"/>
              <w:bottom w:val="single" w:color="auto" w:sz="4" w:space="0"/>
              <w:right w:val="single" w:color="auto" w:sz="4" w:space="0"/>
            </w:tcBorders>
            <w:noWrap w:val="0"/>
            <w:vAlign w:val="center"/>
          </w:tcPr>
          <w:p>
            <w:pPr>
              <w:spacing w:line="0" w:lineRule="atLeast"/>
              <w:jc w:val="center"/>
              <w:rPr>
                <w:rFonts w:ascii="宋体" w:cs="宋体"/>
                <w:b/>
                <w:bCs/>
                <w:color w:val="000000"/>
                <w:kern w:val="0"/>
                <w:sz w:val="18"/>
                <w:szCs w:val="18"/>
              </w:rPr>
            </w:pPr>
            <w:r>
              <w:rPr>
                <w:rFonts w:hint="eastAsia" w:ascii="宋体" w:hAnsi="宋体" w:cs="宋体"/>
                <w:b/>
                <w:bCs/>
                <w:color w:val="000000"/>
                <w:kern w:val="0"/>
                <w:sz w:val="18"/>
                <w:szCs w:val="18"/>
              </w:rPr>
              <w:t>自评得分</w:t>
            </w:r>
          </w:p>
        </w:tc>
        <w:tc>
          <w:tcPr>
            <w:tcW w:w="538" w:type="dxa"/>
            <w:tcBorders>
              <w:top w:val="nil"/>
              <w:left w:val="nil"/>
              <w:bottom w:val="single" w:color="auto" w:sz="4" w:space="0"/>
              <w:right w:val="single" w:color="auto" w:sz="4" w:space="0"/>
            </w:tcBorders>
            <w:noWrap w:val="0"/>
            <w:vAlign w:val="center"/>
          </w:tcPr>
          <w:p>
            <w:pPr>
              <w:spacing w:line="0" w:lineRule="atLeast"/>
              <w:jc w:val="center"/>
              <w:rPr>
                <w:rFonts w:ascii="宋体" w:hAnsi="宋体" w:cs="宋体"/>
                <w:b/>
                <w:bCs/>
                <w:color w:val="000000"/>
                <w:kern w:val="0"/>
                <w:sz w:val="18"/>
                <w:szCs w:val="18"/>
              </w:rPr>
            </w:pPr>
            <w:r>
              <w:rPr>
                <w:rFonts w:ascii="宋体" w:hAnsi="宋体" w:cs="宋体"/>
                <w:b/>
                <w:bCs/>
                <w:color w:val="000000"/>
                <w:kern w:val="0"/>
                <w:sz w:val="18"/>
                <w:szCs w:val="18"/>
              </w:rPr>
              <w:t>94</w:t>
            </w:r>
          </w:p>
        </w:tc>
      </w:tr>
      <w:tr>
        <w:tblPrEx>
          <w:tblCellMar>
            <w:top w:w="0" w:type="dxa"/>
            <w:left w:w="108" w:type="dxa"/>
            <w:bottom w:w="0" w:type="dxa"/>
            <w:right w:w="108" w:type="dxa"/>
          </w:tblCellMar>
        </w:tblPrEx>
        <w:trPr>
          <w:trHeight w:val="487" w:hRule="atLeast"/>
          <w:jc w:val="center"/>
        </w:trPr>
        <w:tc>
          <w:tcPr>
            <w:tcW w:w="2555"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cs="宋体"/>
                <w:bCs/>
                <w:color w:val="000000"/>
                <w:kern w:val="0"/>
                <w:sz w:val="18"/>
                <w:szCs w:val="18"/>
              </w:rPr>
            </w:pPr>
            <w:r>
              <w:rPr>
                <w:rFonts w:hint="eastAsia" w:ascii="宋体" w:hAnsi="宋体" w:cs="宋体"/>
                <w:bCs/>
                <w:color w:val="000000"/>
                <w:kern w:val="0"/>
                <w:sz w:val="18"/>
                <w:szCs w:val="18"/>
              </w:rPr>
              <w:t>自评等级</w:t>
            </w:r>
          </w:p>
        </w:tc>
        <w:tc>
          <w:tcPr>
            <w:tcW w:w="11568" w:type="dxa"/>
            <w:gridSpan w:val="8"/>
            <w:tcBorders>
              <w:top w:val="single" w:color="auto" w:sz="4" w:space="0"/>
              <w:left w:val="nil"/>
              <w:bottom w:val="single" w:color="auto" w:sz="4" w:space="0"/>
              <w:right w:val="single" w:color="auto" w:sz="4" w:space="0"/>
            </w:tcBorders>
            <w:noWrap w:val="0"/>
            <w:vAlign w:val="center"/>
          </w:tcPr>
          <w:p>
            <w:pPr>
              <w:spacing w:line="0" w:lineRule="atLeast"/>
              <w:jc w:val="center"/>
              <w:rPr>
                <w:rFonts w:ascii="宋体" w:cs="宋体"/>
                <w:color w:val="000000"/>
                <w:kern w:val="0"/>
                <w:sz w:val="18"/>
                <w:szCs w:val="18"/>
              </w:rPr>
            </w:pPr>
            <w:r>
              <w:rPr>
                <w:rFonts w:hint="eastAsia" w:ascii="宋体" w:hAnsi="宋体" w:cs="宋体"/>
                <w:color w:val="000000"/>
                <w:kern w:val="0"/>
                <w:sz w:val="18"/>
                <w:szCs w:val="18"/>
              </w:rPr>
              <w:t>自评结果：■优秀（</w:t>
            </w:r>
            <w:r>
              <w:rPr>
                <w:rFonts w:ascii="宋体" w:hAnsi="宋体" w:cs="宋体"/>
                <w:color w:val="000000"/>
                <w:kern w:val="0"/>
                <w:sz w:val="18"/>
                <w:szCs w:val="18"/>
              </w:rPr>
              <w:t>90</w:t>
            </w:r>
            <w:r>
              <w:rPr>
                <w:rFonts w:hint="eastAsia" w:ascii="宋体" w:hAnsi="宋体" w:cs="宋体"/>
                <w:color w:val="000000"/>
                <w:kern w:val="0"/>
                <w:sz w:val="18"/>
                <w:szCs w:val="18"/>
              </w:rPr>
              <w:t>≤得分≤</w:t>
            </w:r>
            <w:r>
              <w:rPr>
                <w:rFonts w:ascii="宋体" w:hAnsi="宋体" w:cs="宋体"/>
                <w:color w:val="000000"/>
                <w:kern w:val="0"/>
                <w:sz w:val="18"/>
                <w:szCs w:val="18"/>
              </w:rPr>
              <w:t>100</w:t>
            </w:r>
            <w:r>
              <w:rPr>
                <w:rFonts w:hint="eastAsia" w:ascii="宋体" w:hAnsi="宋体" w:cs="宋体"/>
                <w:color w:val="000000"/>
                <w:kern w:val="0"/>
                <w:sz w:val="18"/>
                <w:szCs w:val="18"/>
              </w:rPr>
              <w:t>）；□良好（</w:t>
            </w:r>
            <w:r>
              <w:rPr>
                <w:rFonts w:ascii="宋体" w:hAnsi="宋体" w:cs="宋体"/>
                <w:color w:val="000000"/>
                <w:kern w:val="0"/>
                <w:sz w:val="18"/>
                <w:szCs w:val="18"/>
              </w:rPr>
              <w:t>80</w:t>
            </w:r>
            <w:r>
              <w:rPr>
                <w:rFonts w:hint="eastAsia" w:ascii="宋体" w:hAnsi="宋体" w:cs="宋体"/>
                <w:color w:val="000000"/>
                <w:kern w:val="0"/>
                <w:sz w:val="18"/>
                <w:szCs w:val="18"/>
              </w:rPr>
              <w:t>≤得分＜</w:t>
            </w:r>
            <w:r>
              <w:rPr>
                <w:rFonts w:ascii="宋体" w:hAnsi="宋体" w:cs="宋体"/>
                <w:color w:val="000000"/>
                <w:kern w:val="0"/>
                <w:sz w:val="18"/>
                <w:szCs w:val="18"/>
              </w:rPr>
              <w:t>89</w:t>
            </w:r>
            <w:r>
              <w:rPr>
                <w:rFonts w:hint="eastAsia" w:ascii="宋体" w:hAnsi="宋体" w:cs="宋体"/>
                <w:color w:val="000000"/>
                <w:kern w:val="0"/>
                <w:sz w:val="18"/>
                <w:szCs w:val="18"/>
              </w:rPr>
              <w:t>）；□及格（</w:t>
            </w:r>
            <w:r>
              <w:rPr>
                <w:rFonts w:ascii="宋体" w:hAnsi="宋体" w:cs="宋体"/>
                <w:color w:val="000000"/>
                <w:kern w:val="0"/>
                <w:sz w:val="18"/>
                <w:szCs w:val="18"/>
              </w:rPr>
              <w:t>60</w:t>
            </w:r>
            <w:r>
              <w:rPr>
                <w:rFonts w:hint="eastAsia" w:ascii="宋体" w:hAnsi="宋体" w:cs="宋体"/>
                <w:color w:val="000000"/>
                <w:kern w:val="0"/>
                <w:sz w:val="18"/>
                <w:szCs w:val="18"/>
              </w:rPr>
              <w:t>≤得分＜</w:t>
            </w:r>
            <w:r>
              <w:rPr>
                <w:rFonts w:ascii="宋体" w:hAnsi="宋体" w:cs="宋体"/>
                <w:color w:val="000000"/>
                <w:kern w:val="0"/>
                <w:sz w:val="18"/>
                <w:szCs w:val="18"/>
              </w:rPr>
              <w:t>79</w:t>
            </w:r>
            <w:r>
              <w:rPr>
                <w:rFonts w:hint="eastAsia" w:ascii="宋体" w:hAnsi="宋体" w:cs="宋体"/>
                <w:color w:val="000000"/>
                <w:kern w:val="0"/>
                <w:sz w:val="18"/>
                <w:szCs w:val="18"/>
              </w:rPr>
              <w:t>）；□不及格（低于</w:t>
            </w:r>
            <w:r>
              <w:rPr>
                <w:rFonts w:ascii="宋体" w:hAnsi="宋体" w:cs="宋体"/>
                <w:color w:val="000000"/>
                <w:kern w:val="0"/>
                <w:sz w:val="18"/>
                <w:szCs w:val="18"/>
              </w:rPr>
              <w:t>60</w:t>
            </w:r>
            <w:r>
              <w:rPr>
                <w:rFonts w:hint="eastAsia" w:ascii="宋体" w:hAnsi="宋体" w:cs="宋体"/>
                <w:color w:val="000000"/>
                <w:kern w:val="0"/>
                <w:sz w:val="18"/>
                <w:szCs w:val="18"/>
              </w:rPr>
              <w:t>分）</w:t>
            </w:r>
          </w:p>
        </w:tc>
      </w:tr>
    </w:tbl>
    <w:p>
      <w:pPr>
        <w:pStyle w:val="6"/>
        <w:spacing w:before="93"/>
        <w:rPr>
          <w:rFonts w:hAnsi="宋体" w:cs="宋体"/>
          <w:sz w:val="32"/>
          <w:szCs w:val="32"/>
          <w:shd w:val="clear" w:color="auto" w:fill="FFFFFF"/>
          <w:lang w:val="zh-CN"/>
        </w:rPr>
      </w:pPr>
    </w:p>
    <w:p>
      <w:pPr>
        <w:pStyle w:val="6"/>
        <w:spacing w:before="93"/>
        <w:rPr>
          <w:rFonts w:hAnsi="宋体" w:cs="宋体"/>
          <w:sz w:val="32"/>
          <w:szCs w:val="32"/>
          <w:shd w:val="clear" w:color="auto" w:fill="FFFFFF"/>
          <w:lang w:val="zh-CN"/>
        </w:rPr>
      </w:pPr>
    </w:p>
    <w:p>
      <w:pPr>
        <w:pStyle w:val="6"/>
        <w:spacing w:before="93"/>
        <w:rPr>
          <w:rFonts w:hAnsi="宋体" w:cs="宋体"/>
          <w:sz w:val="32"/>
          <w:szCs w:val="32"/>
          <w:shd w:val="clear" w:color="auto" w:fill="FFFFFF"/>
          <w:lang w:val="zh-CN"/>
        </w:rPr>
      </w:pPr>
    </w:p>
    <w:p>
      <w:pPr>
        <w:pStyle w:val="6"/>
        <w:spacing w:before="93"/>
        <w:rPr>
          <w:rFonts w:hAnsi="宋体" w:cs="宋体"/>
          <w:sz w:val="32"/>
          <w:szCs w:val="32"/>
          <w:shd w:val="clear" w:color="auto" w:fill="FFFFFF"/>
          <w:lang w:val="zh-CN"/>
        </w:rPr>
        <w:sectPr>
          <w:headerReference r:id="rId11" w:type="first"/>
          <w:footerReference r:id="rId14" w:type="first"/>
          <w:headerReference r:id="rId9" w:type="default"/>
          <w:footerReference r:id="rId12" w:type="default"/>
          <w:headerReference r:id="rId10" w:type="even"/>
          <w:footerReference r:id="rId13" w:type="even"/>
          <w:pgSz w:w="16838" w:h="11906" w:orient="landscape"/>
          <w:pgMar w:top="1587" w:right="2098" w:bottom="1474" w:left="1985" w:header="851" w:footer="1474" w:gutter="0"/>
          <w:pgNumType w:fmt="decimal"/>
          <w:cols w:space="0" w:num="1"/>
          <w:rtlGutter w:val="0"/>
          <w:docGrid w:type="lines" w:linePitch="315" w:charSpace="0"/>
        </w:sectPr>
      </w:pPr>
    </w:p>
    <w:p>
      <w:pPr>
        <w:autoSpaceDE w:val="0"/>
        <w:spacing w:line="576" w:lineRule="exact"/>
        <w:jc w:val="center"/>
        <w:rPr>
          <w:rFonts w:hint="eastAsia" w:ascii="方正小标宋简体" w:hAnsi="??" w:eastAsia="方正小标宋简体"/>
          <w:color w:val="000000"/>
          <w:kern w:val="0"/>
          <w:sz w:val="44"/>
          <w:szCs w:val="44"/>
        </w:rPr>
      </w:pPr>
      <w:r>
        <w:rPr>
          <w:rFonts w:hint="eastAsia" w:ascii="方正小标宋简体" w:hAnsi="??" w:eastAsia="方正小标宋简体"/>
          <w:color w:val="000000"/>
          <w:kern w:val="0"/>
          <w:sz w:val="44"/>
          <w:szCs w:val="44"/>
        </w:rPr>
        <w:t>中共广元市朝天区委办公室</w:t>
      </w:r>
    </w:p>
    <w:p>
      <w:pPr>
        <w:autoSpaceDE w:val="0"/>
        <w:spacing w:line="576" w:lineRule="exact"/>
        <w:jc w:val="center"/>
        <w:rPr>
          <w:rFonts w:hint="eastAsia" w:ascii="方正小标宋简体" w:hAnsi="??" w:eastAsia="方正小标宋简体"/>
          <w:color w:val="000000"/>
          <w:kern w:val="0"/>
          <w:sz w:val="44"/>
          <w:szCs w:val="44"/>
        </w:rPr>
      </w:pPr>
      <w:r>
        <w:rPr>
          <w:rFonts w:hint="eastAsia" w:ascii="方正小标宋简体" w:hAnsi="??" w:eastAsia="方正小标宋简体"/>
          <w:color w:val="000000"/>
          <w:kern w:val="0"/>
          <w:sz w:val="44"/>
          <w:szCs w:val="44"/>
        </w:rPr>
        <w:t>2021年度部门预算项目支出绩效自评报告</w:t>
      </w:r>
    </w:p>
    <w:p>
      <w:pPr>
        <w:autoSpaceDE w:val="0"/>
        <w:spacing w:line="576" w:lineRule="exact"/>
        <w:jc w:val="center"/>
        <w:rPr>
          <w:rFonts w:hint="eastAsia" w:ascii="楷体_GB2312" w:hAnsi="Times New Roman" w:eastAsia="楷体_GB2312"/>
          <w:szCs w:val="21"/>
        </w:rPr>
      </w:pPr>
      <w:r>
        <w:rPr>
          <w:rFonts w:hint="eastAsia" w:ascii="楷体_GB2312" w:hAnsi="??" w:eastAsia="楷体_GB2312"/>
          <w:sz w:val="32"/>
          <w:szCs w:val="32"/>
        </w:rPr>
        <w:t>（干部能力提升培训项目）</w:t>
      </w:r>
    </w:p>
    <w:p>
      <w:pPr>
        <w:autoSpaceDE w:val="0"/>
        <w:spacing w:line="576" w:lineRule="exact"/>
        <w:jc w:val="center"/>
        <w:rPr>
          <w:rFonts w:hint="eastAsia" w:ascii="黑体" w:hAnsi="黑体" w:eastAsia="黑体"/>
          <w:sz w:val="32"/>
          <w:szCs w:val="32"/>
        </w:rPr>
      </w:pPr>
    </w:p>
    <w:p>
      <w:pPr>
        <w:autoSpaceDE w:val="0"/>
        <w:spacing w:line="576" w:lineRule="exact"/>
        <w:ind w:firstLine="640" w:firstLineChars="200"/>
        <w:rPr>
          <w:rFonts w:ascii="黑体" w:hAnsi="黑体" w:eastAsia="黑体"/>
          <w:sz w:val="32"/>
          <w:szCs w:val="32"/>
        </w:rPr>
      </w:pPr>
      <w:r>
        <w:rPr>
          <w:rFonts w:hint="eastAsia" w:ascii="黑体" w:hAnsi="黑体" w:eastAsia="黑体"/>
          <w:sz w:val="32"/>
          <w:szCs w:val="32"/>
        </w:rPr>
        <w:t>一、项目概况</w:t>
      </w:r>
    </w:p>
    <w:p>
      <w:pPr>
        <w:autoSpaceDE w:val="0"/>
        <w:spacing w:line="576" w:lineRule="exact"/>
        <w:ind w:firstLine="640" w:firstLineChars="200"/>
        <w:rPr>
          <w:rFonts w:ascii="仿宋_GB2312" w:hAnsi="Times New Roman" w:eastAsia="仿宋_GB2312"/>
          <w:sz w:val="32"/>
          <w:szCs w:val="32"/>
        </w:rPr>
      </w:pPr>
      <w:r>
        <w:rPr>
          <w:rFonts w:hint="eastAsia" w:ascii="仿宋_GB2312" w:hAnsi="??" w:eastAsia="仿宋_GB2312"/>
          <w:sz w:val="32"/>
          <w:szCs w:val="32"/>
        </w:rPr>
        <w:t>干部能力提升培训项目为我单位常年延续性项目。根据办公室及全区部门及乡镇办公室工作职责，为确保本单位及全区部门、乡镇办公室工作人员能力进一步提升而设立该项目。</w:t>
      </w:r>
    </w:p>
    <w:p>
      <w:pPr>
        <w:autoSpaceDE w:val="0"/>
        <w:spacing w:line="576" w:lineRule="exact"/>
        <w:ind w:firstLine="640" w:firstLineChars="200"/>
        <w:rPr>
          <w:rFonts w:ascii="仿宋_GB2312" w:hAnsi="Times New Roman" w:eastAsia="仿宋_GB2312"/>
          <w:sz w:val="32"/>
          <w:szCs w:val="32"/>
        </w:rPr>
      </w:pPr>
      <w:r>
        <w:rPr>
          <w:rFonts w:hint="eastAsia" w:ascii="楷体_GB2312" w:hAnsi="Times New Roman" w:eastAsia="楷体_GB2312"/>
          <w:bCs/>
          <w:sz w:val="32"/>
          <w:szCs w:val="32"/>
        </w:rPr>
        <w:t>（一）项目资金申报及批复情况。</w:t>
      </w:r>
      <w:r>
        <w:rPr>
          <w:rFonts w:hint="eastAsia" w:ascii="仿宋_GB2312" w:hAnsi="Times New Roman" w:eastAsia="仿宋_GB2312"/>
          <w:sz w:val="32"/>
          <w:szCs w:val="32"/>
        </w:rPr>
        <w:t>该项目年初通过预算项目申报，实际批复预算金额</w:t>
      </w:r>
      <w:r>
        <w:rPr>
          <w:rFonts w:ascii="仿宋_GB2312" w:hAnsi="Times New Roman" w:eastAsia="仿宋_GB2312"/>
          <w:sz w:val="32"/>
          <w:szCs w:val="32"/>
        </w:rPr>
        <w:t>25</w:t>
      </w:r>
      <w:r>
        <w:rPr>
          <w:rFonts w:hint="eastAsia" w:ascii="仿宋_GB2312" w:hAnsi="Times New Roman" w:eastAsia="仿宋_GB2312"/>
          <w:sz w:val="32"/>
          <w:szCs w:val="32"/>
        </w:rPr>
        <w:t>万元，其中一般公共预算金额</w:t>
      </w:r>
      <w:r>
        <w:rPr>
          <w:rFonts w:ascii="仿宋_GB2312" w:hAnsi="Times New Roman" w:eastAsia="仿宋_GB2312"/>
          <w:sz w:val="32"/>
          <w:szCs w:val="32"/>
        </w:rPr>
        <w:t>25</w:t>
      </w:r>
      <w:r>
        <w:rPr>
          <w:rFonts w:hint="eastAsia" w:ascii="仿宋_GB2312" w:hAnsi="Times New Roman" w:eastAsia="仿宋_GB2312"/>
          <w:sz w:val="32"/>
          <w:szCs w:val="32"/>
        </w:rPr>
        <w:t>万元。预算年度内未进行预算调整，符合预算内资金管理办法等相关规定。</w:t>
      </w:r>
    </w:p>
    <w:p>
      <w:pPr>
        <w:autoSpaceDE w:val="0"/>
        <w:spacing w:line="576" w:lineRule="exact"/>
        <w:ind w:firstLine="640" w:firstLineChars="200"/>
        <w:rPr>
          <w:rFonts w:ascii="仿宋_GB2312" w:hAnsi="仿宋_GB2312" w:eastAsia="仿宋_GB2312" w:cs="仿宋_GB2312"/>
          <w:bCs/>
          <w:sz w:val="32"/>
          <w:szCs w:val="32"/>
        </w:rPr>
      </w:pPr>
      <w:r>
        <w:rPr>
          <w:rFonts w:hint="eastAsia" w:ascii="楷体_GB2312" w:hAnsi="Times New Roman" w:eastAsia="楷体_GB2312"/>
          <w:bCs/>
          <w:sz w:val="32"/>
          <w:szCs w:val="32"/>
        </w:rPr>
        <w:t>（二）项目绩效目标。</w:t>
      </w:r>
      <w:r>
        <w:rPr>
          <w:rFonts w:hint="eastAsia" w:ascii="仿宋_GB2312" w:hAnsi="仿宋_GB2312" w:eastAsia="仿宋_GB2312" w:cs="仿宋_GB2312"/>
          <w:bCs/>
          <w:sz w:val="32"/>
          <w:szCs w:val="32"/>
        </w:rPr>
        <w:t>年初预算申报时，我单位根据近三年来外出培训及本单位年度工作计划对项目绩效目标进行了相应设定。全年预计根据上级要求组织外出学习</w:t>
      </w:r>
      <w:r>
        <w:rPr>
          <w:rFonts w:ascii="仿宋_GB2312" w:hAnsi="仿宋_GB2312" w:eastAsia="仿宋_GB2312" w:cs="仿宋_GB2312"/>
          <w:bCs/>
          <w:sz w:val="32"/>
          <w:szCs w:val="32"/>
        </w:rPr>
        <w:t>20</w:t>
      </w:r>
      <w:r>
        <w:rPr>
          <w:rFonts w:hint="eastAsia" w:ascii="仿宋_GB2312" w:hAnsi="仿宋_GB2312" w:eastAsia="仿宋_GB2312" w:cs="仿宋_GB2312"/>
          <w:bCs/>
          <w:sz w:val="32"/>
          <w:szCs w:val="32"/>
        </w:rPr>
        <w:t>余人次，组织各部门及乡镇办公室工作人员培训</w:t>
      </w:r>
      <w:r>
        <w:rPr>
          <w:rFonts w:ascii="仿宋_GB2312" w:hAnsi="仿宋_GB2312" w:eastAsia="仿宋_GB2312" w:cs="仿宋_GB2312"/>
          <w:bCs/>
          <w:sz w:val="32"/>
          <w:szCs w:val="32"/>
        </w:rPr>
        <w:t>3</w:t>
      </w:r>
      <w:r>
        <w:rPr>
          <w:rFonts w:hint="eastAsia" w:ascii="仿宋_GB2312" w:hAnsi="仿宋_GB2312" w:eastAsia="仿宋_GB2312" w:cs="仿宋_GB2312"/>
          <w:bCs/>
          <w:sz w:val="32"/>
          <w:szCs w:val="32"/>
        </w:rPr>
        <w:t>次以上。</w:t>
      </w:r>
    </w:p>
    <w:p>
      <w:pPr>
        <w:autoSpaceDE w:val="0"/>
        <w:spacing w:line="576" w:lineRule="exact"/>
        <w:ind w:firstLine="640" w:firstLineChars="200"/>
        <w:rPr>
          <w:rFonts w:ascii="仿宋_GB2312" w:hAnsi="Times New Roman" w:eastAsia="仿宋_GB2312"/>
          <w:sz w:val="32"/>
          <w:szCs w:val="32"/>
        </w:rPr>
      </w:pPr>
      <w:r>
        <w:rPr>
          <w:rFonts w:hint="eastAsia" w:ascii="楷体_GB2312" w:hAnsi="Times New Roman" w:eastAsia="楷体_GB2312"/>
          <w:bCs/>
          <w:sz w:val="32"/>
          <w:szCs w:val="32"/>
        </w:rPr>
        <w:t>（三）项目资金申报相符性。</w:t>
      </w:r>
      <w:r>
        <w:rPr>
          <w:rFonts w:hint="eastAsia" w:ascii="仿宋_GB2312" w:hAnsi="仿宋_GB2312" w:eastAsia="仿宋_GB2312" w:cs="仿宋_GB2312"/>
          <w:bCs/>
          <w:sz w:val="32"/>
          <w:szCs w:val="32"/>
        </w:rPr>
        <w:t>通过项目实施，</w:t>
      </w:r>
      <w:r>
        <w:rPr>
          <w:rFonts w:hint="eastAsia" w:ascii="仿宋_GB2312" w:hAnsi="??" w:eastAsia="仿宋_GB2312"/>
          <w:sz w:val="32"/>
          <w:szCs w:val="32"/>
        </w:rPr>
        <w:t>全年共保障干部职工外出学习培训</w:t>
      </w:r>
      <w:r>
        <w:rPr>
          <w:rFonts w:ascii="仿宋_GB2312" w:hAnsi="??" w:eastAsia="仿宋_GB2312"/>
          <w:sz w:val="32"/>
          <w:szCs w:val="32"/>
        </w:rPr>
        <w:t>26</w:t>
      </w:r>
      <w:r>
        <w:rPr>
          <w:rFonts w:hint="eastAsia" w:ascii="仿宋_GB2312" w:hAnsi="??" w:eastAsia="仿宋_GB2312"/>
          <w:sz w:val="32"/>
          <w:szCs w:val="32"/>
        </w:rPr>
        <w:t>人次，组织区级部门及乡镇办公室人员及分管领导培训</w:t>
      </w:r>
      <w:r>
        <w:rPr>
          <w:rFonts w:ascii="仿宋_GB2312" w:hAnsi="??" w:eastAsia="仿宋_GB2312"/>
          <w:sz w:val="32"/>
          <w:szCs w:val="32"/>
        </w:rPr>
        <w:t>3</w:t>
      </w:r>
      <w:r>
        <w:rPr>
          <w:rFonts w:hint="eastAsia" w:ascii="仿宋_GB2312" w:hAnsi="??" w:eastAsia="仿宋_GB2312"/>
          <w:sz w:val="32"/>
          <w:szCs w:val="32"/>
        </w:rPr>
        <w:t>场次，通过项目实施，参训人员平均优良率达到</w:t>
      </w:r>
      <w:r>
        <w:rPr>
          <w:rFonts w:ascii="仿宋_GB2312" w:hAnsi="??" w:eastAsia="仿宋_GB2312"/>
          <w:sz w:val="32"/>
          <w:szCs w:val="32"/>
        </w:rPr>
        <w:t>85%</w:t>
      </w:r>
      <w:r>
        <w:rPr>
          <w:rFonts w:hint="eastAsia" w:ascii="仿宋_GB2312" w:hAnsi="??" w:eastAsia="仿宋_GB2312"/>
          <w:sz w:val="32"/>
          <w:szCs w:val="32"/>
        </w:rPr>
        <w:t>，参训人员对教学质量、后勤保障等方面满意度</w:t>
      </w:r>
      <w:r>
        <w:rPr>
          <w:rFonts w:ascii="仿宋_GB2312" w:hAnsi="??" w:eastAsia="仿宋_GB2312"/>
          <w:sz w:val="32"/>
          <w:szCs w:val="32"/>
        </w:rPr>
        <w:t>92%</w:t>
      </w:r>
      <w:r>
        <w:rPr>
          <w:rFonts w:hint="eastAsia" w:ascii="仿宋_GB2312" w:hAnsi="??" w:eastAsia="仿宋_GB2312"/>
          <w:sz w:val="32"/>
          <w:szCs w:val="32"/>
        </w:rPr>
        <w:t>。达到了预算申报的相应绩效目标，相应的数量指标、质量指标、时效指标、成本指标等均达到预期。</w:t>
      </w:r>
      <w:r>
        <w:rPr>
          <w:rFonts w:hint="eastAsia" w:ascii="仿宋_GB2312" w:hAnsi="Times New Roman" w:eastAsia="仿宋_GB2312"/>
          <w:sz w:val="32"/>
          <w:szCs w:val="32"/>
        </w:rPr>
        <w:t>项目申报内容与具体实施内容相符、申报目标合理可行。</w:t>
      </w:r>
    </w:p>
    <w:p>
      <w:pPr>
        <w:autoSpaceDE w:val="0"/>
        <w:spacing w:line="576" w:lineRule="exact"/>
        <w:ind w:firstLine="640" w:firstLineChars="200"/>
        <w:rPr>
          <w:rFonts w:ascii="黑体" w:hAnsi="黑体" w:eastAsia="黑体"/>
          <w:sz w:val="32"/>
          <w:szCs w:val="32"/>
        </w:rPr>
      </w:pPr>
      <w:r>
        <w:rPr>
          <w:rFonts w:hint="eastAsia" w:ascii="黑体" w:hAnsi="黑体" w:eastAsia="黑体"/>
          <w:sz w:val="32"/>
          <w:szCs w:val="32"/>
        </w:rPr>
        <w:t>二、项目实施及管理情况</w:t>
      </w:r>
    </w:p>
    <w:p>
      <w:pPr>
        <w:autoSpaceDE w:val="0"/>
        <w:spacing w:line="576"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（一）资金计划、到位及使用情况</w:t>
      </w:r>
    </w:p>
    <w:p>
      <w:pPr>
        <w:autoSpaceDE w:val="0"/>
        <w:spacing w:line="576" w:lineRule="exact"/>
        <w:ind w:firstLine="640" w:firstLineChars="200"/>
        <w:rPr>
          <w:rFonts w:ascii="仿宋_GB2312" w:hAnsi="??"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．资金计划及到位。截止评价时点该项目实际到位资金</w:t>
      </w:r>
      <w:r>
        <w:rPr>
          <w:rFonts w:ascii="仿宋_GB2312" w:hAnsi="Times New Roman" w:eastAsia="仿宋_GB2312"/>
          <w:sz w:val="32"/>
          <w:szCs w:val="32"/>
        </w:rPr>
        <w:t>25</w:t>
      </w:r>
      <w:r>
        <w:rPr>
          <w:rFonts w:hint="eastAsia" w:ascii="仿宋_GB2312" w:hAnsi="Times New Roman" w:eastAsia="仿宋_GB2312"/>
          <w:sz w:val="32"/>
          <w:szCs w:val="32"/>
        </w:rPr>
        <w:t>万元，资金到位率</w:t>
      </w:r>
      <w:r>
        <w:rPr>
          <w:rFonts w:ascii="仿宋_GB2312" w:hAnsi="Times New Roman" w:eastAsia="仿宋_GB2312"/>
          <w:sz w:val="32"/>
          <w:szCs w:val="32"/>
        </w:rPr>
        <w:t>100%</w:t>
      </w:r>
      <w:r>
        <w:rPr>
          <w:rFonts w:hint="eastAsia" w:ascii="仿宋_GB2312" w:hAnsi="Times New Roman" w:eastAsia="仿宋_GB2312"/>
          <w:sz w:val="32"/>
          <w:szCs w:val="32"/>
        </w:rPr>
        <w:t>。在项目实施过程中，我单位</w:t>
      </w:r>
      <w:r>
        <w:rPr>
          <w:rFonts w:hint="eastAsia" w:ascii="仿宋_GB2312" w:hAnsi="??" w:eastAsia="仿宋_GB2312"/>
          <w:sz w:val="32"/>
          <w:szCs w:val="32"/>
        </w:rPr>
        <w:t>根据项目实施进度，及时分批调拨项目资金，确保资金及时到位，截止项目实施完毕，资金全额调拨到位并支付完毕。</w:t>
      </w:r>
    </w:p>
    <w:p>
      <w:pPr>
        <w:autoSpaceDE w:val="0"/>
        <w:spacing w:line="576" w:lineRule="exact"/>
        <w:ind w:firstLine="640" w:firstLineChars="200"/>
        <w:rPr>
          <w:rFonts w:ascii="仿宋_GB2312" w:hAnsi="??" w:eastAsia="仿宋_GB2312"/>
          <w:sz w:val="32"/>
          <w:szCs w:val="32"/>
        </w:rPr>
      </w:pPr>
      <w:r>
        <w:rPr>
          <w:rFonts w:ascii="仿宋_GB2312" w:hAnsi="Times New Roman" w:eastAsia="仿宋_GB2312"/>
          <w:sz w:val="32"/>
          <w:szCs w:val="32"/>
        </w:rPr>
        <w:t>2</w:t>
      </w:r>
      <w:r>
        <w:rPr>
          <w:rFonts w:hint="eastAsia" w:ascii="仿宋_GB2312" w:hAnsi="Times New Roman" w:eastAsia="仿宋_GB2312"/>
          <w:sz w:val="32"/>
          <w:szCs w:val="32"/>
        </w:rPr>
        <w:t>．资金使用。</w:t>
      </w:r>
      <w:r>
        <w:rPr>
          <w:rFonts w:hint="eastAsia" w:ascii="仿宋_GB2312" w:hAnsi="??" w:eastAsia="仿宋_GB2312"/>
          <w:sz w:val="32"/>
          <w:szCs w:val="32"/>
        </w:rPr>
        <w:t>在项目实施过程中，我单位严格执行财经纪律，对参训人员住宿费、伙食费、培训资料费、交通费以及其他费用按朝天区差旅费、培训费标准严格执行，确保全年该项目无违规违纪现象发生。</w:t>
      </w:r>
    </w:p>
    <w:p>
      <w:pPr>
        <w:autoSpaceDE w:val="0"/>
        <w:spacing w:line="576"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（二）项目财务管理情况</w:t>
      </w:r>
    </w:p>
    <w:p>
      <w:pPr>
        <w:autoSpaceDE w:val="0"/>
        <w:spacing w:line="576" w:lineRule="exact"/>
        <w:ind w:firstLine="640" w:firstLineChars="200"/>
        <w:rPr>
          <w:rFonts w:ascii="仿宋_GB2312" w:hAnsi="Times New Roman" w:eastAsia="仿宋_GB2312"/>
          <w:sz w:val="32"/>
          <w:szCs w:val="32"/>
        </w:rPr>
      </w:pPr>
      <w:r>
        <w:rPr>
          <w:rFonts w:hint="eastAsia" w:ascii="仿宋_GB2312" w:hAnsi="??" w:eastAsia="仿宋_GB2312"/>
          <w:sz w:val="32"/>
          <w:szCs w:val="32"/>
        </w:rPr>
        <w:t>在项目实施过程中，我单位切实加大专项资金的管理和监督，规范专项资金使用，切实提高资金使用效率，使用专项资金时，全部通过国库集中支付方式进行，严禁虚报、挤占、挪用。同时进一步健全单位内控管理制度，严格财务会计核算，及时进行账务处理，确保专款专用，项目资金无滞留、闲置现象发生。</w:t>
      </w:r>
    </w:p>
    <w:p>
      <w:pPr>
        <w:autoSpaceDE w:val="0"/>
        <w:spacing w:line="576"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（三）项目组织实施情况</w:t>
      </w:r>
    </w:p>
    <w:p>
      <w:pPr>
        <w:spacing w:line="576" w:lineRule="exact"/>
        <w:ind w:firstLine="660"/>
        <w:rPr>
          <w:rFonts w:ascii="仿宋_GB2312" w:hAnsi="??" w:eastAsia="仿宋_GB2312"/>
          <w:sz w:val="32"/>
          <w:szCs w:val="32"/>
        </w:rPr>
      </w:pPr>
      <w:r>
        <w:rPr>
          <w:rFonts w:ascii="仿宋_GB2312" w:hAnsi="??" w:eastAsia="仿宋_GB2312"/>
          <w:sz w:val="32"/>
          <w:szCs w:val="32"/>
        </w:rPr>
        <w:t>1</w:t>
      </w:r>
      <w:r>
        <w:rPr>
          <w:rFonts w:hint="eastAsia" w:ascii="仿宋_GB2312" w:hAnsi="??" w:eastAsia="仿宋_GB2312"/>
          <w:sz w:val="32"/>
          <w:szCs w:val="32"/>
        </w:rPr>
        <w:t>．项目组织机构与职责落实情况。根据</w:t>
      </w:r>
      <w:r>
        <w:rPr>
          <w:rFonts w:hint="eastAsia" w:ascii="仿宋_GB2312" w:hAnsi="??" w:eastAsia="仿宋_GB2312" w:cs="仿宋_GB2312"/>
          <w:sz w:val="32"/>
          <w:szCs w:val="32"/>
        </w:rPr>
        <w:t>广朝编委发〔2019〕</w:t>
      </w:r>
      <w:r>
        <w:rPr>
          <w:rFonts w:ascii="仿宋_GB2312" w:hAnsi="??" w:eastAsia="仿宋_GB2312" w:cs="仿宋_GB2312"/>
          <w:sz w:val="32"/>
          <w:szCs w:val="32"/>
        </w:rPr>
        <w:t>54</w:t>
      </w:r>
      <w:r>
        <w:rPr>
          <w:rFonts w:hint="eastAsia" w:ascii="仿宋_GB2312" w:hAnsi="??" w:eastAsia="仿宋_GB2312" w:cs="仿宋_GB2312"/>
          <w:sz w:val="32"/>
          <w:szCs w:val="32"/>
        </w:rPr>
        <w:t>号关于调整中共广元市朝天区委办公室有关机构编制事项通知文件精神，进一步明确了相关行政职能职责，落实了专人对工作具体负责。</w:t>
      </w:r>
    </w:p>
    <w:p>
      <w:pPr>
        <w:spacing w:line="576" w:lineRule="exact"/>
        <w:ind w:firstLine="640" w:firstLineChars="200"/>
        <w:rPr>
          <w:rFonts w:ascii="仿宋_GB2312" w:eastAsia="仿宋_GB2312"/>
          <w:sz w:val="32"/>
          <w:szCs w:val="32"/>
        </w:rPr>
      </w:pPr>
      <w:r>
        <w:rPr>
          <w:rFonts w:ascii="仿宋_GB2312" w:hAnsi="??" w:eastAsia="仿宋_GB2312"/>
          <w:sz w:val="32"/>
          <w:szCs w:val="32"/>
        </w:rPr>
        <w:t>2</w:t>
      </w:r>
      <w:r>
        <w:rPr>
          <w:rFonts w:hint="eastAsia" w:ascii="仿宋_GB2312" w:hAnsi="??" w:eastAsia="仿宋_GB2312"/>
          <w:sz w:val="32"/>
          <w:szCs w:val="32"/>
        </w:rPr>
        <w:t>．项目管理制度建设情况。一是</w:t>
      </w:r>
      <w:r>
        <w:rPr>
          <w:rFonts w:hint="eastAsia" w:ascii="仿宋_GB2312" w:eastAsia="仿宋_GB2312"/>
          <w:sz w:val="32"/>
          <w:szCs w:val="32"/>
        </w:rPr>
        <w:t>根据工作实际情况，通过对区委办内控制度建设，进一步规范了干部外出培训事前申报、事中监督、事后考核评价机制</w:t>
      </w:r>
      <w:r>
        <w:rPr>
          <w:rFonts w:hint="eastAsia" w:ascii="仿宋_GB2312" w:hAnsi="??" w:eastAsia="仿宋_GB2312"/>
          <w:sz w:val="32"/>
          <w:szCs w:val="32"/>
        </w:rPr>
        <w:t>；二是</w:t>
      </w:r>
      <w:r>
        <w:rPr>
          <w:rFonts w:hint="eastAsia" w:ascii="仿宋_GB2312" w:eastAsia="仿宋_GB2312"/>
          <w:sz w:val="32"/>
          <w:szCs w:val="32"/>
        </w:rPr>
        <w:t>对单位组织的全区办公室干部培训中，严格</w:t>
      </w:r>
      <w:r>
        <w:rPr>
          <w:rFonts w:hint="eastAsia" w:ascii="仿宋_GB2312" w:hAnsi="??" w:eastAsia="仿宋_GB2312"/>
          <w:sz w:val="32"/>
          <w:szCs w:val="32"/>
        </w:rPr>
        <w:t>按朝天区差旅费、培训费标准严格执行</w:t>
      </w:r>
      <w:r>
        <w:rPr>
          <w:rFonts w:hint="eastAsia" w:ascii="仿宋_GB2312" w:eastAsia="仿宋_GB2312"/>
          <w:sz w:val="32"/>
          <w:szCs w:val="32"/>
        </w:rPr>
        <w:t>。</w:t>
      </w:r>
    </w:p>
    <w:p>
      <w:pPr>
        <w:autoSpaceDE w:val="0"/>
        <w:spacing w:line="576" w:lineRule="exact"/>
        <w:ind w:firstLine="640" w:firstLineChars="200"/>
        <w:rPr>
          <w:rFonts w:ascii="黑体" w:hAnsi="黑体" w:eastAsia="黑体"/>
          <w:sz w:val="32"/>
          <w:szCs w:val="32"/>
        </w:rPr>
      </w:pPr>
      <w:r>
        <w:rPr>
          <w:rFonts w:hint="eastAsia" w:ascii="黑体" w:hAnsi="黑体" w:eastAsia="黑体"/>
          <w:sz w:val="32"/>
          <w:szCs w:val="32"/>
        </w:rPr>
        <w:t>三、项目绩效情况</w:t>
      </w:r>
      <w:r>
        <w:rPr>
          <w:rFonts w:ascii="黑体" w:hAnsi="黑体" w:eastAsia="黑体"/>
          <w:sz w:val="32"/>
          <w:szCs w:val="32"/>
        </w:rPr>
        <w:tab/>
      </w:r>
    </w:p>
    <w:p>
      <w:pPr>
        <w:autoSpaceDE w:val="0"/>
        <w:spacing w:line="576"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（一）项目完成情况</w:t>
      </w:r>
    </w:p>
    <w:p>
      <w:pPr>
        <w:spacing w:line="576"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全年共</w:t>
      </w:r>
      <w:r>
        <w:rPr>
          <w:rFonts w:hint="eastAsia" w:ascii="仿宋_GB2312" w:hAnsi="??" w:eastAsia="仿宋_GB2312"/>
          <w:sz w:val="32"/>
          <w:szCs w:val="32"/>
        </w:rPr>
        <w:t>保障干部职工外出学习培训</w:t>
      </w:r>
      <w:r>
        <w:rPr>
          <w:rFonts w:ascii="仿宋_GB2312" w:hAnsi="??" w:eastAsia="仿宋_GB2312"/>
          <w:sz w:val="32"/>
          <w:szCs w:val="32"/>
        </w:rPr>
        <w:t>26</w:t>
      </w:r>
      <w:r>
        <w:rPr>
          <w:rFonts w:hint="eastAsia" w:ascii="仿宋_GB2312" w:hAnsi="??" w:eastAsia="仿宋_GB2312"/>
          <w:sz w:val="32"/>
          <w:szCs w:val="32"/>
        </w:rPr>
        <w:t>人次，组织区级部门及乡镇办公室人员及分管领导培训</w:t>
      </w:r>
      <w:r>
        <w:rPr>
          <w:rFonts w:ascii="仿宋_GB2312" w:hAnsi="??" w:eastAsia="仿宋_GB2312"/>
          <w:sz w:val="32"/>
          <w:szCs w:val="32"/>
        </w:rPr>
        <w:t>3</w:t>
      </w:r>
      <w:r>
        <w:rPr>
          <w:rFonts w:hint="eastAsia" w:ascii="仿宋_GB2312" w:hAnsi="??" w:eastAsia="仿宋_GB2312"/>
          <w:sz w:val="32"/>
          <w:szCs w:val="32"/>
        </w:rPr>
        <w:t>场</w:t>
      </w:r>
      <w:r>
        <w:rPr>
          <w:rFonts w:ascii="仿宋_GB2312" w:hAnsi="??" w:eastAsia="仿宋_GB2312"/>
          <w:sz w:val="32"/>
          <w:szCs w:val="32"/>
        </w:rPr>
        <w:t>300</w:t>
      </w:r>
      <w:r>
        <w:rPr>
          <w:rFonts w:hint="eastAsia" w:ascii="仿宋_GB2312" w:hAnsi="??" w:eastAsia="仿宋_GB2312"/>
          <w:sz w:val="32"/>
          <w:szCs w:val="32"/>
        </w:rPr>
        <w:t>余人次</w:t>
      </w:r>
      <w:r>
        <w:rPr>
          <w:rFonts w:hint="eastAsia" w:ascii="仿宋_GB2312" w:hAnsi="仿宋_GB2312" w:eastAsia="仿宋_GB2312" w:cs="仿宋_GB2312"/>
          <w:sz w:val="32"/>
          <w:szCs w:val="32"/>
        </w:rPr>
        <w:t>。</w:t>
      </w:r>
    </w:p>
    <w:p>
      <w:pPr>
        <w:autoSpaceDE w:val="0"/>
        <w:spacing w:line="576"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（二）项目效益情况</w:t>
      </w:r>
    </w:p>
    <w:p>
      <w:pPr>
        <w:spacing w:line="576" w:lineRule="exact"/>
        <w:ind w:firstLine="645"/>
        <w:rPr>
          <w:rFonts w:ascii="仿宋_GB2312" w:hAnsi="??" w:eastAsia="仿宋_GB2312"/>
          <w:sz w:val="32"/>
          <w:szCs w:val="32"/>
        </w:rPr>
      </w:pPr>
      <w:r>
        <w:rPr>
          <w:rFonts w:hint="eastAsia" w:ascii="仿宋_GB2312" w:hAnsi="??" w:eastAsia="仿宋_GB2312"/>
          <w:sz w:val="32"/>
          <w:szCs w:val="32"/>
        </w:rPr>
        <w:t>通过项目实施，进一步提升了干部自身综合素质，通过严密监管，精心组织，确保了学员平均优良率达到</w:t>
      </w:r>
      <w:r>
        <w:rPr>
          <w:rFonts w:ascii="仿宋_GB2312" w:hAnsi="??" w:eastAsia="仿宋_GB2312"/>
          <w:sz w:val="32"/>
          <w:szCs w:val="32"/>
        </w:rPr>
        <w:t>85%</w:t>
      </w:r>
      <w:r>
        <w:rPr>
          <w:rFonts w:hint="eastAsia" w:ascii="仿宋_GB2312" w:hAnsi="??" w:eastAsia="仿宋_GB2312"/>
          <w:sz w:val="32"/>
          <w:szCs w:val="32"/>
        </w:rPr>
        <w:t>，参训人员对教学质量、后勤服务保障满意度达到</w:t>
      </w:r>
      <w:r>
        <w:rPr>
          <w:rFonts w:ascii="仿宋_GB2312" w:hAnsi="??" w:eastAsia="仿宋_GB2312"/>
          <w:sz w:val="32"/>
          <w:szCs w:val="32"/>
        </w:rPr>
        <w:t>92%</w:t>
      </w:r>
      <w:r>
        <w:rPr>
          <w:rFonts w:hint="eastAsia" w:ascii="仿宋_GB2312" w:hAnsi="??" w:eastAsia="仿宋_GB2312"/>
          <w:sz w:val="32"/>
          <w:szCs w:val="32"/>
        </w:rPr>
        <w:t>。</w:t>
      </w:r>
    </w:p>
    <w:p>
      <w:pPr>
        <w:autoSpaceDE w:val="0"/>
        <w:spacing w:line="576" w:lineRule="exact"/>
        <w:ind w:firstLine="640" w:firstLineChars="200"/>
        <w:rPr>
          <w:rFonts w:ascii="黑体" w:hAnsi="黑体" w:eastAsia="黑体"/>
          <w:sz w:val="32"/>
          <w:szCs w:val="32"/>
        </w:rPr>
      </w:pPr>
      <w:r>
        <w:rPr>
          <w:rFonts w:hint="eastAsia" w:ascii="黑体" w:hAnsi="黑体" w:eastAsia="黑体"/>
          <w:sz w:val="32"/>
          <w:szCs w:val="32"/>
        </w:rPr>
        <w:t>四、问题及建议</w:t>
      </w:r>
    </w:p>
    <w:p>
      <w:pPr>
        <w:autoSpaceDE w:val="0"/>
        <w:spacing w:line="576"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（一）存在的问题</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项目实施过程中，单位进一步提高了预算绩效管理认识，强化了以“绩效为中心、对支出结果负责、对社会公众负责”的理念，但在绩效目标编制方面，存在绩效目标设置指向不清、预算和目标匹配不足，数量目标和质量目标量化不细，效益目标编制不完善等问题。</w:t>
      </w:r>
    </w:p>
    <w:p>
      <w:pPr>
        <w:autoSpaceDE w:val="0"/>
        <w:spacing w:line="576" w:lineRule="exact"/>
        <w:ind w:firstLine="640" w:firstLineChars="200"/>
        <w:rPr>
          <w:rFonts w:ascii="仿宋_GB2312" w:hAnsi="Times New Roman" w:eastAsia="仿宋_GB2312"/>
          <w:sz w:val="32"/>
          <w:szCs w:val="32"/>
        </w:rPr>
      </w:pPr>
      <w:r>
        <w:rPr>
          <w:rFonts w:hint="eastAsia" w:ascii="楷体_GB2312" w:hAnsi="Times New Roman" w:eastAsia="楷体_GB2312"/>
          <w:bCs/>
          <w:sz w:val="32"/>
          <w:szCs w:val="32"/>
        </w:rPr>
        <w:t>（二）相关建议。</w:t>
      </w:r>
      <w:r>
        <w:rPr>
          <w:rFonts w:hint="eastAsia" w:ascii="仿宋_GB2312" w:hAnsi="仿宋_GB2312" w:eastAsia="仿宋_GB2312" w:cs="仿宋_GB2312"/>
          <w:sz w:val="32"/>
          <w:szCs w:val="32"/>
        </w:rPr>
        <w:t>继续加强对相关专业技术人员的业务培训，进一步提高预算绩效目标编制、评价质量。</w:t>
      </w:r>
    </w:p>
    <w:p>
      <w:pPr>
        <w:autoSpaceDE w:val="0"/>
        <w:spacing w:line="576" w:lineRule="exact"/>
        <w:rPr>
          <w:rFonts w:hint="eastAsia" w:ascii="仿宋_GB2312" w:hAnsi="??" w:eastAsia="仿宋_GB2312"/>
          <w:color w:val="000000"/>
          <w:kern w:val="0"/>
          <w:sz w:val="32"/>
          <w:szCs w:val="32"/>
        </w:rPr>
      </w:pPr>
    </w:p>
    <w:p>
      <w:pPr>
        <w:autoSpaceDE w:val="0"/>
        <w:spacing w:line="576" w:lineRule="exact"/>
        <w:ind w:firstLine="640" w:firstLineChars="200"/>
        <w:rPr>
          <w:rFonts w:ascii="黑体" w:hAnsi="黑体" w:eastAsia="黑体"/>
          <w:color w:val="000000"/>
          <w:kern w:val="0"/>
          <w:sz w:val="24"/>
          <w:szCs w:val="24"/>
        </w:rPr>
      </w:pPr>
      <w:r>
        <w:rPr>
          <w:rFonts w:hint="eastAsia" w:ascii="仿宋_GB2312" w:hAnsi="??" w:eastAsia="仿宋_GB2312"/>
          <w:color w:val="000000"/>
          <w:kern w:val="0"/>
          <w:sz w:val="32"/>
          <w:szCs w:val="32"/>
        </w:rPr>
        <w:t>附件：</w:t>
      </w:r>
      <w:r>
        <w:rPr>
          <w:rFonts w:ascii="仿宋_GB2312" w:hAnsi="??" w:eastAsia="仿宋_GB2312"/>
          <w:color w:val="000000"/>
          <w:kern w:val="0"/>
          <w:sz w:val="32"/>
          <w:szCs w:val="32"/>
        </w:rPr>
        <w:t>1</w:t>
      </w:r>
      <w:r>
        <w:rPr>
          <w:rFonts w:hint="eastAsia" w:ascii="仿宋_GB2312" w:hAnsi="??" w:eastAsia="仿宋_GB2312"/>
          <w:color w:val="000000"/>
          <w:kern w:val="0"/>
          <w:sz w:val="32"/>
          <w:szCs w:val="32"/>
        </w:rPr>
        <w:t>．部门预算</w:t>
      </w:r>
      <w:r>
        <w:rPr>
          <w:rFonts w:hint="eastAsia" w:ascii="仿宋_GB2312" w:hAnsi="??" w:eastAsia="仿宋_GB2312" w:cs="??"/>
          <w:color w:val="000000"/>
          <w:kern w:val="0"/>
          <w:sz w:val="32"/>
          <w:szCs w:val="32"/>
        </w:rPr>
        <w:t>项目支出绩效目标自评表</w:t>
      </w:r>
    </w:p>
    <w:p>
      <w:pPr>
        <w:autoSpaceDE w:val="0"/>
        <w:spacing w:line="576" w:lineRule="exact"/>
        <w:ind w:firstLine="1600" w:firstLineChars="500"/>
        <w:jc w:val="left"/>
        <w:rPr>
          <w:rFonts w:ascii="仿宋_GB2312" w:hAnsi="??" w:eastAsia="仿宋_GB2312"/>
          <w:color w:val="000000"/>
          <w:kern w:val="0"/>
          <w:sz w:val="32"/>
          <w:szCs w:val="32"/>
        </w:rPr>
      </w:pPr>
      <w:r>
        <w:rPr>
          <w:rFonts w:ascii="仿宋_GB2312" w:hAnsi="??" w:eastAsia="仿宋_GB2312"/>
          <w:color w:val="000000"/>
          <w:kern w:val="0"/>
          <w:sz w:val="32"/>
          <w:szCs w:val="32"/>
        </w:rPr>
        <w:t>2</w:t>
      </w:r>
      <w:r>
        <w:rPr>
          <w:rFonts w:hint="eastAsia" w:ascii="仿宋_GB2312" w:hAnsi="??" w:eastAsia="仿宋_GB2312"/>
          <w:color w:val="000000"/>
          <w:kern w:val="0"/>
          <w:sz w:val="32"/>
          <w:szCs w:val="32"/>
        </w:rPr>
        <w:t>．</w:t>
      </w:r>
      <w:r>
        <w:rPr>
          <w:rFonts w:ascii="仿宋_GB2312" w:hAnsi="??" w:eastAsia="仿宋_GB2312"/>
          <w:color w:val="000000"/>
          <w:kern w:val="0"/>
          <w:sz w:val="32"/>
          <w:szCs w:val="32"/>
        </w:rPr>
        <w:t>2021</w:t>
      </w:r>
      <w:r>
        <w:rPr>
          <w:rFonts w:hint="eastAsia" w:ascii="仿宋_GB2312" w:hAnsi="??" w:eastAsia="仿宋_GB2312"/>
          <w:color w:val="000000"/>
          <w:kern w:val="0"/>
          <w:sz w:val="32"/>
          <w:szCs w:val="32"/>
        </w:rPr>
        <w:t>年部门预算项目支出绩效自评评分表</w:t>
      </w:r>
    </w:p>
    <w:p>
      <w:pPr>
        <w:autoSpaceDE w:val="0"/>
        <w:spacing w:line="576" w:lineRule="exact"/>
        <w:rPr>
          <w:rFonts w:hint="eastAsia" w:ascii="仿宋_GB2312" w:hAnsi="Times New Roman" w:eastAsia="仿宋_GB2312"/>
          <w:sz w:val="32"/>
          <w:szCs w:val="32"/>
        </w:rPr>
      </w:pPr>
    </w:p>
    <w:p>
      <w:pPr>
        <w:pStyle w:val="2"/>
        <w:spacing w:line="576" w:lineRule="exact"/>
        <w:rPr>
          <w:rFonts w:hint="eastAsia" w:eastAsia="仿宋_GB2312"/>
        </w:rPr>
      </w:pPr>
    </w:p>
    <w:p>
      <w:pPr>
        <w:pStyle w:val="2"/>
        <w:spacing w:line="500" w:lineRule="exact"/>
        <w:rPr>
          <w:rFonts w:hint="eastAsia"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附件1</w:t>
      </w:r>
    </w:p>
    <w:p>
      <w:pPr>
        <w:pStyle w:val="2"/>
        <w:spacing w:line="500" w:lineRule="exact"/>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部门预算项目支出绩效目标自评表</w:t>
      </w:r>
    </w:p>
    <w:p>
      <w:pPr>
        <w:pStyle w:val="2"/>
        <w:spacing w:line="500" w:lineRule="exact"/>
        <w:jc w:val="center"/>
        <w:rPr>
          <w:rFonts w:hint="eastAsia" w:ascii="楷体_GB2312" w:hAnsi="黑体" w:eastAsia="楷体_GB2312" w:cs="宋体"/>
          <w:color w:val="000000"/>
          <w:kern w:val="0"/>
          <w:sz w:val="32"/>
          <w:szCs w:val="32"/>
        </w:rPr>
      </w:pPr>
      <w:r>
        <w:rPr>
          <w:rFonts w:hint="eastAsia" w:ascii="楷体_GB2312" w:hAnsi="黑体" w:eastAsia="楷体_GB2312" w:cs="宋体"/>
          <w:color w:val="000000"/>
          <w:kern w:val="0"/>
          <w:sz w:val="32"/>
          <w:szCs w:val="32"/>
        </w:rPr>
        <w:t>（2021年度）</w:t>
      </w:r>
    </w:p>
    <w:p>
      <w:pPr>
        <w:pStyle w:val="2"/>
        <w:spacing w:line="300" w:lineRule="exact"/>
        <w:jc w:val="center"/>
        <w:rPr>
          <w:rFonts w:hint="eastAsia" w:ascii="黑体" w:hAnsi="黑体" w:eastAsia="黑体" w:cs="宋体"/>
          <w:color w:val="000000"/>
          <w:kern w:val="0"/>
          <w:sz w:val="22"/>
        </w:rPr>
      </w:pPr>
    </w:p>
    <w:p>
      <w:pPr>
        <w:pStyle w:val="2"/>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部门（单位）盖章：中共广元市朝天区委办公室</w:t>
      </w:r>
    </w:p>
    <w:tbl>
      <w:tblPr>
        <w:tblStyle w:val="14"/>
        <w:tblW w:w="0" w:type="auto"/>
        <w:jc w:val="center"/>
        <w:tblLayout w:type="autofit"/>
        <w:tblCellMar>
          <w:top w:w="0" w:type="dxa"/>
          <w:left w:w="108" w:type="dxa"/>
          <w:bottom w:w="0" w:type="dxa"/>
          <w:right w:w="108" w:type="dxa"/>
        </w:tblCellMar>
      </w:tblPr>
      <w:tblGrid>
        <w:gridCol w:w="731"/>
        <w:gridCol w:w="736"/>
        <w:gridCol w:w="140"/>
        <w:gridCol w:w="972"/>
        <w:gridCol w:w="725"/>
        <w:gridCol w:w="1567"/>
        <w:gridCol w:w="438"/>
        <w:gridCol w:w="1174"/>
        <w:gridCol w:w="1348"/>
        <w:gridCol w:w="157"/>
        <w:gridCol w:w="1072"/>
      </w:tblGrid>
      <w:tr>
        <w:tblPrEx>
          <w:tblCellMar>
            <w:top w:w="0" w:type="dxa"/>
            <w:left w:w="108" w:type="dxa"/>
            <w:bottom w:w="0" w:type="dxa"/>
            <w:right w:w="108" w:type="dxa"/>
          </w:tblCellMar>
        </w:tblPrEx>
        <w:trPr>
          <w:trHeight w:val="380" w:hRule="atLeast"/>
          <w:jc w:val="center"/>
        </w:trPr>
        <w:tc>
          <w:tcPr>
            <w:tcW w:w="1641"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项目支出名称</w:t>
            </w:r>
          </w:p>
        </w:tc>
        <w:tc>
          <w:tcPr>
            <w:tcW w:w="7710" w:type="dxa"/>
            <w:gridSpan w:val="8"/>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干部能力提升培训专项工作</w:t>
            </w:r>
          </w:p>
        </w:tc>
      </w:tr>
      <w:tr>
        <w:tblPrEx>
          <w:tblCellMar>
            <w:top w:w="0" w:type="dxa"/>
            <w:left w:w="108" w:type="dxa"/>
            <w:bottom w:w="0" w:type="dxa"/>
            <w:right w:w="108" w:type="dxa"/>
          </w:tblCellMar>
        </w:tblPrEx>
        <w:trPr>
          <w:trHeight w:val="338" w:hRule="atLeast"/>
          <w:jc w:val="center"/>
        </w:trPr>
        <w:tc>
          <w:tcPr>
            <w:tcW w:w="1641"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预算单位</w:t>
            </w:r>
          </w:p>
        </w:tc>
        <w:tc>
          <w:tcPr>
            <w:tcW w:w="7710" w:type="dxa"/>
            <w:gridSpan w:val="8"/>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中共广元市朝天区委办公室</w:t>
            </w:r>
          </w:p>
        </w:tc>
      </w:tr>
      <w:tr>
        <w:tblPrEx>
          <w:tblCellMar>
            <w:top w:w="0" w:type="dxa"/>
            <w:left w:w="108" w:type="dxa"/>
            <w:bottom w:w="0" w:type="dxa"/>
            <w:right w:w="108" w:type="dxa"/>
          </w:tblCellMar>
        </w:tblPrEx>
        <w:trPr>
          <w:trHeight w:val="338" w:hRule="atLeast"/>
          <w:jc w:val="center"/>
        </w:trPr>
        <w:tc>
          <w:tcPr>
            <w:tcW w:w="748"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预算执行情况</w:t>
            </w:r>
          </w:p>
        </w:tc>
        <w:tc>
          <w:tcPr>
            <w:tcW w:w="2654" w:type="dxa"/>
            <w:gridSpan w:val="4"/>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 xml:space="preserve"> 全年预算数（万元） </w:t>
            </w:r>
          </w:p>
        </w:tc>
        <w:tc>
          <w:tcPr>
            <w:tcW w:w="2072"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w:t>
            </w:r>
          </w:p>
        </w:tc>
        <w:tc>
          <w:tcPr>
            <w:tcW w:w="2771" w:type="dxa"/>
            <w:gridSpan w:val="3"/>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 xml:space="preserve"> 全年执行数（万元）</w:t>
            </w:r>
          </w:p>
        </w:tc>
        <w:tc>
          <w:tcPr>
            <w:tcW w:w="1106"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25</w:t>
            </w:r>
          </w:p>
        </w:tc>
      </w:tr>
      <w:tr>
        <w:tblPrEx>
          <w:tblCellMar>
            <w:top w:w="0" w:type="dxa"/>
            <w:left w:w="108" w:type="dxa"/>
            <w:bottom w:w="0" w:type="dxa"/>
            <w:right w:w="108" w:type="dxa"/>
          </w:tblCellMar>
        </w:tblPrEx>
        <w:trPr>
          <w:jc w:val="center"/>
        </w:trPr>
        <w:tc>
          <w:tcPr>
            <w:tcW w:w="748"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2654" w:type="dxa"/>
            <w:gridSpan w:val="4"/>
            <w:tcBorders>
              <w:top w:val="single" w:color="auto" w:sz="4" w:space="0"/>
              <w:left w:val="nil"/>
              <w:bottom w:val="single" w:color="auto" w:sz="4" w:space="0"/>
              <w:right w:val="single" w:color="000000"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其中：一般公共预算</w:t>
            </w:r>
          </w:p>
        </w:tc>
        <w:tc>
          <w:tcPr>
            <w:tcW w:w="2072"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w:t>
            </w:r>
          </w:p>
        </w:tc>
        <w:tc>
          <w:tcPr>
            <w:tcW w:w="2771" w:type="dxa"/>
            <w:gridSpan w:val="3"/>
            <w:tcBorders>
              <w:top w:val="nil"/>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其中：一般公共预算</w:t>
            </w:r>
          </w:p>
        </w:tc>
        <w:tc>
          <w:tcPr>
            <w:tcW w:w="1106"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25</w:t>
            </w:r>
          </w:p>
        </w:tc>
      </w:tr>
      <w:tr>
        <w:tblPrEx>
          <w:tblCellMar>
            <w:top w:w="0" w:type="dxa"/>
            <w:left w:w="108" w:type="dxa"/>
            <w:bottom w:w="0" w:type="dxa"/>
            <w:right w:w="108" w:type="dxa"/>
          </w:tblCellMar>
        </w:tblPrEx>
        <w:trPr>
          <w:jc w:val="center"/>
        </w:trPr>
        <w:tc>
          <w:tcPr>
            <w:tcW w:w="748"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2654" w:type="dxa"/>
            <w:gridSpan w:val="4"/>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政府性基金预算</w:t>
            </w:r>
          </w:p>
        </w:tc>
        <w:tc>
          <w:tcPr>
            <w:tcW w:w="2072"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771" w:type="dxa"/>
            <w:gridSpan w:val="3"/>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政府性基金预算</w:t>
            </w:r>
          </w:p>
        </w:tc>
        <w:tc>
          <w:tcPr>
            <w:tcW w:w="1106"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jc w:val="center"/>
        </w:trPr>
        <w:tc>
          <w:tcPr>
            <w:tcW w:w="748"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2654" w:type="dxa"/>
            <w:gridSpan w:val="4"/>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国有资本经营预算</w:t>
            </w:r>
          </w:p>
        </w:tc>
        <w:tc>
          <w:tcPr>
            <w:tcW w:w="2072"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771" w:type="dxa"/>
            <w:gridSpan w:val="3"/>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国有资本经营预算</w:t>
            </w:r>
          </w:p>
        </w:tc>
        <w:tc>
          <w:tcPr>
            <w:tcW w:w="1106"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jc w:val="center"/>
        </w:trPr>
        <w:tc>
          <w:tcPr>
            <w:tcW w:w="748"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2654" w:type="dxa"/>
            <w:gridSpan w:val="4"/>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社会保险基金预算</w:t>
            </w:r>
          </w:p>
        </w:tc>
        <w:tc>
          <w:tcPr>
            <w:tcW w:w="2072"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771" w:type="dxa"/>
            <w:gridSpan w:val="3"/>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社会保险基金预算</w:t>
            </w:r>
          </w:p>
        </w:tc>
        <w:tc>
          <w:tcPr>
            <w:tcW w:w="1106"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jc w:val="center"/>
        </w:trPr>
        <w:tc>
          <w:tcPr>
            <w:tcW w:w="748"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2654" w:type="dxa"/>
            <w:gridSpan w:val="4"/>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其他资金</w:t>
            </w:r>
          </w:p>
        </w:tc>
        <w:tc>
          <w:tcPr>
            <w:tcW w:w="2072"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771" w:type="dxa"/>
            <w:gridSpan w:val="3"/>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其他资金</w:t>
            </w:r>
          </w:p>
        </w:tc>
        <w:tc>
          <w:tcPr>
            <w:tcW w:w="1106"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38" w:hRule="atLeast"/>
          <w:jc w:val="center"/>
        </w:trPr>
        <w:tc>
          <w:tcPr>
            <w:tcW w:w="748"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目标完成情况</w:t>
            </w:r>
          </w:p>
        </w:tc>
        <w:tc>
          <w:tcPr>
            <w:tcW w:w="4726" w:type="dxa"/>
            <w:gridSpan w:val="6"/>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全年预期目标</w:t>
            </w:r>
          </w:p>
        </w:tc>
        <w:tc>
          <w:tcPr>
            <w:tcW w:w="3877" w:type="dxa"/>
            <w:gridSpan w:val="4"/>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全年实际完成目标</w:t>
            </w:r>
          </w:p>
        </w:tc>
      </w:tr>
      <w:tr>
        <w:tblPrEx>
          <w:tblCellMar>
            <w:top w:w="0" w:type="dxa"/>
            <w:left w:w="108" w:type="dxa"/>
            <w:bottom w:w="0" w:type="dxa"/>
            <w:right w:w="108" w:type="dxa"/>
          </w:tblCellMar>
        </w:tblPrEx>
        <w:trPr>
          <w:trHeight w:val="1190" w:hRule="atLeast"/>
          <w:jc w:val="center"/>
        </w:trPr>
        <w:tc>
          <w:tcPr>
            <w:tcW w:w="748"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4726" w:type="dxa"/>
            <w:gridSpan w:val="6"/>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保障干部职工继续教育培训。</w:t>
            </w:r>
          </w:p>
        </w:tc>
        <w:tc>
          <w:tcPr>
            <w:tcW w:w="3877" w:type="dxa"/>
            <w:gridSpan w:val="4"/>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通过项目实施，进一步提升了干部自身综合素质，通过严密监管，精心组织，确保了学员平均优良率达到85%，参训人员满意度达到92%。                                                                                       </w:t>
            </w:r>
          </w:p>
        </w:tc>
      </w:tr>
      <w:tr>
        <w:tblPrEx>
          <w:tblCellMar>
            <w:top w:w="0" w:type="dxa"/>
            <w:left w:w="108" w:type="dxa"/>
            <w:bottom w:w="0" w:type="dxa"/>
            <w:right w:w="108" w:type="dxa"/>
          </w:tblCellMar>
        </w:tblPrEx>
        <w:trPr>
          <w:trHeight w:val="1149" w:hRule="atLeast"/>
          <w:jc w:val="center"/>
        </w:trPr>
        <w:tc>
          <w:tcPr>
            <w:tcW w:w="748"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年度绩效指标完成情况</w:t>
            </w:r>
          </w:p>
        </w:tc>
        <w:tc>
          <w:tcPr>
            <w:tcW w:w="750"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一级指标</w:t>
            </w:r>
          </w:p>
        </w:tc>
        <w:tc>
          <w:tcPr>
            <w:tcW w:w="1148" w:type="dxa"/>
            <w:gridSpan w:val="2"/>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二级指标</w:t>
            </w:r>
          </w:p>
        </w:tc>
        <w:tc>
          <w:tcPr>
            <w:tcW w:w="2380" w:type="dxa"/>
            <w:gridSpan w:val="2"/>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三级指标</w:t>
            </w:r>
          </w:p>
        </w:tc>
        <w:tc>
          <w:tcPr>
            <w:tcW w:w="1665" w:type="dxa"/>
            <w:gridSpan w:val="2"/>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全年预期指标值（包含数字及文字描述）</w:t>
            </w:r>
          </w:p>
        </w:tc>
        <w:tc>
          <w:tcPr>
            <w:tcW w:w="1389" w:type="dxa"/>
            <w:tcBorders>
              <w:top w:val="nil"/>
              <w:left w:val="nil"/>
              <w:bottom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全年实际完成指标值（包含数字及文字描述）</w:t>
            </w:r>
          </w:p>
        </w:tc>
        <w:tc>
          <w:tcPr>
            <w:tcW w:w="1271" w:type="dxa"/>
            <w:gridSpan w:val="2"/>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未完成原因及改进措施</w:t>
            </w:r>
          </w:p>
        </w:tc>
      </w:tr>
      <w:tr>
        <w:tblPrEx>
          <w:tblCellMar>
            <w:top w:w="0" w:type="dxa"/>
            <w:left w:w="108" w:type="dxa"/>
            <w:bottom w:w="0" w:type="dxa"/>
            <w:right w:w="108" w:type="dxa"/>
          </w:tblCellMar>
        </w:tblPrEx>
        <w:trPr>
          <w:trHeight w:val="618" w:hRule="atLeast"/>
          <w:jc w:val="center"/>
        </w:trPr>
        <w:tc>
          <w:tcPr>
            <w:tcW w:w="748"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750"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产出指标</w:t>
            </w:r>
          </w:p>
        </w:tc>
        <w:tc>
          <w:tcPr>
            <w:tcW w:w="1148" w:type="dxa"/>
            <w:gridSpan w:val="2"/>
            <w:vMerge w:val="restart"/>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数量指标</w:t>
            </w:r>
          </w:p>
        </w:tc>
        <w:tc>
          <w:tcPr>
            <w:tcW w:w="2380" w:type="dxa"/>
            <w:gridSpan w:val="2"/>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根据上级要求组织外出学习考察人次</w:t>
            </w:r>
          </w:p>
        </w:tc>
        <w:tc>
          <w:tcPr>
            <w:tcW w:w="1665"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≥20人次</w:t>
            </w:r>
          </w:p>
        </w:tc>
        <w:tc>
          <w:tcPr>
            <w:tcW w:w="1389"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26人次</w:t>
            </w:r>
          </w:p>
        </w:tc>
        <w:tc>
          <w:tcPr>
            <w:tcW w:w="1271"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590" w:hRule="atLeast"/>
          <w:jc w:val="center"/>
        </w:trPr>
        <w:tc>
          <w:tcPr>
            <w:tcW w:w="748"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75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1148"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2380" w:type="dxa"/>
            <w:gridSpan w:val="2"/>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组织各部门及乡镇办公室人员培训</w:t>
            </w:r>
          </w:p>
        </w:tc>
        <w:tc>
          <w:tcPr>
            <w:tcW w:w="1665"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≥3次</w:t>
            </w:r>
          </w:p>
        </w:tc>
        <w:tc>
          <w:tcPr>
            <w:tcW w:w="1389"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3次</w:t>
            </w:r>
          </w:p>
        </w:tc>
        <w:tc>
          <w:tcPr>
            <w:tcW w:w="1271"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589" w:hRule="atLeast"/>
          <w:jc w:val="center"/>
        </w:trPr>
        <w:tc>
          <w:tcPr>
            <w:tcW w:w="748"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75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1148" w:type="dxa"/>
            <w:gridSpan w:val="2"/>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质量指标</w:t>
            </w:r>
          </w:p>
        </w:tc>
        <w:tc>
          <w:tcPr>
            <w:tcW w:w="2380" w:type="dxa"/>
            <w:gridSpan w:val="2"/>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教学质量，学员平均优良率</w:t>
            </w:r>
          </w:p>
        </w:tc>
        <w:tc>
          <w:tcPr>
            <w:tcW w:w="1665"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≥80%</w:t>
            </w:r>
          </w:p>
        </w:tc>
        <w:tc>
          <w:tcPr>
            <w:tcW w:w="1389"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85%</w:t>
            </w:r>
          </w:p>
        </w:tc>
        <w:tc>
          <w:tcPr>
            <w:tcW w:w="1271"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38" w:hRule="atLeast"/>
          <w:jc w:val="center"/>
        </w:trPr>
        <w:tc>
          <w:tcPr>
            <w:tcW w:w="748"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75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1148" w:type="dxa"/>
            <w:gridSpan w:val="2"/>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时效指标</w:t>
            </w:r>
          </w:p>
        </w:tc>
        <w:tc>
          <w:tcPr>
            <w:tcW w:w="2380" w:type="dxa"/>
            <w:gridSpan w:val="2"/>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完成时间</w:t>
            </w:r>
          </w:p>
        </w:tc>
        <w:tc>
          <w:tcPr>
            <w:tcW w:w="1665"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2021年底</w:t>
            </w:r>
          </w:p>
        </w:tc>
        <w:tc>
          <w:tcPr>
            <w:tcW w:w="1389"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全面完成</w:t>
            </w:r>
          </w:p>
        </w:tc>
        <w:tc>
          <w:tcPr>
            <w:tcW w:w="1271"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980" w:hRule="atLeast"/>
          <w:jc w:val="center"/>
        </w:trPr>
        <w:tc>
          <w:tcPr>
            <w:tcW w:w="748"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75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1148" w:type="dxa"/>
            <w:gridSpan w:val="2"/>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成本指标</w:t>
            </w:r>
          </w:p>
        </w:tc>
        <w:tc>
          <w:tcPr>
            <w:tcW w:w="2380" w:type="dxa"/>
            <w:gridSpan w:val="2"/>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住宿费、伙食费、培训资料费、交通费以及其他费用标准</w:t>
            </w:r>
          </w:p>
        </w:tc>
        <w:tc>
          <w:tcPr>
            <w:tcW w:w="1665"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按朝天区差旅费、培训费标准严格执行</w:t>
            </w:r>
          </w:p>
        </w:tc>
        <w:tc>
          <w:tcPr>
            <w:tcW w:w="1389"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无违规违纪现象发生</w:t>
            </w:r>
          </w:p>
        </w:tc>
        <w:tc>
          <w:tcPr>
            <w:tcW w:w="1271"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589" w:hRule="atLeast"/>
          <w:jc w:val="center"/>
        </w:trPr>
        <w:tc>
          <w:tcPr>
            <w:tcW w:w="748"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750"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效益指标</w:t>
            </w:r>
          </w:p>
        </w:tc>
        <w:tc>
          <w:tcPr>
            <w:tcW w:w="1148" w:type="dxa"/>
            <w:gridSpan w:val="2"/>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可持续影响指标</w:t>
            </w:r>
          </w:p>
        </w:tc>
        <w:tc>
          <w:tcPr>
            <w:tcW w:w="2380" w:type="dxa"/>
            <w:gridSpan w:val="2"/>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社会影响力</w:t>
            </w:r>
          </w:p>
        </w:tc>
        <w:tc>
          <w:tcPr>
            <w:tcW w:w="1665"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长期可持续</w:t>
            </w:r>
          </w:p>
        </w:tc>
        <w:tc>
          <w:tcPr>
            <w:tcW w:w="1389"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好</w:t>
            </w:r>
          </w:p>
        </w:tc>
        <w:tc>
          <w:tcPr>
            <w:tcW w:w="1271"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701" w:hRule="atLeast"/>
          <w:jc w:val="center"/>
        </w:trPr>
        <w:tc>
          <w:tcPr>
            <w:tcW w:w="748"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750" w:type="dxa"/>
            <w:tcBorders>
              <w:top w:val="nil"/>
              <w:left w:val="nil"/>
              <w:bottom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满意度</w:t>
            </w:r>
          </w:p>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1148" w:type="dxa"/>
            <w:gridSpan w:val="2"/>
            <w:tcBorders>
              <w:top w:val="nil"/>
              <w:left w:val="nil"/>
              <w:bottom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满意度指标</w:t>
            </w:r>
          </w:p>
        </w:tc>
        <w:tc>
          <w:tcPr>
            <w:tcW w:w="2380" w:type="dxa"/>
            <w:gridSpan w:val="2"/>
            <w:tcBorders>
              <w:top w:val="nil"/>
              <w:left w:val="nil"/>
              <w:bottom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参训人员对教学质量、后勤保障等方面满意度</w:t>
            </w:r>
          </w:p>
        </w:tc>
        <w:tc>
          <w:tcPr>
            <w:tcW w:w="1665"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≥85%</w:t>
            </w:r>
          </w:p>
        </w:tc>
        <w:tc>
          <w:tcPr>
            <w:tcW w:w="1389"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92%</w:t>
            </w:r>
          </w:p>
        </w:tc>
        <w:tc>
          <w:tcPr>
            <w:tcW w:w="1271"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pPr>
        <w:pStyle w:val="2"/>
        <w:rPr>
          <w:rFonts w:hint="eastAsia" w:eastAsia="宋体"/>
        </w:rPr>
      </w:pPr>
    </w:p>
    <w:p>
      <w:pPr>
        <w:pStyle w:val="2"/>
        <w:rPr>
          <w:rFonts w:hint="eastAsia" w:eastAsia="宋体"/>
        </w:rPr>
      </w:pPr>
    </w:p>
    <w:p>
      <w:pPr>
        <w:pStyle w:val="2"/>
        <w:rPr>
          <w:rFonts w:ascii="方正大标宋_GBK" w:hAnsi="宋体" w:eastAsia="方正大标宋_GBK" w:cs="宋体"/>
          <w:bCs/>
          <w:color w:val="000000"/>
          <w:kern w:val="0"/>
          <w:sz w:val="40"/>
          <w:szCs w:val="40"/>
        </w:rPr>
        <w:sectPr>
          <w:pgSz w:w="11905" w:h="16838"/>
          <w:pgMar w:top="2098" w:right="1474" w:bottom="1984" w:left="1587" w:header="851" w:footer="1474" w:gutter="0"/>
          <w:pgNumType w:fmt="decimal"/>
          <w:cols w:space="0" w:num="1"/>
          <w:rtlGutter w:val="0"/>
          <w:docGrid w:type="lines" w:linePitch="319" w:charSpace="0"/>
        </w:sectPr>
      </w:pPr>
    </w:p>
    <w:p>
      <w:pPr>
        <w:pStyle w:val="2"/>
        <w:spacing w:line="576" w:lineRule="exact"/>
        <w:rPr>
          <w:rFonts w:hint="eastAsia" w:ascii="黑体" w:hAnsi="黑体" w:eastAsia="黑体" w:cs="宋体"/>
          <w:bCs/>
          <w:color w:val="000000"/>
          <w:kern w:val="0"/>
          <w:sz w:val="32"/>
          <w:szCs w:val="32"/>
        </w:rPr>
      </w:pPr>
      <w:r>
        <w:rPr>
          <w:rFonts w:hint="eastAsia" w:ascii="黑体" w:hAnsi="黑体" w:eastAsia="黑体" w:cs="宋体"/>
          <w:bCs/>
          <w:color w:val="000000"/>
          <w:kern w:val="0"/>
          <w:sz w:val="32"/>
          <w:szCs w:val="32"/>
        </w:rPr>
        <w:t>附件2</w:t>
      </w:r>
    </w:p>
    <w:p>
      <w:pPr>
        <w:pStyle w:val="2"/>
        <w:spacing w:after="312" w:afterLines="100" w:line="576" w:lineRule="exact"/>
        <w:jc w:val="center"/>
        <w:rPr>
          <w:rFonts w:hint="eastAsia" w:ascii="方正小标宋简体" w:eastAsia="方正小标宋简体"/>
          <w:sz w:val="44"/>
          <w:szCs w:val="44"/>
        </w:rPr>
      </w:pPr>
      <w:r>
        <w:rPr>
          <w:rFonts w:hint="eastAsia" w:ascii="方正小标宋简体" w:hAnsi="宋体" w:eastAsia="方正小标宋简体" w:cs="宋体"/>
          <w:bCs/>
          <w:color w:val="000000"/>
          <w:kern w:val="0"/>
          <w:sz w:val="44"/>
          <w:szCs w:val="44"/>
        </w:rPr>
        <w:t>2021年部门预算项目支出绩效自评评分表</w:t>
      </w:r>
    </w:p>
    <w:p>
      <w:pPr>
        <w:pStyle w:val="2"/>
        <w:ind w:firstLine="180" w:firstLineChars="100"/>
        <w:rPr>
          <w:rFonts w:hint="eastAsia" w:ascii="宋体" w:hAnsi="宋体" w:eastAsia="宋体"/>
          <w:szCs w:val="18"/>
        </w:rPr>
      </w:pPr>
      <w:r>
        <w:rPr>
          <w:rFonts w:hint="eastAsia" w:ascii="宋体" w:hAnsi="宋体" w:eastAsia="宋体" w:cs="宋体"/>
          <w:color w:val="000000"/>
          <w:kern w:val="0"/>
          <w:szCs w:val="18"/>
        </w:rPr>
        <w:t>部门（单位）盖章：中共广元市朝天区委办公室                                                                       项目名称：干部能力提升培训专项工作</w:t>
      </w:r>
    </w:p>
    <w:tbl>
      <w:tblPr>
        <w:tblStyle w:val="14"/>
        <w:tblW w:w="14135" w:type="dxa"/>
        <w:jc w:val="center"/>
        <w:tblLayout w:type="fixed"/>
        <w:tblCellMar>
          <w:top w:w="0" w:type="dxa"/>
          <w:left w:w="108" w:type="dxa"/>
          <w:bottom w:w="0" w:type="dxa"/>
          <w:right w:w="108" w:type="dxa"/>
        </w:tblCellMar>
      </w:tblPr>
      <w:tblGrid>
        <w:gridCol w:w="720"/>
        <w:gridCol w:w="728"/>
        <w:gridCol w:w="1159"/>
        <w:gridCol w:w="129"/>
        <w:gridCol w:w="4991"/>
        <w:gridCol w:w="686"/>
        <w:gridCol w:w="4952"/>
        <w:gridCol w:w="770"/>
      </w:tblGrid>
      <w:tr>
        <w:tblPrEx>
          <w:tblCellMar>
            <w:top w:w="0" w:type="dxa"/>
            <w:left w:w="108" w:type="dxa"/>
            <w:bottom w:w="0" w:type="dxa"/>
            <w:right w:w="108" w:type="dxa"/>
          </w:tblCellMar>
        </w:tblPrEx>
        <w:trPr>
          <w:trHeight w:val="481" w:hRule="atLeast"/>
          <w:tblHeader/>
          <w:jc w:val="center"/>
        </w:trPr>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黑体" w:hAnsi="黑体" w:eastAsia="黑体" w:cs="宋体"/>
                <w:bCs/>
                <w:color w:val="000000"/>
                <w:kern w:val="0"/>
                <w:sz w:val="18"/>
                <w:szCs w:val="18"/>
              </w:rPr>
            </w:pPr>
            <w:r>
              <w:rPr>
                <w:rFonts w:hint="eastAsia" w:ascii="黑体" w:hAnsi="黑体" w:eastAsia="黑体" w:cs="宋体"/>
                <w:bCs/>
                <w:color w:val="000000"/>
                <w:kern w:val="0"/>
                <w:sz w:val="18"/>
                <w:szCs w:val="18"/>
              </w:rPr>
              <w:t>一级</w:t>
            </w:r>
          </w:p>
          <w:p>
            <w:pPr>
              <w:spacing w:line="0" w:lineRule="atLeast"/>
              <w:jc w:val="center"/>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指标</w:t>
            </w:r>
          </w:p>
        </w:tc>
        <w:tc>
          <w:tcPr>
            <w:tcW w:w="728"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二级指标</w:t>
            </w:r>
          </w:p>
        </w:tc>
        <w:tc>
          <w:tcPr>
            <w:tcW w:w="1288"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三级指标</w:t>
            </w:r>
          </w:p>
        </w:tc>
        <w:tc>
          <w:tcPr>
            <w:tcW w:w="4991"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指标内容</w:t>
            </w:r>
          </w:p>
        </w:tc>
        <w:tc>
          <w:tcPr>
            <w:tcW w:w="686"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参考分值</w:t>
            </w:r>
          </w:p>
        </w:tc>
        <w:tc>
          <w:tcPr>
            <w:tcW w:w="4952"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评分标准</w:t>
            </w:r>
          </w:p>
        </w:tc>
        <w:tc>
          <w:tcPr>
            <w:tcW w:w="770"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hint="eastAsia" w:ascii="黑体" w:hAnsi="黑体" w:eastAsia="黑体" w:cs="宋体"/>
                <w:bCs/>
                <w:color w:val="000000"/>
                <w:kern w:val="0"/>
                <w:sz w:val="18"/>
                <w:szCs w:val="18"/>
              </w:rPr>
            </w:pPr>
            <w:r>
              <w:rPr>
                <w:rFonts w:hint="eastAsia" w:ascii="黑体" w:hAnsi="黑体" w:eastAsia="黑体" w:cs="宋体"/>
                <w:bCs/>
                <w:color w:val="000000"/>
                <w:kern w:val="0"/>
                <w:sz w:val="18"/>
                <w:szCs w:val="18"/>
              </w:rPr>
              <w:t>自评</w:t>
            </w:r>
          </w:p>
          <w:p>
            <w:pPr>
              <w:spacing w:line="0" w:lineRule="atLeast"/>
              <w:jc w:val="center"/>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得分</w:t>
            </w:r>
          </w:p>
        </w:tc>
      </w:tr>
      <w:tr>
        <w:tblPrEx>
          <w:tblCellMar>
            <w:top w:w="0" w:type="dxa"/>
            <w:left w:w="108" w:type="dxa"/>
            <w:bottom w:w="0" w:type="dxa"/>
            <w:right w:w="108" w:type="dxa"/>
          </w:tblCellMar>
        </w:tblPrEx>
        <w:trPr>
          <w:trHeight w:val="781" w:hRule="atLeast"/>
          <w:jc w:val="center"/>
        </w:trPr>
        <w:tc>
          <w:tcPr>
            <w:tcW w:w="720"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0" w:lineRule="atLeast"/>
              <w:ind w:left="-84" w:leftChars="-40" w:right="-84" w:rightChars="-4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p>
            <w:pPr>
              <w:spacing w:line="0" w:lineRule="atLeast"/>
              <w:ind w:left="-84" w:leftChars="-40" w:right="-84" w:rightChars="-4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决策</w:t>
            </w:r>
          </w:p>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（14分）</w:t>
            </w:r>
          </w:p>
        </w:tc>
        <w:tc>
          <w:tcPr>
            <w:tcW w:w="728"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项目立项</w:t>
            </w:r>
          </w:p>
        </w:tc>
        <w:tc>
          <w:tcPr>
            <w:tcW w:w="1288" w:type="dxa"/>
            <w:gridSpan w:val="2"/>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立项依据</w:t>
            </w:r>
          </w:p>
        </w:tc>
        <w:tc>
          <w:tcPr>
            <w:tcW w:w="4991"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用以反映项目立项是否有充分的依据：符合国家法律法规、本地的相关规定；符合部门年度工作计划。</w:t>
            </w:r>
          </w:p>
        </w:tc>
        <w:tc>
          <w:tcPr>
            <w:tcW w:w="68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4952" w:type="dxa"/>
            <w:tcBorders>
              <w:top w:val="nil"/>
              <w:left w:val="nil"/>
              <w:bottom w:val="single" w:color="auto" w:sz="4" w:space="0"/>
              <w:right w:val="single" w:color="auto" w:sz="4" w:space="0"/>
            </w:tcBorders>
            <w:shd w:val="clear" w:color="auto" w:fill="auto"/>
            <w:noWrap w:val="0"/>
            <w:vAlign w:val="center"/>
          </w:tcPr>
          <w:p>
            <w:pPr>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①符合国家相关法律法规、国民经济发展规划和党委政府决策（1分）；</w:t>
            </w:r>
          </w:p>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②符合部门（单位）年度工作计划或项目实施单位职责密切相关（1分）。                                                             </w:t>
            </w:r>
          </w:p>
        </w:tc>
        <w:tc>
          <w:tcPr>
            <w:tcW w:w="770"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r>
      <w:tr>
        <w:tblPrEx>
          <w:tblCellMar>
            <w:top w:w="0" w:type="dxa"/>
            <w:left w:w="108" w:type="dxa"/>
            <w:bottom w:w="0" w:type="dxa"/>
            <w:right w:w="108" w:type="dxa"/>
          </w:tblCellMar>
        </w:tblPrEx>
        <w:trPr>
          <w:trHeight w:val="670" w:hRule="atLeast"/>
          <w:jc w:val="center"/>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728"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1288" w:type="dxa"/>
            <w:gridSpan w:val="2"/>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决策程序</w:t>
            </w:r>
          </w:p>
        </w:tc>
        <w:tc>
          <w:tcPr>
            <w:tcW w:w="4991"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用以反映和考核项目立项的规范情况：项目的申请、设立过程是否符合相关要求。</w:t>
            </w:r>
          </w:p>
        </w:tc>
        <w:tc>
          <w:tcPr>
            <w:tcW w:w="68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4952"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①项目是否按照规定的程序申请设立，审批文件、材料是否符合相关要求（1分）； ②事前是否已经过必要的可行性研究、专家论证、风险评估、集体决策等（1分）。</w:t>
            </w:r>
          </w:p>
        </w:tc>
        <w:tc>
          <w:tcPr>
            <w:tcW w:w="770"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r>
      <w:tr>
        <w:tblPrEx>
          <w:tblCellMar>
            <w:top w:w="0" w:type="dxa"/>
            <w:left w:w="108" w:type="dxa"/>
            <w:bottom w:w="0" w:type="dxa"/>
            <w:right w:w="108" w:type="dxa"/>
          </w:tblCellMar>
        </w:tblPrEx>
        <w:trPr>
          <w:trHeight w:val="1203" w:hRule="atLeast"/>
          <w:jc w:val="center"/>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728"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项目目标</w:t>
            </w:r>
          </w:p>
        </w:tc>
        <w:tc>
          <w:tcPr>
            <w:tcW w:w="1288" w:type="dxa"/>
            <w:gridSpan w:val="2"/>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目标合理性</w:t>
            </w:r>
          </w:p>
        </w:tc>
        <w:tc>
          <w:tcPr>
            <w:tcW w:w="4991"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用以反映和考核项目绩效目标与项目实施的相符情况：项目所设定的绩效目标是否依据充分，是否符合客观实际。</w:t>
            </w:r>
          </w:p>
        </w:tc>
        <w:tc>
          <w:tcPr>
            <w:tcW w:w="68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4952" w:type="dxa"/>
            <w:tcBorders>
              <w:top w:val="nil"/>
              <w:left w:val="nil"/>
              <w:bottom w:val="single" w:color="auto" w:sz="4" w:space="0"/>
              <w:right w:val="single" w:color="auto" w:sz="4" w:space="0"/>
            </w:tcBorders>
            <w:shd w:val="clear" w:color="auto" w:fill="auto"/>
            <w:noWrap w:val="0"/>
            <w:vAlign w:val="center"/>
          </w:tcPr>
          <w:p>
            <w:pPr>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①项目的测算依据充分（1分）；</w:t>
            </w:r>
          </w:p>
          <w:p>
            <w:pPr>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②项目是否有绩效目标，与实际工作内容是否具有相关性（1分）；</w:t>
            </w:r>
          </w:p>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③项目预期产出效益和效果是否符合正常的业绩水平（1分）；                                                                                                                                                                   ④与预算确定的项目投资额或资金量相匹配（1分）。</w:t>
            </w:r>
          </w:p>
        </w:tc>
        <w:tc>
          <w:tcPr>
            <w:tcW w:w="770"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r>
      <w:tr>
        <w:tblPrEx>
          <w:tblCellMar>
            <w:top w:w="0" w:type="dxa"/>
            <w:left w:w="108" w:type="dxa"/>
            <w:bottom w:w="0" w:type="dxa"/>
            <w:right w:w="108" w:type="dxa"/>
          </w:tblCellMar>
        </w:tblPrEx>
        <w:trPr>
          <w:trHeight w:val="992" w:hRule="atLeast"/>
          <w:jc w:val="center"/>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728"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1288" w:type="dxa"/>
            <w:gridSpan w:val="2"/>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指标明确性</w:t>
            </w:r>
          </w:p>
        </w:tc>
        <w:tc>
          <w:tcPr>
            <w:tcW w:w="4991"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用以反映和考核项目绩效目标与项目实施的相符情况：依据绩效目标设定的绩效指标是否清晰、细化、可衡量等。</w:t>
            </w:r>
          </w:p>
        </w:tc>
        <w:tc>
          <w:tcPr>
            <w:tcW w:w="68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4952" w:type="dxa"/>
            <w:tcBorders>
              <w:top w:val="nil"/>
              <w:left w:val="nil"/>
              <w:bottom w:val="single" w:color="auto" w:sz="4" w:space="0"/>
              <w:right w:val="single" w:color="auto" w:sz="4" w:space="0"/>
            </w:tcBorders>
            <w:shd w:val="clear" w:color="auto" w:fill="auto"/>
            <w:noWrap w:val="0"/>
            <w:vAlign w:val="center"/>
          </w:tcPr>
          <w:p>
            <w:pPr>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①是否将绩效目标的绩效指标细化分解（1分）；</w:t>
            </w:r>
          </w:p>
          <w:p>
            <w:pPr>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②分解的绩效指标体现清晰、可衡量的指标值（1分）；</w:t>
            </w:r>
          </w:p>
          <w:p>
            <w:pPr>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③与项目年度任务数或计划数相对应（1分）；</w:t>
            </w:r>
          </w:p>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④与预算确定的项目投资额或资金量相匹配（1分）。</w:t>
            </w:r>
          </w:p>
        </w:tc>
        <w:tc>
          <w:tcPr>
            <w:tcW w:w="770"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r>
      <w:tr>
        <w:tblPrEx>
          <w:tblCellMar>
            <w:top w:w="0" w:type="dxa"/>
            <w:left w:w="108" w:type="dxa"/>
            <w:bottom w:w="0" w:type="dxa"/>
            <w:right w:w="108" w:type="dxa"/>
          </w:tblCellMar>
        </w:tblPrEx>
        <w:trPr>
          <w:trHeight w:val="657" w:hRule="atLeast"/>
          <w:jc w:val="center"/>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728"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资金分配</w:t>
            </w:r>
          </w:p>
        </w:tc>
        <w:tc>
          <w:tcPr>
            <w:tcW w:w="1288" w:type="dxa"/>
            <w:gridSpan w:val="2"/>
            <w:tcBorders>
              <w:top w:val="nil"/>
              <w:left w:val="nil"/>
              <w:bottom w:val="single" w:color="auto" w:sz="4" w:space="0"/>
              <w:right w:val="single" w:color="auto" w:sz="4" w:space="0"/>
            </w:tcBorders>
            <w:shd w:val="clear" w:color="auto" w:fill="auto"/>
            <w:noWrap w:val="0"/>
            <w:vAlign w:val="center"/>
          </w:tcPr>
          <w:p>
            <w:pPr>
              <w:spacing w:line="0" w:lineRule="atLeast"/>
              <w:ind w:left="-84" w:leftChars="-40" w:right="-84" w:rightChars="-4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分配的合理性</w:t>
            </w:r>
          </w:p>
        </w:tc>
        <w:tc>
          <w:tcPr>
            <w:tcW w:w="4991"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项目预算资金分配是否有测算依据，与项目单位或地方实际是否相适应；根据需要制定的相关资金管理办法；管理办法中有明确资金分配办法；资金分配因素全面、合理。</w:t>
            </w:r>
          </w:p>
        </w:tc>
        <w:tc>
          <w:tcPr>
            <w:tcW w:w="68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4952" w:type="dxa"/>
            <w:tcBorders>
              <w:top w:val="nil"/>
              <w:left w:val="nil"/>
              <w:bottom w:val="single" w:color="auto" w:sz="4" w:space="0"/>
              <w:right w:val="single" w:color="auto" w:sz="4" w:space="0"/>
            </w:tcBorders>
            <w:shd w:val="clear" w:color="auto" w:fill="auto"/>
            <w:noWrap w:val="0"/>
            <w:vAlign w:val="center"/>
          </w:tcPr>
          <w:p>
            <w:pPr>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①预算资金分配依据充分（1分）；</w:t>
            </w:r>
          </w:p>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②资金分配额度合理，与项目单位或地方实际相适应 （1分）。                 此项需提供相应的资金分配方案。</w:t>
            </w:r>
          </w:p>
        </w:tc>
        <w:tc>
          <w:tcPr>
            <w:tcW w:w="770"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r>
      <w:tr>
        <w:tblPrEx>
          <w:tblCellMar>
            <w:top w:w="0" w:type="dxa"/>
            <w:left w:w="108" w:type="dxa"/>
            <w:bottom w:w="0" w:type="dxa"/>
            <w:right w:w="108" w:type="dxa"/>
          </w:tblCellMar>
        </w:tblPrEx>
        <w:trPr>
          <w:trHeight w:val="1270" w:hRule="atLeast"/>
          <w:jc w:val="center"/>
        </w:trPr>
        <w:tc>
          <w:tcPr>
            <w:tcW w:w="720"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管理</w:t>
            </w:r>
          </w:p>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（16分）</w:t>
            </w:r>
          </w:p>
        </w:tc>
        <w:tc>
          <w:tcPr>
            <w:tcW w:w="728"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w:t>
            </w:r>
          </w:p>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管理</w:t>
            </w:r>
          </w:p>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（9分）</w:t>
            </w:r>
          </w:p>
        </w:tc>
        <w:tc>
          <w:tcPr>
            <w:tcW w:w="1288" w:type="dxa"/>
            <w:gridSpan w:val="2"/>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资金到位率</w:t>
            </w:r>
          </w:p>
        </w:tc>
        <w:tc>
          <w:tcPr>
            <w:tcW w:w="4991"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资金到位率=（实际到位资金/计划投入资金）×100%。                                                              实际到位资金：一定时期（本年度或项目期）内落实到具体项目的资金。</w:t>
            </w:r>
          </w:p>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预算资金：一定时期（本年度或项目期）内预算安排到具体项目的资金。</w:t>
            </w:r>
          </w:p>
        </w:tc>
        <w:tc>
          <w:tcPr>
            <w:tcW w:w="68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952"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根据项目资金的实际到位率计算得分（1分）</w:t>
            </w:r>
          </w:p>
        </w:tc>
        <w:tc>
          <w:tcPr>
            <w:tcW w:w="770"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tblPrEx>
          <w:tblCellMar>
            <w:top w:w="0" w:type="dxa"/>
            <w:left w:w="108" w:type="dxa"/>
            <w:bottom w:w="0" w:type="dxa"/>
            <w:right w:w="108" w:type="dxa"/>
          </w:tblCellMar>
        </w:tblPrEx>
        <w:trPr>
          <w:trHeight w:val="822" w:hRule="atLeast"/>
          <w:jc w:val="center"/>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728"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1288" w:type="dxa"/>
            <w:gridSpan w:val="2"/>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预算执行率</w:t>
            </w:r>
          </w:p>
        </w:tc>
        <w:tc>
          <w:tcPr>
            <w:tcW w:w="4991"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hint="eastAsia" w:ascii="宋体" w:hAnsi="宋体" w:eastAsia="宋体" w:cs="宋体"/>
                <w:color w:val="000000"/>
                <w:spacing w:val="-6"/>
                <w:kern w:val="0"/>
                <w:sz w:val="18"/>
                <w:szCs w:val="18"/>
              </w:rPr>
            </w:pPr>
            <w:r>
              <w:rPr>
                <w:rFonts w:hint="eastAsia" w:ascii="宋体" w:hAnsi="宋体" w:eastAsia="宋体" w:cs="宋体"/>
                <w:color w:val="000000"/>
                <w:spacing w:val="-6"/>
                <w:kern w:val="0"/>
                <w:sz w:val="18"/>
                <w:szCs w:val="18"/>
              </w:rPr>
              <w:t>用以反映项目预算执行的进度：预算执行率=实际支出数/预算数。</w:t>
            </w:r>
          </w:p>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实际支出资金：一定时期（本年度或项目期）内项目实际拨付的资金。</w:t>
            </w:r>
          </w:p>
        </w:tc>
        <w:tc>
          <w:tcPr>
            <w:tcW w:w="68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4952"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根据项目资金的预算执行率计算得分（2分）</w:t>
            </w:r>
          </w:p>
        </w:tc>
        <w:tc>
          <w:tcPr>
            <w:tcW w:w="770"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r>
      <w:tr>
        <w:tblPrEx>
          <w:tblCellMar>
            <w:top w:w="0" w:type="dxa"/>
            <w:left w:w="108" w:type="dxa"/>
            <w:bottom w:w="0" w:type="dxa"/>
            <w:right w:w="108" w:type="dxa"/>
          </w:tblCellMar>
        </w:tblPrEx>
        <w:trPr>
          <w:trHeight w:val="1703" w:hRule="atLeast"/>
          <w:jc w:val="center"/>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728"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1288" w:type="dxa"/>
            <w:gridSpan w:val="2"/>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资金使用</w:t>
            </w:r>
          </w:p>
        </w:tc>
        <w:tc>
          <w:tcPr>
            <w:tcW w:w="4991"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用以反映和考核项目资金的规范运行情况：项目资金使用是否符合相关的财务管理制度规定。</w:t>
            </w:r>
          </w:p>
        </w:tc>
        <w:tc>
          <w:tcPr>
            <w:tcW w:w="68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4952" w:type="dxa"/>
            <w:tcBorders>
              <w:top w:val="nil"/>
              <w:left w:val="nil"/>
              <w:bottom w:val="single" w:color="auto" w:sz="4" w:space="0"/>
              <w:right w:val="single" w:color="auto" w:sz="4" w:space="0"/>
            </w:tcBorders>
            <w:shd w:val="clear" w:color="auto" w:fill="auto"/>
            <w:noWrap w:val="0"/>
            <w:vAlign w:val="center"/>
          </w:tcPr>
          <w:p>
            <w:pPr>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①符合国家财经法规和财务管理制度以及有关专项资金管理办法的规定（1分）；</w:t>
            </w:r>
          </w:p>
          <w:p>
            <w:pPr>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②资金的拨付审批程序和手续完整（1分）；</w:t>
            </w:r>
          </w:p>
          <w:p>
            <w:pPr>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③符合项目预算批复或合同规定的用途（1分）；</w:t>
            </w:r>
          </w:p>
          <w:p>
            <w:pPr>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④无截留、挤占、挪用、无虚列支出（3分）；</w:t>
            </w:r>
          </w:p>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若评价前已完成项目资金的专项审计，该指标可用审计结论代替。</w:t>
            </w:r>
          </w:p>
        </w:tc>
        <w:tc>
          <w:tcPr>
            <w:tcW w:w="770"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6</w:t>
            </w:r>
          </w:p>
        </w:tc>
      </w:tr>
      <w:tr>
        <w:tblPrEx>
          <w:tblCellMar>
            <w:top w:w="0" w:type="dxa"/>
            <w:left w:w="108" w:type="dxa"/>
            <w:bottom w:w="0" w:type="dxa"/>
            <w:right w:w="108" w:type="dxa"/>
          </w:tblCellMar>
        </w:tblPrEx>
        <w:trPr>
          <w:trHeight w:val="654" w:hRule="atLeast"/>
          <w:jc w:val="center"/>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728"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组织</w:t>
            </w:r>
          </w:p>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实施</w:t>
            </w:r>
          </w:p>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（7分）</w:t>
            </w:r>
          </w:p>
        </w:tc>
        <w:tc>
          <w:tcPr>
            <w:tcW w:w="1288" w:type="dxa"/>
            <w:gridSpan w:val="2"/>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制度管理</w:t>
            </w:r>
          </w:p>
        </w:tc>
        <w:tc>
          <w:tcPr>
            <w:tcW w:w="4991"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用以反映和考核财务和业务管理制度对项目顺利实施的制度保障情况。</w:t>
            </w:r>
          </w:p>
        </w:tc>
        <w:tc>
          <w:tcPr>
            <w:tcW w:w="68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4952" w:type="dxa"/>
            <w:tcBorders>
              <w:top w:val="nil"/>
              <w:left w:val="nil"/>
              <w:bottom w:val="single" w:color="auto" w:sz="4" w:space="0"/>
              <w:right w:val="single" w:color="auto" w:sz="4" w:space="0"/>
            </w:tcBorders>
            <w:shd w:val="clear" w:color="auto" w:fill="auto"/>
            <w:noWrap w:val="0"/>
            <w:vAlign w:val="center"/>
          </w:tcPr>
          <w:p>
            <w:pPr>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①制定或具有相应的财务和业务管理制度（1分）；</w:t>
            </w:r>
          </w:p>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②财务和业务管理制度合法、合规、完整（1分）。</w:t>
            </w:r>
          </w:p>
        </w:tc>
        <w:tc>
          <w:tcPr>
            <w:tcW w:w="770"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r>
      <w:tr>
        <w:tblPrEx>
          <w:tblCellMar>
            <w:top w:w="0" w:type="dxa"/>
            <w:left w:w="108" w:type="dxa"/>
            <w:bottom w:w="0" w:type="dxa"/>
            <w:right w:w="108" w:type="dxa"/>
          </w:tblCellMar>
        </w:tblPrEx>
        <w:trPr>
          <w:trHeight w:val="1129" w:hRule="atLeast"/>
          <w:jc w:val="center"/>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728"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1288" w:type="dxa"/>
            <w:gridSpan w:val="2"/>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制度执行</w:t>
            </w:r>
          </w:p>
        </w:tc>
        <w:tc>
          <w:tcPr>
            <w:tcW w:w="4991"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用以反映和考核业务管理制度的有效执行和质量控制情况：项目实施是否符合相关业务管理规定，是否为达到项目质量要求而采取了必需的措施。</w:t>
            </w:r>
          </w:p>
        </w:tc>
        <w:tc>
          <w:tcPr>
            <w:tcW w:w="68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4952" w:type="dxa"/>
            <w:tcBorders>
              <w:top w:val="nil"/>
              <w:left w:val="nil"/>
              <w:bottom w:val="single" w:color="auto" w:sz="4" w:space="0"/>
              <w:right w:val="single" w:color="auto" w:sz="4" w:space="0"/>
            </w:tcBorders>
            <w:shd w:val="clear" w:color="auto" w:fill="auto"/>
            <w:noWrap w:val="0"/>
            <w:vAlign w:val="center"/>
          </w:tcPr>
          <w:p>
            <w:pPr>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①按相关法律法规和业务管理规定执行（1分）；</w:t>
            </w:r>
          </w:p>
          <w:p>
            <w:pPr>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②项目调整及支出调整手续完备（1分）；</w:t>
            </w:r>
          </w:p>
          <w:p>
            <w:pPr>
              <w:spacing w:line="0" w:lineRule="atLeast"/>
              <w:rPr>
                <w:rFonts w:hint="eastAsia" w:ascii="宋体" w:hAnsi="宋体" w:eastAsia="宋体" w:cs="宋体"/>
                <w:color w:val="000000"/>
                <w:spacing w:val="-6"/>
                <w:kern w:val="0"/>
                <w:sz w:val="18"/>
                <w:szCs w:val="18"/>
              </w:rPr>
            </w:pPr>
            <w:r>
              <w:rPr>
                <w:rFonts w:hint="eastAsia" w:ascii="宋体" w:hAnsi="宋体" w:eastAsia="宋体" w:cs="宋体"/>
                <w:color w:val="000000"/>
                <w:kern w:val="0"/>
                <w:sz w:val="18"/>
                <w:szCs w:val="18"/>
              </w:rPr>
              <w:t>③</w:t>
            </w:r>
            <w:r>
              <w:rPr>
                <w:rFonts w:hint="eastAsia" w:ascii="宋体" w:hAnsi="宋体" w:eastAsia="宋体" w:cs="宋体"/>
                <w:color w:val="000000"/>
                <w:spacing w:val="-6"/>
                <w:kern w:val="0"/>
                <w:sz w:val="18"/>
                <w:szCs w:val="18"/>
              </w:rPr>
              <w:t>项目合同书、验收报告、技术鉴定等资料规范、齐全（2分）；</w:t>
            </w:r>
          </w:p>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④项目实施的人员条件、场地设备等是否落实到位（1分）。</w:t>
            </w:r>
          </w:p>
        </w:tc>
        <w:tc>
          <w:tcPr>
            <w:tcW w:w="770"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r>
      <w:tr>
        <w:tblPrEx>
          <w:tblCellMar>
            <w:top w:w="0" w:type="dxa"/>
            <w:left w:w="108" w:type="dxa"/>
            <w:bottom w:w="0" w:type="dxa"/>
            <w:right w:w="108" w:type="dxa"/>
          </w:tblCellMar>
        </w:tblPrEx>
        <w:trPr>
          <w:trHeight w:val="1297" w:hRule="atLeast"/>
          <w:jc w:val="center"/>
        </w:trPr>
        <w:tc>
          <w:tcPr>
            <w:tcW w:w="720" w:type="dxa"/>
            <w:vMerge w:val="restart"/>
            <w:tcBorders>
              <w:top w:val="nil"/>
              <w:left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w:t>
            </w:r>
          </w:p>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（特性指标）（70）</w:t>
            </w:r>
          </w:p>
        </w:tc>
        <w:tc>
          <w:tcPr>
            <w:tcW w:w="728" w:type="dxa"/>
            <w:vMerge w:val="restart"/>
            <w:tcBorders>
              <w:top w:val="nil"/>
              <w:left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产出</w:t>
            </w:r>
          </w:p>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（35分）</w:t>
            </w:r>
          </w:p>
        </w:tc>
        <w:tc>
          <w:tcPr>
            <w:tcW w:w="1288" w:type="dxa"/>
            <w:gridSpan w:val="2"/>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实际完成率</w:t>
            </w:r>
          </w:p>
        </w:tc>
        <w:tc>
          <w:tcPr>
            <w:tcW w:w="4991"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实际完成率=（实际产出数/计划产出数）×100%。</w:t>
            </w:r>
          </w:p>
          <w:p>
            <w:pPr>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实际产出数：一定时期（本年度或项目期）内项目实际产出的产品或提供的服务数量。</w:t>
            </w:r>
          </w:p>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计划产出数：项目绩效目标确定的在一定时期（本年度或项目期）内计划产出的产品或提供的服务数量。</w:t>
            </w:r>
          </w:p>
        </w:tc>
        <w:tc>
          <w:tcPr>
            <w:tcW w:w="68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4952"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完成绩效目标100%得9分，未完成100%的同比例扣减。</w:t>
            </w:r>
          </w:p>
        </w:tc>
        <w:tc>
          <w:tcPr>
            <w:tcW w:w="770"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r>
      <w:tr>
        <w:tblPrEx>
          <w:tblCellMar>
            <w:top w:w="0" w:type="dxa"/>
            <w:left w:w="108" w:type="dxa"/>
            <w:bottom w:w="0" w:type="dxa"/>
            <w:right w:w="108" w:type="dxa"/>
          </w:tblCellMar>
        </w:tblPrEx>
        <w:trPr>
          <w:trHeight w:val="1451" w:hRule="atLeast"/>
          <w:jc w:val="center"/>
        </w:trPr>
        <w:tc>
          <w:tcPr>
            <w:tcW w:w="720" w:type="dxa"/>
            <w:vMerge w:val="continue"/>
            <w:tcBorders>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728" w:type="dxa"/>
            <w:vMerge w:val="continue"/>
            <w:tcBorders>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1288" w:type="dxa"/>
            <w:gridSpan w:val="2"/>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质量达标率</w:t>
            </w:r>
          </w:p>
        </w:tc>
        <w:tc>
          <w:tcPr>
            <w:tcW w:w="4991"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hint="eastAsia" w:ascii="宋体" w:hAnsi="宋体" w:eastAsia="宋体" w:cs="宋体"/>
                <w:color w:val="000000"/>
                <w:spacing w:val="-6"/>
                <w:kern w:val="0"/>
                <w:sz w:val="18"/>
                <w:szCs w:val="18"/>
              </w:rPr>
            </w:pPr>
            <w:r>
              <w:rPr>
                <w:rFonts w:hint="eastAsia" w:ascii="宋体" w:hAnsi="宋体" w:eastAsia="宋体" w:cs="宋体"/>
                <w:color w:val="000000"/>
                <w:spacing w:val="-6"/>
                <w:kern w:val="0"/>
                <w:sz w:val="18"/>
                <w:szCs w:val="18"/>
              </w:rPr>
              <w:t>质量达标率=（质量达标产出数量/计划完成产出数量）× 100%。</w:t>
            </w:r>
          </w:p>
          <w:p>
            <w:pPr>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质量达标产出数：一定时期（本年度或项目期）内实际达到既定质量标准的产品或服务数量。</w:t>
            </w:r>
          </w:p>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既定质量标准是指项目实施单位设立绩效目标时依据计划标准、行业标准、历史标准或其他标准而设定的绩效指标值。</w:t>
            </w:r>
          </w:p>
        </w:tc>
        <w:tc>
          <w:tcPr>
            <w:tcW w:w="68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4952"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产出质量达到绩效目标100%得9分，未完成100%的同比例扣减。</w:t>
            </w:r>
          </w:p>
        </w:tc>
        <w:tc>
          <w:tcPr>
            <w:tcW w:w="770"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r>
      <w:tr>
        <w:tblPrEx>
          <w:tblCellMar>
            <w:top w:w="0" w:type="dxa"/>
            <w:left w:w="108" w:type="dxa"/>
            <w:bottom w:w="0" w:type="dxa"/>
            <w:right w:w="108" w:type="dxa"/>
          </w:tblCellMar>
        </w:tblPrEx>
        <w:trPr>
          <w:trHeight w:val="1339" w:hRule="atLeast"/>
          <w:jc w:val="center"/>
        </w:trPr>
        <w:tc>
          <w:tcPr>
            <w:tcW w:w="720" w:type="dxa"/>
            <w:vMerge w:val="restart"/>
            <w:tcBorders>
              <w:top w:val="nil"/>
              <w:left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w:t>
            </w:r>
          </w:p>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（特性指标）（70）</w:t>
            </w:r>
          </w:p>
        </w:tc>
        <w:tc>
          <w:tcPr>
            <w:tcW w:w="728" w:type="dxa"/>
            <w:vMerge w:val="restart"/>
            <w:tcBorders>
              <w:top w:val="nil"/>
              <w:left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产出</w:t>
            </w:r>
          </w:p>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（35分）</w:t>
            </w:r>
          </w:p>
        </w:tc>
        <w:tc>
          <w:tcPr>
            <w:tcW w:w="1288" w:type="dxa"/>
            <w:gridSpan w:val="2"/>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完成及时性</w:t>
            </w:r>
          </w:p>
        </w:tc>
        <w:tc>
          <w:tcPr>
            <w:tcW w:w="4991"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完成及时率=计划时限内实际完成的项目数量/计划时限内应完成的项目数量×100%。</w:t>
            </w:r>
          </w:p>
          <w:p>
            <w:pPr>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实际完成时间：项目实施单位完成该项目实际所耗用的时间。</w:t>
            </w:r>
          </w:p>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计划完成时间：按照项目实施计划或相关规定完成该项目所需的时间。</w:t>
            </w:r>
          </w:p>
        </w:tc>
        <w:tc>
          <w:tcPr>
            <w:tcW w:w="68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4952"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产出时效达到绩效目标得8分，未完成且无充分理由的扣3分。</w:t>
            </w:r>
          </w:p>
        </w:tc>
        <w:tc>
          <w:tcPr>
            <w:tcW w:w="770"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r>
      <w:tr>
        <w:tblPrEx>
          <w:tblCellMar>
            <w:top w:w="0" w:type="dxa"/>
            <w:left w:w="108" w:type="dxa"/>
            <w:bottom w:w="0" w:type="dxa"/>
            <w:right w:w="108" w:type="dxa"/>
          </w:tblCellMar>
        </w:tblPrEx>
        <w:trPr>
          <w:trHeight w:val="1353" w:hRule="atLeast"/>
          <w:jc w:val="center"/>
        </w:trPr>
        <w:tc>
          <w:tcPr>
            <w:tcW w:w="720" w:type="dxa"/>
            <w:vMerge w:val="continue"/>
            <w:tcBorders>
              <w:left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728" w:type="dxa"/>
            <w:vMerge w:val="continue"/>
            <w:tcBorders>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1288" w:type="dxa"/>
            <w:gridSpan w:val="2"/>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完成成本（成本节约率）</w:t>
            </w:r>
          </w:p>
        </w:tc>
        <w:tc>
          <w:tcPr>
            <w:tcW w:w="4991"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成本节约率=[（计划成本-实际成本）/计划成本]×100%。                                                        实际成本：项目实施单位如期、保质、保量完成既定工作目标实际所耗费的支出。</w:t>
            </w:r>
          </w:p>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计划成本：项目实施单位为完成工作目标计划安排的支出，一般以项目预算为参考。</w:t>
            </w:r>
          </w:p>
        </w:tc>
        <w:tc>
          <w:tcPr>
            <w:tcW w:w="68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4952"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产出成本按绩效目标控制得9分，未完成的，按超支比例扣减。</w:t>
            </w:r>
          </w:p>
        </w:tc>
        <w:tc>
          <w:tcPr>
            <w:tcW w:w="770"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r>
      <w:tr>
        <w:tblPrEx>
          <w:tblCellMar>
            <w:top w:w="0" w:type="dxa"/>
            <w:left w:w="108" w:type="dxa"/>
            <w:bottom w:w="0" w:type="dxa"/>
            <w:right w:w="108" w:type="dxa"/>
          </w:tblCellMar>
        </w:tblPrEx>
        <w:trPr>
          <w:trHeight w:val="90" w:hRule="atLeast"/>
          <w:jc w:val="center"/>
        </w:trPr>
        <w:tc>
          <w:tcPr>
            <w:tcW w:w="720" w:type="dxa"/>
            <w:vMerge w:val="continue"/>
            <w:tcBorders>
              <w:left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728" w:type="dxa"/>
            <w:tcBorders>
              <w:top w:val="nil"/>
              <w:left w:val="nil"/>
              <w:bottom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效益</w:t>
            </w:r>
          </w:p>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（30分）</w:t>
            </w:r>
          </w:p>
        </w:tc>
        <w:tc>
          <w:tcPr>
            <w:tcW w:w="1288" w:type="dxa"/>
            <w:gridSpan w:val="2"/>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可持续效益（可选项）</w:t>
            </w:r>
          </w:p>
        </w:tc>
        <w:tc>
          <w:tcPr>
            <w:tcW w:w="4991"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反映相关产出带来影响的可持续期限，根据项目实际细化具体指标。</w:t>
            </w:r>
          </w:p>
        </w:tc>
        <w:tc>
          <w:tcPr>
            <w:tcW w:w="68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c>
          <w:tcPr>
            <w:tcW w:w="4952"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完成绩效设定目标的得7分，未完成的，按完成情况酌情扣分。</w:t>
            </w:r>
          </w:p>
        </w:tc>
        <w:tc>
          <w:tcPr>
            <w:tcW w:w="770"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r>
      <w:tr>
        <w:tblPrEx>
          <w:tblCellMar>
            <w:top w:w="0" w:type="dxa"/>
            <w:left w:w="108" w:type="dxa"/>
            <w:bottom w:w="0" w:type="dxa"/>
            <w:right w:w="108" w:type="dxa"/>
          </w:tblCellMar>
        </w:tblPrEx>
        <w:trPr>
          <w:trHeight w:val="808" w:hRule="atLeast"/>
          <w:jc w:val="center"/>
        </w:trPr>
        <w:tc>
          <w:tcPr>
            <w:tcW w:w="720" w:type="dxa"/>
            <w:vMerge w:val="continue"/>
            <w:tcBorders>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728" w:type="dxa"/>
            <w:tcBorders>
              <w:top w:val="nil"/>
              <w:left w:val="nil"/>
              <w:bottom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满意度              （5分）</w:t>
            </w:r>
          </w:p>
        </w:tc>
        <w:tc>
          <w:tcPr>
            <w:tcW w:w="1288" w:type="dxa"/>
            <w:gridSpan w:val="2"/>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服务对象满意度</w:t>
            </w:r>
          </w:p>
        </w:tc>
        <w:tc>
          <w:tcPr>
            <w:tcW w:w="4991"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满意率反映服务对象或项目受益人对相关产出及其影响的认可程度，根据项目实际细化具体指标。重点考核满意率等指标。</w:t>
            </w:r>
          </w:p>
        </w:tc>
        <w:tc>
          <w:tcPr>
            <w:tcW w:w="68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4952"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满意率达90%（含）以上的得5分；80%（含）-89%得4分；70%（含）-79%得3分；60%（含）-69%得2分；60%以下不得分。</w:t>
            </w:r>
          </w:p>
        </w:tc>
        <w:tc>
          <w:tcPr>
            <w:tcW w:w="770"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r>
      <w:tr>
        <w:tblPrEx>
          <w:tblCellMar>
            <w:top w:w="0" w:type="dxa"/>
            <w:left w:w="108" w:type="dxa"/>
            <w:bottom w:w="0" w:type="dxa"/>
            <w:right w:w="108" w:type="dxa"/>
          </w:tblCellMar>
        </w:tblPrEx>
        <w:trPr>
          <w:trHeight w:val="443" w:hRule="atLeast"/>
          <w:jc w:val="center"/>
        </w:trPr>
        <w:tc>
          <w:tcPr>
            <w:tcW w:w="7727"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分值</w:t>
            </w:r>
          </w:p>
        </w:tc>
        <w:tc>
          <w:tcPr>
            <w:tcW w:w="68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100</w:t>
            </w:r>
          </w:p>
        </w:tc>
        <w:tc>
          <w:tcPr>
            <w:tcW w:w="4952"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自评得分</w:t>
            </w:r>
          </w:p>
        </w:tc>
        <w:tc>
          <w:tcPr>
            <w:tcW w:w="770"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93</w:t>
            </w:r>
          </w:p>
        </w:tc>
      </w:tr>
      <w:tr>
        <w:tblPrEx>
          <w:tblCellMar>
            <w:top w:w="0" w:type="dxa"/>
            <w:left w:w="108" w:type="dxa"/>
            <w:bottom w:w="0" w:type="dxa"/>
            <w:right w:w="108" w:type="dxa"/>
          </w:tblCellMar>
        </w:tblPrEx>
        <w:trPr>
          <w:trHeight w:val="540" w:hRule="atLeast"/>
          <w:jc w:val="center"/>
        </w:trPr>
        <w:tc>
          <w:tcPr>
            <w:tcW w:w="260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自评等级</w:t>
            </w:r>
          </w:p>
        </w:tc>
        <w:tc>
          <w:tcPr>
            <w:tcW w:w="11528" w:type="dxa"/>
            <w:gridSpan w:val="5"/>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自评结果：■优秀（90≤得分≤100）；   □良好（80≤得分＜89）；   □及格（60≤得分＜79）；   □不及格（低于60分）</w:t>
            </w:r>
          </w:p>
        </w:tc>
      </w:tr>
    </w:tbl>
    <w:p>
      <w:pPr>
        <w:pStyle w:val="6"/>
        <w:spacing w:before="93"/>
        <w:rPr>
          <w:rFonts w:hAnsi="宋体" w:cs="宋体"/>
          <w:sz w:val="32"/>
          <w:szCs w:val="32"/>
          <w:shd w:val="clear" w:color="auto" w:fill="FFFFFF"/>
          <w:lang w:val="zh-CN"/>
        </w:rPr>
      </w:pPr>
    </w:p>
    <w:p>
      <w:pPr>
        <w:pStyle w:val="6"/>
        <w:spacing w:before="93"/>
        <w:rPr>
          <w:rFonts w:hAnsi="宋体" w:cs="宋体"/>
          <w:sz w:val="32"/>
          <w:szCs w:val="32"/>
          <w:shd w:val="clear" w:color="auto" w:fill="FFFFFF"/>
          <w:lang w:val="zh-CN"/>
        </w:rPr>
        <w:sectPr>
          <w:headerReference r:id="rId15" w:type="default"/>
          <w:footerReference r:id="rId16" w:type="default"/>
          <w:pgSz w:w="16838" w:h="11905" w:orient="landscape"/>
          <w:pgMar w:top="1587" w:right="2098" w:bottom="1474" w:left="1984" w:header="851" w:footer="1474" w:gutter="0"/>
          <w:pgNumType w:fmt="decimal"/>
          <w:cols w:space="0" w:num="1"/>
          <w:rtlGutter w:val="0"/>
          <w:docGrid w:type="lines" w:linePitch="327" w:charSpace="0"/>
        </w:sectPr>
      </w:pPr>
    </w:p>
    <w:p>
      <w:pPr>
        <w:autoSpaceDE w:val="0"/>
        <w:spacing w:line="550" w:lineRule="exact"/>
        <w:jc w:val="center"/>
        <w:rPr>
          <w:rFonts w:hint="eastAsia" w:ascii="方正小标宋简体" w:hAnsi="??" w:eastAsia="方正小标宋简体"/>
          <w:color w:val="000000"/>
          <w:kern w:val="0"/>
          <w:sz w:val="44"/>
          <w:szCs w:val="44"/>
        </w:rPr>
      </w:pPr>
      <w:r>
        <w:rPr>
          <w:rFonts w:hint="eastAsia" w:ascii="方正小标宋简体" w:hAnsi="??" w:eastAsia="方正小标宋简体"/>
          <w:color w:val="000000"/>
          <w:kern w:val="0"/>
          <w:sz w:val="44"/>
          <w:szCs w:val="44"/>
        </w:rPr>
        <w:t>中共广元市朝天区委办公室</w:t>
      </w:r>
    </w:p>
    <w:p>
      <w:pPr>
        <w:autoSpaceDE w:val="0"/>
        <w:spacing w:line="550" w:lineRule="exact"/>
        <w:jc w:val="center"/>
        <w:rPr>
          <w:rFonts w:hint="eastAsia" w:ascii="方正小标宋简体" w:hAnsi="??" w:eastAsia="方正小标宋简体"/>
          <w:color w:val="000000"/>
          <w:kern w:val="0"/>
          <w:sz w:val="44"/>
          <w:szCs w:val="44"/>
        </w:rPr>
      </w:pPr>
      <w:r>
        <w:rPr>
          <w:rFonts w:hint="eastAsia" w:ascii="方正小标宋简体" w:hAnsi="??" w:eastAsia="方正小标宋简体"/>
          <w:color w:val="000000"/>
          <w:kern w:val="0"/>
          <w:sz w:val="44"/>
          <w:szCs w:val="44"/>
        </w:rPr>
        <w:t>2021年部门预算项目支出绩效自评报告</w:t>
      </w:r>
    </w:p>
    <w:p>
      <w:pPr>
        <w:autoSpaceDE w:val="0"/>
        <w:spacing w:line="550" w:lineRule="exact"/>
        <w:jc w:val="center"/>
        <w:rPr>
          <w:rFonts w:hint="eastAsia" w:ascii="楷体_GB2312" w:hAnsi="Times New Roman" w:eastAsia="楷体_GB2312"/>
          <w:szCs w:val="21"/>
        </w:rPr>
      </w:pPr>
      <w:r>
        <w:rPr>
          <w:rFonts w:hint="eastAsia" w:ascii="楷体_GB2312" w:hAnsi="??" w:eastAsia="楷体_GB2312"/>
          <w:sz w:val="32"/>
          <w:szCs w:val="32"/>
        </w:rPr>
        <w:t>（政研工作专项项目）</w:t>
      </w:r>
    </w:p>
    <w:p>
      <w:pPr>
        <w:autoSpaceDE w:val="0"/>
        <w:spacing w:line="550" w:lineRule="exact"/>
        <w:jc w:val="center"/>
        <w:rPr>
          <w:rFonts w:hint="eastAsia" w:ascii="黑体" w:hAnsi="黑体" w:eastAsia="黑体"/>
          <w:sz w:val="32"/>
          <w:szCs w:val="32"/>
        </w:rPr>
      </w:pPr>
    </w:p>
    <w:p>
      <w:pPr>
        <w:autoSpaceDE w:val="0"/>
        <w:spacing w:line="550" w:lineRule="exact"/>
        <w:ind w:firstLine="640" w:firstLineChars="200"/>
        <w:rPr>
          <w:rFonts w:ascii="黑体" w:hAnsi="黑体" w:eastAsia="黑体"/>
          <w:sz w:val="32"/>
          <w:szCs w:val="32"/>
        </w:rPr>
      </w:pPr>
      <w:r>
        <w:rPr>
          <w:rFonts w:hint="eastAsia" w:ascii="黑体" w:hAnsi="黑体" w:eastAsia="黑体"/>
          <w:sz w:val="32"/>
          <w:szCs w:val="32"/>
        </w:rPr>
        <w:t>一、项目概况</w:t>
      </w:r>
    </w:p>
    <w:p>
      <w:pPr>
        <w:autoSpaceDE w:val="0"/>
        <w:spacing w:line="550" w:lineRule="exact"/>
        <w:ind w:firstLine="640" w:firstLineChars="200"/>
        <w:rPr>
          <w:rFonts w:ascii="仿宋_GB2312" w:hAnsi="??" w:eastAsia="仿宋_GB2312"/>
          <w:sz w:val="32"/>
          <w:szCs w:val="32"/>
        </w:rPr>
      </w:pPr>
      <w:r>
        <w:rPr>
          <w:rFonts w:hint="eastAsia" w:ascii="仿宋_GB2312" w:hAnsi="??" w:eastAsia="仿宋_GB2312"/>
          <w:sz w:val="32"/>
          <w:szCs w:val="32"/>
        </w:rPr>
        <w:t>政研专项项目为我单位常年延续性项目。为服务区委中心工作，提供决策参考任务，完成省、市下达目标任务及约稿任务而设立该项目。</w:t>
      </w:r>
    </w:p>
    <w:p>
      <w:pPr>
        <w:autoSpaceDE w:val="0"/>
        <w:spacing w:line="550" w:lineRule="exact"/>
        <w:ind w:firstLine="640" w:firstLineChars="200"/>
        <w:rPr>
          <w:rFonts w:ascii="仿宋_GB2312" w:hAnsi="Times New Roman" w:eastAsia="仿宋_GB2312"/>
          <w:sz w:val="32"/>
          <w:szCs w:val="32"/>
        </w:rPr>
      </w:pPr>
      <w:r>
        <w:rPr>
          <w:rFonts w:hint="eastAsia" w:ascii="楷体_GB2312" w:hAnsi="Times New Roman" w:eastAsia="楷体_GB2312"/>
          <w:bCs/>
          <w:sz w:val="32"/>
          <w:szCs w:val="32"/>
        </w:rPr>
        <w:t>（一）项目资金申报及批复情况。</w:t>
      </w:r>
      <w:r>
        <w:rPr>
          <w:rFonts w:hint="eastAsia" w:ascii="仿宋_GB2312" w:hAnsi="Times New Roman" w:eastAsia="仿宋_GB2312"/>
          <w:sz w:val="32"/>
          <w:szCs w:val="32"/>
        </w:rPr>
        <w:t>该项目年初通过预算项目申报，实际批复预算金额</w:t>
      </w:r>
      <w:r>
        <w:rPr>
          <w:rFonts w:ascii="仿宋_GB2312" w:hAnsi="Times New Roman" w:eastAsia="仿宋_GB2312"/>
          <w:sz w:val="32"/>
          <w:szCs w:val="32"/>
        </w:rPr>
        <w:t>15</w:t>
      </w:r>
      <w:r>
        <w:rPr>
          <w:rFonts w:hint="eastAsia" w:ascii="仿宋_GB2312" w:hAnsi="Times New Roman" w:eastAsia="仿宋_GB2312"/>
          <w:sz w:val="32"/>
          <w:szCs w:val="32"/>
        </w:rPr>
        <w:t>万元，其中一般公共预算金额</w:t>
      </w:r>
      <w:r>
        <w:rPr>
          <w:rFonts w:ascii="仿宋_GB2312" w:hAnsi="Times New Roman" w:eastAsia="仿宋_GB2312"/>
          <w:sz w:val="32"/>
          <w:szCs w:val="32"/>
        </w:rPr>
        <w:t>15</w:t>
      </w:r>
      <w:r>
        <w:rPr>
          <w:rFonts w:hint="eastAsia" w:ascii="仿宋_GB2312" w:hAnsi="Times New Roman" w:eastAsia="仿宋_GB2312"/>
          <w:sz w:val="32"/>
          <w:szCs w:val="32"/>
        </w:rPr>
        <w:t>万元。预算年度内未进行预算调整，符合预算内资金管理办法等相关规定。</w:t>
      </w:r>
    </w:p>
    <w:p>
      <w:pPr>
        <w:spacing w:line="550" w:lineRule="exact"/>
        <w:ind w:firstLine="640" w:firstLineChars="200"/>
        <w:rPr>
          <w:rFonts w:ascii="仿宋_GB2312" w:hAnsi="Times New Roman" w:eastAsia="仿宋_GB2312"/>
          <w:sz w:val="32"/>
          <w:szCs w:val="32"/>
        </w:rPr>
      </w:pPr>
      <w:r>
        <w:rPr>
          <w:rFonts w:hint="eastAsia" w:ascii="楷体_GB2312" w:hAnsi="Times New Roman" w:eastAsia="楷体_GB2312"/>
          <w:bCs/>
          <w:sz w:val="32"/>
          <w:szCs w:val="32"/>
        </w:rPr>
        <w:t>（二）项目绩效目标。</w:t>
      </w:r>
      <w:r>
        <w:rPr>
          <w:rFonts w:hint="eastAsia" w:ascii="仿宋_GB2312" w:hAnsi="仿宋_GB2312" w:eastAsia="仿宋_GB2312" w:cs="仿宋_GB2312"/>
          <w:bCs/>
          <w:sz w:val="32"/>
          <w:szCs w:val="32"/>
        </w:rPr>
        <w:t>年初预算申报时，我单位根据本单位年度工作计划对项目绩效目标</w:t>
      </w:r>
      <w:r>
        <w:rPr>
          <w:rFonts w:hint="eastAsia" w:ascii="仿宋_GB2312" w:hAnsi="??" w:eastAsia="仿宋_GB2312"/>
          <w:sz w:val="32"/>
          <w:szCs w:val="32"/>
        </w:rPr>
        <w:t>从数量指标、质量指标、时效指标、成本指标、社会效益指标、可持续影响指标、满意度指标</w:t>
      </w:r>
      <w:r>
        <w:rPr>
          <w:rFonts w:ascii="仿宋_GB2312" w:hAnsi="??" w:eastAsia="仿宋_GB2312"/>
          <w:sz w:val="32"/>
          <w:szCs w:val="32"/>
        </w:rPr>
        <w:t>7</w:t>
      </w:r>
      <w:r>
        <w:rPr>
          <w:rFonts w:hint="eastAsia" w:ascii="仿宋_GB2312" w:hAnsi="??" w:eastAsia="仿宋_GB2312"/>
          <w:sz w:val="32"/>
          <w:szCs w:val="32"/>
        </w:rPr>
        <w:t>个方面</w:t>
      </w:r>
      <w:r>
        <w:rPr>
          <w:rFonts w:hint="eastAsia" w:ascii="仿宋_GB2312" w:hAnsi="仿宋_GB2312" w:eastAsia="仿宋_GB2312" w:cs="仿宋_GB2312"/>
          <w:bCs/>
          <w:sz w:val="32"/>
          <w:szCs w:val="32"/>
        </w:rPr>
        <w:t>进行了相应设定，</w:t>
      </w:r>
      <w:r>
        <w:rPr>
          <w:rFonts w:hint="eastAsia" w:ascii="仿宋_GB2312" w:hAnsi="??" w:eastAsia="仿宋_GB2312"/>
          <w:sz w:val="32"/>
          <w:szCs w:val="32"/>
        </w:rPr>
        <w:t>并将其作为组织项目预算执行、开展绩效监控、绩效自评和绩效评价的重要依据。预计全年完成课题调研数量</w:t>
      </w:r>
      <w:r>
        <w:rPr>
          <w:rFonts w:ascii="仿宋_GB2312" w:hAnsi="??" w:eastAsia="仿宋_GB2312"/>
          <w:sz w:val="32"/>
          <w:szCs w:val="32"/>
        </w:rPr>
        <w:t>8</w:t>
      </w:r>
      <w:r>
        <w:rPr>
          <w:rFonts w:hint="eastAsia" w:ascii="仿宋_GB2312" w:hAnsi="??" w:eastAsia="仿宋_GB2312"/>
          <w:sz w:val="32"/>
          <w:szCs w:val="32"/>
        </w:rPr>
        <w:t>个，编印《调研与决策》</w:t>
      </w:r>
      <w:r>
        <w:rPr>
          <w:rFonts w:ascii="仿宋_GB2312" w:hAnsi="??" w:eastAsia="仿宋_GB2312"/>
          <w:sz w:val="32"/>
          <w:szCs w:val="32"/>
        </w:rPr>
        <w:t>12</w:t>
      </w:r>
      <w:r>
        <w:rPr>
          <w:rFonts w:hint="eastAsia" w:ascii="仿宋_GB2312" w:hAnsi="??" w:eastAsia="仿宋_GB2312"/>
          <w:sz w:val="32"/>
          <w:szCs w:val="32"/>
        </w:rPr>
        <w:t>期</w:t>
      </w:r>
      <w:r>
        <w:rPr>
          <w:rFonts w:ascii="仿宋_GB2312" w:hAnsi="??" w:eastAsia="仿宋_GB2312"/>
          <w:sz w:val="32"/>
          <w:szCs w:val="32"/>
        </w:rPr>
        <w:t>1000</w:t>
      </w:r>
      <w:r>
        <w:rPr>
          <w:rFonts w:hint="eastAsia" w:ascii="仿宋_GB2312" w:hAnsi="??" w:eastAsia="仿宋_GB2312"/>
          <w:sz w:val="32"/>
          <w:szCs w:val="32"/>
        </w:rPr>
        <w:t>余册，根据上级安排部署，协助省市完成相应课题调研等</w:t>
      </w:r>
      <w:r>
        <w:rPr>
          <w:rFonts w:hint="eastAsia" w:ascii="仿宋_GB2312" w:hAnsi="Times New Roman" w:eastAsia="仿宋_GB2312"/>
          <w:sz w:val="32"/>
          <w:szCs w:val="32"/>
        </w:rPr>
        <w:t>。</w:t>
      </w:r>
    </w:p>
    <w:p>
      <w:pPr>
        <w:autoSpaceDE w:val="0"/>
        <w:spacing w:line="550" w:lineRule="exact"/>
        <w:ind w:firstLine="640" w:firstLineChars="200"/>
        <w:rPr>
          <w:rFonts w:ascii="仿宋_GB2312" w:hAnsi="Times New Roman" w:eastAsia="仿宋_GB2312"/>
          <w:sz w:val="32"/>
          <w:szCs w:val="32"/>
        </w:rPr>
      </w:pPr>
      <w:r>
        <w:rPr>
          <w:rFonts w:hint="eastAsia" w:ascii="楷体_GB2312" w:hAnsi="Times New Roman" w:eastAsia="楷体_GB2312"/>
          <w:bCs/>
          <w:sz w:val="32"/>
          <w:szCs w:val="32"/>
        </w:rPr>
        <w:t>（三）项目资金申报相符性。</w:t>
      </w:r>
      <w:r>
        <w:rPr>
          <w:rFonts w:hint="eastAsia" w:ascii="仿宋_GB2312" w:hAnsi="Times New Roman" w:eastAsia="仿宋_GB2312"/>
          <w:sz w:val="32"/>
          <w:szCs w:val="32"/>
        </w:rPr>
        <w:t>通过项目实施，全年共完成了</w:t>
      </w:r>
      <w:r>
        <w:rPr>
          <w:rFonts w:ascii="仿宋_GB2312" w:hAnsi="Times New Roman" w:eastAsia="仿宋_GB2312"/>
          <w:sz w:val="32"/>
          <w:szCs w:val="32"/>
        </w:rPr>
        <w:t>9</w:t>
      </w:r>
      <w:r>
        <w:rPr>
          <w:rFonts w:hint="eastAsia" w:ascii="仿宋_GB2312" w:hAnsi="Times New Roman" w:eastAsia="仿宋_GB2312"/>
          <w:sz w:val="32"/>
          <w:szCs w:val="32"/>
        </w:rPr>
        <w:t>个调研课题，协助省市完成了</w:t>
      </w:r>
      <w:r>
        <w:rPr>
          <w:rFonts w:ascii="仿宋_GB2312" w:hAnsi="Times New Roman" w:eastAsia="仿宋_GB2312"/>
          <w:sz w:val="32"/>
          <w:szCs w:val="32"/>
        </w:rPr>
        <w:t>1</w:t>
      </w:r>
      <w:r>
        <w:rPr>
          <w:rFonts w:hint="eastAsia" w:ascii="仿宋_GB2312" w:hAnsi="Times New Roman" w:eastAsia="仿宋_GB2312"/>
          <w:sz w:val="32"/>
          <w:szCs w:val="32"/>
        </w:rPr>
        <w:t>个调研课题，在此基础上为区委决策提供参考，采纳有效参考</w:t>
      </w:r>
      <w:r>
        <w:rPr>
          <w:rFonts w:ascii="仿宋_GB2312" w:hAnsi="Times New Roman" w:eastAsia="仿宋_GB2312"/>
          <w:sz w:val="32"/>
          <w:szCs w:val="32"/>
        </w:rPr>
        <w:t>5</w:t>
      </w:r>
      <w:r>
        <w:rPr>
          <w:rFonts w:hint="eastAsia" w:ascii="仿宋_GB2312" w:hAnsi="Times New Roman" w:eastAsia="仿宋_GB2312"/>
          <w:sz w:val="32"/>
          <w:szCs w:val="32"/>
        </w:rPr>
        <w:t>条。通过项目实施，为区委谋划实施主动融入成渝地区双城经济圈、全民兴商全民经商、“十四五”规划提供了重要参考，服务对象满意率达</w:t>
      </w:r>
      <w:r>
        <w:rPr>
          <w:rFonts w:ascii="仿宋_GB2312" w:hAnsi="Times New Roman" w:eastAsia="仿宋_GB2312"/>
          <w:sz w:val="32"/>
          <w:szCs w:val="32"/>
        </w:rPr>
        <w:t>92%</w:t>
      </w:r>
      <w:r>
        <w:rPr>
          <w:rFonts w:hint="eastAsia" w:ascii="仿宋_GB2312" w:hAnsi="Times New Roman" w:eastAsia="仿宋_GB2312"/>
          <w:sz w:val="32"/>
          <w:szCs w:val="32"/>
        </w:rPr>
        <w:t>。</w:t>
      </w:r>
      <w:r>
        <w:rPr>
          <w:rFonts w:hint="eastAsia" w:ascii="仿宋_GB2312" w:hAnsi="??" w:eastAsia="仿宋_GB2312"/>
          <w:sz w:val="32"/>
          <w:szCs w:val="32"/>
        </w:rPr>
        <w:t>达到了预算申报的相应绩效目标，相应的数量指标、质量指标、时效指标、成本指标等均达到预期。</w:t>
      </w:r>
      <w:r>
        <w:rPr>
          <w:rFonts w:hint="eastAsia" w:ascii="仿宋_GB2312" w:hAnsi="Times New Roman" w:eastAsia="仿宋_GB2312"/>
          <w:sz w:val="32"/>
          <w:szCs w:val="32"/>
        </w:rPr>
        <w:t>项目申报内容与具体实施内容相符、申报目标合理可行。</w:t>
      </w:r>
    </w:p>
    <w:p>
      <w:pPr>
        <w:autoSpaceDE w:val="0"/>
        <w:spacing w:line="550" w:lineRule="exact"/>
        <w:ind w:firstLine="640" w:firstLineChars="200"/>
        <w:rPr>
          <w:rFonts w:ascii="黑体" w:hAnsi="黑体" w:eastAsia="黑体"/>
          <w:sz w:val="32"/>
          <w:szCs w:val="32"/>
        </w:rPr>
      </w:pPr>
      <w:r>
        <w:rPr>
          <w:rFonts w:hint="eastAsia" w:ascii="黑体" w:hAnsi="黑体" w:eastAsia="黑体"/>
          <w:sz w:val="32"/>
          <w:szCs w:val="32"/>
        </w:rPr>
        <w:t>二、项目实施及管理情况</w:t>
      </w:r>
    </w:p>
    <w:p>
      <w:pPr>
        <w:autoSpaceDE w:val="0"/>
        <w:spacing w:line="550"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（一）资金计划、到位及使用情况</w:t>
      </w:r>
    </w:p>
    <w:p>
      <w:pPr>
        <w:autoSpaceDE w:val="0"/>
        <w:spacing w:line="550" w:lineRule="exact"/>
        <w:ind w:firstLine="640" w:firstLineChars="200"/>
        <w:rPr>
          <w:rFonts w:ascii="仿宋_GB2312" w:hAnsi="??"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．资金计划及到位。截止评价时点该项目实际到位资金</w:t>
      </w:r>
      <w:r>
        <w:rPr>
          <w:rFonts w:ascii="仿宋_GB2312" w:hAnsi="Times New Roman" w:eastAsia="仿宋_GB2312"/>
          <w:sz w:val="32"/>
          <w:szCs w:val="32"/>
        </w:rPr>
        <w:t>25</w:t>
      </w:r>
      <w:r>
        <w:rPr>
          <w:rFonts w:hint="eastAsia" w:ascii="仿宋_GB2312" w:hAnsi="Times New Roman" w:eastAsia="仿宋_GB2312"/>
          <w:sz w:val="32"/>
          <w:szCs w:val="32"/>
        </w:rPr>
        <w:t>万元，资金到位率</w:t>
      </w:r>
      <w:r>
        <w:rPr>
          <w:rFonts w:ascii="仿宋_GB2312" w:hAnsi="Times New Roman" w:eastAsia="仿宋_GB2312"/>
          <w:sz w:val="32"/>
          <w:szCs w:val="32"/>
        </w:rPr>
        <w:t>100%</w:t>
      </w:r>
      <w:r>
        <w:rPr>
          <w:rFonts w:hint="eastAsia" w:ascii="仿宋_GB2312" w:hAnsi="Times New Roman" w:eastAsia="仿宋_GB2312"/>
          <w:sz w:val="32"/>
          <w:szCs w:val="32"/>
        </w:rPr>
        <w:t>。在项目实施过程中，我单位</w:t>
      </w:r>
      <w:r>
        <w:rPr>
          <w:rFonts w:hint="eastAsia" w:ascii="仿宋_GB2312" w:hAnsi="??" w:eastAsia="仿宋_GB2312"/>
          <w:sz w:val="32"/>
          <w:szCs w:val="32"/>
        </w:rPr>
        <w:t>根据项目实施进度，及时分批调拨项目资金，确保资金及时到位。</w:t>
      </w:r>
    </w:p>
    <w:p>
      <w:pPr>
        <w:autoSpaceDE w:val="0"/>
        <w:spacing w:line="550" w:lineRule="exact"/>
        <w:ind w:firstLine="640" w:firstLineChars="200"/>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Times New Roman" w:eastAsia="仿宋_GB2312"/>
          <w:sz w:val="32"/>
          <w:szCs w:val="32"/>
        </w:rPr>
        <w:t>．资金使用。</w:t>
      </w:r>
      <w:r>
        <w:rPr>
          <w:rFonts w:hint="eastAsia" w:ascii="仿宋_GB2312" w:hAnsi="??" w:eastAsia="仿宋_GB2312"/>
          <w:sz w:val="32"/>
          <w:szCs w:val="32"/>
        </w:rPr>
        <w:t>在项目实施过程中，我单位严格执行财经纪律，切实加大专项资金的管理和监督，规范专项资金使用，切实提高资金使用效率，使用专项资金时，全部通过国库集中支付方式进行，截止项目实施完毕，资金全额调拨到位并支付完毕。</w:t>
      </w:r>
    </w:p>
    <w:p>
      <w:pPr>
        <w:autoSpaceDE w:val="0"/>
        <w:spacing w:line="550"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（二）项目财务管理情况</w:t>
      </w:r>
    </w:p>
    <w:p>
      <w:pPr>
        <w:spacing w:line="550" w:lineRule="exact"/>
        <w:ind w:firstLine="645"/>
        <w:rPr>
          <w:rFonts w:ascii="仿宋_GB2312" w:hAnsi="Times New Roman" w:eastAsia="仿宋_GB2312"/>
          <w:sz w:val="32"/>
          <w:szCs w:val="32"/>
        </w:rPr>
      </w:pPr>
      <w:r>
        <w:rPr>
          <w:rFonts w:hint="eastAsia" w:ascii="仿宋_GB2312" w:hAnsi="??" w:eastAsia="仿宋_GB2312"/>
          <w:sz w:val="32"/>
          <w:szCs w:val="32"/>
        </w:rPr>
        <w:t>在项目实施过程中，我单位严格财经纪律，严禁虚报、挤占、挪用项目资金现象发生。同时进一步健全单位内控管理制度，严格财务会计核算，及时进行账务处理，确保专款专用，项目资金无滞留、闲置现象发生</w:t>
      </w:r>
      <w:r>
        <w:rPr>
          <w:rFonts w:hint="eastAsia" w:ascii="仿宋_GB2312" w:hAnsi="Times New Roman" w:eastAsia="仿宋_GB2312"/>
          <w:sz w:val="32"/>
          <w:szCs w:val="32"/>
        </w:rPr>
        <w:t>。</w:t>
      </w:r>
    </w:p>
    <w:p>
      <w:pPr>
        <w:autoSpaceDE w:val="0"/>
        <w:spacing w:line="550"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（三）项目组织实施情况</w:t>
      </w:r>
    </w:p>
    <w:p>
      <w:pPr>
        <w:autoSpaceDE w:val="0"/>
        <w:spacing w:line="550" w:lineRule="exact"/>
        <w:ind w:firstLine="640" w:firstLineChars="200"/>
        <w:rPr>
          <w:rFonts w:ascii="仿宋_GB2312" w:hAnsi="??" w:eastAsia="仿宋_GB2312" w:cs="仿宋_GB2312"/>
          <w:sz w:val="32"/>
          <w:szCs w:val="32"/>
        </w:rPr>
      </w:pPr>
      <w:r>
        <w:rPr>
          <w:rFonts w:hint="eastAsia" w:ascii="仿宋_GB2312" w:hAnsi="??" w:eastAsia="仿宋_GB2312"/>
          <w:sz w:val="32"/>
          <w:szCs w:val="32"/>
        </w:rPr>
        <w:t>根据</w:t>
      </w:r>
      <w:r>
        <w:rPr>
          <w:rFonts w:hint="eastAsia" w:ascii="仿宋_GB2312" w:hAnsi="??" w:eastAsia="仿宋_GB2312" w:cs="仿宋_GB2312"/>
          <w:sz w:val="32"/>
          <w:szCs w:val="32"/>
        </w:rPr>
        <w:t>广朝编委发〔2019〕</w:t>
      </w:r>
      <w:r>
        <w:rPr>
          <w:rFonts w:ascii="仿宋_GB2312" w:hAnsi="??" w:eastAsia="仿宋_GB2312" w:cs="仿宋_GB2312"/>
          <w:sz w:val="32"/>
          <w:szCs w:val="32"/>
        </w:rPr>
        <w:t>54</w:t>
      </w:r>
      <w:r>
        <w:rPr>
          <w:rFonts w:hint="eastAsia" w:ascii="仿宋_GB2312" w:hAnsi="??" w:eastAsia="仿宋_GB2312" w:cs="仿宋_GB2312"/>
          <w:sz w:val="32"/>
          <w:szCs w:val="32"/>
        </w:rPr>
        <w:t>号关于调整中共广元市朝天区委办公室有关机构编制事项通知文件精神，进一步明确了政研中心的相关行政职能职责，落实了专人对工作具体负责。</w:t>
      </w:r>
    </w:p>
    <w:p>
      <w:pPr>
        <w:autoSpaceDE w:val="0"/>
        <w:spacing w:line="550" w:lineRule="exact"/>
        <w:ind w:firstLine="640" w:firstLineChars="200"/>
        <w:rPr>
          <w:rFonts w:ascii="黑体" w:hAnsi="黑体" w:eastAsia="黑体"/>
          <w:sz w:val="32"/>
          <w:szCs w:val="32"/>
        </w:rPr>
      </w:pPr>
      <w:r>
        <w:rPr>
          <w:rFonts w:hint="eastAsia" w:ascii="黑体" w:hAnsi="黑体" w:eastAsia="黑体"/>
          <w:sz w:val="32"/>
          <w:szCs w:val="32"/>
        </w:rPr>
        <w:t>三、项目绩效情况</w:t>
      </w:r>
      <w:r>
        <w:rPr>
          <w:rFonts w:ascii="黑体" w:hAnsi="黑体" w:eastAsia="黑体"/>
          <w:sz w:val="32"/>
          <w:szCs w:val="32"/>
        </w:rPr>
        <w:tab/>
      </w:r>
    </w:p>
    <w:p>
      <w:pPr>
        <w:autoSpaceDE w:val="0"/>
        <w:spacing w:line="550"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（一）项目完成情况</w:t>
      </w:r>
    </w:p>
    <w:p>
      <w:pPr>
        <w:autoSpaceDE w:val="0"/>
        <w:spacing w:line="55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全年共完成了</w:t>
      </w:r>
      <w:r>
        <w:rPr>
          <w:rFonts w:ascii="仿宋_GB2312" w:hAnsi="Times New Roman" w:eastAsia="仿宋_GB2312"/>
          <w:sz w:val="32"/>
          <w:szCs w:val="32"/>
        </w:rPr>
        <w:t>9</w:t>
      </w:r>
      <w:r>
        <w:rPr>
          <w:rFonts w:hint="eastAsia" w:ascii="仿宋_GB2312" w:hAnsi="Times New Roman" w:eastAsia="仿宋_GB2312"/>
          <w:sz w:val="32"/>
          <w:szCs w:val="32"/>
        </w:rPr>
        <w:t>个调研课题，协助省市完成了</w:t>
      </w:r>
      <w:r>
        <w:rPr>
          <w:rFonts w:ascii="仿宋_GB2312" w:hAnsi="Times New Roman" w:eastAsia="仿宋_GB2312"/>
          <w:sz w:val="32"/>
          <w:szCs w:val="32"/>
        </w:rPr>
        <w:t>1</w:t>
      </w:r>
      <w:r>
        <w:rPr>
          <w:rFonts w:hint="eastAsia" w:ascii="仿宋_GB2312" w:hAnsi="Times New Roman" w:eastAsia="仿宋_GB2312"/>
          <w:sz w:val="32"/>
          <w:szCs w:val="32"/>
        </w:rPr>
        <w:t>个调研课题，在此基础上为区委决策提供参考，采纳有效参考</w:t>
      </w:r>
      <w:r>
        <w:rPr>
          <w:rFonts w:ascii="仿宋_GB2312" w:hAnsi="Times New Roman" w:eastAsia="仿宋_GB2312"/>
          <w:sz w:val="32"/>
          <w:szCs w:val="32"/>
        </w:rPr>
        <w:t>5</w:t>
      </w:r>
      <w:r>
        <w:rPr>
          <w:rFonts w:hint="eastAsia" w:ascii="仿宋_GB2312" w:hAnsi="Times New Roman" w:eastAsia="仿宋_GB2312"/>
          <w:sz w:val="32"/>
          <w:szCs w:val="32"/>
        </w:rPr>
        <w:t>条，编印《调研与决策》</w:t>
      </w:r>
      <w:r>
        <w:rPr>
          <w:rFonts w:ascii="仿宋_GB2312" w:hAnsi="Times New Roman" w:eastAsia="仿宋_GB2312"/>
          <w:sz w:val="32"/>
          <w:szCs w:val="32"/>
        </w:rPr>
        <w:t>12</w:t>
      </w:r>
      <w:r>
        <w:rPr>
          <w:rFonts w:hint="eastAsia" w:ascii="仿宋_GB2312" w:hAnsi="Times New Roman" w:eastAsia="仿宋_GB2312"/>
          <w:sz w:val="32"/>
          <w:szCs w:val="32"/>
        </w:rPr>
        <w:t>期</w:t>
      </w:r>
      <w:r>
        <w:rPr>
          <w:rFonts w:ascii="仿宋_GB2312" w:hAnsi="Times New Roman" w:eastAsia="仿宋_GB2312"/>
          <w:sz w:val="32"/>
          <w:szCs w:val="32"/>
        </w:rPr>
        <w:t>1100</w:t>
      </w:r>
      <w:r>
        <w:rPr>
          <w:rFonts w:hint="eastAsia" w:ascii="仿宋_GB2312" w:hAnsi="Times New Roman" w:eastAsia="仿宋_GB2312"/>
          <w:sz w:val="32"/>
          <w:szCs w:val="32"/>
        </w:rPr>
        <w:t>余册。</w:t>
      </w:r>
    </w:p>
    <w:p>
      <w:pPr>
        <w:autoSpaceDE w:val="0"/>
        <w:spacing w:line="550"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（二）项目效益情况</w:t>
      </w:r>
    </w:p>
    <w:p>
      <w:pPr>
        <w:spacing w:line="550" w:lineRule="exact"/>
        <w:ind w:firstLine="645"/>
        <w:rPr>
          <w:rFonts w:ascii="仿宋_GB2312" w:hAnsi="Times New Roman" w:eastAsia="仿宋_GB2312"/>
          <w:sz w:val="32"/>
          <w:szCs w:val="32"/>
        </w:rPr>
      </w:pPr>
      <w:r>
        <w:rPr>
          <w:rFonts w:hint="eastAsia" w:ascii="仿宋_GB2312" w:hAnsi="??" w:eastAsia="仿宋_GB2312"/>
          <w:sz w:val="32"/>
          <w:szCs w:val="32"/>
        </w:rPr>
        <w:t>通过项目实施，为区委谋划实施主动融入成渝地区双城经济圈、全民兴商全民经商、“十四五”规划提供了重要参考。</w:t>
      </w:r>
    </w:p>
    <w:p>
      <w:pPr>
        <w:autoSpaceDE w:val="0"/>
        <w:spacing w:line="550" w:lineRule="exact"/>
        <w:ind w:firstLine="640" w:firstLineChars="200"/>
        <w:rPr>
          <w:rFonts w:ascii="黑体" w:hAnsi="黑体" w:eastAsia="黑体"/>
          <w:sz w:val="32"/>
          <w:szCs w:val="32"/>
        </w:rPr>
      </w:pPr>
      <w:r>
        <w:rPr>
          <w:rFonts w:hint="eastAsia" w:ascii="黑体" w:hAnsi="黑体" w:eastAsia="黑体"/>
          <w:sz w:val="32"/>
          <w:szCs w:val="32"/>
        </w:rPr>
        <w:t>四、问题及建议</w:t>
      </w:r>
    </w:p>
    <w:p>
      <w:pPr>
        <w:autoSpaceDE w:val="0"/>
        <w:spacing w:line="550"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（一）存在的问题</w:t>
      </w:r>
    </w:p>
    <w:p>
      <w:pPr>
        <w:autoSpaceDE w:val="0"/>
        <w:spacing w:line="550" w:lineRule="exact"/>
        <w:ind w:firstLine="640" w:firstLineChars="200"/>
        <w:rPr>
          <w:rFonts w:ascii="楷体_GB2312" w:hAnsi="Times New Roman" w:eastAsia="楷体_GB2312"/>
          <w:bCs/>
          <w:sz w:val="32"/>
          <w:szCs w:val="32"/>
        </w:rPr>
      </w:pPr>
      <w:r>
        <w:rPr>
          <w:rFonts w:hint="eastAsia" w:ascii="仿宋_GB2312" w:hAnsi="仿宋_GB2312" w:eastAsia="仿宋_GB2312" w:cs="仿宋_GB2312"/>
          <w:sz w:val="32"/>
          <w:szCs w:val="32"/>
        </w:rPr>
        <w:t>在项目实施过程中，单位进一步提高了预算绩效管理认识，强化了以“绩效为中心、对支出结果负责、对社会公众负责”的理念，但在绩效目标编制方面，存在绩效目标设置指向不清、预算和目标匹配不足，数量目标和质量目标量化不细，效益目标编制不完善等问题。</w:t>
      </w:r>
    </w:p>
    <w:p>
      <w:pPr>
        <w:autoSpaceDE w:val="0"/>
        <w:spacing w:line="550" w:lineRule="exact"/>
        <w:ind w:firstLine="640" w:firstLineChars="200"/>
        <w:rPr>
          <w:rFonts w:ascii="仿宋_GB2312" w:hAnsi="Times New Roman" w:eastAsia="仿宋_GB2312"/>
          <w:sz w:val="32"/>
          <w:szCs w:val="32"/>
        </w:rPr>
      </w:pPr>
      <w:r>
        <w:rPr>
          <w:rFonts w:hint="eastAsia" w:ascii="楷体_GB2312" w:hAnsi="Times New Roman" w:eastAsia="楷体_GB2312"/>
          <w:bCs/>
          <w:sz w:val="32"/>
          <w:szCs w:val="32"/>
        </w:rPr>
        <w:t>（二）相关建议。</w:t>
      </w:r>
      <w:r>
        <w:rPr>
          <w:rFonts w:hint="eastAsia" w:ascii="仿宋_GB2312" w:hAnsi="仿宋_GB2312" w:eastAsia="仿宋_GB2312" w:cs="仿宋_GB2312"/>
          <w:sz w:val="32"/>
          <w:szCs w:val="32"/>
        </w:rPr>
        <w:t>继续加强对相关专业技术人员的业务培训，进一步提高预算绩效目标编制、评价质量。</w:t>
      </w:r>
    </w:p>
    <w:p>
      <w:pPr>
        <w:autoSpaceDE w:val="0"/>
        <w:spacing w:line="550" w:lineRule="exact"/>
        <w:rPr>
          <w:rFonts w:hint="eastAsia" w:ascii="仿宋_GB2312" w:hAnsi="??" w:eastAsia="仿宋_GB2312"/>
          <w:color w:val="000000"/>
          <w:kern w:val="0"/>
          <w:sz w:val="32"/>
          <w:szCs w:val="32"/>
        </w:rPr>
      </w:pPr>
    </w:p>
    <w:p>
      <w:pPr>
        <w:autoSpaceDE w:val="0"/>
        <w:spacing w:line="550" w:lineRule="exact"/>
        <w:ind w:firstLine="640" w:firstLineChars="200"/>
        <w:rPr>
          <w:rFonts w:ascii="黑体" w:hAnsi="黑体" w:eastAsia="黑体"/>
          <w:color w:val="000000"/>
          <w:kern w:val="0"/>
          <w:sz w:val="24"/>
          <w:szCs w:val="24"/>
        </w:rPr>
      </w:pPr>
      <w:r>
        <w:rPr>
          <w:rFonts w:hint="eastAsia" w:ascii="仿宋_GB2312" w:hAnsi="??" w:eastAsia="仿宋_GB2312"/>
          <w:color w:val="000000"/>
          <w:kern w:val="0"/>
          <w:sz w:val="32"/>
          <w:szCs w:val="32"/>
        </w:rPr>
        <w:t>附件：</w:t>
      </w:r>
      <w:r>
        <w:rPr>
          <w:rFonts w:ascii="仿宋_GB2312" w:hAnsi="??" w:eastAsia="仿宋_GB2312"/>
          <w:color w:val="000000"/>
          <w:kern w:val="0"/>
          <w:sz w:val="32"/>
          <w:szCs w:val="32"/>
        </w:rPr>
        <w:t>1</w:t>
      </w:r>
      <w:r>
        <w:rPr>
          <w:rFonts w:hint="eastAsia" w:ascii="仿宋_GB2312" w:hAnsi="Times New Roman" w:eastAsia="仿宋_GB2312"/>
          <w:sz w:val="32"/>
          <w:szCs w:val="32"/>
        </w:rPr>
        <w:t>．</w:t>
      </w:r>
      <w:r>
        <w:rPr>
          <w:rFonts w:hint="eastAsia" w:ascii="仿宋_GB2312" w:hAnsi="??" w:eastAsia="仿宋_GB2312"/>
          <w:color w:val="000000"/>
          <w:kern w:val="0"/>
          <w:sz w:val="32"/>
          <w:szCs w:val="32"/>
        </w:rPr>
        <w:t>部门预算</w:t>
      </w:r>
      <w:r>
        <w:rPr>
          <w:rFonts w:hint="eastAsia" w:ascii="仿宋_GB2312" w:hAnsi="??" w:eastAsia="仿宋_GB2312" w:cs="??"/>
          <w:color w:val="000000"/>
          <w:kern w:val="0"/>
          <w:sz w:val="32"/>
          <w:szCs w:val="32"/>
        </w:rPr>
        <w:t>项目支出绩效目标自评表</w:t>
      </w:r>
    </w:p>
    <w:p>
      <w:pPr>
        <w:autoSpaceDE w:val="0"/>
        <w:spacing w:line="550" w:lineRule="exact"/>
        <w:ind w:firstLine="1600" w:firstLineChars="500"/>
        <w:jc w:val="left"/>
        <w:rPr>
          <w:rFonts w:ascii="仿宋_GB2312" w:hAnsi="??" w:eastAsia="仿宋_GB2312"/>
          <w:color w:val="000000"/>
          <w:kern w:val="0"/>
          <w:sz w:val="32"/>
          <w:szCs w:val="32"/>
        </w:rPr>
      </w:pPr>
      <w:r>
        <w:rPr>
          <w:rFonts w:ascii="仿宋_GB2312" w:hAnsi="??" w:eastAsia="仿宋_GB2312"/>
          <w:color w:val="000000"/>
          <w:kern w:val="0"/>
          <w:sz w:val="32"/>
          <w:szCs w:val="32"/>
        </w:rPr>
        <w:t>2</w:t>
      </w:r>
      <w:r>
        <w:rPr>
          <w:rFonts w:hint="eastAsia" w:ascii="仿宋_GB2312" w:hAnsi="Times New Roman" w:eastAsia="仿宋_GB2312"/>
          <w:sz w:val="32"/>
          <w:szCs w:val="32"/>
        </w:rPr>
        <w:t>．</w:t>
      </w:r>
      <w:r>
        <w:rPr>
          <w:rFonts w:ascii="仿宋_GB2312" w:hAnsi="??" w:eastAsia="仿宋_GB2312"/>
          <w:color w:val="000000"/>
          <w:kern w:val="0"/>
          <w:sz w:val="32"/>
          <w:szCs w:val="32"/>
        </w:rPr>
        <w:t>2021</w:t>
      </w:r>
      <w:r>
        <w:rPr>
          <w:rFonts w:hint="eastAsia" w:ascii="仿宋_GB2312" w:hAnsi="??" w:eastAsia="仿宋_GB2312"/>
          <w:color w:val="000000"/>
          <w:kern w:val="0"/>
          <w:sz w:val="32"/>
          <w:szCs w:val="32"/>
        </w:rPr>
        <w:t>年部门预算项目支出绩效自评评分表</w:t>
      </w:r>
    </w:p>
    <w:p>
      <w:pPr>
        <w:autoSpaceDE w:val="0"/>
        <w:spacing w:line="550" w:lineRule="exact"/>
        <w:ind w:firstLine="5440" w:firstLineChars="1700"/>
        <w:rPr>
          <w:rFonts w:ascii="仿宋_GB2312" w:hAnsi="Times New Roman" w:eastAsia="仿宋_GB2312"/>
          <w:sz w:val="32"/>
          <w:szCs w:val="32"/>
        </w:rPr>
      </w:pPr>
    </w:p>
    <w:p>
      <w:pPr>
        <w:pStyle w:val="2"/>
        <w:spacing w:line="520" w:lineRule="exact"/>
        <w:rPr>
          <w:rFonts w:hint="eastAsia" w:ascii="黑体" w:hAnsi="黑体" w:eastAsia="黑体"/>
          <w:sz w:val="32"/>
          <w:szCs w:val="32"/>
        </w:rPr>
      </w:pPr>
    </w:p>
    <w:p>
      <w:pPr>
        <w:pStyle w:val="2"/>
        <w:spacing w:line="520" w:lineRule="exact"/>
        <w:rPr>
          <w:rFonts w:hint="eastAsia" w:ascii="黑体" w:hAnsi="黑体" w:eastAsia="黑体"/>
          <w:sz w:val="32"/>
          <w:szCs w:val="32"/>
        </w:rPr>
      </w:pPr>
    </w:p>
    <w:p>
      <w:pPr>
        <w:pStyle w:val="2"/>
        <w:spacing w:line="520" w:lineRule="exact"/>
        <w:rPr>
          <w:rFonts w:hint="eastAsia" w:ascii="黑体" w:hAnsi="黑体" w:eastAsia="黑体"/>
          <w:sz w:val="32"/>
          <w:szCs w:val="32"/>
        </w:rPr>
      </w:pPr>
    </w:p>
    <w:p>
      <w:pPr>
        <w:pStyle w:val="2"/>
        <w:spacing w:line="520" w:lineRule="exact"/>
        <w:rPr>
          <w:rFonts w:hint="eastAsia" w:ascii="黑体" w:hAnsi="黑体" w:eastAsia="黑体"/>
          <w:sz w:val="32"/>
          <w:szCs w:val="32"/>
        </w:rPr>
      </w:pPr>
      <w:r>
        <w:rPr>
          <w:rFonts w:hint="eastAsia" w:ascii="黑体" w:hAnsi="黑体" w:eastAsia="黑体"/>
          <w:sz w:val="32"/>
          <w:szCs w:val="32"/>
        </w:rPr>
        <w:t>附件1</w:t>
      </w:r>
    </w:p>
    <w:p>
      <w:pPr>
        <w:pStyle w:val="2"/>
        <w:spacing w:line="520" w:lineRule="exact"/>
        <w:jc w:val="center"/>
        <w:rPr>
          <w:rFonts w:hint="eastAsia" w:ascii="方正小标宋简体" w:eastAsia="方正小标宋简体"/>
          <w:sz w:val="44"/>
          <w:szCs w:val="44"/>
        </w:rPr>
      </w:pPr>
      <w:r>
        <w:rPr>
          <w:rFonts w:hint="eastAsia" w:ascii="方正小标宋简体" w:hAnsi="宋体" w:eastAsia="方正小标宋简体" w:cs="宋体"/>
          <w:color w:val="000000"/>
          <w:kern w:val="0"/>
          <w:sz w:val="44"/>
          <w:szCs w:val="44"/>
        </w:rPr>
        <w:t>部门预算项目支出绩效目标自评表</w:t>
      </w:r>
    </w:p>
    <w:p>
      <w:pPr>
        <w:pStyle w:val="2"/>
        <w:spacing w:line="520" w:lineRule="exact"/>
        <w:jc w:val="center"/>
        <w:rPr>
          <w:rFonts w:hint="eastAsia" w:ascii="楷体_GB2312" w:hAnsi="黑体" w:eastAsia="楷体_GB2312" w:cs="宋体"/>
          <w:color w:val="000000"/>
          <w:kern w:val="0"/>
          <w:sz w:val="32"/>
          <w:szCs w:val="32"/>
        </w:rPr>
      </w:pPr>
      <w:r>
        <w:rPr>
          <w:rFonts w:hint="eastAsia" w:ascii="楷体_GB2312" w:hAnsi="黑体" w:eastAsia="楷体_GB2312" w:cs="宋体"/>
          <w:color w:val="000000"/>
          <w:kern w:val="0"/>
          <w:sz w:val="32"/>
          <w:szCs w:val="32"/>
        </w:rPr>
        <w:t>（2021年度）</w:t>
      </w:r>
    </w:p>
    <w:p>
      <w:pPr>
        <w:pStyle w:val="2"/>
        <w:spacing w:line="576" w:lineRule="exact"/>
        <w:rPr>
          <w:rFonts w:hint="eastAsia" w:ascii="宋体" w:hAnsi="宋体" w:eastAsia="宋体" w:cs="宋体"/>
          <w:color w:val="000000"/>
          <w:kern w:val="0"/>
          <w:szCs w:val="18"/>
        </w:rPr>
      </w:pPr>
      <w:r>
        <w:rPr>
          <w:rFonts w:hint="eastAsia" w:ascii="宋体" w:hAnsi="宋体" w:eastAsia="宋体" w:cs="宋体"/>
          <w:color w:val="000000"/>
          <w:kern w:val="0"/>
          <w:szCs w:val="18"/>
        </w:rPr>
        <w:t>部门（单位）盖章：中共广元市朝天区委办公室</w:t>
      </w:r>
    </w:p>
    <w:tbl>
      <w:tblPr>
        <w:tblStyle w:val="14"/>
        <w:tblW w:w="0" w:type="auto"/>
        <w:jc w:val="center"/>
        <w:tblLayout w:type="autofit"/>
        <w:tblCellMar>
          <w:top w:w="0" w:type="dxa"/>
          <w:left w:w="108" w:type="dxa"/>
          <w:bottom w:w="0" w:type="dxa"/>
          <w:right w:w="108" w:type="dxa"/>
        </w:tblCellMar>
      </w:tblPr>
      <w:tblGrid>
        <w:gridCol w:w="591"/>
        <w:gridCol w:w="819"/>
        <w:gridCol w:w="1371"/>
        <w:gridCol w:w="141"/>
        <w:gridCol w:w="1656"/>
        <w:gridCol w:w="185"/>
        <w:gridCol w:w="1595"/>
        <w:gridCol w:w="753"/>
        <w:gridCol w:w="784"/>
        <w:gridCol w:w="1151"/>
      </w:tblGrid>
      <w:tr>
        <w:tblPrEx>
          <w:tblCellMar>
            <w:top w:w="0" w:type="dxa"/>
            <w:left w:w="108" w:type="dxa"/>
            <w:bottom w:w="0" w:type="dxa"/>
            <w:right w:w="108" w:type="dxa"/>
          </w:tblCellMar>
        </w:tblPrEx>
        <w:trPr>
          <w:trHeight w:val="450" w:hRule="atLeast"/>
          <w:jc w:val="center"/>
        </w:trPr>
        <w:tc>
          <w:tcPr>
            <w:tcW w:w="141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项目支出名称</w:t>
            </w:r>
          </w:p>
        </w:tc>
        <w:tc>
          <w:tcPr>
            <w:tcW w:w="7636" w:type="dxa"/>
            <w:gridSpan w:val="8"/>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政研工作专项经费</w:t>
            </w:r>
          </w:p>
        </w:tc>
      </w:tr>
      <w:tr>
        <w:tblPrEx>
          <w:tblCellMar>
            <w:top w:w="0" w:type="dxa"/>
            <w:left w:w="108" w:type="dxa"/>
            <w:bottom w:w="0" w:type="dxa"/>
            <w:right w:w="108" w:type="dxa"/>
          </w:tblCellMar>
        </w:tblPrEx>
        <w:trPr>
          <w:trHeight w:val="422" w:hRule="atLeast"/>
          <w:jc w:val="center"/>
        </w:trPr>
        <w:tc>
          <w:tcPr>
            <w:tcW w:w="141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预算单位</w:t>
            </w:r>
          </w:p>
        </w:tc>
        <w:tc>
          <w:tcPr>
            <w:tcW w:w="7636" w:type="dxa"/>
            <w:gridSpan w:val="8"/>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中共广元市朝天区委办公室</w:t>
            </w:r>
          </w:p>
        </w:tc>
      </w:tr>
      <w:tr>
        <w:tblPrEx>
          <w:tblCellMar>
            <w:top w:w="0" w:type="dxa"/>
            <w:left w:w="108" w:type="dxa"/>
            <w:bottom w:w="0" w:type="dxa"/>
            <w:right w:w="108" w:type="dxa"/>
          </w:tblCellMar>
        </w:tblPrEx>
        <w:trPr>
          <w:trHeight w:val="449" w:hRule="atLeast"/>
          <w:jc w:val="center"/>
        </w:trPr>
        <w:tc>
          <w:tcPr>
            <w:tcW w:w="591"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预算执行情况</w:t>
            </w:r>
          </w:p>
        </w:tc>
        <w:tc>
          <w:tcPr>
            <w:tcW w:w="2190"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 xml:space="preserve"> 全年预算数（万元） </w:t>
            </w:r>
          </w:p>
        </w:tc>
        <w:tc>
          <w:tcPr>
            <w:tcW w:w="1797"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2533" w:type="dxa"/>
            <w:gridSpan w:val="3"/>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全年执行数（万元）</w:t>
            </w:r>
          </w:p>
        </w:tc>
        <w:tc>
          <w:tcPr>
            <w:tcW w:w="1935"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r>
      <w:tr>
        <w:tblPrEx>
          <w:tblCellMar>
            <w:top w:w="0" w:type="dxa"/>
            <w:left w:w="108" w:type="dxa"/>
            <w:bottom w:w="0" w:type="dxa"/>
            <w:right w:w="108" w:type="dxa"/>
          </w:tblCellMar>
        </w:tblPrEx>
        <w:trPr>
          <w:trHeight w:val="435" w:hRule="atLeast"/>
          <w:jc w:val="center"/>
        </w:trPr>
        <w:tc>
          <w:tcPr>
            <w:tcW w:w="591"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2190" w:type="dxa"/>
            <w:gridSpan w:val="2"/>
            <w:tcBorders>
              <w:top w:val="single" w:color="auto" w:sz="4" w:space="0"/>
              <w:left w:val="nil"/>
              <w:bottom w:val="single" w:color="auto" w:sz="4" w:space="0"/>
              <w:right w:val="single" w:color="000000"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其中：一般公共预算</w:t>
            </w:r>
          </w:p>
        </w:tc>
        <w:tc>
          <w:tcPr>
            <w:tcW w:w="1797"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2533" w:type="dxa"/>
            <w:gridSpan w:val="3"/>
            <w:tcBorders>
              <w:top w:val="nil"/>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其中：一般公共预算</w:t>
            </w:r>
          </w:p>
        </w:tc>
        <w:tc>
          <w:tcPr>
            <w:tcW w:w="1935"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r>
      <w:tr>
        <w:tblPrEx>
          <w:tblCellMar>
            <w:top w:w="0" w:type="dxa"/>
            <w:left w:w="108" w:type="dxa"/>
            <w:bottom w:w="0" w:type="dxa"/>
            <w:right w:w="108" w:type="dxa"/>
          </w:tblCellMar>
        </w:tblPrEx>
        <w:trPr>
          <w:trHeight w:val="435" w:hRule="atLeast"/>
          <w:jc w:val="center"/>
        </w:trPr>
        <w:tc>
          <w:tcPr>
            <w:tcW w:w="591"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2190"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政府性基金预算</w:t>
            </w:r>
          </w:p>
        </w:tc>
        <w:tc>
          <w:tcPr>
            <w:tcW w:w="1797"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533" w:type="dxa"/>
            <w:gridSpan w:val="3"/>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政府性基金预算</w:t>
            </w:r>
          </w:p>
        </w:tc>
        <w:tc>
          <w:tcPr>
            <w:tcW w:w="1935"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64" w:hRule="atLeast"/>
          <w:jc w:val="center"/>
        </w:trPr>
        <w:tc>
          <w:tcPr>
            <w:tcW w:w="591"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2190"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国有资本经营预算</w:t>
            </w:r>
          </w:p>
        </w:tc>
        <w:tc>
          <w:tcPr>
            <w:tcW w:w="1797"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533" w:type="dxa"/>
            <w:gridSpan w:val="3"/>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国有资本经营预算</w:t>
            </w:r>
          </w:p>
        </w:tc>
        <w:tc>
          <w:tcPr>
            <w:tcW w:w="1935"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36" w:hRule="atLeast"/>
          <w:jc w:val="center"/>
        </w:trPr>
        <w:tc>
          <w:tcPr>
            <w:tcW w:w="591"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2190"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社会保险基金预算</w:t>
            </w:r>
          </w:p>
        </w:tc>
        <w:tc>
          <w:tcPr>
            <w:tcW w:w="1797"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533" w:type="dxa"/>
            <w:gridSpan w:val="3"/>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社会保险基金预算</w:t>
            </w:r>
          </w:p>
        </w:tc>
        <w:tc>
          <w:tcPr>
            <w:tcW w:w="1935"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35" w:hRule="atLeast"/>
          <w:jc w:val="center"/>
        </w:trPr>
        <w:tc>
          <w:tcPr>
            <w:tcW w:w="591"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2190"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其他资金</w:t>
            </w:r>
          </w:p>
        </w:tc>
        <w:tc>
          <w:tcPr>
            <w:tcW w:w="1797"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533" w:type="dxa"/>
            <w:gridSpan w:val="3"/>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其他资金</w:t>
            </w:r>
          </w:p>
        </w:tc>
        <w:tc>
          <w:tcPr>
            <w:tcW w:w="1935"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7" w:hRule="atLeast"/>
          <w:jc w:val="center"/>
        </w:trPr>
        <w:tc>
          <w:tcPr>
            <w:tcW w:w="591"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目标完成情况</w:t>
            </w:r>
          </w:p>
        </w:tc>
        <w:tc>
          <w:tcPr>
            <w:tcW w:w="3987" w:type="dxa"/>
            <w:gridSpan w:val="4"/>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全年预期目标</w:t>
            </w:r>
          </w:p>
        </w:tc>
        <w:tc>
          <w:tcPr>
            <w:tcW w:w="4468" w:type="dxa"/>
            <w:gridSpan w:val="5"/>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全年实际完成目标</w:t>
            </w:r>
          </w:p>
        </w:tc>
      </w:tr>
      <w:tr>
        <w:tblPrEx>
          <w:tblCellMar>
            <w:top w:w="0" w:type="dxa"/>
            <w:left w:w="108" w:type="dxa"/>
            <w:bottom w:w="0" w:type="dxa"/>
            <w:right w:w="108" w:type="dxa"/>
          </w:tblCellMar>
        </w:tblPrEx>
        <w:trPr>
          <w:trHeight w:val="1274" w:hRule="atLeast"/>
          <w:jc w:val="center"/>
        </w:trPr>
        <w:tc>
          <w:tcPr>
            <w:tcW w:w="591"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3987" w:type="dxa"/>
            <w:gridSpan w:val="4"/>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目标1：合作开展政策研究课题调研，形成政策调研文章，编印成果刊物；</w:t>
            </w:r>
          </w:p>
          <w:p>
            <w:pPr>
              <w:spacing w:line="0" w:lineRule="atLeas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目标2：指导、协调全区调研活动开展；</w:t>
            </w:r>
          </w:p>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目标3：完成省、市下达目标任务及约稿任务；保障日常工作运转。</w:t>
            </w:r>
          </w:p>
        </w:tc>
        <w:tc>
          <w:tcPr>
            <w:tcW w:w="4468" w:type="dxa"/>
            <w:gridSpan w:val="5"/>
            <w:tcBorders>
              <w:top w:val="single" w:color="auto" w:sz="4" w:space="0"/>
              <w:left w:val="nil"/>
              <w:bottom w:val="single" w:color="auto" w:sz="4" w:space="0"/>
              <w:right w:val="single" w:color="auto" w:sz="4" w:space="0"/>
            </w:tcBorders>
            <w:shd w:val="clear" w:color="auto" w:fill="auto"/>
            <w:noWrap w:val="0"/>
            <w:vAlign w:val="center"/>
          </w:tcPr>
          <w:p>
            <w:pPr>
              <w:spacing w:line="0" w:lineRule="atLeast"/>
              <w:ind w:firstLine="180" w:firstLineChars="100"/>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全年共完成了9个课题，协助省市完成了2个课题，在此基础上为区委决策提供参考，采纳有效参考5条。通过项目实施，为区委谋划实施主动融入成渝地区双城经济圈、全民兴商全民经商、“十四五”规划提供了重要参考。                                                                                                          </w:t>
            </w:r>
          </w:p>
        </w:tc>
      </w:tr>
      <w:tr>
        <w:tblPrEx>
          <w:tblCellMar>
            <w:top w:w="0" w:type="dxa"/>
            <w:left w:w="108" w:type="dxa"/>
            <w:bottom w:w="0" w:type="dxa"/>
            <w:right w:w="108" w:type="dxa"/>
          </w:tblCellMar>
        </w:tblPrEx>
        <w:trPr>
          <w:trHeight w:val="854" w:hRule="atLeast"/>
          <w:jc w:val="center"/>
        </w:trPr>
        <w:tc>
          <w:tcPr>
            <w:tcW w:w="591"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年度绩效指标完成情况</w:t>
            </w:r>
          </w:p>
        </w:tc>
        <w:tc>
          <w:tcPr>
            <w:tcW w:w="819"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一级</w:t>
            </w:r>
          </w:p>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1512" w:type="dxa"/>
            <w:gridSpan w:val="2"/>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二级指标</w:t>
            </w:r>
          </w:p>
        </w:tc>
        <w:tc>
          <w:tcPr>
            <w:tcW w:w="1841" w:type="dxa"/>
            <w:gridSpan w:val="2"/>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三级指标</w:t>
            </w:r>
          </w:p>
        </w:tc>
        <w:tc>
          <w:tcPr>
            <w:tcW w:w="1595"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全年预期指标值（包含数字及文字描述）</w:t>
            </w:r>
          </w:p>
        </w:tc>
        <w:tc>
          <w:tcPr>
            <w:tcW w:w="1537" w:type="dxa"/>
            <w:gridSpan w:val="2"/>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全年实际完成指标值（包含数字及文字描述）</w:t>
            </w:r>
          </w:p>
        </w:tc>
        <w:tc>
          <w:tcPr>
            <w:tcW w:w="1151"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未完成原因及改进措施</w:t>
            </w:r>
          </w:p>
        </w:tc>
      </w:tr>
      <w:tr>
        <w:tblPrEx>
          <w:tblCellMar>
            <w:top w:w="0" w:type="dxa"/>
            <w:left w:w="108" w:type="dxa"/>
            <w:bottom w:w="0" w:type="dxa"/>
            <w:right w:w="108" w:type="dxa"/>
          </w:tblCellMar>
        </w:tblPrEx>
        <w:trPr>
          <w:trHeight w:val="450" w:hRule="atLeast"/>
          <w:jc w:val="center"/>
        </w:trPr>
        <w:tc>
          <w:tcPr>
            <w:tcW w:w="591"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819"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产出</w:t>
            </w:r>
          </w:p>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1512" w:type="dxa"/>
            <w:gridSpan w:val="2"/>
            <w:vMerge w:val="restart"/>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数量指标</w:t>
            </w:r>
          </w:p>
        </w:tc>
        <w:tc>
          <w:tcPr>
            <w:tcW w:w="1841" w:type="dxa"/>
            <w:gridSpan w:val="2"/>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完成调研课题数量</w:t>
            </w:r>
          </w:p>
        </w:tc>
        <w:tc>
          <w:tcPr>
            <w:tcW w:w="1595"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8个</w:t>
            </w:r>
          </w:p>
        </w:tc>
        <w:tc>
          <w:tcPr>
            <w:tcW w:w="1537"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9个</w:t>
            </w:r>
          </w:p>
        </w:tc>
        <w:tc>
          <w:tcPr>
            <w:tcW w:w="1151"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36" w:hRule="atLeast"/>
          <w:jc w:val="center"/>
        </w:trPr>
        <w:tc>
          <w:tcPr>
            <w:tcW w:w="591"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1512"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1841" w:type="dxa"/>
            <w:gridSpan w:val="2"/>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编印《调研与决策》</w:t>
            </w:r>
          </w:p>
        </w:tc>
        <w:tc>
          <w:tcPr>
            <w:tcW w:w="1595"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12期、1000册</w:t>
            </w:r>
          </w:p>
        </w:tc>
        <w:tc>
          <w:tcPr>
            <w:tcW w:w="1537"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12期、1130册</w:t>
            </w:r>
          </w:p>
        </w:tc>
        <w:tc>
          <w:tcPr>
            <w:tcW w:w="1151"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90" w:hRule="atLeast"/>
          <w:jc w:val="center"/>
        </w:trPr>
        <w:tc>
          <w:tcPr>
            <w:tcW w:w="591"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1512"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1841" w:type="dxa"/>
            <w:gridSpan w:val="2"/>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协助完成省、市调研课题</w:t>
            </w:r>
          </w:p>
        </w:tc>
        <w:tc>
          <w:tcPr>
            <w:tcW w:w="1595"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根据上级安排部署</w:t>
            </w:r>
          </w:p>
        </w:tc>
        <w:tc>
          <w:tcPr>
            <w:tcW w:w="1537"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1个</w:t>
            </w:r>
          </w:p>
        </w:tc>
        <w:tc>
          <w:tcPr>
            <w:tcW w:w="1151"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757" w:hRule="atLeast"/>
          <w:jc w:val="center"/>
        </w:trPr>
        <w:tc>
          <w:tcPr>
            <w:tcW w:w="591"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1512" w:type="dxa"/>
            <w:gridSpan w:val="2"/>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质量指标</w:t>
            </w:r>
          </w:p>
        </w:tc>
        <w:tc>
          <w:tcPr>
            <w:tcW w:w="1841" w:type="dxa"/>
            <w:gridSpan w:val="2"/>
            <w:tcBorders>
              <w:top w:val="nil"/>
              <w:left w:val="nil"/>
              <w:bottom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为区委决策提供参考，服务区委中心工作。</w:t>
            </w:r>
          </w:p>
        </w:tc>
        <w:tc>
          <w:tcPr>
            <w:tcW w:w="1595"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优</w:t>
            </w:r>
          </w:p>
        </w:tc>
        <w:tc>
          <w:tcPr>
            <w:tcW w:w="1537"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全面完成，全年采纳有效参考5条</w:t>
            </w:r>
          </w:p>
        </w:tc>
        <w:tc>
          <w:tcPr>
            <w:tcW w:w="1151"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63" w:hRule="atLeast"/>
          <w:jc w:val="center"/>
        </w:trPr>
        <w:tc>
          <w:tcPr>
            <w:tcW w:w="591"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1512" w:type="dxa"/>
            <w:gridSpan w:val="2"/>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时效指标</w:t>
            </w:r>
          </w:p>
        </w:tc>
        <w:tc>
          <w:tcPr>
            <w:tcW w:w="1841" w:type="dxa"/>
            <w:gridSpan w:val="2"/>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完成时间</w:t>
            </w:r>
          </w:p>
        </w:tc>
        <w:tc>
          <w:tcPr>
            <w:tcW w:w="1595"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2021年底</w:t>
            </w:r>
          </w:p>
        </w:tc>
        <w:tc>
          <w:tcPr>
            <w:tcW w:w="1537"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全面完成</w:t>
            </w:r>
          </w:p>
        </w:tc>
        <w:tc>
          <w:tcPr>
            <w:tcW w:w="1151"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99" w:hRule="atLeast"/>
          <w:jc w:val="center"/>
        </w:trPr>
        <w:tc>
          <w:tcPr>
            <w:tcW w:w="591"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1512" w:type="dxa"/>
            <w:gridSpan w:val="2"/>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成本指标</w:t>
            </w:r>
          </w:p>
        </w:tc>
        <w:tc>
          <w:tcPr>
            <w:tcW w:w="1841" w:type="dxa"/>
            <w:gridSpan w:val="2"/>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严格控制预算金额</w:t>
            </w:r>
          </w:p>
        </w:tc>
        <w:tc>
          <w:tcPr>
            <w:tcW w:w="1595"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≤15万元</w:t>
            </w:r>
          </w:p>
        </w:tc>
        <w:tc>
          <w:tcPr>
            <w:tcW w:w="1537"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全年完成预算执行15万元</w:t>
            </w:r>
          </w:p>
        </w:tc>
        <w:tc>
          <w:tcPr>
            <w:tcW w:w="1151"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561" w:hRule="atLeast"/>
          <w:jc w:val="center"/>
        </w:trPr>
        <w:tc>
          <w:tcPr>
            <w:tcW w:w="591"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819"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效益</w:t>
            </w:r>
          </w:p>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1512" w:type="dxa"/>
            <w:gridSpan w:val="2"/>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可持续影响指标</w:t>
            </w:r>
          </w:p>
        </w:tc>
        <w:tc>
          <w:tcPr>
            <w:tcW w:w="1841" w:type="dxa"/>
            <w:gridSpan w:val="2"/>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社会影响力</w:t>
            </w:r>
          </w:p>
        </w:tc>
        <w:tc>
          <w:tcPr>
            <w:tcW w:w="1595"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长期可持续</w:t>
            </w:r>
          </w:p>
        </w:tc>
        <w:tc>
          <w:tcPr>
            <w:tcW w:w="1537"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好</w:t>
            </w:r>
          </w:p>
        </w:tc>
        <w:tc>
          <w:tcPr>
            <w:tcW w:w="1151"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547" w:hRule="atLeast"/>
          <w:jc w:val="center"/>
        </w:trPr>
        <w:tc>
          <w:tcPr>
            <w:tcW w:w="591"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819"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满意度指标</w:t>
            </w:r>
          </w:p>
        </w:tc>
        <w:tc>
          <w:tcPr>
            <w:tcW w:w="1512" w:type="dxa"/>
            <w:gridSpan w:val="2"/>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满意度指标</w:t>
            </w:r>
          </w:p>
        </w:tc>
        <w:tc>
          <w:tcPr>
            <w:tcW w:w="1841" w:type="dxa"/>
            <w:gridSpan w:val="2"/>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服务对象满意度</w:t>
            </w:r>
          </w:p>
        </w:tc>
        <w:tc>
          <w:tcPr>
            <w:tcW w:w="1595"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仿宋_GB2312" w:hAnsi="宋体" w:eastAsia="仿宋_GB2312" w:cs="宋体"/>
                <w:color w:val="000000"/>
                <w:kern w:val="0"/>
                <w:sz w:val="18"/>
                <w:szCs w:val="18"/>
              </w:rPr>
              <w:t>&gt;</w:t>
            </w:r>
            <w:r>
              <w:rPr>
                <w:rFonts w:hint="eastAsia" w:ascii="宋体" w:hAnsi="宋体" w:eastAsia="宋体" w:cs="宋体"/>
                <w:color w:val="000000"/>
                <w:kern w:val="0"/>
                <w:sz w:val="18"/>
                <w:szCs w:val="18"/>
              </w:rPr>
              <w:t>90%</w:t>
            </w:r>
          </w:p>
        </w:tc>
        <w:tc>
          <w:tcPr>
            <w:tcW w:w="1537"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92%</w:t>
            </w:r>
          </w:p>
        </w:tc>
        <w:tc>
          <w:tcPr>
            <w:tcW w:w="1151"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pPr>
        <w:pStyle w:val="2"/>
        <w:spacing w:line="576" w:lineRule="exact"/>
        <w:rPr>
          <w:rFonts w:hint="eastAsia" w:ascii="楷体_GB2312" w:eastAsia="楷体_GB2312"/>
          <w:sz w:val="32"/>
          <w:szCs w:val="32"/>
        </w:rPr>
        <w:sectPr>
          <w:headerReference r:id="rId17" w:type="default"/>
          <w:footerReference r:id="rId18" w:type="default"/>
          <w:footerReference r:id="rId19" w:type="even"/>
          <w:pgSz w:w="11905" w:h="16838"/>
          <w:pgMar w:top="2098" w:right="1474" w:bottom="1984" w:left="1587" w:header="851" w:footer="1474" w:gutter="0"/>
          <w:pgNumType w:fmt="decimal"/>
          <w:cols w:space="0" w:num="1"/>
          <w:rtlGutter w:val="0"/>
          <w:docGrid w:type="lines" w:linePitch="319" w:charSpace="0"/>
        </w:sectPr>
      </w:pPr>
    </w:p>
    <w:p>
      <w:pPr>
        <w:spacing w:line="576" w:lineRule="exact"/>
        <w:rPr>
          <w:rFonts w:hint="eastAsia" w:ascii="黑体" w:hAnsi="黑体" w:eastAsia="黑体"/>
          <w:sz w:val="32"/>
          <w:szCs w:val="32"/>
        </w:rPr>
      </w:pPr>
      <w:r>
        <w:rPr>
          <w:rFonts w:hint="eastAsia" w:ascii="黑体" w:hAnsi="黑体" w:eastAsia="黑体"/>
          <w:sz w:val="32"/>
          <w:szCs w:val="32"/>
        </w:rPr>
        <w:t>附件2</w:t>
      </w:r>
    </w:p>
    <w:p>
      <w:pPr>
        <w:pStyle w:val="2"/>
        <w:spacing w:line="576" w:lineRule="exact"/>
        <w:jc w:val="center"/>
        <w:rPr>
          <w:rFonts w:hint="eastAsia" w:ascii="方正小标宋简体" w:hAnsi="宋体" w:eastAsia="方正小标宋简体" w:cs="宋体"/>
          <w:bCs/>
          <w:color w:val="000000"/>
          <w:kern w:val="0"/>
          <w:sz w:val="44"/>
          <w:szCs w:val="44"/>
        </w:rPr>
      </w:pPr>
      <w:r>
        <w:rPr>
          <w:rFonts w:hint="eastAsia" w:ascii="方正小标宋简体" w:hAnsi="宋体" w:eastAsia="方正小标宋简体" w:cs="宋体"/>
          <w:bCs/>
          <w:color w:val="000000"/>
          <w:kern w:val="0"/>
          <w:sz w:val="44"/>
          <w:szCs w:val="44"/>
        </w:rPr>
        <w:t>2021年部门预算项目支出绩效自评评分表</w:t>
      </w:r>
    </w:p>
    <w:p>
      <w:pPr>
        <w:pStyle w:val="2"/>
        <w:spacing w:line="576" w:lineRule="exact"/>
        <w:ind w:firstLine="180" w:firstLineChars="100"/>
        <w:rPr>
          <w:rFonts w:hint="eastAsia" w:ascii="宋体" w:hAnsi="宋体" w:eastAsia="宋体"/>
          <w:szCs w:val="18"/>
        </w:rPr>
      </w:pPr>
      <w:r>
        <w:rPr>
          <w:rFonts w:hint="eastAsia" w:ascii="宋体" w:hAnsi="宋体" w:eastAsia="宋体" w:cs="宋体"/>
          <w:color w:val="000000"/>
          <w:kern w:val="0"/>
          <w:szCs w:val="18"/>
        </w:rPr>
        <w:t>部门（单位）盖章：中共广元市朝天区委办公室                                                                            项目名称：政研工作专项</w:t>
      </w:r>
    </w:p>
    <w:tbl>
      <w:tblPr>
        <w:tblStyle w:val="14"/>
        <w:tblW w:w="14170" w:type="dxa"/>
        <w:jc w:val="center"/>
        <w:tblLayout w:type="fixed"/>
        <w:tblCellMar>
          <w:top w:w="0" w:type="dxa"/>
          <w:left w:w="108" w:type="dxa"/>
          <w:bottom w:w="0" w:type="dxa"/>
          <w:right w:w="108" w:type="dxa"/>
        </w:tblCellMar>
      </w:tblPr>
      <w:tblGrid>
        <w:gridCol w:w="727"/>
        <w:gridCol w:w="691"/>
        <w:gridCol w:w="756"/>
        <w:gridCol w:w="295"/>
        <w:gridCol w:w="5402"/>
        <w:gridCol w:w="686"/>
        <w:gridCol w:w="4952"/>
        <w:gridCol w:w="661"/>
      </w:tblGrid>
      <w:tr>
        <w:tblPrEx>
          <w:tblCellMar>
            <w:top w:w="0" w:type="dxa"/>
            <w:left w:w="108" w:type="dxa"/>
            <w:bottom w:w="0" w:type="dxa"/>
            <w:right w:w="108" w:type="dxa"/>
          </w:tblCellMar>
        </w:tblPrEx>
        <w:trPr>
          <w:trHeight w:val="640" w:hRule="atLeast"/>
          <w:tblHeader/>
          <w:jc w:val="center"/>
        </w:trPr>
        <w:tc>
          <w:tcPr>
            <w:tcW w:w="72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一级指标</w:t>
            </w:r>
          </w:p>
        </w:tc>
        <w:tc>
          <w:tcPr>
            <w:tcW w:w="691"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二级指标</w:t>
            </w:r>
          </w:p>
        </w:tc>
        <w:tc>
          <w:tcPr>
            <w:tcW w:w="756"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hint="eastAsia" w:ascii="黑体" w:hAnsi="黑体" w:eastAsia="黑体" w:cs="宋体"/>
                <w:bCs/>
                <w:color w:val="000000"/>
                <w:kern w:val="0"/>
                <w:sz w:val="18"/>
                <w:szCs w:val="18"/>
              </w:rPr>
            </w:pPr>
            <w:r>
              <w:rPr>
                <w:rFonts w:hint="eastAsia" w:ascii="黑体" w:hAnsi="黑体" w:eastAsia="黑体" w:cs="宋体"/>
                <w:bCs/>
                <w:color w:val="000000"/>
                <w:kern w:val="0"/>
                <w:sz w:val="18"/>
                <w:szCs w:val="18"/>
              </w:rPr>
              <w:t>三级</w:t>
            </w:r>
          </w:p>
          <w:p>
            <w:pPr>
              <w:spacing w:line="0" w:lineRule="atLeast"/>
              <w:jc w:val="center"/>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指标</w:t>
            </w:r>
          </w:p>
        </w:tc>
        <w:tc>
          <w:tcPr>
            <w:tcW w:w="5697"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指标内容</w:t>
            </w:r>
          </w:p>
        </w:tc>
        <w:tc>
          <w:tcPr>
            <w:tcW w:w="686"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参考分值</w:t>
            </w:r>
          </w:p>
        </w:tc>
        <w:tc>
          <w:tcPr>
            <w:tcW w:w="4952"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评分标准</w:t>
            </w:r>
          </w:p>
        </w:tc>
        <w:tc>
          <w:tcPr>
            <w:tcW w:w="661"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自评得分</w:t>
            </w:r>
          </w:p>
        </w:tc>
      </w:tr>
      <w:tr>
        <w:tblPrEx>
          <w:tblCellMar>
            <w:top w:w="0" w:type="dxa"/>
            <w:left w:w="108" w:type="dxa"/>
            <w:bottom w:w="0" w:type="dxa"/>
            <w:right w:w="108" w:type="dxa"/>
          </w:tblCellMar>
        </w:tblPrEx>
        <w:trPr>
          <w:trHeight w:val="90" w:hRule="atLeast"/>
          <w:jc w:val="center"/>
        </w:trPr>
        <w:tc>
          <w:tcPr>
            <w:tcW w:w="727"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决策</w:t>
            </w:r>
          </w:p>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（14分）</w:t>
            </w:r>
          </w:p>
        </w:tc>
        <w:tc>
          <w:tcPr>
            <w:tcW w:w="691"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项目立项</w:t>
            </w:r>
          </w:p>
        </w:tc>
        <w:tc>
          <w:tcPr>
            <w:tcW w:w="75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立项</w:t>
            </w:r>
          </w:p>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依据</w:t>
            </w:r>
          </w:p>
        </w:tc>
        <w:tc>
          <w:tcPr>
            <w:tcW w:w="5697"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用以反映项目立项是否有充分的依据：符合国家法律法规、本地的相关规定；符合部门年度工作计划。</w:t>
            </w:r>
          </w:p>
        </w:tc>
        <w:tc>
          <w:tcPr>
            <w:tcW w:w="68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4952" w:type="dxa"/>
            <w:tcBorders>
              <w:top w:val="nil"/>
              <w:left w:val="nil"/>
              <w:bottom w:val="single" w:color="auto" w:sz="4" w:space="0"/>
              <w:right w:val="single" w:color="auto" w:sz="4" w:space="0"/>
            </w:tcBorders>
            <w:shd w:val="clear" w:color="auto" w:fill="auto"/>
            <w:noWrap w:val="0"/>
            <w:vAlign w:val="center"/>
          </w:tcPr>
          <w:p>
            <w:pPr>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①符合国家相关法律法规、国民经济发展规划和党委政府决策（1分）；</w:t>
            </w:r>
          </w:p>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②符合部门（单位）年度工作计划或项目实施单位职责密切相关（1分）。 </w:t>
            </w:r>
          </w:p>
        </w:tc>
        <w:tc>
          <w:tcPr>
            <w:tcW w:w="661"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r>
      <w:tr>
        <w:tblPrEx>
          <w:tblCellMar>
            <w:top w:w="0" w:type="dxa"/>
            <w:left w:w="108" w:type="dxa"/>
            <w:bottom w:w="0" w:type="dxa"/>
            <w:right w:w="108" w:type="dxa"/>
          </w:tblCellMar>
        </w:tblPrEx>
        <w:trPr>
          <w:trHeight w:val="1114" w:hRule="atLeast"/>
          <w:jc w:val="center"/>
        </w:trPr>
        <w:tc>
          <w:tcPr>
            <w:tcW w:w="727"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691"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75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决策</w:t>
            </w:r>
          </w:p>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程序</w:t>
            </w:r>
          </w:p>
        </w:tc>
        <w:tc>
          <w:tcPr>
            <w:tcW w:w="5697"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用以反映和考核项目立项的规范情况：项目的申请、设立过程是否符合相关要求。</w:t>
            </w:r>
          </w:p>
        </w:tc>
        <w:tc>
          <w:tcPr>
            <w:tcW w:w="68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4952" w:type="dxa"/>
            <w:tcBorders>
              <w:top w:val="nil"/>
              <w:left w:val="nil"/>
              <w:bottom w:val="single" w:color="auto" w:sz="4" w:space="0"/>
              <w:right w:val="single" w:color="auto" w:sz="4" w:space="0"/>
            </w:tcBorders>
            <w:shd w:val="clear" w:color="auto" w:fill="auto"/>
            <w:noWrap w:val="0"/>
            <w:vAlign w:val="center"/>
          </w:tcPr>
          <w:p>
            <w:pPr>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①项目是否按照规定的程序申请设立，审批文件、材料是否符合相关要求（1分）； </w:t>
            </w:r>
          </w:p>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②事前是否已经过必要的可行性研究、专家论证、风险评估、集体决策等（1分）。</w:t>
            </w:r>
          </w:p>
        </w:tc>
        <w:tc>
          <w:tcPr>
            <w:tcW w:w="661"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r>
      <w:tr>
        <w:tblPrEx>
          <w:tblCellMar>
            <w:top w:w="0" w:type="dxa"/>
            <w:left w:w="108" w:type="dxa"/>
            <w:bottom w:w="0" w:type="dxa"/>
            <w:right w:w="108" w:type="dxa"/>
          </w:tblCellMar>
        </w:tblPrEx>
        <w:trPr>
          <w:trHeight w:val="1333" w:hRule="atLeast"/>
          <w:jc w:val="center"/>
        </w:trPr>
        <w:tc>
          <w:tcPr>
            <w:tcW w:w="727"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691"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项目目标</w:t>
            </w:r>
          </w:p>
        </w:tc>
        <w:tc>
          <w:tcPr>
            <w:tcW w:w="75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目标合理性</w:t>
            </w:r>
          </w:p>
        </w:tc>
        <w:tc>
          <w:tcPr>
            <w:tcW w:w="5697"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用以反映和考核项目绩效目标与项目实施的相符情况：项目所设定的绩效目标是否依据充分，是否符合客观实际。</w:t>
            </w:r>
          </w:p>
        </w:tc>
        <w:tc>
          <w:tcPr>
            <w:tcW w:w="68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4952" w:type="dxa"/>
            <w:tcBorders>
              <w:top w:val="nil"/>
              <w:left w:val="nil"/>
              <w:bottom w:val="single" w:color="auto" w:sz="4" w:space="0"/>
              <w:right w:val="single" w:color="auto" w:sz="4" w:space="0"/>
            </w:tcBorders>
            <w:shd w:val="clear" w:color="auto" w:fill="auto"/>
            <w:noWrap w:val="0"/>
            <w:vAlign w:val="center"/>
          </w:tcPr>
          <w:p>
            <w:pPr>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①项目的测算依据充分（1分）；</w:t>
            </w:r>
          </w:p>
          <w:p>
            <w:pPr>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②项目是否有绩效目标，与实际工作内容是否具有相关性（1分）；</w:t>
            </w:r>
          </w:p>
          <w:p>
            <w:pPr>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③项目预期产出效益和效果是否符合正常的业绩水平（1分）；</w:t>
            </w:r>
          </w:p>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④与预算确定的项目投资额或资金量相匹配（1分）。</w:t>
            </w:r>
          </w:p>
        </w:tc>
        <w:tc>
          <w:tcPr>
            <w:tcW w:w="661"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r>
      <w:tr>
        <w:tblPrEx>
          <w:tblCellMar>
            <w:top w:w="0" w:type="dxa"/>
            <w:left w:w="108" w:type="dxa"/>
            <w:bottom w:w="0" w:type="dxa"/>
            <w:right w:w="108" w:type="dxa"/>
          </w:tblCellMar>
        </w:tblPrEx>
        <w:trPr>
          <w:trHeight w:val="1269" w:hRule="atLeast"/>
          <w:jc w:val="center"/>
        </w:trPr>
        <w:tc>
          <w:tcPr>
            <w:tcW w:w="727"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691"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75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指标明确性</w:t>
            </w:r>
          </w:p>
        </w:tc>
        <w:tc>
          <w:tcPr>
            <w:tcW w:w="5697"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用以反映和考核项目绩效目标与项目实施的相符情况：依据绩效目标设定的绩效指标是否清晰、细化、可衡量等。</w:t>
            </w:r>
          </w:p>
        </w:tc>
        <w:tc>
          <w:tcPr>
            <w:tcW w:w="68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4952" w:type="dxa"/>
            <w:tcBorders>
              <w:top w:val="nil"/>
              <w:left w:val="nil"/>
              <w:bottom w:val="single" w:color="auto" w:sz="4" w:space="0"/>
              <w:right w:val="single" w:color="auto" w:sz="4" w:space="0"/>
            </w:tcBorders>
            <w:shd w:val="clear" w:color="auto" w:fill="auto"/>
            <w:noWrap w:val="0"/>
            <w:vAlign w:val="center"/>
          </w:tcPr>
          <w:p>
            <w:pPr>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①是否将绩效目标的绩效指标细化分解（1分）；</w:t>
            </w:r>
          </w:p>
          <w:p>
            <w:pPr>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②分解的绩效指标体现清晰、可衡量的指标值（1分）；</w:t>
            </w:r>
          </w:p>
          <w:p>
            <w:pPr>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③与项目年度任务数或计划数相对应（1分）；</w:t>
            </w:r>
          </w:p>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④与预算确定的项目投资额或资金量相匹配（1分）。</w:t>
            </w:r>
          </w:p>
        </w:tc>
        <w:tc>
          <w:tcPr>
            <w:tcW w:w="661"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r>
      <w:tr>
        <w:tblPrEx>
          <w:tblCellMar>
            <w:top w:w="0" w:type="dxa"/>
            <w:left w:w="108" w:type="dxa"/>
            <w:bottom w:w="0" w:type="dxa"/>
            <w:right w:w="108" w:type="dxa"/>
          </w:tblCellMar>
        </w:tblPrEx>
        <w:trPr>
          <w:trHeight w:val="960" w:hRule="atLeast"/>
          <w:jc w:val="center"/>
        </w:trPr>
        <w:tc>
          <w:tcPr>
            <w:tcW w:w="727"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691"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资金分配</w:t>
            </w:r>
          </w:p>
        </w:tc>
        <w:tc>
          <w:tcPr>
            <w:tcW w:w="75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分配的合理性</w:t>
            </w:r>
          </w:p>
        </w:tc>
        <w:tc>
          <w:tcPr>
            <w:tcW w:w="5697"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项目预算资金分配是否有测算依据，与项目单位或地方实际是否相适应；根据需要制定的相关资金管理办法；管理办法中有明确资金分配办法；资金分配因素全面、合理。</w:t>
            </w:r>
          </w:p>
        </w:tc>
        <w:tc>
          <w:tcPr>
            <w:tcW w:w="68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4952" w:type="dxa"/>
            <w:tcBorders>
              <w:top w:val="nil"/>
              <w:left w:val="nil"/>
              <w:bottom w:val="single" w:color="auto" w:sz="4" w:space="0"/>
              <w:right w:val="single" w:color="auto" w:sz="4" w:space="0"/>
            </w:tcBorders>
            <w:shd w:val="clear" w:color="auto" w:fill="auto"/>
            <w:noWrap w:val="0"/>
            <w:vAlign w:val="center"/>
          </w:tcPr>
          <w:p>
            <w:pPr>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①预算资金分配依据充分（1分）；</w:t>
            </w:r>
          </w:p>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②资金分配额度合理，与项目单位或地方实际相适应 （1分）。  此项需提供相应的资金分配方案。</w:t>
            </w:r>
          </w:p>
        </w:tc>
        <w:tc>
          <w:tcPr>
            <w:tcW w:w="661"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r>
      <w:tr>
        <w:tblPrEx>
          <w:tblCellMar>
            <w:top w:w="0" w:type="dxa"/>
            <w:left w:w="108" w:type="dxa"/>
            <w:bottom w:w="0" w:type="dxa"/>
            <w:right w:w="108" w:type="dxa"/>
          </w:tblCellMar>
        </w:tblPrEx>
        <w:trPr>
          <w:trHeight w:val="976" w:hRule="atLeast"/>
          <w:jc w:val="center"/>
        </w:trPr>
        <w:tc>
          <w:tcPr>
            <w:tcW w:w="727"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管理</w:t>
            </w:r>
          </w:p>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（16分）</w:t>
            </w:r>
          </w:p>
        </w:tc>
        <w:tc>
          <w:tcPr>
            <w:tcW w:w="691"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w:t>
            </w:r>
          </w:p>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管理</w:t>
            </w:r>
          </w:p>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（9分）</w:t>
            </w:r>
          </w:p>
        </w:tc>
        <w:tc>
          <w:tcPr>
            <w:tcW w:w="75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资金到位率</w:t>
            </w:r>
          </w:p>
        </w:tc>
        <w:tc>
          <w:tcPr>
            <w:tcW w:w="5697"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资金到位率=（实际到位资金/计划投入资金）×100%。  实际到位资金：一定时期（本年度或项目期）内落实到具体项目的资金。预算资金：一定时期（本年度或项目期）内预算安排到具体项目的资金。</w:t>
            </w:r>
          </w:p>
        </w:tc>
        <w:tc>
          <w:tcPr>
            <w:tcW w:w="68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952"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根据项目资金的实际到位率计算得分（1分）</w:t>
            </w:r>
          </w:p>
        </w:tc>
        <w:tc>
          <w:tcPr>
            <w:tcW w:w="661"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tblPrEx>
          <w:tblCellMar>
            <w:top w:w="0" w:type="dxa"/>
            <w:left w:w="108" w:type="dxa"/>
            <w:bottom w:w="0" w:type="dxa"/>
            <w:right w:w="108" w:type="dxa"/>
          </w:tblCellMar>
        </w:tblPrEx>
        <w:trPr>
          <w:trHeight w:val="746" w:hRule="atLeast"/>
          <w:jc w:val="center"/>
        </w:trPr>
        <w:tc>
          <w:tcPr>
            <w:tcW w:w="727"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691"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75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预算执行率</w:t>
            </w:r>
          </w:p>
        </w:tc>
        <w:tc>
          <w:tcPr>
            <w:tcW w:w="5697"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用以反映项目预算执行的进度：预算执行率=实际支出数/预算数。   实际支出资金：一定时期（本年度或项目期）内项目实际拨付的资金。</w:t>
            </w:r>
          </w:p>
        </w:tc>
        <w:tc>
          <w:tcPr>
            <w:tcW w:w="68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4952"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根据项目资金的预算执行率计算得分（2分）</w:t>
            </w:r>
          </w:p>
        </w:tc>
        <w:tc>
          <w:tcPr>
            <w:tcW w:w="661"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r>
      <w:tr>
        <w:tblPrEx>
          <w:tblCellMar>
            <w:top w:w="0" w:type="dxa"/>
            <w:left w:w="108" w:type="dxa"/>
            <w:bottom w:w="0" w:type="dxa"/>
            <w:right w:w="108" w:type="dxa"/>
          </w:tblCellMar>
        </w:tblPrEx>
        <w:trPr>
          <w:trHeight w:val="1829" w:hRule="atLeast"/>
          <w:jc w:val="center"/>
        </w:trPr>
        <w:tc>
          <w:tcPr>
            <w:tcW w:w="727"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691"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75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w:t>
            </w:r>
          </w:p>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使用</w:t>
            </w:r>
          </w:p>
        </w:tc>
        <w:tc>
          <w:tcPr>
            <w:tcW w:w="5697"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用以反映和考核项目资金的规范运行情况：项目资金使用是否符合相关的财务管理制度规定。</w:t>
            </w:r>
          </w:p>
        </w:tc>
        <w:tc>
          <w:tcPr>
            <w:tcW w:w="68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4952" w:type="dxa"/>
            <w:tcBorders>
              <w:top w:val="nil"/>
              <w:left w:val="nil"/>
              <w:bottom w:val="single" w:color="auto" w:sz="4" w:space="0"/>
              <w:right w:val="single" w:color="auto" w:sz="4" w:space="0"/>
            </w:tcBorders>
            <w:shd w:val="clear" w:color="auto" w:fill="auto"/>
            <w:noWrap w:val="0"/>
            <w:vAlign w:val="center"/>
          </w:tcPr>
          <w:p>
            <w:pPr>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①符合国家财经法规和财务管理制度以及有关专项资金管理办法的规定（1分）；</w:t>
            </w:r>
          </w:p>
          <w:p>
            <w:pPr>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②资金的拨付审批程序和手续完整（1分）；</w:t>
            </w:r>
          </w:p>
          <w:p>
            <w:pPr>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③符合项目预算批复或合同规定的用途（1分）；</w:t>
            </w:r>
          </w:p>
          <w:p>
            <w:pPr>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④无截留、挤占、挪用、无虚列支出（3分）；</w:t>
            </w:r>
          </w:p>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若评价前已完成项目资金的专项审计，该指标可用审计结论代替。</w:t>
            </w:r>
          </w:p>
        </w:tc>
        <w:tc>
          <w:tcPr>
            <w:tcW w:w="661"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FF0000"/>
                <w:kern w:val="0"/>
                <w:sz w:val="18"/>
                <w:szCs w:val="18"/>
              </w:rPr>
            </w:pPr>
            <w:r>
              <w:rPr>
                <w:rFonts w:hint="eastAsia" w:ascii="宋体" w:hAnsi="宋体" w:eastAsia="宋体" w:cs="宋体"/>
                <w:color w:val="FF0000"/>
                <w:kern w:val="0"/>
                <w:sz w:val="18"/>
                <w:szCs w:val="18"/>
              </w:rPr>
              <w:t>6</w:t>
            </w:r>
          </w:p>
        </w:tc>
      </w:tr>
      <w:tr>
        <w:tblPrEx>
          <w:tblCellMar>
            <w:top w:w="0" w:type="dxa"/>
            <w:left w:w="108" w:type="dxa"/>
            <w:bottom w:w="0" w:type="dxa"/>
            <w:right w:w="108" w:type="dxa"/>
          </w:tblCellMar>
        </w:tblPrEx>
        <w:trPr>
          <w:trHeight w:val="630" w:hRule="atLeast"/>
          <w:jc w:val="center"/>
        </w:trPr>
        <w:tc>
          <w:tcPr>
            <w:tcW w:w="727"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691"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组织</w:t>
            </w:r>
          </w:p>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实施</w:t>
            </w:r>
          </w:p>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（7分）</w:t>
            </w:r>
          </w:p>
        </w:tc>
        <w:tc>
          <w:tcPr>
            <w:tcW w:w="75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制度</w:t>
            </w:r>
          </w:p>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管理</w:t>
            </w:r>
          </w:p>
        </w:tc>
        <w:tc>
          <w:tcPr>
            <w:tcW w:w="5697"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用以反映和考核财务和业务管理制度对项目顺利实施的制度保障情况。</w:t>
            </w:r>
          </w:p>
        </w:tc>
        <w:tc>
          <w:tcPr>
            <w:tcW w:w="68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4952"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①制定或具有相应的财务和业务管理制度（1分）；   ②财务和业务管理制度合法、合规、完整（1分）。</w:t>
            </w:r>
          </w:p>
        </w:tc>
        <w:tc>
          <w:tcPr>
            <w:tcW w:w="661"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tblPrEx>
          <w:tblCellMar>
            <w:top w:w="0" w:type="dxa"/>
            <w:left w:w="108" w:type="dxa"/>
            <w:bottom w:w="0" w:type="dxa"/>
            <w:right w:w="108" w:type="dxa"/>
          </w:tblCellMar>
        </w:tblPrEx>
        <w:trPr>
          <w:trHeight w:val="1367" w:hRule="atLeast"/>
          <w:jc w:val="center"/>
        </w:trPr>
        <w:tc>
          <w:tcPr>
            <w:tcW w:w="727"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691"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75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制度</w:t>
            </w:r>
          </w:p>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执行</w:t>
            </w:r>
          </w:p>
        </w:tc>
        <w:tc>
          <w:tcPr>
            <w:tcW w:w="5697"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用以反映和考核业务管理制度的有效执行和质量控制情况：项目实施是否符合相关业务管理规定，是否为达到项目质量要求而采取了必需的措施。</w:t>
            </w:r>
          </w:p>
        </w:tc>
        <w:tc>
          <w:tcPr>
            <w:tcW w:w="68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4952" w:type="dxa"/>
            <w:tcBorders>
              <w:top w:val="nil"/>
              <w:left w:val="nil"/>
              <w:bottom w:val="single" w:color="auto" w:sz="4" w:space="0"/>
              <w:right w:val="single" w:color="auto" w:sz="4" w:space="0"/>
            </w:tcBorders>
            <w:shd w:val="clear" w:color="auto" w:fill="auto"/>
            <w:noWrap w:val="0"/>
            <w:vAlign w:val="center"/>
          </w:tcPr>
          <w:p>
            <w:pPr>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①按相关法律法规和业务管理规定执行（1分）；</w:t>
            </w:r>
          </w:p>
          <w:p>
            <w:pPr>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②项目调整及支出调整手续完备（1分）；</w:t>
            </w:r>
          </w:p>
          <w:p>
            <w:pPr>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③项目合同书、验收报告、技术鉴定等资料规范、齐全（2分）；</w:t>
            </w:r>
          </w:p>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④项目实施的人员条件、场地设备等是否落实到位（1分）。</w:t>
            </w:r>
          </w:p>
        </w:tc>
        <w:tc>
          <w:tcPr>
            <w:tcW w:w="661"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r>
      <w:tr>
        <w:tblPrEx>
          <w:tblCellMar>
            <w:top w:w="0" w:type="dxa"/>
            <w:left w:w="108" w:type="dxa"/>
            <w:bottom w:w="0" w:type="dxa"/>
            <w:right w:w="108" w:type="dxa"/>
          </w:tblCellMar>
        </w:tblPrEx>
        <w:trPr>
          <w:trHeight w:val="1129" w:hRule="atLeast"/>
          <w:jc w:val="center"/>
        </w:trPr>
        <w:tc>
          <w:tcPr>
            <w:tcW w:w="727" w:type="dxa"/>
            <w:vMerge w:val="restart"/>
            <w:tcBorders>
              <w:top w:val="nil"/>
              <w:left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w:t>
            </w:r>
          </w:p>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（特性</w:t>
            </w:r>
          </w:p>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指标）（70）</w:t>
            </w:r>
          </w:p>
        </w:tc>
        <w:tc>
          <w:tcPr>
            <w:tcW w:w="691" w:type="dxa"/>
            <w:vMerge w:val="restart"/>
            <w:tcBorders>
              <w:top w:val="nil"/>
              <w:left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产出</w:t>
            </w:r>
          </w:p>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（35分）</w:t>
            </w:r>
          </w:p>
        </w:tc>
        <w:tc>
          <w:tcPr>
            <w:tcW w:w="75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实际完成率</w:t>
            </w:r>
          </w:p>
        </w:tc>
        <w:tc>
          <w:tcPr>
            <w:tcW w:w="5697"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实际完成率=（实际产出数/计划产出数）×100%。实际产出数：一定时期（本年度或项目期）内项目实际产出的产品或提供的服务数量。    计划产出数：项目绩效目标确定的在一定时期（本年度或项目期）内计划产出的产品或提供的服务数量。</w:t>
            </w:r>
          </w:p>
        </w:tc>
        <w:tc>
          <w:tcPr>
            <w:tcW w:w="68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4952"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完成绩效目标100%得9分，未完成100%的同比例扣减。</w:t>
            </w:r>
          </w:p>
        </w:tc>
        <w:tc>
          <w:tcPr>
            <w:tcW w:w="661"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r>
      <w:tr>
        <w:tblPrEx>
          <w:tblCellMar>
            <w:top w:w="0" w:type="dxa"/>
            <w:left w:w="108" w:type="dxa"/>
            <w:bottom w:w="0" w:type="dxa"/>
            <w:right w:w="108" w:type="dxa"/>
          </w:tblCellMar>
        </w:tblPrEx>
        <w:trPr>
          <w:trHeight w:val="1270" w:hRule="atLeast"/>
          <w:jc w:val="center"/>
        </w:trPr>
        <w:tc>
          <w:tcPr>
            <w:tcW w:w="727" w:type="dxa"/>
            <w:vMerge w:val="continue"/>
            <w:tcBorders>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691" w:type="dxa"/>
            <w:vMerge w:val="continue"/>
            <w:tcBorders>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75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质量达标率</w:t>
            </w:r>
          </w:p>
        </w:tc>
        <w:tc>
          <w:tcPr>
            <w:tcW w:w="5697"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质量达标率=（质量达标产出数量/计划完成产出数量）×100%。质量达标产出数：一定时期（本年度或项目期）内实际达到既定质量标准的产品或服务数量。既定质量标准是指项目实施单位设立绩效目标时依据计划标准、行业标准、历史标准或其他标准而设定的绩效指标值。  </w:t>
            </w:r>
          </w:p>
        </w:tc>
        <w:tc>
          <w:tcPr>
            <w:tcW w:w="68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4952"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产出质量达到绩效目标100%得9分，未完成100%的同比例扣减。</w:t>
            </w:r>
          </w:p>
        </w:tc>
        <w:tc>
          <w:tcPr>
            <w:tcW w:w="661"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r>
      <w:tr>
        <w:tblPrEx>
          <w:tblCellMar>
            <w:top w:w="0" w:type="dxa"/>
            <w:left w:w="108" w:type="dxa"/>
            <w:bottom w:w="0" w:type="dxa"/>
            <w:right w:w="108" w:type="dxa"/>
          </w:tblCellMar>
        </w:tblPrEx>
        <w:trPr>
          <w:trHeight w:val="1312" w:hRule="atLeast"/>
          <w:jc w:val="center"/>
        </w:trPr>
        <w:tc>
          <w:tcPr>
            <w:tcW w:w="727" w:type="dxa"/>
            <w:vMerge w:val="restart"/>
            <w:tcBorders>
              <w:top w:val="nil"/>
              <w:left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w:t>
            </w:r>
          </w:p>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（特性</w:t>
            </w:r>
          </w:p>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指标）（70）</w:t>
            </w:r>
          </w:p>
        </w:tc>
        <w:tc>
          <w:tcPr>
            <w:tcW w:w="691" w:type="dxa"/>
            <w:vMerge w:val="restart"/>
            <w:tcBorders>
              <w:top w:val="nil"/>
              <w:left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产出</w:t>
            </w:r>
          </w:p>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（35分）</w:t>
            </w:r>
          </w:p>
        </w:tc>
        <w:tc>
          <w:tcPr>
            <w:tcW w:w="75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完成及时性</w:t>
            </w:r>
          </w:p>
        </w:tc>
        <w:tc>
          <w:tcPr>
            <w:tcW w:w="5697"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完成及时率=计划时限内实际完成的项目数量/计划时限内应完成的项目数量×100%。</w:t>
            </w:r>
          </w:p>
          <w:p>
            <w:pPr>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实际完成时间：项目实施单位完成该项目实际所耗用的时间。</w:t>
            </w:r>
          </w:p>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计划完成时间：按照项目实施计划或相关规定完成该项目所需的时间。</w:t>
            </w:r>
          </w:p>
        </w:tc>
        <w:tc>
          <w:tcPr>
            <w:tcW w:w="68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4952"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产出时效达到绩效目标得8分，未完成且无充分理由的扣3分。</w:t>
            </w:r>
          </w:p>
        </w:tc>
        <w:tc>
          <w:tcPr>
            <w:tcW w:w="661"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r>
      <w:tr>
        <w:tblPrEx>
          <w:tblCellMar>
            <w:top w:w="0" w:type="dxa"/>
            <w:left w:w="108" w:type="dxa"/>
            <w:bottom w:w="0" w:type="dxa"/>
            <w:right w:w="108" w:type="dxa"/>
          </w:tblCellMar>
        </w:tblPrEx>
        <w:trPr>
          <w:trHeight w:val="1422" w:hRule="atLeast"/>
          <w:jc w:val="center"/>
        </w:trPr>
        <w:tc>
          <w:tcPr>
            <w:tcW w:w="727" w:type="dxa"/>
            <w:vMerge w:val="continue"/>
            <w:tcBorders>
              <w:left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691" w:type="dxa"/>
            <w:vMerge w:val="continue"/>
            <w:tcBorders>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75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完成成本（成本节约率）</w:t>
            </w:r>
          </w:p>
        </w:tc>
        <w:tc>
          <w:tcPr>
            <w:tcW w:w="5697"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成本节约率=[（计划成本-实际成本）/计划成本]×100%。</w:t>
            </w:r>
          </w:p>
          <w:p>
            <w:pPr>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实际成本：项目实施单位如期、保质、保量完成既定工作目标实际所耗费的支出。</w:t>
            </w:r>
          </w:p>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计划成本：项目实施单位为完成工作目标计划安排的支出，一般以项目预算为参考。</w:t>
            </w:r>
          </w:p>
        </w:tc>
        <w:tc>
          <w:tcPr>
            <w:tcW w:w="68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4952"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产出成本按绩效目标控制得9分，未完成的，按超支比例扣减。</w:t>
            </w:r>
          </w:p>
        </w:tc>
        <w:tc>
          <w:tcPr>
            <w:tcW w:w="661"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r>
      <w:tr>
        <w:tblPrEx>
          <w:tblCellMar>
            <w:top w:w="0" w:type="dxa"/>
            <w:left w:w="108" w:type="dxa"/>
            <w:bottom w:w="0" w:type="dxa"/>
            <w:right w:w="108" w:type="dxa"/>
          </w:tblCellMar>
        </w:tblPrEx>
        <w:trPr>
          <w:trHeight w:val="990" w:hRule="atLeast"/>
          <w:jc w:val="center"/>
        </w:trPr>
        <w:tc>
          <w:tcPr>
            <w:tcW w:w="727" w:type="dxa"/>
            <w:vMerge w:val="continue"/>
            <w:tcBorders>
              <w:left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691" w:type="dxa"/>
            <w:tcBorders>
              <w:top w:val="nil"/>
              <w:left w:val="nil"/>
              <w:bottom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效益</w:t>
            </w:r>
          </w:p>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（30分）</w:t>
            </w:r>
          </w:p>
        </w:tc>
        <w:tc>
          <w:tcPr>
            <w:tcW w:w="756" w:type="dxa"/>
            <w:tcBorders>
              <w:top w:val="nil"/>
              <w:left w:val="nil"/>
              <w:bottom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可持续</w:t>
            </w:r>
          </w:p>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效益（可选项）</w:t>
            </w:r>
          </w:p>
        </w:tc>
        <w:tc>
          <w:tcPr>
            <w:tcW w:w="5697"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反映相关产出带来影响的可持续期限，根据项目实际细化具体指标。</w:t>
            </w:r>
          </w:p>
        </w:tc>
        <w:tc>
          <w:tcPr>
            <w:tcW w:w="68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c>
          <w:tcPr>
            <w:tcW w:w="4952"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完成绩效设定目标的得7分，未完成的，按完成情况酌情扣分。</w:t>
            </w:r>
          </w:p>
        </w:tc>
        <w:tc>
          <w:tcPr>
            <w:tcW w:w="661"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r>
      <w:tr>
        <w:tblPrEx>
          <w:tblCellMar>
            <w:top w:w="0" w:type="dxa"/>
            <w:left w:w="108" w:type="dxa"/>
            <w:bottom w:w="0" w:type="dxa"/>
            <w:right w:w="108" w:type="dxa"/>
          </w:tblCellMar>
        </w:tblPrEx>
        <w:trPr>
          <w:trHeight w:val="976" w:hRule="atLeast"/>
          <w:jc w:val="center"/>
        </w:trPr>
        <w:tc>
          <w:tcPr>
            <w:tcW w:w="727" w:type="dxa"/>
            <w:vMerge w:val="continue"/>
            <w:tcBorders>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691" w:type="dxa"/>
            <w:tcBorders>
              <w:top w:val="nil"/>
              <w:left w:val="nil"/>
              <w:bottom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满意度    （5分）</w:t>
            </w:r>
          </w:p>
        </w:tc>
        <w:tc>
          <w:tcPr>
            <w:tcW w:w="756" w:type="dxa"/>
            <w:tcBorders>
              <w:top w:val="nil"/>
              <w:left w:val="nil"/>
              <w:bottom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服务对象满意度</w:t>
            </w:r>
          </w:p>
        </w:tc>
        <w:tc>
          <w:tcPr>
            <w:tcW w:w="5697"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满意率反映服务对象或项目受益人对相关产出及其影响的认可程度，根据项目实际细化具体指标。重点考核满意率等指标。</w:t>
            </w:r>
          </w:p>
        </w:tc>
        <w:tc>
          <w:tcPr>
            <w:tcW w:w="68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4952"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满意率达90%（含）以上的得5分；80%（含）-89%得4分；70%（含）-79%得3分；60%（含）-69%得2分；60%以下不得分。</w:t>
            </w:r>
          </w:p>
        </w:tc>
        <w:tc>
          <w:tcPr>
            <w:tcW w:w="661"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r>
      <w:tr>
        <w:tblPrEx>
          <w:tblCellMar>
            <w:top w:w="0" w:type="dxa"/>
            <w:left w:w="108" w:type="dxa"/>
            <w:bottom w:w="0" w:type="dxa"/>
            <w:right w:w="108" w:type="dxa"/>
          </w:tblCellMar>
        </w:tblPrEx>
        <w:trPr>
          <w:trHeight w:val="571" w:hRule="atLeast"/>
          <w:jc w:val="center"/>
        </w:trPr>
        <w:tc>
          <w:tcPr>
            <w:tcW w:w="7871"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分值</w:t>
            </w:r>
          </w:p>
        </w:tc>
        <w:tc>
          <w:tcPr>
            <w:tcW w:w="68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100</w:t>
            </w:r>
          </w:p>
        </w:tc>
        <w:tc>
          <w:tcPr>
            <w:tcW w:w="4952"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自评得分</w:t>
            </w:r>
          </w:p>
        </w:tc>
        <w:tc>
          <w:tcPr>
            <w:tcW w:w="661"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92</w:t>
            </w:r>
          </w:p>
        </w:tc>
      </w:tr>
      <w:tr>
        <w:tblPrEx>
          <w:tblCellMar>
            <w:top w:w="0" w:type="dxa"/>
            <w:left w:w="108" w:type="dxa"/>
            <w:bottom w:w="0" w:type="dxa"/>
            <w:right w:w="108" w:type="dxa"/>
          </w:tblCellMar>
        </w:tblPrEx>
        <w:trPr>
          <w:trHeight w:val="540" w:hRule="atLeast"/>
          <w:jc w:val="center"/>
        </w:trPr>
        <w:tc>
          <w:tcPr>
            <w:tcW w:w="2469"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0" w:lineRule="atLeast"/>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自评等级</w:t>
            </w:r>
          </w:p>
        </w:tc>
        <w:tc>
          <w:tcPr>
            <w:tcW w:w="11701" w:type="dxa"/>
            <w:gridSpan w:val="4"/>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自评结果：■优秀（90≤得分≤100）；   □良好（80≤得分＜89）；   □及格（60≤得分＜79）；   □不及格（低于60分）</w:t>
            </w:r>
          </w:p>
        </w:tc>
      </w:tr>
    </w:tbl>
    <w:p>
      <w:pPr>
        <w:pStyle w:val="6"/>
        <w:spacing w:before="93"/>
        <w:rPr>
          <w:rFonts w:hAnsi="宋体" w:cs="宋体"/>
          <w:sz w:val="32"/>
          <w:szCs w:val="32"/>
          <w:shd w:val="clear" w:color="auto" w:fill="FFFFFF"/>
          <w:lang w:val="zh-CN"/>
        </w:rPr>
        <w:sectPr>
          <w:pgSz w:w="16838" w:h="11905" w:orient="landscape"/>
          <w:pgMar w:top="1587" w:right="2098" w:bottom="1474" w:left="1984" w:header="851" w:footer="1474" w:gutter="0"/>
          <w:pgNumType w:fmt="decimal"/>
          <w:cols w:space="0" w:num="1"/>
          <w:rtlGutter w:val="0"/>
          <w:docGrid w:type="lines" w:linePitch="327" w:charSpace="0"/>
        </w:sectPr>
      </w:pPr>
    </w:p>
    <w:p>
      <w:pPr>
        <w:autoSpaceDE w:val="0"/>
        <w:spacing w:line="576" w:lineRule="exact"/>
        <w:jc w:val="center"/>
        <w:rPr>
          <w:rFonts w:hint="eastAsia" w:ascii="方正小标宋简体" w:hAnsi="??" w:eastAsia="方正小标宋简体"/>
          <w:color w:val="000000"/>
          <w:kern w:val="0"/>
          <w:sz w:val="44"/>
          <w:szCs w:val="44"/>
        </w:rPr>
      </w:pPr>
      <w:r>
        <w:rPr>
          <w:rFonts w:hint="eastAsia" w:ascii="方正小标宋简体" w:hAnsi="??" w:eastAsia="方正小标宋简体"/>
          <w:color w:val="000000"/>
          <w:kern w:val="0"/>
          <w:sz w:val="44"/>
          <w:szCs w:val="44"/>
        </w:rPr>
        <w:t>中共广元市朝天区委办公室</w:t>
      </w:r>
    </w:p>
    <w:p>
      <w:pPr>
        <w:autoSpaceDE w:val="0"/>
        <w:spacing w:line="576" w:lineRule="exact"/>
        <w:jc w:val="center"/>
        <w:rPr>
          <w:rFonts w:hint="eastAsia" w:ascii="方正小标宋简体" w:hAnsi="??" w:eastAsia="方正小标宋简体"/>
          <w:color w:val="000000"/>
          <w:kern w:val="0"/>
          <w:sz w:val="44"/>
          <w:szCs w:val="44"/>
        </w:rPr>
      </w:pPr>
      <w:r>
        <w:rPr>
          <w:rFonts w:hint="eastAsia" w:ascii="方正小标宋简体" w:hAnsi="??" w:eastAsia="方正小标宋简体"/>
          <w:color w:val="000000"/>
          <w:kern w:val="0"/>
          <w:sz w:val="44"/>
          <w:szCs w:val="44"/>
        </w:rPr>
        <w:t>2021年度部门预算项目支出绩效自评报告</w:t>
      </w:r>
    </w:p>
    <w:p>
      <w:pPr>
        <w:autoSpaceDE w:val="0"/>
        <w:spacing w:line="576" w:lineRule="exact"/>
        <w:jc w:val="center"/>
        <w:rPr>
          <w:rFonts w:hint="eastAsia" w:ascii="楷体_GB2312" w:hAnsi="黑体" w:eastAsia="楷体_GB2312"/>
          <w:sz w:val="32"/>
          <w:szCs w:val="32"/>
        </w:rPr>
      </w:pPr>
      <w:r>
        <w:rPr>
          <w:rFonts w:hint="eastAsia" w:ascii="楷体_GB2312" w:hAnsi="??" w:eastAsia="楷体_GB2312"/>
          <w:sz w:val="32"/>
          <w:szCs w:val="32"/>
        </w:rPr>
        <w:t>（对外宣传专项项目）</w:t>
      </w:r>
    </w:p>
    <w:p>
      <w:pPr>
        <w:autoSpaceDE w:val="0"/>
        <w:spacing w:line="576" w:lineRule="exact"/>
        <w:ind w:firstLine="640" w:firstLineChars="200"/>
        <w:rPr>
          <w:rFonts w:ascii="黑体" w:hAnsi="黑体" w:eastAsia="黑体"/>
          <w:sz w:val="32"/>
          <w:szCs w:val="32"/>
        </w:rPr>
      </w:pPr>
    </w:p>
    <w:p>
      <w:pPr>
        <w:autoSpaceDE w:val="0"/>
        <w:spacing w:line="576" w:lineRule="exact"/>
        <w:ind w:firstLine="640" w:firstLineChars="200"/>
        <w:rPr>
          <w:rFonts w:ascii="黑体" w:hAnsi="黑体" w:eastAsia="黑体"/>
          <w:sz w:val="32"/>
          <w:szCs w:val="32"/>
        </w:rPr>
      </w:pPr>
      <w:r>
        <w:rPr>
          <w:rFonts w:hint="eastAsia" w:ascii="黑体" w:hAnsi="黑体" w:eastAsia="黑体"/>
          <w:sz w:val="32"/>
          <w:szCs w:val="32"/>
        </w:rPr>
        <w:t>一、项目概况</w:t>
      </w:r>
    </w:p>
    <w:p>
      <w:pPr>
        <w:autoSpaceDE w:val="0"/>
        <w:spacing w:line="576" w:lineRule="exact"/>
        <w:ind w:firstLine="640" w:firstLineChars="200"/>
        <w:rPr>
          <w:rFonts w:ascii="仿宋_GB2312" w:hAnsi="??" w:eastAsia="仿宋_GB2312"/>
          <w:sz w:val="32"/>
          <w:szCs w:val="32"/>
        </w:rPr>
      </w:pPr>
      <w:r>
        <w:rPr>
          <w:rFonts w:hint="eastAsia" w:ascii="仿宋_GB2312" w:hAnsi="??" w:eastAsia="仿宋_GB2312"/>
          <w:sz w:val="32"/>
          <w:szCs w:val="32"/>
        </w:rPr>
        <w:t>对外宣传专项项目为我单位常年延续性项目。为围绕“四个服务”，抓好信息和突发事件新的收集、整理、编报、下发工作，围绕党委中心工作，积极开展信息调研，为领导决策提供高层次信息，加大对外宣传力度，形成省市区可复制可推广的经验，建设朝天党委信息主阵地而设立该项目。</w:t>
      </w:r>
    </w:p>
    <w:p>
      <w:pPr>
        <w:autoSpaceDE w:val="0"/>
        <w:spacing w:line="576" w:lineRule="exact"/>
        <w:ind w:firstLine="640" w:firstLineChars="200"/>
        <w:rPr>
          <w:rFonts w:ascii="仿宋_GB2312" w:hAnsi="Times New Roman" w:eastAsia="仿宋_GB2312"/>
          <w:sz w:val="32"/>
          <w:szCs w:val="32"/>
        </w:rPr>
      </w:pPr>
      <w:r>
        <w:rPr>
          <w:rFonts w:hint="eastAsia" w:ascii="楷体_GB2312" w:hAnsi="Times New Roman" w:eastAsia="楷体_GB2312"/>
          <w:bCs/>
          <w:sz w:val="32"/>
          <w:szCs w:val="32"/>
        </w:rPr>
        <w:t>（一）项目资金申报及批复情况。</w:t>
      </w:r>
      <w:r>
        <w:rPr>
          <w:rFonts w:hint="eastAsia" w:ascii="仿宋_GB2312" w:hAnsi="Times New Roman" w:eastAsia="仿宋_GB2312"/>
          <w:sz w:val="32"/>
          <w:szCs w:val="32"/>
        </w:rPr>
        <w:t>该项目年初通过预算项目申报，实际批复预算金额</w:t>
      </w:r>
      <w:r>
        <w:rPr>
          <w:rFonts w:ascii="仿宋_GB2312" w:hAnsi="Times New Roman" w:eastAsia="仿宋_GB2312"/>
          <w:sz w:val="32"/>
          <w:szCs w:val="32"/>
        </w:rPr>
        <w:t>30</w:t>
      </w:r>
      <w:r>
        <w:rPr>
          <w:rFonts w:hint="eastAsia" w:ascii="仿宋_GB2312" w:hAnsi="Times New Roman" w:eastAsia="仿宋_GB2312"/>
          <w:sz w:val="32"/>
          <w:szCs w:val="32"/>
        </w:rPr>
        <w:t>万元，其中一般公共预算金额</w:t>
      </w:r>
      <w:r>
        <w:rPr>
          <w:rFonts w:ascii="仿宋_GB2312" w:hAnsi="Times New Roman" w:eastAsia="仿宋_GB2312"/>
          <w:sz w:val="32"/>
          <w:szCs w:val="32"/>
        </w:rPr>
        <w:t>30</w:t>
      </w:r>
      <w:r>
        <w:rPr>
          <w:rFonts w:hint="eastAsia" w:ascii="仿宋_GB2312" w:hAnsi="Times New Roman" w:eastAsia="仿宋_GB2312"/>
          <w:sz w:val="32"/>
          <w:szCs w:val="32"/>
        </w:rPr>
        <w:t>万元。预算年度内未进行预算调整，符合预算内资金管理办法等相关规定。</w:t>
      </w:r>
    </w:p>
    <w:p>
      <w:pPr>
        <w:autoSpaceDE w:val="0"/>
        <w:spacing w:line="576" w:lineRule="exact"/>
        <w:ind w:firstLine="640" w:firstLineChars="200"/>
        <w:rPr>
          <w:rFonts w:ascii="仿宋_GB2312" w:hAnsi="Times New Roman" w:eastAsia="仿宋_GB2312"/>
          <w:sz w:val="32"/>
          <w:szCs w:val="32"/>
        </w:rPr>
      </w:pPr>
      <w:r>
        <w:rPr>
          <w:rFonts w:hint="eastAsia" w:ascii="楷体_GB2312" w:hAnsi="Times New Roman" w:eastAsia="楷体_GB2312"/>
          <w:bCs/>
          <w:sz w:val="32"/>
          <w:szCs w:val="32"/>
        </w:rPr>
        <w:t>（二）项目绩效目标。</w:t>
      </w:r>
      <w:r>
        <w:rPr>
          <w:rFonts w:hint="eastAsia" w:ascii="仿宋_GB2312" w:hAnsi="仿宋_GB2312" w:eastAsia="仿宋_GB2312" w:cs="仿宋_GB2312"/>
          <w:bCs/>
          <w:sz w:val="32"/>
          <w:szCs w:val="32"/>
        </w:rPr>
        <w:t>年初预算申报时，我单位根据党委信息中心工作职责和年度工作计划对项目绩效目标</w:t>
      </w:r>
      <w:r>
        <w:rPr>
          <w:rFonts w:hint="eastAsia" w:ascii="仿宋_GB2312" w:hAnsi="??" w:eastAsia="仿宋_GB2312"/>
          <w:sz w:val="32"/>
          <w:szCs w:val="32"/>
        </w:rPr>
        <w:t>从数量指标、质量指标、时效指标、成本指标、效益指标、可持续影响指标、满意度指标</w:t>
      </w:r>
      <w:r>
        <w:rPr>
          <w:rFonts w:ascii="仿宋_GB2312" w:hAnsi="??" w:eastAsia="仿宋_GB2312"/>
          <w:sz w:val="32"/>
          <w:szCs w:val="32"/>
        </w:rPr>
        <w:t>7</w:t>
      </w:r>
      <w:r>
        <w:rPr>
          <w:rFonts w:hint="eastAsia" w:ascii="仿宋_GB2312" w:hAnsi="??" w:eastAsia="仿宋_GB2312"/>
          <w:sz w:val="32"/>
          <w:szCs w:val="32"/>
        </w:rPr>
        <w:t>个方面</w:t>
      </w:r>
      <w:r>
        <w:rPr>
          <w:rFonts w:hint="eastAsia" w:ascii="仿宋_GB2312" w:hAnsi="仿宋_GB2312" w:eastAsia="仿宋_GB2312" w:cs="仿宋_GB2312"/>
          <w:bCs/>
          <w:sz w:val="32"/>
          <w:szCs w:val="32"/>
        </w:rPr>
        <w:t>进行了相应设定，预计全年制作主题鲜明对外宣传片</w:t>
      </w:r>
      <w:r>
        <w:rPr>
          <w:rFonts w:ascii="仿宋_GB2312" w:hAnsi="仿宋_GB2312" w:eastAsia="仿宋_GB2312" w:cs="仿宋_GB2312"/>
          <w:bCs/>
          <w:sz w:val="32"/>
          <w:szCs w:val="32"/>
        </w:rPr>
        <w:t>4</w:t>
      </w:r>
      <w:r>
        <w:rPr>
          <w:rFonts w:hint="eastAsia" w:ascii="仿宋_GB2312" w:hAnsi="仿宋_GB2312" w:eastAsia="仿宋_GB2312" w:cs="仿宋_GB2312"/>
          <w:bCs/>
          <w:sz w:val="32"/>
          <w:szCs w:val="32"/>
        </w:rPr>
        <w:t>个，编发各类信息</w:t>
      </w:r>
      <w:r>
        <w:rPr>
          <w:rFonts w:ascii="仿宋_GB2312" w:hAnsi="仿宋_GB2312" w:eastAsia="仿宋_GB2312" w:cs="仿宋_GB2312"/>
          <w:bCs/>
          <w:sz w:val="32"/>
          <w:szCs w:val="32"/>
        </w:rPr>
        <w:t>400</w:t>
      </w:r>
      <w:r>
        <w:rPr>
          <w:rFonts w:hint="eastAsia" w:ascii="仿宋_GB2312" w:hAnsi="仿宋_GB2312" w:eastAsia="仿宋_GB2312" w:cs="仿宋_GB2312"/>
          <w:bCs/>
          <w:sz w:val="32"/>
          <w:szCs w:val="32"/>
        </w:rPr>
        <w:t>余条，</w:t>
      </w:r>
      <w:r>
        <w:rPr>
          <w:rFonts w:hint="eastAsia" w:ascii="仿宋_GB2312" w:hAnsi="??" w:eastAsia="仿宋_GB2312"/>
          <w:sz w:val="32"/>
          <w:szCs w:val="32"/>
        </w:rPr>
        <w:t>并将其作为组织项目预算执行、开展绩效监控、绩效自评和绩效评价的重要依据。</w:t>
      </w:r>
    </w:p>
    <w:p>
      <w:pPr>
        <w:autoSpaceDE w:val="0"/>
        <w:spacing w:line="576" w:lineRule="exact"/>
        <w:ind w:firstLine="640" w:firstLineChars="200"/>
        <w:rPr>
          <w:rFonts w:ascii="仿宋_GB2312" w:hAnsi="Times New Roman" w:eastAsia="仿宋_GB2312"/>
          <w:sz w:val="32"/>
          <w:szCs w:val="32"/>
        </w:rPr>
      </w:pPr>
      <w:r>
        <w:rPr>
          <w:rFonts w:hint="eastAsia" w:ascii="楷体_GB2312" w:hAnsi="Times New Roman" w:eastAsia="楷体_GB2312"/>
          <w:bCs/>
          <w:sz w:val="32"/>
          <w:szCs w:val="32"/>
        </w:rPr>
        <w:t>（三）项目资金申报相符性。</w:t>
      </w:r>
      <w:r>
        <w:rPr>
          <w:rFonts w:hint="eastAsia" w:ascii="仿宋_GB2312" w:hAnsi="Times New Roman" w:eastAsia="仿宋_GB2312"/>
          <w:sz w:val="32"/>
          <w:szCs w:val="32"/>
        </w:rPr>
        <w:t>通过项目实施，全年保障了</w:t>
      </w:r>
      <w:r>
        <w:rPr>
          <w:rFonts w:hint="eastAsia" w:ascii="仿宋_GB2312" w:eastAsia="仿宋_GB2312"/>
          <w:sz w:val="32"/>
          <w:szCs w:val="32"/>
          <w:lang w:eastAsia="zh-CN"/>
        </w:rPr>
        <w:t>区委</w:t>
      </w:r>
      <w:r>
        <w:rPr>
          <w:rFonts w:hint="eastAsia" w:ascii="仿宋_GB2312" w:hAnsi="Times New Roman" w:eastAsia="仿宋_GB2312"/>
          <w:sz w:val="32"/>
          <w:szCs w:val="32"/>
        </w:rPr>
        <w:t>信息中心正常工作的开展，有力推动全区</w:t>
      </w:r>
      <w:r>
        <w:rPr>
          <w:rFonts w:ascii="仿宋_GB2312" w:hAnsi="Times New Roman" w:eastAsia="仿宋_GB2312"/>
          <w:sz w:val="32"/>
          <w:szCs w:val="32"/>
        </w:rPr>
        <w:t>75</w:t>
      </w:r>
      <w:r>
        <w:rPr>
          <w:rFonts w:hint="eastAsia" w:ascii="仿宋_GB2312" w:hAnsi="Times New Roman" w:eastAsia="仿宋_GB2312"/>
          <w:sz w:val="32"/>
          <w:szCs w:val="32"/>
        </w:rPr>
        <w:t>个党委信息考核单位以问题建议、经验总结、紧急应急</w:t>
      </w:r>
      <w:r>
        <w:rPr>
          <w:rFonts w:ascii="仿宋_GB2312" w:hAnsi="Times New Roman" w:eastAsia="仿宋_GB2312"/>
          <w:sz w:val="32"/>
          <w:szCs w:val="32"/>
        </w:rPr>
        <w:t>3</w:t>
      </w:r>
      <w:r>
        <w:rPr>
          <w:rFonts w:hint="eastAsia" w:ascii="仿宋_GB2312" w:hAnsi="Times New Roman" w:eastAsia="仿宋_GB2312"/>
          <w:sz w:val="32"/>
          <w:szCs w:val="32"/>
        </w:rPr>
        <w:t>类信息报送推动全局工作，</w:t>
      </w:r>
      <w:r>
        <w:rPr>
          <w:rFonts w:hint="eastAsia" w:ascii="仿宋_GB2312" w:hAnsi="仿宋_GB2312" w:eastAsia="仿宋_GB2312" w:cs="仿宋_GB2312"/>
          <w:sz w:val="32"/>
          <w:szCs w:val="32"/>
        </w:rPr>
        <w:t>报送调研报告</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篇，经验类信息</w:t>
      </w:r>
      <w:r>
        <w:rPr>
          <w:rFonts w:ascii="仿宋_GB2312" w:hAnsi="仿宋_GB2312" w:eastAsia="仿宋_GB2312" w:cs="仿宋_GB2312"/>
          <w:sz w:val="32"/>
          <w:szCs w:val="32"/>
        </w:rPr>
        <w:t>400</w:t>
      </w:r>
      <w:r>
        <w:rPr>
          <w:rFonts w:hint="eastAsia" w:ascii="仿宋_GB2312" w:hAnsi="仿宋_GB2312" w:eastAsia="仿宋_GB2312" w:cs="仿宋_GB2312"/>
          <w:sz w:val="32"/>
          <w:szCs w:val="32"/>
        </w:rPr>
        <w:t>余条，问题建议类信息</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余条，编报紧急信息</w:t>
      </w:r>
      <w:r>
        <w:rPr>
          <w:rFonts w:ascii="仿宋_GB2312" w:hAnsi="仿宋_GB2312" w:eastAsia="仿宋_GB2312" w:cs="仿宋_GB2312"/>
          <w:sz w:val="32"/>
          <w:szCs w:val="32"/>
        </w:rPr>
        <w:t>20</w:t>
      </w:r>
      <w:r>
        <w:rPr>
          <w:rFonts w:hint="eastAsia" w:ascii="仿宋_GB2312" w:eastAsia="仿宋_GB2312"/>
          <w:bCs/>
          <w:sz w:val="32"/>
          <w:szCs w:val="32"/>
        </w:rPr>
        <w:t>余条，编发《每日动态》</w:t>
      </w:r>
      <w:r>
        <w:rPr>
          <w:rFonts w:ascii="仿宋_GB2312" w:eastAsia="仿宋_GB2312"/>
          <w:bCs/>
          <w:sz w:val="32"/>
          <w:szCs w:val="32"/>
        </w:rPr>
        <w:t>242</w:t>
      </w:r>
      <w:r>
        <w:rPr>
          <w:rFonts w:hint="eastAsia" w:ascii="仿宋_GB2312" w:eastAsia="仿宋_GB2312"/>
          <w:bCs/>
          <w:sz w:val="32"/>
          <w:szCs w:val="32"/>
        </w:rPr>
        <w:t>期，其中省委办公厅《每日要情》采用</w:t>
      </w:r>
      <w:r>
        <w:rPr>
          <w:rFonts w:ascii="仿宋_GB2312" w:eastAsia="仿宋_GB2312"/>
          <w:bCs/>
          <w:sz w:val="32"/>
          <w:szCs w:val="32"/>
        </w:rPr>
        <w:t>3</w:t>
      </w:r>
      <w:r>
        <w:rPr>
          <w:rFonts w:hint="eastAsia" w:ascii="仿宋_GB2312" w:eastAsia="仿宋_GB2312"/>
          <w:bCs/>
          <w:sz w:val="32"/>
          <w:szCs w:val="32"/>
        </w:rPr>
        <w:t>条，市委办《广元要情》采用</w:t>
      </w:r>
      <w:r>
        <w:rPr>
          <w:rFonts w:ascii="仿宋_GB2312" w:eastAsia="仿宋_GB2312"/>
          <w:bCs/>
          <w:sz w:val="32"/>
          <w:szCs w:val="32"/>
        </w:rPr>
        <w:t>100</w:t>
      </w:r>
      <w:r>
        <w:rPr>
          <w:rFonts w:hint="eastAsia" w:ascii="仿宋_GB2312" w:eastAsia="仿宋_GB2312"/>
          <w:bCs/>
          <w:sz w:val="32"/>
          <w:szCs w:val="32"/>
        </w:rPr>
        <w:t>余条</w:t>
      </w:r>
      <w:r>
        <w:rPr>
          <w:rFonts w:hint="eastAsia" w:ascii="仿宋_GB2312" w:hAnsi="Times New Roman" w:eastAsia="仿宋_GB2312"/>
          <w:sz w:val="32"/>
          <w:szCs w:val="32"/>
        </w:rPr>
        <w:t>。</w:t>
      </w:r>
      <w:r>
        <w:rPr>
          <w:rFonts w:hint="eastAsia" w:ascii="仿宋_GB2312" w:hAnsi="??" w:eastAsia="仿宋_GB2312"/>
          <w:sz w:val="32"/>
          <w:szCs w:val="32"/>
        </w:rPr>
        <w:t>达到了年初预算申报的相应绩效目标，相应的数量指标、质量指标、时效指标、成本指标等均达到预期。</w:t>
      </w:r>
      <w:r>
        <w:rPr>
          <w:rFonts w:hint="eastAsia" w:ascii="仿宋_GB2312" w:hAnsi="Times New Roman" w:eastAsia="仿宋_GB2312"/>
          <w:sz w:val="32"/>
          <w:szCs w:val="32"/>
        </w:rPr>
        <w:t>项目申报内容与具体实施内容相符、申报目标合理可行。</w:t>
      </w:r>
    </w:p>
    <w:p>
      <w:pPr>
        <w:autoSpaceDE w:val="0"/>
        <w:spacing w:line="576" w:lineRule="exact"/>
        <w:ind w:firstLine="640" w:firstLineChars="200"/>
        <w:rPr>
          <w:rFonts w:ascii="黑体" w:hAnsi="黑体" w:eastAsia="黑体"/>
          <w:sz w:val="32"/>
          <w:szCs w:val="32"/>
        </w:rPr>
      </w:pPr>
      <w:r>
        <w:rPr>
          <w:rFonts w:hint="eastAsia" w:ascii="黑体" w:hAnsi="黑体" w:eastAsia="黑体"/>
          <w:sz w:val="32"/>
          <w:szCs w:val="32"/>
        </w:rPr>
        <w:t>二、项目实施及管理情况</w:t>
      </w:r>
    </w:p>
    <w:p>
      <w:pPr>
        <w:autoSpaceDE w:val="0"/>
        <w:spacing w:line="576"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（一）资金计划、到位及使用情况</w:t>
      </w:r>
    </w:p>
    <w:p>
      <w:pPr>
        <w:autoSpaceDE w:val="0"/>
        <w:spacing w:line="576" w:lineRule="exact"/>
        <w:ind w:firstLine="640" w:firstLineChars="200"/>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资金计划及到位。截止评价时点该项目实际到位资金</w:t>
      </w:r>
      <w:r>
        <w:rPr>
          <w:rFonts w:ascii="仿宋_GB2312" w:hAnsi="Times New Roman" w:eastAsia="仿宋_GB2312"/>
          <w:sz w:val="32"/>
          <w:szCs w:val="32"/>
        </w:rPr>
        <w:t>30</w:t>
      </w:r>
      <w:r>
        <w:rPr>
          <w:rFonts w:hint="eastAsia" w:ascii="仿宋_GB2312" w:hAnsi="Times New Roman" w:eastAsia="仿宋_GB2312"/>
          <w:sz w:val="32"/>
          <w:szCs w:val="32"/>
        </w:rPr>
        <w:t>万元，资金到位率</w:t>
      </w:r>
      <w:r>
        <w:rPr>
          <w:rFonts w:ascii="仿宋_GB2312" w:hAnsi="Times New Roman" w:eastAsia="仿宋_GB2312"/>
          <w:sz w:val="32"/>
          <w:szCs w:val="32"/>
        </w:rPr>
        <w:t>100%</w:t>
      </w:r>
      <w:r>
        <w:rPr>
          <w:rFonts w:hint="eastAsia" w:ascii="仿宋_GB2312" w:hAnsi="Times New Roman" w:eastAsia="仿宋_GB2312"/>
          <w:sz w:val="32"/>
          <w:szCs w:val="32"/>
        </w:rPr>
        <w:t>。在项目实施过程中，我单位</w:t>
      </w:r>
      <w:r>
        <w:rPr>
          <w:rFonts w:hint="eastAsia" w:ascii="仿宋_GB2312" w:hAnsi="??" w:eastAsia="仿宋_GB2312"/>
          <w:sz w:val="32"/>
          <w:szCs w:val="32"/>
        </w:rPr>
        <w:t>根据项目实施进度，及时与区财政协调，分批调拨项目资金，确保资金及时到位。</w:t>
      </w:r>
    </w:p>
    <w:p>
      <w:pPr>
        <w:autoSpaceDE w:val="0"/>
        <w:spacing w:line="576" w:lineRule="exact"/>
        <w:ind w:firstLine="640" w:firstLineChars="200"/>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Times New Roman" w:eastAsia="仿宋_GB2312"/>
          <w:sz w:val="32"/>
          <w:szCs w:val="32"/>
        </w:rPr>
        <w:t>资金使用。</w:t>
      </w:r>
      <w:r>
        <w:rPr>
          <w:rFonts w:hint="eastAsia" w:ascii="仿宋_GB2312" w:hAnsi="??" w:eastAsia="仿宋_GB2312"/>
          <w:sz w:val="32"/>
          <w:szCs w:val="32"/>
        </w:rPr>
        <w:t>在项目实施过程中，我单位严格执行财经纪律，切实加大专项资金的管理和监督，规范专项资金使用，切实提高资金使用效率，使用专项资金时，全部通过国库集中支付方式进行，截止项目实施完毕，资金全额调拨到位并支付完毕。</w:t>
      </w:r>
    </w:p>
    <w:p>
      <w:pPr>
        <w:autoSpaceDE w:val="0"/>
        <w:spacing w:line="576"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（二）项目财务管理情况</w:t>
      </w:r>
    </w:p>
    <w:p>
      <w:pPr>
        <w:autoSpaceDE w:val="0"/>
        <w:spacing w:line="576" w:lineRule="exact"/>
        <w:ind w:firstLine="640" w:firstLineChars="200"/>
        <w:rPr>
          <w:rFonts w:ascii="仿宋_GB2312" w:hAnsi="Times New Roman" w:eastAsia="仿宋_GB2312"/>
          <w:sz w:val="32"/>
          <w:szCs w:val="32"/>
        </w:rPr>
      </w:pPr>
      <w:r>
        <w:rPr>
          <w:rFonts w:hint="eastAsia" w:ascii="仿宋_GB2312" w:hAnsi="??" w:eastAsia="仿宋_GB2312"/>
          <w:sz w:val="32"/>
          <w:szCs w:val="32"/>
        </w:rPr>
        <w:t>在项目实施过程中，我单位严格财经纪律，严禁虚报、挤占、挪用项目资金现象发生。同时进一步健全单位内控管理制度，严格财务会计核算，及时进行账务处理，确保专款专用，项目资金无滞留、闲置现象发生</w:t>
      </w:r>
      <w:r>
        <w:rPr>
          <w:rFonts w:hint="eastAsia" w:ascii="仿宋_GB2312" w:hAnsi="Times New Roman" w:eastAsia="仿宋_GB2312"/>
          <w:sz w:val="32"/>
          <w:szCs w:val="32"/>
        </w:rPr>
        <w:t>。</w:t>
      </w:r>
    </w:p>
    <w:p>
      <w:pPr>
        <w:autoSpaceDE w:val="0"/>
        <w:spacing w:line="576"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（三）项目组织实施情况</w:t>
      </w:r>
    </w:p>
    <w:p>
      <w:pPr>
        <w:spacing w:line="576" w:lineRule="exact"/>
        <w:ind w:firstLine="660"/>
        <w:rPr>
          <w:rFonts w:ascii="仿宋_GB2312" w:hAnsi="??" w:eastAsia="仿宋_GB2312"/>
          <w:sz w:val="32"/>
          <w:szCs w:val="32"/>
        </w:rPr>
      </w:pPr>
      <w:r>
        <w:rPr>
          <w:rFonts w:hint="eastAsia" w:ascii="仿宋_GB2312" w:hAnsi="??" w:eastAsia="仿宋_GB2312"/>
          <w:sz w:val="32"/>
          <w:szCs w:val="32"/>
        </w:rPr>
        <w:t>项目组织机构与职责落实情况。根据</w:t>
      </w:r>
      <w:r>
        <w:rPr>
          <w:rFonts w:hint="eastAsia" w:ascii="仿宋_GB2312" w:hAnsi="??" w:eastAsia="仿宋_GB2312" w:cs="仿宋_GB2312"/>
          <w:sz w:val="32"/>
          <w:szCs w:val="32"/>
        </w:rPr>
        <w:t>广朝编委发〔2019〕</w:t>
      </w:r>
      <w:r>
        <w:rPr>
          <w:rFonts w:ascii="仿宋_GB2312" w:hAnsi="??" w:eastAsia="仿宋_GB2312" w:cs="仿宋_GB2312"/>
          <w:sz w:val="32"/>
          <w:szCs w:val="32"/>
        </w:rPr>
        <w:t>54</w:t>
      </w:r>
      <w:r>
        <w:rPr>
          <w:rFonts w:hint="eastAsia" w:ascii="仿宋_GB2312" w:hAnsi="??" w:eastAsia="仿宋_GB2312" w:cs="仿宋_GB2312"/>
          <w:sz w:val="32"/>
          <w:szCs w:val="32"/>
        </w:rPr>
        <w:t>号关于调整中共广元市朝天区委办公室有关机构编制事项通知文件精神，进一步明确了党委信息工作职能职责，落实了专人对该项目实施具体负责。</w:t>
      </w:r>
    </w:p>
    <w:p>
      <w:pPr>
        <w:autoSpaceDE w:val="0"/>
        <w:spacing w:line="576" w:lineRule="exact"/>
        <w:ind w:firstLine="640" w:firstLineChars="200"/>
        <w:rPr>
          <w:rFonts w:ascii="黑体" w:hAnsi="黑体" w:eastAsia="黑体"/>
          <w:sz w:val="32"/>
          <w:szCs w:val="32"/>
        </w:rPr>
      </w:pPr>
      <w:r>
        <w:rPr>
          <w:rFonts w:hint="eastAsia" w:ascii="黑体" w:hAnsi="黑体" w:eastAsia="黑体"/>
          <w:sz w:val="32"/>
          <w:szCs w:val="32"/>
        </w:rPr>
        <w:t>三、项目绩效情况</w:t>
      </w:r>
      <w:r>
        <w:rPr>
          <w:rFonts w:ascii="黑体" w:hAnsi="黑体" w:eastAsia="黑体"/>
          <w:sz w:val="32"/>
          <w:szCs w:val="32"/>
        </w:rPr>
        <w:tab/>
      </w:r>
    </w:p>
    <w:p>
      <w:pPr>
        <w:autoSpaceDE w:val="0"/>
        <w:spacing w:line="576"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（一）项目完成情况</w:t>
      </w:r>
    </w:p>
    <w:p>
      <w:pPr>
        <w:autoSpaceDE w:val="0"/>
        <w:spacing w:line="576" w:lineRule="exact"/>
        <w:ind w:firstLine="640" w:firstLineChars="200"/>
        <w:rPr>
          <w:rFonts w:ascii="仿宋_GB2312" w:hAnsi="Times New Roman" w:eastAsia="仿宋_GB2312"/>
          <w:sz w:val="32"/>
          <w:szCs w:val="32"/>
        </w:rPr>
      </w:pPr>
      <w:r>
        <w:rPr>
          <w:rFonts w:hint="eastAsia" w:ascii="仿宋_GB2312" w:hAnsi="仿宋_GB2312" w:eastAsia="仿宋_GB2312" w:cs="仿宋_GB2312"/>
          <w:sz w:val="32"/>
          <w:szCs w:val="32"/>
        </w:rPr>
        <w:t>全年累计报送调研报告</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篇，经验类信息</w:t>
      </w:r>
      <w:r>
        <w:rPr>
          <w:rFonts w:ascii="仿宋_GB2312" w:hAnsi="仿宋_GB2312" w:eastAsia="仿宋_GB2312" w:cs="仿宋_GB2312"/>
          <w:sz w:val="32"/>
          <w:szCs w:val="32"/>
        </w:rPr>
        <w:t>400</w:t>
      </w:r>
      <w:r>
        <w:rPr>
          <w:rFonts w:hint="eastAsia" w:ascii="仿宋_GB2312" w:hAnsi="仿宋_GB2312" w:eastAsia="仿宋_GB2312" w:cs="仿宋_GB2312"/>
          <w:sz w:val="32"/>
          <w:szCs w:val="32"/>
        </w:rPr>
        <w:t>余条，问题建议类信息</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余条，编报紧急信息</w:t>
      </w:r>
      <w:r>
        <w:rPr>
          <w:rFonts w:ascii="仿宋_GB2312" w:hAnsi="仿宋_GB2312" w:eastAsia="仿宋_GB2312" w:cs="仿宋_GB2312"/>
          <w:sz w:val="32"/>
          <w:szCs w:val="32"/>
        </w:rPr>
        <w:t>20</w:t>
      </w:r>
      <w:r>
        <w:rPr>
          <w:rFonts w:hint="eastAsia" w:ascii="仿宋_GB2312" w:eastAsia="仿宋_GB2312"/>
          <w:bCs/>
          <w:sz w:val="32"/>
          <w:szCs w:val="32"/>
        </w:rPr>
        <w:t>余条，编发《每日动态》</w:t>
      </w:r>
      <w:r>
        <w:rPr>
          <w:rFonts w:ascii="仿宋_GB2312" w:eastAsia="仿宋_GB2312"/>
          <w:bCs/>
          <w:sz w:val="32"/>
          <w:szCs w:val="32"/>
        </w:rPr>
        <w:t>242</w:t>
      </w:r>
      <w:r>
        <w:rPr>
          <w:rFonts w:hint="eastAsia" w:ascii="仿宋_GB2312" w:eastAsia="仿宋_GB2312"/>
          <w:bCs/>
          <w:sz w:val="32"/>
          <w:szCs w:val="32"/>
        </w:rPr>
        <w:t>期，其中省委办公厅《每日要情》采用</w:t>
      </w:r>
      <w:r>
        <w:rPr>
          <w:rFonts w:ascii="仿宋_GB2312" w:eastAsia="仿宋_GB2312"/>
          <w:bCs/>
          <w:sz w:val="32"/>
          <w:szCs w:val="32"/>
        </w:rPr>
        <w:t>3</w:t>
      </w:r>
      <w:r>
        <w:rPr>
          <w:rFonts w:hint="eastAsia" w:ascii="仿宋_GB2312" w:eastAsia="仿宋_GB2312"/>
          <w:bCs/>
          <w:sz w:val="32"/>
          <w:szCs w:val="32"/>
        </w:rPr>
        <w:t>条，市委办《广元要情》采用</w:t>
      </w:r>
      <w:r>
        <w:rPr>
          <w:rFonts w:ascii="仿宋_GB2312" w:eastAsia="仿宋_GB2312"/>
          <w:bCs/>
          <w:sz w:val="32"/>
          <w:szCs w:val="32"/>
        </w:rPr>
        <w:t>100</w:t>
      </w:r>
      <w:r>
        <w:rPr>
          <w:rFonts w:hint="eastAsia" w:ascii="仿宋_GB2312" w:eastAsia="仿宋_GB2312"/>
          <w:bCs/>
          <w:sz w:val="32"/>
          <w:szCs w:val="32"/>
        </w:rPr>
        <w:t>余条</w:t>
      </w:r>
      <w:r>
        <w:rPr>
          <w:rFonts w:hint="eastAsia" w:ascii="仿宋_GB2312" w:hAnsi="Times New Roman" w:eastAsia="仿宋_GB2312"/>
          <w:sz w:val="32"/>
          <w:szCs w:val="32"/>
        </w:rPr>
        <w:t>。形成一批可借鉴、可复制、可推广的好信息、好经验。项目严格按照年度计划实施，严格控制经费支出，全年无超预算、超范围支出现象发生。</w:t>
      </w:r>
    </w:p>
    <w:p>
      <w:pPr>
        <w:autoSpaceDE w:val="0"/>
        <w:spacing w:line="576"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（二）项目效益情况</w:t>
      </w:r>
    </w:p>
    <w:p>
      <w:pPr>
        <w:autoSpaceDE w:val="0"/>
        <w:spacing w:line="576"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通过项目实施，为建设朝天信息品牌，为领导决策提供了优质服务，实现了本地特色经验、亮点做法更好推广，确保了各项政策部署更好惠及人民群众。从而引导相关行业经营主体参考转型升级，有效推动了辖区经济社会发展。</w:t>
      </w:r>
      <w:r>
        <w:rPr>
          <w:rFonts w:ascii="仿宋_GB2312" w:hAnsi="Times New Roman" w:eastAsia="仿宋_GB2312"/>
          <w:sz w:val="32"/>
          <w:szCs w:val="32"/>
        </w:rPr>
        <w:t xml:space="preserve">                                                               </w:t>
      </w:r>
    </w:p>
    <w:p>
      <w:pPr>
        <w:autoSpaceDE w:val="0"/>
        <w:spacing w:line="576" w:lineRule="exact"/>
        <w:ind w:firstLine="640" w:firstLineChars="200"/>
        <w:rPr>
          <w:rFonts w:ascii="黑体" w:hAnsi="黑体" w:eastAsia="黑体"/>
          <w:sz w:val="32"/>
          <w:szCs w:val="32"/>
        </w:rPr>
      </w:pPr>
      <w:r>
        <w:rPr>
          <w:rFonts w:hint="eastAsia" w:ascii="黑体" w:hAnsi="黑体" w:eastAsia="黑体"/>
          <w:sz w:val="32"/>
          <w:szCs w:val="32"/>
        </w:rPr>
        <w:t>四、问题及建议</w:t>
      </w:r>
    </w:p>
    <w:p>
      <w:pPr>
        <w:autoSpaceDE w:val="0"/>
        <w:spacing w:line="576"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（一）存在的问题。</w:t>
      </w:r>
      <w:r>
        <w:rPr>
          <w:rFonts w:hint="eastAsia" w:ascii="仿宋_GB2312" w:hAnsi="仿宋_GB2312" w:eastAsia="仿宋_GB2312" w:cs="仿宋_GB2312"/>
          <w:sz w:val="32"/>
          <w:szCs w:val="32"/>
        </w:rPr>
        <w:t>在绩效目标编制方面，存在绩效目标设置指向不清、预算和目标匹配不足，数量目标和质量目标量化不细，效益目标编制不完善等问题。</w:t>
      </w:r>
    </w:p>
    <w:p>
      <w:pPr>
        <w:autoSpaceDE w:val="0"/>
        <w:spacing w:line="576" w:lineRule="exact"/>
        <w:ind w:firstLine="640" w:firstLineChars="200"/>
        <w:rPr>
          <w:rFonts w:ascii="仿宋_GB2312" w:hAnsi="Times New Roman" w:eastAsia="仿宋_GB2312"/>
          <w:sz w:val="32"/>
          <w:szCs w:val="32"/>
        </w:rPr>
      </w:pPr>
      <w:r>
        <w:rPr>
          <w:rFonts w:hint="eastAsia" w:ascii="楷体_GB2312" w:hAnsi="Times New Roman" w:eastAsia="楷体_GB2312"/>
          <w:bCs/>
          <w:sz w:val="32"/>
          <w:szCs w:val="32"/>
        </w:rPr>
        <w:t>（二）相关建议。</w:t>
      </w:r>
      <w:r>
        <w:rPr>
          <w:rFonts w:hint="eastAsia" w:ascii="仿宋_GB2312" w:hAnsi="仿宋_GB2312" w:eastAsia="仿宋_GB2312" w:cs="仿宋_GB2312"/>
          <w:sz w:val="32"/>
          <w:szCs w:val="32"/>
        </w:rPr>
        <w:t>继续加强对相关专业技术人员的业务培训，进一步提高预算绩效目标编制、评价质量。</w:t>
      </w:r>
    </w:p>
    <w:p>
      <w:pPr>
        <w:autoSpaceDE w:val="0"/>
        <w:spacing w:line="576" w:lineRule="exact"/>
        <w:rPr>
          <w:rFonts w:hint="eastAsia" w:ascii="仿宋_GB2312" w:hAnsi="??" w:eastAsia="仿宋_GB2312"/>
          <w:color w:val="000000"/>
          <w:kern w:val="0"/>
          <w:sz w:val="32"/>
          <w:szCs w:val="32"/>
        </w:rPr>
      </w:pPr>
    </w:p>
    <w:p>
      <w:pPr>
        <w:autoSpaceDE w:val="0"/>
        <w:spacing w:line="576" w:lineRule="exact"/>
        <w:ind w:firstLine="640" w:firstLineChars="200"/>
        <w:rPr>
          <w:rFonts w:ascii="黑体" w:hAnsi="黑体" w:eastAsia="黑体"/>
          <w:color w:val="000000"/>
          <w:kern w:val="0"/>
          <w:sz w:val="24"/>
          <w:szCs w:val="24"/>
        </w:rPr>
      </w:pPr>
      <w:r>
        <w:rPr>
          <w:rFonts w:hint="eastAsia" w:ascii="仿宋_GB2312" w:hAnsi="??" w:eastAsia="仿宋_GB2312"/>
          <w:color w:val="000000"/>
          <w:kern w:val="0"/>
          <w:sz w:val="32"/>
          <w:szCs w:val="32"/>
        </w:rPr>
        <w:t>附件：</w:t>
      </w:r>
      <w:r>
        <w:rPr>
          <w:rFonts w:ascii="仿宋_GB2312" w:hAnsi="??" w:eastAsia="仿宋_GB2312"/>
          <w:color w:val="000000"/>
          <w:kern w:val="0"/>
          <w:sz w:val="32"/>
          <w:szCs w:val="32"/>
        </w:rPr>
        <w:t>1.</w:t>
      </w:r>
      <w:r>
        <w:rPr>
          <w:rFonts w:hint="eastAsia" w:ascii="仿宋_GB2312" w:hAnsi="??" w:eastAsia="仿宋_GB2312"/>
          <w:color w:val="000000"/>
          <w:kern w:val="0"/>
          <w:sz w:val="32"/>
          <w:szCs w:val="32"/>
        </w:rPr>
        <w:t>部门预算</w:t>
      </w:r>
      <w:r>
        <w:rPr>
          <w:rFonts w:hint="eastAsia" w:ascii="仿宋_GB2312" w:hAnsi="??" w:eastAsia="仿宋_GB2312" w:cs="??"/>
          <w:color w:val="000000"/>
          <w:kern w:val="0"/>
          <w:sz w:val="32"/>
          <w:szCs w:val="32"/>
        </w:rPr>
        <w:t>项目支出绩效目标自评表</w:t>
      </w:r>
    </w:p>
    <w:p>
      <w:pPr>
        <w:autoSpaceDE w:val="0"/>
        <w:spacing w:line="576" w:lineRule="exact"/>
        <w:ind w:firstLine="1600" w:firstLineChars="500"/>
        <w:jc w:val="left"/>
        <w:rPr>
          <w:rFonts w:ascii="仿宋_GB2312" w:hAnsi="??" w:eastAsia="仿宋_GB2312"/>
          <w:color w:val="000000"/>
          <w:kern w:val="0"/>
          <w:sz w:val="32"/>
          <w:szCs w:val="32"/>
        </w:rPr>
      </w:pPr>
      <w:r>
        <w:rPr>
          <w:rFonts w:ascii="仿宋_GB2312" w:hAnsi="??" w:eastAsia="仿宋_GB2312"/>
          <w:color w:val="000000"/>
          <w:kern w:val="0"/>
          <w:sz w:val="32"/>
          <w:szCs w:val="32"/>
        </w:rPr>
        <w:t>2.2021</w:t>
      </w:r>
      <w:r>
        <w:rPr>
          <w:rFonts w:hint="eastAsia" w:ascii="仿宋_GB2312" w:hAnsi="??" w:eastAsia="仿宋_GB2312"/>
          <w:color w:val="000000"/>
          <w:kern w:val="0"/>
          <w:sz w:val="32"/>
          <w:szCs w:val="32"/>
        </w:rPr>
        <w:t>年部门预算项目支出绩效自评评分表</w:t>
      </w:r>
    </w:p>
    <w:p>
      <w:pPr>
        <w:autoSpaceDE w:val="0"/>
        <w:spacing w:line="576" w:lineRule="exact"/>
        <w:ind w:firstLine="5760" w:firstLineChars="1800"/>
        <w:rPr>
          <w:rFonts w:ascii="仿宋_GB2312" w:hAnsi="Times New Roman" w:eastAsia="仿宋_GB2312"/>
          <w:sz w:val="32"/>
          <w:szCs w:val="32"/>
        </w:rPr>
      </w:pPr>
    </w:p>
    <w:p>
      <w:pPr>
        <w:autoSpaceDE w:val="0"/>
        <w:spacing w:line="576" w:lineRule="exact"/>
        <w:ind w:firstLine="5760" w:firstLineChars="1800"/>
        <w:rPr>
          <w:rFonts w:hint="eastAsia" w:ascii="仿宋_GB2312" w:hAnsi="Times New Roman" w:eastAsia="仿宋_GB2312"/>
          <w:sz w:val="32"/>
          <w:szCs w:val="32"/>
        </w:rPr>
      </w:pPr>
    </w:p>
    <w:p>
      <w:pPr>
        <w:spacing w:line="440" w:lineRule="exact"/>
        <w:jc w:val="center"/>
        <w:rPr>
          <w:rFonts w:hint="eastAsia" w:ascii="方正小标宋简体" w:hAnsi="宋体" w:eastAsia="方正小标宋简体" w:cs="宋体"/>
          <w:color w:val="000000"/>
          <w:kern w:val="0"/>
          <w:sz w:val="44"/>
          <w:szCs w:val="44"/>
        </w:rPr>
      </w:pPr>
    </w:p>
    <w:p>
      <w:pPr>
        <w:spacing w:line="440" w:lineRule="exact"/>
        <w:jc w:val="center"/>
        <w:rPr>
          <w:rFonts w:hint="eastAsia" w:ascii="方正小标宋简体" w:hAnsi="宋体" w:eastAsia="方正小标宋简体" w:cs="宋体"/>
          <w:color w:val="000000"/>
          <w:kern w:val="0"/>
          <w:sz w:val="44"/>
          <w:szCs w:val="44"/>
        </w:rPr>
      </w:pPr>
    </w:p>
    <w:p>
      <w:pPr>
        <w:spacing w:line="440" w:lineRule="exact"/>
        <w:jc w:val="center"/>
        <w:rPr>
          <w:rFonts w:hint="eastAsia" w:ascii="方正小标宋简体" w:hAnsi="宋体" w:eastAsia="方正小标宋简体" w:cs="宋体"/>
          <w:color w:val="000000"/>
          <w:kern w:val="0"/>
          <w:sz w:val="44"/>
          <w:szCs w:val="44"/>
        </w:rPr>
      </w:pPr>
    </w:p>
    <w:p>
      <w:pPr>
        <w:spacing w:line="440" w:lineRule="exact"/>
        <w:jc w:val="center"/>
        <w:rPr>
          <w:rFonts w:hint="eastAsia" w:ascii="方正小标宋简体" w:hAnsi="宋体" w:eastAsia="方正小标宋简体" w:cs="宋体"/>
          <w:color w:val="000000"/>
          <w:kern w:val="0"/>
          <w:sz w:val="44"/>
          <w:szCs w:val="44"/>
        </w:rPr>
      </w:pPr>
    </w:p>
    <w:p>
      <w:pPr>
        <w:spacing w:line="440" w:lineRule="exact"/>
        <w:jc w:val="center"/>
        <w:rPr>
          <w:rFonts w:hint="eastAsia" w:ascii="方正小标宋简体" w:hAnsi="宋体" w:eastAsia="方正小标宋简体" w:cs="宋体"/>
          <w:color w:val="000000"/>
          <w:kern w:val="0"/>
          <w:sz w:val="44"/>
          <w:szCs w:val="44"/>
        </w:rPr>
      </w:pPr>
    </w:p>
    <w:p>
      <w:pPr>
        <w:spacing w:line="440" w:lineRule="exact"/>
        <w:jc w:val="center"/>
        <w:rPr>
          <w:rFonts w:hint="eastAsia" w:ascii="方正小标宋简体" w:hAnsi="宋体" w:eastAsia="方正小标宋简体" w:cs="宋体"/>
          <w:color w:val="000000"/>
          <w:kern w:val="0"/>
          <w:sz w:val="44"/>
          <w:szCs w:val="44"/>
        </w:rPr>
      </w:pPr>
    </w:p>
    <w:p>
      <w:pPr>
        <w:spacing w:line="440" w:lineRule="exact"/>
        <w:jc w:val="center"/>
        <w:rPr>
          <w:rFonts w:hint="eastAsia" w:ascii="方正小标宋简体" w:hAnsi="宋体" w:eastAsia="方正小标宋简体" w:cs="宋体"/>
          <w:color w:val="000000"/>
          <w:kern w:val="0"/>
          <w:sz w:val="44"/>
          <w:szCs w:val="44"/>
        </w:rPr>
      </w:pPr>
    </w:p>
    <w:p>
      <w:pPr>
        <w:spacing w:line="440" w:lineRule="exact"/>
        <w:jc w:val="center"/>
        <w:rPr>
          <w:rFonts w:hint="eastAsia" w:ascii="方正小标宋简体" w:hAnsi="宋体" w:eastAsia="方正小标宋简体" w:cs="宋体"/>
          <w:color w:val="000000"/>
          <w:kern w:val="0"/>
          <w:sz w:val="44"/>
          <w:szCs w:val="44"/>
        </w:rPr>
      </w:pPr>
    </w:p>
    <w:p>
      <w:pPr>
        <w:spacing w:line="440" w:lineRule="exact"/>
        <w:jc w:val="center"/>
        <w:rPr>
          <w:rFonts w:hint="eastAsia" w:ascii="方正小标宋简体" w:hAnsi="宋体" w:eastAsia="方正小标宋简体" w:cs="宋体"/>
          <w:color w:val="000000"/>
          <w:kern w:val="0"/>
          <w:sz w:val="44"/>
          <w:szCs w:val="44"/>
        </w:rPr>
      </w:pPr>
    </w:p>
    <w:p>
      <w:pPr>
        <w:spacing w:line="440" w:lineRule="exact"/>
        <w:jc w:val="center"/>
        <w:rPr>
          <w:rFonts w:hint="eastAsia" w:ascii="方正小标宋简体" w:hAnsi="宋体" w:eastAsia="方正小标宋简体" w:cs="宋体"/>
          <w:color w:val="000000"/>
          <w:kern w:val="0"/>
          <w:sz w:val="44"/>
          <w:szCs w:val="44"/>
        </w:rPr>
      </w:pPr>
    </w:p>
    <w:p>
      <w:pPr>
        <w:spacing w:line="440" w:lineRule="exact"/>
        <w:jc w:val="center"/>
        <w:rPr>
          <w:rFonts w:hint="eastAsia" w:ascii="方正小标宋简体" w:hAnsi="宋体" w:eastAsia="方正小标宋简体" w:cs="宋体"/>
          <w:color w:val="000000"/>
          <w:kern w:val="0"/>
          <w:sz w:val="44"/>
          <w:szCs w:val="44"/>
        </w:rPr>
      </w:pPr>
    </w:p>
    <w:p>
      <w:pPr>
        <w:spacing w:line="440" w:lineRule="exact"/>
        <w:jc w:val="center"/>
        <w:rPr>
          <w:rFonts w:hint="eastAsia" w:ascii="方正小标宋简体" w:hAnsi="宋体" w:eastAsia="方正小标宋简体" w:cs="宋体"/>
          <w:color w:val="000000"/>
          <w:kern w:val="0"/>
          <w:sz w:val="44"/>
          <w:szCs w:val="44"/>
        </w:rPr>
      </w:pPr>
    </w:p>
    <w:p>
      <w:pPr>
        <w:spacing w:line="440" w:lineRule="exact"/>
        <w:jc w:val="center"/>
        <w:rPr>
          <w:rFonts w:hint="eastAsia" w:ascii="方正小标宋简体" w:hAnsi="宋体" w:eastAsia="方正小标宋简体" w:cs="宋体"/>
          <w:color w:val="000000"/>
          <w:kern w:val="0"/>
          <w:sz w:val="44"/>
          <w:szCs w:val="44"/>
        </w:rPr>
      </w:pPr>
    </w:p>
    <w:p>
      <w:pPr>
        <w:spacing w:line="440" w:lineRule="exact"/>
        <w:jc w:val="center"/>
        <w:rPr>
          <w:rFonts w:hint="eastAsia" w:ascii="方正小标宋简体" w:hAnsi="宋体" w:eastAsia="方正小标宋简体" w:cs="宋体"/>
          <w:color w:val="000000"/>
          <w:kern w:val="0"/>
          <w:sz w:val="44"/>
          <w:szCs w:val="44"/>
        </w:rPr>
      </w:pPr>
    </w:p>
    <w:p>
      <w:pPr>
        <w:spacing w:line="440" w:lineRule="exact"/>
        <w:jc w:val="center"/>
        <w:rPr>
          <w:rFonts w:hint="eastAsia" w:ascii="方正小标宋简体" w:hAnsi="宋体" w:eastAsia="方正小标宋简体" w:cs="宋体"/>
          <w:color w:val="000000"/>
          <w:kern w:val="0"/>
          <w:sz w:val="44"/>
          <w:szCs w:val="44"/>
        </w:rPr>
      </w:pPr>
    </w:p>
    <w:p>
      <w:pPr>
        <w:spacing w:line="440" w:lineRule="exact"/>
        <w:jc w:val="center"/>
        <w:rPr>
          <w:rFonts w:hint="eastAsia" w:ascii="方正小标宋简体" w:hAnsi="宋体" w:eastAsia="方正小标宋简体" w:cs="宋体"/>
          <w:color w:val="000000"/>
          <w:kern w:val="0"/>
          <w:sz w:val="44"/>
          <w:szCs w:val="44"/>
        </w:rPr>
      </w:pPr>
    </w:p>
    <w:p>
      <w:pPr>
        <w:spacing w:line="440" w:lineRule="exact"/>
        <w:jc w:val="center"/>
        <w:rPr>
          <w:rFonts w:hint="eastAsia" w:ascii="方正小标宋简体" w:hAnsi="宋体" w:eastAsia="方正小标宋简体" w:cs="宋体"/>
          <w:color w:val="000000"/>
          <w:kern w:val="0"/>
          <w:sz w:val="44"/>
          <w:szCs w:val="44"/>
        </w:rPr>
      </w:pPr>
    </w:p>
    <w:p>
      <w:pPr>
        <w:spacing w:line="440" w:lineRule="exact"/>
        <w:jc w:val="center"/>
        <w:rPr>
          <w:rFonts w:hint="eastAsia" w:ascii="方正小标宋简体" w:hAnsi="宋体" w:eastAsia="方正小标宋简体" w:cs="宋体"/>
          <w:color w:val="000000"/>
          <w:kern w:val="0"/>
          <w:sz w:val="44"/>
          <w:szCs w:val="44"/>
        </w:rPr>
      </w:pPr>
    </w:p>
    <w:p>
      <w:pPr>
        <w:spacing w:line="440" w:lineRule="exact"/>
        <w:jc w:val="center"/>
        <w:rPr>
          <w:rFonts w:hint="eastAsia" w:ascii="方正小标宋简体" w:hAnsi="宋体" w:eastAsia="方正小标宋简体" w:cs="宋体"/>
          <w:color w:val="000000"/>
          <w:kern w:val="0"/>
          <w:sz w:val="44"/>
          <w:szCs w:val="44"/>
        </w:rPr>
      </w:pPr>
    </w:p>
    <w:p>
      <w:pPr>
        <w:spacing w:line="440" w:lineRule="exact"/>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部门预算项目支出绩效目标自评表</w:t>
      </w:r>
    </w:p>
    <w:p>
      <w:pPr>
        <w:spacing w:after="156" w:afterLines="50" w:line="440" w:lineRule="exact"/>
        <w:jc w:val="center"/>
        <w:rPr>
          <w:rFonts w:hint="eastAsia" w:ascii="楷体_GB2312" w:hAnsi="黑体" w:eastAsia="楷体_GB2312" w:cs="宋体"/>
          <w:color w:val="000000"/>
          <w:kern w:val="0"/>
          <w:sz w:val="32"/>
          <w:szCs w:val="32"/>
        </w:rPr>
      </w:pPr>
      <w:r>
        <w:rPr>
          <w:rFonts w:hint="eastAsia" w:ascii="楷体_GB2312" w:hAnsi="黑体" w:eastAsia="楷体_GB2312" w:cs="宋体"/>
          <w:color w:val="000000"/>
          <w:kern w:val="0"/>
          <w:sz w:val="32"/>
          <w:szCs w:val="32"/>
        </w:rPr>
        <w:t>（2021年度）</w:t>
      </w:r>
    </w:p>
    <w:p>
      <w:pPr>
        <w:spacing w:line="0" w:lineRule="atLeast"/>
        <w:rPr>
          <w:rFonts w:hint="eastAsia" w:ascii="宋体" w:hAnsi="宋体" w:eastAsia="宋体"/>
          <w:sz w:val="18"/>
          <w:szCs w:val="18"/>
        </w:rPr>
      </w:pPr>
      <w:r>
        <w:rPr>
          <w:rFonts w:hint="eastAsia" w:ascii="宋体" w:hAnsi="宋体" w:eastAsia="宋体" w:cs="宋体"/>
          <w:color w:val="000000"/>
          <w:kern w:val="0"/>
          <w:sz w:val="18"/>
          <w:szCs w:val="18"/>
        </w:rPr>
        <w:t>部门（单位）盖章：中共广元市朝天区委办公室</w:t>
      </w:r>
    </w:p>
    <w:tbl>
      <w:tblPr>
        <w:tblStyle w:val="14"/>
        <w:tblW w:w="0" w:type="auto"/>
        <w:tblInd w:w="93" w:type="dxa"/>
        <w:tblLayout w:type="autofit"/>
        <w:tblCellMar>
          <w:top w:w="0" w:type="dxa"/>
          <w:left w:w="108" w:type="dxa"/>
          <w:bottom w:w="0" w:type="dxa"/>
          <w:right w:w="108" w:type="dxa"/>
        </w:tblCellMar>
      </w:tblPr>
      <w:tblGrid>
        <w:gridCol w:w="597"/>
        <w:gridCol w:w="882"/>
        <w:gridCol w:w="761"/>
        <w:gridCol w:w="700"/>
        <w:gridCol w:w="1624"/>
        <w:gridCol w:w="322"/>
        <w:gridCol w:w="1406"/>
        <w:gridCol w:w="637"/>
        <w:gridCol w:w="826"/>
        <w:gridCol w:w="1212"/>
      </w:tblGrid>
      <w:tr>
        <w:tblPrEx>
          <w:tblCellMar>
            <w:top w:w="0" w:type="dxa"/>
            <w:left w:w="108" w:type="dxa"/>
            <w:bottom w:w="0" w:type="dxa"/>
            <w:right w:w="108" w:type="dxa"/>
          </w:tblCellMar>
        </w:tblPrEx>
        <w:trPr>
          <w:trHeight w:val="311" w:hRule="atLeast"/>
        </w:trPr>
        <w:tc>
          <w:tcPr>
            <w:tcW w:w="148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项目支出名称</w:t>
            </w:r>
          </w:p>
        </w:tc>
        <w:tc>
          <w:tcPr>
            <w:tcW w:w="7488" w:type="dxa"/>
            <w:gridSpan w:val="8"/>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对外宣传专项工作</w:t>
            </w:r>
          </w:p>
        </w:tc>
      </w:tr>
      <w:tr>
        <w:tblPrEx>
          <w:tblCellMar>
            <w:top w:w="0" w:type="dxa"/>
            <w:left w:w="108" w:type="dxa"/>
            <w:bottom w:w="0" w:type="dxa"/>
            <w:right w:w="108" w:type="dxa"/>
          </w:tblCellMar>
        </w:tblPrEx>
        <w:trPr>
          <w:trHeight w:val="352" w:hRule="atLeast"/>
        </w:trPr>
        <w:tc>
          <w:tcPr>
            <w:tcW w:w="148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预算单位</w:t>
            </w:r>
          </w:p>
        </w:tc>
        <w:tc>
          <w:tcPr>
            <w:tcW w:w="7488" w:type="dxa"/>
            <w:gridSpan w:val="8"/>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中共广元市朝天区委办公室</w:t>
            </w:r>
          </w:p>
        </w:tc>
      </w:tr>
      <w:tr>
        <w:tblPrEx>
          <w:tblCellMar>
            <w:top w:w="0" w:type="dxa"/>
            <w:left w:w="108" w:type="dxa"/>
            <w:bottom w:w="0" w:type="dxa"/>
            <w:right w:w="108" w:type="dxa"/>
          </w:tblCellMar>
        </w:tblPrEx>
        <w:trPr>
          <w:trHeight w:val="323" w:hRule="atLeast"/>
        </w:trPr>
        <w:tc>
          <w:tcPr>
            <w:tcW w:w="598"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预算执行情况</w:t>
            </w:r>
          </w:p>
        </w:tc>
        <w:tc>
          <w:tcPr>
            <w:tcW w:w="2343" w:type="dxa"/>
            <w:gridSpan w:val="3"/>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xml:space="preserve"> 全年预算数（万元） </w:t>
            </w:r>
          </w:p>
        </w:tc>
        <w:tc>
          <w:tcPr>
            <w:tcW w:w="1624"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c>
          <w:tcPr>
            <w:tcW w:w="2365" w:type="dxa"/>
            <w:gridSpan w:val="3"/>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xml:space="preserve"> 全年执行数（万元）</w:t>
            </w:r>
          </w:p>
        </w:tc>
        <w:tc>
          <w:tcPr>
            <w:tcW w:w="2038"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r>
      <w:tr>
        <w:tblPrEx>
          <w:tblCellMar>
            <w:top w:w="0" w:type="dxa"/>
            <w:left w:w="108" w:type="dxa"/>
            <w:bottom w:w="0" w:type="dxa"/>
            <w:right w:w="108" w:type="dxa"/>
          </w:tblCellMar>
        </w:tblPrEx>
        <w:trPr>
          <w:trHeight w:val="310" w:hRule="atLeast"/>
        </w:trPr>
        <w:tc>
          <w:tcPr>
            <w:tcW w:w="598"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2343" w:type="dxa"/>
            <w:gridSpan w:val="3"/>
            <w:tcBorders>
              <w:top w:val="single" w:color="auto" w:sz="4" w:space="0"/>
              <w:left w:val="nil"/>
              <w:bottom w:val="single" w:color="auto" w:sz="4" w:space="0"/>
              <w:right w:val="single" w:color="000000"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其中：一般公共预算</w:t>
            </w:r>
          </w:p>
        </w:tc>
        <w:tc>
          <w:tcPr>
            <w:tcW w:w="1624"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c>
          <w:tcPr>
            <w:tcW w:w="2365" w:type="dxa"/>
            <w:gridSpan w:val="3"/>
            <w:tcBorders>
              <w:top w:val="nil"/>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其中：一般公共预算</w:t>
            </w:r>
          </w:p>
        </w:tc>
        <w:tc>
          <w:tcPr>
            <w:tcW w:w="2038"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r>
      <w:tr>
        <w:tblPrEx>
          <w:tblCellMar>
            <w:top w:w="0" w:type="dxa"/>
            <w:left w:w="108" w:type="dxa"/>
            <w:bottom w:w="0" w:type="dxa"/>
            <w:right w:w="108" w:type="dxa"/>
          </w:tblCellMar>
        </w:tblPrEx>
        <w:trPr>
          <w:trHeight w:val="295" w:hRule="atLeast"/>
        </w:trPr>
        <w:tc>
          <w:tcPr>
            <w:tcW w:w="598"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2343" w:type="dxa"/>
            <w:gridSpan w:val="3"/>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政府性基金预算</w:t>
            </w:r>
          </w:p>
        </w:tc>
        <w:tc>
          <w:tcPr>
            <w:tcW w:w="1624"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65" w:type="dxa"/>
            <w:gridSpan w:val="3"/>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政府性基金预算</w:t>
            </w:r>
          </w:p>
        </w:tc>
        <w:tc>
          <w:tcPr>
            <w:tcW w:w="2038"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8" w:hRule="atLeast"/>
        </w:trPr>
        <w:tc>
          <w:tcPr>
            <w:tcW w:w="598"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2343" w:type="dxa"/>
            <w:gridSpan w:val="3"/>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国有资本经营预算</w:t>
            </w:r>
          </w:p>
        </w:tc>
        <w:tc>
          <w:tcPr>
            <w:tcW w:w="1624"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65" w:type="dxa"/>
            <w:gridSpan w:val="3"/>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国有资本经营预算</w:t>
            </w:r>
          </w:p>
        </w:tc>
        <w:tc>
          <w:tcPr>
            <w:tcW w:w="2038"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95" w:hRule="atLeast"/>
        </w:trPr>
        <w:tc>
          <w:tcPr>
            <w:tcW w:w="598"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2343" w:type="dxa"/>
            <w:gridSpan w:val="3"/>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社会保险基金预算</w:t>
            </w:r>
          </w:p>
        </w:tc>
        <w:tc>
          <w:tcPr>
            <w:tcW w:w="1624"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65" w:type="dxa"/>
            <w:gridSpan w:val="3"/>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社会保险基金预算</w:t>
            </w:r>
          </w:p>
        </w:tc>
        <w:tc>
          <w:tcPr>
            <w:tcW w:w="2038"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24" w:hRule="atLeast"/>
        </w:trPr>
        <w:tc>
          <w:tcPr>
            <w:tcW w:w="598"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2343" w:type="dxa"/>
            <w:gridSpan w:val="3"/>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其他资金</w:t>
            </w:r>
          </w:p>
        </w:tc>
        <w:tc>
          <w:tcPr>
            <w:tcW w:w="1624"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65" w:type="dxa"/>
            <w:gridSpan w:val="3"/>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其他资金</w:t>
            </w:r>
          </w:p>
        </w:tc>
        <w:tc>
          <w:tcPr>
            <w:tcW w:w="2038"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38" w:hRule="atLeast"/>
        </w:trPr>
        <w:tc>
          <w:tcPr>
            <w:tcW w:w="598"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目标完成情况</w:t>
            </w:r>
          </w:p>
        </w:tc>
        <w:tc>
          <w:tcPr>
            <w:tcW w:w="3967" w:type="dxa"/>
            <w:gridSpan w:val="4"/>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全年预期目标</w:t>
            </w:r>
          </w:p>
        </w:tc>
        <w:tc>
          <w:tcPr>
            <w:tcW w:w="4403" w:type="dxa"/>
            <w:gridSpan w:val="5"/>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全年实际完成目标</w:t>
            </w:r>
          </w:p>
        </w:tc>
      </w:tr>
      <w:tr>
        <w:tblPrEx>
          <w:tblCellMar>
            <w:top w:w="0" w:type="dxa"/>
            <w:left w:w="108" w:type="dxa"/>
            <w:bottom w:w="0" w:type="dxa"/>
            <w:right w:w="108" w:type="dxa"/>
          </w:tblCellMar>
        </w:tblPrEx>
        <w:trPr>
          <w:trHeight w:val="2155" w:hRule="atLeast"/>
        </w:trPr>
        <w:tc>
          <w:tcPr>
            <w:tcW w:w="598"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3967" w:type="dxa"/>
            <w:gridSpan w:val="4"/>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围绕“四个服务”，抓好信息和突发事件新的收集、整理、编报、下发工作，围绕党委中心工作，积极开展信息调研，为领导决策提供高层次信息，加大对外宣传力度，形成省市区可复制可推广的经验，建设朝天党委信息主阵地。</w:t>
            </w:r>
          </w:p>
        </w:tc>
        <w:tc>
          <w:tcPr>
            <w:tcW w:w="4403" w:type="dxa"/>
            <w:gridSpan w:val="5"/>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全年在省级平台以单条、综合等形式刊发文章及信息4条，市级《广元要情》《工作情况交流》等平台刊发信息、文章76条，超额完成市下目标任务。全年累计下发《每日动态》219期、《每周信息》22期，有力推动全区75个党委信息考核单位以问题建议、经验总结、紧急应急3类信息报送推动全局工作。通过项目实施，全年总结推广《广宁联动共推川陕边际治理》等工作经验20余条，引导相关行业经营主体参考转型升级，有效推动辖区经济社会发展。                                                                                                        </w:t>
            </w:r>
          </w:p>
        </w:tc>
      </w:tr>
      <w:tr>
        <w:tblPrEx>
          <w:tblCellMar>
            <w:top w:w="0" w:type="dxa"/>
            <w:left w:w="108" w:type="dxa"/>
            <w:bottom w:w="0" w:type="dxa"/>
            <w:right w:w="108" w:type="dxa"/>
          </w:tblCellMar>
        </w:tblPrEx>
        <w:trPr>
          <w:trHeight w:val="720" w:hRule="atLeast"/>
        </w:trPr>
        <w:tc>
          <w:tcPr>
            <w:tcW w:w="598"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年度绩效指标完成情况</w:t>
            </w:r>
          </w:p>
        </w:tc>
        <w:tc>
          <w:tcPr>
            <w:tcW w:w="882"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一级</w:t>
            </w:r>
          </w:p>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761"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二级</w:t>
            </w:r>
          </w:p>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2646" w:type="dxa"/>
            <w:gridSpan w:val="3"/>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三级指标</w:t>
            </w:r>
          </w:p>
        </w:tc>
        <w:tc>
          <w:tcPr>
            <w:tcW w:w="140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全年预期指标值（包含数字及文字描述）</w:t>
            </w:r>
          </w:p>
        </w:tc>
        <w:tc>
          <w:tcPr>
            <w:tcW w:w="1463" w:type="dxa"/>
            <w:gridSpan w:val="2"/>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全年实际完成指标值（包含数字及文字描述）</w:t>
            </w:r>
          </w:p>
        </w:tc>
        <w:tc>
          <w:tcPr>
            <w:tcW w:w="1212"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未完成原因及改进措施</w:t>
            </w:r>
          </w:p>
        </w:tc>
      </w:tr>
      <w:tr>
        <w:tblPrEx>
          <w:tblCellMar>
            <w:top w:w="0" w:type="dxa"/>
            <w:left w:w="108" w:type="dxa"/>
            <w:bottom w:w="0" w:type="dxa"/>
            <w:right w:w="108" w:type="dxa"/>
          </w:tblCellMar>
        </w:tblPrEx>
        <w:trPr>
          <w:trHeight w:val="352" w:hRule="atLeast"/>
        </w:trPr>
        <w:tc>
          <w:tcPr>
            <w:tcW w:w="598"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882"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产出</w:t>
            </w:r>
          </w:p>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761"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数量</w:t>
            </w:r>
          </w:p>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2646" w:type="dxa"/>
            <w:gridSpan w:val="3"/>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制作主题鲜明对外宣传推介片</w:t>
            </w:r>
          </w:p>
        </w:tc>
        <w:tc>
          <w:tcPr>
            <w:tcW w:w="1406"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4个</w:t>
            </w:r>
          </w:p>
        </w:tc>
        <w:tc>
          <w:tcPr>
            <w:tcW w:w="1463"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4个</w:t>
            </w:r>
          </w:p>
        </w:tc>
        <w:tc>
          <w:tcPr>
            <w:tcW w:w="1212"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66" w:hRule="atLeast"/>
        </w:trPr>
        <w:tc>
          <w:tcPr>
            <w:tcW w:w="598"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882"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761"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2646" w:type="dxa"/>
            <w:gridSpan w:val="3"/>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省级平台刊发各类文章、信息</w:t>
            </w:r>
          </w:p>
        </w:tc>
        <w:tc>
          <w:tcPr>
            <w:tcW w:w="1406"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≥6条</w:t>
            </w:r>
          </w:p>
        </w:tc>
        <w:tc>
          <w:tcPr>
            <w:tcW w:w="1463"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6条</w:t>
            </w:r>
          </w:p>
        </w:tc>
        <w:tc>
          <w:tcPr>
            <w:tcW w:w="1212"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09" w:hRule="atLeast"/>
        </w:trPr>
        <w:tc>
          <w:tcPr>
            <w:tcW w:w="598"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882"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761"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2646" w:type="dxa"/>
            <w:gridSpan w:val="3"/>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市级平台刊发文章、信息</w:t>
            </w:r>
          </w:p>
        </w:tc>
        <w:tc>
          <w:tcPr>
            <w:tcW w:w="1406"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≥70条</w:t>
            </w:r>
          </w:p>
        </w:tc>
        <w:tc>
          <w:tcPr>
            <w:tcW w:w="1463"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76条</w:t>
            </w:r>
          </w:p>
        </w:tc>
        <w:tc>
          <w:tcPr>
            <w:tcW w:w="1212"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96" w:hRule="atLeast"/>
        </w:trPr>
        <w:tc>
          <w:tcPr>
            <w:tcW w:w="598"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882"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761"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2646" w:type="dxa"/>
            <w:gridSpan w:val="3"/>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编发《每周信息》、《每日动态》</w:t>
            </w:r>
          </w:p>
        </w:tc>
        <w:tc>
          <w:tcPr>
            <w:tcW w:w="1406"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≥240期</w:t>
            </w:r>
          </w:p>
        </w:tc>
        <w:tc>
          <w:tcPr>
            <w:tcW w:w="1463"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241期</w:t>
            </w:r>
          </w:p>
        </w:tc>
        <w:tc>
          <w:tcPr>
            <w:tcW w:w="1212"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23" w:hRule="atLeast"/>
        </w:trPr>
        <w:tc>
          <w:tcPr>
            <w:tcW w:w="598"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882"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761"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2646" w:type="dxa"/>
            <w:gridSpan w:val="3"/>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编发《信息采用情况通报》</w:t>
            </w:r>
          </w:p>
        </w:tc>
        <w:tc>
          <w:tcPr>
            <w:tcW w:w="1406"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4期</w:t>
            </w:r>
          </w:p>
        </w:tc>
        <w:tc>
          <w:tcPr>
            <w:tcW w:w="1463"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4期</w:t>
            </w:r>
          </w:p>
        </w:tc>
        <w:tc>
          <w:tcPr>
            <w:tcW w:w="1212"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24" w:hRule="atLeast"/>
        </w:trPr>
        <w:tc>
          <w:tcPr>
            <w:tcW w:w="598"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882"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761"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2646" w:type="dxa"/>
            <w:gridSpan w:val="3"/>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编发《工作情况交流》</w:t>
            </w:r>
          </w:p>
        </w:tc>
        <w:tc>
          <w:tcPr>
            <w:tcW w:w="1406"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5期</w:t>
            </w:r>
          </w:p>
        </w:tc>
        <w:tc>
          <w:tcPr>
            <w:tcW w:w="1463"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5期</w:t>
            </w:r>
          </w:p>
        </w:tc>
        <w:tc>
          <w:tcPr>
            <w:tcW w:w="1212"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92" w:hRule="atLeast"/>
        </w:trPr>
        <w:tc>
          <w:tcPr>
            <w:tcW w:w="598"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882"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761"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质量</w:t>
            </w:r>
          </w:p>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2646" w:type="dxa"/>
            <w:gridSpan w:val="3"/>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形成一批可借鉴、可复制、可推广的好信息、好经验</w:t>
            </w:r>
          </w:p>
        </w:tc>
        <w:tc>
          <w:tcPr>
            <w:tcW w:w="1406"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长期可持续</w:t>
            </w:r>
          </w:p>
        </w:tc>
        <w:tc>
          <w:tcPr>
            <w:tcW w:w="1463"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优</w:t>
            </w:r>
          </w:p>
        </w:tc>
        <w:tc>
          <w:tcPr>
            <w:tcW w:w="1212"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65" w:hRule="atLeast"/>
        </w:trPr>
        <w:tc>
          <w:tcPr>
            <w:tcW w:w="598"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882"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761"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时效</w:t>
            </w:r>
          </w:p>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2646" w:type="dxa"/>
            <w:gridSpan w:val="3"/>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完成时间</w:t>
            </w:r>
          </w:p>
        </w:tc>
        <w:tc>
          <w:tcPr>
            <w:tcW w:w="1406"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2021年底</w:t>
            </w:r>
          </w:p>
        </w:tc>
        <w:tc>
          <w:tcPr>
            <w:tcW w:w="1463"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全面完成</w:t>
            </w:r>
          </w:p>
        </w:tc>
        <w:tc>
          <w:tcPr>
            <w:tcW w:w="1212"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90" w:hRule="atLeast"/>
        </w:trPr>
        <w:tc>
          <w:tcPr>
            <w:tcW w:w="598"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882"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761"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成本</w:t>
            </w:r>
          </w:p>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2646" w:type="dxa"/>
            <w:gridSpan w:val="3"/>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从严控制预算金额</w:t>
            </w:r>
          </w:p>
        </w:tc>
        <w:tc>
          <w:tcPr>
            <w:tcW w:w="1406"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东文宋体" w:hAnsi="宋体" w:eastAsia="东文宋体" w:cs="宋体"/>
                <w:color w:val="000000"/>
                <w:kern w:val="0"/>
                <w:sz w:val="18"/>
                <w:szCs w:val="18"/>
              </w:rPr>
              <w:t>≤</w:t>
            </w:r>
            <w:r>
              <w:rPr>
                <w:rFonts w:hint="eastAsia" w:ascii="宋体" w:hAnsi="宋体" w:eastAsia="宋体" w:cs="宋体"/>
                <w:color w:val="000000"/>
                <w:kern w:val="0"/>
                <w:sz w:val="18"/>
                <w:szCs w:val="18"/>
              </w:rPr>
              <w:t>30万元</w:t>
            </w:r>
          </w:p>
        </w:tc>
        <w:tc>
          <w:tcPr>
            <w:tcW w:w="1463"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30万元</w:t>
            </w:r>
          </w:p>
        </w:tc>
        <w:tc>
          <w:tcPr>
            <w:tcW w:w="1212"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939" w:hRule="atLeast"/>
        </w:trPr>
        <w:tc>
          <w:tcPr>
            <w:tcW w:w="598"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882"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效益</w:t>
            </w:r>
          </w:p>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761"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社会效益指标</w:t>
            </w:r>
          </w:p>
        </w:tc>
        <w:tc>
          <w:tcPr>
            <w:tcW w:w="2646" w:type="dxa"/>
            <w:gridSpan w:val="3"/>
            <w:tcBorders>
              <w:top w:val="nil"/>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建设朝天信息品牌，为领导决策提供优质服务，实现本地特色经验、亮点做法更好推广，确保各项政策部署更好惠及人民群众。</w:t>
            </w:r>
          </w:p>
        </w:tc>
        <w:tc>
          <w:tcPr>
            <w:tcW w:w="1406"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长期可持续</w:t>
            </w:r>
          </w:p>
        </w:tc>
        <w:tc>
          <w:tcPr>
            <w:tcW w:w="1463"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优</w:t>
            </w:r>
          </w:p>
        </w:tc>
        <w:tc>
          <w:tcPr>
            <w:tcW w:w="1212"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56" w:hRule="atLeast"/>
        </w:trPr>
        <w:tc>
          <w:tcPr>
            <w:tcW w:w="598"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882"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满意度指标</w:t>
            </w:r>
          </w:p>
        </w:tc>
        <w:tc>
          <w:tcPr>
            <w:tcW w:w="761"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满意度指标</w:t>
            </w:r>
          </w:p>
        </w:tc>
        <w:tc>
          <w:tcPr>
            <w:tcW w:w="2646" w:type="dxa"/>
            <w:gridSpan w:val="3"/>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服务对象满意度</w:t>
            </w:r>
          </w:p>
        </w:tc>
        <w:tc>
          <w:tcPr>
            <w:tcW w:w="1406"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&gt;90%</w:t>
            </w:r>
          </w:p>
        </w:tc>
        <w:tc>
          <w:tcPr>
            <w:tcW w:w="1463"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92%</w:t>
            </w:r>
          </w:p>
        </w:tc>
        <w:tc>
          <w:tcPr>
            <w:tcW w:w="1212"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pPr>
        <w:pStyle w:val="2"/>
        <w:rPr>
          <w:rFonts w:eastAsia="宋体"/>
        </w:rPr>
        <w:sectPr>
          <w:headerReference r:id="rId20" w:type="default"/>
          <w:footerReference r:id="rId21" w:type="default"/>
          <w:pgSz w:w="11905" w:h="16838"/>
          <w:pgMar w:top="2098" w:right="1474" w:bottom="1984" w:left="1587" w:header="851" w:footer="1474" w:gutter="0"/>
          <w:pgNumType w:fmt="decimal"/>
          <w:cols w:space="0" w:num="1"/>
          <w:rtlGutter w:val="0"/>
          <w:docGrid w:type="lines" w:linePitch="319" w:charSpace="0"/>
        </w:sectPr>
      </w:pPr>
    </w:p>
    <w:p>
      <w:pPr>
        <w:pStyle w:val="2"/>
        <w:spacing w:line="576" w:lineRule="exact"/>
        <w:rPr>
          <w:rFonts w:hint="eastAsia" w:ascii="黑体" w:hAnsi="黑体" w:eastAsia="黑体"/>
          <w:sz w:val="32"/>
          <w:szCs w:val="32"/>
        </w:rPr>
      </w:pPr>
      <w:r>
        <w:rPr>
          <w:rFonts w:hint="eastAsia" w:ascii="黑体" w:hAnsi="黑体" w:eastAsia="黑体"/>
          <w:sz w:val="32"/>
          <w:szCs w:val="32"/>
        </w:rPr>
        <w:t>附件2</w:t>
      </w:r>
    </w:p>
    <w:p>
      <w:pPr>
        <w:pStyle w:val="2"/>
        <w:spacing w:line="576" w:lineRule="exact"/>
        <w:jc w:val="center"/>
        <w:rPr>
          <w:rFonts w:hint="eastAsia" w:ascii="方正小标宋简体" w:hAnsi="宋体" w:eastAsia="方正小标宋简体" w:cs="宋体"/>
          <w:bCs/>
          <w:color w:val="000000"/>
          <w:kern w:val="0"/>
          <w:sz w:val="44"/>
          <w:szCs w:val="44"/>
        </w:rPr>
      </w:pPr>
      <w:r>
        <w:rPr>
          <w:rFonts w:hint="eastAsia" w:ascii="方正小标宋简体" w:hAnsi="宋体" w:eastAsia="方正小标宋简体" w:cs="宋体"/>
          <w:bCs/>
          <w:color w:val="000000"/>
          <w:kern w:val="0"/>
          <w:sz w:val="44"/>
          <w:szCs w:val="44"/>
        </w:rPr>
        <w:t>2021年部门预算项目支出绩效自评评分表</w:t>
      </w:r>
    </w:p>
    <w:p>
      <w:pPr>
        <w:pStyle w:val="2"/>
        <w:spacing w:line="576" w:lineRule="exact"/>
        <w:rPr>
          <w:rFonts w:hint="eastAsia" w:ascii="宋体" w:hAnsi="宋体" w:eastAsia="宋体"/>
          <w:szCs w:val="18"/>
        </w:rPr>
      </w:pPr>
      <w:r>
        <w:rPr>
          <w:rFonts w:hint="eastAsia" w:ascii="宋体" w:hAnsi="宋体" w:eastAsia="宋体" w:cs="宋体"/>
          <w:color w:val="000000"/>
          <w:kern w:val="0"/>
          <w:szCs w:val="18"/>
        </w:rPr>
        <w:t>部门（单位）盖章：中共广元市朝天区委办公室                                                                          项目名称：对外宣传专项工作</w:t>
      </w:r>
    </w:p>
    <w:tbl>
      <w:tblPr>
        <w:tblStyle w:val="14"/>
        <w:tblW w:w="0" w:type="auto"/>
        <w:tblInd w:w="0" w:type="dxa"/>
        <w:tblLayout w:type="fixed"/>
        <w:tblCellMar>
          <w:top w:w="0" w:type="dxa"/>
          <w:left w:w="108" w:type="dxa"/>
          <w:bottom w:w="0" w:type="dxa"/>
          <w:right w:w="108" w:type="dxa"/>
        </w:tblCellMar>
      </w:tblPr>
      <w:tblGrid>
        <w:gridCol w:w="668"/>
        <w:gridCol w:w="686"/>
        <w:gridCol w:w="812"/>
        <w:gridCol w:w="398"/>
        <w:gridCol w:w="5257"/>
        <w:gridCol w:w="686"/>
        <w:gridCol w:w="5053"/>
        <w:gridCol w:w="660"/>
      </w:tblGrid>
      <w:tr>
        <w:tblPrEx>
          <w:tblCellMar>
            <w:top w:w="0" w:type="dxa"/>
            <w:left w:w="108" w:type="dxa"/>
            <w:bottom w:w="0" w:type="dxa"/>
            <w:right w:w="108" w:type="dxa"/>
          </w:tblCellMar>
        </w:tblPrEx>
        <w:trPr>
          <w:trHeight w:val="552" w:hRule="atLeast"/>
          <w:tblHeader/>
        </w:trPr>
        <w:tc>
          <w:tcPr>
            <w:tcW w:w="6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一级 指标</w:t>
            </w:r>
          </w:p>
        </w:tc>
        <w:tc>
          <w:tcPr>
            <w:tcW w:w="686"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 xml:space="preserve">二级指标              </w:t>
            </w:r>
          </w:p>
        </w:tc>
        <w:tc>
          <w:tcPr>
            <w:tcW w:w="812"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hint="eastAsia" w:ascii="黑体" w:hAnsi="黑体" w:eastAsia="黑体" w:cs="宋体"/>
                <w:bCs/>
                <w:color w:val="000000"/>
                <w:kern w:val="0"/>
                <w:sz w:val="18"/>
                <w:szCs w:val="18"/>
              </w:rPr>
            </w:pPr>
            <w:r>
              <w:rPr>
                <w:rFonts w:hint="eastAsia" w:ascii="黑体" w:hAnsi="黑体" w:eastAsia="黑体" w:cs="宋体"/>
                <w:bCs/>
                <w:color w:val="000000"/>
                <w:kern w:val="0"/>
                <w:sz w:val="18"/>
                <w:szCs w:val="18"/>
              </w:rPr>
              <w:t>三级</w:t>
            </w:r>
          </w:p>
          <w:p>
            <w:pPr>
              <w:spacing w:line="0" w:lineRule="atLeast"/>
              <w:jc w:val="center"/>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 xml:space="preserve">指标            </w:t>
            </w:r>
          </w:p>
        </w:tc>
        <w:tc>
          <w:tcPr>
            <w:tcW w:w="5655"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指标内容</w:t>
            </w:r>
          </w:p>
        </w:tc>
        <w:tc>
          <w:tcPr>
            <w:tcW w:w="686"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hint="eastAsia" w:ascii="黑体" w:hAnsi="黑体" w:eastAsia="黑体" w:cs="宋体"/>
                <w:bCs/>
                <w:color w:val="000000"/>
                <w:kern w:val="0"/>
                <w:sz w:val="18"/>
                <w:szCs w:val="18"/>
              </w:rPr>
            </w:pPr>
            <w:r>
              <w:rPr>
                <w:rFonts w:hint="eastAsia" w:ascii="黑体" w:hAnsi="黑体" w:eastAsia="黑体" w:cs="宋体"/>
                <w:bCs/>
                <w:color w:val="000000"/>
                <w:kern w:val="0"/>
                <w:sz w:val="18"/>
                <w:szCs w:val="18"/>
              </w:rPr>
              <w:t>参考</w:t>
            </w:r>
          </w:p>
          <w:p>
            <w:pPr>
              <w:spacing w:line="0" w:lineRule="atLeast"/>
              <w:jc w:val="center"/>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分值</w:t>
            </w:r>
          </w:p>
        </w:tc>
        <w:tc>
          <w:tcPr>
            <w:tcW w:w="5053"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评分标准</w:t>
            </w:r>
          </w:p>
        </w:tc>
        <w:tc>
          <w:tcPr>
            <w:tcW w:w="660"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自评得分</w:t>
            </w:r>
          </w:p>
        </w:tc>
      </w:tr>
      <w:tr>
        <w:tblPrEx>
          <w:tblCellMar>
            <w:top w:w="0" w:type="dxa"/>
            <w:left w:w="108" w:type="dxa"/>
            <w:bottom w:w="0" w:type="dxa"/>
            <w:right w:w="108" w:type="dxa"/>
          </w:tblCellMar>
        </w:tblPrEx>
        <w:trPr>
          <w:trHeight w:val="1018" w:hRule="atLeast"/>
        </w:trPr>
        <w:tc>
          <w:tcPr>
            <w:tcW w:w="668"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决策</w:t>
            </w:r>
          </w:p>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（14分）</w:t>
            </w:r>
          </w:p>
        </w:tc>
        <w:tc>
          <w:tcPr>
            <w:tcW w:w="686"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项目立项</w:t>
            </w:r>
          </w:p>
        </w:tc>
        <w:tc>
          <w:tcPr>
            <w:tcW w:w="812"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立项</w:t>
            </w:r>
          </w:p>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依据</w:t>
            </w:r>
          </w:p>
        </w:tc>
        <w:tc>
          <w:tcPr>
            <w:tcW w:w="5655"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用以反映项目立项是否有充分的依据：符合国家法律法规、本地的相关规定；符合部门年度工作计划。</w:t>
            </w:r>
          </w:p>
        </w:tc>
        <w:tc>
          <w:tcPr>
            <w:tcW w:w="68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5053" w:type="dxa"/>
            <w:tcBorders>
              <w:top w:val="nil"/>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①符合国家相关法律法规、国民经济发展规划和党委政府决策（1分）；                                                                                                           ②符合部门（单位）年度工作计划或项目实施单位职责密切相关（1分）。                                                             </w:t>
            </w:r>
          </w:p>
        </w:tc>
        <w:tc>
          <w:tcPr>
            <w:tcW w:w="660"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2</w:t>
            </w:r>
          </w:p>
        </w:tc>
      </w:tr>
      <w:tr>
        <w:tblPrEx>
          <w:tblCellMar>
            <w:top w:w="0" w:type="dxa"/>
            <w:left w:w="108" w:type="dxa"/>
            <w:bottom w:w="0" w:type="dxa"/>
            <w:right w:w="108" w:type="dxa"/>
          </w:tblCellMar>
        </w:tblPrEx>
        <w:trPr>
          <w:trHeight w:val="1088" w:hRule="atLeast"/>
        </w:trPr>
        <w:tc>
          <w:tcPr>
            <w:tcW w:w="668"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68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812"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决策</w:t>
            </w:r>
          </w:p>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程序</w:t>
            </w:r>
          </w:p>
        </w:tc>
        <w:tc>
          <w:tcPr>
            <w:tcW w:w="5655"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用以反映和考核项目立项的规范情况：项目的申请、设立过程是否符合相关要求。</w:t>
            </w:r>
          </w:p>
        </w:tc>
        <w:tc>
          <w:tcPr>
            <w:tcW w:w="68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5053" w:type="dxa"/>
            <w:tcBorders>
              <w:top w:val="nil"/>
              <w:left w:val="nil"/>
              <w:bottom w:val="single" w:color="auto" w:sz="4" w:space="0"/>
              <w:right w:val="single" w:color="auto" w:sz="4" w:space="0"/>
            </w:tcBorders>
            <w:shd w:val="clear" w:color="auto" w:fill="auto"/>
            <w:noWrap w:val="0"/>
            <w:vAlign w:val="center"/>
          </w:tcPr>
          <w:p>
            <w:pPr>
              <w:spacing w:line="0" w:lineRule="atLeas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①项目是否按照规定的程序申请设立，审批文件、材料是否符合相关要求（1分）；</w:t>
            </w:r>
          </w:p>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②事前是否已经过必要的可行性研究、专家论证、风险评估、集体决策等（1分）。</w:t>
            </w:r>
          </w:p>
        </w:tc>
        <w:tc>
          <w:tcPr>
            <w:tcW w:w="660"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2</w:t>
            </w:r>
          </w:p>
        </w:tc>
      </w:tr>
      <w:tr>
        <w:tblPrEx>
          <w:tblCellMar>
            <w:top w:w="0" w:type="dxa"/>
            <w:left w:w="108" w:type="dxa"/>
            <w:bottom w:w="0" w:type="dxa"/>
            <w:right w:w="108" w:type="dxa"/>
          </w:tblCellMar>
        </w:tblPrEx>
        <w:trPr>
          <w:trHeight w:val="1269" w:hRule="atLeast"/>
        </w:trPr>
        <w:tc>
          <w:tcPr>
            <w:tcW w:w="668"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686"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项目目标</w:t>
            </w:r>
          </w:p>
        </w:tc>
        <w:tc>
          <w:tcPr>
            <w:tcW w:w="812"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目标合理性</w:t>
            </w:r>
          </w:p>
        </w:tc>
        <w:tc>
          <w:tcPr>
            <w:tcW w:w="5655"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用以反映和考核项目绩效目标与项目实施的相符情况：项目所设定的绩效目标是否依据充分，是否符合客观实际。</w:t>
            </w:r>
          </w:p>
        </w:tc>
        <w:tc>
          <w:tcPr>
            <w:tcW w:w="68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5053" w:type="dxa"/>
            <w:tcBorders>
              <w:top w:val="nil"/>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①项目的测算依据充分（1分）；                                                                                                                                                       ②项目是否有绩效目标，与实际工作内容是否具有相关性（1分）；                                                                                                                        ③项目预期产出效益和效果是否符合正常的业绩水平（1分）；                                                                                                                                                                   ④与预算确定的项目投资额或资金量相匹配（1分）。</w:t>
            </w:r>
          </w:p>
        </w:tc>
        <w:tc>
          <w:tcPr>
            <w:tcW w:w="660"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3</w:t>
            </w:r>
          </w:p>
        </w:tc>
      </w:tr>
      <w:tr>
        <w:tblPrEx>
          <w:tblCellMar>
            <w:top w:w="0" w:type="dxa"/>
            <w:left w:w="108" w:type="dxa"/>
            <w:bottom w:w="0" w:type="dxa"/>
            <w:right w:w="108" w:type="dxa"/>
          </w:tblCellMar>
        </w:tblPrEx>
        <w:trPr>
          <w:trHeight w:val="1088" w:hRule="atLeast"/>
        </w:trPr>
        <w:tc>
          <w:tcPr>
            <w:tcW w:w="668"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68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812"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指标明确性</w:t>
            </w:r>
          </w:p>
        </w:tc>
        <w:tc>
          <w:tcPr>
            <w:tcW w:w="5655"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用以反映和考核项目绩效目标与项目实施的相符情况：依据绩效目标设定的绩效指标是否清晰、细化、可衡量等。</w:t>
            </w:r>
          </w:p>
        </w:tc>
        <w:tc>
          <w:tcPr>
            <w:tcW w:w="68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5053" w:type="dxa"/>
            <w:tcBorders>
              <w:top w:val="nil"/>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①是否将绩效目标的绩效指标细化分解（1分）；                                                                                                                                                        ②分解的绩效指标体现清晰、可衡量的指标值（1分）；                                                                                                                                                   ③与项目年度任务数或计划数相对应（1分）；                                                                                                                                                         ④与预算确定的项目投资额或资金量相匹配（1分）。</w:t>
            </w:r>
          </w:p>
        </w:tc>
        <w:tc>
          <w:tcPr>
            <w:tcW w:w="660"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3</w:t>
            </w:r>
          </w:p>
        </w:tc>
      </w:tr>
      <w:tr>
        <w:tblPrEx>
          <w:tblCellMar>
            <w:top w:w="0" w:type="dxa"/>
            <w:left w:w="108" w:type="dxa"/>
            <w:bottom w:w="0" w:type="dxa"/>
            <w:right w:w="108" w:type="dxa"/>
          </w:tblCellMar>
        </w:tblPrEx>
        <w:trPr>
          <w:trHeight w:val="938" w:hRule="atLeast"/>
        </w:trPr>
        <w:tc>
          <w:tcPr>
            <w:tcW w:w="668"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68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资金分配</w:t>
            </w:r>
          </w:p>
        </w:tc>
        <w:tc>
          <w:tcPr>
            <w:tcW w:w="812"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分配的合理性</w:t>
            </w:r>
          </w:p>
        </w:tc>
        <w:tc>
          <w:tcPr>
            <w:tcW w:w="5655"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项目预算资金分配是否有测算依据，与项目单位或地方实际是否相适应；根据需要制定的相关资金管理办法；管理办法中有明确资金分配办法；资金分配因素全面、合理。</w:t>
            </w:r>
          </w:p>
        </w:tc>
        <w:tc>
          <w:tcPr>
            <w:tcW w:w="68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5053" w:type="dxa"/>
            <w:tcBorders>
              <w:top w:val="nil"/>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①预算资金分配依据充分（1分）；                                                                                                                                 ②资金分配额度合理，与项目单位或地方实际相适应 （1分）。                 此项需提供相应的资金分配方案。</w:t>
            </w:r>
          </w:p>
        </w:tc>
        <w:tc>
          <w:tcPr>
            <w:tcW w:w="660"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2</w:t>
            </w:r>
          </w:p>
        </w:tc>
      </w:tr>
      <w:tr>
        <w:tblPrEx>
          <w:tblCellMar>
            <w:top w:w="0" w:type="dxa"/>
            <w:left w:w="108" w:type="dxa"/>
            <w:bottom w:w="0" w:type="dxa"/>
            <w:right w:w="108" w:type="dxa"/>
          </w:tblCellMar>
        </w:tblPrEx>
        <w:trPr>
          <w:trHeight w:val="1284" w:hRule="atLeast"/>
        </w:trPr>
        <w:tc>
          <w:tcPr>
            <w:tcW w:w="668"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管理</w:t>
            </w:r>
          </w:p>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（16分）</w:t>
            </w:r>
          </w:p>
        </w:tc>
        <w:tc>
          <w:tcPr>
            <w:tcW w:w="686"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w:t>
            </w:r>
          </w:p>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管理</w:t>
            </w:r>
          </w:p>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（9分）</w:t>
            </w:r>
          </w:p>
        </w:tc>
        <w:tc>
          <w:tcPr>
            <w:tcW w:w="812"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资金到位率</w:t>
            </w:r>
          </w:p>
        </w:tc>
        <w:tc>
          <w:tcPr>
            <w:tcW w:w="5655"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资金到位率=（实际到位资金/计划投入资金）×100%。                                                              实际到位资金：一定时期（本年度或项目期）内落实到具体项目的资金。                                                       </w:t>
            </w:r>
          </w:p>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预算资金：一定时期（本年度或项目期）内预算安排到具体项目的资金。</w:t>
            </w:r>
          </w:p>
        </w:tc>
        <w:tc>
          <w:tcPr>
            <w:tcW w:w="68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5053" w:type="dxa"/>
            <w:tcBorders>
              <w:top w:val="nil"/>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根据项目资金的实际到位率计算得分（1分）</w:t>
            </w:r>
          </w:p>
        </w:tc>
        <w:tc>
          <w:tcPr>
            <w:tcW w:w="660"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1</w:t>
            </w:r>
          </w:p>
        </w:tc>
      </w:tr>
      <w:tr>
        <w:tblPrEx>
          <w:tblCellMar>
            <w:top w:w="0" w:type="dxa"/>
            <w:left w:w="108" w:type="dxa"/>
            <w:bottom w:w="0" w:type="dxa"/>
            <w:right w:w="108" w:type="dxa"/>
          </w:tblCellMar>
        </w:tblPrEx>
        <w:trPr>
          <w:trHeight w:val="739" w:hRule="atLeast"/>
        </w:trPr>
        <w:tc>
          <w:tcPr>
            <w:tcW w:w="668" w:type="dxa"/>
            <w:vMerge w:val="restart"/>
            <w:tcBorders>
              <w:top w:val="nil"/>
              <w:left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管理</w:t>
            </w:r>
          </w:p>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（16分）</w:t>
            </w:r>
          </w:p>
        </w:tc>
        <w:tc>
          <w:tcPr>
            <w:tcW w:w="686" w:type="dxa"/>
            <w:vMerge w:val="restart"/>
            <w:tcBorders>
              <w:top w:val="nil"/>
              <w:left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w:t>
            </w:r>
          </w:p>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管理</w:t>
            </w:r>
          </w:p>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（9分）</w:t>
            </w:r>
          </w:p>
        </w:tc>
        <w:tc>
          <w:tcPr>
            <w:tcW w:w="812"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预算执行率</w:t>
            </w:r>
          </w:p>
        </w:tc>
        <w:tc>
          <w:tcPr>
            <w:tcW w:w="5655"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用以反映项目预算执行的进度：预算执行率=实际支出数/预算数。                                      实际支出资金：一定时期（本年度或项目期）内项目实际拨付的资金。</w:t>
            </w:r>
          </w:p>
        </w:tc>
        <w:tc>
          <w:tcPr>
            <w:tcW w:w="68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5053" w:type="dxa"/>
            <w:tcBorders>
              <w:top w:val="nil"/>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根据项目资金的预算执行率计算得分（2分）</w:t>
            </w:r>
          </w:p>
        </w:tc>
        <w:tc>
          <w:tcPr>
            <w:tcW w:w="660"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2</w:t>
            </w:r>
          </w:p>
        </w:tc>
      </w:tr>
      <w:tr>
        <w:tblPrEx>
          <w:tblCellMar>
            <w:top w:w="0" w:type="dxa"/>
            <w:left w:w="108" w:type="dxa"/>
            <w:bottom w:w="0" w:type="dxa"/>
            <w:right w:w="108" w:type="dxa"/>
          </w:tblCellMar>
        </w:tblPrEx>
        <w:trPr>
          <w:trHeight w:val="1829" w:hRule="atLeast"/>
        </w:trPr>
        <w:tc>
          <w:tcPr>
            <w:tcW w:w="668" w:type="dxa"/>
            <w:vMerge w:val="continue"/>
            <w:tcBorders>
              <w:left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686" w:type="dxa"/>
            <w:vMerge w:val="continue"/>
            <w:tcBorders>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812"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w:t>
            </w:r>
          </w:p>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使用</w:t>
            </w:r>
          </w:p>
        </w:tc>
        <w:tc>
          <w:tcPr>
            <w:tcW w:w="5655"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用以反映和考核项目资金的规范运行情况：项目资金使用是否符合相关的财务管理制度规定。</w:t>
            </w:r>
          </w:p>
        </w:tc>
        <w:tc>
          <w:tcPr>
            <w:tcW w:w="68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5053" w:type="dxa"/>
            <w:tcBorders>
              <w:top w:val="nil"/>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①符合国家财经法规和财务管理制度以及有关专项资金管理办法的规定（1分）；                                                                      ②资金的拨付审批程序和手续完整（1分）；                                                                                           ③符合项目预算批复或合同规定的用途（1分）；                                                                                                                                                                    ④无截留、挤占、挪用、无虚列支出（3分）；                                                                                                                                                                                 若评价前已完成项目资金的专项审计，该指标可用审计结论代替。</w:t>
            </w:r>
          </w:p>
        </w:tc>
        <w:tc>
          <w:tcPr>
            <w:tcW w:w="660"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5</w:t>
            </w:r>
          </w:p>
        </w:tc>
      </w:tr>
      <w:tr>
        <w:tblPrEx>
          <w:tblCellMar>
            <w:top w:w="0" w:type="dxa"/>
            <w:left w:w="108" w:type="dxa"/>
            <w:bottom w:w="0" w:type="dxa"/>
            <w:right w:w="108" w:type="dxa"/>
          </w:tblCellMar>
        </w:tblPrEx>
        <w:trPr>
          <w:trHeight w:val="743" w:hRule="atLeast"/>
        </w:trPr>
        <w:tc>
          <w:tcPr>
            <w:tcW w:w="668" w:type="dxa"/>
            <w:vMerge w:val="continue"/>
            <w:tcBorders>
              <w:left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686"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组织</w:t>
            </w:r>
          </w:p>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实施</w:t>
            </w:r>
          </w:p>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（7分）</w:t>
            </w:r>
          </w:p>
        </w:tc>
        <w:tc>
          <w:tcPr>
            <w:tcW w:w="812"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制度</w:t>
            </w:r>
          </w:p>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管理</w:t>
            </w:r>
          </w:p>
        </w:tc>
        <w:tc>
          <w:tcPr>
            <w:tcW w:w="5655"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用以反映和考核财务和业务管理制度对项目顺利实施的制度保障情况。</w:t>
            </w:r>
          </w:p>
        </w:tc>
        <w:tc>
          <w:tcPr>
            <w:tcW w:w="68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5053" w:type="dxa"/>
            <w:tcBorders>
              <w:top w:val="nil"/>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①制定或具有相应的财务和业务管理制度（1分）；                                                                                                                                                         ②财务和业务管理制度合法、合规、完整（1分）。</w:t>
            </w:r>
          </w:p>
        </w:tc>
        <w:tc>
          <w:tcPr>
            <w:tcW w:w="660"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2</w:t>
            </w:r>
          </w:p>
        </w:tc>
      </w:tr>
      <w:tr>
        <w:tblPrEx>
          <w:tblCellMar>
            <w:top w:w="0" w:type="dxa"/>
            <w:left w:w="108" w:type="dxa"/>
            <w:bottom w:w="0" w:type="dxa"/>
            <w:right w:w="108" w:type="dxa"/>
          </w:tblCellMar>
        </w:tblPrEx>
        <w:trPr>
          <w:trHeight w:val="1212" w:hRule="atLeast"/>
        </w:trPr>
        <w:tc>
          <w:tcPr>
            <w:tcW w:w="668" w:type="dxa"/>
            <w:vMerge w:val="continue"/>
            <w:tcBorders>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68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812"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制度</w:t>
            </w:r>
          </w:p>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执行</w:t>
            </w:r>
          </w:p>
        </w:tc>
        <w:tc>
          <w:tcPr>
            <w:tcW w:w="5655"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用以反映和考核业务管理制度的有效执行和质量控制情况：项目实施是否符合相关业务管理规定，是否为达到项目质量要求而采取了必需的措施。</w:t>
            </w:r>
          </w:p>
        </w:tc>
        <w:tc>
          <w:tcPr>
            <w:tcW w:w="68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5053" w:type="dxa"/>
            <w:tcBorders>
              <w:top w:val="nil"/>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①按相关法律法规和业务管理规定执行（1分）；                                                                                                                                                      ②项目调整及支出调整手续完备（1分）；                                                                                                                                                                   ③项目合同书、验收报告、技术鉴定等资料规范、齐全（2分）；                                                                                                                                                                      ④项目实施的人员条件、场地设备等是否落实到位（1分）。</w:t>
            </w:r>
          </w:p>
        </w:tc>
        <w:tc>
          <w:tcPr>
            <w:tcW w:w="660"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4</w:t>
            </w:r>
          </w:p>
        </w:tc>
      </w:tr>
      <w:tr>
        <w:tblPrEx>
          <w:tblCellMar>
            <w:top w:w="0" w:type="dxa"/>
            <w:left w:w="108" w:type="dxa"/>
            <w:bottom w:w="0" w:type="dxa"/>
            <w:right w:w="108" w:type="dxa"/>
          </w:tblCellMar>
        </w:tblPrEx>
        <w:trPr>
          <w:trHeight w:val="1437" w:hRule="atLeast"/>
        </w:trPr>
        <w:tc>
          <w:tcPr>
            <w:tcW w:w="668" w:type="dxa"/>
            <w:vMerge w:val="restart"/>
            <w:tcBorders>
              <w:top w:val="nil"/>
              <w:left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w:t>
            </w:r>
          </w:p>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（特性指标）（70）</w:t>
            </w:r>
          </w:p>
        </w:tc>
        <w:tc>
          <w:tcPr>
            <w:tcW w:w="686" w:type="dxa"/>
            <w:vMerge w:val="restart"/>
            <w:tcBorders>
              <w:top w:val="nil"/>
              <w:left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产出</w:t>
            </w:r>
          </w:p>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（35分）</w:t>
            </w:r>
          </w:p>
        </w:tc>
        <w:tc>
          <w:tcPr>
            <w:tcW w:w="812"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实际完成率</w:t>
            </w:r>
          </w:p>
        </w:tc>
        <w:tc>
          <w:tcPr>
            <w:tcW w:w="5655"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实际完成率=（实际产出数/计划产出数）×100%。                                                            实际产出数：一定时期（本年度或项目期）内项目实际产出的产品或提供的服务数量。                                                                                         计划产出数：项目绩效目标确定的在一定时期（本年度或项目期）内计划产出的产品或提供的服务数量。</w:t>
            </w:r>
          </w:p>
        </w:tc>
        <w:tc>
          <w:tcPr>
            <w:tcW w:w="68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5053" w:type="dxa"/>
            <w:tcBorders>
              <w:top w:val="nil"/>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完成绩效目标100%得9分，未完成100%的同比例扣减。</w:t>
            </w:r>
          </w:p>
        </w:tc>
        <w:tc>
          <w:tcPr>
            <w:tcW w:w="660"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9</w:t>
            </w:r>
          </w:p>
        </w:tc>
      </w:tr>
      <w:tr>
        <w:tblPrEx>
          <w:tblCellMar>
            <w:top w:w="0" w:type="dxa"/>
            <w:left w:w="108" w:type="dxa"/>
            <w:bottom w:w="0" w:type="dxa"/>
            <w:right w:w="108" w:type="dxa"/>
          </w:tblCellMar>
        </w:tblPrEx>
        <w:trPr>
          <w:trHeight w:val="1284" w:hRule="atLeast"/>
        </w:trPr>
        <w:tc>
          <w:tcPr>
            <w:tcW w:w="668" w:type="dxa"/>
            <w:vMerge w:val="continue"/>
            <w:tcBorders>
              <w:left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686" w:type="dxa"/>
            <w:vMerge w:val="continue"/>
            <w:tcBorders>
              <w:left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812"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质量达标率</w:t>
            </w:r>
          </w:p>
        </w:tc>
        <w:tc>
          <w:tcPr>
            <w:tcW w:w="5655"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质量达标率=（质量达标产出数量/计划完成产出数量）× 100%。                                                                                                                                  质量达标产出数：一定时期（本年度或项目期）内实际达到既定质量标准的产品或服务数量。                                                            既定质量标准是指项目实施单位设立绩效目标时依据计划标准、行业标准、历史标准或其他标准而设定的绩效指标值。  </w:t>
            </w:r>
          </w:p>
        </w:tc>
        <w:tc>
          <w:tcPr>
            <w:tcW w:w="68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5053" w:type="dxa"/>
            <w:tcBorders>
              <w:top w:val="nil"/>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产出质量达到绩效目标100%得9分，未完成100%的同比例扣减。</w:t>
            </w:r>
          </w:p>
        </w:tc>
        <w:tc>
          <w:tcPr>
            <w:tcW w:w="660"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9</w:t>
            </w:r>
          </w:p>
        </w:tc>
      </w:tr>
      <w:tr>
        <w:tblPrEx>
          <w:tblCellMar>
            <w:top w:w="0" w:type="dxa"/>
            <w:left w:w="108" w:type="dxa"/>
            <w:bottom w:w="0" w:type="dxa"/>
            <w:right w:w="108" w:type="dxa"/>
          </w:tblCellMar>
        </w:tblPrEx>
        <w:trPr>
          <w:trHeight w:val="1116" w:hRule="atLeast"/>
        </w:trPr>
        <w:tc>
          <w:tcPr>
            <w:tcW w:w="668" w:type="dxa"/>
            <w:vMerge w:val="continue"/>
            <w:tcBorders>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686" w:type="dxa"/>
            <w:vMerge w:val="continue"/>
            <w:tcBorders>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812"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完成及时性</w:t>
            </w:r>
          </w:p>
        </w:tc>
        <w:tc>
          <w:tcPr>
            <w:tcW w:w="5655"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完成及时率=计划时限内实际完成的项目数量/计划时限内应完成的项目数量×100%。                                                                                                                               实际完成时间：项目实施单位完成该项目实际所耗用的时间。                                                                         计划完成时间：按照项目实施计划或相关规定完成该项目所需的时间。</w:t>
            </w:r>
          </w:p>
        </w:tc>
        <w:tc>
          <w:tcPr>
            <w:tcW w:w="68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5053" w:type="dxa"/>
            <w:tcBorders>
              <w:top w:val="nil"/>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产出时效达到绩效目标得8分，未完成且无充分理由的扣3分。</w:t>
            </w:r>
          </w:p>
        </w:tc>
        <w:tc>
          <w:tcPr>
            <w:tcW w:w="660"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8</w:t>
            </w:r>
          </w:p>
        </w:tc>
      </w:tr>
      <w:tr>
        <w:tblPrEx>
          <w:tblCellMar>
            <w:top w:w="0" w:type="dxa"/>
            <w:left w:w="108" w:type="dxa"/>
            <w:bottom w:w="0" w:type="dxa"/>
            <w:right w:w="108" w:type="dxa"/>
          </w:tblCellMar>
        </w:tblPrEx>
        <w:trPr>
          <w:trHeight w:val="1452" w:hRule="atLeast"/>
        </w:trPr>
        <w:tc>
          <w:tcPr>
            <w:tcW w:w="668" w:type="dxa"/>
            <w:vMerge w:val="restart"/>
            <w:tcBorders>
              <w:top w:val="nil"/>
              <w:left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w:t>
            </w:r>
          </w:p>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（特性指标）（70）</w:t>
            </w:r>
          </w:p>
        </w:tc>
        <w:tc>
          <w:tcPr>
            <w:tcW w:w="686"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产出</w:t>
            </w:r>
          </w:p>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（35分）</w:t>
            </w:r>
          </w:p>
        </w:tc>
        <w:tc>
          <w:tcPr>
            <w:tcW w:w="812" w:type="dxa"/>
            <w:tcBorders>
              <w:top w:val="nil"/>
              <w:left w:val="nil"/>
              <w:bottom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完成成本（成本节约率）</w:t>
            </w:r>
          </w:p>
        </w:tc>
        <w:tc>
          <w:tcPr>
            <w:tcW w:w="5655"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成本节约率=[（计划成本-实际成本）/计划成本]×100%。                                                        实际成本：项目实施单位如期、保质、保量完成既定工作目标实际所耗费的支出。                                                                                        计划成本：项目实施单位为完成工作目标计划安排的支出，一般以项目预算为参考。</w:t>
            </w:r>
          </w:p>
        </w:tc>
        <w:tc>
          <w:tcPr>
            <w:tcW w:w="68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5053" w:type="dxa"/>
            <w:tcBorders>
              <w:top w:val="nil"/>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产出成本按绩效目标控制得9分，未完成的，按超支比例扣减。</w:t>
            </w:r>
          </w:p>
        </w:tc>
        <w:tc>
          <w:tcPr>
            <w:tcW w:w="660"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9</w:t>
            </w:r>
          </w:p>
        </w:tc>
      </w:tr>
      <w:tr>
        <w:tblPrEx>
          <w:tblCellMar>
            <w:top w:w="0" w:type="dxa"/>
            <w:left w:w="108" w:type="dxa"/>
            <w:bottom w:w="0" w:type="dxa"/>
            <w:right w:w="108" w:type="dxa"/>
          </w:tblCellMar>
        </w:tblPrEx>
        <w:trPr>
          <w:trHeight w:val="792" w:hRule="atLeast"/>
        </w:trPr>
        <w:tc>
          <w:tcPr>
            <w:tcW w:w="668" w:type="dxa"/>
            <w:vMerge w:val="continue"/>
            <w:tcBorders>
              <w:left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686" w:type="dxa"/>
            <w:tcBorders>
              <w:top w:val="nil"/>
              <w:left w:val="nil"/>
              <w:bottom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效益</w:t>
            </w:r>
          </w:p>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（30分）</w:t>
            </w:r>
          </w:p>
        </w:tc>
        <w:tc>
          <w:tcPr>
            <w:tcW w:w="812"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社会效益（可选项）</w:t>
            </w:r>
          </w:p>
        </w:tc>
        <w:tc>
          <w:tcPr>
            <w:tcW w:w="5655"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反映相关产出对社会发展带来的影响和效果，根据项目实际细化具体指标。重点考核撬动率、贡献率、达标率、就业率等指标。</w:t>
            </w:r>
          </w:p>
        </w:tc>
        <w:tc>
          <w:tcPr>
            <w:tcW w:w="68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c>
          <w:tcPr>
            <w:tcW w:w="5053" w:type="dxa"/>
            <w:tcBorders>
              <w:top w:val="nil"/>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完成绩效目标设定的社会效益得7分，未完成的，按完成情况酌情扣分。</w:t>
            </w:r>
          </w:p>
        </w:tc>
        <w:tc>
          <w:tcPr>
            <w:tcW w:w="660"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30</w:t>
            </w:r>
          </w:p>
        </w:tc>
      </w:tr>
      <w:tr>
        <w:tblPrEx>
          <w:tblCellMar>
            <w:top w:w="0" w:type="dxa"/>
            <w:left w:w="108" w:type="dxa"/>
            <w:bottom w:w="0" w:type="dxa"/>
            <w:right w:w="108" w:type="dxa"/>
          </w:tblCellMar>
        </w:tblPrEx>
        <w:trPr>
          <w:trHeight w:val="1073" w:hRule="atLeast"/>
        </w:trPr>
        <w:tc>
          <w:tcPr>
            <w:tcW w:w="668" w:type="dxa"/>
            <w:vMerge w:val="continue"/>
            <w:tcBorders>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686" w:type="dxa"/>
            <w:tcBorders>
              <w:top w:val="nil"/>
              <w:left w:val="nil"/>
              <w:bottom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满意度              （5分）</w:t>
            </w:r>
          </w:p>
        </w:tc>
        <w:tc>
          <w:tcPr>
            <w:tcW w:w="812" w:type="dxa"/>
            <w:tcBorders>
              <w:top w:val="nil"/>
              <w:left w:val="nil"/>
              <w:bottom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服务对象满意度</w:t>
            </w:r>
          </w:p>
        </w:tc>
        <w:tc>
          <w:tcPr>
            <w:tcW w:w="5655"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满意率反映服务对象或项目受益人对相关产出及其影响的认可程度，根据项目实际细化具体指标。重点考核满意率等指标。</w:t>
            </w:r>
          </w:p>
        </w:tc>
        <w:tc>
          <w:tcPr>
            <w:tcW w:w="68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5053" w:type="dxa"/>
            <w:tcBorders>
              <w:top w:val="nil"/>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满意率达90%（含）以上的得5分；80%（含）-89%得4分；70%（含）-79%得3分；60%（含）-69%得2分；60%以下不得分。</w:t>
            </w:r>
          </w:p>
        </w:tc>
        <w:tc>
          <w:tcPr>
            <w:tcW w:w="660"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5</w:t>
            </w:r>
          </w:p>
        </w:tc>
      </w:tr>
      <w:tr>
        <w:tblPrEx>
          <w:tblCellMar>
            <w:top w:w="0" w:type="dxa"/>
            <w:left w:w="108" w:type="dxa"/>
            <w:bottom w:w="0" w:type="dxa"/>
            <w:right w:w="108" w:type="dxa"/>
          </w:tblCellMar>
        </w:tblPrEx>
        <w:trPr>
          <w:trHeight w:val="585" w:hRule="atLeast"/>
        </w:trPr>
        <w:tc>
          <w:tcPr>
            <w:tcW w:w="7821"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分值</w:t>
            </w:r>
          </w:p>
        </w:tc>
        <w:tc>
          <w:tcPr>
            <w:tcW w:w="68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100</w:t>
            </w:r>
          </w:p>
        </w:tc>
        <w:tc>
          <w:tcPr>
            <w:tcW w:w="5053"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自评得分</w:t>
            </w:r>
          </w:p>
        </w:tc>
        <w:tc>
          <w:tcPr>
            <w:tcW w:w="660"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96</w:t>
            </w:r>
          </w:p>
        </w:tc>
      </w:tr>
      <w:tr>
        <w:tblPrEx>
          <w:tblCellMar>
            <w:top w:w="0" w:type="dxa"/>
            <w:left w:w="108" w:type="dxa"/>
            <w:bottom w:w="0" w:type="dxa"/>
            <w:right w:w="108" w:type="dxa"/>
          </w:tblCellMar>
        </w:tblPrEx>
        <w:trPr>
          <w:trHeight w:val="612" w:hRule="atLeast"/>
        </w:trPr>
        <w:tc>
          <w:tcPr>
            <w:tcW w:w="2564"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自评等级</w:t>
            </w:r>
          </w:p>
        </w:tc>
        <w:tc>
          <w:tcPr>
            <w:tcW w:w="11656" w:type="dxa"/>
            <w:gridSpan w:val="4"/>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自评结果：■优秀（90≤得分≤100）；   □良好（80≤得分＜89）；   □及格（60≤得分＜79）；   □不及格（低于60分）</w:t>
            </w:r>
          </w:p>
        </w:tc>
      </w:tr>
    </w:tbl>
    <w:p>
      <w:pPr>
        <w:pStyle w:val="6"/>
        <w:spacing w:before="93"/>
        <w:rPr>
          <w:rFonts w:hAnsi="宋体" w:cs="宋体"/>
          <w:sz w:val="32"/>
          <w:szCs w:val="32"/>
          <w:shd w:val="clear" w:color="auto" w:fill="FFFFFF"/>
          <w:lang w:val="zh-CN"/>
        </w:rPr>
      </w:pPr>
    </w:p>
    <w:p>
      <w:pPr>
        <w:pStyle w:val="6"/>
        <w:spacing w:before="93"/>
        <w:rPr>
          <w:rFonts w:hAnsi="宋体" w:cs="宋体"/>
          <w:sz w:val="32"/>
          <w:szCs w:val="32"/>
          <w:shd w:val="clear" w:color="auto" w:fill="FFFFFF"/>
          <w:lang w:val="zh-CN"/>
        </w:rPr>
        <w:sectPr>
          <w:pgSz w:w="16838" w:h="11905" w:orient="landscape"/>
          <w:pgMar w:top="1587" w:right="2098" w:bottom="1474" w:left="1984" w:header="851" w:footer="1474" w:gutter="0"/>
          <w:pgNumType w:fmt="decimal"/>
          <w:cols w:space="0" w:num="1"/>
          <w:rtlGutter w:val="0"/>
          <w:docGrid w:type="lines" w:linePitch="327" w:charSpace="0"/>
        </w:sectPr>
      </w:pPr>
    </w:p>
    <w:p>
      <w:pPr>
        <w:autoSpaceDE w:val="0"/>
        <w:spacing w:line="576" w:lineRule="exact"/>
        <w:jc w:val="center"/>
        <w:rPr>
          <w:rFonts w:hint="eastAsia" w:ascii="方正小标宋简体" w:hAnsi="??" w:eastAsia="方正小标宋简体"/>
          <w:color w:val="000000"/>
          <w:kern w:val="0"/>
          <w:sz w:val="44"/>
          <w:szCs w:val="44"/>
        </w:rPr>
      </w:pPr>
      <w:r>
        <w:rPr>
          <w:rFonts w:hint="eastAsia" w:ascii="方正小标宋简体" w:hAnsi="??" w:eastAsia="方正小标宋简体"/>
          <w:color w:val="000000"/>
          <w:kern w:val="0"/>
          <w:sz w:val="44"/>
          <w:szCs w:val="44"/>
        </w:rPr>
        <w:t>中共广元市朝天区委办公室</w:t>
      </w:r>
    </w:p>
    <w:p>
      <w:pPr>
        <w:autoSpaceDE w:val="0"/>
        <w:spacing w:line="576" w:lineRule="exact"/>
        <w:jc w:val="center"/>
        <w:rPr>
          <w:rFonts w:hint="eastAsia" w:ascii="方正小标宋简体" w:hAnsi="??" w:eastAsia="方正小标宋简体"/>
          <w:color w:val="000000"/>
          <w:kern w:val="0"/>
          <w:sz w:val="44"/>
          <w:szCs w:val="44"/>
        </w:rPr>
      </w:pPr>
      <w:r>
        <w:rPr>
          <w:rFonts w:hint="eastAsia" w:ascii="方正小标宋简体" w:hAnsi="??" w:eastAsia="方正小标宋简体"/>
          <w:color w:val="000000"/>
          <w:kern w:val="0"/>
          <w:sz w:val="44"/>
          <w:szCs w:val="44"/>
        </w:rPr>
        <w:t>2021年度部门预算项目支出绩效自评报告</w:t>
      </w:r>
    </w:p>
    <w:p>
      <w:pPr>
        <w:autoSpaceDE w:val="0"/>
        <w:spacing w:line="576" w:lineRule="exact"/>
        <w:jc w:val="center"/>
        <w:rPr>
          <w:rFonts w:hint="eastAsia" w:ascii="楷体_GB2312" w:hAnsi="Times New Roman" w:eastAsia="楷体_GB2312"/>
          <w:szCs w:val="21"/>
        </w:rPr>
      </w:pPr>
      <w:r>
        <w:rPr>
          <w:rFonts w:hint="eastAsia" w:ascii="楷体_GB2312" w:hAnsi="??" w:eastAsia="楷体_GB2312"/>
          <w:sz w:val="32"/>
          <w:szCs w:val="32"/>
        </w:rPr>
        <w:t>（党史专项项目）</w:t>
      </w:r>
    </w:p>
    <w:p>
      <w:pPr>
        <w:autoSpaceDE w:val="0"/>
        <w:spacing w:line="576" w:lineRule="exact"/>
        <w:ind w:firstLine="640" w:firstLineChars="200"/>
        <w:rPr>
          <w:rFonts w:ascii="黑体" w:hAnsi="黑体" w:eastAsia="黑体"/>
          <w:sz w:val="32"/>
          <w:szCs w:val="32"/>
        </w:rPr>
      </w:pPr>
    </w:p>
    <w:p>
      <w:pPr>
        <w:autoSpaceDE w:val="0"/>
        <w:spacing w:line="576" w:lineRule="exact"/>
        <w:ind w:firstLine="640" w:firstLineChars="200"/>
        <w:rPr>
          <w:rFonts w:ascii="黑体" w:hAnsi="黑体" w:eastAsia="黑体"/>
          <w:sz w:val="32"/>
          <w:szCs w:val="32"/>
        </w:rPr>
      </w:pPr>
      <w:r>
        <w:rPr>
          <w:rFonts w:hint="eastAsia" w:ascii="黑体" w:hAnsi="黑体" w:eastAsia="黑体"/>
          <w:sz w:val="32"/>
          <w:szCs w:val="32"/>
        </w:rPr>
        <w:t>一、项目概况</w:t>
      </w:r>
    </w:p>
    <w:p>
      <w:pPr>
        <w:spacing w:line="576" w:lineRule="exact"/>
        <w:ind w:firstLine="640" w:firstLineChars="200"/>
        <w:rPr>
          <w:rFonts w:ascii="仿宋_GB2312" w:hAnsi="??" w:eastAsia="仿宋_GB2312"/>
          <w:sz w:val="32"/>
          <w:szCs w:val="32"/>
        </w:rPr>
      </w:pPr>
      <w:r>
        <w:rPr>
          <w:rFonts w:hint="eastAsia" w:ascii="仿宋_GB2312" w:hAnsi="??" w:eastAsia="仿宋_GB2312"/>
          <w:sz w:val="32"/>
          <w:szCs w:val="32"/>
        </w:rPr>
        <w:t>党史专项项目为为我单位常年延续性项目。为切实加强党的思想政治建设，深化党的执政理论研究，教育鼓舞全体党员干部继承优良传统，弘扬民族精神，推进全面建设小康社会进程，保障党史资料征集、《执政实录》编撰及党史宣传教育活动开展及日常工作运转而设立该项目。</w:t>
      </w:r>
    </w:p>
    <w:p>
      <w:pPr>
        <w:autoSpaceDE w:val="0"/>
        <w:spacing w:line="576" w:lineRule="exact"/>
        <w:ind w:firstLine="640" w:firstLineChars="200"/>
        <w:rPr>
          <w:rFonts w:ascii="仿宋_GB2312" w:hAnsi="Times New Roman" w:eastAsia="仿宋_GB2312"/>
          <w:sz w:val="32"/>
          <w:szCs w:val="32"/>
        </w:rPr>
      </w:pPr>
      <w:r>
        <w:rPr>
          <w:rFonts w:hint="eastAsia" w:ascii="楷体_GB2312" w:hAnsi="Times New Roman" w:eastAsia="楷体_GB2312"/>
          <w:bCs/>
          <w:sz w:val="32"/>
          <w:szCs w:val="32"/>
        </w:rPr>
        <w:t>（一）项目资金申报及批复情况。</w:t>
      </w:r>
      <w:r>
        <w:rPr>
          <w:rFonts w:hint="eastAsia" w:ascii="仿宋_GB2312" w:hAnsi="Times New Roman" w:eastAsia="仿宋_GB2312"/>
          <w:sz w:val="32"/>
          <w:szCs w:val="32"/>
        </w:rPr>
        <w:t>该项目年初通过预算项目申报，实际批复预算金额</w:t>
      </w:r>
      <w:r>
        <w:rPr>
          <w:rFonts w:ascii="仿宋_GB2312" w:hAnsi="Times New Roman" w:eastAsia="仿宋_GB2312"/>
          <w:sz w:val="32"/>
          <w:szCs w:val="32"/>
        </w:rPr>
        <w:t>25</w:t>
      </w:r>
      <w:r>
        <w:rPr>
          <w:rFonts w:hint="eastAsia" w:ascii="仿宋_GB2312" w:hAnsi="Times New Roman" w:eastAsia="仿宋_GB2312"/>
          <w:sz w:val="32"/>
          <w:szCs w:val="32"/>
        </w:rPr>
        <w:t>万元，其中一般公共预算金额</w:t>
      </w:r>
      <w:r>
        <w:rPr>
          <w:rFonts w:ascii="仿宋_GB2312" w:hAnsi="Times New Roman" w:eastAsia="仿宋_GB2312"/>
          <w:sz w:val="32"/>
          <w:szCs w:val="32"/>
        </w:rPr>
        <w:t>25</w:t>
      </w:r>
      <w:r>
        <w:rPr>
          <w:rFonts w:hint="eastAsia" w:ascii="仿宋_GB2312" w:hAnsi="Times New Roman" w:eastAsia="仿宋_GB2312"/>
          <w:sz w:val="32"/>
          <w:szCs w:val="32"/>
        </w:rPr>
        <w:t>万元。预算年度内未进行预算调整，符合预算内资金管理办法等相关规定。</w:t>
      </w:r>
    </w:p>
    <w:p>
      <w:pPr>
        <w:autoSpaceDE w:val="0"/>
        <w:spacing w:line="576" w:lineRule="exact"/>
        <w:ind w:firstLine="640" w:firstLineChars="200"/>
        <w:rPr>
          <w:rFonts w:ascii="仿宋_GB2312" w:hAnsi="Times New Roman" w:eastAsia="仿宋_GB2312"/>
          <w:sz w:val="32"/>
          <w:szCs w:val="32"/>
        </w:rPr>
      </w:pPr>
      <w:r>
        <w:rPr>
          <w:rFonts w:hint="eastAsia" w:ascii="楷体_GB2312" w:hAnsi="Times New Roman" w:eastAsia="楷体_GB2312"/>
          <w:bCs/>
          <w:sz w:val="32"/>
          <w:szCs w:val="32"/>
        </w:rPr>
        <w:t>（二）项目绩效目标。</w:t>
      </w:r>
      <w:r>
        <w:rPr>
          <w:rFonts w:hint="eastAsia" w:ascii="仿宋_GB2312" w:hAnsi="仿宋_GB2312" w:eastAsia="仿宋_GB2312" w:cs="仿宋_GB2312"/>
          <w:bCs/>
          <w:sz w:val="32"/>
          <w:szCs w:val="32"/>
        </w:rPr>
        <w:t>年初预算申报时，我单位根据党史全年工作计划对项目绩效目标</w:t>
      </w:r>
      <w:r>
        <w:rPr>
          <w:rFonts w:hint="eastAsia" w:ascii="仿宋_GB2312" w:hAnsi="??" w:eastAsia="仿宋_GB2312"/>
          <w:sz w:val="32"/>
          <w:szCs w:val="32"/>
        </w:rPr>
        <w:t>从数量指标、质量指标、时效指标、成本指标、效益指标、可持续影响指标、满意度指标</w:t>
      </w:r>
      <w:r>
        <w:rPr>
          <w:rFonts w:ascii="仿宋_GB2312" w:hAnsi="??" w:eastAsia="仿宋_GB2312"/>
          <w:sz w:val="32"/>
          <w:szCs w:val="32"/>
        </w:rPr>
        <w:t>7</w:t>
      </w:r>
      <w:r>
        <w:rPr>
          <w:rFonts w:hint="eastAsia" w:ascii="仿宋_GB2312" w:hAnsi="??" w:eastAsia="仿宋_GB2312"/>
          <w:sz w:val="32"/>
          <w:szCs w:val="32"/>
        </w:rPr>
        <w:t>个方面</w:t>
      </w:r>
      <w:r>
        <w:rPr>
          <w:rFonts w:hint="eastAsia" w:ascii="仿宋_GB2312" w:hAnsi="仿宋_GB2312" w:eastAsia="仿宋_GB2312" w:cs="仿宋_GB2312"/>
          <w:bCs/>
          <w:sz w:val="32"/>
          <w:szCs w:val="32"/>
        </w:rPr>
        <w:t>进行了相应设定，预计全年全年开展党史宣传教育活动</w:t>
      </w:r>
      <w:r>
        <w:rPr>
          <w:rFonts w:ascii="仿宋_GB2312" w:hAnsi="仿宋_GB2312" w:eastAsia="仿宋_GB2312" w:cs="仿宋_GB2312"/>
          <w:bCs/>
          <w:sz w:val="32"/>
          <w:szCs w:val="32"/>
        </w:rPr>
        <w:t>4</w:t>
      </w:r>
      <w:r>
        <w:rPr>
          <w:rFonts w:hint="eastAsia" w:ascii="仿宋_GB2312" w:hAnsi="仿宋_GB2312" w:eastAsia="仿宋_GB2312" w:cs="仿宋_GB2312"/>
          <w:bCs/>
          <w:sz w:val="32"/>
          <w:szCs w:val="32"/>
        </w:rPr>
        <w:t>次，完成党史资料征集</w:t>
      </w:r>
      <w:r>
        <w:rPr>
          <w:rFonts w:ascii="仿宋_GB2312" w:hAnsi="仿宋_GB2312" w:eastAsia="仿宋_GB2312" w:cs="仿宋_GB2312"/>
          <w:bCs/>
          <w:sz w:val="32"/>
          <w:szCs w:val="32"/>
        </w:rPr>
        <w:t>20</w:t>
      </w:r>
      <w:r>
        <w:rPr>
          <w:rFonts w:hint="eastAsia" w:ascii="仿宋_GB2312" w:hAnsi="仿宋_GB2312" w:eastAsia="仿宋_GB2312" w:cs="仿宋_GB2312"/>
          <w:bCs/>
          <w:sz w:val="32"/>
          <w:szCs w:val="32"/>
        </w:rPr>
        <w:t>余万字，编撰出版《执政实录</w:t>
      </w:r>
      <w:r>
        <w:rPr>
          <w:rFonts w:ascii="仿宋_GB2312" w:hAnsi="仿宋_GB2312" w:eastAsia="仿宋_GB2312" w:cs="仿宋_GB2312"/>
          <w:bCs/>
          <w:sz w:val="32"/>
          <w:szCs w:val="32"/>
        </w:rPr>
        <w:t>2020</w:t>
      </w:r>
      <w:r>
        <w:rPr>
          <w:rFonts w:hint="eastAsia" w:ascii="仿宋_GB2312" w:hAnsi="仿宋_GB2312" w:eastAsia="仿宋_GB2312" w:cs="仿宋_GB2312"/>
          <w:bCs/>
          <w:sz w:val="32"/>
          <w:szCs w:val="32"/>
        </w:rPr>
        <w:t>》，</w:t>
      </w:r>
      <w:r>
        <w:rPr>
          <w:rFonts w:hint="eastAsia" w:ascii="仿宋_GB2312" w:hAnsi="??" w:eastAsia="仿宋_GB2312"/>
          <w:sz w:val="32"/>
          <w:szCs w:val="32"/>
        </w:rPr>
        <w:t>并将其作为组织项目预算执行、开展绩效监控、绩效自评和绩效评价的重要依据</w:t>
      </w:r>
      <w:r>
        <w:rPr>
          <w:rFonts w:hint="eastAsia" w:ascii="仿宋_GB2312" w:hAnsi="Times New Roman" w:eastAsia="仿宋_GB2312"/>
          <w:sz w:val="32"/>
          <w:szCs w:val="32"/>
        </w:rPr>
        <w:t>。</w:t>
      </w:r>
    </w:p>
    <w:p>
      <w:pPr>
        <w:autoSpaceDE w:val="0"/>
        <w:spacing w:line="576" w:lineRule="exact"/>
        <w:ind w:firstLine="640" w:firstLineChars="200"/>
        <w:rPr>
          <w:rFonts w:ascii="仿宋_GB2312" w:hAnsi="Times New Roman" w:eastAsia="仿宋_GB2312"/>
          <w:sz w:val="32"/>
          <w:szCs w:val="32"/>
        </w:rPr>
      </w:pPr>
      <w:r>
        <w:rPr>
          <w:rFonts w:hint="eastAsia" w:ascii="楷体_GB2312" w:hAnsi="Times New Roman" w:eastAsia="楷体_GB2312"/>
          <w:bCs/>
          <w:sz w:val="32"/>
          <w:szCs w:val="32"/>
        </w:rPr>
        <w:t>（三）项目资金申报相符性。</w:t>
      </w:r>
      <w:r>
        <w:rPr>
          <w:rFonts w:hint="eastAsia" w:ascii="仿宋_GB2312" w:hAnsi="Times New Roman" w:eastAsia="仿宋_GB2312"/>
          <w:sz w:val="32"/>
          <w:szCs w:val="32"/>
        </w:rPr>
        <w:t>通过项目实施，全年征集整理地方党史文字资料近</w:t>
      </w:r>
      <w:r>
        <w:rPr>
          <w:rFonts w:ascii="仿宋_GB2312" w:hAnsi="Times New Roman" w:eastAsia="仿宋_GB2312"/>
          <w:sz w:val="32"/>
          <w:szCs w:val="32"/>
        </w:rPr>
        <w:t>20</w:t>
      </w:r>
      <w:r>
        <w:rPr>
          <w:rFonts w:hint="eastAsia" w:ascii="仿宋_GB2312" w:hAnsi="Times New Roman" w:eastAsia="仿宋_GB2312"/>
          <w:sz w:val="32"/>
          <w:szCs w:val="32"/>
        </w:rPr>
        <w:t>余万字、征集整理党史图片资料</w:t>
      </w:r>
      <w:r>
        <w:rPr>
          <w:rFonts w:ascii="仿宋_GB2312" w:hAnsi="Times New Roman" w:eastAsia="仿宋_GB2312"/>
          <w:sz w:val="32"/>
          <w:szCs w:val="32"/>
        </w:rPr>
        <w:t>30</w:t>
      </w:r>
      <w:r>
        <w:rPr>
          <w:rFonts w:hint="eastAsia" w:ascii="仿宋_GB2312" w:hAnsi="Times New Roman" w:eastAsia="仿宋_GB2312"/>
          <w:sz w:val="32"/>
          <w:szCs w:val="32"/>
        </w:rPr>
        <w:t>余幅。积极组织编纂《中国共产党广元市朝天区执政实录（</w:t>
      </w:r>
      <w:r>
        <w:rPr>
          <w:rFonts w:ascii="仿宋_GB2312" w:hAnsi="Times New Roman" w:eastAsia="仿宋_GB2312"/>
          <w:sz w:val="32"/>
          <w:szCs w:val="32"/>
        </w:rPr>
        <w:t>2020</w:t>
      </w:r>
      <w:r>
        <w:rPr>
          <w:rFonts w:hint="eastAsia" w:ascii="仿宋_GB2312" w:hAnsi="Times New Roman" w:eastAsia="仿宋_GB2312"/>
          <w:sz w:val="32"/>
          <w:szCs w:val="32"/>
        </w:rPr>
        <w:t>）》。开展党史“七进”活动</w:t>
      </w:r>
      <w:r>
        <w:rPr>
          <w:rFonts w:ascii="仿宋_GB2312" w:hAnsi="Times New Roman" w:eastAsia="仿宋_GB2312"/>
          <w:sz w:val="32"/>
          <w:szCs w:val="32"/>
        </w:rPr>
        <w:t>4</w:t>
      </w:r>
      <w:r>
        <w:rPr>
          <w:rFonts w:hint="eastAsia" w:ascii="仿宋_GB2312" w:hAnsi="Times New Roman" w:eastAsia="仿宋_GB2312"/>
          <w:sz w:val="32"/>
          <w:szCs w:val="32"/>
        </w:rPr>
        <w:t>场次，向各乡镇、区级各部门</w:t>
      </w:r>
      <w:r>
        <w:rPr>
          <w:rFonts w:ascii="仿宋_GB2312" w:hAnsi="Times New Roman" w:eastAsia="仿宋_GB2312"/>
          <w:sz w:val="32"/>
          <w:szCs w:val="32"/>
        </w:rPr>
        <w:t>130</w:t>
      </w:r>
      <w:r>
        <w:rPr>
          <w:rFonts w:hint="eastAsia" w:ascii="仿宋_GB2312" w:hAnsi="Times New Roman" w:eastAsia="仿宋_GB2312"/>
          <w:sz w:val="32"/>
          <w:szCs w:val="32"/>
        </w:rPr>
        <w:t>多个单位赠送地方党史书籍</w:t>
      </w:r>
      <w:r>
        <w:rPr>
          <w:rFonts w:ascii="仿宋_GB2312" w:hAnsi="Times New Roman" w:eastAsia="仿宋_GB2312"/>
          <w:sz w:val="32"/>
          <w:szCs w:val="32"/>
        </w:rPr>
        <w:t>900</w:t>
      </w:r>
      <w:r>
        <w:rPr>
          <w:rFonts w:hint="eastAsia" w:ascii="仿宋_GB2312" w:hAnsi="Times New Roman" w:eastAsia="仿宋_GB2312"/>
          <w:sz w:val="32"/>
          <w:szCs w:val="32"/>
        </w:rPr>
        <w:t>余本，向省市报送党史信息</w:t>
      </w:r>
      <w:r>
        <w:rPr>
          <w:rFonts w:ascii="仿宋_GB2312" w:hAnsi="Times New Roman" w:eastAsia="仿宋_GB2312"/>
          <w:sz w:val="32"/>
          <w:szCs w:val="32"/>
        </w:rPr>
        <w:t>20</w:t>
      </w:r>
      <w:r>
        <w:rPr>
          <w:rFonts w:hint="eastAsia" w:ascii="仿宋_GB2312" w:hAnsi="Times New Roman" w:eastAsia="仿宋_GB2312"/>
          <w:sz w:val="32"/>
          <w:szCs w:val="32"/>
        </w:rPr>
        <w:t>余条，</w:t>
      </w:r>
      <w:r>
        <w:rPr>
          <w:rFonts w:hint="eastAsia" w:ascii="仿宋_GB2312" w:eastAsia="仿宋_GB2312"/>
          <w:sz w:val="32"/>
          <w:szCs w:val="32"/>
        </w:rPr>
        <w:t>登记上报全区红色遗址</w:t>
      </w:r>
      <w:r>
        <w:rPr>
          <w:rFonts w:ascii="仿宋_GB2312" w:eastAsia="仿宋_GB2312"/>
          <w:sz w:val="32"/>
          <w:szCs w:val="32"/>
        </w:rPr>
        <w:t>20</w:t>
      </w:r>
      <w:r>
        <w:rPr>
          <w:rFonts w:hint="eastAsia" w:ascii="仿宋_GB2312" w:eastAsia="仿宋_GB2312"/>
          <w:sz w:val="32"/>
          <w:szCs w:val="32"/>
        </w:rPr>
        <w:t>处</w:t>
      </w:r>
      <w:r>
        <w:rPr>
          <w:rFonts w:hint="eastAsia" w:ascii="仿宋_GB2312" w:hAnsi="Times New Roman" w:eastAsia="仿宋_GB2312"/>
          <w:sz w:val="32"/>
          <w:szCs w:val="32"/>
        </w:rPr>
        <w:t>。</w:t>
      </w:r>
      <w:r>
        <w:rPr>
          <w:rFonts w:hint="eastAsia" w:ascii="仿宋_GB2312" w:hAnsi="??" w:eastAsia="仿宋_GB2312"/>
          <w:sz w:val="32"/>
          <w:szCs w:val="32"/>
        </w:rPr>
        <w:t>达到了年初预算申报的相应绩效目标，相应的数量指标、质量指标、时效指标、成本指标等均达到预期。</w:t>
      </w:r>
      <w:r>
        <w:rPr>
          <w:rFonts w:hint="eastAsia" w:ascii="仿宋_GB2312" w:hAnsi="Times New Roman" w:eastAsia="仿宋_GB2312"/>
          <w:sz w:val="32"/>
          <w:szCs w:val="32"/>
        </w:rPr>
        <w:t>项目申报内容与具体实施内容相符、申报目标合理可行。</w:t>
      </w:r>
    </w:p>
    <w:p>
      <w:pPr>
        <w:autoSpaceDE w:val="0"/>
        <w:spacing w:line="576" w:lineRule="exact"/>
        <w:ind w:firstLine="640" w:firstLineChars="200"/>
        <w:rPr>
          <w:rFonts w:ascii="黑体" w:hAnsi="黑体" w:eastAsia="黑体"/>
          <w:sz w:val="32"/>
          <w:szCs w:val="32"/>
        </w:rPr>
      </w:pPr>
      <w:r>
        <w:rPr>
          <w:rFonts w:hint="eastAsia" w:ascii="黑体" w:hAnsi="黑体" w:eastAsia="黑体"/>
          <w:sz w:val="32"/>
          <w:szCs w:val="32"/>
        </w:rPr>
        <w:t>二、项目实施及管理情况</w:t>
      </w:r>
    </w:p>
    <w:p>
      <w:pPr>
        <w:autoSpaceDE w:val="0"/>
        <w:spacing w:line="576"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（一）资金计划、到位及使用情况</w:t>
      </w:r>
    </w:p>
    <w:p>
      <w:pPr>
        <w:autoSpaceDE w:val="0"/>
        <w:spacing w:line="576" w:lineRule="exact"/>
        <w:ind w:firstLine="640" w:firstLineChars="200"/>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资金计划及到位。截止评价时点该项目实际到位资金</w:t>
      </w:r>
      <w:r>
        <w:rPr>
          <w:rFonts w:ascii="仿宋_GB2312" w:hAnsi="Times New Roman" w:eastAsia="仿宋_GB2312"/>
          <w:sz w:val="32"/>
          <w:szCs w:val="32"/>
        </w:rPr>
        <w:t>25</w:t>
      </w:r>
      <w:r>
        <w:rPr>
          <w:rFonts w:hint="eastAsia" w:ascii="仿宋_GB2312" w:hAnsi="Times New Roman" w:eastAsia="仿宋_GB2312"/>
          <w:sz w:val="32"/>
          <w:szCs w:val="32"/>
        </w:rPr>
        <w:t>万元，资金到位率</w:t>
      </w:r>
      <w:r>
        <w:rPr>
          <w:rFonts w:ascii="仿宋_GB2312" w:hAnsi="Times New Roman" w:eastAsia="仿宋_GB2312"/>
          <w:sz w:val="32"/>
          <w:szCs w:val="32"/>
        </w:rPr>
        <w:t>100%</w:t>
      </w:r>
      <w:r>
        <w:rPr>
          <w:rFonts w:hint="eastAsia" w:ascii="仿宋_GB2312" w:hAnsi="Times New Roman" w:eastAsia="仿宋_GB2312"/>
          <w:sz w:val="32"/>
          <w:szCs w:val="32"/>
        </w:rPr>
        <w:t>。在项目实施过程中，我单位</w:t>
      </w:r>
      <w:r>
        <w:rPr>
          <w:rFonts w:hint="eastAsia" w:ascii="仿宋_GB2312" w:hAnsi="??" w:eastAsia="仿宋_GB2312"/>
          <w:sz w:val="32"/>
          <w:szCs w:val="32"/>
        </w:rPr>
        <w:t>根据工作实际开展情况，及时与区财政协调，分批调拨项目资金，确保资金及时到位，努力保障党史工作开展。</w:t>
      </w:r>
    </w:p>
    <w:p>
      <w:pPr>
        <w:autoSpaceDE w:val="0"/>
        <w:spacing w:line="576" w:lineRule="exact"/>
        <w:ind w:firstLine="640" w:firstLineChars="200"/>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Times New Roman" w:eastAsia="仿宋_GB2312"/>
          <w:sz w:val="32"/>
          <w:szCs w:val="32"/>
        </w:rPr>
        <w:t>资金使用。</w:t>
      </w:r>
      <w:r>
        <w:rPr>
          <w:rFonts w:hint="eastAsia" w:ascii="仿宋_GB2312" w:hAnsi="??" w:eastAsia="仿宋_GB2312"/>
          <w:sz w:val="32"/>
          <w:szCs w:val="32"/>
        </w:rPr>
        <w:t>在项目实施过程中，我单位严格执行财经纪律，切实加大专项资金的管理和监督，规范专项资金使用，切实提高资金使用效率，使用专项资金时，全部通过国库集中支付方式进行，截止项目实施完毕，资金全额调拨到位并支付完毕。</w:t>
      </w:r>
    </w:p>
    <w:p>
      <w:pPr>
        <w:autoSpaceDE w:val="0"/>
        <w:spacing w:line="576"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（二）项目财务管理情况</w:t>
      </w:r>
    </w:p>
    <w:p>
      <w:pPr>
        <w:autoSpaceDE w:val="0"/>
        <w:spacing w:line="576" w:lineRule="exact"/>
        <w:ind w:firstLine="640" w:firstLineChars="200"/>
        <w:rPr>
          <w:rFonts w:ascii="仿宋_GB2312" w:hAnsi="Times New Roman" w:eastAsia="仿宋_GB2312"/>
          <w:sz w:val="32"/>
          <w:szCs w:val="32"/>
        </w:rPr>
      </w:pPr>
      <w:r>
        <w:rPr>
          <w:rFonts w:hint="eastAsia" w:ascii="仿宋_GB2312" w:hAnsi="??" w:eastAsia="仿宋_GB2312"/>
          <w:sz w:val="32"/>
          <w:szCs w:val="32"/>
        </w:rPr>
        <w:t>在项目实施过程中，我单位严格财经纪律，严禁虚报、挤占、挪用项目资金现象发生。同时进一步健全单位内控管理制度，严格财务会计核算，及时进行账务处理，确保专款专用，项目资金无滞留、闲置现象发生</w:t>
      </w:r>
      <w:r>
        <w:rPr>
          <w:rFonts w:hint="eastAsia" w:ascii="仿宋_GB2312" w:hAnsi="Times New Roman" w:eastAsia="仿宋_GB2312"/>
          <w:sz w:val="32"/>
          <w:szCs w:val="32"/>
        </w:rPr>
        <w:t>。</w:t>
      </w:r>
    </w:p>
    <w:p>
      <w:pPr>
        <w:autoSpaceDE w:val="0"/>
        <w:spacing w:line="576"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（三）项目组织实施情况</w:t>
      </w:r>
    </w:p>
    <w:p>
      <w:pPr>
        <w:spacing w:line="576" w:lineRule="exact"/>
        <w:ind w:firstLine="640" w:firstLineChars="200"/>
        <w:rPr>
          <w:rFonts w:ascii="仿宋_GB2312" w:hAnsi="??" w:eastAsia="仿宋_GB2312"/>
          <w:sz w:val="32"/>
          <w:szCs w:val="32"/>
        </w:rPr>
      </w:pPr>
      <w:r>
        <w:rPr>
          <w:rFonts w:hint="eastAsia" w:ascii="仿宋_GB2312" w:hAnsi="??" w:eastAsia="仿宋_GB2312"/>
          <w:sz w:val="32"/>
          <w:szCs w:val="32"/>
        </w:rPr>
        <w:t>根据</w:t>
      </w:r>
      <w:r>
        <w:rPr>
          <w:rFonts w:hint="eastAsia" w:ascii="仿宋_GB2312" w:hAnsi="??" w:eastAsia="仿宋_GB2312" w:cs="仿宋_GB2312"/>
          <w:sz w:val="32"/>
          <w:szCs w:val="32"/>
        </w:rPr>
        <w:t>广朝编委发〔2019〕</w:t>
      </w:r>
      <w:r>
        <w:rPr>
          <w:rFonts w:ascii="仿宋_GB2312" w:hAnsi="??" w:eastAsia="仿宋_GB2312" w:cs="仿宋_GB2312"/>
          <w:sz w:val="32"/>
          <w:szCs w:val="32"/>
        </w:rPr>
        <w:t>54</w:t>
      </w:r>
      <w:r>
        <w:rPr>
          <w:rFonts w:hint="eastAsia" w:ascii="仿宋_GB2312" w:hAnsi="??" w:eastAsia="仿宋_GB2312" w:cs="仿宋_GB2312"/>
          <w:sz w:val="32"/>
          <w:szCs w:val="32"/>
        </w:rPr>
        <w:t>号关于调整中共广元市朝天区委办公室有关机构编制事项通知文件精神，进一步明确了党史办的相关行政职能职责，落实了专人对工作具体负责。在书籍整理出版过程中，严格根据双方签订协议约定事项办理，</w:t>
      </w:r>
      <w:r>
        <w:rPr>
          <w:rFonts w:hint="eastAsia" w:ascii="仿宋_GB2312" w:eastAsia="仿宋_GB2312"/>
          <w:sz w:val="32"/>
          <w:szCs w:val="32"/>
        </w:rPr>
        <w:t>严格执行</w:t>
      </w:r>
      <w:r>
        <w:rPr>
          <w:rFonts w:hint="eastAsia" w:ascii="仿宋_GB2312" w:eastAsia="仿宋_GB2312"/>
          <w:sz w:val="32"/>
          <w:szCs w:val="32"/>
          <w:lang w:eastAsia="zh-CN"/>
        </w:rPr>
        <w:t>中央八项规定</w:t>
      </w:r>
      <w:r>
        <w:rPr>
          <w:rFonts w:hint="eastAsia" w:ascii="仿宋_GB2312" w:eastAsia="仿宋_GB2312"/>
          <w:sz w:val="32"/>
          <w:szCs w:val="32"/>
        </w:rPr>
        <w:t>要求，在工作开展中不碰红线、不触底线。</w:t>
      </w:r>
      <w:r>
        <w:rPr>
          <w:rFonts w:hint="eastAsia" w:ascii="仿宋_GB2312" w:hAnsi="??" w:eastAsia="仿宋_GB2312"/>
          <w:sz w:val="32"/>
          <w:szCs w:val="32"/>
        </w:rPr>
        <w:t>一是认真贯彻落实中央和省、市、区委有关党史工作的方针、政策，并制定全区党史工作规划并进行了组织实施；二是征集、整理、编撰区委重要党史资料。对征集到的各种资料认真考证、核实、整理，分类编目立卷、科学管理；</w:t>
      </w:r>
      <w:r>
        <w:rPr>
          <w:rFonts w:hint="eastAsia" w:ascii="仿宋_GB2312" w:hAnsi="??" w:eastAsia="仿宋_GB2312" w:cs="??"/>
          <w:kern w:val="0"/>
          <w:sz w:val="32"/>
          <w:szCs w:val="32"/>
        </w:rPr>
        <w:t>三是</w:t>
      </w:r>
      <w:r>
        <w:rPr>
          <w:rFonts w:hint="eastAsia" w:ascii="仿宋_GB2312" w:eastAsia="仿宋_GB2312"/>
          <w:sz w:val="32"/>
          <w:szCs w:val="32"/>
        </w:rPr>
        <w:t>研究、编撰地方党史专著，编辑出版重要党史书刊；四是对党的地方历史和区内党史重要人物等进行综合研究，总结历史经验，为党的建设和区委决策提供历史借鉴；五是宣传党的光辉历史和优良传统。开展重大党史事件和历史人物的纪念活动；运用党史资料，以史为鉴，资政育人，对广大党员、干部、群众和青少年进行爱国主义、集体主义和社会主义教育；六是审核拟公开发表或出版的本区以地方党史为主要内容的重要文章、书报、刊物及影视作品，审查区内涉及党史、革命史及革命英烈的展览、纪念馆等。</w:t>
      </w:r>
    </w:p>
    <w:p>
      <w:pPr>
        <w:autoSpaceDE w:val="0"/>
        <w:spacing w:line="576" w:lineRule="exact"/>
        <w:ind w:firstLine="640" w:firstLineChars="200"/>
        <w:rPr>
          <w:rFonts w:ascii="黑体" w:hAnsi="黑体" w:eastAsia="黑体"/>
          <w:sz w:val="32"/>
          <w:szCs w:val="32"/>
        </w:rPr>
      </w:pPr>
      <w:r>
        <w:rPr>
          <w:rFonts w:hint="eastAsia" w:ascii="黑体" w:hAnsi="黑体" w:eastAsia="黑体"/>
          <w:sz w:val="32"/>
          <w:szCs w:val="32"/>
        </w:rPr>
        <w:t>三、项目绩效情况</w:t>
      </w:r>
      <w:r>
        <w:rPr>
          <w:rFonts w:ascii="黑体" w:hAnsi="黑体" w:eastAsia="黑体"/>
          <w:sz w:val="32"/>
          <w:szCs w:val="32"/>
        </w:rPr>
        <w:tab/>
      </w:r>
    </w:p>
    <w:p>
      <w:pPr>
        <w:autoSpaceDE w:val="0"/>
        <w:spacing w:line="576"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（一）项目完成情况</w:t>
      </w:r>
    </w:p>
    <w:p>
      <w:pPr>
        <w:autoSpaceDE w:val="0"/>
        <w:spacing w:line="576" w:lineRule="exact"/>
        <w:ind w:firstLine="640" w:firstLineChars="200"/>
        <w:rPr>
          <w:rFonts w:ascii="仿宋_GB2312" w:hAnsi="Times New Roman" w:eastAsia="仿宋_GB2312"/>
          <w:sz w:val="32"/>
          <w:szCs w:val="32"/>
        </w:rPr>
      </w:pPr>
      <w:r>
        <w:rPr>
          <w:rFonts w:hint="eastAsia" w:ascii="仿宋_GB2312" w:eastAsia="仿宋_GB2312"/>
          <w:sz w:val="32"/>
          <w:szCs w:val="32"/>
        </w:rPr>
        <w:t>全年积极开展党史“七进”活动，登记上报全区红色遗址</w:t>
      </w:r>
      <w:r>
        <w:rPr>
          <w:rFonts w:ascii="仿宋_GB2312" w:eastAsia="仿宋_GB2312"/>
          <w:sz w:val="32"/>
          <w:szCs w:val="32"/>
        </w:rPr>
        <w:t>20</w:t>
      </w:r>
      <w:r>
        <w:rPr>
          <w:rFonts w:hint="eastAsia" w:ascii="仿宋_GB2312" w:eastAsia="仿宋_GB2312"/>
          <w:sz w:val="32"/>
          <w:szCs w:val="32"/>
        </w:rPr>
        <w:t>处，编纂完成《朝天区执政实录（</w:t>
      </w:r>
      <w:r>
        <w:rPr>
          <w:rFonts w:ascii="仿宋_GB2312" w:eastAsia="仿宋_GB2312"/>
          <w:sz w:val="32"/>
          <w:szCs w:val="32"/>
        </w:rPr>
        <w:t>2020</w:t>
      </w:r>
      <w:r>
        <w:rPr>
          <w:rFonts w:hint="eastAsia" w:ascii="仿宋_GB2312" w:eastAsia="仿宋_GB2312"/>
          <w:sz w:val="32"/>
          <w:szCs w:val="32"/>
        </w:rPr>
        <w:t>）》，持续巩固深化“不忘初心、牢记使命”主题教育成果，扎实开展党史学习教育。牵头抓好全区庆祝中国共产党成立</w:t>
      </w:r>
      <w:r>
        <w:rPr>
          <w:rFonts w:ascii="仿宋_GB2312" w:eastAsia="仿宋_GB2312"/>
          <w:sz w:val="32"/>
          <w:szCs w:val="32"/>
        </w:rPr>
        <w:t>100</w:t>
      </w:r>
      <w:r>
        <w:rPr>
          <w:rFonts w:hint="eastAsia" w:ascii="仿宋_GB2312" w:eastAsia="仿宋_GB2312"/>
          <w:sz w:val="32"/>
          <w:szCs w:val="32"/>
        </w:rPr>
        <w:t>周年系列活动，组织全体党员干部参加“发扬‘三牛精神’，续写时代篇章”“领航新时代·开启新征程”“学‘四史’·迎国庆”</w:t>
      </w:r>
      <w:r>
        <w:rPr>
          <w:rStyle w:val="33"/>
          <w:rFonts w:hint="eastAsia" w:ascii="仿宋_GB2312" w:hAnsi="仿宋_GB2312" w:eastAsia="仿宋_GB2312" w:cs="仿宋_GB2312"/>
          <w:color w:val="000000"/>
          <w:sz w:val="32"/>
          <w:szCs w:val="32"/>
        </w:rPr>
        <w:t>“学党史、颂党恩、办实事”</w:t>
      </w:r>
      <w:r>
        <w:rPr>
          <w:rFonts w:hint="eastAsia" w:ascii="仿宋_GB2312" w:eastAsia="仿宋_GB2312"/>
          <w:sz w:val="32"/>
          <w:szCs w:val="32"/>
        </w:rPr>
        <w:t>等主题党日活动</w:t>
      </w:r>
      <w:r>
        <w:rPr>
          <w:rFonts w:hint="eastAsia" w:ascii="仿宋_GB2312" w:hAnsi="仿宋_GB2312" w:eastAsia="仿宋_GB2312" w:cs="仿宋_GB2312"/>
          <w:sz w:val="32"/>
          <w:szCs w:val="32"/>
        </w:rPr>
        <w:t>和到红色爱国主义基地开展党史学习教育研学活动，深切缅怀革命先烈，感悟共产党人的</w:t>
      </w:r>
      <w:r>
        <w:rPr>
          <w:rStyle w:val="33"/>
          <w:rFonts w:hint="eastAsia" w:ascii="仿宋_GB2312" w:hAnsi="仿宋_GB2312" w:eastAsia="仿宋_GB2312" w:cs="仿宋_GB2312"/>
          <w:color w:val="000000"/>
          <w:sz w:val="32"/>
          <w:szCs w:val="32"/>
        </w:rPr>
        <w:t>初心使命，弘扬伟大建党精神。</w:t>
      </w:r>
    </w:p>
    <w:p>
      <w:pPr>
        <w:autoSpaceDE w:val="0"/>
        <w:spacing w:line="576"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（二）项目效益情况</w:t>
      </w:r>
    </w:p>
    <w:p>
      <w:pPr>
        <w:spacing w:line="576" w:lineRule="exact"/>
        <w:ind w:firstLine="645"/>
        <w:rPr>
          <w:rFonts w:ascii="仿宋_GB2312" w:hAnsi="Times New Roman" w:eastAsia="仿宋_GB2312"/>
          <w:sz w:val="32"/>
          <w:szCs w:val="32"/>
        </w:rPr>
      </w:pPr>
      <w:r>
        <w:rPr>
          <w:rFonts w:hint="eastAsia" w:ascii="仿宋_GB2312" w:hAnsi="Times New Roman" w:eastAsia="仿宋_GB2312"/>
          <w:sz w:val="32"/>
          <w:szCs w:val="32"/>
        </w:rPr>
        <w:t>通过项目实施，更深层挖掘和解读了红军在朝天的历史概况，为国家长征文化公园朝天段规划建设提供重要的历史依据。</w:t>
      </w:r>
      <w:r>
        <w:rPr>
          <w:rFonts w:hint="eastAsia" w:ascii="仿宋_GB2312" w:hAnsi="??" w:eastAsia="仿宋_GB2312"/>
          <w:sz w:val="32"/>
          <w:szCs w:val="32"/>
        </w:rPr>
        <w:t>保障了党史资料征集、《执政实录》编撰及党史宣传教育活动开展及日常工作运转。达到了以史鉴今、立党治国的目的，充分发挥了我们党的优良传统。加强了党的思想政治建设，深化了党的执政理论研究，教育鼓舞了全体党员干部继承优良传统，弘扬民族精神，推进了全面建设小康社会进程，服务对象满意率达</w:t>
      </w:r>
      <w:r>
        <w:rPr>
          <w:rFonts w:ascii="仿宋_GB2312" w:hAnsi="??" w:eastAsia="仿宋_GB2312"/>
          <w:sz w:val="32"/>
          <w:szCs w:val="32"/>
        </w:rPr>
        <w:t>92%</w:t>
      </w:r>
      <w:r>
        <w:rPr>
          <w:rFonts w:hint="eastAsia" w:ascii="仿宋_GB2312" w:hAnsi="??" w:eastAsia="仿宋_GB2312"/>
          <w:sz w:val="32"/>
          <w:szCs w:val="32"/>
        </w:rPr>
        <w:t>。</w:t>
      </w:r>
      <w:r>
        <w:rPr>
          <w:rFonts w:ascii="仿宋_GB2312" w:hAnsi="Times New Roman" w:eastAsia="仿宋_GB2312"/>
          <w:sz w:val="32"/>
          <w:szCs w:val="32"/>
        </w:rPr>
        <w:t xml:space="preserve">                     </w:t>
      </w:r>
    </w:p>
    <w:p>
      <w:pPr>
        <w:autoSpaceDE w:val="0"/>
        <w:spacing w:line="576" w:lineRule="exact"/>
        <w:ind w:firstLine="640" w:firstLineChars="200"/>
        <w:rPr>
          <w:rFonts w:ascii="黑体" w:hAnsi="黑体" w:eastAsia="黑体"/>
          <w:sz w:val="32"/>
          <w:szCs w:val="32"/>
        </w:rPr>
      </w:pPr>
      <w:r>
        <w:rPr>
          <w:rFonts w:hint="eastAsia" w:ascii="黑体" w:hAnsi="黑体" w:eastAsia="黑体"/>
          <w:sz w:val="32"/>
          <w:szCs w:val="32"/>
        </w:rPr>
        <w:t>四、问题及建议</w:t>
      </w:r>
    </w:p>
    <w:p>
      <w:pPr>
        <w:autoSpaceDE w:val="0"/>
        <w:spacing w:line="576"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（一）存在的问题。</w:t>
      </w:r>
      <w:r>
        <w:rPr>
          <w:rFonts w:hint="eastAsia" w:ascii="仿宋_GB2312" w:hAnsi="仿宋_GB2312" w:eastAsia="仿宋_GB2312" w:cs="仿宋_GB2312"/>
          <w:sz w:val="32"/>
          <w:szCs w:val="32"/>
        </w:rPr>
        <w:t>在绩效目标编制方面，存在绩效目标设置指向不清、预算和目标匹配不足，数量目标和质量目标量化不细，效益目标编制不完善等问题。</w:t>
      </w:r>
    </w:p>
    <w:p>
      <w:pPr>
        <w:autoSpaceDE w:val="0"/>
        <w:spacing w:line="576" w:lineRule="exact"/>
        <w:ind w:firstLine="640" w:firstLineChars="200"/>
        <w:rPr>
          <w:rFonts w:ascii="仿宋_GB2312" w:hAnsi="Times New Roman" w:eastAsia="仿宋_GB2312"/>
          <w:sz w:val="32"/>
          <w:szCs w:val="32"/>
        </w:rPr>
      </w:pPr>
      <w:r>
        <w:rPr>
          <w:rFonts w:hint="eastAsia" w:ascii="楷体_GB2312" w:hAnsi="Times New Roman" w:eastAsia="楷体_GB2312"/>
          <w:bCs/>
          <w:sz w:val="32"/>
          <w:szCs w:val="32"/>
        </w:rPr>
        <w:t>（二）相关建议。</w:t>
      </w:r>
      <w:r>
        <w:rPr>
          <w:rFonts w:hint="eastAsia" w:ascii="仿宋_GB2312" w:hAnsi="仿宋_GB2312" w:eastAsia="仿宋_GB2312" w:cs="仿宋_GB2312"/>
          <w:sz w:val="32"/>
          <w:szCs w:val="32"/>
        </w:rPr>
        <w:t>继续加强对相关专业技术人员的业务培训，进一步提高预算绩效目标编制、评价质量。</w:t>
      </w:r>
    </w:p>
    <w:p>
      <w:pPr>
        <w:autoSpaceDE w:val="0"/>
        <w:spacing w:line="576" w:lineRule="exact"/>
        <w:rPr>
          <w:rFonts w:hint="eastAsia" w:ascii="仿宋_GB2312" w:hAnsi="??" w:eastAsia="仿宋_GB2312"/>
          <w:color w:val="000000"/>
          <w:kern w:val="0"/>
          <w:sz w:val="32"/>
          <w:szCs w:val="32"/>
        </w:rPr>
      </w:pPr>
    </w:p>
    <w:p>
      <w:pPr>
        <w:autoSpaceDE w:val="0"/>
        <w:spacing w:line="576" w:lineRule="exact"/>
        <w:ind w:firstLine="640" w:firstLineChars="200"/>
        <w:rPr>
          <w:rFonts w:ascii="黑体" w:hAnsi="黑体" w:eastAsia="黑体"/>
          <w:color w:val="000000"/>
          <w:kern w:val="0"/>
          <w:sz w:val="24"/>
          <w:szCs w:val="24"/>
        </w:rPr>
      </w:pPr>
      <w:r>
        <w:rPr>
          <w:rFonts w:hint="eastAsia" w:ascii="仿宋_GB2312" w:hAnsi="??" w:eastAsia="仿宋_GB2312"/>
          <w:color w:val="000000"/>
          <w:kern w:val="0"/>
          <w:sz w:val="32"/>
          <w:szCs w:val="32"/>
        </w:rPr>
        <w:t>附件：</w:t>
      </w:r>
      <w:r>
        <w:rPr>
          <w:rFonts w:ascii="仿宋_GB2312" w:hAnsi="??" w:eastAsia="仿宋_GB2312"/>
          <w:color w:val="000000"/>
          <w:kern w:val="0"/>
          <w:sz w:val="32"/>
          <w:szCs w:val="32"/>
        </w:rPr>
        <w:t>1.</w:t>
      </w:r>
      <w:r>
        <w:rPr>
          <w:rFonts w:hint="eastAsia" w:ascii="仿宋_GB2312" w:hAnsi="??" w:eastAsia="仿宋_GB2312"/>
          <w:color w:val="000000"/>
          <w:kern w:val="0"/>
          <w:sz w:val="32"/>
          <w:szCs w:val="32"/>
        </w:rPr>
        <w:t>部门预算</w:t>
      </w:r>
      <w:r>
        <w:rPr>
          <w:rFonts w:hint="eastAsia" w:ascii="仿宋_GB2312" w:hAnsi="??" w:eastAsia="仿宋_GB2312" w:cs="??"/>
          <w:color w:val="000000"/>
          <w:kern w:val="0"/>
          <w:sz w:val="32"/>
          <w:szCs w:val="32"/>
        </w:rPr>
        <w:t>项目支出绩效目标自评表</w:t>
      </w:r>
    </w:p>
    <w:p>
      <w:pPr>
        <w:autoSpaceDE w:val="0"/>
        <w:spacing w:line="576" w:lineRule="exact"/>
        <w:ind w:firstLine="1600" w:firstLineChars="500"/>
        <w:jc w:val="left"/>
        <w:rPr>
          <w:rFonts w:ascii="仿宋_GB2312" w:hAnsi="??" w:eastAsia="仿宋_GB2312"/>
          <w:color w:val="000000"/>
          <w:kern w:val="0"/>
          <w:sz w:val="32"/>
          <w:szCs w:val="32"/>
        </w:rPr>
      </w:pPr>
      <w:r>
        <w:rPr>
          <w:rFonts w:ascii="仿宋_GB2312" w:hAnsi="??" w:eastAsia="仿宋_GB2312"/>
          <w:color w:val="000000"/>
          <w:kern w:val="0"/>
          <w:sz w:val="32"/>
          <w:szCs w:val="32"/>
        </w:rPr>
        <w:t>2.2021</w:t>
      </w:r>
      <w:r>
        <w:rPr>
          <w:rFonts w:hint="eastAsia" w:ascii="仿宋_GB2312" w:hAnsi="??" w:eastAsia="仿宋_GB2312"/>
          <w:color w:val="000000"/>
          <w:kern w:val="0"/>
          <w:sz w:val="32"/>
          <w:szCs w:val="32"/>
        </w:rPr>
        <w:t>年部门预算项目支出绩效自评评分表</w:t>
      </w:r>
    </w:p>
    <w:p>
      <w:pPr>
        <w:spacing w:line="576" w:lineRule="exact"/>
        <w:rPr>
          <w:rFonts w:hint="eastAsia" w:ascii="黑体" w:hAnsi="黑体" w:eastAsia="黑体"/>
          <w:sz w:val="32"/>
          <w:szCs w:val="32"/>
        </w:rPr>
      </w:pPr>
    </w:p>
    <w:p>
      <w:pPr>
        <w:spacing w:line="576" w:lineRule="exact"/>
        <w:rPr>
          <w:rFonts w:hint="eastAsia" w:ascii="黑体" w:hAnsi="黑体" w:eastAsia="黑体"/>
          <w:sz w:val="32"/>
          <w:szCs w:val="32"/>
        </w:rPr>
      </w:pPr>
    </w:p>
    <w:p>
      <w:pPr>
        <w:spacing w:line="576" w:lineRule="exact"/>
        <w:rPr>
          <w:rFonts w:hint="eastAsia" w:ascii="黑体" w:hAnsi="黑体" w:eastAsia="黑体"/>
          <w:sz w:val="32"/>
          <w:szCs w:val="32"/>
        </w:rPr>
      </w:pPr>
    </w:p>
    <w:p>
      <w:pPr>
        <w:spacing w:line="576" w:lineRule="exact"/>
        <w:rPr>
          <w:rFonts w:hint="eastAsia" w:ascii="黑体" w:hAnsi="黑体" w:eastAsia="黑体"/>
          <w:sz w:val="32"/>
          <w:szCs w:val="32"/>
        </w:rPr>
      </w:pPr>
    </w:p>
    <w:p>
      <w:pPr>
        <w:spacing w:line="576" w:lineRule="exact"/>
        <w:rPr>
          <w:rFonts w:hint="eastAsia" w:ascii="黑体" w:hAnsi="黑体" w:eastAsia="黑体"/>
          <w:sz w:val="32"/>
          <w:szCs w:val="32"/>
        </w:rPr>
      </w:pPr>
    </w:p>
    <w:p>
      <w:pPr>
        <w:spacing w:line="576" w:lineRule="exact"/>
        <w:rPr>
          <w:rFonts w:hint="eastAsia" w:ascii="黑体" w:hAnsi="黑体" w:eastAsia="黑体"/>
          <w:sz w:val="32"/>
          <w:szCs w:val="32"/>
        </w:rPr>
      </w:pPr>
    </w:p>
    <w:p>
      <w:pPr>
        <w:spacing w:line="576" w:lineRule="exact"/>
        <w:rPr>
          <w:rFonts w:hint="eastAsia" w:ascii="黑体" w:hAnsi="黑体" w:eastAsia="黑体"/>
          <w:sz w:val="32"/>
          <w:szCs w:val="32"/>
        </w:rPr>
      </w:pPr>
    </w:p>
    <w:p>
      <w:pPr>
        <w:spacing w:line="576" w:lineRule="exact"/>
        <w:rPr>
          <w:rFonts w:hint="eastAsia" w:ascii="黑体" w:hAnsi="黑体" w:eastAsia="黑体"/>
          <w:sz w:val="32"/>
          <w:szCs w:val="32"/>
        </w:rPr>
      </w:pPr>
    </w:p>
    <w:p>
      <w:pPr>
        <w:spacing w:line="576" w:lineRule="exact"/>
        <w:rPr>
          <w:rFonts w:hint="eastAsia" w:ascii="黑体" w:hAnsi="黑体" w:eastAsia="黑体"/>
          <w:sz w:val="32"/>
          <w:szCs w:val="32"/>
        </w:rPr>
      </w:pPr>
    </w:p>
    <w:p>
      <w:pPr>
        <w:spacing w:line="576" w:lineRule="exact"/>
        <w:rPr>
          <w:rFonts w:hint="eastAsia" w:ascii="黑体" w:hAnsi="黑体" w:eastAsia="黑体"/>
          <w:sz w:val="32"/>
          <w:szCs w:val="32"/>
        </w:rPr>
      </w:pPr>
    </w:p>
    <w:p>
      <w:pPr>
        <w:spacing w:line="576" w:lineRule="exact"/>
        <w:rPr>
          <w:rFonts w:hint="eastAsia" w:ascii="黑体" w:hAnsi="黑体" w:eastAsia="黑体"/>
          <w:sz w:val="32"/>
          <w:szCs w:val="32"/>
        </w:rPr>
      </w:pPr>
    </w:p>
    <w:p>
      <w:pPr>
        <w:spacing w:line="576" w:lineRule="exact"/>
        <w:rPr>
          <w:rFonts w:hint="eastAsia" w:ascii="黑体" w:hAnsi="黑体" w:eastAsia="黑体"/>
          <w:sz w:val="32"/>
          <w:szCs w:val="32"/>
        </w:rPr>
      </w:pPr>
    </w:p>
    <w:p>
      <w:pPr>
        <w:spacing w:line="576" w:lineRule="exact"/>
        <w:rPr>
          <w:rFonts w:hint="eastAsia" w:ascii="黑体" w:hAnsi="黑体" w:eastAsia="黑体"/>
          <w:sz w:val="32"/>
          <w:szCs w:val="32"/>
        </w:rPr>
      </w:pPr>
    </w:p>
    <w:p>
      <w:pPr>
        <w:spacing w:line="576" w:lineRule="exact"/>
        <w:rPr>
          <w:rFonts w:hint="eastAsia" w:ascii="黑体" w:hAnsi="黑体" w:eastAsia="黑体"/>
          <w:sz w:val="32"/>
          <w:szCs w:val="32"/>
        </w:rPr>
      </w:pPr>
    </w:p>
    <w:p>
      <w:pPr>
        <w:spacing w:line="576" w:lineRule="exact"/>
        <w:rPr>
          <w:rFonts w:hint="eastAsia" w:ascii="黑体" w:hAnsi="黑体" w:eastAsia="黑体"/>
          <w:sz w:val="32"/>
          <w:szCs w:val="32"/>
        </w:rPr>
      </w:pPr>
    </w:p>
    <w:p>
      <w:pPr>
        <w:spacing w:line="576" w:lineRule="exact"/>
        <w:rPr>
          <w:rFonts w:hint="eastAsia" w:ascii="黑体" w:hAnsi="黑体" w:eastAsia="黑体"/>
          <w:sz w:val="32"/>
          <w:szCs w:val="32"/>
        </w:rPr>
      </w:pPr>
    </w:p>
    <w:p>
      <w:pPr>
        <w:spacing w:line="576" w:lineRule="exact"/>
        <w:rPr>
          <w:rFonts w:hint="eastAsia" w:ascii="黑体" w:hAnsi="黑体" w:eastAsia="黑体"/>
          <w:sz w:val="32"/>
          <w:szCs w:val="32"/>
        </w:rPr>
      </w:pPr>
    </w:p>
    <w:p>
      <w:pPr>
        <w:spacing w:line="576" w:lineRule="exact"/>
        <w:rPr>
          <w:rFonts w:hint="eastAsia" w:ascii="黑体" w:hAnsi="黑体" w:eastAsia="黑体"/>
          <w:sz w:val="32"/>
          <w:szCs w:val="32"/>
        </w:rPr>
      </w:pPr>
    </w:p>
    <w:p>
      <w:pPr>
        <w:spacing w:line="576" w:lineRule="exact"/>
        <w:rPr>
          <w:rFonts w:hint="eastAsia" w:ascii="黑体" w:hAnsi="黑体" w:eastAsia="黑体"/>
          <w:sz w:val="32"/>
          <w:szCs w:val="32"/>
        </w:rPr>
      </w:pPr>
    </w:p>
    <w:p>
      <w:pPr>
        <w:spacing w:line="576" w:lineRule="exact"/>
        <w:rPr>
          <w:rFonts w:hint="eastAsia" w:ascii="黑体" w:hAnsi="黑体" w:eastAsia="黑体"/>
          <w:sz w:val="32"/>
          <w:szCs w:val="32"/>
        </w:rPr>
      </w:pPr>
    </w:p>
    <w:p>
      <w:pPr>
        <w:spacing w:line="576" w:lineRule="exact"/>
        <w:rPr>
          <w:rFonts w:hint="eastAsia" w:ascii="黑体" w:hAnsi="黑体" w:eastAsia="黑体"/>
          <w:sz w:val="32"/>
          <w:szCs w:val="32"/>
        </w:rPr>
      </w:pPr>
      <w:r>
        <w:rPr>
          <w:rFonts w:hint="eastAsia" w:ascii="黑体" w:hAnsi="黑体" w:eastAsia="黑体"/>
          <w:sz w:val="32"/>
          <w:szCs w:val="32"/>
        </w:rPr>
        <w:t>附件1</w:t>
      </w:r>
    </w:p>
    <w:p>
      <w:pPr>
        <w:pStyle w:val="2"/>
        <w:spacing w:line="576" w:lineRule="exact"/>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部门预算项目支出绩效目标自评表</w:t>
      </w:r>
    </w:p>
    <w:p>
      <w:pPr>
        <w:pStyle w:val="2"/>
        <w:spacing w:line="576" w:lineRule="exact"/>
        <w:jc w:val="center"/>
        <w:rPr>
          <w:rFonts w:hint="eastAsia" w:ascii="楷体_GB2312" w:hAnsi="黑体" w:eastAsia="楷体_GB2312" w:cs="宋体"/>
          <w:color w:val="000000"/>
          <w:kern w:val="0"/>
          <w:sz w:val="32"/>
          <w:szCs w:val="32"/>
        </w:rPr>
      </w:pPr>
      <w:r>
        <w:rPr>
          <w:rFonts w:hint="eastAsia" w:ascii="楷体_GB2312" w:hAnsi="黑体" w:eastAsia="楷体_GB2312" w:cs="宋体"/>
          <w:color w:val="000000"/>
          <w:kern w:val="0"/>
          <w:sz w:val="32"/>
          <w:szCs w:val="32"/>
        </w:rPr>
        <w:t>（2021年度）</w:t>
      </w:r>
    </w:p>
    <w:p>
      <w:pPr>
        <w:pStyle w:val="2"/>
        <w:spacing w:line="576" w:lineRule="exact"/>
        <w:ind w:firstLine="360" w:firstLineChars="200"/>
        <w:rPr>
          <w:rFonts w:hint="eastAsia" w:ascii="宋体" w:hAnsi="宋体" w:eastAsia="宋体"/>
          <w:szCs w:val="18"/>
        </w:rPr>
      </w:pPr>
      <w:r>
        <w:rPr>
          <w:rFonts w:hint="eastAsia" w:ascii="宋体" w:hAnsi="宋体" w:eastAsia="宋体" w:cs="宋体"/>
          <w:color w:val="000000"/>
          <w:kern w:val="0"/>
          <w:szCs w:val="18"/>
        </w:rPr>
        <w:t>部门（单位）盖章：中共广元市朝天区委办公室</w:t>
      </w:r>
    </w:p>
    <w:tbl>
      <w:tblPr>
        <w:tblStyle w:val="14"/>
        <w:tblW w:w="0" w:type="auto"/>
        <w:tblInd w:w="93" w:type="dxa"/>
        <w:tblLayout w:type="autofit"/>
        <w:tblCellMar>
          <w:top w:w="0" w:type="dxa"/>
          <w:left w:w="108" w:type="dxa"/>
          <w:bottom w:w="0" w:type="dxa"/>
          <w:right w:w="108" w:type="dxa"/>
        </w:tblCellMar>
      </w:tblPr>
      <w:tblGrid>
        <w:gridCol w:w="596"/>
        <w:gridCol w:w="762"/>
        <w:gridCol w:w="116"/>
        <w:gridCol w:w="780"/>
        <w:gridCol w:w="630"/>
        <w:gridCol w:w="1624"/>
        <w:gridCol w:w="238"/>
        <w:gridCol w:w="210"/>
        <w:gridCol w:w="1357"/>
        <w:gridCol w:w="742"/>
        <w:gridCol w:w="784"/>
        <w:gridCol w:w="1128"/>
      </w:tblGrid>
      <w:tr>
        <w:tblPrEx>
          <w:tblCellMar>
            <w:top w:w="0" w:type="dxa"/>
            <w:left w:w="108" w:type="dxa"/>
            <w:bottom w:w="0" w:type="dxa"/>
            <w:right w:w="108" w:type="dxa"/>
          </w:tblCellMar>
        </w:tblPrEx>
        <w:trPr>
          <w:trHeight w:val="318" w:hRule="exact"/>
        </w:trPr>
        <w:tc>
          <w:tcPr>
            <w:tcW w:w="147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项目支出名称</w:t>
            </w:r>
          </w:p>
        </w:tc>
        <w:tc>
          <w:tcPr>
            <w:tcW w:w="7493" w:type="dxa"/>
            <w:gridSpan w:val="9"/>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党史专项工作</w:t>
            </w:r>
          </w:p>
        </w:tc>
      </w:tr>
      <w:tr>
        <w:tblPrEx>
          <w:tblCellMar>
            <w:top w:w="0" w:type="dxa"/>
            <w:left w:w="108" w:type="dxa"/>
            <w:bottom w:w="0" w:type="dxa"/>
            <w:right w:w="108" w:type="dxa"/>
          </w:tblCellMar>
        </w:tblPrEx>
        <w:trPr>
          <w:trHeight w:val="318" w:hRule="exact"/>
        </w:trPr>
        <w:tc>
          <w:tcPr>
            <w:tcW w:w="147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预算单位</w:t>
            </w:r>
          </w:p>
        </w:tc>
        <w:tc>
          <w:tcPr>
            <w:tcW w:w="7493" w:type="dxa"/>
            <w:gridSpan w:val="9"/>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中共广元市朝天区委办公室</w:t>
            </w:r>
          </w:p>
        </w:tc>
      </w:tr>
      <w:tr>
        <w:tblPrEx>
          <w:tblCellMar>
            <w:top w:w="0" w:type="dxa"/>
            <w:left w:w="108" w:type="dxa"/>
            <w:bottom w:w="0" w:type="dxa"/>
            <w:right w:w="108" w:type="dxa"/>
          </w:tblCellMar>
        </w:tblPrEx>
        <w:trPr>
          <w:trHeight w:val="318" w:hRule="exact"/>
        </w:trPr>
        <w:tc>
          <w:tcPr>
            <w:tcW w:w="597"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预算执行情况</w:t>
            </w:r>
          </w:p>
        </w:tc>
        <w:tc>
          <w:tcPr>
            <w:tcW w:w="2288" w:type="dxa"/>
            <w:gridSpan w:val="4"/>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 xml:space="preserve"> 全年预算数（万元） </w:t>
            </w:r>
          </w:p>
        </w:tc>
        <w:tc>
          <w:tcPr>
            <w:tcW w:w="1862"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w:t>
            </w:r>
          </w:p>
        </w:tc>
        <w:tc>
          <w:tcPr>
            <w:tcW w:w="2309" w:type="dxa"/>
            <w:gridSpan w:val="3"/>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 xml:space="preserve"> 全年执行数（万元）</w:t>
            </w:r>
          </w:p>
        </w:tc>
        <w:tc>
          <w:tcPr>
            <w:tcW w:w="1912"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25</w:t>
            </w:r>
          </w:p>
        </w:tc>
      </w:tr>
      <w:tr>
        <w:tblPrEx>
          <w:tblCellMar>
            <w:top w:w="0" w:type="dxa"/>
            <w:left w:w="108" w:type="dxa"/>
            <w:bottom w:w="0" w:type="dxa"/>
            <w:right w:w="108" w:type="dxa"/>
          </w:tblCellMar>
        </w:tblPrEx>
        <w:trPr>
          <w:trHeight w:val="318" w:hRule="exact"/>
        </w:trPr>
        <w:tc>
          <w:tcPr>
            <w:tcW w:w="597"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2288" w:type="dxa"/>
            <w:gridSpan w:val="4"/>
            <w:tcBorders>
              <w:top w:val="single" w:color="auto" w:sz="4" w:space="0"/>
              <w:left w:val="nil"/>
              <w:bottom w:val="single" w:color="auto" w:sz="4" w:space="0"/>
              <w:right w:val="single" w:color="000000"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其中：一般公共预算</w:t>
            </w:r>
          </w:p>
        </w:tc>
        <w:tc>
          <w:tcPr>
            <w:tcW w:w="1862"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w:t>
            </w:r>
          </w:p>
        </w:tc>
        <w:tc>
          <w:tcPr>
            <w:tcW w:w="2309" w:type="dxa"/>
            <w:gridSpan w:val="3"/>
            <w:tcBorders>
              <w:top w:val="nil"/>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其中：一般公共预算</w:t>
            </w:r>
          </w:p>
        </w:tc>
        <w:tc>
          <w:tcPr>
            <w:tcW w:w="1912"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25</w:t>
            </w:r>
          </w:p>
        </w:tc>
      </w:tr>
      <w:tr>
        <w:tblPrEx>
          <w:tblCellMar>
            <w:top w:w="0" w:type="dxa"/>
            <w:left w:w="108" w:type="dxa"/>
            <w:bottom w:w="0" w:type="dxa"/>
            <w:right w:w="108" w:type="dxa"/>
          </w:tblCellMar>
        </w:tblPrEx>
        <w:trPr>
          <w:trHeight w:val="318" w:hRule="exact"/>
        </w:trPr>
        <w:tc>
          <w:tcPr>
            <w:tcW w:w="597"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2288" w:type="dxa"/>
            <w:gridSpan w:val="4"/>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政府性基金预算</w:t>
            </w:r>
          </w:p>
        </w:tc>
        <w:tc>
          <w:tcPr>
            <w:tcW w:w="1862"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09" w:type="dxa"/>
            <w:gridSpan w:val="3"/>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政府性基金预算</w:t>
            </w:r>
          </w:p>
        </w:tc>
        <w:tc>
          <w:tcPr>
            <w:tcW w:w="1912"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18" w:hRule="exact"/>
        </w:trPr>
        <w:tc>
          <w:tcPr>
            <w:tcW w:w="597"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2288" w:type="dxa"/>
            <w:gridSpan w:val="4"/>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国有资本经营预算</w:t>
            </w:r>
          </w:p>
        </w:tc>
        <w:tc>
          <w:tcPr>
            <w:tcW w:w="1862"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09" w:type="dxa"/>
            <w:gridSpan w:val="3"/>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国有资本经营预算</w:t>
            </w:r>
          </w:p>
        </w:tc>
        <w:tc>
          <w:tcPr>
            <w:tcW w:w="1912"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18" w:hRule="exact"/>
        </w:trPr>
        <w:tc>
          <w:tcPr>
            <w:tcW w:w="597"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2288" w:type="dxa"/>
            <w:gridSpan w:val="4"/>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社会保险基金预算</w:t>
            </w:r>
          </w:p>
        </w:tc>
        <w:tc>
          <w:tcPr>
            <w:tcW w:w="1862"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09" w:type="dxa"/>
            <w:gridSpan w:val="3"/>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社会保险基金预算</w:t>
            </w:r>
          </w:p>
        </w:tc>
        <w:tc>
          <w:tcPr>
            <w:tcW w:w="1912"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18" w:hRule="exact"/>
        </w:trPr>
        <w:tc>
          <w:tcPr>
            <w:tcW w:w="597"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2288" w:type="dxa"/>
            <w:gridSpan w:val="4"/>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其他资金</w:t>
            </w:r>
          </w:p>
        </w:tc>
        <w:tc>
          <w:tcPr>
            <w:tcW w:w="1862"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09" w:type="dxa"/>
            <w:gridSpan w:val="3"/>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其他资金</w:t>
            </w:r>
          </w:p>
        </w:tc>
        <w:tc>
          <w:tcPr>
            <w:tcW w:w="1912"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7" w:hRule="atLeast"/>
        </w:trPr>
        <w:tc>
          <w:tcPr>
            <w:tcW w:w="597"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目标完成情况</w:t>
            </w:r>
          </w:p>
        </w:tc>
        <w:tc>
          <w:tcPr>
            <w:tcW w:w="4150" w:type="dxa"/>
            <w:gridSpan w:val="6"/>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全年预期目标</w:t>
            </w:r>
          </w:p>
        </w:tc>
        <w:tc>
          <w:tcPr>
            <w:tcW w:w="4221" w:type="dxa"/>
            <w:gridSpan w:val="5"/>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全年实际完成目标</w:t>
            </w:r>
          </w:p>
        </w:tc>
      </w:tr>
      <w:tr>
        <w:tblPrEx>
          <w:tblCellMar>
            <w:top w:w="0" w:type="dxa"/>
            <w:left w:w="108" w:type="dxa"/>
            <w:bottom w:w="0" w:type="dxa"/>
            <w:right w:w="108" w:type="dxa"/>
          </w:tblCellMar>
        </w:tblPrEx>
        <w:trPr>
          <w:trHeight w:val="1945" w:hRule="atLeast"/>
        </w:trPr>
        <w:tc>
          <w:tcPr>
            <w:tcW w:w="597"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3912" w:type="dxa"/>
            <w:gridSpan w:val="5"/>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保障党史资料征集、《执政实录》编撰、党史宣传教育活动开展及日常工作运转</w:t>
            </w:r>
          </w:p>
        </w:tc>
        <w:tc>
          <w:tcPr>
            <w:tcW w:w="4459" w:type="dxa"/>
            <w:gridSpan w:val="6"/>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全年征集整理地方党史文字资料近20余万字、征集整理党史图片资料30余幅。积极组织编纂《中国共产党广元市朝天区执政实录（2020）》。开展党史“七进”活动4场次，向各乡镇、区级各部门130多个单位赠送地方党史书籍900余本，向省市报送党史信息20余条。深层挖掘和解读红军在朝天的历史概况，为国家长征文化公园朝天段规划建设提供重要的历史依据。                                                                                                        </w:t>
            </w:r>
          </w:p>
        </w:tc>
      </w:tr>
      <w:tr>
        <w:tblPrEx>
          <w:tblCellMar>
            <w:top w:w="0" w:type="dxa"/>
            <w:left w:w="108" w:type="dxa"/>
            <w:bottom w:w="0" w:type="dxa"/>
            <w:right w:w="108" w:type="dxa"/>
          </w:tblCellMar>
        </w:tblPrEx>
        <w:trPr>
          <w:trHeight w:val="799" w:hRule="atLeast"/>
        </w:trPr>
        <w:tc>
          <w:tcPr>
            <w:tcW w:w="597"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年度绩效指标完成情况</w:t>
            </w:r>
          </w:p>
        </w:tc>
        <w:tc>
          <w:tcPr>
            <w:tcW w:w="762"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一级</w:t>
            </w:r>
          </w:p>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896" w:type="dxa"/>
            <w:gridSpan w:val="2"/>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二级</w:t>
            </w:r>
          </w:p>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2702" w:type="dxa"/>
            <w:gridSpan w:val="4"/>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三级指标</w:t>
            </w:r>
          </w:p>
        </w:tc>
        <w:tc>
          <w:tcPr>
            <w:tcW w:w="1357"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全年预期指标值（包含数字及文字描述）</w:t>
            </w:r>
          </w:p>
        </w:tc>
        <w:tc>
          <w:tcPr>
            <w:tcW w:w="1526" w:type="dxa"/>
            <w:gridSpan w:val="2"/>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全年实际完成指标值（包含数字及文字描述）</w:t>
            </w:r>
          </w:p>
        </w:tc>
        <w:tc>
          <w:tcPr>
            <w:tcW w:w="1128"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未完成原因及改进措施</w:t>
            </w:r>
          </w:p>
        </w:tc>
      </w:tr>
      <w:tr>
        <w:tblPrEx>
          <w:tblCellMar>
            <w:top w:w="0" w:type="dxa"/>
            <w:left w:w="108" w:type="dxa"/>
            <w:bottom w:w="0" w:type="dxa"/>
            <w:right w:w="108" w:type="dxa"/>
          </w:tblCellMar>
        </w:tblPrEx>
        <w:trPr>
          <w:trHeight w:val="450" w:hRule="atLeast"/>
        </w:trPr>
        <w:tc>
          <w:tcPr>
            <w:tcW w:w="597"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762"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产出</w:t>
            </w:r>
          </w:p>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896" w:type="dxa"/>
            <w:gridSpan w:val="2"/>
            <w:vMerge w:val="restart"/>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数量</w:t>
            </w:r>
          </w:p>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2702" w:type="dxa"/>
            <w:gridSpan w:val="4"/>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开展党史宣传教育活动场次</w:t>
            </w:r>
          </w:p>
        </w:tc>
        <w:tc>
          <w:tcPr>
            <w:tcW w:w="1357"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4次</w:t>
            </w:r>
          </w:p>
        </w:tc>
        <w:tc>
          <w:tcPr>
            <w:tcW w:w="1526"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4次</w:t>
            </w:r>
          </w:p>
        </w:tc>
        <w:tc>
          <w:tcPr>
            <w:tcW w:w="1128"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22" w:hRule="atLeast"/>
        </w:trPr>
        <w:tc>
          <w:tcPr>
            <w:tcW w:w="597"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762"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896"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2702" w:type="dxa"/>
            <w:gridSpan w:val="4"/>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完成党史资料征集</w:t>
            </w:r>
          </w:p>
        </w:tc>
        <w:tc>
          <w:tcPr>
            <w:tcW w:w="1357"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20余万字</w:t>
            </w:r>
          </w:p>
        </w:tc>
        <w:tc>
          <w:tcPr>
            <w:tcW w:w="1526"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23万字</w:t>
            </w:r>
          </w:p>
        </w:tc>
        <w:tc>
          <w:tcPr>
            <w:tcW w:w="1128"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36" w:hRule="atLeast"/>
        </w:trPr>
        <w:tc>
          <w:tcPr>
            <w:tcW w:w="597"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762"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896"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2702" w:type="dxa"/>
            <w:gridSpan w:val="4"/>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编撰出版《执政实录》数量</w:t>
            </w:r>
          </w:p>
        </w:tc>
        <w:tc>
          <w:tcPr>
            <w:tcW w:w="1357"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800册</w:t>
            </w:r>
          </w:p>
        </w:tc>
        <w:tc>
          <w:tcPr>
            <w:tcW w:w="1526"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960册</w:t>
            </w:r>
          </w:p>
        </w:tc>
        <w:tc>
          <w:tcPr>
            <w:tcW w:w="1128"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771" w:hRule="atLeast"/>
        </w:trPr>
        <w:tc>
          <w:tcPr>
            <w:tcW w:w="597"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762"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896" w:type="dxa"/>
            <w:gridSpan w:val="2"/>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质量</w:t>
            </w:r>
          </w:p>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2702" w:type="dxa"/>
            <w:gridSpan w:val="4"/>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按时完成全年市下目标任务，征集资料编辑整理达到出版要求。</w:t>
            </w:r>
          </w:p>
        </w:tc>
        <w:tc>
          <w:tcPr>
            <w:tcW w:w="1357"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资料精细准确、出版资料精致有特色</w:t>
            </w:r>
          </w:p>
        </w:tc>
        <w:tc>
          <w:tcPr>
            <w:tcW w:w="1526"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优</w:t>
            </w:r>
          </w:p>
        </w:tc>
        <w:tc>
          <w:tcPr>
            <w:tcW w:w="1128"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600" w:hRule="atLeast"/>
        </w:trPr>
        <w:tc>
          <w:tcPr>
            <w:tcW w:w="597"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762"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896" w:type="dxa"/>
            <w:gridSpan w:val="2"/>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时效</w:t>
            </w:r>
          </w:p>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2702" w:type="dxa"/>
            <w:gridSpan w:val="4"/>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完成时限</w:t>
            </w:r>
          </w:p>
        </w:tc>
        <w:tc>
          <w:tcPr>
            <w:tcW w:w="1357"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2021年底</w:t>
            </w:r>
          </w:p>
        </w:tc>
        <w:tc>
          <w:tcPr>
            <w:tcW w:w="1526"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全面完成</w:t>
            </w:r>
          </w:p>
        </w:tc>
        <w:tc>
          <w:tcPr>
            <w:tcW w:w="1128"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548" w:hRule="atLeast"/>
        </w:trPr>
        <w:tc>
          <w:tcPr>
            <w:tcW w:w="597"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762"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896" w:type="dxa"/>
            <w:gridSpan w:val="2"/>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成本</w:t>
            </w:r>
          </w:p>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2702" w:type="dxa"/>
            <w:gridSpan w:val="4"/>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从严控制预算成本，严禁超预算</w:t>
            </w:r>
          </w:p>
        </w:tc>
        <w:tc>
          <w:tcPr>
            <w:tcW w:w="1357"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≤30万元</w:t>
            </w:r>
          </w:p>
        </w:tc>
        <w:tc>
          <w:tcPr>
            <w:tcW w:w="1526"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30万元</w:t>
            </w:r>
          </w:p>
        </w:tc>
        <w:tc>
          <w:tcPr>
            <w:tcW w:w="1128"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715" w:hRule="atLeast"/>
        </w:trPr>
        <w:tc>
          <w:tcPr>
            <w:tcW w:w="597"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762"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效益</w:t>
            </w:r>
          </w:p>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896" w:type="dxa"/>
            <w:gridSpan w:val="2"/>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社会效益指标</w:t>
            </w:r>
          </w:p>
        </w:tc>
        <w:tc>
          <w:tcPr>
            <w:tcW w:w="2702" w:type="dxa"/>
            <w:gridSpan w:val="4"/>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记录地方党委大政方针及执政思路，总结经验和成绩。</w:t>
            </w:r>
          </w:p>
        </w:tc>
        <w:tc>
          <w:tcPr>
            <w:tcW w:w="1357"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长期可持续</w:t>
            </w:r>
          </w:p>
        </w:tc>
        <w:tc>
          <w:tcPr>
            <w:tcW w:w="1526"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优</w:t>
            </w:r>
          </w:p>
        </w:tc>
        <w:tc>
          <w:tcPr>
            <w:tcW w:w="1128"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561" w:hRule="atLeast"/>
        </w:trPr>
        <w:tc>
          <w:tcPr>
            <w:tcW w:w="597"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762"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满意度指标</w:t>
            </w:r>
          </w:p>
        </w:tc>
        <w:tc>
          <w:tcPr>
            <w:tcW w:w="896" w:type="dxa"/>
            <w:gridSpan w:val="2"/>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满意度指标</w:t>
            </w:r>
          </w:p>
        </w:tc>
        <w:tc>
          <w:tcPr>
            <w:tcW w:w="2702" w:type="dxa"/>
            <w:gridSpan w:val="4"/>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服务对象满意度</w:t>
            </w:r>
          </w:p>
        </w:tc>
        <w:tc>
          <w:tcPr>
            <w:tcW w:w="1357" w:type="dxa"/>
            <w:tcBorders>
              <w:top w:val="nil"/>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&gt;90%</w:t>
            </w:r>
          </w:p>
        </w:tc>
        <w:tc>
          <w:tcPr>
            <w:tcW w:w="1526" w:type="dxa"/>
            <w:gridSpan w:val="2"/>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92%</w:t>
            </w:r>
          </w:p>
        </w:tc>
        <w:tc>
          <w:tcPr>
            <w:tcW w:w="1128" w:type="dxa"/>
            <w:tcBorders>
              <w:top w:val="nil"/>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pPr>
        <w:pStyle w:val="2"/>
        <w:rPr>
          <w:rFonts w:eastAsia="宋体"/>
        </w:rPr>
        <w:sectPr>
          <w:headerReference r:id="rId22" w:type="default"/>
          <w:footerReference r:id="rId23" w:type="default"/>
          <w:pgSz w:w="11905" w:h="16838"/>
          <w:pgMar w:top="2098" w:right="1474" w:bottom="1984" w:left="1587" w:header="851" w:footer="1474" w:gutter="0"/>
          <w:pgNumType w:fmt="decimal"/>
          <w:cols w:space="0" w:num="1"/>
          <w:rtlGutter w:val="0"/>
          <w:docGrid w:type="lines" w:linePitch="319" w:charSpace="0"/>
        </w:sectPr>
      </w:pPr>
    </w:p>
    <w:p>
      <w:pPr>
        <w:pStyle w:val="2"/>
        <w:spacing w:line="576" w:lineRule="exact"/>
        <w:rPr>
          <w:rFonts w:hint="eastAsia" w:ascii="黑体" w:hAnsi="黑体" w:eastAsia="黑体"/>
          <w:sz w:val="32"/>
          <w:szCs w:val="32"/>
        </w:rPr>
      </w:pPr>
      <w:r>
        <w:rPr>
          <w:rFonts w:hint="eastAsia" w:ascii="黑体" w:hAnsi="黑体" w:eastAsia="黑体"/>
          <w:sz w:val="32"/>
          <w:szCs w:val="32"/>
        </w:rPr>
        <w:t>附件2</w:t>
      </w:r>
    </w:p>
    <w:p>
      <w:pPr>
        <w:pStyle w:val="2"/>
        <w:spacing w:line="576" w:lineRule="exact"/>
        <w:jc w:val="center"/>
        <w:rPr>
          <w:rFonts w:hint="eastAsia" w:ascii="方正小标宋简体" w:hAnsi="黑体" w:eastAsia="方正小标宋简体"/>
          <w:sz w:val="44"/>
          <w:szCs w:val="44"/>
        </w:rPr>
      </w:pPr>
      <w:r>
        <w:rPr>
          <w:rFonts w:hint="eastAsia" w:ascii="方正小标宋简体" w:hAnsi="宋体" w:eastAsia="方正小标宋简体" w:cs="宋体"/>
          <w:bCs/>
          <w:color w:val="000000"/>
          <w:kern w:val="0"/>
          <w:sz w:val="44"/>
          <w:szCs w:val="44"/>
        </w:rPr>
        <w:t>2021年部门预算项目支出绩效自评评分表</w:t>
      </w:r>
    </w:p>
    <w:p>
      <w:pPr>
        <w:pStyle w:val="2"/>
        <w:rPr>
          <w:rFonts w:hint="eastAsia" w:eastAsia="宋体"/>
        </w:rPr>
      </w:pPr>
    </w:p>
    <w:p>
      <w:pPr>
        <w:pStyle w:val="2"/>
        <w:ind w:firstLine="180" w:firstLineChars="100"/>
        <w:rPr>
          <w:rFonts w:hint="eastAsia" w:ascii="宋体" w:hAnsi="宋体" w:eastAsia="宋体"/>
          <w:szCs w:val="18"/>
        </w:rPr>
      </w:pPr>
      <w:r>
        <w:rPr>
          <w:rFonts w:hint="eastAsia" w:ascii="宋体" w:hAnsi="宋体" w:eastAsia="宋体" w:cs="宋体"/>
          <w:color w:val="000000"/>
          <w:kern w:val="0"/>
          <w:szCs w:val="18"/>
        </w:rPr>
        <w:t>部门（单位）盖章：中共广元市朝天区委办公室                                                                            项目名称：党史专项工作</w:t>
      </w:r>
    </w:p>
    <w:tbl>
      <w:tblPr>
        <w:tblStyle w:val="14"/>
        <w:tblW w:w="0" w:type="auto"/>
        <w:jc w:val="center"/>
        <w:tblLayout w:type="autofit"/>
        <w:tblCellMar>
          <w:top w:w="0" w:type="dxa"/>
          <w:left w:w="108" w:type="dxa"/>
          <w:bottom w:w="0" w:type="dxa"/>
          <w:right w:w="108" w:type="dxa"/>
        </w:tblCellMar>
      </w:tblPr>
      <w:tblGrid>
        <w:gridCol w:w="732"/>
        <w:gridCol w:w="658"/>
        <w:gridCol w:w="784"/>
        <w:gridCol w:w="5082"/>
        <w:gridCol w:w="710"/>
        <w:gridCol w:w="4430"/>
        <w:gridCol w:w="576"/>
      </w:tblGrid>
      <w:tr>
        <w:tblPrEx>
          <w:tblCellMar>
            <w:top w:w="0" w:type="dxa"/>
            <w:left w:w="108" w:type="dxa"/>
            <w:bottom w:w="0" w:type="dxa"/>
            <w:right w:w="108" w:type="dxa"/>
          </w:tblCellMar>
        </w:tblPrEx>
        <w:trPr>
          <w:trHeight w:val="552" w:hRule="atLeast"/>
          <w:tblHeader/>
          <w:jc w:val="center"/>
        </w:trPr>
        <w:tc>
          <w:tcPr>
            <w:tcW w:w="75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一级 指标</w:t>
            </w:r>
          </w:p>
        </w:tc>
        <w:tc>
          <w:tcPr>
            <w:tcW w:w="694"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 xml:space="preserve">二级指标              </w:t>
            </w:r>
          </w:p>
        </w:tc>
        <w:tc>
          <w:tcPr>
            <w:tcW w:w="812"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hint="eastAsia" w:ascii="黑体" w:hAnsi="黑体" w:eastAsia="黑体" w:cs="宋体"/>
                <w:bCs/>
                <w:color w:val="000000"/>
                <w:kern w:val="0"/>
                <w:sz w:val="18"/>
                <w:szCs w:val="18"/>
              </w:rPr>
            </w:pPr>
            <w:r>
              <w:rPr>
                <w:rFonts w:hint="eastAsia" w:ascii="黑体" w:hAnsi="黑体" w:eastAsia="黑体" w:cs="宋体"/>
                <w:bCs/>
                <w:color w:val="000000"/>
                <w:kern w:val="0"/>
                <w:sz w:val="18"/>
                <w:szCs w:val="18"/>
              </w:rPr>
              <w:t>三级</w:t>
            </w:r>
          </w:p>
          <w:p>
            <w:pPr>
              <w:spacing w:line="0" w:lineRule="atLeast"/>
              <w:jc w:val="center"/>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 xml:space="preserve">指标            </w:t>
            </w:r>
          </w:p>
        </w:tc>
        <w:tc>
          <w:tcPr>
            <w:tcW w:w="5613"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指标内容</w:t>
            </w:r>
          </w:p>
        </w:tc>
        <w:tc>
          <w:tcPr>
            <w:tcW w:w="741"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参考分值</w:t>
            </w:r>
          </w:p>
        </w:tc>
        <w:tc>
          <w:tcPr>
            <w:tcW w:w="4933"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评分标准</w:t>
            </w:r>
          </w:p>
        </w:tc>
        <w:tc>
          <w:tcPr>
            <w:tcW w:w="576"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自评得分</w:t>
            </w:r>
          </w:p>
        </w:tc>
      </w:tr>
      <w:tr>
        <w:tblPrEx>
          <w:tblCellMar>
            <w:top w:w="0" w:type="dxa"/>
            <w:left w:w="108" w:type="dxa"/>
            <w:bottom w:w="0" w:type="dxa"/>
            <w:right w:w="108" w:type="dxa"/>
          </w:tblCellMar>
        </w:tblPrEx>
        <w:trPr>
          <w:trHeight w:val="1060" w:hRule="atLeast"/>
          <w:jc w:val="center"/>
        </w:trPr>
        <w:tc>
          <w:tcPr>
            <w:tcW w:w="758"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决策</w:t>
            </w:r>
          </w:p>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（14分）</w:t>
            </w:r>
          </w:p>
        </w:tc>
        <w:tc>
          <w:tcPr>
            <w:tcW w:w="694"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项目立项</w:t>
            </w:r>
          </w:p>
        </w:tc>
        <w:tc>
          <w:tcPr>
            <w:tcW w:w="812"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立项</w:t>
            </w:r>
          </w:p>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依据</w:t>
            </w:r>
          </w:p>
        </w:tc>
        <w:tc>
          <w:tcPr>
            <w:tcW w:w="5613"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用以反映项目立项是否有充分的依据：符合国家法律法规、本地的相关规定；符合部门年度工作计划。</w:t>
            </w:r>
          </w:p>
        </w:tc>
        <w:tc>
          <w:tcPr>
            <w:tcW w:w="741"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4933" w:type="dxa"/>
            <w:tcBorders>
              <w:top w:val="nil"/>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①符合国家相关法律法规、国民经济发展规划和党委政府决策（1分）；                                                                                                           ②符合部门（单位）年度工作计划或项目实施单位职责密切相关（1分）。                                                             </w:t>
            </w:r>
          </w:p>
        </w:tc>
        <w:tc>
          <w:tcPr>
            <w:tcW w:w="57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2</w:t>
            </w:r>
          </w:p>
        </w:tc>
      </w:tr>
      <w:tr>
        <w:tblPrEx>
          <w:tblCellMar>
            <w:top w:w="0" w:type="dxa"/>
            <w:left w:w="108" w:type="dxa"/>
            <w:bottom w:w="0" w:type="dxa"/>
            <w:right w:w="108" w:type="dxa"/>
          </w:tblCellMar>
        </w:tblPrEx>
        <w:trPr>
          <w:trHeight w:val="934" w:hRule="atLeast"/>
          <w:jc w:val="center"/>
        </w:trPr>
        <w:tc>
          <w:tcPr>
            <w:tcW w:w="758"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694"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812"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决策</w:t>
            </w:r>
          </w:p>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程序</w:t>
            </w:r>
          </w:p>
        </w:tc>
        <w:tc>
          <w:tcPr>
            <w:tcW w:w="5613"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用以反映和考核项目立项的规范情况：项目的申请、设立过程是否符合相关要求。</w:t>
            </w:r>
          </w:p>
        </w:tc>
        <w:tc>
          <w:tcPr>
            <w:tcW w:w="741"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4933" w:type="dxa"/>
            <w:tcBorders>
              <w:top w:val="nil"/>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①项目是否按照规定的程序申请设立，审批文件、材料是否符合相关要求（1分）； ②事前是否已经过必要的可行性研究、专家论证、风险评估、集体决策等（1分）。</w:t>
            </w:r>
          </w:p>
        </w:tc>
        <w:tc>
          <w:tcPr>
            <w:tcW w:w="57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2</w:t>
            </w:r>
          </w:p>
        </w:tc>
      </w:tr>
      <w:tr>
        <w:tblPrEx>
          <w:tblCellMar>
            <w:top w:w="0" w:type="dxa"/>
            <w:left w:w="108" w:type="dxa"/>
            <w:bottom w:w="0" w:type="dxa"/>
            <w:right w:w="108" w:type="dxa"/>
          </w:tblCellMar>
        </w:tblPrEx>
        <w:trPr>
          <w:trHeight w:val="1451" w:hRule="atLeast"/>
          <w:jc w:val="center"/>
        </w:trPr>
        <w:tc>
          <w:tcPr>
            <w:tcW w:w="758"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694"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项目目标</w:t>
            </w:r>
          </w:p>
        </w:tc>
        <w:tc>
          <w:tcPr>
            <w:tcW w:w="812"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目标合理性</w:t>
            </w:r>
          </w:p>
        </w:tc>
        <w:tc>
          <w:tcPr>
            <w:tcW w:w="5613"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用以反映和考核项目绩效目标与项目实施的相符情况：项目所设定的绩效目标是否依据充分，是否符合客观实际。</w:t>
            </w:r>
          </w:p>
        </w:tc>
        <w:tc>
          <w:tcPr>
            <w:tcW w:w="741"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4933" w:type="dxa"/>
            <w:tcBorders>
              <w:top w:val="nil"/>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①项目的测算依据充分（1分）；                                                                                                                                                       ②项目是否有绩效目标，与实际工作内容是否具有相关性（1分）；                                                                                                                        ③项目预期产出效益和效果是否符合正常的业绩水平（1分）；                                                                                                                                                                   ④与预算确定的项目投资额或资金量相匹配（1分）。</w:t>
            </w:r>
          </w:p>
        </w:tc>
        <w:tc>
          <w:tcPr>
            <w:tcW w:w="57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3</w:t>
            </w:r>
          </w:p>
        </w:tc>
      </w:tr>
      <w:tr>
        <w:tblPrEx>
          <w:tblCellMar>
            <w:top w:w="0" w:type="dxa"/>
            <w:left w:w="108" w:type="dxa"/>
            <w:bottom w:w="0" w:type="dxa"/>
            <w:right w:w="108" w:type="dxa"/>
          </w:tblCellMar>
        </w:tblPrEx>
        <w:trPr>
          <w:trHeight w:val="1092" w:hRule="atLeast"/>
          <w:jc w:val="center"/>
        </w:trPr>
        <w:tc>
          <w:tcPr>
            <w:tcW w:w="758"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694"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812"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指标明确性</w:t>
            </w:r>
          </w:p>
        </w:tc>
        <w:tc>
          <w:tcPr>
            <w:tcW w:w="5613"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用以反映和考核项目绩效目标与项目实施的相符情况：依据绩效目标设定的绩效指标是否清晰、细化、可衡量等。</w:t>
            </w:r>
          </w:p>
        </w:tc>
        <w:tc>
          <w:tcPr>
            <w:tcW w:w="741"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4933" w:type="dxa"/>
            <w:tcBorders>
              <w:top w:val="nil"/>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①是否将绩效目标的绩效指标细化分解（1分）；                                                                                                                                                        ②分解的绩效指标体现清晰、可衡量的指标值（1分）；                                                                                                                                                   ③与项目年度任务数或计划数相对应（1分）；                                                                                                                                                         ④与预算确定的项目投资额或资金量相匹配（1分）。</w:t>
            </w:r>
          </w:p>
        </w:tc>
        <w:tc>
          <w:tcPr>
            <w:tcW w:w="57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3</w:t>
            </w:r>
          </w:p>
        </w:tc>
      </w:tr>
      <w:tr>
        <w:tblPrEx>
          <w:tblCellMar>
            <w:top w:w="0" w:type="dxa"/>
            <w:left w:w="108" w:type="dxa"/>
            <w:bottom w:w="0" w:type="dxa"/>
            <w:right w:w="108" w:type="dxa"/>
          </w:tblCellMar>
        </w:tblPrEx>
        <w:trPr>
          <w:trHeight w:val="938" w:hRule="atLeast"/>
          <w:jc w:val="center"/>
        </w:trPr>
        <w:tc>
          <w:tcPr>
            <w:tcW w:w="758"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694"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资金分配</w:t>
            </w:r>
          </w:p>
        </w:tc>
        <w:tc>
          <w:tcPr>
            <w:tcW w:w="812"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分配的合理性</w:t>
            </w:r>
          </w:p>
        </w:tc>
        <w:tc>
          <w:tcPr>
            <w:tcW w:w="5613"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项目预算资金分配是否有测算依据，与项目单位或地方实际是否相适应；根据需要制定的相关资金管理办法；管理办法中有明确资金分配办法；资金分配因素全面、合理。</w:t>
            </w:r>
          </w:p>
        </w:tc>
        <w:tc>
          <w:tcPr>
            <w:tcW w:w="741"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4933" w:type="dxa"/>
            <w:tcBorders>
              <w:top w:val="nil"/>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①预算资金分配依据充分（1分）；                                                                                                                                 ②资金分配额度合理，与项目单位或地方实际相适应 （1分）。                 此项需提供相应的资金分配方案。</w:t>
            </w:r>
          </w:p>
        </w:tc>
        <w:tc>
          <w:tcPr>
            <w:tcW w:w="57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2</w:t>
            </w:r>
          </w:p>
        </w:tc>
      </w:tr>
      <w:tr>
        <w:tblPrEx>
          <w:tblCellMar>
            <w:top w:w="0" w:type="dxa"/>
            <w:left w:w="108" w:type="dxa"/>
            <w:bottom w:w="0" w:type="dxa"/>
            <w:right w:w="108" w:type="dxa"/>
          </w:tblCellMar>
        </w:tblPrEx>
        <w:trPr>
          <w:trHeight w:val="1270" w:hRule="atLeast"/>
          <w:jc w:val="center"/>
        </w:trPr>
        <w:tc>
          <w:tcPr>
            <w:tcW w:w="758"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管理</w:t>
            </w:r>
          </w:p>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（16分）</w:t>
            </w:r>
          </w:p>
        </w:tc>
        <w:tc>
          <w:tcPr>
            <w:tcW w:w="694"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w:t>
            </w:r>
          </w:p>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管理</w:t>
            </w:r>
          </w:p>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（9分）</w:t>
            </w:r>
          </w:p>
        </w:tc>
        <w:tc>
          <w:tcPr>
            <w:tcW w:w="812"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资金到位率</w:t>
            </w:r>
          </w:p>
        </w:tc>
        <w:tc>
          <w:tcPr>
            <w:tcW w:w="5613"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资金到位率=（实际到位资金/计划投入资金）×100%。                                                              实际到位资金：一定时期（本年度或项目期）内落实到具体项目的资金。                                                       预算资金：一定时期（本年度或项目期）内预算安排到具体项目的资金。</w:t>
            </w:r>
          </w:p>
        </w:tc>
        <w:tc>
          <w:tcPr>
            <w:tcW w:w="741"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933" w:type="dxa"/>
            <w:tcBorders>
              <w:top w:val="nil"/>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根据项目资金的实际到位率计算得分（1分）</w:t>
            </w:r>
          </w:p>
        </w:tc>
        <w:tc>
          <w:tcPr>
            <w:tcW w:w="57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1</w:t>
            </w:r>
          </w:p>
        </w:tc>
      </w:tr>
      <w:tr>
        <w:tblPrEx>
          <w:tblCellMar>
            <w:top w:w="0" w:type="dxa"/>
            <w:left w:w="108" w:type="dxa"/>
            <w:bottom w:w="0" w:type="dxa"/>
            <w:right w:w="108" w:type="dxa"/>
          </w:tblCellMar>
        </w:tblPrEx>
        <w:trPr>
          <w:trHeight w:val="683" w:hRule="atLeast"/>
          <w:jc w:val="center"/>
        </w:trPr>
        <w:tc>
          <w:tcPr>
            <w:tcW w:w="758" w:type="dxa"/>
            <w:vMerge w:val="restart"/>
            <w:tcBorders>
              <w:top w:val="nil"/>
              <w:left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管理</w:t>
            </w:r>
          </w:p>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（16分）</w:t>
            </w:r>
          </w:p>
        </w:tc>
        <w:tc>
          <w:tcPr>
            <w:tcW w:w="694" w:type="dxa"/>
            <w:vMerge w:val="restart"/>
            <w:tcBorders>
              <w:top w:val="nil"/>
              <w:left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w:t>
            </w:r>
          </w:p>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管理</w:t>
            </w:r>
          </w:p>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（9分）</w:t>
            </w:r>
          </w:p>
        </w:tc>
        <w:tc>
          <w:tcPr>
            <w:tcW w:w="812"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预算执行率</w:t>
            </w:r>
          </w:p>
        </w:tc>
        <w:tc>
          <w:tcPr>
            <w:tcW w:w="5613"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用以反映项目预算执行的进度：预算执行率=实际支出数/预算数。                                      实际支出资金：一定时期（本年度或项目期）内项目实际拨付的资金。</w:t>
            </w:r>
          </w:p>
        </w:tc>
        <w:tc>
          <w:tcPr>
            <w:tcW w:w="741"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4933" w:type="dxa"/>
            <w:tcBorders>
              <w:top w:val="nil"/>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根据项目资金的预算执行率计算得分（2分）</w:t>
            </w:r>
          </w:p>
        </w:tc>
        <w:tc>
          <w:tcPr>
            <w:tcW w:w="57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2</w:t>
            </w:r>
          </w:p>
        </w:tc>
      </w:tr>
      <w:tr>
        <w:tblPrEx>
          <w:tblCellMar>
            <w:top w:w="0" w:type="dxa"/>
            <w:left w:w="108" w:type="dxa"/>
            <w:bottom w:w="0" w:type="dxa"/>
            <w:right w:w="108" w:type="dxa"/>
          </w:tblCellMar>
        </w:tblPrEx>
        <w:trPr>
          <w:trHeight w:val="1871" w:hRule="atLeast"/>
          <w:jc w:val="center"/>
        </w:trPr>
        <w:tc>
          <w:tcPr>
            <w:tcW w:w="758" w:type="dxa"/>
            <w:vMerge w:val="continue"/>
            <w:tcBorders>
              <w:left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694" w:type="dxa"/>
            <w:vMerge w:val="continue"/>
            <w:tcBorders>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812"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w:t>
            </w:r>
          </w:p>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使用</w:t>
            </w:r>
          </w:p>
        </w:tc>
        <w:tc>
          <w:tcPr>
            <w:tcW w:w="5613"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用以反映和考核项目资金的规范运行情况：项目资金使用是否符合相关的财务管理制度规定。</w:t>
            </w:r>
          </w:p>
        </w:tc>
        <w:tc>
          <w:tcPr>
            <w:tcW w:w="741"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4933" w:type="dxa"/>
            <w:tcBorders>
              <w:top w:val="nil"/>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①符合国家财经法规和财务管理制度以及有关专项资金管理办法的规定（1分）；                                                                      ②资金的拨付审批程序和手续完整（1分）；                                                                                           ③符合项目预算批复或合同规定的用途（1分）；                                                                                                                                                                    ④无截留、挤占、挪用、无虚列支出（3分）；                                                                                                                                                                                 若评价前已完成项目资金的专项审计，该指标可用审计结论代替。</w:t>
            </w:r>
          </w:p>
        </w:tc>
        <w:tc>
          <w:tcPr>
            <w:tcW w:w="57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5</w:t>
            </w:r>
          </w:p>
        </w:tc>
      </w:tr>
      <w:tr>
        <w:tblPrEx>
          <w:tblCellMar>
            <w:top w:w="0" w:type="dxa"/>
            <w:left w:w="108" w:type="dxa"/>
            <w:bottom w:w="0" w:type="dxa"/>
            <w:right w:w="108" w:type="dxa"/>
          </w:tblCellMar>
        </w:tblPrEx>
        <w:trPr>
          <w:trHeight w:val="711" w:hRule="atLeast"/>
          <w:jc w:val="center"/>
        </w:trPr>
        <w:tc>
          <w:tcPr>
            <w:tcW w:w="758" w:type="dxa"/>
            <w:vMerge w:val="continue"/>
            <w:tcBorders>
              <w:left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694"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组织</w:t>
            </w:r>
          </w:p>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实施</w:t>
            </w:r>
          </w:p>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（7分）</w:t>
            </w:r>
          </w:p>
        </w:tc>
        <w:tc>
          <w:tcPr>
            <w:tcW w:w="812"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制度</w:t>
            </w:r>
          </w:p>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管理</w:t>
            </w:r>
          </w:p>
        </w:tc>
        <w:tc>
          <w:tcPr>
            <w:tcW w:w="5613"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用以反映和考核财务和业务管理制度对项目顺利实施的制度保障情况。</w:t>
            </w:r>
          </w:p>
        </w:tc>
        <w:tc>
          <w:tcPr>
            <w:tcW w:w="741"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4933" w:type="dxa"/>
            <w:tcBorders>
              <w:top w:val="nil"/>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①制定或具有相应的财务和业务管理制度（1分）；                                                                                                                                                         ②财务和业务管理制度合法、合规、完整（1分）。</w:t>
            </w:r>
          </w:p>
        </w:tc>
        <w:tc>
          <w:tcPr>
            <w:tcW w:w="57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1.5</w:t>
            </w:r>
          </w:p>
        </w:tc>
      </w:tr>
      <w:tr>
        <w:tblPrEx>
          <w:tblCellMar>
            <w:top w:w="0" w:type="dxa"/>
            <w:left w:w="108" w:type="dxa"/>
            <w:bottom w:w="0" w:type="dxa"/>
            <w:right w:w="108" w:type="dxa"/>
          </w:tblCellMar>
        </w:tblPrEx>
        <w:trPr>
          <w:trHeight w:val="1325" w:hRule="atLeast"/>
          <w:jc w:val="center"/>
        </w:trPr>
        <w:tc>
          <w:tcPr>
            <w:tcW w:w="758" w:type="dxa"/>
            <w:vMerge w:val="continue"/>
            <w:tcBorders>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694"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812"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制度</w:t>
            </w:r>
          </w:p>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执行</w:t>
            </w:r>
          </w:p>
        </w:tc>
        <w:tc>
          <w:tcPr>
            <w:tcW w:w="5613"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用以反映和考核业务管理制度的有效执行和质量控制情况：项目实施是否符合相关业务管理规定，是否为达到项目质量要求而采取了必需的措施。</w:t>
            </w:r>
          </w:p>
        </w:tc>
        <w:tc>
          <w:tcPr>
            <w:tcW w:w="741"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4933" w:type="dxa"/>
            <w:tcBorders>
              <w:top w:val="nil"/>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①按相关法律法规和业务管理规定执行（1分）；                                                                                                                                                      ②项目调整及支出调整手续完备（1分）；                                                                                                                                                                   ③项目合同书、验收报告、技术鉴定等资料规范、齐全（2分）；                                                                                                                                                                      ④项目实施的人员条件、场地设备等是否落实到位（1分）。</w:t>
            </w:r>
          </w:p>
        </w:tc>
        <w:tc>
          <w:tcPr>
            <w:tcW w:w="57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4</w:t>
            </w:r>
          </w:p>
        </w:tc>
      </w:tr>
      <w:tr>
        <w:tblPrEx>
          <w:tblCellMar>
            <w:top w:w="0" w:type="dxa"/>
            <w:left w:w="108" w:type="dxa"/>
            <w:bottom w:w="0" w:type="dxa"/>
            <w:right w:w="108" w:type="dxa"/>
          </w:tblCellMar>
        </w:tblPrEx>
        <w:trPr>
          <w:trHeight w:val="1339" w:hRule="atLeast"/>
          <w:jc w:val="center"/>
        </w:trPr>
        <w:tc>
          <w:tcPr>
            <w:tcW w:w="758" w:type="dxa"/>
            <w:vMerge w:val="restart"/>
            <w:tcBorders>
              <w:top w:val="nil"/>
              <w:left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w:t>
            </w:r>
          </w:p>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（特性</w:t>
            </w:r>
          </w:p>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指标）（70）</w:t>
            </w:r>
          </w:p>
        </w:tc>
        <w:tc>
          <w:tcPr>
            <w:tcW w:w="694" w:type="dxa"/>
            <w:vMerge w:val="restart"/>
            <w:tcBorders>
              <w:top w:val="nil"/>
              <w:left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产出</w:t>
            </w:r>
          </w:p>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（35分）</w:t>
            </w:r>
          </w:p>
        </w:tc>
        <w:tc>
          <w:tcPr>
            <w:tcW w:w="812"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实际完成率</w:t>
            </w:r>
          </w:p>
        </w:tc>
        <w:tc>
          <w:tcPr>
            <w:tcW w:w="5613"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实际完成率=（实际产出数/计划产出数）×100%。                                                            实际产出数：一定时期（本年度或项目期）内项目实际产出的产品或提供的服务数量。                                                                                         计划产出数：项目绩效目标确定的在一定时期（本年度或项目期）内计划产出的产品或提供的服务数量。</w:t>
            </w:r>
          </w:p>
        </w:tc>
        <w:tc>
          <w:tcPr>
            <w:tcW w:w="741"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4933" w:type="dxa"/>
            <w:tcBorders>
              <w:top w:val="nil"/>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完成绩效目标100%得9分，未完成100%的同比例扣减。</w:t>
            </w:r>
          </w:p>
        </w:tc>
        <w:tc>
          <w:tcPr>
            <w:tcW w:w="57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9</w:t>
            </w:r>
          </w:p>
        </w:tc>
      </w:tr>
      <w:tr>
        <w:tblPrEx>
          <w:tblCellMar>
            <w:top w:w="0" w:type="dxa"/>
            <w:left w:w="108" w:type="dxa"/>
            <w:bottom w:w="0" w:type="dxa"/>
            <w:right w:w="108" w:type="dxa"/>
          </w:tblCellMar>
        </w:tblPrEx>
        <w:trPr>
          <w:trHeight w:val="1353" w:hRule="atLeast"/>
          <w:jc w:val="center"/>
        </w:trPr>
        <w:tc>
          <w:tcPr>
            <w:tcW w:w="758" w:type="dxa"/>
            <w:vMerge w:val="continue"/>
            <w:tcBorders>
              <w:left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694" w:type="dxa"/>
            <w:vMerge w:val="continue"/>
            <w:tcBorders>
              <w:left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812"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质量达标率</w:t>
            </w:r>
          </w:p>
        </w:tc>
        <w:tc>
          <w:tcPr>
            <w:tcW w:w="5613"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质量达标率=（质量达标产出数量/计划完成产出数量）× 100%。                                                                                                                                  质量达标产出数：一定时期（本年度或项目期）内实际达到既定质量标准的产品或服务数量。                                                            既定质量标准是指项目实施单位设立绩效目标时依据计划标准、行业标准、历史标准或其他标准而设定的绩效指标值。  </w:t>
            </w:r>
          </w:p>
        </w:tc>
        <w:tc>
          <w:tcPr>
            <w:tcW w:w="741"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4933" w:type="dxa"/>
            <w:tcBorders>
              <w:top w:val="nil"/>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产出质量达到绩效目标100%得9分，未完成100%的同比例扣减。</w:t>
            </w:r>
          </w:p>
        </w:tc>
        <w:tc>
          <w:tcPr>
            <w:tcW w:w="57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9</w:t>
            </w:r>
          </w:p>
        </w:tc>
      </w:tr>
      <w:tr>
        <w:tblPrEx>
          <w:tblCellMar>
            <w:top w:w="0" w:type="dxa"/>
            <w:left w:w="108" w:type="dxa"/>
            <w:bottom w:w="0" w:type="dxa"/>
            <w:right w:w="108" w:type="dxa"/>
          </w:tblCellMar>
        </w:tblPrEx>
        <w:trPr>
          <w:trHeight w:val="1074" w:hRule="atLeast"/>
          <w:jc w:val="center"/>
        </w:trPr>
        <w:tc>
          <w:tcPr>
            <w:tcW w:w="758" w:type="dxa"/>
            <w:vMerge w:val="continue"/>
            <w:tcBorders>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694" w:type="dxa"/>
            <w:vMerge w:val="continue"/>
            <w:tcBorders>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812"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完成及时性</w:t>
            </w:r>
          </w:p>
        </w:tc>
        <w:tc>
          <w:tcPr>
            <w:tcW w:w="5613"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完成及时率=计划时限内实际完成的项目数量/计划时限内应完成的项目数量×100%。                                                                                                                               实际完成时间：项目实施单位完成该项目实际所耗用的时间。                                                                         计划完成时间：</w:t>
            </w:r>
            <w:r>
              <w:rPr>
                <w:rFonts w:hint="eastAsia" w:ascii="宋体" w:hAnsi="宋体" w:eastAsia="宋体" w:cs="宋体"/>
                <w:color w:val="000000"/>
                <w:spacing w:val="-6"/>
                <w:kern w:val="0"/>
                <w:sz w:val="18"/>
                <w:szCs w:val="18"/>
              </w:rPr>
              <w:t>按照项目实施计划或相关规定完成该项目所需的时间。</w:t>
            </w:r>
          </w:p>
        </w:tc>
        <w:tc>
          <w:tcPr>
            <w:tcW w:w="741"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4933" w:type="dxa"/>
            <w:tcBorders>
              <w:top w:val="nil"/>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产出时效达到绩效目标得8分，未完成且无充分理由的扣3分。</w:t>
            </w:r>
          </w:p>
        </w:tc>
        <w:tc>
          <w:tcPr>
            <w:tcW w:w="57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8</w:t>
            </w:r>
          </w:p>
        </w:tc>
      </w:tr>
      <w:tr>
        <w:tblPrEx>
          <w:tblCellMar>
            <w:top w:w="0" w:type="dxa"/>
            <w:left w:w="108" w:type="dxa"/>
            <w:bottom w:w="0" w:type="dxa"/>
            <w:right w:w="108" w:type="dxa"/>
          </w:tblCellMar>
        </w:tblPrEx>
        <w:trPr>
          <w:trHeight w:val="1466" w:hRule="atLeast"/>
          <w:jc w:val="center"/>
        </w:trPr>
        <w:tc>
          <w:tcPr>
            <w:tcW w:w="758" w:type="dxa"/>
            <w:vMerge w:val="restart"/>
            <w:tcBorders>
              <w:top w:val="nil"/>
              <w:left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w:t>
            </w:r>
          </w:p>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（特性</w:t>
            </w:r>
          </w:p>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指标）（70）</w:t>
            </w:r>
          </w:p>
        </w:tc>
        <w:tc>
          <w:tcPr>
            <w:tcW w:w="694"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产出</w:t>
            </w:r>
          </w:p>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（35分）</w:t>
            </w:r>
          </w:p>
        </w:tc>
        <w:tc>
          <w:tcPr>
            <w:tcW w:w="812" w:type="dxa"/>
            <w:tcBorders>
              <w:top w:val="nil"/>
              <w:left w:val="nil"/>
              <w:bottom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完成成本（成本节约率）</w:t>
            </w:r>
          </w:p>
        </w:tc>
        <w:tc>
          <w:tcPr>
            <w:tcW w:w="5613"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成本节约率=[（计划成本-实际成本）/计划成本]×100%。                                                        实际成本：项目实施单位如期、保质、保量完成既定工作目标实际所耗费的支出。                                                                                        计划成本：项目实施单位为完成工作目标计划安排的支出，一般以项目预算为参考。</w:t>
            </w:r>
          </w:p>
        </w:tc>
        <w:tc>
          <w:tcPr>
            <w:tcW w:w="741"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4933" w:type="dxa"/>
            <w:tcBorders>
              <w:top w:val="nil"/>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产出成本按绩效目标控制得9分，未完成的，按超支比例扣减。</w:t>
            </w:r>
          </w:p>
        </w:tc>
        <w:tc>
          <w:tcPr>
            <w:tcW w:w="57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9</w:t>
            </w:r>
          </w:p>
        </w:tc>
      </w:tr>
      <w:tr>
        <w:tblPrEx>
          <w:tblCellMar>
            <w:top w:w="0" w:type="dxa"/>
            <w:left w:w="108" w:type="dxa"/>
            <w:bottom w:w="0" w:type="dxa"/>
            <w:right w:w="108" w:type="dxa"/>
          </w:tblCellMar>
        </w:tblPrEx>
        <w:trPr>
          <w:trHeight w:val="1158" w:hRule="atLeast"/>
          <w:jc w:val="center"/>
        </w:trPr>
        <w:tc>
          <w:tcPr>
            <w:tcW w:w="758" w:type="dxa"/>
            <w:vMerge w:val="continue"/>
            <w:tcBorders>
              <w:left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694" w:type="dxa"/>
            <w:tcBorders>
              <w:top w:val="nil"/>
              <w:left w:val="nil"/>
              <w:bottom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效益</w:t>
            </w:r>
          </w:p>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（30分）</w:t>
            </w:r>
          </w:p>
        </w:tc>
        <w:tc>
          <w:tcPr>
            <w:tcW w:w="812"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社会效益（可选项）</w:t>
            </w:r>
          </w:p>
        </w:tc>
        <w:tc>
          <w:tcPr>
            <w:tcW w:w="5613"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反映相关产出对社会发展带来的影响和效果，根据项目实际细化具体指标。重点考核撬动率、贡献率、达标率、就业率等指标。</w:t>
            </w:r>
          </w:p>
        </w:tc>
        <w:tc>
          <w:tcPr>
            <w:tcW w:w="741"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c>
          <w:tcPr>
            <w:tcW w:w="4933" w:type="dxa"/>
            <w:tcBorders>
              <w:top w:val="nil"/>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完成绩效目标设定的社会效益得7分，未完成的，按完成情况酌情扣分。</w:t>
            </w:r>
          </w:p>
        </w:tc>
        <w:tc>
          <w:tcPr>
            <w:tcW w:w="57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30</w:t>
            </w:r>
          </w:p>
        </w:tc>
      </w:tr>
      <w:tr>
        <w:tblPrEx>
          <w:tblCellMar>
            <w:top w:w="0" w:type="dxa"/>
            <w:left w:w="108" w:type="dxa"/>
            <w:bottom w:w="0" w:type="dxa"/>
            <w:right w:w="108" w:type="dxa"/>
          </w:tblCellMar>
        </w:tblPrEx>
        <w:trPr>
          <w:trHeight w:val="1144" w:hRule="atLeast"/>
          <w:jc w:val="center"/>
        </w:trPr>
        <w:tc>
          <w:tcPr>
            <w:tcW w:w="758" w:type="dxa"/>
            <w:vMerge w:val="continue"/>
            <w:tcBorders>
              <w:left w:val="single" w:color="auto" w:sz="4" w:space="0"/>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694" w:type="dxa"/>
            <w:tcBorders>
              <w:top w:val="nil"/>
              <w:left w:val="nil"/>
              <w:bottom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满意度              （5分）</w:t>
            </w:r>
          </w:p>
        </w:tc>
        <w:tc>
          <w:tcPr>
            <w:tcW w:w="812" w:type="dxa"/>
            <w:tcBorders>
              <w:top w:val="nil"/>
              <w:left w:val="nil"/>
              <w:bottom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服务对象满意度</w:t>
            </w:r>
          </w:p>
        </w:tc>
        <w:tc>
          <w:tcPr>
            <w:tcW w:w="5613"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满意率反映服务对象或项目受益人对相关产出及其影响的认可程度，根据项目实际细化具体指标。重点考核满意率等指标。</w:t>
            </w:r>
          </w:p>
        </w:tc>
        <w:tc>
          <w:tcPr>
            <w:tcW w:w="741"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4933" w:type="dxa"/>
            <w:tcBorders>
              <w:top w:val="nil"/>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满意率达90%（含）以上的得5分；80%（含）-89%得4分；70%（含）-79%得3分；60%（含）-69%得2分；60%以下不得分。</w:t>
            </w:r>
          </w:p>
        </w:tc>
        <w:tc>
          <w:tcPr>
            <w:tcW w:w="57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5</w:t>
            </w:r>
          </w:p>
        </w:tc>
      </w:tr>
      <w:tr>
        <w:tblPrEx>
          <w:tblCellMar>
            <w:top w:w="0" w:type="dxa"/>
            <w:left w:w="108" w:type="dxa"/>
            <w:bottom w:w="0" w:type="dxa"/>
            <w:right w:w="108" w:type="dxa"/>
          </w:tblCellMar>
        </w:tblPrEx>
        <w:trPr>
          <w:trHeight w:val="697" w:hRule="atLeast"/>
          <w:jc w:val="center"/>
        </w:trPr>
        <w:tc>
          <w:tcPr>
            <w:tcW w:w="7877"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分值</w:t>
            </w:r>
          </w:p>
        </w:tc>
        <w:tc>
          <w:tcPr>
            <w:tcW w:w="741"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100</w:t>
            </w:r>
          </w:p>
        </w:tc>
        <w:tc>
          <w:tcPr>
            <w:tcW w:w="4933"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自评得分</w:t>
            </w:r>
          </w:p>
        </w:tc>
        <w:tc>
          <w:tcPr>
            <w:tcW w:w="57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95.5</w:t>
            </w:r>
          </w:p>
        </w:tc>
      </w:tr>
      <w:tr>
        <w:tblPrEx>
          <w:tblCellMar>
            <w:top w:w="0" w:type="dxa"/>
            <w:left w:w="108" w:type="dxa"/>
            <w:bottom w:w="0" w:type="dxa"/>
            <w:right w:w="108" w:type="dxa"/>
          </w:tblCellMar>
        </w:tblPrEx>
        <w:trPr>
          <w:trHeight w:val="540" w:hRule="atLeast"/>
          <w:jc w:val="center"/>
        </w:trPr>
        <w:tc>
          <w:tcPr>
            <w:tcW w:w="2264"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自评等级</w:t>
            </w:r>
          </w:p>
        </w:tc>
        <w:tc>
          <w:tcPr>
            <w:tcW w:w="11863" w:type="dxa"/>
            <w:gridSpan w:val="4"/>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自评结果：■优秀（90≤得分≤100）；   □良好（80≤得分＜89）；   □及格（60≤得分＜79）；   □不及格（低于60分）</w:t>
            </w:r>
          </w:p>
        </w:tc>
      </w:tr>
    </w:tbl>
    <w:p>
      <w:pPr>
        <w:pStyle w:val="6"/>
        <w:spacing w:before="93"/>
        <w:rPr>
          <w:rFonts w:hAnsi="宋体" w:cs="宋体"/>
          <w:sz w:val="32"/>
          <w:szCs w:val="32"/>
          <w:shd w:val="clear" w:color="auto" w:fill="FFFFFF"/>
          <w:lang w:val="zh-CN"/>
        </w:rPr>
        <w:sectPr>
          <w:pgSz w:w="16838" w:h="11905" w:orient="landscape"/>
          <w:pgMar w:top="1587" w:right="2098" w:bottom="1474" w:left="1984" w:header="851" w:footer="1474" w:gutter="0"/>
          <w:pgNumType w:fmt="decimal"/>
          <w:cols w:space="0" w:num="1"/>
          <w:rtlGutter w:val="0"/>
          <w:docGrid w:type="lines" w:linePitch="327" w:charSpace="0"/>
        </w:sectPr>
      </w:pPr>
    </w:p>
    <w:p>
      <w:pPr>
        <w:autoSpaceDE w:val="0"/>
        <w:spacing w:line="576" w:lineRule="exact"/>
        <w:jc w:val="center"/>
        <w:rPr>
          <w:rFonts w:hint="eastAsia" w:ascii="方正小标宋简体" w:hAnsi="??" w:eastAsia="方正小标宋简体"/>
          <w:color w:val="000000"/>
          <w:kern w:val="0"/>
          <w:sz w:val="44"/>
          <w:szCs w:val="44"/>
        </w:rPr>
      </w:pPr>
      <w:r>
        <w:rPr>
          <w:rFonts w:hint="eastAsia" w:ascii="方正小标宋简体" w:hAnsi="??" w:eastAsia="方正小标宋简体"/>
          <w:color w:val="000000"/>
          <w:kern w:val="0"/>
          <w:sz w:val="44"/>
          <w:szCs w:val="44"/>
        </w:rPr>
        <w:t>中共广元市朝天区委办公室</w:t>
      </w:r>
    </w:p>
    <w:p>
      <w:pPr>
        <w:autoSpaceDE w:val="0"/>
        <w:spacing w:line="576" w:lineRule="exact"/>
        <w:jc w:val="center"/>
        <w:rPr>
          <w:rFonts w:hint="eastAsia" w:ascii="方正小标宋简体" w:hAnsi="??" w:eastAsia="方正小标宋简体"/>
          <w:color w:val="000000"/>
          <w:kern w:val="0"/>
          <w:sz w:val="44"/>
          <w:szCs w:val="44"/>
        </w:rPr>
      </w:pPr>
      <w:r>
        <w:rPr>
          <w:rFonts w:hint="eastAsia" w:ascii="方正小标宋简体" w:hAnsi="??" w:eastAsia="方正小标宋简体"/>
          <w:color w:val="000000"/>
          <w:kern w:val="0"/>
          <w:sz w:val="44"/>
          <w:szCs w:val="44"/>
        </w:rPr>
        <w:t>2021年度部门预算项目支出绩效自评报告</w:t>
      </w:r>
    </w:p>
    <w:p>
      <w:pPr>
        <w:autoSpaceDE w:val="0"/>
        <w:spacing w:line="576" w:lineRule="exact"/>
        <w:jc w:val="center"/>
        <w:rPr>
          <w:rFonts w:hint="eastAsia" w:ascii="楷体_GB2312" w:hAnsi="Times New Roman" w:eastAsia="楷体_GB2312"/>
          <w:szCs w:val="21"/>
        </w:rPr>
      </w:pPr>
      <w:r>
        <w:rPr>
          <w:rFonts w:hint="eastAsia" w:ascii="楷体_GB2312" w:hAnsi="??" w:eastAsia="楷体_GB2312"/>
          <w:sz w:val="32"/>
          <w:szCs w:val="32"/>
        </w:rPr>
        <w:t>（深化改革专项项目）</w:t>
      </w:r>
    </w:p>
    <w:p>
      <w:pPr>
        <w:autoSpaceDE w:val="0"/>
        <w:spacing w:line="576" w:lineRule="exact"/>
        <w:jc w:val="center"/>
        <w:rPr>
          <w:rFonts w:ascii="黑体" w:hAnsi="黑体" w:eastAsia="黑体"/>
          <w:sz w:val="32"/>
          <w:szCs w:val="32"/>
        </w:rPr>
      </w:pPr>
    </w:p>
    <w:p>
      <w:pPr>
        <w:autoSpaceDE w:val="0"/>
        <w:spacing w:line="576" w:lineRule="exact"/>
        <w:ind w:firstLine="640" w:firstLineChars="200"/>
        <w:rPr>
          <w:rFonts w:ascii="黑体" w:hAnsi="黑体" w:eastAsia="黑体"/>
          <w:sz w:val="32"/>
          <w:szCs w:val="32"/>
        </w:rPr>
      </w:pPr>
      <w:r>
        <w:rPr>
          <w:rFonts w:hint="eastAsia" w:ascii="黑体" w:hAnsi="黑体" w:eastAsia="黑体"/>
          <w:sz w:val="32"/>
          <w:szCs w:val="32"/>
        </w:rPr>
        <w:t>一、项目概况</w:t>
      </w:r>
    </w:p>
    <w:p>
      <w:pPr>
        <w:spacing w:line="576" w:lineRule="exact"/>
        <w:ind w:firstLine="640" w:firstLineChars="200"/>
        <w:rPr>
          <w:rFonts w:ascii="仿宋_GB2312" w:hAnsi="??" w:eastAsia="仿宋_GB2312"/>
          <w:sz w:val="32"/>
          <w:szCs w:val="32"/>
        </w:rPr>
      </w:pPr>
      <w:r>
        <w:rPr>
          <w:rFonts w:hint="eastAsia" w:ascii="仿宋_GB2312" w:hAnsi="??" w:eastAsia="仿宋_GB2312"/>
          <w:sz w:val="32"/>
          <w:szCs w:val="32"/>
        </w:rPr>
        <w:t>深化改革专项项目为我单位常年延续性项目。为坚持一手抓改革方案制定、一手抓改革任务落实，坚持“清单制</w:t>
      </w:r>
      <w:r>
        <w:rPr>
          <w:rFonts w:ascii="仿宋_GB2312" w:hAnsi="??" w:eastAsia="仿宋_GB2312"/>
          <w:sz w:val="32"/>
          <w:szCs w:val="32"/>
        </w:rPr>
        <w:t>+</w:t>
      </w:r>
      <w:r>
        <w:rPr>
          <w:rFonts w:hint="eastAsia" w:ascii="仿宋_GB2312" w:hAnsi="??" w:eastAsia="仿宋_GB2312"/>
          <w:sz w:val="32"/>
          <w:szCs w:val="32"/>
        </w:rPr>
        <w:t>责任制”工作法，及时加强对接省委、市委安排部署的各项改革任务目标；明确任务清单，逐项推动区委深改委会议审议出台的专项改革方案落实见效设立该项目。</w:t>
      </w:r>
    </w:p>
    <w:p>
      <w:pPr>
        <w:autoSpaceDE w:val="0"/>
        <w:spacing w:line="576" w:lineRule="exact"/>
        <w:ind w:firstLine="640" w:firstLineChars="200"/>
        <w:rPr>
          <w:rFonts w:ascii="仿宋_GB2312" w:hAnsi="Times New Roman" w:eastAsia="仿宋_GB2312"/>
          <w:sz w:val="32"/>
          <w:szCs w:val="32"/>
        </w:rPr>
      </w:pPr>
      <w:r>
        <w:rPr>
          <w:rFonts w:hint="eastAsia" w:ascii="楷体_GB2312" w:hAnsi="Times New Roman" w:eastAsia="楷体_GB2312"/>
          <w:bCs/>
          <w:sz w:val="32"/>
          <w:szCs w:val="32"/>
        </w:rPr>
        <w:t>（一）项目资金申报及批复情况。</w:t>
      </w:r>
      <w:r>
        <w:rPr>
          <w:rFonts w:hint="eastAsia" w:ascii="仿宋_GB2312" w:hAnsi="Times New Roman" w:eastAsia="仿宋_GB2312"/>
          <w:sz w:val="32"/>
          <w:szCs w:val="32"/>
        </w:rPr>
        <w:t>该项目年初通过预算项目申报，实际批复预算金额</w:t>
      </w:r>
      <w:r>
        <w:rPr>
          <w:rFonts w:ascii="仿宋_GB2312" w:hAnsi="Times New Roman" w:eastAsia="仿宋_GB2312"/>
          <w:sz w:val="32"/>
          <w:szCs w:val="32"/>
        </w:rPr>
        <w:t>30</w:t>
      </w:r>
      <w:r>
        <w:rPr>
          <w:rFonts w:hint="eastAsia" w:ascii="仿宋_GB2312" w:hAnsi="Times New Roman" w:eastAsia="仿宋_GB2312"/>
          <w:sz w:val="32"/>
          <w:szCs w:val="32"/>
        </w:rPr>
        <w:t>万元，其中一般公共预算金额</w:t>
      </w:r>
      <w:r>
        <w:rPr>
          <w:rFonts w:ascii="仿宋_GB2312" w:hAnsi="Times New Roman" w:eastAsia="仿宋_GB2312"/>
          <w:sz w:val="32"/>
          <w:szCs w:val="32"/>
        </w:rPr>
        <w:t>30</w:t>
      </w:r>
      <w:r>
        <w:rPr>
          <w:rFonts w:hint="eastAsia" w:ascii="仿宋_GB2312" w:hAnsi="Times New Roman" w:eastAsia="仿宋_GB2312"/>
          <w:sz w:val="32"/>
          <w:szCs w:val="32"/>
        </w:rPr>
        <w:t>万元。预算年度内未进行预算调整，符合预算内资金管理办法等相关规定。</w:t>
      </w:r>
    </w:p>
    <w:p>
      <w:pPr>
        <w:autoSpaceDE w:val="0"/>
        <w:spacing w:line="576" w:lineRule="exact"/>
        <w:ind w:firstLine="640" w:firstLineChars="200"/>
        <w:rPr>
          <w:rFonts w:ascii="仿宋_GB2312" w:hAnsi="Times New Roman" w:eastAsia="仿宋_GB2312"/>
          <w:sz w:val="32"/>
          <w:szCs w:val="32"/>
        </w:rPr>
      </w:pPr>
      <w:r>
        <w:rPr>
          <w:rFonts w:hint="eastAsia" w:ascii="楷体_GB2312" w:hAnsi="Times New Roman" w:eastAsia="楷体_GB2312"/>
          <w:bCs/>
          <w:sz w:val="32"/>
          <w:szCs w:val="32"/>
        </w:rPr>
        <w:t>（二）项目绩效目标。</w:t>
      </w:r>
      <w:r>
        <w:rPr>
          <w:rFonts w:hint="eastAsia" w:ascii="仿宋_GB2312" w:hAnsi="仿宋_GB2312" w:eastAsia="仿宋_GB2312" w:cs="仿宋_GB2312"/>
          <w:bCs/>
          <w:sz w:val="32"/>
          <w:szCs w:val="32"/>
        </w:rPr>
        <w:t>年初预算申报时，我单位根据深化改革工作职责任务和年度工作计划对项目绩效目标</w:t>
      </w:r>
      <w:r>
        <w:rPr>
          <w:rFonts w:hint="eastAsia" w:ascii="仿宋_GB2312" w:hAnsi="??" w:eastAsia="仿宋_GB2312"/>
          <w:sz w:val="32"/>
          <w:szCs w:val="32"/>
        </w:rPr>
        <w:t>从数量指标、质量指标、时效指标、成本指标、效益指标、可持续影响指标、满意度指标</w:t>
      </w:r>
      <w:r>
        <w:rPr>
          <w:rFonts w:ascii="仿宋_GB2312" w:hAnsi="??" w:eastAsia="仿宋_GB2312"/>
          <w:sz w:val="32"/>
          <w:szCs w:val="32"/>
        </w:rPr>
        <w:t>7</w:t>
      </w:r>
      <w:r>
        <w:rPr>
          <w:rFonts w:hint="eastAsia" w:ascii="仿宋_GB2312" w:hAnsi="??" w:eastAsia="仿宋_GB2312"/>
          <w:sz w:val="32"/>
          <w:szCs w:val="32"/>
        </w:rPr>
        <w:t>个方面</w:t>
      </w:r>
      <w:r>
        <w:rPr>
          <w:rFonts w:hint="eastAsia" w:ascii="仿宋_GB2312" w:hAnsi="仿宋_GB2312" w:eastAsia="仿宋_GB2312" w:cs="仿宋_GB2312"/>
          <w:bCs/>
          <w:sz w:val="32"/>
          <w:szCs w:val="32"/>
        </w:rPr>
        <w:t>进行了相应设定，预计全年召开深改委会议</w:t>
      </w:r>
      <w:r>
        <w:rPr>
          <w:rFonts w:ascii="仿宋_GB2312" w:hAnsi="仿宋_GB2312" w:eastAsia="仿宋_GB2312" w:cs="仿宋_GB2312"/>
          <w:bCs/>
          <w:sz w:val="32"/>
          <w:szCs w:val="32"/>
        </w:rPr>
        <w:t>4</w:t>
      </w:r>
      <w:r>
        <w:rPr>
          <w:rFonts w:hint="eastAsia" w:ascii="仿宋_GB2312" w:hAnsi="仿宋_GB2312" w:eastAsia="仿宋_GB2312" w:cs="仿宋_GB2312"/>
          <w:bCs/>
          <w:sz w:val="32"/>
          <w:szCs w:val="32"/>
        </w:rPr>
        <w:t>次，召开部门、乡镇协调会议</w:t>
      </w:r>
      <w:r>
        <w:rPr>
          <w:rFonts w:ascii="仿宋_GB2312" w:hAnsi="仿宋_GB2312" w:eastAsia="仿宋_GB2312" w:cs="仿宋_GB2312"/>
          <w:bCs/>
          <w:sz w:val="32"/>
          <w:szCs w:val="32"/>
        </w:rPr>
        <w:t>6</w:t>
      </w:r>
      <w:r>
        <w:rPr>
          <w:rFonts w:hint="eastAsia" w:ascii="仿宋_GB2312" w:hAnsi="仿宋_GB2312" w:eastAsia="仿宋_GB2312" w:cs="仿宋_GB2312"/>
          <w:bCs/>
          <w:sz w:val="32"/>
          <w:szCs w:val="32"/>
        </w:rPr>
        <w:t>次以上，高质量完成《朝天区贯彻落实党的十九大报告重要改革举措实施规划（</w:t>
      </w:r>
      <w:r>
        <w:rPr>
          <w:rFonts w:ascii="仿宋_GB2312" w:hAnsi="仿宋_GB2312" w:eastAsia="仿宋_GB2312" w:cs="仿宋_GB2312"/>
          <w:bCs/>
          <w:sz w:val="32"/>
          <w:szCs w:val="32"/>
        </w:rPr>
        <w:t>2019</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2022</w:t>
      </w:r>
      <w:r>
        <w:rPr>
          <w:rFonts w:hint="eastAsia" w:ascii="仿宋_GB2312" w:hAnsi="仿宋_GB2312" w:eastAsia="仿宋_GB2312" w:cs="仿宋_GB2312"/>
          <w:bCs/>
          <w:sz w:val="32"/>
          <w:szCs w:val="32"/>
        </w:rPr>
        <w:t>年）》。</w:t>
      </w:r>
      <w:r>
        <w:rPr>
          <w:rFonts w:hint="eastAsia" w:ascii="仿宋_GB2312" w:hAnsi="??" w:eastAsia="仿宋_GB2312"/>
          <w:sz w:val="32"/>
          <w:szCs w:val="32"/>
        </w:rPr>
        <w:t>并将其作为组织项目预算执行、开展绩效监控、绩效自评和绩效评价的重要依据</w:t>
      </w:r>
      <w:r>
        <w:rPr>
          <w:rFonts w:hint="eastAsia" w:ascii="仿宋_GB2312" w:hAnsi="Times New Roman" w:eastAsia="仿宋_GB2312"/>
          <w:sz w:val="32"/>
          <w:szCs w:val="32"/>
        </w:rPr>
        <w:t>。</w:t>
      </w:r>
    </w:p>
    <w:p>
      <w:pPr>
        <w:autoSpaceDE w:val="0"/>
        <w:spacing w:line="576" w:lineRule="exact"/>
        <w:ind w:firstLine="640" w:firstLineChars="200"/>
        <w:rPr>
          <w:rFonts w:ascii="仿宋_GB2312" w:hAnsi="Times New Roman" w:eastAsia="仿宋_GB2312"/>
          <w:sz w:val="32"/>
          <w:szCs w:val="32"/>
        </w:rPr>
      </w:pPr>
      <w:r>
        <w:rPr>
          <w:rFonts w:hint="eastAsia" w:ascii="楷体_GB2312" w:hAnsi="Times New Roman" w:eastAsia="楷体_GB2312"/>
          <w:bCs/>
          <w:sz w:val="32"/>
          <w:szCs w:val="32"/>
        </w:rPr>
        <w:t>（三）项目资金申报相符性。</w:t>
      </w:r>
      <w:r>
        <w:rPr>
          <w:rFonts w:hint="eastAsia" w:ascii="仿宋_GB2312" w:hAnsi="Times New Roman" w:eastAsia="仿宋_GB2312"/>
          <w:sz w:val="32"/>
          <w:szCs w:val="32"/>
        </w:rPr>
        <w:t>通过项目实施，</w:t>
      </w:r>
      <w:r>
        <w:rPr>
          <w:rFonts w:ascii="仿宋_GB2312" w:hAnsi="Times New Roman" w:eastAsia="仿宋_GB2312"/>
          <w:sz w:val="32"/>
          <w:szCs w:val="32"/>
        </w:rPr>
        <w:t xml:space="preserve"> </w:t>
      </w:r>
      <w:r>
        <w:rPr>
          <w:rFonts w:hint="eastAsia" w:ascii="仿宋_GB2312" w:hAnsi="??" w:eastAsia="仿宋_GB2312"/>
          <w:sz w:val="32"/>
          <w:szCs w:val="32"/>
        </w:rPr>
        <w:t>达到了年初预算申报的相应绩效目标，相应的数量指标、质量指标、时效指标、成本指标等均达到预期。</w:t>
      </w:r>
      <w:r>
        <w:rPr>
          <w:rFonts w:hint="eastAsia" w:ascii="仿宋_GB2312" w:hAnsi="Times New Roman" w:eastAsia="仿宋_GB2312"/>
          <w:sz w:val="32"/>
          <w:szCs w:val="32"/>
        </w:rPr>
        <w:t>项目申报内容与具体实施内容相符、申报目标合理可行。</w:t>
      </w:r>
    </w:p>
    <w:p>
      <w:pPr>
        <w:autoSpaceDE w:val="0"/>
        <w:spacing w:line="576" w:lineRule="exact"/>
        <w:ind w:firstLine="640" w:firstLineChars="200"/>
        <w:rPr>
          <w:rFonts w:ascii="黑体" w:hAnsi="黑体" w:eastAsia="黑体"/>
          <w:sz w:val="32"/>
          <w:szCs w:val="32"/>
        </w:rPr>
      </w:pPr>
      <w:r>
        <w:rPr>
          <w:rFonts w:hint="eastAsia" w:ascii="黑体" w:hAnsi="黑体" w:eastAsia="黑体"/>
          <w:sz w:val="32"/>
          <w:szCs w:val="32"/>
        </w:rPr>
        <w:t>二、项目实施及管理情况</w:t>
      </w:r>
    </w:p>
    <w:p>
      <w:pPr>
        <w:autoSpaceDE w:val="0"/>
        <w:spacing w:line="576"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（一）资金计划、到位及使用情况</w:t>
      </w:r>
    </w:p>
    <w:p>
      <w:pPr>
        <w:autoSpaceDE w:val="0"/>
        <w:spacing w:line="576" w:lineRule="exact"/>
        <w:ind w:firstLine="640" w:firstLineChars="200"/>
        <w:rPr>
          <w:rFonts w:ascii="仿宋_GB2312" w:hAnsi="??"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．资金计划及到位。截止评价时点该项目实际到位资金</w:t>
      </w:r>
      <w:r>
        <w:rPr>
          <w:rFonts w:ascii="仿宋_GB2312" w:hAnsi="Times New Roman" w:eastAsia="仿宋_GB2312"/>
          <w:sz w:val="32"/>
          <w:szCs w:val="32"/>
        </w:rPr>
        <w:t>30</w:t>
      </w:r>
      <w:r>
        <w:rPr>
          <w:rFonts w:hint="eastAsia" w:ascii="仿宋_GB2312" w:hAnsi="Times New Roman" w:eastAsia="仿宋_GB2312"/>
          <w:sz w:val="32"/>
          <w:szCs w:val="32"/>
        </w:rPr>
        <w:t>万元，资金到位率</w:t>
      </w:r>
      <w:r>
        <w:rPr>
          <w:rFonts w:ascii="仿宋_GB2312" w:hAnsi="Times New Roman" w:eastAsia="仿宋_GB2312"/>
          <w:sz w:val="32"/>
          <w:szCs w:val="32"/>
        </w:rPr>
        <w:t>100%</w:t>
      </w:r>
      <w:r>
        <w:rPr>
          <w:rFonts w:hint="eastAsia" w:ascii="仿宋_GB2312" w:hAnsi="Times New Roman" w:eastAsia="仿宋_GB2312"/>
          <w:sz w:val="32"/>
          <w:szCs w:val="32"/>
        </w:rPr>
        <w:t>。在项目实施过程中，我单位</w:t>
      </w:r>
      <w:r>
        <w:rPr>
          <w:rFonts w:hint="eastAsia" w:ascii="仿宋_GB2312" w:hAnsi="??" w:eastAsia="仿宋_GB2312"/>
          <w:sz w:val="32"/>
          <w:szCs w:val="32"/>
        </w:rPr>
        <w:t>根据工作实际开展情况，及时与区财政协调，分批调拨项目资金，确保资金及时到位，努力保障会议顺利召开。</w:t>
      </w:r>
    </w:p>
    <w:p>
      <w:pPr>
        <w:autoSpaceDE w:val="0"/>
        <w:spacing w:line="576" w:lineRule="exact"/>
        <w:ind w:firstLine="640" w:firstLineChars="200"/>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Times New Roman" w:eastAsia="仿宋_GB2312"/>
          <w:sz w:val="32"/>
          <w:szCs w:val="32"/>
        </w:rPr>
        <w:t>．资金使用。</w:t>
      </w:r>
      <w:r>
        <w:rPr>
          <w:rFonts w:hint="eastAsia" w:ascii="仿宋_GB2312" w:hAnsi="??" w:eastAsia="仿宋_GB2312"/>
          <w:sz w:val="32"/>
          <w:szCs w:val="32"/>
        </w:rPr>
        <w:t>在项目实施过程中，我单位严格执行财经纪律，切实加大专项资金的管理和监督，规范专项资金使用，切实提高资金使用效率，使用专项资金时，全部通过国库集中支付方式进行，截止项目实施完毕，资金全额调拨到位并支付完毕。</w:t>
      </w:r>
    </w:p>
    <w:p>
      <w:pPr>
        <w:autoSpaceDE w:val="0"/>
        <w:spacing w:line="576"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（二）项目财务管理情况</w:t>
      </w:r>
    </w:p>
    <w:p>
      <w:pPr>
        <w:autoSpaceDE w:val="0"/>
        <w:spacing w:line="576" w:lineRule="exact"/>
        <w:ind w:firstLine="640" w:firstLineChars="200"/>
        <w:rPr>
          <w:rFonts w:ascii="仿宋_GB2312" w:hAnsi="Times New Roman" w:eastAsia="仿宋_GB2312"/>
          <w:sz w:val="32"/>
          <w:szCs w:val="32"/>
        </w:rPr>
      </w:pPr>
      <w:r>
        <w:rPr>
          <w:rFonts w:hint="eastAsia" w:ascii="仿宋_GB2312" w:hAnsi="??" w:eastAsia="仿宋_GB2312"/>
          <w:sz w:val="32"/>
          <w:szCs w:val="32"/>
        </w:rPr>
        <w:t>在项目实施过程中，我单位严格财经纪律，严禁虚报、挤占、挪用项目资金现象发生。同时进一步健全单位内控管理制度，严格财务会计核算，及时进行账务处理，确保专款专用，项目资金无滞留、闲置现象发生</w:t>
      </w:r>
      <w:r>
        <w:rPr>
          <w:rFonts w:hint="eastAsia" w:ascii="仿宋_GB2312" w:hAnsi="Times New Roman" w:eastAsia="仿宋_GB2312"/>
          <w:sz w:val="32"/>
          <w:szCs w:val="32"/>
        </w:rPr>
        <w:t>。</w:t>
      </w:r>
    </w:p>
    <w:p>
      <w:pPr>
        <w:autoSpaceDE w:val="0"/>
        <w:spacing w:line="576"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（三）项目组织实施情况</w:t>
      </w:r>
    </w:p>
    <w:p>
      <w:pPr>
        <w:spacing w:line="576" w:lineRule="exact"/>
        <w:ind w:firstLine="660"/>
        <w:rPr>
          <w:rFonts w:ascii="仿宋_GB2312" w:eastAsia="仿宋_GB2312"/>
          <w:sz w:val="32"/>
          <w:szCs w:val="32"/>
        </w:rPr>
      </w:pPr>
      <w:r>
        <w:rPr>
          <w:rFonts w:hint="eastAsia" w:ascii="仿宋_GB2312" w:hAnsi="??" w:eastAsia="仿宋_GB2312"/>
          <w:sz w:val="32"/>
          <w:szCs w:val="32"/>
        </w:rPr>
        <w:t>根据</w:t>
      </w:r>
      <w:r>
        <w:rPr>
          <w:rFonts w:hint="eastAsia" w:ascii="仿宋_GB2312" w:hAnsi="??" w:eastAsia="仿宋_GB2312" w:cs="仿宋_GB2312"/>
          <w:sz w:val="32"/>
          <w:szCs w:val="32"/>
        </w:rPr>
        <w:t>广朝编委发〔2019〕</w:t>
      </w:r>
      <w:r>
        <w:rPr>
          <w:rFonts w:ascii="仿宋_GB2312" w:hAnsi="??" w:eastAsia="仿宋_GB2312" w:cs="仿宋_GB2312"/>
          <w:sz w:val="32"/>
          <w:szCs w:val="32"/>
        </w:rPr>
        <w:t>54</w:t>
      </w:r>
      <w:r>
        <w:rPr>
          <w:rFonts w:hint="eastAsia" w:ascii="仿宋_GB2312" w:hAnsi="??" w:eastAsia="仿宋_GB2312" w:cs="仿宋_GB2312"/>
          <w:sz w:val="32"/>
          <w:szCs w:val="32"/>
        </w:rPr>
        <w:t>号关于调整中共广元市朝天区委办公室有关机构编制事项通知文件精神，进一步明确了深改办的相关行政职能职责，落实了专人对工作具体负责。</w:t>
      </w:r>
    </w:p>
    <w:p>
      <w:pPr>
        <w:autoSpaceDE w:val="0"/>
        <w:spacing w:line="576" w:lineRule="exact"/>
        <w:ind w:firstLine="640" w:firstLineChars="200"/>
        <w:rPr>
          <w:rFonts w:hint="eastAsia" w:ascii="黑体" w:hAnsi="黑体" w:eastAsia="黑体"/>
          <w:sz w:val="32"/>
          <w:szCs w:val="32"/>
        </w:rPr>
      </w:pPr>
      <w:r>
        <w:rPr>
          <w:rFonts w:hint="eastAsia" w:ascii="黑体" w:hAnsi="黑体" w:eastAsia="黑体"/>
          <w:sz w:val="32"/>
          <w:szCs w:val="32"/>
        </w:rPr>
        <w:t>三、项目绩效情况</w:t>
      </w:r>
    </w:p>
    <w:p>
      <w:pPr>
        <w:autoSpaceDE w:val="0"/>
        <w:spacing w:line="576"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（一）项目完成情况</w:t>
      </w:r>
    </w:p>
    <w:p>
      <w:pPr>
        <w:autoSpaceDE w:val="0"/>
        <w:spacing w:line="576" w:lineRule="exact"/>
        <w:ind w:firstLine="640" w:firstLineChars="200"/>
        <w:rPr>
          <w:rFonts w:ascii="仿宋_GB2312" w:hAnsi="Times New Roman" w:eastAsia="仿宋_GB2312"/>
          <w:sz w:val="32"/>
          <w:szCs w:val="32"/>
        </w:rPr>
      </w:pPr>
      <w:r>
        <w:rPr>
          <w:rFonts w:ascii="仿宋_GB2312" w:hAnsi="Times New Roman" w:eastAsia="仿宋_GB2312"/>
          <w:sz w:val="32"/>
          <w:szCs w:val="32"/>
        </w:rPr>
        <w:t>2021</w:t>
      </w:r>
      <w:r>
        <w:rPr>
          <w:rFonts w:hint="eastAsia" w:ascii="仿宋_GB2312" w:hAnsi="Times New Roman" w:eastAsia="仿宋_GB2312"/>
          <w:sz w:val="32"/>
          <w:szCs w:val="32"/>
        </w:rPr>
        <w:t>年度共保障召开区委全面深化改革委员会会议，组织召开工作协调会</w:t>
      </w:r>
      <w:r>
        <w:rPr>
          <w:rFonts w:ascii="仿宋_GB2312" w:hAnsi="Times New Roman" w:eastAsia="仿宋_GB2312"/>
          <w:sz w:val="32"/>
          <w:szCs w:val="32"/>
        </w:rPr>
        <w:t>7</w:t>
      </w:r>
      <w:r>
        <w:rPr>
          <w:rFonts w:hint="eastAsia" w:ascii="仿宋_GB2312" w:hAnsi="Times New Roman" w:eastAsia="仿宋_GB2312"/>
          <w:sz w:val="32"/>
          <w:szCs w:val="32"/>
        </w:rPr>
        <w:t>次，专项小组开会</w:t>
      </w:r>
      <w:r>
        <w:rPr>
          <w:rFonts w:ascii="仿宋_GB2312" w:hAnsi="Times New Roman" w:eastAsia="仿宋_GB2312"/>
          <w:sz w:val="32"/>
          <w:szCs w:val="32"/>
        </w:rPr>
        <w:t>20</w:t>
      </w:r>
      <w:r>
        <w:rPr>
          <w:rFonts w:hint="eastAsia" w:ascii="仿宋_GB2312" w:hAnsi="Times New Roman" w:eastAsia="仿宋_GB2312"/>
          <w:sz w:val="32"/>
          <w:szCs w:val="32"/>
        </w:rPr>
        <w:t>余次，审议出台各项专项改革方案</w:t>
      </w:r>
      <w:r>
        <w:rPr>
          <w:rFonts w:ascii="仿宋_GB2312" w:hAnsi="Times New Roman" w:eastAsia="仿宋_GB2312"/>
          <w:sz w:val="32"/>
          <w:szCs w:val="32"/>
        </w:rPr>
        <w:t>13</w:t>
      </w:r>
      <w:r>
        <w:rPr>
          <w:rFonts w:hint="eastAsia" w:ascii="仿宋_GB2312" w:hAnsi="Times New Roman" w:eastAsia="仿宋_GB2312"/>
          <w:sz w:val="32"/>
          <w:szCs w:val="32"/>
        </w:rPr>
        <w:t>个。开展出台半年以上专项改革方案销账、评估工作。通过部门自我评估、改革办督察评估、第三方评估等方式，开展评估专项改革方案</w:t>
      </w:r>
      <w:r>
        <w:rPr>
          <w:rFonts w:ascii="仿宋_GB2312" w:hAnsi="Times New Roman" w:eastAsia="仿宋_GB2312"/>
          <w:sz w:val="32"/>
          <w:szCs w:val="32"/>
        </w:rPr>
        <w:t>19</w:t>
      </w:r>
      <w:r>
        <w:rPr>
          <w:rFonts w:hint="eastAsia" w:ascii="仿宋_GB2312" w:hAnsi="Times New Roman" w:eastAsia="仿宋_GB2312"/>
          <w:sz w:val="32"/>
          <w:szCs w:val="32"/>
        </w:rPr>
        <w:t>项，根据工作实施情况，</w:t>
      </w:r>
      <w:r>
        <w:rPr>
          <w:rFonts w:ascii="仿宋_GB2312" w:hAnsi="Times New Roman" w:eastAsia="仿宋_GB2312"/>
          <w:sz w:val="32"/>
          <w:szCs w:val="32"/>
        </w:rPr>
        <w:t>8</w:t>
      </w:r>
      <w:r>
        <w:rPr>
          <w:rFonts w:hint="eastAsia" w:ascii="仿宋_GB2312" w:hAnsi="Times New Roman" w:eastAsia="仿宋_GB2312"/>
          <w:sz w:val="32"/>
          <w:szCs w:val="32"/>
        </w:rPr>
        <w:t>项专项改革方案评估为优秀，</w:t>
      </w:r>
      <w:r>
        <w:rPr>
          <w:rFonts w:ascii="仿宋_GB2312" w:hAnsi="Times New Roman" w:eastAsia="仿宋_GB2312"/>
          <w:sz w:val="32"/>
          <w:szCs w:val="32"/>
        </w:rPr>
        <w:t>6</w:t>
      </w:r>
      <w:r>
        <w:rPr>
          <w:rFonts w:hint="eastAsia" w:ascii="仿宋_GB2312" w:hAnsi="Times New Roman" w:eastAsia="仿宋_GB2312"/>
          <w:sz w:val="32"/>
          <w:szCs w:val="32"/>
        </w:rPr>
        <w:t>项评估为良好，</w:t>
      </w:r>
      <w:r>
        <w:rPr>
          <w:rFonts w:ascii="仿宋_GB2312" w:hAnsi="Times New Roman" w:eastAsia="仿宋_GB2312"/>
          <w:sz w:val="32"/>
          <w:szCs w:val="32"/>
        </w:rPr>
        <w:t>5</w:t>
      </w:r>
      <w:r>
        <w:rPr>
          <w:rFonts w:hint="eastAsia" w:ascii="仿宋_GB2312" w:hAnsi="Times New Roman" w:eastAsia="仿宋_GB2312"/>
          <w:sz w:val="32"/>
          <w:szCs w:val="32"/>
        </w:rPr>
        <w:t>项评估为合格。完成不同领域</w:t>
      </w:r>
      <w:r>
        <w:rPr>
          <w:rFonts w:ascii="仿宋_GB2312" w:hAnsi="Times New Roman" w:eastAsia="仿宋_GB2312"/>
          <w:sz w:val="32"/>
          <w:szCs w:val="32"/>
        </w:rPr>
        <w:t>9</w:t>
      </w:r>
      <w:r>
        <w:rPr>
          <w:rFonts w:hint="eastAsia" w:ascii="仿宋_GB2312" w:hAnsi="Times New Roman" w:eastAsia="仿宋_GB2312"/>
          <w:sz w:val="32"/>
          <w:szCs w:val="32"/>
        </w:rPr>
        <w:t>个重大课题的调研并提交调研报告，根据调研成效，</w:t>
      </w:r>
      <w:r>
        <w:rPr>
          <w:rFonts w:ascii="仿宋_GB2312" w:hAnsi="Times New Roman" w:eastAsia="仿宋_GB2312"/>
          <w:sz w:val="32"/>
          <w:szCs w:val="32"/>
        </w:rPr>
        <w:t>6</w:t>
      </w:r>
      <w:r>
        <w:rPr>
          <w:rFonts w:hint="eastAsia" w:ascii="仿宋_GB2312" w:hAnsi="Times New Roman" w:eastAsia="仿宋_GB2312"/>
          <w:sz w:val="32"/>
          <w:szCs w:val="32"/>
        </w:rPr>
        <w:t>个课题评为优秀课题，</w:t>
      </w:r>
      <w:r>
        <w:rPr>
          <w:rFonts w:ascii="仿宋_GB2312" w:hAnsi="Times New Roman" w:eastAsia="仿宋_GB2312"/>
          <w:sz w:val="32"/>
          <w:szCs w:val="32"/>
        </w:rPr>
        <w:t>3</w:t>
      </w:r>
      <w:r>
        <w:rPr>
          <w:rFonts w:hint="eastAsia" w:ascii="仿宋_GB2312" w:hAnsi="Times New Roman" w:eastAsia="仿宋_GB2312"/>
          <w:sz w:val="32"/>
          <w:szCs w:val="32"/>
        </w:rPr>
        <w:t>个课题评定为合格课题。开展其他需要重点推进的专项改革方案成效跟踪。对转发、遵照执行上级专项改革方案和区本级已出台未销账的</w:t>
      </w:r>
      <w:r>
        <w:rPr>
          <w:rFonts w:ascii="仿宋_GB2312" w:hAnsi="Times New Roman" w:eastAsia="仿宋_GB2312"/>
          <w:sz w:val="32"/>
          <w:szCs w:val="32"/>
        </w:rPr>
        <w:t>35</w:t>
      </w:r>
      <w:r>
        <w:rPr>
          <w:rFonts w:hint="eastAsia" w:ascii="仿宋_GB2312" w:hAnsi="Times New Roman" w:eastAsia="仿宋_GB2312"/>
          <w:sz w:val="32"/>
          <w:szCs w:val="32"/>
        </w:rPr>
        <w:t>个改革方案建立专项台账并狠抓落实。</w:t>
      </w:r>
      <w:r>
        <w:rPr>
          <w:rFonts w:hint="eastAsia" w:ascii="仿宋_GB2312" w:eastAsia="仿宋_GB2312"/>
          <w:sz w:val="32"/>
          <w:szCs w:val="32"/>
        </w:rPr>
        <w:t>全面完成</w:t>
      </w:r>
      <w:r>
        <w:rPr>
          <w:rFonts w:ascii="仿宋_GB2312" w:eastAsia="仿宋_GB2312"/>
          <w:sz w:val="32"/>
          <w:szCs w:val="32"/>
        </w:rPr>
        <w:t>135</w:t>
      </w:r>
      <w:r>
        <w:rPr>
          <w:rFonts w:hint="eastAsia" w:ascii="仿宋_GB2312" w:eastAsia="仿宋_GB2312"/>
          <w:sz w:val="32"/>
          <w:szCs w:val="32"/>
        </w:rPr>
        <w:t>项年度改革任务，</w:t>
      </w:r>
      <w:r>
        <w:rPr>
          <w:rFonts w:ascii="仿宋_GB2312" w:eastAsia="仿宋_GB2312"/>
          <w:sz w:val="32"/>
          <w:szCs w:val="32"/>
        </w:rPr>
        <w:t>2</w:t>
      </w:r>
      <w:r>
        <w:rPr>
          <w:rFonts w:hint="eastAsia" w:ascii="仿宋_GB2312" w:eastAsia="仿宋_GB2312"/>
          <w:sz w:val="32"/>
          <w:szCs w:val="32"/>
        </w:rPr>
        <w:t>项工作得到市委主要领导肯定、</w:t>
      </w:r>
      <w:r>
        <w:rPr>
          <w:rFonts w:ascii="仿宋_GB2312" w:eastAsia="仿宋_GB2312"/>
          <w:sz w:val="32"/>
          <w:szCs w:val="32"/>
        </w:rPr>
        <w:t>2</w:t>
      </w:r>
      <w:r>
        <w:rPr>
          <w:rFonts w:hint="eastAsia" w:ascii="仿宋_GB2312" w:eastAsia="仿宋_GB2312"/>
          <w:sz w:val="32"/>
          <w:szCs w:val="32"/>
        </w:rPr>
        <w:t>条经验在人民日报刊发推广。</w:t>
      </w:r>
    </w:p>
    <w:p>
      <w:pPr>
        <w:autoSpaceDE w:val="0"/>
        <w:spacing w:line="576"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（二）项目效益情况</w:t>
      </w:r>
    </w:p>
    <w:p>
      <w:pPr>
        <w:spacing w:line="576" w:lineRule="exact"/>
        <w:ind w:firstLine="645"/>
        <w:rPr>
          <w:rFonts w:ascii="仿宋_GB2312" w:hAnsi="Times New Roman" w:eastAsia="仿宋_GB2312"/>
          <w:sz w:val="32"/>
          <w:szCs w:val="32"/>
        </w:rPr>
      </w:pPr>
      <w:r>
        <w:rPr>
          <w:rFonts w:hint="eastAsia" w:ascii="仿宋_GB2312" w:hAnsi="??" w:eastAsia="仿宋_GB2312"/>
          <w:sz w:val="32"/>
          <w:szCs w:val="32"/>
        </w:rPr>
        <w:t>通过项目实施，达到了以下目的：</w:t>
      </w:r>
      <w:r>
        <w:rPr>
          <w:rFonts w:ascii="仿宋_GB2312" w:hAnsi="??" w:eastAsia="仿宋_GB2312"/>
          <w:sz w:val="32"/>
          <w:szCs w:val="32"/>
        </w:rPr>
        <w:t>1.</w:t>
      </w:r>
      <w:r>
        <w:rPr>
          <w:rFonts w:hint="eastAsia" w:ascii="仿宋_GB2312" w:hAnsi="??" w:eastAsia="仿宋_GB2312"/>
          <w:sz w:val="32"/>
          <w:szCs w:val="32"/>
        </w:rPr>
        <w:t>以改革调结构，“两项改革”取得新突破。</w:t>
      </w:r>
      <w:r>
        <w:rPr>
          <w:rFonts w:ascii="仿宋_GB2312" w:hAnsi="??" w:eastAsia="仿宋_GB2312"/>
          <w:sz w:val="32"/>
          <w:szCs w:val="32"/>
        </w:rPr>
        <w:t>2.</w:t>
      </w:r>
      <w:r>
        <w:rPr>
          <w:rFonts w:hint="eastAsia" w:ascii="仿宋_GB2312" w:hAnsi="??" w:eastAsia="仿宋_GB2312"/>
          <w:sz w:val="32"/>
          <w:szCs w:val="32"/>
        </w:rPr>
        <w:t>以改革强治理，城乡基层治理体系进一步健全。</w:t>
      </w:r>
      <w:r>
        <w:rPr>
          <w:rFonts w:ascii="仿宋_GB2312" w:hAnsi="??" w:eastAsia="仿宋_GB2312"/>
          <w:sz w:val="32"/>
          <w:szCs w:val="32"/>
        </w:rPr>
        <w:t>3.</w:t>
      </w:r>
      <w:r>
        <w:rPr>
          <w:rFonts w:hint="eastAsia" w:ascii="仿宋_GB2312" w:hAnsi="??" w:eastAsia="仿宋_GB2312"/>
          <w:sz w:val="32"/>
          <w:szCs w:val="32"/>
        </w:rPr>
        <w:t>以改革谋发展，主动融入成渝地区双城经济圈建设有序推进。</w:t>
      </w:r>
      <w:r>
        <w:rPr>
          <w:rFonts w:ascii="仿宋_GB2312" w:hAnsi="??" w:eastAsia="仿宋_GB2312"/>
          <w:sz w:val="32"/>
          <w:szCs w:val="32"/>
        </w:rPr>
        <w:t>4.</w:t>
      </w:r>
      <w:r>
        <w:rPr>
          <w:rFonts w:hint="eastAsia" w:ascii="仿宋_GB2312" w:hAnsi="??" w:eastAsia="仿宋_GB2312"/>
          <w:sz w:val="32"/>
          <w:szCs w:val="32"/>
        </w:rPr>
        <w:t>以改革添动力，经济社会高质量发展成效明显。</w:t>
      </w:r>
      <w:r>
        <w:rPr>
          <w:rFonts w:ascii="仿宋_GB2312" w:hAnsi="??" w:eastAsia="仿宋_GB2312"/>
          <w:sz w:val="32"/>
          <w:szCs w:val="32"/>
        </w:rPr>
        <w:t>5.</w:t>
      </w:r>
      <w:r>
        <w:rPr>
          <w:rFonts w:hint="eastAsia" w:ascii="仿宋_GB2312" w:hAnsi="??" w:eastAsia="仿宋_GB2312"/>
          <w:sz w:val="32"/>
          <w:szCs w:val="32"/>
        </w:rPr>
        <w:t>以改革固根本，农业农村改革稳步推进。</w:t>
      </w:r>
      <w:r>
        <w:rPr>
          <w:rFonts w:ascii="仿宋_GB2312" w:hAnsi="??" w:eastAsia="仿宋_GB2312"/>
          <w:sz w:val="32"/>
          <w:szCs w:val="32"/>
        </w:rPr>
        <w:t>6.</w:t>
      </w:r>
      <w:r>
        <w:rPr>
          <w:rFonts w:hint="eastAsia" w:ascii="仿宋_GB2312" w:hAnsi="??" w:eastAsia="仿宋_GB2312"/>
          <w:sz w:val="32"/>
          <w:szCs w:val="32"/>
        </w:rPr>
        <w:t>以改革惠民生，群众福祉持续改善。</w:t>
      </w:r>
      <w:r>
        <w:rPr>
          <w:rFonts w:ascii="仿宋_GB2312" w:hAnsi="??" w:eastAsia="仿宋_GB2312"/>
          <w:sz w:val="32"/>
          <w:szCs w:val="32"/>
        </w:rPr>
        <w:t>7.</w:t>
      </w:r>
      <w:r>
        <w:rPr>
          <w:rFonts w:hint="eastAsia" w:ascii="仿宋_GB2312" w:hAnsi="??" w:eastAsia="仿宋_GB2312"/>
          <w:sz w:val="32"/>
          <w:szCs w:val="32"/>
        </w:rPr>
        <w:t>以改革促创新，重大改革试点全面推进。</w:t>
      </w:r>
    </w:p>
    <w:p>
      <w:pPr>
        <w:autoSpaceDE w:val="0"/>
        <w:spacing w:line="576" w:lineRule="exact"/>
        <w:ind w:firstLine="640" w:firstLineChars="200"/>
        <w:rPr>
          <w:rFonts w:ascii="黑体" w:hAnsi="黑体" w:eastAsia="黑体"/>
          <w:sz w:val="32"/>
          <w:szCs w:val="32"/>
        </w:rPr>
      </w:pPr>
      <w:r>
        <w:rPr>
          <w:rFonts w:hint="eastAsia" w:ascii="黑体" w:hAnsi="黑体" w:eastAsia="黑体"/>
          <w:sz w:val="32"/>
          <w:szCs w:val="32"/>
        </w:rPr>
        <w:t>四、问题及建议</w:t>
      </w:r>
    </w:p>
    <w:p>
      <w:pPr>
        <w:autoSpaceDE w:val="0"/>
        <w:spacing w:line="576"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（一）存在的问题。</w:t>
      </w:r>
      <w:r>
        <w:rPr>
          <w:rFonts w:hint="eastAsia" w:ascii="仿宋_GB2312" w:hAnsi="仿宋_GB2312" w:eastAsia="仿宋_GB2312" w:cs="仿宋_GB2312"/>
          <w:sz w:val="32"/>
          <w:szCs w:val="32"/>
        </w:rPr>
        <w:t>在绩效目标编制方面，存在绩效目标设置指向不清、预算和目标匹配不足，数量目标和质量目标量化不细，效益目标编制不完善等问题。</w:t>
      </w:r>
    </w:p>
    <w:p>
      <w:pPr>
        <w:autoSpaceDE w:val="0"/>
        <w:spacing w:line="576" w:lineRule="exact"/>
        <w:ind w:firstLine="640" w:firstLineChars="200"/>
        <w:rPr>
          <w:rFonts w:ascii="仿宋_GB2312" w:hAnsi="Times New Roman" w:eastAsia="仿宋_GB2312"/>
          <w:sz w:val="32"/>
          <w:szCs w:val="32"/>
        </w:rPr>
      </w:pPr>
      <w:r>
        <w:rPr>
          <w:rFonts w:hint="eastAsia" w:ascii="楷体_GB2312" w:hAnsi="Times New Roman" w:eastAsia="楷体_GB2312"/>
          <w:bCs/>
          <w:sz w:val="32"/>
          <w:szCs w:val="32"/>
        </w:rPr>
        <w:t>（二）相关建议。</w:t>
      </w:r>
      <w:r>
        <w:rPr>
          <w:rFonts w:hint="eastAsia" w:ascii="仿宋_GB2312" w:hAnsi="仿宋_GB2312" w:eastAsia="仿宋_GB2312" w:cs="仿宋_GB2312"/>
          <w:sz w:val="32"/>
          <w:szCs w:val="32"/>
        </w:rPr>
        <w:t>继续加强对相关专业技术人员的业务培训，进一步提高预算绩效目标编制、评价质量。</w:t>
      </w:r>
    </w:p>
    <w:p>
      <w:pPr>
        <w:autoSpaceDE w:val="0"/>
        <w:spacing w:line="576" w:lineRule="exact"/>
        <w:ind w:firstLine="640" w:firstLineChars="200"/>
        <w:rPr>
          <w:rFonts w:ascii="仿宋_GB2312" w:hAnsi="Times New Roman" w:eastAsia="仿宋_GB2312"/>
          <w:sz w:val="32"/>
          <w:szCs w:val="32"/>
        </w:rPr>
      </w:pPr>
    </w:p>
    <w:p>
      <w:pPr>
        <w:autoSpaceDE w:val="0"/>
        <w:spacing w:line="576" w:lineRule="exact"/>
        <w:ind w:firstLine="640" w:firstLineChars="200"/>
        <w:rPr>
          <w:rFonts w:ascii="黑体" w:hAnsi="黑体" w:eastAsia="黑体"/>
          <w:color w:val="000000"/>
          <w:kern w:val="0"/>
          <w:sz w:val="24"/>
          <w:szCs w:val="24"/>
        </w:rPr>
      </w:pPr>
      <w:r>
        <w:rPr>
          <w:rFonts w:hint="eastAsia" w:ascii="仿宋_GB2312" w:hAnsi="??" w:eastAsia="仿宋_GB2312"/>
          <w:color w:val="000000"/>
          <w:kern w:val="0"/>
          <w:sz w:val="32"/>
          <w:szCs w:val="32"/>
        </w:rPr>
        <w:t>附件：</w:t>
      </w:r>
      <w:r>
        <w:rPr>
          <w:rFonts w:ascii="仿宋_GB2312" w:hAnsi="??" w:eastAsia="仿宋_GB2312"/>
          <w:color w:val="000000"/>
          <w:kern w:val="0"/>
          <w:sz w:val="32"/>
          <w:szCs w:val="32"/>
        </w:rPr>
        <w:t>1</w:t>
      </w:r>
      <w:r>
        <w:rPr>
          <w:rFonts w:hint="eastAsia" w:ascii="仿宋_GB2312" w:hAnsi="??" w:eastAsia="仿宋_GB2312"/>
          <w:color w:val="000000"/>
          <w:kern w:val="0"/>
          <w:sz w:val="32"/>
          <w:szCs w:val="32"/>
        </w:rPr>
        <w:t>．部门预算</w:t>
      </w:r>
      <w:r>
        <w:rPr>
          <w:rFonts w:hint="eastAsia" w:ascii="仿宋_GB2312" w:hAnsi="??" w:eastAsia="仿宋_GB2312" w:cs="??"/>
          <w:color w:val="000000"/>
          <w:kern w:val="0"/>
          <w:sz w:val="32"/>
          <w:szCs w:val="32"/>
        </w:rPr>
        <w:t>项目支出绩效目标自评表</w:t>
      </w:r>
    </w:p>
    <w:p>
      <w:pPr>
        <w:autoSpaceDE w:val="0"/>
        <w:spacing w:line="576" w:lineRule="exact"/>
        <w:ind w:firstLine="1600" w:firstLineChars="500"/>
        <w:rPr>
          <w:rFonts w:ascii="仿宋_GB2312" w:hAnsi="??" w:eastAsia="仿宋_GB2312"/>
          <w:color w:val="000000"/>
          <w:kern w:val="0"/>
          <w:sz w:val="32"/>
          <w:szCs w:val="32"/>
        </w:rPr>
      </w:pPr>
      <w:r>
        <w:rPr>
          <w:rFonts w:ascii="仿宋_GB2312" w:hAnsi="??" w:eastAsia="仿宋_GB2312"/>
          <w:color w:val="000000"/>
          <w:kern w:val="0"/>
          <w:sz w:val="32"/>
          <w:szCs w:val="32"/>
        </w:rPr>
        <w:t>2</w:t>
      </w:r>
      <w:r>
        <w:rPr>
          <w:rFonts w:hint="eastAsia" w:ascii="仿宋_GB2312" w:hAnsi="??" w:eastAsia="仿宋_GB2312"/>
          <w:color w:val="000000"/>
          <w:kern w:val="0"/>
          <w:sz w:val="32"/>
          <w:szCs w:val="32"/>
        </w:rPr>
        <w:t>．</w:t>
      </w:r>
      <w:r>
        <w:rPr>
          <w:rFonts w:ascii="仿宋_GB2312" w:hAnsi="??" w:eastAsia="仿宋_GB2312"/>
          <w:color w:val="000000"/>
          <w:kern w:val="0"/>
          <w:sz w:val="32"/>
          <w:szCs w:val="32"/>
        </w:rPr>
        <w:t>2021</w:t>
      </w:r>
      <w:r>
        <w:rPr>
          <w:rFonts w:hint="eastAsia" w:ascii="仿宋_GB2312" w:hAnsi="??" w:eastAsia="仿宋_GB2312"/>
          <w:color w:val="000000"/>
          <w:kern w:val="0"/>
          <w:sz w:val="32"/>
          <w:szCs w:val="32"/>
        </w:rPr>
        <w:t>年部门预算项目支出绩效自评评分表</w:t>
      </w:r>
    </w:p>
    <w:p>
      <w:pPr>
        <w:autoSpaceDE w:val="0"/>
        <w:spacing w:line="576" w:lineRule="exact"/>
        <w:ind w:firstLine="5440" w:firstLineChars="1700"/>
        <w:rPr>
          <w:rFonts w:ascii="仿宋_GB2312" w:hAnsi="Times New Roman" w:eastAsia="仿宋_GB2312"/>
          <w:sz w:val="32"/>
          <w:szCs w:val="32"/>
        </w:rPr>
      </w:pPr>
    </w:p>
    <w:p>
      <w:pPr>
        <w:autoSpaceDE w:val="0"/>
        <w:spacing w:line="576" w:lineRule="exact"/>
        <w:ind w:firstLine="5440" w:firstLineChars="1700"/>
        <w:rPr>
          <w:rFonts w:hint="eastAsia" w:ascii="仿宋_GB2312" w:hAnsi="Times New Roman" w:eastAsia="仿宋_GB2312"/>
          <w:sz w:val="32"/>
          <w:szCs w:val="32"/>
        </w:rPr>
      </w:pPr>
    </w:p>
    <w:p>
      <w:pPr>
        <w:pStyle w:val="2"/>
        <w:rPr>
          <w:rFonts w:hint="eastAsia" w:eastAsia="仿宋_GB2312"/>
        </w:rPr>
      </w:pPr>
    </w:p>
    <w:p>
      <w:pPr>
        <w:pStyle w:val="2"/>
        <w:rPr>
          <w:rFonts w:hint="eastAsia" w:eastAsia="仿宋_GB2312"/>
        </w:rPr>
      </w:pPr>
    </w:p>
    <w:p>
      <w:pPr>
        <w:pStyle w:val="2"/>
        <w:rPr>
          <w:rFonts w:hint="eastAsia" w:eastAsia="仿宋_GB2312"/>
        </w:rPr>
      </w:pPr>
    </w:p>
    <w:p>
      <w:pPr>
        <w:pStyle w:val="2"/>
        <w:spacing w:line="576" w:lineRule="exact"/>
        <w:rPr>
          <w:rFonts w:hint="eastAsia" w:ascii="黑体" w:hAnsi="黑体" w:eastAsia="黑体" w:cs="宋体"/>
          <w:color w:val="000000"/>
          <w:kern w:val="0"/>
          <w:sz w:val="32"/>
          <w:szCs w:val="32"/>
        </w:rPr>
      </w:pPr>
      <w:r>
        <w:rPr>
          <w:rFonts w:ascii="方正小标宋简体" w:hAnsi="宋体" w:eastAsia="方正小标宋简体" w:cs="宋体"/>
          <w:color w:val="000000"/>
          <w:kern w:val="0"/>
          <w:sz w:val="44"/>
          <w:szCs w:val="44"/>
        </w:rPr>
        <w:br w:type="page"/>
      </w:r>
      <w:r>
        <w:rPr>
          <w:rFonts w:hint="eastAsia" w:ascii="黑体" w:hAnsi="黑体" w:eastAsia="黑体" w:cs="宋体"/>
          <w:color w:val="000000"/>
          <w:kern w:val="0"/>
          <w:sz w:val="32"/>
          <w:szCs w:val="32"/>
        </w:rPr>
        <w:t>附件1</w:t>
      </w:r>
    </w:p>
    <w:p>
      <w:pPr>
        <w:pStyle w:val="2"/>
        <w:spacing w:line="576" w:lineRule="exact"/>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部门预算项目支出绩效目标自评表</w:t>
      </w:r>
    </w:p>
    <w:p>
      <w:pPr>
        <w:pStyle w:val="2"/>
        <w:spacing w:line="576" w:lineRule="exact"/>
        <w:jc w:val="center"/>
        <w:rPr>
          <w:rFonts w:hint="eastAsia" w:ascii="楷体_GB2312" w:hAnsi="黑体" w:eastAsia="楷体_GB2312" w:cs="宋体"/>
          <w:color w:val="000000"/>
          <w:kern w:val="0"/>
          <w:sz w:val="32"/>
          <w:szCs w:val="32"/>
        </w:rPr>
      </w:pPr>
      <w:r>
        <w:rPr>
          <w:rFonts w:hint="eastAsia" w:ascii="楷体_GB2312" w:hAnsi="黑体" w:eastAsia="楷体_GB2312" w:cs="宋体"/>
          <w:color w:val="000000"/>
          <w:kern w:val="0"/>
          <w:sz w:val="32"/>
          <w:szCs w:val="32"/>
        </w:rPr>
        <w:t>（2021年度）</w:t>
      </w:r>
    </w:p>
    <w:p>
      <w:pPr>
        <w:pStyle w:val="2"/>
        <w:spacing w:line="576" w:lineRule="exact"/>
        <w:jc w:val="center"/>
        <w:rPr>
          <w:rFonts w:hint="eastAsia" w:ascii="楷体_GB2312" w:hAnsi="宋体" w:eastAsia="楷体_GB2312" w:cs="宋体"/>
          <w:color w:val="000000"/>
          <w:kern w:val="0"/>
          <w:sz w:val="32"/>
          <w:szCs w:val="32"/>
        </w:rPr>
      </w:pPr>
    </w:p>
    <w:p>
      <w:pPr>
        <w:pStyle w:val="2"/>
        <w:ind w:firstLine="180" w:firstLineChars="100"/>
        <w:rPr>
          <w:rFonts w:hint="eastAsia" w:ascii="宋体" w:hAnsi="宋体" w:eastAsia="宋体" w:cs="宋体"/>
          <w:color w:val="000000"/>
          <w:kern w:val="0"/>
          <w:szCs w:val="18"/>
        </w:rPr>
      </w:pPr>
      <w:r>
        <w:rPr>
          <w:rFonts w:hint="eastAsia" w:ascii="宋体" w:hAnsi="宋体" w:eastAsia="宋体" w:cs="宋体"/>
          <w:color w:val="000000"/>
          <w:kern w:val="0"/>
          <w:szCs w:val="18"/>
        </w:rPr>
        <w:t>部门（单位）盖章：中共广元市朝天区委办公室</w:t>
      </w:r>
    </w:p>
    <w:tbl>
      <w:tblPr>
        <w:tblStyle w:val="14"/>
        <w:tblW w:w="930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847"/>
        <w:gridCol w:w="280"/>
        <w:gridCol w:w="827"/>
        <w:gridCol w:w="237"/>
        <w:gridCol w:w="1372"/>
        <w:gridCol w:w="448"/>
        <w:gridCol w:w="644"/>
        <w:gridCol w:w="1469"/>
        <w:gridCol w:w="826"/>
        <w:gridCol w:w="574"/>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723" w:type="dxa"/>
            <w:gridSpan w:val="3"/>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项目支出名称</w:t>
            </w:r>
          </w:p>
        </w:tc>
        <w:tc>
          <w:tcPr>
            <w:tcW w:w="7578" w:type="dxa"/>
            <w:gridSpan w:val="9"/>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深化改革专项工作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723" w:type="dxa"/>
            <w:gridSpan w:val="3"/>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预算单位</w:t>
            </w:r>
          </w:p>
        </w:tc>
        <w:tc>
          <w:tcPr>
            <w:tcW w:w="7578" w:type="dxa"/>
            <w:gridSpan w:val="9"/>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中共广元市朝天区委办公室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96" w:type="dxa"/>
            <w:vMerge w:val="restart"/>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预算执行情况</w:t>
            </w:r>
          </w:p>
        </w:tc>
        <w:tc>
          <w:tcPr>
            <w:tcW w:w="2191" w:type="dxa"/>
            <w:gridSpan w:val="4"/>
            <w:shd w:val="clear" w:color="auto" w:fill="auto"/>
            <w:noWrap w:val="0"/>
            <w:vAlign w:val="center"/>
          </w:tcPr>
          <w:p>
            <w:pPr>
              <w:spacing w:line="0" w:lineRule="atLeas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xml:space="preserve">全年预算数（万元） </w:t>
            </w:r>
          </w:p>
        </w:tc>
        <w:tc>
          <w:tcPr>
            <w:tcW w:w="1820" w:type="dxa"/>
            <w:gridSpan w:val="2"/>
            <w:shd w:val="clear" w:color="auto" w:fill="auto"/>
            <w:noWrap w:val="0"/>
            <w:vAlign w:val="center"/>
          </w:tcPr>
          <w:p>
            <w:pPr>
              <w:spacing w:line="0" w:lineRule="atLeast"/>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30</w:t>
            </w:r>
          </w:p>
        </w:tc>
        <w:tc>
          <w:tcPr>
            <w:tcW w:w="2939" w:type="dxa"/>
            <w:gridSpan w:val="3"/>
            <w:shd w:val="clear" w:color="auto" w:fill="auto"/>
            <w:noWrap w:val="0"/>
            <w:vAlign w:val="center"/>
          </w:tcPr>
          <w:p>
            <w:pPr>
              <w:spacing w:line="0" w:lineRule="atLeas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全年执行数（万元）</w:t>
            </w:r>
          </w:p>
        </w:tc>
        <w:tc>
          <w:tcPr>
            <w:tcW w:w="1755" w:type="dxa"/>
            <w:gridSpan w:val="2"/>
            <w:shd w:val="clear" w:color="auto" w:fill="auto"/>
            <w:noWrap w:val="0"/>
            <w:vAlign w:val="center"/>
          </w:tcPr>
          <w:p>
            <w:pPr>
              <w:spacing w:line="0" w:lineRule="atLeast"/>
              <w:rPr>
                <w:rFonts w:ascii="宋体" w:hAnsi="宋体" w:eastAsia="宋体" w:cs="宋体"/>
                <w:b/>
                <w:color w:val="000000"/>
                <w:kern w:val="0"/>
                <w:sz w:val="18"/>
                <w:szCs w:val="18"/>
              </w:rPr>
            </w:pPr>
            <w:r>
              <w:rPr>
                <w:rFonts w:hint="eastAsia" w:ascii="宋体" w:hAnsi="宋体" w:eastAsia="宋体" w:cs="宋体"/>
                <w:b/>
                <w:color w:val="000000"/>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96" w:type="dxa"/>
            <w:vMerge w:val="continue"/>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2191" w:type="dxa"/>
            <w:gridSpan w:val="4"/>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其中：一般公共预算</w:t>
            </w:r>
          </w:p>
        </w:tc>
        <w:tc>
          <w:tcPr>
            <w:tcW w:w="1820" w:type="dxa"/>
            <w:gridSpan w:val="2"/>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c>
          <w:tcPr>
            <w:tcW w:w="2939" w:type="dxa"/>
            <w:gridSpan w:val="3"/>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其中：一般公共预算</w:t>
            </w:r>
          </w:p>
        </w:tc>
        <w:tc>
          <w:tcPr>
            <w:tcW w:w="1755" w:type="dxa"/>
            <w:gridSpan w:val="2"/>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96" w:type="dxa"/>
            <w:vMerge w:val="continue"/>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2191" w:type="dxa"/>
            <w:gridSpan w:val="4"/>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政府性基金预算</w:t>
            </w:r>
          </w:p>
        </w:tc>
        <w:tc>
          <w:tcPr>
            <w:tcW w:w="1820" w:type="dxa"/>
            <w:gridSpan w:val="2"/>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39" w:type="dxa"/>
            <w:gridSpan w:val="3"/>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政府性基金预算</w:t>
            </w:r>
          </w:p>
        </w:tc>
        <w:tc>
          <w:tcPr>
            <w:tcW w:w="1755" w:type="dxa"/>
            <w:gridSpan w:val="2"/>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96" w:type="dxa"/>
            <w:vMerge w:val="continue"/>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2191" w:type="dxa"/>
            <w:gridSpan w:val="4"/>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国有资本经营预算</w:t>
            </w:r>
          </w:p>
        </w:tc>
        <w:tc>
          <w:tcPr>
            <w:tcW w:w="1820" w:type="dxa"/>
            <w:gridSpan w:val="2"/>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39" w:type="dxa"/>
            <w:gridSpan w:val="3"/>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国有资本经营预算</w:t>
            </w:r>
          </w:p>
        </w:tc>
        <w:tc>
          <w:tcPr>
            <w:tcW w:w="1755" w:type="dxa"/>
            <w:gridSpan w:val="2"/>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96" w:type="dxa"/>
            <w:vMerge w:val="continue"/>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2191" w:type="dxa"/>
            <w:gridSpan w:val="4"/>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社会保险基金预算</w:t>
            </w:r>
          </w:p>
        </w:tc>
        <w:tc>
          <w:tcPr>
            <w:tcW w:w="1820" w:type="dxa"/>
            <w:gridSpan w:val="2"/>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39" w:type="dxa"/>
            <w:gridSpan w:val="3"/>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社会保险基金预算</w:t>
            </w:r>
          </w:p>
        </w:tc>
        <w:tc>
          <w:tcPr>
            <w:tcW w:w="1755" w:type="dxa"/>
            <w:gridSpan w:val="2"/>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96" w:type="dxa"/>
            <w:vMerge w:val="continue"/>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2191" w:type="dxa"/>
            <w:gridSpan w:val="4"/>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其他资金</w:t>
            </w:r>
          </w:p>
        </w:tc>
        <w:tc>
          <w:tcPr>
            <w:tcW w:w="1820" w:type="dxa"/>
            <w:gridSpan w:val="2"/>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39" w:type="dxa"/>
            <w:gridSpan w:val="3"/>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其他资金</w:t>
            </w:r>
          </w:p>
        </w:tc>
        <w:tc>
          <w:tcPr>
            <w:tcW w:w="1755" w:type="dxa"/>
            <w:gridSpan w:val="2"/>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96" w:type="dxa"/>
            <w:vMerge w:val="restart"/>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目标完成情况</w:t>
            </w:r>
          </w:p>
        </w:tc>
        <w:tc>
          <w:tcPr>
            <w:tcW w:w="3563" w:type="dxa"/>
            <w:gridSpan w:val="5"/>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全年预期目标</w:t>
            </w:r>
          </w:p>
        </w:tc>
        <w:tc>
          <w:tcPr>
            <w:tcW w:w="5142" w:type="dxa"/>
            <w:gridSpan w:val="6"/>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全年实际完成目标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7" w:hRule="atLeast"/>
        </w:trPr>
        <w:tc>
          <w:tcPr>
            <w:tcW w:w="596" w:type="dxa"/>
            <w:vMerge w:val="continue"/>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3563" w:type="dxa"/>
            <w:gridSpan w:val="5"/>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对照《区委全面深化改革重要举措实施规划》确定的任务书、时间表和路线图，推动既定改革任务全面完成。</w:t>
            </w:r>
          </w:p>
        </w:tc>
        <w:tc>
          <w:tcPr>
            <w:tcW w:w="5142" w:type="dxa"/>
            <w:gridSpan w:val="6"/>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全年保障召开区委全面深化改革委员会会议，组织召开工作协调会7次，专项小组开会20余次，审议出台各项专项改革方案13个。开展出台半年以上专项改革方案销账、评估工作。通过部门自我评估、改革办督察评估、第三方评估等方式，开展评估专项改革方案19项，根据工作实施情况，8项专项改革方案评估为优秀，6项评估为良好，5项评估为合格。开展重大改革课题调研。完成不同领域9个重大课题的调研并提交调研报告，根据调研成效，6个课题评为优秀课题，3个课题评定为合格课题。开展其他需要重点推进的专项改革方案成效跟踪。对转发、遵照执行上级专项改革方案和区本级已出台未销账的35个改革方案建立专项台账并狠抓落实，确保所有改革任务不遗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596" w:type="dxa"/>
            <w:vMerge w:val="restart"/>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年度绩效指标完成情况</w:t>
            </w:r>
          </w:p>
        </w:tc>
        <w:tc>
          <w:tcPr>
            <w:tcW w:w="847" w:type="dxa"/>
            <w:shd w:val="clear" w:color="auto" w:fill="auto"/>
            <w:noWrap w:val="0"/>
            <w:vAlign w:val="center"/>
          </w:tcPr>
          <w:p>
            <w:pPr>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一级</w:t>
            </w:r>
          </w:p>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1107" w:type="dxa"/>
            <w:gridSpan w:val="2"/>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二级指标</w:t>
            </w:r>
          </w:p>
        </w:tc>
        <w:tc>
          <w:tcPr>
            <w:tcW w:w="2701" w:type="dxa"/>
            <w:gridSpan w:val="4"/>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三级指标</w:t>
            </w:r>
          </w:p>
        </w:tc>
        <w:tc>
          <w:tcPr>
            <w:tcW w:w="1469" w:type="dxa"/>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全年预期指标值（包含数字及文字描述）</w:t>
            </w:r>
          </w:p>
        </w:tc>
        <w:tc>
          <w:tcPr>
            <w:tcW w:w="1400" w:type="dxa"/>
            <w:gridSpan w:val="2"/>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全年实际完成指标值（包含数字及文字描述）</w:t>
            </w:r>
          </w:p>
        </w:tc>
        <w:tc>
          <w:tcPr>
            <w:tcW w:w="1181" w:type="dxa"/>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未完成原因及改进措施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96" w:type="dxa"/>
            <w:vMerge w:val="continue"/>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847" w:type="dxa"/>
            <w:vMerge w:val="restart"/>
            <w:shd w:val="clear" w:color="auto" w:fill="auto"/>
            <w:noWrap w:val="0"/>
            <w:vAlign w:val="center"/>
          </w:tcPr>
          <w:p>
            <w:pPr>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产出</w:t>
            </w:r>
          </w:p>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1107" w:type="dxa"/>
            <w:gridSpan w:val="2"/>
            <w:vMerge w:val="restart"/>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数量指标</w:t>
            </w:r>
          </w:p>
        </w:tc>
        <w:tc>
          <w:tcPr>
            <w:tcW w:w="2701" w:type="dxa"/>
            <w:gridSpan w:val="4"/>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预计召开深改委会议次数</w:t>
            </w:r>
          </w:p>
        </w:tc>
        <w:tc>
          <w:tcPr>
            <w:tcW w:w="1469" w:type="dxa"/>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4次</w:t>
            </w:r>
          </w:p>
        </w:tc>
        <w:tc>
          <w:tcPr>
            <w:tcW w:w="1400" w:type="dxa"/>
            <w:gridSpan w:val="2"/>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4次</w:t>
            </w:r>
          </w:p>
        </w:tc>
        <w:tc>
          <w:tcPr>
            <w:tcW w:w="1181" w:type="dxa"/>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96" w:type="dxa"/>
            <w:vMerge w:val="continue"/>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847" w:type="dxa"/>
            <w:vMerge w:val="continue"/>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1107" w:type="dxa"/>
            <w:gridSpan w:val="2"/>
            <w:vMerge w:val="continue"/>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2701" w:type="dxa"/>
            <w:gridSpan w:val="4"/>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召开部门乡镇协调会议次数</w:t>
            </w:r>
          </w:p>
        </w:tc>
        <w:tc>
          <w:tcPr>
            <w:tcW w:w="1469" w:type="dxa"/>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≥6次</w:t>
            </w:r>
          </w:p>
        </w:tc>
        <w:tc>
          <w:tcPr>
            <w:tcW w:w="1400" w:type="dxa"/>
            <w:gridSpan w:val="2"/>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7次</w:t>
            </w:r>
          </w:p>
        </w:tc>
        <w:tc>
          <w:tcPr>
            <w:tcW w:w="1181" w:type="dxa"/>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96" w:type="dxa"/>
            <w:vMerge w:val="continue"/>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847" w:type="dxa"/>
            <w:vMerge w:val="continue"/>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1107" w:type="dxa"/>
            <w:gridSpan w:val="2"/>
            <w:vMerge w:val="continue"/>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2701" w:type="dxa"/>
            <w:gridSpan w:val="4"/>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完成《朝天区贯彻落实党的十九大报告重要改革举措实施规划（2019-2022年）》</w:t>
            </w:r>
          </w:p>
        </w:tc>
        <w:tc>
          <w:tcPr>
            <w:tcW w:w="1469" w:type="dxa"/>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全面完成</w:t>
            </w:r>
          </w:p>
        </w:tc>
        <w:tc>
          <w:tcPr>
            <w:tcW w:w="1400" w:type="dxa"/>
            <w:gridSpan w:val="2"/>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优</w:t>
            </w:r>
          </w:p>
        </w:tc>
        <w:tc>
          <w:tcPr>
            <w:tcW w:w="1181" w:type="dxa"/>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96" w:type="dxa"/>
            <w:vMerge w:val="restart"/>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年度绩效指标完成情况</w:t>
            </w:r>
          </w:p>
        </w:tc>
        <w:tc>
          <w:tcPr>
            <w:tcW w:w="847" w:type="dxa"/>
            <w:shd w:val="clear" w:color="auto" w:fill="auto"/>
            <w:noWrap w:val="0"/>
            <w:vAlign w:val="center"/>
          </w:tcPr>
          <w:p>
            <w:pPr>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一级</w:t>
            </w:r>
          </w:p>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1107" w:type="dxa"/>
            <w:gridSpan w:val="2"/>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二级指标</w:t>
            </w:r>
          </w:p>
        </w:tc>
        <w:tc>
          <w:tcPr>
            <w:tcW w:w="2701" w:type="dxa"/>
            <w:gridSpan w:val="4"/>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三级指标</w:t>
            </w:r>
          </w:p>
        </w:tc>
        <w:tc>
          <w:tcPr>
            <w:tcW w:w="1469" w:type="dxa"/>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全年预期指标值（包含数字及文字描述）</w:t>
            </w:r>
          </w:p>
        </w:tc>
        <w:tc>
          <w:tcPr>
            <w:tcW w:w="1400" w:type="dxa"/>
            <w:gridSpan w:val="2"/>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全年实际完成指标值（包含数字及文字描述）</w:t>
            </w:r>
          </w:p>
        </w:tc>
        <w:tc>
          <w:tcPr>
            <w:tcW w:w="1181" w:type="dxa"/>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未完成原因及改进措施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trPr>
        <w:tc>
          <w:tcPr>
            <w:tcW w:w="596" w:type="dxa"/>
            <w:vMerge w:val="continue"/>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847" w:type="dxa"/>
            <w:vMerge w:val="restart"/>
            <w:shd w:val="clear" w:color="auto" w:fill="auto"/>
            <w:noWrap w:val="0"/>
            <w:vAlign w:val="center"/>
          </w:tcPr>
          <w:p>
            <w:pPr>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产出</w:t>
            </w:r>
          </w:p>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1107" w:type="dxa"/>
            <w:gridSpan w:val="2"/>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质量指标</w:t>
            </w:r>
          </w:p>
        </w:tc>
        <w:tc>
          <w:tcPr>
            <w:tcW w:w="2701" w:type="dxa"/>
            <w:gridSpan w:val="4"/>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坚持一手抓改革方案制定、一手抓改革任务落实，坚持“清单制+责任制”工作法，及时加强对接省委、市委安排部署的各项改革任务目标；明确任务清单，逐项推动区委深改委会议审议出台的专项改革方案落实见效。</w:t>
            </w:r>
          </w:p>
        </w:tc>
        <w:tc>
          <w:tcPr>
            <w:tcW w:w="1469" w:type="dxa"/>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高质量完成</w:t>
            </w:r>
          </w:p>
        </w:tc>
        <w:tc>
          <w:tcPr>
            <w:tcW w:w="1400" w:type="dxa"/>
            <w:gridSpan w:val="2"/>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优</w:t>
            </w:r>
          </w:p>
        </w:tc>
        <w:tc>
          <w:tcPr>
            <w:tcW w:w="1181" w:type="dxa"/>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96" w:type="dxa"/>
            <w:vMerge w:val="continue"/>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847" w:type="dxa"/>
            <w:vMerge w:val="continue"/>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1107" w:type="dxa"/>
            <w:gridSpan w:val="2"/>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时效指标</w:t>
            </w:r>
          </w:p>
        </w:tc>
        <w:tc>
          <w:tcPr>
            <w:tcW w:w="2701" w:type="dxa"/>
            <w:gridSpan w:val="4"/>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完成时限</w:t>
            </w:r>
          </w:p>
        </w:tc>
        <w:tc>
          <w:tcPr>
            <w:tcW w:w="1469" w:type="dxa"/>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2021年底</w:t>
            </w:r>
          </w:p>
        </w:tc>
        <w:tc>
          <w:tcPr>
            <w:tcW w:w="1400" w:type="dxa"/>
            <w:gridSpan w:val="2"/>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全面完成</w:t>
            </w:r>
          </w:p>
        </w:tc>
        <w:tc>
          <w:tcPr>
            <w:tcW w:w="1181" w:type="dxa"/>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96" w:type="dxa"/>
            <w:vMerge w:val="continue"/>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847" w:type="dxa"/>
            <w:vMerge w:val="continue"/>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1107" w:type="dxa"/>
            <w:gridSpan w:val="2"/>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成本指标</w:t>
            </w:r>
          </w:p>
        </w:tc>
        <w:tc>
          <w:tcPr>
            <w:tcW w:w="2701" w:type="dxa"/>
            <w:gridSpan w:val="4"/>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严格控制预算金额</w:t>
            </w:r>
          </w:p>
        </w:tc>
        <w:tc>
          <w:tcPr>
            <w:tcW w:w="1469" w:type="dxa"/>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≤30万元</w:t>
            </w:r>
          </w:p>
        </w:tc>
        <w:tc>
          <w:tcPr>
            <w:tcW w:w="1400" w:type="dxa"/>
            <w:gridSpan w:val="2"/>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30万元</w:t>
            </w:r>
          </w:p>
        </w:tc>
        <w:tc>
          <w:tcPr>
            <w:tcW w:w="1181" w:type="dxa"/>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trPr>
        <w:tc>
          <w:tcPr>
            <w:tcW w:w="596" w:type="dxa"/>
            <w:vMerge w:val="continue"/>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847" w:type="dxa"/>
            <w:shd w:val="clear" w:color="auto" w:fill="auto"/>
            <w:noWrap w:val="0"/>
            <w:vAlign w:val="center"/>
          </w:tcPr>
          <w:p>
            <w:pPr>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效益</w:t>
            </w:r>
          </w:p>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1107" w:type="dxa"/>
            <w:gridSpan w:val="2"/>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社会效益指标</w:t>
            </w:r>
          </w:p>
        </w:tc>
        <w:tc>
          <w:tcPr>
            <w:tcW w:w="2701" w:type="dxa"/>
            <w:gridSpan w:val="4"/>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统筹推进党的十八大以来部署的改革举措和十九大部署的改革任务，聚焦提升改革质量，着力补齐制度短板，着力抓好改革任务落实，着力巩固改革成果，着力提升人民群众获得感，切实推深做实改革，促进基础性关键领域改革取得实质性成果。</w:t>
            </w:r>
          </w:p>
        </w:tc>
        <w:tc>
          <w:tcPr>
            <w:tcW w:w="1469" w:type="dxa"/>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长期可持续</w:t>
            </w:r>
          </w:p>
        </w:tc>
        <w:tc>
          <w:tcPr>
            <w:tcW w:w="1400" w:type="dxa"/>
            <w:gridSpan w:val="2"/>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优</w:t>
            </w:r>
          </w:p>
        </w:tc>
        <w:tc>
          <w:tcPr>
            <w:tcW w:w="1181" w:type="dxa"/>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596" w:type="dxa"/>
            <w:vMerge w:val="continue"/>
            <w:shd w:val="clear" w:color="auto" w:fill="auto"/>
            <w:noWrap w:val="0"/>
            <w:vAlign w:val="center"/>
          </w:tcPr>
          <w:p>
            <w:pPr>
              <w:spacing w:line="0" w:lineRule="atLeast"/>
              <w:jc w:val="left"/>
              <w:rPr>
                <w:rFonts w:ascii="宋体" w:hAnsi="宋体" w:eastAsia="宋体" w:cs="宋体"/>
                <w:color w:val="000000"/>
                <w:kern w:val="0"/>
                <w:sz w:val="18"/>
                <w:szCs w:val="18"/>
              </w:rPr>
            </w:pPr>
          </w:p>
        </w:tc>
        <w:tc>
          <w:tcPr>
            <w:tcW w:w="847" w:type="dxa"/>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满意度指标</w:t>
            </w:r>
          </w:p>
        </w:tc>
        <w:tc>
          <w:tcPr>
            <w:tcW w:w="1107" w:type="dxa"/>
            <w:gridSpan w:val="2"/>
            <w:shd w:val="clear" w:color="auto" w:fill="auto"/>
            <w:noWrap w:val="0"/>
            <w:vAlign w:val="center"/>
          </w:tcPr>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满意度指标</w:t>
            </w:r>
          </w:p>
        </w:tc>
        <w:tc>
          <w:tcPr>
            <w:tcW w:w="2701" w:type="dxa"/>
            <w:gridSpan w:val="4"/>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干部群众满意度 </w:t>
            </w:r>
          </w:p>
        </w:tc>
        <w:tc>
          <w:tcPr>
            <w:tcW w:w="1469" w:type="dxa"/>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&gt;90%</w:t>
            </w:r>
          </w:p>
        </w:tc>
        <w:tc>
          <w:tcPr>
            <w:tcW w:w="1400" w:type="dxa"/>
            <w:gridSpan w:val="2"/>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92%</w:t>
            </w:r>
          </w:p>
        </w:tc>
        <w:tc>
          <w:tcPr>
            <w:tcW w:w="1181" w:type="dxa"/>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pPr>
        <w:pStyle w:val="2"/>
        <w:rPr>
          <w:rFonts w:hint="eastAsia" w:eastAsia="仿宋_GB2312"/>
        </w:rPr>
        <w:sectPr>
          <w:headerReference r:id="rId26" w:type="first"/>
          <w:footerReference r:id="rId29" w:type="first"/>
          <w:headerReference r:id="rId24" w:type="default"/>
          <w:footerReference r:id="rId27" w:type="default"/>
          <w:headerReference r:id="rId25" w:type="even"/>
          <w:footerReference r:id="rId28" w:type="even"/>
          <w:pgSz w:w="11907" w:h="16840"/>
          <w:pgMar w:top="2098" w:right="1474" w:bottom="1985" w:left="1588" w:header="851" w:footer="1474" w:gutter="0"/>
          <w:pgNumType w:fmt="decimal"/>
          <w:cols w:space="720" w:num="1"/>
          <w:docGrid w:type="lines" w:linePitch="286" w:charSpace="0"/>
        </w:sectPr>
      </w:pPr>
    </w:p>
    <w:p>
      <w:pPr>
        <w:spacing w:line="576" w:lineRule="exact"/>
        <w:rPr>
          <w:rFonts w:hint="eastAsia" w:ascii="黑体" w:hAnsi="黑体" w:eastAsia="黑体"/>
          <w:sz w:val="32"/>
          <w:szCs w:val="32"/>
        </w:rPr>
      </w:pPr>
      <w:r>
        <w:rPr>
          <w:rFonts w:hint="eastAsia" w:ascii="黑体" w:hAnsi="黑体" w:eastAsia="黑体"/>
          <w:sz w:val="32"/>
          <w:szCs w:val="32"/>
        </w:rPr>
        <w:t>附件2</w:t>
      </w:r>
    </w:p>
    <w:p>
      <w:pPr>
        <w:spacing w:after="156" w:afterLines="50" w:line="576" w:lineRule="exact"/>
        <w:jc w:val="center"/>
        <w:rPr>
          <w:rFonts w:hint="eastAsia" w:ascii="方正小标宋简体" w:eastAsia="方正小标宋简体"/>
          <w:sz w:val="44"/>
          <w:szCs w:val="44"/>
        </w:rPr>
      </w:pPr>
      <w:r>
        <w:rPr>
          <w:rFonts w:hint="eastAsia" w:ascii="方正小标宋简体" w:hAnsi="宋体" w:eastAsia="方正小标宋简体" w:cs="宋体"/>
          <w:bCs/>
          <w:color w:val="000000"/>
          <w:kern w:val="0"/>
          <w:sz w:val="44"/>
          <w:szCs w:val="44"/>
        </w:rPr>
        <w:t>2021年部门预算项目支出绩效自评评分表</w:t>
      </w:r>
    </w:p>
    <w:p>
      <w:pPr>
        <w:pStyle w:val="2"/>
        <w:rPr>
          <w:rFonts w:hint="eastAsia" w:ascii="宋体" w:hAnsi="宋体" w:eastAsia="宋体"/>
          <w:szCs w:val="18"/>
        </w:rPr>
      </w:pPr>
      <w:r>
        <w:rPr>
          <w:rFonts w:hint="eastAsia" w:ascii="宋体" w:hAnsi="宋体" w:eastAsia="宋体" w:cs="宋体"/>
          <w:color w:val="000000"/>
          <w:kern w:val="0"/>
          <w:szCs w:val="18"/>
        </w:rPr>
        <w:t>部门（单位）盖章：中共广元市朝天区委办公室                                                                          项目名称：深化改革专项工作</w:t>
      </w:r>
    </w:p>
    <w:tbl>
      <w:tblPr>
        <w:tblStyle w:val="14"/>
        <w:tblW w:w="0" w:type="auto"/>
        <w:tblInd w:w="0" w:type="dxa"/>
        <w:tblLayout w:type="fixed"/>
        <w:tblCellMar>
          <w:top w:w="0" w:type="dxa"/>
          <w:left w:w="108" w:type="dxa"/>
          <w:bottom w:w="0" w:type="dxa"/>
          <w:right w:w="108" w:type="dxa"/>
        </w:tblCellMar>
      </w:tblPr>
      <w:tblGrid>
        <w:gridCol w:w="668"/>
        <w:gridCol w:w="756"/>
        <w:gridCol w:w="854"/>
        <w:gridCol w:w="278"/>
        <w:gridCol w:w="5475"/>
        <w:gridCol w:w="638"/>
        <w:gridCol w:w="4973"/>
        <w:gridCol w:w="576"/>
      </w:tblGrid>
      <w:tr>
        <w:tblPrEx>
          <w:tblCellMar>
            <w:top w:w="0" w:type="dxa"/>
            <w:left w:w="108" w:type="dxa"/>
            <w:bottom w:w="0" w:type="dxa"/>
            <w:right w:w="108" w:type="dxa"/>
          </w:tblCellMar>
        </w:tblPrEx>
        <w:trPr>
          <w:trHeight w:val="552" w:hRule="atLeast"/>
          <w:tblHeader/>
        </w:trPr>
        <w:tc>
          <w:tcPr>
            <w:tcW w:w="6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一级 指标</w:t>
            </w:r>
          </w:p>
        </w:tc>
        <w:tc>
          <w:tcPr>
            <w:tcW w:w="756"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hint="eastAsia" w:ascii="黑体" w:hAnsi="黑体" w:eastAsia="黑体" w:cs="宋体"/>
                <w:bCs/>
                <w:color w:val="000000"/>
                <w:kern w:val="0"/>
                <w:sz w:val="18"/>
                <w:szCs w:val="18"/>
              </w:rPr>
            </w:pPr>
            <w:r>
              <w:rPr>
                <w:rFonts w:hint="eastAsia" w:ascii="黑体" w:hAnsi="黑体" w:eastAsia="黑体" w:cs="宋体"/>
                <w:bCs/>
                <w:color w:val="000000"/>
                <w:kern w:val="0"/>
                <w:sz w:val="18"/>
                <w:szCs w:val="18"/>
              </w:rPr>
              <w:t>二级</w:t>
            </w:r>
          </w:p>
          <w:p>
            <w:pPr>
              <w:spacing w:line="0" w:lineRule="atLeast"/>
              <w:jc w:val="center"/>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指标</w:t>
            </w:r>
          </w:p>
        </w:tc>
        <w:tc>
          <w:tcPr>
            <w:tcW w:w="854"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hint="eastAsia" w:ascii="黑体" w:hAnsi="黑体" w:eastAsia="黑体" w:cs="宋体"/>
                <w:bCs/>
                <w:color w:val="000000"/>
                <w:kern w:val="0"/>
                <w:sz w:val="18"/>
                <w:szCs w:val="18"/>
              </w:rPr>
            </w:pPr>
            <w:r>
              <w:rPr>
                <w:rFonts w:hint="eastAsia" w:ascii="黑体" w:hAnsi="黑体" w:eastAsia="黑体" w:cs="宋体"/>
                <w:bCs/>
                <w:color w:val="000000"/>
                <w:kern w:val="0"/>
                <w:sz w:val="18"/>
                <w:szCs w:val="18"/>
              </w:rPr>
              <w:t>三级</w:t>
            </w:r>
          </w:p>
          <w:p>
            <w:pPr>
              <w:spacing w:line="0" w:lineRule="atLeast"/>
              <w:jc w:val="center"/>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指标</w:t>
            </w:r>
          </w:p>
        </w:tc>
        <w:tc>
          <w:tcPr>
            <w:tcW w:w="5753"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指标内容</w:t>
            </w:r>
          </w:p>
        </w:tc>
        <w:tc>
          <w:tcPr>
            <w:tcW w:w="638"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参考分值</w:t>
            </w:r>
          </w:p>
        </w:tc>
        <w:tc>
          <w:tcPr>
            <w:tcW w:w="4973"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评分标准</w:t>
            </w:r>
          </w:p>
        </w:tc>
        <w:tc>
          <w:tcPr>
            <w:tcW w:w="576" w:type="dxa"/>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自评得分</w:t>
            </w:r>
          </w:p>
        </w:tc>
      </w:tr>
      <w:tr>
        <w:tblPrEx>
          <w:tblCellMar>
            <w:top w:w="0" w:type="dxa"/>
            <w:left w:w="108" w:type="dxa"/>
            <w:bottom w:w="0" w:type="dxa"/>
            <w:right w:w="108" w:type="dxa"/>
          </w:tblCellMar>
        </w:tblPrEx>
        <w:trPr>
          <w:trHeight w:val="1101" w:hRule="atLeast"/>
        </w:trPr>
        <w:tc>
          <w:tcPr>
            <w:tcW w:w="668"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决策</w:t>
            </w:r>
          </w:p>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（14分）</w:t>
            </w:r>
          </w:p>
        </w:tc>
        <w:tc>
          <w:tcPr>
            <w:tcW w:w="756"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立项</w:t>
            </w:r>
          </w:p>
        </w:tc>
        <w:tc>
          <w:tcPr>
            <w:tcW w:w="854"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立项</w:t>
            </w:r>
          </w:p>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依据</w:t>
            </w:r>
          </w:p>
        </w:tc>
        <w:tc>
          <w:tcPr>
            <w:tcW w:w="5753"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用以反映项目立项是否有充分的依据：符合国家法律法规、本地的相关规定；符合部门年度工作计划。</w:t>
            </w:r>
          </w:p>
        </w:tc>
        <w:tc>
          <w:tcPr>
            <w:tcW w:w="638"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4973" w:type="dxa"/>
            <w:tcBorders>
              <w:top w:val="nil"/>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①符合国家相关法律法规、国民经济发展规划和党委政府决策（1分）；                                                                                                           ②符合部门（单位）年度工作计划或项目实施单位职责密切相关（1分）。                                                             </w:t>
            </w:r>
          </w:p>
        </w:tc>
        <w:tc>
          <w:tcPr>
            <w:tcW w:w="57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2</w:t>
            </w:r>
          </w:p>
        </w:tc>
      </w:tr>
      <w:tr>
        <w:tblPrEx>
          <w:tblCellMar>
            <w:top w:w="0" w:type="dxa"/>
            <w:left w:w="108" w:type="dxa"/>
            <w:bottom w:w="0" w:type="dxa"/>
            <w:right w:w="108" w:type="dxa"/>
          </w:tblCellMar>
        </w:tblPrEx>
        <w:trPr>
          <w:trHeight w:val="891" w:hRule="atLeast"/>
        </w:trPr>
        <w:tc>
          <w:tcPr>
            <w:tcW w:w="668"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854"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决策</w:t>
            </w:r>
          </w:p>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程序</w:t>
            </w:r>
          </w:p>
        </w:tc>
        <w:tc>
          <w:tcPr>
            <w:tcW w:w="5753"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用以反映和考核项目立项的规范情况：项目的申请、设立过程是否符合相关要求。</w:t>
            </w:r>
          </w:p>
        </w:tc>
        <w:tc>
          <w:tcPr>
            <w:tcW w:w="638"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4973" w:type="dxa"/>
            <w:tcBorders>
              <w:top w:val="nil"/>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①项目是否按照规定的程序申请设立，审批文件、材料是否符合相关要求（1分）； ②事前是否已经过必要的可行性研究、专家论证、风险评估、集体决策等（1分）。</w:t>
            </w:r>
          </w:p>
        </w:tc>
        <w:tc>
          <w:tcPr>
            <w:tcW w:w="57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2</w:t>
            </w:r>
          </w:p>
        </w:tc>
      </w:tr>
      <w:tr>
        <w:tblPrEx>
          <w:tblCellMar>
            <w:top w:w="0" w:type="dxa"/>
            <w:left w:w="108" w:type="dxa"/>
            <w:bottom w:w="0" w:type="dxa"/>
            <w:right w:w="108" w:type="dxa"/>
          </w:tblCellMar>
        </w:tblPrEx>
        <w:trPr>
          <w:trHeight w:val="1465" w:hRule="atLeast"/>
        </w:trPr>
        <w:tc>
          <w:tcPr>
            <w:tcW w:w="668"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756"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目标</w:t>
            </w:r>
          </w:p>
        </w:tc>
        <w:tc>
          <w:tcPr>
            <w:tcW w:w="854"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目标合理性</w:t>
            </w:r>
          </w:p>
        </w:tc>
        <w:tc>
          <w:tcPr>
            <w:tcW w:w="5753"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用以反映和考核项目绩效目标与项目实施的相符情况：项目所设定的绩效目标是否依据充分，是否符合客观实际。</w:t>
            </w:r>
          </w:p>
        </w:tc>
        <w:tc>
          <w:tcPr>
            <w:tcW w:w="638"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4973" w:type="dxa"/>
            <w:tcBorders>
              <w:top w:val="nil"/>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①项目的测算依据充分（1分）；                                                                                                                                                       ②项目是否有绩效目标，与实际工作内容是否具有相关性（1分）；                                                                                                                        ③项目预期产出效益和效果是否符合正常的业绩水平（1分）；                                                                                                                                                                   ④与预算确定的项目投资额或资金量相匹配（1分）。</w:t>
            </w:r>
          </w:p>
        </w:tc>
        <w:tc>
          <w:tcPr>
            <w:tcW w:w="57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2</w:t>
            </w:r>
          </w:p>
        </w:tc>
      </w:tr>
      <w:tr>
        <w:tblPrEx>
          <w:tblCellMar>
            <w:top w:w="0" w:type="dxa"/>
            <w:left w:w="108" w:type="dxa"/>
            <w:bottom w:w="0" w:type="dxa"/>
            <w:right w:w="108" w:type="dxa"/>
          </w:tblCellMar>
        </w:tblPrEx>
        <w:trPr>
          <w:trHeight w:val="1092" w:hRule="atLeast"/>
        </w:trPr>
        <w:tc>
          <w:tcPr>
            <w:tcW w:w="668"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854"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指标明确性</w:t>
            </w:r>
          </w:p>
        </w:tc>
        <w:tc>
          <w:tcPr>
            <w:tcW w:w="5753"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用以反映和考核项目绩效目标与项目实施的相符情况：依据绩效目标设定的绩效指标是否清晰、细化、可衡量等。</w:t>
            </w:r>
          </w:p>
        </w:tc>
        <w:tc>
          <w:tcPr>
            <w:tcW w:w="638"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4973" w:type="dxa"/>
            <w:tcBorders>
              <w:top w:val="nil"/>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①是否将绩效目标的绩效指标细化分解（1分）；                                                                                                                                                        ②分解的绩效指标体现清晰、可衡量的指标值（1分）；                                                                                                                                                   ③与项目年度任务数或计划数相对应（1分）；                                                                                                                                                         ④与预算确定的项目投资额或资金量相匹配（1分）。</w:t>
            </w:r>
          </w:p>
        </w:tc>
        <w:tc>
          <w:tcPr>
            <w:tcW w:w="57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2</w:t>
            </w:r>
          </w:p>
        </w:tc>
      </w:tr>
      <w:tr>
        <w:tblPrEx>
          <w:tblCellMar>
            <w:top w:w="0" w:type="dxa"/>
            <w:left w:w="108" w:type="dxa"/>
            <w:bottom w:w="0" w:type="dxa"/>
            <w:right w:w="108" w:type="dxa"/>
          </w:tblCellMar>
        </w:tblPrEx>
        <w:trPr>
          <w:trHeight w:val="1018" w:hRule="atLeast"/>
        </w:trPr>
        <w:tc>
          <w:tcPr>
            <w:tcW w:w="668"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75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w:t>
            </w:r>
          </w:p>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分配</w:t>
            </w:r>
          </w:p>
        </w:tc>
        <w:tc>
          <w:tcPr>
            <w:tcW w:w="854"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分配的合理性</w:t>
            </w:r>
          </w:p>
        </w:tc>
        <w:tc>
          <w:tcPr>
            <w:tcW w:w="5753"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项目预算资金分配是否有测算依据，与项目单位或地方实际是否相适应；根据需要制定的相关资金管理办法；管理办法中有明确资金分配办法；资金分配因素全面、合理。</w:t>
            </w:r>
          </w:p>
        </w:tc>
        <w:tc>
          <w:tcPr>
            <w:tcW w:w="638"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4973" w:type="dxa"/>
            <w:tcBorders>
              <w:top w:val="nil"/>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①预算资金分配依据充分（1分）；                                                                                                                                 ②资金分配额度合理，与项目单位或地方实际相适应 （1分）。                 此项需提供相应的资金分配方案。</w:t>
            </w:r>
          </w:p>
        </w:tc>
        <w:tc>
          <w:tcPr>
            <w:tcW w:w="57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2</w:t>
            </w:r>
          </w:p>
        </w:tc>
      </w:tr>
      <w:tr>
        <w:tblPrEx>
          <w:tblCellMar>
            <w:top w:w="0" w:type="dxa"/>
            <w:left w:w="108" w:type="dxa"/>
            <w:bottom w:w="0" w:type="dxa"/>
            <w:right w:w="108" w:type="dxa"/>
          </w:tblCellMar>
        </w:tblPrEx>
        <w:trPr>
          <w:trHeight w:val="1270" w:hRule="atLeast"/>
        </w:trPr>
        <w:tc>
          <w:tcPr>
            <w:tcW w:w="668"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管理</w:t>
            </w:r>
          </w:p>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（16分）</w:t>
            </w:r>
          </w:p>
        </w:tc>
        <w:tc>
          <w:tcPr>
            <w:tcW w:w="756"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w:t>
            </w:r>
          </w:p>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管理</w:t>
            </w:r>
          </w:p>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（9分）</w:t>
            </w:r>
          </w:p>
        </w:tc>
        <w:tc>
          <w:tcPr>
            <w:tcW w:w="854"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资金到位率</w:t>
            </w:r>
          </w:p>
        </w:tc>
        <w:tc>
          <w:tcPr>
            <w:tcW w:w="5753"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资金到位率=（实际到位资金/计划投入资金）×100%。                                                              实际到位资金：一定时期（本年度或项目期）内落实到具体项目的资金。                                                       预算资金：一定时期（本年度或项目期）内预算安排到具体项目的资金。</w:t>
            </w:r>
          </w:p>
        </w:tc>
        <w:tc>
          <w:tcPr>
            <w:tcW w:w="638"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973" w:type="dxa"/>
            <w:tcBorders>
              <w:top w:val="nil"/>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根据项目资金的实际到位率计算得分（1分）</w:t>
            </w:r>
          </w:p>
        </w:tc>
        <w:tc>
          <w:tcPr>
            <w:tcW w:w="57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1</w:t>
            </w:r>
          </w:p>
        </w:tc>
      </w:tr>
      <w:tr>
        <w:tblPrEx>
          <w:tblCellMar>
            <w:top w:w="0" w:type="dxa"/>
            <w:left w:w="108" w:type="dxa"/>
            <w:bottom w:w="0" w:type="dxa"/>
            <w:right w:w="108" w:type="dxa"/>
          </w:tblCellMar>
        </w:tblPrEx>
        <w:trPr>
          <w:trHeight w:val="935" w:hRule="atLeast"/>
        </w:trPr>
        <w:tc>
          <w:tcPr>
            <w:tcW w:w="668" w:type="dxa"/>
            <w:vMerge w:val="restart"/>
            <w:tcBorders>
              <w:top w:val="nil"/>
              <w:left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管理</w:t>
            </w:r>
          </w:p>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（16分）</w:t>
            </w:r>
          </w:p>
        </w:tc>
        <w:tc>
          <w:tcPr>
            <w:tcW w:w="756" w:type="dxa"/>
            <w:vMerge w:val="restart"/>
            <w:tcBorders>
              <w:top w:val="nil"/>
              <w:left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w:t>
            </w:r>
          </w:p>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管理</w:t>
            </w:r>
          </w:p>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（9分）</w:t>
            </w:r>
          </w:p>
        </w:tc>
        <w:tc>
          <w:tcPr>
            <w:tcW w:w="854"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预算执行率</w:t>
            </w:r>
          </w:p>
        </w:tc>
        <w:tc>
          <w:tcPr>
            <w:tcW w:w="5753"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用以反映项目预算执行的进度：预算执行率=实际支出数/预算数。                                      实际支出资金：一定时期（本年度或项目期）内项目实际拨付的资金。</w:t>
            </w:r>
          </w:p>
        </w:tc>
        <w:tc>
          <w:tcPr>
            <w:tcW w:w="638"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4973" w:type="dxa"/>
            <w:tcBorders>
              <w:top w:val="nil"/>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根据项目资金的预算执行率计算得分（2分）</w:t>
            </w:r>
          </w:p>
        </w:tc>
        <w:tc>
          <w:tcPr>
            <w:tcW w:w="57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2</w:t>
            </w:r>
          </w:p>
        </w:tc>
      </w:tr>
      <w:tr>
        <w:tblPrEx>
          <w:tblCellMar>
            <w:top w:w="0" w:type="dxa"/>
            <w:left w:w="108" w:type="dxa"/>
            <w:bottom w:w="0" w:type="dxa"/>
            <w:right w:w="108" w:type="dxa"/>
          </w:tblCellMar>
        </w:tblPrEx>
        <w:trPr>
          <w:trHeight w:val="1969" w:hRule="atLeast"/>
        </w:trPr>
        <w:tc>
          <w:tcPr>
            <w:tcW w:w="668" w:type="dxa"/>
            <w:vMerge w:val="continue"/>
            <w:tcBorders>
              <w:left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756" w:type="dxa"/>
            <w:vMerge w:val="continue"/>
            <w:tcBorders>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854"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w:t>
            </w:r>
          </w:p>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使用</w:t>
            </w:r>
          </w:p>
        </w:tc>
        <w:tc>
          <w:tcPr>
            <w:tcW w:w="5753"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用以反映和考核项目资金的规范运行情况：项目资金使用是否符合相关的财务管理制度规定。</w:t>
            </w:r>
          </w:p>
        </w:tc>
        <w:tc>
          <w:tcPr>
            <w:tcW w:w="638"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4973" w:type="dxa"/>
            <w:tcBorders>
              <w:top w:val="nil"/>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①符合国家财经法规和财务管理制度以及有关专项资金管理办法的规定（1分）；                                                                      ②资金的拨付审批程序和手续完整（1分）；                                                                                           ③符合项目预算批复或合同规定的用途（1分）；                                                                                                                                                                    ④无截留、挤占、挪用、无虚列支出（3分）；                                                                                                                                                                                 若评价前已完成项目资金的专项审计，该指标可用审计结论代替。</w:t>
            </w:r>
          </w:p>
        </w:tc>
        <w:tc>
          <w:tcPr>
            <w:tcW w:w="57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5</w:t>
            </w:r>
          </w:p>
        </w:tc>
      </w:tr>
      <w:tr>
        <w:tblPrEx>
          <w:tblCellMar>
            <w:top w:w="0" w:type="dxa"/>
            <w:left w:w="108" w:type="dxa"/>
            <w:bottom w:w="0" w:type="dxa"/>
            <w:right w:w="108" w:type="dxa"/>
          </w:tblCellMar>
        </w:tblPrEx>
        <w:trPr>
          <w:trHeight w:val="743" w:hRule="atLeast"/>
        </w:trPr>
        <w:tc>
          <w:tcPr>
            <w:tcW w:w="668" w:type="dxa"/>
            <w:vMerge w:val="continue"/>
            <w:tcBorders>
              <w:left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756"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组织</w:t>
            </w:r>
          </w:p>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实施</w:t>
            </w:r>
          </w:p>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（7分）</w:t>
            </w:r>
          </w:p>
        </w:tc>
        <w:tc>
          <w:tcPr>
            <w:tcW w:w="854"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制度</w:t>
            </w:r>
          </w:p>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管理</w:t>
            </w:r>
          </w:p>
        </w:tc>
        <w:tc>
          <w:tcPr>
            <w:tcW w:w="5753"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用以反映和考核财务和业务管理制度对项目顺利实施的制度保障情况。</w:t>
            </w:r>
          </w:p>
        </w:tc>
        <w:tc>
          <w:tcPr>
            <w:tcW w:w="638"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4973" w:type="dxa"/>
            <w:tcBorders>
              <w:top w:val="nil"/>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①制定或具有相应的财务和业务管理制度（1分）；                                                                                                                                                         ②财务和业务管理制度合法、合规、完整（1分）。</w:t>
            </w:r>
          </w:p>
        </w:tc>
        <w:tc>
          <w:tcPr>
            <w:tcW w:w="57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1.5</w:t>
            </w:r>
          </w:p>
        </w:tc>
      </w:tr>
      <w:tr>
        <w:tblPrEx>
          <w:tblCellMar>
            <w:top w:w="0" w:type="dxa"/>
            <w:left w:w="108" w:type="dxa"/>
            <w:bottom w:w="0" w:type="dxa"/>
            <w:right w:w="108" w:type="dxa"/>
          </w:tblCellMar>
        </w:tblPrEx>
        <w:trPr>
          <w:trHeight w:val="1339" w:hRule="atLeast"/>
        </w:trPr>
        <w:tc>
          <w:tcPr>
            <w:tcW w:w="668" w:type="dxa"/>
            <w:vMerge w:val="continue"/>
            <w:tcBorders>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75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854"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制度</w:t>
            </w:r>
          </w:p>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执行</w:t>
            </w:r>
          </w:p>
        </w:tc>
        <w:tc>
          <w:tcPr>
            <w:tcW w:w="5753"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用以反映和考核业务管理制度的有效执行和质量控制情况：项目实施是否符合相关业务管理规定，是否为达到项目质量要求而采取了必需的措施。</w:t>
            </w:r>
          </w:p>
        </w:tc>
        <w:tc>
          <w:tcPr>
            <w:tcW w:w="638"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4973" w:type="dxa"/>
            <w:tcBorders>
              <w:top w:val="nil"/>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①按相关法律法规和业务管理规定执行（1分）；                                                                                                                                                      ②项目调整及支出调整手续完备（1分）；                                                                                                                                                                   ③项目合同书、验收报告、技术鉴定等资料规范、齐全（2分）；                                                                                                                                                                      ④项目实施的人员条件、场地设备等是否落实到位（1分）。</w:t>
            </w:r>
          </w:p>
        </w:tc>
        <w:tc>
          <w:tcPr>
            <w:tcW w:w="57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4</w:t>
            </w:r>
          </w:p>
        </w:tc>
      </w:tr>
      <w:tr>
        <w:tblPrEx>
          <w:tblCellMar>
            <w:top w:w="0" w:type="dxa"/>
            <w:left w:w="108" w:type="dxa"/>
            <w:bottom w:w="0" w:type="dxa"/>
            <w:right w:w="108" w:type="dxa"/>
          </w:tblCellMar>
        </w:tblPrEx>
        <w:trPr>
          <w:trHeight w:val="1605" w:hRule="atLeast"/>
        </w:trPr>
        <w:tc>
          <w:tcPr>
            <w:tcW w:w="668" w:type="dxa"/>
            <w:vMerge w:val="restart"/>
            <w:tcBorders>
              <w:top w:val="nil"/>
              <w:left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w:t>
            </w:r>
          </w:p>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（特性指标）（70）</w:t>
            </w:r>
          </w:p>
        </w:tc>
        <w:tc>
          <w:tcPr>
            <w:tcW w:w="756" w:type="dxa"/>
            <w:vMerge w:val="restart"/>
            <w:tcBorders>
              <w:top w:val="nil"/>
              <w:left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产出</w:t>
            </w:r>
          </w:p>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（35分）</w:t>
            </w:r>
          </w:p>
        </w:tc>
        <w:tc>
          <w:tcPr>
            <w:tcW w:w="854"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实际完成率</w:t>
            </w:r>
          </w:p>
        </w:tc>
        <w:tc>
          <w:tcPr>
            <w:tcW w:w="5753"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实际完成率=（实际产出数/计划产出数）×100%。                                                            实际产出数：一定时期（本年度或项目期）内项目实际产出的产品或提供的服务数量。                                                                                         计划产出数：项目绩效目标确定的在一定时期（本年度或项目期）内计划产出的产品或提供的服务数量。</w:t>
            </w:r>
          </w:p>
        </w:tc>
        <w:tc>
          <w:tcPr>
            <w:tcW w:w="638"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4973" w:type="dxa"/>
            <w:tcBorders>
              <w:top w:val="nil"/>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完成绩效目标100%得9分，未完成100%的同比例扣减。</w:t>
            </w:r>
          </w:p>
        </w:tc>
        <w:tc>
          <w:tcPr>
            <w:tcW w:w="57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9</w:t>
            </w:r>
          </w:p>
        </w:tc>
      </w:tr>
      <w:tr>
        <w:tblPrEx>
          <w:tblCellMar>
            <w:top w:w="0" w:type="dxa"/>
            <w:left w:w="108" w:type="dxa"/>
            <w:bottom w:w="0" w:type="dxa"/>
            <w:right w:w="108" w:type="dxa"/>
          </w:tblCellMar>
        </w:tblPrEx>
        <w:trPr>
          <w:trHeight w:val="1688" w:hRule="atLeast"/>
        </w:trPr>
        <w:tc>
          <w:tcPr>
            <w:tcW w:w="668" w:type="dxa"/>
            <w:vMerge w:val="continue"/>
            <w:tcBorders>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756" w:type="dxa"/>
            <w:vMerge w:val="continue"/>
            <w:tcBorders>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854"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质量达标率</w:t>
            </w:r>
          </w:p>
        </w:tc>
        <w:tc>
          <w:tcPr>
            <w:tcW w:w="5753"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质量达标率=（质量达标产出数量/计划完成产出数量）× 100%。                                                                                                                                  质量达标产出数：一定时期（本年度或项目期）内实际达到既定质量标准的产品或服务数量。                                                            既定质量标准是指项目实施单位设立绩效目标时依据计划标准、行业标准、历史标准或其他标准而设定的绩效指标值。  </w:t>
            </w:r>
          </w:p>
        </w:tc>
        <w:tc>
          <w:tcPr>
            <w:tcW w:w="638"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4973" w:type="dxa"/>
            <w:tcBorders>
              <w:top w:val="nil"/>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产出质量达到绩效目标100%得9分，未完成100%的同比例扣减。</w:t>
            </w:r>
          </w:p>
        </w:tc>
        <w:tc>
          <w:tcPr>
            <w:tcW w:w="57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9</w:t>
            </w:r>
          </w:p>
        </w:tc>
      </w:tr>
      <w:tr>
        <w:tblPrEx>
          <w:tblCellMar>
            <w:top w:w="0" w:type="dxa"/>
            <w:left w:w="108" w:type="dxa"/>
            <w:bottom w:w="0" w:type="dxa"/>
            <w:right w:w="108" w:type="dxa"/>
          </w:tblCellMar>
        </w:tblPrEx>
        <w:trPr>
          <w:trHeight w:val="1172" w:hRule="atLeast"/>
        </w:trPr>
        <w:tc>
          <w:tcPr>
            <w:tcW w:w="668" w:type="dxa"/>
            <w:vMerge w:val="restart"/>
            <w:tcBorders>
              <w:top w:val="nil"/>
              <w:left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w:t>
            </w:r>
          </w:p>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（特性指标）（70）</w:t>
            </w:r>
          </w:p>
        </w:tc>
        <w:tc>
          <w:tcPr>
            <w:tcW w:w="756" w:type="dxa"/>
            <w:vMerge w:val="restart"/>
            <w:tcBorders>
              <w:top w:val="nil"/>
              <w:left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产出</w:t>
            </w:r>
          </w:p>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（35分）</w:t>
            </w:r>
          </w:p>
        </w:tc>
        <w:tc>
          <w:tcPr>
            <w:tcW w:w="854"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完成及时性</w:t>
            </w:r>
          </w:p>
        </w:tc>
        <w:tc>
          <w:tcPr>
            <w:tcW w:w="5753"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完成及时率=计划时限内实际完成的项目数量/计划时限内应完成的项目数量×100%。                                                                                                                               实际完成时间：项目实施单位完成该项目实际所耗用的时间。                                                                         计划完成时间：按照项目实施计划或相关规定完成该项目所需的时间。</w:t>
            </w:r>
          </w:p>
        </w:tc>
        <w:tc>
          <w:tcPr>
            <w:tcW w:w="638"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4973" w:type="dxa"/>
            <w:tcBorders>
              <w:top w:val="nil"/>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产出时效达到绩效目标得8分，未完成且无充分理由的扣3分。</w:t>
            </w:r>
          </w:p>
        </w:tc>
        <w:tc>
          <w:tcPr>
            <w:tcW w:w="57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8</w:t>
            </w:r>
          </w:p>
        </w:tc>
      </w:tr>
      <w:tr>
        <w:tblPrEx>
          <w:tblCellMar>
            <w:top w:w="0" w:type="dxa"/>
            <w:left w:w="108" w:type="dxa"/>
            <w:bottom w:w="0" w:type="dxa"/>
            <w:right w:w="108" w:type="dxa"/>
          </w:tblCellMar>
        </w:tblPrEx>
        <w:trPr>
          <w:trHeight w:val="1451" w:hRule="atLeast"/>
        </w:trPr>
        <w:tc>
          <w:tcPr>
            <w:tcW w:w="668" w:type="dxa"/>
            <w:vMerge w:val="continue"/>
            <w:tcBorders>
              <w:left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756" w:type="dxa"/>
            <w:vMerge w:val="continue"/>
            <w:tcBorders>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854"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完成成本（成本节约率）</w:t>
            </w:r>
          </w:p>
        </w:tc>
        <w:tc>
          <w:tcPr>
            <w:tcW w:w="5753"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成本节约率=[（计划成本-实际成本）/计划成本]×100%。                                                        实际成本：项目实施单位如期、保质、保量完成既定工作目标实际所耗费的支出。                                                                                        计划成本：项目实施单位为完成工作目标计划安排的支出，一般以项目预算为参考。</w:t>
            </w:r>
          </w:p>
        </w:tc>
        <w:tc>
          <w:tcPr>
            <w:tcW w:w="638"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4973" w:type="dxa"/>
            <w:tcBorders>
              <w:top w:val="nil"/>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产出成本按绩效目标控制得9分，未完成的，按超支比例扣减。</w:t>
            </w:r>
          </w:p>
        </w:tc>
        <w:tc>
          <w:tcPr>
            <w:tcW w:w="57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9</w:t>
            </w:r>
          </w:p>
        </w:tc>
      </w:tr>
      <w:tr>
        <w:tblPrEx>
          <w:tblCellMar>
            <w:top w:w="0" w:type="dxa"/>
            <w:left w:w="108" w:type="dxa"/>
            <w:bottom w:w="0" w:type="dxa"/>
            <w:right w:w="108" w:type="dxa"/>
          </w:tblCellMar>
        </w:tblPrEx>
        <w:trPr>
          <w:trHeight w:val="990" w:hRule="atLeast"/>
        </w:trPr>
        <w:tc>
          <w:tcPr>
            <w:tcW w:w="668" w:type="dxa"/>
            <w:vMerge w:val="continue"/>
            <w:tcBorders>
              <w:left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756" w:type="dxa"/>
            <w:tcBorders>
              <w:top w:val="nil"/>
              <w:left w:val="nil"/>
              <w:bottom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p>
            <w:pPr>
              <w:spacing w:line="0" w:lineRule="atLeast"/>
              <w:ind w:left="-105" w:leftChars="-50" w:right="-105" w:rightChars="-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效益</w:t>
            </w:r>
          </w:p>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（30分）</w:t>
            </w:r>
          </w:p>
        </w:tc>
        <w:tc>
          <w:tcPr>
            <w:tcW w:w="854" w:type="dxa"/>
            <w:tcBorders>
              <w:top w:val="nil"/>
              <w:left w:val="nil"/>
              <w:bottom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社会效益（可选项）</w:t>
            </w:r>
          </w:p>
        </w:tc>
        <w:tc>
          <w:tcPr>
            <w:tcW w:w="5753"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反映相关产出对社会发展带来的影响和效果，根据项目实际细化具体指标。重点考核撬动率、贡献率、达标率、就业率等指标。</w:t>
            </w:r>
          </w:p>
        </w:tc>
        <w:tc>
          <w:tcPr>
            <w:tcW w:w="638"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c>
          <w:tcPr>
            <w:tcW w:w="4973" w:type="dxa"/>
            <w:tcBorders>
              <w:top w:val="nil"/>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完成绩效目标设定的社会效益得7分，未完成的，按完成情况酌情扣分。</w:t>
            </w:r>
          </w:p>
        </w:tc>
        <w:tc>
          <w:tcPr>
            <w:tcW w:w="57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30</w:t>
            </w:r>
          </w:p>
        </w:tc>
      </w:tr>
      <w:tr>
        <w:tblPrEx>
          <w:tblCellMar>
            <w:top w:w="0" w:type="dxa"/>
            <w:left w:w="108" w:type="dxa"/>
            <w:bottom w:w="0" w:type="dxa"/>
            <w:right w:w="108" w:type="dxa"/>
          </w:tblCellMar>
        </w:tblPrEx>
        <w:trPr>
          <w:trHeight w:val="933" w:hRule="atLeast"/>
        </w:trPr>
        <w:tc>
          <w:tcPr>
            <w:tcW w:w="668" w:type="dxa"/>
            <w:vMerge w:val="continue"/>
            <w:tcBorders>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756" w:type="dxa"/>
            <w:tcBorders>
              <w:top w:val="nil"/>
              <w:left w:val="nil"/>
              <w:bottom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满意度              （5分）</w:t>
            </w:r>
          </w:p>
        </w:tc>
        <w:tc>
          <w:tcPr>
            <w:tcW w:w="854" w:type="dxa"/>
            <w:tcBorders>
              <w:top w:val="nil"/>
              <w:left w:val="nil"/>
              <w:bottom w:val="single" w:color="auto" w:sz="4" w:space="0"/>
              <w:right w:val="single" w:color="auto" w:sz="4" w:space="0"/>
            </w:tcBorders>
            <w:shd w:val="clear" w:color="auto" w:fill="auto"/>
            <w:noWrap w:val="0"/>
            <w:vAlign w:val="center"/>
          </w:tcPr>
          <w:p>
            <w:pPr>
              <w:spacing w:line="0" w:lineRule="atLeast"/>
              <w:ind w:left="-105" w:leftChars="-50" w:right="-105" w:rightChars="-5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服务对象满意度</w:t>
            </w:r>
          </w:p>
        </w:tc>
        <w:tc>
          <w:tcPr>
            <w:tcW w:w="5753"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满意率反映服务对象或项目受益人对相关产出及其影响的认可程度，根据项目实际细化具体指标。重点考核满意率等指标。</w:t>
            </w:r>
          </w:p>
        </w:tc>
        <w:tc>
          <w:tcPr>
            <w:tcW w:w="638"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4973" w:type="dxa"/>
            <w:tcBorders>
              <w:top w:val="nil"/>
              <w:left w:val="nil"/>
              <w:bottom w:val="single" w:color="auto" w:sz="4" w:space="0"/>
              <w:right w:val="single" w:color="auto" w:sz="4" w:space="0"/>
            </w:tcBorders>
            <w:shd w:val="clear" w:color="auto" w:fill="auto"/>
            <w:noWrap w:val="0"/>
            <w:vAlign w:val="center"/>
          </w:tcPr>
          <w:p>
            <w:pPr>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满意率达90%（含）以上的得5分；80%（含）-89%得4分；70%（含）-79%得3分；60%（含）-69%得2分；60%以下不得分。</w:t>
            </w:r>
          </w:p>
        </w:tc>
        <w:tc>
          <w:tcPr>
            <w:tcW w:w="57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5</w:t>
            </w:r>
          </w:p>
        </w:tc>
      </w:tr>
      <w:tr>
        <w:tblPrEx>
          <w:tblCellMar>
            <w:top w:w="0" w:type="dxa"/>
            <w:left w:w="108" w:type="dxa"/>
            <w:bottom w:w="0" w:type="dxa"/>
            <w:right w:w="108" w:type="dxa"/>
          </w:tblCellMar>
        </w:tblPrEx>
        <w:trPr>
          <w:trHeight w:val="668" w:hRule="atLeast"/>
        </w:trPr>
        <w:tc>
          <w:tcPr>
            <w:tcW w:w="8031"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分值</w:t>
            </w:r>
          </w:p>
        </w:tc>
        <w:tc>
          <w:tcPr>
            <w:tcW w:w="638"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100</w:t>
            </w:r>
          </w:p>
        </w:tc>
        <w:tc>
          <w:tcPr>
            <w:tcW w:w="4973"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自评得分</w:t>
            </w:r>
          </w:p>
        </w:tc>
        <w:tc>
          <w:tcPr>
            <w:tcW w:w="576"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93.5</w:t>
            </w:r>
          </w:p>
        </w:tc>
      </w:tr>
      <w:tr>
        <w:tblPrEx>
          <w:tblCellMar>
            <w:top w:w="0" w:type="dxa"/>
            <w:left w:w="108" w:type="dxa"/>
            <w:bottom w:w="0" w:type="dxa"/>
            <w:right w:w="108" w:type="dxa"/>
          </w:tblCellMar>
        </w:tblPrEx>
        <w:trPr>
          <w:trHeight w:val="540" w:hRule="atLeast"/>
        </w:trPr>
        <w:tc>
          <w:tcPr>
            <w:tcW w:w="2556"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自评等级</w:t>
            </w:r>
          </w:p>
        </w:tc>
        <w:tc>
          <w:tcPr>
            <w:tcW w:w="11662" w:type="dxa"/>
            <w:gridSpan w:val="4"/>
            <w:tcBorders>
              <w:top w:val="single" w:color="auto" w:sz="4" w:space="0"/>
              <w:left w:val="nil"/>
              <w:bottom w:val="single" w:color="auto" w:sz="4" w:space="0"/>
              <w:right w:val="single" w:color="auto" w:sz="4" w:space="0"/>
            </w:tcBorders>
            <w:shd w:val="clear" w:color="auto" w:fill="auto"/>
            <w:noWrap w:val="0"/>
            <w:vAlign w:val="center"/>
          </w:tcPr>
          <w:p>
            <w:pPr>
              <w:spacing w:line="0" w:lineRule="atLeast"/>
              <w:jc w:val="cente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自评结果：■优秀（90≤得分≤100）；   □良好（80≤得分＜89）；   □及格（60≤得分＜79）；   □不及格（低于60分）</w:t>
            </w:r>
          </w:p>
        </w:tc>
      </w:tr>
    </w:tbl>
    <w:p>
      <w:pPr>
        <w:spacing w:line="240" w:lineRule="auto"/>
        <w:jc w:val="center"/>
        <w:outlineLvl w:val="0"/>
        <w:rPr>
          <w:rStyle w:val="19"/>
          <w:rFonts w:hint="eastAsia" w:ascii="黑体" w:hAnsi="黑体" w:eastAsia="黑体"/>
          <w:b w:val="0"/>
        </w:rPr>
      </w:pPr>
      <w:bookmarkStart w:id="53" w:name="_Toc15396618"/>
      <w:r>
        <w:rPr>
          <w:rFonts w:hint="eastAsia" w:ascii="黑体" w:hAnsi="黑体" w:eastAsia="黑体"/>
          <w:sz w:val="44"/>
          <w:szCs w:val="44"/>
        </w:rPr>
        <w:t>第</w:t>
      </w:r>
      <w:r>
        <w:rPr>
          <w:rStyle w:val="19"/>
          <w:rFonts w:hint="eastAsia" w:ascii="黑体" w:hAnsi="黑体" w:eastAsia="黑体"/>
          <w:b w:val="0"/>
        </w:rPr>
        <w:t>五部分</w:t>
      </w:r>
      <w:r>
        <w:rPr>
          <w:rStyle w:val="19"/>
          <w:rFonts w:ascii="黑体" w:hAnsi="黑体" w:eastAsia="黑体"/>
          <w:b w:val="0"/>
        </w:rPr>
        <w:t xml:space="preserve"> </w:t>
      </w:r>
      <w:r>
        <w:rPr>
          <w:rStyle w:val="19"/>
          <w:rFonts w:hint="eastAsia" w:ascii="黑体" w:hAnsi="黑体" w:eastAsia="黑体"/>
          <w:b w:val="0"/>
        </w:rPr>
        <w:t>附表</w:t>
      </w:r>
      <w:bookmarkEnd w:id="51"/>
      <w:bookmarkEnd w:id="53"/>
      <w:bookmarkStart w:id="54" w:name="_Toc15396619"/>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Times New Roman"/>
          <w:b w:val="0"/>
          <w:bCs/>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Times New Roman"/>
          <w:b w:val="0"/>
          <w:bCs/>
          <w:kern w:val="2"/>
          <w:sz w:val="32"/>
          <w:szCs w:val="32"/>
          <w:lang w:val="en-US" w:eastAsia="zh-CN" w:bidi="ar-SA"/>
        </w:rPr>
      </w:pPr>
      <w:r>
        <w:rPr>
          <w:rFonts w:hint="eastAsia" w:ascii="仿宋" w:hAnsi="仿宋" w:eastAsia="仿宋" w:cs="Times New Roman"/>
          <w:b w:val="0"/>
          <w:bCs/>
          <w:kern w:val="2"/>
          <w:sz w:val="32"/>
          <w:szCs w:val="32"/>
          <w:lang w:val="en-US" w:eastAsia="zh-CN" w:bidi="ar-SA"/>
        </w:rPr>
        <w:t>一、收入支出决算总表</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Times New Roman"/>
          <w:b w:val="0"/>
          <w:bCs/>
          <w:kern w:val="2"/>
          <w:sz w:val="32"/>
          <w:szCs w:val="32"/>
          <w:lang w:val="en-US" w:eastAsia="zh-CN" w:bidi="ar-SA"/>
        </w:rPr>
      </w:pPr>
      <w:r>
        <w:rPr>
          <w:rFonts w:hint="eastAsia" w:ascii="仿宋" w:hAnsi="仿宋" w:eastAsia="仿宋" w:cs="Times New Roman"/>
          <w:b w:val="0"/>
          <w:bCs/>
          <w:kern w:val="2"/>
          <w:sz w:val="32"/>
          <w:szCs w:val="32"/>
          <w:lang w:val="en-US" w:eastAsia="zh-CN" w:bidi="ar-SA"/>
        </w:rPr>
        <w:t>二、收入决算表</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Times New Roman"/>
          <w:b w:val="0"/>
          <w:bCs/>
          <w:kern w:val="2"/>
          <w:sz w:val="32"/>
          <w:szCs w:val="32"/>
          <w:lang w:val="en-US" w:eastAsia="zh-CN" w:bidi="ar-SA"/>
        </w:rPr>
      </w:pPr>
      <w:r>
        <w:rPr>
          <w:rFonts w:hint="eastAsia" w:ascii="仿宋" w:hAnsi="仿宋" w:eastAsia="仿宋" w:cs="Times New Roman"/>
          <w:b w:val="0"/>
          <w:bCs/>
          <w:kern w:val="2"/>
          <w:sz w:val="32"/>
          <w:szCs w:val="32"/>
          <w:lang w:val="en-US" w:eastAsia="zh-CN" w:bidi="ar-SA"/>
        </w:rPr>
        <w:t>三、支出决算表</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Times New Roman"/>
          <w:b w:val="0"/>
          <w:bCs/>
          <w:kern w:val="2"/>
          <w:sz w:val="32"/>
          <w:szCs w:val="32"/>
          <w:lang w:val="en-US" w:eastAsia="zh-CN" w:bidi="ar-SA"/>
        </w:rPr>
      </w:pPr>
      <w:r>
        <w:rPr>
          <w:rFonts w:hint="eastAsia" w:ascii="仿宋" w:hAnsi="仿宋" w:eastAsia="仿宋" w:cs="Times New Roman"/>
          <w:b w:val="0"/>
          <w:bCs/>
          <w:kern w:val="2"/>
          <w:sz w:val="32"/>
          <w:szCs w:val="32"/>
          <w:lang w:val="en-US" w:eastAsia="zh-CN" w:bidi="ar-SA"/>
        </w:rPr>
        <w:t>四、财政拨款收入支出决算总表</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Times New Roman"/>
          <w:b w:val="0"/>
          <w:bCs/>
          <w:kern w:val="2"/>
          <w:sz w:val="32"/>
          <w:szCs w:val="32"/>
          <w:lang w:val="en-US" w:eastAsia="zh-CN" w:bidi="ar-SA"/>
        </w:rPr>
      </w:pPr>
      <w:r>
        <w:rPr>
          <w:rFonts w:hint="eastAsia" w:ascii="仿宋" w:hAnsi="仿宋" w:eastAsia="仿宋" w:cs="Times New Roman"/>
          <w:b w:val="0"/>
          <w:bCs/>
          <w:kern w:val="2"/>
          <w:sz w:val="32"/>
          <w:szCs w:val="32"/>
          <w:lang w:val="en-US" w:eastAsia="zh-CN" w:bidi="ar-SA"/>
        </w:rPr>
        <w:t>五、财政拨款支出决算明细表</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Times New Roman"/>
          <w:b w:val="0"/>
          <w:bCs/>
          <w:kern w:val="2"/>
          <w:sz w:val="32"/>
          <w:szCs w:val="32"/>
          <w:lang w:val="en-US" w:eastAsia="zh-CN" w:bidi="ar-SA"/>
        </w:rPr>
      </w:pPr>
      <w:r>
        <w:rPr>
          <w:rFonts w:hint="eastAsia" w:ascii="仿宋" w:hAnsi="仿宋" w:eastAsia="仿宋" w:cs="Times New Roman"/>
          <w:b w:val="0"/>
          <w:bCs/>
          <w:kern w:val="2"/>
          <w:sz w:val="32"/>
          <w:szCs w:val="32"/>
          <w:lang w:val="en-US" w:eastAsia="zh-CN" w:bidi="ar-SA"/>
        </w:rPr>
        <w:t>六、一般公共预算财政拨款支出决算表</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Times New Roman"/>
          <w:b w:val="0"/>
          <w:bCs/>
          <w:kern w:val="2"/>
          <w:sz w:val="32"/>
          <w:szCs w:val="32"/>
          <w:lang w:val="en-US" w:eastAsia="zh-CN" w:bidi="ar-SA"/>
        </w:rPr>
      </w:pPr>
      <w:r>
        <w:rPr>
          <w:rFonts w:hint="eastAsia" w:ascii="仿宋" w:hAnsi="仿宋" w:eastAsia="仿宋" w:cs="Times New Roman"/>
          <w:b w:val="0"/>
          <w:bCs/>
          <w:kern w:val="2"/>
          <w:sz w:val="32"/>
          <w:szCs w:val="32"/>
          <w:lang w:val="en-US" w:eastAsia="zh-CN" w:bidi="ar-SA"/>
        </w:rPr>
        <w:t>七、一般公共预算财政拨款支出决算明细表</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Times New Roman"/>
          <w:b w:val="0"/>
          <w:bCs/>
          <w:kern w:val="2"/>
          <w:sz w:val="32"/>
          <w:szCs w:val="32"/>
          <w:lang w:val="en-US" w:eastAsia="zh-CN" w:bidi="ar-SA"/>
        </w:rPr>
      </w:pPr>
      <w:r>
        <w:rPr>
          <w:rFonts w:hint="eastAsia" w:ascii="仿宋" w:hAnsi="仿宋" w:eastAsia="仿宋" w:cs="Times New Roman"/>
          <w:b w:val="0"/>
          <w:bCs/>
          <w:kern w:val="2"/>
          <w:sz w:val="32"/>
          <w:szCs w:val="32"/>
          <w:lang w:val="en-US" w:eastAsia="zh-CN" w:bidi="ar-SA"/>
        </w:rPr>
        <w:t>八、一般公共预算财政拨款基本支出决算表</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Times New Roman"/>
          <w:b w:val="0"/>
          <w:bCs/>
          <w:kern w:val="2"/>
          <w:sz w:val="32"/>
          <w:szCs w:val="32"/>
          <w:lang w:val="en-US" w:eastAsia="zh-CN" w:bidi="ar-SA"/>
        </w:rPr>
      </w:pPr>
      <w:r>
        <w:rPr>
          <w:rFonts w:hint="eastAsia" w:ascii="仿宋" w:hAnsi="仿宋" w:eastAsia="仿宋" w:cs="Times New Roman"/>
          <w:b w:val="0"/>
          <w:bCs/>
          <w:kern w:val="2"/>
          <w:sz w:val="32"/>
          <w:szCs w:val="32"/>
          <w:lang w:val="en-US" w:eastAsia="zh-CN" w:bidi="ar-SA"/>
        </w:rPr>
        <w:t>九、一般公共预算财政拨款项目支出决算表</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Times New Roman"/>
          <w:b w:val="0"/>
          <w:bCs/>
          <w:kern w:val="2"/>
          <w:sz w:val="32"/>
          <w:szCs w:val="32"/>
          <w:lang w:val="en-US" w:eastAsia="zh-CN" w:bidi="ar-SA"/>
        </w:rPr>
      </w:pPr>
      <w:r>
        <w:rPr>
          <w:rFonts w:hint="eastAsia" w:ascii="仿宋" w:hAnsi="仿宋" w:eastAsia="仿宋" w:cs="Times New Roman"/>
          <w:b w:val="0"/>
          <w:bCs/>
          <w:kern w:val="2"/>
          <w:sz w:val="32"/>
          <w:szCs w:val="32"/>
          <w:lang w:val="en-US" w:eastAsia="zh-CN" w:bidi="ar-SA"/>
        </w:rPr>
        <w:t>十、一般公共预算财政拨款“三公”经费支出决算表</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Times New Roman"/>
          <w:b w:val="0"/>
          <w:bCs/>
          <w:kern w:val="2"/>
          <w:sz w:val="32"/>
          <w:szCs w:val="32"/>
          <w:lang w:val="en-US" w:eastAsia="zh-CN" w:bidi="ar-SA"/>
        </w:rPr>
      </w:pPr>
      <w:r>
        <w:rPr>
          <w:rFonts w:hint="eastAsia" w:ascii="仿宋" w:hAnsi="仿宋" w:eastAsia="仿宋" w:cs="Times New Roman"/>
          <w:b w:val="0"/>
          <w:bCs/>
          <w:kern w:val="2"/>
          <w:sz w:val="32"/>
          <w:szCs w:val="32"/>
          <w:lang w:val="en-US" w:eastAsia="zh-CN" w:bidi="ar-SA"/>
        </w:rPr>
        <w:t>十一、政府性基金预算财政拨款收入支出决算表</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Times New Roman"/>
          <w:b w:val="0"/>
          <w:bCs/>
          <w:kern w:val="2"/>
          <w:sz w:val="32"/>
          <w:szCs w:val="32"/>
          <w:lang w:val="en-US" w:eastAsia="zh-CN" w:bidi="ar-SA"/>
        </w:rPr>
      </w:pPr>
      <w:r>
        <w:rPr>
          <w:rFonts w:hint="eastAsia" w:ascii="仿宋" w:hAnsi="仿宋" w:eastAsia="仿宋" w:cs="Times New Roman"/>
          <w:b w:val="0"/>
          <w:bCs/>
          <w:kern w:val="2"/>
          <w:sz w:val="32"/>
          <w:szCs w:val="32"/>
          <w:lang w:val="en-US" w:eastAsia="zh-CN" w:bidi="ar-SA"/>
        </w:rPr>
        <w:t>十二、政府性基金预算财政拨款“三公”经费支出决算表</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Times New Roman"/>
          <w:b w:val="0"/>
          <w:bCs/>
          <w:kern w:val="2"/>
          <w:sz w:val="32"/>
          <w:szCs w:val="32"/>
          <w:lang w:val="en-US" w:eastAsia="zh-CN" w:bidi="ar-SA"/>
        </w:rPr>
      </w:pPr>
      <w:r>
        <w:rPr>
          <w:rFonts w:hint="eastAsia" w:ascii="仿宋" w:hAnsi="仿宋" w:eastAsia="仿宋" w:cs="Times New Roman"/>
          <w:b w:val="0"/>
          <w:bCs/>
          <w:kern w:val="2"/>
          <w:sz w:val="32"/>
          <w:szCs w:val="32"/>
          <w:lang w:val="en-US" w:eastAsia="zh-CN" w:bidi="ar-SA"/>
        </w:rPr>
        <w:t>十三、国有资本经营预算财政拨款收入支出决算表</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Times New Roman"/>
          <w:b w:val="0"/>
          <w:bCs/>
          <w:kern w:val="2"/>
          <w:sz w:val="32"/>
          <w:szCs w:val="32"/>
          <w:lang w:val="en-US" w:eastAsia="zh-CN" w:bidi="ar-SA"/>
        </w:rPr>
      </w:pPr>
      <w:r>
        <w:rPr>
          <w:rFonts w:hint="eastAsia" w:ascii="仿宋" w:hAnsi="仿宋" w:eastAsia="仿宋" w:cs="Times New Roman"/>
          <w:b w:val="0"/>
          <w:bCs/>
          <w:kern w:val="2"/>
          <w:sz w:val="32"/>
          <w:szCs w:val="32"/>
          <w:lang w:val="en-US" w:eastAsia="zh-CN" w:bidi="ar-SA"/>
        </w:rPr>
        <w:t>十四、国有资本经营预算财政拨款支出决算表</w:t>
      </w:r>
    </w:p>
    <w:bookmarkEnd w:id="54"/>
    <w:p>
      <w:pPr>
        <w:pageBreakBefore w:val="0"/>
        <w:widowControl w:val="0"/>
        <w:kinsoku/>
        <w:wordWrap/>
        <w:overflowPunct/>
        <w:topLinePunct w:val="0"/>
        <w:autoSpaceDE/>
        <w:autoSpaceDN/>
        <w:bidi w:val="0"/>
        <w:adjustRightInd/>
        <w:snapToGrid/>
        <w:spacing w:line="240" w:lineRule="auto"/>
        <w:textAlignment w:val="auto"/>
        <w:rPr>
          <w:rFonts w:eastAsia="仿宋"/>
        </w:rPr>
      </w:pPr>
    </w:p>
    <w:sectPr>
      <w:headerReference r:id="rId30" w:type="default"/>
      <w:footerReference r:id="rId31" w:type="default"/>
      <w:pgSz w:w="16838" w:h="11905" w:orient="landscape"/>
      <w:pgMar w:top="1587" w:right="2098" w:bottom="1474" w:left="1984" w:header="851" w:footer="1474" w:gutter="0"/>
      <w:pgNumType w:fmt="decimal"/>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等线">
    <w:altName w:val="仿宋_GB2312"/>
    <w:panose1 w:val="00000000000000000000"/>
    <w:charset w:val="00"/>
    <w:family w:val="auto"/>
    <w:pitch w:val="default"/>
    <w:sig w:usb0="00000000" w:usb1="00000000" w:usb2="00000010" w:usb3="00000000" w:csb0="00040000" w:csb1="00000000"/>
  </w:font>
  <w:font w:name="??">
    <w:altName w:val="Mangal"/>
    <w:panose1 w:val="00000000000000000000"/>
    <w:charset w:val="00"/>
    <w:family w:val="auto"/>
    <w:pitch w:val="default"/>
    <w:sig w:usb0="00000000" w:usb1="00000000" w:usb2="00000000" w:usb3="00000000" w:csb0="00000001" w:csb1="00000000"/>
  </w:font>
  <w:font w:name="????">
    <w:altName w:val="Mangal"/>
    <w:panose1 w:val="00000000000000000000"/>
    <w:charset w:val="00"/>
    <w:family w:val="swiss"/>
    <w:pitch w:val="default"/>
    <w:sig w:usb0="00000000" w:usb1="00000000" w:usb2="00000000" w:usb3="00000000" w:csb0="00000001" w:csb1="00000000"/>
  </w:font>
  <w:font w:name="方正大标宋_GBK">
    <w:panose1 w:val="03000509000000000000"/>
    <w:charset w:val="86"/>
    <w:family w:val="roman"/>
    <w:pitch w:val="default"/>
    <w:sig w:usb0="00000001" w:usb1="080E0000" w:usb2="00000000" w:usb3="00000000" w:csb0="00040000" w:csb1="00000000"/>
  </w:font>
  <w:font w:name="东文宋体">
    <w:altName w:val="宋体"/>
    <w:panose1 w:val="00000000000000000000"/>
    <w:charset w:val="00"/>
    <w:family w:val="roman"/>
    <w:pitch w:val="default"/>
    <w:sig w:usb0="00000000" w:usb1="00000000" w:usb2="00000010" w:usb3="00000000" w:csb0="00040000" w:csb1="00000000"/>
  </w:font>
  <w:font w:name="Lucida Sans">
    <w:panose1 w:val="020B0602030504020204"/>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Style w:val="17"/>
                              <w:rFonts w:ascii="宋体" w:hAnsi="宋体"/>
                              <w:sz w:val="28"/>
                              <w:szCs w:val="28"/>
                            </w:rPr>
                          </w:pPr>
                        </w:p>
                        <w:p>
                          <w:pPr>
                            <w:pStyle w:val="2"/>
                            <w:rPr>
                              <w:rStyle w:val="17"/>
                              <w:rFonts w:ascii="宋体"/>
                              <w:sz w:val="28"/>
                              <w:szCs w:val="28"/>
                            </w:rPr>
                          </w:pPr>
                          <w:r>
                            <w:rPr>
                              <w:rStyle w:val="17"/>
                              <w:rFonts w:ascii="宋体" w:hAnsi="宋体"/>
                              <w:sz w:val="28"/>
                              <w:szCs w:val="28"/>
                            </w:rPr>
                            <w:t xml:space="preserve">— </w:t>
                          </w:r>
                          <w:r>
                            <w:rPr>
                              <w:rStyle w:val="17"/>
                              <w:rFonts w:ascii="宋体" w:hAnsi="宋体"/>
                              <w:sz w:val="28"/>
                              <w:szCs w:val="28"/>
                            </w:rPr>
                            <w:fldChar w:fldCharType="begin"/>
                          </w:r>
                          <w:r>
                            <w:rPr>
                              <w:rStyle w:val="17"/>
                              <w:rFonts w:ascii="宋体" w:hAnsi="宋体"/>
                              <w:sz w:val="28"/>
                              <w:szCs w:val="28"/>
                            </w:rPr>
                            <w:instrText xml:space="preserve">PAGE  </w:instrText>
                          </w:r>
                          <w:r>
                            <w:rPr>
                              <w:rStyle w:val="17"/>
                              <w:rFonts w:ascii="宋体" w:hAnsi="宋体"/>
                              <w:sz w:val="28"/>
                              <w:szCs w:val="28"/>
                            </w:rPr>
                            <w:fldChar w:fldCharType="separate"/>
                          </w:r>
                          <w:r>
                            <w:rPr>
                              <w:rStyle w:val="17"/>
                              <w:rFonts w:ascii="宋体" w:hAnsi="宋体"/>
                              <w:sz w:val="28"/>
                              <w:szCs w:val="28"/>
                            </w:rPr>
                            <w:t>1</w:t>
                          </w:r>
                          <w:r>
                            <w:rPr>
                              <w:rStyle w:val="17"/>
                              <w:rFonts w:ascii="宋体" w:hAnsi="宋体"/>
                              <w:sz w:val="28"/>
                              <w:szCs w:val="28"/>
                            </w:rPr>
                            <w:fldChar w:fldCharType="end"/>
                          </w:r>
                          <w:r>
                            <w:rPr>
                              <w:rStyle w:val="17"/>
                              <w:rFonts w:ascii="宋体" w:hAnsi="宋体"/>
                              <w:sz w:val="28"/>
                              <w:szCs w:val="28"/>
                            </w:rPr>
                            <w:t xml:space="preserve"> —</w:t>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2"/>
                      <w:rPr>
                        <w:rStyle w:val="17"/>
                        <w:rFonts w:ascii="宋体" w:hAnsi="宋体"/>
                        <w:sz w:val="28"/>
                        <w:szCs w:val="28"/>
                      </w:rPr>
                    </w:pPr>
                  </w:p>
                  <w:p>
                    <w:pPr>
                      <w:pStyle w:val="2"/>
                      <w:rPr>
                        <w:rStyle w:val="17"/>
                        <w:rFonts w:ascii="宋体"/>
                        <w:sz w:val="28"/>
                        <w:szCs w:val="28"/>
                      </w:rPr>
                    </w:pPr>
                    <w:r>
                      <w:rPr>
                        <w:rStyle w:val="17"/>
                        <w:rFonts w:ascii="宋体" w:hAnsi="宋体"/>
                        <w:sz w:val="28"/>
                        <w:szCs w:val="28"/>
                      </w:rPr>
                      <w:t xml:space="preserve">— </w:t>
                    </w:r>
                    <w:r>
                      <w:rPr>
                        <w:rStyle w:val="17"/>
                        <w:rFonts w:ascii="宋体" w:hAnsi="宋体"/>
                        <w:sz w:val="28"/>
                        <w:szCs w:val="28"/>
                      </w:rPr>
                      <w:fldChar w:fldCharType="begin"/>
                    </w:r>
                    <w:r>
                      <w:rPr>
                        <w:rStyle w:val="17"/>
                        <w:rFonts w:ascii="宋体" w:hAnsi="宋体"/>
                        <w:sz w:val="28"/>
                        <w:szCs w:val="28"/>
                      </w:rPr>
                      <w:instrText xml:space="preserve">PAGE  </w:instrText>
                    </w:r>
                    <w:r>
                      <w:rPr>
                        <w:rStyle w:val="17"/>
                        <w:rFonts w:ascii="宋体" w:hAnsi="宋体"/>
                        <w:sz w:val="28"/>
                        <w:szCs w:val="28"/>
                      </w:rPr>
                      <w:fldChar w:fldCharType="separate"/>
                    </w:r>
                    <w:r>
                      <w:rPr>
                        <w:rStyle w:val="17"/>
                        <w:rFonts w:ascii="宋体" w:hAnsi="宋体"/>
                        <w:sz w:val="28"/>
                        <w:szCs w:val="28"/>
                      </w:rPr>
                      <w:t>1</w:t>
                    </w:r>
                    <w:r>
                      <w:rPr>
                        <w:rStyle w:val="17"/>
                        <w:rFonts w:ascii="宋体" w:hAnsi="宋体"/>
                        <w:sz w:val="28"/>
                        <w:szCs w:val="28"/>
                      </w:rPr>
                      <w:fldChar w:fldCharType="end"/>
                    </w:r>
                    <w:r>
                      <w:rPr>
                        <w:rStyle w:val="17"/>
                        <w:rFonts w:ascii="宋体" w:hAnsi="宋体"/>
                        <w:sz w:val="28"/>
                        <w:szCs w:val="28"/>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102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Style w:val="17"/>
                              <w:rFonts w:hint="eastAsia" w:ascii="宋体" w:hAnsi="宋体" w:eastAsia="宋体"/>
                              <w:sz w:val="28"/>
                              <w:szCs w:val="28"/>
                            </w:rPr>
                          </w:pPr>
                          <w:r>
                            <w:rPr>
                              <w:rStyle w:val="17"/>
                              <w:rFonts w:hint="eastAsia" w:ascii="宋体" w:hAnsi="宋体" w:eastAsia="宋体"/>
                              <w:sz w:val="28"/>
                              <w:szCs w:val="28"/>
                            </w:rPr>
                            <w:t xml:space="preserve">— </w:t>
                          </w:r>
                          <w:r>
                            <w:rPr>
                              <w:rStyle w:val="17"/>
                              <w:rFonts w:ascii="宋体" w:hAnsi="宋体" w:eastAsia="宋体"/>
                              <w:sz w:val="28"/>
                              <w:szCs w:val="28"/>
                            </w:rPr>
                            <w:fldChar w:fldCharType="begin"/>
                          </w:r>
                          <w:r>
                            <w:rPr>
                              <w:rStyle w:val="17"/>
                              <w:rFonts w:ascii="宋体" w:hAnsi="宋体" w:eastAsia="宋体"/>
                              <w:sz w:val="28"/>
                              <w:szCs w:val="28"/>
                            </w:rPr>
                            <w:instrText xml:space="preserve">PAGE  </w:instrText>
                          </w:r>
                          <w:r>
                            <w:rPr>
                              <w:rStyle w:val="17"/>
                              <w:rFonts w:ascii="宋体" w:hAnsi="宋体" w:eastAsia="宋体"/>
                              <w:sz w:val="28"/>
                              <w:szCs w:val="28"/>
                            </w:rPr>
                            <w:fldChar w:fldCharType="separate"/>
                          </w:r>
                          <w:r>
                            <w:rPr>
                              <w:rStyle w:val="17"/>
                              <w:rFonts w:ascii="宋体" w:hAnsi="宋体" w:eastAsia="宋体"/>
                              <w:sz w:val="28"/>
                              <w:szCs w:val="28"/>
                            </w:rPr>
                            <w:t>8</w:t>
                          </w:r>
                          <w:r>
                            <w:rPr>
                              <w:rStyle w:val="17"/>
                              <w:rFonts w:ascii="宋体" w:hAnsi="宋体" w:eastAsia="宋体"/>
                              <w:sz w:val="28"/>
                              <w:szCs w:val="28"/>
                            </w:rPr>
                            <w:fldChar w:fldCharType="end"/>
                          </w:r>
                          <w:r>
                            <w:rPr>
                              <w:rStyle w:val="17"/>
                              <w:rFonts w:hint="eastAsia" w:ascii="宋体" w:hAnsi="宋体" w:eastAsia="宋体"/>
                              <w:sz w:val="28"/>
                              <w:szCs w:val="28"/>
                            </w:rPr>
                            <w:t xml:space="preserve"> —</w:t>
                          </w:r>
                        </w:p>
                      </w:txbxContent>
                    </wps:txbx>
                    <wps:bodyPr wrap="none" lIns="0" tIns="0" rIns="0" bIns="0" upright="false">
                      <a:spAutoFit/>
                    </wps:bodyPr>
                  </wps:wsp>
                </a:graphicData>
              </a:graphic>
            </wp:anchor>
          </w:drawing>
        </mc:Choice>
        <mc:Fallback>
          <w:pict>
            <v:shape id="文本框 1029"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CiNZ/LcBAABVAwAADgAAAAAAAAABACAAAAA0AQAAZHJzL2Uy&#10;b0RvYy54bWxQSwUGAAAAAAYABgBZAQAAXQUAAAAA&#10;">
              <v:fill on="f" focussize="0,0"/>
              <v:stroke on="f"/>
              <v:imagedata o:title=""/>
              <o:lock v:ext="edit" aspectratio="f"/>
              <v:textbox inset="0mm,0mm,0mm,0mm" style="mso-fit-shape-to-text:t;">
                <w:txbxContent>
                  <w:p>
                    <w:pPr>
                      <w:pStyle w:val="2"/>
                      <w:rPr>
                        <w:rStyle w:val="17"/>
                        <w:rFonts w:hint="eastAsia" w:ascii="宋体" w:hAnsi="宋体" w:eastAsia="宋体"/>
                        <w:sz w:val="28"/>
                        <w:szCs w:val="28"/>
                      </w:rPr>
                    </w:pPr>
                    <w:r>
                      <w:rPr>
                        <w:rStyle w:val="17"/>
                        <w:rFonts w:hint="eastAsia" w:ascii="宋体" w:hAnsi="宋体" w:eastAsia="宋体"/>
                        <w:sz w:val="28"/>
                        <w:szCs w:val="28"/>
                      </w:rPr>
                      <w:t xml:space="preserve">— </w:t>
                    </w:r>
                    <w:r>
                      <w:rPr>
                        <w:rStyle w:val="17"/>
                        <w:rFonts w:ascii="宋体" w:hAnsi="宋体" w:eastAsia="宋体"/>
                        <w:sz w:val="28"/>
                        <w:szCs w:val="28"/>
                      </w:rPr>
                      <w:fldChar w:fldCharType="begin"/>
                    </w:r>
                    <w:r>
                      <w:rPr>
                        <w:rStyle w:val="17"/>
                        <w:rFonts w:ascii="宋体" w:hAnsi="宋体" w:eastAsia="宋体"/>
                        <w:sz w:val="28"/>
                        <w:szCs w:val="28"/>
                      </w:rPr>
                      <w:instrText xml:space="preserve">PAGE  </w:instrText>
                    </w:r>
                    <w:r>
                      <w:rPr>
                        <w:rStyle w:val="17"/>
                        <w:rFonts w:ascii="宋体" w:hAnsi="宋体" w:eastAsia="宋体"/>
                        <w:sz w:val="28"/>
                        <w:szCs w:val="28"/>
                      </w:rPr>
                      <w:fldChar w:fldCharType="separate"/>
                    </w:r>
                    <w:r>
                      <w:rPr>
                        <w:rStyle w:val="17"/>
                        <w:rFonts w:ascii="宋体" w:hAnsi="宋体" w:eastAsia="宋体"/>
                        <w:sz w:val="28"/>
                        <w:szCs w:val="28"/>
                      </w:rPr>
                      <w:t>8</w:t>
                    </w:r>
                    <w:r>
                      <w:rPr>
                        <w:rStyle w:val="17"/>
                        <w:rFonts w:ascii="宋体" w:hAnsi="宋体" w:eastAsia="宋体"/>
                        <w:sz w:val="28"/>
                        <w:szCs w:val="28"/>
                      </w:rPr>
                      <w:fldChar w:fldCharType="end"/>
                    </w:r>
                    <w:r>
                      <w:rPr>
                        <w:rStyle w:val="17"/>
                        <w:rFonts w:hint="eastAsia" w:ascii="宋体" w:hAnsi="宋体" w:eastAsia="宋体"/>
                        <w:sz w:val="28"/>
                        <w:szCs w:val="28"/>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103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Style w:val="17"/>
                              <w:rFonts w:hint="eastAsia" w:ascii="宋体" w:hAnsi="宋体" w:eastAsia="宋体"/>
                              <w:sz w:val="28"/>
                              <w:szCs w:val="28"/>
                            </w:rPr>
                          </w:pPr>
                          <w:r>
                            <w:rPr>
                              <w:rStyle w:val="17"/>
                              <w:rFonts w:hint="eastAsia" w:ascii="宋体" w:hAnsi="宋体" w:eastAsia="宋体"/>
                              <w:sz w:val="28"/>
                              <w:szCs w:val="28"/>
                            </w:rPr>
                            <w:t xml:space="preserve">— </w:t>
                          </w:r>
                          <w:r>
                            <w:rPr>
                              <w:rStyle w:val="17"/>
                              <w:rFonts w:hint="eastAsia" w:ascii="宋体" w:hAnsi="宋体" w:eastAsia="宋体"/>
                              <w:sz w:val="28"/>
                              <w:szCs w:val="28"/>
                            </w:rPr>
                            <w:fldChar w:fldCharType="begin"/>
                          </w:r>
                          <w:r>
                            <w:rPr>
                              <w:rStyle w:val="17"/>
                              <w:rFonts w:hint="eastAsia" w:ascii="宋体" w:hAnsi="宋体" w:eastAsia="宋体"/>
                              <w:sz w:val="28"/>
                              <w:szCs w:val="28"/>
                            </w:rPr>
                            <w:instrText xml:space="preserve">PAGE  </w:instrText>
                          </w:r>
                          <w:r>
                            <w:rPr>
                              <w:rStyle w:val="17"/>
                              <w:rFonts w:hint="eastAsia" w:ascii="宋体" w:hAnsi="宋体" w:eastAsia="宋体"/>
                              <w:sz w:val="28"/>
                              <w:szCs w:val="28"/>
                            </w:rPr>
                            <w:fldChar w:fldCharType="separate"/>
                          </w:r>
                          <w:r>
                            <w:rPr>
                              <w:rStyle w:val="17"/>
                              <w:rFonts w:ascii="宋体" w:hAnsi="宋体" w:eastAsia="宋体"/>
                              <w:sz w:val="28"/>
                              <w:szCs w:val="28"/>
                            </w:rPr>
                            <w:t>9</w:t>
                          </w:r>
                          <w:r>
                            <w:rPr>
                              <w:rStyle w:val="17"/>
                              <w:rFonts w:hint="eastAsia" w:ascii="宋体" w:hAnsi="宋体" w:eastAsia="宋体"/>
                              <w:sz w:val="28"/>
                              <w:szCs w:val="28"/>
                            </w:rPr>
                            <w:fldChar w:fldCharType="end"/>
                          </w:r>
                          <w:r>
                            <w:rPr>
                              <w:rStyle w:val="17"/>
                              <w:rFonts w:hint="eastAsia" w:ascii="宋体" w:hAnsi="宋体" w:eastAsia="宋体"/>
                              <w:sz w:val="28"/>
                              <w:szCs w:val="28"/>
                            </w:rPr>
                            <w:t xml:space="preserve"> —</w:t>
                          </w:r>
                        </w:p>
                      </w:txbxContent>
                    </wps:txbx>
                    <wps:bodyPr wrap="none" lIns="0" tIns="0" rIns="0" bIns="0" upright="false">
                      <a:spAutoFit/>
                    </wps:bodyPr>
                  </wps:wsp>
                </a:graphicData>
              </a:graphic>
            </wp:anchor>
          </w:drawing>
        </mc:Choice>
        <mc:Fallback>
          <w:pict>
            <v:shape id="文本框 1030"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Midc221AQAAVQMAAA4AAAAAAAAAAQAgAAAANAEAAGRycy9lMm9E&#10;b2MueG1sUEsFBgAAAAAGAAYAWQEAAFsFAAAAAA==&#10;">
              <v:fill on="f" focussize="0,0"/>
              <v:stroke on="f"/>
              <v:imagedata o:title=""/>
              <o:lock v:ext="edit" aspectratio="f"/>
              <v:textbox inset="0mm,0mm,0mm,0mm" style="mso-fit-shape-to-text:t;">
                <w:txbxContent>
                  <w:p>
                    <w:pPr>
                      <w:pStyle w:val="2"/>
                      <w:rPr>
                        <w:rStyle w:val="17"/>
                        <w:rFonts w:hint="eastAsia" w:ascii="宋体" w:hAnsi="宋体" w:eastAsia="宋体"/>
                        <w:sz w:val="28"/>
                        <w:szCs w:val="28"/>
                      </w:rPr>
                    </w:pPr>
                    <w:r>
                      <w:rPr>
                        <w:rStyle w:val="17"/>
                        <w:rFonts w:hint="eastAsia" w:ascii="宋体" w:hAnsi="宋体" w:eastAsia="宋体"/>
                        <w:sz w:val="28"/>
                        <w:szCs w:val="28"/>
                      </w:rPr>
                      <w:t xml:space="preserve">— </w:t>
                    </w:r>
                    <w:r>
                      <w:rPr>
                        <w:rStyle w:val="17"/>
                        <w:rFonts w:hint="eastAsia" w:ascii="宋体" w:hAnsi="宋体" w:eastAsia="宋体"/>
                        <w:sz w:val="28"/>
                        <w:szCs w:val="28"/>
                      </w:rPr>
                      <w:fldChar w:fldCharType="begin"/>
                    </w:r>
                    <w:r>
                      <w:rPr>
                        <w:rStyle w:val="17"/>
                        <w:rFonts w:hint="eastAsia" w:ascii="宋体" w:hAnsi="宋体" w:eastAsia="宋体"/>
                        <w:sz w:val="28"/>
                        <w:szCs w:val="28"/>
                      </w:rPr>
                      <w:instrText xml:space="preserve">PAGE  </w:instrText>
                    </w:r>
                    <w:r>
                      <w:rPr>
                        <w:rStyle w:val="17"/>
                        <w:rFonts w:hint="eastAsia" w:ascii="宋体" w:hAnsi="宋体" w:eastAsia="宋体"/>
                        <w:sz w:val="28"/>
                        <w:szCs w:val="28"/>
                      </w:rPr>
                      <w:fldChar w:fldCharType="separate"/>
                    </w:r>
                    <w:r>
                      <w:rPr>
                        <w:rStyle w:val="17"/>
                        <w:rFonts w:ascii="宋体" w:hAnsi="宋体" w:eastAsia="宋体"/>
                        <w:sz w:val="28"/>
                        <w:szCs w:val="28"/>
                      </w:rPr>
                      <w:t>9</w:t>
                    </w:r>
                    <w:r>
                      <w:rPr>
                        <w:rStyle w:val="17"/>
                        <w:rFonts w:hint="eastAsia" w:ascii="宋体" w:hAnsi="宋体" w:eastAsia="宋体"/>
                        <w:sz w:val="28"/>
                        <w:szCs w:val="28"/>
                      </w:rPr>
                      <w:fldChar w:fldCharType="end"/>
                    </w:r>
                    <w:r>
                      <w:rPr>
                        <w:rStyle w:val="17"/>
                        <w:rFonts w:hint="eastAsia" w:ascii="宋体" w:hAnsi="宋体" w:eastAsia="宋体"/>
                        <w:sz w:val="28"/>
                        <w:szCs w:val="28"/>
                      </w:rP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Fonts w:hint="eastAsia" w:eastAsia="宋体"/>
      </w:rPr>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103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Style w:val="17"/>
                              <w:rFonts w:hint="eastAsia" w:ascii="宋体" w:hAnsi="宋体" w:eastAsia="宋体"/>
                              <w:sz w:val="28"/>
                              <w:szCs w:val="28"/>
                            </w:rPr>
                          </w:pPr>
                          <w:r>
                            <w:rPr>
                              <w:rStyle w:val="17"/>
                              <w:rFonts w:hint="eastAsia" w:ascii="宋体" w:hAnsi="宋体" w:eastAsia="宋体"/>
                              <w:sz w:val="28"/>
                              <w:szCs w:val="28"/>
                            </w:rPr>
                            <w:t xml:space="preserve">— </w:t>
                          </w:r>
                          <w:r>
                            <w:rPr>
                              <w:rStyle w:val="17"/>
                              <w:rFonts w:ascii="宋体" w:hAnsi="宋体" w:eastAsia="宋体"/>
                              <w:sz w:val="28"/>
                              <w:szCs w:val="28"/>
                            </w:rPr>
                            <w:fldChar w:fldCharType="begin"/>
                          </w:r>
                          <w:r>
                            <w:rPr>
                              <w:rStyle w:val="17"/>
                              <w:rFonts w:ascii="宋体" w:hAnsi="宋体" w:eastAsia="宋体"/>
                              <w:sz w:val="28"/>
                              <w:szCs w:val="28"/>
                            </w:rPr>
                            <w:instrText xml:space="preserve">PAGE  </w:instrText>
                          </w:r>
                          <w:r>
                            <w:rPr>
                              <w:rStyle w:val="17"/>
                              <w:rFonts w:ascii="宋体" w:hAnsi="宋体" w:eastAsia="宋体"/>
                              <w:sz w:val="28"/>
                              <w:szCs w:val="28"/>
                            </w:rPr>
                            <w:fldChar w:fldCharType="separate"/>
                          </w:r>
                          <w:r>
                            <w:rPr>
                              <w:rStyle w:val="17"/>
                              <w:rFonts w:ascii="宋体" w:hAnsi="宋体" w:eastAsia="宋体"/>
                              <w:sz w:val="28"/>
                              <w:szCs w:val="28"/>
                            </w:rPr>
                            <w:t>9</w:t>
                          </w:r>
                          <w:r>
                            <w:rPr>
                              <w:rStyle w:val="17"/>
                              <w:rFonts w:ascii="宋体" w:hAnsi="宋体" w:eastAsia="宋体"/>
                              <w:sz w:val="28"/>
                              <w:szCs w:val="28"/>
                            </w:rPr>
                            <w:fldChar w:fldCharType="end"/>
                          </w:r>
                          <w:r>
                            <w:rPr>
                              <w:rStyle w:val="17"/>
                              <w:rFonts w:hint="eastAsia" w:ascii="宋体" w:hAnsi="宋体" w:eastAsia="宋体"/>
                              <w:sz w:val="28"/>
                              <w:szCs w:val="28"/>
                            </w:rPr>
                            <w:t xml:space="preserve"> —</w:t>
                          </w:r>
                        </w:p>
                      </w:txbxContent>
                    </wps:txbx>
                    <wps:bodyPr wrap="none" lIns="0" tIns="0" rIns="0" bIns="0" upright="false">
                      <a:spAutoFit/>
                    </wps:bodyPr>
                  </wps:wsp>
                </a:graphicData>
              </a:graphic>
            </wp:anchor>
          </w:drawing>
        </mc:Choice>
        <mc:Fallback>
          <w:pict>
            <v:shape id="文本框 1031"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CUSU8ntgEAAFUDAAAOAAAAAAAAAAEAIAAAADQBAABkcnMvZTJv&#10;RG9jLnhtbFBLBQYAAAAABgAGAFkBAABcBQAAAAA=&#10;">
              <v:fill on="f" focussize="0,0"/>
              <v:stroke on="f"/>
              <v:imagedata o:title=""/>
              <o:lock v:ext="edit" aspectratio="f"/>
              <v:textbox inset="0mm,0mm,0mm,0mm" style="mso-fit-shape-to-text:t;">
                <w:txbxContent>
                  <w:p>
                    <w:pPr>
                      <w:pStyle w:val="2"/>
                      <w:rPr>
                        <w:rStyle w:val="17"/>
                        <w:rFonts w:hint="eastAsia" w:ascii="宋体" w:hAnsi="宋体" w:eastAsia="宋体"/>
                        <w:sz w:val="28"/>
                        <w:szCs w:val="28"/>
                      </w:rPr>
                    </w:pPr>
                    <w:r>
                      <w:rPr>
                        <w:rStyle w:val="17"/>
                        <w:rFonts w:hint="eastAsia" w:ascii="宋体" w:hAnsi="宋体" w:eastAsia="宋体"/>
                        <w:sz w:val="28"/>
                        <w:szCs w:val="28"/>
                      </w:rPr>
                      <w:t xml:space="preserve">— </w:t>
                    </w:r>
                    <w:r>
                      <w:rPr>
                        <w:rStyle w:val="17"/>
                        <w:rFonts w:ascii="宋体" w:hAnsi="宋体" w:eastAsia="宋体"/>
                        <w:sz w:val="28"/>
                        <w:szCs w:val="28"/>
                      </w:rPr>
                      <w:fldChar w:fldCharType="begin"/>
                    </w:r>
                    <w:r>
                      <w:rPr>
                        <w:rStyle w:val="17"/>
                        <w:rFonts w:ascii="宋体" w:hAnsi="宋体" w:eastAsia="宋体"/>
                        <w:sz w:val="28"/>
                        <w:szCs w:val="28"/>
                      </w:rPr>
                      <w:instrText xml:space="preserve">PAGE  </w:instrText>
                    </w:r>
                    <w:r>
                      <w:rPr>
                        <w:rStyle w:val="17"/>
                        <w:rFonts w:ascii="宋体" w:hAnsi="宋体" w:eastAsia="宋体"/>
                        <w:sz w:val="28"/>
                        <w:szCs w:val="28"/>
                      </w:rPr>
                      <w:fldChar w:fldCharType="separate"/>
                    </w:r>
                    <w:r>
                      <w:rPr>
                        <w:rStyle w:val="17"/>
                        <w:rFonts w:ascii="宋体" w:hAnsi="宋体" w:eastAsia="宋体"/>
                        <w:sz w:val="28"/>
                        <w:szCs w:val="28"/>
                      </w:rPr>
                      <w:t>9</w:t>
                    </w:r>
                    <w:r>
                      <w:rPr>
                        <w:rStyle w:val="17"/>
                        <w:rFonts w:ascii="宋体" w:hAnsi="宋体" w:eastAsia="宋体"/>
                        <w:sz w:val="28"/>
                        <w:szCs w:val="28"/>
                      </w:rPr>
                      <w:fldChar w:fldCharType="end"/>
                    </w:r>
                    <w:r>
                      <w:rPr>
                        <w:rStyle w:val="17"/>
                        <w:rFonts w:hint="eastAsia" w:ascii="宋体" w:hAnsi="宋体" w:eastAsia="宋体"/>
                        <w:sz w:val="28"/>
                        <w:szCs w:val="28"/>
                      </w:rP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7"/>
      </w:rPr>
    </w:pPr>
    <w:r>
      <w:rPr>
        <w:rStyle w:val="17"/>
      </w:rPr>
      <w:fldChar w:fldCharType="begin"/>
    </w:r>
    <w:r>
      <w:rPr>
        <w:rStyle w:val="17"/>
      </w:rPr>
      <w:instrText xml:space="preserve">PAGE  </w:instrText>
    </w:r>
    <w:r>
      <w:rPr>
        <w:rStyle w:val="17"/>
      </w:rPr>
      <w:fldChar w:fldCharType="end"/>
    </w:r>
  </w:p>
  <w:p>
    <w:pPr>
      <w:pStyle w:val="2"/>
      <w:ind w:right="360" w:firstLine="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Fonts w:hint="eastAsia" w:eastAsia="宋体"/>
      </w:rPr>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103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Style w:val="17"/>
                              <w:rFonts w:hint="eastAsia" w:ascii="宋体" w:hAnsi="宋体" w:eastAsia="宋体"/>
                              <w:sz w:val="28"/>
                              <w:szCs w:val="28"/>
                            </w:rPr>
                          </w:pPr>
                          <w:r>
                            <w:rPr>
                              <w:rStyle w:val="17"/>
                              <w:rFonts w:hint="eastAsia" w:ascii="宋体" w:hAnsi="宋体" w:eastAsia="宋体"/>
                              <w:sz w:val="28"/>
                              <w:szCs w:val="28"/>
                            </w:rPr>
                            <w:t xml:space="preserve">— </w:t>
                          </w:r>
                          <w:r>
                            <w:rPr>
                              <w:rStyle w:val="17"/>
                              <w:rFonts w:ascii="宋体" w:hAnsi="宋体" w:eastAsia="宋体"/>
                              <w:sz w:val="28"/>
                              <w:szCs w:val="28"/>
                            </w:rPr>
                            <w:fldChar w:fldCharType="begin"/>
                          </w:r>
                          <w:r>
                            <w:rPr>
                              <w:rStyle w:val="17"/>
                              <w:rFonts w:ascii="宋体" w:hAnsi="宋体" w:eastAsia="宋体"/>
                              <w:sz w:val="28"/>
                              <w:szCs w:val="28"/>
                            </w:rPr>
                            <w:instrText xml:space="preserve">PAGE  </w:instrText>
                          </w:r>
                          <w:r>
                            <w:rPr>
                              <w:rStyle w:val="17"/>
                              <w:rFonts w:ascii="宋体" w:hAnsi="宋体" w:eastAsia="宋体"/>
                              <w:sz w:val="28"/>
                              <w:szCs w:val="28"/>
                            </w:rPr>
                            <w:fldChar w:fldCharType="separate"/>
                          </w:r>
                          <w:r>
                            <w:rPr>
                              <w:rStyle w:val="17"/>
                              <w:rFonts w:ascii="宋体" w:hAnsi="宋体" w:eastAsia="宋体"/>
                              <w:sz w:val="28"/>
                              <w:szCs w:val="28"/>
                            </w:rPr>
                            <w:t>9</w:t>
                          </w:r>
                          <w:r>
                            <w:rPr>
                              <w:rStyle w:val="17"/>
                              <w:rFonts w:ascii="宋体" w:hAnsi="宋体" w:eastAsia="宋体"/>
                              <w:sz w:val="28"/>
                              <w:szCs w:val="28"/>
                            </w:rPr>
                            <w:fldChar w:fldCharType="end"/>
                          </w:r>
                          <w:r>
                            <w:rPr>
                              <w:rStyle w:val="17"/>
                              <w:rFonts w:hint="eastAsia" w:ascii="宋体" w:hAnsi="宋体" w:eastAsia="宋体"/>
                              <w:sz w:val="28"/>
                              <w:szCs w:val="28"/>
                            </w:rPr>
                            <w:t xml:space="preserve"> —</w:t>
                          </w:r>
                        </w:p>
                      </w:txbxContent>
                    </wps:txbx>
                    <wps:bodyPr wrap="none" lIns="0" tIns="0" rIns="0" bIns="0" upright="false">
                      <a:spAutoFit/>
                    </wps:bodyPr>
                  </wps:wsp>
                </a:graphicData>
              </a:graphic>
            </wp:anchor>
          </w:drawing>
        </mc:Choice>
        <mc:Fallback>
          <w:pict>
            <v:shape id="文本框 1032"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CqspU5tgEAAFUDAAAOAAAAAAAAAAEAIAAAADQBAABkcnMvZTJv&#10;RG9jLnhtbFBLBQYAAAAABgAGAFkBAABcBQAAAAA=&#10;">
              <v:fill on="f" focussize="0,0"/>
              <v:stroke on="f"/>
              <v:imagedata o:title=""/>
              <o:lock v:ext="edit" aspectratio="f"/>
              <v:textbox inset="0mm,0mm,0mm,0mm" style="mso-fit-shape-to-text:t;">
                <w:txbxContent>
                  <w:p>
                    <w:pPr>
                      <w:pStyle w:val="2"/>
                      <w:rPr>
                        <w:rStyle w:val="17"/>
                        <w:rFonts w:hint="eastAsia" w:ascii="宋体" w:hAnsi="宋体" w:eastAsia="宋体"/>
                        <w:sz w:val="28"/>
                        <w:szCs w:val="28"/>
                      </w:rPr>
                    </w:pPr>
                    <w:r>
                      <w:rPr>
                        <w:rStyle w:val="17"/>
                        <w:rFonts w:hint="eastAsia" w:ascii="宋体" w:hAnsi="宋体" w:eastAsia="宋体"/>
                        <w:sz w:val="28"/>
                        <w:szCs w:val="28"/>
                      </w:rPr>
                      <w:t xml:space="preserve">— </w:t>
                    </w:r>
                    <w:r>
                      <w:rPr>
                        <w:rStyle w:val="17"/>
                        <w:rFonts w:ascii="宋体" w:hAnsi="宋体" w:eastAsia="宋体"/>
                        <w:sz w:val="28"/>
                        <w:szCs w:val="28"/>
                      </w:rPr>
                      <w:fldChar w:fldCharType="begin"/>
                    </w:r>
                    <w:r>
                      <w:rPr>
                        <w:rStyle w:val="17"/>
                        <w:rFonts w:ascii="宋体" w:hAnsi="宋体" w:eastAsia="宋体"/>
                        <w:sz w:val="28"/>
                        <w:szCs w:val="28"/>
                      </w:rPr>
                      <w:instrText xml:space="preserve">PAGE  </w:instrText>
                    </w:r>
                    <w:r>
                      <w:rPr>
                        <w:rStyle w:val="17"/>
                        <w:rFonts w:ascii="宋体" w:hAnsi="宋体" w:eastAsia="宋体"/>
                        <w:sz w:val="28"/>
                        <w:szCs w:val="28"/>
                      </w:rPr>
                      <w:fldChar w:fldCharType="separate"/>
                    </w:r>
                    <w:r>
                      <w:rPr>
                        <w:rStyle w:val="17"/>
                        <w:rFonts w:ascii="宋体" w:hAnsi="宋体" w:eastAsia="宋体"/>
                        <w:sz w:val="28"/>
                        <w:szCs w:val="28"/>
                      </w:rPr>
                      <w:t>9</w:t>
                    </w:r>
                    <w:r>
                      <w:rPr>
                        <w:rStyle w:val="17"/>
                        <w:rFonts w:ascii="宋体" w:hAnsi="宋体" w:eastAsia="宋体"/>
                        <w:sz w:val="28"/>
                        <w:szCs w:val="28"/>
                      </w:rPr>
                      <w:fldChar w:fldCharType="end"/>
                    </w:r>
                    <w:r>
                      <w:rPr>
                        <w:rStyle w:val="17"/>
                        <w:rFonts w:hint="eastAsia" w:ascii="宋体" w:hAnsi="宋体" w:eastAsia="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7"/>
      </w:rPr>
    </w:pPr>
    <w:r>
      <w:rPr>
        <w:rStyle w:val="17"/>
      </w:rPr>
      <w:fldChar w:fldCharType="begin"/>
    </w:r>
    <w:r>
      <w:rPr>
        <w:rStyle w:val="17"/>
      </w:rPr>
      <w:instrText xml:space="preserve">PAGE  </w:instrText>
    </w:r>
    <w:r>
      <w:rPr>
        <w:rStyle w:val="17"/>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Fonts w:hint="eastAsia" w:eastAsia="宋体"/>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Style w:val="17"/>
                              <w:rFonts w:hint="eastAsia" w:ascii="宋体" w:hAnsi="宋体" w:eastAsia="宋体"/>
                              <w:sz w:val="28"/>
                              <w:szCs w:val="28"/>
                            </w:rPr>
                          </w:pPr>
                          <w:r>
                            <w:rPr>
                              <w:rStyle w:val="17"/>
                              <w:rFonts w:hint="eastAsia" w:ascii="宋体" w:hAnsi="宋体" w:eastAsia="宋体"/>
                              <w:sz w:val="28"/>
                              <w:szCs w:val="28"/>
                            </w:rPr>
                            <w:t xml:space="preserve">— </w:t>
                          </w:r>
                          <w:r>
                            <w:rPr>
                              <w:rStyle w:val="17"/>
                              <w:rFonts w:ascii="宋体" w:hAnsi="宋体" w:eastAsia="宋体"/>
                              <w:sz w:val="28"/>
                              <w:szCs w:val="28"/>
                            </w:rPr>
                            <w:fldChar w:fldCharType="begin"/>
                          </w:r>
                          <w:r>
                            <w:rPr>
                              <w:rStyle w:val="17"/>
                              <w:rFonts w:ascii="宋体" w:hAnsi="宋体" w:eastAsia="宋体"/>
                              <w:sz w:val="28"/>
                              <w:szCs w:val="28"/>
                            </w:rPr>
                            <w:instrText xml:space="preserve">PAGE  </w:instrText>
                          </w:r>
                          <w:r>
                            <w:rPr>
                              <w:rStyle w:val="17"/>
                              <w:rFonts w:ascii="宋体" w:hAnsi="宋体" w:eastAsia="宋体"/>
                              <w:sz w:val="28"/>
                              <w:szCs w:val="28"/>
                            </w:rPr>
                            <w:fldChar w:fldCharType="separate"/>
                          </w:r>
                          <w:r>
                            <w:rPr>
                              <w:rStyle w:val="17"/>
                              <w:rFonts w:ascii="宋体" w:hAnsi="宋体" w:eastAsia="宋体"/>
                              <w:sz w:val="28"/>
                              <w:szCs w:val="28"/>
                            </w:rPr>
                            <w:t>5</w:t>
                          </w:r>
                          <w:r>
                            <w:rPr>
                              <w:rStyle w:val="17"/>
                              <w:rFonts w:ascii="宋体" w:hAnsi="宋体" w:eastAsia="宋体"/>
                              <w:sz w:val="28"/>
                              <w:szCs w:val="28"/>
                            </w:rPr>
                            <w:fldChar w:fldCharType="end"/>
                          </w:r>
                          <w:r>
                            <w:rPr>
                              <w:rStyle w:val="17"/>
                              <w:rFonts w:hint="eastAsia" w:ascii="宋体" w:hAnsi="宋体" w:eastAsia="宋体"/>
                              <w:sz w:val="28"/>
                              <w:szCs w:val="28"/>
                            </w:rPr>
                            <w:t xml:space="preserve"> —</w:t>
                          </w:r>
                        </w:p>
                      </w:txbxContent>
                    </wps:txbx>
                    <wps:bodyPr wrap="none" lIns="0" tIns="0" rIns="0" bIns="0" upright="false">
                      <a:spAutoFit/>
                    </wps:bodyPr>
                  </wps:wsp>
                </a:graphicData>
              </a:graphic>
            </wp:anchor>
          </w:drawing>
        </mc:Choice>
        <mc:Fallback>
          <w:pict>
            <v:shape id="文本框 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K+n0du1AQAAVQMAAA4AAAAAAAAAAQAgAAAANAEAAGRycy9lMm9E&#10;b2MueG1sUEsFBgAAAAAGAAYAWQEAAFsFAAAAAA==&#10;">
              <v:fill on="f" focussize="0,0"/>
              <v:stroke on="f"/>
              <v:imagedata o:title=""/>
              <o:lock v:ext="edit" aspectratio="f"/>
              <v:textbox inset="0mm,0mm,0mm,0mm" style="mso-fit-shape-to-text:t;">
                <w:txbxContent>
                  <w:p>
                    <w:pPr>
                      <w:pStyle w:val="2"/>
                      <w:rPr>
                        <w:rStyle w:val="17"/>
                        <w:rFonts w:hint="eastAsia" w:ascii="宋体" w:hAnsi="宋体" w:eastAsia="宋体"/>
                        <w:sz w:val="28"/>
                        <w:szCs w:val="28"/>
                      </w:rPr>
                    </w:pPr>
                    <w:r>
                      <w:rPr>
                        <w:rStyle w:val="17"/>
                        <w:rFonts w:hint="eastAsia" w:ascii="宋体" w:hAnsi="宋体" w:eastAsia="宋体"/>
                        <w:sz w:val="28"/>
                        <w:szCs w:val="28"/>
                      </w:rPr>
                      <w:t xml:space="preserve">— </w:t>
                    </w:r>
                    <w:r>
                      <w:rPr>
                        <w:rStyle w:val="17"/>
                        <w:rFonts w:ascii="宋体" w:hAnsi="宋体" w:eastAsia="宋体"/>
                        <w:sz w:val="28"/>
                        <w:szCs w:val="28"/>
                      </w:rPr>
                      <w:fldChar w:fldCharType="begin"/>
                    </w:r>
                    <w:r>
                      <w:rPr>
                        <w:rStyle w:val="17"/>
                        <w:rFonts w:ascii="宋体" w:hAnsi="宋体" w:eastAsia="宋体"/>
                        <w:sz w:val="28"/>
                        <w:szCs w:val="28"/>
                      </w:rPr>
                      <w:instrText xml:space="preserve">PAGE  </w:instrText>
                    </w:r>
                    <w:r>
                      <w:rPr>
                        <w:rStyle w:val="17"/>
                        <w:rFonts w:ascii="宋体" w:hAnsi="宋体" w:eastAsia="宋体"/>
                        <w:sz w:val="28"/>
                        <w:szCs w:val="28"/>
                      </w:rPr>
                      <w:fldChar w:fldCharType="separate"/>
                    </w:r>
                    <w:r>
                      <w:rPr>
                        <w:rStyle w:val="17"/>
                        <w:rFonts w:ascii="宋体" w:hAnsi="宋体" w:eastAsia="宋体"/>
                        <w:sz w:val="28"/>
                        <w:szCs w:val="28"/>
                      </w:rPr>
                      <w:t>5</w:t>
                    </w:r>
                    <w:r>
                      <w:rPr>
                        <w:rStyle w:val="17"/>
                        <w:rFonts w:ascii="宋体" w:hAnsi="宋体" w:eastAsia="宋体"/>
                        <w:sz w:val="28"/>
                        <w:szCs w:val="28"/>
                      </w:rPr>
                      <w:fldChar w:fldCharType="end"/>
                    </w:r>
                    <w:r>
                      <w:rPr>
                        <w:rStyle w:val="17"/>
                        <w:rFonts w:hint="eastAsia" w:ascii="宋体" w:hAnsi="宋体" w:eastAsia="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7"/>
      </w:rPr>
    </w:pPr>
    <w:r>
      <w:rPr>
        <w:rStyle w:val="17"/>
      </w:rPr>
      <w:fldChar w:fldCharType="begin"/>
    </w:r>
    <w:r>
      <w:rPr>
        <w:rStyle w:val="17"/>
      </w:rPr>
      <w:instrText xml:space="preserve">PAGE  </w:instrText>
    </w:r>
    <w:r>
      <w:rPr>
        <w:rStyle w:val="17"/>
      </w:rPr>
      <w:fldChar w:fldCharType="end"/>
    </w:r>
  </w:p>
  <w:p>
    <w:pPr>
      <w:pStyle w:val="2"/>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jc w:val="center"/>
                          </w:pPr>
                          <w:r>
                            <w:fldChar w:fldCharType="begin"/>
                          </w:r>
                          <w:r>
                            <w:instrText xml:space="preserve">PAGE   \* MERGEFORMAT</w:instrText>
                          </w:r>
                          <w:r>
                            <w:fldChar w:fldCharType="separate"/>
                          </w:r>
                          <w:r>
                            <w:rPr>
                              <w:lang w:val="zh-CN"/>
                            </w:rPr>
                            <w:t>21</w:t>
                          </w:r>
                          <w:r>
                            <w:rPr>
                              <w:lang w:val="zh-CN"/>
                            </w:rPr>
                            <w:fldChar w:fldCharType="end"/>
                          </w:r>
                        </w:p>
                      </w:txbxContent>
                    </wps:txbx>
                    <wps:bodyPr wrap="none" lIns="0" tIns="0" rIns="0" bIns="0" upright="false">
                      <a:spAutoFit/>
                    </wps:bodyPr>
                  </wps:wsp>
                </a:graphicData>
              </a:graphic>
            </wp:anchor>
          </w:drawing>
        </mc:Choice>
        <mc:Fallback>
          <w:pict>
            <v:shape id="文本框 1027"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83PtkbcBAABVAwAADgAAAAAAAAABACAAAAA0AQAAZHJzL2Uy&#10;b0RvYy54bWxQSwUGAAAAAAYABgBZAQAAXQUAAAAA&#10;">
              <v:fill on="f" focussize="0,0"/>
              <v:stroke on="f"/>
              <v:imagedata o:title=""/>
              <o:lock v:ext="edit" aspectratio="f"/>
              <v:textbox inset="0mm,0mm,0mm,0mm" style="mso-fit-shape-to-text:t;">
                <w:txbxContent>
                  <w:p>
                    <w:pPr>
                      <w:pStyle w:val="2"/>
                      <w:jc w:val="center"/>
                    </w:pPr>
                    <w:r>
                      <w:fldChar w:fldCharType="begin"/>
                    </w:r>
                    <w:r>
                      <w:instrText xml:space="preserve">PAGE   \* MERGEFORMAT</w:instrText>
                    </w:r>
                    <w:r>
                      <w:fldChar w:fldCharType="separate"/>
                    </w:r>
                    <w:r>
                      <w:rPr>
                        <w:lang w:val="zh-CN"/>
                      </w:rPr>
                      <w:t>21</w:t>
                    </w:r>
                    <w:r>
                      <w:rPr>
                        <w:lang w:val="zh-CN"/>
                      </w:rPr>
                      <w:fldChar w:fldCharType="end"/>
                    </w:r>
                  </w:p>
                </w:txbxContent>
              </v:textbox>
            </v:shape>
          </w:pict>
        </mc:Fallback>
      </mc:AlternateContent>
    </w:r>
  </w:p>
  <w:p>
    <w:pPr>
      <w:pStyle w:val="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Fonts w:hint="eastAsia" w:eastAsia="宋体"/>
      </w:rP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Style w:val="17"/>
                              <w:rFonts w:hint="eastAsia" w:ascii="宋体" w:hAnsi="宋体" w:eastAsia="宋体"/>
                              <w:sz w:val="28"/>
                              <w:szCs w:val="28"/>
                            </w:rPr>
                          </w:pPr>
                          <w:r>
                            <w:rPr>
                              <w:rStyle w:val="17"/>
                              <w:rFonts w:hint="eastAsia" w:ascii="宋体" w:hAnsi="宋体" w:eastAsia="宋体"/>
                              <w:sz w:val="28"/>
                              <w:szCs w:val="28"/>
                            </w:rPr>
                            <w:t xml:space="preserve">— </w:t>
                          </w:r>
                          <w:r>
                            <w:rPr>
                              <w:rStyle w:val="17"/>
                              <w:rFonts w:ascii="宋体" w:hAnsi="宋体" w:eastAsia="宋体"/>
                              <w:sz w:val="28"/>
                              <w:szCs w:val="28"/>
                            </w:rPr>
                            <w:fldChar w:fldCharType="begin"/>
                          </w:r>
                          <w:r>
                            <w:rPr>
                              <w:rStyle w:val="17"/>
                              <w:rFonts w:ascii="宋体" w:hAnsi="宋体" w:eastAsia="宋体"/>
                              <w:sz w:val="28"/>
                              <w:szCs w:val="28"/>
                            </w:rPr>
                            <w:instrText xml:space="preserve">PAGE  </w:instrText>
                          </w:r>
                          <w:r>
                            <w:rPr>
                              <w:rStyle w:val="17"/>
                              <w:rFonts w:ascii="宋体" w:hAnsi="宋体" w:eastAsia="宋体"/>
                              <w:sz w:val="28"/>
                              <w:szCs w:val="28"/>
                            </w:rPr>
                            <w:fldChar w:fldCharType="separate"/>
                          </w:r>
                          <w:r>
                            <w:rPr>
                              <w:rStyle w:val="17"/>
                              <w:rFonts w:ascii="宋体" w:hAnsi="宋体" w:eastAsia="宋体"/>
                              <w:sz w:val="28"/>
                              <w:szCs w:val="28"/>
                            </w:rPr>
                            <w:t>7</w:t>
                          </w:r>
                          <w:r>
                            <w:rPr>
                              <w:rStyle w:val="17"/>
                              <w:rFonts w:ascii="宋体" w:hAnsi="宋体" w:eastAsia="宋体"/>
                              <w:sz w:val="28"/>
                              <w:szCs w:val="28"/>
                            </w:rPr>
                            <w:fldChar w:fldCharType="end"/>
                          </w:r>
                          <w:r>
                            <w:rPr>
                              <w:rStyle w:val="17"/>
                              <w:rFonts w:hint="eastAsia" w:ascii="宋体" w:hAnsi="宋体" w:eastAsia="宋体"/>
                              <w:sz w:val="28"/>
                              <w:szCs w:val="28"/>
                            </w:rPr>
                            <w:t xml:space="preserve"> —</w:t>
                          </w:r>
                        </w:p>
                      </w:txbxContent>
                    </wps:txbx>
                    <wps:bodyPr wrap="none" lIns="0" tIns="0" rIns="0" bIns="0" upright="false">
                      <a:spAutoFit/>
                    </wps:bodyPr>
                  </wps:wsp>
                </a:graphicData>
              </a:graphic>
            </wp:anchor>
          </w:drawing>
        </mc:Choice>
        <mc:Fallback>
          <w:pict>
            <v:shape id="文本框 1028"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W92W2tgEAAFUDAAAOAAAAAAAAAAEAIAAAADQBAABkcnMvZTJv&#10;RG9jLnhtbFBLBQYAAAAABgAGAFkBAABcBQAAAAA=&#10;">
              <v:fill on="f" focussize="0,0"/>
              <v:stroke on="f"/>
              <v:imagedata o:title=""/>
              <o:lock v:ext="edit" aspectratio="f"/>
              <v:textbox inset="0mm,0mm,0mm,0mm" style="mso-fit-shape-to-text:t;">
                <w:txbxContent>
                  <w:p>
                    <w:pPr>
                      <w:pStyle w:val="2"/>
                      <w:rPr>
                        <w:rStyle w:val="17"/>
                        <w:rFonts w:hint="eastAsia" w:ascii="宋体" w:hAnsi="宋体" w:eastAsia="宋体"/>
                        <w:sz w:val="28"/>
                        <w:szCs w:val="28"/>
                      </w:rPr>
                    </w:pPr>
                    <w:r>
                      <w:rPr>
                        <w:rStyle w:val="17"/>
                        <w:rFonts w:hint="eastAsia" w:ascii="宋体" w:hAnsi="宋体" w:eastAsia="宋体"/>
                        <w:sz w:val="28"/>
                        <w:szCs w:val="28"/>
                      </w:rPr>
                      <w:t xml:space="preserve">— </w:t>
                    </w:r>
                    <w:r>
                      <w:rPr>
                        <w:rStyle w:val="17"/>
                        <w:rFonts w:ascii="宋体" w:hAnsi="宋体" w:eastAsia="宋体"/>
                        <w:sz w:val="28"/>
                        <w:szCs w:val="28"/>
                      </w:rPr>
                      <w:fldChar w:fldCharType="begin"/>
                    </w:r>
                    <w:r>
                      <w:rPr>
                        <w:rStyle w:val="17"/>
                        <w:rFonts w:ascii="宋体" w:hAnsi="宋体" w:eastAsia="宋体"/>
                        <w:sz w:val="28"/>
                        <w:szCs w:val="28"/>
                      </w:rPr>
                      <w:instrText xml:space="preserve">PAGE  </w:instrText>
                    </w:r>
                    <w:r>
                      <w:rPr>
                        <w:rStyle w:val="17"/>
                        <w:rFonts w:ascii="宋体" w:hAnsi="宋体" w:eastAsia="宋体"/>
                        <w:sz w:val="28"/>
                        <w:szCs w:val="28"/>
                      </w:rPr>
                      <w:fldChar w:fldCharType="separate"/>
                    </w:r>
                    <w:r>
                      <w:rPr>
                        <w:rStyle w:val="17"/>
                        <w:rFonts w:ascii="宋体" w:hAnsi="宋体" w:eastAsia="宋体"/>
                        <w:sz w:val="28"/>
                        <w:szCs w:val="28"/>
                      </w:rPr>
                      <w:t>7</w:t>
                    </w:r>
                    <w:r>
                      <w:rPr>
                        <w:rStyle w:val="17"/>
                        <w:rFonts w:ascii="宋体" w:hAnsi="宋体" w:eastAsia="宋体"/>
                        <w:sz w:val="28"/>
                        <w:szCs w:val="28"/>
                      </w:rPr>
                      <w:fldChar w:fldCharType="end"/>
                    </w:r>
                    <w:r>
                      <w:rPr>
                        <w:rStyle w:val="17"/>
                        <w:rFonts w:hint="eastAsia" w:ascii="宋体" w:hAnsi="宋体" w:eastAsia="宋体"/>
                        <w:sz w:val="28"/>
                        <w:szCs w:val="28"/>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7"/>
      </w:rPr>
    </w:pPr>
    <w:r>
      <w:rPr>
        <w:rStyle w:val="17"/>
      </w:rPr>
      <w:fldChar w:fldCharType="begin"/>
    </w:r>
    <w:r>
      <w:rPr>
        <w:rStyle w:val="17"/>
      </w:rPr>
      <w:instrText xml:space="preserve">PAGE  </w:instrText>
    </w:r>
    <w:r>
      <w:rPr>
        <w:rStyle w:val="17"/>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64"/>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kZGIxZjNkNDY4NDkyMzQ1OTIwMDhlYmQ3NDNlODgifQ=="/>
  </w:docVars>
  <w:rsids>
    <w:rsidRoot w:val="00F1361C"/>
    <w:rsid w:val="000222C6"/>
    <w:rsid w:val="0002549F"/>
    <w:rsid w:val="00041E4C"/>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16D5"/>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A8B"/>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1281C"/>
    <w:rsid w:val="00D20620"/>
    <w:rsid w:val="00D254F7"/>
    <w:rsid w:val="00D26091"/>
    <w:rsid w:val="00D2685C"/>
    <w:rsid w:val="00D34E7C"/>
    <w:rsid w:val="00D35489"/>
    <w:rsid w:val="00D36AFE"/>
    <w:rsid w:val="00D51276"/>
    <w:rsid w:val="00D7035F"/>
    <w:rsid w:val="00D84A51"/>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B770C2"/>
    <w:rsid w:val="05AC6E21"/>
    <w:rsid w:val="064E7EBC"/>
    <w:rsid w:val="066E0107"/>
    <w:rsid w:val="07996F6E"/>
    <w:rsid w:val="0A2032A3"/>
    <w:rsid w:val="101860EC"/>
    <w:rsid w:val="10C055FF"/>
    <w:rsid w:val="118107EC"/>
    <w:rsid w:val="13D50BC4"/>
    <w:rsid w:val="16BB723D"/>
    <w:rsid w:val="1A983FEE"/>
    <w:rsid w:val="1BE8440E"/>
    <w:rsid w:val="1D155CEE"/>
    <w:rsid w:val="23860B96"/>
    <w:rsid w:val="240371BF"/>
    <w:rsid w:val="29FD04D3"/>
    <w:rsid w:val="2BBE35A7"/>
    <w:rsid w:val="2C8A61B5"/>
    <w:rsid w:val="2DF04E50"/>
    <w:rsid w:val="319F7F4E"/>
    <w:rsid w:val="349FC645"/>
    <w:rsid w:val="35EBACDF"/>
    <w:rsid w:val="36AA5135"/>
    <w:rsid w:val="37E16F03"/>
    <w:rsid w:val="3D1F5032"/>
    <w:rsid w:val="3D98207C"/>
    <w:rsid w:val="3EC5671A"/>
    <w:rsid w:val="44E268DA"/>
    <w:rsid w:val="4A627F82"/>
    <w:rsid w:val="4B4F25DA"/>
    <w:rsid w:val="4BE068DB"/>
    <w:rsid w:val="4D577224"/>
    <w:rsid w:val="4EAB630A"/>
    <w:rsid w:val="4ECE2238"/>
    <w:rsid w:val="4FE42F6A"/>
    <w:rsid w:val="54170D5F"/>
    <w:rsid w:val="5AF92295"/>
    <w:rsid w:val="5BAF8F49"/>
    <w:rsid w:val="5C9D4D8F"/>
    <w:rsid w:val="5CD71FC4"/>
    <w:rsid w:val="5DF78BA1"/>
    <w:rsid w:val="5FF7E166"/>
    <w:rsid w:val="5FFF9BAE"/>
    <w:rsid w:val="5FFFE4AD"/>
    <w:rsid w:val="63BFD915"/>
    <w:rsid w:val="63D438A3"/>
    <w:rsid w:val="695A681F"/>
    <w:rsid w:val="69F698C1"/>
    <w:rsid w:val="6C4A05C8"/>
    <w:rsid w:val="6E7E3605"/>
    <w:rsid w:val="6FF5CC65"/>
    <w:rsid w:val="6FFE6B64"/>
    <w:rsid w:val="715C0E4B"/>
    <w:rsid w:val="717D5514"/>
    <w:rsid w:val="72734D90"/>
    <w:rsid w:val="72EF4A3A"/>
    <w:rsid w:val="73AD73D5"/>
    <w:rsid w:val="73B6C98B"/>
    <w:rsid w:val="73B6EB34"/>
    <w:rsid w:val="75FF8BF1"/>
    <w:rsid w:val="77B99850"/>
    <w:rsid w:val="79EE5BA4"/>
    <w:rsid w:val="7A894339"/>
    <w:rsid w:val="7ADD005D"/>
    <w:rsid w:val="7CEF2AE0"/>
    <w:rsid w:val="7E2F23F7"/>
    <w:rsid w:val="7EEF11D3"/>
    <w:rsid w:val="7EFC65AE"/>
    <w:rsid w:val="7FA30C79"/>
    <w:rsid w:val="7FC96657"/>
    <w:rsid w:val="97DBAEC8"/>
    <w:rsid w:val="9D8A2D6F"/>
    <w:rsid w:val="AB1F4653"/>
    <w:rsid w:val="AFAD07E6"/>
    <w:rsid w:val="B67FB8DF"/>
    <w:rsid w:val="B6FE4DE6"/>
    <w:rsid w:val="B87DB76F"/>
    <w:rsid w:val="BDFDB452"/>
    <w:rsid w:val="BFF15CA1"/>
    <w:rsid w:val="BFFF800A"/>
    <w:rsid w:val="CF5F359A"/>
    <w:rsid w:val="D8D6DB89"/>
    <w:rsid w:val="DB6F4CAB"/>
    <w:rsid w:val="DDF7DA57"/>
    <w:rsid w:val="DF539EE1"/>
    <w:rsid w:val="DF6F9789"/>
    <w:rsid w:val="E8BDC939"/>
    <w:rsid w:val="EE7A85A0"/>
    <w:rsid w:val="EF9BE426"/>
    <w:rsid w:val="EFC71E0C"/>
    <w:rsid w:val="F3FB25FA"/>
    <w:rsid w:val="F7FB77E0"/>
    <w:rsid w:val="FD5F90C5"/>
    <w:rsid w:val="FD6B44CD"/>
    <w:rsid w:val="FEBFA8AF"/>
    <w:rsid w:val="FF7F3B02"/>
    <w:rsid w:val="FFA497C1"/>
    <w:rsid w:val="FFFF751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0"/>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21"/>
    <w:qFormat/>
    <w:uiPriority w:val="99"/>
    <w:pPr>
      <w:keepNext/>
      <w:keepLines/>
      <w:spacing w:before="260" w:after="260" w:line="416" w:lineRule="auto"/>
      <w:outlineLvl w:val="2"/>
    </w:pPr>
    <w:rPr>
      <w:b/>
      <w:bCs/>
      <w:sz w:val="32"/>
      <w:szCs w:val="32"/>
    </w:rPr>
  </w:style>
  <w:style w:type="character" w:default="1" w:styleId="15">
    <w:name w:val="Default Paragraph Font"/>
    <w:semiHidden/>
    <w:qFormat/>
    <w:uiPriority w:val="99"/>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7"/>
    <w:qFormat/>
    <w:uiPriority w:val="99"/>
    <w:pPr>
      <w:tabs>
        <w:tab w:val="center" w:pos="4153"/>
        <w:tab w:val="right" w:pos="8306"/>
      </w:tabs>
      <w:snapToGrid w:val="0"/>
      <w:jc w:val="left"/>
    </w:pPr>
    <w:rPr>
      <w:rFonts w:ascii="Calibri" w:hAnsi="Calibri"/>
      <w:kern w:val="0"/>
      <w:sz w:val="18"/>
      <w:szCs w:val="20"/>
    </w:rPr>
  </w:style>
  <w:style w:type="paragraph" w:styleId="6">
    <w:name w:val="Body Text"/>
    <w:basedOn w:val="1"/>
    <w:link w:val="28"/>
    <w:qFormat/>
    <w:uiPriority w:val="99"/>
    <w:pPr>
      <w:spacing w:beforeLines="30"/>
    </w:pPr>
    <w:rPr>
      <w:rFonts w:ascii="仿宋_GB2312" w:eastAsia="仿宋_GB2312"/>
      <w:kern w:val="0"/>
      <w:sz w:val="24"/>
      <w:szCs w:val="20"/>
    </w:rPr>
  </w:style>
  <w:style w:type="paragraph" w:styleId="7">
    <w:name w:val="Body Text Indent"/>
    <w:basedOn w:val="1"/>
    <w:qFormat/>
    <w:uiPriority w:val="0"/>
    <w:pPr>
      <w:spacing w:after="120"/>
      <w:ind w:left="420" w:leftChars="200"/>
    </w:pPr>
  </w:style>
  <w:style w:type="paragraph" w:styleId="8">
    <w:name w:val="toc 3"/>
    <w:basedOn w:val="1"/>
    <w:next w:val="1"/>
    <w:qFormat/>
    <w:uiPriority w:val="99"/>
    <w:pPr>
      <w:tabs>
        <w:tab w:val="right" w:leader="dot" w:pos="8296"/>
      </w:tabs>
      <w:ind w:left="840" w:leftChars="400"/>
    </w:pPr>
  </w:style>
  <w:style w:type="paragraph" w:styleId="9">
    <w:name w:val="Balloon Text"/>
    <w:basedOn w:val="1"/>
    <w:link w:val="23"/>
    <w:semiHidden/>
    <w:qFormat/>
    <w:uiPriority w:val="99"/>
    <w:rPr>
      <w:sz w:val="18"/>
      <w:szCs w:val="18"/>
    </w:rPr>
  </w:style>
  <w:style w:type="paragraph" w:styleId="10">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1">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2">
    <w:name w:val="toc 2"/>
    <w:basedOn w:val="1"/>
    <w:next w:val="1"/>
    <w:qFormat/>
    <w:uiPriority w:val="99"/>
    <w:pPr>
      <w:tabs>
        <w:tab w:val="right" w:leader="dot" w:pos="8296"/>
      </w:tabs>
      <w:ind w:left="420" w:leftChars="200"/>
    </w:pPr>
  </w:style>
  <w:style w:type="paragraph" w:styleId="13">
    <w:name w:val="Body Text First Indent 2"/>
    <w:basedOn w:val="7"/>
    <w:qFormat/>
    <w:uiPriority w:val="0"/>
    <w:pPr>
      <w:ind w:firstLine="420" w:firstLineChars="200"/>
    </w:pPr>
  </w:style>
  <w:style w:type="character" w:styleId="16">
    <w:name w:val="Strong"/>
    <w:basedOn w:val="15"/>
    <w:qFormat/>
    <w:uiPriority w:val="99"/>
    <w:rPr>
      <w:rFonts w:cs="Times New Roman"/>
      <w:b/>
    </w:rPr>
  </w:style>
  <w:style w:type="character" w:styleId="17">
    <w:name w:val="page number"/>
    <w:basedOn w:val="15"/>
    <w:qFormat/>
    <w:uiPriority w:val="0"/>
    <w:rPr>
      <w:rFonts w:cs="Times New Roman"/>
    </w:rPr>
  </w:style>
  <w:style w:type="character" w:styleId="18">
    <w:name w:val="Hyperlink"/>
    <w:basedOn w:val="15"/>
    <w:qFormat/>
    <w:uiPriority w:val="99"/>
    <w:rPr>
      <w:rFonts w:cs="Times New Roman"/>
      <w:color w:val="0000FF"/>
      <w:u w:val="single"/>
    </w:rPr>
  </w:style>
  <w:style w:type="character" w:customStyle="1" w:styleId="19">
    <w:name w:val="Heading 1 Char"/>
    <w:basedOn w:val="15"/>
    <w:link w:val="3"/>
    <w:qFormat/>
    <w:locked/>
    <w:uiPriority w:val="99"/>
    <w:rPr>
      <w:rFonts w:ascii="Times New Roman" w:hAnsi="Times New Roman" w:cs="Times New Roman"/>
      <w:b/>
      <w:bCs/>
      <w:kern w:val="44"/>
      <w:sz w:val="44"/>
      <w:szCs w:val="44"/>
    </w:rPr>
  </w:style>
  <w:style w:type="character" w:customStyle="1" w:styleId="20">
    <w:name w:val="Heading 2 Char"/>
    <w:basedOn w:val="15"/>
    <w:link w:val="4"/>
    <w:qFormat/>
    <w:locked/>
    <w:uiPriority w:val="99"/>
    <w:rPr>
      <w:rFonts w:ascii="Cambria" w:hAnsi="Cambria" w:eastAsia="宋体" w:cs="Times New Roman"/>
      <w:b/>
      <w:bCs/>
      <w:kern w:val="2"/>
      <w:sz w:val="32"/>
      <w:szCs w:val="32"/>
    </w:rPr>
  </w:style>
  <w:style w:type="character" w:customStyle="1" w:styleId="21">
    <w:name w:val="Heading 3 Char"/>
    <w:basedOn w:val="15"/>
    <w:link w:val="5"/>
    <w:qFormat/>
    <w:locked/>
    <w:uiPriority w:val="99"/>
    <w:rPr>
      <w:rFonts w:ascii="Times New Roman" w:hAnsi="Times New Roman" w:cs="Times New Roman"/>
      <w:b/>
      <w:bCs/>
      <w:kern w:val="2"/>
      <w:sz w:val="32"/>
      <w:szCs w:val="32"/>
    </w:rPr>
  </w:style>
  <w:style w:type="character" w:customStyle="1" w:styleId="22">
    <w:name w:val="Body Text Char"/>
    <w:basedOn w:val="15"/>
    <w:link w:val="6"/>
    <w:semiHidden/>
    <w:qFormat/>
    <w:uiPriority w:val="99"/>
    <w:rPr>
      <w:rFonts w:ascii="Times New Roman" w:hAnsi="Times New Roman" w:cs="Times New Roman"/>
      <w:sz w:val="24"/>
      <w:szCs w:val="24"/>
    </w:rPr>
  </w:style>
  <w:style w:type="character" w:customStyle="1" w:styleId="23">
    <w:name w:val="Balloon Text Char"/>
    <w:basedOn w:val="15"/>
    <w:link w:val="9"/>
    <w:semiHidden/>
    <w:qFormat/>
    <w:locked/>
    <w:uiPriority w:val="99"/>
    <w:rPr>
      <w:rFonts w:ascii="Times New Roman" w:hAnsi="Times New Roman" w:cs="Times New Roman"/>
      <w:kern w:val="2"/>
      <w:sz w:val="18"/>
      <w:szCs w:val="18"/>
    </w:rPr>
  </w:style>
  <w:style w:type="character" w:customStyle="1" w:styleId="24">
    <w:name w:val="Footer Char"/>
    <w:basedOn w:val="15"/>
    <w:link w:val="2"/>
    <w:semiHidden/>
    <w:qFormat/>
    <w:uiPriority w:val="99"/>
    <w:rPr>
      <w:rFonts w:ascii="Times New Roman" w:hAnsi="Times New Roman" w:cs="Times New Roman"/>
      <w:sz w:val="18"/>
      <w:szCs w:val="18"/>
    </w:rPr>
  </w:style>
  <w:style w:type="character" w:customStyle="1" w:styleId="25">
    <w:name w:val="Header Char"/>
    <w:basedOn w:val="15"/>
    <w:link w:val="10"/>
    <w:semiHidden/>
    <w:qFormat/>
    <w:uiPriority w:val="99"/>
    <w:rPr>
      <w:rFonts w:ascii="Times New Roman" w:hAnsi="Times New Roman" w:cs="Times New Roman"/>
      <w:sz w:val="18"/>
      <w:szCs w:val="18"/>
    </w:rPr>
  </w:style>
  <w:style w:type="character" w:customStyle="1" w:styleId="26">
    <w:name w:val="Header Char1"/>
    <w:link w:val="10"/>
    <w:semiHidden/>
    <w:qFormat/>
    <w:locked/>
    <w:uiPriority w:val="99"/>
    <w:rPr>
      <w:sz w:val="18"/>
    </w:rPr>
  </w:style>
  <w:style w:type="character" w:customStyle="1" w:styleId="27">
    <w:name w:val="Footer Char1"/>
    <w:link w:val="2"/>
    <w:qFormat/>
    <w:locked/>
    <w:uiPriority w:val="99"/>
    <w:rPr>
      <w:sz w:val="18"/>
    </w:rPr>
  </w:style>
  <w:style w:type="character" w:customStyle="1" w:styleId="28">
    <w:name w:val="Body Text Char1"/>
    <w:link w:val="6"/>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30">
    <w:name w:val="List Paragraph"/>
    <w:basedOn w:val="1"/>
    <w:qFormat/>
    <w:uiPriority w:val="99"/>
    <w:pPr>
      <w:ind w:firstLine="420" w:firstLineChars="200"/>
    </w:pPr>
  </w:style>
  <w:style w:type="paragraph" w:customStyle="1" w:styleId="31">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2">
    <w:name w:val="TOC Heading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33">
    <w:name w:val="NormalCharacter"/>
    <w:semiHidden/>
    <w:qFormat/>
    <w:uiPriority w:val="0"/>
  </w:style>
  <w:style w:type="character" w:customStyle="1" w:styleId="34">
    <w:name w:val="18"/>
    <w:basedOn w:val="15"/>
    <w:qFormat/>
    <w:uiPriority w:val="99"/>
    <w:rPr>
      <w:rFonts w:ascii="Calibri" w:hAnsi="Calibri"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9" Type="http://schemas.openxmlformats.org/officeDocument/2006/relationships/fontTable" Target="fontTable.xml"/><Relationship Id="rId48" Type="http://schemas.openxmlformats.org/officeDocument/2006/relationships/numbering" Target="numbering.xml"/><Relationship Id="rId47" Type="http://schemas.openxmlformats.org/officeDocument/2006/relationships/customXml" Target="../customXml/item1.xml"/><Relationship Id="rId46" Type="http://schemas.openxmlformats.org/officeDocument/2006/relationships/image" Target="media/image7.png"/><Relationship Id="rId45" Type="http://schemas.openxmlformats.org/officeDocument/2006/relationships/oleObject" Target="embeddings/oleObject7.bin"/><Relationship Id="rId44" Type="http://schemas.openxmlformats.org/officeDocument/2006/relationships/image" Target="media/image6.png"/><Relationship Id="rId43" Type="http://schemas.openxmlformats.org/officeDocument/2006/relationships/oleObject" Target="embeddings/oleObject6.bin"/><Relationship Id="rId42" Type="http://schemas.openxmlformats.org/officeDocument/2006/relationships/image" Target="media/image5.png"/><Relationship Id="rId41" Type="http://schemas.openxmlformats.org/officeDocument/2006/relationships/oleObject" Target="embeddings/oleObject5.bin"/><Relationship Id="rId40" Type="http://schemas.openxmlformats.org/officeDocument/2006/relationships/image" Target="media/image4.png"/><Relationship Id="rId4" Type="http://schemas.openxmlformats.org/officeDocument/2006/relationships/header" Target="header2.xml"/><Relationship Id="rId39" Type="http://schemas.openxmlformats.org/officeDocument/2006/relationships/oleObject" Target="embeddings/oleObject4.bin"/><Relationship Id="rId38" Type="http://schemas.openxmlformats.org/officeDocument/2006/relationships/image" Target="media/image3.png"/><Relationship Id="rId37" Type="http://schemas.openxmlformats.org/officeDocument/2006/relationships/oleObject" Target="embeddings/oleObject3.bin"/><Relationship Id="rId36" Type="http://schemas.openxmlformats.org/officeDocument/2006/relationships/image" Target="media/image2.png"/><Relationship Id="rId35" Type="http://schemas.openxmlformats.org/officeDocument/2006/relationships/oleObject" Target="embeddings/oleObject2.bin"/><Relationship Id="rId34" Type="http://schemas.openxmlformats.org/officeDocument/2006/relationships/image" Target="media/image1.png"/><Relationship Id="rId33" Type="http://schemas.openxmlformats.org/officeDocument/2006/relationships/oleObject" Target="embeddings/oleObject1.bin"/><Relationship Id="rId32" Type="http://schemas.openxmlformats.org/officeDocument/2006/relationships/theme" Target="theme/theme1.xml"/><Relationship Id="rId31" Type="http://schemas.openxmlformats.org/officeDocument/2006/relationships/footer" Target="footer15.xml"/><Relationship Id="rId30" Type="http://schemas.openxmlformats.org/officeDocument/2006/relationships/header" Target="header14.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header" Target="header13.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22</Pages>
  <Words>1213</Words>
  <Characters>6915</Characters>
  <Lines>0</Lines>
  <Paragraphs>0</Paragraphs>
  <TotalTime>1</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2020-08-07T09:49:00Z</dcterms:created>
  <dc:creator>曹颖</dc:creator>
  <cp:lastModifiedBy>user</cp:lastModifiedBy>
  <cp:lastPrinted>2022-08-10T17:11:00Z</cp:lastPrinted>
  <dcterms:modified xsi:type="dcterms:W3CDTF">2023-07-17T11:43:16Z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B4BFFB8B947D4921BB4B72F5B28A7E0B</vt:lpwstr>
  </property>
</Properties>
</file>