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sz w:val="72"/>
          <w:szCs w:val="72"/>
        </w:rPr>
      </w:pPr>
      <w:bookmarkStart w:id="0" w:name="_Toc15396597"/>
      <w:bookmarkStart w:id="1" w:name="_Toc15396475"/>
      <w:bookmarkStart w:id="2" w:name="_Toc15377193"/>
      <w:bookmarkStart w:id="3" w:name="_Toc15377425"/>
      <w:bookmarkStart w:id="4" w:name="_Toc15378441"/>
      <w:bookmarkStart w:id="5" w:name="_Toc15306267"/>
      <w:bookmarkStart w:id="6" w:name="_Toc15377196"/>
      <w:bookmarkStart w:id="7" w:name="_Toc15396599"/>
    </w:p>
    <w:p>
      <w:pPr>
        <w:spacing w:line="600" w:lineRule="exact"/>
        <w:jc w:val="center"/>
        <w:outlineLvl w:val="0"/>
        <w:rPr>
          <w:rFonts w:ascii="方正小标宋简体" w:hAnsi="宋体" w:eastAsia="方正小标宋简体"/>
          <w:sz w:val="72"/>
          <w:szCs w:val="72"/>
        </w:rPr>
      </w:pPr>
      <w:bookmarkStart w:id="195" w:name="_GoBack"/>
      <w:bookmarkEnd w:id="195"/>
    </w:p>
    <w:p>
      <w:pPr>
        <w:pStyle w:val="16"/>
        <w:ind w:left="0" w:leftChars="0" w:firstLine="0" w:firstLineChars="0"/>
        <w:rPr>
          <w:rFonts w:ascii="方正小标宋简体" w:hAnsi="宋体" w:eastAsia="方正小标宋简体"/>
          <w:sz w:val="72"/>
          <w:szCs w:val="72"/>
        </w:rPr>
      </w:pPr>
    </w:p>
    <w:p>
      <w:pPr>
        <w:pStyle w:val="16"/>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8" w:name="_Toc15377426"/>
      <w:bookmarkStart w:id="9" w:name="_Toc15396476"/>
      <w:bookmarkStart w:id="10" w:name="_Toc15377194"/>
      <w:bookmarkStart w:id="11" w:name="_Toc15396598"/>
      <w:bookmarkStart w:id="12" w:name="_Toc15306268"/>
      <w:bookmarkStart w:id="13" w:name="_Toc15378442"/>
      <w:r>
        <w:rPr>
          <w:rFonts w:hint="eastAsia" w:ascii="方正小标宋简体" w:hAnsi="方正小标宋简体" w:eastAsia="方正小标宋简体" w:cs="方正小标宋简体"/>
          <w:sz w:val="72"/>
          <w:szCs w:val="72"/>
          <w:lang w:val="en-US" w:eastAsia="zh-CN"/>
        </w:rPr>
        <w:t>四川省广元市朝天区麻柳乡人民政府</w:t>
      </w:r>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p>
    <w:p>
      <w:pPr>
        <w:widowControl/>
        <w:jc w:val="center"/>
        <w:rPr>
          <w:rFonts w:ascii="方正小标宋简体" w:hAnsi="宋体" w:eastAsia="方正小标宋简体"/>
          <w:sz w:val="36"/>
          <w:szCs w:val="36"/>
        </w:rPr>
      </w:pPr>
    </w:p>
    <w:p>
      <w:pPr>
        <w:pStyle w:val="16"/>
        <w:ind w:left="0" w:leftChars="0" w:firstLine="0" w:firstLineChars="0"/>
      </w:pPr>
    </w:p>
    <w:p>
      <w:pPr>
        <w:pStyle w:val="16"/>
        <w:ind w:left="0" w:leftChars="0" w:firstLine="0" w:firstLineChars="0"/>
      </w:pPr>
    </w:p>
    <w:p>
      <w:pPr>
        <w:pStyle w:val="16"/>
        <w:ind w:left="0" w:leftChars="0" w:firstLine="0" w:firstLineChars="0"/>
      </w:pPr>
    </w:p>
    <w:p>
      <w:pPr>
        <w:pStyle w:val="16"/>
        <w:ind w:left="0" w:leftChars="0" w:firstLine="0" w:firstLineChars="0"/>
      </w:pPr>
    </w:p>
    <w:p>
      <w:pPr>
        <w:pStyle w:val="16"/>
        <w:ind w:left="0" w:leftChars="0" w:firstLine="0" w:firstLineChars="0"/>
      </w:pPr>
    </w:p>
    <w:p>
      <w:pPr>
        <w:pStyle w:val="16"/>
        <w:ind w:left="0" w:leftChars="0" w:firstLine="0" w:firstLineChars="0"/>
      </w:pPr>
    </w:p>
    <w:p>
      <w:pPr>
        <w:pStyle w:val="16"/>
        <w:ind w:left="0" w:leftChars="0" w:firstLine="0" w:firstLineChars="0"/>
      </w:pPr>
    </w:p>
    <w:p>
      <w:pPr>
        <w:pStyle w:val="16"/>
        <w:ind w:left="0" w:leftChars="0" w:firstLine="0" w:firstLineChars="0"/>
      </w:pPr>
    </w:p>
    <w:p>
      <w:pPr>
        <w:pStyle w:val="3"/>
        <w:jc w:val="center"/>
        <w:rPr>
          <w:rFonts w:hint="eastAsia" w:ascii="方正小标宋简体" w:eastAsia="方正小标宋简体"/>
          <w:w w:val="80"/>
          <w:sz w:val="32"/>
          <w:szCs w:val="32"/>
        </w:rPr>
      </w:pPr>
      <w:bookmarkStart w:id="14" w:name="_第一部分_部门概况"/>
      <w:bookmarkEnd w:id="14"/>
      <w:bookmarkStart w:id="15" w:name="_Toc115183739"/>
    </w:p>
    <w:p>
      <w:pPr>
        <w:widowControl/>
        <w:jc w:val="center"/>
        <w:rPr>
          <w:rFonts w:hint="eastAsia" w:ascii="黑体" w:hAnsi="黑体" w:eastAsia="黑体"/>
          <w:color w:val="auto"/>
          <w:sz w:val="48"/>
          <w:szCs w:val="48"/>
          <w:highlight w:val="none"/>
        </w:rPr>
      </w:pPr>
    </w:p>
    <w:p>
      <w:pPr>
        <w:widowControl/>
        <w:tabs>
          <w:tab w:val="center" w:pos="4213"/>
          <w:tab w:val="left" w:pos="7612"/>
        </w:tabs>
        <w:jc w:val="left"/>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lang w:eastAsia="zh-CN"/>
        </w:rPr>
        <w:tab/>
      </w:r>
      <w:r>
        <w:rPr>
          <w:rFonts w:hint="eastAsia" w:ascii="黑体" w:hAnsi="黑体" w:eastAsia="黑体"/>
          <w:color w:val="auto"/>
          <w:sz w:val="48"/>
          <w:szCs w:val="48"/>
          <w:highlight w:val="none"/>
        </w:rPr>
        <w:t>目录</w:t>
      </w:r>
      <w:r>
        <w:rPr>
          <w:rFonts w:hint="eastAsia" w:ascii="黑体" w:hAnsi="黑体" w:eastAsia="黑体"/>
          <w:color w:val="auto"/>
          <w:sz w:val="48"/>
          <w:szCs w:val="48"/>
          <w:highlight w:val="none"/>
          <w:lang w:eastAsia="zh-CN"/>
        </w:rPr>
        <w:tab/>
      </w:r>
    </w:p>
    <w:p>
      <w:pPr>
        <w:widowControl/>
        <w:jc w:val="center"/>
        <w:rPr>
          <w:rFonts w:ascii="黑体" w:hAnsi="黑体" w:eastAsia="黑体" w:cstheme="minorBidi"/>
          <w:color w:val="auto"/>
          <w:sz w:val="28"/>
          <w:szCs w:val="28"/>
          <w:highlight w:val="none"/>
        </w:rPr>
      </w:pPr>
    </w:p>
    <w:p>
      <w:pPr>
        <w:pStyle w:val="12"/>
        <w:rPr>
          <w:rFonts w:ascii="方正小标宋简体" w:eastAsia="方正小标宋简体"/>
          <w:w w:val="80"/>
          <w:sz w:val="32"/>
          <w:szCs w:val="32"/>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bookmarkEnd w:id="15"/>
    </w:p>
    <w:sdt>
      <w:sdtPr>
        <w:rPr>
          <w:rFonts w:ascii="Times New Roman" w:hAnsi="Times New Roman" w:eastAsia="宋体" w:cs="Times New Roman"/>
          <w:color w:val="auto"/>
          <w:kern w:val="2"/>
          <w:sz w:val="21"/>
          <w:szCs w:val="24"/>
          <w:lang w:val="zh-CN"/>
        </w:rPr>
        <w:id w:val="33565326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6"/>
          </w:pP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 w:val="21"/>
              <w:szCs w:val="22"/>
            </w:rPr>
          </w:pPr>
          <w:r>
            <w:fldChar w:fldCharType="begin"/>
          </w:r>
          <w:r>
            <w:instrText xml:space="preserve"> TOC \o "1-3" \h \z \u </w:instrText>
          </w:r>
          <w: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"_Toc115183738" </w:instrText>
          </w:r>
          <w:r>
            <w:rPr>
              <w:rFonts w:hint="eastAsia" w:ascii="黑体" w:hAnsi="黑体" w:eastAsia="黑体" w:cs="黑体"/>
            </w:rPr>
            <w:fldChar w:fldCharType="separate"/>
          </w:r>
          <w:r>
            <w:rPr>
              <w:rStyle w:val="21"/>
              <w:rFonts w:hint="eastAsia" w:ascii="黑体" w:hAnsi="黑体" w:eastAsia="黑体" w:cs="黑体"/>
              <w:w w:val="80"/>
            </w:rPr>
            <w:t>2021年度四川省广元市朝天区麻柳乡人民政府部门决算</w:t>
          </w:r>
          <w:r>
            <w:rPr>
              <w:rStyle w:val="21"/>
              <w:rFonts w:hint="eastAsia" w:ascii="黑体" w:hAnsi="黑体" w:eastAsia="黑体" w:cs="黑体"/>
              <w:w w:val="80"/>
              <w:lang w:eastAsia="zh-CN"/>
            </w:rPr>
            <w:t>封面</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 w:val="21"/>
              <w:szCs w:val="22"/>
            </w:rPr>
          </w:pPr>
          <w:r>
            <w:rPr>
              <w:rStyle w:val="21"/>
              <w:rFonts w:hint="eastAsia" w:ascii="黑体" w:hAnsi="黑体" w:eastAsia="黑体" w:cs="黑体"/>
              <w:w w:val="80"/>
            </w:rPr>
            <w:t>2021年度四川省广元市朝天区麻柳乡人民政府部门决算</w:t>
          </w:r>
          <w:r>
            <w:rPr>
              <w:rFonts w:hint="eastAsia" w:ascii="黑体" w:hAnsi="黑体" w:eastAsia="黑体" w:cs="黑体"/>
            </w:rPr>
            <w:fldChar w:fldCharType="begin"/>
          </w:r>
          <w:r>
            <w:rPr>
              <w:rFonts w:hint="eastAsia" w:ascii="黑体" w:hAnsi="黑体" w:eastAsia="黑体" w:cs="黑体"/>
            </w:rPr>
            <w:instrText xml:space="preserve"> HYPERLINK \l "_Toc115183739" </w:instrText>
          </w:r>
          <w:r>
            <w:rPr>
              <w:rFonts w:hint="eastAsia" w:ascii="黑体" w:hAnsi="黑体" w:eastAsia="黑体" w:cs="黑体"/>
            </w:rPr>
            <w:fldChar w:fldCharType="separate"/>
          </w:r>
          <w:r>
            <w:rPr>
              <w:rStyle w:val="21"/>
              <w:rFonts w:hint="eastAsia" w:ascii="黑体" w:hAnsi="黑体" w:eastAsia="黑体" w:cs="黑体"/>
              <w:w w:val="80"/>
            </w:rPr>
            <w:t>目录</w:t>
          </w:r>
          <w:r>
            <w:rPr>
              <w:rFonts w:hint="eastAsia" w:ascii="黑体" w:hAnsi="黑体" w:eastAsia="黑体" w:cs="黑体"/>
            </w:rPr>
            <w:tab/>
          </w:r>
          <w:r>
            <w:rPr>
              <w:rFonts w:hint="eastAsia" w:cs="Times New Roman"/>
            </w:rPr>
            <w:fldChar w:fldCharType="begin"/>
          </w:r>
          <w:r>
            <w:rPr>
              <w:rFonts w:hint="eastAsia" w:cs="Times New Roman"/>
            </w:rPr>
            <w:instrText xml:space="preserve"> PAGEREF _Toc115183739 \h </w:instrText>
          </w:r>
          <w:r>
            <w:rPr>
              <w:rFonts w:hint="eastAsia" w:cs="Times New Roman"/>
            </w:rPr>
            <w:fldChar w:fldCharType="separate"/>
          </w:r>
          <w:r>
            <w:rPr>
              <w:rFonts w:hint="eastAsia" w:cs="Times New Roman"/>
            </w:rPr>
            <w:t>2</w:t>
          </w:r>
          <w:r>
            <w:rPr>
              <w:rFonts w:hint="eastAsia" w:cs="Times New Roman"/>
            </w:rPr>
            <w:fldChar w:fldCharType="end"/>
          </w:r>
          <w:r>
            <w:rPr>
              <w:rFonts w:hint="eastAsia" w:ascii="黑体" w:hAnsi="黑体" w:eastAsia="黑体" w:cs="黑体"/>
            </w:rPr>
            <w:fldChar w:fldCharType="end"/>
          </w: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 w:val="21"/>
              <w:szCs w:val="22"/>
            </w:rPr>
          </w:pPr>
          <w:r>
            <w:fldChar w:fldCharType="begin"/>
          </w:r>
          <w:r>
            <w:instrText xml:space="preserve"> HYPERLINK \l "_Toc115183740" </w:instrText>
          </w:r>
          <w:r>
            <w:fldChar w:fldCharType="separate"/>
          </w:r>
          <w:r>
            <w:rPr>
              <w:rStyle w:val="21"/>
              <w:rFonts w:ascii="黑体" w:hAnsi="黑体" w:eastAsia="黑体"/>
            </w:rPr>
            <w:t>第一部分 部门概况</w:t>
          </w:r>
          <w:r>
            <w:tab/>
          </w:r>
          <w:r>
            <w:fldChar w:fldCharType="begin"/>
          </w:r>
          <w:r>
            <w:instrText xml:space="preserve"> PAGEREF _Toc115183740 \h </w:instrText>
          </w:r>
          <w:r>
            <w:fldChar w:fldCharType="separate"/>
          </w:r>
          <w:r>
            <w:t>4</w:t>
          </w:r>
          <w:r>
            <w:fldChar w:fldCharType="end"/>
          </w:r>
          <w: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"_Toc115183741"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一、基本职能及主要工作</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_Toc115183741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asciiTheme="minorHAnsi" w:hAnsiTheme="minorHAnsi" w:eastAsiaTheme="minorEastAsia" w:cstheme="minorBidi"/>
              <w:szCs w:val="22"/>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"_Toc115183744"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二、机构设置</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_Toc115183744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10</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 w:val="21"/>
              <w:szCs w:val="22"/>
            </w:rPr>
          </w:pPr>
          <w:r>
            <w:fldChar w:fldCharType="begin"/>
          </w:r>
          <w:r>
            <w:instrText xml:space="preserve"> HYPERLINK \l "_Toc115183745" </w:instrText>
          </w:r>
          <w:r>
            <w:fldChar w:fldCharType="separate"/>
          </w:r>
          <w:r>
            <w:rPr>
              <w:rStyle w:val="21"/>
              <w:rFonts w:ascii="黑体" w:hAnsi="黑体" w:eastAsia="黑体"/>
            </w:rPr>
            <w:t>第二部分 2021年度部门决算情况说明</w:t>
          </w:r>
          <w:r>
            <w:tab/>
          </w:r>
          <w:r>
            <w:fldChar w:fldCharType="begin"/>
          </w:r>
          <w:r>
            <w:instrText xml:space="preserve"> PAGEREF _Toc115183745 \h </w:instrText>
          </w:r>
          <w:r>
            <w:fldChar w:fldCharType="separate"/>
          </w:r>
          <w:r>
            <w:t>11</w:t>
          </w:r>
          <w:r>
            <w:fldChar w:fldCharType="end"/>
          </w:r>
          <w:r>
            <w:fldChar w:fldCharType="end"/>
          </w:r>
        </w:p>
        <w:p>
          <w:pPr>
            <w:pStyle w:val="13"/>
            <w:keepNext w:val="0"/>
            <w:keepLines w:val="0"/>
            <w:pageBreakBefore w:val="0"/>
            <w:widowControl w:val="0"/>
            <w:tabs>
              <w:tab w:val="left" w:pos="1260"/>
            </w:tabs>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Cs w:val="22"/>
            </w:rPr>
          </w:pPr>
          <w:r>
            <w:fldChar w:fldCharType="begin"/>
          </w:r>
          <w:r>
            <w:instrText xml:space="preserve"> HYPERLINK \l "_Toc115183746" </w:instrText>
          </w:r>
          <w:r>
            <w:fldChar w:fldCharType="separate"/>
          </w:r>
          <w:r>
            <w:rPr>
              <w:rFonts w:hint="eastAsia" w:ascii="Times New Roman" w:hAnsi="Times New Roman" w:eastAsia="宋体" w:cs="Times New Roman"/>
              <w:color w:val="auto"/>
              <w:sz w:val="24"/>
              <w:highlight w:val="none"/>
            </w:rPr>
            <w:t>一、收入支出决算总体情况说明</w:t>
          </w:r>
          <w:r>
            <w:tab/>
          </w:r>
          <w:r>
            <w:fldChar w:fldCharType="begin"/>
          </w:r>
          <w:r>
            <w:instrText xml:space="preserve"> PAGEREF _Toc115183746 \h </w:instrText>
          </w:r>
          <w:r>
            <w:fldChar w:fldCharType="separate"/>
          </w:r>
          <w:r>
            <w:t>11</w:t>
          </w:r>
          <w:r>
            <w:fldChar w:fldCharType="end"/>
          </w:r>
          <w: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"_Toc115183747"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二、收入决算情况说明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_Toc115183747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11</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"_Toc115183750"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三、支出决算情况说明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_Toc115183750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12</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"_Toc115183752"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四、财政拨款收入支出决算总体情况说明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_Toc115183752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"_Toc115183753"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五、一般公共预算财政拨款支出决算情况说明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_Toc115183753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"_Toc115183758"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六、一般公共预算财政拨款基本支出决算情况说明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_Toc115183758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16</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"_Toc115183759"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七、“三公”经费财政拨款支出决算情况说明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_Toc115183759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16</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"_Toc115183763"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八、政府性基金预算支出决算情况说明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_Toc115183763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"_Toc115183764"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九、 国有资本经营预算支出决算情况说明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_Toc115183764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"_Toc115183765"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 预算绩效管理情况</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_Toc115183765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18</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asciiTheme="minorHAnsi" w:hAnsiTheme="minorHAnsi" w:eastAsiaTheme="minorEastAsia" w:cstheme="minorBidi"/>
              <w:szCs w:val="22"/>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"_Toc115183767"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十一、 其他重要事项的情况说明</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_Toc115183767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19</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 w:val="21"/>
              <w:szCs w:val="22"/>
            </w:rPr>
          </w:pPr>
          <w:r>
            <w:fldChar w:fldCharType="begin"/>
          </w:r>
          <w:r>
            <w:instrText xml:space="preserve"> HYPERLINK \l "_Toc115183771" </w:instrText>
          </w:r>
          <w:r>
            <w:fldChar w:fldCharType="separate"/>
          </w:r>
          <w:r>
            <w:rPr>
              <w:rStyle w:val="21"/>
              <w:rFonts w:ascii="黑体" w:hAnsi="黑体" w:eastAsia="黑体"/>
              <w:bCs/>
              <w:kern w:val="44"/>
            </w:rPr>
            <w:t>第三部分</w:t>
          </w:r>
          <w:r>
            <w:rPr>
              <w:rStyle w:val="21"/>
              <w:rFonts w:ascii="黑体" w:hAnsi="黑体" w:eastAsia="黑体"/>
            </w:rPr>
            <w:t xml:space="preserve"> 名</w:t>
          </w:r>
          <w:r>
            <w:rPr>
              <w:rStyle w:val="21"/>
              <w:rFonts w:ascii="黑体" w:hAnsi="黑体" w:eastAsia="黑体"/>
              <w:bCs/>
              <w:kern w:val="44"/>
            </w:rPr>
            <w:t>词解释</w:t>
          </w:r>
          <w:r>
            <w:tab/>
          </w:r>
          <w:r>
            <w:fldChar w:fldCharType="begin"/>
          </w:r>
          <w:r>
            <w:instrText xml:space="preserve"> PAGEREF _Toc115183771 \h </w:instrText>
          </w:r>
          <w:r>
            <w:fldChar w:fldCharType="separate"/>
          </w:r>
          <w:r>
            <w:t>20</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 w:val="21"/>
              <w:szCs w:val="22"/>
            </w:rPr>
          </w:pPr>
          <w:r>
            <w:fldChar w:fldCharType="begin"/>
          </w:r>
          <w:r>
            <w:instrText xml:space="preserve"> HYPERLINK \l "_Toc115183772" </w:instrText>
          </w:r>
          <w:r>
            <w:fldChar w:fldCharType="separate"/>
          </w:r>
          <w:r>
            <w:rPr>
              <w:rStyle w:val="21"/>
              <w:rFonts w:ascii="黑体" w:hAnsi="黑体" w:eastAsia="黑体"/>
            </w:rPr>
            <w:t>第</w:t>
          </w:r>
          <w:r>
            <w:rPr>
              <w:rStyle w:val="21"/>
              <w:rFonts w:ascii="黑体" w:hAnsi="黑体" w:eastAsia="黑体"/>
              <w:bCs/>
              <w:kern w:val="44"/>
            </w:rPr>
            <w:t>四部分 附件</w:t>
          </w:r>
          <w:r>
            <w:tab/>
          </w:r>
          <w:r>
            <w:fldChar w:fldCharType="begin"/>
          </w:r>
          <w:r>
            <w:instrText xml:space="preserve"> PAGEREF _Toc115183772 \h </w:instrText>
          </w:r>
          <w:r>
            <w:fldChar w:fldCharType="separate"/>
          </w:r>
          <w:r>
            <w:t>24</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HAnsi" w:hAnsiTheme="minorHAnsi" w:eastAsiaTheme="minorEastAsia" w:cstheme="minorBidi"/>
              <w:sz w:val="21"/>
              <w:szCs w:val="22"/>
            </w:rPr>
          </w:pPr>
          <w:r>
            <w:fldChar w:fldCharType="begin"/>
          </w:r>
          <w:r>
            <w:instrText xml:space="preserve"> HYPERLINK \l "_Toc115183774" </w:instrText>
          </w:r>
          <w:r>
            <w:fldChar w:fldCharType="separate"/>
          </w:r>
          <w:r>
            <w:rPr>
              <w:rStyle w:val="21"/>
              <w:rFonts w:ascii="黑体" w:hAnsi="黑体" w:eastAsia="黑体"/>
            </w:rPr>
            <w:t>第五部分 附表</w:t>
          </w:r>
          <w:r>
            <w:tab/>
          </w:r>
          <w:r>
            <w:fldChar w:fldCharType="begin"/>
          </w:r>
          <w:r>
            <w:instrText xml:space="preserve"> PAGEREF _Toc115183774 \h </w:instrText>
          </w:r>
          <w:r>
            <w:fldChar w:fldCharType="separate"/>
          </w:r>
          <w:r>
            <w:t>53</w:t>
          </w:r>
          <w:r>
            <w:fldChar w:fldCharType="end"/>
          </w:r>
          <w: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"_Toc115183775"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一、收入支出决算总表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_Toc115183775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"_Toc115183776"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二、收入决算表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_Toc115183776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"_Toc115183777"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三、支出决算表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_Toc115183777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黑体" w:hAnsi="黑体" w:eastAsia="黑体" w:cs="黑体"/>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"_Toc115183778"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四、财政拨款收入支出决算总表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_Toc115183778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"_Toc115183779"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五、财政拨款支出决算明细表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_Toc115183779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"_Toc115183780"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六、一般公共预算财政拨款支出决算表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_Toc115183780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"_Toc115183781"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七、一般公共预算财政拨款支出决算明细表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_Toc115183781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"_Toc115183782"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八、一般公共预算财政拨款基本支出决算表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_Toc115183782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九、一般公共预算财政拨款项目支出决算表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_Toc115183783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"_Toc115183784"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十、一般公共预算财政拨款“三公”经费支出决算表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_Toc115183784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"_Toc115183785"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十一、政府性基金预算财政拨款收入支出决算表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_Toc115183785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"_Toc115183786"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十二、政府性基金预算财政拨款“三公”经费支出决算表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_Toc115183786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"_Toc115183787"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十三、国有资本经营预算财政拨款收入支出决算表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_Toc115183787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pPr>
            <w:pStyle w:val="13"/>
            <w:adjustRightInd w:val="0"/>
            <w:snapToGrid w:val="0"/>
            <w:spacing w:line="440" w:lineRule="exact"/>
            <w:jc w:val="left"/>
            <w:rPr>
              <w:rFonts w:asciiTheme="minorHAnsi" w:hAnsiTheme="minorHAnsi" w:eastAsiaTheme="minorEastAsia" w:cstheme="minorBidi"/>
              <w:szCs w:val="22"/>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HYPERLINK \l "_Toc115183788"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十四、国有资本经营预算财政拨款支出决算表</w:t>
          </w:r>
          <w:r>
            <w:rPr>
              <w:rFonts w:hint="eastAsia" w:ascii="Times New Roman" w:hAnsi="Times New Roman" w:eastAsia="宋体" w:cs="Times New Roman"/>
              <w:color w:val="auto"/>
              <w:sz w:val="24"/>
              <w:highlight w:val="none"/>
            </w:rPr>
            <w:tab/>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PAGEREF _Toc115183788 \h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53</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fldChar w:fldCharType="end"/>
          </w:r>
        </w:p>
        <w:p>
          <w:r>
            <w:rPr>
              <w:b/>
              <w:bCs/>
              <w:lang w:val="zh-CN"/>
            </w:rPr>
            <w:fldChar w:fldCharType="end"/>
          </w:r>
        </w:p>
      </w:sdtContent>
    </w:sdt>
    <w:p/>
    <w:p/>
    <w:p>
      <w:pPr>
        <w:pStyle w:val="3"/>
        <w:jc w:val="center"/>
        <w:rPr>
          <w:rFonts w:hint="eastAsia" w:ascii="黑体" w:hAnsi="黑体" w:eastAsia="黑体"/>
          <w:b w:val="0"/>
        </w:rPr>
      </w:pPr>
      <w:bookmarkStart w:id="16" w:name="_Toc115183740"/>
      <w:bookmarkStart w:id="17" w:name="_Toc115183542"/>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both"/>
        <w:rPr>
          <w:rFonts w:hint="eastAsia" w:ascii="黑体" w:hAnsi="黑体" w:eastAsia="黑体"/>
          <w:b w:val="0"/>
        </w:rPr>
      </w:pPr>
    </w:p>
    <w:p>
      <w:pPr>
        <w:rPr>
          <w:rFonts w:hint="eastAsia"/>
        </w:rPr>
      </w:pPr>
    </w:p>
    <w:p>
      <w:pPr>
        <w:pStyle w:val="3"/>
        <w:jc w:val="center"/>
        <w:rPr>
          <w:rFonts w:hint="eastAsia" w:ascii="黑体" w:hAnsi="黑体" w:eastAsia="黑体" w:cs="Times New Roman"/>
          <w:b w:val="0"/>
          <w:color w:val="auto"/>
          <w:highlight w:val="none"/>
        </w:rPr>
      </w:pPr>
      <w:r>
        <w:rPr>
          <w:rFonts w:hint="eastAsia" w:ascii="黑体" w:hAnsi="黑体" w:eastAsia="黑体" w:cs="Times New Roman"/>
          <w:b w:val="0"/>
          <w:color w:val="auto"/>
          <w:highlight w:val="none"/>
        </w:rPr>
        <w:t>第一部分 部门概况</w:t>
      </w:r>
      <w:bookmarkEnd w:id="6"/>
      <w:bookmarkEnd w:id="7"/>
      <w:bookmarkEnd w:id="16"/>
      <w:bookmarkEnd w:id="17"/>
    </w:p>
    <w:p>
      <w:pPr>
        <w:pStyle w:val="4"/>
        <w:rPr>
          <w:rFonts w:hint="eastAsia" w:ascii="黑体" w:hAnsi="黑体" w:eastAsia="黑体" w:cs="Times New Roman"/>
          <w:b w:val="0"/>
          <w:color w:val="auto"/>
          <w:highlight w:val="none"/>
        </w:rPr>
      </w:pPr>
      <w:bookmarkStart w:id="18" w:name="_一、基本职能及主要工作"/>
      <w:bookmarkEnd w:id="18"/>
      <w:bookmarkStart w:id="19" w:name="_Toc115183741"/>
      <w:bookmarkStart w:id="20" w:name="_Toc15377197"/>
      <w:bookmarkStart w:id="21" w:name="_Toc15396600"/>
      <w:bookmarkStart w:id="22" w:name="_Toc115183543"/>
      <w:r>
        <w:rPr>
          <w:rFonts w:hint="eastAsia" w:ascii="黑体" w:hAnsi="黑体" w:eastAsia="黑体" w:cs="Times New Roman"/>
          <w:b w:val="0"/>
          <w:color w:val="auto"/>
          <w:highlight w:val="none"/>
        </w:rPr>
        <w:t>一、基本职能及主要工作</w:t>
      </w:r>
      <w:bookmarkEnd w:id="19"/>
      <w:bookmarkEnd w:id="20"/>
      <w:bookmarkEnd w:id="21"/>
      <w:bookmarkEnd w:id="22"/>
    </w:p>
    <w:p>
      <w:pPr>
        <w:pStyle w:val="6"/>
        <w:adjustRightInd w:val="0"/>
        <w:snapToGrid w:val="0"/>
        <w:spacing w:before="93" w:line="600" w:lineRule="exact"/>
        <w:ind w:firstLine="672" w:firstLineChars="210"/>
        <w:outlineLvl w:val="2"/>
        <w:rPr>
          <w:color w:val="000000"/>
          <w:kern w:val="2"/>
          <w:sz w:val="32"/>
          <w:szCs w:val="32"/>
        </w:rPr>
      </w:pPr>
      <w:bookmarkStart w:id="23" w:name="_Toc15378445"/>
      <w:bookmarkStart w:id="24" w:name="_Toc115183742"/>
      <w:bookmarkStart w:id="25" w:name="_Toc115177410"/>
      <w:bookmarkStart w:id="26" w:name="_Toc15377198"/>
      <w:bookmarkStart w:id="27" w:name="_Toc115183544"/>
      <w:r>
        <w:rPr>
          <w:rFonts w:hint="eastAsia"/>
          <w:color w:val="000000"/>
          <w:kern w:val="2"/>
          <w:sz w:val="32"/>
          <w:szCs w:val="32"/>
        </w:rPr>
        <w:t>（一）主要职能。</w:t>
      </w:r>
      <w:bookmarkEnd w:id="23"/>
      <w:bookmarkEnd w:id="24"/>
      <w:bookmarkEnd w:id="25"/>
      <w:bookmarkEnd w:id="26"/>
      <w:bookmarkEnd w:id="27"/>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1、执行上级国家行政机关的决定、命令和国家制定的法令、法规，接受同级党委的领导，执行本级人民代表大会的各项决议，并报告执行决议、决定和命令的情况。 </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2、制定并落实本行政区域的经济计划和措施，促进产业结构调整及其他经济保持平衡协调发展，全面提高人民群众的生活水平和生活质量。 </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 3、承担国有资产、集体资产管理、监督及增值保值责任;保护公民私人所有合法财产，保障集体经济组织应有的自主权;监督企业和各种经济联合体、个体户认真执行国家的法律、法令和政策，履行经济合同。 </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 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 5、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6、加强乡级财政的监督和管理，按计划组织、管理乡财政收入和支出，执行国家有关财经纪律和政策，保证国家财政收入的完成;做好统计工作。 </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7、指导、支持、帮助村(居)民委员会的组织制度建设和业务建设，促进村(居)民委员会民主自治。 </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8、制定和组织实施乡村建设规划;加强公用、市政设施、水利建设和管理以及房屋土地管理和环境综合整治工作，保护和改善生活环境和生态环境。 </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 xml:space="preserve">9、协助和支持设置在本行政区域内不隶属于乡的国家机关和企事业单位工作，监督其遵守和执行国家的法律、法规和政策。  </w:t>
      </w:r>
    </w:p>
    <w:p>
      <w:pPr>
        <w:pStyle w:val="6"/>
        <w:adjustRightInd w:val="0"/>
        <w:snapToGrid w:val="0"/>
        <w:spacing w:before="93" w:line="600" w:lineRule="exact"/>
        <w:ind w:firstLine="672" w:firstLineChars="210"/>
        <w:rPr>
          <w:color w:val="000000"/>
          <w:kern w:val="2"/>
          <w:sz w:val="32"/>
          <w:szCs w:val="32"/>
        </w:rPr>
      </w:pPr>
      <w:r>
        <w:rPr>
          <w:rFonts w:hint="eastAsia"/>
          <w:color w:val="000000"/>
          <w:kern w:val="2"/>
          <w:sz w:val="32"/>
          <w:szCs w:val="32"/>
        </w:rPr>
        <w:t>承办区人民政府交办的其它事项。</w:t>
      </w:r>
    </w:p>
    <w:p>
      <w:pPr>
        <w:pStyle w:val="6"/>
        <w:adjustRightInd w:val="0"/>
        <w:snapToGrid w:val="0"/>
        <w:spacing w:before="93" w:line="600" w:lineRule="exact"/>
        <w:ind w:firstLine="672" w:firstLineChars="210"/>
        <w:outlineLvl w:val="2"/>
        <w:rPr>
          <w:rFonts w:ascii="仿宋" w:hAnsi="仿宋" w:eastAsia="仿宋"/>
          <w:bCs/>
          <w:sz w:val="32"/>
          <w:szCs w:val="32"/>
        </w:rPr>
      </w:pPr>
      <w:bookmarkStart w:id="28" w:name="_Toc15378446"/>
      <w:bookmarkStart w:id="29" w:name="_Toc115177411"/>
      <w:bookmarkStart w:id="30" w:name="_Toc115183743"/>
      <w:bookmarkStart w:id="31" w:name="_Toc115183545"/>
      <w:bookmarkStart w:id="32"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8"/>
      <w:bookmarkEnd w:id="29"/>
      <w:bookmarkEnd w:id="30"/>
      <w:bookmarkEnd w:id="31"/>
      <w:bookmarkEnd w:id="32"/>
    </w:p>
    <w:p>
      <w:pPr>
        <w:spacing w:line="576" w:lineRule="exact"/>
        <w:ind w:firstLine="640" w:firstLineChars="200"/>
        <w:rPr>
          <w:rFonts w:ascii="仿宋_GB2312" w:eastAsia="仿宋_GB2312"/>
          <w:color w:val="000000"/>
          <w:sz w:val="32"/>
          <w:szCs w:val="32"/>
        </w:rPr>
      </w:pPr>
      <w:r>
        <w:rPr>
          <w:rFonts w:hint="eastAsia" w:ascii="仿宋_GB2312" w:eastAsia="仿宋_GB2312"/>
          <w:sz w:val="32"/>
          <w:szCs w:val="32"/>
        </w:rPr>
        <w:t>2021年，全乡固定资产投资项目2个，</w:t>
      </w:r>
      <w:r>
        <w:rPr>
          <w:rFonts w:hint="eastAsia" w:ascii="仿宋_GB2312" w:eastAsia="仿宋_GB2312"/>
          <w:color w:val="000000"/>
          <w:sz w:val="32"/>
          <w:szCs w:val="32"/>
        </w:rPr>
        <w:t>完成固定资产投资入库4630万元，占入库目标任务3000万元的154.33%（其中工业投资项目完成2871万元，占目标任务1100万元的261%），目前已出库5160 万元，已完成全年5000万的目标任务。截止目前，固定投资工作全区排名第二；全年招引项目4个，完成1.0708亿元，已完成全年目标任务。</w:t>
      </w:r>
    </w:p>
    <w:p>
      <w:pPr>
        <w:spacing w:line="576" w:lineRule="exact"/>
        <w:ind w:firstLine="645"/>
        <w:rPr>
          <w:rFonts w:ascii="楷体_GB2312" w:hAnsi="等线" w:eastAsia="仿宋_GB2312" w:cs="宋体"/>
          <w:sz w:val="32"/>
          <w:szCs w:val="32"/>
        </w:rPr>
      </w:pPr>
      <w:r>
        <w:rPr>
          <w:rFonts w:hint="eastAsia" w:ascii="楷体_GB2312" w:hAnsi="楷体_GB2312" w:eastAsia="楷体_GB2312" w:cs="楷体_GB2312"/>
          <w:sz w:val="32"/>
          <w:szCs w:val="32"/>
        </w:rPr>
        <w:t>1、坚持党建引领，凝聚组织战斗力。</w:t>
      </w:r>
      <w:r>
        <w:rPr>
          <w:rFonts w:hint="eastAsia" w:ascii="黑体" w:hAnsi="黑体" w:eastAsia="黑体" w:cs="黑体"/>
          <w:sz w:val="32"/>
          <w:szCs w:val="32"/>
        </w:rPr>
        <w:t>一是</w:t>
      </w:r>
      <w:r>
        <w:rPr>
          <w:rFonts w:hint="eastAsia" w:ascii="仿宋_GB2312" w:hAnsi="仿宋_GB2312" w:eastAsia="仿宋_GB2312" w:cs="仿宋_GB2312"/>
          <w:color w:val="000000"/>
          <w:sz w:val="32"/>
          <w:szCs w:val="32"/>
          <w:shd w:val="clear" w:color="auto" w:fill="FFFFFF"/>
        </w:rPr>
        <w:t>稳步开展乡、村两级换届工作。指导完成第十一届村（居）民委员会换届工作，实现村（社区）党组织书记、村（居）民委员会主任“一肩挑”100%。完成市区党代表、人大代表推选工作。</w:t>
      </w:r>
      <w:r>
        <w:rPr>
          <w:rFonts w:hint="eastAsia" w:ascii="黑体" w:hAnsi="黑体" w:eastAsia="黑体" w:cs="黑体"/>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扎实开展党史学习教育。专题召开中心组学习8次，传达学习中央、省、市、区各级会议精神。组织党员干部到旺苍红军城学习红军精神，开展“四个一”党史学习教育主题党日活动，联合开展“知客讲党史”活动4次，</w:t>
      </w:r>
      <w:r>
        <w:rPr>
          <w:rFonts w:hint="eastAsia" w:ascii="仿宋_GB2312" w:hAnsi="仿宋_GB2312" w:eastAsia="仿宋_GB2312" w:cs="仿宋_GB2312"/>
          <w:sz w:val="32"/>
          <w:szCs w:val="32"/>
        </w:rPr>
        <w:t>邀请“麻柳刺绣”国家级非物质文化遗产代表性传承人张菊花到麻柳小学参与指导学生刺绣党旗，使党史学习教育融入到青少年群体，“一针一线绣党旗、麻柳刺绣映初心”被人民日报、四川日报头版等媒体刊登报道。</w:t>
      </w:r>
      <w:r>
        <w:rPr>
          <w:rFonts w:hint="eastAsia" w:ascii="黑体" w:hAnsi="黑体" w:eastAsia="黑体" w:cs="黑体"/>
          <w:color w:val="000000"/>
          <w:sz w:val="32"/>
          <w:szCs w:val="32"/>
          <w:shd w:val="clear" w:color="auto" w:fill="FFFFFF"/>
        </w:rPr>
        <w:t>三是</w:t>
      </w:r>
      <w:r>
        <w:rPr>
          <w:rFonts w:hint="eastAsia" w:ascii="仿宋_GB2312" w:hAnsi="仿宋_GB2312" w:eastAsia="仿宋_GB2312" w:cs="仿宋_GB2312"/>
          <w:sz w:val="32"/>
          <w:szCs w:val="32"/>
        </w:rPr>
        <w:t>“我为群众办实事”走深入实。协调麻柳商会出资60余万元，在乔天村、复兴社区主要道路沿线安装太阳能路灯160盏；协调利州区经信局、大唐风电，对洪督关道路损毁路段进行修复硬化，解决群众出行难问题；申请建设麻柳乡污水治理设施，积极处理场镇污水排放不达标的问题，结合党史学习教育和干部纪律作风整顿，开展座谈会、班子成员深入调研走访收集社情民意，列出民生事实清单，推动“我为群众办实事”走深入实，党组织向心力、凝聚力、战斗力、领导力进一步提升。</w:t>
      </w:r>
    </w:p>
    <w:p>
      <w:pPr>
        <w:spacing w:line="576" w:lineRule="exact"/>
        <w:ind w:firstLine="640" w:firstLineChars="200"/>
        <w:rPr>
          <w:rFonts w:ascii="仿宋_GB2312" w:eastAsia="仿宋_GB2312"/>
          <w:sz w:val="32"/>
          <w:szCs w:val="32"/>
        </w:rPr>
      </w:pPr>
      <w:r>
        <w:rPr>
          <w:rFonts w:hint="eastAsia" w:ascii="楷体_GB2312" w:hAnsi="等线" w:eastAsia="楷体_GB2312" w:cs="宋体"/>
          <w:sz w:val="32"/>
          <w:szCs w:val="32"/>
        </w:rPr>
        <w:t>2、持续巩固脱贫攻坚成果，稳步推进乡村振兴战略。</w:t>
      </w:r>
      <w:r>
        <w:rPr>
          <w:rFonts w:hint="eastAsia" w:ascii="黑体" w:hAnsi="黑体" w:eastAsia="黑体"/>
          <w:sz w:val="32"/>
          <w:szCs w:val="32"/>
        </w:rPr>
        <w:t>一是</w:t>
      </w:r>
      <w:r>
        <w:rPr>
          <w:rFonts w:hint="eastAsia" w:ascii="仿宋_GB2312" w:eastAsia="仿宋_GB2312"/>
          <w:sz w:val="32"/>
          <w:szCs w:val="32"/>
        </w:rPr>
        <w:t>持续巩固脱贫攻坚成果。严格落实“四个不摘”政策。对全乡332户脱贫户、3户监测户开展常态化监测，坚决杜绝出现大规模返贫致贫，与帮扶单位开展脱贫攻坚后评估工作，脱贫攻坚成果进一步巩固。</w:t>
      </w:r>
      <w:r>
        <w:rPr>
          <w:rFonts w:hint="eastAsia" w:ascii="黑体" w:hAnsi="黑体" w:eastAsia="黑体"/>
          <w:sz w:val="32"/>
          <w:szCs w:val="32"/>
        </w:rPr>
        <w:t>二是</w:t>
      </w:r>
      <w:r>
        <w:rPr>
          <w:rFonts w:hint="eastAsia" w:ascii="仿宋_GB2312" w:eastAsia="仿宋_GB2312"/>
          <w:sz w:val="32"/>
          <w:szCs w:val="32"/>
        </w:rPr>
        <w:t>有序推进项目建设。</w:t>
      </w:r>
      <w:r>
        <w:rPr>
          <w:rFonts w:hint="eastAsia" w:ascii="仿宋_GB2312" w:hAnsi="仿宋_GB2312" w:eastAsia="仿宋_GB2312" w:cs="仿宋_GB2312"/>
          <w:sz w:val="32"/>
          <w:szCs w:val="32"/>
        </w:rPr>
        <w:t>投资100余万元打造麻柳刺绣广场，结合刺绣传习所装修，建设精神堡垒、灯光走廊，打造外围网红走廊；硬化羊肚菌基地、猕猴桃产业园生产便道5公里，投资120万元完成羊肚菌基地河道整治，推动基地复产；升级打造石板猕猴桃园300亩；开展人居环境整治提升行动，石板村至复兴社区主公路沿线修砌堡坎9公里，建成场镇绿化带200米；复兴</w:t>
      </w:r>
      <w:r>
        <w:rPr>
          <w:rFonts w:hint="eastAsia" w:ascii="仿宋_GB2312" w:eastAsia="仿宋_GB2312"/>
          <w:sz w:val="32"/>
          <w:szCs w:val="32"/>
        </w:rPr>
        <w:t>车厘子晾晒场、旅游厕所等建设工程按期竣工；黄小村500亩高标准农田建设稳步推进；建设多彩乔田车厘子园100亩，乔天便民桥建设即将建成并投入使用。</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3、筑牢底线思维，抓实抓细底线工作。</w:t>
      </w:r>
      <w:r>
        <w:rPr>
          <w:rFonts w:hint="eastAsia" w:ascii="黑体" w:hAnsi="黑体" w:eastAsia="黑体" w:cs="黑体"/>
          <w:sz w:val="32"/>
          <w:szCs w:val="32"/>
        </w:rPr>
        <w:t>一是</w:t>
      </w:r>
      <w:r>
        <w:rPr>
          <w:rFonts w:hint="eastAsia" w:ascii="仿宋_GB2312" w:hAnsi="仿宋_GB2312" w:eastAsia="仿宋_GB2312" w:cs="仿宋_GB2312"/>
          <w:sz w:val="32"/>
          <w:szCs w:val="32"/>
        </w:rPr>
        <w:t>常态化开展疫情防控工作。坚持“外防输入、内防反弹”防控策略，成立“1+5+9”的指挥机构，落实双网格员制度，全面压实乡干部包村、村干部包组、组干部包户、网格员包片的 “1+5+41+115+N”的“四级包干”责任，全面动员全乡人民同心同德、并肩作战，坚持“人”“物”环境同防；全面开展新冠疫苗接种工作，全面完成第一剂3250人的接种任务，乡内常住人口全部应接尽接。12岁以上人口6699人，已接种6401人，未接种298人（其中有禁忌症279人，现在国外3人，失联人口6人，户在人不在1人，尚未在务工地接种疫苗9人）；落细落实常态化防控措施，加强重点区域、中高风险地区返乡人员的管控，加强公共场所管控，辖区医院、学校、企业、农家乐、超市、茶楼等重点场所严格落实扫码亮码和消毒工作，有效保证经济社会持续健康发展。</w:t>
      </w:r>
      <w:r>
        <w:rPr>
          <w:rFonts w:hint="eastAsia" w:ascii="黑体" w:hAnsi="黑体" w:eastAsia="黑体" w:cs="黑体"/>
          <w:sz w:val="32"/>
          <w:szCs w:val="32"/>
        </w:rPr>
        <w:t>二是</w:t>
      </w:r>
      <w:r>
        <w:rPr>
          <w:rFonts w:hint="eastAsia" w:ascii="仿宋_GB2312" w:hAnsi="仿宋_GB2312" w:eastAsia="仿宋_GB2312" w:cs="仿宋_GB2312"/>
          <w:sz w:val="32"/>
          <w:szCs w:val="32"/>
        </w:rPr>
        <w:t>常抓安全稳定不放松。严格落实“党政同责、一岗双责”，抓实应急抢险、森林防火、防汛救灾、食品安全、道路交通等安全工作，成立6个应急救援小组，1个专业应急救援小组，开展防汛、森林防灭火应急演练13场次。严格落实宴席申报备案制度和食品安全检查制度，联合曾家交警中队开展联合执法，整治辖区内交通乱象，认真开展各类矛盾纠纷排查化解，及时解决信访问题20余件，推进开展“扫黑除恶”斗争、禁毒、防邪、反电信诈骗等工作，平安麻柳建设再上台阶。</w:t>
      </w:r>
      <w:r>
        <w:rPr>
          <w:rFonts w:hint="eastAsia" w:ascii="黑体" w:hAnsi="黑体" w:eastAsia="黑体" w:cs="黑体"/>
          <w:sz w:val="32"/>
          <w:szCs w:val="32"/>
        </w:rPr>
        <w:t>三是</w:t>
      </w:r>
      <w:r>
        <w:rPr>
          <w:rFonts w:hint="eastAsia" w:ascii="仿宋_GB2312" w:hAnsi="仿宋_GB2312" w:eastAsia="仿宋_GB2312" w:cs="仿宋_GB2312"/>
          <w:sz w:val="32"/>
          <w:szCs w:val="32"/>
        </w:rPr>
        <w:t>抓实生态环境保护，践行绿色发展理念。严格落实河长制、林长制，开展广元南河麻柳段河道保护，开展排污整治和河道清理工作；开展禁烧秸秆、垃圾治理工作，建立集中祭祀点焚烧池，坚持护林员常态化巡山，四川森防APP保持在线率100%，开展烧荒烧地整治行动，严防森林火灾发生；开展养殖面源污染整治行动，拆除私搭乱建禽畜养殖棚舍，持续净化人居环境，保护绿水青山，守护清新空气，常留碧水蓝天</w:t>
      </w:r>
      <w:r>
        <w:rPr>
          <w:rFonts w:hint="eastAsia" w:ascii="仿宋_GB2312" w:eastAsia="仿宋_GB2312"/>
          <w:sz w:val="32"/>
          <w:szCs w:val="32"/>
        </w:rPr>
        <w:t>。</w:t>
      </w:r>
    </w:p>
    <w:p>
      <w:pPr>
        <w:spacing w:line="576" w:lineRule="exact"/>
        <w:ind w:firstLine="640" w:firstLineChars="200"/>
        <w:rPr>
          <w:rFonts w:ascii="仿宋_GB2312" w:hAnsi="仿宋_GB2312" w:eastAsia="仿宋_GB2312" w:cs="仿宋_GB2312"/>
          <w:bCs/>
          <w:sz w:val="32"/>
          <w:szCs w:val="32"/>
        </w:rPr>
      </w:pPr>
      <w:r>
        <w:rPr>
          <w:rFonts w:hint="eastAsia" w:ascii="楷体_GB2312" w:hAnsi="等线" w:eastAsia="楷体_GB2312" w:cs="宋体"/>
          <w:sz w:val="32"/>
          <w:szCs w:val="32"/>
        </w:rPr>
        <w:t>4、全力保障民生，推动农业产业转型发展。</w:t>
      </w:r>
      <w:r>
        <w:rPr>
          <w:rFonts w:hint="eastAsia" w:ascii="黑体" w:hAnsi="黑体" w:eastAsia="黑体" w:cs="宋体"/>
          <w:sz w:val="32"/>
          <w:szCs w:val="32"/>
        </w:rPr>
        <w:t>一是</w:t>
      </w:r>
      <w:r>
        <w:rPr>
          <w:rFonts w:hint="eastAsia" w:ascii="仿宋_GB2312" w:eastAsia="仿宋_GB2312"/>
          <w:sz w:val="32"/>
          <w:szCs w:val="32"/>
        </w:rPr>
        <w:t>农业产业规模不断扩大。2021年度农作物播种面积50216亩（粮食作物24811亩、经济作物4175亩、蔬菜21230亩）。出栏生猪16122头、牛415头、羊1528只、禽320147羽，各项指标均保持增长。</w:t>
      </w:r>
      <w:r>
        <w:rPr>
          <w:rFonts w:hint="eastAsia" w:ascii="黑体" w:hAnsi="黑体" w:eastAsia="黑体" w:cs="宋体"/>
          <w:sz w:val="32"/>
          <w:szCs w:val="32"/>
        </w:rPr>
        <w:t>二是</w:t>
      </w:r>
      <w:r>
        <w:rPr>
          <w:rFonts w:hint="eastAsia" w:ascii="仿宋_GB2312" w:hAnsi="仿宋_GB2312" w:eastAsia="仿宋_GB2312" w:cs="仿宋_GB2312"/>
          <w:sz w:val="32"/>
          <w:szCs w:val="32"/>
        </w:rPr>
        <w:t>抓牢农产</w:t>
      </w:r>
      <w:r>
        <w:rPr>
          <w:rFonts w:hint="eastAsia" w:ascii="仿宋_GB2312" w:eastAsia="仿宋_GB2312"/>
          <w:sz w:val="32"/>
          <w:szCs w:val="32"/>
        </w:rPr>
        <w:t>品质量安全。全年完成移动巡检82次，完成瘦肉精抽检平台录入449条，种植业农残抽检平台录入1928条</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完成农资条码扫码1300条</w:t>
      </w:r>
      <w:r>
        <w:rPr>
          <w:rFonts w:hint="eastAsia" w:ascii="仿宋_GB2312" w:eastAsia="仿宋_GB2312"/>
          <w:sz w:val="32"/>
          <w:szCs w:val="32"/>
        </w:rPr>
        <w:t>，检测结果</w:t>
      </w:r>
      <w:r>
        <w:rPr>
          <w:rFonts w:hint="eastAsia" w:ascii="仿宋_GB2312" w:hAnsi="仿宋_GB2312" w:eastAsia="仿宋_GB2312" w:cs="仿宋_GB2312"/>
          <w:bCs/>
          <w:sz w:val="32"/>
          <w:szCs w:val="32"/>
        </w:rPr>
        <w:t>均为合格</w:t>
      </w:r>
      <w:r>
        <w:rPr>
          <w:rFonts w:hint="eastAsia" w:ascii="仿宋_GB2312" w:hAnsi="仿宋_GB2312" w:eastAsia="仿宋_GB2312" w:cs="仿宋_GB2312"/>
          <w:sz w:val="32"/>
          <w:szCs w:val="32"/>
        </w:rPr>
        <w:t>。</w:t>
      </w:r>
      <w:r>
        <w:rPr>
          <w:rFonts w:hint="eastAsia" w:ascii="黑体" w:hAnsi="黑体" w:eastAsia="黑体" w:cs="黑体"/>
          <w:sz w:val="32"/>
          <w:szCs w:val="32"/>
        </w:rPr>
        <w:t>三是</w:t>
      </w:r>
      <w:r>
        <w:rPr>
          <w:rFonts w:hint="eastAsia" w:ascii="仿宋_GB2312" w:hAnsi="仿宋_GB2312" w:eastAsia="仿宋_GB2312" w:cs="仿宋_GB2312"/>
          <w:bCs/>
          <w:sz w:val="32"/>
          <w:szCs w:val="32"/>
        </w:rPr>
        <w:t>完成了农机年检和新购农机的补贴申报工作。</w:t>
      </w:r>
      <w:r>
        <w:rPr>
          <w:rFonts w:hint="eastAsia" w:ascii="黑体" w:hAnsi="黑体" w:eastAsia="黑体" w:cs="黑体"/>
          <w:sz w:val="32"/>
          <w:szCs w:val="32"/>
        </w:rPr>
        <w:t>四是</w:t>
      </w:r>
      <w:r>
        <w:rPr>
          <w:rFonts w:hint="eastAsia" w:ascii="仿宋_GB2312" w:hAnsi="仿宋_GB2312" w:eastAsia="仿宋_GB2312" w:cs="仿宋_GB2312"/>
          <w:sz w:val="32"/>
          <w:szCs w:val="32"/>
        </w:rPr>
        <w:t>严格检疫程序，规范化开展动物产品产地检疫工作。按要求完成了春、夏、秋季重大动物疫病防控工作，确保本辖区无重大动物疫病发生。</w:t>
      </w:r>
      <w:r>
        <w:rPr>
          <w:rFonts w:hint="eastAsia" w:ascii="黑体" w:hAnsi="黑体" w:eastAsia="黑体" w:cs="黑体"/>
          <w:sz w:val="32"/>
          <w:szCs w:val="32"/>
        </w:rPr>
        <w:t>五是</w:t>
      </w:r>
      <w:r>
        <w:rPr>
          <w:rFonts w:hint="eastAsia" w:ascii="仿宋_GB2312" w:hAnsi="仿宋_GB2312" w:eastAsia="仿宋_GB2312" w:cs="仿宋_GB2312"/>
          <w:sz w:val="32"/>
          <w:szCs w:val="32"/>
        </w:rPr>
        <w:t>村集体经济建设、惠农补贴申报、死亡动物无害化处理、化肥农药减量、废弃农膜回收工作有序开展。</w:t>
      </w:r>
    </w:p>
    <w:p>
      <w:pPr>
        <w:spacing w:line="576" w:lineRule="exact"/>
        <w:ind w:firstLine="640" w:firstLineChars="200"/>
        <w:rPr>
          <w:rFonts w:ascii="仿宋_GB2312" w:hAnsi="仿宋_GB2312" w:eastAsia="仿宋_GB2312" w:cs="仿宋_GB2312"/>
          <w:sz w:val="32"/>
          <w:szCs w:val="32"/>
        </w:rPr>
      </w:pPr>
      <w:r>
        <w:rPr>
          <w:rFonts w:hint="eastAsia" w:ascii="楷体_GB2312" w:hAnsi="等线" w:eastAsia="楷体_GB2312" w:cs="宋体"/>
          <w:sz w:val="32"/>
          <w:szCs w:val="32"/>
        </w:rPr>
        <w:t>5、全面从严治党，抓实党风廉政建设。</w:t>
      </w:r>
      <w:r>
        <w:rPr>
          <w:rFonts w:ascii="黑体" w:hAnsi="黑体" w:eastAsia="黑体"/>
          <w:sz w:val="32"/>
          <w:szCs w:val="32"/>
        </w:rPr>
        <w:t>一是</w:t>
      </w:r>
      <w:r>
        <w:rPr>
          <w:rFonts w:hint="eastAsia" w:ascii="仿宋_GB2312" w:hAnsi="仿宋_GB2312" w:eastAsia="仿宋_GB2312" w:cs="仿宋_GB2312"/>
          <w:sz w:val="32"/>
          <w:szCs w:val="32"/>
        </w:rPr>
        <w:t>干部纪律作风整顿走深入实。强化干部作风纪律整顿，对照《广元市领导干部“七条禁令”》、《广元市严禁领导干部违规插手工程建设项目和政府采购十条规定》，严格对照干部队伍中存在的“十二个方面”突出问题，开展自查自纠，列出问题清单，全面对照开展问题整改工作。强化党内监督，年内查处3起党员违纪问题，在全乡起到警示震慑作用。</w:t>
      </w:r>
      <w:r>
        <w:rPr>
          <w:rFonts w:hint="eastAsia" w:ascii="黑体" w:hAnsi="黑体" w:eastAsia="黑体" w:cs="仿宋_GB2312"/>
          <w:sz w:val="32"/>
          <w:szCs w:val="32"/>
        </w:rPr>
        <w:t>二是</w:t>
      </w:r>
      <w:r>
        <w:rPr>
          <w:rFonts w:hint="eastAsia" w:ascii="仿宋_GB2312" w:hAnsi="仿宋_GB2312" w:eastAsia="仿宋_GB2312" w:cs="仿宋_GB2312"/>
          <w:sz w:val="32"/>
          <w:szCs w:val="32"/>
        </w:rPr>
        <w:t>层层压实责任。将全面从严治党工作任务和重点工作逐项分解，分别落实给党政班子成员，做到每项工作有责任领导、有具体责任人。党委书记、人民政府乡长认真落实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办公室和责任人，形成横向到边、纵向到底的责任制网络，推动全面从严治党落到实处。</w:t>
      </w:r>
      <w:r>
        <w:rPr>
          <w:rFonts w:hint="eastAsia" w:ascii="黑体" w:hAnsi="黑体" w:eastAsia="黑体" w:cs="仿宋_GB2312"/>
          <w:sz w:val="32"/>
          <w:szCs w:val="32"/>
        </w:rPr>
        <w:t>三是</w:t>
      </w:r>
      <w:r>
        <w:rPr>
          <w:rFonts w:hint="eastAsia" w:ascii="仿宋_GB2312" w:hAnsi="仿宋_GB2312" w:eastAsia="仿宋_GB2312" w:cs="仿宋_GB2312"/>
          <w:sz w:val="32"/>
          <w:szCs w:val="32"/>
        </w:rPr>
        <w:t>加强廉政文化建设，深入开展反腐倡廉。建立周例会、月调度会制度，推动干部作风转变，推动村（社区）党组织副书记（纪检委员）通过法定程序担任村（居）务监督委员会主任，开展农村发展党员违规违纪问题排查整顿工作，通过廉政党课、以案说法、会前学法等多种行式开展廉政文化建设，深入学习习近平总书记七一重要讲话精神及《关于新形势下党内政治生活的若干准则》、《中国共产党党内监督条例》，进一步筑牢党员干部拒腐防变思想防线。</w:t>
      </w:r>
    </w:p>
    <w:p>
      <w:pPr>
        <w:pStyle w:val="6"/>
        <w:spacing w:before="93" w:line="576" w:lineRule="exact"/>
        <w:ind w:firstLine="640" w:firstLineChars="200"/>
        <w:rPr>
          <w:rFonts w:ascii="仿宋" w:hAnsi="仿宋" w:eastAsia="仿宋"/>
          <w:bCs/>
          <w:sz w:val="32"/>
          <w:szCs w:val="32"/>
        </w:rPr>
      </w:pPr>
      <w:r>
        <w:rPr>
          <w:rFonts w:hint="eastAsia"/>
          <w:sz w:val="32"/>
          <w:szCs w:val="32"/>
        </w:rPr>
        <w:t>同时，党管武装、群团工作、关心下一代、工会、防邪、保密、档案管理、妇儿“两纲”等各项工作全面加强。</w:t>
      </w:r>
    </w:p>
    <w:p>
      <w:pPr>
        <w:pStyle w:val="4"/>
        <w:ind w:firstLine="640" w:firstLineChars="200"/>
        <w:rPr>
          <w:rStyle w:val="31"/>
          <w:b w:val="0"/>
          <w:bCs w:val="0"/>
        </w:rPr>
      </w:pPr>
      <w:bookmarkStart w:id="33" w:name="_二、机构设置"/>
      <w:bookmarkEnd w:id="33"/>
      <w:bookmarkStart w:id="34" w:name="_Toc115183744"/>
      <w:bookmarkStart w:id="35" w:name="_Toc115183546"/>
      <w:bookmarkStart w:id="36" w:name="_Toc15396601"/>
      <w:bookmarkStart w:id="37"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34"/>
      <w:bookmarkEnd w:id="35"/>
      <w:bookmarkEnd w:id="36"/>
      <w:bookmarkEnd w:id="37"/>
    </w:p>
    <w:p>
      <w:pPr>
        <w:pStyle w:val="6"/>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广元市朝天区麻柳乡人民政府辖4个村1社区45个村民小组，全乡2211户7909人。财政供养人口33人，其中行政人员</w:t>
      </w:r>
      <w:r>
        <w:rPr>
          <w:rFonts w:ascii="仿宋" w:hAnsi="仿宋" w:eastAsia="仿宋"/>
          <w:sz w:val="32"/>
          <w:szCs w:val="32"/>
        </w:rPr>
        <w:t>1</w:t>
      </w:r>
      <w:r>
        <w:rPr>
          <w:rFonts w:hint="eastAsia" w:ascii="仿宋" w:hAnsi="仿宋" w:eastAsia="仿宋"/>
          <w:sz w:val="32"/>
          <w:szCs w:val="32"/>
        </w:rPr>
        <w:t>7人，事业人员14人，机关工勤1人,事业工勤1人。</w:t>
      </w:r>
      <w:r>
        <w:rPr>
          <w:rFonts w:hint="eastAsia" w:ascii="仿宋" w:hAnsi="仿宋" w:eastAsia="仿宋" w:cs="仿宋"/>
          <w:color w:val="000000"/>
          <w:sz w:val="32"/>
          <w:szCs w:val="32"/>
        </w:rPr>
        <w:t>相比上年增加3人，增加的原因：招考录用。</w:t>
      </w:r>
      <w:r>
        <w:rPr>
          <w:rFonts w:hint="eastAsia" w:ascii="仿宋" w:hAnsi="仿宋" w:eastAsia="仿宋"/>
          <w:sz w:val="32"/>
          <w:szCs w:val="32"/>
        </w:rPr>
        <w:t>有机构9个，有党委、政府、人大、财政、计生、农业、水利、人社、林业。</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38" w:name="_第二部分_2021年度部门决算情况说明"/>
      <w:bookmarkEnd w:id="38"/>
      <w:bookmarkStart w:id="39" w:name="_Toc115183547"/>
      <w:bookmarkStart w:id="40" w:name="_Toc15377204"/>
      <w:bookmarkStart w:id="41" w:name="_Toc115183745"/>
      <w:bookmarkStart w:id="42" w:name="_Toc15396602"/>
      <w:r>
        <w:rPr>
          <w:rFonts w:hint="eastAsia" w:ascii="黑体" w:hAnsi="黑体" w:eastAsia="黑体"/>
          <w:b w:val="0"/>
        </w:rPr>
        <w:t>第二部分 2021年度</w:t>
      </w:r>
      <w:r>
        <w:rPr>
          <w:rStyle w:val="30"/>
          <w:rFonts w:hint="eastAsia" w:ascii="黑体" w:hAnsi="黑体" w:eastAsia="黑体"/>
          <w:b w:val="0"/>
          <w:bCs/>
        </w:rPr>
        <w:t>部门决算情况说明</w:t>
      </w:r>
      <w:bookmarkEnd w:id="39"/>
      <w:bookmarkEnd w:id="40"/>
      <w:bookmarkEnd w:id="41"/>
      <w:bookmarkEnd w:id="42"/>
    </w:p>
    <w:p/>
    <w:p>
      <w:pPr>
        <w:pStyle w:val="29"/>
        <w:numPr>
          <w:ilvl w:val="0"/>
          <w:numId w:val="1"/>
        </w:numPr>
        <w:spacing w:line="600" w:lineRule="exact"/>
        <w:ind w:firstLineChars="0"/>
        <w:outlineLvl w:val="1"/>
        <w:rPr>
          <w:rStyle w:val="31"/>
          <w:rFonts w:ascii="黑体" w:hAnsi="黑体" w:eastAsia="黑体"/>
          <w:b w:val="0"/>
        </w:rPr>
      </w:pPr>
      <w:bookmarkStart w:id="43" w:name="_Toc15377205"/>
      <w:bookmarkStart w:id="44" w:name="_Toc115183548"/>
      <w:bookmarkStart w:id="45" w:name="_Toc115183746"/>
      <w:bookmarkStart w:id="46"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43"/>
      <w:bookmarkEnd w:id="44"/>
      <w:bookmarkEnd w:id="45"/>
      <w:bookmarkEnd w:id="46"/>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2021年度收入、支出共计717.14万元。与2020年相比，收、支总计各增加170.83万元，增长31.27</w:t>
      </w:r>
      <w:r>
        <w:rPr>
          <w:rFonts w:ascii="仿宋" w:hAnsi="仿宋" w:eastAsia="仿宋"/>
          <w:sz w:val="32"/>
          <w:szCs w:val="32"/>
        </w:rPr>
        <w:t>%</w:t>
      </w:r>
      <w:r>
        <w:rPr>
          <w:rFonts w:hint="eastAsia" w:ascii="仿宋" w:hAnsi="仿宋" w:eastAsia="仿宋"/>
          <w:sz w:val="32"/>
          <w:szCs w:val="32"/>
        </w:rPr>
        <w:t>。主要变动原因是乡镇建制调整后，职工增加及职员调动人数较多，故工资福利及办公经费收入大幅增加。</w:t>
      </w:r>
    </w:p>
    <w:p>
      <w:pPr>
        <w:spacing w:line="600" w:lineRule="exact"/>
        <w:ind w:firstLine="560" w:firstLineChars="200"/>
        <w:rPr>
          <w:rFonts w:ascii="仿宋_GB2312" w:eastAsia="仿宋_GB2312"/>
          <w:sz w:val="32"/>
          <w:szCs w:val="32"/>
        </w:rPr>
      </w:pPr>
      <w:r>
        <w:rPr>
          <w:rFonts w:ascii="仿宋" w:hAnsi="仿宋" w:eastAsia="仿宋" w:cs="仿宋"/>
          <w:color w:val="000000"/>
          <w:sz w:val="28"/>
          <w:szCs w:val="28"/>
        </w:rPr>
        <w:pict>
          <v:shape id="Object 5" o:spid="_x0000_s1026" o:spt="75" type="#_x0000_t75" style="position:absolute;left:0pt;margin-left:58.6pt;margin-top:1.1pt;height:154.8pt;width:284.35pt;mso-wrap-distance-bottom:0pt;mso-wrap-distance-top:0pt;z-index:251660288;mso-width-relative:page;mso-height-relative:page;" o:ole="t" filled="f" o:preferrelative="t" stroked="f" coordsize="21600,21600">
            <v:path/>
            <v:fill on="f" focussize="0,0"/>
            <v:stroke on="f" joinstyle="miter"/>
            <v:imagedata r:id="rId8" gain="112992f" blacklevel="-11796f" o:title=""/>
            <o:lock v:ext="edit" aspectratio="t"/>
            <w10:wrap type="topAndBottom"/>
          </v:shape>
          <o:OLEObject Type="Embed" ProgID="Excel.Sheet.8" ShapeID="Object 5" DrawAspect="Content" ObjectID="_1468075725" r:id="rId7">
            <o:LockedField>false</o:LockedField>
          </o:OLEObject>
        </w:pic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9"/>
        <w:numPr>
          <w:ilvl w:val="0"/>
          <w:numId w:val="1"/>
        </w:numPr>
        <w:spacing w:line="600" w:lineRule="exact"/>
        <w:ind w:firstLineChars="0"/>
        <w:outlineLvl w:val="1"/>
        <w:rPr>
          <w:rStyle w:val="31"/>
          <w:rFonts w:ascii="黑体" w:hAnsi="黑体" w:eastAsia="黑体"/>
          <w:b w:val="0"/>
        </w:rPr>
      </w:pPr>
      <w:bookmarkStart w:id="47" w:name="_Toc115183549"/>
      <w:bookmarkStart w:id="48" w:name="_Toc15396604"/>
      <w:bookmarkStart w:id="49" w:name="_Toc15377206"/>
      <w:bookmarkStart w:id="50" w:name="_Toc115183747"/>
      <w:bookmarkStart w:id="51" w:name="一、收入支出决算总体情况说明"/>
      <w:bookmarkStart w:id="52" w:name="二、收入决算情况说明"/>
      <w:r>
        <w:rPr>
          <w:rFonts w:hint="eastAsia" w:ascii="黑体" w:hAnsi="黑体" w:eastAsia="黑体"/>
          <w:sz w:val="32"/>
          <w:szCs w:val="32"/>
        </w:rPr>
        <w:t>收</w:t>
      </w:r>
      <w:r>
        <w:rPr>
          <w:rStyle w:val="31"/>
          <w:rFonts w:hint="eastAsia" w:ascii="黑体" w:hAnsi="黑体" w:eastAsia="黑体"/>
          <w:b w:val="0"/>
        </w:rPr>
        <w:t>入决算情况说明</w:t>
      </w:r>
      <w:bookmarkEnd w:id="47"/>
      <w:bookmarkEnd w:id="48"/>
      <w:bookmarkEnd w:id="49"/>
      <w:bookmarkEnd w:id="50"/>
    </w:p>
    <w:bookmarkEnd w:id="51"/>
    <w:bookmarkEnd w:id="52"/>
    <w:p>
      <w:pPr>
        <w:spacing w:line="600" w:lineRule="exact"/>
        <w:ind w:firstLine="640" w:firstLineChars="200"/>
        <w:outlineLvl w:val="1"/>
        <w:rPr>
          <w:rFonts w:ascii="仿宋" w:hAnsi="仿宋" w:eastAsia="仿宋"/>
          <w:sz w:val="32"/>
          <w:szCs w:val="32"/>
        </w:rPr>
      </w:pPr>
      <w:bookmarkStart w:id="53" w:name="_Toc115183748"/>
      <w:bookmarkStart w:id="54" w:name="_Toc115183550"/>
      <w:bookmarkStart w:id="55" w:name="_Toc115177416"/>
      <w:r>
        <w:rPr>
          <w:rFonts w:ascii="仿宋" w:hAnsi="仿宋" w:eastAsia="仿宋"/>
          <w:sz w:val="32"/>
          <w:szCs w:val="32"/>
        </w:rPr>
        <w:t>20</w:t>
      </w:r>
      <w:r>
        <w:rPr>
          <w:rFonts w:hint="eastAsia" w:ascii="仿宋" w:hAnsi="仿宋" w:eastAsia="仿宋"/>
          <w:sz w:val="32"/>
          <w:szCs w:val="32"/>
        </w:rPr>
        <w:t>21年本年收入合计717.14万元，其中：一般公共预算财政拨款收入716.40万元，占99.89</w:t>
      </w:r>
      <w:r>
        <w:rPr>
          <w:rFonts w:ascii="仿宋" w:hAnsi="仿宋" w:eastAsia="仿宋"/>
          <w:sz w:val="32"/>
          <w:szCs w:val="32"/>
        </w:rPr>
        <w:t>%</w:t>
      </w:r>
      <w:r>
        <w:rPr>
          <w:rFonts w:hint="eastAsia" w:ascii="仿宋" w:hAnsi="仿宋" w:eastAsia="仿宋"/>
          <w:sz w:val="32"/>
          <w:szCs w:val="32"/>
        </w:rPr>
        <w:t>；政府性基金预算财政拨款收入0.00万元，占0.00</w:t>
      </w:r>
      <w:r>
        <w:rPr>
          <w:rFonts w:ascii="仿宋" w:hAnsi="仿宋" w:eastAsia="仿宋"/>
          <w:sz w:val="32"/>
          <w:szCs w:val="32"/>
        </w:rPr>
        <w:t>%</w:t>
      </w:r>
      <w:r>
        <w:rPr>
          <w:rFonts w:hint="eastAsia" w:ascii="仿宋" w:hAnsi="仿宋" w:eastAsia="仿宋"/>
          <w:sz w:val="32"/>
          <w:szCs w:val="32"/>
        </w:rPr>
        <w:t>；国有资本经营预算财政拨款收入0.00万元，占0.00</w:t>
      </w:r>
      <w:r>
        <w:rPr>
          <w:rFonts w:ascii="仿宋" w:hAnsi="仿宋" w:eastAsia="仿宋"/>
          <w:sz w:val="32"/>
          <w:szCs w:val="32"/>
        </w:rPr>
        <w:t>%</w:t>
      </w:r>
      <w:r>
        <w:rPr>
          <w:rFonts w:hint="eastAsia" w:ascii="仿宋" w:hAnsi="仿宋" w:eastAsia="仿宋"/>
          <w:sz w:val="32"/>
          <w:szCs w:val="32"/>
        </w:rPr>
        <w:t>；上级补助收入0.00万元，占0.00</w:t>
      </w:r>
      <w:r>
        <w:rPr>
          <w:rFonts w:ascii="仿宋" w:hAnsi="仿宋" w:eastAsia="仿宋"/>
          <w:sz w:val="32"/>
          <w:szCs w:val="32"/>
        </w:rPr>
        <w:t>%</w:t>
      </w:r>
      <w:r>
        <w:rPr>
          <w:rFonts w:hint="eastAsia" w:ascii="仿宋" w:hAnsi="仿宋" w:eastAsia="仿宋"/>
          <w:sz w:val="32"/>
          <w:szCs w:val="32"/>
        </w:rPr>
        <w:t>；事业收入0.00万元，占0.00</w:t>
      </w:r>
      <w:r>
        <w:rPr>
          <w:rFonts w:ascii="仿宋" w:hAnsi="仿宋" w:eastAsia="仿宋"/>
          <w:sz w:val="32"/>
          <w:szCs w:val="32"/>
        </w:rPr>
        <w:t>%</w:t>
      </w:r>
      <w:r>
        <w:rPr>
          <w:rFonts w:hint="eastAsia" w:ascii="仿宋" w:hAnsi="仿宋" w:eastAsia="仿宋"/>
          <w:sz w:val="32"/>
          <w:szCs w:val="32"/>
        </w:rPr>
        <w:t>；经营收入0.00万元，占0.00</w:t>
      </w:r>
      <w:r>
        <w:rPr>
          <w:rFonts w:ascii="仿宋" w:hAnsi="仿宋" w:eastAsia="仿宋"/>
          <w:sz w:val="32"/>
          <w:szCs w:val="32"/>
        </w:rPr>
        <w:t>%</w:t>
      </w:r>
      <w:r>
        <w:rPr>
          <w:rFonts w:hint="eastAsia" w:ascii="仿宋" w:hAnsi="仿宋" w:eastAsia="仿宋"/>
          <w:sz w:val="32"/>
          <w:szCs w:val="32"/>
        </w:rPr>
        <w:t>；附属单位上缴收入0.00万元，占0.00</w:t>
      </w:r>
      <w:r>
        <w:rPr>
          <w:rFonts w:ascii="仿宋" w:hAnsi="仿宋" w:eastAsia="仿宋"/>
          <w:sz w:val="32"/>
          <w:szCs w:val="32"/>
        </w:rPr>
        <w:t>%</w:t>
      </w:r>
      <w:r>
        <w:rPr>
          <w:rFonts w:hint="eastAsia" w:ascii="仿宋" w:hAnsi="仿宋" w:eastAsia="仿宋"/>
          <w:sz w:val="32"/>
          <w:szCs w:val="32"/>
        </w:rPr>
        <w:t>；其他收入0.73万元，占0.01</w:t>
      </w:r>
      <w:r>
        <w:rPr>
          <w:rFonts w:ascii="仿宋" w:hAnsi="仿宋" w:eastAsia="仿宋"/>
          <w:sz w:val="32"/>
          <w:szCs w:val="32"/>
        </w:rPr>
        <w:t>%</w:t>
      </w:r>
      <w:r>
        <w:rPr>
          <w:rFonts w:hint="eastAsia" w:ascii="仿宋" w:hAnsi="仿宋" w:eastAsia="仿宋"/>
          <w:sz w:val="32"/>
          <w:szCs w:val="32"/>
        </w:rPr>
        <w:t>。</w:t>
      </w:r>
      <w:bookmarkEnd w:id="53"/>
      <w:bookmarkEnd w:id="54"/>
      <w:bookmarkEnd w:id="55"/>
    </w:p>
    <w:p>
      <w:pPr>
        <w:spacing w:line="600" w:lineRule="exact"/>
        <w:ind w:firstLine="640" w:firstLineChars="200"/>
        <w:outlineLvl w:val="1"/>
        <w:rPr>
          <w:rFonts w:ascii="仿宋" w:hAnsi="仿宋" w:eastAsia="仿宋"/>
          <w:sz w:val="32"/>
          <w:szCs w:val="32"/>
        </w:rPr>
      </w:pPr>
      <w:bookmarkStart w:id="56" w:name="_Toc115183494"/>
      <w:bookmarkStart w:id="57" w:name="_Toc115177417"/>
      <w:bookmarkStart w:id="58" w:name="_Toc115183551"/>
      <w:bookmarkStart w:id="59" w:name="_Toc115183749"/>
      <w:r>
        <w:rPr>
          <w:rFonts w:ascii="仿宋" w:hAnsi="仿宋" w:eastAsia="仿宋"/>
          <w:color w:val="000000"/>
          <w:sz w:val="32"/>
          <w:szCs w:val="32"/>
        </w:rPr>
        <w:pict>
          <v:shape id="Object 9" o:spid="_x0000_s1027" o:spt="75" type="#_x0000_t75" style="position:absolute;left:0pt;margin-left:12.4pt;margin-top:1.5pt;height:222.75pt;width:366.7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10" o:title=""/>
            <o:lock v:ext="edit" aspectratio="t"/>
            <w10:wrap type="square"/>
          </v:shape>
          <o:OLEObject Type="Embed" ProgID="Excel.Sheet.8" ShapeID="Object 9" DrawAspect="Content" ObjectID="_1468075726" r:id="rId9">
            <o:LockedField>false</o:LockedField>
          </o:OLEObject>
        </w:pict>
      </w:r>
      <w:bookmarkEnd w:id="56"/>
      <w:bookmarkEnd w:id="57"/>
      <w:bookmarkEnd w:id="58"/>
      <w:bookmarkEnd w:id="59"/>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960" w:firstLineChars="300"/>
        <w:rPr>
          <w:rFonts w:ascii="仿宋_GB2312" w:eastAsia="仿宋_GB2312"/>
          <w:sz w:val="32"/>
          <w:szCs w:val="32"/>
        </w:rPr>
      </w:pPr>
      <w:r>
        <w:rPr>
          <w:rFonts w:hint="eastAsia" w:ascii="仿宋" w:hAnsi="仿宋" w:eastAsia="仿宋"/>
          <w:sz w:val="32"/>
          <w:szCs w:val="32"/>
        </w:rPr>
        <w:t>（图2：收入决算结构图）（饼状图）</w:t>
      </w:r>
    </w:p>
    <w:p>
      <w:pPr>
        <w:pStyle w:val="29"/>
        <w:numPr>
          <w:ilvl w:val="0"/>
          <w:numId w:val="1"/>
        </w:numPr>
        <w:spacing w:line="600" w:lineRule="exact"/>
        <w:ind w:firstLineChars="0"/>
        <w:outlineLvl w:val="1"/>
        <w:rPr>
          <w:rStyle w:val="31"/>
          <w:rFonts w:ascii="黑体" w:hAnsi="黑体" w:eastAsia="黑体"/>
          <w:b w:val="0"/>
        </w:rPr>
      </w:pPr>
      <w:bookmarkStart w:id="60" w:name="_Toc15396605"/>
      <w:bookmarkStart w:id="61" w:name="_Toc15377207"/>
      <w:bookmarkStart w:id="62" w:name="_Toc115183552"/>
      <w:bookmarkStart w:id="63" w:name="_Toc115183750"/>
      <w:bookmarkStart w:id="64" w:name="三、支出决算情况说明"/>
      <w:r>
        <w:rPr>
          <w:rFonts w:hint="eastAsia" w:ascii="黑体" w:hAnsi="黑体" w:eastAsia="黑体"/>
          <w:sz w:val="32"/>
          <w:szCs w:val="32"/>
        </w:rPr>
        <w:t>支</w:t>
      </w:r>
      <w:r>
        <w:rPr>
          <w:rStyle w:val="31"/>
          <w:rFonts w:hint="eastAsia" w:ascii="黑体" w:hAnsi="黑体" w:eastAsia="黑体"/>
          <w:b w:val="0"/>
        </w:rPr>
        <w:t>出决算情况说明</w:t>
      </w:r>
      <w:bookmarkEnd w:id="60"/>
      <w:bookmarkEnd w:id="61"/>
      <w:bookmarkEnd w:id="62"/>
      <w:bookmarkEnd w:id="63"/>
    </w:p>
    <w:bookmarkEnd w:id="64"/>
    <w:p>
      <w:pPr>
        <w:spacing w:line="600" w:lineRule="exact"/>
        <w:ind w:firstLine="640" w:firstLineChars="200"/>
        <w:outlineLvl w:val="1"/>
        <w:rPr>
          <w:rFonts w:ascii="仿宋" w:hAnsi="仿宋" w:eastAsia="仿宋"/>
          <w:sz w:val="32"/>
          <w:szCs w:val="32"/>
        </w:rPr>
      </w:pPr>
      <w:bookmarkStart w:id="65" w:name="_Toc115183751"/>
      <w:bookmarkStart w:id="66" w:name="_Toc115183553"/>
      <w:bookmarkStart w:id="67" w:name="_Toc115177419"/>
      <w:r>
        <w:rPr>
          <w:rFonts w:ascii="仿宋" w:hAnsi="仿宋" w:eastAsia="仿宋"/>
          <w:sz w:val="32"/>
          <w:szCs w:val="32"/>
        </w:rPr>
        <w:t>20</w:t>
      </w:r>
      <w:r>
        <w:rPr>
          <w:rFonts w:hint="eastAsia" w:ascii="仿宋" w:hAnsi="仿宋" w:eastAsia="仿宋"/>
          <w:sz w:val="32"/>
          <w:szCs w:val="32"/>
        </w:rPr>
        <w:t>21年本年支出合计717.14万元，其中：基本支出482.75万元，占67.32</w:t>
      </w:r>
      <w:r>
        <w:rPr>
          <w:rFonts w:ascii="仿宋" w:hAnsi="仿宋" w:eastAsia="仿宋"/>
          <w:sz w:val="32"/>
          <w:szCs w:val="32"/>
        </w:rPr>
        <w:t>%</w:t>
      </w:r>
      <w:r>
        <w:rPr>
          <w:rFonts w:hint="eastAsia" w:ascii="仿宋" w:hAnsi="仿宋" w:eastAsia="仿宋"/>
          <w:sz w:val="32"/>
          <w:szCs w:val="32"/>
        </w:rPr>
        <w:t>；项目支出234.38万元，占32.68</w:t>
      </w:r>
      <w:r>
        <w:rPr>
          <w:rFonts w:ascii="仿宋" w:hAnsi="仿宋" w:eastAsia="仿宋"/>
          <w:sz w:val="32"/>
          <w:szCs w:val="32"/>
        </w:rPr>
        <w:t>%</w:t>
      </w:r>
      <w:r>
        <w:rPr>
          <w:rFonts w:hint="eastAsia" w:ascii="仿宋" w:hAnsi="仿宋" w:eastAsia="仿宋"/>
          <w:sz w:val="32"/>
          <w:szCs w:val="32"/>
        </w:rPr>
        <w:t>；上缴上级支出0.00万元，占0.00</w:t>
      </w:r>
      <w:r>
        <w:rPr>
          <w:rFonts w:ascii="仿宋" w:hAnsi="仿宋" w:eastAsia="仿宋"/>
          <w:sz w:val="32"/>
          <w:szCs w:val="32"/>
        </w:rPr>
        <w:t>%</w:t>
      </w:r>
      <w:r>
        <w:rPr>
          <w:rFonts w:hint="eastAsia" w:ascii="仿宋" w:hAnsi="仿宋" w:eastAsia="仿宋"/>
          <w:sz w:val="32"/>
          <w:szCs w:val="32"/>
        </w:rPr>
        <w:t>；经营支出0.00万元，占0.00</w:t>
      </w:r>
      <w:r>
        <w:rPr>
          <w:rFonts w:ascii="仿宋" w:hAnsi="仿宋" w:eastAsia="仿宋"/>
          <w:sz w:val="32"/>
          <w:szCs w:val="32"/>
        </w:rPr>
        <w:t>%</w:t>
      </w:r>
      <w:r>
        <w:rPr>
          <w:rFonts w:hint="eastAsia" w:ascii="仿宋" w:hAnsi="仿宋" w:eastAsia="仿宋"/>
          <w:sz w:val="32"/>
          <w:szCs w:val="32"/>
        </w:rPr>
        <w:t>；对附属单位补助支出0.00万元，占0.00</w:t>
      </w:r>
      <w:r>
        <w:rPr>
          <w:rFonts w:ascii="仿宋" w:hAnsi="仿宋" w:eastAsia="仿宋"/>
          <w:sz w:val="32"/>
          <w:szCs w:val="32"/>
        </w:rPr>
        <w:t>%</w:t>
      </w:r>
      <w:r>
        <w:rPr>
          <w:rFonts w:hint="eastAsia" w:ascii="仿宋" w:hAnsi="仿宋" w:eastAsia="仿宋"/>
          <w:sz w:val="32"/>
          <w:szCs w:val="32"/>
        </w:rPr>
        <w:t>。</w:t>
      </w:r>
      <w:bookmarkEnd w:id="65"/>
      <w:bookmarkEnd w:id="66"/>
      <w:bookmarkEnd w:id="67"/>
    </w:p>
    <w:p>
      <w:pPr>
        <w:pStyle w:val="6"/>
        <w:spacing w:before="93"/>
      </w:pPr>
      <w:r>
        <w:rPr>
          <w:rFonts w:ascii="仿宋" w:hAnsi="仿宋" w:eastAsia="仿宋"/>
          <w:color w:val="000000"/>
          <w:sz w:val="32"/>
          <w:szCs w:val="32"/>
        </w:rPr>
        <w:pict>
          <v:shape id="Object 10" o:spid="_x0000_s1031" o:spt="75" type="#_x0000_t75" style="position:absolute;left:0pt;margin-left:17.25pt;margin-top:8.15pt;height:222.75pt;width:366.7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2" o:title=""/>
            <o:lock v:ext="edit" aspectratio="t"/>
            <w10:wrap type="square"/>
          </v:shape>
          <o:OLEObject Type="Embed" ProgID="Excel.Sheet.8" ShapeID="Object 10" DrawAspect="Content" ObjectID="_1468075727" r:id="rId11">
            <o:LockedField>false</o:LockedField>
          </o:OLEObject>
        </w:pict>
      </w:r>
    </w:p>
    <w:p>
      <w:pPr>
        <w:pStyle w:val="6"/>
        <w:spacing w:before="93"/>
      </w:pPr>
    </w:p>
    <w:p>
      <w:pPr>
        <w:pStyle w:val="6"/>
        <w:spacing w:before="93"/>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 图3：支出决算结构图（饼状图）</w:t>
      </w:r>
    </w:p>
    <w:p>
      <w:pPr>
        <w:spacing w:line="600" w:lineRule="exact"/>
        <w:ind w:firstLine="640" w:firstLineChars="200"/>
        <w:outlineLvl w:val="1"/>
        <w:rPr>
          <w:rStyle w:val="31"/>
          <w:rFonts w:ascii="黑体" w:hAnsi="黑体" w:eastAsia="黑体"/>
          <w:b w:val="0"/>
        </w:rPr>
      </w:pPr>
      <w:bookmarkStart w:id="68" w:name="_Toc15396606"/>
      <w:bookmarkStart w:id="69" w:name="_Toc115183752"/>
      <w:bookmarkStart w:id="70" w:name="_Toc115183554"/>
      <w:bookmarkStart w:id="71" w:name="_Toc15377208"/>
      <w:bookmarkStart w:id="72" w:name="四、财政拨款收入支出决算总体情况说明"/>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68"/>
      <w:bookmarkEnd w:id="69"/>
      <w:bookmarkEnd w:id="70"/>
      <w:bookmarkEnd w:id="71"/>
    </w:p>
    <w:bookmarkEnd w:id="72"/>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21年财政拨款收、支总计716.40万元。与</w:t>
      </w:r>
      <w:r>
        <w:rPr>
          <w:rFonts w:ascii="仿宋" w:hAnsi="仿宋" w:eastAsia="仿宋"/>
          <w:sz w:val="32"/>
          <w:szCs w:val="32"/>
        </w:rPr>
        <w:t>20</w:t>
      </w:r>
      <w:r>
        <w:rPr>
          <w:rFonts w:hint="eastAsia" w:ascii="仿宋" w:hAnsi="仿宋" w:eastAsia="仿宋"/>
          <w:sz w:val="32"/>
          <w:szCs w:val="32"/>
        </w:rPr>
        <w:t>20年相比，财政拨款收、支总计各增加170.95万元，增长31.34</w:t>
      </w:r>
      <w:r>
        <w:rPr>
          <w:rFonts w:ascii="仿宋" w:hAnsi="仿宋" w:eastAsia="仿宋"/>
          <w:sz w:val="32"/>
          <w:szCs w:val="32"/>
        </w:rPr>
        <w:t>%</w:t>
      </w:r>
      <w:r>
        <w:rPr>
          <w:rFonts w:hint="eastAsia" w:ascii="仿宋" w:hAnsi="仿宋" w:eastAsia="仿宋"/>
          <w:sz w:val="32"/>
          <w:szCs w:val="32"/>
        </w:rPr>
        <w:t>。主要变动原因是乡镇建制调整后，职工增加及职员调动人数较多，故工资福利及办公经费支出大幅增加</w:t>
      </w:r>
      <w:r>
        <w:rPr>
          <w:rFonts w:hint="eastAsia" w:ascii="仿宋" w:hAnsi="仿宋" w:eastAsia="仿宋"/>
          <w:b/>
          <w:sz w:val="32"/>
          <w:szCs w:val="32"/>
        </w:rPr>
        <w:t>。</w:t>
      </w:r>
    </w:p>
    <w:p>
      <w:pPr>
        <w:spacing w:line="600" w:lineRule="exact"/>
        <w:ind w:firstLine="560" w:firstLineChars="200"/>
        <w:rPr>
          <w:rFonts w:ascii="仿宋" w:hAnsi="仿宋" w:eastAsia="仿宋"/>
          <w:b/>
          <w:sz w:val="32"/>
          <w:szCs w:val="32"/>
        </w:rPr>
      </w:pPr>
      <w:r>
        <w:rPr>
          <w:rFonts w:ascii="仿宋" w:hAnsi="仿宋" w:eastAsia="仿宋" w:cs="仿宋"/>
          <w:color w:val="000000"/>
          <w:sz w:val="28"/>
          <w:szCs w:val="28"/>
        </w:rPr>
        <w:pict>
          <v:shape id="_x0000_s1032" o:spid="_x0000_s1032" o:spt="75" type="#_x0000_t75" style="position:absolute;left:0pt;margin-left:51.1pt;margin-top:1.65pt;height:154.8pt;width:284.35pt;mso-wrap-distance-bottom:0pt;mso-wrap-distance-top:0pt;z-index:251663360;mso-width-relative:page;mso-height-relative:page;" o:ole="t" filled="f" o:preferrelative="t" stroked="f" coordsize="21600,21600">
            <v:path/>
            <v:fill on="f" focussize="0,0"/>
            <v:stroke on="f" joinstyle="miter"/>
            <v:imagedata r:id="rId14" gain="112992f" blacklevel="-11796f" o:title=""/>
            <o:lock v:ext="edit" aspectratio="t"/>
            <w10:wrap type="topAndBottom"/>
          </v:shape>
          <o:OLEObject Type="Embed" ProgID="Excel.Sheet.8" ShapeID="_x0000_s1032" DrawAspect="Content" ObjectID="_1468075728" r:id="rId13">
            <o:LockedField>false</o:LockedField>
          </o:OLEObject>
        </w:pict>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1"/>
          <w:rFonts w:ascii="黑体" w:hAnsi="黑体" w:eastAsia="黑体"/>
          <w:b w:val="0"/>
        </w:rPr>
      </w:pPr>
      <w:bookmarkStart w:id="73" w:name="_Toc15396607"/>
      <w:bookmarkStart w:id="74" w:name="_Toc115183753"/>
      <w:bookmarkStart w:id="75" w:name="_Toc115183555"/>
      <w:bookmarkStart w:id="76" w:name="_Toc15377209"/>
      <w:bookmarkStart w:id="77" w:name="五、一般公共预算财政拨款支出决算情况说明"/>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73"/>
      <w:bookmarkEnd w:id="74"/>
      <w:bookmarkEnd w:id="75"/>
      <w:bookmarkEnd w:id="76"/>
    </w:p>
    <w:bookmarkEnd w:id="77"/>
    <w:p>
      <w:pPr>
        <w:spacing w:line="600" w:lineRule="exact"/>
        <w:ind w:firstLine="642" w:firstLineChars="200"/>
        <w:outlineLvl w:val="2"/>
        <w:rPr>
          <w:rFonts w:ascii="仿宋" w:hAnsi="仿宋" w:eastAsia="仿宋"/>
          <w:b/>
          <w:sz w:val="32"/>
          <w:szCs w:val="32"/>
        </w:rPr>
      </w:pPr>
      <w:bookmarkStart w:id="78" w:name="_Toc115177422"/>
      <w:bookmarkStart w:id="79" w:name="_Toc115183556"/>
      <w:bookmarkStart w:id="80" w:name="_Toc115183754"/>
      <w:bookmarkStart w:id="81" w:name="_Toc15377210"/>
      <w:r>
        <w:rPr>
          <w:rFonts w:hint="eastAsia" w:ascii="仿宋" w:hAnsi="仿宋" w:eastAsia="仿宋"/>
          <w:b/>
          <w:sz w:val="32"/>
          <w:szCs w:val="32"/>
        </w:rPr>
        <w:t>（一）一般公共预算财政拨款支出决算总体情况</w:t>
      </w:r>
      <w:bookmarkEnd w:id="78"/>
      <w:bookmarkEnd w:id="79"/>
      <w:bookmarkEnd w:id="80"/>
      <w:bookmarkEnd w:id="8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21年一般公共预算财政拨款支出716.40万元，占本年支出合计的99.89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20年相比，一般公共预算财政拨款支出增加170.83万元，增长31.27</w:t>
      </w:r>
      <w:r>
        <w:rPr>
          <w:rFonts w:ascii="仿宋" w:hAnsi="仿宋" w:eastAsia="仿宋"/>
          <w:sz w:val="32"/>
          <w:szCs w:val="32"/>
        </w:rPr>
        <w:t>%</w:t>
      </w:r>
      <w:r>
        <w:rPr>
          <w:rFonts w:hint="eastAsia" w:ascii="仿宋" w:hAnsi="仿宋" w:eastAsia="仿宋"/>
          <w:sz w:val="32"/>
          <w:szCs w:val="32"/>
        </w:rPr>
        <w:t>。主要变动原因是乡镇建制调整后，职工增加及职员调动人数较多，故工资福利、办公经费及社会保险支出增加。</w:t>
      </w:r>
    </w:p>
    <w:p>
      <w:pPr>
        <w:pStyle w:val="6"/>
        <w:spacing w:before="93"/>
        <w:rPr>
          <w:rFonts w:ascii="仿宋" w:hAnsi="仿宋" w:eastAsia="仿宋"/>
          <w:sz w:val="32"/>
          <w:szCs w:val="32"/>
        </w:rPr>
      </w:pPr>
      <w:r>
        <w:rPr>
          <w:rFonts w:ascii="仿宋" w:hAnsi="仿宋" w:eastAsia="仿宋"/>
          <w:color w:val="000000"/>
          <w:sz w:val="32"/>
          <w:szCs w:val="32"/>
        </w:rPr>
        <w:pict>
          <v:shape id="Object 13" o:spid="_x0000_s1035" o:spt="75" type="#_x0000_t75" style="position:absolute;left:0pt;margin-left:27.5pt;margin-top:-578pt;height:222.75pt;width:366.75pt;mso-wrap-distance-bottom:0pt;mso-wrap-distance-left:9pt;mso-wrap-distance-right:9pt;mso-wrap-distance-top:0pt;z-index:251664384;mso-width-relative:page;mso-height-relative:page;" o:ole="t" filled="f" o:preferrelative="t" stroked="f" coordsize="21600,21600">
            <v:path/>
            <v:fill on="f" focussize="0,0"/>
            <v:stroke on="f" joinstyle="miter"/>
            <v:imagedata r:id="rId16" o:title=""/>
            <o:lock v:ext="edit" aspectratio="t"/>
            <w10:wrap type="square"/>
          </v:shape>
          <o:OLEObject Type="Embed" ProgID="Excel.Sheet.8" ShapeID="Object 13" DrawAspect="Content" ObjectID="_1468075729" r:id="rId15">
            <o:LockedField>false</o:LockedField>
          </o:OLEObject>
        </w:pict>
      </w: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82" w:name="_Toc115183755"/>
      <w:bookmarkStart w:id="83" w:name="_Toc15377211"/>
      <w:bookmarkStart w:id="84" w:name="_Toc115177423"/>
      <w:bookmarkStart w:id="85" w:name="_Toc115183557"/>
      <w:r>
        <w:rPr>
          <w:rFonts w:hint="eastAsia" w:ascii="仿宋" w:hAnsi="仿宋" w:eastAsia="仿宋"/>
          <w:b/>
          <w:sz w:val="32"/>
          <w:szCs w:val="32"/>
        </w:rPr>
        <w:t>（二）一般公共预算财政拨款支出决算结构情况</w:t>
      </w:r>
      <w:bookmarkEnd w:id="82"/>
      <w:bookmarkEnd w:id="83"/>
      <w:bookmarkEnd w:id="84"/>
      <w:bookmarkEnd w:id="8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21年一般公共预算财政拨款支出716.40万元，主要用于以下方面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支出263.49万元，占36.78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支出66.58万元，占9.29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36.38万元，占5.08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rPr>
        <w:t>8.00万元，占1.12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316.62万元，占44.20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25.33万元，占3.53</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color w:val="000000"/>
          <w:sz w:val="32"/>
          <w:szCs w:val="32"/>
        </w:rPr>
        <w:pict>
          <v:shape id="Object 11" o:spid="_x0000_s1039" o:spt="75" type="#_x0000_t75" style="position:absolute;left:0pt;margin-left:42.15pt;margin-top:7.2pt;height:222.75pt;width:273.7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18" o:title=""/>
            <o:lock v:ext="edit" aspectratio="t"/>
            <w10:wrap type="square"/>
          </v:shape>
          <o:OLEObject Type="Embed" ProgID="Excel.Sheet.8" ShapeID="Object 11" DrawAspect="Content" ObjectID="_1468075730" r:id="rId17">
            <o:LockedField>false</o:LockedField>
          </o:OLEObject>
        </w:pic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86" w:name="_Toc115183756"/>
      <w:bookmarkStart w:id="87" w:name="_Toc115183558"/>
      <w:bookmarkStart w:id="88" w:name="_Toc15377212"/>
      <w:bookmarkStart w:id="89" w:name="_Toc115177424"/>
      <w:r>
        <w:rPr>
          <w:rFonts w:hint="eastAsia" w:ascii="仿宋" w:hAnsi="仿宋" w:eastAsia="仿宋"/>
          <w:b/>
          <w:sz w:val="32"/>
          <w:szCs w:val="32"/>
        </w:rPr>
        <w:t>（三）一般公共预算财政拨款支出决算具体情况</w:t>
      </w:r>
      <w:bookmarkEnd w:id="86"/>
      <w:bookmarkEnd w:id="87"/>
      <w:bookmarkEnd w:id="88"/>
      <w:bookmarkEnd w:id="89"/>
    </w:p>
    <w:p>
      <w:pPr>
        <w:spacing w:line="600" w:lineRule="exact"/>
        <w:ind w:firstLine="642" w:firstLineChars="200"/>
        <w:outlineLvl w:val="2"/>
        <w:rPr>
          <w:rFonts w:ascii="仿宋" w:hAnsi="仿宋" w:eastAsia="仿宋"/>
          <w:sz w:val="32"/>
          <w:szCs w:val="32"/>
        </w:rPr>
      </w:pPr>
      <w:bookmarkStart w:id="90" w:name="_Toc115183559"/>
      <w:bookmarkStart w:id="91" w:name="_Toc115183757"/>
      <w:bookmarkStart w:id="92" w:name="_Toc115177425"/>
      <w:bookmarkStart w:id="93" w:name="_Toc15377213"/>
      <w:bookmarkStart w:id="94" w:name="_Toc15378460"/>
      <w:bookmarkStart w:id="95" w:name="_Toc15377444"/>
      <w:r>
        <w:rPr>
          <w:rFonts w:hint="eastAsia" w:ascii="仿宋" w:hAnsi="仿宋" w:eastAsia="仿宋"/>
          <w:b/>
          <w:sz w:val="32"/>
          <w:szCs w:val="32"/>
        </w:rPr>
        <w:t>2021年一般公共预算支出决算数为716.40</w:t>
      </w:r>
      <w:r>
        <w:rPr>
          <w:rFonts w:hint="eastAsia" w:ascii="仿宋" w:hAnsi="仿宋" w:eastAsia="仿宋"/>
          <w:sz w:val="32"/>
          <w:szCs w:val="32"/>
        </w:rPr>
        <w:t>，</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90"/>
      <w:bookmarkEnd w:id="91"/>
      <w:bookmarkEnd w:id="92"/>
      <w:bookmarkEnd w:id="93"/>
      <w:bookmarkEnd w:id="94"/>
      <w:bookmarkEnd w:id="95"/>
    </w:p>
    <w:p>
      <w:pPr>
        <w:spacing w:line="600" w:lineRule="exact"/>
        <w:ind w:firstLine="642" w:firstLineChars="200"/>
        <w:rPr>
          <w:rFonts w:ascii="仿宋" w:hAnsi="仿宋" w:eastAsia="仿宋"/>
          <w:b/>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一般公共服务（类）党委、政府、人大事务（款）行政运行（项）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支出决算为263.49万元，较年初预算增加12.65</w:t>
      </w:r>
      <w:r>
        <w:rPr>
          <w:rStyle w:val="19"/>
          <w:rFonts w:ascii="仿宋" w:hAnsi="仿宋" w:eastAsia="仿宋"/>
          <w:b w:val="0"/>
          <w:bCs/>
          <w:sz w:val="32"/>
          <w:szCs w:val="32"/>
        </w:rPr>
        <w:t>%</w:t>
      </w:r>
      <w:r>
        <w:rPr>
          <w:rStyle w:val="19"/>
          <w:rFonts w:hint="eastAsia" w:ascii="仿宋" w:hAnsi="仿宋" w:eastAsia="仿宋"/>
          <w:b w:val="0"/>
          <w:bCs/>
          <w:sz w:val="32"/>
          <w:szCs w:val="32"/>
        </w:rPr>
        <w:t>，增加的主要原因是乡镇建制调整后编制人员增加和人事调动较多，故工资福利、公用支出增加。</w:t>
      </w:r>
    </w:p>
    <w:p>
      <w:pPr>
        <w:spacing w:line="600" w:lineRule="exact"/>
        <w:ind w:firstLine="642" w:firstLineChars="200"/>
        <w:rPr>
          <w:rFonts w:ascii="仿宋" w:hAnsi="仿宋" w:eastAsia="仿宋"/>
          <w:b/>
          <w:sz w:val="32"/>
          <w:szCs w:val="32"/>
        </w:rPr>
      </w:pPr>
      <w:r>
        <w:rPr>
          <w:rStyle w:val="19"/>
          <w:rFonts w:hint="eastAsia" w:ascii="仿宋" w:hAnsi="仿宋" w:eastAsia="仿宋"/>
          <w:bCs/>
          <w:sz w:val="32"/>
          <w:szCs w:val="32"/>
        </w:rPr>
        <w:t>2</w:t>
      </w:r>
      <w:r>
        <w:rPr>
          <w:rStyle w:val="19"/>
          <w:rFonts w:ascii="仿宋" w:hAnsi="仿宋" w:eastAsia="仿宋"/>
          <w:bCs/>
          <w:sz w:val="32"/>
          <w:szCs w:val="32"/>
        </w:rPr>
        <w:t>.</w:t>
      </w:r>
      <w:r>
        <w:rPr>
          <w:rStyle w:val="19"/>
          <w:rFonts w:hint="eastAsia" w:ascii="仿宋" w:hAnsi="仿宋" w:eastAsia="仿宋"/>
          <w:bCs/>
          <w:sz w:val="32"/>
          <w:szCs w:val="32"/>
        </w:rPr>
        <w:t>社会保障和就业（类）民政管理、社会保障和就业管理事务（款）事业运行和职工保险（项）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支出决算为66.58万元，较年初预算增加88.08</w:t>
      </w:r>
      <w:r>
        <w:rPr>
          <w:rStyle w:val="19"/>
          <w:rFonts w:ascii="仿宋" w:hAnsi="仿宋" w:eastAsia="仿宋"/>
          <w:b w:val="0"/>
          <w:bCs/>
          <w:sz w:val="32"/>
          <w:szCs w:val="32"/>
        </w:rPr>
        <w:t>%</w:t>
      </w:r>
      <w:r>
        <w:rPr>
          <w:rStyle w:val="19"/>
          <w:rFonts w:hint="eastAsia" w:ascii="仿宋" w:hAnsi="仿宋" w:eastAsia="仿宋"/>
          <w:b w:val="0"/>
          <w:bCs/>
          <w:sz w:val="32"/>
          <w:szCs w:val="32"/>
        </w:rPr>
        <w:t>，增加的主要原因是2021年进行了高寒山区基层干部冬季集中供暖建设项目。</w:t>
      </w:r>
    </w:p>
    <w:p>
      <w:pPr>
        <w:spacing w:line="600" w:lineRule="exact"/>
        <w:ind w:firstLine="642" w:firstLineChars="200"/>
        <w:rPr>
          <w:rFonts w:ascii="仿宋" w:hAnsi="仿宋" w:eastAsia="仿宋"/>
          <w:b/>
          <w:sz w:val="32"/>
          <w:szCs w:val="32"/>
        </w:rPr>
      </w:pPr>
      <w:r>
        <w:rPr>
          <w:rStyle w:val="19"/>
          <w:rFonts w:hint="eastAsia" w:ascii="仿宋" w:hAnsi="仿宋" w:eastAsia="仿宋"/>
          <w:bCs/>
          <w:sz w:val="32"/>
          <w:szCs w:val="32"/>
        </w:rPr>
        <w:t>3</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（类）卫生健康管理事务（款）机关服务和行政单位医疗（项）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支出决算为36.38万元，较年初预算增加59.42</w:t>
      </w:r>
      <w:r>
        <w:rPr>
          <w:rStyle w:val="19"/>
          <w:rFonts w:ascii="仿宋" w:hAnsi="仿宋" w:eastAsia="仿宋"/>
          <w:b w:val="0"/>
          <w:bCs/>
          <w:sz w:val="32"/>
          <w:szCs w:val="32"/>
        </w:rPr>
        <w:t>%</w:t>
      </w:r>
      <w:r>
        <w:rPr>
          <w:rStyle w:val="19"/>
          <w:rFonts w:hint="eastAsia" w:ascii="仿宋" w:hAnsi="仿宋" w:eastAsia="仿宋"/>
          <w:b w:val="0"/>
          <w:bCs/>
          <w:sz w:val="32"/>
          <w:szCs w:val="32"/>
        </w:rPr>
        <w:t>，增加的主要原因是乡镇建制调整后编制人员增加和人事调动较多，故工资福利、职工医疗保险等支出增加。</w:t>
      </w:r>
    </w:p>
    <w:p>
      <w:pPr>
        <w:spacing w:line="600" w:lineRule="exact"/>
        <w:ind w:firstLine="642" w:firstLineChars="200"/>
        <w:rPr>
          <w:rStyle w:val="19"/>
          <w:rFonts w:ascii="仿宋" w:hAnsi="仿宋" w:eastAsia="仿宋"/>
          <w:b w:val="0"/>
          <w:bCs/>
          <w:sz w:val="32"/>
          <w:szCs w:val="32"/>
        </w:rPr>
      </w:pPr>
      <w:r>
        <w:rPr>
          <w:rStyle w:val="19"/>
          <w:rFonts w:hint="eastAsia" w:ascii="仿宋" w:hAnsi="仿宋" w:eastAsia="仿宋"/>
          <w:bCs/>
          <w:sz w:val="32"/>
          <w:szCs w:val="32"/>
        </w:rPr>
        <w:t>4</w:t>
      </w:r>
      <w:r>
        <w:rPr>
          <w:rStyle w:val="19"/>
          <w:rFonts w:ascii="仿宋" w:hAnsi="仿宋" w:eastAsia="仿宋"/>
          <w:bCs/>
          <w:sz w:val="32"/>
          <w:szCs w:val="32"/>
        </w:rPr>
        <w:t>.</w:t>
      </w:r>
      <w:r>
        <w:rPr>
          <w:rFonts w:hint="eastAsia" w:ascii="仿宋" w:hAnsi="仿宋" w:eastAsia="仿宋"/>
          <w:b/>
          <w:bCs/>
          <w:sz w:val="32"/>
          <w:szCs w:val="32"/>
        </w:rPr>
        <w:t>农林水</w:t>
      </w:r>
      <w:r>
        <w:rPr>
          <w:rStyle w:val="19"/>
          <w:rFonts w:hint="eastAsia" w:ascii="仿宋" w:hAnsi="仿宋" w:eastAsia="仿宋"/>
          <w:bCs/>
          <w:sz w:val="32"/>
          <w:szCs w:val="32"/>
        </w:rPr>
        <w:t>（类）农业农村、林业和草原、水利、农村综合改革事务（款）城乡社区环境卫生（项）</w:t>
      </w:r>
      <w:r>
        <w:rPr>
          <w:rStyle w:val="19"/>
          <w:rFonts w:ascii="仿宋" w:hAnsi="仿宋" w:eastAsia="仿宋"/>
          <w:bCs/>
          <w:sz w:val="32"/>
          <w:szCs w:val="32"/>
        </w:rPr>
        <w:t>:</w:t>
      </w:r>
      <w:r>
        <w:rPr>
          <w:rStyle w:val="19"/>
          <w:rFonts w:hint="eastAsia" w:ascii="仿宋" w:hAnsi="仿宋" w:eastAsia="仿宋"/>
          <w:b w:val="0"/>
          <w:bCs/>
          <w:sz w:val="32"/>
          <w:szCs w:val="32"/>
        </w:rPr>
        <w:t>支出决算为8.00万元，较年初预算增加0</w:t>
      </w:r>
      <w:r>
        <w:rPr>
          <w:rStyle w:val="19"/>
          <w:rFonts w:ascii="仿宋" w:hAnsi="仿宋" w:eastAsia="仿宋"/>
          <w:b w:val="0"/>
          <w:bCs/>
          <w:sz w:val="32"/>
          <w:szCs w:val="32"/>
        </w:rPr>
        <w:t>%</w:t>
      </w:r>
      <w:r>
        <w:rPr>
          <w:rStyle w:val="19"/>
          <w:rFonts w:hint="eastAsia" w:ascii="仿宋" w:hAnsi="仿宋" w:eastAsia="仿宋"/>
          <w:b w:val="0"/>
          <w:bCs/>
          <w:sz w:val="32"/>
          <w:szCs w:val="32"/>
        </w:rPr>
        <w:t>，主要用于公共场所的环境卫生。</w:t>
      </w:r>
    </w:p>
    <w:p>
      <w:pPr>
        <w:spacing w:line="600" w:lineRule="exact"/>
        <w:ind w:firstLine="642" w:firstLineChars="200"/>
        <w:rPr>
          <w:rStyle w:val="19"/>
          <w:rFonts w:ascii="仿宋" w:hAnsi="仿宋" w:eastAsia="仿宋"/>
          <w:b w:val="0"/>
          <w:bCs/>
          <w:sz w:val="32"/>
          <w:szCs w:val="32"/>
        </w:rPr>
      </w:pPr>
      <w:r>
        <w:rPr>
          <w:rStyle w:val="19"/>
          <w:rFonts w:hint="eastAsia" w:ascii="仿宋" w:hAnsi="仿宋" w:eastAsia="仿宋"/>
          <w:bCs/>
          <w:sz w:val="32"/>
          <w:szCs w:val="32"/>
        </w:rPr>
        <w:t>5</w:t>
      </w:r>
      <w:r>
        <w:rPr>
          <w:rStyle w:val="19"/>
          <w:rFonts w:ascii="仿宋" w:hAnsi="仿宋" w:eastAsia="仿宋"/>
          <w:bCs/>
          <w:sz w:val="32"/>
          <w:szCs w:val="32"/>
        </w:rPr>
        <w:t>.</w:t>
      </w:r>
      <w:r>
        <w:rPr>
          <w:rFonts w:hint="eastAsia" w:ascii="仿宋" w:hAnsi="仿宋" w:eastAsia="仿宋"/>
          <w:b/>
          <w:bCs/>
          <w:sz w:val="32"/>
          <w:szCs w:val="32"/>
        </w:rPr>
        <w:t>城乡社区</w:t>
      </w:r>
      <w:r>
        <w:rPr>
          <w:rStyle w:val="19"/>
          <w:rFonts w:hint="eastAsia" w:ascii="仿宋" w:hAnsi="仿宋" w:eastAsia="仿宋"/>
          <w:bCs/>
          <w:sz w:val="32"/>
          <w:szCs w:val="32"/>
        </w:rPr>
        <w:t>（类）城乡社区环境卫生事务（款）城乡社区环境卫生（项）</w:t>
      </w:r>
      <w:r>
        <w:rPr>
          <w:rStyle w:val="19"/>
          <w:rFonts w:ascii="仿宋" w:hAnsi="仿宋" w:eastAsia="仿宋"/>
          <w:bCs/>
          <w:sz w:val="32"/>
          <w:szCs w:val="32"/>
        </w:rPr>
        <w:t>:</w:t>
      </w:r>
      <w:r>
        <w:rPr>
          <w:rStyle w:val="19"/>
          <w:rFonts w:hint="eastAsia" w:ascii="仿宋" w:hAnsi="仿宋" w:eastAsia="仿宋"/>
          <w:b w:val="0"/>
          <w:bCs/>
          <w:sz w:val="32"/>
          <w:szCs w:val="32"/>
        </w:rPr>
        <w:t>支出决算为316.62万元，较年初预算增加33.04</w:t>
      </w:r>
      <w:r>
        <w:rPr>
          <w:rStyle w:val="19"/>
          <w:rFonts w:ascii="仿宋" w:hAnsi="仿宋" w:eastAsia="仿宋"/>
          <w:b w:val="0"/>
          <w:bCs/>
          <w:sz w:val="32"/>
          <w:szCs w:val="32"/>
        </w:rPr>
        <w:t>%</w:t>
      </w:r>
      <w:r>
        <w:rPr>
          <w:rStyle w:val="19"/>
          <w:rFonts w:hint="eastAsia" w:ascii="仿宋" w:hAnsi="仿宋" w:eastAsia="仿宋"/>
          <w:b w:val="0"/>
          <w:bCs/>
          <w:sz w:val="32"/>
          <w:szCs w:val="32"/>
        </w:rPr>
        <w:t>，增加的主要原因是农业、林业、水利的编制人员下放到乡镇，同时村组干部生活补助增加导致支出增加。</w:t>
      </w:r>
    </w:p>
    <w:p>
      <w:pPr>
        <w:pStyle w:val="6"/>
        <w:spacing w:before="93"/>
        <w:ind w:firstLine="642" w:firstLineChars="200"/>
      </w:pPr>
      <w:r>
        <w:rPr>
          <w:rStyle w:val="19"/>
          <w:rFonts w:hint="eastAsia" w:ascii="仿宋" w:hAnsi="仿宋" w:eastAsia="仿宋"/>
          <w:bCs/>
          <w:sz w:val="32"/>
          <w:szCs w:val="32"/>
        </w:rPr>
        <w:t>5</w:t>
      </w:r>
      <w:r>
        <w:rPr>
          <w:rStyle w:val="19"/>
          <w:rFonts w:ascii="仿宋" w:hAnsi="仿宋" w:eastAsia="仿宋"/>
          <w:bCs/>
          <w:sz w:val="32"/>
          <w:szCs w:val="32"/>
        </w:rPr>
        <w:t>.</w:t>
      </w:r>
      <w:r>
        <w:rPr>
          <w:rFonts w:hint="eastAsia" w:ascii="仿宋" w:hAnsi="仿宋" w:eastAsia="仿宋"/>
          <w:b/>
          <w:bCs/>
          <w:sz w:val="32"/>
          <w:szCs w:val="32"/>
        </w:rPr>
        <w:t>住房保障</w:t>
      </w:r>
      <w:r>
        <w:rPr>
          <w:rStyle w:val="19"/>
          <w:rFonts w:hint="eastAsia" w:ascii="仿宋" w:hAnsi="仿宋" w:eastAsia="仿宋"/>
          <w:bCs/>
          <w:sz w:val="32"/>
          <w:szCs w:val="32"/>
        </w:rPr>
        <w:t>（类）住房改革（款）住房公积金（项）</w:t>
      </w:r>
      <w:r>
        <w:rPr>
          <w:rStyle w:val="19"/>
          <w:rFonts w:ascii="仿宋" w:hAnsi="仿宋" w:eastAsia="仿宋"/>
          <w:bCs/>
          <w:sz w:val="32"/>
          <w:szCs w:val="32"/>
        </w:rPr>
        <w:t>:</w:t>
      </w:r>
      <w:r>
        <w:rPr>
          <w:rStyle w:val="19"/>
          <w:rFonts w:hint="eastAsia" w:ascii="仿宋" w:hAnsi="仿宋" w:eastAsia="仿宋"/>
          <w:b w:val="0"/>
          <w:bCs/>
          <w:sz w:val="32"/>
          <w:szCs w:val="32"/>
        </w:rPr>
        <w:t>支出决算为25.33万元，较年初预算增加6.01</w:t>
      </w:r>
      <w:r>
        <w:rPr>
          <w:rStyle w:val="19"/>
          <w:rFonts w:ascii="仿宋" w:hAnsi="仿宋" w:eastAsia="仿宋"/>
          <w:b w:val="0"/>
          <w:bCs/>
          <w:sz w:val="32"/>
          <w:szCs w:val="32"/>
        </w:rPr>
        <w:t>%</w:t>
      </w:r>
      <w:r>
        <w:rPr>
          <w:rStyle w:val="19"/>
          <w:rFonts w:hint="eastAsia" w:ascii="仿宋" w:hAnsi="仿宋" w:eastAsia="仿宋"/>
          <w:b w:val="0"/>
          <w:bCs/>
          <w:sz w:val="32"/>
          <w:szCs w:val="32"/>
        </w:rPr>
        <w:t>，增加的主要原因编制人员数量增加，故公积金支出增大。</w:t>
      </w:r>
    </w:p>
    <w:p>
      <w:pPr>
        <w:tabs>
          <w:tab w:val="right" w:pos="8306"/>
        </w:tabs>
        <w:spacing w:line="600" w:lineRule="exact"/>
        <w:ind w:firstLine="640"/>
        <w:outlineLvl w:val="1"/>
        <w:rPr>
          <w:rStyle w:val="31"/>
        </w:rPr>
      </w:pPr>
      <w:bookmarkStart w:id="96" w:name="_Toc15377214"/>
      <w:bookmarkStart w:id="97" w:name="六、一般公共预算财政拨款基本支出决算情况说明"/>
      <w:bookmarkStart w:id="98" w:name="_Toc115183758"/>
      <w:bookmarkStart w:id="99" w:name="_Toc15396608"/>
      <w:bookmarkStart w:id="100" w:name="_Toc11518356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96"/>
      <w:bookmarkEnd w:id="97"/>
      <w:bookmarkEnd w:id="98"/>
      <w:bookmarkEnd w:id="99"/>
      <w:bookmarkEnd w:id="100"/>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21年一般公共预算财政拨款基本支出482.02万元，其中：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423.37万元，主要包括：基本工资、津贴补贴、奖金、绩效工资、机关事业单位基本养老保险缴费、职业年金缴费、其他社会保障缴费、其他工资福利支出、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58.65万元，主要包括：办公费、印刷费、咨询费、手续费、水费、电费、邮电费、取暖费、差旅费、维修（护）费、租赁费、会议费、培训费、公务接待费、公务用车运行维护费、其他交通费、其他商品和服务支出等。</w:t>
      </w:r>
    </w:p>
    <w:p>
      <w:pPr>
        <w:spacing w:line="600" w:lineRule="exact"/>
        <w:ind w:firstLine="640"/>
        <w:outlineLvl w:val="1"/>
        <w:rPr>
          <w:rStyle w:val="31"/>
          <w:rFonts w:ascii="黑体" w:hAnsi="黑体" w:eastAsia="黑体"/>
          <w:b w:val="0"/>
        </w:rPr>
      </w:pPr>
      <w:bookmarkStart w:id="101" w:name="_Toc15396609"/>
      <w:bookmarkStart w:id="102" w:name="_Toc115183561"/>
      <w:bookmarkStart w:id="103" w:name="_Toc15377215"/>
      <w:bookmarkStart w:id="104" w:name="_Toc115183759"/>
      <w:bookmarkStart w:id="105" w:name="七、“三公”经费财政拨款支出决算情况说明"/>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三公”经费财政拨款支出决算情况说明</w:t>
      </w:r>
      <w:bookmarkEnd w:id="101"/>
      <w:bookmarkEnd w:id="102"/>
      <w:bookmarkEnd w:id="103"/>
      <w:bookmarkEnd w:id="104"/>
    </w:p>
    <w:bookmarkEnd w:id="105"/>
    <w:p>
      <w:pPr>
        <w:spacing w:line="600" w:lineRule="exact"/>
        <w:ind w:firstLine="640"/>
        <w:outlineLvl w:val="2"/>
        <w:rPr>
          <w:rFonts w:ascii="仿宋" w:hAnsi="仿宋" w:eastAsia="仿宋"/>
          <w:b/>
          <w:sz w:val="32"/>
          <w:szCs w:val="32"/>
        </w:rPr>
      </w:pPr>
      <w:bookmarkStart w:id="106" w:name="_Toc115183760"/>
      <w:bookmarkStart w:id="107" w:name="_Toc115183562"/>
      <w:bookmarkStart w:id="108" w:name="_Toc115177428"/>
      <w:bookmarkStart w:id="109" w:name="_Toc15377216"/>
      <w:r>
        <w:rPr>
          <w:rFonts w:hint="eastAsia" w:ascii="仿宋" w:hAnsi="仿宋" w:eastAsia="仿宋"/>
          <w:b/>
          <w:sz w:val="32"/>
          <w:szCs w:val="32"/>
        </w:rPr>
        <w:t>（一）“三公”经费财政拨款支出决算总体情况说明</w:t>
      </w:r>
      <w:bookmarkEnd w:id="106"/>
      <w:bookmarkEnd w:id="107"/>
      <w:bookmarkEnd w:id="108"/>
      <w:bookmarkEnd w:id="10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21年“三公”经费财政拨款支出决算为3.81万元，完成预算100</w:t>
      </w:r>
      <w:r>
        <w:rPr>
          <w:rFonts w:ascii="仿宋" w:hAnsi="仿宋" w:eastAsia="仿宋"/>
          <w:sz w:val="32"/>
          <w:szCs w:val="32"/>
        </w:rPr>
        <w:t>%</w:t>
      </w:r>
      <w:r>
        <w:rPr>
          <w:rFonts w:hint="eastAsia" w:ascii="仿宋" w:hAnsi="仿宋" w:eastAsia="仿宋"/>
          <w:sz w:val="32"/>
          <w:szCs w:val="32"/>
        </w:rPr>
        <w:t>，主要原因是乡镇建制调整后乡镇数量减少，接待上级部门督查、检查增多。同时公务车年限及公里数越来越多，维修保养费用增加。</w:t>
      </w:r>
    </w:p>
    <w:p>
      <w:pPr>
        <w:spacing w:line="600" w:lineRule="exact"/>
        <w:ind w:firstLine="640"/>
        <w:outlineLvl w:val="2"/>
        <w:rPr>
          <w:rFonts w:ascii="仿宋" w:hAnsi="仿宋" w:eastAsia="仿宋"/>
          <w:b/>
          <w:sz w:val="32"/>
          <w:szCs w:val="32"/>
        </w:rPr>
      </w:pPr>
      <w:bookmarkStart w:id="110" w:name="_Toc115183761"/>
      <w:bookmarkStart w:id="111" w:name="_Toc115183563"/>
      <w:bookmarkStart w:id="112" w:name="_Toc15377217"/>
      <w:bookmarkStart w:id="113" w:name="_Toc115177429"/>
      <w:r>
        <w:rPr>
          <w:rFonts w:hint="eastAsia" w:ascii="仿宋" w:hAnsi="仿宋" w:eastAsia="仿宋"/>
          <w:b/>
          <w:sz w:val="32"/>
          <w:szCs w:val="32"/>
        </w:rPr>
        <w:t>（二）“三公”经费财政拨款支出决算具体情况说明</w:t>
      </w:r>
      <w:bookmarkEnd w:id="110"/>
      <w:bookmarkEnd w:id="111"/>
      <w:bookmarkEnd w:id="112"/>
      <w:bookmarkEnd w:id="11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21年“三公”经费财政拨款支出决算中，因公出国（境）费支出决算0.00万元，占0</w:t>
      </w:r>
      <w:r>
        <w:rPr>
          <w:rFonts w:ascii="仿宋" w:hAnsi="仿宋" w:eastAsia="仿宋"/>
          <w:sz w:val="32"/>
          <w:szCs w:val="32"/>
        </w:rPr>
        <w:t>%</w:t>
      </w:r>
      <w:r>
        <w:rPr>
          <w:rFonts w:hint="eastAsia" w:ascii="仿宋" w:hAnsi="仿宋" w:eastAsia="仿宋"/>
          <w:sz w:val="32"/>
          <w:szCs w:val="32"/>
        </w:rPr>
        <w:t>；公务用车购置及运行维护费支出决算1.81万元，占47.50</w:t>
      </w:r>
      <w:r>
        <w:rPr>
          <w:rFonts w:ascii="仿宋" w:hAnsi="仿宋" w:eastAsia="仿宋"/>
          <w:sz w:val="32"/>
          <w:szCs w:val="32"/>
        </w:rPr>
        <w:t>%</w:t>
      </w:r>
      <w:r>
        <w:rPr>
          <w:rFonts w:hint="eastAsia" w:ascii="仿宋" w:hAnsi="仿宋" w:eastAsia="仿宋"/>
          <w:sz w:val="32"/>
          <w:szCs w:val="32"/>
        </w:rPr>
        <w:t>；公务接待费支出决算2.00万元，占52.50</w:t>
      </w:r>
      <w:r>
        <w:rPr>
          <w:rFonts w:ascii="仿宋" w:hAnsi="仿宋" w:eastAsia="仿宋"/>
          <w:sz w:val="32"/>
          <w:szCs w:val="32"/>
        </w:rPr>
        <w:t>%</w:t>
      </w:r>
      <w:r>
        <w:rPr>
          <w:rFonts w:hint="eastAsia" w:ascii="仿宋" w:hAnsi="仿宋" w:eastAsia="仿宋"/>
          <w:sz w:val="32"/>
          <w:szCs w:val="32"/>
        </w:rPr>
        <w:t>。具体情况如下：</w:t>
      </w:r>
    </w:p>
    <w:p>
      <w:pPr>
        <w:pStyle w:val="6"/>
        <w:spacing w:before="93"/>
      </w:pPr>
      <w:r>
        <w:rPr>
          <w:rFonts w:hint="eastAsia"/>
        </w:rPr>
        <w:drawing>
          <wp:inline distT="0" distB="0" distL="114300" distR="114300">
            <wp:extent cx="5080000" cy="2638425"/>
            <wp:effectExtent l="4445" t="4445" r="2095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9"/>
          <w:rFonts w:hint="eastAsia" w:ascii="仿宋" w:hAnsi="仿宋" w:eastAsia="仿宋"/>
          <w:b w:val="0"/>
          <w:bCs/>
          <w:sz w:val="32"/>
          <w:szCs w:val="32"/>
        </w:rPr>
        <w:t>年初未安排预算。</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1.81万元,</w:t>
      </w:r>
      <w:r>
        <w:rPr>
          <w:rStyle w:val="19"/>
          <w:rFonts w:hint="eastAsia" w:ascii="仿宋" w:hAnsi="仿宋" w:eastAsia="仿宋"/>
          <w:b w:val="0"/>
          <w:bCs/>
          <w:sz w:val="32"/>
          <w:szCs w:val="32"/>
        </w:rPr>
        <w:t>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20年增加0.02万元，增长1.10</w:t>
      </w:r>
      <w:r>
        <w:rPr>
          <w:rFonts w:ascii="仿宋_GB2312" w:eastAsia="仿宋_GB2312"/>
          <w:sz w:val="32"/>
          <w:szCs w:val="32"/>
        </w:rPr>
        <w:t>%</w:t>
      </w:r>
      <w:r>
        <w:rPr>
          <w:rFonts w:hint="eastAsia" w:ascii="仿宋_GB2312" w:eastAsia="仿宋_GB2312"/>
          <w:sz w:val="32"/>
          <w:szCs w:val="32"/>
        </w:rPr>
        <w:t>。主要原因是公务用车年限和里程增加，维修保养费用增加。</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0.00万元。全年按规定更新购置公务用车0辆，其中：轿车0辆、金额0万元，越野车0辆、金额0万元，载客汽车0辆、金额0万元，主要用于防灾减灾等突发性事件处突工作。截至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月底，单位共有公务用车1辆，其中：轿车0辆、越野车1辆、载客汽车0辆。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1.81万元。主要用于防灾减灾等突发性事件处突工作等所需的公务用车燃料费、维修费、过路过桥费、保险费等支出。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2.00万元，</w:t>
      </w:r>
      <w:r>
        <w:rPr>
          <w:rStyle w:val="19"/>
          <w:rFonts w:hint="eastAsia" w:ascii="仿宋" w:hAnsi="仿宋" w:eastAsia="仿宋"/>
          <w:b w:val="0"/>
          <w:bCs/>
          <w:sz w:val="32"/>
          <w:szCs w:val="32"/>
        </w:rPr>
        <w:t>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20年增加1.20万元，增长150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乡镇建制调整后乡镇数量减少，接待上级部门督查、检查增多。</w:t>
      </w:r>
    </w:p>
    <w:p>
      <w:pPr>
        <w:spacing w:line="600" w:lineRule="exact"/>
        <w:ind w:firstLine="640"/>
        <w:rPr>
          <w:rFonts w:ascii="仿宋_GB2312" w:eastAsia="仿宋_GB2312"/>
          <w:sz w:val="32"/>
          <w:szCs w:val="32"/>
        </w:rPr>
      </w:pPr>
      <w:r>
        <w:rPr>
          <w:rFonts w:hint="eastAsia" w:ascii="仿宋_GB2312" w:hAnsi="Times New Roman" w:eastAsia="仿宋_GB2312" w:cs="Times New Roman"/>
          <w:b/>
          <w:sz w:val="32"/>
          <w:szCs w:val="32"/>
        </w:rPr>
        <w:t>国内公务接待支出</w:t>
      </w:r>
      <w:r>
        <w:rPr>
          <w:rFonts w:hint="eastAsia" w:ascii="仿宋_GB2312" w:hAnsi="Times New Roman" w:eastAsia="仿宋_GB2312" w:cs="Times New Roman"/>
          <w:sz w:val="32"/>
          <w:szCs w:val="32"/>
        </w:rPr>
        <w:t>2.00万元</w:t>
      </w:r>
      <w:r>
        <w:rPr>
          <w:rFonts w:hint="eastAsia" w:ascii="仿宋_GB2312" w:eastAsia="仿宋_GB2312"/>
          <w:sz w:val="32"/>
          <w:szCs w:val="32"/>
        </w:rPr>
        <w:t>，主要用于辖区内各级部门督查、检查和招商引资、执行公务、开展业务活动食堂蔬菜、粮油支出。国内公务接待118批次，592人次（不包括陪同人员），共计支出2.00万元。</w:t>
      </w:r>
    </w:p>
    <w:p>
      <w:pPr>
        <w:spacing w:line="600" w:lineRule="exact"/>
        <w:ind w:firstLine="640"/>
        <w:outlineLvl w:val="1"/>
        <w:rPr>
          <w:rFonts w:ascii="黑体" w:eastAsia="黑体"/>
          <w:sz w:val="32"/>
          <w:szCs w:val="32"/>
        </w:rPr>
      </w:pPr>
      <w:bookmarkStart w:id="114" w:name="_Toc115183564"/>
      <w:bookmarkStart w:id="115" w:name="_Toc115177430"/>
      <w:bookmarkStart w:id="116" w:name="_Toc115183762"/>
      <w:r>
        <w:rPr>
          <w:rFonts w:hint="eastAsia" w:ascii="仿宋_GB2312" w:hAnsi="Times New Roman" w:eastAsia="仿宋_GB2312" w:cs="Times New Roman"/>
          <w:b/>
          <w:sz w:val="32"/>
          <w:szCs w:val="32"/>
        </w:rPr>
        <w:t>外事接待支出0.00</w:t>
      </w:r>
      <w:r>
        <w:rPr>
          <w:rFonts w:hint="eastAsia" w:ascii="仿宋_GB2312" w:eastAsia="仿宋_GB2312"/>
          <w:sz w:val="32"/>
          <w:szCs w:val="32"/>
        </w:rPr>
        <w:t>万元，外事接待0批次，0人，共计支出0.00万元。</w:t>
      </w:r>
      <w:bookmarkEnd w:id="114"/>
      <w:bookmarkEnd w:id="115"/>
      <w:bookmarkEnd w:id="116"/>
      <w:bookmarkStart w:id="117" w:name="_Toc15377218"/>
      <w:bookmarkStart w:id="118" w:name="_Toc15396610"/>
    </w:p>
    <w:p>
      <w:pPr>
        <w:spacing w:line="600" w:lineRule="exact"/>
        <w:ind w:firstLine="640"/>
        <w:outlineLvl w:val="1"/>
        <w:rPr>
          <w:rStyle w:val="31"/>
          <w:rFonts w:ascii="黑体" w:hAnsi="黑体" w:eastAsia="黑体"/>
        </w:rPr>
      </w:pPr>
      <w:bookmarkStart w:id="119" w:name="_Toc115183763"/>
      <w:bookmarkStart w:id="120" w:name="_Toc115183565"/>
      <w:bookmarkStart w:id="121" w:name="八、政府性基金预算支出决算情况说明"/>
      <w:r>
        <w:rPr>
          <w:rFonts w:hint="eastAsia" w:ascii="黑体" w:eastAsia="黑体"/>
          <w:sz w:val="32"/>
          <w:szCs w:val="32"/>
        </w:rPr>
        <w:t>八、</w:t>
      </w:r>
      <w:r>
        <w:rPr>
          <w:rStyle w:val="31"/>
          <w:rFonts w:hint="eastAsia" w:ascii="黑体" w:hAnsi="黑体" w:eastAsia="黑体"/>
          <w:b w:val="0"/>
        </w:rPr>
        <w:t>政府性基金预算支出决算情况说明</w:t>
      </w:r>
      <w:bookmarkEnd w:id="117"/>
      <w:bookmarkEnd w:id="118"/>
      <w:bookmarkEnd w:id="119"/>
      <w:bookmarkEnd w:id="120"/>
    </w:p>
    <w:bookmarkEnd w:id="121"/>
    <w:p>
      <w:pPr>
        <w:spacing w:line="600" w:lineRule="exact"/>
        <w:ind w:firstLine="640"/>
      </w:pPr>
      <w:r>
        <w:rPr>
          <w:rFonts w:ascii="仿宋_GB2312" w:eastAsia="仿宋_GB2312"/>
          <w:sz w:val="32"/>
          <w:szCs w:val="32"/>
        </w:rPr>
        <w:t>20</w:t>
      </w:r>
      <w:r>
        <w:rPr>
          <w:rFonts w:hint="eastAsia" w:ascii="仿宋_GB2312" w:eastAsia="仿宋_GB2312"/>
          <w:sz w:val="32"/>
          <w:szCs w:val="32"/>
        </w:rPr>
        <w:t>21年政府性基金预算财政拨款支出0.00万元。</w:t>
      </w:r>
    </w:p>
    <w:p>
      <w:pPr>
        <w:numPr>
          <w:ilvl w:val="0"/>
          <w:numId w:val="2"/>
        </w:numPr>
        <w:spacing w:line="600" w:lineRule="exact"/>
        <w:ind w:firstLine="640"/>
        <w:outlineLvl w:val="1"/>
        <w:rPr>
          <w:rStyle w:val="31"/>
          <w:rFonts w:ascii="黑体" w:hAnsi="黑体" w:eastAsia="黑体"/>
          <w:b w:val="0"/>
        </w:rPr>
      </w:pPr>
      <w:bookmarkStart w:id="122" w:name="_Toc115183566"/>
      <w:bookmarkStart w:id="123" w:name="_Toc15396611"/>
      <w:bookmarkStart w:id="124" w:name="_Toc15377219"/>
      <w:bookmarkStart w:id="125" w:name="_Toc115183764"/>
      <w:bookmarkStart w:id="126" w:name="九、国有资本经营预算支出决算情况说明"/>
      <w:r>
        <w:rPr>
          <w:rStyle w:val="31"/>
          <w:rFonts w:hint="eastAsia" w:ascii="黑体" w:hAnsi="黑体" w:eastAsia="黑体"/>
          <w:b w:val="0"/>
        </w:rPr>
        <w:t>国有资本经营预算支出决算情况说明</w:t>
      </w:r>
      <w:bookmarkEnd w:id="122"/>
      <w:bookmarkEnd w:id="123"/>
      <w:bookmarkEnd w:id="124"/>
      <w:bookmarkEnd w:id="125"/>
    </w:p>
    <w:bookmarkEnd w:id="126"/>
    <w:p>
      <w:pPr>
        <w:spacing w:line="600" w:lineRule="exact"/>
        <w:ind w:firstLine="640"/>
      </w:pPr>
      <w:r>
        <w:rPr>
          <w:rFonts w:ascii="仿宋_GB2312" w:eastAsia="仿宋_GB2312"/>
          <w:sz w:val="32"/>
          <w:szCs w:val="32"/>
        </w:rPr>
        <w:t>20</w:t>
      </w:r>
      <w:r>
        <w:rPr>
          <w:rFonts w:hint="eastAsia" w:ascii="仿宋_GB2312" w:eastAsia="仿宋_GB2312"/>
          <w:sz w:val="32"/>
          <w:szCs w:val="32"/>
        </w:rPr>
        <w:t>21年国有资本经营预算财政拨款支出0.00万元。</w:t>
      </w:r>
      <w:bookmarkStart w:id="127" w:name="_Toc15396612"/>
      <w:bookmarkStart w:id="128" w:name="_Toc15377221"/>
    </w:p>
    <w:p>
      <w:pPr>
        <w:numPr>
          <w:ilvl w:val="0"/>
          <w:numId w:val="2"/>
        </w:numPr>
        <w:spacing w:line="600" w:lineRule="exact"/>
        <w:ind w:firstLine="640"/>
        <w:outlineLvl w:val="1"/>
        <w:rPr>
          <w:rStyle w:val="31"/>
          <w:rFonts w:ascii="黑体" w:hAnsi="黑体" w:eastAsia="黑体"/>
          <w:b w:val="0"/>
        </w:rPr>
      </w:pPr>
      <w:bookmarkStart w:id="129" w:name="_Toc115183765"/>
      <w:bookmarkStart w:id="130" w:name="_Toc115183567"/>
      <w:bookmarkStart w:id="131" w:name="十、预算绩效管理情况"/>
      <w:r>
        <w:rPr>
          <w:rStyle w:val="31"/>
          <w:rFonts w:hint="eastAsia" w:ascii="黑体" w:hAnsi="黑体" w:eastAsia="黑体"/>
          <w:b w:val="0"/>
        </w:rPr>
        <w:t>预算绩效管理情况</w:t>
      </w:r>
      <w:bookmarkEnd w:id="129"/>
      <w:bookmarkEnd w:id="130"/>
    </w:p>
    <w:bookmarkEnd w:id="131"/>
    <w:p>
      <w:pPr>
        <w:spacing w:line="600" w:lineRule="exact"/>
        <w:ind w:firstLine="640" w:firstLineChars="200"/>
        <w:outlineLvl w:val="1"/>
      </w:pPr>
      <w:bookmarkStart w:id="132" w:name="_Toc115183766"/>
      <w:bookmarkStart w:id="133" w:name="_Toc115183568"/>
      <w:bookmarkStart w:id="134" w:name="_Toc115177434"/>
      <w:r>
        <w:rPr>
          <w:rFonts w:hint="eastAsia" w:ascii="仿宋_GB2312" w:hAnsi="仿宋_GB2312" w:eastAsia="仿宋_GB2312" w:cs="仿宋_GB2312"/>
          <w:sz w:val="32"/>
          <w:szCs w:val="32"/>
        </w:rPr>
        <w:t>根据预算绩效管理要求，本部门在2021年度预算编制阶段，组织对复兴社区村组公路建设项目等16个项目开展了预算事前绩效评估，对16个项目编制了绩效目标，预算执行过程中，选取复兴社区村组公路建设等5个项目开展绩效监控，年终执行完毕后，对5个项目开展了绩效自评。同时，本部门对2021年部门整体开展绩效自评，《2021年广元市朝天区麻柳乡人民政府部门整体绩效评价报告》见附件（第四部分）。</w:t>
      </w:r>
      <w:bookmarkEnd w:id="132"/>
      <w:bookmarkEnd w:id="133"/>
      <w:bookmarkEnd w:id="134"/>
    </w:p>
    <w:p>
      <w:pPr>
        <w:numPr>
          <w:ilvl w:val="0"/>
          <w:numId w:val="2"/>
        </w:numPr>
        <w:spacing w:line="600" w:lineRule="exact"/>
        <w:ind w:firstLine="640"/>
        <w:outlineLvl w:val="1"/>
        <w:rPr>
          <w:rStyle w:val="31"/>
          <w:rFonts w:ascii="黑体" w:hAnsi="黑体" w:eastAsia="黑体"/>
          <w:b w:val="0"/>
        </w:rPr>
      </w:pPr>
      <w:bookmarkStart w:id="135" w:name="_Toc115183767"/>
      <w:bookmarkStart w:id="136" w:name="_Toc115183569"/>
      <w:bookmarkStart w:id="137" w:name="十一、其他重要事项的情况说明"/>
      <w:r>
        <w:rPr>
          <w:rStyle w:val="31"/>
          <w:rFonts w:hint="eastAsia" w:ascii="黑体" w:hAnsi="黑体" w:eastAsia="黑体"/>
          <w:b w:val="0"/>
        </w:rPr>
        <w:t>其他重要事项的情况说明</w:t>
      </w:r>
      <w:bookmarkEnd w:id="127"/>
      <w:bookmarkEnd w:id="128"/>
      <w:bookmarkEnd w:id="135"/>
      <w:bookmarkEnd w:id="136"/>
    </w:p>
    <w:bookmarkEnd w:id="137"/>
    <w:p>
      <w:pPr>
        <w:spacing w:line="600" w:lineRule="exact"/>
        <w:ind w:firstLine="642" w:firstLineChars="200"/>
        <w:outlineLvl w:val="2"/>
        <w:rPr>
          <w:rFonts w:ascii="仿宋" w:hAnsi="仿宋" w:eastAsia="仿宋"/>
          <w:sz w:val="32"/>
          <w:szCs w:val="32"/>
        </w:rPr>
      </w:pPr>
      <w:bookmarkStart w:id="138" w:name="_Toc115183768"/>
      <w:bookmarkStart w:id="139" w:name="_Toc115183570"/>
      <w:bookmarkStart w:id="140" w:name="_Toc15377222"/>
      <w:bookmarkStart w:id="141" w:name="_Toc115177436"/>
      <w:r>
        <w:rPr>
          <w:rFonts w:hint="eastAsia" w:ascii="仿宋" w:hAnsi="仿宋" w:eastAsia="仿宋"/>
          <w:b/>
          <w:sz w:val="32"/>
          <w:szCs w:val="32"/>
        </w:rPr>
        <w:t>（一）机关运行经费支出情况</w:t>
      </w:r>
      <w:bookmarkEnd w:id="138"/>
      <w:bookmarkEnd w:id="139"/>
      <w:bookmarkEnd w:id="140"/>
      <w:bookmarkEnd w:id="14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21年，麻柳乡机关运行经费支出58.65万元，比</w:t>
      </w:r>
      <w:r>
        <w:rPr>
          <w:rFonts w:ascii="仿宋_GB2312" w:eastAsia="仿宋_GB2312"/>
          <w:sz w:val="32"/>
          <w:szCs w:val="32"/>
        </w:rPr>
        <w:t>20</w:t>
      </w:r>
      <w:r>
        <w:rPr>
          <w:rFonts w:hint="eastAsia" w:ascii="仿宋_GB2312" w:eastAsia="仿宋_GB2312"/>
          <w:sz w:val="32"/>
          <w:szCs w:val="32"/>
        </w:rPr>
        <w:t>20年增加23.08万元，增长64.88</w:t>
      </w:r>
      <w:r>
        <w:rPr>
          <w:rFonts w:ascii="仿宋_GB2312" w:eastAsia="仿宋_GB2312"/>
          <w:sz w:val="32"/>
          <w:szCs w:val="32"/>
        </w:rPr>
        <w:t>%</w:t>
      </w:r>
      <w:r>
        <w:rPr>
          <w:rFonts w:hint="eastAsia" w:ascii="仿宋_GB2312" w:eastAsia="仿宋_GB2312"/>
          <w:sz w:val="32"/>
          <w:szCs w:val="32"/>
        </w:rPr>
        <w:t>。主要原因是编制职员增加，用于日常办公、公务员交通补贴等支出。</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2" w:name="_Toc115177437"/>
      <w:bookmarkStart w:id="143" w:name="_Toc15377223"/>
      <w:bookmarkStart w:id="144" w:name="_Toc115183571"/>
      <w:bookmarkStart w:id="145" w:name="_Toc115183769"/>
      <w:r>
        <w:rPr>
          <w:rFonts w:hint="eastAsia" w:ascii="仿宋" w:hAnsi="仿宋" w:eastAsia="仿宋"/>
          <w:b/>
          <w:sz w:val="32"/>
          <w:szCs w:val="32"/>
        </w:rPr>
        <w:t>（二）政府采购支出情况</w:t>
      </w:r>
      <w:bookmarkEnd w:id="142"/>
      <w:bookmarkEnd w:id="143"/>
      <w:bookmarkEnd w:id="144"/>
      <w:bookmarkEnd w:id="14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21年，广元市朝天区麻柳乡人民政府采购支出总额0.00万元，其中：政府采购货物支出0.00万元、政府采购工程支出0.00万元、政府采购服务支出0.00万元。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6" w:name="_Toc115183770"/>
      <w:bookmarkStart w:id="147" w:name="_Toc115177438"/>
      <w:bookmarkStart w:id="148" w:name="_Toc115183572"/>
      <w:bookmarkStart w:id="149" w:name="_Toc15377224"/>
      <w:r>
        <w:rPr>
          <w:rFonts w:hint="eastAsia" w:ascii="仿宋" w:hAnsi="仿宋" w:eastAsia="仿宋"/>
          <w:b/>
          <w:sz w:val="32"/>
          <w:szCs w:val="32"/>
        </w:rPr>
        <w:t>（三）国有资产占有使用情况</w:t>
      </w:r>
      <w:bookmarkEnd w:id="146"/>
      <w:bookmarkEnd w:id="147"/>
      <w:bookmarkEnd w:id="148"/>
      <w:bookmarkEnd w:id="14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日，广元市朝天区麻柳乡人民政府共有车辆1辆，其中：主要领导干部用车0辆、机要通信用车0辆、应急保障用车0辆、其他用车1辆，其他用车主要是用于防灾减灾等突发性事件处突工作。单价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0"/>
          <w:rFonts w:ascii="黑体" w:hAnsi="黑体" w:eastAsia="黑体"/>
          <w:b w:val="0"/>
        </w:rPr>
      </w:pPr>
      <w:bookmarkStart w:id="150" w:name="_Toc15396613"/>
      <w:bookmarkStart w:id="151" w:name="_Toc15377225"/>
      <w:bookmarkStart w:id="152" w:name="_Toc115183573"/>
      <w:bookmarkStart w:id="153" w:name="_Toc115183771"/>
      <w:bookmarkStart w:id="154" w:name="第三部分"/>
      <w:r>
        <w:rPr>
          <w:rFonts w:hint="eastAsia" w:ascii="黑体" w:hAnsi="黑体" w:eastAsia="黑体"/>
          <w:sz w:val="44"/>
          <w:szCs w:val="44"/>
        </w:rPr>
        <w:t>名</w:t>
      </w:r>
      <w:r>
        <w:rPr>
          <w:rStyle w:val="30"/>
          <w:rFonts w:hint="eastAsia" w:ascii="黑体" w:hAnsi="黑体" w:eastAsia="黑体"/>
          <w:b w:val="0"/>
        </w:rPr>
        <w:t>词解释</w:t>
      </w:r>
      <w:bookmarkEnd w:id="150"/>
      <w:bookmarkEnd w:id="151"/>
      <w:bookmarkEnd w:id="152"/>
      <w:bookmarkEnd w:id="153"/>
      <w:bookmarkEnd w:id="154"/>
    </w:p>
    <w:p>
      <w:pPr>
        <w:spacing w:line="600" w:lineRule="exact"/>
        <w:jc w:val="left"/>
        <w:rPr>
          <w:rFonts w:ascii="宋体"/>
          <w:b/>
          <w:sz w:val="44"/>
          <w:szCs w:val="44"/>
        </w:rPr>
      </w:pPr>
    </w:p>
    <w:p>
      <w:pPr>
        <w:ind w:firstLine="640" w:firstLineChars="200"/>
        <w:rPr>
          <w:rFonts w:ascii="仿宋_GB2312" w:eastAsia="仿宋_GB2312"/>
          <w:sz w:val="32"/>
          <w:szCs w:val="32"/>
        </w:rPr>
      </w:pPr>
      <w:bookmarkStart w:id="155" w:name="_Toc15396614"/>
      <w:bookmarkStart w:id="156" w:name="_Toc15377226"/>
      <w:r>
        <w:rPr>
          <w:rFonts w:hint="eastAsia" w:ascii="仿宋_GB2312" w:eastAsia="仿宋_GB2312"/>
          <w:sz w:val="32"/>
          <w:szCs w:val="32"/>
        </w:rPr>
        <w:t>1</w:t>
      </w:r>
      <w:r>
        <w:rPr>
          <w:rFonts w:hint="eastAsia" w:ascii="仿宋_GB2312" w:eastAsia="仿宋_GB2312"/>
          <w:sz w:val="32"/>
          <w:szCs w:val="32"/>
          <w:lang w:val="zh-CN"/>
        </w:rPr>
        <w:t>．</w:t>
      </w:r>
      <w:r>
        <w:rPr>
          <w:rFonts w:hint="eastAsia" w:ascii="仿宋_GB2312" w:eastAsia="仿宋_GB2312"/>
          <w:sz w:val="32"/>
          <w:szCs w:val="32"/>
        </w:rPr>
        <w:t>财政拨款收入：指单位从同级财政部门取得的财政预算资金。</w:t>
      </w:r>
    </w:p>
    <w:p>
      <w:pPr>
        <w:ind w:firstLine="640" w:firstLineChars="200"/>
        <w:rPr>
          <w:rFonts w:ascii="仿宋_GB2312" w:eastAsia="仿宋_GB2312"/>
          <w:sz w:val="32"/>
          <w:szCs w:val="32"/>
        </w:rPr>
      </w:pPr>
      <w:r>
        <w:rPr>
          <w:rFonts w:hint="eastAsia" w:ascii="仿宋_GB2312" w:eastAsia="仿宋_GB2312"/>
          <w:sz w:val="32"/>
          <w:szCs w:val="32"/>
        </w:rPr>
        <w:t xml:space="preserve">2.其他收入：指单位取得的除上述收入以外的各项收入。主要是利息收入。 </w:t>
      </w:r>
    </w:p>
    <w:p>
      <w:pPr>
        <w:ind w:firstLine="640" w:firstLineChars="200"/>
        <w:rPr>
          <w:rFonts w:ascii="仿宋_GB2312" w:eastAsia="仿宋_GB2312"/>
          <w:sz w:val="32"/>
          <w:szCs w:val="32"/>
        </w:rPr>
      </w:pPr>
      <w:r>
        <w:rPr>
          <w:rFonts w:hint="eastAsia" w:ascii="仿宋_GB2312" w:eastAsia="仿宋_GB2312"/>
          <w:sz w:val="32"/>
          <w:szCs w:val="32"/>
        </w:rPr>
        <w:t>3.一般公共服务（类）201：反映政府提供一般公共服务的支出，其中：</w:t>
      </w:r>
    </w:p>
    <w:p>
      <w:pPr>
        <w:ind w:firstLine="640" w:firstLineChars="200"/>
        <w:rPr>
          <w:rFonts w:ascii="仿宋_GB2312" w:eastAsia="仿宋_GB2312"/>
          <w:sz w:val="32"/>
          <w:szCs w:val="32"/>
        </w:rPr>
      </w:pPr>
      <w:r>
        <w:rPr>
          <w:rFonts w:hint="eastAsia" w:ascii="仿宋_GB2312" w:eastAsia="仿宋_GB2312"/>
          <w:sz w:val="32"/>
          <w:szCs w:val="32"/>
        </w:rPr>
        <w:t>人大事务（款）行政运行（项）2010101：指行政单位（人大）基本支出</w:t>
      </w:r>
    </w:p>
    <w:p>
      <w:pPr>
        <w:ind w:firstLine="640" w:firstLineChars="200"/>
        <w:rPr>
          <w:rFonts w:ascii="仿宋_GB2312" w:eastAsia="仿宋_GB2312"/>
          <w:sz w:val="32"/>
          <w:szCs w:val="32"/>
        </w:rPr>
      </w:pPr>
      <w:r>
        <w:rPr>
          <w:rFonts w:hint="eastAsia" w:ascii="仿宋_GB2312" w:eastAsia="仿宋_GB2312"/>
          <w:sz w:val="32"/>
          <w:szCs w:val="32"/>
        </w:rPr>
        <w:t>人大事务（款）一般行政管理事务（项）2010102：指行政单位（人大）项目支出；</w:t>
      </w:r>
    </w:p>
    <w:p>
      <w:pPr>
        <w:ind w:firstLine="640" w:firstLineChars="200"/>
        <w:rPr>
          <w:rFonts w:ascii="仿宋_GB2312" w:eastAsia="仿宋_GB2312"/>
          <w:sz w:val="32"/>
          <w:szCs w:val="32"/>
        </w:rPr>
      </w:pPr>
      <w:r>
        <w:rPr>
          <w:rFonts w:hint="eastAsia" w:ascii="仿宋_GB2312" w:eastAsia="仿宋_GB2312"/>
          <w:sz w:val="32"/>
          <w:szCs w:val="32"/>
        </w:rPr>
        <w:t>政府办公厅及相关机构事务（款）行政运行（项）2010301：指行政单位（政府）基本支出；</w:t>
      </w:r>
    </w:p>
    <w:p>
      <w:pPr>
        <w:ind w:firstLine="640" w:firstLineChars="200"/>
        <w:rPr>
          <w:rFonts w:ascii="仿宋_GB2312" w:eastAsia="仿宋_GB2312"/>
          <w:sz w:val="32"/>
          <w:szCs w:val="32"/>
        </w:rPr>
      </w:pPr>
      <w:r>
        <w:rPr>
          <w:rFonts w:hint="eastAsia" w:ascii="仿宋_GB2312" w:eastAsia="仿宋_GB2312"/>
          <w:sz w:val="32"/>
          <w:szCs w:val="32"/>
        </w:rPr>
        <w:t>政府办公厅及相关机构事务（款）一般行政管理事务（项）2010302：指行政单位（政府）项目支出；</w:t>
      </w:r>
    </w:p>
    <w:p>
      <w:pPr>
        <w:ind w:firstLine="640" w:firstLineChars="200"/>
        <w:rPr>
          <w:rFonts w:ascii="仿宋_GB2312" w:eastAsia="仿宋_GB2312"/>
          <w:sz w:val="32"/>
          <w:szCs w:val="32"/>
        </w:rPr>
      </w:pPr>
      <w:r>
        <w:rPr>
          <w:rFonts w:hint="eastAsia" w:ascii="仿宋_GB2312" w:eastAsia="仿宋_GB2312"/>
          <w:sz w:val="32"/>
          <w:szCs w:val="32"/>
        </w:rPr>
        <w:t>政府办公厅及相关机构事务（款）事业运行（项）2010350：指行政单位（政府）事业支出；</w:t>
      </w:r>
    </w:p>
    <w:p>
      <w:pPr>
        <w:ind w:firstLine="640" w:firstLineChars="200"/>
        <w:rPr>
          <w:rFonts w:ascii="仿宋_GB2312" w:eastAsia="仿宋_GB2312"/>
          <w:sz w:val="32"/>
          <w:szCs w:val="32"/>
        </w:rPr>
      </w:pPr>
      <w:r>
        <w:rPr>
          <w:rFonts w:hint="eastAsia" w:ascii="仿宋_GB2312" w:eastAsia="仿宋_GB2312"/>
          <w:sz w:val="32"/>
          <w:szCs w:val="32"/>
        </w:rPr>
        <w:t>财政事务（款）行政运行（项）2010601：指行政单位（财政）基本支出；</w:t>
      </w:r>
    </w:p>
    <w:p>
      <w:pPr>
        <w:ind w:firstLine="640" w:firstLineChars="200"/>
        <w:rPr>
          <w:rFonts w:ascii="仿宋_GB2312" w:eastAsia="仿宋_GB2312"/>
          <w:sz w:val="32"/>
          <w:szCs w:val="32"/>
        </w:rPr>
      </w:pPr>
      <w:r>
        <w:rPr>
          <w:rFonts w:hint="eastAsia" w:ascii="仿宋_GB2312" w:eastAsia="仿宋_GB2312"/>
          <w:sz w:val="32"/>
          <w:szCs w:val="32"/>
        </w:rPr>
        <w:t>党委办公厅及相关机构事务（款）行政运行（项）2013101：指行政单位（党委）基本支出。</w:t>
      </w:r>
    </w:p>
    <w:p>
      <w:pPr>
        <w:ind w:firstLine="640" w:firstLineChars="200"/>
        <w:rPr>
          <w:rFonts w:ascii="仿宋_GB2312" w:eastAsia="仿宋_GB2312"/>
          <w:sz w:val="32"/>
          <w:szCs w:val="32"/>
        </w:rPr>
      </w:pPr>
      <w:r>
        <w:rPr>
          <w:rFonts w:hint="eastAsia" w:ascii="仿宋_GB2312" w:eastAsia="仿宋_GB2312"/>
          <w:sz w:val="32"/>
          <w:szCs w:val="32"/>
        </w:rPr>
        <w:t>4.社会保障和就业（类）208</w:t>
      </w:r>
    </w:p>
    <w:p>
      <w:pPr>
        <w:ind w:firstLine="640" w:firstLineChars="200"/>
        <w:rPr>
          <w:rFonts w:ascii="仿宋_GB2312" w:eastAsia="仿宋_GB2312"/>
          <w:sz w:val="32"/>
          <w:szCs w:val="32"/>
        </w:rPr>
      </w:pPr>
      <w:r>
        <w:rPr>
          <w:rFonts w:hint="eastAsia" w:ascii="仿宋_GB2312" w:eastAsia="仿宋_GB2312"/>
          <w:sz w:val="32"/>
          <w:szCs w:val="32"/>
        </w:rPr>
        <w:t>人力资源和社会保障管理事务（款）事业运行（项）2080150: 指行政单位（人社）基本支出；</w:t>
      </w:r>
    </w:p>
    <w:p>
      <w:pPr>
        <w:ind w:firstLine="640" w:firstLineChars="200"/>
        <w:rPr>
          <w:rFonts w:ascii="仿宋_GB2312" w:eastAsia="仿宋_GB2312"/>
          <w:sz w:val="32"/>
          <w:szCs w:val="32"/>
        </w:rPr>
      </w:pPr>
      <w:r>
        <w:rPr>
          <w:rFonts w:hint="eastAsia" w:ascii="仿宋_GB2312" w:eastAsia="仿宋_GB2312"/>
          <w:sz w:val="32"/>
          <w:szCs w:val="32"/>
        </w:rPr>
        <w:t>行政事业单位养老支出（款）机关事业单位基本养老保险缴费支出（项）2080505: 指机关事业单位基本养老保险缴费支出；</w:t>
      </w:r>
    </w:p>
    <w:p>
      <w:pPr>
        <w:ind w:firstLine="640" w:firstLineChars="200"/>
        <w:rPr>
          <w:rFonts w:ascii="仿宋_GB2312" w:eastAsia="仿宋_GB2312"/>
          <w:sz w:val="32"/>
          <w:szCs w:val="32"/>
        </w:rPr>
      </w:pPr>
      <w:r>
        <w:rPr>
          <w:rFonts w:hint="eastAsia" w:ascii="仿宋_GB2312" w:eastAsia="仿宋_GB2312"/>
          <w:sz w:val="32"/>
          <w:szCs w:val="32"/>
        </w:rPr>
        <w:t>行政事业单位养老支出（款）机关事业单位职业年金缴费支出（项）2080506：指机关事业单位职业年金缴费支出；</w:t>
      </w:r>
    </w:p>
    <w:p>
      <w:pPr>
        <w:ind w:firstLine="640" w:firstLineChars="200"/>
        <w:rPr>
          <w:rFonts w:ascii="仿宋_GB2312" w:eastAsia="仿宋_GB2312"/>
          <w:sz w:val="32"/>
          <w:szCs w:val="32"/>
        </w:rPr>
      </w:pPr>
      <w:r>
        <w:rPr>
          <w:rFonts w:hint="eastAsia" w:ascii="仿宋_GB2312" w:eastAsia="仿宋_GB2312"/>
          <w:sz w:val="32"/>
          <w:szCs w:val="32"/>
        </w:rPr>
        <w:t>抚恤（款）死亡抚恤（项）2080801：指遗属补助及死亡抚恤；</w:t>
      </w:r>
    </w:p>
    <w:p>
      <w:pPr>
        <w:ind w:firstLine="640" w:firstLineChars="200"/>
        <w:rPr>
          <w:rFonts w:ascii="仿宋_GB2312" w:eastAsia="仿宋_GB2312"/>
          <w:sz w:val="32"/>
          <w:szCs w:val="32"/>
        </w:rPr>
      </w:pPr>
      <w:r>
        <w:rPr>
          <w:rFonts w:hint="eastAsia" w:ascii="仿宋_GB2312" w:eastAsia="仿宋_GB2312"/>
          <w:sz w:val="32"/>
          <w:szCs w:val="32"/>
        </w:rPr>
        <w:t>其他社会保障和就业支出（款）其他社会保障和就业支出（项）2089999: 指机关事业单位失业保险、工伤保险等缴费支出。</w:t>
      </w:r>
    </w:p>
    <w:p>
      <w:pPr>
        <w:ind w:firstLine="640" w:firstLineChars="200"/>
        <w:rPr>
          <w:rFonts w:ascii="仿宋_GB2312" w:eastAsia="仿宋_GB2312"/>
          <w:sz w:val="32"/>
          <w:szCs w:val="32"/>
        </w:rPr>
      </w:pPr>
      <w:r>
        <w:rPr>
          <w:rFonts w:hint="eastAsia" w:ascii="仿宋_GB2312" w:eastAsia="仿宋_GB2312"/>
          <w:sz w:val="32"/>
          <w:szCs w:val="32"/>
        </w:rPr>
        <w:t>5.卫生健康（类）210</w:t>
      </w:r>
    </w:p>
    <w:p>
      <w:pPr>
        <w:ind w:firstLine="640" w:firstLineChars="200"/>
        <w:rPr>
          <w:rFonts w:ascii="仿宋_GB2312" w:eastAsia="仿宋_GB2312"/>
          <w:sz w:val="32"/>
          <w:szCs w:val="32"/>
        </w:rPr>
      </w:pPr>
      <w:r>
        <w:rPr>
          <w:rFonts w:hint="eastAsia" w:ascii="仿宋_GB2312" w:eastAsia="仿宋_GB2312"/>
          <w:sz w:val="32"/>
          <w:szCs w:val="32"/>
        </w:rPr>
        <w:t>卫生健康管理事务（款）机关服务（项）2100103：指行政单位（计生）基本支出；</w:t>
      </w:r>
    </w:p>
    <w:p>
      <w:pPr>
        <w:ind w:firstLine="640" w:firstLineChars="200"/>
        <w:rPr>
          <w:rFonts w:ascii="仿宋_GB2312" w:eastAsia="仿宋_GB2312"/>
          <w:sz w:val="32"/>
          <w:szCs w:val="32"/>
        </w:rPr>
      </w:pPr>
      <w:r>
        <w:rPr>
          <w:rFonts w:hint="eastAsia" w:ascii="仿宋_GB2312" w:eastAsia="仿宋_GB2312"/>
          <w:sz w:val="32"/>
          <w:szCs w:val="32"/>
        </w:rPr>
        <w:t>行政事业单位医疗（款）行政单位医疗（项）2101101：指财政部门集中安排的行政单位基本医疗保险缴费。</w:t>
      </w:r>
    </w:p>
    <w:p>
      <w:pPr>
        <w:ind w:firstLine="640" w:firstLineChars="200"/>
        <w:rPr>
          <w:rFonts w:ascii="仿宋_GB2312" w:eastAsia="仿宋_GB2312"/>
          <w:sz w:val="32"/>
          <w:szCs w:val="32"/>
        </w:rPr>
      </w:pPr>
      <w:r>
        <w:rPr>
          <w:rFonts w:hint="eastAsia" w:ascii="仿宋_GB2312" w:eastAsia="仿宋_GB2312"/>
          <w:sz w:val="32"/>
          <w:szCs w:val="32"/>
        </w:rPr>
        <w:t>6.城乡社区支出（类）212</w:t>
      </w:r>
    </w:p>
    <w:p>
      <w:pPr>
        <w:ind w:firstLine="640" w:firstLineChars="200"/>
        <w:rPr>
          <w:rFonts w:ascii="仿宋_GB2312" w:eastAsia="仿宋_GB2312"/>
          <w:sz w:val="32"/>
          <w:szCs w:val="32"/>
        </w:rPr>
      </w:pPr>
      <w:r>
        <w:rPr>
          <w:rFonts w:hint="eastAsia" w:ascii="仿宋_GB2312" w:eastAsia="仿宋_GB2312"/>
          <w:sz w:val="32"/>
          <w:szCs w:val="32"/>
        </w:rPr>
        <w:t>其他城乡社区支出（款）其他城乡社区支出（项）2129999: 指单位用于城乡社区项目支出。</w:t>
      </w:r>
    </w:p>
    <w:p>
      <w:pPr>
        <w:ind w:firstLine="640" w:firstLineChars="200"/>
        <w:rPr>
          <w:rFonts w:ascii="仿宋_GB2312" w:eastAsia="仿宋_GB2312"/>
          <w:sz w:val="32"/>
          <w:szCs w:val="32"/>
        </w:rPr>
      </w:pPr>
      <w:r>
        <w:rPr>
          <w:rFonts w:hint="eastAsia" w:ascii="仿宋_GB2312" w:eastAsia="仿宋_GB2312"/>
          <w:sz w:val="32"/>
          <w:szCs w:val="32"/>
        </w:rPr>
        <w:t>7.农林水（类）213</w:t>
      </w:r>
    </w:p>
    <w:p>
      <w:pPr>
        <w:ind w:firstLine="640" w:firstLineChars="200"/>
        <w:rPr>
          <w:rFonts w:ascii="仿宋_GB2312" w:eastAsia="仿宋_GB2312"/>
          <w:sz w:val="32"/>
          <w:szCs w:val="32"/>
        </w:rPr>
      </w:pPr>
      <w:r>
        <w:rPr>
          <w:rFonts w:hint="eastAsia" w:ascii="仿宋_GB2312" w:eastAsia="仿宋_GB2312"/>
          <w:sz w:val="32"/>
          <w:szCs w:val="32"/>
        </w:rPr>
        <w:t>农业农村（款）事业运行（项）2130104：指行政单位（农业）基本支出；</w:t>
      </w:r>
    </w:p>
    <w:p>
      <w:pPr>
        <w:ind w:firstLine="640" w:firstLineChars="200"/>
        <w:rPr>
          <w:rFonts w:ascii="仿宋_GB2312" w:eastAsia="仿宋_GB2312"/>
          <w:sz w:val="32"/>
          <w:szCs w:val="32"/>
        </w:rPr>
      </w:pPr>
      <w:r>
        <w:rPr>
          <w:rFonts w:hint="eastAsia" w:ascii="仿宋_GB2312" w:eastAsia="仿宋_GB2312"/>
          <w:sz w:val="32"/>
          <w:szCs w:val="32"/>
        </w:rPr>
        <w:t>林业和草原（款）事业机构（项）2130204: 指行政单位（林业）基本支出；</w:t>
      </w:r>
    </w:p>
    <w:p>
      <w:pPr>
        <w:ind w:firstLine="640" w:firstLineChars="200"/>
        <w:rPr>
          <w:rFonts w:ascii="仿宋_GB2312" w:eastAsia="仿宋_GB2312"/>
          <w:sz w:val="32"/>
          <w:szCs w:val="32"/>
        </w:rPr>
      </w:pPr>
      <w:r>
        <w:rPr>
          <w:rFonts w:hint="eastAsia" w:ascii="仿宋_GB2312" w:eastAsia="仿宋_GB2312"/>
          <w:sz w:val="32"/>
          <w:szCs w:val="32"/>
        </w:rPr>
        <w:t>水利（款）机关服务（项）2130303: 指行政单位（水利）基本支出；</w:t>
      </w:r>
    </w:p>
    <w:p>
      <w:pPr>
        <w:ind w:firstLine="640" w:firstLineChars="200"/>
        <w:rPr>
          <w:rFonts w:ascii="仿宋_GB2312" w:eastAsia="仿宋_GB2312"/>
          <w:sz w:val="32"/>
          <w:szCs w:val="32"/>
        </w:rPr>
      </w:pPr>
      <w:r>
        <w:rPr>
          <w:rFonts w:hint="eastAsia" w:ascii="仿宋_GB2312" w:eastAsia="仿宋_GB2312"/>
          <w:sz w:val="32"/>
          <w:szCs w:val="32"/>
        </w:rPr>
        <w:t>水利（款）农村水利（项）2130316: 指行政单位（水利）农村水利项目支出；</w:t>
      </w:r>
    </w:p>
    <w:p>
      <w:pPr>
        <w:ind w:firstLine="640" w:firstLineChars="200"/>
        <w:rPr>
          <w:rFonts w:ascii="仿宋_GB2312" w:eastAsia="仿宋_GB2312"/>
          <w:sz w:val="32"/>
          <w:szCs w:val="32"/>
        </w:rPr>
      </w:pPr>
      <w:r>
        <w:rPr>
          <w:rFonts w:hint="eastAsia" w:ascii="仿宋_GB2312" w:eastAsia="仿宋_GB2312"/>
          <w:sz w:val="32"/>
          <w:szCs w:val="32"/>
        </w:rPr>
        <w:t>农村综合改革（款）对村民委员会和村党支部的补助（项）2130705：指各级财政对村民委员会和村党支部的补助支出、以及支持建立县级基本财力保障机制安排的村级组织运转奖补资金。</w:t>
      </w:r>
    </w:p>
    <w:p>
      <w:pPr>
        <w:ind w:firstLine="640" w:firstLineChars="200"/>
        <w:rPr>
          <w:rFonts w:ascii="仿宋_GB2312" w:eastAsia="仿宋_GB2312"/>
          <w:sz w:val="32"/>
          <w:szCs w:val="32"/>
        </w:rPr>
      </w:pPr>
      <w:r>
        <w:rPr>
          <w:rFonts w:hint="eastAsia" w:ascii="仿宋_GB2312" w:eastAsia="仿宋_GB2312"/>
          <w:sz w:val="32"/>
          <w:szCs w:val="32"/>
        </w:rPr>
        <w:t>8.住房保障（类）221</w:t>
      </w:r>
    </w:p>
    <w:p>
      <w:pPr>
        <w:ind w:firstLine="640" w:firstLineChars="200"/>
        <w:rPr>
          <w:rFonts w:ascii="仿宋_GB2312" w:eastAsia="仿宋_GB2312"/>
          <w:sz w:val="32"/>
          <w:szCs w:val="32"/>
        </w:rPr>
      </w:pPr>
      <w:r>
        <w:rPr>
          <w:rFonts w:hint="eastAsia" w:ascii="仿宋_GB2312" w:eastAsia="仿宋_GB2312"/>
          <w:sz w:val="32"/>
          <w:szCs w:val="32"/>
        </w:rPr>
        <w:t>住房改革支出（款）住房公积金（项）2210201：指反映行政事业单位按人力资源和社会保障部、财政部规定的基本工资和津贴补贴以及规定比例为职工缴纳的住房公积金。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9.基本支出：指为保障机构正常运转、完成日常工作任务而发生的人员支出和公用支出。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 xml:space="preserve">10.项目支出：指在基本支出之外为完成特定行政任务和事业发展目标所发生的支出。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jc w:val="center"/>
        <w:outlineLvl w:val="0"/>
        <w:rPr>
          <w:rStyle w:val="30"/>
          <w:rFonts w:ascii="黑体" w:hAnsi="黑体" w:eastAsia="黑体"/>
          <w:b w:val="0"/>
        </w:rPr>
      </w:pPr>
      <w:bookmarkStart w:id="157" w:name="第四部分"/>
      <w:bookmarkStart w:id="158" w:name="_Toc115183574"/>
      <w:bookmarkStart w:id="159" w:name="_Toc115183772"/>
      <w:r>
        <w:rPr>
          <w:rFonts w:hint="eastAsia" w:ascii="黑体" w:hAnsi="黑体" w:eastAsia="黑体"/>
          <w:sz w:val="44"/>
          <w:szCs w:val="44"/>
        </w:rPr>
        <w:t>第</w:t>
      </w:r>
      <w:r>
        <w:rPr>
          <w:rStyle w:val="30"/>
          <w:rFonts w:hint="eastAsia" w:ascii="黑体" w:hAnsi="黑体" w:eastAsia="黑体"/>
          <w:b w:val="0"/>
        </w:rPr>
        <w:t>四部分</w:t>
      </w:r>
      <w:bookmarkEnd w:id="157"/>
      <w:r>
        <w:rPr>
          <w:rStyle w:val="30"/>
          <w:rFonts w:hint="eastAsia" w:ascii="黑体" w:hAnsi="黑体" w:eastAsia="黑体"/>
          <w:b w:val="0"/>
        </w:rPr>
        <w:t xml:space="preserve"> 附件</w:t>
      </w:r>
      <w:bookmarkEnd w:id="155"/>
      <w:bookmarkEnd w:id="158"/>
      <w:bookmarkEnd w:id="159"/>
    </w:p>
    <w:p>
      <w:pPr>
        <w:spacing w:line="572" w:lineRule="exact"/>
        <w:jc w:val="left"/>
        <w:outlineLvl w:val="0"/>
        <w:rPr>
          <w:rFonts w:ascii="仿宋_GB2312" w:hAnsi="仿宋_GB2312" w:eastAsia="仿宋_GB2312" w:cs="仿宋_GB2312"/>
          <w:sz w:val="44"/>
          <w:szCs w:val="44"/>
        </w:rPr>
      </w:pPr>
      <w:bookmarkStart w:id="160" w:name="_Toc115183773"/>
      <w:bookmarkStart w:id="161" w:name="_Toc115183575"/>
      <w:bookmarkStart w:id="162" w:name="_Toc115177441"/>
      <w:r>
        <w:rPr>
          <w:rFonts w:hint="eastAsia" w:ascii="仿宋_GB2312" w:hAnsi="仿宋_GB2312" w:eastAsia="仿宋_GB2312" w:cs="仿宋_GB2312"/>
          <w:sz w:val="32"/>
          <w:szCs w:val="32"/>
        </w:rPr>
        <w:t>附件1:</w:t>
      </w:r>
      <w:bookmarkEnd w:id="160"/>
      <w:bookmarkEnd w:id="161"/>
      <w:bookmarkEnd w:id="162"/>
    </w:p>
    <w:p>
      <w:pPr>
        <w:spacing w:line="572" w:lineRule="exact"/>
        <w:jc w:val="center"/>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rPr>
        <w:t>2021年麻柳乡部门整体绩效评价报告</w:t>
      </w:r>
    </w:p>
    <w:p>
      <w:pPr>
        <w:widowControl/>
        <w:spacing w:line="580" w:lineRule="exact"/>
        <w:contextualSpacing/>
        <w:jc w:val="center"/>
        <w:rPr>
          <w:rFonts w:ascii="宋体" w:hAnsi="宋体"/>
          <w:sz w:val="32"/>
          <w:szCs w:val="32"/>
          <w:shd w:val="clear" w:color="auto" w:fill="FFFFFF"/>
        </w:rPr>
      </w:pPr>
    </w:p>
    <w:p>
      <w:pPr>
        <w:widowControl/>
        <w:autoSpaceDE w:val="0"/>
        <w:adjustRightInd w:val="0"/>
        <w:snapToGrid w:val="0"/>
        <w:spacing w:line="50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一、部门（单位）概况</w:t>
      </w:r>
    </w:p>
    <w:p>
      <w:pPr>
        <w:widowControl/>
        <w:autoSpaceDE w:val="0"/>
        <w:adjustRightInd w:val="0"/>
        <w:snapToGrid w:val="0"/>
        <w:spacing w:line="500"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（一）机构组成。</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广元市朝天区麻柳乡人民政府内设党政综合办公室、乡村振兴办公室、党建工作办公室、经济发展办公室、综合行政执法办公室、社会事务办公室、社会治理工作办公室。以乡为主管理的事业单位有便民服务中心 、农业综合服务中心 、乡村建设和文化旅游服务中心、社会治安综合治理中心。</w:t>
      </w:r>
    </w:p>
    <w:p>
      <w:pPr>
        <w:widowControl/>
        <w:numPr>
          <w:ilvl w:val="0"/>
          <w:numId w:val="4"/>
        </w:numPr>
        <w:autoSpaceDE w:val="0"/>
        <w:adjustRightInd w:val="0"/>
        <w:snapToGrid w:val="0"/>
        <w:spacing w:line="500"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机构职能。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1、负责执行本级人民代表大会的决议和区人民政府的决定和命令，发布决定和命令；对本级人民代表大会和区人民政府负责并报告工作。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2、贯彻执行党和国家的各项方针、政策及法律、法规，依法制定行政措施和实施方案。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3、研究制定、执行本乡经济建设和社会发展规划、政策，执行本行政区域内的经济和社会发展计划、预算。</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负责本行政区域内的经济管理工作，负责农村基础设施建设、经济建设、农业生产和综合开发等工作，负责对辖区内村级财务的指导、监督和管理工作，负责农村土地承包合同管理和农业经济统计工作，保障农村集体经济组织和农民应有的生产经营自主权，深化农村改革，负责谋划发展思路，营造发展环境，引导农民进行科学化、现代化农业生产，引导农村劳动力转移和就业，加强农村劳动力技能培训，增加农民收入，减轻农民负担，提高农民生活水平。进一步发展和完善农业社会化服务体系，发展公益事业，增加公共产品，提供信息服务和社会救济、求助，及时向上级党委、政府反映社情民意，进一步密切党群关系，负责执法服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负责本行政区域内的科技、教育、文化、体育事业发展工作，搞好农村的医疗卫生保健服务工作；负责本行政区域内的计划生育工作及流动人口的管理，严格控制人口增长，提高人口素质；加强对本级财政、税收和工商管理工作的监督指导，负责工商、税收法规、政策的宣传贯彻和财经纪律执行情况的监督检查工作，积极培育市场、发展市场经济，保护经营者之间平等竞争；负责本行政区域内的民族宗教、民政工作，做好救灾救济和社会保障等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负责本行政区域内的公安、司法行政管理工作，搞好社会治安综合治理，维护社会秩序，保障公民的人身权利、民主权利和其他权利；保护国有财产、劳动群众集体所有财产和公民私人所有的合法财产，保护各种经济组织的合法权益；协助相关部门做好村道路、河道运输、消防、危险化学物品、矿山和非煤矿山、农机、电网等安全监督管理工作，抓好本行政区域内的事故抢救、善后和调查工作，做好安全生产统计工作，定期分析上报安全生产形式，及时公布安全生产情况，负责维护稳定。</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7、协助党委抓好公务员和下属事业单位工作人员的教育、监督和管理工作，负责监督管理下属事业单位的国有资产、监督下属事业单位贯彻执行政策情况。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8、保障群众的权利和尊重的风俗习惯。</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9、保障宪法和法律赋予妇女的男女平等、同工同筹和婚姻自由等各项权利。</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10、根据《四川省行政机构设置与编制管理办法》的规定，向区人民政府呈报乡政府各工作部门的设置方案。领导和协助管理中央、省、市、区驻本乡机关和企事业单位。</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11、负责办理人大代表、政协委员提出的与本乡有关的提案、意见、建议、批评等事项。</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12、负责办理区人民政府交办的其他事务。</w:t>
      </w:r>
    </w:p>
    <w:p>
      <w:pPr>
        <w:widowControl/>
        <w:autoSpaceDE w:val="0"/>
        <w:adjustRightInd w:val="0"/>
        <w:snapToGrid w:val="0"/>
        <w:spacing w:line="500"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（三）人员概况。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我乡人民政府经机构编制部门核定编制人数为35人，其中：行政编制18人，工勤编制1人，事业编制15人，工勤编制1人。在职人数33人，其中：行政编制14人，行政工勤1人，事业编制17人，事业工勤1人。</w:t>
      </w:r>
    </w:p>
    <w:p>
      <w:pPr>
        <w:widowControl/>
        <w:autoSpaceDE w:val="0"/>
        <w:adjustRightInd w:val="0"/>
        <w:snapToGrid w:val="0"/>
        <w:spacing w:line="50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二、部门财政资金收支情况</w:t>
      </w:r>
    </w:p>
    <w:p>
      <w:pPr>
        <w:widowControl/>
        <w:autoSpaceDE w:val="0"/>
        <w:adjustRightInd w:val="0"/>
        <w:snapToGrid w:val="0"/>
        <w:spacing w:line="500" w:lineRule="exact"/>
        <w:ind w:firstLine="640" w:firstLineChars="200"/>
        <w:contextualSpacing/>
        <w:jc w:val="left"/>
        <w:rPr>
          <w:rFonts w:ascii="楷体_GB2312" w:eastAsia="楷体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（一）部门财政资金收入情况。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2021年一般公共预算财政拨款收入716.40万元，较去年增加170.95万元，主要是单位人员增多,工资福利和公用经费支出增加。</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eastAsia="zh-CN"/>
        </w:rPr>
        <w:t>（二）</w:t>
      </w:r>
      <w:r>
        <w:rPr>
          <w:rFonts w:hint="eastAsia" w:ascii="楷体_GB2312" w:hAnsi="Times New Roman" w:eastAsia="楷体_GB2312" w:cs="Times New Roman"/>
          <w:color w:val="000000"/>
          <w:kern w:val="0"/>
          <w:sz w:val="32"/>
          <w:szCs w:val="32"/>
          <w:shd w:val="clear" w:color="auto" w:fill="FFFFFF"/>
        </w:rPr>
        <w:t>部门财政资金支出情况。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2021年一般公共预算财政拨款支出716.40万元，其中：基本支出482.02万元（是指为保障单位正常运转、完成日常工作任务而发生的各项支出；其中人员经费423.37万元，日常公用经费58.65万元）。项目支出234.38万元。</w:t>
      </w:r>
    </w:p>
    <w:p>
      <w:pPr>
        <w:widowControl/>
        <w:autoSpaceDE w:val="0"/>
        <w:adjustRightInd w:val="0"/>
        <w:snapToGrid w:val="0"/>
        <w:spacing w:line="500" w:lineRule="exact"/>
        <w:ind w:firstLine="640" w:firstLineChars="200"/>
        <w:contextualSpacing/>
        <w:jc w:val="left"/>
        <w:rPr>
          <w:rFonts w:ascii="仿宋_GB2312" w:eastAsia="仿宋_GB2312"/>
          <w:color w:val="000000"/>
          <w:kern w:val="0"/>
          <w:sz w:val="28"/>
          <w:szCs w:val="28"/>
          <w:shd w:val="clear" w:color="auto" w:fill="FFFFFF"/>
        </w:rPr>
      </w:pPr>
      <w:r>
        <w:rPr>
          <w:rFonts w:hint="eastAsia" w:ascii="黑体" w:hAnsi="黑体" w:eastAsia="黑体"/>
          <w:color w:val="000000"/>
          <w:kern w:val="0"/>
          <w:sz w:val="32"/>
          <w:szCs w:val="32"/>
          <w:shd w:val="clear" w:color="auto" w:fill="FFFFFF"/>
        </w:rPr>
        <w:t>三、部门整体预算绩效管理情况</w:t>
      </w:r>
      <w:r>
        <w:rPr>
          <w:rFonts w:hint="eastAsia" w:ascii="黑体" w:hAnsi="黑体" w:eastAsia="黑体"/>
          <w:color w:val="000000"/>
          <w:kern w:val="0"/>
          <w:sz w:val="28"/>
          <w:szCs w:val="28"/>
          <w:shd w:val="clear" w:color="auto" w:fill="FFFFFF"/>
        </w:rPr>
        <w:t>（根据适用指标体系进行调整）</w:t>
      </w:r>
    </w:p>
    <w:p>
      <w:pPr>
        <w:widowControl/>
        <w:autoSpaceDE w:val="0"/>
        <w:adjustRightInd w:val="0"/>
        <w:snapToGrid w:val="0"/>
        <w:spacing w:line="500"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楷体_GB2312" w:eastAsia="楷体_GB2312"/>
          <w:color w:val="000000"/>
          <w:kern w:val="0"/>
          <w:sz w:val="32"/>
          <w:szCs w:val="32"/>
          <w:shd w:val="clear" w:color="auto" w:fill="FFFFFF"/>
        </w:rPr>
        <w:t>（一）部门预算项目绩效管理。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预算执行情况：我乡严格执行部门正常运转经费保障机制的相关规定，编足、编实基本支出年度预算，人员经费按编制内实有人数规定的政策标准进行编制，足额编制人员经费预算，不留缺口；公用经费本着“勤俭节约、保障运转”的原则，根据公用经费定额标准及单位实际开支水平足额编制。在年度预算执行中，全年无超范围、超标准发放津补贴、奖金的现象，未以任何名义违规发放个人补助，全年支出基本保障了乡机关的政策运转；项目支出坚持专款专用原则，严格财务管理，严格使用程序，确保经费管理各个环节的畅通、有序、高效、合理预算、决算制度。有计划地使用资金，确保项目资金能达到预期效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预算项目绩效目标管理情况：一是对单位申报的预算项目进行全面梳理、加强审核、合理保障，所有项目必须有明细的资金测算，对无具体内容、无明细支出测算的，测算不够细化的项目，一律不予安排；二是对未能如期实现绩效目标或绩效评价结果较差的，在每年底通过清理结转结余资金收回部分项目资金，在编制下年度预算时适当调减项目资金额度；三是在加强预算编制换届的基础上，加强预算执行监管和执行结果评价，将财政监督渗透到预算管理的事前、事中、事后各个环节。一方面对预算执行结果开展监督审查，另一方面加强财政支出绩效评价。</w:t>
      </w:r>
    </w:p>
    <w:p>
      <w:pPr>
        <w:ind w:firstLine="640" w:firstLineChars="200"/>
        <w:rPr>
          <w:rFonts w:hint="eastAsia" w:ascii="仿宋_GB2312" w:hAnsi="Times New Roman" w:eastAsia="仿宋_GB2312" w:cs="Times New Roman"/>
          <w:sz w:val="32"/>
          <w:szCs w:val="32"/>
        </w:rPr>
      </w:pPr>
      <w:r>
        <w:rPr>
          <w:rFonts w:hint="eastAsia" w:ascii="楷体" w:hAnsi="楷体" w:eastAsia="楷体" w:cs="楷体"/>
          <w:sz w:val="32"/>
          <w:szCs w:val="32"/>
        </w:rPr>
        <w:t>（二）结果应用情况。</w:t>
      </w:r>
      <w:r>
        <w:rPr>
          <w:rFonts w:hint="eastAsia" w:ascii="仿宋_GB2312" w:hAnsi="Times New Roman" w:eastAsia="仿宋_GB2312" w:cs="Times New Roman"/>
          <w:sz w:val="32"/>
          <w:szCs w:val="32"/>
        </w:rPr>
        <w:t>一是将绩效评价结果与预算编制结合。对绩效评价结果较好的，预算安排时予以支持和激励；对绩效评价发现问题、达不到绩效目标或评价结果较差的，根据情况调整项目或向云调减项目预算，甚至取消该项财政支出。二是将绩效评价结果与日常预算管理结合。不断探索建立绩效评价结果反馈整改机制，对绩效评价过程中发现的问题和漏洞，及时反馈给被评价部门和单位，作为改进预算管理的重要依据。三是将绩效评价结果与行政监督结合，建立绩效评价结果向同级人大、政府报告机制，部门绩效自评价和财政再评价结果在朝天门户网站公开，加强社会监督，提高评价质量。同时，将预算绩效评价结果纳入部门工作目标考核范畴，并建立绩效问责机制，逐步建立“谁干事谁花钱、谁花钱谁担责”的绩效问责机制。</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自评质量。2021年，我乡努力做好财政预算收入、支出以及各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乡实际过程中支出进行合理化分配，以达到合理高效地运用资金、提升资金的产出结果、节约成本与资源、提高部门的办事效率的目的。</w:t>
      </w:r>
    </w:p>
    <w:p>
      <w:pPr>
        <w:widowControl/>
        <w:autoSpaceDE w:val="0"/>
        <w:adjustRightInd w:val="0"/>
        <w:snapToGrid w:val="0"/>
        <w:spacing w:line="50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四、自评结论及建议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（一）自评结论。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我乡积极履职，强化管理，较好的完成了年度工作目标。通过加强预算收支管理，不断建立健全内部管理制度，梳理内部管理流程，整体支出管理水平得到提升。根据部门整体支出绩效评价指标体系，我乡2021年度部门整体支出绩效自评96分,绩效评价等级为“优”。</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存在问题。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1.预算控制率有待降低。除政策性因素以外，由于部分临时、紧急或突发的工作任务导致年中追加预算。</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 专项资金少，资金压力大。针对我乡农村经济基础薄弱、资金压力大的现状，重点产业项目尚需进一步的加强。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（三）改进建议。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1、细化预算编制工作，认真做好预算的编制。进一步加强内设机构的预算管理意识，严格按照预算编制的相关制度和要求进行预算编制。</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4、对相关人员加强培训，特别是针对《预算法》、《行政事业单位会计制度》等学习培训，规范部门预算收支核算，切实提高部门预算收支管理水平。</w:t>
      </w:r>
    </w:p>
    <w:p>
      <w:pPr>
        <w:ind w:firstLine="640" w:firstLineChars="200"/>
        <w:rPr>
          <w:rFonts w:hint="eastAsia" w:ascii="仿宋_GB2312" w:hAnsi="Times New Roman" w:eastAsia="仿宋_GB2312" w:cs="Times New Roman"/>
          <w:sz w:val="32"/>
          <w:szCs w:val="32"/>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pStyle w:val="6"/>
        <w:spacing w:before="93"/>
        <w:rPr>
          <w:rFonts w:hAnsi="宋体" w:cs="宋体"/>
          <w:sz w:val="32"/>
          <w:szCs w:val="32"/>
          <w:shd w:val="clear" w:color="auto" w:fill="FFFFFF"/>
          <w:lang w:val="zh-CN"/>
        </w:rPr>
      </w:pPr>
    </w:p>
    <w:p>
      <w:pPr>
        <w:rPr>
          <w:shd w:val="clear" w:color="auto" w:fill="FFFFFF"/>
          <w:lang w:val="zh-CN"/>
        </w:rPr>
      </w:pPr>
    </w:p>
    <w:p>
      <w:pPr>
        <w:rPr>
          <w:rFonts w:ascii="仿宋_GB2312" w:eastAsia="仿宋_GB2312"/>
          <w:sz w:val="32"/>
          <w:szCs w:val="32"/>
        </w:rPr>
      </w:pPr>
      <w:r>
        <w:rPr>
          <w:rFonts w:hint="eastAsia" w:ascii="仿宋_GB2312" w:eastAsia="仿宋_GB2312"/>
          <w:sz w:val="32"/>
          <w:szCs w:val="32"/>
          <w:shd w:val="clear" w:color="auto" w:fill="FFFFFF"/>
          <w:lang w:val="zh-CN"/>
        </w:rPr>
        <w:t>附件</w:t>
      </w:r>
      <w:r>
        <w:rPr>
          <w:rFonts w:hint="eastAsia" w:ascii="仿宋_GB2312" w:eastAsia="仿宋_GB2312"/>
          <w:sz w:val="32"/>
          <w:szCs w:val="32"/>
          <w:shd w:val="clear" w:color="auto" w:fill="FFFFFF"/>
        </w:rPr>
        <w:t>2：</w:t>
      </w:r>
    </w:p>
    <w:p>
      <w:pPr>
        <w:autoSpaceDE w:val="0"/>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麻柳乡2021年高寒山区基层干部冬季集中供暖专项经费项目支出绩效自评报告</w:t>
      </w:r>
    </w:p>
    <w:p>
      <w:pPr>
        <w:autoSpaceDE w:val="0"/>
        <w:spacing w:line="576" w:lineRule="exact"/>
        <w:jc w:val="center"/>
        <w:rPr>
          <w:rFonts w:ascii="方正小标宋简体" w:hAnsi="方正小标宋简体" w:eastAsia="方正小标宋简体" w:cs="方正小标宋简体"/>
          <w:color w:val="000000"/>
          <w:kern w:val="0"/>
          <w:sz w:val="44"/>
          <w:szCs w:val="44"/>
        </w:rPr>
      </w:pPr>
    </w:p>
    <w:p>
      <w:pPr>
        <w:autoSpaceDE w:val="0"/>
        <w:adjustRightInd w:val="0"/>
        <w:snapToGrid w:val="0"/>
        <w:spacing w:line="576" w:lineRule="exact"/>
        <w:ind w:firstLine="632" w:firstLineChars="200"/>
        <w:rPr>
          <w:rFonts w:ascii="黑体" w:hAnsi="宋体" w:eastAsia="黑体"/>
          <w:w w:val="99"/>
          <w:sz w:val="32"/>
          <w:szCs w:val="32"/>
        </w:rPr>
      </w:pPr>
      <w:r>
        <w:rPr>
          <w:rFonts w:hint="eastAsia" w:ascii="黑体" w:hAnsi="黑体" w:eastAsia="黑体"/>
          <w:w w:val="99"/>
          <w:sz w:val="32"/>
          <w:szCs w:val="32"/>
        </w:rPr>
        <w:t>一、项目概况</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w w:val="99"/>
          <w:sz w:val="32"/>
          <w:szCs w:val="32"/>
        </w:rPr>
        <w:t>（一）项目基本情况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切实解决曾家山高寒山区基层干部冬季取暖问题，根据《关于朝天区高寒山区干部“温暖过冬”项目有关事宜的请示》（广朝民〔2021〕29号）文件及报区人民政府同意，区财政局下达麻柳乡2021年高寒山区基层干部冬季集中供暖专项经费10万元，资金主要用途为天然气接入。</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w w:val="99"/>
          <w:sz w:val="32"/>
          <w:szCs w:val="32"/>
        </w:rPr>
        <w:t>（二）项目绩效目标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1.项目主要内容。完成天然气接入；完成锅炉简易棚搭建10平方米；完成简易棚地坪硬化30平方米；天然气供气2个月。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2.项目实施进度计划。该项目自2021年10月上旬开工建设，2021年12月底竣工验收合格投入使用。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项目资金申报相符性。该项目由乡人民政府结合自身气候特点、建筑特征、能源状况等，按照政府采购相关规定组织实施，旨在通过在办公楼实施天然气集中供暖项目，消除以往电取暖器、天然气取暖器等移动取暖方式带来的安全隐患问题，改善干部办公和生活条件，充分调动其工作积极性。该项目申报内容符合实际需要，申报目标合理可行。</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w w:val="99"/>
          <w:sz w:val="32"/>
          <w:szCs w:val="32"/>
        </w:rPr>
        <w:t>（三）项目自评步骤及方法</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照财政支出绩效评价工作的相关要求,我乡对各项目的资金投入、使用情况，项目实施情况，管理运行情况，取得的成果，项目资料归档完善情况以及存在的问题等进行自查自评，按照设定的绩效评价指标进行绩效评价，最后形成综合绩效评价报告。</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二、项目资金申报及使用情况</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w w:val="99"/>
          <w:sz w:val="32"/>
          <w:szCs w:val="32"/>
        </w:rPr>
        <w:t>（一）项目资金申报及批复情况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该项目申报接入费10万元，由市级财政予以补助。</w:t>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hAnsi="宋体" w:eastAsia="楷体_GB2312"/>
          <w:w w:val="99"/>
          <w:sz w:val="32"/>
          <w:szCs w:val="32"/>
        </w:rPr>
        <w:t>（二）资金计划、到位及使用情况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根据《关于朝天区高寒山区干部“温暖过冬”项目有关事宜的请示》（广朝民〔2021〕29号）文件及报区人民政府同意，区财政局拨付我乡天然气接入费10万元，</w:t>
      </w:r>
      <w:r>
        <w:rPr>
          <w:rFonts w:hint="eastAsia" w:ascii="仿宋_GB2312" w:hAnsi="Times New Roman" w:eastAsia="仿宋_GB2312" w:cs="Times New Roman"/>
          <w:sz w:val="32"/>
          <w:szCs w:val="32"/>
          <w:lang w:val="zh-CN"/>
        </w:rPr>
        <w:t>资金到位率</w:t>
      </w:r>
      <w:r>
        <w:rPr>
          <w:rFonts w:hint="eastAsia" w:ascii="仿宋_GB2312" w:hAnsi="Times New Roman" w:eastAsia="仿宋_GB2312" w:cs="Times New Roman"/>
          <w:sz w:val="32"/>
          <w:szCs w:val="32"/>
        </w:rPr>
        <w:t>100%，截止评价时点，该项目支出10万元，支付率100%。</w:t>
      </w:r>
    </w:p>
    <w:p>
      <w:pPr>
        <w:numPr>
          <w:ilvl w:val="0"/>
          <w:numId w:val="5"/>
        </w:num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w w:val="99"/>
          <w:sz w:val="32"/>
          <w:szCs w:val="32"/>
        </w:rPr>
        <w:t>项目财务管理情况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项目经费严格按照财务管理制度进行管理，保证专款专用，不存在截留、滞留问题。</w:t>
      </w:r>
      <w:r>
        <w:rPr>
          <w:rFonts w:hint="eastAsia" w:ascii="仿宋_GB2312" w:hAnsi="Times New Roman" w:eastAsia="仿宋_GB2312" w:cs="Times New Roman"/>
          <w:sz w:val="32"/>
          <w:szCs w:val="32"/>
          <w:lang w:val="zh-CN"/>
        </w:rPr>
        <w:t>账务处理及时，会计核算规范。</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三、项目实施及管理情况</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w w:val="99"/>
          <w:sz w:val="32"/>
          <w:szCs w:val="32"/>
        </w:rPr>
        <w:t>（一）项目组织架构及实施流程。</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组织架构及实施流程均严格按照有关规定执行。项目经费严格按照新预算法，会计基础工作制度、单位的财务制度和预算支出范围使用。按照项目计划安排和实际工作情况开支，做到了专款专用。对项目建设规模、实施办法等及时进行了公开公示。</w:t>
      </w:r>
    </w:p>
    <w:p>
      <w:pPr>
        <w:pStyle w:val="15"/>
        <w:numPr>
          <w:ilvl w:val="0"/>
          <w:numId w:val="6"/>
        </w:numPr>
        <w:spacing w:line="576" w:lineRule="exact"/>
        <w:ind w:firstLine="632" w:firstLineChars="200"/>
        <w:rPr>
          <w:rFonts w:ascii="楷体_GB2312" w:eastAsia="楷体_GB2312" w:cs="Times New Roman"/>
          <w:w w:val="99"/>
          <w:sz w:val="32"/>
          <w:szCs w:val="32"/>
        </w:rPr>
      </w:pPr>
      <w:r>
        <w:rPr>
          <w:rFonts w:hint="eastAsia" w:ascii="楷体_GB2312" w:eastAsia="楷体_GB2312" w:cs="Times New Roman"/>
          <w:w w:val="99"/>
          <w:sz w:val="32"/>
          <w:szCs w:val="32"/>
        </w:rPr>
        <w:t>项目管理情况。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乡严格按照《项目资金管理制度》，充分认识资金的重要性和特殊性，以高度的责任感、使命感和工作热情，管好用好每一分钱，发挥资金最大效益,实现项目目标。财务管理规范，账务处理符合国家规定，能及时、准确、规范反映资金情况，没有出现截留、挤占、挪用、贪污和骗取专项资金的情况，各项支出均符合国家有关规定。</w:t>
      </w:r>
    </w:p>
    <w:p>
      <w:pPr>
        <w:numPr>
          <w:ilvl w:val="0"/>
          <w:numId w:val="6"/>
        </w:numPr>
        <w:autoSpaceDE w:val="0"/>
        <w:adjustRightInd w:val="0"/>
        <w:snapToGrid w:val="0"/>
        <w:spacing w:line="576" w:lineRule="exact"/>
        <w:ind w:firstLine="632" w:firstLineChars="200"/>
        <w:rPr>
          <w:rFonts w:ascii="楷体_GB2312" w:hAnsi="宋体" w:eastAsia="楷体_GB2312"/>
          <w:color w:val="000000" w:themeColor="text1"/>
          <w:w w:val="99"/>
          <w:sz w:val="32"/>
          <w:szCs w:val="32"/>
          <w14:textFill>
            <w14:solidFill>
              <w14:schemeClr w14:val="tx1"/>
            </w14:solidFill>
          </w14:textFill>
        </w:rPr>
      </w:pPr>
      <w:r>
        <w:rPr>
          <w:rFonts w:hint="eastAsia" w:ascii="楷体_GB2312" w:hAnsi="宋体" w:eastAsia="楷体_GB2312"/>
          <w:color w:val="000000" w:themeColor="text1"/>
          <w:w w:val="99"/>
          <w:sz w:val="32"/>
          <w:szCs w:val="32"/>
          <w14:textFill>
            <w14:solidFill>
              <w14:schemeClr w14:val="tx1"/>
            </w14:solidFill>
          </w14:textFill>
        </w:rPr>
        <w:t>项目监管情况。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为进一步加强项目资金的监管，保障资金合理使用，按照市、区各相关部门要求，我乡成立了以乡人民政府乡长任组长，各分管领导任副组长,各站所负责人为成员的工作领导小组，</w:t>
      </w:r>
      <w:r>
        <w:rPr>
          <w:rFonts w:hint="eastAsia" w:ascii="仿宋_GB2312" w:eastAsia="仿宋_GB2312" w:cs="Times New Roman"/>
          <w:sz w:val="32"/>
          <w:szCs w:val="32"/>
          <w:lang w:eastAsia="zh-CN"/>
        </w:rPr>
        <w:t>自始至终</w:t>
      </w:r>
      <w:r>
        <w:rPr>
          <w:rFonts w:hint="eastAsia" w:ascii="仿宋_GB2312" w:hAnsi="Times New Roman" w:eastAsia="仿宋_GB2312" w:cs="Times New Roman"/>
          <w:sz w:val="32"/>
          <w:szCs w:val="32"/>
        </w:rPr>
        <w:t>按照各级的要求，对项目产生、实施、监督、评议等环节负责，保证项目建设有序开展、资金监管到位。</w:t>
      </w:r>
    </w:p>
    <w:p>
      <w:pPr>
        <w:autoSpaceDE w:val="0"/>
        <w:adjustRightInd w:val="0"/>
        <w:snapToGrid w:val="0"/>
        <w:spacing w:line="576" w:lineRule="exact"/>
        <w:ind w:firstLine="632" w:firstLineChars="200"/>
        <w:rPr>
          <w:rFonts w:ascii="仿宋_GB2312" w:hAnsi="宋体" w:eastAsia="仿宋_GB2312"/>
          <w:w w:val="99"/>
          <w:sz w:val="32"/>
          <w:szCs w:val="32"/>
        </w:rPr>
      </w:pPr>
      <w:r>
        <w:rPr>
          <w:rFonts w:hint="eastAsia" w:ascii="黑体" w:hAnsi="黑体" w:eastAsia="黑体"/>
          <w:w w:val="99"/>
          <w:sz w:val="32"/>
          <w:szCs w:val="32"/>
        </w:rPr>
        <w:t>四、项目绩效情况</w:t>
      </w:r>
      <w:r>
        <w:rPr>
          <w:rFonts w:hint="eastAsia" w:ascii="仿宋_GB2312" w:hAnsi="宋体" w:eastAsia="仿宋_GB2312"/>
          <w:w w:val="99"/>
          <w:sz w:val="32"/>
          <w:szCs w:val="32"/>
        </w:rPr>
        <w:tab/>
      </w:r>
    </w:p>
    <w:p>
      <w:pPr>
        <w:ind w:firstLine="640" w:firstLineChars="200"/>
        <w:rPr>
          <w:rFonts w:hint="eastAsia" w:ascii="仿宋_GB2312" w:hAnsi="Times New Roman" w:eastAsia="仿宋_GB2312" w:cs="Times New Roman"/>
          <w:sz w:val="32"/>
          <w:szCs w:val="32"/>
        </w:rPr>
      </w:pPr>
      <w:r>
        <w:rPr>
          <w:rFonts w:hint="eastAsia" w:ascii="楷体" w:hAnsi="楷体" w:eastAsia="楷体" w:cs="楷体"/>
          <w:sz w:val="32"/>
          <w:szCs w:val="32"/>
        </w:rPr>
        <w:t>（一）项目完成情况。</w:t>
      </w:r>
      <w:r>
        <w:rPr>
          <w:rFonts w:hint="eastAsia" w:ascii="仿宋_GB2312" w:hAnsi="Times New Roman" w:eastAsia="仿宋_GB2312" w:cs="Times New Roman"/>
          <w:sz w:val="32"/>
          <w:szCs w:val="32"/>
        </w:rPr>
        <w:t>该项目已完成天然气接入并投入使用，搭建锅炉简易棚10平方米，硬化简易棚地坪30平方米，共花费10万元，于2021年12月完工并投入使用，项目验收合格率100%，资金预算控制率100%。</w:t>
      </w:r>
    </w:p>
    <w:p>
      <w:pPr>
        <w:ind w:firstLine="640" w:firstLineChars="200"/>
        <w:rPr>
          <w:rFonts w:hint="eastAsia" w:ascii="仿宋_GB2312" w:hAnsi="Times New Roman" w:eastAsia="仿宋_GB2312" w:cs="Times New Roman"/>
          <w:sz w:val="32"/>
          <w:szCs w:val="32"/>
        </w:rPr>
      </w:pPr>
      <w:r>
        <w:rPr>
          <w:rFonts w:hint="eastAsia" w:ascii="楷体" w:hAnsi="楷体" w:eastAsia="楷体" w:cs="楷体"/>
          <w:sz w:val="32"/>
          <w:szCs w:val="32"/>
        </w:rPr>
        <w:t>（二）项目效益情况。</w:t>
      </w:r>
      <w:r>
        <w:rPr>
          <w:rFonts w:hint="eastAsia" w:ascii="仿宋_GB2312" w:hAnsi="Times New Roman" w:eastAsia="仿宋_GB2312" w:cs="Times New Roman"/>
          <w:sz w:val="32"/>
          <w:szCs w:val="32"/>
        </w:rPr>
        <w:t>该项目实施，切实改善了我乡干部冬季办公和生活条件，对充分调动其工作积极性，提高工作效率起到了很大作用，受益干部满意度100%。</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w w:val="99"/>
          <w:sz w:val="32"/>
          <w:szCs w:val="32"/>
        </w:rPr>
        <w:t>五、评价结论及建议</w:t>
      </w:r>
    </w:p>
    <w:p>
      <w:pPr>
        <w:ind w:firstLine="640" w:firstLineChars="200"/>
        <w:rPr>
          <w:rFonts w:hint="eastAsia" w:ascii="仿宋_GB2312" w:hAnsi="Times New Roman" w:eastAsia="仿宋_GB2312" w:cs="Times New Roman"/>
          <w:sz w:val="32"/>
          <w:szCs w:val="32"/>
        </w:rPr>
      </w:pPr>
      <w:r>
        <w:rPr>
          <w:rFonts w:hint="eastAsia" w:ascii="楷体" w:hAnsi="楷体" w:eastAsia="楷体" w:cs="楷体"/>
          <w:sz w:val="32"/>
          <w:szCs w:val="32"/>
        </w:rPr>
        <w:t>（一）评价结论。</w:t>
      </w:r>
      <w:r>
        <w:rPr>
          <w:rFonts w:hint="eastAsia" w:ascii="仿宋_GB2312" w:hAnsi="Times New Roman" w:eastAsia="仿宋_GB2312" w:cs="Times New Roman"/>
          <w:sz w:val="32"/>
          <w:szCs w:val="32"/>
        </w:rPr>
        <w:t>作为市委市政府为基层办实事的重要内容，提高实施该供暖工程，切实解决了曾家山高寒山区干部冬季取暖问题，项目建设达到预期目标。</w:t>
      </w:r>
    </w:p>
    <w:p>
      <w:pPr>
        <w:ind w:firstLine="640" w:firstLineChars="200"/>
        <w:rPr>
          <w:rFonts w:hint="eastAsia" w:ascii="仿宋_GB2312" w:hAnsi="Times New Roman" w:eastAsia="仿宋_GB2312" w:cs="Times New Roman"/>
          <w:sz w:val="32"/>
          <w:szCs w:val="32"/>
        </w:rPr>
      </w:pPr>
      <w:r>
        <w:rPr>
          <w:rFonts w:hint="eastAsia" w:ascii="楷体" w:hAnsi="楷体" w:eastAsia="楷体" w:cs="楷体"/>
          <w:sz w:val="32"/>
          <w:szCs w:val="32"/>
        </w:rPr>
        <w:t>（二）存在的问题及建议。</w:t>
      </w:r>
      <w:r>
        <w:rPr>
          <w:rFonts w:hint="eastAsia" w:ascii="仿宋_GB2312" w:hAnsi="Times New Roman" w:eastAsia="仿宋_GB2312" w:cs="Times New Roman"/>
          <w:sz w:val="32"/>
          <w:szCs w:val="32"/>
        </w:rPr>
        <w:t>由于我乡位于曾家山高寒山区，冬季寒冷且周期长，该供暖工程建成后预计每月产生燃气费3万元，每年使用时间7个月，我乡后期燃气费及维护费承担压力大，建议区财政将该费用纳入长期预算项目，以确保该项目能长久良好运行。</w:t>
      </w:r>
    </w:p>
    <w:p>
      <w:pPr>
        <w:ind w:firstLine="640" w:firstLineChars="200"/>
        <w:rPr>
          <w:rFonts w:hint="eastAsia" w:ascii="仿宋_GB2312" w:hAnsi="Times New Roman" w:eastAsia="仿宋_GB2312" w:cs="Times New Roman"/>
          <w:sz w:val="32"/>
          <w:szCs w:val="32"/>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autoSpaceDE w:val="0"/>
        <w:spacing w:line="540" w:lineRule="exact"/>
        <w:rPr>
          <w:rFonts w:ascii="仿宋_GB2312" w:hAnsi="仿宋_GB2312" w:eastAsia="仿宋_GB2312" w:cs="仿宋_GB2312"/>
          <w:bCs/>
          <w:color w:val="000000"/>
          <w:spacing w:val="-6"/>
          <w:kern w:val="0"/>
          <w:sz w:val="32"/>
          <w:szCs w:val="32"/>
        </w:rPr>
      </w:pPr>
    </w:p>
    <w:p>
      <w:pPr>
        <w:autoSpaceDE w:val="0"/>
        <w:spacing w:line="540" w:lineRule="exact"/>
        <w:jc w:val="center"/>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2021年部门预算项目支出绩效自评报告</w:t>
      </w:r>
    </w:p>
    <w:p>
      <w:pPr>
        <w:autoSpaceDE w:val="0"/>
        <w:spacing w:line="540" w:lineRule="exact"/>
        <w:jc w:val="center"/>
        <w:rPr>
          <w:rFonts w:ascii="宋体"/>
          <w:spacing w:val="-6"/>
          <w:szCs w:val="21"/>
        </w:rPr>
      </w:pPr>
      <w:r>
        <w:rPr>
          <w:rFonts w:hint="eastAsia" w:ascii="仿宋_GB2312" w:hAnsi="宋体" w:eastAsia="仿宋_GB2312"/>
          <w:spacing w:val="-6"/>
          <w:sz w:val="32"/>
          <w:szCs w:val="32"/>
        </w:rPr>
        <w:t>（复兴社区村组道路建设项目）</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numPr>
          <w:ilvl w:val="0"/>
          <w:numId w:val="7"/>
        </w:num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项目资金申报及批复情况。</w:t>
      </w:r>
    </w:p>
    <w:p>
      <w:pPr>
        <w:autoSpaceDE w:val="0"/>
        <w:spacing w:line="540" w:lineRule="exact"/>
        <w:rPr>
          <w:rFonts w:hint="eastAsia" w:ascii="仿宋_GB2312" w:hAnsi="Times New Roman" w:eastAsia="仿宋_GB2312" w:cs="Times New Roman"/>
          <w:sz w:val="32"/>
          <w:szCs w:val="32"/>
        </w:rPr>
      </w:pPr>
      <w:r>
        <w:rPr>
          <w:rFonts w:hint="eastAsia" w:ascii="仿宋_GB2312" w:eastAsia="仿宋_GB2312"/>
          <w:spacing w:val="-6"/>
          <w:sz w:val="32"/>
          <w:szCs w:val="32"/>
        </w:rPr>
        <w:t xml:space="preserve">   </w:t>
      </w:r>
      <w:r>
        <w:rPr>
          <w:rFonts w:hint="eastAsia" w:ascii="仿宋_GB2312" w:hAnsi="Times New Roman" w:eastAsia="仿宋_GB2312" w:cs="Times New Roman"/>
          <w:sz w:val="32"/>
          <w:szCs w:val="32"/>
        </w:rPr>
        <w:t xml:space="preserve"> 复兴社区村组道路建设项目资金报告（广朝麻府〔2020〕95号）由麻柳乡人民政府报区人民政府同意后，经区财政局下达项目资金指标。项目资金的申报、批复符合资金管理办法等相关规定。</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建设内容为：在麻柳乡复兴社区三组完成长500米，宽4.5米的道路挖掘及平整、长500米，宽3.5米，厚0.18米（砼C25）的道路硬化。项目绩效目标为通过实施复兴社区村道路建设项目，能有效改善复兴社区群众的生产生活条件，改善项目受益区群众的环境卫生，消化村内的富余劳动力带动就业，从而提高群众经济收入，巩固脱贫成果。</w:t>
      </w:r>
    </w:p>
    <w:p>
      <w:pPr>
        <w:numPr>
          <w:ilvl w:val="0"/>
          <w:numId w:val="7"/>
        </w:num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项目资金申报相符性。</w:t>
      </w:r>
    </w:p>
    <w:p>
      <w:pPr>
        <w:autoSpaceDE w:val="0"/>
        <w:spacing w:line="540" w:lineRule="exact"/>
        <w:ind w:firstLine="640" w:firstLineChars="200"/>
        <w:rPr>
          <w:rFonts w:ascii="仿宋_GB2312" w:eastAsia="仿宋_GB2312"/>
          <w:spacing w:val="-6"/>
          <w:sz w:val="32"/>
          <w:szCs w:val="32"/>
        </w:rPr>
      </w:pPr>
      <w:r>
        <w:rPr>
          <w:rFonts w:hint="eastAsia" w:ascii="仿宋_GB2312" w:hAnsi="Times New Roman" w:eastAsia="仿宋_GB2312" w:cs="Times New Roman"/>
          <w:sz w:val="32"/>
          <w:szCs w:val="32"/>
        </w:rPr>
        <w:t>资金申报根据当时的建设原材料市场价、人力工资和所需量进行了科学合理的测算，申报内容与具体实施内容相符，且绩效目标围绕具体实施内容设置，申报目标合理可行。</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我乡申请复兴社区村组公路建设项目资金30.00万元，区人民政府批准下达30.00万元，实际到位资金30.00万元（其中区级财政专项资金30.00万元），资金到位率100%。</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2.资金使用。</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资金30.00万元均用于支付复兴社区村组道路建设中的原材料（169760.00元）、机械（50160.00元）和人工浇筑费用（含设备：80080.00元），根据项目完成情况及时支付，不存在挤占、挪用专项资金和结余结存等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（二）项目财务管理情况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经费严格按照麻柳乡内控制度（项目资金管理办法）进行管理，保证专款专用，不存在截留、滞留等问题。资金发放、复查由财务人员按照内控制度进行资金的审核，手续完备，资料齐全。财务处理及时，核算规范。</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autoSpaceDE w:val="0"/>
        <w:spacing w:line="540" w:lineRule="exact"/>
        <w:ind w:firstLine="640" w:firstLineChars="200"/>
        <w:rPr>
          <w:rFonts w:ascii="仿宋_GB2312" w:eastAsia="仿宋_GB2312"/>
          <w:spacing w:val="-6"/>
          <w:sz w:val="32"/>
          <w:szCs w:val="32"/>
        </w:rPr>
      </w:pPr>
      <w:r>
        <w:rPr>
          <w:rFonts w:hint="eastAsia" w:ascii="仿宋_GB2312" w:hAnsi="Times New Roman" w:eastAsia="仿宋_GB2312" w:cs="Times New Roman"/>
          <w:sz w:val="32"/>
          <w:szCs w:val="32"/>
        </w:rPr>
        <w:t>项目组织架构及实施流程均严格按照有关规定执行。复兴社区村组道路建设项目根据建设内容和规模，编制实施方案，通过召开村民代表“一事一议”会议，选举项目理事会，确定项目建设方式，组织群众务工，严格按照工程内容和质量标准施工。对工程材料、机械租赁、材料运输合约等重要事项，形成会议决议，并在村务公开栏公示，接受群众监督。</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计划完成长500米，宽4.5米的道路挖掘及平整、长500米，宽3.5米，厚0.18米（砼C25）的道路硬化。实际完成长510米，宽4.5米的道路挖掘及平整、长510米，宽3.5米，厚0.18米（砼C25）的硬化工作。因村民自建，不存在偷工减料等情况出现，工程质量有保障。</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（二）项目效益情况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复兴社区村组道路建设首先解决了受益区群众行路难的问题，其次对项目受益区推动经济发展和社会稳定有重要作用，公路的修建完成后，解决该村各种农产品的外销问题和物资运输问题。项目建成后，惠及复兴社区12户36人（含脱贫户1户，4人）。</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（一）存在的问题</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因该项目为组道，无专项资金对其管护，路边在夏、秋两季长有杂草影响出行视线。</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（二）</w:t>
      </w:r>
      <w:r>
        <w:rPr>
          <w:rFonts w:hint="eastAsia" w:ascii="楷体_GB2312" w:eastAsia="楷体_GB2312"/>
          <w:bCs/>
          <w:spacing w:val="-6"/>
          <w:sz w:val="32"/>
          <w:szCs w:val="32"/>
        </w:rPr>
        <w:t>相关建议。</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希望上级部门能拨付一部分专项资金，用于通组道路后期的维护，方便群众出行和保障出行安全。</w:t>
      </w:r>
    </w:p>
    <w:p>
      <w:pPr>
        <w:autoSpaceDE w:val="0"/>
        <w:spacing w:line="540" w:lineRule="exact"/>
        <w:ind w:firstLine="640" w:firstLineChars="200"/>
        <w:rPr>
          <w:rFonts w:hint="eastAsia" w:ascii="仿宋_GB2312" w:hAnsi="Times New Roman" w:eastAsia="仿宋_GB2312" w:cs="Times New Roman"/>
          <w:sz w:val="32"/>
          <w:szCs w:val="32"/>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
      <w:pPr>
        <w:autoSpaceDE w:val="0"/>
        <w:spacing w:line="540" w:lineRule="exact"/>
        <w:jc w:val="center"/>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2021年部门预算项目支出绩效自评报告</w:t>
      </w:r>
    </w:p>
    <w:p>
      <w:pPr>
        <w:autoSpaceDE w:val="0"/>
        <w:spacing w:line="540" w:lineRule="exact"/>
        <w:jc w:val="center"/>
        <w:rPr>
          <w:rFonts w:ascii="宋体"/>
          <w:spacing w:val="-6"/>
          <w:szCs w:val="21"/>
        </w:rPr>
      </w:pPr>
      <w:r>
        <w:rPr>
          <w:rFonts w:hint="eastAsia" w:ascii="仿宋_GB2312" w:hAnsi="宋体" w:eastAsia="仿宋_GB2312"/>
          <w:spacing w:val="-6"/>
          <w:sz w:val="32"/>
          <w:szCs w:val="32"/>
        </w:rPr>
        <w:t>（城乡环境综合治理项目）</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numPr>
          <w:ilvl w:val="0"/>
          <w:numId w:val="8"/>
        </w:num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项目资金申报及批复情况。</w:t>
      </w:r>
    </w:p>
    <w:p>
      <w:pPr>
        <w:autoSpaceDE w:val="0"/>
        <w:spacing w:line="540" w:lineRule="exact"/>
        <w:rPr>
          <w:rFonts w:hint="eastAsia" w:ascii="仿宋_GB2312" w:hAnsi="Times New Roman" w:eastAsia="仿宋_GB2312" w:cs="Times New Roman"/>
          <w:sz w:val="32"/>
          <w:szCs w:val="32"/>
        </w:rPr>
      </w:pPr>
      <w:r>
        <w:rPr>
          <w:rFonts w:hint="eastAsia" w:ascii="仿宋_GB2312" w:eastAsia="仿宋_GB2312"/>
          <w:spacing w:val="-6"/>
          <w:sz w:val="32"/>
          <w:szCs w:val="32"/>
        </w:rPr>
        <w:t xml:space="preserve">    </w:t>
      </w:r>
      <w:r>
        <w:rPr>
          <w:rFonts w:hint="eastAsia" w:ascii="仿宋_GB2312" w:hAnsi="Times New Roman" w:eastAsia="仿宋_GB2312" w:cs="Times New Roman"/>
          <w:sz w:val="32"/>
          <w:szCs w:val="32"/>
        </w:rPr>
        <w:t>城乡环境综合治理项目由乡人民政府报区人民政府同意后，经财政局批复下达后，全部用于环境综合治理。项目资金的申报、批复符合资金管理办法等相关规定。</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p>
    <w:p>
      <w:pPr>
        <w:autoSpaceDE w:val="0"/>
        <w:spacing w:line="540" w:lineRule="exact"/>
        <w:ind w:firstLine="640" w:firstLineChars="200"/>
        <w:rPr>
          <w:rFonts w:ascii="仿宋_GB2312" w:eastAsia="仿宋_GB2312"/>
          <w:spacing w:val="-6"/>
          <w:sz w:val="32"/>
          <w:szCs w:val="32"/>
        </w:rPr>
      </w:pPr>
      <w:r>
        <w:rPr>
          <w:rFonts w:hint="eastAsia" w:ascii="仿宋_GB2312" w:hAnsi="Times New Roman" w:eastAsia="仿宋_GB2312" w:cs="Times New Roman"/>
          <w:sz w:val="32"/>
          <w:szCs w:val="32"/>
        </w:rPr>
        <w:t>项目内容为完成110处生活前端垃圾收集点的垃圾清运；完成2个垃圾中转站的垃圾清运。项目绩效目标为通过城乡环境综合治理实施以改善农民生产生活条件，提高农民生活质量为目标，不断完善农村基础设施建设，加快推进城镇基础设施向农村延伸，城镇公共服务向农村覆盖，建成覆盖城乡的基础设施网络，实现基础设施城乡共建、城乡联网、城乡共享。</w:t>
      </w:r>
    </w:p>
    <w:p>
      <w:pPr>
        <w:numPr>
          <w:ilvl w:val="0"/>
          <w:numId w:val="8"/>
        </w:num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项目资金申报相符性。</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资金根据已签订的协议及已完成的工程量进行申报，申报内容与具体实施内容相符，且绩效目标围绕具体实施内容设置，申报目标合理可行。</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1.资金计划及到位。</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计划到位资金8万元，其中区级财政资金8万元。目前，实际到位资金8万元，资金到位率100%。</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2.资金使用。</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该项目已到位资金全部完成支付，均用于支付城乡环境综合治理相关费用，并根据申报进度及时支付，不存在挤占、挪用专项资金等情况。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（二）项目财务管理情况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项目经费严格按照财务管理制度进行管理，保证专款专用，不存在截留、滞留等问题。资金发放复查由财务人员按照财务制度进行资金的审核，手续完备，资料齐全。财务处理及时，核算规范。</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组织架构及实施流程均严格按照有关规定执行。我乡因地制宜、结合群众需要，制定一事一议项目规划，在乡人民政府指导下、村两委组织召开村民议事会议，经绝大多数村民同意实施项目，落实项目。对项目建设规模、实施办法等及时进行了公开公示。</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（一）项目完成情况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严格按照既定计划执行，全年完成110处垃圾收集点垃圾清运187次,完成2处垃圾中转站垃圾转运27次。项目建设内容已完成100%，建设规模符合前期审批，整体技术规范符合标准，不存在质量问题，未发生安全责任事故。</w:t>
      </w:r>
    </w:p>
    <w:p>
      <w:pPr>
        <w:numPr>
          <w:ilvl w:val="0"/>
          <w:numId w:val="9"/>
        </w:num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项目效益情况</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城乡环境综合治理项目改善了农民生产生活条件，提高了农民生活质量，完善了农村基础设施功能，为进一步深化城乡环境综合治理和创建省级卫生乡镇奠定了基础。</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本项目在区级相关部门的关心、乡党委政府高度重视下，顺利推进，圆满完成任务，并经村、社区居民评价，满意度为100%。</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（一）存在的问题</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麻柳乡地处朝天区与利州区交界处，是到曾家山旅游景区必经地，环境综合治理战线长，接受检查多，加之垃圾中转站还在建设中，垃圾统一运到隔壁乡镇进行无害化处理，还需要增加人力、物力和财力，由于部分人口素质低，还需要加强宣传力度，城乡环境综合治理常态化进行明细资金不足。</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（二）相关建议。</w:t>
      </w:r>
    </w:p>
    <w:p>
      <w:pPr>
        <w:autoSpaceDE w:val="0"/>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恳请区财政局在来年预算时适当增加我乡经费，确保环境治理工作真正实行长效管理。</w:t>
      </w:r>
    </w:p>
    <w:p>
      <w:pPr>
        <w:autoSpaceDE w:val="0"/>
        <w:spacing w:line="540" w:lineRule="exact"/>
        <w:ind w:firstLine="640" w:firstLineChars="200"/>
        <w:rPr>
          <w:rFonts w:hint="eastAsia" w:ascii="仿宋_GB2312" w:hAnsi="Times New Roman" w:eastAsia="仿宋_GB2312" w:cs="Times New Roman"/>
          <w:sz w:val="32"/>
          <w:szCs w:val="32"/>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autoSpaceDE w:val="0"/>
        <w:spacing w:line="540" w:lineRule="exact"/>
        <w:jc w:val="center"/>
        <w:rPr>
          <w:rFonts w:hint="eastAsia" w:ascii="方正大标宋简体" w:hAnsi="??" w:eastAsia="方正大标宋简体"/>
          <w:b/>
          <w:color w:val="000000"/>
          <w:spacing w:val="-6"/>
          <w:kern w:val="0"/>
          <w:sz w:val="44"/>
          <w:szCs w:val="44"/>
        </w:rPr>
      </w:pPr>
    </w:p>
    <w:p>
      <w:pPr>
        <w:autoSpaceDE w:val="0"/>
        <w:spacing w:line="540" w:lineRule="exact"/>
        <w:jc w:val="center"/>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2021年部门预算项目支出绩效自评报告</w:t>
      </w:r>
    </w:p>
    <w:p>
      <w:pPr>
        <w:autoSpaceDE w:val="0"/>
        <w:spacing w:line="540" w:lineRule="exact"/>
        <w:jc w:val="center"/>
        <w:rPr>
          <w:rFonts w:ascii="仿宋_GB2312" w:hAnsi="宋体" w:eastAsia="仿宋_GB2312"/>
          <w:spacing w:val="-6"/>
          <w:sz w:val="32"/>
          <w:szCs w:val="32"/>
        </w:rPr>
      </w:pPr>
      <w:r>
        <w:rPr>
          <w:rFonts w:hint="eastAsia" w:ascii="仿宋_GB2312" w:hAnsi="宋体" w:eastAsia="仿宋_GB2312"/>
          <w:spacing w:val="-6"/>
          <w:sz w:val="32"/>
          <w:szCs w:val="32"/>
        </w:rPr>
        <w:t>（人大选举工作经费）</w:t>
      </w:r>
    </w:p>
    <w:p>
      <w:pPr>
        <w:pStyle w:val="16"/>
      </w:pP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widowControl/>
        <w:spacing w:line="576" w:lineRule="exact"/>
        <w:ind w:firstLine="616" w:firstLineChars="200"/>
        <w:jc w:val="left"/>
        <w:rPr>
          <w:rFonts w:ascii="仿宋_GB2312" w:hAnsi="仿宋_GB2312" w:eastAsia="仿宋_GB2312" w:cs="仿宋_GB2312"/>
          <w:kern w:val="0"/>
          <w:sz w:val="32"/>
          <w:szCs w:val="32"/>
          <w:lang w:bidi="ar"/>
        </w:rPr>
      </w:pPr>
      <w:r>
        <w:rPr>
          <w:rFonts w:hint="eastAsia" w:ascii="楷体_GB2312" w:eastAsia="楷体_GB2312"/>
          <w:bCs/>
          <w:spacing w:val="-6"/>
          <w:sz w:val="32"/>
          <w:szCs w:val="32"/>
        </w:rPr>
        <w:t>（一）</w:t>
      </w:r>
      <w:r>
        <w:rPr>
          <w:rFonts w:hint="eastAsia" w:ascii="仿宋_GB2312" w:hAnsi="仿宋_GB2312" w:eastAsia="仿宋_GB2312" w:cs="仿宋_GB2312"/>
          <w:kern w:val="0"/>
          <w:sz w:val="32"/>
          <w:szCs w:val="32"/>
          <w:lang w:bidi="ar"/>
        </w:rPr>
        <w:t>麻柳乡2021年人大选举工作经费项目。</w:t>
      </w:r>
    </w:p>
    <w:p>
      <w:pPr>
        <w:widowControl/>
        <w:spacing w:line="576"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lang w:bidi="ar"/>
        </w:rPr>
        <w:t>（</w:t>
      </w:r>
      <w:r>
        <w:rPr>
          <w:rFonts w:hint="eastAsia" w:ascii="楷体_GB2312" w:eastAsia="楷体_GB2312"/>
          <w:bCs/>
          <w:spacing w:val="-6"/>
          <w:sz w:val="32"/>
          <w:szCs w:val="32"/>
        </w:rPr>
        <w:t>二）项目绩效目标。</w:t>
      </w:r>
      <w:r>
        <w:rPr>
          <w:rFonts w:hint="eastAsia" w:ascii="仿宋_GB2312" w:eastAsia="仿宋_GB2312"/>
          <w:sz w:val="32"/>
          <w:szCs w:val="32"/>
        </w:rPr>
        <w:t>全面完成人大选举工作。</w:t>
      </w:r>
    </w:p>
    <w:p>
      <w:pPr>
        <w:widowControl/>
        <w:spacing w:line="576" w:lineRule="exact"/>
        <w:ind w:firstLine="616" w:firstLineChars="200"/>
        <w:jc w:val="left"/>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z w:val="32"/>
          <w:szCs w:val="32"/>
        </w:rPr>
        <w:t>项目资金使用符合相关的财务管理制度规定，不存在截留、挤占、挪用、虚列支出等情况。</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1.资金计划及到位。该项目截止评价时点实际到位2万元，其中：本级资金2万元，到位率100%。</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2.资金使用。截止评价时点项目资金的实际支出2万元，严格按照专项资金管理办法规定，加强管理，做到专款专用，提高资金使用效益。</w:t>
      </w:r>
      <w:r>
        <w:rPr>
          <w:rFonts w:hint="eastAsia" w:ascii="仿宋_GB2312" w:hAnsi="仿宋_GB2312" w:eastAsia="仿宋_GB2312" w:cs="仿宋_GB2312"/>
          <w:sz w:val="32"/>
          <w:szCs w:val="32"/>
        </w:rPr>
        <w:t>用于脱贫攻坚支出。</w:t>
      </w:r>
      <w:r>
        <w:rPr>
          <w:rFonts w:hint="eastAsia" w:ascii="仿宋_GB2312" w:eastAsia="仿宋_GB2312"/>
          <w:spacing w:val="-6"/>
          <w:sz w:val="32"/>
          <w:szCs w:val="32"/>
        </w:rPr>
        <w:t>使用率100%，无结余。</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乡财务管理制度规范执行，坚持“专项核算、专人管理、专款专用”的原则，不存在超标准、截留、挪用、虚列支出等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autoSpaceDE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根据资金使用要求，严格按照程序，切实落实好人大选举各项工作，保障选举成果，目前，该项目已全面完工。</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pStyle w:val="14"/>
        <w:widowControl/>
        <w:numPr>
          <w:ilvl w:val="0"/>
          <w:numId w:val="10"/>
        </w:numPr>
        <w:spacing w:line="596"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项目完成情况</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数量指标：召开会议1次。</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质量指标：资金支付到位。    </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时效指标：2021年12月31日前完成。</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成本指标：补助标准2万元/年/次，共计2万元。</w:t>
      </w:r>
    </w:p>
    <w:p>
      <w:pPr>
        <w:pStyle w:val="14"/>
        <w:widowControl/>
        <w:numPr>
          <w:ilvl w:val="0"/>
          <w:numId w:val="10"/>
        </w:numPr>
        <w:spacing w:line="596" w:lineRule="exact"/>
        <w:ind w:firstLine="640" w:firstLineChars="200"/>
        <w:rPr>
          <w:rFonts w:hint="default" w:ascii="仿宋_GB2312" w:hAnsi="仿宋_GB2312" w:eastAsia="仿宋_GB2312" w:cs="仿宋_GB2312"/>
          <w:color w:val="000000"/>
          <w:sz w:val="32"/>
          <w:szCs w:val="32"/>
        </w:rPr>
      </w:pPr>
      <w:r>
        <w:rPr>
          <w:rFonts w:ascii="楷体_GB2312" w:hAnsi="楷体_GB2312" w:eastAsia="楷体_GB2312" w:cs="楷体_GB2312"/>
          <w:sz w:val="32"/>
          <w:szCs w:val="32"/>
        </w:rPr>
        <w:t>项目效益情况</w:t>
      </w:r>
    </w:p>
    <w:p>
      <w:pPr>
        <w:widowControl/>
        <w:spacing w:line="59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社会效益：激发了履职尽责的热情，为选举工作开展提供了有力的保障，群众述求率达100%。</w:t>
      </w:r>
    </w:p>
    <w:p>
      <w:pPr>
        <w:widowControl/>
        <w:spacing w:line="59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可持续影响：</w:t>
      </w:r>
      <w:r>
        <w:rPr>
          <w:rFonts w:hint="eastAsia" w:ascii="仿宋_GB2312" w:hAnsi="仿宋_GB2312" w:eastAsia="仿宋_GB2312" w:cs="仿宋_GB2312"/>
          <w:sz w:val="32"/>
          <w:szCs w:val="32"/>
        </w:rPr>
        <w:t>持续影响5年以上。</w:t>
      </w:r>
    </w:p>
    <w:p>
      <w:pPr>
        <w:widowControl/>
        <w:spacing w:line="59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满意度指标：服务对象满意度达96%。 </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76"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widowControl/>
        <w:spacing w:line="576" w:lineRule="exact"/>
        <w:ind w:firstLine="640" w:firstLineChars="200"/>
        <w:jc w:val="left"/>
        <w:rPr>
          <w:rFonts w:ascii="楷体_GB2312" w:eastAsia="楷体_GB2312"/>
          <w:bCs/>
          <w:spacing w:val="-6"/>
          <w:sz w:val="32"/>
          <w:szCs w:val="32"/>
        </w:rPr>
      </w:pPr>
      <w:r>
        <w:rPr>
          <w:rFonts w:hint="eastAsia" w:ascii="仿宋_GB2312" w:hAnsi="仿宋_GB2312" w:eastAsia="仿宋_GB2312" w:cs="仿宋_GB2312"/>
          <w:kern w:val="0"/>
          <w:sz w:val="32"/>
          <w:szCs w:val="32"/>
          <w:lang w:bidi="ar"/>
        </w:rPr>
        <w:t>综合预算项目绩效评价情况认为，在项目资金预算绩效方面总体上是管理使用到位的，个别项目未完成预算资金使用量,虽然存在较多客观因素，但是应及时做好汇报和资金调整工作。</w:t>
      </w:r>
    </w:p>
    <w:p>
      <w:pPr>
        <w:widowControl/>
        <w:spacing w:line="576" w:lineRule="exact"/>
        <w:ind w:firstLine="616" w:firstLineChars="200"/>
        <w:jc w:val="left"/>
        <w:rPr>
          <w:rFonts w:ascii="仿宋_GB2312" w:hAnsi="仿宋_GB2312" w:eastAsia="仿宋_GB2312" w:cs="仿宋_GB2312"/>
          <w:kern w:val="0"/>
          <w:sz w:val="32"/>
          <w:szCs w:val="32"/>
          <w:lang w:bidi="ar"/>
        </w:rPr>
      </w:pPr>
      <w:r>
        <w:rPr>
          <w:rFonts w:hint="eastAsia" w:ascii="楷体_GB2312" w:eastAsia="楷体_GB2312"/>
          <w:bCs/>
          <w:spacing w:val="-6"/>
          <w:sz w:val="32"/>
          <w:szCs w:val="32"/>
        </w:rPr>
        <w:t>（二）相关建议。</w:t>
      </w:r>
      <w:r>
        <w:rPr>
          <w:rFonts w:hint="eastAsia" w:ascii="仿宋_GB2312" w:hAnsi="仿宋_GB2312" w:eastAsia="仿宋_GB2312" w:cs="仿宋_GB2312"/>
          <w:kern w:val="0"/>
          <w:sz w:val="32"/>
          <w:szCs w:val="32"/>
          <w:lang w:bidi="ar"/>
        </w:rPr>
        <w:t>建议制订年度项目资金预算方案前，认真做好每个项目的市场预测和绩效目标分析,及时向领导通报资金使用情况，以便及时作出调整，实现项目资金利用效率最大化。</w:t>
      </w:r>
    </w:p>
    <w:p>
      <w:pPr>
        <w:autoSpaceDE w:val="0"/>
        <w:spacing w:line="540" w:lineRule="exact"/>
        <w:jc w:val="center"/>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2021年部门预算项目支出绩效自评报告</w:t>
      </w:r>
    </w:p>
    <w:p>
      <w:pPr>
        <w:widowControl/>
        <w:spacing w:line="576" w:lineRule="exact"/>
        <w:jc w:val="center"/>
        <w:rPr>
          <w:rFonts w:ascii="宋体"/>
          <w:spacing w:val="-6"/>
          <w:sz w:val="32"/>
          <w:szCs w:val="32"/>
        </w:rPr>
      </w:pPr>
      <w:r>
        <w:rPr>
          <w:rFonts w:hint="eastAsia" w:ascii="仿宋_GB2312" w:hAnsi="宋体" w:eastAsia="仿宋_GB2312"/>
          <w:spacing w:val="-6"/>
          <w:sz w:val="32"/>
          <w:szCs w:val="32"/>
        </w:rPr>
        <w:t>（</w:t>
      </w:r>
      <w:r>
        <w:rPr>
          <w:rFonts w:hint="eastAsia" w:ascii="仿宋_GB2312" w:hAnsi="仿宋_GB2312" w:eastAsia="仿宋_GB2312" w:cs="仿宋_GB2312"/>
          <w:kern w:val="0"/>
          <w:sz w:val="32"/>
          <w:szCs w:val="32"/>
          <w:lang w:bidi="ar"/>
        </w:rPr>
        <w:t>2021年金财网维护项目</w:t>
      </w:r>
      <w:r>
        <w:rPr>
          <w:rFonts w:hint="eastAsia" w:ascii="仿宋_GB2312" w:hAnsi="宋体" w:eastAsia="仿宋_GB2312"/>
          <w:spacing w:val="-6"/>
          <w:sz w:val="32"/>
          <w:szCs w:val="32"/>
        </w:rPr>
        <w:t>）</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widowControl/>
        <w:spacing w:line="576" w:lineRule="exact"/>
        <w:ind w:firstLine="616" w:firstLineChars="200"/>
        <w:jc w:val="left"/>
      </w:pPr>
      <w:r>
        <w:rPr>
          <w:rFonts w:hint="eastAsia" w:ascii="楷体_GB2312" w:eastAsia="楷体_GB2312"/>
          <w:bCs/>
          <w:spacing w:val="-6"/>
          <w:sz w:val="32"/>
          <w:szCs w:val="32"/>
        </w:rPr>
        <w:t>（一）</w:t>
      </w:r>
      <w:r>
        <w:rPr>
          <w:rFonts w:hint="eastAsia" w:ascii="仿宋_GB2312" w:hAnsi="仿宋_GB2312" w:eastAsia="仿宋_GB2312" w:cs="仿宋_GB2312"/>
          <w:kern w:val="0"/>
          <w:sz w:val="32"/>
          <w:szCs w:val="32"/>
          <w:lang w:bidi="ar"/>
        </w:rPr>
        <w:t>麻柳乡2021年金财网维护项目。</w:t>
      </w:r>
    </w:p>
    <w:p>
      <w:pPr>
        <w:widowControl/>
        <w:spacing w:line="596" w:lineRule="exact"/>
        <w:ind w:firstLine="616" w:firstLineChars="200"/>
        <w:jc w:val="left"/>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hAnsi="仿宋_GB2312" w:eastAsia="仿宋_GB2312" w:cs="仿宋_GB2312"/>
          <w:sz w:val="32"/>
          <w:szCs w:val="32"/>
        </w:rPr>
        <w:t>我乡要个按照金财网维护要求，检查项目资金使用情况及绩效目标实现情况，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ind w:firstLine="616" w:firstLineChars="200"/>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z w:val="32"/>
          <w:szCs w:val="32"/>
        </w:rPr>
        <w:t>项目资金使用符合相关的财务管理制度规定，不存在截留、挤占、挪用、虚列支出等情况。</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二、项目实施及管理情况</w:t>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1.资金计划及到位。该项目截止评价时点实际到位0.24万元，其中：本级资金0.24万元，到位率100%。</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2.资金使用。截止评价时点项目资金的实际支出0.24万元，严格按照专项资金管理办法规定，加强管理，做到专款专用，提高资金使用效益。使用率100%，无结余。</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乡财务管理制度规范执行，坚持“专项核算、专人管理、专款专用”的原则，不存在超标准、截留、挪用、虚列支出等情况。</w:t>
      </w:r>
    </w:p>
    <w:p>
      <w:pPr>
        <w:widowControl/>
        <w:spacing w:line="576" w:lineRule="exact"/>
        <w:ind w:left="420" w:leftChars="200"/>
        <w:jc w:val="left"/>
        <w:rPr>
          <w:rFonts w:ascii="楷体_GB2312" w:eastAsia="楷体_GB2312"/>
          <w:bCs/>
          <w:spacing w:val="-6"/>
          <w:sz w:val="32"/>
          <w:szCs w:val="32"/>
        </w:rPr>
      </w:pPr>
      <w:r>
        <w:rPr>
          <w:rFonts w:hint="eastAsia" w:ascii="楷体_GB2312" w:eastAsia="楷体_GB2312"/>
          <w:bCs/>
          <w:spacing w:val="-6"/>
          <w:sz w:val="32"/>
          <w:szCs w:val="32"/>
        </w:rPr>
        <w:t>（三）项目组织实施情况</w:t>
      </w:r>
    </w:p>
    <w:p>
      <w:pPr>
        <w:adjustRightInd w:val="0"/>
        <w:spacing w:line="59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为进一步加强项目资金的监管，切实保障资金合理使用，按照市、区各相关部门要求，我乡成立了以乡人民政府乡长任组长，纪委、财政所工作人员为成员的工作领导小组，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按照各级的要求，对项目产生、实施、监督、评议等环节负责，保证项目建设有序开展、资金监管到位。</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严格按照《项目资金管理制度》，财务管理规范，账务处理符合国家规定，能及时、准确、规范反映资金情况，没有出现截留、挤占、挪用、贪污和骗取专项资金的情况，各项支出均符合国家有关规定。</w:t>
      </w:r>
    </w:p>
    <w:p>
      <w:pPr>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主动公开资金使用情况，让权力运行在阳光下，接受广大人民群众的监督。</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三、项目绩效情况</w:t>
      </w:r>
      <w:r>
        <w:rPr>
          <w:rFonts w:hint="eastAsia" w:ascii="黑体" w:hAnsi="黑体" w:eastAsia="黑体"/>
          <w:spacing w:val="-6"/>
          <w:sz w:val="32"/>
          <w:szCs w:val="32"/>
        </w:rPr>
        <w:tab/>
      </w:r>
    </w:p>
    <w:p>
      <w:pPr>
        <w:autoSpaceDE w:val="0"/>
        <w:spacing w:line="54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(一)项目绩效目标完成情况分析</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数量指标：全年维护费用0.24万元。</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质量指标：资金支付到位。    </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时效指标：2020年12月31日前完成。</w:t>
      </w:r>
    </w:p>
    <w:p>
      <w:pPr>
        <w:pStyle w:val="15"/>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成本指标：全年维护费用0.24万元。</w:t>
      </w:r>
    </w:p>
    <w:p>
      <w:pPr>
        <w:pStyle w:val="14"/>
        <w:widowControl/>
        <w:numPr>
          <w:ilvl w:val="0"/>
          <w:numId w:val="10"/>
        </w:numPr>
        <w:spacing w:line="596" w:lineRule="exact"/>
        <w:ind w:firstLine="640" w:firstLineChars="200"/>
        <w:rPr>
          <w:rFonts w:hint="default" w:ascii="仿宋_GB2312" w:hAnsi="仿宋_GB2312" w:eastAsia="仿宋_GB2312" w:cs="仿宋_GB2312"/>
          <w:color w:val="000000"/>
          <w:sz w:val="32"/>
          <w:szCs w:val="32"/>
        </w:rPr>
      </w:pPr>
      <w:r>
        <w:rPr>
          <w:rFonts w:ascii="楷体_GB2312" w:hAnsi="楷体_GB2312" w:eastAsia="楷体_GB2312" w:cs="楷体_GB2312"/>
          <w:sz w:val="32"/>
          <w:szCs w:val="32"/>
        </w:rPr>
        <w:t>项目效益情况</w:t>
      </w:r>
    </w:p>
    <w:p>
      <w:pPr>
        <w:widowControl/>
        <w:spacing w:line="59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社会效益：</w:t>
      </w:r>
      <w:r>
        <w:rPr>
          <w:rFonts w:hint="eastAsia" w:ascii="仿宋_GB2312" w:hAnsi="仿宋_GB2312" w:eastAsia="仿宋_GB2312" w:cs="仿宋_GB2312"/>
          <w:color w:val="000000"/>
          <w:sz w:val="32"/>
          <w:szCs w:val="32"/>
        </w:rPr>
        <w:t>规范了乡财政管理</w:t>
      </w:r>
      <w:r>
        <w:rPr>
          <w:rFonts w:hint="eastAsia" w:ascii="仿宋_GB2312" w:hAnsi="仿宋_GB2312" w:eastAsia="仿宋_GB2312" w:cs="仿宋_GB2312"/>
          <w:sz w:val="32"/>
          <w:szCs w:val="32"/>
        </w:rPr>
        <w:t>，提高了政府行政效能，提高了群众满意度、安全感。</w:t>
      </w:r>
    </w:p>
    <w:p>
      <w:pPr>
        <w:widowControl/>
        <w:spacing w:line="59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可持续影响：确保系统安全稳定。 </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spacing w:val="-6"/>
          <w:sz w:val="32"/>
          <w:szCs w:val="32"/>
        </w:rPr>
        <w:t>四、问题及建议</w:t>
      </w:r>
    </w:p>
    <w:p>
      <w:pPr>
        <w:widowControl/>
        <w:spacing w:line="576" w:lineRule="exact"/>
        <w:ind w:firstLine="616" w:firstLineChars="200"/>
        <w:jc w:val="left"/>
        <w:rPr>
          <w:rFonts w:ascii="楷体_GB2312" w:eastAsia="楷体_GB2312"/>
          <w:bCs/>
          <w:spacing w:val="-6"/>
          <w:sz w:val="32"/>
          <w:szCs w:val="32"/>
        </w:rPr>
      </w:pPr>
      <w:r>
        <w:rPr>
          <w:rFonts w:hint="eastAsia" w:ascii="楷体_GB2312" w:eastAsia="楷体_GB2312"/>
          <w:bCs/>
          <w:spacing w:val="-6"/>
          <w:sz w:val="32"/>
          <w:szCs w:val="32"/>
        </w:rPr>
        <w:t>（一）存在的问题</w:t>
      </w:r>
    </w:p>
    <w:p>
      <w:pPr>
        <w:widowControl/>
        <w:spacing w:line="576" w:lineRule="exact"/>
        <w:ind w:firstLine="640" w:firstLineChars="200"/>
        <w:jc w:val="left"/>
        <w:rPr>
          <w:rFonts w:ascii="楷体_GB2312" w:eastAsia="楷体_GB2312"/>
          <w:bCs/>
          <w:spacing w:val="-6"/>
          <w:sz w:val="32"/>
          <w:szCs w:val="32"/>
        </w:rPr>
      </w:pPr>
      <w:r>
        <w:rPr>
          <w:rFonts w:hint="eastAsia" w:ascii="仿宋_GB2312" w:hAnsi="仿宋_GB2312" w:eastAsia="仿宋_GB2312" w:cs="仿宋_GB2312"/>
          <w:kern w:val="0"/>
          <w:sz w:val="32"/>
          <w:szCs w:val="32"/>
          <w:lang w:bidi="ar"/>
        </w:rPr>
        <w:t>综合预算项目绩效评价情况认为，在项目资金预算绩效方面总体上是管理使用到位的，个别项目未完成预算资金使用量,虽然存在较多客观因素，但是应及时做好汇报和资金调整工作。</w:t>
      </w:r>
    </w:p>
    <w:p>
      <w:pPr>
        <w:widowControl/>
        <w:spacing w:line="576" w:lineRule="exact"/>
        <w:ind w:firstLine="616" w:firstLineChars="200"/>
        <w:jc w:val="left"/>
        <w:rPr>
          <w:rFonts w:ascii="仿宋_GB2312" w:hAnsi="仿宋_GB2312" w:eastAsia="仿宋_GB2312" w:cs="仿宋_GB2312"/>
          <w:kern w:val="0"/>
          <w:sz w:val="32"/>
          <w:szCs w:val="32"/>
          <w:lang w:bidi="ar"/>
        </w:rPr>
      </w:pPr>
      <w:r>
        <w:rPr>
          <w:rFonts w:hint="eastAsia" w:ascii="楷体_GB2312" w:eastAsia="楷体_GB2312"/>
          <w:bCs/>
          <w:spacing w:val="-6"/>
          <w:sz w:val="32"/>
          <w:szCs w:val="32"/>
        </w:rPr>
        <w:t>（二）相关建议。</w:t>
      </w:r>
      <w:r>
        <w:rPr>
          <w:rFonts w:hint="eastAsia" w:ascii="仿宋_GB2312" w:hAnsi="仿宋_GB2312" w:eastAsia="仿宋_GB2312" w:cs="仿宋_GB2312"/>
          <w:kern w:val="0"/>
          <w:sz w:val="32"/>
          <w:szCs w:val="32"/>
          <w:lang w:bidi="ar"/>
        </w:rPr>
        <w:t>建议制订年度项目资金预算方案前，认真做好每个项目的市场预测和绩效目标分析,及时向领导通报资金使用情况，以便及时作出调整，实现项目资金利用效率最大化。</w:t>
      </w:r>
    </w:p>
    <w:p>
      <w:pPr>
        <w:pStyle w:val="6"/>
        <w:spacing w:before="93"/>
      </w:pPr>
    </w:p>
    <w:p>
      <w:pPr>
        <w:pStyle w:val="6"/>
        <w:spacing w:before="93"/>
      </w:pPr>
    </w:p>
    <w:p>
      <w:pPr>
        <w:pStyle w:val="6"/>
        <w:spacing w:before="93"/>
      </w:pPr>
    </w:p>
    <w:p>
      <w:pPr>
        <w:pStyle w:val="6"/>
        <w:spacing w:before="93"/>
      </w:pPr>
    </w:p>
    <w:p>
      <w:pPr>
        <w:pStyle w:val="6"/>
        <w:spacing w:before="93"/>
      </w:pPr>
    </w:p>
    <w:p>
      <w:pPr>
        <w:pStyle w:val="6"/>
        <w:spacing w:before="93"/>
        <w:rPr>
          <w:lang w:val="zh-CN"/>
        </w:rPr>
      </w:pPr>
    </w:p>
    <w:p>
      <w:pPr>
        <w:pStyle w:val="16"/>
        <w:rPr>
          <w:lang w:val="zh-CN"/>
        </w:rPr>
      </w:pPr>
    </w:p>
    <w:p>
      <w:pPr>
        <w:pStyle w:val="16"/>
        <w:rPr>
          <w:lang w:val="zh-CN"/>
        </w:rPr>
      </w:pPr>
    </w:p>
    <w:p>
      <w:pPr>
        <w:pStyle w:val="16"/>
        <w:rPr>
          <w:lang w:val="zh-CN"/>
        </w:rPr>
      </w:pPr>
    </w:p>
    <w:p>
      <w:pPr>
        <w:pStyle w:val="16"/>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lang w:val="en-US" w:eastAsia="zh-CN"/>
        </w:rPr>
        <w:t>3：</w:t>
      </w:r>
    </w:p>
    <w:tbl>
      <w:tblPr>
        <w:tblStyle w:val="17"/>
        <w:tblW w:w="11300" w:type="dxa"/>
        <w:jc w:val="center"/>
        <w:tblLayout w:type="autofit"/>
        <w:tblCellMar>
          <w:top w:w="0" w:type="dxa"/>
          <w:left w:w="108" w:type="dxa"/>
          <w:bottom w:w="0" w:type="dxa"/>
          <w:right w:w="108" w:type="dxa"/>
        </w:tblCellMar>
      </w:tblPr>
      <w:tblGrid>
        <w:gridCol w:w="640"/>
        <w:gridCol w:w="1018"/>
        <w:gridCol w:w="1332"/>
        <w:gridCol w:w="1697"/>
        <w:gridCol w:w="2237"/>
        <w:gridCol w:w="2388"/>
        <w:gridCol w:w="1988"/>
      </w:tblGrid>
      <w:tr>
        <w:tblPrEx>
          <w:tblCellMar>
            <w:top w:w="0" w:type="dxa"/>
            <w:left w:w="108" w:type="dxa"/>
            <w:bottom w:w="0" w:type="dxa"/>
            <w:right w:w="108" w:type="dxa"/>
          </w:tblCellMar>
        </w:tblPrEx>
        <w:trPr>
          <w:trHeight w:val="90" w:hRule="atLeast"/>
          <w:jc w:val="center"/>
        </w:trPr>
        <w:tc>
          <w:tcPr>
            <w:tcW w:w="11300" w:type="dxa"/>
            <w:gridSpan w:val="7"/>
            <w:tcBorders>
              <w:top w:val="nil"/>
              <w:left w:val="nil"/>
              <w:bottom w:val="nil"/>
              <w:right w:val="nil"/>
            </w:tcBorders>
            <w:shd w:val="clear" w:color="auto" w:fill="auto"/>
            <w:vAlign w:val="center"/>
          </w:tcPr>
          <w:p>
            <w:pPr>
              <w:widowControl/>
              <w:jc w:val="center"/>
              <w:textAlignment w:val="center"/>
              <w:rPr>
                <w:rFonts w:ascii="方正大标宋简体" w:hAnsi="方正大标宋简体" w:eastAsia="方正大标宋简体" w:cs="方正大标宋简体"/>
                <w:color w:val="000000"/>
                <w:sz w:val="36"/>
                <w:szCs w:val="36"/>
              </w:rPr>
            </w:pPr>
            <w:r>
              <w:rPr>
                <w:rFonts w:hint="eastAsia" w:ascii="方正大标宋简体" w:hAnsi="方正大标宋简体" w:eastAsia="方正大标宋简体" w:cs="方正大标宋简体"/>
                <w:color w:val="000000"/>
                <w:kern w:val="0"/>
                <w:sz w:val="36"/>
                <w:szCs w:val="36"/>
                <w:lang w:bidi="ar"/>
              </w:rPr>
              <w:t>专项预算项目支出绩效目标自评表</w:t>
            </w:r>
          </w:p>
        </w:tc>
      </w:tr>
      <w:tr>
        <w:tblPrEx>
          <w:tblCellMar>
            <w:top w:w="0" w:type="dxa"/>
            <w:left w:w="108" w:type="dxa"/>
            <w:bottom w:w="0" w:type="dxa"/>
            <w:right w:w="108" w:type="dxa"/>
          </w:tblCellMar>
        </w:tblPrEx>
        <w:trPr>
          <w:trHeight w:val="90" w:hRule="atLeast"/>
          <w:jc w:val="center"/>
        </w:trPr>
        <w:tc>
          <w:tcPr>
            <w:tcW w:w="11300" w:type="dxa"/>
            <w:gridSpan w:val="7"/>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（2021年度）</w:t>
            </w:r>
          </w:p>
        </w:tc>
      </w:tr>
      <w:tr>
        <w:tblPrEx>
          <w:tblCellMar>
            <w:top w:w="0" w:type="dxa"/>
            <w:left w:w="108" w:type="dxa"/>
            <w:bottom w:w="0" w:type="dxa"/>
            <w:right w:w="108" w:type="dxa"/>
          </w:tblCellMar>
        </w:tblPrEx>
        <w:trPr>
          <w:trHeight w:val="90" w:hRule="atLeast"/>
          <w:jc w:val="center"/>
        </w:trPr>
        <w:tc>
          <w:tcPr>
            <w:tcW w:w="11300"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部门（单位）盖章：广元市朝天区麻柳乡人民政府</w:t>
            </w:r>
          </w:p>
        </w:tc>
      </w:tr>
      <w:tr>
        <w:tblPrEx>
          <w:tblCellMar>
            <w:top w:w="0" w:type="dxa"/>
            <w:left w:w="108" w:type="dxa"/>
            <w:bottom w:w="0" w:type="dxa"/>
            <w:right w:w="108" w:type="dxa"/>
          </w:tblCellMar>
        </w:tblPrEx>
        <w:trPr>
          <w:trHeight w:val="90" w:hRule="atLeast"/>
          <w:jc w:val="center"/>
        </w:trPr>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项目支出名称</w:t>
            </w:r>
          </w:p>
        </w:tc>
        <w:tc>
          <w:tcPr>
            <w:tcW w:w="9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高寒山区集中供暖专项资金</w:t>
            </w:r>
          </w:p>
        </w:tc>
      </w:tr>
      <w:tr>
        <w:tblPrEx>
          <w:tblCellMar>
            <w:top w:w="0" w:type="dxa"/>
            <w:left w:w="108" w:type="dxa"/>
            <w:bottom w:w="0" w:type="dxa"/>
            <w:right w:w="108" w:type="dxa"/>
          </w:tblCellMar>
        </w:tblPrEx>
        <w:trPr>
          <w:trHeight w:val="90" w:hRule="atLeast"/>
          <w:jc w:val="center"/>
        </w:trPr>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w:t>
            </w:r>
          </w:p>
        </w:tc>
        <w:tc>
          <w:tcPr>
            <w:tcW w:w="9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广元市朝天区麻柳乡人民政府</w:t>
            </w:r>
          </w:p>
        </w:tc>
      </w:tr>
      <w:tr>
        <w:tblPrEx>
          <w:tblCellMar>
            <w:top w:w="0" w:type="dxa"/>
            <w:left w:w="108" w:type="dxa"/>
            <w:bottom w:w="0" w:type="dxa"/>
            <w:right w:w="108" w:type="dxa"/>
          </w:tblCellMar>
        </w:tblPrEx>
        <w:trPr>
          <w:trHeight w:val="9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全年预算数（万元） </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全年执行数（万元）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目标完成情况</w:t>
            </w:r>
          </w:p>
        </w:tc>
        <w:tc>
          <w:tcPr>
            <w:tcW w:w="6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全年预期目标</w:t>
            </w:r>
          </w:p>
        </w:tc>
        <w:tc>
          <w:tcPr>
            <w:tcW w:w="4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全年实际完成目标</w:t>
            </w: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84"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1.完成天然气接入；</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2.完成锅炉简易棚搭建10平方米；</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3.完成简易棚地坪硬化30平方米；</w:t>
            </w:r>
          </w:p>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4.天然气供气2个月；</w:t>
            </w:r>
          </w:p>
        </w:tc>
        <w:tc>
          <w:tcPr>
            <w:tcW w:w="437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1.完成天然气接入；</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2.完成锅炉简易棚搭建10平方米；</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3.完成简易棚地坪硬化30平方米；                                                                                            </w:t>
            </w:r>
          </w:p>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4.天然气供气2个月；</w:t>
            </w:r>
          </w:p>
        </w:tc>
      </w:tr>
      <w:tr>
        <w:tblPrEx>
          <w:tblCellMar>
            <w:top w:w="0" w:type="dxa"/>
            <w:left w:w="108" w:type="dxa"/>
            <w:bottom w:w="0" w:type="dxa"/>
            <w:right w:w="108" w:type="dxa"/>
          </w:tblCellMar>
        </w:tblPrEx>
        <w:trPr>
          <w:trHeight w:val="9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全年预期指标值                        （包含数字及文字描述）</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全年实际完成指标值                           （包含数字及文字描述）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未完成原因及改进措施</w:t>
            </w: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天然气接入</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1个天然气户口登记</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1个天然气户口登记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简易棚搭建</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10平方米夹心彩钢棚搭建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10平方米夹心彩钢棚搭建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地坪硬化</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30平方米地坪硬化</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30平方米地坪硬化</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天然气充值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充值天然气24580.00方</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充值天然气24580.00方</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项目验收合格率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供暖温度达标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设备接入安装</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2021年10月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2021年10月</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集中供暖</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2021年10月-12月</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2021年10月-12月</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天然气接入</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户头费30000.00元</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户头费30000.00元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简易棚搭建</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450元/平方米，合计4500.00元（含钢材）</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450元/平方米，合计4500.00元（含钢材）</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地坪硬化</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135元/平方米，合计4050.00元</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135元/平方米，合计4050.00元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天然气充值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充值天然气24580.00方，预计61450.00元</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充值天然气24580.00方，合计61450.00元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办公室供暖覆盖率</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办事群众满意度大于95%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群众满意度大于98%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干部满意度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干部满意度达100%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干部满意度达100%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Pr>
        <w:pStyle w:val="16"/>
        <w:ind w:firstLine="640"/>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仿宋_GB2312" w:hAnsi="宋体" w:eastAsia="仿宋_GB2312" w:cs="宋体"/>
          <w:kern w:val="0"/>
          <w:sz w:val="32"/>
          <w:szCs w:val="32"/>
          <w:highlight w:val="yellow"/>
          <w:shd w:val="clear" w:color="auto" w:fill="FFFFFF"/>
        </w:rPr>
      </w:pPr>
    </w:p>
    <w:tbl>
      <w:tblPr>
        <w:tblStyle w:val="17"/>
        <w:tblW w:w="11620" w:type="dxa"/>
        <w:jc w:val="center"/>
        <w:tblLayout w:type="autofit"/>
        <w:tblCellMar>
          <w:top w:w="0" w:type="dxa"/>
          <w:left w:w="108" w:type="dxa"/>
          <w:bottom w:w="0" w:type="dxa"/>
          <w:right w:w="108" w:type="dxa"/>
        </w:tblCellMar>
      </w:tblPr>
      <w:tblGrid>
        <w:gridCol w:w="655"/>
        <w:gridCol w:w="1041"/>
        <w:gridCol w:w="1360"/>
        <w:gridCol w:w="1734"/>
        <w:gridCol w:w="2355"/>
        <w:gridCol w:w="2439"/>
        <w:gridCol w:w="2036"/>
      </w:tblGrid>
      <w:tr>
        <w:tblPrEx>
          <w:tblCellMar>
            <w:top w:w="0" w:type="dxa"/>
            <w:left w:w="108" w:type="dxa"/>
            <w:bottom w:w="0" w:type="dxa"/>
            <w:right w:w="108" w:type="dxa"/>
          </w:tblCellMar>
        </w:tblPrEx>
        <w:trPr>
          <w:trHeight w:val="572" w:hRule="atLeast"/>
          <w:jc w:val="center"/>
        </w:trPr>
        <w:tc>
          <w:tcPr>
            <w:tcW w:w="11620" w:type="dxa"/>
            <w:gridSpan w:val="7"/>
            <w:tcBorders>
              <w:top w:val="nil"/>
              <w:left w:val="nil"/>
              <w:bottom w:val="nil"/>
              <w:right w:val="nil"/>
            </w:tcBorders>
            <w:shd w:val="clear" w:color="auto" w:fill="auto"/>
            <w:vAlign w:val="center"/>
          </w:tcPr>
          <w:p>
            <w:pPr>
              <w:widowControl/>
              <w:jc w:val="center"/>
              <w:textAlignment w:val="center"/>
              <w:rPr>
                <w:rFonts w:ascii="方正大标宋简体" w:hAnsi="方正大标宋简体" w:eastAsia="方正大标宋简体" w:cs="方正大标宋简体"/>
                <w:color w:val="000000"/>
                <w:sz w:val="36"/>
                <w:szCs w:val="36"/>
              </w:rPr>
            </w:pPr>
            <w:r>
              <w:rPr>
                <w:rFonts w:hint="eastAsia" w:ascii="方正大标宋简体" w:hAnsi="方正大标宋简体" w:eastAsia="方正大标宋简体" w:cs="方正大标宋简体"/>
                <w:color w:val="000000"/>
                <w:kern w:val="0"/>
                <w:sz w:val="36"/>
                <w:szCs w:val="36"/>
                <w:lang w:bidi="ar"/>
              </w:rPr>
              <w:t>部门预算项目支出绩效目标自评表</w:t>
            </w:r>
          </w:p>
        </w:tc>
      </w:tr>
      <w:tr>
        <w:tblPrEx>
          <w:tblCellMar>
            <w:top w:w="0" w:type="dxa"/>
            <w:left w:w="108" w:type="dxa"/>
            <w:bottom w:w="0" w:type="dxa"/>
            <w:right w:w="108" w:type="dxa"/>
          </w:tblCellMar>
        </w:tblPrEx>
        <w:trPr>
          <w:trHeight w:val="286" w:hRule="atLeast"/>
          <w:jc w:val="center"/>
        </w:trPr>
        <w:tc>
          <w:tcPr>
            <w:tcW w:w="11620" w:type="dxa"/>
            <w:gridSpan w:val="7"/>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（2021年度）</w:t>
            </w:r>
          </w:p>
        </w:tc>
      </w:tr>
      <w:tr>
        <w:tblPrEx>
          <w:tblCellMar>
            <w:top w:w="0" w:type="dxa"/>
            <w:left w:w="108" w:type="dxa"/>
            <w:bottom w:w="0" w:type="dxa"/>
            <w:right w:w="108" w:type="dxa"/>
          </w:tblCellMar>
        </w:tblPrEx>
        <w:trPr>
          <w:trHeight w:val="286" w:hRule="atLeast"/>
          <w:jc w:val="center"/>
        </w:trPr>
        <w:tc>
          <w:tcPr>
            <w:tcW w:w="11620"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部门（单位）盖章：广元市朝天区麻柳乡人民政府</w:t>
            </w:r>
          </w:p>
        </w:tc>
      </w:tr>
      <w:tr>
        <w:tblPrEx>
          <w:tblCellMar>
            <w:top w:w="0" w:type="dxa"/>
            <w:left w:w="108" w:type="dxa"/>
            <w:bottom w:w="0" w:type="dxa"/>
            <w:right w:w="108" w:type="dxa"/>
          </w:tblCellMar>
        </w:tblPrEx>
        <w:trPr>
          <w:trHeight w:val="342"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项目支出名称</w:t>
            </w:r>
          </w:p>
        </w:tc>
        <w:tc>
          <w:tcPr>
            <w:tcW w:w="9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复兴社区村组道路建设项目</w:t>
            </w:r>
          </w:p>
        </w:tc>
      </w:tr>
      <w:tr>
        <w:tblPrEx>
          <w:tblCellMar>
            <w:top w:w="0" w:type="dxa"/>
            <w:left w:w="108" w:type="dxa"/>
            <w:bottom w:w="0" w:type="dxa"/>
            <w:right w:w="108" w:type="dxa"/>
          </w:tblCellMar>
        </w:tblPrEx>
        <w:trPr>
          <w:trHeight w:val="342"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w:t>
            </w:r>
          </w:p>
        </w:tc>
        <w:tc>
          <w:tcPr>
            <w:tcW w:w="9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广元市朝天区麻柳乡人民政府364301</w:t>
            </w:r>
          </w:p>
        </w:tc>
      </w:tr>
      <w:tr>
        <w:tblPrEx>
          <w:tblCellMar>
            <w:top w:w="0" w:type="dxa"/>
            <w:left w:w="108" w:type="dxa"/>
            <w:bottom w:w="0" w:type="dxa"/>
            <w:right w:w="108" w:type="dxa"/>
          </w:tblCellMar>
        </w:tblPrEx>
        <w:trPr>
          <w:trHeight w:val="342"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全年预算数（万元） </w:t>
            </w:r>
          </w:p>
        </w:tc>
        <w:tc>
          <w:tcPr>
            <w:tcW w:w="4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全年执行数（万元）</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108" w:type="dxa"/>
            <w:bottom w:w="0" w:type="dxa"/>
            <w:right w:w="108" w:type="dxa"/>
          </w:tblCellMar>
        </w:tblPrEx>
        <w:trPr>
          <w:trHeight w:val="34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4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108" w:type="dxa"/>
            <w:bottom w:w="0" w:type="dxa"/>
            <w:right w:w="108" w:type="dxa"/>
          </w:tblCellMar>
        </w:tblPrEx>
        <w:trPr>
          <w:trHeight w:val="34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4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4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4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4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4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4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4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5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目标完成情况</w:t>
            </w:r>
          </w:p>
        </w:tc>
        <w:tc>
          <w:tcPr>
            <w:tcW w:w="64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全年预期目标</w:t>
            </w:r>
          </w:p>
        </w:tc>
        <w:tc>
          <w:tcPr>
            <w:tcW w:w="4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全年实际完成目标</w:t>
            </w:r>
          </w:p>
        </w:tc>
      </w:tr>
      <w:tr>
        <w:tblPrEx>
          <w:tblCellMar>
            <w:top w:w="0" w:type="dxa"/>
            <w:left w:w="108" w:type="dxa"/>
            <w:bottom w:w="0" w:type="dxa"/>
            <w:right w:w="108" w:type="dxa"/>
          </w:tblCellMar>
        </w:tblPrEx>
        <w:trPr>
          <w:trHeight w:val="917"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0"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一是完成长500米、宽4.5米的道路开挖及平整工作；</w:t>
            </w:r>
          </w:p>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二是完成长500米、宽3.5米、厚0.18米（砼C25）村组道路硬化。 </w:t>
            </w:r>
          </w:p>
        </w:tc>
        <w:tc>
          <w:tcPr>
            <w:tcW w:w="447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完成长500米、宽4.5米的道路开挖及平整工作；</w:t>
            </w:r>
          </w:p>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完成长500米、宽3.5米、厚0.18米（砼C25）村组道路硬化。 </w:t>
            </w:r>
          </w:p>
        </w:tc>
      </w:tr>
      <w:tr>
        <w:tblPrEx>
          <w:tblCellMar>
            <w:top w:w="0" w:type="dxa"/>
            <w:left w:w="108" w:type="dxa"/>
            <w:bottom w:w="0" w:type="dxa"/>
            <w:right w:w="108" w:type="dxa"/>
          </w:tblCellMar>
        </w:tblPrEx>
        <w:trPr>
          <w:trHeight w:val="581"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绩</w:t>
            </w:r>
          </w:p>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效</w:t>
            </w:r>
          </w:p>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指</w:t>
            </w:r>
          </w:p>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全年预期指标值                        （包含数字及文字描述）</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全年实际完成指标值                           （包含数字及文字描述）</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未完成原因及改进措施</w:t>
            </w: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完成指标</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道路开挖及平整</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完成长500米，宽4.5米的道路挖掘及平整。</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已完成长500米，宽4.5米的道路挖掘及平整。</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道路硬化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完成长500米、宽3.5米、厚0.18米的道路硬化。</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已完成长500米、宽3.5米、厚0.18米的道路硬化。</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道路开挖及平整到底</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机耕道无明细的包块及凹陷，达到村组道路硬化标准。</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机耕道无明细的包块及凹陷，达到村组道路硬化标准。</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道路硬化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达到C25的配合比进行浇筑，按时进行切缝等工作。</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达到C25的配合比进行浇筑，按时进行切缝等工作。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2021年3-4月</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2021年3月动工，4月结束项目建设。</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2021年3月动工，4月结束项目建设。</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7"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道路开挖及平整</w:t>
            </w:r>
          </w:p>
        </w:tc>
        <w:tc>
          <w:tcPr>
            <w:tcW w:w="235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预计花费机械（含破碎、放炮）、换填和人工排乱去杂12.045万元。</w:t>
            </w:r>
          </w:p>
        </w:tc>
        <w:tc>
          <w:tcPr>
            <w:tcW w:w="243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共计花费机械（含破碎、放炮）、换填和人工排乱去杂12.045万元。</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道路硬化</w:t>
            </w:r>
          </w:p>
        </w:tc>
        <w:tc>
          <w:tcPr>
            <w:tcW w:w="235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预计原材料和人工花费17.9550万元。</w:t>
            </w:r>
          </w:p>
        </w:tc>
        <w:tc>
          <w:tcPr>
            <w:tcW w:w="243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原材料和人工花费17.9550万元。</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7"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3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群众增收</w:t>
            </w:r>
          </w:p>
        </w:tc>
        <w:tc>
          <w:tcPr>
            <w:tcW w:w="235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每户人均增收200元以上（农副产品高价位、便捷式销售）。</w:t>
            </w:r>
          </w:p>
        </w:tc>
        <w:tc>
          <w:tcPr>
            <w:tcW w:w="243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每户人均增收200元以上（农副产品高价位、便捷式销售）。</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66"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节约生产生活成本</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节约农资、生活用品购买成本（无人力转运费用）。</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节约农资、生活用品购买成本（无人力转运费用）。</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为群众办实事</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从根本上解决了12户出行问题，群众满意度非常高。</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从根本上解决了12户出行问题，群众满意度非常高。</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安全稳定</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解决了受益群众交通事故、因道路上访事件的发生。</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解决了受益群众交通事故、因道路上访事件的发生。</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居住环境</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2户群众因道路建设的完成，新建房屋改善了住房条件。</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2户群众因道路建设的完成，新建房屋改善了住房条件。</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439"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环境卫生</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道路建成后，居民聚集点新建垃圾回收站1个，生活垃圾能得到及时处理，不会出现因交通问题造成的生活垃圾污染问题。</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道路建成后，居民聚集点新建垃圾回收站1个，生活垃圾能得到及时处理，不会出现因交通问题造成的生活垃圾污染问题。</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15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restart"/>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农牧业的发展</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道路建成后因饲料运输方便、成本相对下降2021年受益农户生猪及仔猪出栏同比上升100%。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道路建成后因饲料运输方便、成本相对下降2021年受益农户生猪及仔猪出栏同比上升100%。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9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60" w:type="dxa"/>
            <w:vMerge w:val="continue"/>
            <w:tcBorders>
              <w:top w:val="nil"/>
              <w:left w:val="nil"/>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带动农家乐的建设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受基础设施的变化，该片区拟新建农家乐1户。</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受基础设施的变化，该片区拟新建农家乐1户。</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9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群众满意度为100%。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群众满意度为100%。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bl>
    <w:p>
      <w:pPr>
        <w:spacing w:line="580" w:lineRule="exact"/>
        <w:rPr>
          <w:rStyle w:val="30"/>
          <w:rFonts w:ascii="黑体" w:hAnsi="黑体" w:eastAsia="黑体"/>
          <w:b w:val="0"/>
        </w:rPr>
      </w:pPr>
    </w:p>
    <w:p>
      <w:pPr>
        <w:widowControl/>
        <w:jc w:val="left"/>
        <w:rPr>
          <w:rStyle w:val="30"/>
          <w:rFonts w:ascii="黑体" w:hAnsi="黑体" w:eastAsia="黑体"/>
          <w:b w:val="0"/>
        </w:rPr>
      </w:pPr>
      <w:r>
        <w:rPr>
          <w:rStyle w:val="30"/>
          <w:rFonts w:ascii="黑体" w:hAnsi="黑体" w:eastAsia="黑体"/>
          <w:b w:val="0"/>
        </w:rPr>
        <w:br w:type="page"/>
      </w:r>
    </w:p>
    <w:tbl>
      <w:tblPr>
        <w:tblStyle w:val="17"/>
        <w:tblW w:w="11720" w:type="dxa"/>
        <w:jc w:val="center"/>
        <w:tblLayout w:type="autofit"/>
        <w:tblCellMar>
          <w:top w:w="0" w:type="dxa"/>
          <w:left w:w="108" w:type="dxa"/>
          <w:bottom w:w="0" w:type="dxa"/>
          <w:right w:w="108" w:type="dxa"/>
        </w:tblCellMar>
      </w:tblPr>
      <w:tblGrid>
        <w:gridCol w:w="663"/>
        <w:gridCol w:w="1057"/>
        <w:gridCol w:w="1380"/>
        <w:gridCol w:w="1760"/>
        <w:gridCol w:w="2320"/>
        <w:gridCol w:w="2476"/>
        <w:gridCol w:w="2064"/>
      </w:tblGrid>
      <w:tr>
        <w:tblPrEx>
          <w:tblCellMar>
            <w:top w:w="0" w:type="dxa"/>
            <w:left w:w="108" w:type="dxa"/>
            <w:bottom w:w="0" w:type="dxa"/>
            <w:right w:w="108" w:type="dxa"/>
          </w:tblCellMar>
        </w:tblPrEx>
        <w:trPr>
          <w:trHeight w:val="604" w:hRule="atLeast"/>
          <w:jc w:val="center"/>
        </w:trPr>
        <w:tc>
          <w:tcPr>
            <w:tcW w:w="11720" w:type="dxa"/>
            <w:gridSpan w:val="7"/>
            <w:tcBorders>
              <w:top w:val="nil"/>
              <w:left w:val="nil"/>
              <w:bottom w:val="nil"/>
              <w:right w:val="nil"/>
            </w:tcBorders>
            <w:shd w:val="clear" w:color="auto" w:fill="auto"/>
            <w:vAlign w:val="center"/>
          </w:tcPr>
          <w:p>
            <w:pPr>
              <w:widowControl/>
              <w:jc w:val="center"/>
              <w:textAlignment w:val="center"/>
              <w:rPr>
                <w:rFonts w:ascii="方正大标宋简体" w:hAnsi="方正大标宋简体" w:eastAsia="方正大标宋简体" w:cs="方正大标宋简体"/>
                <w:color w:val="000000"/>
                <w:sz w:val="36"/>
                <w:szCs w:val="36"/>
              </w:rPr>
            </w:pPr>
            <w:r>
              <w:rPr>
                <w:rFonts w:hint="eastAsia" w:ascii="方正大标宋简体" w:hAnsi="方正大标宋简体" w:eastAsia="方正大标宋简体" w:cs="方正大标宋简体"/>
                <w:color w:val="000000"/>
                <w:kern w:val="0"/>
                <w:sz w:val="36"/>
                <w:szCs w:val="36"/>
                <w:lang w:bidi="ar"/>
              </w:rPr>
              <w:t>部门预算项目支出绩效目标自评表</w:t>
            </w:r>
          </w:p>
        </w:tc>
      </w:tr>
      <w:tr>
        <w:tblPrEx>
          <w:tblCellMar>
            <w:top w:w="0" w:type="dxa"/>
            <w:left w:w="108" w:type="dxa"/>
            <w:bottom w:w="0" w:type="dxa"/>
            <w:right w:w="108" w:type="dxa"/>
          </w:tblCellMar>
        </w:tblPrEx>
        <w:trPr>
          <w:trHeight w:val="302" w:hRule="atLeast"/>
          <w:jc w:val="center"/>
        </w:trPr>
        <w:tc>
          <w:tcPr>
            <w:tcW w:w="11720" w:type="dxa"/>
            <w:gridSpan w:val="7"/>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（2021年度）</w:t>
            </w:r>
          </w:p>
        </w:tc>
      </w:tr>
      <w:tr>
        <w:tblPrEx>
          <w:tblCellMar>
            <w:top w:w="0" w:type="dxa"/>
            <w:left w:w="108" w:type="dxa"/>
            <w:bottom w:w="0" w:type="dxa"/>
            <w:right w:w="108" w:type="dxa"/>
          </w:tblCellMar>
        </w:tblPrEx>
        <w:trPr>
          <w:trHeight w:val="302" w:hRule="atLeast"/>
          <w:jc w:val="center"/>
        </w:trPr>
        <w:tc>
          <w:tcPr>
            <w:tcW w:w="11720"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部门（单位）盖章：广元市朝天区麻柳乡人民政府 </w:t>
            </w:r>
          </w:p>
        </w:tc>
      </w:tr>
      <w:tr>
        <w:tblPrEx>
          <w:tblCellMar>
            <w:top w:w="0" w:type="dxa"/>
            <w:left w:w="108" w:type="dxa"/>
            <w:bottom w:w="0" w:type="dxa"/>
            <w:right w:w="108" w:type="dxa"/>
          </w:tblCellMar>
        </w:tblPrEx>
        <w:trPr>
          <w:trHeight w:val="358"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项目支出名称</w:t>
            </w:r>
          </w:p>
        </w:tc>
        <w:tc>
          <w:tcPr>
            <w:tcW w:w="10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城乡环境综合治理</w:t>
            </w:r>
          </w:p>
        </w:tc>
      </w:tr>
      <w:tr>
        <w:tblPrEx>
          <w:tblCellMar>
            <w:top w:w="0" w:type="dxa"/>
            <w:left w:w="108" w:type="dxa"/>
            <w:bottom w:w="0" w:type="dxa"/>
            <w:right w:w="108" w:type="dxa"/>
          </w:tblCellMar>
        </w:tblPrEx>
        <w:trPr>
          <w:trHeight w:val="358"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w:t>
            </w:r>
          </w:p>
        </w:tc>
        <w:tc>
          <w:tcPr>
            <w:tcW w:w="10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广元市朝天区麻柳乡人民政府 </w:t>
            </w:r>
          </w:p>
        </w:tc>
      </w:tr>
      <w:tr>
        <w:tblPrEx>
          <w:tblCellMar>
            <w:top w:w="0" w:type="dxa"/>
            <w:left w:w="108" w:type="dxa"/>
            <w:bottom w:w="0" w:type="dxa"/>
            <w:right w:w="108" w:type="dxa"/>
          </w:tblCellMar>
        </w:tblPrEx>
        <w:trPr>
          <w:trHeight w:val="358"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全年预算数（万元） </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全年执行数（万元）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35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35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5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5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5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70"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目标完成情况</w:t>
            </w:r>
          </w:p>
        </w:tc>
        <w:tc>
          <w:tcPr>
            <w:tcW w:w="6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全年预期目标</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全年实际完成目标</w:t>
            </w:r>
          </w:p>
        </w:tc>
      </w:tr>
      <w:tr>
        <w:tblPrEx>
          <w:tblCellMar>
            <w:top w:w="0" w:type="dxa"/>
            <w:left w:w="108" w:type="dxa"/>
            <w:bottom w:w="0" w:type="dxa"/>
            <w:right w:w="108" w:type="dxa"/>
          </w:tblCellMar>
        </w:tblPrEx>
        <w:trPr>
          <w:trHeight w:val="2423"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17"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全乡环境卫生持续保持，提升各村（社区）的村容村貌，环境优美，路面干净。完成6个行政村、1个社区垃圾房、垃圾车正常运转和日常保洁；保障垃圾填埋场正常运转，做好城乡环境治理的相关宣传。</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工作任务全部按时完成，我乡环境卫生治理取得了优良的成效，各行政村社区卫生设施的正常运转，改善了项目村的村容村貌，提高了项目村村民的生产发展积极性，推动了社会的进步和发展。促进乡村旅游发展，推动朝天区天府旅游名县的创建，吸引游客消费，带动农副产品销售。全乡环境卫生持续保持，提升各村（社区）的村容村貌，环境优美，路面干净。</w:t>
            </w:r>
          </w:p>
        </w:tc>
      </w:tr>
      <w:tr>
        <w:tblPrEx>
          <w:tblCellMar>
            <w:top w:w="0" w:type="dxa"/>
            <w:left w:w="108" w:type="dxa"/>
            <w:bottom w:w="0" w:type="dxa"/>
            <w:right w:w="108" w:type="dxa"/>
          </w:tblCellMar>
        </w:tblPrEx>
        <w:trPr>
          <w:trHeight w:val="613"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全年预期指标值                        （包含数字及文字描述）</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全年实际完成指标值                           （包含数字及文字描述）</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未完成原因及改进措施</w:t>
            </w:r>
          </w:p>
        </w:tc>
      </w:tr>
      <w:tr>
        <w:tblPrEx>
          <w:tblCellMar>
            <w:top w:w="0" w:type="dxa"/>
            <w:left w:w="108" w:type="dxa"/>
            <w:bottom w:w="0" w:type="dxa"/>
            <w:right w:w="108" w:type="dxa"/>
          </w:tblCellMar>
        </w:tblPrEx>
        <w:trPr>
          <w:trHeight w:val="915"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垃圾收集点</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全年完成110处垃圾收集点垃圾清运187次。</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截止2021年12月15日，全年完成110处垃圾收集点垃圾清运187次。</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15"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垃圾中转站</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全年完成2处垃圾中转站垃圾转运27次。</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截止2021年12月15日，全年完成2处垃圾中转站垃圾转运27次。</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垃圾收集点</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桶空、垃圾棚周边无垃圾，群众垃圾能堆放回收。</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桶空、垃圾棚周边无垃圾，群众垃圾能堆放回收。</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15"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垃圾中转站</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确保垃圾回收点的垃圾集中压缩、中转，未出现无箱可用的现象发生。</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确保垃圾回收点的垃圾集中压缩、中转，未出现无箱可用的现象发生。</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15"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2021年</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本项目是一个长期化工作，由每年的1月1日至12月31日。</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本项目是一个长期化工作，由每年的1月1日至12月31日。</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16"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76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垃圾收集点收集</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110处垃圾收集点完成垃圾清运187次。400元/趟（含人工和机械）。</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截止2021年12月15日，110处垃圾收集点完成垃圾清运187次。400元/趟（含人工和机械）共计支出74800.00元。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垃圾中转站中转</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2处中转站垃圾中转27次。因人员和车辆均为区综合行政执法局统一安排管理，故未产生人员机械费。</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截止21年12月15日，2处中转站垃圾中转27次。因人员和车辆均为区综合行政执法局统一安排管理，故未产生人员机械费。支出电费5200元。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3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降低垃圾收集费用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垃圾收集点建成后，垃圾乱扔现象降低，全年节约人工清理费用6.50万元。</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垃圾收集点建成后，垃圾乱扔现象降低，与建成前相比全年节约人工清理费用6.50万元。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16"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改善人居环境，改善了项目村的村容村貌，推动了社会的进步和发展。</w:t>
            </w:r>
          </w:p>
        </w:tc>
        <w:tc>
          <w:tcPr>
            <w:tcW w:w="232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改善5个村（社区）环境</w:t>
            </w:r>
          </w:p>
        </w:tc>
        <w:tc>
          <w:tcPr>
            <w:tcW w:w="2476"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改善5个村（社区）环境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5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降低路面扬尘</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改善空气质量</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改善空气质量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5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农村人居环境质量</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优</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优</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64"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60"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环境卫生持续保持干净</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各村环境卫生持续保持</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各村环境卫生持续保持</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23"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bl>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p>
      <w:pPr>
        <w:pStyle w:val="16"/>
        <w:ind w:left="0" w:leftChars="0" w:firstLine="0" w:firstLineChars="0"/>
        <w:rPr>
          <w:rStyle w:val="30"/>
          <w:rFonts w:ascii="黑体" w:hAnsi="黑体" w:eastAsia="黑体"/>
          <w:b w:val="0"/>
        </w:rPr>
      </w:pPr>
    </w:p>
    <w:tbl>
      <w:tblPr>
        <w:tblStyle w:val="17"/>
        <w:tblW w:w="11620" w:type="dxa"/>
        <w:jc w:val="center"/>
        <w:tblLayout w:type="autofit"/>
        <w:tblCellMar>
          <w:top w:w="0" w:type="dxa"/>
          <w:left w:w="108" w:type="dxa"/>
          <w:bottom w:w="0" w:type="dxa"/>
          <w:right w:w="108" w:type="dxa"/>
        </w:tblCellMar>
      </w:tblPr>
      <w:tblGrid>
        <w:gridCol w:w="658"/>
        <w:gridCol w:w="1047"/>
        <w:gridCol w:w="1370"/>
        <w:gridCol w:w="1745"/>
        <w:gridCol w:w="2300"/>
        <w:gridCol w:w="2455"/>
        <w:gridCol w:w="2045"/>
      </w:tblGrid>
      <w:tr>
        <w:tblPrEx>
          <w:tblCellMar>
            <w:top w:w="0" w:type="dxa"/>
            <w:left w:w="108" w:type="dxa"/>
            <w:bottom w:w="0" w:type="dxa"/>
            <w:right w:w="108" w:type="dxa"/>
          </w:tblCellMar>
        </w:tblPrEx>
        <w:trPr>
          <w:trHeight w:val="601" w:hRule="atLeast"/>
          <w:jc w:val="center"/>
        </w:trPr>
        <w:tc>
          <w:tcPr>
            <w:tcW w:w="11620" w:type="dxa"/>
            <w:gridSpan w:val="7"/>
            <w:tcBorders>
              <w:top w:val="nil"/>
              <w:left w:val="nil"/>
              <w:bottom w:val="nil"/>
              <w:right w:val="nil"/>
            </w:tcBorders>
            <w:shd w:val="clear" w:color="auto" w:fill="auto"/>
            <w:vAlign w:val="center"/>
          </w:tcPr>
          <w:p>
            <w:pPr>
              <w:widowControl/>
              <w:jc w:val="center"/>
              <w:textAlignment w:val="center"/>
              <w:rPr>
                <w:rFonts w:ascii="方正大标宋简体" w:hAnsi="方正大标宋简体" w:eastAsia="方正大标宋简体" w:cs="方正大标宋简体"/>
                <w:color w:val="000000"/>
                <w:sz w:val="36"/>
                <w:szCs w:val="36"/>
              </w:rPr>
            </w:pPr>
            <w:r>
              <w:rPr>
                <w:rFonts w:hint="eastAsia" w:ascii="方正大标宋简体" w:hAnsi="方正大标宋简体" w:eastAsia="方正大标宋简体" w:cs="方正大标宋简体"/>
                <w:color w:val="000000"/>
                <w:kern w:val="0"/>
                <w:sz w:val="36"/>
                <w:szCs w:val="36"/>
                <w:lang w:bidi="ar"/>
              </w:rPr>
              <w:t>部门预算项目支出绩效目标自评表</w:t>
            </w:r>
          </w:p>
        </w:tc>
      </w:tr>
      <w:tr>
        <w:tblPrEx>
          <w:tblCellMar>
            <w:top w:w="0" w:type="dxa"/>
            <w:left w:w="108" w:type="dxa"/>
            <w:bottom w:w="0" w:type="dxa"/>
            <w:right w:w="108" w:type="dxa"/>
          </w:tblCellMar>
        </w:tblPrEx>
        <w:trPr>
          <w:trHeight w:val="301" w:hRule="atLeast"/>
          <w:jc w:val="center"/>
        </w:trPr>
        <w:tc>
          <w:tcPr>
            <w:tcW w:w="11620" w:type="dxa"/>
            <w:gridSpan w:val="7"/>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（2021年度）</w:t>
            </w:r>
          </w:p>
        </w:tc>
      </w:tr>
      <w:tr>
        <w:tblPrEx>
          <w:tblCellMar>
            <w:top w:w="0" w:type="dxa"/>
            <w:left w:w="108" w:type="dxa"/>
            <w:bottom w:w="0" w:type="dxa"/>
            <w:right w:w="108" w:type="dxa"/>
          </w:tblCellMar>
        </w:tblPrEx>
        <w:trPr>
          <w:trHeight w:val="301" w:hRule="atLeast"/>
          <w:jc w:val="center"/>
        </w:trPr>
        <w:tc>
          <w:tcPr>
            <w:tcW w:w="11620"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部门（单位）盖章：广元市朝天区麻柳乡人民政府</w:t>
            </w:r>
          </w:p>
        </w:tc>
      </w:tr>
      <w:tr>
        <w:tblPrEx>
          <w:tblCellMar>
            <w:top w:w="0" w:type="dxa"/>
            <w:left w:w="108" w:type="dxa"/>
            <w:bottom w:w="0" w:type="dxa"/>
            <w:right w:w="108" w:type="dxa"/>
          </w:tblCellMar>
        </w:tblPrEx>
        <w:trPr>
          <w:trHeight w:val="356" w:hRule="atLeast"/>
          <w:jc w:val="center"/>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项目支出名称</w:t>
            </w:r>
          </w:p>
        </w:tc>
        <w:tc>
          <w:tcPr>
            <w:tcW w:w="99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人大选举工作经费</w:t>
            </w:r>
          </w:p>
        </w:tc>
      </w:tr>
      <w:tr>
        <w:tblPrEx>
          <w:tblCellMar>
            <w:top w:w="0" w:type="dxa"/>
            <w:left w:w="108" w:type="dxa"/>
            <w:bottom w:w="0" w:type="dxa"/>
            <w:right w:w="108" w:type="dxa"/>
          </w:tblCellMar>
        </w:tblPrEx>
        <w:trPr>
          <w:trHeight w:val="356" w:hRule="atLeast"/>
          <w:jc w:val="center"/>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w:t>
            </w:r>
          </w:p>
        </w:tc>
        <w:tc>
          <w:tcPr>
            <w:tcW w:w="99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广元市朝天区麻柳乡人民政府364301</w:t>
            </w:r>
          </w:p>
        </w:tc>
      </w:tr>
      <w:tr>
        <w:tblPrEx>
          <w:tblCellMar>
            <w:top w:w="0" w:type="dxa"/>
            <w:left w:w="108" w:type="dxa"/>
            <w:bottom w:w="0" w:type="dxa"/>
            <w:right w:w="108" w:type="dxa"/>
          </w:tblCellMar>
        </w:tblPrEx>
        <w:trPr>
          <w:trHeight w:val="356"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全年预算数（万元） </w:t>
            </w:r>
          </w:p>
        </w:tc>
        <w:tc>
          <w:tcPr>
            <w:tcW w:w="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全年执行数（万元）</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356"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356"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56"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56"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56"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68"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目标完成情况</w:t>
            </w:r>
          </w:p>
        </w:tc>
        <w:tc>
          <w:tcPr>
            <w:tcW w:w="6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全年预期目标</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全年实际完成目标</w:t>
            </w:r>
          </w:p>
        </w:tc>
      </w:tr>
      <w:tr>
        <w:tblPrEx>
          <w:tblCellMar>
            <w:top w:w="0" w:type="dxa"/>
            <w:left w:w="108" w:type="dxa"/>
            <w:bottom w:w="0" w:type="dxa"/>
            <w:right w:w="108" w:type="dxa"/>
          </w:tblCellMar>
        </w:tblPrEx>
        <w:trPr>
          <w:trHeight w:val="1303"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62"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保障换届选举工作圆满完成，选举产生乡人大、政府领导。</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     全面完成人大选举工作， 选出乡人大、政府领导班子成员5人。                                                                                                 </w:t>
            </w:r>
          </w:p>
        </w:tc>
      </w:tr>
      <w:tr>
        <w:tblPrEx>
          <w:tblCellMar>
            <w:top w:w="0" w:type="dxa"/>
            <w:left w:w="108" w:type="dxa"/>
            <w:bottom w:w="0" w:type="dxa"/>
            <w:right w:w="108" w:type="dxa"/>
          </w:tblCellMar>
        </w:tblPrEx>
        <w:trPr>
          <w:trHeight w:val="61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全年预期指标值                        （包含数字及文字描述）</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全年实际完成指标值                           （包含数字及文字描述）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未完成原因及改进措施</w:t>
            </w:r>
          </w:p>
        </w:tc>
      </w:tr>
      <w:tr>
        <w:tblPrEx>
          <w:tblCellMar>
            <w:top w:w="0" w:type="dxa"/>
            <w:left w:w="108" w:type="dxa"/>
            <w:bottom w:w="0" w:type="dxa"/>
            <w:right w:w="108" w:type="dxa"/>
          </w:tblCellMar>
        </w:tblPrEx>
        <w:trPr>
          <w:trHeight w:val="587"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召开会议次数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1次</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1次</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7"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选举成果</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7"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发放时效</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12月底之前完成</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12月底之前完成</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87"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补助标准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20000元/年/次</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20000元/年/次</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43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保障了乡镇的资金困境</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保障换届选举工作圆满完成，为工作开展提供了有力的保障，为群众的诉求率达100%</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保障换届选举工作圆满完成，为工作开展提供了有力的保障，为群众的诉求率达100%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选举成果</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持续影响超过5年</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持续影响超过5年</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5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达96%以上</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bl>
    <w:p>
      <w:pPr>
        <w:pStyle w:val="16"/>
        <w:ind w:left="0" w:leftChars="0" w:firstLine="0" w:firstLineChars="0"/>
        <w:rPr>
          <w:rStyle w:val="30"/>
          <w:rFonts w:ascii="黑体" w:hAnsi="黑体" w:eastAsia="黑体"/>
          <w:b w:val="0"/>
        </w:rPr>
      </w:pPr>
    </w:p>
    <w:p>
      <w:pPr>
        <w:spacing w:line="600" w:lineRule="exact"/>
        <w:jc w:val="center"/>
        <w:outlineLvl w:val="0"/>
        <w:rPr>
          <w:rFonts w:ascii="黑体" w:hAnsi="黑体" w:eastAsia="黑体"/>
          <w:sz w:val="44"/>
          <w:szCs w:val="44"/>
        </w:rPr>
      </w:pPr>
      <w:bookmarkStart w:id="163" w:name="_Toc15396618"/>
    </w:p>
    <w:p>
      <w:pPr>
        <w:pStyle w:val="16"/>
        <w:ind w:left="0" w:leftChars="0" w:firstLine="0" w:firstLineChars="0"/>
        <w:rPr>
          <w:rFonts w:ascii="黑体" w:hAnsi="黑体" w:eastAsia="黑体"/>
          <w:sz w:val="44"/>
          <w:szCs w:val="44"/>
        </w:rPr>
      </w:pPr>
    </w:p>
    <w:p>
      <w:pPr>
        <w:pStyle w:val="16"/>
        <w:ind w:firstLine="880"/>
        <w:rPr>
          <w:rFonts w:ascii="黑体" w:hAnsi="黑体" w:eastAsia="黑体"/>
          <w:sz w:val="44"/>
          <w:szCs w:val="44"/>
        </w:rPr>
      </w:pPr>
    </w:p>
    <w:tbl>
      <w:tblPr>
        <w:tblStyle w:val="17"/>
        <w:tblW w:w="11680" w:type="dxa"/>
        <w:jc w:val="center"/>
        <w:tblLayout w:type="autofit"/>
        <w:tblCellMar>
          <w:top w:w="0" w:type="dxa"/>
          <w:left w:w="108" w:type="dxa"/>
          <w:bottom w:w="0" w:type="dxa"/>
          <w:right w:w="108" w:type="dxa"/>
        </w:tblCellMar>
      </w:tblPr>
      <w:tblGrid>
        <w:gridCol w:w="661"/>
        <w:gridCol w:w="1052"/>
        <w:gridCol w:w="1377"/>
        <w:gridCol w:w="1753"/>
        <w:gridCol w:w="2313"/>
        <w:gridCol w:w="2468"/>
        <w:gridCol w:w="2056"/>
      </w:tblGrid>
      <w:tr>
        <w:tblPrEx>
          <w:tblCellMar>
            <w:top w:w="0" w:type="dxa"/>
            <w:left w:w="108" w:type="dxa"/>
            <w:bottom w:w="0" w:type="dxa"/>
            <w:right w:w="108" w:type="dxa"/>
          </w:tblCellMar>
        </w:tblPrEx>
        <w:trPr>
          <w:trHeight w:val="619" w:hRule="atLeast"/>
          <w:jc w:val="center"/>
        </w:trPr>
        <w:tc>
          <w:tcPr>
            <w:tcW w:w="11680" w:type="dxa"/>
            <w:gridSpan w:val="7"/>
            <w:tcBorders>
              <w:top w:val="nil"/>
              <w:left w:val="nil"/>
              <w:bottom w:val="nil"/>
              <w:right w:val="nil"/>
            </w:tcBorders>
            <w:shd w:val="clear" w:color="auto" w:fill="auto"/>
            <w:vAlign w:val="center"/>
          </w:tcPr>
          <w:p>
            <w:pPr>
              <w:widowControl/>
              <w:jc w:val="center"/>
              <w:textAlignment w:val="center"/>
              <w:rPr>
                <w:rFonts w:ascii="方正大标宋简体" w:hAnsi="方正大标宋简体" w:eastAsia="方正大标宋简体" w:cs="方正大标宋简体"/>
                <w:color w:val="000000"/>
                <w:sz w:val="36"/>
                <w:szCs w:val="36"/>
              </w:rPr>
            </w:pPr>
            <w:r>
              <w:rPr>
                <w:rFonts w:hint="eastAsia" w:ascii="方正大标宋简体" w:hAnsi="方正大标宋简体" w:eastAsia="方正大标宋简体" w:cs="方正大标宋简体"/>
                <w:color w:val="000000"/>
                <w:kern w:val="0"/>
                <w:sz w:val="36"/>
                <w:szCs w:val="36"/>
                <w:lang w:bidi="ar"/>
              </w:rPr>
              <w:t>部门预算项目支出绩效目标自评表</w:t>
            </w:r>
          </w:p>
        </w:tc>
      </w:tr>
      <w:tr>
        <w:tblPrEx>
          <w:tblCellMar>
            <w:top w:w="0" w:type="dxa"/>
            <w:left w:w="108" w:type="dxa"/>
            <w:bottom w:w="0" w:type="dxa"/>
            <w:right w:w="108" w:type="dxa"/>
          </w:tblCellMar>
        </w:tblPrEx>
        <w:trPr>
          <w:trHeight w:val="310" w:hRule="atLeast"/>
          <w:jc w:val="center"/>
        </w:trPr>
        <w:tc>
          <w:tcPr>
            <w:tcW w:w="11680" w:type="dxa"/>
            <w:gridSpan w:val="7"/>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（2021年度）</w:t>
            </w:r>
          </w:p>
        </w:tc>
      </w:tr>
      <w:tr>
        <w:tblPrEx>
          <w:tblCellMar>
            <w:top w:w="0" w:type="dxa"/>
            <w:left w:w="108" w:type="dxa"/>
            <w:bottom w:w="0" w:type="dxa"/>
            <w:right w:w="108" w:type="dxa"/>
          </w:tblCellMar>
        </w:tblPrEx>
        <w:trPr>
          <w:trHeight w:val="310" w:hRule="atLeast"/>
          <w:jc w:val="center"/>
        </w:trPr>
        <w:tc>
          <w:tcPr>
            <w:tcW w:w="11680"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部门（单位）盖章：广元市朝天区麻柳乡人民政府 </w:t>
            </w:r>
          </w:p>
        </w:tc>
      </w:tr>
      <w:tr>
        <w:tblPrEx>
          <w:tblCellMar>
            <w:top w:w="0" w:type="dxa"/>
            <w:left w:w="108" w:type="dxa"/>
            <w:bottom w:w="0" w:type="dxa"/>
            <w:right w:w="108" w:type="dxa"/>
          </w:tblCellMar>
        </w:tblPrEx>
        <w:trPr>
          <w:trHeight w:val="372" w:hRule="atLeast"/>
          <w:jc w:val="center"/>
        </w:trPr>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项目支出名称</w:t>
            </w:r>
          </w:p>
        </w:tc>
        <w:tc>
          <w:tcPr>
            <w:tcW w:w="9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金财网维护</w:t>
            </w:r>
          </w:p>
        </w:tc>
      </w:tr>
      <w:tr>
        <w:tblPrEx>
          <w:tblCellMar>
            <w:top w:w="0" w:type="dxa"/>
            <w:left w:w="108" w:type="dxa"/>
            <w:bottom w:w="0" w:type="dxa"/>
            <w:right w:w="108" w:type="dxa"/>
          </w:tblCellMar>
        </w:tblPrEx>
        <w:trPr>
          <w:trHeight w:val="372" w:hRule="atLeast"/>
          <w:jc w:val="center"/>
        </w:trPr>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w:t>
            </w:r>
          </w:p>
        </w:tc>
        <w:tc>
          <w:tcPr>
            <w:tcW w:w="9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广元市朝天区麻柳乡人民政府 364301</w:t>
            </w:r>
          </w:p>
        </w:tc>
      </w:tr>
      <w:tr>
        <w:tblPrEx>
          <w:tblCellMar>
            <w:top w:w="0" w:type="dxa"/>
            <w:left w:w="108" w:type="dxa"/>
            <w:bottom w:w="0" w:type="dxa"/>
            <w:right w:w="108" w:type="dxa"/>
          </w:tblCellMar>
        </w:tblPrEx>
        <w:trPr>
          <w:trHeight w:val="372"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预算执行情况</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全年预算数（万元） </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 全年执行数（万元）</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0.24</w:t>
            </w:r>
          </w:p>
        </w:tc>
      </w:tr>
      <w:tr>
        <w:tblPrEx>
          <w:tblCellMar>
            <w:top w:w="0" w:type="dxa"/>
            <w:left w:w="108" w:type="dxa"/>
            <w:bottom w:w="0" w:type="dxa"/>
            <w:right w:w="108" w:type="dxa"/>
          </w:tblCellMar>
        </w:tblPrEx>
        <w:trPr>
          <w:trHeight w:val="372"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其中：一般公共预算</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0.24</w:t>
            </w:r>
          </w:p>
        </w:tc>
      </w:tr>
      <w:tr>
        <w:tblPrEx>
          <w:tblCellMar>
            <w:top w:w="0" w:type="dxa"/>
            <w:left w:w="108" w:type="dxa"/>
            <w:bottom w:w="0" w:type="dxa"/>
            <w:right w:w="108" w:type="dxa"/>
          </w:tblCellMar>
        </w:tblPrEx>
        <w:trPr>
          <w:trHeight w:val="372"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72"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国有资本经营预算</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72"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社会保险基金预算</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72"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84"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目标完成情况</w:t>
            </w:r>
          </w:p>
        </w:tc>
        <w:tc>
          <w:tcPr>
            <w:tcW w:w="6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全年预期目标</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全年实际完成目标</w:t>
            </w:r>
          </w:p>
        </w:tc>
      </w:tr>
      <w:tr>
        <w:tblPrEx>
          <w:tblCellMar>
            <w:top w:w="0" w:type="dxa"/>
            <w:left w:w="108" w:type="dxa"/>
            <w:bottom w:w="0" w:type="dxa"/>
            <w:right w:w="108" w:type="dxa"/>
          </w:tblCellMar>
        </w:tblPrEx>
        <w:trPr>
          <w:trHeight w:val="9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为了加强规范乡镇工作正常高效运行，达到办公自动化的要求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为了加强规范乡镇工作正常高效运行，达到办公自动化的要求</w:t>
            </w:r>
          </w:p>
        </w:tc>
      </w:tr>
      <w:tr>
        <w:tblPrEx>
          <w:tblCellMar>
            <w:top w:w="0" w:type="dxa"/>
            <w:left w:w="108" w:type="dxa"/>
            <w:bottom w:w="0" w:type="dxa"/>
            <w:right w:w="108" w:type="dxa"/>
          </w:tblCellMar>
        </w:tblPrEx>
        <w:trPr>
          <w:trHeight w:val="630"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全年预期指标值                        （包含数字及文字描述）</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全年实际完成指标值                           （包含数字及文字描述）</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未完成原因及改进措施</w:t>
            </w:r>
          </w:p>
        </w:tc>
      </w:tr>
      <w:tr>
        <w:tblPrEx>
          <w:tblCellMar>
            <w:top w:w="0" w:type="dxa"/>
            <w:left w:w="108" w:type="dxa"/>
            <w:bottom w:w="0" w:type="dxa"/>
            <w:right w:w="108" w:type="dxa"/>
          </w:tblCellMar>
        </w:tblPrEx>
        <w:trPr>
          <w:trHeight w:val="6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维护年限</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1年</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1年</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维护网络数量</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1条</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问题维护实效</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≤24小时</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24小时</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维护标准</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0.24万元/年</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0.24万元/年</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41"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规范了乡镇财政管理</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提高了政府行政效能，提高了群众满意度、安全感</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提高了政府行政效能，提高了群众满意度、安全感</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3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确保系统安全稳定</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1年内</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1年内</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5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bookmarkEnd w:id="156"/>
      <w:bookmarkEnd w:id="163"/>
    </w:tbl>
    <w:p>
      <w:pPr>
        <w:pStyle w:val="3"/>
        <w:jc w:val="center"/>
      </w:pPr>
      <w:bookmarkStart w:id="164" w:name="第五部分"/>
      <w:bookmarkStart w:id="165" w:name="_Toc115183576"/>
      <w:bookmarkStart w:id="166" w:name="_Toc115183774"/>
      <w:r>
        <w:rPr>
          <w:rFonts w:hint="eastAsia"/>
        </w:rPr>
        <w:t>第五部分</w:t>
      </w:r>
      <w:bookmarkEnd w:id="164"/>
      <w:r>
        <w:rPr>
          <w:rFonts w:hint="eastAsia"/>
        </w:rPr>
        <w:t xml:space="preserve"> 附表</w:t>
      </w:r>
      <w:bookmarkEnd w:id="165"/>
      <w:bookmarkEnd w:id="166"/>
    </w:p>
    <w:p>
      <w:pPr>
        <w:pStyle w:val="4"/>
      </w:pPr>
      <w:bookmarkStart w:id="167" w:name="_Toc115183775"/>
      <w:bookmarkStart w:id="168" w:name="_Toc115183577"/>
      <w:r>
        <w:rPr>
          <w:rFonts w:hint="eastAsia"/>
        </w:rPr>
        <w:t>一、收入支出决算总表</w:t>
      </w:r>
      <w:bookmarkEnd w:id="167"/>
      <w:bookmarkEnd w:id="168"/>
    </w:p>
    <w:p>
      <w:pPr>
        <w:pStyle w:val="4"/>
      </w:pPr>
      <w:bookmarkStart w:id="169" w:name="_Toc115183776"/>
      <w:bookmarkStart w:id="170" w:name="_Toc115183578"/>
      <w:r>
        <w:rPr>
          <w:rFonts w:hint="eastAsia"/>
        </w:rPr>
        <w:t>二、收入决算表</w:t>
      </w:r>
      <w:bookmarkEnd w:id="169"/>
      <w:bookmarkEnd w:id="170"/>
    </w:p>
    <w:p>
      <w:pPr>
        <w:pStyle w:val="4"/>
      </w:pPr>
      <w:bookmarkStart w:id="171" w:name="_Toc115183777"/>
      <w:bookmarkStart w:id="172" w:name="_Toc115183579"/>
      <w:r>
        <w:rPr>
          <w:rFonts w:hint="eastAsia"/>
        </w:rPr>
        <w:t>三、支出决算表</w:t>
      </w:r>
      <w:bookmarkEnd w:id="171"/>
      <w:bookmarkEnd w:id="172"/>
    </w:p>
    <w:p>
      <w:pPr>
        <w:pStyle w:val="4"/>
      </w:pPr>
      <w:bookmarkStart w:id="173" w:name="_Toc115183580"/>
      <w:bookmarkStart w:id="174" w:name="_Toc115183778"/>
      <w:r>
        <w:rPr>
          <w:rFonts w:hint="eastAsia"/>
        </w:rPr>
        <w:t>四、财政拨款收入支出决算总表</w:t>
      </w:r>
      <w:bookmarkEnd w:id="173"/>
      <w:bookmarkEnd w:id="174"/>
    </w:p>
    <w:p>
      <w:pPr>
        <w:pStyle w:val="4"/>
      </w:pPr>
      <w:bookmarkStart w:id="175" w:name="_Toc115183779"/>
      <w:bookmarkStart w:id="176" w:name="_Toc115183581"/>
      <w:r>
        <w:rPr>
          <w:rFonts w:hint="eastAsia"/>
        </w:rPr>
        <w:t>五、财政拨款支出决算明细表</w:t>
      </w:r>
      <w:bookmarkEnd w:id="175"/>
      <w:bookmarkEnd w:id="176"/>
    </w:p>
    <w:p>
      <w:pPr>
        <w:pStyle w:val="4"/>
      </w:pPr>
      <w:bookmarkStart w:id="177" w:name="_Toc115183582"/>
      <w:bookmarkStart w:id="178" w:name="_Toc115183780"/>
      <w:r>
        <w:rPr>
          <w:rFonts w:hint="eastAsia"/>
        </w:rPr>
        <w:t>六、一般公共预算财政拨款支出决算表</w:t>
      </w:r>
      <w:bookmarkEnd w:id="177"/>
      <w:bookmarkEnd w:id="178"/>
    </w:p>
    <w:p>
      <w:pPr>
        <w:pStyle w:val="4"/>
      </w:pPr>
      <w:bookmarkStart w:id="179" w:name="_Toc115183583"/>
      <w:bookmarkStart w:id="180" w:name="_Toc115183781"/>
      <w:r>
        <w:rPr>
          <w:rFonts w:hint="eastAsia"/>
        </w:rPr>
        <w:t>七、一般公共预算财政拨款支出决算明细表</w:t>
      </w:r>
      <w:bookmarkEnd w:id="179"/>
      <w:bookmarkEnd w:id="180"/>
    </w:p>
    <w:p>
      <w:pPr>
        <w:pStyle w:val="4"/>
      </w:pPr>
      <w:bookmarkStart w:id="181" w:name="_Toc115183782"/>
      <w:bookmarkStart w:id="182" w:name="_Toc115183584"/>
      <w:r>
        <w:rPr>
          <w:rFonts w:hint="eastAsia"/>
        </w:rPr>
        <w:t>八、一般公共预算财政拨款基本支出决算表</w:t>
      </w:r>
      <w:bookmarkEnd w:id="181"/>
      <w:bookmarkEnd w:id="182"/>
    </w:p>
    <w:p>
      <w:pPr>
        <w:pStyle w:val="4"/>
      </w:pPr>
      <w:bookmarkStart w:id="183" w:name="_Toc115183783"/>
      <w:bookmarkStart w:id="184" w:name="_Toc115183585"/>
      <w:r>
        <w:rPr>
          <w:rFonts w:hint="eastAsia"/>
        </w:rPr>
        <w:t>九、一般公共预算财政拨款项目支出决算表</w:t>
      </w:r>
      <w:bookmarkEnd w:id="183"/>
      <w:bookmarkEnd w:id="184"/>
    </w:p>
    <w:p>
      <w:pPr>
        <w:pStyle w:val="4"/>
      </w:pPr>
      <w:bookmarkStart w:id="185" w:name="_Toc115183784"/>
      <w:bookmarkStart w:id="186" w:name="_Toc115183586"/>
      <w:r>
        <w:rPr>
          <w:rFonts w:hint="eastAsia"/>
        </w:rPr>
        <w:t>十、一般公共预算财政拨款“三公”经费支出决算表</w:t>
      </w:r>
      <w:bookmarkEnd w:id="185"/>
      <w:bookmarkEnd w:id="186"/>
    </w:p>
    <w:p>
      <w:pPr>
        <w:pStyle w:val="4"/>
      </w:pPr>
      <w:bookmarkStart w:id="187" w:name="_Toc115183785"/>
      <w:bookmarkStart w:id="188" w:name="_Toc115183587"/>
      <w:r>
        <w:rPr>
          <w:rFonts w:hint="eastAsia"/>
        </w:rPr>
        <w:t>十一、政府性基金预算财政拨款收入支出决算表</w:t>
      </w:r>
      <w:bookmarkEnd w:id="187"/>
      <w:bookmarkEnd w:id="188"/>
    </w:p>
    <w:p>
      <w:pPr>
        <w:pStyle w:val="4"/>
      </w:pPr>
      <w:bookmarkStart w:id="189" w:name="_Toc115183786"/>
      <w:bookmarkStart w:id="190" w:name="_Toc115183588"/>
      <w:r>
        <w:rPr>
          <w:rFonts w:hint="eastAsia"/>
        </w:rPr>
        <w:t>十二、政府性基金预算财政拨款“三公”经费支出决算表</w:t>
      </w:r>
      <w:bookmarkEnd w:id="189"/>
      <w:bookmarkEnd w:id="190"/>
    </w:p>
    <w:p>
      <w:pPr>
        <w:pStyle w:val="4"/>
      </w:pPr>
      <w:bookmarkStart w:id="191" w:name="_Toc115183589"/>
      <w:bookmarkStart w:id="192" w:name="_Toc115183787"/>
      <w:r>
        <w:rPr>
          <w:rFonts w:hint="eastAsia"/>
        </w:rPr>
        <w:t>十三、国有资本经营预算财政拨款收入支出决算表</w:t>
      </w:r>
      <w:bookmarkEnd w:id="191"/>
      <w:bookmarkEnd w:id="192"/>
    </w:p>
    <w:p>
      <w:pPr>
        <w:pStyle w:val="4"/>
      </w:pPr>
      <w:bookmarkStart w:id="193" w:name="_Toc115183590"/>
      <w:bookmarkStart w:id="194" w:name="_Toc115183788"/>
      <w:r>
        <w:rPr>
          <w:rFonts w:hint="eastAsia"/>
        </w:rPr>
        <w:t>十四、国有资本经营预算财政拨款支出决算表</w:t>
      </w:r>
      <w:bookmarkEnd w:id="193"/>
      <w:bookmarkEnd w:id="194"/>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大标宋简体">
    <w:altName w:val="宋体"/>
    <w:panose1 w:val="00000000000000000000"/>
    <w:charset w:val="86"/>
    <w:family w:val="script"/>
    <w:pitch w:val="default"/>
    <w:sig w:usb0="00000000" w:usb1="00000000" w:usb2="00000000" w:usb3="00000000" w:csb0="00040000" w:csb1="00000000"/>
  </w:font>
  <w:font w:name="??">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EF18F"/>
    <w:multiLevelType w:val="singleLevel"/>
    <w:tmpl w:val="C12EF18F"/>
    <w:lvl w:ilvl="0" w:tentative="0">
      <w:start w:val="1"/>
      <w:numFmt w:val="chineseCounting"/>
      <w:suff w:val="nothing"/>
      <w:lvlText w:val="（%1）"/>
      <w:lvlJc w:val="left"/>
      <w:pPr>
        <w:ind w:left="0" w:firstLine="420"/>
      </w:pPr>
      <w:rPr>
        <w:rFonts w:hint="eastAsia"/>
      </w:rPr>
    </w:lvl>
  </w:abstractNum>
  <w:abstractNum w:abstractNumId="1">
    <w:nsid w:val="C794C9B8"/>
    <w:multiLevelType w:val="singleLevel"/>
    <w:tmpl w:val="C794C9B8"/>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09083213"/>
    <w:multiLevelType w:val="singleLevel"/>
    <w:tmpl w:val="09083213"/>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5CDAC4E"/>
    <w:multiLevelType w:val="singleLevel"/>
    <w:tmpl w:val="15CDAC4E"/>
    <w:lvl w:ilvl="0" w:tentative="0">
      <w:start w:val="2"/>
      <w:numFmt w:val="chineseCounting"/>
      <w:suff w:val="nothing"/>
      <w:lvlText w:val="（%1）"/>
      <w:lvlJc w:val="left"/>
      <w:rPr>
        <w:rFonts w:hint="eastAsia"/>
      </w:rPr>
    </w:lvl>
  </w:abstractNum>
  <w:abstractNum w:abstractNumId="7">
    <w:nsid w:val="172F69C4"/>
    <w:multiLevelType w:val="singleLevel"/>
    <w:tmpl w:val="172F69C4"/>
    <w:lvl w:ilvl="0" w:tentative="0">
      <w:start w:val="2"/>
      <w:numFmt w:val="chineseCounting"/>
      <w:suff w:val="nothing"/>
      <w:lvlText w:val="（%1）"/>
      <w:lvlJc w:val="left"/>
      <w:rPr>
        <w:rFonts w:hint="eastAsia"/>
      </w:rPr>
    </w:lvl>
  </w:abstractNum>
  <w:abstractNum w:abstractNumId="8">
    <w:nsid w:val="195548BE"/>
    <w:multiLevelType w:val="singleLevel"/>
    <w:tmpl w:val="195548BE"/>
    <w:lvl w:ilvl="0" w:tentative="0">
      <w:start w:val="1"/>
      <w:numFmt w:val="chineseCounting"/>
      <w:suff w:val="nothing"/>
      <w:lvlText w:val="（%1）"/>
      <w:lvlJc w:val="left"/>
      <w:rPr>
        <w:rFonts w:hint="eastAsia"/>
      </w:rPr>
    </w:lvl>
  </w:abstractNum>
  <w:abstractNum w:abstractNumId="9">
    <w:nsid w:val="7AAFA6F0"/>
    <w:multiLevelType w:val="singleLevel"/>
    <w:tmpl w:val="7AAFA6F0"/>
    <w:lvl w:ilvl="0" w:tentative="0">
      <w:start w:val="2"/>
      <w:numFmt w:val="chineseCounting"/>
      <w:suff w:val="nothing"/>
      <w:lvlText w:val="（%1）"/>
      <w:lvlJc w:val="left"/>
      <w:rPr>
        <w:rFonts w:hint="eastAsia"/>
      </w:rPr>
    </w:lvl>
  </w:abstractNum>
  <w:num w:numId="1">
    <w:abstractNumId w:val="5"/>
  </w:num>
  <w:num w:numId="2">
    <w:abstractNumId w:val="2"/>
  </w:num>
  <w:num w:numId="3">
    <w:abstractNumId w:val="3"/>
  </w:num>
  <w:num w:numId="4">
    <w:abstractNumId w:val="6"/>
  </w:num>
  <w:num w:numId="5">
    <w:abstractNumId w:val="1"/>
  </w:num>
  <w:num w:numId="6">
    <w:abstractNumId w:val="7"/>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NDk5ZjhiMzdlZWJmNWY2MmY2ZWMwZDE1YThiNzAifQ=="/>
  </w:docVars>
  <w:rsids>
    <w:rsidRoot w:val="00F1361C"/>
    <w:rsid w:val="00004E99"/>
    <w:rsid w:val="000222C6"/>
    <w:rsid w:val="0002549F"/>
    <w:rsid w:val="000468DB"/>
    <w:rsid w:val="0006487A"/>
    <w:rsid w:val="00065F8F"/>
    <w:rsid w:val="00066E0D"/>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108F"/>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710A"/>
    <w:rsid w:val="002F1818"/>
    <w:rsid w:val="002F567B"/>
    <w:rsid w:val="003216A9"/>
    <w:rsid w:val="00335A74"/>
    <w:rsid w:val="0036239F"/>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48E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6C25"/>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0466"/>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A650B"/>
    <w:rsid w:val="008B768C"/>
    <w:rsid w:val="008C4DB1"/>
    <w:rsid w:val="008C4EAF"/>
    <w:rsid w:val="008C5176"/>
    <w:rsid w:val="008C7FD0"/>
    <w:rsid w:val="008E1DE7"/>
    <w:rsid w:val="008E707C"/>
    <w:rsid w:val="00900B08"/>
    <w:rsid w:val="00902155"/>
    <w:rsid w:val="00902FA3"/>
    <w:rsid w:val="00923564"/>
    <w:rsid w:val="0092392E"/>
    <w:rsid w:val="00926DE5"/>
    <w:rsid w:val="009315F9"/>
    <w:rsid w:val="00933499"/>
    <w:rsid w:val="00935C98"/>
    <w:rsid w:val="00946945"/>
    <w:rsid w:val="00951248"/>
    <w:rsid w:val="0095152F"/>
    <w:rsid w:val="00954C49"/>
    <w:rsid w:val="00955E37"/>
    <w:rsid w:val="009645D7"/>
    <w:rsid w:val="0097099F"/>
    <w:rsid w:val="00971997"/>
    <w:rsid w:val="00971FFC"/>
    <w:rsid w:val="0098660A"/>
    <w:rsid w:val="009931C3"/>
    <w:rsid w:val="00993799"/>
    <w:rsid w:val="009A3F97"/>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0D63"/>
    <w:rsid w:val="00BF5BD6"/>
    <w:rsid w:val="00C03E31"/>
    <w:rsid w:val="00C15BEB"/>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393D"/>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35A6"/>
    <w:rsid w:val="00FD3CC1"/>
    <w:rsid w:val="00FF1E02"/>
    <w:rsid w:val="00FF30B4"/>
    <w:rsid w:val="019F2D33"/>
    <w:rsid w:val="066E0107"/>
    <w:rsid w:val="07996F6E"/>
    <w:rsid w:val="07B20127"/>
    <w:rsid w:val="0A2032A3"/>
    <w:rsid w:val="0B1A12A1"/>
    <w:rsid w:val="0B1D3711"/>
    <w:rsid w:val="0E11352D"/>
    <w:rsid w:val="101860EC"/>
    <w:rsid w:val="10887637"/>
    <w:rsid w:val="10C055FF"/>
    <w:rsid w:val="118107EC"/>
    <w:rsid w:val="12557610"/>
    <w:rsid w:val="136275BA"/>
    <w:rsid w:val="13D50BC4"/>
    <w:rsid w:val="16BB723D"/>
    <w:rsid w:val="170E3DF4"/>
    <w:rsid w:val="1A907E6F"/>
    <w:rsid w:val="1BE8440E"/>
    <w:rsid w:val="1CF71C0F"/>
    <w:rsid w:val="1D155CEE"/>
    <w:rsid w:val="22FA6375"/>
    <w:rsid w:val="23860B96"/>
    <w:rsid w:val="240371BF"/>
    <w:rsid w:val="243C47BC"/>
    <w:rsid w:val="24977834"/>
    <w:rsid w:val="24F2250B"/>
    <w:rsid w:val="271B0BF0"/>
    <w:rsid w:val="27EE52E4"/>
    <w:rsid w:val="29FD04D3"/>
    <w:rsid w:val="2A372096"/>
    <w:rsid w:val="2C0F40D3"/>
    <w:rsid w:val="2C8A61B5"/>
    <w:rsid w:val="2DF04E50"/>
    <w:rsid w:val="319F7F4E"/>
    <w:rsid w:val="336B6A5B"/>
    <w:rsid w:val="359F7AA1"/>
    <w:rsid w:val="36AA5135"/>
    <w:rsid w:val="37E16F03"/>
    <w:rsid w:val="3A7139EA"/>
    <w:rsid w:val="3D0D60A1"/>
    <w:rsid w:val="3D98207C"/>
    <w:rsid w:val="3DDE335C"/>
    <w:rsid w:val="3DF8550A"/>
    <w:rsid w:val="42DA56BA"/>
    <w:rsid w:val="42DE6CBC"/>
    <w:rsid w:val="433B298A"/>
    <w:rsid w:val="43FD4275"/>
    <w:rsid w:val="44E268DA"/>
    <w:rsid w:val="46B13D05"/>
    <w:rsid w:val="48991069"/>
    <w:rsid w:val="4A627F82"/>
    <w:rsid w:val="4B4F25DA"/>
    <w:rsid w:val="4B8A22D5"/>
    <w:rsid w:val="4BE068DB"/>
    <w:rsid w:val="4BE551D7"/>
    <w:rsid w:val="4D577224"/>
    <w:rsid w:val="4EAB630A"/>
    <w:rsid w:val="4ECE2238"/>
    <w:rsid w:val="4F053F48"/>
    <w:rsid w:val="4FEF0EC8"/>
    <w:rsid w:val="5084429A"/>
    <w:rsid w:val="5119480B"/>
    <w:rsid w:val="511F11EB"/>
    <w:rsid w:val="520C0F7B"/>
    <w:rsid w:val="527F421C"/>
    <w:rsid w:val="575F1E43"/>
    <w:rsid w:val="5AF92295"/>
    <w:rsid w:val="5C700ABB"/>
    <w:rsid w:val="5CD71FC4"/>
    <w:rsid w:val="5E236A8F"/>
    <w:rsid w:val="5F0F6DF1"/>
    <w:rsid w:val="606E1AC3"/>
    <w:rsid w:val="61DC44FC"/>
    <w:rsid w:val="65F85C7A"/>
    <w:rsid w:val="66376316"/>
    <w:rsid w:val="66F311A7"/>
    <w:rsid w:val="67C322F0"/>
    <w:rsid w:val="69452FFD"/>
    <w:rsid w:val="6A1814C2"/>
    <w:rsid w:val="6C450EF0"/>
    <w:rsid w:val="6C4A05C8"/>
    <w:rsid w:val="6CB42AA5"/>
    <w:rsid w:val="6D2C1BF7"/>
    <w:rsid w:val="6D577956"/>
    <w:rsid w:val="6D681731"/>
    <w:rsid w:val="6D973B64"/>
    <w:rsid w:val="6D9B170F"/>
    <w:rsid w:val="6DAB3516"/>
    <w:rsid w:val="6E576BAA"/>
    <w:rsid w:val="6E7E3605"/>
    <w:rsid w:val="6EC77166"/>
    <w:rsid w:val="6FEC41FC"/>
    <w:rsid w:val="6FF5CC65"/>
    <w:rsid w:val="71134913"/>
    <w:rsid w:val="715C0E4B"/>
    <w:rsid w:val="72734D90"/>
    <w:rsid w:val="72D24194"/>
    <w:rsid w:val="732F1048"/>
    <w:rsid w:val="73AD73D5"/>
    <w:rsid w:val="73B6EB34"/>
    <w:rsid w:val="770657E6"/>
    <w:rsid w:val="77DF044B"/>
    <w:rsid w:val="790D609F"/>
    <w:rsid w:val="79187CFE"/>
    <w:rsid w:val="79EE5BA4"/>
    <w:rsid w:val="7A3A11F5"/>
    <w:rsid w:val="7A894339"/>
    <w:rsid w:val="7C1F3C9C"/>
    <w:rsid w:val="7C530C5B"/>
    <w:rsid w:val="7EEF11D3"/>
    <w:rsid w:val="7F3A706D"/>
    <w:rsid w:val="7FA30C79"/>
    <w:rsid w:val="7FC96657"/>
    <w:rsid w:val="D8D6DB89"/>
    <w:rsid w:val="DB6F4CAB"/>
    <w:rsid w:val="DF6F9789"/>
    <w:rsid w:val="FE9E91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qFormat/>
    <w:uiPriority w:val="0"/>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jc w:val="left"/>
    </w:pPr>
    <w:rPr>
      <w:rFonts w:ascii="宋体" w:hAnsi="宋体" w:cs="宋体"/>
      <w:kern w:val="0"/>
      <w:sz w:val="24"/>
    </w:rPr>
  </w:style>
  <w:style w:type="paragraph" w:styleId="16">
    <w:name w:val="Body Text First Indent 2"/>
    <w:basedOn w:val="7"/>
    <w:qFormat/>
    <w:uiPriority w:val="0"/>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字符"/>
    <w:link w:val="11"/>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字符"/>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字符"/>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8"/>
    <w:link w:val="3"/>
    <w:qFormat/>
    <w:uiPriority w:val="9"/>
    <w:rPr>
      <w:rFonts w:ascii="Times New Roman" w:hAnsi="Times New Roman"/>
      <w:b/>
      <w:bCs/>
      <w:kern w:val="44"/>
      <w:sz w:val="44"/>
      <w:szCs w:val="44"/>
    </w:rPr>
  </w:style>
  <w:style w:type="character" w:customStyle="1" w:styleId="31">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8"/>
    <w:link w:val="9"/>
    <w:semiHidden/>
    <w:qFormat/>
    <w:uiPriority w:val="99"/>
    <w:rPr>
      <w:rFonts w:ascii="Times New Roman" w:hAnsi="Times New Roman"/>
      <w:kern w:val="2"/>
      <w:sz w:val="18"/>
      <w:szCs w:val="18"/>
    </w:rPr>
  </w:style>
  <w:style w:type="character" w:customStyle="1" w:styleId="34">
    <w:name w:val="标题 3 字符"/>
    <w:basedOn w:val="18"/>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“三公”经费财政拨款支出结构图</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1.81</c:v>
                </c:pt>
                <c:pt idx="2">
                  <c:v>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1"/>
    <customShpInfo spid="_x0000_s1032"/>
    <customShpInfo spid="_x0000_s1035"/>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53</Pages>
  <Words>22265</Words>
  <Characters>23816</Characters>
  <Lines>199</Lines>
  <Paragraphs>56</Paragraphs>
  <TotalTime>2</TotalTime>
  <ScaleCrop>false</ScaleCrop>
  <LinksUpToDate>false</LinksUpToDate>
  <CharactersWithSpaces>31632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2022-09-27T12:36:00Z</cp:lastPrinted>
  <dcterms:modified xsi:type="dcterms:W3CDTF">2023-08-08T17:04:55Z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9A161E56BB0447219443ACD5CD6F0C1B</vt:lpwstr>
  </property>
</Properties>
</file>